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仿宋" w:hAnsi="仿宋" w:cs="仿宋"/>
          <w:b/>
          <w:color w:val="auto"/>
          <w:sz w:val="32"/>
          <w:szCs w:val="32"/>
          <w:highlight w:val="none"/>
        </w:rPr>
      </w:pPr>
    </w:p>
    <w:p>
      <w:pPr>
        <w:spacing w:line="360" w:lineRule="auto"/>
        <w:ind w:firstLine="260" w:firstLineChars="50"/>
        <w:jc w:val="center"/>
        <w:rPr>
          <w:rFonts w:hint="eastAsia" w:ascii="仿宋" w:hAnsi="仿宋" w:cs="仿宋"/>
          <w:b/>
          <w:color w:val="auto"/>
          <w:sz w:val="52"/>
          <w:szCs w:val="52"/>
          <w:highlight w:val="none"/>
        </w:rPr>
      </w:pPr>
    </w:p>
    <w:p>
      <w:pPr>
        <w:spacing w:line="360" w:lineRule="auto"/>
        <w:ind w:firstLine="260" w:firstLineChars="50"/>
        <w:jc w:val="center"/>
        <w:rPr>
          <w:rFonts w:hint="eastAsia" w:ascii="仿宋" w:hAnsi="仿宋" w:cs="仿宋"/>
          <w:b/>
          <w:color w:val="auto"/>
          <w:sz w:val="52"/>
          <w:szCs w:val="52"/>
          <w:highlight w:val="none"/>
        </w:rPr>
      </w:pPr>
    </w:p>
    <w:p>
      <w:pPr>
        <w:spacing w:line="360" w:lineRule="auto"/>
        <w:ind w:firstLine="120" w:firstLineChars="50"/>
        <w:jc w:val="center"/>
        <w:rPr>
          <w:rFonts w:hint="eastAsia" w:ascii="仿宋" w:hAnsi="仿宋" w:cs="仿宋"/>
          <w:b/>
          <w:color w:val="auto"/>
          <w:sz w:val="24"/>
          <w:highlight w:val="none"/>
        </w:rPr>
      </w:pPr>
    </w:p>
    <w:p>
      <w:pPr>
        <w:spacing w:line="360" w:lineRule="auto"/>
        <w:ind w:firstLine="240" w:firstLineChars="50"/>
        <w:jc w:val="center"/>
        <w:rPr>
          <w:rFonts w:hint="eastAsia" w:ascii="仿宋" w:hAnsi="仿宋" w:cs="仿宋"/>
          <w:b/>
          <w:color w:val="auto"/>
          <w:sz w:val="48"/>
          <w:szCs w:val="48"/>
          <w:highlight w:val="none"/>
        </w:rPr>
      </w:pPr>
      <w:r>
        <w:rPr>
          <w:rFonts w:hint="eastAsia" w:ascii="仿宋" w:hAnsi="仿宋" w:cs="仿宋"/>
          <w:b/>
          <w:color w:val="auto"/>
          <w:sz w:val="48"/>
          <w:szCs w:val="48"/>
          <w:highlight w:val="none"/>
        </w:rPr>
        <w:t>货物类公开招标</w:t>
      </w:r>
    </w:p>
    <w:p>
      <w:pPr>
        <w:spacing w:line="360" w:lineRule="auto"/>
        <w:ind w:firstLine="120" w:firstLineChars="50"/>
        <w:jc w:val="center"/>
        <w:rPr>
          <w:rFonts w:hint="eastAsia" w:ascii="仿宋" w:hAnsi="仿宋" w:cs="仿宋"/>
          <w:b/>
          <w:color w:val="auto"/>
          <w:sz w:val="24"/>
          <w:highlight w:val="none"/>
        </w:rPr>
      </w:pPr>
    </w:p>
    <w:p>
      <w:pPr>
        <w:spacing w:line="360" w:lineRule="auto"/>
        <w:ind w:firstLine="240" w:firstLineChars="50"/>
        <w:jc w:val="center"/>
        <w:rPr>
          <w:rFonts w:hint="eastAsia" w:ascii="仿宋" w:hAnsi="仿宋" w:cs="仿宋"/>
          <w:b/>
          <w:color w:val="auto"/>
          <w:sz w:val="48"/>
          <w:szCs w:val="48"/>
          <w:highlight w:val="none"/>
        </w:rPr>
      </w:pPr>
      <w:r>
        <w:rPr>
          <w:rFonts w:hint="eastAsia" w:ascii="仿宋" w:hAnsi="仿宋" w:cs="仿宋"/>
          <w:b/>
          <w:color w:val="auto"/>
          <w:sz w:val="48"/>
          <w:szCs w:val="48"/>
          <w:highlight w:val="none"/>
        </w:rPr>
        <w:t>招标文件</w:t>
      </w: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480" w:lineRule="exact"/>
        <w:jc w:val="center"/>
        <w:rPr>
          <w:rFonts w:hint="eastAsia" w:ascii="仿宋" w:hAnsi="仿宋" w:cs="仿宋"/>
          <w:b/>
          <w:color w:val="auto"/>
          <w:sz w:val="24"/>
          <w:highlight w:val="none"/>
        </w:rPr>
      </w:pPr>
    </w:p>
    <w:p>
      <w:pPr>
        <w:spacing w:line="360" w:lineRule="auto"/>
        <w:rPr>
          <w:rFonts w:hint="default" w:ascii="仿宋" w:hAnsi="仿宋" w:eastAsia="仿宋" w:cs="仿宋"/>
          <w:b/>
          <w:color w:val="auto"/>
          <w:sz w:val="32"/>
          <w:szCs w:val="32"/>
          <w:highlight w:val="none"/>
          <w:u w:val="single"/>
          <w:lang w:val="en-US" w:eastAsia="zh-CN"/>
        </w:rPr>
      </w:pPr>
      <w:r>
        <w:rPr>
          <w:rFonts w:hint="eastAsia" w:ascii="仿宋" w:hAnsi="仿宋" w:cs="仿宋"/>
          <w:b/>
          <w:color w:val="auto"/>
          <w:sz w:val="32"/>
          <w:szCs w:val="32"/>
          <w:highlight w:val="none"/>
        </w:rPr>
        <w:t>项目名称：</w:t>
      </w:r>
      <w:r>
        <w:rPr>
          <w:rFonts w:hint="eastAsia" w:ascii="仿宋" w:hAnsi="仿宋" w:cs="仿宋"/>
          <w:b/>
          <w:color w:val="auto"/>
          <w:sz w:val="32"/>
          <w:szCs w:val="32"/>
          <w:highlight w:val="none"/>
          <w:u w:val="single"/>
          <w:lang w:eastAsia="zh-CN"/>
        </w:rPr>
        <w:t>辽宁省消防救援总队自然灾害应急能力提升工程装备建设项目（信通装备项目）（</w:t>
      </w:r>
      <w:r>
        <w:rPr>
          <w:rFonts w:hint="eastAsia" w:ascii="仿宋" w:hAnsi="仿宋" w:cs="仿宋"/>
          <w:b/>
          <w:color w:val="auto"/>
          <w:sz w:val="32"/>
          <w:szCs w:val="32"/>
          <w:highlight w:val="none"/>
          <w:u w:val="single"/>
          <w:lang w:val="en-US" w:eastAsia="zh-CN"/>
        </w:rPr>
        <w:t>二次公告</w:t>
      </w:r>
      <w:r>
        <w:rPr>
          <w:rFonts w:hint="eastAsia" w:ascii="仿宋" w:hAnsi="仿宋" w:cs="仿宋"/>
          <w:b/>
          <w:color w:val="auto"/>
          <w:sz w:val="32"/>
          <w:szCs w:val="32"/>
          <w:highlight w:val="none"/>
          <w:u w:val="single"/>
          <w:lang w:eastAsia="zh-CN"/>
        </w:rPr>
        <w:t>）</w:t>
      </w:r>
    </w:p>
    <w:p>
      <w:pPr>
        <w:spacing w:line="360" w:lineRule="auto"/>
        <w:rPr>
          <w:rFonts w:hint="default" w:ascii="仿宋" w:hAnsi="仿宋" w:cs="仿宋"/>
          <w:b/>
          <w:color w:val="auto"/>
          <w:sz w:val="32"/>
          <w:szCs w:val="32"/>
          <w:highlight w:val="none"/>
          <w:lang w:val="en-US"/>
        </w:rPr>
      </w:pPr>
      <w:r>
        <w:rPr>
          <w:rFonts w:hint="eastAsia" w:ascii="仿宋" w:hAnsi="仿宋" w:cs="仿宋"/>
          <w:b/>
          <w:color w:val="auto"/>
          <w:sz w:val="32"/>
          <w:szCs w:val="32"/>
          <w:highlight w:val="none"/>
        </w:rPr>
        <w:t>项目编号：</w:t>
      </w:r>
      <w:r>
        <w:rPr>
          <w:rFonts w:hint="eastAsia" w:ascii="仿宋" w:hAnsi="仿宋" w:cs="仿宋"/>
          <w:b/>
          <w:color w:val="auto"/>
          <w:sz w:val="32"/>
          <w:szCs w:val="32"/>
          <w:highlight w:val="none"/>
          <w:u w:val="single"/>
        </w:rPr>
        <w:t xml:space="preserve"> LNZD2024-GZZB-10</w:t>
      </w:r>
      <w:r>
        <w:rPr>
          <w:rFonts w:hint="eastAsia" w:ascii="仿宋" w:hAnsi="仿宋" w:cs="仿宋"/>
          <w:b/>
          <w:color w:val="auto"/>
          <w:sz w:val="32"/>
          <w:szCs w:val="32"/>
          <w:highlight w:val="none"/>
          <w:u w:val="single"/>
          <w:lang w:val="en-US" w:eastAsia="zh-CN"/>
        </w:rPr>
        <w:t xml:space="preserve">   </w:t>
      </w:r>
    </w:p>
    <w:p>
      <w:pPr>
        <w:spacing w:line="360" w:lineRule="auto"/>
        <w:rPr>
          <w:rFonts w:hint="eastAsia" w:ascii="仿宋" w:hAnsi="仿宋" w:cs="仿宋"/>
          <w:b/>
          <w:color w:val="auto"/>
          <w:sz w:val="32"/>
          <w:szCs w:val="32"/>
          <w:highlight w:val="none"/>
        </w:rPr>
      </w:pPr>
      <w:r>
        <w:rPr>
          <w:rFonts w:hint="eastAsia" w:ascii="仿宋" w:hAnsi="仿宋" w:cs="仿宋"/>
          <w:b/>
          <w:color w:val="auto"/>
          <w:sz w:val="32"/>
          <w:szCs w:val="32"/>
          <w:highlight w:val="none"/>
          <w:lang w:val="en-US" w:eastAsia="zh-CN"/>
        </w:rPr>
        <w:t>采 购</w:t>
      </w:r>
      <w:r>
        <w:rPr>
          <w:rFonts w:hint="eastAsia" w:ascii="仿宋" w:hAnsi="仿宋" w:cs="仿宋"/>
          <w:b/>
          <w:color w:val="auto"/>
          <w:sz w:val="32"/>
          <w:szCs w:val="32"/>
          <w:highlight w:val="none"/>
        </w:rPr>
        <w:t xml:space="preserve"> 人：</w:t>
      </w:r>
      <w:r>
        <w:rPr>
          <w:rFonts w:hint="eastAsia" w:ascii="仿宋" w:hAnsi="仿宋" w:cs="仿宋"/>
          <w:b/>
          <w:color w:val="auto"/>
          <w:sz w:val="32"/>
          <w:szCs w:val="32"/>
          <w:highlight w:val="none"/>
          <w:u w:val="single"/>
        </w:rPr>
        <w:t>辽宁省消防救援总队</w:t>
      </w:r>
    </w:p>
    <w:p>
      <w:pPr>
        <w:spacing w:line="360" w:lineRule="auto"/>
        <w:rPr>
          <w:rFonts w:hint="eastAsia" w:ascii="仿宋" w:hAnsi="仿宋" w:cs="仿宋"/>
          <w:b/>
          <w:color w:val="auto"/>
          <w:sz w:val="32"/>
          <w:szCs w:val="32"/>
          <w:highlight w:val="none"/>
        </w:rPr>
        <w:sectPr>
          <w:pgSz w:w="11906" w:h="16838"/>
          <w:pgMar w:top="1440" w:right="1800" w:bottom="1440" w:left="1800" w:header="851" w:footer="992" w:gutter="0"/>
          <w:cols w:space="720" w:num="1"/>
          <w:docGrid w:type="linesAndChars" w:linePitch="312" w:charSpace="0"/>
        </w:sectPr>
      </w:pPr>
      <w:r>
        <w:rPr>
          <w:rFonts w:hint="eastAsia" w:ascii="仿宋" w:hAnsi="仿宋" w:cs="仿宋"/>
          <w:b/>
          <w:color w:val="auto"/>
          <w:sz w:val="32"/>
          <w:szCs w:val="32"/>
          <w:highlight w:val="none"/>
          <w:lang w:eastAsia="zh-CN"/>
        </w:rPr>
        <w:t>采购代理机构</w:t>
      </w:r>
      <w:r>
        <w:rPr>
          <w:rFonts w:hint="eastAsia" w:ascii="仿宋" w:hAnsi="仿宋" w:cs="仿宋"/>
          <w:b/>
          <w:color w:val="auto"/>
          <w:sz w:val="32"/>
          <w:szCs w:val="32"/>
          <w:highlight w:val="none"/>
        </w:rPr>
        <w:t>：</w:t>
      </w:r>
      <w:r>
        <w:rPr>
          <w:rFonts w:hint="eastAsia" w:ascii="仿宋" w:hAnsi="仿宋" w:cs="仿宋"/>
          <w:b/>
          <w:color w:val="auto"/>
          <w:sz w:val="32"/>
          <w:szCs w:val="32"/>
          <w:highlight w:val="none"/>
          <w:u w:val="single"/>
        </w:rPr>
        <w:t xml:space="preserve"> 中财科建工程管理有限公司 </w:t>
      </w:r>
    </w:p>
    <w:p>
      <w:pPr>
        <w:jc w:val="center"/>
        <w:rPr>
          <w:rFonts w:hint="eastAsia" w:ascii="仿宋" w:hAnsi="仿宋" w:cs="仿宋"/>
          <w:b/>
          <w:bCs/>
          <w:color w:val="auto"/>
          <w:sz w:val="44"/>
          <w:szCs w:val="44"/>
          <w:highlight w:val="none"/>
        </w:rPr>
      </w:pPr>
      <w:r>
        <w:rPr>
          <w:rFonts w:hint="eastAsia" w:ascii="仿宋" w:hAnsi="仿宋" w:cs="仿宋"/>
          <w:b/>
          <w:bCs/>
          <w:color w:val="auto"/>
          <w:sz w:val="44"/>
          <w:szCs w:val="44"/>
          <w:highlight w:val="none"/>
        </w:rPr>
        <w:t>目  录</w:t>
      </w:r>
    </w:p>
    <w:p>
      <w:pPr>
        <w:jc w:val="center"/>
        <w:rPr>
          <w:rFonts w:hint="eastAsia" w:ascii="仿宋" w:hAnsi="仿宋" w:cs="仿宋"/>
          <w:b/>
          <w:bCs/>
          <w:color w:val="auto"/>
          <w:sz w:val="44"/>
          <w:szCs w:val="44"/>
          <w:highlight w:val="none"/>
        </w:rPr>
      </w:pPr>
    </w:p>
    <w:p>
      <w:pPr>
        <w:pStyle w:val="18"/>
        <w:tabs>
          <w:tab w:val="right" w:leader="dot" w:pos="8306"/>
        </w:tabs>
        <w:spacing w:line="480" w:lineRule="auto"/>
        <w:rPr>
          <w:rFonts w:hint="eastAsia" w:ascii="仿宋" w:hAnsi="仿宋" w:cs="仿宋"/>
          <w:b/>
          <w:bCs/>
          <w:color w:val="auto"/>
          <w:sz w:val="24"/>
          <w:highlight w:val="none"/>
        </w:rPr>
      </w:pPr>
      <w:r>
        <w:rPr>
          <w:rFonts w:hint="eastAsia" w:ascii="仿宋" w:hAnsi="仿宋" w:cs="仿宋"/>
          <w:b/>
          <w:bCs/>
          <w:color w:val="auto"/>
          <w:sz w:val="24"/>
          <w:highlight w:val="none"/>
        </w:rPr>
        <w:fldChar w:fldCharType="begin"/>
      </w:r>
      <w:r>
        <w:rPr>
          <w:rFonts w:hint="eastAsia" w:ascii="仿宋" w:hAnsi="仿宋" w:cs="仿宋"/>
          <w:b/>
          <w:bCs/>
          <w:color w:val="auto"/>
          <w:sz w:val="24"/>
          <w:highlight w:val="none"/>
        </w:rPr>
        <w:instrText xml:space="preserve">TOC \o "1-1" \h \u </w:instrText>
      </w:r>
      <w:r>
        <w:rPr>
          <w:rFonts w:hint="eastAsia" w:ascii="仿宋" w:hAnsi="仿宋" w:cs="仿宋"/>
          <w:b/>
          <w:bCs/>
          <w:color w:val="auto"/>
          <w:sz w:val="24"/>
          <w:highlight w:val="none"/>
        </w:rPr>
        <w:fldChar w:fldCharType="separate"/>
      </w: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"_Toc7381"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招标公告</w:t>
      </w:r>
      <w:r>
        <w:rPr>
          <w:rFonts w:hint="eastAsia" w:ascii="仿宋" w:hAnsi="仿宋" w:cs="仿宋"/>
          <w:b/>
          <w:bCs/>
          <w:color w:val="auto"/>
          <w:sz w:val="24"/>
          <w:highlight w:val="none"/>
        </w:rPr>
        <w:tab/>
      </w:r>
      <w:r>
        <w:rPr>
          <w:rFonts w:hint="eastAsia" w:ascii="仿宋" w:hAnsi="仿宋" w:cs="仿宋"/>
          <w:b/>
          <w:bCs/>
          <w:color w:val="auto"/>
          <w:sz w:val="24"/>
          <w:highlight w:val="none"/>
          <w:lang w:val="en-US" w:eastAsia="zh-CN"/>
        </w:rPr>
        <w:t>2</w:t>
      </w:r>
      <w:r>
        <w:rPr>
          <w:rFonts w:hint="eastAsia" w:ascii="仿宋" w:hAnsi="仿宋" w:cs="仿宋"/>
          <w:b/>
          <w:bCs/>
          <w:color w:val="auto"/>
          <w:sz w:val="24"/>
          <w:highlight w:val="none"/>
        </w:rPr>
        <w:fldChar w:fldCharType="end"/>
      </w:r>
    </w:p>
    <w:p>
      <w:pPr>
        <w:pStyle w:val="18"/>
        <w:tabs>
          <w:tab w:val="right" w:leader="dot" w:pos="8306"/>
        </w:tabs>
        <w:spacing w:line="480" w:lineRule="auto"/>
        <w:rPr>
          <w:rFonts w:hint="eastAsia" w:ascii="仿宋" w:hAnsi="仿宋" w:cs="仿宋"/>
          <w:b/>
          <w:bCs/>
          <w:color w:val="auto"/>
          <w:sz w:val="24"/>
          <w:highlight w:val="none"/>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"_Toc9614"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 xml:space="preserve">第一章 </w:t>
      </w:r>
      <w:r>
        <w:rPr>
          <w:rFonts w:hint="eastAsia" w:ascii="仿宋" w:hAnsi="仿宋" w:cs="仿宋"/>
          <w:b/>
          <w:bCs/>
          <w:color w:val="auto"/>
          <w:sz w:val="24"/>
          <w:highlight w:val="none"/>
          <w:lang w:eastAsia="zh-CN"/>
        </w:rPr>
        <w:t>供应商</w:t>
      </w:r>
      <w:r>
        <w:rPr>
          <w:rFonts w:hint="eastAsia" w:ascii="仿宋" w:hAnsi="仿宋" w:cs="仿宋"/>
          <w:b/>
          <w:bCs/>
          <w:color w:val="auto"/>
          <w:sz w:val="24"/>
          <w:highlight w:val="none"/>
        </w:rPr>
        <w:t>须知</w:t>
      </w:r>
      <w:r>
        <w:rPr>
          <w:rFonts w:hint="eastAsia" w:ascii="仿宋" w:hAnsi="仿宋" w:cs="仿宋"/>
          <w:b/>
          <w:bCs/>
          <w:color w:val="auto"/>
          <w:sz w:val="24"/>
          <w:highlight w:val="none"/>
        </w:rPr>
        <w:tab/>
      </w:r>
      <w:r>
        <w:rPr>
          <w:rFonts w:hint="eastAsia" w:ascii="仿宋" w:hAnsi="仿宋" w:cs="仿宋"/>
          <w:b/>
          <w:bCs/>
          <w:color w:val="auto"/>
          <w:sz w:val="24"/>
          <w:highlight w:val="none"/>
        </w:rPr>
        <w:fldChar w:fldCharType="begin"/>
      </w:r>
      <w:r>
        <w:rPr>
          <w:rFonts w:hint="eastAsia" w:ascii="仿宋" w:hAnsi="仿宋" w:cs="仿宋"/>
          <w:b/>
          <w:bCs/>
          <w:color w:val="auto"/>
          <w:sz w:val="24"/>
          <w:highlight w:val="none"/>
        </w:rPr>
        <w:instrText xml:space="preserve"> PAGEREF _Toc9614 </w:instrText>
      </w:r>
      <w:r>
        <w:rPr>
          <w:rFonts w:hint="eastAsia" w:ascii="仿宋" w:hAnsi="仿宋" w:cs="仿宋"/>
          <w:b/>
          <w:bCs/>
          <w:color w:val="auto"/>
          <w:sz w:val="24"/>
          <w:highlight w:val="none"/>
        </w:rPr>
        <w:fldChar w:fldCharType="separate"/>
      </w:r>
      <w:r>
        <w:rPr>
          <w:rFonts w:hint="eastAsia" w:ascii="仿宋" w:hAnsi="仿宋" w:cs="仿宋"/>
          <w:b/>
          <w:bCs/>
          <w:color w:val="auto"/>
          <w:sz w:val="24"/>
          <w:highlight w:val="none"/>
        </w:rPr>
        <w:t>10</w:t>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rPr>
        <w:fldChar w:fldCharType="end"/>
      </w:r>
    </w:p>
    <w:p>
      <w:pPr>
        <w:pStyle w:val="18"/>
        <w:tabs>
          <w:tab w:val="right" w:leader="dot" w:pos="8306"/>
        </w:tabs>
        <w:spacing w:line="480" w:lineRule="auto"/>
        <w:rPr>
          <w:rFonts w:hint="default" w:ascii="仿宋" w:hAnsi="仿宋" w:eastAsia="仿宋" w:cs="仿宋"/>
          <w:b/>
          <w:bCs/>
          <w:color w:val="auto"/>
          <w:sz w:val="24"/>
          <w:highlight w:val="none"/>
          <w:lang w:val="en-US" w:eastAsia="zh-CN"/>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"_Toc6403"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第二章 投标文件 内容及格式</w:t>
      </w:r>
      <w:r>
        <w:rPr>
          <w:rFonts w:hint="eastAsia" w:ascii="仿宋" w:hAnsi="仿宋" w:cs="仿宋"/>
          <w:b/>
          <w:bCs/>
          <w:color w:val="auto"/>
          <w:sz w:val="24"/>
          <w:highlight w:val="none"/>
        </w:rPr>
        <w:tab/>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lang w:val="en-US" w:eastAsia="zh-CN"/>
        </w:rPr>
        <w:t>26</w:t>
      </w:r>
    </w:p>
    <w:p>
      <w:pPr>
        <w:pStyle w:val="18"/>
        <w:tabs>
          <w:tab w:val="right" w:leader="dot" w:pos="8306"/>
        </w:tabs>
        <w:spacing w:line="480" w:lineRule="auto"/>
        <w:rPr>
          <w:rFonts w:hint="eastAsia" w:ascii="仿宋" w:hAnsi="仿宋" w:cs="仿宋"/>
          <w:b/>
          <w:bCs/>
          <w:color w:val="auto"/>
          <w:sz w:val="24"/>
          <w:highlight w:val="none"/>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"_Toc17590"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第三章 货物需求</w:t>
      </w:r>
      <w:r>
        <w:rPr>
          <w:rFonts w:hint="eastAsia" w:ascii="仿宋" w:hAnsi="仿宋" w:cs="仿宋"/>
          <w:b/>
          <w:bCs/>
          <w:color w:val="auto"/>
          <w:sz w:val="24"/>
          <w:highlight w:val="none"/>
        </w:rPr>
        <w:tab/>
      </w:r>
      <w:r>
        <w:rPr>
          <w:rFonts w:hint="eastAsia" w:ascii="仿宋" w:hAnsi="仿宋" w:cs="仿宋"/>
          <w:b/>
          <w:bCs/>
          <w:color w:val="auto"/>
          <w:sz w:val="24"/>
          <w:highlight w:val="none"/>
        </w:rPr>
        <w:fldChar w:fldCharType="begin"/>
      </w:r>
      <w:r>
        <w:rPr>
          <w:rFonts w:hint="eastAsia" w:ascii="仿宋" w:hAnsi="仿宋" w:cs="仿宋"/>
          <w:b/>
          <w:bCs/>
          <w:color w:val="auto"/>
          <w:sz w:val="24"/>
          <w:highlight w:val="none"/>
        </w:rPr>
        <w:instrText xml:space="preserve"> PAGEREF _Toc17590 </w:instrText>
      </w:r>
      <w:r>
        <w:rPr>
          <w:rFonts w:hint="eastAsia" w:ascii="仿宋" w:hAnsi="仿宋" w:cs="仿宋"/>
          <w:b/>
          <w:bCs/>
          <w:color w:val="auto"/>
          <w:sz w:val="24"/>
          <w:highlight w:val="none"/>
        </w:rPr>
        <w:fldChar w:fldCharType="separate"/>
      </w:r>
      <w:r>
        <w:rPr>
          <w:rFonts w:hint="eastAsia" w:ascii="仿宋" w:hAnsi="仿宋" w:cs="仿宋"/>
          <w:b/>
          <w:bCs/>
          <w:color w:val="auto"/>
          <w:sz w:val="24"/>
          <w:highlight w:val="none"/>
        </w:rPr>
        <w:t>60</w:t>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rPr>
        <w:fldChar w:fldCharType="end"/>
      </w:r>
    </w:p>
    <w:p>
      <w:pPr>
        <w:pStyle w:val="18"/>
        <w:tabs>
          <w:tab w:val="right" w:leader="dot" w:pos="8306"/>
        </w:tabs>
        <w:spacing w:line="480" w:lineRule="auto"/>
        <w:rPr>
          <w:rFonts w:hint="eastAsia" w:ascii="仿宋" w:hAnsi="仿宋" w:cs="仿宋"/>
          <w:b/>
          <w:bCs/>
          <w:color w:val="auto"/>
          <w:sz w:val="24"/>
          <w:highlight w:val="none"/>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"_Toc25237"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第四章 评标方法</w:t>
      </w:r>
      <w:r>
        <w:rPr>
          <w:rFonts w:hint="eastAsia" w:ascii="仿宋" w:hAnsi="仿宋" w:cs="仿宋"/>
          <w:b/>
          <w:bCs/>
          <w:color w:val="auto"/>
          <w:sz w:val="24"/>
          <w:highlight w:val="none"/>
        </w:rPr>
        <w:tab/>
      </w:r>
      <w:r>
        <w:rPr>
          <w:rFonts w:hint="eastAsia" w:ascii="仿宋" w:hAnsi="仿宋" w:cs="仿宋"/>
          <w:b/>
          <w:bCs/>
          <w:color w:val="auto"/>
          <w:sz w:val="24"/>
          <w:highlight w:val="none"/>
        </w:rPr>
        <w:fldChar w:fldCharType="begin"/>
      </w:r>
      <w:r>
        <w:rPr>
          <w:rFonts w:hint="eastAsia" w:ascii="仿宋" w:hAnsi="仿宋" w:cs="仿宋"/>
          <w:b/>
          <w:bCs/>
          <w:color w:val="auto"/>
          <w:sz w:val="24"/>
          <w:highlight w:val="none"/>
        </w:rPr>
        <w:instrText xml:space="preserve"> PAGEREF _Toc25237 </w:instrText>
      </w:r>
      <w:r>
        <w:rPr>
          <w:rFonts w:hint="eastAsia" w:ascii="仿宋" w:hAnsi="仿宋" w:cs="仿宋"/>
          <w:b/>
          <w:bCs/>
          <w:color w:val="auto"/>
          <w:sz w:val="24"/>
          <w:highlight w:val="none"/>
        </w:rPr>
        <w:fldChar w:fldCharType="separate"/>
      </w:r>
      <w:r>
        <w:rPr>
          <w:rFonts w:hint="eastAsia" w:ascii="仿宋" w:hAnsi="仿宋" w:cs="仿宋"/>
          <w:b/>
          <w:bCs/>
          <w:color w:val="auto"/>
          <w:sz w:val="24"/>
          <w:highlight w:val="none"/>
        </w:rPr>
        <w:t>61</w:t>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rPr>
        <w:fldChar w:fldCharType="end"/>
      </w:r>
    </w:p>
    <w:p>
      <w:pPr>
        <w:pStyle w:val="18"/>
        <w:tabs>
          <w:tab w:val="right" w:leader="dot" w:pos="8306"/>
        </w:tabs>
        <w:spacing w:line="480" w:lineRule="auto"/>
        <w:rPr>
          <w:rFonts w:hint="eastAsia" w:ascii="仿宋" w:hAnsi="仿宋" w:eastAsia="仿宋" w:cs="仿宋"/>
          <w:b/>
          <w:bCs/>
          <w:color w:val="auto"/>
          <w:sz w:val="24"/>
          <w:highlight w:val="none"/>
          <w:lang w:val="en-US" w:eastAsia="zh-CN"/>
        </w:rPr>
      </w:pP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"_Toc19588" </w:instrText>
      </w:r>
      <w:r>
        <w:rPr>
          <w:rFonts w:hint="eastAsia" w:ascii="仿宋" w:hAnsi="仿宋" w:cs="仿宋"/>
          <w:color w:val="auto"/>
          <w:highlight w:val="none"/>
        </w:rPr>
        <w:fldChar w:fldCharType="separate"/>
      </w:r>
      <w:r>
        <w:rPr>
          <w:rFonts w:hint="eastAsia" w:ascii="仿宋" w:hAnsi="仿宋" w:cs="仿宋"/>
          <w:b/>
          <w:bCs/>
          <w:color w:val="auto"/>
          <w:sz w:val="24"/>
          <w:highlight w:val="none"/>
        </w:rPr>
        <w:t>第五章 政府采购合同条款及格式</w:t>
      </w:r>
      <w:r>
        <w:rPr>
          <w:rFonts w:hint="eastAsia" w:ascii="仿宋" w:hAnsi="仿宋" w:cs="仿宋"/>
          <w:b/>
          <w:bCs/>
          <w:color w:val="auto"/>
          <w:sz w:val="24"/>
          <w:highlight w:val="none"/>
        </w:rPr>
        <w:tab/>
      </w:r>
      <w:r>
        <w:rPr>
          <w:rFonts w:hint="eastAsia" w:ascii="仿宋" w:hAnsi="仿宋" w:cs="仿宋"/>
          <w:b/>
          <w:bCs/>
          <w:color w:val="auto"/>
          <w:sz w:val="24"/>
          <w:highlight w:val="none"/>
        </w:rPr>
        <w:fldChar w:fldCharType="begin"/>
      </w:r>
      <w:r>
        <w:rPr>
          <w:rFonts w:hint="eastAsia" w:ascii="仿宋" w:hAnsi="仿宋" w:cs="仿宋"/>
          <w:b/>
          <w:bCs/>
          <w:color w:val="auto"/>
          <w:sz w:val="24"/>
          <w:highlight w:val="none"/>
        </w:rPr>
        <w:instrText xml:space="preserve"> PAGEREF _Toc19588 </w:instrText>
      </w:r>
      <w:r>
        <w:rPr>
          <w:rFonts w:hint="eastAsia" w:ascii="仿宋" w:hAnsi="仿宋" w:cs="仿宋"/>
          <w:b/>
          <w:bCs/>
          <w:color w:val="auto"/>
          <w:sz w:val="24"/>
          <w:highlight w:val="none"/>
        </w:rPr>
        <w:fldChar w:fldCharType="separate"/>
      </w:r>
      <w:r>
        <w:rPr>
          <w:rFonts w:hint="eastAsia" w:ascii="仿宋" w:hAnsi="仿宋" w:cs="仿宋"/>
          <w:b/>
          <w:bCs/>
          <w:color w:val="auto"/>
          <w:sz w:val="24"/>
          <w:highlight w:val="none"/>
        </w:rPr>
        <w:t>70</w:t>
      </w:r>
      <w:r>
        <w:rPr>
          <w:rFonts w:hint="eastAsia" w:ascii="仿宋" w:hAnsi="仿宋" w:cs="仿宋"/>
          <w:b/>
          <w:bCs/>
          <w:color w:val="auto"/>
          <w:sz w:val="24"/>
          <w:highlight w:val="none"/>
        </w:rPr>
        <w:fldChar w:fldCharType="end"/>
      </w:r>
      <w:r>
        <w:rPr>
          <w:rFonts w:hint="eastAsia" w:ascii="仿宋" w:hAnsi="仿宋" w:cs="仿宋"/>
          <w:b/>
          <w:bCs/>
          <w:color w:val="auto"/>
          <w:sz w:val="24"/>
          <w:highlight w:val="none"/>
        </w:rPr>
        <w:fldChar w:fldCharType="end"/>
      </w:r>
    </w:p>
    <w:p>
      <w:pPr>
        <w:spacing w:line="480" w:lineRule="auto"/>
        <w:rPr>
          <w:rFonts w:hint="eastAsia" w:ascii="仿宋" w:hAnsi="仿宋" w:cs="仿宋"/>
          <w:color w:val="auto"/>
          <w:highlight w:val="none"/>
        </w:rPr>
      </w:pPr>
      <w:r>
        <w:rPr>
          <w:rFonts w:hint="eastAsia" w:ascii="仿宋" w:hAnsi="仿宋" w:cs="仿宋"/>
          <w:b/>
          <w:bCs/>
          <w:color w:val="auto"/>
          <w:sz w:val="24"/>
          <w:highlight w:val="none"/>
        </w:rPr>
        <w:fldChar w:fldCharType="end"/>
      </w:r>
    </w:p>
    <w:p>
      <w:pPr>
        <w:pStyle w:val="4"/>
        <w:rPr>
          <w:rFonts w:hint="eastAsia" w:ascii="仿宋" w:hAnsi="仿宋" w:cs="仿宋"/>
          <w:color w:val="auto"/>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bookmarkEnd w:id="0"/>
    <w:bookmarkEnd w:id="1"/>
    <w:p>
      <w:pPr>
        <w:pStyle w:val="4"/>
        <w:rPr>
          <w:rFonts w:hint="eastAsia" w:ascii="仿宋" w:hAnsi="仿宋" w:eastAsia="仿宋" w:cs="仿宋"/>
          <w:color w:val="auto"/>
          <w:highlight w:val="none"/>
          <w:u w:val="single"/>
          <w:lang w:eastAsia="zh-CN"/>
        </w:rPr>
      </w:pPr>
      <w:r>
        <w:rPr>
          <w:rFonts w:hint="eastAsia" w:ascii="仿宋" w:hAnsi="仿宋" w:cs="仿宋"/>
          <w:color w:val="auto"/>
          <w:highlight w:val="none"/>
          <w:u w:val="single"/>
          <w:lang w:eastAsia="zh-CN"/>
        </w:rPr>
        <w:t>辽宁省消防救援总队自然灾害应急能力提升工程装备建设项目（信通装备项目）</w:t>
      </w:r>
    </w:p>
    <w:p>
      <w:pPr>
        <w:pStyle w:val="4"/>
        <w:rPr>
          <w:rFonts w:hint="default" w:ascii="仿宋" w:hAnsi="仿宋" w:eastAsia="仿宋" w:cs="仿宋"/>
          <w:color w:val="auto"/>
          <w:highlight w:val="none"/>
          <w:lang w:val="en-US" w:eastAsia="zh-CN"/>
        </w:rPr>
      </w:pPr>
      <w:r>
        <w:rPr>
          <w:rFonts w:hint="eastAsia" w:ascii="仿宋" w:hAnsi="仿宋" w:cs="仿宋"/>
          <w:color w:val="auto"/>
          <w:highlight w:val="none"/>
        </w:rPr>
        <w:t>公开招标公告</w:t>
      </w:r>
      <w:r>
        <w:rPr>
          <w:rFonts w:hint="eastAsia" w:ascii="仿宋" w:hAnsi="仿宋" w:cs="仿宋"/>
          <w:color w:val="auto"/>
          <w:highlight w:val="none"/>
          <w:lang w:eastAsia="zh-CN"/>
        </w:rPr>
        <w:t>（</w:t>
      </w:r>
      <w:r>
        <w:rPr>
          <w:rFonts w:hint="eastAsia" w:ascii="仿宋" w:hAnsi="仿宋" w:cs="仿宋"/>
          <w:color w:val="auto"/>
          <w:highlight w:val="none"/>
          <w:lang w:val="en-US" w:eastAsia="zh-CN"/>
        </w:rPr>
        <w:t>二次公告</w:t>
      </w:r>
      <w:r>
        <w:rPr>
          <w:rFonts w:hint="eastAsia" w:ascii="仿宋" w:hAnsi="仿宋" w:cs="仿宋"/>
          <w:color w:val="auto"/>
          <w:highlight w:val="none"/>
          <w:lang w:eastAsia="zh-CN"/>
        </w:rPr>
        <w:t>）</w:t>
      </w:r>
    </w:p>
    <w:p>
      <w:pPr>
        <w:pStyle w:val="6"/>
        <w:keepNext w:val="0"/>
        <w:keepLines w:val="0"/>
        <w:widowControl/>
        <w:spacing w:before="150" w:after="150" w:line="480" w:lineRule="atLeast"/>
        <w:ind w:right="946"/>
        <w:jc w:val="left"/>
        <w:textAlignment w:val="baseline"/>
        <w:rPr>
          <w:rFonts w:hint="eastAsia" w:ascii="仿宋" w:hAnsi="仿宋" w:cs="仿宋"/>
          <w:color w:val="auto"/>
          <w:sz w:val="21"/>
          <w:szCs w:val="21"/>
          <w:highlight w:val="none"/>
        </w:rPr>
      </w:pPr>
      <w:r>
        <w:rPr>
          <w:rFonts w:hint="eastAsia" w:ascii="仿宋" w:hAnsi="仿宋" w:cs="仿宋"/>
          <w:color w:val="auto"/>
          <w:sz w:val="21"/>
          <w:szCs w:val="21"/>
          <w:highlight w:val="none"/>
          <w:shd w:val="clear" w:color="auto" w:fill="FFFFFF"/>
        </w:rPr>
        <w:t>项目概况</w:t>
      </w:r>
    </w:p>
    <w:p>
      <w:pPr>
        <w:rPr>
          <w:rFonts w:hint="eastAsia" w:ascii="仿宋" w:hAnsi="仿宋" w:cs="仿宋"/>
          <w:color w:val="auto"/>
          <w:kern w:val="0"/>
          <w:szCs w:val="21"/>
          <w:highlight w:val="none"/>
          <w:shd w:val="clear" w:color="auto" w:fill="FFFFFF"/>
        </w:rPr>
      </w:pPr>
      <w:r>
        <w:rPr>
          <w:rFonts w:hint="eastAsia" w:ascii="仿宋" w:hAnsi="仿宋" w:cs="仿宋"/>
          <w:i w:val="0"/>
          <w:caps w:val="0"/>
          <w:color w:val="auto"/>
          <w:spacing w:val="0"/>
          <w:kern w:val="0"/>
          <w:sz w:val="21"/>
          <w:szCs w:val="21"/>
          <w:highlight w:val="none"/>
          <w:u w:val="single"/>
          <w:shd w:val="clear" w:color="auto" w:fill="FFFFFF"/>
          <w:vertAlign w:val="baseline"/>
          <w:lang w:val="en-US" w:eastAsia="zh-CN" w:bidi="ar-SA"/>
        </w:rPr>
        <w:t xml:space="preserve">  辽宁省消防救援总队自然灾害应急能力提升工程装备建设项目（信通装备项目）（二次公告） </w:t>
      </w:r>
      <w:r>
        <w:rPr>
          <w:rFonts w:hint="eastAsia" w:ascii="仿宋" w:hAnsi="仿宋" w:eastAsia="仿宋" w:cs="仿宋"/>
          <w:i w:val="0"/>
          <w:caps w:val="0"/>
          <w:color w:val="auto"/>
          <w:spacing w:val="0"/>
          <w:kern w:val="0"/>
          <w:sz w:val="21"/>
          <w:szCs w:val="21"/>
          <w:highlight w:val="none"/>
          <w:shd w:val="clear" w:color="auto" w:fill="FFFFFF"/>
          <w:vertAlign w:val="baseline"/>
          <w:lang w:val="en-US" w:eastAsia="zh-CN" w:bidi="ar-SA"/>
        </w:rPr>
        <w:t>招标项目的潜在</w:t>
      </w:r>
      <w:r>
        <w:rPr>
          <w:rFonts w:hint="eastAsia" w:ascii="仿宋" w:hAnsi="仿宋" w:cs="仿宋"/>
          <w:i w:val="0"/>
          <w:caps w:val="0"/>
          <w:color w:val="auto"/>
          <w:spacing w:val="0"/>
          <w:kern w:val="0"/>
          <w:sz w:val="21"/>
          <w:szCs w:val="21"/>
          <w:highlight w:val="none"/>
          <w:shd w:val="clear" w:color="auto" w:fill="FFFFFF"/>
          <w:vertAlign w:val="baseline"/>
          <w:lang w:val="en-US" w:eastAsia="zh-CN" w:bidi="ar-SA"/>
        </w:rPr>
        <w:t>供应商</w:t>
      </w:r>
      <w:r>
        <w:rPr>
          <w:rFonts w:hint="eastAsia" w:ascii="仿宋" w:hAnsi="仿宋" w:eastAsia="仿宋" w:cs="仿宋"/>
          <w:i w:val="0"/>
          <w:caps w:val="0"/>
          <w:color w:val="auto"/>
          <w:spacing w:val="0"/>
          <w:kern w:val="0"/>
          <w:sz w:val="21"/>
          <w:szCs w:val="21"/>
          <w:highlight w:val="none"/>
          <w:shd w:val="clear" w:color="auto" w:fill="FFFFFF"/>
          <w:vertAlign w:val="baseline"/>
          <w:lang w:val="en-US" w:eastAsia="zh-CN" w:bidi="ar-SA"/>
        </w:rPr>
        <w:t>应在</w:t>
      </w:r>
      <w:r>
        <w:rPr>
          <w:rFonts w:hint="eastAsia" w:ascii="仿宋" w:hAnsi="仿宋" w:cs="仿宋"/>
          <w:i w:val="0"/>
          <w:caps w:val="0"/>
          <w:color w:val="auto"/>
          <w:spacing w:val="0"/>
          <w:kern w:val="0"/>
          <w:sz w:val="21"/>
          <w:szCs w:val="21"/>
          <w:highlight w:val="none"/>
          <w:shd w:val="clear" w:color="auto" w:fill="FFFFFF"/>
          <w:vertAlign w:val="baseline"/>
          <w:lang w:val="en-US" w:eastAsia="zh-CN" w:bidi="ar-SA"/>
        </w:rPr>
        <w:t xml:space="preserve"> </w:t>
      </w:r>
      <w:r>
        <w:rPr>
          <w:rFonts w:hint="eastAsia" w:ascii="仿宋" w:hAnsi="仿宋" w:cs="仿宋"/>
          <w:i w:val="0"/>
          <w:caps w:val="0"/>
          <w:color w:val="auto"/>
          <w:spacing w:val="0"/>
          <w:kern w:val="0"/>
          <w:sz w:val="21"/>
          <w:szCs w:val="21"/>
          <w:highlight w:val="none"/>
          <w:u w:val="single"/>
          <w:shd w:val="clear" w:color="auto" w:fill="FFFFFF"/>
          <w:vertAlign w:val="baseline"/>
          <w:lang w:val="en-US" w:eastAsia="zh-CN" w:bidi="ar-SA"/>
        </w:rPr>
        <w:t xml:space="preserve">中财科建工程管理有限公司 </w:t>
      </w:r>
      <w:r>
        <w:rPr>
          <w:rFonts w:hint="eastAsia" w:ascii="仿宋" w:hAnsi="仿宋" w:eastAsia="仿宋" w:cs="仿宋"/>
          <w:i w:val="0"/>
          <w:caps w:val="0"/>
          <w:color w:val="auto"/>
          <w:spacing w:val="0"/>
          <w:kern w:val="0"/>
          <w:sz w:val="21"/>
          <w:szCs w:val="21"/>
          <w:highlight w:val="none"/>
          <w:shd w:val="clear" w:color="auto" w:fill="FFFFFF"/>
          <w:vertAlign w:val="baseline"/>
          <w:lang w:val="en-US" w:eastAsia="zh-CN" w:bidi="ar-SA"/>
        </w:rPr>
        <w:t>获取招标文件，并于</w:t>
      </w:r>
      <w:r>
        <w:rPr>
          <w:rFonts w:hint="eastAsia" w:ascii="仿宋" w:hAnsi="仿宋" w:cs="仿宋"/>
          <w:color w:val="auto"/>
          <w:szCs w:val="21"/>
          <w:highlight w:val="none"/>
          <w:u w:val="single"/>
        </w:rPr>
        <w:t xml:space="preserve"> </w:t>
      </w:r>
      <w:r>
        <w:rPr>
          <w:rFonts w:hint="eastAsia" w:ascii="仿宋" w:hAnsi="仿宋" w:cs="仿宋"/>
          <w:bCs/>
          <w:color w:val="auto"/>
          <w:szCs w:val="21"/>
          <w:highlight w:val="none"/>
          <w:u w:val="single"/>
          <w:lang w:val="en-US" w:eastAsia="zh-CN"/>
        </w:rPr>
        <w:t>2024</w:t>
      </w:r>
      <w:r>
        <w:rPr>
          <w:rFonts w:hint="eastAsia" w:ascii="仿宋" w:hAnsi="仿宋" w:cs="仿宋"/>
          <w:bCs/>
          <w:color w:val="auto"/>
          <w:szCs w:val="21"/>
          <w:highlight w:val="none"/>
          <w:u w:val="single"/>
        </w:rPr>
        <w:t>年</w:t>
      </w:r>
      <w:r>
        <w:rPr>
          <w:rFonts w:hint="eastAsia" w:ascii="仿宋" w:hAnsi="仿宋" w:cs="仿宋"/>
          <w:bCs/>
          <w:color w:val="auto"/>
          <w:szCs w:val="21"/>
          <w:highlight w:val="none"/>
          <w:u w:val="single"/>
          <w:lang w:val="en-US" w:eastAsia="zh-CN"/>
        </w:rPr>
        <w:t>07</w:t>
      </w:r>
      <w:r>
        <w:rPr>
          <w:rFonts w:hint="eastAsia" w:ascii="仿宋" w:hAnsi="仿宋" w:cs="仿宋"/>
          <w:bCs/>
          <w:color w:val="auto"/>
          <w:szCs w:val="21"/>
          <w:highlight w:val="none"/>
          <w:u w:val="single"/>
        </w:rPr>
        <w:t>月</w:t>
      </w:r>
      <w:r>
        <w:rPr>
          <w:rFonts w:hint="eastAsia" w:ascii="仿宋" w:hAnsi="仿宋" w:cs="仿宋"/>
          <w:bCs/>
          <w:color w:val="auto"/>
          <w:szCs w:val="21"/>
          <w:highlight w:val="none"/>
          <w:u w:val="single"/>
          <w:lang w:val="en-US" w:eastAsia="zh-CN"/>
        </w:rPr>
        <w:t>10</w:t>
      </w:r>
      <w:r>
        <w:rPr>
          <w:rFonts w:hint="eastAsia" w:ascii="仿宋" w:hAnsi="仿宋" w:cs="仿宋"/>
          <w:bCs/>
          <w:color w:val="auto"/>
          <w:szCs w:val="21"/>
          <w:highlight w:val="none"/>
          <w:u w:val="single"/>
        </w:rPr>
        <w:t>日</w:t>
      </w:r>
      <w:r>
        <w:rPr>
          <w:rFonts w:hint="eastAsia" w:ascii="仿宋" w:hAnsi="仿宋" w:cs="仿宋"/>
          <w:bCs/>
          <w:color w:val="auto"/>
          <w:szCs w:val="21"/>
          <w:highlight w:val="none"/>
          <w:u w:val="single"/>
          <w:lang w:val="en-US" w:eastAsia="zh-CN"/>
        </w:rPr>
        <w:t>09</w:t>
      </w:r>
      <w:r>
        <w:rPr>
          <w:rFonts w:hint="eastAsia" w:ascii="仿宋" w:hAnsi="仿宋" w:cs="仿宋"/>
          <w:bCs/>
          <w:color w:val="auto"/>
          <w:szCs w:val="21"/>
          <w:highlight w:val="none"/>
          <w:u w:val="single"/>
        </w:rPr>
        <w:t>点</w:t>
      </w:r>
      <w:r>
        <w:rPr>
          <w:rFonts w:hint="eastAsia" w:ascii="仿宋" w:hAnsi="仿宋" w:cs="仿宋"/>
          <w:bCs/>
          <w:color w:val="auto"/>
          <w:szCs w:val="21"/>
          <w:highlight w:val="none"/>
          <w:u w:val="single"/>
          <w:lang w:val="en-US" w:eastAsia="zh-CN"/>
        </w:rPr>
        <w:t>30</w:t>
      </w:r>
      <w:r>
        <w:rPr>
          <w:rFonts w:hint="eastAsia" w:ascii="仿宋" w:hAnsi="仿宋" w:cs="仿宋"/>
          <w:bCs/>
          <w:color w:val="auto"/>
          <w:szCs w:val="21"/>
          <w:highlight w:val="none"/>
          <w:u w:val="single"/>
        </w:rPr>
        <w:t>分</w:t>
      </w:r>
      <w:r>
        <w:rPr>
          <w:rFonts w:hint="eastAsia" w:ascii="仿宋" w:hAnsi="仿宋" w:eastAsia="仿宋" w:cs="仿宋"/>
          <w:i w:val="0"/>
          <w:caps w:val="0"/>
          <w:color w:val="auto"/>
          <w:spacing w:val="0"/>
          <w:kern w:val="0"/>
          <w:sz w:val="21"/>
          <w:szCs w:val="21"/>
          <w:highlight w:val="none"/>
          <w:shd w:val="clear" w:color="auto" w:fill="FFFFFF"/>
          <w:vertAlign w:val="baseline"/>
          <w:lang w:val="en-US" w:eastAsia="zh-CN" w:bidi="ar-SA"/>
        </w:rPr>
        <w:t>（北京时间）前递交投标文件。</w:t>
      </w:r>
    </w:p>
    <w:p>
      <w:pPr>
        <w:adjustRightInd w:val="0"/>
        <w:snapToGrid w:val="0"/>
        <w:spacing w:line="360" w:lineRule="auto"/>
        <w:rPr>
          <w:rFonts w:hint="eastAsia" w:ascii="仿宋" w:hAnsi="仿宋" w:cs="仿宋"/>
          <w:b/>
          <w:bCs/>
          <w:color w:val="auto"/>
          <w:szCs w:val="21"/>
          <w:highlight w:val="none"/>
        </w:rPr>
      </w:pPr>
      <w:bookmarkStart w:id="2" w:name="_Toc28359079"/>
      <w:bookmarkStart w:id="3" w:name="_Toc28359002"/>
      <w:bookmarkStart w:id="4" w:name="_Toc35393621"/>
      <w:bookmarkStart w:id="5" w:name="_Toc35393790"/>
      <w:bookmarkStart w:id="6" w:name="_Hlk24379207"/>
      <w:r>
        <w:rPr>
          <w:rFonts w:hint="eastAsia" w:ascii="仿宋" w:hAnsi="仿宋" w:cs="仿宋"/>
          <w:b/>
          <w:bCs/>
          <w:color w:val="auto"/>
          <w:szCs w:val="21"/>
          <w:highlight w:val="none"/>
        </w:rPr>
        <w:t>一、项目基本情况</w:t>
      </w:r>
      <w:bookmarkEnd w:id="2"/>
      <w:bookmarkEnd w:id="3"/>
      <w:bookmarkEnd w:id="4"/>
      <w:bookmarkEnd w:id="5"/>
    </w:p>
    <w:bookmarkEnd w:id="6"/>
    <w:p>
      <w:pPr>
        <w:adjustRightInd w:val="0"/>
        <w:snapToGrid w:val="0"/>
        <w:spacing w:line="360" w:lineRule="auto"/>
        <w:ind w:firstLine="210" w:firstLineChars="100"/>
        <w:rPr>
          <w:rFonts w:hint="eastAsia" w:ascii="仿宋" w:hAnsi="仿宋" w:cs="仿宋"/>
          <w:color w:val="auto"/>
          <w:szCs w:val="21"/>
          <w:highlight w:val="none"/>
          <w:lang w:val="en-US" w:eastAsia="zh-CN"/>
        </w:rPr>
      </w:pPr>
      <w:bookmarkStart w:id="7" w:name="_Toc28359080"/>
      <w:bookmarkStart w:id="8" w:name="_Toc28359003"/>
      <w:bookmarkStart w:id="9" w:name="_Toc35393622"/>
      <w:bookmarkStart w:id="10" w:name="_Toc35393791"/>
      <w:r>
        <w:rPr>
          <w:rFonts w:hint="eastAsia" w:ascii="仿宋" w:hAnsi="仿宋" w:cs="仿宋"/>
          <w:color w:val="auto"/>
          <w:szCs w:val="21"/>
          <w:highlight w:val="none"/>
          <w:lang w:val="en-US" w:eastAsia="zh-CN"/>
        </w:rPr>
        <w:t>项目编号：LNZD2024-GZZB-10</w:t>
      </w:r>
    </w:p>
    <w:p>
      <w:pPr>
        <w:adjustRightInd w:val="0"/>
        <w:snapToGrid w:val="0"/>
        <w:spacing w:line="360" w:lineRule="auto"/>
        <w:ind w:firstLine="210" w:firstLineChars="100"/>
        <w:rPr>
          <w:rFonts w:hint="eastAsia" w:ascii="仿宋" w:hAnsi="仿宋" w:cs="仿宋"/>
          <w:color w:val="auto"/>
          <w:highlight w:val="none"/>
          <w:u w:val="single"/>
          <w:lang w:eastAsia="zh-CN"/>
        </w:rPr>
      </w:pPr>
      <w:r>
        <w:rPr>
          <w:rFonts w:hint="eastAsia" w:ascii="仿宋" w:hAnsi="仿宋" w:cs="仿宋"/>
          <w:color w:val="auto"/>
          <w:szCs w:val="21"/>
          <w:highlight w:val="none"/>
          <w:lang w:val="en-US" w:eastAsia="zh-CN"/>
        </w:rPr>
        <w:t>项目名称：辽宁省消防救援总队自然灾害应急能力提升工程装备建设项目（信通装备项目）（二次公告）</w:t>
      </w:r>
    </w:p>
    <w:p>
      <w:pPr>
        <w:adjustRightInd w:val="0"/>
        <w:snapToGrid w:val="0"/>
        <w:spacing w:line="360" w:lineRule="auto"/>
        <w:ind w:firstLine="210" w:firstLineChars="100"/>
        <w:rPr>
          <w:rFonts w:hint="eastAsia" w:ascii="仿宋" w:hAnsi="仿宋" w:cs="仿宋"/>
          <w:color w:val="auto"/>
          <w:szCs w:val="21"/>
          <w:highlight w:val="none"/>
          <w:lang w:val="en-US" w:eastAsia="zh-CN"/>
        </w:rPr>
      </w:pPr>
      <w:r>
        <w:rPr>
          <w:rFonts w:hint="eastAsia" w:ascii="仿宋" w:hAnsi="仿宋" w:cs="仿宋"/>
          <w:color w:val="auto"/>
          <w:szCs w:val="21"/>
          <w:highlight w:val="none"/>
          <w:lang w:val="en-US" w:eastAsia="zh-CN"/>
        </w:rPr>
        <w:t>预算金额：311.907万元（人民币）</w:t>
      </w:r>
    </w:p>
    <w:p>
      <w:pPr>
        <w:adjustRightInd w:val="0"/>
        <w:snapToGrid w:val="0"/>
        <w:spacing w:line="360" w:lineRule="auto"/>
        <w:ind w:firstLine="210" w:firstLineChars="100"/>
        <w:rPr>
          <w:rFonts w:hint="eastAsia" w:ascii="仿宋" w:hAnsi="仿宋" w:cs="仿宋"/>
          <w:color w:val="auto"/>
          <w:szCs w:val="21"/>
          <w:highlight w:val="none"/>
          <w:lang w:val="en-US" w:eastAsia="zh-CN"/>
        </w:rPr>
      </w:pPr>
      <w:r>
        <w:rPr>
          <w:rFonts w:hint="eastAsia" w:ascii="仿宋" w:hAnsi="仿宋" w:cs="仿宋"/>
          <w:color w:val="auto"/>
          <w:szCs w:val="21"/>
          <w:highlight w:val="none"/>
          <w:lang w:val="en-US" w:eastAsia="zh-CN"/>
        </w:rPr>
        <w:t>最高限价：311.907万元（人民币）</w:t>
      </w:r>
    </w:p>
    <w:p>
      <w:pPr>
        <w:adjustRightInd w:val="0"/>
        <w:snapToGrid w:val="0"/>
        <w:spacing w:line="360" w:lineRule="auto"/>
        <w:ind w:firstLine="210" w:firstLineChars="100"/>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采购需求：详见附件</w:t>
      </w:r>
    </w:p>
    <w:p>
      <w:pPr>
        <w:adjustRightInd w:val="0"/>
        <w:snapToGrid w:val="0"/>
        <w:spacing w:line="360" w:lineRule="auto"/>
        <w:ind w:firstLine="210" w:firstLineChars="100"/>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合同履约期限：合同签订后</w:t>
      </w:r>
      <w:r>
        <w:rPr>
          <w:rFonts w:hint="eastAsia" w:ascii="仿宋" w:hAnsi="仿宋" w:cs="仿宋"/>
          <w:color w:val="auto"/>
          <w:szCs w:val="21"/>
          <w:highlight w:val="none"/>
          <w:u w:val="none"/>
          <w:lang w:val="en-US" w:eastAsia="zh-CN"/>
        </w:rPr>
        <w:t>60日</w:t>
      </w:r>
      <w:r>
        <w:rPr>
          <w:rFonts w:hint="eastAsia" w:ascii="仿宋" w:hAnsi="仿宋" w:cs="仿宋"/>
          <w:color w:val="auto"/>
          <w:szCs w:val="21"/>
          <w:highlight w:val="none"/>
          <w:lang w:val="en-US" w:eastAsia="zh-CN"/>
        </w:rPr>
        <w:t>供货；</w:t>
      </w:r>
      <w:bookmarkStart w:id="136" w:name="_GoBack"/>
      <w:bookmarkEnd w:id="136"/>
    </w:p>
    <w:p>
      <w:pPr>
        <w:adjustRightInd w:val="0"/>
        <w:snapToGrid w:val="0"/>
        <w:spacing w:line="360" w:lineRule="auto"/>
        <w:ind w:firstLine="210" w:firstLineChars="100"/>
        <w:rPr>
          <w:rFonts w:hint="eastAsia" w:ascii="仿宋" w:hAnsi="仿宋" w:cs="仿宋"/>
          <w:color w:val="auto"/>
          <w:szCs w:val="21"/>
          <w:highlight w:val="none"/>
        </w:rPr>
      </w:pPr>
      <w:r>
        <w:rPr>
          <w:rFonts w:hint="eastAsia" w:ascii="仿宋" w:hAnsi="仿宋" w:cs="仿宋"/>
          <w:color w:val="auto"/>
          <w:szCs w:val="21"/>
          <w:highlight w:val="none"/>
          <w:lang w:val="en-US" w:eastAsia="zh-CN"/>
        </w:rPr>
        <w:t>本项目( 不接受 )联合体投标。</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二、申请人的资格要求：</w:t>
      </w:r>
      <w:bookmarkEnd w:id="7"/>
      <w:bookmarkEnd w:id="8"/>
      <w:bookmarkEnd w:id="9"/>
      <w:bookmarkEnd w:id="10"/>
    </w:p>
    <w:p>
      <w:pPr>
        <w:adjustRightInd w:val="0"/>
        <w:snapToGrid w:val="0"/>
        <w:spacing w:line="360" w:lineRule="auto"/>
        <w:ind w:firstLine="210" w:firstLineChars="100"/>
        <w:rPr>
          <w:rFonts w:hint="eastAsia" w:ascii="仿宋" w:hAnsi="仿宋" w:cs="仿宋"/>
          <w:color w:val="auto"/>
          <w:szCs w:val="21"/>
          <w:highlight w:val="none"/>
        </w:rPr>
      </w:pPr>
      <w:bookmarkStart w:id="11" w:name="_Toc28359004"/>
      <w:bookmarkStart w:id="12" w:name="_Toc28359081"/>
      <w:bookmarkStart w:id="13" w:name="_Toc35393792"/>
      <w:bookmarkStart w:id="14" w:name="_Toc35393623"/>
      <w:r>
        <w:rPr>
          <w:rFonts w:hint="eastAsia" w:ascii="仿宋" w:hAnsi="仿宋" w:cs="仿宋"/>
          <w:color w:val="auto"/>
          <w:szCs w:val="21"/>
          <w:highlight w:val="none"/>
        </w:rPr>
        <w:t>1.满足《中华人民共和国政府采购法》第二十二条规定。</w:t>
      </w:r>
    </w:p>
    <w:p>
      <w:pPr>
        <w:adjustRightInd w:val="0"/>
        <w:snapToGrid w:val="0"/>
        <w:spacing w:line="360" w:lineRule="auto"/>
        <w:ind w:firstLine="210" w:firstLineChars="100"/>
        <w:rPr>
          <w:rFonts w:hint="eastAsia" w:ascii="仿宋" w:hAnsi="仿宋" w:cs="仿宋"/>
          <w:color w:val="auto"/>
          <w:szCs w:val="21"/>
          <w:highlight w:val="none"/>
        </w:rPr>
      </w:pPr>
      <w:r>
        <w:rPr>
          <w:rFonts w:hint="eastAsia" w:ascii="仿宋" w:hAnsi="仿宋" w:cs="仿宋"/>
          <w:color w:val="auto"/>
          <w:szCs w:val="21"/>
          <w:highlight w:val="none"/>
        </w:rPr>
        <w:t>2.落实政府采购政策需满足的资格要求：</w:t>
      </w:r>
      <w:r>
        <w:rPr>
          <w:rFonts w:hint="eastAsia" w:ascii="仿宋" w:hAnsi="仿宋" w:cs="仿宋"/>
          <w:color w:val="auto"/>
          <w:szCs w:val="21"/>
          <w:highlight w:val="none"/>
          <w:lang w:val="en-US" w:eastAsia="zh-CN"/>
        </w:rPr>
        <w:t>无</w:t>
      </w:r>
      <w:r>
        <w:rPr>
          <w:rFonts w:hint="eastAsia" w:ascii="仿宋" w:hAnsi="仿宋" w:eastAsia="仿宋" w:cs="仿宋"/>
          <w:color w:val="auto"/>
          <w:szCs w:val="21"/>
          <w:highlight w:val="none"/>
          <w:lang w:eastAsia="zh-CN"/>
        </w:rPr>
        <w:t>。</w:t>
      </w:r>
    </w:p>
    <w:p>
      <w:pPr>
        <w:adjustRightInd w:val="0"/>
        <w:snapToGrid w:val="0"/>
        <w:spacing w:line="360" w:lineRule="auto"/>
        <w:ind w:firstLine="210" w:firstLineChars="100"/>
        <w:rPr>
          <w:rFonts w:hint="eastAsia" w:ascii="仿宋" w:hAnsi="仿宋" w:cs="仿宋"/>
          <w:color w:val="auto"/>
          <w:szCs w:val="21"/>
          <w:highlight w:val="none"/>
        </w:rPr>
      </w:pPr>
      <w:r>
        <w:rPr>
          <w:rFonts w:hint="eastAsia" w:ascii="仿宋" w:hAnsi="仿宋" w:cs="仿宋"/>
          <w:color w:val="auto"/>
          <w:szCs w:val="21"/>
          <w:highlight w:val="none"/>
        </w:rPr>
        <w:t>3.本项目的特定资格要求：</w:t>
      </w:r>
      <w:r>
        <w:rPr>
          <w:rFonts w:hint="eastAsia" w:ascii="仿宋" w:hAnsi="仿宋" w:cs="仿宋"/>
          <w:color w:val="auto"/>
          <w:szCs w:val="21"/>
          <w:highlight w:val="none"/>
          <w:u w:val="single"/>
        </w:rPr>
        <w:t>无</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三、获取招标文件</w:t>
      </w:r>
      <w:bookmarkEnd w:id="11"/>
      <w:bookmarkEnd w:id="12"/>
      <w:bookmarkEnd w:id="13"/>
      <w:bookmarkEnd w:id="14"/>
    </w:p>
    <w:p>
      <w:pPr>
        <w:adjustRightInd w:val="0"/>
        <w:snapToGrid w:val="0"/>
        <w:spacing w:line="360" w:lineRule="auto"/>
        <w:ind w:firstLine="540"/>
        <w:rPr>
          <w:rFonts w:hint="eastAsia" w:ascii="仿宋" w:hAnsi="仿宋" w:cs="仿宋"/>
          <w:color w:val="auto"/>
          <w:szCs w:val="21"/>
          <w:highlight w:val="none"/>
        </w:rPr>
      </w:pPr>
      <w:r>
        <w:rPr>
          <w:rFonts w:hint="eastAsia" w:ascii="仿宋" w:hAnsi="仿宋" w:cs="仿宋"/>
          <w:color w:val="auto"/>
          <w:szCs w:val="21"/>
          <w:highlight w:val="none"/>
        </w:rPr>
        <w:t>时间：</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u w:val="single"/>
          <w:lang w:val="en-US" w:eastAsia="zh-CN"/>
        </w:rPr>
        <w:t>2024</w:t>
      </w:r>
      <w:r>
        <w:rPr>
          <w:rFonts w:hint="eastAsia" w:ascii="仿宋" w:hAnsi="仿宋" w:cs="仿宋"/>
          <w:color w:val="auto"/>
          <w:szCs w:val="21"/>
          <w:highlight w:val="none"/>
          <w:u w:val="single"/>
        </w:rPr>
        <w:t>年</w:t>
      </w:r>
      <w:r>
        <w:rPr>
          <w:rFonts w:hint="eastAsia" w:ascii="仿宋" w:hAnsi="仿宋" w:cs="仿宋"/>
          <w:color w:val="auto"/>
          <w:szCs w:val="21"/>
          <w:highlight w:val="none"/>
          <w:u w:val="single"/>
          <w:lang w:val="en-US" w:eastAsia="zh-CN"/>
        </w:rPr>
        <w:t>06</w:t>
      </w:r>
      <w:r>
        <w:rPr>
          <w:rFonts w:hint="eastAsia" w:ascii="仿宋" w:hAnsi="仿宋" w:cs="仿宋"/>
          <w:color w:val="auto"/>
          <w:szCs w:val="21"/>
          <w:highlight w:val="none"/>
          <w:u w:val="single"/>
        </w:rPr>
        <w:t>月</w:t>
      </w:r>
      <w:r>
        <w:rPr>
          <w:rFonts w:hint="eastAsia" w:ascii="仿宋" w:hAnsi="仿宋" w:cs="仿宋"/>
          <w:color w:val="auto"/>
          <w:szCs w:val="21"/>
          <w:highlight w:val="none"/>
          <w:u w:val="single"/>
          <w:lang w:val="en-US" w:eastAsia="zh-CN"/>
        </w:rPr>
        <w:t>14</w:t>
      </w:r>
      <w:r>
        <w:rPr>
          <w:rFonts w:hint="eastAsia" w:ascii="仿宋" w:hAnsi="仿宋" w:cs="仿宋"/>
          <w:color w:val="auto"/>
          <w:szCs w:val="21"/>
          <w:highlight w:val="none"/>
          <w:u w:val="single"/>
        </w:rPr>
        <w:t>日</w:t>
      </w:r>
      <w:r>
        <w:rPr>
          <w:rFonts w:hint="eastAsia" w:ascii="仿宋" w:hAnsi="仿宋" w:cs="仿宋"/>
          <w:color w:val="auto"/>
          <w:szCs w:val="21"/>
          <w:highlight w:val="none"/>
        </w:rPr>
        <w:t>至</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u w:val="single"/>
          <w:lang w:val="en-US" w:eastAsia="zh-CN"/>
        </w:rPr>
        <w:t>2024</w:t>
      </w:r>
      <w:r>
        <w:rPr>
          <w:rFonts w:hint="eastAsia" w:ascii="仿宋" w:hAnsi="仿宋" w:cs="仿宋"/>
          <w:color w:val="auto"/>
          <w:szCs w:val="21"/>
          <w:highlight w:val="none"/>
          <w:u w:val="single"/>
        </w:rPr>
        <w:t>年</w:t>
      </w:r>
      <w:r>
        <w:rPr>
          <w:rFonts w:hint="eastAsia" w:ascii="仿宋" w:hAnsi="仿宋" w:cs="仿宋"/>
          <w:color w:val="auto"/>
          <w:szCs w:val="21"/>
          <w:highlight w:val="none"/>
          <w:u w:val="single"/>
          <w:lang w:val="en-US" w:eastAsia="zh-CN"/>
        </w:rPr>
        <w:t>06</w:t>
      </w:r>
      <w:r>
        <w:rPr>
          <w:rFonts w:hint="eastAsia" w:ascii="仿宋" w:hAnsi="仿宋" w:cs="仿宋"/>
          <w:color w:val="auto"/>
          <w:szCs w:val="21"/>
          <w:highlight w:val="none"/>
          <w:u w:val="single"/>
        </w:rPr>
        <w:t>月</w:t>
      </w:r>
      <w:r>
        <w:rPr>
          <w:rFonts w:hint="eastAsia" w:ascii="仿宋" w:hAnsi="仿宋" w:cs="仿宋"/>
          <w:color w:val="auto"/>
          <w:szCs w:val="21"/>
          <w:highlight w:val="none"/>
          <w:u w:val="single"/>
          <w:lang w:val="en-US" w:eastAsia="zh-CN"/>
        </w:rPr>
        <w:t>28</w:t>
      </w:r>
      <w:r>
        <w:rPr>
          <w:rFonts w:hint="eastAsia" w:ascii="仿宋" w:hAnsi="仿宋" w:cs="仿宋"/>
          <w:color w:val="auto"/>
          <w:szCs w:val="21"/>
          <w:highlight w:val="none"/>
          <w:u w:val="single"/>
        </w:rPr>
        <w:t>日</w:t>
      </w:r>
      <w:r>
        <w:rPr>
          <w:rFonts w:hint="eastAsia" w:ascii="仿宋" w:hAnsi="仿宋" w:cs="仿宋"/>
          <w:color w:val="auto"/>
          <w:szCs w:val="21"/>
          <w:highlight w:val="none"/>
        </w:rPr>
        <w:t>，每天上午8:00至11:30，下午13:00至17:00（北京时间，法定节假日除外）</w:t>
      </w:r>
    </w:p>
    <w:p>
      <w:pPr>
        <w:adjustRightInd w:val="0"/>
        <w:snapToGrid w:val="0"/>
        <w:spacing w:line="360" w:lineRule="auto"/>
        <w:ind w:firstLine="540"/>
        <w:rPr>
          <w:rFonts w:hint="eastAsia" w:ascii="仿宋" w:hAnsi="仿宋" w:cs="仿宋"/>
          <w:color w:val="auto"/>
          <w:szCs w:val="21"/>
          <w:highlight w:val="none"/>
          <w:u w:val="single"/>
        </w:rPr>
      </w:pPr>
      <w:r>
        <w:rPr>
          <w:rFonts w:hint="eastAsia" w:ascii="仿宋" w:hAnsi="仿宋" w:cs="仿宋"/>
          <w:color w:val="auto"/>
          <w:szCs w:val="21"/>
          <w:highlight w:val="none"/>
        </w:rPr>
        <w:t>地点：</w:t>
      </w:r>
      <w:bookmarkStart w:id="15" w:name="_Toc28359005"/>
      <w:bookmarkStart w:id="16" w:name="_Toc28359082"/>
      <w:bookmarkStart w:id="17" w:name="_Toc35393624"/>
      <w:bookmarkStart w:id="18" w:name="_Toc35393793"/>
      <w:r>
        <w:rPr>
          <w:rFonts w:hint="eastAsia" w:ascii="仿宋" w:hAnsi="仿宋" w:cs="仿宋"/>
          <w:color w:val="auto"/>
          <w:szCs w:val="21"/>
          <w:highlight w:val="none"/>
        </w:rPr>
        <w:t>中财科建工程管理有限公司（沈阳市沈河区九纬路46号五楼）</w:t>
      </w:r>
      <w:r>
        <w:rPr>
          <w:rFonts w:hint="eastAsia" w:ascii="仿宋" w:hAnsi="仿宋" w:cs="仿宋"/>
          <w:color w:val="auto"/>
          <w:szCs w:val="21"/>
          <w:highlight w:val="none"/>
          <w:u w:val="single"/>
        </w:rPr>
        <w:t xml:space="preserve"> </w:t>
      </w:r>
    </w:p>
    <w:p>
      <w:pPr>
        <w:adjustRightInd w:val="0"/>
        <w:snapToGrid w:val="0"/>
        <w:spacing w:line="360" w:lineRule="auto"/>
        <w:ind w:firstLine="540"/>
        <w:rPr>
          <w:rFonts w:hint="eastAsia" w:ascii="仿宋" w:hAnsi="仿宋" w:cs="仿宋"/>
          <w:color w:val="auto"/>
          <w:kern w:val="0"/>
          <w:szCs w:val="21"/>
          <w:highlight w:val="none"/>
        </w:rPr>
      </w:pPr>
      <w:r>
        <w:rPr>
          <w:rFonts w:hint="eastAsia" w:ascii="仿宋" w:hAnsi="仿宋" w:cs="仿宋"/>
          <w:color w:val="auto"/>
          <w:szCs w:val="21"/>
          <w:highlight w:val="none"/>
        </w:rPr>
        <w:t>方式：</w:t>
      </w:r>
      <w:r>
        <w:rPr>
          <w:rFonts w:hint="eastAsia" w:ascii="仿宋" w:hAnsi="仿宋" w:cs="仿宋"/>
          <w:color w:val="auto"/>
          <w:kern w:val="0"/>
          <w:szCs w:val="21"/>
          <w:highlight w:val="none"/>
        </w:rPr>
        <w:t>现场领取或电子邮件领取</w:t>
      </w:r>
    </w:p>
    <w:p>
      <w:pPr>
        <w:adjustRightInd w:val="0"/>
        <w:snapToGrid w:val="0"/>
        <w:spacing w:line="360" w:lineRule="auto"/>
        <w:ind w:firstLine="540"/>
        <w:rPr>
          <w:rFonts w:hint="eastAsia" w:ascii="仿宋" w:hAnsi="仿宋" w:cs="仿宋"/>
          <w:color w:val="auto"/>
          <w:szCs w:val="21"/>
          <w:highlight w:val="none"/>
        </w:rPr>
      </w:pPr>
      <w:r>
        <w:rPr>
          <w:rFonts w:hint="eastAsia" w:ascii="仿宋" w:hAnsi="仿宋" w:cs="仿宋"/>
          <w:color w:val="auto"/>
          <w:kern w:val="0"/>
          <w:szCs w:val="21"/>
          <w:highlight w:val="none"/>
        </w:rPr>
        <w:t>现场领取：</w:t>
      </w:r>
      <w:r>
        <w:rPr>
          <w:rFonts w:hint="eastAsia" w:ascii="仿宋" w:hAnsi="仿宋" w:cs="仿宋"/>
          <w:color w:val="auto"/>
          <w:szCs w:val="21"/>
          <w:highlight w:val="none"/>
        </w:rPr>
        <w:t>购买</w:t>
      </w:r>
      <w:r>
        <w:rPr>
          <w:rFonts w:hint="eastAsia" w:ascii="仿宋" w:hAnsi="仿宋" w:cs="仿宋"/>
          <w:color w:val="auto"/>
          <w:szCs w:val="21"/>
          <w:highlight w:val="none"/>
          <w:lang w:eastAsia="zh-CN"/>
        </w:rPr>
        <w:t>招标文件</w:t>
      </w:r>
      <w:r>
        <w:rPr>
          <w:rFonts w:hint="eastAsia" w:ascii="仿宋" w:hAnsi="仿宋" w:cs="仿宋"/>
          <w:color w:val="auto"/>
          <w:szCs w:val="21"/>
          <w:highlight w:val="none"/>
        </w:rPr>
        <w:t>时须携带以下材料：1、法人或者其他组织的营业执照等主体证明文件或自然人的身份证明复印件（自然人身份证明仅限在自然人作为响应主体时使用）；2、法定代表人（或非法人组织负责人）</w:t>
      </w:r>
      <w:r>
        <w:rPr>
          <w:rFonts w:hint="eastAsia" w:ascii="仿宋" w:hAnsi="仿宋" w:cs="仿宋"/>
          <w:b/>
          <w:bCs/>
          <w:color w:val="auto"/>
          <w:szCs w:val="21"/>
          <w:highlight w:val="none"/>
        </w:rPr>
        <w:t>（详见附件2-1）</w:t>
      </w:r>
      <w:r>
        <w:rPr>
          <w:rFonts w:hint="eastAsia" w:ascii="仿宋" w:hAnsi="仿宋" w:cs="仿宋"/>
          <w:color w:val="auto"/>
          <w:szCs w:val="21"/>
          <w:highlight w:val="none"/>
        </w:rPr>
        <w:t>身份证明书原件（自然人作为响应主体时不需提供）；3、授权委托书原件</w:t>
      </w:r>
      <w:r>
        <w:rPr>
          <w:rFonts w:hint="eastAsia" w:ascii="仿宋" w:hAnsi="仿宋" w:cs="仿宋"/>
          <w:b/>
          <w:bCs/>
          <w:color w:val="auto"/>
          <w:szCs w:val="21"/>
          <w:highlight w:val="none"/>
        </w:rPr>
        <w:t>（详见附件2-2）</w:t>
      </w:r>
      <w:r>
        <w:rPr>
          <w:rFonts w:hint="eastAsia" w:ascii="仿宋" w:hAnsi="仿宋" w:cs="仿宋"/>
          <w:color w:val="auto"/>
          <w:szCs w:val="21"/>
          <w:highlight w:val="none"/>
        </w:rPr>
        <w:t>（法定代表人、非法人组织负责人、自然人本人购买</w:t>
      </w:r>
      <w:r>
        <w:rPr>
          <w:rFonts w:hint="eastAsia" w:ascii="仿宋" w:hAnsi="仿宋" w:cs="仿宋"/>
          <w:color w:val="auto"/>
          <w:szCs w:val="21"/>
          <w:highlight w:val="none"/>
          <w:lang w:eastAsia="zh-CN"/>
        </w:rPr>
        <w:t>招标文件</w:t>
      </w:r>
      <w:r>
        <w:rPr>
          <w:rFonts w:hint="eastAsia" w:ascii="仿宋" w:hAnsi="仿宋" w:cs="仿宋"/>
          <w:color w:val="auto"/>
          <w:szCs w:val="21"/>
          <w:highlight w:val="none"/>
        </w:rPr>
        <w:t>的无需提供）。</w:t>
      </w:r>
    </w:p>
    <w:p>
      <w:pPr>
        <w:adjustRightInd w:val="0"/>
        <w:snapToGrid w:val="0"/>
        <w:spacing w:line="360" w:lineRule="auto"/>
        <w:ind w:firstLine="540"/>
        <w:rPr>
          <w:rFonts w:hint="eastAsia" w:ascii="仿宋" w:hAnsi="仿宋" w:cs="仿宋"/>
          <w:color w:val="auto"/>
          <w:szCs w:val="21"/>
          <w:highlight w:val="none"/>
        </w:rPr>
      </w:pPr>
      <w:r>
        <w:rPr>
          <w:rFonts w:hint="eastAsia" w:ascii="仿宋" w:hAnsi="仿宋" w:cs="仿宋"/>
          <w:color w:val="auto"/>
          <w:szCs w:val="21"/>
          <w:highlight w:val="none"/>
        </w:rPr>
        <w:t>电子邮件领取：将以上材料加盖公章扫描件发送至zckj8zb@163.com（电子邮箱）并电话通知代理机构确认。邮件主题“获取</w:t>
      </w:r>
      <w:r>
        <w:rPr>
          <w:rFonts w:hint="eastAsia" w:ascii="仿宋" w:hAnsi="仿宋" w:cs="仿宋"/>
          <w:i w:val="0"/>
          <w:caps w:val="0"/>
          <w:color w:val="auto"/>
          <w:spacing w:val="0"/>
          <w:kern w:val="0"/>
          <w:sz w:val="21"/>
          <w:szCs w:val="21"/>
          <w:highlight w:val="none"/>
          <w:u w:val="single"/>
          <w:shd w:val="clear" w:color="auto" w:fill="FFFFFF"/>
          <w:vertAlign w:val="baseline"/>
          <w:lang w:val="en-US" w:eastAsia="zh-CN" w:bidi="ar-SA"/>
        </w:rPr>
        <w:t>辽宁省消防救援总队自然灾害应急能力提升工程装备建设项目（信通装备项目）（二次公告）</w:t>
      </w:r>
      <w:r>
        <w:rPr>
          <w:rFonts w:hint="eastAsia" w:ascii="仿宋" w:hAnsi="仿宋" w:cs="仿宋"/>
          <w:color w:val="auto"/>
          <w:szCs w:val="21"/>
          <w:highlight w:val="none"/>
        </w:rPr>
        <w:t>项目第XX包的招标文件，并在邮箱中注明单位名称、联系人、联系电话。</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四、提交投标文件</w:t>
      </w:r>
      <w:bookmarkEnd w:id="15"/>
      <w:bookmarkEnd w:id="16"/>
      <w:r>
        <w:rPr>
          <w:rFonts w:hint="eastAsia" w:ascii="仿宋" w:hAnsi="仿宋" w:cs="仿宋"/>
          <w:b/>
          <w:bCs/>
          <w:color w:val="auto"/>
          <w:szCs w:val="21"/>
          <w:highlight w:val="none"/>
        </w:rPr>
        <w:t>截止时间、开标时间和地点</w:t>
      </w:r>
      <w:bookmarkEnd w:id="17"/>
      <w:bookmarkEnd w:id="18"/>
    </w:p>
    <w:p>
      <w:pPr>
        <w:adjustRightInd w:val="0"/>
        <w:snapToGrid w:val="0"/>
        <w:spacing w:line="360" w:lineRule="auto"/>
        <w:ind w:firstLine="420" w:firstLineChars="200"/>
        <w:rPr>
          <w:rFonts w:hint="eastAsia" w:ascii="仿宋" w:hAnsi="仿宋" w:cs="仿宋"/>
          <w:bCs/>
          <w:color w:val="auto"/>
          <w:szCs w:val="21"/>
          <w:highlight w:val="none"/>
          <w:u w:val="single"/>
        </w:rPr>
      </w:pPr>
      <w:r>
        <w:rPr>
          <w:rFonts w:hint="eastAsia" w:ascii="仿宋" w:hAnsi="仿宋" w:cs="仿宋"/>
          <w:bCs/>
          <w:color w:val="auto"/>
          <w:szCs w:val="21"/>
          <w:highlight w:val="none"/>
        </w:rPr>
        <w:t>时间;</w:t>
      </w:r>
      <w:r>
        <w:rPr>
          <w:rFonts w:hint="eastAsia" w:ascii="仿宋" w:hAnsi="仿宋" w:cs="仿宋"/>
          <w:bCs/>
          <w:color w:val="auto"/>
          <w:szCs w:val="21"/>
          <w:highlight w:val="none"/>
          <w:u w:val="single"/>
        </w:rPr>
        <w:t xml:space="preserve"> </w:t>
      </w:r>
      <w:r>
        <w:rPr>
          <w:rFonts w:hint="eastAsia" w:ascii="仿宋" w:hAnsi="仿宋" w:cs="仿宋"/>
          <w:bCs/>
          <w:color w:val="auto"/>
          <w:szCs w:val="21"/>
          <w:highlight w:val="none"/>
          <w:u w:val="single"/>
          <w:lang w:val="en-US" w:eastAsia="zh-CN"/>
        </w:rPr>
        <w:t>2024</w:t>
      </w:r>
      <w:r>
        <w:rPr>
          <w:rFonts w:hint="eastAsia" w:ascii="仿宋" w:hAnsi="仿宋" w:cs="仿宋"/>
          <w:bCs/>
          <w:color w:val="auto"/>
          <w:szCs w:val="21"/>
          <w:highlight w:val="none"/>
          <w:u w:val="single"/>
        </w:rPr>
        <w:t>年</w:t>
      </w:r>
      <w:r>
        <w:rPr>
          <w:rFonts w:hint="eastAsia" w:ascii="仿宋" w:hAnsi="仿宋" w:cs="仿宋"/>
          <w:bCs/>
          <w:color w:val="auto"/>
          <w:szCs w:val="21"/>
          <w:highlight w:val="none"/>
          <w:u w:val="single"/>
          <w:lang w:val="en-US" w:eastAsia="zh-CN"/>
        </w:rPr>
        <w:t>07</w:t>
      </w:r>
      <w:r>
        <w:rPr>
          <w:rFonts w:hint="eastAsia" w:ascii="仿宋" w:hAnsi="仿宋" w:cs="仿宋"/>
          <w:bCs/>
          <w:color w:val="auto"/>
          <w:szCs w:val="21"/>
          <w:highlight w:val="none"/>
          <w:u w:val="single"/>
        </w:rPr>
        <w:t>月</w:t>
      </w:r>
      <w:r>
        <w:rPr>
          <w:rFonts w:hint="eastAsia" w:ascii="仿宋" w:hAnsi="仿宋" w:cs="仿宋"/>
          <w:bCs/>
          <w:color w:val="auto"/>
          <w:szCs w:val="21"/>
          <w:highlight w:val="none"/>
          <w:u w:val="single"/>
          <w:lang w:val="en-US" w:eastAsia="zh-CN"/>
        </w:rPr>
        <w:t>10</w:t>
      </w:r>
      <w:r>
        <w:rPr>
          <w:rFonts w:hint="eastAsia" w:ascii="仿宋" w:hAnsi="仿宋" w:cs="仿宋"/>
          <w:bCs/>
          <w:color w:val="auto"/>
          <w:szCs w:val="21"/>
          <w:highlight w:val="none"/>
          <w:u w:val="single"/>
        </w:rPr>
        <w:t>日</w:t>
      </w:r>
      <w:r>
        <w:rPr>
          <w:rFonts w:hint="eastAsia" w:ascii="仿宋" w:hAnsi="仿宋" w:cs="仿宋"/>
          <w:bCs/>
          <w:color w:val="auto"/>
          <w:szCs w:val="21"/>
          <w:highlight w:val="none"/>
          <w:u w:val="single"/>
          <w:lang w:val="en-US" w:eastAsia="zh-CN"/>
        </w:rPr>
        <w:t>09</w:t>
      </w:r>
      <w:r>
        <w:rPr>
          <w:rFonts w:hint="eastAsia" w:ascii="仿宋" w:hAnsi="仿宋" w:cs="仿宋"/>
          <w:bCs/>
          <w:color w:val="auto"/>
          <w:szCs w:val="21"/>
          <w:highlight w:val="none"/>
          <w:u w:val="single"/>
        </w:rPr>
        <w:t>点</w:t>
      </w:r>
      <w:r>
        <w:rPr>
          <w:rFonts w:hint="eastAsia" w:ascii="仿宋" w:hAnsi="仿宋" w:cs="仿宋"/>
          <w:bCs/>
          <w:color w:val="auto"/>
          <w:szCs w:val="21"/>
          <w:highlight w:val="none"/>
          <w:u w:val="single"/>
          <w:lang w:val="en-US" w:eastAsia="zh-CN"/>
        </w:rPr>
        <w:t>30</w:t>
      </w:r>
      <w:r>
        <w:rPr>
          <w:rFonts w:hint="eastAsia" w:ascii="仿宋" w:hAnsi="仿宋" w:cs="仿宋"/>
          <w:bCs/>
          <w:color w:val="auto"/>
          <w:szCs w:val="21"/>
          <w:highlight w:val="none"/>
          <w:u w:val="single"/>
        </w:rPr>
        <w:t>分</w:t>
      </w:r>
      <w:r>
        <w:rPr>
          <w:rFonts w:hint="eastAsia" w:ascii="仿宋" w:hAnsi="仿宋" w:cs="仿宋"/>
          <w:bCs/>
          <w:color w:val="auto"/>
          <w:szCs w:val="21"/>
          <w:highlight w:val="none"/>
        </w:rPr>
        <w:t>（北京时间）</w:t>
      </w:r>
    </w:p>
    <w:p>
      <w:pPr>
        <w:adjustRightInd w:val="0"/>
        <w:snapToGrid w:val="0"/>
        <w:spacing w:line="360" w:lineRule="auto"/>
        <w:ind w:firstLine="420" w:firstLineChars="200"/>
        <w:rPr>
          <w:rFonts w:hint="eastAsia" w:ascii="仿宋" w:hAnsi="仿宋" w:cs="仿宋"/>
          <w:bCs/>
          <w:color w:val="auto"/>
          <w:szCs w:val="21"/>
          <w:highlight w:val="none"/>
          <w:u w:val="single"/>
        </w:rPr>
      </w:pPr>
      <w:r>
        <w:rPr>
          <w:rFonts w:hint="eastAsia" w:ascii="仿宋" w:hAnsi="仿宋" w:cs="仿宋"/>
          <w:color w:val="auto"/>
          <w:szCs w:val="21"/>
          <w:highlight w:val="none"/>
        </w:rPr>
        <w:t>地点：中财科建工程管理有限公司（沈阳市沈河区九纬路46号</w:t>
      </w:r>
      <w:r>
        <w:rPr>
          <w:rFonts w:hint="eastAsia" w:ascii="仿宋" w:hAnsi="仿宋" w:cs="仿宋"/>
          <w:color w:val="auto"/>
          <w:szCs w:val="21"/>
          <w:highlight w:val="none"/>
          <w:lang w:val="en-US" w:eastAsia="zh-CN"/>
        </w:rPr>
        <w:t>七</w:t>
      </w:r>
      <w:r>
        <w:rPr>
          <w:rFonts w:hint="eastAsia" w:ascii="仿宋" w:hAnsi="仿宋" w:cs="仿宋"/>
          <w:color w:val="auto"/>
          <w:szCs w:val="21"/>
          <w:highlight w:val="none"/>
        </w:rPr>
        <w:t>楼）</w:t>
      </w:r>
      <w:r>
        <w:rPr>
          <w:rFonts w:hint="eastAsia" w:ascii="仿宋" w:hAnsi="仿宋" w:cs="仿宋"/>
          <w:color w:val="auto"/>
          <w:szCs w:val="21"/>
          <w:highlight w:val="none"/>
          <w:u w:val="single"/>
        </w:rPr>
        <w:t xml:space="preserve"> </w:t>
      </w:r>
    </w:p>
    <w:p>
      <w:pPr>
        <w:adjustRightInd w:val="0"/>
        <w:snapToGrid w:val="0"/>
        <w:spacing w:line="360" w:lineRule="auto"/>
        <w:rPr>
          <w:rFonts w:hint="eastAsia" w:ascii="仿宋" w:hAnsi="仿宋" w:cs="仿宋"/>
          <w:b/>
          <w:bCs/>
          <w:color w:val="auto"/>
          <w:szCs w:val="21"/>
          <w:highlight w:val="none"/>
        </w:rPr>
      </w:pPr>
      <w:bookmarkStart w:id="19" w:name="_Toc35393625"/>
      <w:bookmarkStart w:id="20" w:name="_Toc28359084"/>
      <w:bookmarkStart w:id="21" w:name="_Toc35393794"/>
      <w:bookmarkStart w:id="22" w:name="_Toc28359007"/>
      <w:r>
        <w:rPr>
          <w:rFonts w:hint="eastAsia" w:ascii="仿宋" w:hAnsi="仿宋" w:cs="仿宋"/>
          <w:b/>
          <w:bCs/>
          <w:color w:val="auto"/>
          <w:szCs w:val="21"/>
          <w:highlight w:val="none"/>
        </w:rPr>
        <w:t>五、公告期限</w:t>
      </w:r>
      <w:bookmarkEnd w:id="19"/>
      <w:bookmarkEnd w:id="20"/>
      <w:bookmarkEnd w:id="21"/>
      <w:bookmarkEnd w:id="22"/>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自本公告发布之日起5个工作日。</w:t>
      </w:r>
    </w:p>
    <w:p>
      <w:pPr>
        <w:keepNext/>
        <w:keepLines/>
        <w:adjustRightInd w:val="0"/>
        <w:snapToGrid w:val="0"/>
        <w:spacing w:line="360" w:lineRule="auto"/>
        <w:rPr>
          <w:rFonts w:hint="eastAsia" w:ascii="仿宋" w:hAnsi="仿宋" w:cs="仿宋"/>
          <w:b/>
          <w:bCs/>
          <w:color w:val="auto"/>
          <w:szCs w:val="21"/>
          <w:highlight w:val="none"/>
        </w:rPr>
      </w:pPr>
      <w:r>
        <w:rPr>
          <w:rFonts w:hint="eastAsia" w:ascii="仿宋" w:hAnsi="仿宋" w:cs="仿宋"/>
          <w:b/>
          <w:color w:val="auto"/>
          <w:szCs w:val="21"/>
          <w:highlight w:val="none"/>
        </w:rPr>
        <w:t>六、</w:t>
      </w:r>
      <w:bookmarkStart w:id="23" w:name="_Toc35393626"/>
      <w:bookmarkStart w:id="24" w:name="_Toc35393795"/>
      <w:r>
        <w:rPr>
          <w:rFonts w:hint="eastAsia" w:ascii="仿宋" w:hAnsi="仿宋" w:cs="仿宋"/>
          <w:b/>
          <w:bCs/>
          <w:color w:val="auto"/>
          <w:szCs w:val="21"/>
          <w:highlight w:val="none"/>
        </w:rPr>
        <w:t>其他补充事宜</w:t>
      </w:r>
      <w:bookmarkEnd w:id="23"/>
      <w:bookmarkEnd w:id="24"/>
    </w:p>
    <w:p>
      <w:pPr>
        <w:adjustRightInd w:val="0"/>
        <w:snapToGrid w:val="0"/>
        <w:spacing w:line="360" w:lineRule="auto"/>
        <w:ind w:firstLine="420" w:firstLineChars="200"/>
        <w:rPr>
          <w:rFonts w:hint="eastAsia" w:ascii="仿宋" w:hAnsi="仿宋" w:cs="仿宋"/>
          <w:color w:val="auto"/>
          <w:kern w:val="0"/>
          <w:szCs w:val="21"/>
          <w:highlight w:val="none"/>
        </w:rPr>
      </w:pPr>
      <w:bookmarkStart w:id="25" w:name="_Toc28359085"/>
      <w:bookmarkStart w:id="26" w:name="_Toc35393796"/>
      <w:bookmarkStart w:id="27" w:name="_Toc35393627"/>
      <w:bookmarkStart w:id="28" w:name="_Toc28359008"/>
      <w:r>
        <w:rPr>
          <w:rFonts w:hint="eastAsia" w:ascii="仿宋" w:hAnsi="仿宋" w:cs="仿宋"/>
          <w:color w:val="auto"/>
          <w:kern w:val="0"/>
          <w:szCs w:val="21"/>
          <w:highlight w:val="none"/>
        </w:rPr>
        <w:t>1、本项目</w:t>
      </w:r>
      <w:r>
        <w:rPr>
          <w:rFonts w:hint="eastAsia" w:ascii="仿宋" w:hAnsi="仿宋" w:cs="仿宋"/>
          <w:color w:val="auto"/>
          <w:kern w:val="0"/>
          <w:szCs w:val="21"/>
          <w:highlight w:val="none"/>
          <w:u w:val="single"/>
        </w:rPr>
        <w:t>允许</w:t>
      </w:r>
      <w:r>
        <w:rPr>
          <w:rFonts w:hint="eastAsia" w:ascii="仿宋" w:hAnsi="仿宋" w:cs="仿宋"/>
          <w:color w:val="auto"/>
          <w:kern w:val="0"/>
          <w:szCs w:val="21"/>
          <w:highlight w:val="none"/>
        </w:rPr>
        <w:t>兼投兼中。</w:t>
      </w:r>
    </w:p>
    <w:p>
      <w:pPr>
        <w:widowControl/>
        <w:adjustRightInd w:val="0"/>
        <w:snapToGrid w:val="0"/>
        <w:spacing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2、</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认为自己的权益受到损害的，可以在知道或者应知其权益受到损害之日起七个工作日内，向</w:t>
      </w:r>
      <w:r>
        <w:rPr>
          <w:rFonts w:hint="eastAsia" w:ascii="仿宋" w:hAnsi="仿宋" w:cs="仿宋"/>
          <w:color w:val="auto"/>
          <w:kern w:val="0"/>
          <w:szCs w:val="21"/>
          <w:highlight w:val="none"/>
          <w:lang w:eastAsia="zh-CN"/>
        </w:rPr>
        <w:t>采购代理机构</w:t>
      </w:r>
      <w:r>
        <w:rPr>
          <w:rFonts w:hint="eastAsia" w:ascii="仿宋" w:hAnsi="仿宋" w:cs="仿宋"/>
          <w:color w:val="auto"/>
          <w:kern w:val="0"/>
          <w:szCs w:val="21"/>
          <w:highlight w:val="none"/>
        </w:rPr>
        <w:t>或</w:t>
      </w:r>
      <w:r>
        <w:rPr>
          <w:rFonts w:hint="eastAsia" w:ascii="仿宋" w:hAnsi="仿宋" w:cs="仿宋"/>
          <w:color w:val="auto"/>
          <w:kern w:val="0"/>
          <w:szCs w:val="21"/>
          <w:highlight w:val="none"/>
          <w:lang w:eastAsia="zh-CN"/>
        </w:rPr>
        <w:t>采购人</w:t>
      </w:r>
      <w:r>
        <w:rPr>
          <w:rFonts w:hint="eastAsia" w:ascii="仿宋" w:hAnsi="仿宋" w:cs="仿宋"/>
          <w:color w:val="auto"/>
          <w:kern w:val="0"/>
          <w:szCs w:val="21"/>
          <w:highlight w:val="none"/>
        </w:rPr>
        <w:t>提出质疑。</w:t>
      </w:r>
    </w:p>
    <w:p>
      <w:pPr>
        <w:widowControl/>
        <w:adjustRightInd w:val="0"/>
        <w:snapToGrid w:val="0"/>
        <w:spacing w:line="360" w:lineRule="auto"/>
        <w:ind w:firstLine="48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2.1接收质疑函方式：书面纸质质疑函</w:t>
      </w:r>
    </w:p>
    <w:p>
      <w:pPr>
        <w:widowControl/>
        <w:adjustRightInd w:val="0"/>
        <w:snapToGrid w:val="0"/>
        <w:spacing w:line="360" w:lineRule="auto"/>
        <w:ind w:firstLine="48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2.2质疑函内容、格式：应符合《政府采购质疑和投诉办法》相关规定和财政部制定的《政府采购质疑函范本》格式，详见政府采购网。</w:t>
      </w:r>
    </w:p>
    <w:p>
      <w:pPr>
        <w:widowControl/>
        <w:adjustRightInd w:val="0"/>
        <w:snapToGrid w:val="0"/>
        <w:spacing w:line="360" w:lineRule="auto"/>
        <w:ind w:firstLine="48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质疑</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对</w:t>
      </w:r>
      <w:r>
        <w:rPr>
          <w:rFonts w:hint="eastAsia" w:ascii="仿宋" w:hAnsi="仿宋" w:cs="仿宋"/>
          <w:color w:val="auto"/>
          <w:kern w:val="0"/>
          <w:szCs w:val="21"/>
          <w:highlight w:val="none"/>
          <w:lang w:eastAsia="zh-CN"/>
        </w:rPr>
        <w:t>采购人</w:t>
      </w:r>
      <w:r>
        <w:rPr>
          <w:rFonts w:hint="eastAsia" w:ascii="仿宋" w:hAnsi="仿宋" w:cs="仿宋"/>
          <w:color w:val="auto"/>
          <w:kern w:val="0"/>
          <w:szCs w:val="21"/>
          <w:highlight w:val="none"/>
        </w:rPr>
        <w:t>、</w:t>
      </w:r>
      <w:r>
        <w:rPr>
          <w:rFonts w:hint="eastAsia" w:ascii="仿宋" w:hAnsi="仿宋" w:cs="仿宋"/>
          <w:color w:val="auto"/>
          <w:kern w:val="0"/>
          <w:szCs w:val="21"/>
          <w:highlight w:val="none"/>
          <w:lang w:eastAsia="zh-CN"/>
        </w:rPr>
        <w:t>采购代理机构</w:t>
      </w:r>
      <w:r>
        <w:rPr>
          <w:rFonts w:hint="eastAsia" w:ascii="仿宋" w:hAnsi="仿宋" w:cs="仿宋"/>
          <w:color w:val="auto"/>
          <w:kern w:val="0"/>
          <w:szCs w:val="21"/>
          <w:highlight w:val="none"/>
        </w:rPr>
        <w:t>的答复不满意，或者</w:t>
      </w:r>
      <w:r>
        <w:rPr>
          <w:rFonts w:hint="eastAsia" w:ascii="仿宋" w:hAnsi="仿宋" w:cs="仿宋"/>
          <w:color w:val="auto"/>
          <w:kern w:val="0"/>
          <w:szCs w:val="21"/>
          <w:highlight w:val="none"/>
          <w:lang w:eastAsia="zh-CN"/>
        </w:rPr>
        <w:t>采购人</w:t>
      </w:r>
      <w:r>
        <w:rPr>
          <w:rFonts w:hint="eastAsia" w:ascii="仿宋" w:hAnsi="仿宋" w:cs="仿宋"/>
          <w:color w:val="auto"/>
          <w:kern w:val="0"/>
          <w:szCs w:val="21"/>
          <w:highlight w:val="none"/>
        </w:rPr>
        <w:t>、</w:t>
      </w:r>
      <w:r>
        <w:rPr>
          <w:rFonts w:hint="eastAsia" w:ascii="仿宋" w:hAnsi="仿宋" w:cs="仿宋"/>
          <w:color w:val="auto"/>
          <w:kern w:val="0"/>
          <w:szCs w:val="21"/>
          <w:highlight w:val="none"/>
          <w:lang w:eastAsia="zh-CN"/>
        </w:rPr>
        <w:t>采购代理机构</w:t>
      </w:r>
      <w:r>
        <w:rPr>
          <w:rFonts w:hint="eastAsia" w:ascii="仿宋" w:hAnsi="仿宋" w:cs="仿宋"/>
          <w:color w:val="auto"/>
          <w:kern w:val="0"/>
          <w:szCs w:val="21"/>
          <w:highlight w:val="none"/>
        </w:rPr>
        <w:t>未在规定时间内作出答复的，可以在答复期满后15个工作日内向本级财政部门提起投诉。</w:t>
      </w:r>
    </w:p>
    <w:p>
      <w:pPr>
        <w:adjustRightInd w:val="0"/>
        <w:snapToGrid w:val="0"/>
        <w:spacing w:line="360" w:lineRule="auto"/>
        <w:ind w:firstLine="420" w:firstLineChars="200"/>
        <w:rPr>
          <w:rFonts w:hint="eastAsia" w:ascii="仿宋" w:hAnsi="仿宋" w:cs="仿宋"/>
          <w:color w:val="auto"/>
          <w:szCs w:val="21"/>
          <w:highlight w:val="none"/>
          <w:lang w:bidi="ar"/>
        </w:rPr>
      </w:pPr>
      <w:r>
        <w:rPr>
          <w:rFonts w:hint="eastAsia" w:ascii="仿宋" w:hAnsi="仿宋" w:cs="仿宋"/>
          <w:color w:val="auto"/>
          <w:szCs w:val="21"/>
          <w:highlight w:val="none"/>
        </w:rPr>
        <w:t>3.需落实的政府采购政策内容：</w:t>
      </w:r>
      <w:r>
        <w:rPr>
          <w:rFonts w:hint="eastAsia" w:ascii="仿宋" w:hAnsi="仿宋" w:cs="仿宋"/>
          <w:color w:val="auto"/>
          <w:szCs w:val="21"/>
          <w:highlight w:val="none"/>
          <w:lang w:bidi="ar"/>
        </w:rPr>
        <w:t>促进中小企业、促进残疾人就业、支持监狱企业、支持</w:t>
      </w:r>
      <w:r>
        <w:rPr>
          <w:rFonts w:hint="eastAsia" w:ascii="仿宋" w:hAnsi="仿宋" w:cs="仿宋"/>
          <w:color w:val="auto"/>
          <w:szCs w:val="21"/>
          <w:highlight w:val="none"/>
          <w:lang w:val="en-US" w:eastAsia="zh-CN" w:bidi="ar"/>
        </w:rPr>
        <w:t>乡村振兴</w:t>
      </w:r>
      <w:r>
        <w:rPr>
          <w:rFonts w:hint="eastAsia" w:ascii="仿宋" w:hAnsi="仿宋" w:cs="仿宋"/>
          <w:color w:val="auto"/>
          <w:szCs w:val="21"/>
          <w:highlight w:val="none"/>
          <w:lang w:bidi="ar"/>
        </w:rPr>
        <w:t>、节能环保等相关政策。</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七、对本次招标提出询问，请按以下方式联系。</w:t>
      </w:r>
      <w:bookmarkEnd w:id="25"/>
      <w:bookmarkEnd w:id="26"/>
      <w:bookmarkEnd w:id="27"/>
      <w:bookmarkEnd w:id="28"/>
    </w:p>
    <w:p>
      <w:pPr>
        <w:keepNext w:val="0"/>
        <w:keepLines w:val="0"/>
        <w:pageBreakBefore w:val="0"/>
        <w:kinsoku/>
        <w:wordWrap/>
        <w:overflowPunct/>
        <w:topLinePunct w:val="0"/>
        <w:autoSpaceDE/>
        <w:autoSpaceDN/>
        <w:bidi w:val="0"/>
        <w:adjustRightInd w:val="0"/>
        <w:snapToGrid w:val="0"/>
        <w:spacing w:line="360" w:lineRule="exact"/>
        <w:ind w:left="495" w:firstLine="210" w:firstLineChars="100"/>
        <w:textAlignment w:val="auto"/>
        <w:rPr>
          <w:rFonts w:hint="eastAsia" w:ascii="仿宋" w:hAnsi="仿宋" w:cs="仿宋"/>
          <w:color w:val="auto"/>
          <w:szCs w:val="21"/>
          <w:highlight w:val="none"/>
        </w:rPr>
      </w:pPr>
      <w:r>
        <w:rPr>
          <w:rFonts w:hint="eastAsia" w:ascii="仿宋" w:hAnsi="仿宋" w:cs="仿宋"/>
          <w:color w:val="auto"/>
          <w:szCs w:val="21"/>
          <w:highlight w:val="none"/>
        </w:rPr>
        <w:t>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信息</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名称：辽宁省消防救援总队</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地址：辽宁省沈阳市皇姑区松花江街8号</w:t>
      </w:r>
    </w:p>
    <w:p>
      <w:pPr>
        <w:keepNext w:val="0"/>
        <w:keepLines w:val="0"/>
        <w:pageBreakBefore w:val="0"/>
        <w:widowControl/>
        <w:kinsoku/>
        <w:wordWrap/>
        <w:overflowPunct/>
        <w:topLinePunct w:val="0"/>
        <w:autoSpaceDE/>
        <w:autoSpaceDN/>
        <w:bidi w:val="0"/>
        <w:adjustRightInd w:val="0"/>
        <w:snapToGrid w:val="0"/>
        <w:spacing w:line="360" w:lineRule="exact"/>
        <w:ind w:firstLine="613" w:firstLineChars="292"/>
        <w:jc w:val="left"/>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联系方式：</w:t>
      </w:r>
      <w:r>
        <w:rPr>
          <w:rFonts w:hint="eastAsia" w:ascii="仿宋" w:hAnsi="仿宋" w:cs="仿宋"/>
          <w:color w:val="auto"/>
          <w:kern w:val="0"/>
          <w:szCs w:val="21"/>
          <w:highlight w:val="none"/>
          <w:lang w:val="en-US" w:eastAsia="zh-CN"/>
        </w:rPr>
        <w:t>王琳</w:t>
      </w:r>
      <w:r>
        <w:rPr>
          <w:rFonts w:hint="eastAsia" w:ascii="仿宋" w:hAnsi="仿宋" w:cs="仿宋"/>
          <w:color w:val="auto"/>
          <w:kern w:val="0"/>
          <w:szCs w:val="21"/>
          <w:highlight w:val="none"/>
        </w:rPr>
        <w:t>，王余 024-86934332</w:t>
      </w:r>
    </w:p>
    <w:p>
      <w:pPr>
        <w:keepNext w:val="0"/>
        <w:keepLines w:val="0"/>
        <w:pageBreakBefore w:val="0"/>
        <w:kinsoku/>
        <w:wordWrap/>
        <w:overflowPunct/>
        <w:topLinePunct w:val="0"/>
        <w:autoSpaceDE/>
        <w:autoSpaceDN/>
        <w:bidi w:val="0"/>
        <w:adjustRightInd w:val="0"/>
        <w:snapToGrid w:val="0"/>
        <w:spacing w:line="360" w:lineRule="exact"/>
        <w:ind w:left="286" w:leftChars="136" w:firstLine="210" w:firstLineChars="100"/>
        <w:textAlignment w:val="auto"/>
        <w:rPr>
          <w:rFonts w:hint="eastAsia" w:ascii="仿宋" w:hAnsi="仿宋" w:cs="仿宋"/>
          <w:color w:val="auto"/>
          <w:szCs w:val="21"/>
          <w:highlight w:val="none"/>
        </w:rPr>
      </w:pPr>
      <w:r>
        <w:rPr>
          <w:rFonts w:hint="eastAsia" w:ascii="仿宋" w:hAnsi="仿宋" w:cs="仿宋"/>
          <w:color w:val="auto"/>
          <w:szCs w:val="21"/>
          <w:highlight w:val="none"/>
        </w:rPr>
        <w:t>2.</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信息</w:t>
      </w:r>
    </w:p>
    <w:p>
      <w:pPr>
        <w:widowControl/>
        <w:adjustRightInd w:val="0"/>
        <w:snapToGrid w:val="0"/>
        <w:spacing w:line="360" w:lineRule="auto"/>
        <w:ind w:firstLine="613" w:firstLineChars="292"/>
        <w:jc w:val="left"/>
        <w:rPr>
          <w:rFonts w:hint="eastAsia" w:ascii="仿宋" w:hAnsi="仿宋" w:cs="仿宋"/>
          <w:color w:val="auto"/>
          <w:szCs w:val="21"/>
          <w:highlight w:val="none"/>
        </w:rPr>
      </w:pPr>
      <w:r>
        <w:rPr>
          <w:rFonts w:hint="eastAsia" w:ascii="仿宋" w:hAnsi="仿宋" w:cs="仿宋"/>
          <w:color w:val="auto"/>
          <w:szCs w:val="21"/>
          <w:highlight w:val="none"/>
        </w:rPr>
        <w:t>名称：</w:t>
      </w:r>
      <w:r>
        <w:rPr>
          <w:rFonts w:hint="eastAsia" w:ascii="仿宋" w:hAnsi="仿宋" w:cs="仿宋"/>
          <w:color w:val="auto"/>
          <w:szCs w:val="21"/>
          <w:highlight w:val="none"/>
          <w:u w:val="single"/>
        </w:rPr>
        <w:t xml:space="preserve">中财科建工程管理有限公司 </w:t>
      </w:r>
      <w:r>
        <w:rPr>
          <w:rFonts w:hint="eastAsia" w:ascii="仿宋" w:hAnsi="仿宋" w:cs="仿宋"/>
          <w:color w:val="auto"/>
          <w:szCs w:val="21"/>
          <w:highlight w:val="none"/>
        </w:rPr>
        <w:t xml:space="preserve"> </w:t>
      </w:r>
    </w:p>
    <w:p>
      <w:pPr>
        <w:widowControl/>
        <w:adjustRightInd w:val="0"/>
        <w:snapToGrid w:val="0"/>
        <w:spacing w:line="360" w:lineRule="auto"/>
        <w:ind w:firstLine="613" w:firstLineChars="292"/>
        <w:jc w:val="left"/>
        <w:rPr>
          <w:rFonts w:hint="eastAsia" w:ascii="仿宋" w:hAnsi="仿宋" w:cs="仿宋"/>
          <w:color w:val="auto"/>
          <w:szCs w:val="21"/>
          <w:highlight w:val="none"/>
        </w:rPr>
      </w:pPr>
      <w:r>
        <w:rPr>
          <w:rFonts w:hint="eastAsia" w:ascii="仿宋" w:hAnsi="仿宋" w:cs="仿宋"/>
          <w:color w:val="auto"/>
          <w:szCs w:val="21"/>
          <w:highlight w:val="none"/>
        </w:rPr>
        <w:t>地址：</w:t>
      </w:r>
      <w:r>
        <w:rPr>
          <w:rFonts w:hint="eastAsia" w:ascii="仿宋" w:hAnsi="仿宋" w:cs="仿宋"/>
          <w:color w:val="auto"/>
          <w:szCs w:val="21"/>
          <w:highlight w:val="none"/>
          <w:u w:val="single"/>
        </w:rPr>
        <w:t xml:space="preserve">沈阳市沈河区九纬路46号七楼 </w:t>
      </w:r>
      <w:r>
        <w:rPr>
          <w:rFonts w:hint="eastAsia" w:ascii="仿宋" w:hAnsi="仿宋" w:cs="仿宋"/>
          <w:color w:val="auto"/>
          <w:szCs w:val="21"/>
          <w:highlight w:val="none"/>
        </w:rPr>
        <w:t xml:space="preserve"> </w:t>
      </w:r>
    </w:p>
    <w:p>
      <w:pPr>
        <w:widowControl/>
        <w:adjustRightInd w:val="0"/>
        <w:snapToGrid w:val="0"/>
        <w:spacing w:line="360" w:lineRule="auto"/>
        <w:ind w:firstLine="613" w:firstLineChars="292"/>
        <w:jc w:val="left"/>
        <w:rPr>
          <w:rFonts w:hint="eastAsia" w:ascii="仿宋" w:hAnsi="仿宋" w:cs="仿宋"/>
          <w:color w:val="auto"/>
          <w:szCs w:val="21"/>
          <w:highlight w:val="none"/>
        </w:rPr>
      </w:pPr>
      <w:r>
        <w:rPr>
          <w:rFonts w:hint="eastAsia" w:ascii="仿宋" w:hAnsi="仿宋" w:cs="仿宋"/>
          <w:color w:val="auto"/>
          <w:szCs w:val="21"/>
          <w:highlight w:val="none"/>
        </w:rPr>
        <w:t>联系方式：</w:t>
      </w:r>
      <w:r>
        <w:rPr>
          <w:rFonts w:hint="eastAsia" w:ascii="仿宋" w:hAnsi="仿宋" w:cs="仿宋"/>
          <w:color w:val="auto"/>
          <w:szCs w:val="21"/>
          <w:highlight w:val="none"/>
          <w:u w:val="single"/>
        </w:rPr>
        <w:t xml:space="preserve"> 024-23498855-111   </w:t>
      </w:r>
      <w:r>
        <w:rPr>
          <w:rFonts w:hint="eastAsia" w:ascii="仿宋" w:hAnsi="仿宋" w:cs="仿宋"/>
          <w:color w:val="auto"/>
          <w:szCs w:val="21"/>
          <w:highlight w:val="none"/>
        </w:rPr>
        <w:t xml:space="preserve"> </w:t>
      </w:r>
    </w:p>
    <w:p>
      <w:pPr>
        <w:widowControl/>
        <w:adjustRightInd w:val="0"/>
        <w:snapToGrid w:val="0"/>
        <w:spacing w:line="360" w:lineRule="auto"/>
        <w:ind w:firstLine="613" w:firstLineChars="292"/>
        <w:jc w:val="left"/>
        <w:rPr>
          <w:rFonts w:hint="eastAsia" w:ascii="仿宋" w:hAnsi="仿宋" w:cs="仿宋"/>
          <w:color w:val="auto"/>
          <w:szCs w:val="21"/>
          <w:highlight w:val="none"/>
        </w:rPr>
      </w:pPr>
      <w:r>
        <w:rPr>
          <w:rFonts w:hint="eastAsia" w:ascii="仿宋" w:hAnsi="仿宋" w:cs="仿宋"/>
          <w:color w:val="auto"/>
          <w:szCs w:val="21"/>
          <w:highlight w:val="none"/>
        </w:rPr>
        <w:t>邮箱地址：</w:t>
      </w:r>
      <w:r>
        <w:rPr>
          <w:rFonts w:hint="eastAsia" w:ascii="仿宋" w:hAnsi="仿宋" w:cs="仿宋"/>
          <w:color w:val="auto"/>
          <w:szCs w:val="21"/>
          <w:highlight w:val="none"/>
          <w:u w:val="single"/>
        </w:rPr>
        <w:t xml:space="preserve">zckj8zb@163.com </w:t>
      </w:r>
      <w:r>
        <w:rPr>
          <w:rFonts w:hint="eastAsia" w:ascii="仿宋" w:hAnsi="仿宋" w:cs="仿宋"/>
          <w:color w:val="auto"/>
          <w:szCs w:val="21"/>
          <w:highlight w:val="none"/>
        </w:rPr>
        <w:t xml:space="preserve"> </w:t>
      </w:r>
    </w:p>
    <w:p>
      <w:pPr>
        <w:widowControl/>
        <w:adjustRightInd w:val="0"/>
        <w:snapToGrid w:val="0"/>
        <w:spacing w:line="360" w:lineRule="auto"/>
        <w:ind w:firstLine="613" w:firstLineChars="292"/>
        <w:jc w:val="left"/>
        <w:rPr>
          <w:rFonts w:hint="eastAsia" w:ascii="仿宋" w:hAnsi="仿宋" w:cs="仿宋"/>
          <w:color w:val="auto"/>
          <w:szCs w:val="21"/>
          <w:highlight w:val="none"/>
        </w:rPr>
      </w:pPr>
      <w:r>
        <w:rPr>
          <w:rFonts w:hint="eastAsia" w:ascii="仿宋" w:hAnsi="仿宋" w:cs="仿宋"/>
          <w:color w:val="auto"/>
          <w:szCs w:val="21"/>
          <w:highlight w:val="none"/>
        </w:rPr>
        <w:t>开户行：</w:t>
      </w:r>
      <w:r>
        <w:rPr>
          <w:rFonts w:hint="eastAsia" w:ascii="仿宋" w:hAnsi="仿宋" w:cs="仿宋"/>
          <w:color w:val="auto"/>
          <w:szCs w:val="21"/>
          <w:highlight w:val="none"/>
          <w:u w:val="single"/>
        </w:rPr>
        <w:t xml:space="preserve"> 中国邮政储蓄银行股份有限公司沈阳市奉天街支行</w:t>
      </w:r>
      <w:r>
        <w:rPr>
          <w:rFonts w:hint="eastAsia" w:ascii="仿宋" w:hAnsi="仿宋" w:cs="仿宋"/>
          <w:color w:val="auto"/>
          <w:szCs w:val="21"/>
          <w:highlight w:val="none"/>
        </w:rPr>
        <w:t xml:space="preserve"> </w:t>
      </w:r>
    </w:p>
    <w:p>
      <w:pPr>
        <w:widowControl/>
        <w:adjustRightInd w:val="0"/>
        <w:snapToGrid w:val="0"/>
        <w:spacing w:line="360" w:lineRule="auto"/>
        <w:ind w:firstLine="613" w:firstLineChars="292"/>
        <w:jc w:val="left"/>
        <w:rPr>
          <w:rFonts w:hint="eastAsia" w:ascii="仿宋" w:hAnsi="仿宋" w:cs="仿宋"/>
          <w:color w:val="auto"/>
          <w:szCs w:val="21"/>
          <w:highlight w:val="none"/>
        </w:rPr>
      </w:pPr>
      <w:r>
        <w:rPr>
          <w:rFonts w:hint="eastAsia" w:ascii="仿宋" w:hAnsi="仿宋" w:cs="仿宋"/>
          <w:color w:val="auto"/>
          <w:szCs w:val="21"/>
          <w:highlight w:val="none"/>
        </w:rPr>
        <w:t>账户名称：</w:t>
      </w:r>
      <w:r>
        <w:rPr>
          <w:rFonts w:hint="eastAsia" w:ascii="仿宋" w:hAnsi="仿宋" w:cs="仿宋"/>
          <w:color w:val="auto"/>
          <w:szCs w:val="21"/>
          <w:highlight w:val="none"/>
          <w:u w:val="single"/>
        </w:rPr>
        <w:t xml:space="preserve"> 中财科建工程管理有限公司</w:t>
      </w:r>
      <w:r>
        <w:rPr>
          <w:rFonts w:hint="eastAsia" w:ascii="仿宋" w:hAnsi="仿宋" w:cs="仿宋"/>
          <w:color w:val="auto"/>
          <w:szCs w:val="21"/>
          <w:highlight w:val="none"/>
        </w:rPr>
        <w:t xml:space="preserve">   </w:t>
      </w:r>
    </w:p>
    <w:p>
      <w:pPr>
        <w:widowControl/>
        <w:adjustRightInd w:val="0"/>
        <w:snapToGrid w:val="0"/>
        <w:spacing w:line="360" w:lineRule="auto"/>
        <w:ind w:firstLine="613" w:firstLineChars="292"/>
        <w:jc w:val="left"/>
        <w:rPr>
          <w:rFonts w:hint="eastAsia" w:ascii="仿宋" w:hAnsi="仿宋" w:cs="仿宋"/>
          <w:color w:val="auto"/>
          <w:szCs w:val="21"/>
          <w:highlight w:val="none"/>
        </w:rPr>
      </w:pPr>
      <w:r>
        <w:rPr>
          <w:rFonts w:hint="eastAsia" w:ascii="仿宋" w:hAnsi="仿宋" w:cs="仿宋"/>
          <w:color w:val="auto"/>
          <w:szCs w:val="21"/>
          <w:highlight w:val="none"/>
        </w:rPr>
        <w:t>账号：</w:t>
      </w:r>
      <w:r>
        <w:rPr>
          <w:rFonts w:hint="eastAsia" w:ascii="仿宋" w:hAnsi="仿宋" w:cs="仿宋"/>
          <w:color w:val="auto"/>
          <w:szCs w:val="21"/>
          <w:highlight w:val="none"/>
          <w:u w:val="single"/>
        </w:rPr>
        <w:t xml:space="preserve"> 921002010045936666 </w:t>
      </w:r>
      <w:r>
        <w:rPr>
          <w:rFonts w:hint="eastAsia" w:ascii="仿宋" w:hAnsi="仿宋" w:cs="仿宋"/>
          <w:color w:val="auto"/>
          <w:szCs w:val="21"/>
          <w:highlight w:val="none"/>
        </w:rPr>
        <w:t xml:space="preserve"> </w:t>
      </w:r>
    </w:p>
    <w:p>
      <w:pPr>
        <w:widowControl/>
        <w:adjustRightInd w:val="0"/>
        <w:snapToGrid w:val="0"/>
        <w:spacing w:line="360" w:lineRule="auto"/>
        <w:ind w:firstLine="613" w:firstLineChars="292"/>
        <w:jc w:val="left"/>
        <w:rPr>
          <w:rFonts w:hint="eastAsia" w:ascii="仿宋" w:hAnsi="仿宋" w:cs="仿宋"/>
          <w:color w:val="auto"/>
          <w:szCs w:val="21"/>
          <w:highlight w:val="none"/>
        </w:rPr>
      </w:pPr>
      <w:r>
        <w:rPr>
          <w:rFonts w:hint="eastAsia" w:ascii="仿宋" w:hAnsi="仿宋" w:cs="仿宋"/>
          <w:color w:val="auto"/>
          <w:szCs w:val="21"/>
          <w:highlight w:val="none"/>
        </w:rPr>
        <w:t>3.项目联系方式</w:t>
      </w:r>
    </w:p>
    <w:p>
      <w:pPr>
        <w:widowControl/>
        <w:adjustRightInd w:val="0"/>
        <w:snapToGrid w:val="0"/>
        <w:spacing w:line="360" w:lineRule="auto"/>
        <w:ind w:firstLine="613" w:firstLineChars="292"/>
        <w:jc w:val="left"/>
        <w:rPr>
          <w:rFonts w:hint="eastAsia" w:ascii="仿宋" w:hAnsi="仿宋" w:cs="仿宋"/>
          <w:color w:val="auto"/>
          <w:szCs w:val="21"/>
          <w:highlight w:val="none"/>
        </w:rPr>
      </w:pPr>
      <w:r>
        <w:rPr>
          <w:rFonts w:hint="eastAsia" w:ascii="仿宋" w:hAnsi="仿宋" w:cs="仿宋"/>
          <w:color w:val="auto"/>
          <w:szCs w:val="21"/>
          <w:highlight w:val="none"/>
        </w:rPr>
        <w:t>项目联系人：</w:t>
      </w:r>
      <w:r>
        <w:rPr>
          <w:rFonts w:hint="eastAsia" w:ascii="仿宋" w:hAnsi="仿宋" w:cs="仿宋"/>
          <w:color w:val="auto"/>
          <w:szCs w:val="21"/>
          <w:highlight w:val="none"/>
          <w:u w:val="single"/>
        </w:rPr>
        <w:t xml:space="preserve">  刘巍岩、何佳姗     </w:t>
      </w:r>
    </w:p>
    <w:p>
      <w:pPr>
        <w:widowControl/>
        <w:adjustRightInd w:val="0"/>
        <w:snapToGrid w:val="0"/>
        <w:spacing w:line="360" w:lineRule="auto"/>
        <w:ind w:firstLine="613" w:firstLineChars="292"/>
        <w:jc w:val="left"/>
        <w:rPr>
          <w:rFonts w:hint="eastAsia" w:ascii="仿宋" w:hAnsi="仿宋" w:cs="仿宋"/>
          <w:color w:val="auto"/>
          <w:highlight w:val="none"/>
        </w:rPr>
        <w:sectPr>
          <w:footerReference r:id="rId4" w:type="first"/>
          <w:pgSz w:w="11906" w:h="16838"/>
          <w:pgMar w:top="1440" w:right="1797" w:bottom="1440" w:left="1797" w:header="851" w:footer="992" w:gutter="0"/>
          <w:cols w:space="720" w:num="1"/>
          <w:docGrid w:type="lines" w:linePitch="312" w:charSpace="0"/>
        </w:sectPr>
      </w:pPr>
      <w:r>
        <w:rPr>
          <w:rFonts w:hint="eastAsia" w:ascii="仿宋" w:hAnsi="仿宋" w:cs="仿宋"/>
          <w:color w:val="auto"/>
          <w:szCs w:val="21"/>
          <w:highlight w:val="none"/>
        </w:rPr>
        <w:t>电　话：</w:t>
      </w:r>
      <w:r>
        <w:rPr>
          <w:rFonts w:hint="eastAsia" w:ascii="仿宋" w:hAnsi="仿宋" w:cs="仿宋"/>
          <w:color w:val="auto"/>
          <w:szCs w:val="21"/>
          <w:highlight w:val="none"/>
          <w:u w:val="single"/>
        </w:rPr>
        <w:t xml:space="preserve"> 024-23498855-111   </w:t>
      </w:r>
    </w:p>
    <w:p>
      <w:pPr>
        <w:jc w:val="left"/>
        <w:rPr>
          <w:rFonts w:hint="eastAsia" w:ascii="仿宋" w:hAnsi="仿宋" w:cs="仿宋"/>
          <w:b/>
          <w:color w:val="auto"/>
          <w:sz w:val="24"/>
          <w:highlight w:val="none"/>
        </w:rPr>
      </w:pPr>
      <w:r>
        <w:rPr>
          <w:rFonts w:hint="eastAsia" w:ascii="仿宋" w:hAnsi="仿宋" w:cs="仿宋"/>
          <w:b/>
          <w:color w:val="auto"/>
          <w:sz w:val="32"/>
          <w:szCs w:val="32"/>
          <w:highlight w:val="none"/>
        </w:rPr>
        <w:t>附件1</w:t>
      </w:r>
    </w:p>
    <w:p>
      <w:pPr>
        <w:jc w:val="left"/>
        <w:rPr>
          <w:rFonts w:hint="default" w:ascii="仿宋" w:hAnsi="仿宋" w:cs="仿宋"/>
          <w:b/>
          <w:color w:val="auto"/>
          <w:sz w:val="24"/>
          <w:highlight w:val="none"/>
          <w:lang w:val="en-US"/>
        </w:rPr>
      </w:pPr>
      <w:r>
        <w:rPr>
          <w:rFonts w:hint="eastAsia" w:ascii="仿宋" w:hAnsi="仿宋" w:cs="仿宋"/>
          <w:b/>
          <w:color w:val="auto"/>
          <w:sz w:val="24"/>
          <w:highlight w:val="none"/>
        </w:rPr>
        <w:t>包组编号：</w:t>
      </w:r>
      <w:r>
        <w:rPr>
          <w:rFonts w:hint="eastAsia" w:ascii="仿宋" w:hAnsi="仿宋" w:cs="仿宋"/>
          <w:b/>
          <w:color w:val="auto"/>
          <w:sz w:val="24"/>
          <w:highlight w:val="none"/>
          <w:lang w:val="en-US" w:eastAsia="zh-CN"/>
        </w:rPr>
        <w:t>001</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
        <w:gridCol w:w="2028"/>
        <w:gridCol w:w="4649"/>
        <w:gridCol w:w="1866"/>
        <w:gridCol w:w="1776"/>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41"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包号</w:t>
            </w:r>
          </w:p>
        </w:tc>
        <w:tc>
          <w:tcPr>
            <w:tcW w:w="715"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产品</w:t>
            </w:r>
          </w:p>
        </w:tc>
        <w:tc>
          <w:tcPr>
            <w:tcW w:w="1639"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货品及主要技术参数</w:t>
            </w:r>
          </w:p>
        </w:tc>
        <w:tc>
          <w:tcPr>
            <w:tcW w:w="65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626"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最高单价</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Merge w:val="restar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001</w:t>
            </w:r>
          </w:p>
        </w:tc>
        <w:tc>
          <w:tcPr>
            <w:tcW w:w="715"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eastAsia="zh-CN"/>
              </w:rPr>
            </w:pPr>
            <w:r>
              <w:rPr>
                <w:rFonts w:hint="eastAsia" w:ascii="仿宋" w:hAnsi="仿宋" w:eastAsia="仿宋" w:cs="仿宋"/>
                <w:i w:val="0"/>
                <w:iCs w:val="0"/>
                <w:color w:val="auto"/>
                <w:kern w:val="0"/>
                <w:sz w:val="21"/>
                <w:szCs w:val="21"/>
                <w:highlight w:val="none"/>
                <w:u w:val="none"/>
                <w:lang w:val="en-US" w:eastAsia="zh-CN" w:bidi="ar"/>
              </w:rPr>
              <w:t>北斗有源终端</w:t>
            </w:r>
          </w:p>
        </w:tc>
        <w:tc>
          <w:tcPr>
            <w:tcW w:w="1639" w:type="pct"/>
            <w:noWrap w:val="0"/>
            <w:vAlign w:val="center"/>
          </w:tcPr>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货品：北斗有源终端</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主要技术参数：</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1、支持北斗二号和北斗三号 1-63 号全部卫星通讯，首次捕获时间≤10s；信号中断 30s，重捕获时间不超过:≤3s；</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2、每套配置北斗白卡1张，须提供北斗用户终端设备入网检测报告；</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3、提供承诺函，配合</w:t>
            </w:r>
            <w:r>
              <w:rPr>
                <w:rFonts w:hint="eastAsia" w:ascii="仿宋" w:hAnsi="仿宋" w:cs="仿宋"/>
                <w:color w:val="auto"/>
                <w:highlight w:val="none"/>
                <w:lang w:val="en-US" w:eastAsia="zh-CN"/>
              </w:rPr>
              <w:t>采购人</w:t>
            </w:r>
            <w:r>
              <w:rPr>
                <w:rFonts w:hint="default" w:ascii="仿宋" w:hAnsi="仿宋" w:cs="仿宋"/>
                <w:color w:val="auto"/>
                <w:highlight w:val="none"/>
              </w:rPr>
              <w:t>接入国家消防救援局北斗消防综合管理服务平台。</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eastAsia="仿宋" w:cs="仿宋"/>
                <w:color w:val="auto"/>
                <w:kern w:val="0"/>
                <w:sz w:val="21"/>
                <w:szCs w:val="21"/>
                <w:highlight w:val="none"/>
                <w:lang w:val="en-US" w:eastAsia="zh-CN" w:bidi="ar-SA"/>
              </w:rPr>
            </w:pPr>
            <w:r>
              <w:rPr>
                <w:rFonts w:hint="eastAsia" w:ascii="仿宋" w:hAnsi="仿宋" w:cs="仿宋"/>
                <w:color w:val="auto"/>
                <w:highlight w:val="none"/>
                <w:lang w:val="en-US" w:eastAsia="zh-CN"/>
              </w:rPr>
              <w:t>4、</w:t>
            </w:r>
            <w:r>
              <w:rPr>
                <w:rFonts w:hint="default" w:ascii="仿宋" w:hAnsi="仿宋" w:cs="仿宋"/>
                <w:color w:val="auto"/>
                <w:highlight w:val="none"/>
              </w:rPr>
              <w:t>根据采购单位要求，安装符合《消防装备物资物联网标识管理》规定的二维码和RFID标签，（车辆或器材）在交付前须完成国家消防救援局系统赋码工作，确保一物一码。</w:t>
            </w:r>
          </w:p>
        </w:tc>
        <w:tc>
          <w:tcPr>
            <w:tcW w:w="658"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default" w:ascii="仿宋" w:hAnsi="仿宋" w:eastAsia="仿宋" w:cs="仿宋"/>
                <w:color w:val="auto"/>
                <w:kern w:val="0"/>
                <w:sz w:val="21"/>
                <w:szCs w:val="21"/>
                <w:highlight w:val="none"/>
                <w:lang w:val="en-US"/>
              </w:rPr>
            </w:pPr>
            <w:r>
              <w:rPr>
                <w:rFonts w:hint="eastAsia" w:ascii="仿宋" w:hAnsi="仿宋" w:eastAsia="仿宋" w:cs="仿宋"/>
                <w:i w:val="0"/>
                <w:iCs w:val="0"/>
                <w:color w:val="auto"/>
                <w:kern w:val="0"/>
                <w:sz w:val="21"/>
                <w:szCs w:val="21"/>
                <w:highlight w:val="none"/>
                <w:u w:val="none"/>
                <w:lang w:val="en-US" w:eastAsia="zh-CN" w:bidi="ar"/>
              </w:rPr>
              <w:t>14个</w:t>
            </w:r>
          </w:p>
        </w:tc>
        <w:tc>
          <w:tcPr>
            <w:tcW w:w="626"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default" w:ascii="仿宋" w:hAnsi="仿宋" w:eastAsia="仿宋" w:cs="仿宋"/>
                <w:color w:val="auto"/>
                <w:kern w:val="0"/>
                <w:sz w:val="21"/>
                <w:szCs w:val="21"/>
                <w:highlight w:val="none"/>
                <w:lang w:val="en-US"/>
              </w:rPr>
            </w:pPr>
            <w:r>
              <w:rPr>
                <w:rFonts w:hint="eastAsia" w:ascii="仿宋" w:hAnsi="仿宋" w:eastAsia="仿宋" w:cs="仿宋"/>
                <w:i w:val="0"/>
                <w:iCs w:val="0"/>
                <w:color w:val="auto"/>
                <w:kern w:val="0"/>
                <w:sz w:val="21"/>
                <w:szCs w:val="21"/>
                <w:highlight w:val="none"/>
                <w:u w:val="none"/>
                <w:lang w:val="en-US" w:eastAsia="zh-CN" w:bidi="ar"/>
              </w:rPr>
              <w:t>1.0000万元/个</w:t>
            </w:r>
          </w:p>
        </w:tc>
        <w:tc>
          <w:tcPr>
            <w:tcW w:w="1018"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Merge w:val="continue"/>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715"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卫星电话</w:t>
            </w:r>
          </w:p>
        </w:tc>
        <w:tc>
          <w:tcPr>
            <w:tcW w:w="1639" w:type="pct"/>
            <w:noWrap w:val="0"/>
            <w:vAlign w:val="center"/>
          </w:tcPr>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货品：卫星电话</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主要技术参数：</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1、须提供投标产品天通核心基带和射频芯片技术声明函；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2、提供投标产品1年卫星通信服务费。</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cs="仿宋"/>
                <w:color w:val="auto"/>
                <w:highlight w:val="none"/>
                <w:lang w:val="en-US" w:eastAsia="zh-CN"/>
              </w:rPr>
              <w:t>3、</w:t>
            </w:r>
            <w:r>
              <w:rPr>
                <w:rFonts w:hint="eastAsia" w:ascii="仿宋" w:hAnsi="仿宋" w:eastAsia="仿宋" w:cs="仿宋"/>
                <w:color w:val="auto"/>
                <w:kern w:val="2"/>
                <w:sz w:val="21"/>
                <w:szCs w:val="24"/>
                <w:highlight w:val="none"/>
                <w:lang w:val="en-US" w:eastAsia="zh-CN" w:bidi="ar-SA"/>
              </w:rPr>
              <w:t>根据采购单位要求，安装符合《消防装备物资物联网标识管理》规定的二维码和RFID标签，（车辆或器材）在交付前须完成国家消防救援局系统赋码工作，确保一物一码。</w:t>
            </w:r>
          </w:p>
        </w:tc>
        <w:tc>
          <w:tcPr>
            <w:tcW w:w="658"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16部</w:t>
            </w:r>
          </w:p>
        </w:tc>
        <w:tc>
          <w:tcPr>
            <w:tcW w:w="626"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0.6000万元/部</w:t>
            </w:r>
          </w:p>
        </w:tc>
        <w:tc>
          <w:tcPr>
            <w:tcW w:w="1018"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Merge w:val="continue"/>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715"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卫星便携站</w:t>
            </w:r>
          </w:p>
        </w:tc>
        <w:tc>
          <w:tcPr>
            <w:tcW w:w="1639" w:type="pct"/>
            <w:noWrap w:val="0"/>
            <w:vAlign w:val="center"/>
          </w:tcPr>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货品：卫星便携站</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主要技术参数：</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1、支持网管和业务双通道，可接入消防救援局卫星主站网管系统；支持网管信令加密传输；网管信道采用TDM/TDMA体制，返向链路支持控制和业务时隙，时隙数量动态可调，支持IP短报文传输；</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2、内置MESH中继模块功率不小于2W，双发双收；</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3、承诺所投产品验收前符合国家消防救援局《城市复杂建筑及重特大自然灾害现场联合作战关键应急通信装备建设方案》中背负式自组网单兵图传产品技术标准，与全省现有自组网基站和自组网单兵设备实现无线空口互联互通；</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4、支持北斗定位（不依赖其他定位系统），需配合采购方接入国家消防救援局综合位置服务平台（提供承诺函）；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5、每套配套1套多网融合自组网单兵（链路延申）、1台控制平板（控制及参数回显）、一体化航空运输箱（便于携行运输）。</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cs="仿宋"/>
                <w:color w:val="auto"/>
                <w:highlight w:val="none"/>
                <w:lang w:val="en-US" w:eastAsia="zh-CN"/>
              </w:rPr>
              <w:t>6、根据采购单位要求，安装符合《消防装备物资物联网标识管理》规定的二维码和RFID标签，（车辆或器材）在交付前须完成部局系统赋码工作，确保一物一码。</w:t>
            </w:r>
          </w:p>
        </w:tc>
        <w:tc>
          <w:tcPr>
            <w:tcW w:w="658"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2台</w:t>
            </w:r>
          </w:p>
        </w:tc>
        <w:tc>
          <w:tcPr>
            <w:tcW w:w="626"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69.5000万元/台</w:t>
            </w:r>
          </w:p>
        </w:tc>
        <w:tc>
          <w:tcPr>
            <w:tcW w:w="1018"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auto"/>
                <w:kern w:val="0"/>
                <w:sz w:val="21"/>
                <w:szCs w:val="21"/>
                <w:highlight w:val="none"/>
                <w:u w:val="none"/>
                <w:lang w:val="en-US" w:eastAsia="zh-CN" w:bidi="ar"/>
              </w:rPr>
            </w:pPr>
          </w:p>
        </w:tc>
      </w:tr>
    </w:tbl>
    <w:p>
      <w:pPr>
        <w:jc w:val="left"/>
        <w:rPr>
          <w:rFonts w:hint="eastAsia" w:ascii="仿宋" w:hAnsi="仿宋" w:cs="仿宋"/>
          <w:b/>
          <w:color w:val="auto"/>
          <w:sz w:val="24"/>
          <w:highlight w:val="none"/>
        </w:rPr>
      </w:pPr>
    </w:p>
    <w:p>
      <w:pPr>
        <w:rPr>
          <w:rFonts w:hint="eastAsia" w:ascii="仿宋" w:hAnsi="仿宋" w:cs="仿宋"/>
          <w:b/>
          <w:color w:val="auto"/>
          <w:sz w:val="24"/>
          <w:highlight w:val="none"/>
        </w:rPr>
      </w:pPr>
      <w:r>
        <w:rPr>
          <w:rFonts w:hint="eastAsia" w:ascii="仿宋" w:hAnsi="仿宋" w:cs="仿宋"/>
          <w:b/>
          <w:color w:val="auto"/>
          <w:sz w:val="24"/>
          <w:highlight w:val="none"/>
        </w:rPr>
        <w:br w:type="page"/>
      </w:r>
    </w:p>
    <w:p>
      <w:pPr>
        <w:jc w:val="left"/>
        <w:rPr>
          <w:rFonts w:hint="default" w:ascii="仿宋" w:hAnsi="仿宋" w:cs="仿宋"/>
          <w:b/>
          <w:color w:val="auto"/>
          <w:sz w:val="24"/>
          <w:highlight w:val="none"/>
          <w:lang w:val="en-US"/>
        </w:rPr>
      </w:pPr>
      <w:r>
        <w:rPr>
          <w:rFonts w:hint="eastAsia" w:ascii="仿宋" w:hAnsi="仿宋" w:cs="仿宋"/>
          <w:b/>
          <w:color w:val="auto"/>
          <w:sz w:val="24"/>
          <w:highlight w:val="none"/>
        </w:rPr>
        <w:t>包组编号：</w:t>
      </w:r>
      <w:r>
        <w:rPr>
          <w:rFonts w:hint="eastAsia" w:ascii="仿宋" w:hAnsi="仿宋" w:cs="仿宋"/>
          <w:b/>
          <w:color w:val="auto"/>
          <w:sz w:val="24"/>
          <w:highlight w:val="none"/>
          <w:lang w:val="en-US" w:eastAsia="zh-CN"/>
        </w:rPr>
        <w:t>008</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
        <w:gridCol w:w="2028"/>
        <w:gridCol w:w="4649"/>
        <w:gridCol w:w="1866"/>
        <w:gridCol w:w="1776"/>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341"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包号</w:t>
            </w:r>
          </w:p>
        </w:tc>
        <w:tc>
          <w:tcPr>
            <w:tcW w:w="715"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产品</w:t>
            </w:r>
          </w:p>
        </w:tc>
        <w:tc>
          <w:tcPr>
            <w:tcW w:w="1639"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货品及主要技术参数</w:t>
            </w:r>
          </w:p>
        </w:tc>
        <w:tc>
          <w:tcPr>
            <w:tcW w:w="65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626"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最高单价</w:t>
            </w:r>
          </w:p>
        </w:tc>
        <w:tc>
          <w:tcPr>
            <w:tcW w:w="1018" w:type="pct"/>
            <w:noWrap w:val="0"/>
            <w:vAlign w:val="center"/>
          </w:tcPr>
          <w:p>
            <w:pPr>
              <w:pStyle w:val="12"/>
              <w:keepNext w:val="0"/>
              <w:keepLines w:val="0"/>
              <w:suppressLineNumbers w:val="0"/>
              <w:spacing w:before="0" w:beforeAutospacing="0" w:after="0" w:afterAutospacing="0" w:line="240" w:lineRule="auto"/>
              <w:ind w:left="0" w:right="0"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Merge w:val="restar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008</w:t>
            </w:r>
          </w:p>
        </w:tc>
        <w:tc>
          <w:tcPr>
            <w:tcW w:w="715"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背负式可视系统</w:t>
            </w:r>
          </w:p>
        </w:tc>
        <w:tc>
          <w:tcPr>
            <w:tcW w:w="1639" w:type="pct"/>
            <w:noWrap w:val="0"/>
            <w:vAlign w:val="center"/>
          </w:tcPr>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货品：背负式可视系统</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主要技术参数：</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承诺所投产品内置音视频编码板，前端采集的视频可以直接回传至消防图像综合管理系统，在消防图像综合管理系统平台资源树可直接调取单兵视频资源，并可以与单兵之间发起双向语音通信，并查询定位信息；</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2、承诺所投产品验收前须与全省现有宽带自组网设备（宽带自组网基站和自组网单兵）实现无线空口互联互通；</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3、承诺所投产品验收前通过国家消防救援局《现场联合作战关键通信装备检查核验》，符合通信距离和传输带宽核验要求，方可验收合格；</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4、采用北斗卫星定位，定位数据可实时上传至国家消防救援局消防综合定位服务平台（提供承诺函）；</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5、每套包含1部摄像机，要求4K高清数码摄像机，光学变焦≥15倍，5轴防抖，≥1×HDMI输出，≥1×1900mAh 电池。</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6、根据采购单位要求，安装符合《消防装备物资物联网标识管理》规定的二维码和RFID标签，（车辆或器材）在交付前须完成国家消防救援局系统赋码工作，确保一物一码。</w:t>
            </w:r>
          </w:p>
        </w:tc>
        <w:tc>
          <w:tcPr>
            <w:tcW w:w="658"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6套</w:t>
            </w:r>
          </w:p>
        </w:tc>
        <w:tc>
          <w:tcPr>
            <w:tcW w:w="626"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9.0000万元/套</w:t>
            </w:r>
          </w:p>
        </w:tc>
        <w:tc>
          <w:tcPr>
            <w:tcW w:w="2888" w:type="dxa"/>
            <w:noWrap w:val="0"/>
            <w:vAlign w:val="center"/>
          </w:tcPr>
          <w:p>
            <w:pPr>
              <w:pStyle w:val="13"/>
              <w:keepNext w:val="0"/>
              <w:keepLines w:val="0"/>
              <w:suppressLineNumbers w:val="0"/>
              <w:spacing w:before="0" w:beforeAutospacing="0" w:after="0" w:afterAutospacing="0"/>
              <w:ind w:left="0" w:right="0"/>
              <w:jc w:val="center"/>
              <w:rPr>
                <w:rFonts w:hint="default"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Merge w:val="continue"/>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715"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无线中继台</w:t>
            </w:r>
          </w:p>
        </w:tc>
        <w:tc>
          <w:tcPr>
            <w:tcW w:w="1639" w:type="pct"/>
            <w:noWrap w:val="0"/>
            <w:vAlign w:val="center"/>
          </w:tcPr>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货品：无线中继台</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主要技术参数：</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1、承诺所投产品要求与全省现有自组网设备（自组网基站和自组网单兵）实现无线空口互联互通；</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2、承诺所投产品验收前通过国家消防救援局《现场联合作战关键通信装备检查核验》，符合通信距离和传输带宽（单跳无线传输速率≥80Mbps，级联6跳之后最末带宽≥8Mbps）核验要求，方可验收合格；</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3、采用北斗卫星定位，定位数据可实时上传至国家消防救援局消防综合定位服务平台。（提供承诺函）</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4、根据采购单位要求，安装符合《消防装备物资物联网标识管理》规定的二维码和RFID标签，器材在交付前须完成国家消防救援局系统赋码工作，确保一物一码。</w:t>
            </w:r>
          </w:p>
        </w:tc>
        <w:tc>
          <w:tcPr>
            <w:tcW w:w="658"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6台</w:t>
            </w:r>
          </w:p>
        </w:tc>
        <w:tc>
          <w:tcPr>
            <w:tcW w:w="626"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10.0000 万元/台</w:t>
            </w:r>
          </w:p>
        </w:tc>
        <w:tc>
          <w:tcPr>
            <w:tcW w:w="2888" w:type="dxa"/>
            <w:noWrap w:val="0"/>
            <w:vAlign w:val="center"/>
          </w:tcPr>
          <w:p>
            <w:pPr>
              <w:pStyle w:val="13"/>
              <w:keepNext w:val="0"/>
              <w:keepLines w:val="0"/>
              <w:suppressLineNumbers w:val="0"/>
              <w:spacing w:before="0" w:beforeAutospacing="0" w:after="0" w:afterAutospacing="0"/>
              <w:ind w:left="0" w:right="0"/>
              <w:jc w:val="center"/>
              <w:rPr>
                <w:rFonts w:hint="default" w:ascii="仿宋" w:hAnsi="仿宋" w:eastAsia="仿宋" w:cs="仿宋"/>
                <w:i w:val="0"/>
                <w:iCs w:val="0"/>
                <w:color w:val="auto"/>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341" w:type="pct"/>
            <w:vMerge w:val="continue"/>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kern w:val="0"/>
                <w:sz w:val="21"/>
                <w:szCs w:val="21"/>
                <w:highlight w:val="none"/>
                <w:lang w:val="en-US" w:eastAsia="zh-CN"/>
              </w:rPr>
            </w:pPr>
          </w:p>
        </w:tc>
        <w:tc>
          <w:tcPr>
            <w:tcW w:w="715"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消防员单兵图侦系统</w:t>
            </w:r>
          </w:p>
        </w:tc>
        <w:tc>
          <w:tcPr>
            <w:tcW w:w="1639" w:type="pct"/>
            <w:noWrap w:val="0"/>
            <w:vAlign w:val="center"/>
          </w:tcPr>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货品：消防员单兵图侦系统</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主要技术参数：</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1、消防员单兵图侦系统每套包含1台基站和1台单兵，消防图综平台设备资源树可直接调取MESH单兵资源，并和单兵之间发起双向语音通信；</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2、承诺所投产品要求与全省现有自组网设备（自组网基站和自组网单兵）实现无线空口互联互通；</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3、采用北斗卫星定位，定位数据可实时上传至国家消防救援局消防综合定位服务平台（提供承诺函）。</w:t>
            </w:r>
          </w:p>
          <w:p>
            <w:pPr>
              <w:pStyle w:val="13"/>
              <w:keepNext w:val="0"/>
              <w:keepLines w:val="0"/>
              <w:suppressLineNumbers w:val="0"/>
              <w:spacing w:before="0" w:beforeAutospacing="0" w:after="0" w:afterAutospacing="0"/>
              <w:ind w:left="0" w:right="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4、根据采购单位要求，安装符合《消防装备物资物联网标识管理》规定的二维码和RFID标签，（车辆或器材）在交付前须完成国家消防救援局系统赋码工作，确保一物一码。</w:t>
            </w:r>
          </w:p>
        </w:tc>
        <w:tc>
          <w:tcPr>
            <w:tcW w:w="658"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3套</w:t>
            </w:r>
          </w:p>
        </w:tc>
        <w:tc>
          <w:tcPr>
            <w:tcW w:w="626" w:type="pct"/>
            <w:noWrap w:val="0"/>
            <w:vAlign w:val="center"/>
          </w:tcPr>
          <w:p>
            <w:pPr>
              <w:pStyle w:val="12"/>
              <w:keepNext w:val="0"/>
              <w:keepLines w:val="0"/>
              <w:suppressLineNumbers w:val="0"/>
              <w:spacing w:before="0" w:beforeAutospacing="0" w:after="0" w:afterAutospacing="0" w:line="240" w:lineRule="auto"/>
              <w:ind w:left="0" w:leftChars="0" w:right="0" w:rightChars="0" w:firstLine="0" w:firstLineChars="0"/>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11.7690万元/套</w:t>
            </w:r>
          </w:p>
        </w:tc>
        <w:tc>
          <w:tcPr>
            <w:tcW w:w="2888" w:type="dxa"/>
            <w:noWrap w:val="0"/>
            <w:vAlign w:val="center"/>
          </w:tcPr>
          <w:p>
            <w:pPr>
              <w:pStyle w:val="13"/>
              <w:keepNext w:val="0"/>
              <w:keepLines w:val="0"/>
              <w:suppressLineNumbers w:val="0"/>
              <w:spacing w:before="0" w:beforeAutospacing="0" w:after="0" w:afterAutospacing="0"/>
              <w:ind w:left="0" w:right="0"/>
              <w:jc w:val="center"/>
              <w:rPr>
                <w:rFonts w:hint="default" w:ascii="仿宋" w:hAnsi="仿宋" w:eastAsia="仿宋" w:cs="仿宋"/>
                <w:i w:val="0"/>
                <w:iCs w:val="0"/>
                <w:color w:val="auto"/>
                <w:kern w:val="0"/>
                <w:sz w:val="21"/>
                <w:szCs w:val="21"/>
                <w:highlight w:val="none"/>
                <w:u w:val="none"/>
                <w:lang w:val="en-US" w:eastAsia="zh-CN" w:bidi="ar"/>
              </w:rPr>
            </w:pPr>
          </w:p>
        </w:tc>
      </w:tr>
    </w:tbl>
    <w:p>
      <w:pPr>
        <w:rPr>
          <w:rFonts w:hint="eastAsia"/>
          <w:color w:val="auto"/>
          <w:highlight w:val="none"/>
        </w:rPr>
      </w:pPr>
      <w:r>
        <w:rPr>
          <w:rFonts w:hint="eastAsia"/>
          <w:color w:val="auto"/>
          <w:highlight w:val="none"/>
        </w:rPr>
        <w:br w:type="page"/>
      </w:r>
    </w:p>
    <w:p>
      <w:pPr>
        <w:pStyle w:val="38"/>
        <w:ind w:left="0" w:leftChars="0" w:firstLine="0" w:firstLineChars="0"/>
        <w:rPr>
          <w:rFonts w:hint="eastAsia"/>
          <w:color w:val="auto"/>
          <w:highlight w:val="none"/>
        </w:rPr>
        <w:sectPr>
          <w:pgSz w:w="16838" w:h="11906" w:orient="landscape"/>
          <w:pgMar w:top="1797" w:right="1440" w:bottom="1797" w:left="1440" w:header="851" w:footer="992" w:gutter="0"/>
          <w:cols w:space="720" w:num="1"/>
          <w:docGrid w:type="lines" w:linePitch="312" w:charSpace="0"/>
        </w:sectPr>
      </w:pPr>
    </w:p>
    <w:p>
      <w:pPr>
        <w:spacing w:before="312" w:beforeLines="100" w:after="312" w:afterLines="100" w:line="360" w:lineRule="auto"/>
        <w:ind w:right="-21" w:rightChars="-10"/>
        <w:jc w:val="left"/>
        <w:rPr>
          <w:rFonts w:hint="eastAsia" w:ascii="仿宋" w:hAnsi="仿宋" w:cs="仿宋"/>
          <w:b/>
          <w:color w:val="auto"/>
          <w:sz w:val="32"/>
          <w:szCs w:val="32"/>
          <w:highlight w:val="none"/>
        </w:rPr>
      </w:pPr>
      <w:r>
        <w:rPr>
          <w:rFonts w:hint="eastAsia" w:ascii="仿宋" w:hAnsi="仿宋" w:cs="仿宋"/>
          <w:b/>
          <w:color w:val="auto"/>
          <w:sz w:val="32"/>
          <w:szCs w:val="32"/>
          <w:highlight w:val="none"/>
        </w:rPr>
        <w:t>附件2-1</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法定代表人（或非法人组织负责人）身份证明书</w:t>
      </w:r>
    </w:p>
    <w:p>
      <w:pPr>
        <w:spacing w:line="360" w:lineRule="auto"/>
        <w:ind w:firstLine="840" w:firstLineChars="400"/>
        <w:rPr>
          <w:rFonts w:hint="eastAsia" w:ascii="仿宋" w:hAnsi="仿宋" w:cs="仿宋"/>
          <w:color w:val="auto"/>
          <w:szCs w:val="21"/>
          <w:highlight w:val="none"/>
        </w:rPr>
      </w:pPr>
      <w:r>
        <w:rPr>
          <w:rFonts w:hint="eastAsia" w:ascii="仿宋" w:hAnsi="仿宋" w:cs="仿宋"/>
          <w:color w:val="auto"/>
          <w:szCs w:val="21"/>
          <w:highlight w:val="none"/>
        </w:rPr>
        <w:t>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，性别：</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，出生日期：</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，现任职务：</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，系</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名称）的法定代表人（或非法人组织负责人）。</w:t>
      </w:r>
    </w:p>
    <w:p>
      <w:pPr>
        <w:rPr>
          <w:rFonts w:hint="eastAsia" w:ascii="仿宋" w:hAnsi="仿宋" w:cs="仿宋"/>
          <w:color w:val="auto"/>
          <w:szCs w:val="21"/>
          <w:highlight w:val="none"/>
        </w:rPr>
      </w:pPr>
    </w:p>
    <w:p>
      <w:pPr>
        <w:rPr>
          <w:rFonts w:hint="eastAsia" w:ascii="仿宋" w:hAnsi="仿宋" w:cs="仿宋"/>
          <w:color w:val="auto"/>
          <w:szCs w:val="21"/>
          <w:highlight w:val="none"/>
        </w:rPr>
      </w:pPr>
      <w:r>
        <w:rPr>
          <w:rFonts w:hint="eastAsia" w:ascii="仿宋" w:hAnsi="仿宋" w:cs="仿宋"/>
          <w:color w:val="auto"/>
          <w:szCs w:val="21"/>
          <w:highlight w:val="none"/>
        </w:rPr>
        <w:t>特此证明。</w:t>
      </w:r>
    </w:p>
    <w:p>
      <w:pPr>
        <w:rPr>
          <w:rFonts w:hint="eastAsia" w:ascii="仿宋" w:hAnsi="仿宋" w:cs="仿宋"/>
          <w:color w:val="auto"/>
          <w:szCs w:val="21"/>
          <w:highlight w:val="none"/>
        </w:rPr>
      </w:pPr>
    </w:p>
    <w:p>
      <w:pPr>
        <w:rPr>
          <w:rFonts w:hint="eastAsia" w:ascii="仿宋" w:hAnsi="仿宋" w:cs="仿宋"/>
          <w:color w:val="auto"/>
          <w:szCs w:val="21"/>
          <w:highlight w:val="none"/>
        </w:rPr>
      </w:pPr>
    </w:p>
    <w:p>
      <w:pPr>
        <w:rPr>
          <w:rFonts w:hint="eastAsia" w:ascii="仿宋" w:hAnsi="仿宋" w:cs="仿宋"/>
          <w:color w:val="auto"/>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（※法定代表人（或非法人组织负责人）身份证正、反面复印件※）</w:t>
            </w:r>
          </w:p>
        </w:tc>
      </w:tr>
    </w:tbl>
    <w:p>
      <w:pPr>
        <w:rPr>
          <w:rFonts w:hint="eastAsia" w:ascii="仿宋" w:hAnsi="仿宋" w:cs="仿宋"/>
          <w:color w:val="auto"/>
          <w:szCs w:val="21"/>
          <w:highlight w:val="none"/>
        </w:rPr>
      </w:pPr>
    </w:p>
    <w:p>
      <w:pPr>
        <w:spacing w:line="480" w:lineRule="auto"/>
        <w:rPr>
          <w:rFonts w:hint="eastAsia" w:ascii="仿宋" w:hAnsi="仿宋" w:cs="仿宋"/>
          <w:color w:val="auto"/>
          <w:highlight w:val="none"/>
          <w:u w:val="singl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rPr>
          <w:rFonts w:hint="eastAsia" w:ascii="仿宋" w:hAnsi="仿宋" w:cs="仿宋"/>
          <w:color w:val="auto"/>
          <w:highlight w:val="none"/>
        </w:rPr>
      </w:pPr>
    </w:p>
    <w:p>
      <w:pPr>
        <w:rPr>
          <w:rFonts w:hint="eastAsia" w:ascii="仿宋" w:hAnsi="仿宋" w:cs="仿宋"/>
          <w:color w:val="auto"/>
          <w:szCs w:val="21"/>
          <w:highlight w:val="none"/>
        </w:rPr>
      </w:pPr>
    </w:p>
    <w:p>
      <w:pPr>
        <w:spacing w:before="312" w:beforeLines="100" w:after="312" w:afterLines="100" w:line="360" w:lineRule="auto"/>
        <w:ind w:right="-21" w:rightChars="-10"/>
        <w:jc w:val="left"/>
        <w:rPr>
          <w:rFonts w:hint="eastAsia" w:ascii="仿宋" w:hAnsi="仿宋" w:cs="仿宋"/>
          <w:b/>
          <w:color w:val="auto"/>
          <w:sz w:val="32"/>
          <w:szCs w:val="32"/>
          <w:highlight w:val="none"/>
        </w:rPr>
      </w:pPr>
    </w:p>
    <w:p>
      <w:pPr>
        <w:spacing w:before="312" w:beforeLines="100" w:after="312" w:afterLines="100" w:line="360" w:lineRule="auto"/>
        <w:ind w:right="-21" w:rightChars="-10"/>
        <w:jc w:val="left"/>
        <w:rPr>
          <w:rFonts w:hint="eastAsia" w:ascii="仿宋" w:hAnsi="仿宋" w:cs="仿宋"/>
          <w:b/>
          <w:color w:val="auto"/>
          <w:sz w:val="32"/>
          <w:szCs w:val="32"/>
          <w:highlight w:val="none"/>
        </w:rPr>
      </w:pPr>
      <w:r>
        <w:rPr>
          <w:rFonts w:hint="eastAsia" w:ascii="仿宋" w:hAnsi="仿宋" w:cs="仿宋"/>
          <w:b/>
          <w:color w:val="auto"/>
          <w:sz w:val="32"/>
          <w:szCs w:val="32"/>
          <w:highlight w:val="none"/>
        </w:rPr>
        <w:br w:type="page"/>
      </w:r>
      <w:r>
        <w:rPr>
          <w:rFonts w:hint="eastAsia" w:ascii="仿宋" w:hAnsi="仿宋" w:cs="仿宋"/>
          <w:b/>
          <w:color w:val="auto"/>
          <w:sz w:val="32"/>
          <w:szCs w:val="32"/>
          <w:highlight w:val="none"/>
        </w:rPr>
        <w:t>附件2-2</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法定代表人（或非法人组织负责人）授权委托书</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单位名称：</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法定代表人（或非法人组织负责人）姓名：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身份证号码：</w:t>
      </w:r>
      <w:r>
        <w:rPr>
          <w:rFonts w:hint="eastAsia" w:ascii="仿宋" w:hAnsi="仿宋" w:cs="仿宋"/>
          <w:color w:val="auto"/>
          <w:szCs w:val="21"/>
          <w:highlight w:val="none"/>
          <w:u w:val="single"/>
        </w:rPr>
        <w:t xml:space="preserve">         </w:t>
      </w:r>
    </w:p>
    <w:p>
      <w:pPr>
        <w:tabs>
          <w:tab w:val="left" w:pos="5205"/>
        </w:tabs>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住所地：</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u w:val="single"/>
        </w:rPr>
        <w:tab/>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身份证号码：</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工作单位：</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住址：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电话：</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现委托</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就</w:t>
      </w:r>
      <w:r>
        <w:rPr>
          <w:rFonts w:hint="eastAsia" w:ascii="仿宋" w:hAnsi="仿宋" w:cs="仿宋"/>
          <w:color w:val="auto"/>
          <w:szCs w:val="21"/>
          <w:highlight w:val="none"/>
          <w:u w:val="single"/>
        </w:rPr>
        <w:t>（项目编号、项目名称、包号）</w:t>
      </w:r>
      <w:r>
        <w:rPr>
          <w:rFonts w:hint="eastAsia" w:ascii="仿宋" w:hAnsi="仿宋" w:cs="仿宋"/>
          <w:color w:val="auto"/>
          <w:szCs w:val="21"/>
          <w:highlight w:val="none"/>
        </w:rPr>
        <w:t>投标中，以我单位名义处理一切与之有关的事务。</w:t>
      </w:r>
    </w:p>
    <w:p>
      <w:pPr>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本授权书于</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年</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月</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日签字或盖章生效，无转委托，特此声明。</w:t>
      </w:r>
    </w:p>
    <w:p>
      <w:pPr>
        <w:spacing w:line="360" w:lineRule="auto"/>
        <w:rPr>
          <w:rFonts w:hint="eastAsia" w:ascii="仿宋" w:hAnsi="仿宋" w:cs="仿宋"/>
          <w:color w:val="auto"/>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人身份证正、反面复印件※）</w:t>
            </w:r>
          </w:p>
        </w:tc>
      </w:tr>
    </w:tbl>
    <w:p>
      <w:pPr>
        <w:spacing w:line="360" w:lineRule="auto"/>
        <w:rPr>
          <w:rFonts w:hint="eastAsia" w:ascii="仿宋" w:hAnsi="仿宋" w:cs="仿宋"/>
          <w:color w:val="auto"/>
          <w:szCs w:val="21"/>
          <w:highlight w:val="none"/>
        </w:rPr>
      </w:pP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委托人（加盖单位公章）：</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法定代表人（或非法人组织负责人）（签字或盖章）：</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人（签字或盖章）：</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详细通讯地址：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邮政编码 ：</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u w:val="single"/>
        </w:rPr>
      </w:pPr>
      <w:r>
        <w:rPr>
          <w:rFonts w:hint="eastAsia" w:ascii="仿宋" w:hAnsi="仿宋" w:cs="仿宋"/>
          <w:color w:val="auto"/>
          <w:szCs w:val="21"/>
          <w:highlight w:val="none"/>
        </w:rPr>
        <w:t>传        真：</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     话：</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u w:val="singl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jc w:val="center"/>
        <w:rPr>
          <w:rFonts w:hint="eastAsia" w:ascii="仿宋" w:hAnsi="仿宋" w:cs="仿宋"/>
          <w:b/>
          <w:color w:val="auto"/>
          <w:sz w:val="44"/>
          <w:szCs w:val="44"/>
          <w:highlight w:val="none"/>
        </w:rPr>
      </w:pPr>
      <w:r>
        <w:rPr>
          <w:rFonts w:hint="eastAsia" w:ascii="仿宋" w:hAnsi="仿宋" w:cs="仿宋"/>
          <w:color w:val="auto"/>
          <w:szCs w:val="21"/>
          <w:highlight w:val="none"/>
          <w:u w:val="single"/>
        </w:rPr>
        <w:br w:type="page"/>
      </w:r>
      <w:bookmarkStart w:id="29" w:name="_Toc9614"/>
      <w:bookmarkStart w:id="30" w:name="_Toc26518_WPSOffice_Level1"/>
      <w:r>
        <w:rPr>
          <w:rFonts w:hint="eastAsia" w:ascii="仿宋" w:hAnsi="仿宋" w:cs="仿宋"/>
          <w:b/>
          <w:color w:val="auto"/>
          <w:sz w:val="44"/>
          <w:szCs w:val="44"/>
          <w:highlight w:val="none"/>
        </w:rPr>
        <w:t xml:space="preserve">第一章 </w:t>
      </w:r>
      <w:r>
        <w:rPr>
          <w:rFonts w:hint="eastAsia" w:ascii="仿宋" w:hAnsi="仿宋" w:cs="仿宋"/>
          <w:b/>
          <w:color w:val="auto"/>
          <w:sz w:val="44"/>
          <w:szCs w:val="44"/>
          <w:highlight w:val="none"/>
          <w:lang w:eastAsia="zh-CN"/>
        </w:rPr>
        <w:t>供应商</w:t>
      </w:r>
      <w:r>
        <w:rPr>
          <w:rFonts w:hint="eastAsia" w:ascii="仿宋" w:hAnsi="仿宋" w:cs="仿宋"/>
          <w:b/>
          <w:color w:val="auto"/>
          <w:sz w:val="44"/>
          <w:szCs w:val="44"/>
          <w:highlight w:val="none"/>
        </w:rPr>
        <w:t>须知</w:t>
      </w:r>
      <w:bookmarkEnd w:id="29"/>
      <w:bookmarkEnd w:id="30"/>
    </w:p>
    <w:p>
      <w:pPr>
        <w:pStyle w:val="5"/>
        <w:adjustRightInd w:val="0"/>
        <w:snapToGrid w:val="0"/>
        <w:spacing w:before="0" w:after="0" w:line="360" w:lineRule="auto"/>
        <w:rPr>
          <w:rFonts w:hint="eastAsia" w:ascii="仿宋" w:hAnsi="仿宋" w:cs="仿宋"/>
          <w:color w:val="auto"/>
          <w:sz w:val="32"/>
          <w:szCs w:val="36"/>
          <w:highlight w:val="none"/>
        </w:rPr>
      </w:pPr>
      <w:bookmarkStart w:id="31" w:name="_Toc18613_WPSOffice_Level2"/>
      <w:r>
        <w:rPr>
          <w:rFonts w:hint="eastAsia" w:ascii="仿宋" w:hAnsi="仿宋" w:cs="仿宋"/>
          <w:color w:val="auto"/>
          <w:sz w:val="32"/>
          <w:szCs w:val="36"/>
          <w:highlight w:val="none"/>
        </w:rPr>
        <w:t xml:space="preserve">一 </w:t>
      </w:r>
      <w:r>
        <w:rPr>
          <w:rFonts w:hint="eastAsia" w:ascii="仿宋" w:hAnsi="仿宋" w:cs="仿宋"/>
          <w:color w:val="auto"/>
          <w:sz w:val="32"/>
          <w:szCs w:val="36"/>
          <w:highlight w:val="none"/>
          <w:lang w:eastAsia="zh-CN"/>
        </w:rPr>
        <w:t>供应商</w:t>
      </w:r>
      <w:r>
        <w:rPr>
          <w:rFonts w:hint="eastAsia" w:ascii="仿宋" w:hAnsi="仿宋" w:cs="仿宋"/>
          <w:color w:val="auto"/>
          <w:sz w:val="32"/>
          <w:szCs w:val="36"/>
          <w:highlight w:val="none"/>
        </w:rPr>
        <w:t>须知表</w:t>
      </w:r>
      <w:bookmarkEnd w:id="31"/>
    </w:p>
    <w:tbl>
      <w:tblPr>
        <w:tblStyle w:val="23"/>
        <w:tblW w:w="8863" w:type="dxa"/>
        <w:tblInd w:w="0" w:type="dxa"/>
        <w:tblLayout w:type="autofit"/>
        <w:tblCellMar>
          <w:top w:w="0" w:type="dxa"/>
          <w:left w:w="108" w:type="dxa"/>
          <w:bottom w:w="0" w:type="dxa"/>
          <w:right w:w="108" w:type="dxa"/>
        </w:tblCellMar>
      </w:tblPr>
      <w:tblGrid>
        <w:gridCol w:w="873"/>
        <w:gridCol w:w="1962"/>
        <w:gridCol w:w="6028"/>
      </w:tblGrid>
      <w:tr>
        <w:tblPrEx>
          <w:tblCellMar>
            <w:top w:w="0" w:type="dxa"/>
            <w:left w:w="108" w:type="dxa"/>
            <w:bottom w:w="0" w:type="dxa"/>
            <w:right w:w="108" w:type="dxa"/>
          </w:tblCellMar>
        </w:tblPrEx>
        <w:trPr>
          <w:trHeight w:val="375" w:hRule="atLeast"/>
          <w:tblHeader/>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bookmarkStart w:id="32" w:name="sys_招标项目基本内容及要求其他：Block"/>
            <w:bookmarkEnd w:id="32"/>
            <w:bookmarkStart w:id="33" w:name="招标项目基本内容及要求其他：Block"/>
            <w:bookmarkEnd w:id="33"/>
            <w:bookmarkStart w:id="34" w:name="sys_招标项目基本内容及要求：Block"/>
            <w:bookmarkEnd w:id="34"/>
            <w:bookmarkStart w:id="35" w:name="招标项目基本内容及要求：Block"/>
            <w:bookmarkEnd w:id="35"/>
            <w:r>
              <w:rPr>
                <w:rFonts w:hint="eastAsia" w:ascii="仿宋" w:hAnsi="仿宋" w:cs="仿宋"/>
                <w:color w:val="auto"/>
                <w:kern w:val="0"/>
                <w:szCs w:val="21"/>
                <w:highlight w:val="none"/>
              </w:rPr>
              <w:t>条款号</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项   目</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内     容</w:t>
            </w:r>
          </w:p>
        </w:tc>
      </w:tr>
      <w:tr>
        <w:tblPrEx>
          <w:tblCellMar>
            <w:top w:w="0" w:type="dxa"/>
            <w:left w:w="108" w:type="dxa"/>
            <w:bottom w:w="0" w:type="dxa"/>
            <w:right w:w="108" w:type="dxa"/>
          </w:tblCellMar>
        </w:tblPrEx>
        <w:trPr>
          <w:trHeight w:val="94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lang w:eastAsia="zh-CN"/>
              </w:rPr>
              <w:t>采购人</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t>名  称：</w:t>
            </w:r>
            <w:r>
              <w:rPr>
                <w:rFonts w:hint="eastAsia" w:ascii="仿宋" w:hAnsi="仿宋" w:cs="仿宋"/>
                <w:color w:val="auto"/>
                <w:kern w:val="0"/>
                <w:szCs w:val="21"/>
                <w:highlight w:val="none"/>
                <w:u w:val="single"/>
              </w:rPr>
              <w:t>辽宁省消防救援总队</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地  址：</w:t>
            </w:r>
            <w:r>
              <w:rPr>
                <w:rFonts w:hint="eastAsia" w:ascii="仿宋" w:hAnsi="仿宋" w:cs="仿宋"/>
                <w:color w:val="auto"/>
                <w:kern w:val="0"/>
                <w:szCs w:val="21"/>
                <w:highlight w:val="none"/>
                <w:u w:val="single"/>
              </w:rPr>
              <w:t>沈阳市皇姑区松花江街八号</w:t>
            </w:r>
            <w:r>
              <w:rPr>
                <w:rFonts w:hint="eastAsia" w:ascii="仿宋" w:hAnsi="仿宋" w:cs="仿宋"/>
                <w:color w:val="auto"/>
                <w:kern w:val="0"/>
                <w:szCs w:val="21"/>
                <w:highlight w:val="none"/>
              </w:rPr>
              <w:t xml:space="preserve">    </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t>联系人：</w:t>
            </w:r>
            <w:r>
              <w:rPr>
                <w:rFonts w:hint="eastAsia" w:ascii="仿宋" w:hAnsi="仿宋" w:cs="仿宋"/>
                <w:color w:val="auto"/>
                <w:kern w:val="0"/>
                <w:szCs w:val="21"/>
                <w:highlight w:val="none"/>
                <w:u w:val="single"/>
                <w:lang w:val="en-US" w:eastAsia="zh-CN"/>
              </w:rPr>
              <w:t>王琳</w:t>
            </w:r>
            <w:r>
              <w:rPr>
                <w:rFonts w:hint="eastAsia" w:ascii="仿宋" w:hAnsi="仿宋" w:cs="仿宋"/>
                <w:color w:val="auto"/>
                <w:kern w:val="0"/>
                <w:szCs w:val="21"/>
                <w:highlight w:val="none"/>
                <w:u w:val="single"/>
              </w:rPr>
              <w:t>，王余</w:t>
            </w:r>
            <w:r>
              <w:rPr>
                <w:rFonts w:hint="eastAsia" w:ascii="仿宋" w:hAnsi="仿宋" w:cs="仿宋"/>
                <w:color w:val="auto"/>
                <w:kern w:val="0"/>
                <w:szCs w:val="21"/>
                <w:highlight w:val="none"/>
              </w:rPr>
              <w:t xml:space="preserve"> </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电  话：</w:t>
            </w:r>
            <w:r>
              <w:rPr>
                <w:rFonts w:hint="eastAsia" w:ascii="仿宋" w:hAnsi="仿宋" w:cs="仿宋"/>
                <w:color w:val="auto"/>
                <w:kern w:val="0"/>
                <w:szCs w:val="21"/>
                <w:highlight w:val="none"/>
                <w:u w:val="single"/>
              </w:rPr>
              <w:t>024-86934332</w:t>
            </w:r>
            <w:r>
              <w:rPr>
                <w:rFonts w:hint="eastAsia" w:ascii="仿宋" w:hAnsi="仿宋" w:cs="仿宋"/>
                <w:color w:val="auto"/>
                <w:kern w:val="0"/>
                <w:szCs w:val="21"/>
                <w:highlight w:val="none"/>
              </w:rPr>
              <w:t xml:space="preserve"> </w:t>
            </w:r>
          </w:p>
        </w:tc>
      </w:tr>
      <w:tr>
        <w:tblPrEx>
          <w:tblCellMar>
            <w:top w:w="0" w:type="dxa"/>
            <w:left w:w="108" w:type="dxa"/>
            <w:bottom w:w="0" w:type="dxa"/>
            <w:right w:w="108" w:type="dxa"/>
          </w:tblCellMar>
        </w:tblPrEx>
        <w:trPr>
          <w:trHeight w:val="94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lang w:eastAsia="zh-CN"/>
              </w:rPr>
              <w:t>采购代理机构</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名  称：</w:t>
            </w:r>
            <w:r>
              <w:rPr>
                <w:rFonts w:hint="eastAsia" w:ascii="仿宋" w:hAnsi="仿宋" w:cs="仿宋"/>
                <w:color w:val="auto"/>
                <w:kern w:val="0"/>
                <w:szCs w:val="21"/>
                <w:highlight w:val="none"/>
                <w:u w:val="single"/>
              </w:rPr>
              <w:t xml:space="preserve"> </w:t>
            </w:r>
            <w:r>
              <w:rPr>
                <w:rFonts w:hint="eastAsia" w:ascii="仿宋" w:hAnsi="仿宋" w:cs="仿宋"/>
                <w:color w:val="auto"/>
                <w:szCs w:val="21"/>
                <w:highlight w:val="none"/>
                <w:u w:val="single"/>
              </w:rPr>
              <w:t>中财科建工程管理有限公司</w:t>
            </w:r>
            <w:r>
              <w:rPr>
                <w:rFonts w:hint="eastAsia" w:ascii="仿宋" w:hAnsi="仿宋" w:cs="仿宋"/>
                <w:color w:val="auto"/>
                <w:kern w:val="0"/>
                <w:szCs w:val="21"/>
                <w:highlight w:val="none"/>
                <w:u w:val="single"/>
              </w:rPr>
              <w:t xml:space="preserve"> </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地  址：</w:t>
            </w:r>
            <w:r>
              <w:rPr>
                <w:rFonts w:hint="eastAsia" w:ascii="仿宋" w:hAnsi="仿宋" w:cs="仿宋"/>
                <w:color w:val="auto"/>
                <w:kern w:val="0"/>
                <w:szCs w:val="21"/>
                <w:highlight w:val="none"/>
                <w:u w:val="single"/>
              </w:rPr>
              <w:t xml:space="preserve"> 沈阳市沈河区九纬路46号七楼  </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联系人：</w:t>
            </w:r>
            <w:r>
              <w:rPr>
                <w:rFonts w:hint="eastAsia" w:ascii="仿宋" w:hAnsi="仿宋" w:cs="仿宋"/>
                <w:color w:val="auto"/>
                <w:kern w:val="0"/>
                <w:szCs w:val="21"/>
                <w:highlight w:val="none"/>
                <w:u w:val="single"/>
              </w:rPr>
              <w:t xml:space="preserve">  刘巍岩、何佳姗   </w:t>
            </w:r>
          </w:p>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电  话：</w:t>
            </w:r>
            <w:r>
              <w:rPr>
                <w:rFonts w:hint="eastAsia" w:ascii="仿宋" w:hAnsi="仿宋" w:cs="仿宋"/>
                <w:color w:val="auto"/>
                <w:kern w:val="0"/>
                <w:szCs w:val="21"/>
                <w:highlight w:val="none"/>
                <w:u w:val="single"/>
              </w:rPr>
              <w:t xml:space="preserve"> </w:t>
            </w:r>
            <w:r>
              <w:rPr>
                <w:rFonts w:hint="eastAsia" w:ascii="仿宋" w:hAnsi="仿宋" w:cs="仿宋"/>
                <w:color w:val="auto"/>
                <w:szCs w:val="21"/>
                <w:highlight w:val="none"/>
                <w:u w:val="single"/>
              </w:rPr>
              <w:t>024-23498855-</w:t>
            </w:r>
            <w:r>
              <w:rPr>
                <w:rFonts w:hint="eastAsia" w:ascii="仿宋" w:hAnsi="仿宋" w:cs="仿宋"/>
                <w:color w:val="auto"/>
                <w:szCs w:val="21"/>
                <w:highlight w:val="none"/>
                <w:u w:val="single"/>
                <w:lang w:val="en-US" w:eastAsia="zh-CN"/>
              </w:rPr>
              <w:t>111</w:t>
            </w:r>
            <w:r>
              <w:rPr>
                <w:rFonts w:hint="eastAsia" w:ascii="仿宋" w:hAnsi="仿宋" w:cs="仿宋"/>
                <w:color w:val="auto"/>
                <w:kern w:val="0"/>
                <w:szCs w:val="21"/>
                <w:highlight w:val="none"/>
                <w:u w:val="single"/>
              </w:rPr>
              <w:t xml:space="preserve">    </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1.3.4</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合格</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还要满足的其它资格条件</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无</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1.3.5</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是否允许采购进口产品</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是</w:t>
            </w:r>
          </w:p>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否</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1.3.6</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color w:val="auto"/>
                <w:kern w:val="0"/>
                <w:szCs w:val="21"/>
                <w:highlight w:val="none"/>
              </w:rPr>
              <w:t>是否为专门面向</w:t>
            </w:r>
            <w:r>
              <w:rPr>
                <w:rFonts w:hint="eastAsia" w:ascii="仿宋" w:hAnsi="仿宋" w:cs="仿宋"/>
                <w:color w:val="auto"/>
                <w:szCs w:val="21"/>
                <w:highlight w:val="none"/>
              </w:rPr>
              <w:t>中小企业</w:t>
            </w:r>
            <w:r>
              <w:rPr>
                <w:rFonts w:hint="eastAsia" w:ascii="仿宋" w:hAnsi="仿宋" w:cs="仿宋"/>
                <w:color w:val="auto"/>
                <w:kern w:val="0"/>
                <w:szCs w:val="21"/>
                <w:highlight w:val="none"/>
              </w:rPr>
              <w:t>采购</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是</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否</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szCs w:val="21"/>
                <w:highlight w:val="none"/>
              </w:rPr>
              <w:t>（需落实的政府采购政策内容：</w:t>
            </w:r>
            <w:r>
              <w:rPr>
                <w:rFonts w:hint="eastAsia" w:ascii="仿宋" w:hAnsi="仿宋" w:cs="仿宋"/>
                <w:color w:val="auto"/>
                <w:szCs w:val="21"/>
                <w:highlight w:val="none"/>
                <w:lang w:bidi="ar"/>
              </w:rPr>
              <w:t>促进中小企业、促进残疾人就业、支持监狱企业、支持</w:t>
            </w:r>
            <w:r>
              <w:rPr>
                <w:rFonts w:hint="eastAsia" w:ascii="仿宋" w:hAnsi="仿宋" w:cs="仿宋"/>
                <w:color w:val="auto"/>
                <w:szCs w:val="21"/>
                <w:highlight w:val="none"/>
                <w:lang w:val="en-US" w:eastAsia="zh-CN" w:bidi="ar"/>
              </w:rPr>
              <w:t>乡村振兴</w:t>
            </w:r>
            <w:r>
              <w:rPr>
                <w:rFonts w:hint="eastAsia" w:ascii="仿宋" w:hAnsi="仿宋" w:cs="仿宋"/>
                <w:color w:val="auto"/>
                <w:szCs w:val="21"/>
                <w:highlight w:val="none"/>
                <w:lang w:bidi="ar"/>
              </w:rPr>
              <w:t>、节能环保等相关政策</w:t>
            </w:r>
            <w:r>
              <w:rPr>
                <w:rFonts w:hint="eastAsia" w:ascii="仿宋" w:hAnsi="仿宋" w:cs="仿宋"/>
                <w:color w:val="auto"/>
                <w:szCs w:val="21"/>
                <w:highlight w:val="none"/>
              </w:rPr>
              <w:t>）</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t>采购标的对应的中小企业划分标准所属行业：</w:t>
            </w:r>
            <w:r>
              <w:rPr>
                <w:rFonts w:hint="eastAsia" w:ascii="仿宋" w:hAnsi="仿宋" w:cs="仿宋"/>
                <w:color w:val="auto"/>
                <w:kern w:val="0"/>
                <w:szCs w:val="21"/>
                <w:highlight w:val="none"/>
                <w:u w:val="single"/>
              </w:rPr>
              <w:t>工业</w:t>
            </w:r>
          </w:p>
          <w:p>
            <w:pPr>
              <w:keepNext w:val="0"/>
              <w:keepLines w:val="0"/>
              <w:suppressLineNumbers w:val="0"/>
              <w:shd w:val="clear" w:color="auto" w:fill="FFFFFF"/>
              <w:spacing w:before="0" w:beforeAutospacing="0" w:after="0" w:afterAutospacing="0"/>
              <w:ind w:left="0" w:right="0"/>
              <w:jc w:val="left"/>
              <w:rPr>
                <w:rFonts w:hint="eastAsia" w:ascii="Calibri" w:hAnsi="Calibri" w:cs="Times New Roman"/>
                <w:color w:val="auto"/>
                <w:highlight w:val="none"/>
              </w:rPr>
            </w:pPr>
            <w:r>
              <w:rPr>
                <w:rFonts w:hint="eastAsia" w:ascii="Calibri" w:hAnsi="Calibri" w:cs="Times New Roman"/>
                <w:color w:val="auto"/>
                <w:highlight w:val="none"/>
                <w:lang w:val="en-US" w:eastAsia="zh-CN"/>
              </w:rPr>
              <w:t>001</w:t>
            </w:r>
            <w:r>
              <w:rPr>
                <w:rFonts w:hint="eastAsia" w:ascii="Calibri" w:hAnsi="Calibri" w:cs="Times New Roman"/>
                <w:color w:val="auto"/>
                <w:highlight w:val="none"/>
              </w:rPr>
              <w:t>包</w:t>
            </w:r>
          </w:p>
          <w:p>
            <w:pPr>
              <w:keepNext w:val="0"/>
              <w:keepLines w:val="0"/>
              <w:suppressLineNumbers w:val="0"/>
              <w:shd w:val="clear" w:color="auto" w:fill="FFFFFF"/>
              <w:spacing w:before="0" w:beforeAutospacing="0" w:after="0" w:afterAutospacing="0"/>
              <w:ind w:left="0" w:right="0"/>
              <w:jc w:val="lef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标的名称</w:t>
            </w:r>
            <w:r>
              <w:rPr>
                <w:rFonts w:hint="eastAsia" w:ascii="Calibri" w:hAnsi="Calibri" w:cs="Times New Roman"/>
                <w:color w:val="auto"/>
                <w:highlight w:val="none"/>
              </w:rPr>
              <w:t>：北斗有源终端</w:t>
            </w:r>
          </w:p>
          <w:p>
            <w:pPr>
              <w:keepNext w:val="0"/>
              <w:keepLines w:val="0"/>
              <w:suppressLineNumbers w:val="0"/>
              <w:shd w:val="clear" w:color="auto" w:fill="FFFFFF"/>
              <w:spacing w:before="0" w:beforeAutospacing="0" w:after="0" w:afterAutospacing="0"/>
              <w:ind w:left="0" w:right="0"/>
              <w:jc w:val="left"/>
              <w:rPr>
                <w:rFonts w:hint="eastAsia" w:ascii="Calibri" w:hAnsi="Calibri" w:cs="Times New Roman"/>
                <w:color w:val="auto"/>
                <w:highlight w:val="none"/>
              </w:rPr>
            </w:pPr>
            <w:r>
              <w:rPr>
                <w:rFonts w:hint="eastAsia" w:ascii="Calibri" w:hAnsi="Calibri" w:cs="Times New Roman"/>
                <w:color w:val="auto"/>
                <w:highlight w:val="none"/>
                <w:lang w:val="en-US" w:eastAsia="zh-CN"/>
              </w:rPr>
              <w:t>标的名称</w:t>
            </w:r>
            <w:r>
              <w:rPr>
                <w:rFonts w:hint="eastAsia" w:ascii="Calibri" w:hAnsi="Calibri" w:cs="Times New Roman"/>
                <w:color w:val="auto"/>
                <w:highlight w:val="none"/>
              </w:rPr>
              <w:t>：卫星电话</w:t>
            </w:r>
          </w:p>
          <w:p>
            <w:pPr>
              <w:keepNext w:val="0"/>
              <w:keepLines w:val="0"/>
              <w:suppressLineNumbers w:val="0"/>
              <w:shd w:val="clear" w:color="auto" w:fill="FFFFFF"/>
              <w:spacing w:before="0" w:beforeAutospacing="0" w:after="0" w:afterAutospacing="0"/>
              <w:ind w:left="0" w:right="0"/>
              <w:jc w:val="left"/>
              <w:rPr>
                <w:rFonts w:hint="eastAsia" w:ascii="Calibri" w:hAnsi="Calibri" w:cs="Times New Roman"/>
                <w:color w:val="auto"/>
                <w:highlight w:val="none"/>
              </w:rPr>
            </w:pPr>
            <w:r>
              <w:rPr>
                <w:rFonts w:hint="eastAsia" w:ascii="Calibri" w:hAnsi="Calibri" w:cs="Times New Roman"/>
                <w:color w:val="auto"/>
                <w:highlight w:val="none"/>
                <w:lang w:val="en-US" w:eastAsia="zh-CN"/>
              </w:rPr>
              <w:t>标的名称</w:t>
            </w:r>
            <w:r>
              <w:rPr>
                <w:rFonts w:hint="eastAsia" w:ascii="Calibri" w:hAnsi="Calibri" w:cs="Times New Roman"/>
                <w:color w:val="auto"/>
                <w:highlight w:val="none"/>
              </w:rPr>
              <w:t>：卫星便携站</w:t>
            </w:r>
          </w:p>
          <w:p>
            <w:pPr>
              <w:keepNext w:val="0"/>
              <w:keepLines w:val="0"/>
              <w:suppressLineNumbers w:val="0"/>
              <w:shd w:val="clear" w:color="auto" w:fill="FFFFFF"/>
              <w:spacing w:before="0" w:beforeAutospacing="0" w:after="0" w:afterAutospacing="0"/>
              <w:ind w:left="0" w:right="0"/>
              <w:jc w:val="left"/>
              <w:rPr>
                <w:rFonts w:hint="eastAsia" w:ascii="Calibri" w:hAnsi="Calibri" w:cs="Times New Roman"/>
                <w:color w:val="auto"/>
                <w:highlight w:val="none"/>
              </w:rPr>
            </w:pPr>
            <w:r>
              <w:rPr>
                <w:rFonts w:hint="eastAsia" w:ascii="Calibri" w:hAnsi="Calibri" w:cs="Times New Roman"/>
                <w:color w:val="auto"/>
                <w:highlight w:val="none"/>
                <w:lang w:val="en-US" w:eastAsia="zh-CN"/>
              </w:rPr>
              <w:t>008</w:t>
            </w:r>
            <w:r>
              <w:rPr>
                <w:rFonts w:hint="eastAsia" w:ascii="Calibri" w:hAnsi="Calibri" w:cs="Times New Roman"/>
                <w:color w:val="auto"/>
                <w:highlight w:val="none"/>
              </w:rPr>
              <w:t>包</w:t>
            </w:r>
          </w:p>
          <w:p>
            <w:pPr>
              <w:keepNext w:val="0"/>
              <w:keepLines w:val="0"/>
              <w:suppressLineNumbers w:val="0"/>
              <w:shd w:val="clear" w:color="auto" w:fill="FFFFFF"/>
              <w:spacing w:before="0" w:beforeAutospacing="0" w:after="0" w:afterAutospacing="0"/>
              <w:ind w:left="0" w:right="0"/>
              <w:jc w:val="left"/>
              <w:rPr>
                <w:rFonts w:hint="eastAsia" w:ascii="Calibri" w:hAnsi="Calibri" w:cs="Times New Roman"/>
                <w:color w:val="auto"/>
                <w:highlight w:val="none"/>
              </w:rPr>
            </w:pPr>
            <w:r>
              <w:rPr>
                <w:rFonts w:hint="eastAsia" w:ascii="Calibri" w:hAnsi="Calibri" w:cs="Times New Roman"/>
                <w:color w:val="auto"/>
                <w:highlight w:val="none"/>
                <w:lang w:val="en-US" w:eastAsia="zh-CN"/>
              </w:rPr>
              <w:t>标的名称</w:t>
            </w:r>
            <w:r>
              <w:rPr>
                <w:rFonts w:hint="eastAsia" w:ascii="Calibri" w:hAnsi="Calibri" w:cs="Times New Roman"/>
                <w:color w:val="auto"/>
                <w:highlight w:val="none"/>
              </w:rPr>
              <w:t>：背负式可视系统</w:t>
            </w:r>
          </w:p>
          <w:p>
            <w:pPr>
              <w:keepNext w:val="0"/>
              <w:keepLines w:val="0"/>
              <w:suppressLineNumbers w:val="0"/>
              <w:shd w:val="clear" w:color="auto" w:fill="FFFFFF"/>
              <w:spacing w:before="0" w:beforeAutospacing="0" w:after="0" w:afterAutospacing="0"/>
              <w:ind w:left="0" w:right="0"/>
              <w:jc w:val="left"/>
              <w:rPr>
                <w:rFonts w:hint="eastAsia" w:ascii="Calibri" w:hAnsi="Calibri" w:cs="Times New Roman"/>
                <w:color w:val="auto"/>
                <w:highlight w:val="none"/>
              </w:rPr>
            </w:pPr>
            <w:r>
              <w:rPr>
                <w:rFonts w:hint="eastAsia" w:ascii="Calibri" w:hAnsi="Calibri" w:cs="Times New Roman"/>
                <w:color w:val="auto"/>
                <w:highlight w:val="none"/>
                <w:lang w:val="en-US" w:eastAsia="zh-CN"/>
              </w:rPr>
              <w:t>标的名称</w:t>
            </w:r>
            <w:r>
              <w:rPr>
                <w:rFonts w:hint="eastAsia" w:ascii="Calibri" w:hAnsi="Calibri" w:cs="Times New Roman"/>
                <w:color w:val="auto"/>
                <w:highlight w:val="none"/>
              </w:rPr>
              <w:t>：无线中继台</w:t>
            </w:r>
          </w:p>
          <w:p>
            <w:pPr>
              <w:keepNext w:val="0"/>
              <w:keepLines w:val="0"/>
              <w:suppressLineNumbers w:val="0"/>
              <w:shd w:val="clear" w:color="auto" w:fill="FFFFFF"/>
              <w:spacing w:before="0" w:beforeAutospacing="0" w:after="0" w:afterAutospacing="0"/>
              <w:ind w:left="0" w:right="0"/>
              <w:jc w:val="lef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标的名称</w:t>
            </w:r>
            <w:r>
              <w:rPr>
                <w:rFonts w:hint="eastAsia" w:ascii="Calibri" w:hAnsi="Calibri" w:cs="Times New Roman"/>
                <w:color w:val="auto"/>
                <w:highlight w:val="none"/>
              </w:rPr>
              <w:t>：消防员单兵图侦系统</w:t>
            </w:r>
          </w:p>
        </w:tc>
      </w:tr>
      <w:tr>
        <w:tblPrEx>
          <w:tblCellMar>
            <w:top w:w="0" w:type="dxa"/>
            <w:left w:w="108" w:type="dxa"/>
            <w:bottom w:w="0" w:type="dxa"/>
            <w:right w:w="108" w:type="dxa"/>
          </w:tblCellMar>
        </w:tblPrEx>
        <w:trPr>
          <w:trHeight w:val="9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1.3.7</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是否有政府强制采购的节能产品</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有，具体产品为</w:t>
            </w:r>
            <w:r>
              <w:rPr>
                <w:rFonts w:hint="eastAsia" w:ascii="仿宋" w:hAnsi="仿宋" w:cs="仿宋"/>
                <w:bCs/>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没有</w:t>
            </w:r>
          </w:p>
        </w:tc>
      </w:tr>
      <w:tr>
        <w:tblPrEx>
          <w:tblCellMar>
            <w:top w:w="0" w:type="dxa"/>
            <w:left w:w="108" w:type="dxa"/>
            <w:bottom w:w="0" w:type="dxa"/>
            <w:right w:w="108" w:type="dxa"/>
          </w:tblCellMar>
        </w:tblPrEx>
        <w:trPr>
          <w:trHeight w:val="31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1.4</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是否允许联合体投标</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是</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否</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1.4.8</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联合体投标的其他资格要求</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bCs/>
                <w:color w:val="auto"/>
                <w:kern w:val="0"/>
                <w:szCs w:val="21"/>
                <w:highlight w:val="none"/>
              </w:rPr>
              <w:t>无</w:t>
            </w:r>
          </w:p>
        </w:tc>
      </w:tr>
      <w:tr>
        <w:tblPrEx>
          <w:tblCellMar>
            <w:top w:w="0" w:type="dxa"/>
            <w:left w:w="108" w:type="dxa"/>
            <w:bottom w:w="0" w:type="dxa"/>
            <w:right w:w="108" w:type="dxa"/>
          </w:tblCellMar>
        </w:tblPrEx>
        <w:trPr>
          <w:trHeight w:val="749"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color w:val="auto"/>
                <w:kern w:val="0"/>
                <w:szCs w:val="21"/>
                <w:highlight w:val="none"/>
              </w:rPr>
              <w:t>项目预算金额、最高限价</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left"/>
              <w:rPr>
                <w:rFonts w:hint="eastAsia"/>
                <w:color w:val="auto"/>
                <w:highlight w:val="none"/>
              </w:rPr>
            </w:pPr>
            <w:r>
              <w:rPr>
                <w:rFonts w:hint="eastAsia"/>
                <w:color w:val="auto"/>
                <w:highlight w:val="none"/>
              </w:rPr>
              <w:t>本项目预算总金额：人民币</w:t>
            </w:r>
            <w:r>
              <w:rPr>
                <w:rFonts w:hint="eastAsia"/>
                <w:color w:val="auto"/>
                <w:highlight w:val="none"/>
                <w:lang w:eastAsia="zh-CN"/>
              </w:rPr>
              <w:t>311.907</w:t>
            </w:r>
            <w:r>
              <w:rPr>
                <w:rFonts w:hint="eastAsia"/>
                <w:color w:val="auto"/>
                <w:highlight w:val="none"/>
              </w:rPr>
              <w:t>万元</w:t>
            </w:r>
          </w:p>
          <w:p>
            <w:pPr>
              <w:keepNext w:val="0"/>
              <w:keepLines w:val="0"/>
              <w:suppressLineNumbers w:val="0"/>
              <w:spacing w:before="0" w:beforeAutospacing="0" w:after="0" w:afterAutospacing="0"/>
              <w:ind w:left="0" w:right="0"/>
              <w:rPr>
                <w:rFonts w:hint="eastAsia"/>
                <w:color w:val="auto"/>
                <w:highlight w:val="none"/>
              </w:rPr>
            </w:pPr>
            <w:r>
              <w:rPr>
                <w:rFonts w:hint="eastAsia"/>
                <w:color w:val="auto"/>
                <w:highlight w:val="none"/>
              </w:rPr>
              <w:t>001包：</w:t>
            </w:r>
          </w:p>
          <w:p>
            <w:pPr>
              <w:keepNext w:val="0"/>
              <w:keepLines w:val="0"/>
              <w:suppressLineNumbers w:val="0"/>
              <w:spacing w:before="0" w:beforeAutospacing="0" w:after="0" w:afterAutospacing="0"/>
              <w:ind w:left="0" w:right="0"/>
              <w:rPr>
                <w:rFonts w:hint="eastAsia"/>
                <w:color w:val="auto"/>
                <w:highlight w:val="none"/>
              </w:rPr>
            </w:pPr>
            <w:r>
              <w:rPr>
                <w:rFonts w:hint="eastAsia"/>
                <w:color w:val="auto"/>
                <w:highlight w:val="none"/>
              </w:rPr>
              <w:t>最高限价：人民币</w:t>
            </w:r>
            <w:r>
              <w:rPr>
                <w:rFonts w:hint="eastAsia"/>
                <w:color w:val="auto"/>
                <w:highlight w:val="none"/>
                <w:lang w:val="en-US" w:eastAsia="zh-CN"/>
              </w:rPr>
              <w:t>162.6000</w:t>
            </w:r>
            <w:r>
              <w:rPr>
                <w:rFonts w:hint="eastAsia"/>
                <w:color w:val="auto"/>
                <w:highlight w:val="none"/>
              </w:rPr>
              <w:t>万元</w:t>
            </w:r>
          </w:p>
          <w:p>
            <w:pPr>
              <w:keepNext w:val="0"/>
              <w:keepLines w:val="0"/>
              <w:suppressLineNumbers w:val="0"/>
              <w:spacing w:before="0" w:beforeAutospacing="0" w:after="0" w:afterAutospacing="0"/>
              <w:ind w:left="0" w:right="0"/>
              <w:rPr>
                <w:rFonts w:hint="eastAsia"/>
                <w:color w:val="auto"/>
                <w:highlight w:val="none"/>
                <w:lang w:eastAsia="zh-CN"/>
              </w:rPr>
            </w:pPr>
            <w:r>
              <w:rPr>
                <w:rFonts w:hint="eastAsia"/>
                <w:color w:val="auto"/>
                <w:highlight w:val="none"/>
                <w:lang w:val="en-US" w:eastAsia="zh-CN"/>
              </w:rPr>
              <w:t>总价：</w:t>
            </w:r>
            <w:r>
              <w:rPr>
                <w:rFonts w:hint="eastAsia"/>
                <w:color w:val="auto"/>
                <w:highlight w:val="none"/>
              </w:rPr>
              <w:t>人民币</w:t>
            </w:r>
            <w:r>
              <w:rPr>
                <w:rFonts w:hint="eastAsia"/>
                <w:color w:val="auto"/>
                <w:highlight w:val="none"/>
                <w:lang w:val="en-US" w:eastAsia="zh-CN"/>
              </w:rPr>
              <w:t>162.6000</w:t>
            </w:r>
            <w:r>
              <w:rPr>
                <w:rFonts w:hint="eastAsia"/>
                <w:color w:val="auto"/>
                <w:highlight w:val="none"/>
              </w:rPr>
              <w:t>万元</w:t>
            </w:r>
          </w:p>
          <w:p>
            <w:pPr>
              <w:keepNext w:val="0"/>
              <w:keepLines w:val="0"/>
              <w:suppressLineNumbers w:val="0"/>
              <w:spacing w:before="0" w:beforeAutospacing="0" w:after="0" w:afterAutospacing="0"/>
              <w:ind w:left="0" w:right="0"/>
              <w:rPr>
                <w:rFonts w:hint="eastAsia"/>
                <w:color w:val="auto"/>
                <w:highlight w:val="none"/>
                <w:lang w:val="en-US" w:eastAsia="zh-CN"/>
              </w:rPr>
            </w:pPr>
            <w:r>
              <w:rPr>
                <w:rFonts w:hint="eastAsia"/>
                <w:color w:val="auto"/>
                <w:highlight w:val="none"/>
                <w:lang w:val="en-US" w:eastAsia="zh-CN"/>
              </w:rPr>
              <w:t>单价：</w:t>
            </w:r>
          </w:p>
          <w:p>
            <w:pPr>
              <w:keepNext w:val="0"/>
              <w:keepLines w:val="0"/>
              <w:suppressLineNumbers w:val="0"/>
              <w:spacing w:before="0" w:beforeAutospacing="0" w:after="0" w:afterAutospacing="0"/>
              <w:ind w:left="0" w:right="0"/>
              <w:rPr>
                <w:rFonts w:hint="eastAsia"/>
                <w:color w:val="auto"/>
                <w:highlight w:val="none"/>
                <w:lang w:val="en-US" w:eastAsia="zh-CN"/>
              </w:rPr>
            </w:pPr>
            <w:r>
              <w:rPr>
                <w:rFonts w:hint="eastAsia"/>
                <w:color w:val="auto"/>
                <w:highlight w:val="none"/>
                <w:lang w:val="en-US" w:eastAsia="zh-CN"/>
              </w:rPr>
              <w:t xml:space="preserve">001-1：北斗有源终端   </w:t>
            </w:r>
            <w:r>
              <w:rPr>
                <w:rFonts w:hint="eastAsia"/>
                <w:color w:val="auto"/>
                <w:highlight w:val="none"/>
              </w:rPr>
              <w:t>人民币</w:t>
            </w:r>
            <w:r>
              <w:rPr>
                <w:rFonts w:hint="eastAsia"/>
                <w:color w:val="auto"/>
                <w:highlight w:val="none"/>
                <w:lang w:val="en-US" w:eastAsia="zh-CN"/>
              </w:rPr>
              <w:t>1.0000</w:t>
            </w:r>
            <w:r>
              <w:rPr>
                <w:rFonts w:hint="eastAsia"/>
                <w:color w:val="auto"/>
                <w:highlight w:val="none"/>
              </w:rPr>
              <w:t>万元</w:t>
            </w:r>
          </w:p>
          <w:p>
            <w:pPr>
              <w:keepNext w:val="0"/>
              <w:keepLines w:val="0"/>
              <w:suppressLineNumbers w:val="0"/>
              <w:spacing w:before="0" w:beforeAutospacing="0" w:after="0" w:afterAutospacing="0"/>
              <w:ind w:left="0" w:right="0"/>
              <w:rPr>
                <w:rFonts w:hint="eastAsia"/>
                <w:color w:val="auto"/>
                <w:highlight w:val="none"/>
              </w:rPr>
            </w:pPr>
            <w:r>
              <w:rPr>
                <w:rFonts w:hint="eastAsia"/>
                <w:color w:val="auto"/>
                <w:highlight w:val="none"/>
                <w:lang w:val="en-US" w:eastAsia="zh-CN"/>
              </w:rPr>
              <w:t xml:space="preserve">001-2：卫星电话       </w:t>
            </w:r>
            <w:r>
              <w:rPr>
                <w:rFonts w:hint="eastAsia"/>
                <w:color w:val="auto"/>
                <w:highlight w:val="none"/>
              </w:rPr>
              <w:t>人民币0.6000万元</w:t>
            </w:r>
          </w:p>
          <w:p>
            <w:pPr>
              <w:keepNext w:val="0"/>
              <w:keepLines w:val="0"/>
              <w:suppressLineNumbers w:val="0"/>
              <w:spacing w:before="0" w:beforeAutospacing="0" w:after="0" w:afterAutospacing="0"/>
              <w:ind w:left="0" w:right="0"/>
              <w:rPr>
                <w:rFonts w:hint="eastAsia"/>
                <w:color w:val="auto"/>
                <w:highlight w:val="none"/>
              </w:rPr>
            </w:pPr>
            <w:r>
              <w:rPr>
                <w:rFonts w:hint="eastAsia"/>
                <w:color w:val="auto"/>
                <w:highlight w:val="none"/>
                <w:lang w:val="en-US" w:eastAsia="zh-CN"/>
              </w:rPr>
              <w:t xml:space="preserve">001-3：卫星便携站     </w:t>
            </w:r>
            <w:r>
              <w:rPr>
                <w:rFonts w:hint="eastAsia"/>
                <w:color w:val="auto"/>
                <w:highlight w:val="none"/>
              </w:rPr>
              <w:t>人民币69.5000 万元</w:t>
            </w:r>
          </w:p>
          <w:p>
            <w:pPr>
              <w:keepNext w:val="0"/>
              <w:keepLines w:val="0"/>
              <w:suppressLineNumbers w:val="0"/>
              <w:spacing w:before="0" w:beforeAutospacing="0" w:after="0" w:afterAutospacing="0"/>
              <w:ind w:left="0" w:right="0"/>
              <w:rPr>
                <w:rFonts w:hint="eastAsia"/>
                <w:color w:val="auto"/>
                <w:highlight w:val="none"/>
              </w:rPr>
            </w:pPr>
            <w:r>
              <w:rPr>
                <w:rFonts w:hint="eastAsia"/>
                <w:color w:val="auto"/>
                <w:highlight w:val="none"/>
              </w:rPr>
              <w:t>00</w:t>
            </w:r>
            <w:r>
              <w:rPr>
                <w:rFonts w:hint="eastAsia"/>
                <w:color w:val="auto"/>
                <w:highlight w:val="none"/>
                <w:lang w:val="en-US" w:eastAsia="zh-CN"/>
              </w:rPr>
              <w:t>8</w:t>
            </w:r>
            <w:r>
              <w:rPr>
                <w:rFonts w:hint="eastAsia"/>
                <w:color w:val="auto"/>
                <w:highlight w:val="none"/>
              </w:rPr>
              <w:t>包：</w:t>
            </w:r>
          </w:p>
          <w:p>
            <w:pPr>
              <w:keepNext w:val="0"/>
              <w:keepLines w:val="0"/>
              <w:suppressLineNumbers w:val="0"/>
              <w:spacing w:before="0" w:beforeAutospacing="0" w:after="0" w:afterAutospacing="0"/>
              <w:ind w:left="0" w:right="0"/>
              <w:rPr>
                <w:rFonts w:hint="eastAsia"/>
                <w:color w:val="auto"/>
                <w:highlight w:val="none"/>
              </w:rPr>
            </w:pPr>
            <w:r>
              <w:rPr>
                <w:rFonts w:hint="eastAsia"/>
                <w:color w:val="auto"/>
                <w:highlight w:val="none"/>
              </w:rPr>
              <w:t>最高限价：人民币149.3070万元</w:t>
            </w:r>
          </w:p>
          <w:p>
            <w:pPr>
              <w:keepNext w:val="0"/>
              <w:keepLines w:val="0"/>
              <w:suppressLineNumbers w:val="0"/>
              <w:spacing w:before="0" w:beforeAutospacing="0" w:after="0" w:afterAutospacing="0"/>
              <w:ind w:left="0" w:right="0"/>
              <w:rPr>
                <w:rFonts w:hint="eastAsia"/>
                <w:color w:val="auto"/>
                <w:highlight w:val="none"/>
                <w:lang w:eastAsia="zh-CN"/>
              </w:rPr>
            </w:pPr>
            <w:r>
              <w:rPr>
                <w:rFonts w:hint="eastAsia"/>
                <w:color w:val="auto"/>
                <w:highlight w:val="none"/>
                <w:lang w:val="en-US" w:eastAsia="zh-CN"/>
              </w:rPr>
              <w:t>总价：</w:t>
            </w:r>
            <w:r>
              <w:rPr>
                <w:rFonts w:hint="eastAsia"/>
                <w:color w:val="auto"/>
                <w:highlight w:val="none"/>
              </w:rPr>
              <w:t>人民币149.3070万元</w:t>
            </w:r>
          </w:p>
          <w:p>
            <w:pPr>
              <w:keepNext w:val="0"/>
              <w:keepLines w:val="0"/>
              <w:suppressLineNumbers w:val="0"/>
              <w:spacing w:before="0" w:beforeAutospacing="0" w:after="0" w:afterAutospacing="0"/>
              <w:ind w:left="0" w:right="0"/>
              <w:rPr>
                <w:rFonts w:hint="eastAsia"/>
                <w:color w:val="auto"/>
                <w:highlight w:val="none"/>
                <w:lang w:val="en-US" w:eastAsia="zh-CN"/>
              </w:rPr>
            </w:pPr>
            <w:r>
              <w:rPr>
                <w:rFonts w:hint="eastAsia"/>
                <w:color w:val="auto"/>
                <w:highlight w:val="none"/>
                <w:lang w:val="en-US" w:eastAsia="zh-CN"/>
              </w:rPr>
              <w:t>单价：</w:t>
            </w:r>
          </w:p>
          <w:p>
            <w:pPr>
              <w:keepNext w:val="0"/>
              <w:keepLines w:val="0"/>
              <w:suppressLineNumbers w:val="0"/>
              <w:spacing w:before="0" w:beforeAutospacing="0" w:after="0" w:afterAutospacing="0"/>
              <w:ind w:left="0" w:right="0"/>
              <w:rPr>
                <w:rFonts w:hint="eastAsia"/>
                <w:color w:val="auto"/>
                <w:highlight w:val="none"/>
              </w:rPr>
            </w:pPr>
            <w:r>
              <w:rPr>
                <w:rFonts w:hint="eastAsia"/>
                <w:color w:val="auto"/>
                <w:highlight w:val="none"/>
                <w:lang w:val="en-US" w:eastAsia="zh-CN"/>
              </w:rPr>
              <w:t xml:space="preserve">008-1：背负式可视系统     </w:t>
            </w:r>
            <w:r>
              <w:rPr>
                <w:rFonts w:hint="eastAsia"/>
                <w:color w:val="auto"/>
                <w:highlight w:val="none"/>
              </w:rPr>
              <w:t>人民币9.0000万元</w:t>
            </w:r>
          </w:p>
          <w:p>
            <w:pPr>
              <w:keepNext w:val="0"/>
              <w:keepLines w:val="0"/>
              <w:suppressLineNumbers w:val="0"/>
              <w:spacing w:before="0" w:beforeAutospacing="0" w:after="0" w:afterAutospacing="0"/>
              <w:ind w:left="0" w:right="0"/>
              <w:rPr>
                <w:rFonts w:hint="eastAsia"/>
                <w:color w:val="auto"/>
                <w:highlight w:val="none"/>
              </w:rPr>
            </w:pPr>
            <w:r>
              <w:rPr>
                <w:rFonts w:hint="eastAsia"/>
                <w:color w:val="auto"/>
                <w:highlight w:val="none"/>
                <w:lang w:val="en-US" w:eastAsia="zh-CN"/>
              </w:rPr>
              <w:t xml:space="preserve">008-2：无线中继台         </w:t>
            </w:r>
            <w:r>
              <w:rPr>
                <w:rFonts w:hint="eastAsia"/>
                <w:color w:val="auto"/>
                <w:highlight w:val="none"/>
              </w:rPr>
              <w:t>人民币10.0000万元</w:t>
            </w:r>
          </w:p>
          <w:p>
            <w:pPr>
              <w:keepNext w:val="0"/>
              <w:keepLines w:val="0"/>
              <w:suppressLineNumbers w:val="0"/>
              <w:spacing w:before="0" w:beforeAutospacing="0" w:after="0" w:afterAutospacing="0"/>
              <w:ind w:left="0" w:right="0"/>
              <w:rPr>
                <w:rFonts w:hint="eastAsia"/>
                <w:color w:val="auto"/>
                <w:highlight w:val="none"/>
                <w:lang w:eastAsia="zh-CN"/>
              </w:rPr>
            </w:pPr>
            <w:r>
              <w:rPr>
                <w:rFonts w:hint="eastAsia"/>
                <w:color w:val="auto"/>
                <w:highlight w:val="none"/>
                <w:lang w:val="en-US" w:eastAsia="zh-CN"/>
              </w:rPr>
              <w:t xml:space="preserve">008-3：消防员单兵图侦系统 </w:t>
            </w:r>
            <w:r>
              <w:rPr>
                <w:rFonts w:hint="eastAsia"/>
                <w:color w:val="auto"/>
                <w:highlight w:val="none"/>
              </w:rPr>
              <w:t>人民币11.7690万元</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4</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1425"/>
              </w:tabs>
              <w:spacing w:before="0" w:beforeAutospacing="0" w:after="0" w:afterAutospacing="0"/>
              <w:ind w:left="0" w:right="0"/>
              <w:jc w:val="center"/>
              <w:rPr>
                <w:rFonts w:hint="eastAsia" w:ascii="仿宋" w:hAnsi="仿宋" w:cs="仿宋"/>
                <w:bCs/>
                <w:color w:val="auto"/>
                <w:kern w:val="0"/>
                <w:szCs w:val="21"/>
                <w:highlight w:val="none"/>
              </w:rPr>
            </w:pPr>
            <w:r>
              <w:rPr>
                <w:rFonts w:hint="eastAsia" w:ascii="仿宋" w:hAnsi="仿宋" w:cs="仿宋"/>
                <w:bCs/>
                <w:color w:val="auto"/>
                <w:kern w:val="0"/>
                <w:szCs w:val="21"/>
                <w:highlight w:val="none"/>
              </w:rPr>
              <w:t>计量单位</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bCs/>
                <w:color w:val="auto"/>
                <w:kern w:val="0"/>
                <w:szCs w:val="21"/>
                <w:highlight w:val="none"/>
              </w:rPr>
              <w:sym w:font="Wingdings 2" w:char="0052"/>
            </w:r>
            <w:r>
              <w:rPr>
                <w:rFonts w:hint="eastAsia" w:ascii="仿宋" w:hAnsi="仿宋" w:cs="仿宋"/>
                <w:bCs/>
                <w:color w:val="auto"/>
                <w:kern w:val="0"/>
                <w:szCs w:val="21"/>
                <w:highlight w:val="none"/>
              </w:rPr>
              <w:t>中华人民共和国法定计量单位</w:t>
            </w:r>
          </w:p>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bCs/>
                <w:color w:val="auto"/>
                <w:kern w:val="0"/>
                <w:szCs w:val="21"/>
                <w:highlight w:val="none"/>
              </w:rPr>
              <w:sym w:font="Wingdings 2" w:char="00A3"/>
            </w:r>
            <w:r>
              <w:rPr>
                <w:rFonts w:hint="eastAsia" w:ascii="仿宋" w:hAnsi="仿宋" w:cs="仿宋"/>
                <w:bCs/>
                <w:color w:val="auto"/>
                <w:kern w:val="0"/>
                <w:szCs w:val="21"/>
                <w:highlight w:val="none"/>
              </w:rPr>
              <w:t>其他：</w:t>
            </w:r>
            <w:r>
              <w:rPr>
                <w:rFonts w:hint="eastAsia" w:ascii="仿宋" w:hAnsi="仿宋" w:cs="仿宋"/>
                <w:bCs/>
                <w:color w:val="auto"/>
                <w:kern w:val="0"/>
                <w:szCs w:val="21"/>
                <w:highlight w:val="none"/>
                <w:u w:val="single"/>
              </w:rPr>
              <w:t xml:space="preserve">             </w:t>
            </w:r>
          </w:p>
        </w:tc>
      </w:tr>
      <w:tr>
        <w:tblPrEx>
          <w:tblCellMar>
            <w:top w:w="0" w:type="dxa"/>
            <w:left w:w="108" w:type="dxa"/>
            <w:bottom w:w="0" w:type="dxa"/>
            <w:right w:w="108" w:type="dxa"/>
          </w:tblCellMar>
        </w:tblPrEx>
        <w:trPr>
          <w:trHeight w:val="564"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6.1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kern w:val="0"/>
                <w:szCs w:val="21"/>
                <w:highlight w:val="none"/>
              </w:rPr>
              <w:t>现场考察、开标前答疑会</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不组织</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组织，时  间：</w:t>
            </w:r>
            <w:r>
              <w:rPr>
                <w:rFonts w:hint="eastAsia" w:ascii="仿宋" w:hAnsi="仿宋" w:cs="仿宋"/>
                <w:bCs/>
                <w:color w:val="auto"/>
                <w:kern w:val="0"/>
                <w:szCs w:val="21"/>
                <w:highlight w:val="none"/>
                <w:u w:val="single"/>
              </w:rPr>
              <w:t xml:space="preserve">         </w:t>
            </w:r>
          </w:p>
          <w:p>
            <w:pPr>
              <w:keepNext w:val="0"/>
              <w:keepLines w:val="0"/>
              <w:widowControl/>
              <w:suppressLineNumbers w:val="0"/>
              <w:spacing w:before="0" w:beforeAutospacing="0" w:after="0" w:afterAutospacing="0"/>
              <w:ind w:left="-105" w:leftChars="-50" w:right="0" w:firstLine="949" w:firstLineChars="452"/>
              <w:rPr>
                <w:rFonts w:hint="eastAsia" w:ascii="仿宋" w:hAnsi="仿宋" w:cs="仿宋"/>
                <w:color w:val="auto"/>
                <w:kern w:val="0"/>
                <w:szCs w:val="21"/>
                <w:highlight w:val="none"/>
              </w:rPr>
            </w:pPr>
            <w:r>
              <w:rPr>
                <w:rFonts w:hint="eastAsia" w:ascii="仿宋" w:hAnsi="仿宋" w:cs="仿宋"/>
                <w:color w:val="auto"/>
                <w:kern w:val="0"/>
                <w:szCs w:val="21"/>
                <w:highlight w:val="none"/>
              </w:rPr>
              <w:t>地  点：</w:t>
            </w:r>
            <w:r>
              <w:rPr>
                <w:rFonts w:hint="eastAsia" w:ascii="仿宋" w:hAnsi="仿宋" w:cs="仿宋"/>
                <w:bCs/>
                <w:color w:val="auto"/>
                <w:kern w:val="0"/>
                <w:szCs w:val="21"/>
                <w:highlight w:val="none"/>
                <w:u w:val="single"/>
              </w:rPr>
              <w:t xml:space="preserve">         </w:t>
            </w:r>
          </w:p>
          <w:p>
            <w:pPr>
              <w:keepNext w:val="0"/>
              <w:keepLines w:val="0"/>
              <w:suppressLineNumbers w:val="0"/>
              <w:spacing w:before="0" w:beforeAutospacing="0" w:after="0" w:afterAutospacing="0"/>
              <w:ind w:left="-105" w:leftChars="-50" w:right="0" w:firstLine="949" w:firstLineChars="452"/>
              <w:rPr>
                <w:rFonts w:hint="eastAsia" w:ascii="仿宋" w:hAnsi="仿宋" w:cs="仿宋"/>
                <w:color w:val="auto"/>
                <w:kern w:val="0"/>
                <w:szCs w:val="21"/>
                <w:highlight w:val="none"/>
              </w:rPr>
            </w:pPr>
            <w:r>
              <w:rPr>
                <w:rFonts w:hint="eastAsia" w:ascii="仿宋" w:hAnsi="仿宋" w:cs="仿宋"/>
                <w:color w:val="auto"/>
                <w:kern w:val="0"/>
                <w:szCs w:val="21"/>
                <w:highlight w:val="none"/>
              </w:rPr>
              <w:t>联系人：</w:t>
            </w:r>
            <w:r>
              <w:rPr>
                <w:rFonts w:hint="eastAsia" w:ascii="仿宋" w:hAnsi="仿宋" w:cs="仿宋"/>
                <w:bCs/>
                <w:color w:val="auto"/>
                <w:kern w:val="0"/>
                <w:szCs w:val="21"/>
                <w:highlight w:val="none"/>
                <w:u w:val="single"/>
              </w:rPr>
              <w:t xml:space="preserve">         </w:t>
            </w:r>
          </w:p>
          <w:p>
            <w:pPr>
              <w:keepNext w:val="0"/>
              <w:keepLines w:val="0"/>
              <w:suppressLineNumbers w:val="0"/>
              <w:spacing w:before="0" w:beforeAutospacing="0" w:after="0" w:afterAutospacing="0"/>
              <w:ind w:left="-105" w:leftChars="-50" w:right="0" w:firstLine="949" w:firstLineChars="452"/>
              <w:rPr>
                <w:rFonts w:hint="eastAsia" w:ascii="仿宋" w:hAnsi="仿宋" w:cs="仿宋"/>
                <w:color w:val="auto"/>
                <w:kern w:val="0"/>
                <w:szCs w:val="21"/>
                <w:highlight w:val="none"/>
              </w:rPr>
            </w:pPr>
            <w:r>
              <w:rPr>
                <w:rFonts w:hint="eastAsia" w:ascii="仿宋" w:hAnsi="仿宋" w:cs="仿宋"/>
                <w:color w:val="auto"/>
                <w:kern w:val="0"/>
                <w:szCs w:val="21"/>
                <w:highlight w:val="none"/>
              </w:rPr>
              <w:t>电  话：</w:t>
            </w:r>
            <w:r>
              <w:rPr>
                <w:rFonts w:hint="eastAsia" w:ascii="仿宋" w:hAnsi="仿宋" w:cs="仿宋"/>
                <w:bCs/>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组织，</w:t>
            </w:r>
            <w:r>
              <w:rPr>
                <w:rFonts w:hint="eastAsia" w:ascii="仿宋" w:hAnsi="仿宋" w:cs="仿宋"/>
                <w:color w:val="auto"/>
                <w:kern w:val="0"/>
                <w:szCs w:val="21"/>
                <w:highlight w:val="none"/>
                <w:lang w:eastAsia="zh-CN"/>
              </w:rPr>
              <w:t>招标文件</w:t>
            </w:r>
            <w:r>
              <w:rPr>
                <w:rFonts w:hint="eastAsia" w:ascii="仿宋" w:hAnsi="仿宋" w:cs="仿宋"/>
                <w:color w:val="auto"/>
                <w:kern w:val="0"/>
                <w:szCs w:val="21"/>
                <w:highlight w:val="none"/>
              </w:rPr>
              <w:t>提供期限截止后以书面形式通知。</w:t>
            </w:r>
          </w:p>
        </w:tc>
      </w:tr>
      <w:tr>
        <w:tblPrEx>
          <w:tblCellMar>
            <w:top w:w="0" w:type="dxa"/>
            <w:left w:w="108" w:type="dxa"/>
            <w:bottom w:w="0" w:type="dxa"/>
            <w:right w:w="108" w:type="dxa"/>
          </w:tblCellMar>
        </w:tblPrEx>
        <w:trPr>
          <w:trHeight w:val="564"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10.3</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_GB2312" w:hAnsi="仿宋_GB2312" w:eastAsia="仿宋_GB2312" w:cs="仿宋_GB2312"/>
                <w:color w:val="auto"/>
                <w:kern w:val="0"/>
                <w:szCs w:val="21"/>
                <w:highlight w:val="none"/>
              </w:rPr>
              <w:t>核心产品</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u w:val="single"/>
                <w:lang w:val="en-US" w:eastAsia="zh-CN"/>
              </w:rPr>
              <w:t>001包：卫星便携站</w:t>
            </w:r>
            <w:r>
              <w:rPr>
                <w:rFonts w:hint="eastAsia" w:ascii="仿宋_GB2312" w:hAnsi="仿宋_GB2312" w:eastAsia="仿宋_GB2312" w:cs="仿宋_GB2312"/>
                <w:color w:val="auto"/>
                <w:szCs w:val="21"/>
                <w:highlight w:val="none"/>
                <w:u w:val="single"/>
              </w:rPr>
              <w:t xml:space="preserve"> </w:t>
            </w:r>
          </w:p>
          <w:p>
            <w:pPr>
              <w:keepNext w:val="0"/>
              <w:keepLines w:val="0"/>
              <w:widowControl/>
              <w:suppressLineNumbers w:val="0"/>
              <w:spacing w:before="0" w:beforeAutospacing="0" w:after="0" w:afterAutospacing="0"/>
              <w:ind w:left="0" w:right="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u w:val="single"/>
                <w:lang w:val="en-US" w:eastAsia="zh-CN"/>
              </w:rPr>
              <w:t>008包：无线中继台</w:t>
            </w:r>
            <w:r>
              <w:rPr>
                <w:rFonts w:hint="eastAsia" w:ascii="仿宋_GB2312" w:hAnsi="仿宋_GB2312" w:eastAsia="仿宋_GB2312" w:cs="仿宋_GB2312"/>
                <w:color w:val="auto"/>
                <w:szCs w:val="21"/>
                <w:highlight w:val="none"/>
                <w:u w:val="single"/>
              </w:rPr>
              <w:t xml:space="preserve">  </w:t>
            </w:r>
          </w:p>
          <w:p>
            <w:pPr>
              <w:keepNext w:val="0"/>
              <w:keepLines w:val="0"/>
              <w:widowControl/>
              <w:suppressLineNumbers w:val="0"/>
              <w:spacing w:before="0" w:beforeAutospacing="0" w:after="0" w:afterAutospacing="0"/>
              <w:ind w:left="0" w:right="0"/>
              <w:rPr>
                <w:rFonts w:hint="eastAsia" w:ascii="仿宋" w:hAnsi="仿宋" w:eastAsia="仿宋_GB2312" w:cs="仿宋"/>
                <w:color w:val="auto"/>
                <w:kern w:val="0"/>
                <w:szCs w:val="21"/>
                <w:highlight w:val="none"/>
              </w:rPr>
            </w:pPr>
            <w:r>
              <w:rPr>
                <w:rFonts w:hint="eastAsia" w:ascii="仿宋_GB2312" w:hAnsi="仿宋_GB2312" w:eastAsia="仿宋_GB2312" w:cs="仿宋_GB2312"/>
                <w:color w:val="auto"/>
                <w:szCs w:val="21"/>
                <w:highlight w:val="none"/>
              </w:rPr>
              <w:t>（非单一产品采购时，只能设一个核心产品）</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11.3</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样品或演示</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不</w:t>
            </w:r>
            <w:r>
              <w:rPr>
                <w:rFonts w:hint="eastAsia" w:ascii="仿宋" w:hAnsi="仿宋" w:cs="仿宋"/>
                <w:bCs/>
                <w:color w:val="auto"/>
                <w:kern w:val="0"/>
                <w:szCs w:val="21"/>
                <w:highlight w:val="none"/>
              </w:rPr>
              <w:t>需要提供样品</w:t>
            </w:r>
          </w:p>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bCs/>
                <w:color w:val="auto"/>
                <w:kern w:val="0"/>
                <w:szCs w:val="21"/>
                <w:highlight w:val="none"/>
              </w:rPr>
              <w:t>需要提供样品</w:t>
            </w:r>
          </w:p>
          <w:p>
            <w:pPr>
              <w:keepNext w:val="0"/>
              <w:keepLines w:val="0"/>
              <w:suppressLineNumbers w:val="0"/>
              <w:spacing w:before="0" w:beforeAutospacing="0" w:after="0" w:afterAutospacing="0"/>
              <w:ind w:left="0" w:right="0" w:firstLine="210" w:firstLineChars="100"/>
              <w:rPr>
                <w:rFonts w:hint="eastAsia" w:ascii="仿宋" w:hAnsi="仿宋" w:cs="仿宋"/>
                <w:bCs/>
                <w:color w:val="auto"/>
                <w:kern w:val="0"/>
                <w:szCs w:val="21"/>
                <w:highlight w:val="none"/>
              </w:rPr>
            </w:pPr>
            <w:r>
              <w:rPr>
                <w:rFonts w:hint="eastAsia" w:ascii="仿宋" w:hAnsi="仿宋" w:cs="仿宋"/>
                <w:color w:val="auto"/>
                <w:kern w:val="0"/>
                <w:szCs w:val="21"/>
                <w:highlight w:val="none"/>
              </w:rPr>
              <w:t>1、递交</w:t>
            </w:r>
            <w:r>
              <w:rPr>
                <w:rFonts w:hint="eastAsia" w:ascii="仿宋" w:hAnsi="仿宋" w:cs="仿宋"/>
                <w:bCs/>
                <w:color w:val="auto"/>
                <w:kern w:val="0"/>
                <w:szCs w:val="21"/>
                <w:highlight w:val="none"/>
              </w:rPr>
              <w:t>样品的截止时间：</w:t>
            </w:r>
            <w:r>
              <w:rPr>
                <w:rFonts w:hint="eastAsia" w:ascii="仿宋" w:hAnsi="仿宋" w:cs="仿宋"/>
                <w:bCs/>
                <w:color w:val="auto"/>
                <w:kern w:val="0"/>
                <w:szCs w:val="21"/>
                <w:highlight w:val="none"/>
                <w:u w:val="single"/>
              </w:rPr>
              <w:t>202</w:t>
            </w:r>
            <w:r>
              <w:rPr>
                <w:rFonts w:hint="eastAsia" w:ascii="仿宋" w:hAnsi="仿宋" w:cs="仿宋"/>
                <w:bCs/>
                <w:color w:val="auto"/>
                <w:kern w:val="0"/>
                <w:szCs w:val="21"/>
                <w:highlight w:val="none"/>
                <w:u w:val="single"/>
                <w:lang w:val="en-US" w:eastAsia="zh-CN"/>
              </w:rPr>
              <w:t>4</w:t>
            </w:r>
            <w:r>
              <w:rPr>
                <w:rFonts w:hint="eastAsia" w:ascii="仿宋" w:hAnsi="仿宋" w:cs="仿宋"/>
                <w:bCs/>
                <w:color w:val="auto"/>
                <w:kern w:val="0"/>
                <w:szCs w:val="21"/>
                <w:highlight w:val="none"/>
              </w:rPr>
              <w:t>年</w:t>
            </w:r>
            <w:r>
              <w:rPr>
                <w:rFonts w:hint="eastAsia" w:ascii="仿宋" w:hAnsi="仿宋" w:cs="仿宋"/>
                <w:bCs/>
                <w:color w:val="auto"/>
                <w:kern w:val="0"/>
                <w:szCs w:val="21"/>
                <w:highlight w:val="none"/>
                <w:u w:val="single"/>
                <w:lang w:val="en-US" w:eastAsia="zh-CN"/>
              </w:rPr>
              <w:t xml:space="preserve"> 07 </w:t>
            </w:r>
            <w:r>
              <w:rPr>
                <w:rFonts w:hint="eastAsia" w:ascii="仿宋" w:hAnsi="仿宋" w:cs="仿宋"/>
                <w:bCs/>
                <w:color w:val="auto"/>
                <w:kern w:val="0"/>
                <w:szCs w:val="21"/>
                <w:highlight w:val="none"/>
              </w:rPr>
              <w:t>月</w:t>
            </w:r>
            <w:r>
              <w:rPr>
                <w:rFonts w:hint="eastAsia" w:ascii="仿宋" w:hAnsi="仿宋" w:cs="仿宋"/>
                <w:bCs/>
                <w:color w:val="auto"/>
                <w:kern w:val="0"/>
                <w:szCs w:val="21"/>
                <w:highlight w:val="none"/>
                <w:u w:val="single"/>
                <w:lang w:val="en-US" w:eastAsia="zh-CN"/>
              </w:rPr>
              <w:t xml:space="preserve"> 10 </w:t>
            </w:r>
            <w:r>
              <w:rPr>
                <w:rFonts w:hint="eastAsia" w:ascii="仿宋" w:hAnsi="仿宋" w:cs="仿宋"/>
                <w:bCs/>
                <w:color w:val="auto"/>
                <w:kern w:val="0"/>
                <w:szCs w:val="21"/>
                <w:highlight w:val="none"/>
                <w:lang w:val="en-US" w:eastAsia="zh-CN"/>
              </w:rPr>
              <w:t>日</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u w:val="single"/>
                <w:lang w:val="en-US" w:eastAsia="zh-CN"/>
              </w:rPr>
              <w:t xml:space="preserve">09:30 </w:t>
            </w:r>
            <w:r>
              <w:rPr>
                <w:rFonts w:hint="eastAsia" w:ascii="仿宋" w:hAnsi="仿宋" w:cs="仿宋"/>
                <w:color w:val="auto"/>
                <w:kern w:val="0"/>
                <w:szCs w:val="21"/>
                <w:highlight w:val="none"/>
              </w:rPr>
              <w:t>时</w:t>
            </w:r>
            <w:r>
              <w:rPr>
                <w:rFonts w:hint="eastAsia" w:ascii="仿宋" w:hAnsi="仿宋" w:cs="仿宋"/>
                <w:bCs/>
                <w:color w:val="auto"/>
                <w:kern w:val="0"/>
                <w:szCs w:val="21"/>
                <w:highlight w:val="none"/>
              </w:rPr>
              <w:t>（北京时间）</w:t>
            </w:r>
          </w:p>
          <w:p>
            <w:pPr>
              <w:keepNext w:val="0"/>
              <w:keepLines w:val="0"/>
              <w:suppressLineNumbers w:val="0"/>
              <w:spacing w:before="0" w:beforeAutospacing="0" w:after="0" w:afterAutospacing="0"/>
              <w:ind w:left="630" w:leftChars="30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t>递交样品地点：</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u w:val="single"/>
                <w:lang w:val="en-US" w:eastAsia="zh-CN"/>
              </w:rPr>
              <w:t>辽宁省沈阳市沈河区九纬路46号七楼</w:t>
            </w:r>
            <w:r>
              <w:rPr>
                <w:rFonts w:hint="eastAsia" w:ascii="仿宋" w:hAnsi="仿宋" w:cs="仿宋"/>
                <w:color w:val="auto"/>
                <w:kern w:val="0"/>
                <w:szCs w:val="21"/>
                <w:highlight w:val="none"/>
                <w:u w:val="single"/>
              </w:rPr>
              <w:t xml:space="preserve">                     </w:t>
            </w:r>
          </w:p>
          <w:p>
            <w:pPr>
              <w:keepNext w:val="0"/>
              <w:keepLines w:val="0"/>
              <w:suppressLineNumbers w:val="0"/>
              <w:spacing w:before="0" w:beforeAutospacing="0" w:after="0" w:afterAutospacing="0"/>
              <w:ind w:left="630" w:leftChars="30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t>递交样品联系人：</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u w:val="single"/>
                <w:lang w:val="en-US" w:eastAsia="zh-CN"/>
              </w:rPr>
              <w:t>刘巍岩、何佳姗</w:t>
            </w:r>
            <w:r>
              <w:rPr>
                <w:rFonts w:hint="eastAsia" w:ascii="仿宋" w:hAnsi="仿宋" w:cs="仿宋"/>
                <w:color w:val="auto"/>
                <w:kern w:val="0"/>
                <w:szCs w:val="21"/>
                <w:highlight w:val="none"/>
                <w:u w:val="single"/>
              </w:rPr>
              <w:t xml:space="preserve">                   </w:t>
            </w:r>
          </w:p>
          <w:p>
            <w:pPr>
              <w:keepNext w:val="0"/>
              <w:keepLines w:val="0"/>
              <w:numPr>
                <w:ilvl w:val="0"/>
                <w:numId w:val="0"/>
              </w:numPr>
              <w:suppressLineNumbers w:val="0"/>
              <w:spacing w:before="0" w:beforeAutospacing="0" w:after="0" w:afterAutospacing="0"/>
              <w:ind w:left="630" w:leftChars="300" w:right="0" w:rightChars="0"/>
              <w:rPr>
                <w:rFonts w:hint="eastAsia" w:ascii="仿宋" w:hAnsi="仿宋" w:cs="仿宋"/>
                <w:color w:val="auto"/>
                <w:kern w:val="0"/>
                <w:szCs w:val="21"/>
                <w:highlight w:val="none"/>
              </w:rPr>
            </w:pPr>
            <w:r>
              <w:rPr>
                <w:rFonts w:hint="eastAsia" w:ascii="仿宋" w:hAnsi="仿宋" w:cs="仿宋"/>
                <w:color w:val="auto"/>
                <w:kern w:val="0"/>
                <w:szCs w:val="21"/>
                <w:highlight w:val="none"/>
              </w:rPr>
              <w:t>递交样品联系电话：</w:t>
            </w:r>
            <w:r>
              <w:rPr>
                <w:rFonts w:hint="eastAsia" w:ascii="仿宋" w:hAnsi="仿宋" w:cs="仿宋"/>
                <w:color w:val="auto"/>
                <w:kern w:val="0"/>
                <w:szCs w:val="21"/>
                <w:highlight w:val="none"/>
                <w:u w:val="single"/>
              </w:rPr>
              <w:t xml:space="preserve">  024-23498855-</w:t>
            </w:r>
            <w:r>
              <w:rPr>
                <w:rFonts w:hint="eastAsia" w:ascii="仿宋" w:hAnsi="仿宋" w:cs="仿宋"/>
                <w:color w:val="auto"/>
                <w:kern w:val="0"/>
                <w:szCs w:val="21"/>
                <w:highlight w:val="none"/>
                <w:u w:val="single"/>
                <w:lang w:val="en-US" w:eastAsia="zh-CN"/>
              </w:rPr>
              <w:t>111</w:t>
            </w:r>
            <w:r>
              <w:rPr>
                <w:rFonts w:hint="eastAsia" w:ascii="仿宋" w:hAnsi="仿宋" w:cs="仿宋"/>
                <w:color w:val="auto"/>
                <w:kern w:val="0"/>
                <w:szCs w:val="21"/>
                <w:highlight w:val="none"/>
                <w:u w:val="single"/>
              </w:rPr>
              <w:t xml:space="preserve"> </w:t>
            </w:r>
          </w:p>
          <w:p>
            <w:pPr>
              <w:keepNext w:val="0"/>
              <w:keepLines w:val="0"/>
              <w:numPr>
                <w:ilvl w:val="0"/>
                <w:numId w:val="2"/>
              </w:numPr>
              <w:suppressLineNumbers w:val="0"/>
              <w:spacing w:before="0" w:beforeAutospacing="0" w:after="0" w:afterAutospacing="0"/>
              <w:ind w:left="0" w:right="0" w:firstLine="210" w:firstLineChars="100"/>
              <w:rPr>
                <w:rFonts w:hint="eastAsia" w:ascii="仿宋" w:hAnsi="仿宋" w:cs="仿宋"/>
                <w:color w:val="auto"/>
                <w:kern w:val="0"/>
                <w:szCs w:val="21"/>
                <w:highlight w:val="none"/>
              </w:rPr>
            </w:pPr>
            <w:r>
              <w:rPr>
                <w:rFonts w:hint="eastAsia" w:ascii="仿宋" w:hAnsi="仿宋" w:cs="仿宋"/>
                <w:color w:val="auto"/>
                <w:kern w:val="0"/>
                <w:szCs w:val="21"/>
                <w:highlight w:val="none"/>
              </w:rPr>
              <w:t>样品制作的标准和要求：</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420" w:firstLineChars="200"/>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投标人需提供全部所投产品视频，视频能够清晰展示产品外观、规格型号、材质、尺寸、整体性能、使用效果、操作方式、稳定性等重要方面，每个产品展示视频长度不超过1分钟，每包全部视频合计不超过3分钟，MP4、AVI、MOV、MPEG等常规软件能播放的视频格式（视频需存储在U盘内, U盘上标签写明项目名称、包号、投标厂家等信息，U盘留存不予退回）。具体样品明细如下：</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2589"/>
              <w:gridCol w:w="1220"/>
              <w:gridCol w:w="1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pct"/>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包号</w:t>
                  </w:r>
                </w:p>
              </w:tc>
              <w:tc>
                <w:tcPr>
                  <w:tcW w:w="2231" w:type="pct"/>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样品</w:t>
                  </w:r>
                </w:p>
              </w:tc>
              <w:tc>
                <w:tcPr>
                  <w:tcW w:w="1051" w:type="pct"/>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数量</w:t>
                  </w:r>
                </w:p>
              </w:tc>
              <w:tc>
                <w:tcPr>
                  <w:tcW w:w="1110" w:type="pct"/>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提交方式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06" w:type="pct"/>
                  <w:vMerge w:val="restart"/>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001</w:t>
                  </w:r>
                </w:p>
              </w:tc>
              <w:tc>
                <w:tcPr>
                  <w:tcW w:w="2231"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auto"/>
                      <w:sz w:val="21"/>
                      <w:szCs w:val="21"/>
                      <w:highlight w:val="none"/>
                      <w:lang w:val="en-US" w:eastAsia="zh-CN"/>
                    </w:rPr>
                  </w:pPr>
                  <w:r>
                    <w:rPr>
                      <w:rFonts w:hint="eastAsia" w:ascii="仿宋" w:hAnsi="仿宋" w:eastAsia="仿宋" w:cs="仿宋"/>
                      <w:i w:val="0"/>
                      <w:iCs w:val="0"/>
                      <w:color w:val="auto"/>
                      <w:kern w:val="0"/>
                      <w:sz w:val="21"/>
                      <w:szCs w:val="21"/>
                      <w:highlight w:val="none"/>
                      <w:u w:val="none"/>
                      <w:lang w:val="en-US" w:eastAsia="zh-CN" w:bidi="ar"/>
                    </w:rPr>
                    <w:t>北斗有源终端</w:t>
                  </w:r>
                </w:p>
              </w:tc>
              <w:tc>
                <w:tcPr>
                  <w:tcW w:w="1051" w:type="pct"/>
                  <w:noWrap w:val="0"/>
                  <w:vAlign w:val="center"/>
                </w:tcPr>
                <w:p>
                  <w:pPr>
                    <w:keepNext w:val="0"/>
                    <w:keepLines w:val="0"/>
                    <w:suppressLineNumbers w:val="0"/>
                    <w:spacing w:before="0" w:beforeAutospacing="0" w:after="0" w:afterAutospacing="0"/>
                    <w:ind w:left="0" w:right="0" w:firstLine="0" w:firstLineChars="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r>
                    <w:rPr>
                      <w:rFonts w:hint="eastAsia" w:ascii="仿宋" w:hAnsi="仿宋" w:cs="仿宋"/>
                      <w:i w:val="0"/>
                      <w:iCs w:val="0"/>
                      <w:color w:val="auto"/>
                      <w:kern w:val="0"/>
                      <w:sz w:val="21"/>
                      <w:szCs w:val="21"/>
                      <w:highlight w:val="none"/>
                      <w:u w:val="none"/>
                      <w:lang w:val="en-US" w:eastAsia="zh-CN" w:bidi="ar"/>
                    </w:rPr>
                    <w:t>套</w:t>
                  </w:r>
                </w:p>
              </w:tc>
              <w:tc>
                <w:tcPr>
                  <w:tcW w:w="1110" w:type="pct"/>
                  <w:noWrap w:val="0"/>
                  <w:vAlign w:val="center"/>
                </w:tcPr>
                <w:p>
                  <w:pPr>
                    <w:keepNext w:val="0"/>
                    <w:keepLines w:val="0"/>
                    <w:suppressLineNumbers w:val="0"/>
                    <w:spacing w:before="0" w:beforeAutospacing="0" w:after="0" w:afterAutospacing="0"/>
                    <w:ind w:left="0" w:right="0"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pct"/>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color w:val="auto"/>
                      <w:kern w:val="2"/>
                      <w:sz w:val="21"/>
                      <w:szCs w:val="21"/>
                      <w:highlight w:val="none"/>
                      <w:lang w:val="en-US" w:eastAsia="zh-CN"/>
                    </w:rPr>
                  </w:pPr>
                </w:p>
              </w:tc>
              <w:tc>
                <w:tcPr>
                  <w:tcW w:w="2231" w:type="pct"/>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i w:val="0"/>
                      <w:iCs w:val="0"/>
                      <w:color w:val="auto"/>
                      <w:kern w:val="0"/>
                      <w:sz w:val="21"/>
                      <w:szCs w:val="21"/>
                      <w:highlight w:val="none"/>
                      <w:u w:val="none"/>
                      <w:lang w:val="en-US" w:eastAsia="zh-CN" w:bidi="ar"/>
                    </w:rPr>
                    <w:t>卫星电话</w:t>
                  </w:r>
                </w:p>
              </w:tc>
              <w:tc>
                <w:tcPr>
                  <w:tcW w:w="1051" w:type="pct"/>
                  <w:noWrap w:val="0"/>
                  <w:vAlign w:val="center"/>
                </w:tcPr>
                <w:p>
                  <w:pPr>
                    <w:keepNext w:val="0"/>
                    <w:keepLines w:val="0"/>
                    <w:suppressLineNumbers w:val="0"/>
                    <w:spacing w:before="0" w:beforeAutospacing="0" w:after="0" w:afterAutospacing="0"/>
                    <w:ind w:left="0" w:right="0" w:firstLine="0" w:firstLineChars="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cs="仿宋"/>
                      <w:i w:val="0"/>
                      <w:iCs w:val="0"/>
                      <w:color w:val="auto"/>
                      <w:kern w:val="0"/>
                      <w:sz w:val="21"/>
                      <w:szCs w:val="21"/>
                      <w:highlight w:val="none"/>
                      <w:u w:val="none"/>
                      <w:lang w:val="en-US" w:eastAsia="zh-CN" w:bidi="ar"/>
                    </w:rPr>
                    <w:t>套</w:t>
                  </w:r>
                </w:p>
              </w:tc>
              <w:tc>
                <w:tcPr>
                  <w:tcW w:w="1110" w:type="pct"/>
                  <w:noWrap w:val="0"/>
                  <w:vAlign w:val="center"/>
                </w:tcPr>
                <w:p>
                  <w:pPr>
                    <w:keepNext w:val="0"/>
                    <w:keepLines w:val="0"/>
                    <w:suppressLineNumbers w:val="0"/>
                    <w:spacing w:before="0" w:beforeAutospacing="0" w:after="0" w:afterAutospacing="0"/>
                    <w:ind w:left="0" w:right="0" w:firstLine="0" w:firstLine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pct"/>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color w:val="auto"/>
                      <w:kern w:val="2"/>
                      <w:sz w:val="21"/>
                      <w:szCs w:val="21"/>
                      <w:highlight w:val="none"/>
                      <w:lang w:val="en-US" w:eastAsia="zh-CN"/>
                    </w:rPr>
                  </w:pPr>
                </w:p>
              </w:tc>
              <w:tc>
                <w:tcPr>
                  <w:tcW w:w="2231"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 w:val="21"/>
                      <w:szCs w:val="21"/>
                      <w:highlight w:val="none"/>
                      <w:lang w:val="en-US" w:eastAsia="zh-CN"/>
                    </w:rPr>
                    <w:t>卫星便携站</w:t>
                  </w:r>
                </w:p>
              </w:tc>
              <w:tc>
                <w:tcPr>
                  <w:tcW w:w="1051"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 w:val="21"/>
                      <w:szCs w:val="21"/>
                      <w:highlight w:val="none"/>
                      <w:lang w:val="en-US" w:eastAsia="zh-CN"/>
                    </w:rPr>
                    <w:t>各1</w:t>
                  </w:r>
                  <w:r>
                    <w:rPr>
                      <w:rFonts w:hint="eastAsia" w:ascii="仿宋" w:hAnsi="仿宋" w:cs="仿宋"/>
                      <w:i w:val="0"/>
                      <w:iCs w:val="0"/>
                      <w:color w:val="auto"/>
                      <w:kern w:val="0"/>
                      <w:sz w:val="21"/>
                      <w:szCs w:val="21"/>
                      <w:highlight w:val="none"/>
                      <w:u w:val="none"/>
                      <w:lang w:val="en-US" w:eastAsia="zh-CN" w:bidi="ar"/>
                    </w:rPr>
                    <w:t>套</w:t>
                  </w:r>
                </w:p>
              </w:tc>
              <w:tc>
                <w:tcPr>
                  <w:tcW w:w="1110"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样品和视频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606" w:type="pct"/>
                  <w:vMerge w:val="restart"/>
                  <w:noWrap w:val="0"/>
                  <w:vAlign w:val="center"/>
                </w:tcPr>
                <w:p>
                  <w:pPr>
                    <w:pStyle w:val="38"/>
                    <w:keepNext w:val="0"/>
                    <w:keepLines w:val="0"/>
                    <w:suppressLineNumbers w:val="0"/>
                    <w:spacing w:before="0" w:beforeAutospacing="0" w:after="0" w:afterAutospacing="0"/>
                    <w:ind w:left="0" w:right="0" w:firstLine="0" w:firstLineChars="0"/>
                    <w:jc w:val="center"/>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008</w:t>
                  </w:r>
                </w:p>
              </w:tc>
              <w:tc>
                <w:tcPr>
                  <w:tcW w:w="2231"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 w:val="21"/>
                      <w:szCs w:val="21"/>
                      <w:highlight w:val="none"/>
                      <w:lang w:val="en-US" w:eastAsia="zh-CN"/>
                    </w:rPr>
                    <w:t>背负式可视系统</w:t>
                  </w:r>
                </w:p>
              </w:tc>
              <w:tc>
                <w:tcPr>
                  <w:tcW w:w="1051"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 w:val="21"/>
                      <w:szCs w:val="21"/>
                      <w:highlight w:val="none"/>
                      <w:lang w:val="en-US" w:eastAsia="zh-CN"/>
                    </w:rPr>
                    <w:t>各1</w:t>
                  </w:r>
                  <w:r>
                    <w:rPr>
                      <w:rFonts w:hint="eastAsia" w:ascii="仿宋" w:hAnsi="仿宋" w:cs="仿宋"/>
                      <w:i w:val="0"/>
                      <w:iCs w:val="0"/>
                      <w:color w:val="auto"/>
                      <w:kern w:val="0"/>
                      <w:sz w:val="21"/>
                      <w:szCs w:val="21"/>
                      <w:highlight w:val="none"/>
                      <w:u w:val="none"/>
                      <w:lang w:val="en-US" w:eastAsia="zh-CN" w:bidi="ar"/>
                    </w:rPr>
                    <w:t>套</w:t>
                  </w:r>
                </w:p>
              </w:tc>
              <w:tc>
                <w:tcPr>
                  <w:tcW w:w="1110"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样品和视频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pct"/>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color w:val="auto"/>
                      <w:kern w:val="2"/>
                      <w:sz w:val="21"/>
                      <w:szCs w:val="21"/>
                      <w:highlight w:val="none"/>
                    </w:rPr>
                  </w:pPr>
                </w:p>
              </w:tc>
              <w:tc>
                <w:tcPr>
                  <w:tcW w:w="2231"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 w:val="21"/>
                      <w:szCs w:val="21"/>
                      <w:highlight w:val="none"/>
                      <w:lang w:val="en-US" w:eastAsia="zh-CN"/>
                    </w:rPr>
                    <w:t>无线中继台</w:t>
                  </w:r>
                </w:p>
              </w:tc>
              <w:tc>
                <w:tcPr>
                  <w:tcW w:w="1051"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 w:val="21"/>
                      <w:szCs w:val="21"/>
                      <w:highlight w:val="none"/>
                      <w:lang w:val="en-US" w:eastAsia="zh-CN"/>
                    </w:rPr>
                    <w:t>各1</w:t>
                  </w:r>
                  <w:r>
                    <w:rPr>
                      <w:rFonts w:hint="eastAsia" w:ascii="仿宋" w:hAnsi="仿宋" w:cs="仿宋"/>
                      <w:i w:val="0"/>
                      <w:iCs w:val="0"/>
                      <w:color w:val="auto"/>
                      <w:kern w:val="0"/>
                      <w:sz w:val="21"/>
                      <w:szCs w:val="21"/>
                      <w:highlight w:val="none"/>
                      <w:u w:val="none"/>
                      <w:lang w:val="en-US" w:eastAsia="zh-CN" w:bidi="ar"/>
                    </w:rPr>
                    <w:t>套</w:t>
                  </w:r>
                </w:p>
              </w:tc>
              <w:tc>
                <w:tcPr>
                  <w:tcW w:w="1110"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样品和视频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pct"/>
                  <w:vMerge w:val="continue"/>
                  <w:noWrap w:val="0"/>
                  <w:vAlign w:val="center"/>
                </w:tcPr>
                <w:p>
                  <w:pPr>
                    <w:pStyle w:val="38"/>
                    <w:keepNext w:val="0"/>
                    <w:keepLines w:val="0"/>
                    <w:suppressLineNumbers w:val="0"/>
                    <w:spacing w:before="0" w:beforeAutospacing="0" w:after="0" w:afterAutospacing="0"/>
                    <w:ind w:left="0" w:right="0" w:firstLine="0" w:firstLineChars="0"/>
                    <w:jc w:val="center"/>
                    <w:rPr>
                      <w:rFonts w:hint="eastAsia" w:ascii="仿宋" w:hAnsi="仿宋" w:eastAsia="仿宋" w:cs="仿宋"/>
                      <w:color w:val="auto"/>
                      <w:kern w:val="2"/>
                      <w:sz w:val="21"/>
                      <w:szCs w:val="21"/>
                      <w:highlight w:val="none"/>
                    </w:rPr>
                  </w:pPr>
                </w:p>
              </w:tc>
              <w:tc>
                <w:tcPr>
                  <w:tcW w:w="2231"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 w:val="21"/>
                      <w:szCs w:val="21"/>
                      <w:highlight w:val="none"/>
                      <w:lang w:val="en-US" w:eastAsia="zh-CN"/>
                    </w:rPr>
                    <w:t>消防员单兵图侦系统</w:t>
                  </w:r>
                </w:p>
              </w:tc>
              <w:tc>
                <w:tcPr>
                  <w:tcW w:w="1051"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 w:val="21"/>
                      <w:szCs w:val="21"/>
                      <w:highlight w:val="none"/>
                      <w:lang w:val="en-US" w:eastAsia="zh-CN"/>
                    </w:rPr>
                    <w:t>1套</w:t>
                  </w:r>
                </w:p>
              </w:tc>
              <w:tc>
                <w:tcPr>
                  <w:tcW w:w="1110" w:type="pct"/>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视频</w:t>
                  </w:r>
                </w:p>
              </w:tc>
            </w:tr>
          </w:tbl>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420" w:firstLineChars="200"/>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样品须按包组分别递交，递交样品时须同时递交样品清单，包括但不限于公司名称，联系人，联系电话，样品序号，样品名称，数量等。在样品上须清晰的粘贴产品序号标签。</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420" w:firstLineChars="200"/>
              <w:textAlignment w:val="auto"/>
              <w:rPr>
                <w:rFonts w:hint="eastAsia" w:ascii="仿宋" w:hAnsi="仿宋" w:cs="仿宋"/>
                <w:color w:val="auto"/>
                <w:kern w:val="0"/>
                <w:szCs w:val="21"/>
                <w:highlight w:val="none"/>
              </w:rPr>
            </w:pPr>
            <w:r>
              <w:rPr>
                <w:rFonts w:hint="eastAsia" w:ascii="仿宋" w:hAnsi="仿宋" w:cs="仿宋"/>
                <w:color w:val="auto"/>
                <w:kern w:val="0"/>
                <w:szCs w:val="21"/>
                <w:highlight w:val="none"/>
              </w:rPr>
              <w:t>3、样品的封存及退回：</w:t>
            </w:r>
            <w:r>
              <w:rPr>
                <w:rFonts w:hint="eastAsia" w:ascii="仿宋" w:hAnsi="仿宋" w:cs="仿宋"/>
                <w:color w:val="auto"/>
                <w:kern w:val="0"/>
                <w:szCs w:val="21"/>
                <w:highlight w:val="none"/>
                <w:lang w:val="en-US" w:eastAsia="zh-CN"/>
              </w:rPr>
              <w:t>中标</w:t>
            </w:r>
            <w:r>
              <w:rPr>
                <w:rFonts w:hint="eastAsia" w:ascii="仿宋" w:hAnsi="仿宋" w:cs="仿宋"/>
                <w:color w:val="auto"/>
                <w:kern w:val="0"/>
                <w:szCs w:val="21"/>
                <w:highlight w:val="none"/>
              </w:rPr>
              <w:t>供应商的样品将由采购人进行保管、封存，并作为履约验收的参考。未中标供应商提供的样品，应当由采购代理机构进行保管，中标结果公告之日起七个工作日后，由采购代理机构发出通知，通知发出后七个工作日内，由未中标供应商自行领回,否则视为自动放弃领回，采购代理机构有权自行处理。</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不</w:t>
            </w:r>
            <w:r>
              <w:rPr>
                <w:rFonts w:hint="eastAsia" w:ascii="仿宋" w:hAnsi="仿宋" w:cs="仿宋"/>
                <w:bCs/>
                <w:color w:val="auto"/>
                <w:kern w:val="0"/>
                <w:szCs w:val="21"/>
                <w:highlight w:val="none"/>
              </w:rPr>
              <w:t>需要提供演示</w:t>
            </w:r>
          </w:p>
          <w:p>
            <w:pPr>
              <w:keepNext w:val="0"/>
              <w:keepLines w:val="0"/>
              <w:suppressLineNumbers w:val="0"/>
              <w:spacing w:before="0" w:beforeAutospacing="0" w:after="0" w:afterAutospacing="0"/>
              <w:ind w:left="0" w:right="0"/>
              <w:rPr>
                <w:rFonts w:hint="eastAsia" w:ascii="仿宋" w:hAnsi="仿宋" w:cs="仿宋"/>
                <w:bCs/>
                <w:color w:val="auto"/>
                <w:kern w:val="0"/>
                <w:szCs w:val="21"/>
                <w:highlight w:val="non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需要</w:t>
            </w:r>
            <w:r>
              <w:rPr>
                <w:rFonts w:hint="eastAsia" w:ascii="仿宋" w:hAnsi="仿宋" w:cs="仿宋"/>
                <w:bCs/>
                <w:color w:val="auto"/>
                <w:kern w:val="0"/>
                <w:szCs w:val="21"/>
                <w:highlight w:val="none"/>
              </w:rPr>
              <w:t>提供演示</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1、演示时间：</w:t>
            </w:r>
            <w:r>
              <w:rPr>
                <w:rFonts w:hint="eastAsia" w:ascii="仿宋" w:hAnsi="仿宋" w:cs="仿宋"/>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 xml:space="preserve">   演示地点：</w:t>
            </w:r>
            <w:r>
              <w:rPr>
                <w:rFonts w:hint="eastAsia" w:ascii="仿宋" w:hAnsi="仿宋" w:cs="仿宋"/>
                <w:color w:val="auto"/>
                <w:kern w:val="0"/>
                <w:szCs w:val="21"/>
                <w:highlight w:val="none"/>
                <w:u w:val="single"/>
              </w:rPr>
              <w:t xml:space="preserve">             </w:t>
            </w:r>
          </w:p>
          <w:p>
            <w:pPr>
              <w:keepNext w:val="0"/>
              <w:keepLines w:val="0"/>
              <w:suppressLineNumbers w:val="0"/>
              <w:spacing w:before="0" w:beforeAutospacing="0" w:after="0" w:afterAutospacing="0"/>
              <w:ind w:left="0" w:right="0" w:firstLine="210" w:firstLineChars="100"/>
              <w:rPr>
                <w:rFonts w:hint="eastAsia" w:ascii="仿宋" w:hAnsi="仿宋" w:cs="仿宋"/>
                <w:color w:val="auto"/>
                <w:kern w:val="0"/>
                <w:szCs w:val="21"/>
                <w:highlight w:val="none"/>
              </w:rPr>
            </w:pPr>
            <w:r>
              <w:rPr>
                <w:rFonts w:hint="eastAsia" w:ascii="仿宋" w:hAnsi="仿宋" w:cs="仿宋"/>
                <w:color w:val="auto"/>
                <w:kern w:val="0"/>
                <w:szCs w:val="21"/>
                <w:highlight w:val="none"/>
              </w:rPr>
              <w:t xml:space="preserve"> 演示顺序：</w:t>
            </w:r>
            <w:r>
              <w:rPr>
                <w:rFonts w:hint="eastAsia" w:ascii="仿宋" w:hAnsi="仿宋" w:cs="仿宋"/>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 w:hAnsi="仿宋" w:cs="仿宋"/>
                <w:color w:val="auto"/>
                <w:highlight w:val="none"/>
              </w:rPr>
            </w:pPr>
            <w:r>
              <w:rPr>
                <w:rFonts w:hint="eastAsia" w:ascii="仿宋" w:hAnsi="仿宋" w:cs="仿宋"/>
                <w:color w:val="auto"/>
                <w:kern w:val="0"/>
                <w:szCs w:val="21"/>
                <w:highlight w:val="none"/>
              </w:rPr>
              <w:t>2、演示要求：</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rPr>
              <w:t>（内容、设备等要求）</w:t>
            </w:r>
          </w:p>
        </w:tc>
      </w:tr>
      <w:tr>
        <w:tblPrEx>
          <w:tblCellMar>
            <w:top w:w="0" w:type="dxa"/>
            <w:left w:w="108" w:type="dxa"/>
            <w:bottom w:w="0" w:type="dxa"/>
            <w:right w:w="108" w:type="dxa"/>
          </w:tblCellMar>
        </w:tblPrEx>
        <w:trPr>
          <w:trHeight w:val="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12.1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投标报价货币要求</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所有响应文件中均按</w:t>
            </w:r>
            <w:r>
              <w:rPr>
                <w:rFonts w:hint="eastAsia" w:ascii="仿宋" w:hAnsi="仿宋" w:cs="仿宋"/>
                <w:color w:val="auto"/>
                <w:kern w:val="0"/>
                <w:szCs w:val="21"/>
                <w:highlight w:val="none"/>
                <w:u w:val="single"/>
              </w:rPr>
              <w:t>人民币</w:t>
            </w:r>
            <w:r>
              <w:rPr>
                <w:rFonts w:hint="eastAsia" w:ascii="仿宋" w:hAnsi="仿宋" w:cs="仿宋"/>
                <w:color w:val="auto"/>
                <w:kern w:val="0"/>
                <w:szCs w:val="21"/>
                <w:highlight w:val="none"/>
              </w:rPr>
              <w:t>货币进行报价。</w:t>
            </w:r>
          </w:p>
          <w:p>
            <w:pPr>
              <w:keepNext w:val="0"/>
              <w:keepLines w:val="0"/>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其它：</w:t>
            </w:r>
            <w:r>
              <w:rPr>
                <w:rFonts w:hint="eastAsia" w:ascii="仿宋" w:hAnsi="仿宋" w:cs="仿宋"/>
                <w:color w:val="auto"/>
                <w:kern w:val="0"/>
                <w:szCs w:val="21"/>
                <w:highlight w:val="none"/>
                <w:u w:val="single"/>
              </w:rPr>
              <w:t xml:space="preserve">               </w:t>
            </w:r>
          </w:p>
        </w:tc>
      </w:tr>
      <w:tr>
        <w:tblPrEx>
          <w:tblCellMar>
            <w:top w:w="0" w:type="dxa"/>
            <w:left w:w="108" w:type="dxa"/>
            <w:bottom w:w="0" w:type="dxa"/>
            <w:right w:w="108" w:type="dxa"/>
          </w:tblCellMar>
        </w:tblPrEx>
        <w:trPr>
          <w:trHeight w:val="0" w:hRule="atLeast"/>
        </w:trPr>
        <w:tc>
          <w:tcPr>
            <w:tcW w:w="873" w:type="dxa"/>
            <w:tcBorders>
              <w:top w:val="single" w:color="auto" w:sz="4" w:space="0"/>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13.1</w:t>
            </w:r>
          </w:p>
        </w:tc>
        <w:tc>
          <w:tcPr>
            <w:tcW w:w="1962" w:type="dxa"/>
            <w:tcBorders>
              <w:top w:val="single" w:color="auto" w:sz="4" w:space="0"/>
              <w:left w:val="single" w:color="auto" w:sz="4" w:space="0"/>
              <w:bottom w:val="single" w:color="auto" w:sz="8"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cs="仿宋"/>
                <w:color w:val="auto"/>
                <w:kern w:val="0"/>
                <w:szCs w:val="21"/>
                <w:highlight w:val="none"/>
              </w:rPr>
              <w:t>投标保证金</w:t>
            </w:r>
          </w:p>
        </w:tc>
        <w:tc>
          <w:tcPr>
            <w:tcW w:w="6028" w:type="dxa"/>
            <w:tcBorders>
              <w:top w:val="single" w:color="auto" w:sz="4" w:space="0"/>
              <w:left w:val="nil"/>
              <w:bottom w:val="single" w:color="auto" w:sz="8" w:space="0"/>
              <w:right w:val="single" w:color="auto" w:sz="8" w:space="0"/>
            </w:tcBorders>
            <w:noWrap w:val="0"/>
            <w:vAlign w:val="center"/>
          </w:tcPr>
          <w:p>
            <w:pPr>
              <w:pStyle w:val="11"/>
              <w:keepNext w:val="0"/>
              <w:keepLines w:val="0"/>
              <w:suppressLineNumbers w:val="0"/>
              <w:spacing w:before="0" w:beforeAutospacing="0" w:after="0" w:afterAutospacing="0"/>
              <w:ind w:left="0" w:right="0"/>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本项目不收取投标保证金</w:t>
            </w:r>
          </w:p>
          <w:p>
            <w:pPr>
              <w:pStyle w:val="11"/>
              <w:keepNext w:val="0"/>
              <w:keepLines w:val="0"/>
              <w:suppressLineNumbers w:val="0"/>
              <w:spacing w:before="0" w:beforeAutospacing="0" w:after="0" w:afterAutospacing="0"/>
              <w:ind w:left="0" w:right="0"/>
              <w:rPr>
                <w:rFonts w:hint="eastAsia" w:ascii="仿宋" w:hAnsi="仿宋" w:cs="仿宋"/>
                <w:color w:val="auto"/>
                <w:kern w:val="0"/>
                <w:szCs w:val="21"/>
                <w:highlight w:val="none"/>
                <w:lang w:val="en-US" w:eastAsia="zh-CN"/>
              </w:rPr>
            </w:pPr>
            <w:r>
              <w:rPr>
                <w:rFonts w:hint="eastAsia" w:ascii="仿宋" w:hAnsi="仿宋" w:cs="仿宋"/>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本项目收取投标保证金</w:t>
            </w:r>
          </w:p>
          <w:p>
            <w:pPr>
              <w:pStyle w:val="11"/>
              <w:keepNext w:val="0"/>
              <w:keepLines w:val="0"/>
              <w:numPr>
                <w:ilvl w:val="0"/>
                <w:numId w:val="3"/>
              </w:numPr>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投标保证金金额：</w:t>
            </w:r>
          </w:p>
          <w:p>
            <w:pPr>
              <w:pStyle w:val="11"/>
              <w:keepNext w:val="0"/>
              <w:keepLines w:val="0"/>
              <w:numPr>
                <w:ilvl w:val="0"/>
                <w:numId w:val="0"/>
              </w:numPr>
              <w:suppressLineNumbers w:val="0"/>
              <w:spacing w:before="0" w:beforeAutospacing="0" w:after="0" w:afterAutospacing="0"/>
              <w:ind w:left="0" w:right="0" w:rightChars="0"/>
              <w:rPr>
                <w:rFonts w:hint="eastAsia" w:ascii="仿宋" w:hAnsi="仿宋" w:cs="仿宋"/>
                <w:color w:val="auto"/>
                <w:kern w:val="0"/>
                <w:szCs w:val="21"/>
                <w:highlight w:val="none"/>
              </w:rPr>
            </w:pPr>
            <w:r>
              <w:rPr>
                <w:rFonts w:hint="eastAsia" w:ascii="仿宋" w:hAnsi="仿宋" w:cs="仿宋"/>
                <w:color w:val="auto"/>
                <w:kern w:val="0"/>
                <w:szCs w:val="21"/>
                <w:highlight w:val="none"/>
                <w:u w:val="none"/>
                <w:lang w:val="en-US" w:eastAsia="zh-CN"/>
              </w:rPr>
              <w:t>001包：</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u w:val="single"/>
                <w:lang w:val="en-US" w:eastAsia="zh-CN"/>
              </w:rPr>
              <w:t>1.6</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rPr>
              <w:t xml:space="preserve"> </w:t>
            </w:r>
            <w:r>
              <w:rPr>
                <w:rFonts w:hint="eastAsia" w:ascii="仿宋" w:hAnsi="仿宋" w:cs="仿宋"/>
                <w:color w:val="auto"/>
                <w:kern w:val="0"/>
                <w:szCs w:val="21"/>
                <w:highlight w:val="none"/>
                <w:lang w:val="en-US" w:eastAsia="zh-CN"/>
              </w:rPr>
              <w:t>万</w:t>
            </w:r>
            <w:r>
              <w:rPr>
                <w:rFonts w:hint="eastAsia" w:ascii="仿宋" w:hAnsi="仿宋" w:cs="仿宋"/>
                <w:color w:val="auto"/>
                <w:kern w:val="0"/>
                <w:szCs w:val="21"/>
                <w:highlight w:val="none"/>
              </w:rPr>
              <w:t>元</w:t>
            </w:r>
            <w:r>
              <w:rPr>
                <w:rFonts w:hint="eastAsia" w:ascii="仿宋" w:hAnsi="仿宋" w:cs="仿宋"/>
                <w:color w:val="auto"/>
                <w:kern w:val="0"/>
                <w:szCs w:val="21"/>
                <w:highlight w:val="none"/>
                <w:lang w:eastAsia="zh-CN"/>
              </w:rPr>
              <w:t>；</w:t>
            </w:r>
            <w:r>
              <w:rPr>
                <w:rFonts w:hint="eastAsia" w:ascii="仿宋" w:hAnsi="仿宋" w:cs="仿宋"/>
                <w:color w:val="auto"/>
                <w:kern w:val="0"/>
                <w:szCs w:val="21"/>
                <w:highlight w:val="none"/>
              </w:rPr>
              <w:t xml:space="preserve"> </w:t>
            </w:r>
          </w:p>
          <w:p>
            <w:pPr>
              <w:pStyle w:val="11"/>
              <w:keepNext w:val="0"/>
              <w:keepLines w:val="0"/>
              <w:numPr>
                <w:ilvl w:val="0"/>
                <w:numId w:val="0"/>
              </w:numPr>
              <w:suppressLineNumbers w:val="0"/>
              <w:spacing w:before="0" w:beforeAutospacing="0" w:after="0" w:afterAutospacing="0"/>
              <w:ind w:left="0" w:right="0" w:rightChars="0"/>
              <w:rPr>
                <w:rFonts w:hint="eastAsia" w:ascii="仿宋" w:hAnsi="仿宋" w:cs="仿宋"/>
                <w:color w:val="auto"/>
                <w:kern w:val="0"/>
                <w:szCs w:val="21"/>
                <w:highlight w:val="none"/>
              </w:rPr>
            </w:pPr>
            <w:r>
              <w:rPr>
                <w:rFonts w:hint="eastAsia" w:ascii="仿宋" w:hAnsi="仿宋" w:cs="仿宋"/>
                <w:color w:val="auto"/>
                <w:kern w:val="0"/>
                <w:szCs w:val="21"/>
                <w:highlight w:val="none"/>
                <w:u w:val="none"/>
                <w:lang w:val="en-US" w:eastAsia="zh-CN"/>
              </w:rPr>
              <w:t>008包：</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u w:val="single"/>
                <w:lang w:val="en-US" w:eastAsia="zh-CN"/>
              </w:rPr>
              <w:t>1.5</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rPr>
              <w:t xml:space="preserve"> </w:t>
            </w:r>
            <w:r>
              <w:rPr>
                <w:rFonts w:hint="eastAsia" w:ascii="仿宋" w:hAnsi="仿宋" w:cs="仿宋"/>
                <w:color w:val="auto"/>
                <w:kern w:val="0"/>
                <w:szCs w:val="21"/>
                <w:highlight w:val="none"/>
                <w:lang w:val="en-US" w:eastAsia="zh-CN"/>
              </w:rPr>
              <w:t>万</w:t>
            </w:r>
            <w:r>
              <w:rPr>
                <w:rFonts w:hint="eastAsia" w:ascii="仿宋" w:hAnsi="仿宋" w:cs="仿宋"/>
                <w:color w:val="auto"/>
                <w:kern w:val="0"/>
                <w:szCs w:val="21"/>
                <w:highlight w:val="none"/>
              </w:rPr>
              <w:t>元</w:t>
            </w:r>
            <w:r>
              <w:rPr>
                <w:rFonts w:hint="eastAsia" w:ascii="仿宋" w:hAnsi="仿宋" w:cs="仿宋"/>
                <w:color w:val="auto"/>
                <w:kern w:val="0"/>
                <w:szCs w:val="21"/>
                <w:highlight w:val="none"/>
                <w:lang w:eastAsia="zh-CN"/>
              </w:rPr>
              <w:t>；</w:t>
            </w:r>
            <w:r>
              <w:rPr>
                <w:rFonts w:hint="eastAsia" w:ascii="仿宋" w:hAnsi="仿宋" w:cs="仿宋"/>
                <w:color w:val="auto"/>
                <w:kern w:val="0"/>
                <w:szCs w:val="21"/>
                <w:highlight w:val="none"/>
              </w:rPr>
              <w:t xml:space="preserve"> </w:t>
            </w:r>
          </w:p>
          <w:p>
            <w:pPr>
              <w:pStyle w:val="11"/>
              <w:keepNext w:val="0"/>
              <w:keepLines w:val="0"/>
              <w:suppressLineNumbers w:val="0"/>
              <w:spacing w:before="0" w:beforeAutospacing="0" w:after="0" w:afterAutospacing="0"/>
              <w:ind w:left="0" w:right="0"/>
              <w:rPr>
                <w:rFonts w:hint="eastAsia" w:ascii="仿宋" w:hAnsi="仿宋" w:cs="仿宋"/>
                <w:color w:val="auto"/>
                <w:szCs w:val="21"/>
                <w:highlight w:val="none"/>
                <w:u w:val="single"/>
              </w:rPr>
            </w:pPr>
            <w:r>
              <w:rPr>
                <w:rFonts w:hint="eastAsia" w:ascii="仿宋" w:hAnsi="仿宋" w:cs="仿宋"/>
                <w:color w:val="auto"/>
                <w:szCs w:val="21"/>
                <w:highlight w:val="none"/>
              </w:rPr>
              <w:t>2、投标保证金到账时间：</w:t>
            </w:r>
            <w:r>
              <w:rPr>
                <w:rFonts w:hint="eastAsia" w:ascii="仿宋" w:hAnsi="仿宋" w:cs="仿宋"/>
                <w:color w:val="auto"/>
                <w:szCs w:val="21"/>
                <w:highlight w:val="none"/>
                <w:u w:val="single"/>
              </w:rPr>
              <w:t>递交投标文件截止时间前</w:t>
            </w:r>
          </w:p>
          <w:p>
            <w:pPr>
              <w:pStyle w:val="11"/>
              <w:keepNext w:val="0"/>
              <w:keepLines w:val="0"/>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szCs w:val="21"/>
                <w:highlight w:val="none"/>
              </w:rPr>
              <w:t xml:space="preserve">3、投标保证金缴纳方式：  </w:t>
            </w:r>
            <w:r>
              <w:rPr>
                <w:rFonts w:hint="eastAsia" w:ascii="仿宋" w:hAnsi="仿宋" w:cs="仿宋"/>
                <w:color w:val="auto"/>
                <w:szCs w:val="21"/>
                <w:highlight w:val="none"/>
                <w:lang w:eastAsia="zh-CN"/>
              </w:rPr>
              <w:t>☑</w:t>
            </w:r>
            <w:r>
              <w:rPr>
                <w:rFonts w:hint="eastAsia" w:ascii="仿宋" w:hAnsi="仿宋" w:cs="仿宋"/>
                <w:color w:val="auto"/>
                <w:szCs w:val="21"/>
                <w:highlight w:val="none"/>
              </w:rPr>
              <w:t xml:space="preserve">电汇  </w:t>
            </w:r>
            <w:r>
              <w:rPr>
                <w:rFonts w:hint="eastAsia" w:ascii="仿宋" w:hAnsi="仿宋" w:cs="仿宋"/>
                <w:color w:val="auto"/>
                <w:szCs w:val="21"/>
                <w:highlight w:val="none"/>
                <w:lang w:eastAsia="zh-CN"/>
              </w:rPr>
              <w:t>□</w:t>
            </w:r>
            <w:r>
              <w:rPr>
                <w:rFonts w:hint="eastAsia" w:ascii="仿宋" w:hAnsi="仿宋" w:cs="仿宋"/>
                <w:color w:val="auto"/>
                <w:szCs w:val="21"/>
                <w:highlight w:val="none"/>
              </w:rPr>
              <w:t xml:space="preserve">支票  </w:t>
            </w:r>
            <w:r>
              <w:rPr>
                <w:rFonts w:hint="eastAsia" w:ascii="仿宋" w:hAnsi="仿宋" w:cs="仿宋"/>
                <w:color w:val="auto"/>
                <w:szCs w:val="21"/>
                <w:highlight w:val="none"/>
                <w:lang w:eastAsia="zh-CN"/>
              </w:rPr>
              <w:t>☑</w:t>
            </w:r>
            <w:r>
              <w:rPr>
                <w:rFonts w:hint="eastAsia" w:ascii="仿宋" w:hAnsi="仿宋" w:cs="仿宋"/>
                <w:color w:val="auto"/>
                <w:szCs w:val="21"/>
                <w:highlight w:val="none"/>
              </w:rPr>
              <w:t xml:space="preserve">金融机构、担保机构出具的保函   </w:t>
            </w:r>
            <w:r>
              <w:rPr>
                <w:rFonts w:hint="eastAsia" w:ascii="仿宋" w:hAnsi="仿宋" w:cs="仿宋"/>
                <w:color w:val="auto"/>
                <w:szCs w:val="21"/>
                <w:highlight w:val="none"/>
                <w:lang w:eastAsia="zh-CN"/>
              </w:rPr>
              <w:t>□</w:t>
            </w:r>
            <w:r>
              <w:rPr>
                <w:rFonts w:hint="eastAsia" w:ascii="仿宋" w:hAnsi="仿宋" w:cs="仿宋"/>
                <w:color w:val="auto"/>
                <w:szCs w:val="21"/>
                <w:highlight w:val="none"/>
              </w:rPr>
              <w:t>其他非现金形式</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 xml:space="preserve">   </w:t>
            </w:r>
            <w:r>
              <w:rPr>
                <w:rFonts w:hint="eastAsia" w:ascii="仿宋" w:hAnsi="仿宋" w:cs="仿宋"/>
                <w:color w:val="auto"/>
                <w:szCs w:val="21"/>
                <w:highlight w:val="none"/>
                <w:lang w:val="en-US" w:eastAsia="zh-CN"/>
              </w:rPr>
              <w:t xml:space="preserve"> </w:t>
            </w:r>
            <w:r>
              <w:rPr>
                <w:rFonts w:hint="eastAsia" w:ascii="仿宋" w:hAnsi="仿宋" w:cs="仿宋"/>
                <w:color w:val="auto"/>
                <w:szCs w:val="21"/>
                <w:highlight w:val="none"/>
              </w:rPr>
              <w:t>保证金收款人银行信息：</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 xml:space="preserve">   </w:t>
            </w:r>
            <w:r>
              <w:rPr>
                <w:rFonts w:hint="eastAsia" w:ascii="仿宋" w:hAnsi="仿宋" w:cs="仿宋"/>
                <w:color w:val="auto"/>
                <w:szCs w:val="21"/>
                <w:highlight w:val="none"/>
                <w:lang w:val="en-US" w:eastAsia="zh-CN"/>
              </w:rPr>
              <w:t xml:space="preserve"> </w:t>
            </w:r>
            <w:r>
              <w:rPr>
                <w:rFonts w:hint="eastAsia" w:ascii="仿宋" w:hAnsi="仿宋" w:cs="仿宋"/>
                <w:color w:val="auto"/>
                <w:szCs w:val="21"/>
                <w:highlight w:val="none"/>
              </w:rPr>
              <w:t>开 户 名：中财科建工程管理有限公司</w:t>
            </w:r>
          </w:p>
          <w:p>
            <w:pPr>
              <w:keepNext w:val="0"/>
              <w:keepLines w:val="0"/>
              <w:suppressLineNumbers w:val="0"/>
              <w:spacing w:before="0" w:beforeAutospacing="0" w:after="0" w:afterAutospacing="0"/>
              <w:ind w:left="0" w:right="0" w:firstLine="420" w:firstLineChars="200"/>
              <w:rPr>
                <w:rFonts w:hint="eastAsia" w:ascii="仿宋" w:hAnsi="仿宋" w:cs="仿宋"/>
                <w:color w:val="auto"/>
                <w:szCs w:val="21"/>
                <w:highlight w:val="none"/>
              </w:rPr>
            </w:pPr>
            <w:r>
              <w:rPr>
                <w:rFonts w:hint="eastAsia" w:ascii="仿宋" w:hAnsi="仿宋" w:cs="仿宋"/>
                <w:color w:val="auto"/>
                <w:szCs w:val="21"/>
                <w:highlight w:val="none"/>
              </w:rPr>
              <w:t>开 户 行：中国邮政储蓄银行股份有限公司沈阳市奉天街支行</w:t>
            </w:r>
          </w:p>
          <w:p>
            <w:pPr>
              <w:keepNext w:val="0"/>
              <w:keepLines w:val="0"/>
              <w:suppressLineNumbers w:val="0"/>
              <w:spacing w:before="0" w:beforeAutospacing="0" w:after="0" w:afterAutospacing="0"/>
              <w:ind w:left="0" w:right="0" w:firstLine="420" w:firstLineChars="200"/>
              <w:rPr>
                <w:rFonts w:hint="eastAsia" w:ascii="仿宋" w:hAnsi="仿宋" w:cs="仿宋"/>
                <w:color w:val="auto"/>
                <w:szCs w:val="21"/>
                <w:highlight w:val="none"/>
              </w:rPr>
            </w:pPr>
            <w:r>
              <w:rPr>
                <w:rFonts w:hint="eastAsia" w:ascii="仿宋" w:hAnsi="仿宋" w:cs="仿宋"/>
                <w:color w:val="auto"/>
                <w:szCs w:val="21"/>
                <w:highlight w:val="none"/>
              </w:rPr>
              <w:t>账    号：921002010045936666</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4、保证金退还方式：</w:t>
            </w:r>
            <w:r>
              <w:rPr>
                <w:rFonts w:hint="eastAsia" w:ascii="仿宋" w:hAnsi="仿宋" w:cs="仿宋"/>
                <w:color w:val="auto"/>
                <w:kern w:val="0"/>
                <w:szCs w:val="21"/>
                <w:highlight w:val="none"/>
                <w:u w:val="single"/>
              </w:rPr>
              <w:t xml:space="preserve"> 电汇退回至投标人对公原账户 </w:t>
            </w:r>
          </w:p>
          <w:p>
            <w:pPr>
              <w:keepNext w:val="0"/>
              <w:keepLines w:val="0"/>
              <w:suppressLineNumbers w:val="0"/>
              <w:spacing w:before="0" w:beforeAutospacing="0" w:after="0" w:afterAutospacing="0"/>
              <w:ind w:left="0" w:right="0"/>
              <w:rPr>
                <w:rFonts w:hint="default" w:ascii="仿宋" w:hAnsi="仿宋" w:eastAsia="仿宋_GB2312" w:cs="仿宋"/>
                <w:color w:val="auto"/>
                <w:szCs w:val="21"/>
                <w:highlight w:val="none"/>
                <w:lang w:val="en-US" w:eastAsia="zh-CN"/>
              </w:rPr>
            </w:pPr>
            <w:r>
              <w:rPr>
                <w:rFonts w:hint="eastAsia" w:ascii="仿宋" w:hAnsi="仿宋" w:cs="仿宋"/>
                <w:color w:val="auto"/>
                <w:szCs w:val="21"/>
                <w:highlight w:val="none"/>
              </w:rPr>
              <w:t>5、保证金退还咨询电话：</w:t>
            </w:r>
            <w:r>
              <w:rPr>
                <w:rFonts w:hint="eastAsia" w:ascii="仿宋_GB2312" w:hAnsi="仿宋" w:eastAsia="仿宋_GB2312"/>
                <w:color w:val="auto"/>
                <w:szCs w:val="21"/>
                <w:highlight w:val="none"/>
                <w:u w:val="single"/>
              </w:rPr>
              <w:t>024-23498855-</w:t>
            </w:r>
            <w:r>
              <w:rPr>
                <w:rFonts w:hint="eastAsia" w:ascii="仿宋_GB2312" w:hAnsi="仿宋" w:eastAsia="仿宋_GB2312"/>
                <w:color w:val="auto"/>
                <w:szCs w:val="21"/>
                <w:highlight w:val="none"/>
                <w:u w:val="single"/>
                <w:lang w:val="en-US" w:eastAsia="zh-CN"/>
              </w:rPr>
              <w:t>111</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15.1</w:t>
            </w:r>
          </w:p>
        </w:tc>
        <w:tc>
          <w:tcPr>
            <w:tcW w:w="1962" w:type="dxa"/>
            <w:tcBorders>
              <w:top w:val="single" w:color="auto" w:sz="4" w:space="0"/>
              <w:left w:val="single" w:color="auto" w:sz="4" w:space="0"/>
              <w:bottom w:val="single" w:color="auto" w:sz="8" w:space="0"/>
              <w:right w:val="single" w:color="auto"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投标有效期</w:t>
            </w:r>
          </w:p>
        </w:tc>
        <w:tc>
          <w:tcPr>
            <w:tcW w:w="6028" w:type="dxa"/>
            <w:tcBorders>
              <w:top w:val="single" w:color="auto" w:sz="4" w:space="0"/>
              <w:left w:val="nil"/>
              <w:bottom w:val="single" w:color="auto" w:sz="8" w:space="0"/>
              <w:right w:val="single" w:color="auto" w:sz="8" w:space="0"/>
            </w:tcBorders>
            <w:noWrap w:val="0"/>
            <w:vAlign w:val="center"/>
          </w:tcPr>
          <w:p>
            <w:pPr>
              <w:pStyle w:val="11"/>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u w:val="single"/>
              </w:rPr>
              <w:t xml:space="preserve">  90  </w:t>
            </w:r>
            <w:r>
              <w:rPr>
                <w:rFonts w:hint="eastAsia" w:ascii="仿宋" w:hAnsi="仿宋" w:cs="仿宋"/>
                <w:color w:val="auto"/>
                <w:kern w:val="0"/>
                <w:szCs w:val="21"/>
                <w:highlight w:val="none"/>
              </w:rPr>
              <w:t>日历日</w:t>
            </w:r>
          </w:p>
        </w:tc>
      </w:tr>
      <w:tr>
        <w:tblPrEx>
          <w:tblCellMar>
            <w:top w:w="0" w:type="dxa"/>
            <w:left w:w="108" w:type="dxa"/>
            <w:bottom w:w="0" w:type="dxa"/>
            <w:right w:w="108" w:type="dxa"/>
          </w:tblCellMar>
        </w:tblPrEx>
        <w:trPr>
          <w:trHeight w:val="484"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16.1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投标文件及电子文档份数</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正本</w:t>
            </w:r>
            <w:r>
              <w:rPr>
                <w:rFonts w:hint="eastAsia" w:ascii="仿宋" w:hAnsi="仿宋" w:cs="仿宋"/>
                <w:color w:val="auto"/>
                <w:kern w:val="0"/>
                <w:szCs w:val="21"/>
                <w:highlight w:val="none"/>
                <w:u w:val="single"/>
              </w:rPr>
              <w:t>1</w:t>
            </w:r>
            <w:r>
              <w:rPr>
                <w:rFonts w:hint="eastAsia" w:ascii="仿宋" w:hAnsi="仿宋" w:cs="仿宋"/>
                <w:color w:val="auto"/>
                <w:kern w:val="0"/>
                <w:szCs w:val="21"/>
                <w:highlight w:val="none"/>
              </w:rPr>
              <w:t>份,副本</w:t>
            </w:r>
            <w:r>
              <w:rPr>
                <w:rFonts w:hint="eastAsia" w:ascii="仿宋" w:hAnsi="仿宋" w:cs="仿宋"/>
                <w:color w:val="auto"/>
                <w:kern w:val="0"/>
                <w:szCs w:val="21"/>
                <w:highlight w:val="none"/>
                <w:u w:val="single"/>
              </w:rPr>
              <w:t>6</w:t>
            </w:r>
            <w:r>
              <w:rPr>
                <w:rFonts w:hint="eastAsia" w:ascii="仿宋" w:hAnsi="仿宋" w:cs="仿宋"/>
                <w:color w:val="auto"/>
                <w:kern w:val="0"/>
                <w:szCs w:val="21"/>
                <w:highlight w:val="none"/>
              </w:rPr>
              <w:t>份；</w:t>
            </w:r>
          </w:p>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请</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按所投包组分别制作、递交文件。</w:t>
            </w:r>
          </w:p>
          <w:p>
            <w:pPr>
              <w:keepNext w:val="0"/>
              <w:keepLines w:val="0"/>
              <w:widowControl/>
              <w:suppressLineNumbers w:val="0"/>
              <w:spacing w:before="0" w:beforeAutospacing="0" w:after="0" w:afterAutospacing="0"/>
              <w:ind w:left="0" w:right="0"/>
              <w:rPr>
                <w:rFonts w:hint="eastAsia" w:ascii="仿宋" w:hAnsi="仿宋" w:cs="仿宋"/>
                <w:color w:val="auto"/>
                <w:highlight w:val="none"/>
              </w:rPr>
            </w:pPr>
            <w:r>
              <w:rPr>
                <w:rFonts w:hint="eastAsia" w:ascii="仿宋" w:hAnsi="仿宋" w:cs="仿宋"/>
                <w:color w:val="auto"/>
                <w:kern w:val="0"/>
                <w:szCs w:val="21"/>
                <w:highlight w:val="none"/>
              </w:rPr>
              <w:t>电子文档</w:t>
            </w:r>
            <w:r>
              <w:rPr>
                <w:rFonts w:hint="eastAsia" w:ascii="仿宋" w:hAnsi="仿宋" w:cs="仿宋"/>
                <w:color w:val="auto"/>
                <w:kern w:val="0"/>
                <w:szCs w:val="21"/>
                <w:highlight w:val="none"/>
                <w:lang w:val="en-US" w:eastAsia="zh-CN"/>
              </w:rPr>
              <w:t>2</w:t>
            </w:r>
            <w:r>
              <w:rPr>
                <w:rFonts w:hint="eastAsia" w:ascii="仿宋" w:hAnsi="仿宋" w:cs="仿宋"/>
                <w:color w:val="auto"/>
                <w:kern w:val="0"/>
                <w:szCs w:val="21"/>
                <w:highlight w:val="none"/>
              </w:rPr>
              <w:t>份</w:t>
            </w:r>
            <w:r>
              <w:rPr>
                <w:rFonts w:hint="eastAsia" w:ascii="仿宋" w:hAnsi="仿宋" w:cs="仿宋"/>
                <w:b/>
                <w:bCs/>
                <w:color w:val="auto"/>
                <w:kern w:val="0"/>
                <w:szCs w:val="21"/>
                <w:highlight w:val="none"/>
              </w:rPr>
              <w:t>(注：U盘形式，电子文档为PDF版本（盖章、签字）和wold版本各一份）</w:t>
            </w:r>
          </w:p>
        </w:tc>
      </w:tr>
      <w:tr>
        <w:tblPrEx>
          <w:tblCellMar>
            <w:top w:w="0" w:type="dxa"/>
            <w:left w:w="108" w:type="dxa"/>
            <w:bottom w:w="0" w:type="dxa"/>
            <w:right w:w="108" w:type="dxa"/>
          </w:tblCellMar>
        </w:tblPrEx>
        <w:trPr>
          <w:trHeight w:val="477"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18.1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递交投标文件截止时间、地点</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t>详见招标公告，以招标公告规定时间、地点为准。</w:t>
            </w:r>
          </w:p>
        </w:tc>
      </w:tr>
      <w:tr>
        <w:tblPrEx>
          <w:tblCellMar>
            <w:top w:w="0" w:type="dxa"/>
            <w:left w:w="108" w:type="dxa"/>
            <w:bottom w:w="0" w:type="dxa"/>
            <w:right w:w="108" w:type="dxa"/>
          </w:tblCellMar>
        </w:tblPrEx>
        <w:trPr>
          <w:trHeight w:val="485"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20.1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开标时间、地点</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highlight w:val="none"/>
              </w:rPr>
            </w:pPr>
            <w:r>
              <w:rPr>
                <w:rFonts w:hint="eastAsia" w:ascii="仿宋" w:hAnsi="仿宋" w:cs="仿宋"/>
                <w:color w:val="auto"/>
                <w:szCs w:val="21"/>
                <w:highlight w:val="none"/>
              </w:rPr>
              <w:t>详见招标公告，以招标公告规定时间、地点为准。</w:t>
            </w:r>
          </w:p>
        </w:tc>
      </w:tr>
      <w:tr>
        <w:tblPrEx>
          <w:tblCellMar>
            <w:top w:w="0" w:type="dxa"/>
            <w:left w:w="108" w:type="dxa"/>
            <w:bottom w:w="0" w:type="dxa"/>
            <w:right w:w="108" w:type="dxa"/>
          </w:tblCellMar>
        </w:tblPrEx>
        <w:trPr>
          <w:trHeight w:val="464"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评标委员会组成</w:t>
            </w:r>
          </w:p>
        </w:tc>
        <w:tc>
          <w:tcPr>
            <w:tcW w:w="6028" w:type="dxa"/>
            <w:tcBorders>
              <w:top w:val="nil"/>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szCs w:val="21"/>
                <w:highlight w:val="none"/>
              </w:rPr>
              <w:t>评标委员会由</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代表</w:t>
            </w:r>
            <w:r>
              <w:rPr>
                <w:rFonts w:hint="eastAsia" w:ascii="仿宋" w:hAnsi="仿宋" w:cs="仿宋"/>
                <w:color w:val="auto"/>
                <w:szCs w:val="21"/>
                <w:highlight w:val="none"/>
                <w:u w:val="single"/>
              </w:rPr>
              <w:t>2</w:t>
            </w:r>
            <w:r>
              <w:rPr>
                <w:rFonts w:hint="eastAsia" w:ascii="仿宋" w:hAnsi="仿宋" w:cs="仿宋"/>
                <w:color w:val="auto"/>
                <w:szCs w:val="21"/>
                <w:highlight w:val="none"/>
              </w:rPr>
              <w:t>人，评审专家</w:t>
            </w:r>
            <w:r>
              <w:rPr>
                <w:rFonts w:hint="eastAsia" w:ascii="仿宋" w:hAnsi="仿宋" w:cs="仿宋"/>
                <w:color w:val="auto"/>
                <w:szCs w:val="21"/>
                <w:highlight w:val="none"/>
                <w:u w:val="single"/>
              </w:rPr>
              <w:t>5</w:t>
            </w:r>
            <w:r>
              <w:rPr>
                <w:rFonts w:hint="eastAsia" w:ascii="仿宋" w:hAnsi="仿宋" w:cs="仿宋"/>
                <w:color w:val="auto"/>
                <w:szCs w:val="21"/>
                <w:highlight w:val="none"/>
              </w:rPr>
              <w:t>人组成，共</w:t>
            </w:r>
            <w:r>
              <w:rPr>
                <w:rFonts w:hint="eastAsia" w:ascii="仿宋" w:hAnsi="仿宋" w:cs="仿宋"/>
                <w:color w:val="auto"/>
                <w:szCs w:val="21"/>
                <w:highlight w:val="none"/>
                <w:u w:val="single"/>
              </w:rPr>
              <w:t>7</w:t>
            </w:r>
            <w:r>
              <w:rPr>
                <w:rFonts w:hint="eastAsia" w:ascii="仿宋" w:hAnsi="仿宋" w:cs="仿宋"/>
                <w:color w:val="auto"/>
                <w:szCs w:val="21"/>
                <w:highlight w:val="none"/>
              </w:rPr>
              <w:t xml:space="preserve">人。 </w:t>
            </w:r>
          </w:p>
        </w:tc>
      </w:tr>
      <w:tr>
        <w:tblPrEx>
          <w:tblCellMar>
            <w:top w:w="0" w:type="dxa"/>
            <w:left w:w="108" w:type="dxa"/>
            <w:bottom w:w="0" w:type="dxa"/>
            <w:right w:w="108" w:type="dxa"/>
          </w:tblCellMar>
        </w:tblPrEx>
        <w:trPr>
          <w:trHeight w:val="464" w:hRule="atLeast"/>
        </w:trPr>
        <w:tc>
          <w:tcPr>
            <w:tcW w:w="873" w:type="dxa"/>
            <w:tcBorders>
              <w:top w:val="nil"/>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kern w:val="0"/>
                <w:szCs w:val="21"/>
                <w:highlight w:val="none"/>
              </w:rPr>
              <w:t>2</w:t>
            </w:r>
            <w:r>
              <w:rPr>
                <w:rFonts w:hint="eastAsia" w:ascii="仿宋_GB2312" w:hAnsi="仿宋_GB2312" w:eastAsia="仿宋_GB2312" w:cs="仿宋_GB2312"/>
                <w:color w:val="auto"/>
                <w:kern w:val="0"/>
                <w:szCs w:val="21"/>
                <w:highlight w:val="none"/>
                <w:lang w:val="en-US" w:eastAsia="zh-CN"/>
              </w:rPr>
              <w:t>5</w:t>
            </w:r>
            <w:r>
              <w:rPr>
                <w:rFonts w:hint="eastAsia" w:ascii="仿宋_GB2312" w:hAnsi="仿宋_GB2312" w:eastAsia="仿宋_GB2312" w:cs="仿宋_GB2312"/>
                <w:color w:val="auto"/>
                <w:kern w:val="0"/>
                <w:szCs w:val="21"/>
                <w:highlight w:val="none"/>
              </w:rPr>
              <w:t>.1</w:t>
            </w:r>
          </w:p>
        </w:tc>
        <w:tc>
          <w:tcPr>
            <w:tcW w:w="1962" w:type="dxa"/>
            <w:tcBorders>
              <w:top w:val="nil"/>
              <w:left w:val="single" w:color="auto" w:sz="4" w:space="0"/>
              <w:bottom w:val="single" w:color="auto" w:sz="4" w:space="0"/>
              <w:right w:val="single" w:color="auto" w:sz="8"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样品的评审办法以及评审标准</w:t>
            </w:r>
          </w:p>
          <w:p>
            <w:pPr>
              <w:keepNext w:val="0"/>
              <w:keepLines w:val="0"/>
              <w:suppressLineNumbers w:val="0"/>
              <w:shd w:val="clear" w:color="auto" w:fill="FFFFFF"/>
              <w:spacing w:before="0" w:beforeAutospacing="0" w:after="0" w:afterAutospacing="0"/>
              <w:ind w:left="0" w:right="0"/>
              <w:jc w:val="center"/>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rPr>
              <w:t>演示的评审办法及评审标准</w:t>
            </w:r>
          </w:p>
        </w:tc>
        <w:tc>
          <w:tcPr>
            <w:tcW w:w="6028" w:type="dxa"/>
            <w:tcBorders>
              <w:top w:val="nil"/>
              <w:left w:val="nil"/>
              <w:bottom w:val="single" w:color="auto" w:sz="4" w:space="0"/>
              <w:right w:val="single" w:color="auto" w:sz="8" w:space="0"/>
            </w:tcBorders>
            <w:noWrap w:val="0"/>
            <w:vAlign w:val="center"/>
          </w:tcPr>
          <w:p>
            <w:pPr>
              <w:keepNext w:val="0"/>
              <w:keepLines w:val="0"/>
              <w:suppressLineNumbers w:val="0"/>
              <w:spacing w:before="0" w:beforeAutospacing="0" w:after="0" w:afterAutospacing="0"/>
              <w:ind w:left="0" w:right="0"/>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bCs/>
                <w:color w:val="auto"/>
                <w:kern w:val="0"/>
                <w:szCs w:val="21"/>
                <w:highlight w:val="none"/>
              </w:rPr>
              <w:t>样品：</w:t>
            </w:r>
            <w:r>
              <w:rPr>
                <w:rFonts w:hint="eastAsia" w:ascii="仿宋_GB2312" w:hAnsi="仿宋_GB2312" w:eastAsia="仿宋_GB2312" w:cs="仿宋_GB2312"/>
                <w:bCs/>
                <w:color w:val="auto"/>
                <w:kern w:val="0"/>
                <w:szCs w:val="21"/>
                <w:highlight w:val="none"/>
                <w:lang w:val="en-US" w:eastAsia="zh-CN"/>
              </w:rPr>
              <w:t>本项目需提供样品</w:t>
            </w:r>
          </w:p>
          <w:p>
            <w:pPr>
              <w:keepNext w:val="0"/>
              <w:keepLines w:val="0"/>
              <w:suppressLineNumbers w:val="0"/>
              <w:spacing w:before="0" w:beforeAutospacing="0" w:after="0" w:afterAutospacing="0"/>
              <w:ind w:left="0" w:right="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1、样品评审办法：</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u w:val="single"/>
                <w:lang w:val="en-US" w:eastAsia="zh-CN"/>
              </w:rPr>
              <w:t>综合评分法</w:t>
            </w:r>
            <w:r>
              <w:rPr>
                <w:rFonts w:hint="eastAsia" w:ascii="仿宋_GB2312" w:hAnsi="仿宋_GB2312" w:eastAsia="仿宋_GB2312" w:cs="仿宋_GB2312"/>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2、样品评审标准：</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u w:val="single"/>
                <w:lang w:val="en-US" w:eastAsia="zh-CN"/>
              </w:rPr>
              <w:t>具体详见评分标准和评分细则</w:t>
            </w:r>
            <w:r>
              <w:rPr>
                <w:rFonts w:hint="eastAsia" w:ascii="仿宋_GB2312" w:hAnsi="仿宋_GB2312" w:eastAsia="仿宋_GB2312" w:cs="仿宋_GB2312"/>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演示：</w:t>
            </w:r>
            <w:r>
              <w:rPr>
                <w:rFonts w:hint="eastAsia" w:ascii="仿宋_GB2312" w:hAnsi="仿宋_GB2312" w:eastAsia="仿宋_GB2312" w:cs="仿宋_GB2312"/>
                <w:color w:val="auto"/>
                <w:kern w:val="0"/>
                <w:szCs w:val="21"/>
                <w:highlight w:val="none"/>
                <w:lang w:val="en-US" w:eastAsia="zh-CN"/>
              </w:rPr>
              <w:t>本项目无需演示</w:t>
            </w:r>
          </w:p>
          <w:p>
            <w:pPr>
              <w:keepNext w:val="0"/>
              <w:keepLines w:val="0"/>
              <w:suppressLineNumbers w:val="0"/>
              <w:spacing w:before="0" w:beforeAutospacing="0" w:after="0" w:afterAutospacing="0"/>
              <w:ind w:left="0" w:right="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1、演示评审办法：</w:t>
            </w:r>
            <w:r>
              <w:rPr>
                <w:rFonts w:hint="eastAsia" w:ascii="仿宋_GB2312" w:hAnsi="仿宋_GB2312" w:eastAsia="仿宋_GB2312" w:cs="仿宋_GB2312"/>
                <w:color w:val="auto"/>
                <w:kern w:val="0"/>
                <w:szCs w:val="21"/>
                <w:highlight w:val="none"/>
                <w:u w:val="single"/>
              </w:rPr>
              <w:t xml:space="preserve">              </w:t>
            </w:r>
          </w:p>
          <w:p>
            <w:pPr>
              <w:keepNext w:val="0"/>
              <w:keepLines w:val="0"/>
              <w:suppressLineNumbers w:val="0"/>
              <w:spacing w:before="0" w:beforeAutospacing="0" w:after="0" w:afterAutospacing="0"/>
              <w:ind w:left="0" w:right="0"/>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kern w:val="0"/>
                <w:szCs w:val="21"/>
                <w:highlight w:val="none"/>
              </w:rPr>
              <w:t>2、演示评审标准：</w:t>
            </w:r>
            <w:r>
              <w:rPr>
                <w:rFonts w:hint="eastAsia" w:ascii="仿宋_GB2312" w:hAnsi="仿宋_GB2312" w:eastAsia="仿宋_GB2312" w:cs="仿宋_GB2312"/>
                <w:color w:val="auto"/>
                <w:kern w:val="0"/>
                <w:szCs w:val="21"/>
                <w:highlight w:val="none"/>
                <w:u w:val="single"/>
              </w:rPr>
              <w:t xml:space="preserve">              </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27.2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评标办法</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highlight w:val="none"/>
              </w:rPr>
              <w:sym w:font="Wingdings 2" w:char="0052"/>
            </w:r>
            <w:r>
              <w:rPr>
                <w:rFonts w:hint="eastAsia" w:ascii="仿宋" w:hAnsi="仿宋" w:cs="仿宋"/>
                <w:color w:val="auto"/>
                <w:szCs w:val="21"/>
                <w:highlight w:val="none"/>
              </w:rPr>
              <w:t>综合评分法</w:t>
            </w:r>
          </w:p>
          <w:p>
            <w:pPr>
              <w:keepNext w:val="0"/>
              <w:keepLines w:val="0"/>
              <w:widowControl/>
              <w:suppressLineNumbers w:val="0"/>
              <w:spacing w:before="0" w:beforeAutospacing="0" w:after="0" w:afterAutospacing="0"/>
              <w:ind w:left="0" w:right="0"/>
              <w:rPr>
                <w:rFonts w:hint="eastAsia" w:ascii="仿宋" w:hAnsi="仿宋" w:cs="仿宋"/>
                <w:color w:val="auto"/>
                <w:highlight w:val="none"/>
              </w:rPr>
            </w:pPr>
            <w:r>
              <w:rPr>
                <w:rFonts w:hint="eastAsia" w:ascii="仿宋" w:hAnsi="仿宋" w:cs="仿宋"/>
                <w:color w:val="auto"/>
                <w:szCs w:val="21"/>
                <w:highlight w:val="none"/>
              </w:rPr>
              <w:sym w:font="Wingdings 2" w:char="00A3"/>
            </w:r>
            <w:r>
              <w:rPr>
                <w:rFonts w:hint="eastAsia" w:ascii="仿宋" w:hAnsi="仿宋" w:cs="仿宋"/>
                <w:color w:val="auto"/>
                <w:szCs w:val="21"/>
                <w:highlight w:val="none"/>
              </w:rPr>
              <w:t>最低评标价法</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29.2</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推荐中标候选人的数量</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u w:val="single"/>
              </w:rPr>
              <w:t>3个/包</w:t>
            </w:r>
          </w:p>
        </w:tc>
      </w:tr>
      <w:tr>
        <w:tblPrEx>
          <w:tblCellMar>
            <w:top w:w="0" w:type="dxa"/>
            <w:left w:w="108" w:type="dxa"/>
            <w:bottom w:w="0" w:type="dxa"/>
            <w:right w:w="108" w:type="dxa"/>
          </w:tblCellMar>
        </w:tblPrEx>
        <w:trPr>
          <w:trHeight w:val="712"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确定中标人的方式</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中标人数量：</w:t>
            </w:r>
            <w:r>
              <w:rPr>
                <w:rFonts w:hint="eastAsia" w:ascii="仿宋" w:hAnsi="仿宋" w:cs="仿宋"/>
                <w:color w:val="auto"/>
                <w:kern w:val="0"/>
                <w:szCs w:val="21"/>
                <w:highlight w:val="none"/>
                <w:u w:val="single"/>
              </w:rPr>
              <w:t>1个/包</w:t>
            </w:r>
          </w:p>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sym w:font="Wingdings 2" w:char="0052"/>
            </w:r>
            <w:r>
              <w:rPr>
                <w:rFonts w:hint="eastAsia" w:ascii="仿宋" w:hAnsi="仿宋" w:cs="仿宋"/>
                <w:color w:val="auto"/>
                <w:kern w:val="0"/>
                <w:szCs w:val="21"/>
                <w:highlight w:val="none"/>
              </w:rPr>
              <w:t>采购人委托评标委员会直接确定中标人</w:t>
            </w:r>
          </w:p>
          <w:p>
            <w:pPr>
              <w:keepNext w:val="0"/>
              <w:keepLines w:val="0"/>
              <w:widowControl/>
              <w:suppressLineNumbers w:val="0"/>
              <w:spacing w:before="0" w:beforeAutospacing="0" w:after="0" w:afterAutospacing="0"/>
              <w:ind w:left="0" w:right="0"/>
              <w:rPr>
                <w:rFonts w:hint="eastAsia" w:ascii="仿宋" w:hAnsi="仿宋" w:cs="仿宋"/>
                <w:color w:val="auto"/>
                <w:kern w:val="0"/>
                <w:szCs w:val="21"/>
                <w:highlight w:val="none"/>
                <w:u w:val="single"/>
              </w:rPr>
            </w:pPr>
            <w:r>
              <w:rPr>
                <w:rFonts w:hint="eastAsia" w:ascii="仿宋" w:hAnsi="仿宋" w:cs="仿宋"/>
                <w:color w:val="auto"/>
                <w:kern w:val="0"/>
                <w:szCs w:val="21"/>
                <w:highlight w:val="none"/>
              </w:rPr>
              <w:sym w:font="Wingdings 2" w:char="00A3"/>
            </w:r>
            <w:r>
              <w:rPr>
                <w:rFonts w:hint="eastAsia" w:ascii="仿宋" w:hAnsi="仿宋" w:cs="仿宋"/>
                <w:color w:val="auto"/>
                <w:kern w:val="0"/>
                <w:szCs w:val="21"/>
                <w:highlight w:val="none"/>
              </w:rPr>
              <w:t>采购人确定中标人</w:t>
            </w:r>
          </w:p>
        </w:tc>
      </w:tr>
      <w:tr>
        <w:tblPrEx>
          <w:tblCellMar>
            <w:top w:w="0" w:type="dxa"/>
            <w:left w:w="108" w:type="dxa"/>
            <w:bottom w:w="0" w:type="dxa"/>
            <w:right w:w="108" w:type="dxa"/>
          </w:tblCellMar>
        </w:tblPrEx>
        <w:trPr>
          <w:trHeight w:val="440" w:hRule="atLeast"/>
        </w:trPr>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35.1</w:t>
            </w:r>
          </w:p>
        </w:tc>
        <w:tc>
          <w:tcPr>
            <w:tcW w:w="1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履约保证金</w:t>
            </w:r>
          </w:p>
        </w:tc>
        <w:tc>
          <w:tcPr>
            <w:tcW w:w="60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hd w:val="clear" w:color="auto" w:fill="FFFFFF"/>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sym w:font="Wingdings 2" w:char="0052"/>
            </w:r>
            <w:r>
              <w:rPr>
                <w:rFonts w:hint="eastAsia" w:ascii="仿宋" w:hAnsi="仿宋" w:cs="仿宋"/>
                <w:color w:val="auto"/>
                <w:szCs w:val="21"/>
                <w:highlight w:val="none"/>
              </w:rPr>
              <w:t>本项目不收取履约保证金</w:t>
            </w:r>
          </w:p>
          <w:p>
            <w:pPr>
              <w:keepNext w:val="0"/>
              <w:keepLines w:val="0"/>
              <w:suppressLineNumbers w:val="0"/>
              <w:shd w:val="clear" w:color="auto" w:fill="FFFFFF"/>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sym w:font="Wingdings 2" w:char="00A3"/>
            </w:r>
            <w:r>
              <w:rPr>
                <w:rFonts w:hint="eastAsia" w:ascii="仿宋" w:hAnsi="仿宋" w:cs="仿宋"/>
                <w:color w:val="auto"/>
                <w:szCs w:val="21"/>
                <w:highlight w:val="none"/>
              </w:rPr>
              <w:t>本项目收取履约保证金</w:t>
            </w:r>
          </w:p>
          <w:p>
            <w:pPr>
              <w:keepNext w:val="0"/>
              <w:keepLines w:val="0"/>
              <w:suppressLineNumbers w:val="0"/>
              <w:shd w:val="clear" w:color="auto" w:fill="FFFFFF"/>
              <w:spacing w:before="0" w:beforeAutospacing="0" w:after="0" w:afterAutospacing="0"/>
              <w:ind w:left="0" w:right="0" w:firstLine="210" w:firstLineChars="100"/>
              <w:jc w:val="left"/>
              <w:rPr>
                <w:rFonts w:hint="eastAsia" w:ascii="仿宋" w:hAnsi="仿宋" w:cs="仿宋"/>
                <w:color w:val="auto"/>
                <w:szCs w:val="21"/>
                <w:highlight w:val="none"/>
              </w:rPr>
            </w:pPr>
            <w:r>
              <w:rPr>
                <w:rFonts w:hint="eastAsia" w:ascii="仿宋" w:hAnsi="仿宋" w:cs="仿宋"/>
                <w:color w:val="auto"/>
                <w:szCs w:val="21"/>
                <w:highlight w:val="none"/>
              </w:rPr>
              <w:t>履约保证金金额：</w:t>
            </w:r>
            <w:r>
              <w:rPr>
                <w:rFonts w:hint="eastAsia" w:ascii="仿宋" w:hAnsi="仿宋" w:cs="仿宋"/>
                <w:color w:val="auto"/>
                <w:kern w:val="0"/>
                <w:szCs w:val="21"/>
                <w:highlight w:val="none"/>
                <w:u w:val="single"/>
              </w:rPr>
              <w:t xml:space="preserve">                 </w:t>
            </w:r>
          </w:p>
          <w:p>
            <w:pPr>
              <w:keepNext w:val="0"/>
              <w:keepLines w:val="0"/>
              <w:suppressLineNumbers w:val="0"/>
              <w:shd w:val="clear" w:color="auto" w:fill="FFFFFF"/>
              <w:spacing w:before="0" w:beforeAutospacing="0" w:after="0" w:afterAutospacing="0"/>
              <w:ind w:left="0" w:right="0" w:firstLine="210" w:firstLineChars="100"/>
              <w:jc w:val="left"/>
              <w:rPr>
                <w:rFonts w:hint="eastAsia" w:ascii="仿宋" w:hAnsi="仿宋" w:cs="仿宋"/>
                <w:color w:val="auto"/>
                <w:szCs w:val="21"/>
                <w:highlight w:val="none"/>
              </w:rPr>
            </w:pPr>
            <w:r>
              <w:rPr>
                <w:rFonts w:hint="eastAsia" w:ascii="仿宋" w:hAnsi="仿宋" w:cs="仿宋"/>
                <w:color w:val="auto"/>
                <w:szCs w:val="21"/>
                <w:highlight w:val="none"/>
              </w:rPr>
              <w:t>履约保证金递交时间：</w:t>
            </w:r>
            <w:r>
              <w:rPr>
                <w:rFonts w:hint="eastAsia" w:ascii="仿宋" w:hAnsi="仿宋" w:cs="仿宋"/>
                <w:color w:val="auto"/>
                <w:kern w:val="0"/>
                <w:szCs w:val="21"/>
                <w:highlight w:val="none"/>
                <w:u w:val="single"/>
              </w:rPr>
              <w:t xml:space="preserve">             </w:t>
            </w:r>
          </w:p>
          <w:p>
            <w:pPr>
              <w:keepNext w:val="0"/>
              <w:keepLines w:val="0"/>
              <w:suppressLineNumbers w:val="0"/>
              <w:shd w:val="clear" w:color="auto" w:fill="FFFFFF"/>
              <w:spacing w:before="0" w:beforeAutospacing="0" w:after="0" w:afterAutospacing="0"/>
              <w:ind w:left="0" w:right="0" w:firstLine="210" w:firstLineChars="100"/>
              <w:jc w:val="left"/>
              <w:rPr>
                <w:rFonts w:hint="eastAsia" w:ascii="仿宋" w:hAnsi="仿宋" w:cs="仿宋"/>
                <w:color w:val="auto"/>
                <w:szCs w:val="21"/>
                <w:highlight w:val="none"/>
              </w:rPr>
            </w:pPr>
            <w:r>
              <w:rPr>
                <w:rFonts w:hint="eastAsia" w:ascii="仿宋" w:hAnsi="仿宋" w:cs="仿宋"/>
                <w:color w:val="auto"/>
                <w:szCs w:val="21"/>
                <w:highlight w:val="none"/>
              </w:rPr>
              <w:t>履约保证金递交方式：□保函   □支票  □电汇</w:t>
            </w:r>
          </w:p>
          <w:p>
            <w:pPr>
              <w:keepNext w:val="0"/>
              <w:keepLines w:val="0"/>
              <w:suppressLineNumbers w:val="0"/>
              <w:shd w:val="clear" w:color="auto" w:fill="FFFFFF"/>
              <w:spacing w:before="0" w:beforeAutospacing="0" w:after="0" w:afterAutospacing="0"/>
              <w:ind w:left="0" w:right="0"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账户信息：</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 xml:space="preserve">    开 户 名：</w:t>
            </w:r>
            <w:r>
              <w:rPr>
                <w:rFonts w:hint="eastAsia" w:ascii="仿宋" w:hAnsi="仿宋" w:cs="仿宋"/>
                <w:color w:val="auto"/>
                <w:kern w:val="0"/>
                <w:szCs w:val="21"/>
                <w:highlight w:val="none"/>
                <w:u w:val="single"/>
              </w:rPr>
              <w:t xml:space="preserve">                 </w:t>
            </w:r>
            <w:r>
              <w:rPr>
                <w:rFonts w:hint="eastAsia" w:ascii="仿宋" w:hAnsi="仿宋" w:cs="仿宋"/>
                <w:color w:val="auto"/>
                <w:szCs w:val="21"/>
                <w:highlight w:val="none"/>
              </w:rPr>
              <w:t xml:space="preserve"> </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 xml:space="preserve">    开 户 行：</w:t>
            </w:r>
            <w:r>
              <w:rPr>
                <w:rFonts w:hint="eastAsia" w:ascii="仿宋" w:hAnsi="仿宋" w:cs="仿宋"/>
                <w:color w:val="auto"/>
                <w:kern w:val="0"/>
                <w:szCs w:val="21"/>
                <w:highlight w:val="none"/>
                <w:u w:val="single"/>
              </w:rPr>
              <w:t xml:space="preserve">                 </w:t>
            </w:r>
            <w:r>
              <w:rPr>
                <w:rFonts w:hint="eastAsia" w:ascii="仿宋" w:hAnsi="仿宋" w:cs="仿宋"/>
                <w:color w:val="auto"/>
                <w:szCs w:val="21"/>
                <w:highlight w:val="none"/>
              </w:rPr>
              <w:t xml:space="preserve"> </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 xml:space="preserve">    账    号：</w:t>
            </w:r>
            <w:r>
              <w:rPr>
                <w:rFonts w:hint="eastAsia" w:ascii="仿宋" w:hAnsi="仿宋" w:cs="仿宋"/>
                <w:color w:val="auto"/>
                <w:kern w:val="0"/>
                <w:szCs w:val="21"/>
                <w:highlight w:val="none"/>
                <w:u w:val="single"/>
              </w:rPr>
              <w:t xml:space="preserve">                 </w:t>
            </w:r>
            <w:r>
              <w:rPr>
                <w:rFonts w:hint="eastAsia" w:ascii="仿宋" w:hAnsi="仿宋" w:cs="仿宋"/>
                <w:color w:val="auto"/>
                <w:szCs w:val="21"/>
                <w:highlight w:val="none"/>
              </w:rPr>
              <w:t xml:space="preserve"> </w:t>
            </w:r>
          </w:p>
          <w:p>
            <w:pPr>
              <w:keepNext w:val="0"/>
              <w:keepLines w:val="0"/>
              <w:suppressLineNumbers w:val="0"/>
              <w:shd w:val="clear" w:color="auto" w:fill="FFFFFF"/>
              <w:spacing w:before="0" w:beforeAutospacing="0" w:after="0" w:afterAutospacing="0"/>
              <w:ind w:left="0" w:right="0" w:firstLine="210" w:firstLineChars="100"/>
              <w:jc w:val="left"/>
              <w:rPr>
                <w:rFonts w:hint="eastAsia" w:ascii="仿宋" w:hAnsi="仿宋" w:cs="仿宋"/>
                <w:color w:val="auto"/>
                <w:kern w:val="0"/>
                <w:szCs w:val="21"/>
                <w:highlight w:val="none"/>
              </w:rPr>
            </w:pPr>
            <w:r>
              <w:rPr>
                <w:rFonts w:hint="eastAsia" w:ascii="仿宋" w:hAnsi="仿宋" w:cs="仿宋"/>
                <w:color w:val="auto"/>
                <w:szCs w:val="21"/>
                <w:highlight w:val="none"/>
              </w:rPr>
              <w:t>履约保证金退还时间及规定：</w:t>
            </w:r>
            <w:r>
              <w:rPr>
                <w:rFonts w:hint="eastAsia" w:ascii="仿宋" w:hAnsi="仿宋" w:cs="仿宋"/>
                <w:color w:val="auto"/>
                <w:kern w:val="0"/>
                <w:szCs w:val="21"/>
                <w:highlight w:val="none"/>
                <w:u w:val="single"/>
              </w:rPr>
              <w:t xml:space="preserve">   </w:t>
            </w:r>
          </w:p>
        </w:tc>
      </w:tr>
      <w:tr>
        <w:tblPrEx>
          <w:tblCellMar>
            <w:top w:w="0" w:type="dxa"/>
            <w:left w:w="108" w:type="dxa"/>
            <w:bottom w:w="0" w:type="dxa"/>
            <w:right w:w="108" w:type="dxa"/>
          </w:tblCellMar>
        </w:tblPrEx>
        <w:trPr>
          <w:trHeight w:val="947" w:hRule="atLeast"/>
        </w:trPr>
        <w:tc>
          <w:tcPr>
            <w:tcW w:w="873" w:type="dxa"/>
            <w:tcBorders>
              <w:top w:val="nil"/>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36</w:t>
            </w:r>
          </w:p>
        </w:tc>
        <w:tc>
          <w:tcPr>
            <w:tcW w:w="1962" w:type="dxa"/>
            <w:tcBorders>
              <w:top w:val="nil"/>
              <w:left w:val="single" w:color="auto" w:sz="4" w:space="0"/>
              <w:bottom w:val="single" w:color="auto" w:sz="8"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采购代理服务费</w:t>
            </w:r>
          </w:p>
        </w:tc>
        <w:tc>
          <w:tcPr>
            <w:tcW w:w="6028" w:type="dxa"/>
            <w:tcBorders>
              <w:top w:val="nil"/>
              <w:left w:val="nil"/>
              <w:bottom w:val="single" w:color="auto" w:sz="8" w:space="0"/>
              <w:right w:val="single" w:color="auto" w:sz="8" w:space="0"/>
            </w:tcBorders>
            <w:noWrap w:val="0"/>
            <w:vAlign w:val="center"/>
          </w:tcPr>
          <w:p>
            <w:pPr>
              <w:keepNext w:val="0"/>
              <w:keepLines w:val="0"/>
              <w:suppressLineNumbers w:val="0"/>
              <w:shd w:val="clear" w:color="auto" w:fill="FFFFFF"/>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sym w:font="Wingdings 2" w:char="00A3"/>
            </w:r>
            <w:r>
              <w:rPr>
                <w:rFonts w:hint="eastAsia" w:ascii="仿宋" w:hAnsi="仿宋" w:cs="仿宋"/>
                <w:color w:val="auto"/>
                <w:szCs w:val="21"/>
                <w:highlight w:val="none"/>
              </w:rPr>
              <w:t>本项目不收取</w:t>
            </w:r>
            <w:r>
              <w:rPr>
                <w:rFonts w:hint="eastAsia" w:ascii="仿宋" w:hAnsi="仿宋" w:cs="仿宋"/>
                <w:color w:val="auto"/>
                <w:kern w:val="0"/>
                <w:szCs w:val="21"/>
                <w:highlight w:val="none"/>
              </w:rPr>
              <w:t>采购代理服务费</w:t>
            </w:r>
          </w:p>
          <w:p>
            <w:pPr>
              <w:keepNext w:val="0"/>
              <w:keepLines w:val="0"/>
              <w:suppressLineNumbers w:val="0"/>
              <w:shd w:val="clear" w:color="auto" w:fill="FFFFFF"/>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sym w:font="Wingdings 2" w:char="0052"/>
            </w:r>
            <w:r>
              <w:rPr>
                <w:rFonts w:hint="eastAsia" w:ascii="仿宋" w:hAnsi="仿宋" w:cs="仿宋"/>
                <w:color w:val="auto"/>
                <w:szCs w:val="21"/>
                <w:highlight w:val="none"/>
              </w:rPr>
              <w:t>本项目收取</w:t>
            </w:r>
            <w:r>
              <w:rPr>
                <w:rFonts w:hint="eastAsia" w:ascii="仿宋" w:hAnsi="仿宋" w:cs="仿宋"/>
                <w:color w:val="auto"/>
                <w:kern w:val="0"/>
                <w:szCs w:val="21"/>
                <w:highlight w:val="none"/>
              </w:rPr>
              <w:t>采购代理服务费</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kern w:val="0"/>
                <w:szCs w:val="21"/>
                <w:highlight w:val="none"/>
              </w:rPr>
            </w:pPr>
            <w:r>
              <w:rPr>
                <w:rFonts w:hint="eastAsia" w:ascii="仿宋" w:hAnsi="仿宋" w:cs="仿宋"/>
                <w:color w:val="auto"/>
                <w:kern w:val="0"/>
                <w:szCs w:val="21"/>
                <w:highlight w:val="none"/>
              </w:rPr>
              <w:t>本项目</w:t>
            </w:r>
            <w:r>
              <w:rPr>
                <w:rFonts w:hint="eastAsia" w:ascii="仿宋" w:hAnsi="仿宋" w:cs="仿宋"/>
                <w:color w:val="auto"/>
                <w:kern w:val="0"/>
                <w:szCs w:val="21"/>
                <w:highlight w:val="none"/>
                <w:lang w:val="en-US" w:eastAsia="zh-CN"/>
              </w:rPr>
              <w:t>招标</w:t>
            </w:r>
            <w:r>
              <w:rPr>
                <w:rFonts w:hint="eastAsia" w:ascii="仿宋" w:hAnsi="仿宋" w:cs="仿宋"/>
                <w:color w:val="auto"/>
                <w:kern w:val="0"/>
                <w:szCs w:val="21"/>
                <w:highlight w:val="none"/>
              </w:rPr>
              <w:t>代理服务费由</w:t>
            </w:r>
            <w:r>
              <w:rPr>
                <w:rFonts w:hint="eastAsia" w:ascii="仿宋" w:hAnsi="仿宋" w:cs="仿宋"/>
                <w:color w:val="auto"/>
                <w:kern w:val="0"/>
                <w:szCs w:val="21"/>
                <w:highlight w:val="none"/>
                <w:u w:val="single"/>
              </w:rPr>
              <w:t>中标人</w:t>
            </w:r>
            <w:r>
              <w:rPr>
                <w:rFonts w:hint="eastAsia" w:ascii="仿宋" w:hAnsi="仿宋" w:cs="仿宋"/>
                <w:color w:val="auto"/>
                <w:kern w:val="0"/>
                <w:szCs w:val="21"/>
                <w:highlight w:val="none"/>
              </w:rPr>
              <w:t>向</w:t>
            </w:r>
            <w:r>
              <w:rPr>
                <w:rFonts w:hint="eastAsia" w:ascii="仿宋" w:hAnsi="仿宋" w:cs="仿宋"/>
                <w:color w:val="auto"/>
                <w:kern w:val="0"/>
                <w:szCs w:val="21"/>
                <w:highlight w:val="none"/>
                <w:lang w:eastAsia="zh-CN"/>
              </w:rPr>
              <w:t>采购代理机构</w:t>
            </w:r>
            <w:r>
              <w:rPr>
                <w:rFonts w:hint="eastAsia" w:ascii="仿宋" w:hAnsi="仿宋" w:cs="仿宋"/>
                <w:color w:val="auto"/>
                <w:kern w:val="0"/>
                <w:szCs w:val="21"/>
                <w:highlight w:val="none"/>
              </w:rPr>
              <w:t>予以支付。</w:t>
            </w:r>
          </w:p>
          <w:p>
            <w:pPr>
              <w:keepNext w:val="0"/>
              <w:keepLines w:val="0"/>
              <w:widowControl/>
              <w:suppressLineNumbers w:val="0"/>
              <w:spacing w:before="0" w:beforeAutospacing="0" w:after="0" w:afterAutospacing="0"/>
              <w:ind w:left="0" w:right="0" w:firstLine="210" w:firstLineChars="100"/>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rPr>
              <w:t>支付标准：</w:t>
            </w:r>
            <w:r>
              <w:rPr>
                <w:rFonts w:hint="eastAsia" w:ascii="仿宋" w:hAnsi="仿宋" w:cs="仿宋"/>
                <w:color w:val="auto"/>
                <w:kern w:val="0"/>
                <w:szCs w:val="21"/>
                <w:highlight w:val="none"/>
                <w:lang w:val="en-US" w:eastAsia="zh-CN"/>
              </w:rPr>
              <w:t>参照</w:t>
            </w:r>
            <w:r>
              <w:rPr>
                <w:rFonts w:hint="eastAsia" w:ascii="仿宋" w:hAnsi="仿宋" w:cs="仿宋"/>
                <w:color w:val="auto"/>
                <w:kern w:val="0"/>
                <w:szCs w:val="21"/>
                <w:highlight w:val="none"/>
              </w:rPr>
              <w:t>计价格〔2002〕1980号、发改办价格〔2003〕857号文件规定货物类标准收取</w:t>
            </w:r>
            <w:r>
              <w:rPr>
                <w:rFonts w:hint="eastAsia" w:ascii="仿宋" w:hAnsi="仿宋" w:cs="仿宋"/>
                <w:color w:val="auto"/>
                <w:kern w:val="0"/>
                <w:szCs w:val="21"/>
                <w:highlight w:val="none"/>
                <w:lang w:eastAsia="zh-CN"/>
              </w:rPr>
              <w:t>。</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kern w:val="0"/>
                <w:szCs w:val="21"/>
                <w:highlight w:val="none"/>
              </w:rPr>
            </w:pPr>
            <w:r>
              <w:rPr>
                <w:rFonts w:hint="eastAsia" w:ascii="仿宋" w:hAnsi="仿宋" w:cs="仿宋"/>
                <w:color w:val="auto"/>
                <w:kern w:val="0"/>
                <w:szCs w:val="21"/>
                <w:highlight w:val="none"/>
              </w:rPr>
              <w:t>支付形式：电汇或支票</w:t>
            </w:r>
          </w:p>
          <w:p>
            <w:pPr>
              <w:keepNext w:val="0"/>
              <w:keepLines w:val="0"/>
              <w:widowControl/>
              <w:suppressLineNumbers w:val="0"/>
              <w:spacing w:before="0" w:beforeAutospacing="0" w:after="0" w:afterAutospacing="0"/>
              <w:ind w:left="0" w:right="0" w:firstLine="210" w:firstLineChars="100"/>
              <w:rPr>
                <w:rFonts w:hint="eastAsia" w:ascii="仿宋" w:hAnsi="仿宋" w:eastAsia="仿宋" w:cs="仿宋"/>
                <w:color w:val="auto"/>
                <w:kern w:val="0"/>
                <w:szCs w:val="21"/>
                <w:highlight w:val="none"/>
                <w:lang w:eastAsia="zh-CN"/>
              </w:rPr>
            </w:pPr>
            <w:r>
              <w:rPr>
                <w:rFonts w:hint="eastAsia" w:ascii="仿宋" w:hAnsi="仿宋" w:cs="仿宋"/>
                <w:color w:val="auto"/>
                <w:kern w:val="0"/>
                <w:szCs w:val="21"/>
                <w:highlight w:val="none"/>
              </w:rPr>
              <w:t>支付时间：</w:t>
            </w:r>
            <w:r>
              <w:rPr>
                <w:rFonts w:hint="eastAsia" w:ascii="仿宋" w:hAnsi="仿宋" w:cs="仿宋"/>
                <w:color w:val="auto"/>
                <w:kern w:val="0"/>
                <w:szCs w:val="21"/>
                <w:highlight w:val="none"/>
                <w:lang w:val="en-US" w:eastAsia="zh-CN"/>
              </w:rPr>
              <w:t>领取</w:t>
            </w:r>
            <w:r>
              <w:rPr>
                <w:rFonts w:hint="eastAsia" w:ascii="仿宋" w:hAnsi="仿宋" w:cs="仿宋"/>
                <w:color w:val="auto"/>
                <w:kern w:val="0"/>
                <w:szCs w:val="21"/>
                <w:highlight w:val="none"/>
              </w:rPr>
              <w:t>中标通知书之前由中标人将采购代理服务费支付至</w:t>
            </w:r>
            <w:r>
              <w:rPr>
                <w:rFonts w:hint="eastAsia" w:ascii="仿宋" w:hAnsi="仿宋" w:cs="仿宋"/>
                <w:color w:val="auto"/>
                <w:kern w:val="0"/>
                <w:szCs w:val="21"/>
                <w:highlight w:val="none"/>
                <w:lang w:eastAsia="zh-CN"/>
              </w:rPr>
              <w:t>采购代理机构。</w:t>
            </w:r>
          </w:p>
        </w:tc>
      </w:tr>
      <w:tr>
        <w:tblPrEx>
          <w:tblCellMar>
            <w:top w:w="0" w:type="dxa"/>
            <w:left w:w="108" w:type="dxa"/>
            <w:bottom w:w="0" w:type="dxa"/>
            <w:right w:w="108" w:type="dxa"/>
          </w:tblCellMar>
        </w:tblPrEx>
        <w:trPr>
          <w:trHeight w:val="465" w:hRule="atLeast"/>
        </w:trPr>
        <w:tc>
          <w:tcPr>
            <w:tcW w:w="873" w:type="dxa"/>
            <w:tcBorders>
              <w:top w:val="single" w:color="auto" w:sz="4" w:space="0"/>
              <w:left w:val="single" w:color="auto" w:sz="8"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39.3</w:t>
            </w:r>
          </w:p>
        </w:tc>
        <w:tc>
          <w:tcPr>
            <w:tcW w:w="1962" w:type="dxa"/>
            <w:tcBorders>
              <w:top w:val="single" w:color="auto" w:sz="4" w:space="0"/>
              <w:left w:val="single" w:color="auto" w:sz="4" w:space="0"/>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质疑</w:t>
            </w:r>
          </w:p>
        </w:tc>
        <w:tc>
          <w:tcPr>
            <w:tcW w:w="6028" w:type="dxa"/>
            <w:tcBorders>
              <w:top w:val="single" w:color="auto" w:sz="4" w:space="0"/>
              <w:left w:val="nil"/>
              <w:bottom w:val="single" w:color="auto" w:sz="4" w:space="0"/>
              <w:right w:val="single" w:color="auto" w:sz="8" w:space="0"/>
            </w:tcBorders>
            <w:noWrap w:val="0"/>
            <w:vAlign w:val="center"/>
          </w:tcPr>
          <w:p>
            <w:pPr>
              <w:keepNext w:val="0"/>
              <w:keepLines w:val="0"/>
              <w:widowControl/>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一、</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认为自己的权益受到损害的，可以在知道或者应知其权益受到损害之日起七个工作日内，向</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提出质疑。</w:t>
            </w:r>
          </w:p>
          <w:p>
            <w:pPr>
              <w:keepNext w:val="0"/>
              <w:keepLines w:val="0"/>
              <w:widowControl/>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1、接收质疑函的方式：接收加盖单位公章的书面质疑函</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kern w:val="0"/>
                <w:szCs w:val="21"/>
                <w:highlight w:val="none"/>
                <w:u w:val="single"/>
              </w:rPr>
            </w:pPr>
            <w:r>
              <w:rPr>
                <w:rFonts w:hint="eastAsia" w:ascii="仿宋" w:hAnsi="仿宋" w:cs="仿宋"/>
                <w:color w:val="auto"/>
                <w:szCs w:val="21"/>
                <w:highlight w:val="none"/>
              </w:rPr>
              <w:t>联系单位：</w:t>
            </w:r>
            <w:r>
              <w:rPr>
                <w:rFonts w:hint="eastAsia" w:ascii="仿宋" w:hAnsi="仿宋" w:cs="仿宋"/>
                <w:color w:val="auto"/>
                <w:kern w:val="0"/>
                <w:szCs w:val="21"/>
                <w:highlight w:val="none"/>
                <w:u w:val="single"/>
              </w:rPr>
              <w:t xml:space="preserve">  </w:t>
            </w:r>
            <w:r>
              <w:rPr>
                <w:rFonts w:hint="eastAsia" w:ascii="仿宋" w:hAnsi="仿宋" w:cs="仿宋"/>
                <w:color w:val="auto"/>
                <w:kern w:val="0"/>
                <w:szCs w:val="21"/>
                <w:highlight w:val="none"/>
                <w:u w:val="single"/>
                <w:lang w:val="en-US" w:eastAsia="zh-CN"/>
              </w:rPr>
              <w:t>中财科建工程管理有限公司</w:t>
            </w:r>
            <w:r>
              <w:rPr>
                <w:rFonts w:hint="eastAsia" w:ascii="仿宋" w:hAnsi="仿宋" w:cs="仿宋"/>
                <w:color w:val="auto"/>
                <w:kern w:val="0"/>
                <w:szCs w:val="21"/>
                <w:highlight w:val="none"/>
                <w:u w:val="single"/>
              </w:rPr>
              <w:t xml:space="preserve">            </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szCs w:val="21"/>
                <w:highlight w:val="none"/>
              </w:rPr>
            </w:pPr>
            <w:r>
              <w:rPr>
                <w:rFonts w:hint="eastAsia" w:ascii="仿宋" w:hAnsi="仿宋" w:cs="仿宋"/>
                <w:color w:val="auto"/>
                <w:szCs w:val="21"/>
                <w:highlight w:val="none"/>
              </w:rPr>
              <w:t>联 系 人：</w:t>
            </w:r>
            <w:r>
              <w:rPr>
                <w:rFonts w:hint="eastAsia" w:ascii="仿宋" w:hAnsi="仿宋" w:cs="仿宋"/>
                <w:color w:val="auto"/>
                <w:kern w:val="0"/>
                <w:szCs w:val="21"/>
                <w:highlight w:val="none"/>
                <w:u w:val="single"/>
                <w:lang w:val="en-US" w:eastAsia="zh-CN"/>
              </w:rPr>
              <w:t>刘巍岩、何佳姗</w:t>
            </w:r>
            <w:r>
              <w:rPr>
                <w:rFonts w:hint="eastAsia" w:ascii="仿宋" w:hAnsi="仿宋" w:cs="仿宋"/>
                <w:color w:val="auto"/>
                <w:kern w:val="0"/>
                <w:szCs w:val="21"/>
                <w:highlight w:val="none"/>
                <w:u w:val="single"/>
              </w:rPr>
              <w:t xml:space="preserve">       </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szCs w:val="21"/>
                <w:highlight w:val="none"/>
              </w:rPr>
            </w:pPr>
            <w:r>
              <w:rPr>
                <w:rFonts w:hint="eastAsia" w:ascii="仿宋" w:hAnsi="仿宋" w:cs="仿宋"/>
                <w:color w:val="auto"/>
                <w:szCs w:val="21"/>
                <w:highlight w:val="none"/>
              </w:rPr>
              <w:t>联系电话：</w:t>
            </w:r>
            <w:r>
              <w:rPr>
                <w:rFonts w:hint="eastAsia" w:ascii="仿宋" w:hAnsi="仿宋" w:cs="仿宋"/>
                <w:color w:val="auto"/>
                <w:kern w:val="0"/>
                <w:szCs w:val="21"/>
                <w:highlight w:val="none"/>
                <w:u w:val="single"/>
              </w:rPr>
              <w:t>024-23498855-</w:t>
            </w:r>
            <w:r>
              <w:rPr>
                <w:rFonts w:hint="eastAsia" w:ascii="仿宋" w:hAnsi="仿宋" w:cs="仿宋"/>
                <w:color w:val="auto"/>
                <w:kern w:val="0"/>
                <w:szCs w:val="21"/>
                <w:highlight w:val="none"/>
                <w:u w:val="single"/>
                <w:lang w:val="en-US" w:eastAsia="zh-CN"/>
              </w:rPr>
              <w:t>111</w:t>
            </w:r>
            <w:r>
              <w:rPr>
                <w:rFonts w:hint="eastAsia" w:ascii="仿宋" w:hAnsi="仿宋" w:cs="仿宋"/>
                <w:color w:val="auto"/>
                <w:kern w:val="0"/>
                <w:szCs w:val="21"/>
                <w:highlight w:val="none"/>
                <w:u w:val="single"/>
              </w:rPr>
              <w:t xml:space="preserve">   </w:t>
            </w:r>
          </w:p>
          <w:p>
            <w:pPr>
              <w:keepNext w:val="0"/>
              <w:keepLines w:val="0"/>
              <w:widowControl/>
              <w:suppressLineNumbers w:val="0"/>
              <w:spacing w:before="0" w:beforeAutospacing="0" w:after="0" w:afterAutospacing="0"/>
              <w:ind w:left="0" w:right="0" w:firstLine="210" w:firstLineChars="100"/>
              <w:rPr>
                <w:rFonts w:hint="eastAsia" w:ascii="仿宋" w:hAnsi="仿宋" w:cs="仿宋"/>
                <w:color w:val="auto"/>
                <w:szCs w:val="21"/>
                <w:highlight w:val="none"/>
              </w:rPr>
            </w:pPr>
            <w:r>
              <w:rPr>
                <w:rFonts w:hint="eastAsia" w:ascii="仿宋" w:hAnsi="仿宋" w:cs="仿宋"/>
                <w:color w:val="auto"/>
                <w:szCs w:val="21"/>
                <w:highlight w:val="none"/>
              </w:rPr>
              <w:t>通讯地址：</w:t>
            </w:r>
            <w:r>
              <w:rPr>
                <w:rFonts w:hint="eastAsia" w:ascii="仿宋" w:hAnsi="仿宋" w:cs="仿宋"/>
                <w:color w:val="auto"/>
                <w:kern w:val="0"/>
                <w:szCs w:val="21"/>
                <w:highlight w:val="none"/>
                <w:u w:val="single"/>
                <w:lang w:val="en-US" w:eastAsia="zh-CN"/>
              </w:rPr>
              <w:t>辽宁省沈阳市沈河区九纬路46号五楼</w:t>
            </w:r>
            <w:r>
              <w:rPr>
                <w:rFonts w:hint="eastAsia" w:ascii="仿宋" w:hAnsi="仿宋" w:cs="仿宋"/>
                <w:color w:val="auto"/>
                <w:kern w:val="0"/>
                <w:szCs w:val="21"/>
                <w:highlight w:val="none"/>
                <w:u w:val="single"/>
              </w:rPr>
              <w:t xml:space="preserve"> </w:t>
            </w:r>
          </w:p>
          <w:p>
            <w:pPr>
              <w:keepNext w:val="0"/>
              <w:keepLines w:val="0"/>
              <w:widowControl/>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2、质疑函的内容、格式：应符合《政府采购质疑和投诉办法》相关规定和财政部门制定的《政府采购质疑函范本》格式。</w:t>
            </w:r>
          </w:p>
          <w:p>
            <w:pPr>
              <w:pStyle w:val="11"/>
              <w:keepNext w:val="0"/>
              <w:keepLines w:val="0"/>
              <w:suppressLineNumbers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szCs w:val="21"/>
                <w:highlight w:val="none"/>
              </w:rPr>
              <w:t>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应在法定质疑期内一次性针对同一采购程序环节提出质疑，否则针对再次提出质疑将不予接收。（采购程序环节分为：</w:t>
            </w:r>
            <w:r>
              <w:rPr>
                <w:rFonts w:hint="eastAsia" w:ascii="仿宋" w:hAnsi="仿宋" w:cs="仿宋"/>
                <w:color w:val="auto"/>
                <w:kern w:val="0"/>
                <w:szCs w:val="21"/>
                <w:highlight w:val="none"/>
              </w:rPr>
              <w:t>招标</w:t>
            </w:r>
            <w:r>
              <w:rPr>
                <w:rFonts w:hint="eastAsia" w:ascii="仿宋" w:hAnsi="仿宋" w:cs="仿宋"/>
                <w:color w:val="auto"/>
                <w:szCs w:val="21"/>
                <w:highlight w:val="none"/>
              </w:rPr>
              <w:t>公告、招标文件、招标过程、中标结果）</w:t>
            </w:r>
          </w:p>
        </w:tc>
      </w:tr>
      <w:tr>
        <w:tblPrEx>
          <w:tblCellMar>
            <w:top w:w="0" w:type="dxa"/>
            <w:left w:w="108" w:type="dxa"/>
            <w:bottom w:w="0" w:type="dxa"/>
            <w:right w:w="108" w:type="dxa"/>
          </w:tblCellMar>
        </w:tblPrEx>
        <w:trPr>
          <w:trHeight w:val="465" w:hRule="atLeast"/>
        </w:trPr>
        <w:tc>
          <w:tcPr>
            <w:tcW w:w="873" w:type="dxa"/>
            <w:tcBorders>
              <w:top w:val="single" w:color="auto" w:sz="4" w:space="0"/>
              <w:left w:val="single" w:color="auto" w:sz="8" w:space="0"/>
              <w:bottom w:val="single" w:color="auto" w:sz="8"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p>
        </w:tc>
        <w:tc>
          <w:tcPr>
            <w:tcW w:w="1962" w:type="dxa"/>
            <w:tcBorders>
              <w:top w:val="single" w:color="auto" w:sz="4" w:space="0"/>
              <w:left w:val="single" w:color="auto" w:sz="4" w:space="0"/>
              <w:bottom w:val="single" w:color="auto" w:sz="8" w:space="0"/>
              <w:right w:val="single" w:color="auto" w:sz="8" w:space="0"/>
            </w:tcBorders>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其他</w:t>
            </w:r>
          </w:p>
        </w:tc>
        <w:tc>
          <w:tcPr>
            <w:tcW w:w="6028" w:type="dxa"/>
            <w:tcBorders>
              <w:top w:val="single" w:color="auto" w:sz="4" w:space="0"/>
              <w:left w:val="nil"/>
              <w:bottom w:val="single" w:color="auto" w:sz="8" w:space="0"/>
              <w:right w:val="single" w:color="auto" w:sz="8" w:space="0"/>
            </w:tcBorders>
            <w:noWrap w:val="0"/>
            <w:vAlign w:val="center"/>
          </w:tcPr>
          <w:p>
            <w:pPr>
              <w:pStyle w:val="11"/>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公告发布媒介：中国政府采购网（www.ccgp.gov.cn）。此项目有可能进行时间或内容上的变更(澄清、补充等)，将在此媒介以公告等形式发布。</w:t>
            </w:r>
          </w:p>
        </w:tc>
      </w:tr>
    </w:tbl>
    <w:p>
      <w:pPr>
        <w:rPr>
          <w:rFonts w:hint="eastAsia" w:ascii="仿宋" w:hAnsi="仿宋" w:cs="仿宋"/>
          <w:color w:val="auto"/>
          <w:highlight w:val="none"/>
        </w:rPr>
      </w:pPr>
      <w:r>
        <w:rPr>
          <w:rFonts w:hint="eastAsia" w:ascii="仿宋" w:hAnsi="仿宋" w:cs="仿宋"/>
          <w:color w:val="auto"/>
          <w:highlight w:val="none"/>
        </w:rPr>
        <w:t>注：表格中“</w:t>
      </w:r>
      <w:r>
        <w:rPr>
          <w:rFonts w:hint="eastAsia" w:ascii="仿宋" w:hAnsi="仿宋" w:cs="仿宋"/>
          <w:color w:val="auto"/>
          <w:highlight w:val="none"/>
        </w:rPr>
        <w:sym w:font="Wingdings 2" w:char="0052"/>
      </w:r>
      <w:r>
        <w:rPr>
          <w:rFonts w:hint="eastAsia" w:ascii="仿宋" w:hAnsi="仿宋" w:cs="仿宋"/>
          <w:color w:val="auto"/>
          <w:highlight w:val="none"/>
        </w:rPr>
        <w:t>”项或“■”项为被选中项。</w:t>
      </w:r>
    </w:p>
    <w:p>
      <w:pPr>
        <w:pStyle w:val="5"/>
        <w:adjustRightInd w:val="0"/>
        <w:snapToGrid w:val="0"/>
        <w:spacing w:before="0" w:after="0" w:line="360" w:lineRule="auto"/>
        <w:rPr>
          <w:rFonts w:hint="eastAsia" w:ascii="仿宋" w:hAnsi="仿宋" w:cs="仿宋"/>
          <w:color w:val="auto"/>
          <w:sz w:val="32"/>
          <w:szCs w:val="36"/>
          <w:highlight w:val="none"/>
        </w:rPr>
      </w:pPr>
      <w:r>
        <w:rPr>
          <w:rFonts w:hint="eastAsia" w:ascii="仿宋" w:hAnsi="仿宋" w:cs="仿宋"/>
          <w:color w:val="auto"/>
          <w:sz w:val="21"/>
          <w:szCs w:val="21"/>
          <w:highlight w:val="none"/>
        </w:rPr>
        <w:br w:type="page"/>
      </w:r>
      <w:bookmarkStart w:id="36" w:name="_Toc30384_WPSOffice_Level2"/>
      <w:bookmarkStart w:id="37" w:name="_Toc6403"/>
      <w:bookmarkStart w:id="38" w:name="_Toc17725_WPSOffice_Level1"/>
      <w:r>
        <w:rPr>
          <w:rFonts w:hint="eastAsia" w:ascii="仿宋" w:hAnsi="仿宋" w:cs="仿宋"/>
          <w:color w:val="auto"/>
          <w:sz w:val="32"/>
          <w:szCs w:val="36"/>
          <w:highlight w:val="none"/>
        </w:rPr>
        <w:t>二 总则</w:t>
      </w:r>
      <w:bookmarkEnd w:id="36"/>
    </w:p>
    <w:p>
      <w:pPr>
        <w:adjustRightInd w:val="0"/>
        <w:snapToGrid w:val="0"/>
        <w:spacing w:line="360" w:lineRule="auto"/>
        <w:rPr>
          <w:rFonts w:hint="eastAsia" w:ascii="仿宋" w:hAnsi="仿宋" w:eastAsia="仿宋" w:cs="仿宋"/>
          <w:b/>
          <w:bCs/>
          <w:color w:val="auto"/>
          <w:szCs w:val="21"/>
          <w:highlight w:val="none"/>
          <w:lang w:eastAsia="zh-CN"/>
        </w:rPr>
      </w:pPr>
      <w:r>
        <w:rPr>
          <w:rFonts w:hint="eastAsia" w:ascii="仿宋" w:hAnsi="仿宋" w:cs="仿宋"/>
          <w:b/>
          <w:bCs/>
          <w:color w:val="auto"/>
          <w:szCs w:val="21"/>
          <w:highlight w:val="none"/>
        </w:rPr>
        <w:t>1.</w:t>
      </w:r>
      <w:r>
        <w:rPr>
          <w:rFonts w:hint="eastAsia" w:ascii="仿宋" w:hAnsi="仿宋" w:cs="仿宋"/>
          <w:b/>
          <w:bCs/>
          <w:color w:val="auto"/>
          <w:szCs w:val="21"/>
          <w:highlight w:val="none"/>
          <w:lang w:eastAsia="zh-CN"/>
        </w:rPr>
        <w:t>采购人</w:t>
      </w:r>
      <w:r>
        <w:rPr>
          <w:rFonts w:hint="eastAsia" w:ascii="仿宋" w:hAnsi="仿宋" w:cs="仿宋"/>
          <w:b/>
          <w:bCs/>
          <w:color w:val="auto"/>
          <w:szCs w:val="21"/>
          <w:highlight w:val="none"/>
        </w:rPr>
        <w:t>、</w:t>
      </w:r>
      <w:r>
        <w:rPr>
          <w:rFonts w:hint="eastAsia" w:ascii="仿宋" w:hAnsi="仿宋" w:cs="仿宋"/>
          <w:b/>
          <w:bCs/>
          <w:color w:val="auto"/>
          <w:szCs w:val="21"/>
          <w:highlight w:val="none"/>
          <w:lang w:eastAsia="zh-CN"/>
        </w:rPr>
        <w:t>采购代理机构</w:t>
      </w:r>
      <w:r>
        <w:rPr>
          <w:rFonts w:hint="eastAsia" w:ascii="仿宋" w:hAnsi="仿宋" w:cs="仿宋"/>
          <w:b/>
          <w:bCs/>
          <w:color w:val="auto"/>
          <w:szCs w:val="21"/>
          <w:highlight w:val="none"/>
        </w:rPr>
        <w:t>及</w:t>
      </w:r>
      <w:r>
        <w:rPr>
          <w:rFonts w:hint="eastAsia" w:ascii="仿宋" w:hAnsi="仿宋" w:cs="仿宋"/>
          <w:b/>
          <w:bCs/>
          <w:color w:val="auto"/>
          <w:szCs w:val="21"/>
          <w:highlight w:val="none"/>
          <w:lang w:eastAsia="zh-CN"/>
        </w:rPr>
        <w:t>供应商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：辽宁省消防救援总队</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：是指集中采购机构或从事采购代理业务的社会中介机构，本项目的</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须知表1.2款。</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：是指向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提供货物、工程或者服务的法人、非法人组织或者自然人。本项目的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及其投标货物须满足以下条件：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1.3.1在中华人民共和国境内注册，能够独立承担民事责任，有生产或供应能力的本国</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1.3.2符合《中华人民共和国政府采购法》第二十二条关于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条件的规定，遵守本项目</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本级和上级财政部门关于政府采购的有关规定。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1.3.3以</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认可的方式获得了本项目的招标文件。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1.3.4符合</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须知表1.3.4款中规定的资格条件。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须知表1.3.5款中未写明允许采购进口产品，如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所投产品为进口产品，其投标将被认定为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1.3.6若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须知表1.3.6款中写明专门面向中小企业采购的，如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不符合“关于印发《政府采购促进中小企业发展管理办法》的通知（财库〔2020〕46号）”第四条规定的中小企业的情形，其投标将被认定为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1.3.7若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须知表1.3.7款中写明采购的产品为财政部、发展改革委、生态环境部等部门发布的品目清单中属于实施政府强制采购品目清单范围的节能产品，如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所投产品不具备依据国家确定的认证机构出具的、处于有效期之内的节能产品认证证书，其投标将被认定为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须知表1.4款中允许联合体投标，对联合体规定如下：</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1.4.1两个以上</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可以组成一个投标联合体，以一个</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的身份投标。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1.4.2联合体各方均应符合《中华人民共和国政府采购法》第二十二条规定的条件。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1.4.3</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根据采购项目对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的特殊要求，联合体中至少应当有一方符合相关规定。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1.4.4联合体各方应签订共同投标协议，明确约定联合体各方承担的工作和相应的责任。</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1.4.6联合体中有同类资质的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按照联合体分工承担相同工作的，按照较低的资质等级确定联合体的资质等级。</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1.4.7以联合体形式参加政府采购活动的，联合体各方不得再单独参加或者与其他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另外组成联合体参加本项目投标，否则相关投标将被认定为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（1）两个以上的自然人、法人或者其他组织可以组成一个联合体，以一个</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的身份共同参加政府采购活动。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（2）联合体中标的，联合体各方应共同与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签订采购合同，就采购合同约定的事项对</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承担连带责任。</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1.4.8对联合体投标的其他资格要求见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须知表1.4.8款。</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★1.5单位负责人为同一人或者存在直接控股、管理关系的不同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，其相关投标将被认定为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★1.6为本项目提供过整体设计、规范编制或者项目管理、监理、检测等服务的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，不得再参加本项目上述服务以外的其他采购活动，否则其投标将被认定为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★1.7</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在投标过程中不得向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提供、给予任何有价值的物品，影响其正常决策行为。一经发现，其将被认定为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★1.8 与本招标项目其他投标人代理同一个制造商同一品牌同一型号的设备投标，其将被认定为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 为本招标项目的招标代理机构，其将被认定为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★1.10 与本招标项目的监理人或代建人或招标代理机构同为一个法定代表人，其将被认定为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★1.11 与本招标项目的监理人或代建人或招标代理机构存在控股或参股关系，其将被认定为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★1.12 被依法暂停或者取消投标资格，其将被认定为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★1.13 被责令停产停业、暂扣或者吊销许可证、暂扣或者吊销执照，其将被认定为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★1.14 进入清算程序，或被宣告破产，或其他丧失履约能力的情形，其将被认定为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★1.15 在最近三年内发生重大产品质量问题（以相关行业主管部门的行政处罚决定或司法机关出具的有关法律文书为准），其将被认定为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★1.16 被工商行政管理机关在全国企业信用信息公示系统中列入严重违法失信企业名单，其将被认定为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★1.17 被最高人民法院在“信用中国”网站（www.creditchina.gov.cn）或各级信用信息共享平台中列入失信被执行人名单，其将被认定为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★1.18 在近三年内投标人或其法定代表人、拟委任的项目负责人有行贿犯罪行为的（以检察机关职务犯罪预防部门出具的查询结果为准），其将被认定为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★1.19 法律法规或投标人须知前附表规定的其他被认定为投标无效的情形。</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2.资金来源</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2.1本项目的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已获得足以支付本次招标后所签订的合同项下的资金（包括财政性资金和本项目采购中无法与财政性资金分割的非财政性资金）。</w:t>
      </w:r>
    </w:p>
    <w:p>
      <w:pPr>
        <w:adjustRightInd w:val="0"/>
        <w:snapToGrid w:val="0"/>
        <w:spacing w:line="360" w:lineRule="auto"/>
        <w:rPr>
          <w:rFonts w:hint="eastAsia" w:ascii="仿宋" w:hAnsi="仿宋" w:cs="仿宋"/>
          <w:color w:val="auto"/>
          <w:szCs w:val="21"/>
          <w:highlight w:val="none"/>
        </w:rPr>
      </w:pPr>
      <w:r>
        <w:rPr>
          <w:rFonts w:hint="eastAsia" w:ascii="仿宋" w:hAnsi="仿宋" w:cs="仿宋"/>
          <w:b/>
          <w:bCs/>
          <w:color w:val="auto"/>
          <w:szCs w:val="21"/>
          <w:highlight w:val="none"/>
        </w:rPr>
        <w:t>★</w:t>
      </w:r>
      <w:r>
        <w:rPr>
          <w:rFonts w:hint="eastAsia" w:ascii="仿宋" w:hAnsi="仿宋" w:cs="仿宋"/>
          <w:color w:val="auto"/>
          <w:szCs w:val="21"/>
          <w:highlight w:val="none"/>
        </w:rPr>
        <w:t>2.2项目预算金额和分项或分包最高限价见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须知表2.2款。</w:t>
      </w:r>
    </w:p>
    <w:p>
      <w:pPr>
        <w:adjustRightInd w:val="0"/>
        <w:snapToGrid w:val="0"/>
        <w:spacing w:line="360" w:lineRule="auto"/>
        <w:rPr>
          <w:rFonts w:hint="eastAsia" w:ascii="仿宋" w:hAnsi="仿宋" w:cs="仿宋"/>
          <w:color w:val="auto"/>
          <w:szCs w:val="21"/>
          <w:highlight w:val="none"/>
        </w:rPr>
      </w:pPr>
      <w:r>
        <w:rPr>
          <w:rFonts w:hint="eastAsia" w:ascii="仿宋" w:hAnsi="仿宋" w:cs="仿宋"/>
          <w:b/>
          <w:bCs/>
          <w:color w:val="auto"/>
          <w:szCs w:val="21"/>
          <w:highlight w:val="none"/>
        </w:rPr>
        <w:t>★</w:t>
      </w:r>
      <w:r>
        <w:rPr>
          <w:rFonts w:hint="eastAsia" w:ascii="仿宋" w:hAnsi="仿宋" w:cs="仿宋"/>
          <w:color w:val="auto"/>
          <w:szCs w:val="21"/>
          <w:highlight w:val="none"/>
        </w:rPr>
        <w:t>2.3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报价超过招标文件规定的预算金额或者分项、分包最高限价的，其投标将被认定为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b/>
          <w:bCs/>
          <w:color w:val="auto"/>
          <w:szCs w:val="21"/>
          <w:highlight w:val="none"/>
        </w:rPr>
      </w:pPr>
      <w:bookmarkStart w:id="39" w:name="_Toc266951048"/>
      <w:r>
        <w:rPr>
          <w:rFonts w:hint="eastAsia" w:ascii="仿宋" w:hAnsi="仿宋" w:cs="仿宋"/>
          <w:b/>
          <w:bCs/>
          <w:color w:val="auto"/>
          <w:szCs w:val="21"/>
          <w:highlight w:val="none"/>
        </w:rPr>
        <w:t>3.语言文字</w:t>
      </w:r>
      <w:bookmarkEnd w:id="39"/>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hint="eastAsia" w:ascii="仿宋" w:hAnsi="仿宋" w:cs="仿宋"/>
          <w:b/>
          <w:bCs/>
          <w:color w:val="auto"/>
          <w:szCs w:val="21"/>
          <w:highlight w:val="none"/>
        </w:rPr>
      </w:pPr>
      <w:bookmarkStart w:id="40" w:name="_1.8_计量单位"/>
      <w:bookmarkEnd w:id="40"/>
      <w:bookmarkStart w:id="41" w:name="_Toc266951049"/>
      <w:r>
        <w:rPr>
          <w:rFonts w:hint="eastAsia" w:ascii="仿宋" w:hAnsi="仿宋" w:cs="仿宋"/>
          <w:color w:val="auto"/>
          <w:szCs w:val="21"/>
          <w:highlight w:val="none"/>
        </w:rPr>
        <w:t>★</w:t>
      </w:r>
      <w:r>
        <w:rPr>
          <w:rFonts w:hint="eastAsia" w:ascii="仿宋" w:hAnsi="仿宋" w:cs="仿宋"/>
          <w:b/>
          <w:bCs/>
          <w:color w:val="auto"/>
          <w:szCs w:val="21"/>
          <w:highlight w:val="none"/>
        </w:rPr>
        <w:t>4.计量单位</w:t>
      </w:r>
      <w:bookmarkEnd w:id="41"/>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除</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须知表4款中有特殊要求外，投标文件中所使用的计量单位，应采用中华人民共和国法定计量单位。</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5.投标费用</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不论投标的结果如何，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应承担所有与投标有关的费用。</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6.现场考察、开标前答疑会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6.1</w:t>
      </w: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\l "_踏勘现场" </w:instrText>
      </w:r>
      <w:r>
        <w:rPr>
          <w:rFonts w:hint="eastAsia" w:ascii="仿宋" w:hAnsi="仿宋" w:cs="仿宋"/>
          <w:color w:val="auto"/>
          <w:highlight w:val="none"/>
        </w:rPr>
        <w:fldChar w:fldCharType="separate"/>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w:t>
      </w:r>
      <w:r>
        <w:rPr>
          <w:rFonts w:hint="eastAsia" w:ascii="仿宋" w:hAnsi="仿宋" w:cs="仿宋"/>
          <w:color w:val="auto"/>
          <w:szCs w:val="21"/>
          <w:highlight w:val="none"/>
        </w:rPr>
        <w:fldChar w:fldCharType="end"/>
      </w:r>
      <w:r>
        <w:rPr>
          <w:rFonts w:hint="eastAsia" w:ascii="仿宋" w:hAnsi="仿宋" w:cs="仿宋"/>
          <w:color w:val="auto"/>
          <w:szCs w:val="21"/>
          <w:highlight w:val="none"/>
        </w:rPr>
        <w:t>6.1款规定组织现场考察或开标前答疑会的，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按规定的时间、地点组织</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现场考察或开标前答疑会，或者在领取招标文件期限截止后以书面形式通知所有获取招标文件的潜在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b/>
          <w:bCs/>
          <w:color w:val="auto"/>
          <w:szCs w:val="21"/>
          <w:highlight w:val="none"/>
        </w:rPr>
      </w:pPr>
      <w:bookmarkStart w:id="42" w:name="_1.10_投标预备会"/>
      <w:bookmarkEnd w:id="42"/>
      <w:r>
        <w:rPr>
          <w:rFonts w:hint="eastAsia" w:ascii="仿宋" w:hAnsi="仿宋" w:cs="仿宋"/>
          <w:color w:val="auto"/>
          <w:szCs w:val="21"/>
          <w:highlight w:val="none"/>
        </w:rPr>
        <w:t>6.2</w:t>
      </w:r>
      <w:r>
        <w:rPr>
          <w:rFonts w:hint="eastAsia" w:ascii="仿宋" w:hAnsi="仿宋" w:cs="仿宋"/>
          <w:color w:val="auto"/>
          <w:kern w:val="0"/>
          <w:szCs w:val="21"/>
          <w:highlight w:val="none"/>
        </w:rPr>
        <w:t>由于未参加现场考察或标前答疑而导致对项目实际情况不了解，影响技术文件编制、</w:t>
      </w:r>
      <w:r>
        <w:rPr>
          <w:rFonts w:hint="eastAsia" w:ascii="仿宋" w:hAnsi="仿宋" w:cs="仿宋"/>
          <w:color w:val="auto"/>
          <w:highlight w:val="none"/>
        </w:rPr>
        <w:fldChar w:fldCharType="begin"/>
      </w:r>
      <w:r>
        <w:rPr>
          <w:rFonts w:hint="eastAsia" w:ascii="仿宋" w:hAnsi="仿宋" w:cs="仿宋"/>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cs="仿宋"/>
          <w:color w:val="auto"/>
          <w:highlight w:val="none"/>
        </w:rPr>
        <w:fldChar w:fldCharType="separate"/>
      </w:r>
      <w:r>
        <w:rPr>
          <w:rFonts w:hint="eastAsia" w:ascii="仿宋" w:hAnsi="仿宋" w:cs="仿宋"/>
          <w:color w:val="auto"/>
          <w:kern w:val="0"/>
          <w:szCs w:val="21"/>
          <w:highlight w:val="none"/>
        </w:rPr>
        <w:t>投标报价</w:t>
      </w:r>
      <w:r>
        <w:rPr>
          <w:rFonts w:hint="eastAsia" w:ascii="仿宋" w:hAnsi="仿宋" w:cs="仿宋"/>
          <w:color w:val="auto"/>
          <w:kern w:val="0"/>
          <w:szCs w:val="21"/>
          <w:highlight w:val="none"/>
        </w:rPr>
        <w:fldChar w:fldCharType="end"/>
      </w:r>
      <w:r>
        <w:rPr>
          <w:rFonts w:hint="eastAsia" w:ascii="仿宋" w:hAnsi="仿宋" w:cs="仿宋"/>
          <w:color w:val="auto"/>
          <w:kern w:val="0"/>
          <w:szCs w:val="21"/>
          <w:highlight w:val="none"/>
        </w:rPr>
        <w:t>准确性、综合因素响应不全面等问题的，由</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自行承担相应后果。</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6.3现场考察及参加标前答疑会所发生的费用及一切责任由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自行承担。</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7.适用法律</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本项目的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5"/>
        <w:rPr>
          <w:rFonts w:hint="eastAsia" w:ascii="仿宋" w:hAnsi="仿宋" w:cs="仿宋"/>
          <w:color w:val="auto"/>
          <w:sz w:val="32"/>
          <w:szCs w:val="28"/>
          <w:highlight w:val="none"/>
        </w:rPr>
      </w:pPr>
      <w:bookmarkStart w:id="43" w:name="_Toc10106_WPSOffice_Level2"/>
      <w:r>
        <w:rPr>
          <w:rFonts w:hint="eastAsia" w:ascii="仿宋" w:hAnsi="仿宋" w:cs="仿宋"/>
          <w:color w:val="auto"/>
          <w:sz w:val="32"/>
          <w:szCs w:val="28"/>
          <w:highlight w:val="none"/>
        </w:rPr>
        <w:t>三 招标文件</w:t>
      </w:r>
      <w:bookmarkEnd w:id="43"/>
    </w:p>
    <w:p>
      <w:pPr>
        <w:tabs>
          <w:tab w:val="left" w:pos="312"/>
        </w:tabs>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8.招标文件构成</w:t>
      </w:r>
    </w:p>
    <w:p>
      <w:pPr>
        <w:adjustRightInd w:val="0"/>
        <w:snapToGrid w:val="0"/>
        <w:spacing w:line="360" w:lineRule="auto"/>
        <w:rPr>
          <w:rFonts w:hint="eastAsia" w:ascii="仿宋" w:hAnsi="仿宋" w:cs="仿宋"/>
          <w:color w:val="auto"/>
          <w:highlight w:val="none"/>
        </w:rPr>
      </w:pPr>
      <w:r>
        <w:rPr>
          <w:rFonts w:hint="eastAsia" w:ascii="仿宋" w:hAnsi="仿宋" w:cs="仿宋"/>
          <w:color w:val="auto"/>
          <w:szCs w:val="21"/>
          <w:highlight w:val="none"/>
        </w:rPr>
        <w:t>8.1招标</w:t>
      </w:r>
      <w:r>
        <w:rPr>
          <w:rFonts w:hint="eastAsia" w:ascii="仿宋" w:hAnsi="仿宋" w:cs="仿宋"/>
          <w:color w:val="auto"/>
          <w:highlight w:val="none"/>
        </w:rPr>
        <w:t>文件内容如下:</w:t>
      </w:r>
    </w:p>
    <w:p>
      <w:pPr>
        <w:adjustRightInd w:val="0"/>
        <w:snapToGrid w:val="0"/>
        <w:spacing w:line="360" w:lineRule="auto"/>
        <w:ind w:firstLine="420" w:firstLineChars="200"/>
        <w:rPr>
          <w:rFonts w:hint="eastAsia" w:ascii="仿宋" w:hAnsi="仿宋" w:cs="仿宋"/>
          <w:color w:val="auto"/>
          <w:highlight w:val="none"/>
        </w:rPr>
      </w:pPr>
      <w:r>
        <w:rPr>
          <w:rFonts w:hint="eastAsia" w:ascii="仿宋" w:hAnsi="仿宋" w:cs="仿宋"/>
          <w:color w:val="auto"/>
          <w:kern w:val="0"/>
          <w:szCs w:val="21"/>
          <w:highlight w:val="none"/>
        </w:rPr>
        <w:t>招标</w:t>
      </w:r>
      <w:r>
        <w:rPr>
          <w:rFonts w:hint="eastAsia" w:ascii="仿宋" w:hAnsi="仿宋" w:cs="仿宋"/>
          <w:color w:val="auto"/>
          <w:highlight w:val="none"/>
        </w:rPr>
        <w:t>公告</w:t>
      </w:r>
    </w:p>
    <w:p>
      <w:pPr>
        <w:numPr>
          <w:ilvl w:val="0"/>
          <w:numId w:val="4"/>
        </w:numPr>
        <w:adjustRightInd w:val="0"/>
        <w:snapToGrid w:val="0"/>
        <w:spacing w:line="360" w:lineRule="auto"/>
        <w:ind w:firstLine="420" w:firstLineChars="200"/>
        <w:rPr>
          <w:rFonts w:hint="eastAsia" w:ascii="仿宋" w:hAnsi="仿宋" w:cs="仿宋"/>
          <w:color w:val="auto"/>
          <w:highlight w:val="none"/>
        </w:rPr>
      </w:pPr>
      <w:bookmarkStart w:id="44" w:name="_Toc24604_WPSOffice_Level2"/>
      <w:bookmarkStart w:id="45" w:name="_Toc4961_WPSOffice_Level2"/>
      <w:bookmarkStart w:id="46" w:name="_Toc188_WPSOffice_Level2"/>
      <w:bookmarkStart w:id="47" w:name="_Toc25935_WPSOffice_Level2"/>
      <w:r>
        <w:rPr>
          <w:rFonts w:hint="eastAsia" w:ascii="仿宋" w:hAnsi="仿宋" w:cs="仿宋"/>
          <w:color w:val="auto"/>
          <w:highlight w:val="none"/>
          <w:lang w:eastAsia="zh-CN"/>
        </w:rPr>
        <w:t>供应商</w:t>
      </w:r>
      <w:r>
        <w:rPr>
          <w:rFonts w:hint="eastAsia" w:ascii="仿宋" w:hAnsi="仿宋" w:cs="仿宋"/>
          <w:color w:val="auto"/>
          <w:highlight w:val="none"/>
        </w:rPr>
        <w:t>须知</w:t>
      </w:r>
      <w:bookmarkEnd w:id="44"/>
      <w:bookmarkEnd w:id="45"/>
      <w:bookmarkEnd w:id="46"/>
      <w:bookmarkEnd w:id="47"/>
    </w:p>
    <w:p>
      <w:pPr>
        <w:adjustRightInd w:val="0"/>
        <w:snapToGrid w:val="0"/>
        <w:spacing w:line="360" w:lineRule="auto"/>
        <w:ind w:firstLine="420" w:firstLineChars="200"/>
        <w:rPr>
          <w:rFonts w:hint="eastAsia" w:ascii="仿宋" w:hAnsi="仿宋" w:cs="仿宋"/>
          <w:color w:val="auto"/>
          <w:highlight w:val="none"/>
        </w:rPr>
      </w:pPr>
      <w:bookmarkStart w:id="48" w:name="_Toc31424_WPSOffice_Level2"/>
      <w:bookmarkStart w:id="49" w:name="_Toc2443_WPSOffice_Level2"/>
      <w:bookmarkStart w:id="50" w:name="_Toc13276_WPSOffice_Level2"/>
      <w:bookmarkStart w:id="51" w:name="_Toc32235_WPSOffice_Level2"/>
      <w:r>
        <w:rPr>
          <w:rFonts w:hint="eastAsia" w:ascii="仿宋" w:hAnsi="仿宋" w:cs="仿宋"/>
          <w:color w:val="auto"/>
          <w:highlight w:val="none"/>
        </w:rPr>
        <w:t>第二章 投标文件内容及格式</w:t>
      </w:r>
      <w:bookmarkEnd w:id="48"/>
      <w:bookmarkEnd w:id="49"/>
      <w:bookmarkEnd w:id="50"/>
      <w:bookmarkEnd w:id="51"/>
    </w:p>
    <w:p>
      <w:pPr>
        <w:adjustRightInd w:val="0"/>
        <w:snapToGrid w:val="0"/>
        <w:spacing w:line="360" w:lineRule="auto"/>
        <w:ind w:firstLine="420" w:firstLineChars="200"/>
        <w:rPr>
          <w:rFonts w:hint="eastAsia" w:ascii="仿宋" w:hAnsi="仿宋" w:cs="仿宋"/>
          <w:color w:val="auto"/>
          <w:highlight w:val="none"/>
        </w:rPr>
      </w:pPr>
      <w:bookmarkStart w:id="52" w:name="_Toc7005_WPSOffice_Level2"/>
      <w:bookmarkStart w:id="53" w:name="_Toc16269_WPSOffice_Level2"/>
      <w:bookmarkStart w:id="54" w:name="_Toc4416_WPSOffice_Level2"/>
      <w:bookmarkStart w:id="55" w:name="_Toc24836_WPSOffice_Level2"/>
      <w:r>
        <w:rPr>
          <w:rFonts w:hint="eastAsia" w:ascii="仿宋" w:hAnsi="仿宋" w:cs="仿宋"/>
          <w:color w:val="auto"/>
          <w:highlight w:val="none"/>
        </w:rPr>
        <w:t>第三章 货物需求</w:t>
      </w:r>
      <w:bookmarkEnd w:id="52"/>
      <w:bookmarkEnd w:id="53"/>
      <w:bookmarkEnd w:id="54"/>
      <w:bookmarkEnd w:id="55"/>
    </w:p>
    <w:p>
      <w:pPr>
        <w:adjustRightInd w:val="0"/>
        <w:snapToGrid w:val="0"/>
        <w:spacing w:line="360" w:lineRule="auto"/>
        <w:ind w:firstLine="420" w:firstLineChars="200"/>
        <w:rPr>
          <w:rFonts w:hint="eastAsia" w:ascii="仿宋" w:hAnsi="仿宋" w:cs="仿宋"/>
          <w:color w:val="auto"/>
          <w:highlight w:val="none"/>
        </w:rPr>
      </w:pPr>
      <w:bookmarkStart w:id="56" w:name="_Toc16294_WPSOffice_Level2"/>
      <w:bookmarkStart w:id="57" w:name="_Toc23459_WPSOffice_Level2"/>
      <w:bookmarkStart w:id="58" w:name="_Toc25382_WPSOffice_Level2"/>
      <w:bookmarkStart w:id="59" w:name="_Toc16119_WPSOffice_Level2"/>
      <w:r>
        <w:rPr>
          <w:rFonts w:hint="eastAsia" w:ascii="仿宋" w:hAnsi="仿宋" w:cs="仿宋"/>
          <w:color w:val="auto"/>
          <w:highlight w:val="none"/>
        </w:rPr>
        <w:t>第四章 评标方法</w:t>
      </w:r>
      <w:bookmarkEnd w:id="56"/>
      <w:bookmarkEnd w:id="57"/>
      <w:bookmarkEnd w:id="58"/>
      <w:bookmarkEnd w:id="59"/>
    </w:p>
    <w:p>
      <w:pPr>
        <w:adjustRightInd w:val="0"/>
        <w:snapToGrid w:val="0"/>
        <w:spacing w:line="360" w:lineRule="auto"/>
        <w:ind w:firstLine="420" w:firstLineChars="200"/>
        <w:rPr>
          <w:rFonts w:hint="eastAsia" w:ascii="仿宋" w:hAnsi="仿宋" w:cs="仿宋"/>
          <w:color w:val="auto"/>
          <w:highlight w:val="none"/>
        </w:rPr>
      </w:pPr>
      <w:bookmarkStart w:id="60" w:name="_Toc17794_WPSOffice_Level2"/>
      <w:bookmarkStart w:id="61" w:name="_Toc9629_WPSOffice_Level2"/>
      <w:bookmarkStart w:id="62" w:name="_Toc16368_WPSOffice_Level2"/>
      <w:bookmarkStart w:id="63" w:name="_Toc28106_WPSOffice_Level2"/>
      <w:r>
        <w:rPr>
          <w:rFonts w:hint="eastAsia" w:ascii="仿宋" w:hAnsi="仿宋" w:cs="仿宋"/>
          <w:color w:val="auto"/>
          <w:highlight w:val="none"/>
        </w:rPr>
        <w:t>第五章 政府采购合同</w:t>
      </w:r>
      <w:bookmarkEnd w:id="60"/>
      <w:bookmarkEnd w:id="61"/>
      <w:bookmarkEnd w:id="62"/>
      <w:bookmarkEnd w:id="63"/>
      <w:r>
        <w:rPr>
          <w:rFonts w:hint="eastAsia" w:ascii="仿宋" w:hAnsi="仿宋" w:cs="仿宋"/>
          <w:color w:val="auto"/>
          <w:highlight w:val="none"/>
        </w:rPr>
        <w:t>条款及格式</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★8.2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应认真阅读招标文件所有的事项、格式、条款等。如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没有按照招标文件要求提交资料，或者投标文件没有对招标文件做出实质性响应，可能导致其投标被认定为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9.招标文件的澄清与修改</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9.1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可以对已发出的招标文件进行澄清或者修改。澄清或者修改的内容可能影响投标文件编制的，应当在投标截止时间至少15日前，在原公告发布媒体上发布变更公告，并以书面形式通知所有获取招标文件的潜在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；不足15日的，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应当顺延提交投标文件的截止时间。</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9.2澄清或者修改的内容为招标文件的组成部分，对所有招标文件的收受人具有约束力。</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在收到上述通知后，应及时向</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回函确认。</w:t>
      </w:r>
    </w:p>
    <w:p>
      <w:pPr>
        <w:pStyle w:val="5"/>
        <w:rPr>
          <w:rFonts w:hint="eastAsia" w:ascii="仿宋" w:hAnsi="仿宋" w:cs="仿宋"/>
          <w:color w:val="auto"/>
          <w:sz w:val="32"/>
          <w:szCs w:val="32"/>
          <w:highlight w:val="none"/>
        </w:rPr>
      </w:pPr>
      <w:bookmarkStart w:id="64" w:name="_Toc7415_WPSOffice_Level2"/>
      <w:r>
        <w:rPr>
          <w:rFonts w:hint="eastAsia" w:ascii="仿宋" w:hAnsi="仿宋" w:cs="仿宋"/>
          <w:color w:val="auto"/>
          <w:sz w:val="32"/>
          <w:szCs w:val="32"/>
          <w:highlight w:val="none"/>
        </w:rPr>
        <w:t>四 投标文件的编制</w:t>
      </w:r>
      <w:bookmarkEnd w:id="64"/>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10.投标范围</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10.1项目有分包的，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可对招标文件其中某一个分包或几个分包进行投标。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★10.2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应当对所投分包在招标文件中“货物需求”所列的所有货物内容进行投标，如仅响应分包中某一部分内容，其该包投标将被认定为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pStyle w:val="11"/>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★10.3如一个分包内包含多种产品的，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须知表10.3款中载明核心产品（非单一产品采购时，只能设一个核心产品），多家</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提供的核心产品品牌相同的，按照第四章“评标办法”第4款“同一品牌产品”规定处理。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10.4无论招标文件第三章货物需求中是否要求，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所投货物均应符合国家强制性标准。</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11.投标文件构成</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应按招标文件提供的格式编写投标文件。招标文件提供标准格式的按标准格式填列，未提供标准格式的可自行拟定。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11.3 样品或演示要求详见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须知表11.3款。</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12.投标报价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12.1所有投标均按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须知表12.1款中要求货币进行报价。</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的投标报价应遵守《中华人民共和国价格法》。同时，根据《中华人民共和国政府采购法》第三条的规定，为保证公平竞争，如有货物主体部分的赠与行为，其投标将被认定为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应按招标文件要求在相关表格中标明投标货物及伴随服务的单价和总价，并由法定代表人（非法人组织的负责人）或其委托代理人签署。</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12.4</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所报的各分项投标单价在合同履行过程中是固定不变的，不得以任何理由予以变更。任何包含价格调整要求的投标，其投标将被认定为</w:t>
      </w:r>
      <w:r>
        <w:rPr>
          <w:rFonts w:hint="eastAsia" w:ascii="仿宋" w:hAnsi="仿宋" w:cs="仿宋"/>
          <w:b/>
          <w:bCs/>
          <w:color w:val="auto"/>
          <w:szCs w:val="21"/>
          <w:highlight w:val="none"/>
        </w:rPr>
        <w:t>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12.5每种货物只能有一个投标报价。</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不接受具有附加条件的报价。</w:t>
      </w:r>
    </w:p>
    <w:p>
      <w:pPr>
        <w:adjustRightInd w:val="0"/>
        <w:snapToGrid w:val="0"/>
        <w:spacing w:line="360" w:lineRule="auto"/>
        <w:rPr>
          <w:rFonts w:hint="eastAsia" w:ascii="仿宋" w:hAnsi="仿宋" w:cs="仿宋"/>
          <w:color w:val="auto"/>
          <w:szCs w:val="21"/>
          <w:highlight w:val="none"/>
        </w:rPr>
      </w:pPr>
      <w:bookmarkStart w:id="65" w:name="_Toc31973_WPSOffice_Level2"/>
      <w:bookmarkStart w:id="66" w:name="_Toc22507_WPSOffice_Level2"/>
      <w:r>
        <w:rPr>
          <w:rFonts w:hint="eastAsia" w:ascii="仿宋" w:hAnsi="仿宋" w:cs="仿宋"/>
          <w:color w:val="auto"/>
          <w:szCs w:val="21"/>
          <w:highlight w:val="none"/>
        </w:rPr>
        <w:t>12.6除非招标文件另有规定，报价原则上精确到小数点后两位。</w:t>
      </w:r>
      <w:bookmarkEnd w:id="65"/>
      <w:bookmarkEnd w:id="66"/>
    </w:p>
    <w:p>
      <w:pPr>
        <w:adjustRightInd w:val="0"/>
        <w:snapToGrid w:val="0"/>
        <w:spacing w:line="360" w:lineRule="auto"/>
        <w:rPr>
          <w:rFonts w:hint="eastAsia" w:ascii="仿宋" w:hAnsi="仿宋" w:eastAsia="仿宋" w:cs="仿宋"/>
          <w:b/>
          <w:bCs/>
          <w:color w:val="auto"/>
          <w:szCs w:val="21"/>
          <w:highlight w:val="none"/>
          <w:lang w:eastAsia="zh-CN"/>
        </w:rPr>
      </w:pPr>
      <w:r>
        <w:rPr>
          <w:rFonts w:hint="eastAsia" w:ascii="仿宋" w:hAnsi="仿宋" w:cs="仿宋"/>
          <w:b/>
          <w:bCs/>
          <w:color w:val="auto"/>
          <w:szCs w:val="21"/>
          <w:highlight w:val="none"/>
        </w:rPr>
        <w:t>★13.投标保证金</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应提交</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须知表13.1款中规定的投标保证金，并作为其投标的一部分。</w:t>
      </w:r>
    </w:p>
    <w:p>
      <w:pPr>
        <w:adjustRightInd w:val="0"/>
        <w:snapToGrid w:val="0"/>
        <w:spacing w:line="360" w:lineRule="auto"/>
        <w:jc w:val="left"/>
        <w:rPr>
          <w:rFonts w:hint="eastAsia" w:ascii="仿宋" w:hAnsi="仿宋" w:cs="仿宋"/>
          <w:color w:val="auto"/>
          <w:szCs w:val="21"/>
          <w:highlight w:val="none"/>
        </w:rPr>
      </w:pPr>
      <w:r>
        <w:rPr>
          <w:rFonts w:hint="eastAsia" w:ascii="仿宋" w:hAnsi="仿宋" w:cs="仿宋"/>
          <w:color w:val="auto"/>
          <w:szCs w:val="21"/>
          <w:highlight w:val="none"/>
        </w:rPr>
        <w:t>13.2投标保证金缴纳人、招标文件领取人、投标登记人和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必须为同一组织机构或联合体内不同成员单位，否则将视同未按招标文件规定交纳投标保证金。</w:t>
      </w:r>
    </w:p>
    <w:p>
      <w:pPr>
        <w:adjustRightInd w:val="0"/>
        <w:snapToGrid w:val="0"/>
        <w:spacing w:line="360" w:lineRule="auto"/>
        <w:jc w:val="left"/>
        <w:rPr>
          <w:rFonts w:hint="eastAsia" w:ascii="仿宋" w:hAnsi="仿宋" w:cs="仿宋"/>
          <w:color w:val="auto"/>
          <w:szCs w:val="21"/>
          <w:highlight w:val="none"/>
        </w:rPr>
      </w:pPr>
      <w:r>
        <w:rPr>
          <w:rFonts w:hint="eastAsia" w:ascii="仿宋" w:hAnsi="仿宋" w:cs="仿宋"/>
          <w:color w:val="auto"/>
          <w:szCs w:val="21"/>
          <w:highlight w:val="none"/>
        </w:rPr>
        <w:t>13.3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存在下列情形的，投标保证金不予退还：</w:t>
      </w:r>
    </w:p>
    <w:p>
      <w:pPr>
        <w:adjustRightInd w:val="0"/>
        <w:snapToGrid w:val="0"/>
        <w:spacing w:line="360" w:lineRule="auto"/>
        <w:jc w:val="left"/>
        <w:rPr>
          <w:rFonts w:hint="eastAsia" w:ascii="仿宋" w:hAnsi="仿宋" w:cs="仿宋"/>
          <w:color w:val="auto"/>
          <w:szCs w:val="21"/>
          <w:highlight w:val="none"/>
        </w:rPr>
      </w:pPr>
      <w:r>
        <w:rPr>
          <w:rFonts w:hint="eastAsia" w:ascii="仿宋" w:hAnsi="仿宋" w:cs="仿宋"/>
          <w:color w:val="auto"/>
          <w:szCs w:val="21"/>
          <w:highlight w:val="none"/>
        </w:rPr>
        <w:t>（1）在投标有效期内，</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撤销投标的；</w:t>
      </w:r>
    </w:p>
    <w:p>
      <w:pPr>
        <w:adjustRightInd w:val="0"/>
        <w:snapToGrid w:val="0"/>
        <w:spacing w:line="360" w:lineRule="auto"/>
        <w:jc w:val="left"/>
        <w:rPr>
          <w:rFonts w:hint="eastAsia" w:ascii="仿宋" w:hAnsi="仿宋" w:cs="仿宋"/>
          <w:color w:val="auto"/>
          <w:szCs w:val="21"/>
          <w:highlight w:val="none"/>
        </w:rPr>
      </w:pPr>
      <w:r>
        <w:rPr>
          <w:rFonts w:hint="eastAsia" w:ascii="仿宋" w:hAnsi="仿宋" w:cs="仿宋"/>
          <w:color w:val="auto"/>
          <w:szCs w:val="21"/>
          <w:highlight w:val="none"/>
        </w:rPr>
        <w:t>（2）中标后不按本须知第34款的规定与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签订合同的；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（3）中标后不按本须知第35款的规定提交履约保证金的；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（4）中标后不按本须知第36款的规定缴纳采购代理服务费的；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（5）存在其他违法违规行为的。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13.4联合体投标的，可以由联合体中的一方或者共同提交投标保证金。以一方名义提交投标保证金的，对联合体各方均具有约束力。</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13.5投标保证金的退还</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13.5.1中标人应在与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签订合同之日起5个工作日内，及时联系保证金收受机构办理投标保证金退还手续。</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13.5.2未中标</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的投标保证金将在中标通知书发出之日暨中标结果公告公布之日起5个工作日内退还。</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应及时联系保证金收受机构办理退还投标保证金手续。</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在投标截止时间前撤回已提交的投标文件的，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应自</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收到</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书面撤回通知之日起５个工作日内，及时联系保证金收受机构办理投标保证金退还手续。</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13.5.4 政府采购投标担保函不予退回。</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13.6 因</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自身原因导致无法及时退还的，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将不承担相应责任。</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14.证明投标标的的合格性和符合招标文件规定的技术文件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应提交证明文件，证明其投标内容符合招标文件规定。该证明文件是投标文件的一部分。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14.2上款所述的证明文件，可以是文字资料、图纸和数据，它包括：</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（1）货物主要技术指标和性能的详细说明；</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（2）货物从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开始使用至招标文件规定的保质期内正常、连续地使用所必须的备件和专用工具清单，包括备件和专用工具的货源及现行价格;</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15.投标有效期</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15.1投标应在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须知表15.1款中规定的投标有效期内保持有效。投标有效期不满足要求的投标，其投标将被认定为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15.2在特殊情况下，</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可根据实际情况，在原投标有效期截止之前，要求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延长投标文件的有效期。接受该要求的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将不会被要求和允许修正其投标，且本须知中有关投标保证金的要求须在延长的有效期内继续有效。</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可以拒绝延长投标有效期的要求，其投标保证金将及时退还。上述要求和答复都应以书面形式提交。</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16.投标文件的签署及规定</w:t>
      </w:r>
    </w:p>
    <w:p>
      <w:pPr>
        <w:adjustRightInd w:val="0"/>
        <w:snapToGrid w:val="0"/>
        <w:spacing w:line="360" w:lineRule="auto"/>
        <w:rPr>
          <w:rFonts w:hint="eastAsia" w:ascii="仿宋" w:hAnsi="仿宋" w:cs="仿宋"/>
          <w:color w:val="auto"/>
          <w:szCs w:val="21"/>
          <w:highlight w:val="none"/>
        </w:rPr>
      </w:pPr>
      <w:bookmarkStart w:id="67" w:name="_Toc27725_WPSOffice_Level2"/>
      <w:r>
        <w:rPr>
          <w:rFonts w:hint="eastAsia" w:ascii="仿宋" w:hAnsi="仿宋" w:cs="仿宋"/>
          <w:color w:val="auto"/>
          <w:szCs w:val="21"/>
          <w:highlight w:val="none"/>
        </w:rPr>
        <w:t>16.1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须知表16.1款中的规定，准备和递交投标文件正本、副本和电子文档。</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16.2每份投标文件封皮须清楚地标明“正本”或“副本”。若正本和副本不符，以正本为准。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★16.3投标文件的正本需打印或用不褪色墨水书写，并由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法定代表人（非法人组织负责人）或经其正式委托代理人按招标文件规定在投标文件上签字或盖章（鲜章），并加盖单位印章（鲜章）。委托代理人须持有书面的“法定代表人（非法人组织负责人）授权委托书”，并将其附在投标文件中。如对投标文件进行了修改，则应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的法定代表人（非法人组织负责人）或其委托代理人在每一修改处签字。投标文件的副本可采用正本的复印件。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★16.4如果</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未按上述要求签署，</w:t>
      </w:r>
      <w:r>
        <w:rPr>
          <w:rFonts w:hint="eastAsia" w:ascii="仿宋" w:hAnsi="仿宋" w:cs="仿宋"/>
          <w:b/>
          <w:bCs/>
          <w:color w:val="auto"/>
          <w:szCs w:val="21"/>
          <w:highlight w:val="none"/>
        </w:rPr>
        <w:t>其投标文件无效。</w:t>
      </w:r>
    </w:p>
    <w:p>
      <w:pPr>
        <w:pStyle w:val="5"/>
        <w:rPr>
          <w:rFonts w:hint="eastAsia" w:ascii="仿宋" w:hAnsi="仿宋" w:cs="仿宋"/>
          <w:color w:val="auto"/>
          <w:sz w:val="32"/>
          <w:szCs w:val="28"/>
          <w:highlight w:val="none"/>
        </w:rPr>
      </w:pPr>
      <w:r>
        <w:rPr>
          <w:rFonts w:hint="eastAsia" w:ascii="仿宋" w:hAnsi="仿宋" w:cs="仿宋"/>
          <w:color w:val="auto"/>
          <w:sz w:val="32"/>
          <w:szCs w:val="28"/>
          <w:highlight w:val="none"/>
        </w:rPr>
        <w:t>五 投标文件的递交</w:t>
      </w:r>
      <w:bookmarkEnd w:id="67"/>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17.投标文件的密封和标记</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17.1</w:t>
      </w:r>
      <w:r>
        <w:rPr>
          <w:rFonts w:hint="eastAsia" w:ascii="仿宋" w:hAnsi="仿宋" w:cs="仿宋"/>
          <w:color w:val="auto"/>
          <w:szCs w:val="21"/>
          <w:highlight w:val="none"/>
          <w:lang w:eastAsia="zh-CN"/>
        </w:rPr>
        <w:t>供应商应将投标文件密封，将正本和所有的副本、电子文档密封，并在封套的封口处加盖投标人单位章或由投标人的法定代表人（单位负责人）或其授权的代理人签字。</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17.2所有包装封皮上均应：</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（1）注明项目名称、项目编号、包号、</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（2）加盖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单位公章。</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17.3如果</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未按上述要求密封，其投标文件将被</w:t>
      </w:r>
      <w:r>
        <w:rPr>
          <w:rFonts w:hint="eastAsia" w:ascii="仿宋" w:hAnsi="仿宋" w:cs="仿宋"/>
          <w:b/>
          <w:bCs/>
          <w:color w:val="auto"/>
          <w:szCs w:val="21"/>
          <w:highlight w:val="none"/>
        </w:rPr>
        <w:t>拒绝接收</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18.投标截止</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18.1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须知表18.1中规定的递交投标文件截止时间前，将投标文件递交到</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须知表18.1款中规定的地点。</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18.2</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有权按本须知的规定，延迟投标截止时间。在此情况下，</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受投标截止时间制约的所有权利和义务均应延长至新的截止时间。</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19.投标文件的接收、修改与撤回</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19.1在投标截止时间后送达的投标文件，</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w:t>
      </w:r>
      <w:r>
        <w:rPr>
          <w:rFonts w:hint="eastAsia" w:ascii="仿宋" w:hAnsi="仿宋" w:cs="仿宋"/>
          <w:b/>
          <w:bCs/>
          <w:color w:val="auto"/>
          <w:szCs w:val="21"/>
          <w:highlight w:val="none"/>
        </w:rPr>
        <w:t>拒绝接收</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19.2</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收到投标文件后，应当如实记载投标文件的送达时间和密封情况。</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19.3递交投标文件以后，如果</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要进行修改或撤回投标，须提出书面申请并在投标截止时间前送达开标地点，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对投标文件的修改或撤回通知应按本须知规定编制、密封、标记。</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将予以接收，并视为投标文件的组成部分。否则，修改后的投标文件或撤回行为无效。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19.4在投标截止时间之后，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不得对其投标文件做任何修改。</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19.5</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对所接收并当众宣读投标内容的投标文件概不退回。</w:t>
      </w:r>
    </w:p>
    <w:p>
      <w:pPr>
        <w:pStyle w:val="5"/>
        <w:rPr>
          <w:rFonts w:hint="eastAsia" w:ascii="仿宋" w:hAnsi="仿宋" w:cs="仿宋"/>
          <w:color w:val="auto"/>
          <w:sz w:val="32"/>
          <w:szCs w:val="28"/>
          <w:highlight w:val="none"/>
        </w:rPr>
      </w:pPr>
      <w:bookmarkStart w:id="68" w:name="_Toc988_WPSOffice_Level2"/>
      <w:r>
        <w:rPr>
          <w:rFonts w:hint="eastAsia" w:ascii="仿宋" w:hAnsi="仿宋" w:cs="仿宋"/>
          <w:color w:val="auto"/>
          <w:sz w:val="32"/>
          <w:szCs w:val="28"/>
          <w:highlight w:val="none"/>
        </w:rPr>
        <w:t>六 开标及评标</w:t>
      </w:r>
      <w:bookmarkEnd w:id="68"/>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20.开标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20.1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和</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须知表20.1款中规定的开标时间和地点组织公开开标并邀请所有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代表参加。</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不足3家的，不得开标。评标委员会成员不得参加开标活动。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20.2开标时，由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或其推选的代表检查投标文件的密封情况，经记录后，由</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当众拆封投标文件，宣读</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名称、投标价格及招标文件规定的内容。对于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在投标截止时间前递交的投标声明，在开标时当众宣读，评标时有效。</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未宣读投标价格、价格折扣等实质内容，评标时不予承认。</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20.3</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将对开标过程进行记录，由参加开标的各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代表和相关工作人员签字确认，并存档备查。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未参加开标或未签字确认的，视同认可开标结果。</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20.4</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代表对开标过程和开标记录有疑义，以及认为</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相关工作人员有需要回避的情形的，应当场提出询问或者回避申请。</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21.组建评标委员会</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按照《中华人民共和国政府采购法》、《中华人民共和国政府采购法实施条例》有关规定依法组建评标委员会，负责本项目评标工作。本项目评标委员会组成详见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须知表21款。</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22.资格审查</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22.1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依据法律法规和招标文件中规定的内容，对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的资格进行审查，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应按照第二章《投标文件内容及格式》中的相应要求提交资格证明材料。未通过资格审查的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不能进入评标，其投标将被认定为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；通过资格审查的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不足3家的，不得评标。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22.2</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将在递交投标文件截止时间前一个工作日至资格审查结束前查询</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的信用记录。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存在不良信用记录的，其投标将被认定为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22.2.1不良信用记录指：</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在中国政府采购网（www.ccgp.gov.cn）被列入政府采购严重违法失信行为记录名单，或在“信用中国”网站（www.creditchina.gov.cn）被列入失信被执行人、重大税收违法</w:t>
      </w:r>
      <w:r>
        <w:rPr>
          <w:rFonts w:hint="eastAsia" w:ascii="仿宋" w:hAnsi="仿宋" w:cs="仿宋"/>
          <w:color w:val="auto"/>
          <w:szCs w:val="21"/>
          <w:highlight w:val="none"/>
          <w:lang w:val="en-US" w:eastAsia="zh-CN"/>
        </w:rPr>
        <w:t>失信主体</w:t>
      </w:r>
      <w:r>
        <w:rPr>
          <w:rFonts w:hint="eastAsia" w:ascii="仿宋" w:hAnsi="仿宋" w:cs="仿宋"/>
          <w:color w:val="auto"/>
          <w:szCs w:val="21"/>
          <w:highlight w:val="none"/>
        </w:rPr>
        <w:t>，以及存在《中华人民共和国政府采购法实施条例》第十九条规定的行政处罚记录。</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以联合体形式参加投标的，联合体任何成员存在以上不良信用记录的，联合体投标将被认定为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22.2.2查询及记录方式：</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经办人将查询网页打印并存档备查。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不良信用记录以</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查询结果为准。</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在本招标文件规定的查询时间之后，网站信息发生的任何变更均不再作为评标依据。</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自行提供的与网站信息不一致的其他证明材料亦不作为资格审查依据。</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23.符合性审查</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 xml:space="preserve">    符合性审查是指依据招标文件的规定，从投标文件的有效性和完整性对招标文件的响应程度进行审查，以确定是否对招标文件的实质性要求做出响应。</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应按照第二章《投标文件内容及格式》中的相应要求，提交符合性证明材料。未通过符合性审查的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不能进入下一阶段评审，其投标将被认定为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；通过符合性审查的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数量不足3家的，不得作进一步的比较和评价。</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24.投标文件的澄清</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24.1在评标期间，评标委员会将以书面方式要求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对其投标文件中含义不明确、对同类问题表述不一致或者有明显文字和计算错误的内容作必要的澄清、说明或补正。</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的澄清、说明或补正应在评标委员会规定的时间内以书面方式进行，并不得超出投标文件范围或者改变投标文件的实质性内容。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拒不进行澄清、说明、补正的，或者不能在规定时间内作出书面澄清、说明、补正的，其投标将被作为无效投标处理。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24.2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的澄清、说明或补正将作为投标文件的一部分。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24.3投标文件报价出现前后不一致的，按照下列规定修正：</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（1）投标文件中开标一览表内容与投标文件中相应内容不一致的，以开标一览表为准；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（2）大写金额和小写金额不一致的，以大写金额为准；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（3）单价金额小数点或者百分比有明显错位的，以开标一览表的总价为准，并修改单价；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（4）总价金额与按单价汇总金额不一致的，以单价金额计算结果为准。</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同时出现两种以上不一致的，按照前款规定的顺序修正。修正后的报价经</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确认后产生约束力，</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不确认的，其投标将被认定为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highlight w:val="none"/>
        </w:rPr>
      </w:pPr>
      <w:r>
        <w:rPr>
          <w:rFonts w:hint="eastAsia" w:ascii="仿宋" w:hAnsi="仿宋" w:cs="仿宋"/>
          <w:color w:val="auto"/>
          <w:szCs w:val="21"/>
          <w:highlight w:val="none"/>
        </w:rPr>
        <w:t>24.4</w:t>
      </w:r>
      <w:r>
        <w:rPr>
          <w:rFonts w:hint="eastAsia" w:ascii="仿宋" w:hAnsi="仿宋" w:cs="仿宋"/>
          <w:b/>
          <w:bCs/>
          <w:color w:val="auto"/>
          <w:szCs w:val="21"/>
          <w:highlight w:val="none"/>
        </w:rPr>
        <w:t>评标委员会认为</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的报价明显低于其他通过符合性审查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的报价，有可能影响产品质量或者不能诚信履约的，应当要求其在评标现场合理的时间内提供书面说明，必要时提交相关证明材料；</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不能证明其报价合理性的，评标委员会应当将其作为</w:t>
      </w:r>
      <w:r>
        <w:rPr>
          <w:rFonts w:hint="eastAsia" w:ascii="仿宋" w:hAnsi="仿宋" w:cs="仿宋"/>
          <w:b/>
          <w:bCs/>
          <w:color w:val="auto"/>
          <w:szCs w:val="21"/>
          <w:highlight w:val="none"/>
        </w:rPr>
        <w:t>无效投标</w:t>
      </w:r>
      <w:r>
        <w:rPr>
          <w:rFonts w:hint="eastAsia" w:ascii="仿宋" w:hAnsi="仿宋" w:cs="仿宋"/>
          <w:color w:val="auto"/>
          <w:szCs w:val="21"/>
          <w:highlight w:val="none"/>
        </w:rPr>
        <w:t>处理。提交证明材料的合理时间按第四章 评标方法规定执行。</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25样品及演示</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25.1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须知表11.3款中要求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提供样品的，按照</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须知表25.1款中样品的评审方法以及评审标准进行评审。</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25.2采购活动结束后，对于未中标人提供的样品，应当及时退还或者经未中标人同意后自行处理；对于中标人提供的样品，应当按招标文件规定进行保管、封存，并作为履约验收的参考。具体内容见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须知表11.3条。</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25.3演示的评审方法以及评审标准具体内容见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须知表25.1款。</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26.投标无效</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实质性要求是指招标文件中带有★号标识内容（包括本级及其下级编号中所有内容）等文字说明的要求。</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kern w:val="0"/>
          <w:szCs w:val="21"/>
          <w:highlight w:val="none"/>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如果投标文件没有对招标文件的实质性要求进行响应，将作为</w:t>
      </w:r>
      <w:r>
        <w:rPr>
          <w:rFonts w:hint="eastAsia" w:ascii="仿宋" w:hAnsi="仿宋" w:cs="仿宋"/>
          <w:b/>
          <w:bCs/>
          <w:color w:val="auto"/>
          <w:szCs w:val="21"/>
          <w:highlight w:val="none"/>
        </w:rPr>
        <w:t>无效投标</w:t>
      </w:r>
      <w:r>
        <w:rPr>
          <w:rFonts w:hint="eastAsia" w:ascii="仿宋" w:hAnsi="仿宋" w:cs="仿宋"/>
          <w:color w:val="auto"/>
          <w:szCs w:val="21"/>
          <w:highlight w:val="none"/>
        </w:rPr>
        <w:t>处理，</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不得再对投标文件进行任何修正从而使其投标成为实质上响应的投标。</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评标委员会决定投标的响应性只根据招标文件要求、投标文件内容及财政主管部门指定媒体发布的相关信息。</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26.2如发现下列情况之一的，其投标将被认定为</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rPr>
          <w:rFonts w:hint="eastAsia" w:ascii="仿宋" w:hAnsi="仿宋" w:eastAsia="仿宋" w:cs="仿宋"/>
          <w:color w:val="auto"/>
          <w:szCs w:val="21"/>
          <w:highlight w:val="none"/>
          <w:lang w:eastAsia="zh-CN"/>
        </w:rPr>
      </w:pPr>
      <w:r>
        <w:rPr>
          <w:rFonts w:hint="eastAsia" w:ascii="仿宋" w:hAnsi="仿宋" w:cs="仿宋"/>
          <w:color w:val="auto"/>
          <w:szCs w:val="21"/>
          <w:highlight w:val="none"/>
        </w:rPr>
        <w:t>（1）未按招标文件的规定提交投标保证金的；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（2）未按照招标文件规定要求签署、盖章的；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的报价超过了招标文件中规定的预算金额或者最高限价的；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（4）不具备招标文件中规定的资格要求的；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（5）不符合法律、法规和招标文件中规定的其他实质性要求的。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（6）与其他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串通投标，或者与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串通投标；</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（7）评标委员会认为</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的报价明显低于其他通过符合性审查</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的报价，有可能影响履约的，且</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未按照规定证明其报价合理性的；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（8）投标文件含有</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不能接受的附加条件的；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（9）属于法律、法规和招标文件规定的其他投标无效情形；</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27.比较与评价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27.2评标严格按照招标文件的要求和条件进行。根据实际情况，在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须知表27.2款中规定采用下列一种评标方法，详细评标标准见第四章 评标方法。</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（1）最低评标价法，是指投标文件满足招标文件全部实质性要求，且投标报价最低的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为中标候选人的评标方法。</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（2）综合评分法，是指投标文件满足招标文件全部实质性要求，且按照评审因素的量化指标评审得分最高的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为中标候选人的评标方法。</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27.3根据《政府采购促进中小企业发展管理办法》（财库〔2020〕46号）、《关于进一步加大政府采购支持中小企业力度的通知》（财库〔2022〕19号）、《财政部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 其投标报价扣除10%-20%后参与评审。具体详见第四章 评标方法。</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hint="eastAsia"/>
          <w:color w:val="auto"/>
          <w:highlight w:val="none"/>
        </w:rPr>
      </w:pPr>
      <w:r>
        <w:rPr>
          <w:rFonts w:hint="eastAsia" w:ascii="仿宋_GB2312" w:hAnsi="仿宋_GB2312" w:eastAsia="仿宋_GB2312" w:cs="仿宋_GB2312"/>
          <w:color w:val="auto"/>
          <w:szCs w:val="21"/>
          <w:highlight w:val="none"/>
        </w:rPr>
        <w:t>27.5根据财政部相关规定，对于列入《</w:t>
      </w:r>
      <w:r>
        <w:rPr>
          <w:rFonts w:hint="eastAsia" w:ascii="仿宋_GB2312" w:hAnsi="仿宋_GB2312" w:eastAsia="仿宋_GB2312" w:cs="仿宋_GB2312"/>
          <w:color w:val="auto"/>
          <w:szCs w:val="21"/>
          <w:highlight w:val="none"/>
          <w:lang w:eastAsia="zh-CN"/>
        </w:rPr>
        <w:t>创新产品和服务目录</w:t>
      </w:r>
      <w:r>
        <w:rPr>
          <w:rFonts w:hint="eastAsia" w:ascii="仿宋_GB2312" w:hAnsi="仿宋_GB2312" w:eastAsia="仿宋_GB2312" w:cs="仿宋_GB2312"/>
          <w:color w:val="auto"/>
          <w:szCs w:val="21"/>
          <w:highlight w:val="none"/>
        </w:rPr>
        <w:t>》内的产品、服务实施政府优先采购。具体优先采购办法详见第四章 评标方法。</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28.废标</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出现下列情形之一，将导致项目</w:t>
      </w:r>
      <w:r>
        <w:rPr>
          <w:rFonts w:hint="eastAsia" w:ascii="仿宋" w:hAnsi="仿宋" w:cs="仿宋"/>
          <w:b/>
          <w:bCs/>
          <w:color w:val="auto"/>
          <w:szCs w:val="21"/>
          <w:highlight w:val="none"/>
        </w:rPr>
        <w:t>废标</w:t>
      </w:r>
      <w:r>
        <w:rPr>
          <w:rFonts w:hint="eastAsia" w:ascii="仿宋" w:hAnsi="仿宋" w:cs="仿宋"/>
          <w:color w:val="auto"/>
          <w:szCs w:val="21"/>
          <w:highlight w:val="none"/>
        </w:rPr>
        <w:t>：</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（1）符合专业条件的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或者对招标文件做实质性响应的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不足3家；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（2）出现影响采购公正的违法、违规行为的；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的报价均超过了采购预算或最高限价，</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不能支付的；</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（4）因重大变故，采购任务取消的。</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29.中标候选人的推荐原则及标准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29.1除第32条规定外，评标委员会将根据评标标准，对实质上响应招标文件的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按下列方法进行排序，推荐中标候选人：</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（1）采用最低评标价法的，除了算数修正和落实政府采购政策需进行的价格扣除外，不对</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的投标价格进行任何调整。评标结果按修正和扣除后的投标报价由低到高顺序排序。报价相同的，按第四章评标办法规定执行。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（2）采用综合评分法的，评标结果按评审后得分由高到低顺序排序。得分相同的，按第四章评标办法规定执行。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29.2评标委员会将根据评标标准，按</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须知表29.2款中规定的数量推荐中标候选人。</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29.3因推荐中标候选人名单产生其他问题，由评标委员会集体研究处理。</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30.保密原则</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30.1评标将在严格保密的情况下进行。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30.2有关人员应当遵守评标工作纪律，不得泄露评审文件、评标情况和评标过程中获悉的国家秘密、商业秘密。</w:t>
      </w:r>
    </w:p>
    <w:p>
      <w:pPr>
        <w:pStyle w:val="5"/>
        <w:rPr>
          <w:rFonts w:hint="eastAsia" w:ascii="仿宋" w:hAnsi="仿宋" w:cs="仿宋"/>
          <w:color w:val="auto"/>
          <w:sz w:val="32"/>
          <w:szCs w:val="28"/>
          <w:highlight w:val="none"/>
        </w:rPr>
      </w:pPr>
      <w:bookmarkStart w:id="69" w:name="_Toc4544_WPSOffice_Level2"/>
      <w:r>
        <w:rPr>
          <w:rFonts w:hint="eastAsia" w:ascii="仿宋" w:hAnsi="仿宋" w:cs="仿宋"/>
          <w:color w:val="auto"/>
          <w:sz w:val="32"/>
          <w:szCs w:val="28"/>
          <w:highlight w:val="none"/>
        </w:rPr>
        <w:t>七 确定中标</w:t>
      </w:r>
      <w:bookmarkEnd w:id="69"/>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31.确定中标人</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由</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委托评标委员会按照</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须知表31中规定的方式确定中标人。</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★32.采购任务取消</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因重大变故采购任务取消时，</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有权拒绝任何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中标，且对受影响的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不承担任何责任。</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33.中标通知书</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33.1</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应当自中标人确定之日起2个工作日内，在中国政府采购网上公告中标结果。同时向中标人发出中标通知书。</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33.2中标通知书是合同的组成部分。</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34.签订合同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34.1中标人应当自发出中标通知书之日起 30 日内，与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签订书面合同。</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34.2招标文件、中标人的投标文件及其澄清文件等，均为签订合同的依据。所签订的合同不得对招标文件确定的事项和中标人投标文件作实质性修改。</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不得向中标人提出任何不合理的要求，作为签订合同的条件。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34.3 中标人拒绝与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签订合同的，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可以按照评标报告推荐的中标候选人名单排序，确定下一中标候选人为中标人，也可以重新开展政府采购活动。</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35.履约保证金</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35.1中标人应按照</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须知表35.1款规定向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缴纳履约保证金。</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35.2如果中标人没有按照上述履约保证金的规定执行，将视为拒绝签订合同并放弃中标资格，中标人的投标保证金将不予退还。在此情况下，</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可确定下一中标候选人为中标人，也可以重新开展采购活动。</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color w:val="auto"/>
          <w:szCs w:val="21"/>
          <w:highlight w:val="none"/>
        </w:rPr>
        <w:t>★</w:t>
      </w:r>
      <w:r>
        <w:rPr>
          <w:rFonts w:hint="eastAsia" w:ascii="仿宋" w:hAnsi="仿宋" w:cs="仿宋"/>
          <w:b/>
          <w:bCs/>
          <w:color w:val="auto"/>
          <w:szCs w:val="21"/>
          <w:highlight w:val="none"/>
        </w:rPr>
        <w:t>36.采购代理服务费</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中标人须按照投标须知表36款规定，向</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支付采购代理服务费。</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37.廉洁自律规定</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37.1</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工作人员不得以不正当手段获取政府采购代理业务，不得与</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恶意串通操纵政府采购活动。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37.2</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工作人员不得接受</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组织的宴请、旅游、娱乐，不得收受礼品、现金、有价证券等，不得向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或者</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报销应当由个人承担的费用。</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38.人员回避</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及其相关人员有法律法规所列与其他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有利害关系的，可以向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书面提出回避申请，并说明理由。</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39.质疑与接收</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39.1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认为招标文件、招标过程和中标结果使自己的权益受到损害的，可以根据《中华人民共和国政府采购法》、《中华人民共和国政府采购法实施条例》和《政府采购质疑和投诉办法》的有关规定，依法向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或其委托的</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提出质疑。</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39.2质疑</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应按照财政部门制定的《政府采购质疑函范本》和《政府采购质疑和投诉办法》的要求，在法定质疑期内以纸质形式提出质疑，针对同一采购程序环节的质疑应一次性提出。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超出法定质疑期的、重复提出的、分次提出的或内容、形式不符合《政府采购质疑和投诉办法》的，质疑</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将依法承担不利后果。</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39.3</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质疑函接收部门、联系电话和通讯地址, 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须知表39.3款。</w:t>
      </w:r>
    </w:p>
    <w:p>
      <w:pPr>
        <w:adjustRightInd w:val="0"/>
        <w:snapToGrid w:val="0"/>
        <w:spacing w:line="360" w:lineRule="auto"/>
        <w:rPr>
          <w:rFonts w:hint="eastAsia" w:ascii="仿宋" w:hAnsi="仿宋" w:cs="仿宋"/>
          <w:b/>
          <w:bCs/>
          <w:color w:val="auto"/>
          <w:szCs w:val="21"/>
          <w:highlight w:val="none"/>
        </w:rPr>
      </w:pPr>
      <w:r>
        <w:rPr>
          <w:rFonts w:hint="eastAsia" w:ascii="仿宋" w:hAnsi="仿宋" w:cs="仿宋"/>
          <w:b/>
          <w:bCs/>
          <w:color w:val="auto"/>
          <w:szCs w:val="21"/>
          <w:highlight w:val="none"/>
        </w:rPr>
        <w:t>40.履约验收</w:t>
      </w:r>
    </w:p>
    <w:p>
      <w:pPr>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 xml:space="preserve">将严格按照政府采购相关法律法规以及行业管理规定和《辽宁省消防救援总队自然灾害应急能力提升工程装备建设项目验收实施方案》的要求进行验收。 </w:t>
      </w:r>
    </w:p>
    <w:p>
      <w:pPr>
        <w:pStyle w:val="22"/>
        <w:ind w:firstLine="480"/>
        <w:rPr>
          <w:rFonts w:hint="eastAsia" w:ascii="仿宋" w:hAnsi="仿宋" w:eastAsia="仿宋" w:cs="仿宋"/>
          <w:color w:val="auto"/>
          <w:highlight w:val="none"/>
        </w:rPr>
      </w:pPr>
    </w:p>
    <w:p>
      <w:pPr>
        <w:pStyle w:val="4"/>
        <w:bidi w:val="0"/>
        <w:rPr>
          <w:rFonts w:hint="eastAsia" w:ascii="仿宋" w:hAnsi="仿宋" w:cs="仿宋"/>
          <w:color w:val="auto"/>
          <w:highlight w:val="none"/>
        </w:rPr>
      </w:pPr>
      <w:r>
        <w:rPr>
          <w:rFonts w:hint="eastAsia" w:ascii="仿宋" w:hAnsi="仿宋" w:cs="仿宋"/>
          <w:color w:val="auto"/>
          <w:highlight w:val="none"/>
        </w:rPr>
        <w:br w:type="page"/>
      </w:r>
      <w:r>
        <w:rPr>
          <w:rFonts w:hint="eastAsia" w:ascii="仿宋" w:hAnsi="仿宋" w:cs="仿宋"/>
          <w:b/>
          <w:color w:val="auto"/>
          <w:highlight w:val="none"/>
        </w:rPr>
        <w:t>第二章 投标文件内容及格式</w:t>
      </w:r>
      <w:bookmarkEnd w:id="37"/>
      <w:bookmarkEnd w:id="38"/>
    </w:p>
    <w:p>
      <w:pPr>
        <w:spacing w:before="156" w:beforeLines="50"/>
        <w:rPr>
          <w:rFonts w:hint="eastAsia" w:ascii="仿宋" w:hAnsi="仿宋" w:cs="仿宋"/>
          <w:b/>
          <w:color w:val="auto"/>
          <w:sz w:val="24"/>
          <w:highlight w:val="none"/>
        </w:rPr>
      </w:pPr>
      <w:bookmarkStart w:id="70" w:name="投标文件内容及格式：Block"/>
      <w:bookmarkEnd w:id="70"/>
      <w:bookmarkStart w:id="71" w:name="sys_投标文件内容及格式：Block"/>
      <w:bookmarkEnd w:id="71"/>
      <w:bookmarkStart w:id="72" w:name="_Toc2481_WPSOffice_Level2"/>
      <w:bookmarkStart w:id="73" w:name="_Toc1538_WPSOffice_Level2"/>
      <w:r>
        <w:rPr>
          <w:rFonts w:hint="eastAsia" w:ascii="仿宋" w:hAnsi="仿宋" w:cs="仿宋"/>
          <w:b/>
          <w:color w:val="auto"/>
          <w:sz w:val="24"/>
          <w:highlight w:val="none"/>
        </w:rPr>
        <w:t>一、投标文件、电子文档的外封面、封口、封皮及目录</w:t>
      </w:r>
      <w:bookmarkEnd w:id="72"/>
      <w:bookmarkEnd w:id="73"/>
    </w:p>
    <w:tbl>
      <w:tblPr>
        <w:tblStyle w:val="23"/>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序号</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内容</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b/>
                <w:color w:val="auto"/>
                <w:kern w:val="0"/>
                <w:szCs w:val="21"/>
                <w:highlight w:val="none"/>
              </w:rPr>
            </w:pPr>
            <w:r>
              <w:rPr>
                <w:rFonts w:hint="eastAsia" w:ascii="仿宋" w:hAnsi="仿宋" w:cs="仿宋"/>
                <w:color w:val="auto"/>
                <w:kern w:val="0"/>
                <w:szCs w:val="21"/>
                <w:highlight w:val="none"/>
              </w:rPr>
              <w:t>投标文件、电子文档的外封面及封口</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投标文件的封皮</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w:t>
            </w:r>
          </w:p>
        </w:tc>
        <w:tc>
          <w:tcPr>
            <w:tcW w:w="6976" w:type="dxa"/>
            <w:noWrap w:val="0"/>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投标文件的目录</w:t>
            </w:r>
          </w:p>
        </w:tc>
        <w:tc>
          <w:tcPr>
            <w:tcW w:w="742" w:type="dxa"/>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3</w:t>
            </w:r>
          </w:p>
        </w:tc>
      </w:tr>
    </w:tbl>
    <w:p>
      <w:pPr>
        <w:snapToGrid w:val="0"/>
        <w:spacing w:before="156" w:beforeLines="50"/>
        <w:rPr>
          <w:rFonts w:hint="eastAsia" w:ascii="仿宋" w:hAnsi="仿宋" w:cs="仿宋"/>
          <w:b/>
          <w:color w:val="auto"/>
          <w:sz w:val="24"/>
          <w:highlight w:val="none"/>
        </w:rPr>
      </w:pPr>
      <w:bookmarkStart w:id="74" w:name="_Toc1266_WPSOffice_Level2"/>
      <w:bookmarkStart w:id="75" w:name="_Toc31052_WPSOffice_Level2"/>
      <w:r>
        <w:rPr>
          <w:rFonts w:hint="eastAsia" w:ascii="仿宋" w:hAnsi="仿宋" w:cs="仿宋"/>
          <w:b/>
          <w:color w:val="auto"/>
          <w:sz w:val="24"/>
          <w:highlight w:val="none"/>
        </w:rPr>
        <w:t>二、资格证明材料</w:t>
      </w:r>
      <w:bookmarkEnd w:id="74"/>
      <w:bookmarkEnd w:id="75"/>
      <w:r>
        <w:rPr>
          <w:rFonts w:hint="eastAsia" w:ascii="仿宋" w:hAnsi="仿宋" w:cs="仿宋"/>
          <w:b/>
          <w:color w:val="auto"/>
          <w:sz w:val="24"/>
          <w:highlight w:val="none"/>
        </w:rPr>
        <w:t>（有一项不符合要求，不能进入下一阶段评审）</w:t>
      </w:r>
    </w:p>
    <w:tbl>
      <w:tblPr>
        <w:tblStyle w:val="23"/>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bookmarkStart w:id="76" w:name="sys_资格性证明材料：Document"/>
            <w:bookmarkStart w:id="77" w:name="资格性证明材料：Document"/>
            <w:r>
              <w:rPr>
                <w:rFonts w:hint="eastAsia" w:ascii="仿宋" w:hAnsi="仿宋" w:cs="仿宋"/>
                <w:color w:val="auto"/>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格式</w:t>
            </w:r>
          </w:p>
        </w:tc>
      </w:tr>
      <w:tr>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4</w:t>
            </w: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6</w:t>
            </w: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开标时间前六个月内任一个月的依法缴纳税收的缴款凭据复印件</w:t>
            </w:r>
          </w:p>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（注：依法免税的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开标时间前六个月内任一个月的依法缴纳社会保障资金的缴款凭据复印件（注：依法不需要缴纳社会保障资金的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7</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8</w:t>
            </w: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2"/>
                <w:sz w:val="21"/>
                <w:szCs w:val="21"/>
                <w:highlight w:val="none"/>
                <w:lang w:val="en-US" w:eastAsia="zh-CN" w:bidi="ar-SA"/>
              </w:rPr>
            </w:pPr>
            <w:bookmarkStart w:id="78" w:name="_Toc25206_WPSOffice_Level2"/>
            <w:bookmarkStart w:id="79" w:name="_Toc22359_WPSOffice_Level2"/>
            <w:r>
              <w:rPr>
                <w:rFonts w:hint="eastAsia" w:ascii="仿宋" w:hAnsi="仿宋" w:cs="仿宋"/>
                <w:color w:val="auto"/>
                <w:szCs w:val="21"/>
                <w:highlight w:val="none"/>
                <w:lang w:val="en-US" w:eastAsia="zh-CN"/>
              </w:rPr>
              <w:t>11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rPr>
              <w:t>信用记录（</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p>
        </w:tc>
      </w:tr>
    </w:tbl>
    <w:p>
      <w:pPr>
        <w:snapToGrid w:val="0"/>
        <w:spacing w:before="156" w:beforeLines="50"/>
        <w:rPr>
          <w:rFonts w:hint="eastAsia" w:ascii="仿宋" w:hAnsi="仿宋" w:cs="仿宋"/>
          <w:b/>
          <w:color w:val="auto"/>
          <w:sz w:val="24"/>
          <w:highlight w:val="none"/>
        </w:rPr>
      </w:pPr>
      <w:r>
        <w:rPr>
          <w:rFonts w:hint="eastAsia" w:ascii="仿宋" w:hAnsi="仿宋" w:cs="仿宋"/>
          <w:b/>
          <w:color w:val="auto"/>
          <w:sz w:val="24"/>
          <w:highlight w:val="none"/>
        </w:rPr>
        <w:br w:type="page"/>
      </w:r>
      <w:r>
        <w:rPr>
          <w:rFonts w:hint="eastAsia" w:ascii="仿宋" w:hAnsi="仿宋" w:cs="仿宋"/>
          <w:b/>
          <w:color w:val="auto"/>
          <w:sz w:val="24"/>
          <w:highlight w:val="none"/>
        </w:rPr>
        <w:t>三、符合性证明材料</w:t>
      </w:r>
      <w:bookmarkEnd w:id="78"/>
      <w:bookmarkEnd w:id="79"/>
      <w:r>
        <w:rPr>
          <w:rFonts w:hint="eastAsia" w:ascii="仿宋" w:hAnsi="仿宋" w:cs="仿宋"/>
          <w:b/>
          <w:color w:val="auto"/>
          <w:sz w:val="24"/>
          <w:highlight w:val="none"/>
        </w:rPr>
        <w:t>（有一项不符合要求，不能进入下一阶段评审）</w:t>
      </w:r>
    </w:p>
    <w:bookmarkEnd w:id="76"/>
    <w:bookmarkEnd w:id="77"/>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序号</w:t>
            </w:r>
          </w:p>
        </w:tc>
        <w:tc>
          <w:tcPr>
            <w:tcW w:w="698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符合性证明材料</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1</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投标函</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cs="仿宋"/>
                <w:color w:val="auto"/>
                <w:kern w:val="0"/>
                <w:szCs w:val="21"/>
                <w:highlight w:val="none"/>
                <w:lang w:val="en-US" w:eastAsia="zh-CN"/>
              </w:rPr>
              <w:t>2</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kern w:val="0"/>
                <w:szCs w:val="21"/>
                <w:highlight w:val="none"/>
              </w:rPr>
              <w:t>递交投标保证金证明材料复印件</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cs="仿宋"/>
                <w:color w:val="auto"/>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cs="仿宋"/>
                <w:color w:val="auto"/>
                <w:kern w:val="0"/>
                <w:szCs w:val="21"/>
                <w:highlight w:val="none"/>
                <w:lang w:val="en-US" w:eastAsia="zh-CN"/>
              </w:rPr>
              <w:t>3</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开标一览表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cs="仿宋"/>
                <w:color w:val="auto"/>
                <w:kern w:val="0"/>
                <w:szCs w:val="21"/>
                <w:highlight w:val="none"/>
                <w:lang w:val="en-US" w:eastAsia="zh-CN"/>
              </w:rPr>
              <w:t>4</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分项报价表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cs="仿宋"/>
                <w:color w:val="auto"/>
                <w:kern w:val="0"/>
                <w:szCs w:val="21"/>
                <w:highlight w:val="none"/>
                <w:lang w:val="en-US" w:eastAsia="zh-CN"/>
              </w:rPr>
              <w:t>5</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技术规格偏离表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cs="仿宋"/>
                <w:color w:val="auto"/>
                <w:kern w:val="0"/>
                <w:szCs w:val="21"/>
                <w:highlight w:val="none"/>
                <w:lang w:val="en-US" w:eastAsia="zh-CN"/>
              </w:rPr>
              <w:t>6</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rPr>
              <w:t>商务条款偏离表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7</w:t>
            </w:r>
          </w:p>
        </w:tc>
        <w:tc>
          <w:tcPr>
            <w:tcW w:w="6986" w:type="dxa"/>
            <w:noWrap w:val="0"/>
            <w:vAlign w:val="center"/>
          </w:tcPr>
          <w:p>
            <w:pPr>
              <w:keepNext w:val="0"/>
              <w:keepLines w:val="0"/>
              <w:suppressLineNumbers w:val="0"/>
              <w:adjustRightInd w:val="0"/>
              <w:snapToGrid w:val="0"/>
              <w:spacing w:before="0" w:beforeAutospacing="0" w:after="0" w:afterAutospacing="0"/>
              <w:ind w:left="0" w:right="0"/>
              <w:rPr>
                <w:rFonts w:hint="eastAsia" w:ascii="仿宋" w:hAnsi="仿宋" w:cs="仿宋"/>
                <w:color w:val="auto"/>
                <w:kern w:val="0"/>
                <w:szCs w:val="21"/>
                <w:highlight w:val="none"/>
              </w:rPr>
            </w:pP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关联单位说明</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14</w:t>
            </w:r>
          </w:p>
        </w:tc>
      </w:tr>
    </w:tbl>
    <w:p>
      <w:pPr>
        <w:snapToGrid w:val="0"/>
        <w:spacing w:before="156" w:beforeLines="50"/>
        <w:rPr>
          <w:rFonts w:hint="eastAsia" w:ascii="仿宋" w:hAnsi="仿宋" w:cs="仿宋"/>
          <w:b/>
          <w:color w:val="auto"/>
          <w:sz w:val="24"/>
          <w:highlight w:val="none"/>
        </w:rPr>
      </w:pPr>
      <w:bookmarkStart w:id="80" w:name="_Toc24432_WPSOffice_Level2"/>
      <w:bookmarkStart w:id="81" w:name="_Toc27769_WPSOffice_Level2"/>
      <w:r>
        <w:rPr>
          <w:rFonts w:hint="eastAsia" w:ascii="仿宋" w:hAnsi="仿宋" w:cs="仿宋"/>
          <w:b/>
          <w:color w:val="auto"/>
          <w:sz w:val="24"/>
          <w:highlight w:val="none"/>
        </w:rPr>
        <w:t>四、其他材料</w:t>
      </w:r>
      <w:bookmarkEnd w:id="80"/>
      <w:bookmarkEnd w:id="81"/>
      <w:r>
        <w:rPr>
          <w:rFonts w:hint="eastAsia" w:ascii="仿宋" w:hAnsi="仿宋" w:cs="仿宋"/>
          <w:b/>
          <w:color w:val="auto"/>
          <w:sz w:val="24"/>
          <w:highlight w:val="none"/>
        </w:rPr>
        <w:t>（如有，请提供；如未提供，投标文件不作无效处理）</w:t>
      </w:r>
    </w:p>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0"/>
            <w:vAlign w:val="center"/>
          </w:tcPr>
          <w:p>
            <w:pPr>
              <w:keepNext w:val="0"/>
              <w:keepLines w:val="0"/>
              <w:suppressLineNumbers w:val="0"/>
              <w:spacing w:before="0" w:beforeAutospacing="0" w:after="0" w:afterAutospacing="0"/>
              <w:ind w:left="0" w:right="0"/>
              <w:jc w:val="center"/>
              <w:rPr>
                <w:rFonts w:hint="eastAsia" w:ascii="Calibri" w:hAnsi="Calibri" w:cs="Times New Roman"/>
                <w:color w:val="auto"/>
                <w:highlight w:val="none"/>
              </w:rPr>
            </w:pPr>
            <w:r>
              <w:rPr>
                <w:rFonts w:hint="eastAsia" w:ascii="Calibri" w:hAnsi="Calibri" w:cs="Times New Roman"/>
                <w:color w:val="auto"/>
                <w:highlight w:val="none"/>
              </w:rPr>
              <w:t>序号</w:t>
            </w:r>
          </w:p>
        </w:tc>
        <w:tc>
          <w:tcPr>
            <w:tcW w:w="6985" w:type="dxa"/>
            <w:noWrap w:val="0"/>
            <w:vAlign w:val="center"/>
          </w:tcPr>
          <w:p>
            <w:pPr>
              <w:keepNext w:val="0"/>
              <w:keepLines w:val="0"/>
              <w:suppressLineNumbers w:val="0"/>
              <w:spacing w:before="0" w:beforeAutospacing="0" w:after="0" w:afterAutospacing="0"/>
              <w:ind w:left="0" w:right="0"/>
              <w:jc w:val="center"/>
              <w:rPr>
                <w:rFonts w:hint="eastAsia" w:ascii="Calibri" w:hAnsi="Calibri" w:cs="Times New Roman"/>
                <w:color w:val="auto"/>
                <w:highlight w:val="none"/>
              </w:rPr>
            </w:pPr>
            <w:r>
              <w:rPr>
                <w:rFonts w:hint="eastAsia" w:ascii="Calibri" w:hAnsi="Calibri" w:cs="Times New Roman"/>
                <w:color w:val="auto"/>
                <w:highlight w:val="none"/>
              </w:rPr>
              <w:t>其他材料</w:t>
            </w:r>
          </w:p>
        </w:tc>
        <w:tc>
          <w:tcPr>
            <w:tcW w:w="756" w:type="dxa"/>
            <w:noWrap w:val="0"/>
            <w:vAlign w:val="center"/>
          </w:tcPr>
          <w:p>
            <w:pPr>
              <w:keepNext w:val="0"/>
              <w:keepLines w:val="0"/>
              <w:suppressLineNumbers w:val="0"/>
              <w:spacing w:before="0" w:beforeAutospacing="0" w:after="0" w:afterAutospacing="0"/>
              <w:ind w:left="0" w:right="0"/>
              <w:rPr>
                <w:rFonts w:hint="eastAsia" w:ascii="Calibri" w:hAnsi="Calibri" w:cs="Times New Roman"/>
                <w:color w:val="auto"/>
                <w:highlight w:val="none"/>
              </w:rPr>
            </w:pPr>
            <w:r>
              <w:rPr>
                <w:rFonts w:hint="eastAsia" w:ascii="Calibri" w:hAnsi="Calibri" w:cs="Times New Roman"/>
                <w:color w:val="auto"/>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668" w:type="dxa"/>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default"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lang w:val="en-US" w:eastAsia="zh-CN"/>
              </w:rPr>
              <w:t>1</w:t>
            </w:r>
          </w:p>
        </w:tc>
        <w:tc>
          <w:tcPr>
            <w:tcW w:w="6985" w:type="dxa"/>
            <w:noWrap w:val="0"/>
            <w:vAlign w:val="center"/>
          </w:tcPr>
          <w:p>
            <w:pPr>
              <w:keepNext w:val="0"/>
              <w:keepLines w:val="0"/>
              <w:suppressLineNumbers w:val="0"/>
              <w:adjustRightInd w:val="0"/>
              <w:snapToGrid w:val="0"/>
              <w:spacing w:before="0" w:beforeAutospacing="0" w:after="0" w:afterAutospacing="0"/>
              <w:ind w:left="0" w:right="0"/>
              <w:jc w:val="left"/>
              <w:rPr>
                <w:rFonts w:hint="eastAsia" w:ascii="仿宋" w:hAnsi="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中小企业声明函或监狱企业证明文件或残疾人福利性单位声明函</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noWrap w:val="0"/>
            <w:vAlign w:val="center"/>
          </w:tcPr>
          <w:p>
            <w:pPr>
              <w:keepNext w:val="0"/>
              <w:keepLines w:val="0"/>
              <w:suppressLineNumbers w:val="0"/>
              <w:spacing w:before="0" w:beforeAutospacing="0" w:after="0" w:afterAutospacing="0"/>
              <w:ind w:left="0" w:leftChars="0" w:right="0" w:rightChars="0"/>
              <w:jc w:val="center"/>
              <w:rPr>
                <w:rFonts w:hint="eastAsia" w:ascii="Calibri" w:hAnsi="Calibri" w:eastAsia="仿宋" w:cs="Times New Roman"/>
                <w:color w:val="auto"/>
                <w:kern w:val="2"/>
                <w:sz w:val="21"/>
                <w:szCs w:val="24"/>
                <w:highlight w:val="none"/>
                <w:lang w:val="en-US" w:eastAsia="zh-CN" w:bidi="ar-SA"/>
              </w:rPr>
            </w:pPr>
            <w:bookmarkStart w:id="82" w:name="_Toc24011_WPSOffice_Level2"/>
            <w:bookmarkStart w:id="83" w:name="_Toc23127_WPSOffice_Level2"/>
            <w:r>
              <w:rPr>
                <w:rFonts w:hint="eastAsia" w:ascii="Calibri" w:hAnsi="Calibri" w:cs="Times New Roman"/>
                <w:color w:val="auto"/>
                <w:highlight w:val="none"/>
                <w:lang w:val="en-US" w:eastAsia="zh-CN"/>
              </w:rPr>
              <w:t>2</w:t>
            </w:r>
          </w:p>
        </w:tc>
        <w:tc>
          <w:tcPr>
            <w:tcW w:w="6985" w:type="dxa"/>
            <w:noWrap w:val="0"/>
            <w:vAlign w:val="center"/>
          </w:tcPr>
          <w:p>
            <w:pPr>
              <w:keepNext w:val="0"/>
              <w:keepLines w:val="0"/>
              <w:suppressLineNumbers w:val="0"/>
              <w:spacing w:before="0" w:beforeAutospacing="0" w:after="0" w:afterAutospacing="0"/>
              <w:ind w:left="0" w:leftChars="0" w:right="0" w:rightChars="0"/>
              <w:rPr>
                <w:rFonts w:hint="eastAsia" w:ascii="Calibri" w:hAnsi="Calibri" w:eastAsia="仿宋" w:cs="Times New Roman"/>
                <w:color w:val="auto"/>
                <w:kern w:val="2"/>
                <w:sz w:val="21"/>
                <w:szCs w:val="24"/>
                <w:highlight w:val="none"/>
                <w:lang w:val="en-US" w:eastAsia="zh-CN" w:bidi="ar-SA"/>
              </w:rPr>
            </w:pPr>
            <w:r>
              <w:rPr>
                <w:rFonts w:hint="eastAsia" w:ascii="Calibri" w:hAnsi="Calibri" w:cs="Times New Roman"/>
                <w:color w:val="auto"/>
                <w:highlight w:val="none"/>
              </w:rPr>
              <w:t xml:space="preserve">《品目清单》、国家确定的认证机构出具的、处于有效期之内的《节能产品、环境标志产品认证证书》（非政府强制采购的节能产品可以提供） </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auto"/>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3</w:t>
            </w:r>
          </w:p>
        </w:tc>
        <w:tc>
          <w:tcPr>
            <w:tcW w:w="6985" w:type="dxa"/>
            <w:noWrap w:val="0"/>
            <w:vAlign w:val="center"/>
          </w:tcPr>
          <w:p>
            <w:pPr>
              <w:keepNext w:val="0"/>
              <w:keepLines w:val="0"/>
              <w:suppressLineNumbers w:val="0"/>
              <w:adjustRightInd w:val="0"/>
              <w:snapToGrid w:val="0"/>
              <w:spacing w:before="0" w:beforeAutospacing="0" w:after="0" w:afterAutospacing="0"/>
              <w:ind w:left="25" w:leftChars="12" w:right="0"/>
              <w:rPr>
                <w:rFonts w:hint="default" w:ascii="Calibri" w:hAnsi="Calibri" w:eastAsia="仿宋" w:cs="Times New Roman"/>
                <w:color w:val="auto"/>
                <w:highlight w:val="none"/>
                <w:lang w:val="en-US" w:eastAsia="zh-CN"/>
              </w:rPr>
            </w:pPr>
            <w:r>
              <w:rPr>
                <w:rFonts w:hint="eastAsia" w:ascii="仿宋" w:hAnsi="仿宋" w:cs="仿宋"/>
                <w:color w:val="auto"/>
                <w:szCs w:val="21"/>
                <w:highlight w:val="none"/>
              </w:rPr>
              <w:t>其他材料：</w:t>
            </w:r>
            <w:r>
              <w:rPr>
                <w:rFonts w:hint="eastAsia" w:ascii="仿宋" w:hAnsi="仿宋" w:cs="仿宋"/>
                <w:color w:val="auto"/>
                <w:szCs w:val="21"/>
                <w:highlight w:val="none"/>
                <w:lang w:val="en-US" w:eastAsia="zh-CN"/>
              </w:rPr>
              <w:t>招标</w:t>
            </w:r>
            <w:r>
              <w:rPr>
                <w:rFonts w:hint="eastAsia" w:ascii="仿宋" w:hAnsi="仿宋" w:cs="仿宋"/>
                <w:color w:val="auto"/>
                <w:szCs w:val="21"/>
                <w:highlight w:val="none"/>
              </w:rPr>
              <w:t>文件要求的以及</w:t>
            </w:r>
            <w:r>
              <w:rPr>
                <w:rFonts w:hint="eastAsia" w:ascii="仿宋" w:hAnsi="仿宋" w:cs="仿宋"/>
                <w:color w:val="auto"/>
                <w:szCs w:val="21"/>
                <w:highlight w:val="none"/>
                <w:lang w:val="en-US" w:eastAsia="zh-CN"/>
              </w:rPr>
              <w:t>供应商</w:t>
            </w:r>
            <w:r>
              <w:rPr>
                <w:rFonts w:hint="eastAsia" w:ascii="仿宋" w:hAnsi="仿宋" w:cs="仿宋"/>
                <w:color w:val="auto"/>
                <w:szCs w:val="21"/>
                <w:highlight w:val="none"/>
              </w:rPr>
              <w:t>认为有必要且能证明响应评分细则中各项要求的其它资料（格式自拟）</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4</w:t>
            </w:r>
          </w:p>
        </w:tc>
        <w:tc>
          <w:tcPr>
            <w:tcW w:w="6985" w:type="dxa"/>
            <w:noWrap w:val="0"/>
            <w:vAlign w:val="center"/>
          </w:tcPr>
          <w:p>
            <w:pPr>
              <w:keepNext w:val="0"/>
              <w:keepLines w:val="0"/>
              <w:suppressLineNumbers w:val="0"/>
              <w:adjustRightInd w:val="0"/>
              <w:snapToGrid w:val="0"/>
              <w:spacing w:before="0" w:beforeAutospacing="0" w:after="0" w:afterAutospacing="0"/>
              <w:ind w:left="25" w:leftChars="12" w:right="0"/>
              <w:rPr>
                <w:rFonts w:hint="eastAsia" w:ascii="仿宋" w:hAnsi="仿宋" w:cs="仿宋"/>
                <w:color w:val="auto"/>
                <w:szCs w:val="21"/>
                <w:highlight w:val="none"/>
              </w:rPr>
            </w:pPr>
            <w:r>
              <w:rPr>
                <w:rFonts w:hint="eastAsia" w:ascii="仿宋_GB2312" w:hAnsi="仿宋_GB2312" w:eastAsia="仿宋_GB2312" w:cs="仿宋_GB2312"/>
                <w:color w:val="auto"/>
                <w:szCs w:val="21"/>
                <w:highlight w:val="none"/>
              </w:rPr>
              <w:t>列入《</w:t>
            </w:r>
            <w:r>
              <w:rPr>
                <w:rFonts w:hint="eastAsia" w:ascii="仿宋_GB2312" w:hAnsi="仿宋_GB2312" w:eastAsia="仿宋_GB2312" w:cs="仿宋_GB2312"/>
                <w:color w:val="auto"/>
                <w:szCs w:val="21"/>
                <w:highlight w:val="none"/>
                <w:lang w:eastAsia="zh-CN"/>
              </w:rPr>
              <w:t>创新产品和服务目录</w:t>
            </w:r>
            <w:r>
              <w:rPr>
                <w:rFonts w:hint="eastAsia" w:ascii="仿宋_GB2312" w:hAnsi="仿宋_GB2312" w:eastAsia="仿宋_GB2312" w:cs="仿宋_GB2312"/>
                <w:color w:val="auto"/>
                <w:szCs w:val="21"/>
                <w:highlight w:val="none"/>
              </w:rPr>
              <w:t>》内的产品、服务的证明材料（如适用）</w:t>
            </w:r>
          </w:p>
        </w:tc>
        <w:tc>
          <w:tcPr>
            <w:tcW w:w="756"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lang w:val="en-US" w:eastAsia="zh-CN"/>
              </w:rPr>
            </w:pPr>
          </w:p>
        </w:tc>
      </w:tr>
    </w:tbl>
    <w:p>
      <w:pPr>
        <w:adjustRightInd w:val="0"/>
        <w:snapToGrid w:val="0"/>
        <w:spacing w:line="360" w:lineRule="auto"/>
        <w:ind w:firstLine="482" w:firstLineChars="200"/>
        <w:rPr>
          <w:rFonts w:hint="eastAsia" w:ascii="仿宋" w:hAnsi="仿宋" w:cs="仿宋"/>
          <w:b/>
          <w:color w:val="auto"/>
          <w:sz w:val="24"/>
          <w:highlight w:val="none"/>
        </w:rPr>
      </w:pPr>
      <w:r>
        <w:rPr>
          <w:rFonts w:hint="eastAsia" w:ascii="仿宋" w:hAnsi="仿宋" w:cs="仿宋"/>
          <w:b/>
          <w:color w:val="auto"/>
          <w:sz w:val="24"/>
          <w:highlight w:val="none"/>
        </w:rPr>
        <w:t>重要提示：</w:t>
      </w:r>
      <w:bookmarkEnd w:id="82"/>
      <w:bookmarkEnd w:id="83"/>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提供的证明材料，除需要</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填报或有特殊说明外，均须按要求提供。</w:t>
      </w:r>
      <w:r>
        <w:rPr>
          <w:rFonts w:hint="eastAsia" w:ascii="仿宋" w:hAnsi="仿宋" w:cs="仿宋"/>
          <w:b/>
          <w:bCs/>
          <w:color w:val="auto"/>
          <w:szCs w:val="21"/>
          <w:highlight w:val="none"/>
        </w:rPr>
        <w:t xml:space="preserve"> </w:t>
      </w:r>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在编制投标文件时，对于给定格式的文件内容，必须按照给定的标准格式进行填报；对于没有给定标准格式的文件内容，可以由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自行设计。</w:t>
      </w:r>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hint="eastAsia" w:ascii="仿宋" w:hAnsi="仿宋" w:cs="仿宋"/>
          <w:color w:val="auto"/>
          <w:highlight w:val="none"/>
        </w:rPr>
      </w:pPr>
      <w:r>
        <w:rPr>
          <w:rFonts w:hint="eastAsia" w:ascii="仿宋" w:hAnsi="仿宋" w:cs="仿宋"/>
          <w:color w:val="auto"/>
          <w:szCs w:val="21"/>
          <w:highlight w:val="none"/>
        </w:rPr>
        <w:t>4、</w:t>
      </w:r>
      <w:r>
        <w:rPr>
          <w:rFonts w:hint="eastAsia" w:ascii="仿宋" w:hAnsi="仿宋" w:cs="仿宋"/>
          <w:b/>
          <w:bCs/>
          <w:color w:val="auto"/>
          <w:szCs w:val="21"/>
          <w:highlight w:val="none"/>
        </w:rPr>
        <w:t>“资格证明材料”</w:t>
      </w:r>
      <w:r>
        <w:rPr>
          <w:rFonts w:hint="eastAsia" w:ascii="仿宋" w:hAnsi="仿宋" w:cs="仿宋"/>
          <w:color w:val="auto"/>
          <w:highlight w:val="none"/>
        </w:rPr>
        <w:t>所列内容即为采购项目的资格审查条件，有一项不符合要求，不能进入下一阶段评审。</w:t>
      </w:r>
    </w:p>
    <w:p>
      <w:pPr>
        <w:adjustRightInd w:val="0"/>
        <w:snapToGrid w:val="0"/>
        <w:spacing w:line="360" w:lineRule="auto"/>
        <w:ind w:firstLine="420" w:firstLineChars="200"/>
        <w:rPr>
          <w:rFonts w:hint="eastAsia" w:ascii="仿宋" w:hAnsi="仿宋" w:cs="仿宋"/>
          <w:color w:val="auto"/>
          <w:highlight w:val="none"/>
        </w:rPr>
      </w:pPr>
      <w:r>
        <w:rPr>
          <w:rFonts w:hint="eastAsia" w:ascii="仿宋" w:hAnsi="仿宋" w:cs="仿宋"/>
          <w:color w:val="auto"/>
          <w:highlight w:val="none"/>
        </w:rPr>
        <w:t>5、</w:t>
      </w:r>
      <w:r>
        <w:rPr>
          <w:rFonts w:hint="eastAsia" w:ascii="仿宋" w:hAnsi="仿宋" w:cs="仿宋"/>
          <w:b/>
          <w:bCs/>
          <w:color w:val="auto"/>
          <w:szCs w:val="21"/>
          <w:highlight w:val="none"/>
        </w:rPr>
        <w:t>“符合性证明材料”</w:t>
      </w:r>
      <w:r>
        <w:rPr>
          <w:rFonts w:hint="eastAsia" w:ascii="仿宋" w:hAnsi="仿宋" w:cs="仿宋"/>
          <w:color w:val="auto"/>
          <w:highlight w:val="none"/>
        </w:rPr>
        <w:t>所列内容即为采购项目的符合性审查条件，有一项不符合要求，不能进入下一阶段评审。</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highlight w:val="none"/>
        </w:rPr>
        <w:t>6、</w:t>
      </w:r>
      <w:r>
        <w:rPr>
          <w:rFonts w:hint="eastAsia" w:ascii="仿宋" w:hAnsi="仿宋" w:cs="仿宋"/>
          <w:color w:val="auto"/>
          <w:szCs w:val="21"/>
          <w:highlight w:val="none"/>
        </w:rPr>
        <w:t>“其他材料”</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szCs w:val="21"/>
          <w:highlight w:val="none"/>
        </w:rPr>
        <w:t>（1）</w:t>
      </w:r>
      <w:r>
        <w:rPr>
          <w:rFonts w:hint="eastAsia" w:ascii="仿宋" w:hAnsi="仿宋" w:cs="仿宋"/>
          <w:color w:val="auto"/>
          <w:kern w:val="0"/>
          <w:szCs w:val="21"/>
          <w:highlight w:val="none"/>
        </w:rPr>
        <w:t>综合评分法：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可就</w:t>
      </w:r>
      <w:r>
        <w:rPr>
          <w:rFonts w:hint="eastAsia" w:ascii="仿宋" w:hAnsi="仿宋" w:cs="仿宋"/>
          <w:color w:val="auto"/>
          <w:kern w:val="0"/>
          <w:szCs w:val="21"/>
          <w:highlight w:val="none"/>
        </w:rPr>
        <w:t>招标文件要求以及评分细则中各项要求提供相应材料。</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szCs w:val="21"/>
          <w:highlight w:val="none"/>
        </w:rPr>
        <w:t>（2）</w:t>
      </w:r>
      <w:r>
        <w:rPr>
          <w:rFonts w:hint="eastAsia" w:ascii="仿宋" w:hAnsi="仿宋" w:cs="仿宋"/>
          <w:color w:val="auto"/>
          <w:kern w:val="0"/>
          <w:szCs w:val="21"/>
          <w:highlight w:val="none"/>
        </w:rPr>
        <w:t>最低评标价法：</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可就</w:t>
      </w:r>
      <w:r>
        <w:rPr>
          <w:rFonts w:hint="eastAsia" w:ascii="仿宋" w:hAnsi="仿宋" w:cs="仿宋"/>
          <w:color w:val="auto"/>
          <w:kern w:val="0"/>
          <w:szCs w:val="21"/>
          <w:highlight w:val="none"/>
        </w:rPr>
        <w:t>招标文件要求提供相应材料。</w:t>
      </w:r>
    </w:p>
    <w:p>
      <w:pPr>
        <w:snapToGrid w:val="0"/>
        <w:spacing w:line="276" w:lineRule="auto"/>
        <w:ind w:firstLine="420" w:firstLineChars="200"/>
        <w:jc w:val="left"/>
        <w:rPr>
          <w:rFonts w:hint="eastAsia" w:ascii="仿宋" w:hAnsi="仿宋" w:cs="仿宋"/>
          <w:color w:val="auto"/>
          <w:szCs w:val="21"/>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w:t>
      </w:r>
    </w:p>
    <w:p>
      <w:pPr>
        <w:jc w:val="center"/>
        <w:rPr>
          <w:rFonts w:hint="eastAsia" w:ascii="仿宋" w:hAnsi="仿宋" w:cs="仿宋"/>
          <w:b/>
          <w:bCs/>
          <w:color w:val="auto"/>
          <w:sz w:val="32"/>
          <w:szCs w:val="32"/>
          <w:highlight w:val="none"/>
        </w:rPr>
      </w:pPr>
      <w:bookmarkStart w:id="84" w:name="_Toc21090_WPSOffice_Level2"/>
      <w:bookmarkStart w:id="85" w:name="_Toc26322_WPSOffice_Level2"/>
      <w:r>
        <w:rPr>
          <w:rFonts w:hint="eastAsia" w:ascii="仿宋" w:hAnsi="仿宋" w:cs="仿宋"/>
          <w:b/>
          <w:bCs/>
          <w:color w:val="auto"/>
          <w:sz w:val="32"/>
          <w:szCs w:val="32"/>
          <w:highlight w:val="none"/>
        </w:rPr>
        <w:t>投标文件、电子文档外封面、封口格式</w:t>
      </w:r>
      <w:bookmarkEnd w:id="84"/>
      <w:bookmarkEnd w:id="85"/>
    </w:p>
    <w:p>
      <w:pPr>
        <w:rPr>
          <w:rFonts w:hint="eastAsia" w:ascii="仿宋" w:hAnsi="仿宋" w:cs="仿宋"/>
          <w:color w:val="auto"/>
          <w:highlight w:val="none"/>
        </w:rPr>
      </w:pPr>
      <w:r>
        <w:rPr>
          <w:rFonts w:hint="eastAsia" w:ascii="仿宋" w:hAnsi="仿宋" w:cs="仿宋"/>
          <w:color w:val="auto"/>
          <w:sz w:val="28"/>
          <w:szCs w:val="28"/>
          <w:highlight w:val="none"/>
        </w:rPr>
        <w:t>封面格式：</w:t>
      </w:r>
    </w:p>
    <w:tbl>
      <w:tblPr>
        <w:tblStyle w:val="23"/>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pPr>
              <w:keepNext w:val="0"/>
              <w:keepLines w:val="0"/>
              <w:suppressLineNumbers w:val="0"/>
              <w:spacing w:before="0" w:beforeAutospacing="0" w:after="0" w:afterAutospacing="0"/>
              <w:ind w:left="0" w:right="0"/>
              <w:jc w:val="center"/>
              <w:rPr>
                <w:rFonts w:hint="eastAsia" w:ascii="仿宋" w:hAnsi="仿宋" w:cs="仿宋"/>
                <w:b/>
                <w:bCs/>
                <w:color w:val="auto"/>
                <w:highlight w:val="none"/>
              </w:rPr>
            </w:pPr>
          </w:p>
          <w:p>
            <w:pPr>
              <w:keepNext w:val="0"/>
              <w:keepLines w:val="0"/>
              <w:suppressLineNumbers w:val="0"/>
              <w:spacing w:before="0" w:beforeAutospacing="0" w:after="0" w:afterAutospacing="0"/>
              <w:ind w:left="0" w:right="0"/>
              <w:jc w:val="center"/>
              <w:rPr>
                <w:rFonts w:hint="eastAsia" w:ascii="仿宋" w:hAnsi="仿宋" w:cs="仿宋"/>
                <w:b/>
                <w:bCs/>
                <w:color w:val="auto"/>
                <w:highlight w:val="none"/>
              </w:rPr>
            </w:pPr>
            <w:r>
              <w:rPr>
                <w:rFonts w:hint="eastAsia" w:ascii="仿宋" w:hAnsi="仿宋" w:cs="仿宋"/>
                <w:b/>
                <w:bCs/>
                <w:color w:val="auto"/>
                <w:sz w:val="44"/>
                <w:szCs w:val="52"/>
                <w:highlight w:val="none"/>
              </w:rPr>
              <w:t>投标文件/电子文档</w:t>
            </w: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highlight w:val="none"/>
              </w:rPr>
              <w:t>所投包号：第  包</w:t>
            </w: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highlight w:val="none"/>
              </w:rPr>
              <w:t>项目名称：</w:t>
            </w: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highlight w:val="none"/>
              </w:rPr>
              <w:t>项目编号：</w:t>
            </w:r>
          </w:p>
          <w:p>
            <w:pPr>
              <w:keepNext w:val="0"/>
              <w:keepLines w:val="0"/>
              <w:suppressLineNumbers w:val="0"/>
              <w:spacing w:before="0" w:beforeAutospacing="0" w:after="0" w:afterAutospacing="0"/>
              <w:ind w:left="0" w:right="0"/>
              <w:jc w:val="center"/>
              <w:rPr>
                <w:rFonts w:hint="eastAsia" w:ascii="仿宋" w:hAnsi="仿宋" w:cs="仿宋"/>
                <w:color w:val="auto"/>
                <w:highlight w:val="none"/>
              </w:rPr>
            </w:pPr>
          </w:p>
          <w:p>
            <w:pPr>
              <w:keepNext w:val="0"/>
              <w:keepLines w:val="0"/>
              <w:suppressLineNumbers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p>
        </w:tc>
      </w:tr>
    </w:tbl>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r>
        <w:rPr>
          <w:rFonts w:hint="eastAsia" w:ascii="仿宋" w:hAnsi="仿宋" w:cs="仿宋"/>
          <w:color w:val="auto"/>
          <w:sz w:val="24"/>
          <w:szCs w:val="32"/>
          <w:highlight w:val="none"/>
        </w:rPr>
        <w:t>封口格式：</w:t>
      </w:r>
    </w:p>
    <w:tbl>
      <w:tblPr>
        <w:tblStyle w:val="23"/>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——于   年  月  日   时之前不准启封（公章）——</w:t>
            </w:r>
          </w:p>
        </w:tc>
      </w:tr>
    </w:tbl>
    <w:p>
      <w:pPr>
        <w:rPr>
          <w:rFonts w:hint="eastAsia" w:ascii="仿宋" w:hAnsi="仿宋" w:cs="仿宋"/>
          <w:color w:val="auto"/>
          <w:highlight w:val="none"/>
        </w:rPr>
      </w:pP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格式2</w:t>
      </w:r>
    </w:p>
    <w:p>
      <w:pPr>
        <w:jc w:val="center"/>
        <w:rPr>
          <w:rFonts w:hint="eastAsia" w:ascii="仿宋" w:hAnsi="仿宋" w:cs="仿宋"/>
          <w:b/>
          <w:bCs/>
          <w:color w:val="auto"/>
          <w:sz w:val="32"/>
          <w:szCs w:val="32"/>
          <w:highlight w:val="none"/>
        </w:rPr>
      </w:pPr>
      <w:r>
        <w:rPr>
          <w:rFonts w:hint="eastAsia" w:ascii="仿宋" w:hAnsi="仿宋" w:cs="仿宋"/>
          <w:color w:val="auto"/>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cs="仿宋"/>
          <w:b/>
          <w:bCs/>
          <w:color w:val="auto"/>
          <w:sz w:val="32"/>
          <w:szCs w:val="32"/>
          <w:highlight w:val="none"/>
        </w:rPr>
        <w:t>投标文件的封皮</w:t>
      </w: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jc w:val="center"/>
        <w:rPr>
          <w:rFonts w:hint="eastAsia" w:ascii="仿宋" w:hAnsi="仿宋" w:cs="仿宋"/>
          <w:b/>
          <w:bCs/>
          <w:color w:val="auto"/>
          <w:sz w:val="52"/>
          <w:szCs w:val="52"/>
          <w:highlight w:val="none"/>
        </w:rPr>
      </w:pPr>
      <w:r>
        <w:rPr>
          <w:rFonts w:hint="eastAsia" w:ascii="仿宋" w:hAnsi="仿宋" w:cs="仿宋"/>
          <w:b/>
          <w:bCs/>
          <w:color w:val="auto"/>
          <w:sz w:val="52"/>
          <w:szCs w:val="52"/>
          <w:highlight w:val="none"/>
        </w:rPr>
        <w:t>投  标  文  件</w:t>
      </w: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sz w:val="28"/>
          <w:szCs w:val="28"/>
          <w:highlight w:val="none"/>
        </w:rPr>
      </w:pPr>
    </w:p>
    <w:p>
      <w:pPr>
        <w:rPr>
          <w:rFonts w:hint="eastAsia" w:ascii="仿宋" w:hAnsi="仿宋" w:cs="仿宋"/>
          <w:color w:val="auto"/>
          <w:sz w:val="28"/>
          <w:szCs w:val="28"/>
          <w:highlight w:val="none"/>
        </w:rPr>
      </w:pPr>
    </w:p>
    <w:p>
      <w:pPr>
        <w:rPr>
          <w:rFonts w:hint="eastAsia" w:ascii="仿宋" w:hAnsi="仿宋" w:cs="仿宋"/>
          <w:color w:val="auto"/>
          <w:sz w:val="28"/>
          <w:szCs w:val="28"/>
          <w:highlight w:val="none"/>
        </w:rPr>
      </w:pPr>
    </w:p>
    <w:p>
      <w:pPr>
        <w:rPr>
          <w:rFonts w:hint="eastAsia" w:ascii="仿宋" w:hAnsi="仿宋" w:cs="仿宋"/>
          <w:color w:val="auto"/>
          <w:sz w:val="28"/>
          <w:szCs w:val="28"/>
          <w:highlight w:val="none"/>
        </w:rPr>
      </w:pPr>
      <w:r>
        <w:rPr>
          <w:rFonts w:hint="eastAsia" w:ascii="仿宋" w:hAnsi="仿宋" w:cs="仿宋"/>
          <w:color w:val="auto"/>
          <w:sz w:val="28"/>
          <w:szCs w:val="28"/>
          <w:highlight w:val="none"/>
        </w:rPr>
        <w:t>所投包号：第  包</w:t>
      </w:r>
    </w:p>
    <w:p>
      <w:pPr>
        <w:rPr>
          <w:rFonts w:hint="eastAsia" w:ascii="仿宋" w:hAnsi="仿宋" w:cs="仿宋"/>
          <w:color w:val="auto"/>
          <w:sz w:val="28"/>
          <w:szCs w:val="28"/>
          <w:highlight w:val="none"/>
        </w:rPr>
      </w:pPr>
      <w:r>
        <w:rPr>
          <w:rFonts w:hint="eastAsia" w:ascii="仿宋" w:hAnsi="仿宋" w:cs="仿宋"/>
          <w:color w:val="auto"/>
          <w:sz w:val="28"/>
          <w:szCs w:val="28"/>
          <w:highlight w:val="none"/>
        </w:rPr>
        <w:t>项目名称：</w:t>
      </w:r>
    </w:p>
    <w:p>
      <w:pPr>
        <w:rPr>
          <w:rFonts w:hint="eastAsia" w:ascii="仿宋" w:hAnsi="仿宋" w:cs="仿宋"/>
          <w:color w:val="auto"/>
          <w:sz w:val="28"/>
          <w:szCs w:val="28"/>
          <w:highlight w:val="none"/>
        </w:rPr>
      </w:pPr>
      <w:r>
        <w:rPr>
          <w:rFonts w:hint="eastAsia" w:ascii="仿宋" w:hAnsi="仿宋" w:cs="仿宋"/>
          <w:color w:val="auto"/>
          <w:sz w:val="28"/>
          <w:szCs w:val="28"/>
          <w:highlight w:val="none"/>
        </w:rPr>
        <w:t>项目编号：</w:t>
      </w:r>
    </w:p>
    <w:p>
      <w:pPr>
        <w:rPr>
          <w:rFonts w:hint="eastAsia" w:ascii="仿宋" w:hAnsi="仿宋" w:cs="仿宋"/>
          <w:color w:val="auto"/>
          <w:sz w:val="28"/>
          <w:szCs w:val="28"/>
          <w:highlight w:val="none"/>
        </w:rPr>
      </w:pPr>
      <w:r>
        <w:rPr>
          <w:rFonts w:hint="eastAsia" w:ascii="仿宋" w:hAnsi="仿宋" w:cs="仿宋"/>
          <w:color w:val="auto"/>
          <w:sz w:val="28"/>
          <w:szCs w:val="28"/>
          <w:highlight w:val="none"/>
          <w:lang w:eastAsia="zh-CN"/>
        </w:rPr>
        <w:t>供应商</w:t>
      </w:r>
      <w:r>
        <w:rPr>
          <w:rFonts w:hint="eastAsia" w:ascii="仿宋" w:hAnsi="仿宋" w:cs="仿宋"/>
          <w:color w:val="auto"/>
          <w:sz w:val="28"/>
          <w:szCs w:val="28"/>
          <w:highlight w:val="none"/>
        </w:rPr>
        <w:t>名称 ：</w:t>
      </w: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格式3-1</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bookmarkStart w:id="86" w:name="_Toc2304_WPSOffice_Level2"/>
      <w:bookmarkStart w:id="87" w:name="_Toc21414_WPSOffice_Level2"/>
      <w:r>
        <w:rPr>
          <w:rFonts w:hint="eastAsia" w:ascii="仿宋" w:hAnsi="仿宋" w:cs="仿宋"/>
          <w:b/>
          <w:color w:val="auto"/>
          <w:sz w:val="32"/>
          <w:szCs w:val="32"/>
          <w:highlight w:val="none"/>
        </w:rPr>
        <w:t>目  录</w:t>
      </w:r>
      <w:bookmarkEnd w:id="86"/>
      <w:bookmarkEnd w:id="87"/>
    </w:p>
    <w:p>
      <w:pPr>
        <w:rPr>
          <w:rFonts w:hint="eastAsia" w:ascii="仿宋" w:hAnsi="仿宋" w:cs="仿宋"/>
          <w:color w:val="auto"/>
          <w:highlight w:val="none"/>
        </w:rPr>
      </w:pPr>
      <w:bookmarkStart w:id="88" w:name="_Toc30940_WPSOffice_Level2"/>
      <w:bookmarkStart w:id="89" w:name="_Toc7636_WPSOffice_Level2"/>
      <w:r>
        <w:rPr>
          <w:rFonts w:hint="eastAsia" w:ascii="仿宋" w:hAnsi="仿宋" w:cs="仿宋"/>
          <w:color w:val="auto"/>
          <w:highlight w:val="none"/>
        </w:rPr>
        <w:t>一、资格证明材料</w:t>
      </w:r>
      <w:bookmarkEnd w:id="88"/>
      <w:bookmarkEnd w:id="89"/>
    </w:p>
    <w:p>
      <w:pPr>
        <w:rPr>
          <w:rFonts w:hint="eastAsia" w:ascii="仿宋" w:hAnsi="仿宋" w:cs="仿宋"/>
          <w:color w:val="auto"/>
          <w:highlight w:val="none"/>
        </w:rPr>
      </w:pPr>
      <w:r>
        <w:rPr>
          <w:rFonts w:hint="eastAsia" w:ascii="仿宋" w:hAnsi="仿宋" w:cs="仿宋"/>
          <w:color w:val="auto"/>
          <w:highlight w:val="none"/>
        </w:rPr>
        <w:t>……</w:t>
      </w:r>
    </w:p>
    <w:p>
      <w:pPr>
        <w:rPr>
          <w:rFonts w:hint="eastAsia" w:ascii="仿宋" w:hAnsi="仿宋" w:cs="仿宋"/>
          <w:color w:val="auto"/>
          <w:highlight w:val="none"/>
        </w:rPr>
      </w:pPr>
      <w:bookmarkStart w:id="90" w:name="_Toc31702_WPSOffice_Level2"/>
      <w:bookmarkStart w:id="91" w:name="_Toc13950_WPSOffice_Level2"/>
      <w:r>
        <w:rPr>
          <w:rFonts w:hint="eastAsia" w:ascii="仿宋" w:hAnsi="仿宋" w:cs="仿宋"/>
          <w:color w:val="auto"/>
          <w:highlight w:val="none"/>
        </w:rPr>
        <w:t>二、符合性证明材料</w:t>
      </w:r>
      <w:bookmarkEnd w:id="90"/>
      <w:bookmarkEnd w:id="91"/>
    </w:p>
    <w:p>
      <w:pPr>
        <w:rPr>
          <w:rFonts w:hint="eastAsia" w:ascii="仿宋" w:hAnsi="仿宋" w:cs="仿宋"/>
          <w:color w:val="auto"/>
          <w:highlight w:val="none"/>
        </w:rPr>
      </w:pPr>
      <w:r>
        <w:rPr>
          <w:rFonts w:hint="eastAsia" w:ascii="仿宋" w:hAnsi="仿宋" w:cs="仿宋"/>
          <w:color w:val="auto"/>
          <w:highlight w:val="none"/>
        </w:rPr>
        <w:t>……</w:t>
      </w:r>
    </w:p>
    <w:p>
      <w:pPr>
        <w:rPr>
          <w:rFonts w:hint="eastAsia" w:ascii="仿宋" w:hAnsi="仿宋" w:cs="仿宋"/>
          <w:color w:val="auto"/>
          <w:highlight w:val="none"/>
        </w:rPr>
      </w:pPr>
      <w:bookmarkStart w:id="92" w:name="_Toc9090_WPSOffice_Level2"/>
      <w:bookmarkStart w:id="93" w:name="_Toc14854_WPSOffice_Level2"/>
      <w:r>
        <w:rPr>
          <w:rFonts w:hint="eastAsia" w:ascii="仿宋" w:hAnsi="仿宋" w:cs="仿宋"/>
          <w:color w:val="auto"/>
          <w:highlight w:val="none"/>
        </w:rPr>
        <w:t>三、其它材料</w:t>
      </w:r>
      <w:bookmarkEnd w:id="92"/>
      <w:bookmarkEnd w:id="93"/>
    </w:p>
    <w:p>
      <w:pPr>
        <w:rPr>
          <w:rFonts w:hint="eastAsia" w:ascii="仿宋" w:hAnsi="仿宋" w:cs="仿宋"/>
          <w:color w:val="auto"/>
          <w:szCs w:val="21"/>
          <w:highlight w:val="none"/>
        </w:rPr>
      </w:pPr>
      <w:r>
        <w:rPr>
          <w:rFonts w:hint="eastAsia" w:ascii="仿宋" w:hAnsi="仿宋" w:cs="仿宋"/>
          <w:color w:val="auto"/>
          <w:szCs w:val="21"/>
          <w:highlight w:val="none"/>
        </w:rPr>
        <w:t>……</w:t>
      </w:r>
    </w:p>
    <w:p>
      <w:pPr>
        <w:rPr>
          <w:rFonts w:hint="eastAsia" w:ascii="仿宋" w:hAnsi="仿宋" w:cs="仿宋"/>
          <w:color w:val="auto"/>
          <w:szCs w:val="21"/>
          <w:highlight w:val="none"/>
        </w:rPr>
      </w:pPr>
    </w:p>
    <w:p>
      <w:pPr>
        <w:rPr>
          <w:rFonts w:hint="eastAsia" w:ascii="仿宋" w:hAnsi="仿宋" w:cs="仿宋"/>
          <w:color w:val="auto"/>
          <w:szCs w:val="21"/>
          <w:highlight w:val="none"/>
        </w:rPr>
      </w:pPr>
    </w:p>
    <w:p>
      <w:pPr>
        <w:rPr>
          <w:rFonts w:hint="eastAsia" w:ascii="仿宋" w:hAnsi="仿宋" w:cs="仿宋"/>
          <w:color w:val="auto"/>
          <w:szCs w:val="21"/>
          <w:highlight w:val="none"/>
        </w:rPr>
      </w:pPr>
    </w:p>
    <w:p>
      <w:pPr>
        <w:adjustRightInd w:val="0"/>
        <w:snapToGrid w:val="0"/>
        <w:spacing w:line="360" w:lineRule="auto"/>
        <w:ind w:firstLine="420" w:firstLineChars="200"/>
        <w:rPr>
          <w:rFonts w:hint="eastAsia" w:ascii="仿宋" w:hAnsi="仿宋" w:cs="仿宋"/>
          <w:color w:val="auto"/>
          <w:highlight w:val="none"/>
        </w:rPr>
      </w:pPr>
      <w:r>
        <w:rPr>
          <w:rFonts w:hint="eastAsia" w:ascii="仿宋" w:hAnsi="仿宋" w:cs="仿宋"/>
          <w:color w:val="auto"/>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其授权委托人(签字或盖章)：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highlight w:val="none"/>
        </w:rPr>
        <w:br w:type="page"/>
      </w:r>
      <w:r>
        <w:rPr>
          <w:rFonts w:hint="eastAsia" w:ascii="仿宋" w:hAnsi="仿宋" w:cs="仿宋"/>
          <w:color w:val="auto"/>
          <w:szCs w:val="28"/>
          <w:highlight w:val="none"/>
        </w:rPr>
        <w:t>格式3-2</w:t>
      </w:r>
    </w:p>
    <w:p>
      <w:pPr>
        <w:rPr>
          <w:rFonts w:hint="eastAsia" w:ascii="仿宋" w:hAnsi="仿宋" w:cs="仿宋"/>
          <w:color w:val="auto"/>
          <w:szCs w:val="28"/>
          <w:highlight w:val="none"/>
        </w:rPr>
      </w:pPr>
    </w:p>
    <w:p>
      <w:pPr>
        <w:pStyle w:val="2"/>
        <w:ind w:left="63" w:right="63"/>
        <w:jc w:val="center"/>
        <w:rPr>
          <w:rFonts w:hint="eastAsia" w:ascii="仿宋" w:hAnsi="仿宋" w:cs="仿宋"/>
          <w:b/>
          <w:bCs/>
          <w:color w:val="auto"/>
          <w:sz w:val="28"/>
          <w:szCs w:val="28"/>
          <w:highlight w:val="none"/>
        </w:rPr>
      </w:pPr>
      <w:r>
        <w:rPr>
          <w:rFonts w:hint="eastAsia" w:ascii="仿宋" w:hAnsi="仿宋" w:cs="仿宋"/>
          <w:b/>
          <w:bCs/>
          <w:color w:val="auto"/>
          <w:sz w:val="28"/>
          <w:szCs w:val="28"/>
          <w:highlight w:val="none"/>
        </w:rPr>
        <w:t>评分索引表</w:t>
      </w:r>
    </w:p>
    <w:p>
      <w:pPr>
        <w:rPr>
          <w:rFonts w:hint="eastAsia" w:ascii="仿宋" w:hAnsi="仿宋" w:cs="仿宋"/>
          <w:color w:val="auto"/>
          <w:highlight w:val="none"/>
        </w:rPr>
      </w:pPr>
    </w:p>
    <w:tbl>
      <w:tblPr>
        <w:tblStyle w:val="23"/>
        <w:tblW w:w="883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5"/>
        <w:gridCol w:w="115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675" w:type="dxa"/>
            <w:noWrap w:val="0"/>
            <w:vAlign w:val="center"/>
          </w:tcPr>
          <w:p>
            <w:pPr>
              <w:keepNext w:val="0"/>
              <w:keepLines w:val="0"/>
              <w:suppressLineNumbers w:val="0"/>
              <w:spacing w:before="60" w:beforeAutospacing="0" w:after="60" w:afterAutospacing="0"/>
              <w:ind w:left="0" w:right="0"/>
              <w:jc w:val="center"/>
              <w:rPr>
                <w:rFonts w:hint="eastAsia" w:ascii="仿宋" w:hAnsi="仿宋" w:cs="仿宋"/>
                <w:color w:val="auto"/>
                <w:highlight w:val="none"/>
              </w:rPr>
            </w:pPr>
            <w:r>
              <w:rPr>
                <w:rFonts w:hint="eastAsia" w:ascii="仿宋" w:hAnsi="仿宋" w:cs="仿宋"/>
                <w:color w:val="auto"/>
                <w:highlight w:val="none"/>
              </w:rPr>
              <w:t>评分标准</w:t>
            </w:r>
          </w:p>
        </w:tc>
        <w:tc>
          <w:tcPr>
            <w:tcW w:w="1159" w:type="dxa"/>
            <w:noWrap w:val="0"/>
            <w:vAlign w:val="center"/>
          </w:tcPr>
          <w:p>
            <w:pPr>
              <w:keepNext w:val="0"/>
              <w:keepLines w:val="0"/>
              <w:suppressLineNumbers w:val="0"/>
              <w:spacing w:before="60" w:beforeAutospacing="0" w:after="60" w:afterAutospacing="0"/>
              <w:ind w:left="0" w:right="0"/>
              <w:jc w:val="center"/>
              <w:rPr>
                <w:rFonts w:hint="eastAsia" w:ascii="仿宋" w:hAnsi="仿宋" w:cs="仿宋"/>
                <w:color w:val="auto"/>
                <w:highlight w:val="none"/>
              </w:rPr>
            </w:pPr>
            <w:r>
              <w:rPr>
                <w:rFonts w:hint="eastAsia" w:ascii="仿宋" w:hAnsi="仿宋" w:cs="仿宋"/>
                <w:color w:val="auto"/>
                <w:highlight w:val="none"/>
              </w:rPr>
              <w:t>证明材料所在页码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c>
          <w:tcPr>
            <w:tcW w:w="1159" w:type="dxa"/>
            <w:noWrap w:val="0"/>
            <w:vAlign w:val="top"/>
          </w:tcPr>
          <w:p>
            <w:pPr>
              <w:keepNext w:val="0"/>
              <w:keepLines w:val="0"/>
              <w:suppressLineNumbers w:val="0"/>
              <w:spacing w:before="60" w:beforeAutospacing="0" w:after="60" w:afterAutospacing="0"/>
              <w:ind w:left="0" w:right="0"/>
              <w:rPr>
                <w:rFonts w:hint="eastAsia" w:ascii="仿宋" w:hAnsi="仿宋" w:cs="仿宋"/>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noWrap w:val="0"/>
            <w:vAlign w:val="top"/>
          </w:tcPr>
          <w:p>
            <w:pPr>
              <w:keepNext w:val="0"/>
              <w:keepLines w:val="0"/>
              <w:suppressLineNumbers w:val="0"/>
              <w:spacing w:before="60" w:beforeAutospacing="0" w:after="60" w:afterAutospacing="0"/>
              <w:ind w:left="0" w:right="0"/>
              <w:jc w:val="center"/>
              <w:rPr>
                <w:rFonts w:hint="eastAsia" w:ascii="仿宋" w:hAnsi="仿宋" w:cs="仿宋"/>
                <w:color w:val="auto"/>
                <w:highlight w:val="none"/>
              </w:rPr>
            </w:pPr>
            <w:r>
              <w:rPr>
                <w:rFonts w:hint="eastAsia" w:ascii="仿宋" w:hAnsi="仿宋" w:cs="仿宋"/>
                <w:color w:val="auto"/>
                <w:highlight w:val="none"/>
              </w:rPr>
              <w:t>...</w:t>
            </w:r>
          </w:p>
        </w:tc>
        <w:tc>
          <w:tcPr>
            <w:tcW w:w="1159" w:type="dxa"/>
            <w:noWrap w:val="0"/>
            <w:vAlign w:val="top"/>
          </w:tcPr>
          <w:p>
            <w:pPr>
              <w:keepNext w:val="0"/>
              <w:keepLines w:val="0"/>
              <w:suppressLineNumbers w:val="0"/>
              <w:spacing w:before="60" w:beforeAutospacing="0" w:after="60" w:afterAutospacing="0"/>
              <w:ind w:left="0" w:right="0"/>
              <w:jc w:val="center"/>
              <w:rPr>
                <w:rFonts w:hint="eastAsia" w:ascii="仿宋" w:hAnsi="仿宋" w:cs="仿宋"/>
                <w:color w:val="auto"/>
                <w:highlight w:val="none"/>
              </w:rPr>
            </w:pPr>
            <w:r>
              <w:rPr>
                <w:rFonts w:hint="eastAsia" w:ascii="仿宋" w:hAnsi="仿宋" w:cs="仿宋"/>
                <w:color w:val="auto"/>
                <w:highlight w:val="none"/>
              </w:rPr>
              <w:t>...</w:t>
            </w:r>
          </w:p>
        </w:tc>
      </w:tr>
    </w:tbl>
    <w:p>
      <w:pPr>
        <w:pStyle w:val="38"/>
        <w:ind w:firstLine="480"/>
        <w:rPr>
          <w:rFonts w:hint="eastAsia" w:ascii="仿宋" w:hAnsi="仿宋" w:eastAsia="仿宋" w:cs="仿宋"/>
          <w:color w:val="auto"/>
          <w:highlight w:val="none"/>
        </w:rPr>
        <w:sectPr>
          <w:pgSz w:w="11906" w:h="16838"/>
          <w:pgMar w:top="1440" w:right="1797" w:bottom="1440" w:left="1797" w:header="851" w:footer="992" w:gutter="0"/>
          <w:cols w:space="720" w:num="1"/>
          <w:docGrid w:type="lines" w:linePitch="312" w:charSpace="0"/>
        </w:sectPr>
      </w:pP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格式4</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bookmarkStart w:id="94" w:name="_Toc3401_WPSOffice_Level2"/>
      <w:bookmarkStart w:id="95" w:name="_Toc16924_WPSOffice_Level2"/>
      <w:r>
        <w:rPr>
          <w:rFonts w:hint="eastAsia" w:ascii="仿宋" w:hAnsi="仿宋" w:cs="仿宋"/>
          <w:b/>
          <w:color w:val="auto"/>
          <w:sz w:val="32"/>
          <w:szCs w:val="32"/>
          <w:highlight w:val="none"/>
        </w:rPr>
        <w:t>法定代表人（或非法人组织负责人）身份证明书</w:t>
      </w:r>
      <w:bookmarkEnd w:id="94"/>
      <w:bookmarkEnd w:id="95"/>
    </w:p>
    <w:p>
      <w:pPr>
        <w:spacing w:line="360" w:lineRule="auto"/>
        <w:ind w:firstLine="840" w:firstLineChars="400"/>
        <w:rPr>
          <w:rFonts w:hint="eastAsia" w:ascii="仿宋" w:hAnsi="仿宋" w:cs="仿宋"/>
          <w:color w:val="auto"/>
          <w:szCs w:val="21"/>
          <w:highlight w:val="none"/>
        </w:rPr>
      </w:pPr>
      <w:r>
        <w:rPr>
          <w:rFonts w:hint="eastAsia" w:ascii="仿宋" w:hAnsi="仿宋" w:cs="仿宋"/>
          <w:color w:val="auto"/>
          <w:szCs w:val="21"/>
          <w:highlight w:val="none"/>
        </w:rPr>
        <w:t>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，性别：</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，出生日期：</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，现任职务：</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，系</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名称）的法定代表人（或非法人组织负责人）。</w:t>
      </w:r>
    </w:p>
    <w:p>
      <w:pPr>
        <w:rPr>
          <w:rFonts w:hint="eastAsia" w:ascii="仿宋" w:hAnsi="仿宋" w:cs="仿宋"/>
          <w:color w:val="auto"/>
          <w:szCs w:val="21"/>
          <w:highlight w:val="none"/>
        </w:rPr>
      </w:pPr>
    </w:p>
    <w:p>
      <w:pPr>
        <w:rPr>
          <w:rFonts w:hint="eastAsia" w:ascii="仿宋" w:hAnsi="仿宋" w:cs="仿宋"/>
          <w:color w:val="auto"/>
          <w:szCs w:val="21"/>
          <w:highlight w:val="none"/>
        </w:rPr>
      </w:pPr>
      <w:r>
        <w:rPr>
          <w:rFonts w:hint="eastAsia" w:ascii="仿宋" w:hAnsi="仿宋" w:cs="仿宋"/>
          <w:color w:val="auto"/>
          <w:szCs w:val="21"/>
          <w:highlight w:val="none"/>
        </w:rPr>
        <w:t>特此证明。</w:t>
      </w:r>
    </w:p>
    <w:p>
      <w:pPr>
        <w:rPr>
          <w:rFonts w:hint="eastAsia" w:ascii="仿宋" w:hAnsi="仿宋" w:cs="仿宋"/>
          <w:color w:val="auto"/>
          <w:szCs w:val="21"/>
          <w:highlight w:val="none"/>
        </w:rPr>
      </w:pPr>
    </w:p>
    <w:p>
      <w:pPr>
        <w:rPr>
          <w:rFonts w:hint="eastAsia" w:ascii="仿宋" w:hAnsi="仿宋" w:cs="仿宋"/>
          <w:color w:val="auto"/>
          <w:szCs w:val="21"/>
          <w:highlight w:val="none"/>
        </w:rPr>
      </w:pPr>
    </w:p>
    <w:p>
      <w:pPr>
        <w:rPr>
          <w:rFonts w:hint="eastAsia" w:ascii="仿宋" w:hAnsi="仿宋" w:cs="仿宋"/>
          <w:color w:val="auto"/>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（※法定代表人（或非法人组织负责人）身份证正、反面复印件※）</w:t>
            </w:r>
          </w:p>
        </w:tc>
      </w:tr>
    </w:tbl>
    <w:p>
      <w:pPr>
        <w:rPr>
          <w:rFonts w:hint="eastAsia" w:ascii="仿宋" w:hAnsi="仿宋" w:cs="仿宋"/>
          <w:color w:val="auto"/>
          <w:szCs w:val="21"/>
          <w:highlight w:val="none"/>
        </w:rPr>
      </w:pPr>
    </w:p>
    <w:p>
      <w:pPr>
        <w:spacing w:line="480" w:lineRule="auto"/>
        <w:rPr>
          <w:rFonts w:hint="eastAsia" w:ascii="仿宋" w:hAnsi="仿宋" w:cs="仿宋"/>
          <w:color w:val="auto"/>
          <w:highlight w:val="none"/>
          <w:u w:val="singl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rPr>
          <w:rFonts w:hint="eastAsia" w:ascii="仿宋" w:hAnsi="仿宋" w:cs="仿宋"/>
          <w:color w:val="auto"/>
          <w:highlight w:val="none"/>
        </w:rPr>
      </w:pPr>
    </w:p>
    <w:p>
      <w:pPr>
        <w:rPr>
          <w:rFonts w:hint="eastAsia" w:ascii="仿宋" w:hAnsi="仿宋" w:cs="仿宋"/>
          <w:color w:val="auto"/>
          <w:szCs w:val="21"/>
          <w:highlight w:val="none"/>
        </w:rPr>
      </w:pPr>
    </w:p>
    <w:p>
      <w:pPr>
        <w:pStyle w:val="5"/>
        <w:adjustRightInd w:val="0"/>
        <w:snapToGrid w:val="0"/>
        <w:spacing w:before="0" w:after="0" w:line="240" w:lineRule="auto"/>
        <w:jc w:val="left"/>
        <w:rPr>
          <w:rFonts w:hint="eastAsia" w:ascii="仿宋" w:hAnsi="仿宋" w:cs="仿宋"/>
          <w:b w:val="0"/>
          <w:bCs/>
          <w:color w:val="auto"/>
          <w:sz w:val="32"/>
          <w:szCs w:val="32"/>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格式5</w:t>
      </w:r>
      <w:bookmarkStart w:id="96" w:name="_Toc21833_WPSOffice_Level2"/>
      <w:bookmarkStart w:id="97" w:name="_Toc122_WPSOffice_Level2"/>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法定代表人（或非法人组织负责人）授权委托书</w:t>
      </w:r>
      <w:bookmarkEnd w:id="96"/>
      <w:bookmarkEnd w:id="97"/>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单位名称：</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法定代表人（或非法人组织负责人）姓名：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身份证号码：</w:t>
      </w:r>
      <w:r>
        <w:rPr>
          <w:rFonts w:hint="eastAsia" w:ascii="仿宋" w:hAnsi="仿宋" w:cs="仿宋"/>
          <w:color w:val="auto"/>
          <w:szCs w:val="21"/>
          <w:highlight w:val="none"/>
          <w:u w:val="single"/>
        </w:rPr>
        <w:t xml:space="preserve">         </w:t>
      </w:r>
    </w:p>
    <w:p>
      <w:pPr>
        <w:tabs>
          <w:tab w:val="left" w:pos="5205"/>
        </w:tabs>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住所地：</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u w:val="single"/>
        </w:rPr>
        <w:tab/>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人姓名：</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身份证号码：</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工作单位：</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u w:val="single"/>
        </w:rPr>
      </w:pPr>
      <w:r>
        <w:rPr>
          <w:rFonts w:hint="eastAsia" w:ascii="仿宋" w:hAnsi="仿宋" w:cs="仿宋"/>
          <w:color w:val="auto"/>
          <w:szCs w:val="21"/>
          <w:highlight w:val="none"/>
        </w:rPr>
        <w:t>住址：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电话：</w:t>
      </w:r>
      <w:r>
        <w:rPr>
          <w:rFonts w:hint="eastAsia" w:ascii="仿宋" w:hAnsi="仿宋" w:cs="仿宋"/>
          <w:color w:val="auto"/>
          <w:szCs w:val="21"/>
          <w:highlight w:val="none"/>
          <w:u w:val="single"/>
        </w:rPr>
        <w:t xml:space="preserve">               </w:t>
      </w:r>
    </w:p>
    <w:p>
      <w:pPr>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现委托</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就</w:t>
      </w:r>
      <w:r>
        <w:rPr>
          <w:rFonts w:hint="eastAsia" w:ascii="仿宋" w:hAnsi="仿宋" w:cs="仿宋"/>
          <w:color w:val="auto"/>
          <w:szCs w:val="21"/>
          <w:highlight w:val="none"/>
          <w:u w:val="single"/>
        </w:rPr>
        <w:t>（项目编号、项目名称、包号）</w:t>
      </w:r>
      <w:r>
        <w:rPr>
          <w:rFonts w:hint="eastAsia" w:ascii="仿宋" w:hAnsi="仿宋" w:cs="仿宋"/>
          <w:color w:val="auto"/>
          <w:szCs w:val="21"/>
          <w:highlight w:val="none"/>
        </w:rPr>
        <w:t>投标中，以我单位名义处理一切与之有关的事务。</w:t>
      </w:r>
    </w:p>
    <w:p>
      <w:pPr>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本授权书于</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年</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月</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日签字或盖章生效，无转委托，特此声明。</w:t>
      </w:r>
    </w:p>
    <w:p>
      <w:pPr>
        <w:spacing w:line="360" w:lineRule="auto"/>
        <w:rPr>
          <w:rFonts w:hint="eastAsia" w:ascii="仿宋" w:hAnsi="仿宋" w:cs="仿宋"/>
          <w:color w:val="auto"/>
          <w:szCs w:val="21"/>
          <w:highlight w:val="none"/>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人身份证正、反面复印件※）</w:t>
            </w:r>
          </w:p>
        </w:tc>
      </w:tr>
    </w:tbl>
    <w:p>
      <w:pPr>
        <w:spacing w:line="360" w:lineRule="auto"/>
        <w:rPr>
          <w:rFonts w:hint="eastAsia" w:ascii="仿宋" w:hAnsi="仿宋" w:cs="仿宋"/>
          <w:color w:val="auto"/>
          <w:szCs w:val="21"/>
          <w:highlight w:val="none"/>
        </w:rPr>
      </w:pP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委托人（加盖单位公章）：</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法定代表人（或非法人组织负责人）（签字或盖章）：</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人（签字或盖章）：</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rPr>
      </w:pPr>
      <w:r>
        <w:rPr>
          <w:rFonts w:hint="eastAsia" w:ascii="仿宋" w:hAnsi="仿宋" w:cs="仿宋"/>
          <w:color w:val="auto"/>
          <w:szCs w:val="21"/>
          <w:highlight w:val="none"/>
        </w:rPr>
        <w:t>详细通讯地址：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邮政编码 ：</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u w:val="single"/>
        </w:rPr>
      </w:pPr>
      <w:r>
        <w:rPr>
          <w:rFonts w:hint="eastAsia" w:ascii="仿宋" w:hAnsi="仿宋" w:cs="仿宋"/>
          <w:color w:val="auto"/>
          <w:szCs w:val="21"/>
          <w:highlight w:val="none"/>
        </w:rPr>
        <w:t>传        真：</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     话：</w:t>
      </w:r>
      <w:r>
        <w:rPr>
          <w:rFonts w:hint="eastAsia" w:ascii="仿宋" w:hAnsi="仿宋" w:cs="仿宋"/>
          <w:color w:val="auto"/>
          <w:szCs w:val="21"/>
          <w:highlight w:val="none"/>
          <w:u w:val="single"/>
        </w:rPr>
        <w:t xml:space="preserve">              </w:t>
      </w:r>
    </w:p>
    <w:p>
      <w:pPr>
        <w:spacing w:line="360" w:lineRule="auto"/>
        <w:rPr>
          <w:rFonts w:hint="eastAsia" w:ascii="仿宋" w:hAnsi="仿宋" w:cs="仿宋"/>
          <w:color w:val="auto"/>
          <w:szCs w:val="21"/>
          <w:highlight w:val="none"/>
          <w:u w:val="singl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pStyle w:val="5"/>
        <w:adjustRightInd w:val="0"/>
        <w:snapToGrid w:val="0"/>
        <w:spacing w:before="0" w:after="0" w:line="240" w:lineRule="auto"/>
        <w:jc w:val="left"/>
        <w:rPr>
          <w:rFonts w:hint="eastAsia" w:ascii="仿宋" w:hAnsi="仿宋" w:cs="仿宋"/>
          <w:color w:val="auto"/>
          <w:szCs w:val="21"/>
          <w:highlight w:val="none"/>
          <w:u w:val="single"/>
        </w:rPr>
      </w:pPr>
      <w:r>
        <w:rPr>
          <w:rFonts w:hint="eastAsia" w:ascii="仿宋" w:hAnsi="仿宋" w:cs="仿宋"/>
          <w:color w:val="auto"/>
          <w:szCs w:val="21"/>
          <w:highlight w:val="none"/>
          <w:u w:val="single"/>
        </w:rPr>
        <w:br w:type="page"/>
      </w:r>
      <w:r>
        <w:rPr>
          <w:rFonts w:hint="eastAsia" w:ascii="仿宋" w:hAnsi="仿宋" w:cs="仿宋"/>
          <w:color w:val="auto"/>
          <w:szCs w:val="28"/>
          <w:highlight w:val="none"/>
        </w:rPr>
        <w:t>格式6</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具有良好的商业信誉和健全的财务会计制度的承诺函</w:t>
      </w:r>
    </w:p>
    <w:p>
      <w:pPr>
        <w:spacing w:before="312" w:beforeLines="100" w:after="312" w:afterLines="100" w:line="480" w:lineRule="exact"/>
        <w:ind w:right="630" w:rightChars="300"/>
        <w:jc w:val="center"/>
        <w:rPr>
          <w:rFonts w:hint="eastAsia" w:ascii="仿宋" w:hAnsi="仿宋" w:cs="仿宋"/>
          <w:color w:val="auto"/>
          <w:sz w:val="28"/>
          <w:szCs w:val="28"/>
          <w:highlight w:val="none"/>
        </w:rPr>
      </w:pPr>
      <w:r>
        <w:rPr>
          <w:rFonts w:hint="eastAsia" w:ascii="仿宋" w:hAnsi="仿宋" w:cs="仿宋"/>
          <w:color w:val="auto"/>
          <w:sz w:val="28"/>
          <w:szCs w:val="28"/>
          <w:highlight w:val="none"/>
        </w:rPr>
        <w:t>（格式自拟）</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snapToGrid w:val="0"/>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highlight w:val="none"/>
          <w:u w:val="singl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highlight w:val="none"/>
          <w:u w:val="single"/>
        </w:rPr>
      </w:pPr>
    </w:p>
    <w:p>
      <w:pPr>
        <w:rPr>
          <w:rFonts w:hint="eastAsia" w:ascii="仿宋" w:hAnsi="仿宋" w:cs="仿宋"/>
          <w:color w:val="auto"/>
          <w:szCs w:val="28"/>
          <w:highlight w:val="none"/>
        </w:rPr>
      </w:pP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格式7</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bookmarkStart w:id="98" w:name="_Toc12037_WPSOffice_Level2"/>
      <w:bookmarkStart w:id="99" w:name="_Toc23728_WPSOffice_Level2"/>
      <w:r>
        <w:rPr>
          <w:rFonts w:hint="eastAsia" w:ascii="仿宋" w:hAnsi="仿宋" w:cs="仿宋"/>
          <w:b/>
          <w:color w:val="auto"/>
          <w:sz w:val="32"/>
          <w:szCs w:val="32"/>
          <w:highlight w:val="none"/>
        </w:rPr>
        <w:t>具备履行合同所必需的设备和专业技术能力声明函</w:t>
      </w:r>
      <w:bookmarkEnd w:id="98"/>
      <w:bookmarkEnd w:id="99"/>
    </w:p>
    <w:p>
      <w:pPr>
        <w:spacing w:before="312" w:beforeLines="100" w:after="312" w:afterLines="100" w:line="480" w:lineRule="exact"/>
        <w:ind w:right="630" w:rightChars="300"/>
        <w:jc w:val="center"/>
        <w:rPr>
          <w:rFonts w:hint="eastAsia" w:ascii="仿宋" w:hAnsi="仿宋" w:cs="仿宋"/>
          <w:color w:val="auto"/>
          <w:sz w:val="28"/>
          <w:szCs w:val="28"/>
          <w:highlight w:val="none"/>
        </w:rPr>
      </w:pPr>
      <w:bookmarkStart w:id="100" w:name="_Toc1917_WPSOffice_Level2"/>
      <w:bookmarkStart w:id="101" w:name="_Toc28831_WPSOffice_Level2"/>
      <w:r>
        <w:rPr>
          <w:rFonts w:hint="eastAsia" w:ascii="仿宋" w:hAnsi="仿宋" w:cs="仿宋"/>
          <w:color w:val="auto"/>
          <w:sz w:val="28"/>
          <w:szCs w:val="28"/>
          <w:highlight w:val="none"/>
        </w:rPr>
        <w:t>（格式自拟）</w:t>
      </w:r>
      <w:bookmarkEnd w:id="100"/>
      <w:bookmarkEnd w:id="101"/>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snapToGrid w:val="0"/>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highlight w:val="none"/>
          <w:u w:val="singl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highlight w:val="none"/>
          <w:u w:val="single"/>
        </w:rPr>
      </w:pPr>
    </w:p>
    <w:p>
      <w:pPr>
        <w:adjustRightInd w:val="0"/>
        <w:snapToGrid w:val="0"/>
        <w:spacing w:line="360" w:lineRule="auto"/>
        <w:ind w:right="105" w:rightChars="50"/>
        <w:jc w:val="left"/>
        <w:rPr>
          <w:rFonts w:hint="eastAsia" w:ascii="仿宋" w:hAnsi="仿宋" w:cs="仿宋"/>
          <w:b/>
          <w:color w:val="auto"/>
          <w:sz w:val="28"/>
          <w:szCs w:val="28"/>
          <w:highlight w:val="none"/>
        </w:rPr>
      </w:pPr>
    </w:p>
    <w:p>
      <w:pPr>
        <w:widowControl/>
        <w:jc w:val="left"/>
        <w:rPr>
          <w:rFonts w:hint="eastAsia" w:ascii="仿宋" w:hAnsi="仿宋" w:cs="仿宋"/>
          <w:b/>
          <w:color w:val="auto"/>
          <w:sz w:val="28"/>
          <w:szCs w:val="28"/>
          <w:highlight w:val="none"/>
        </w:rPr>
      </w:pPr>
    </w:p>
    <w:p>
      <w:pPr>
        <w:pStyle w:val="5"/>
        <w:adjustRightInd w:val="0"/>
        <w:snapToGrid w:val="0"/>
        <w:spacing w:before="0" w:after="0" w:line="240" w:lineRule="auto"/>
        <w:jc w:val="left"/>
        <w:rPr>
          <w:rFonts w:hint="eastAsia" w:ascii="仿宋" w:hAnsi="仿宋" w:cs="仿宋"/>
          <w:color w:val="auto"/>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格式8</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 xml:space="preserve">   </w:t>
      </w:r>
      <w:bookmarkStart w:id="102" w:name="_Toc11967_WPSOffice_Level2"/>
      <w:bookmarkStart w:id="103" w:name="_Toc7498_WPSOffice_Level2"/>
      <w:r>
        <w:rPr>
          <w:rFonts w:hint="eastAsia" w:ascii="仿宋" w:hAnsi="仿宋" w:cs="仿宋"/>
          <w:b/>
          <w:color w:val="auto"/>
          <w:sz w:val="32"/>
          <w:szCs w:val="32"/>
          <w:highlight w:val="none"/>
        </w:rPr>
        <w:t>参加政府采购活动前3年内在经营活动中没有重大违法记录的书面声明</w:t>
      </w:r>
      <w:bookmarkEnd w:id="102"/>
      <w:bookmarkEnd w:id="103"/>
    </w:p>
    <w:p>
      <w:pPr>
        <w:spacing w:line="360" w:lineRule="auto"/>
        <w:ind w:right="630" w:rightChars="300"/>
        <w:rPr>
          <w:rFonts w:hint="eastAsia" w:ascii="仿宋" w:hAnsi="仿宋" w:cs="仿宋"/>
          <w:b/>
          <w:color w:val="auto"/>
          <w:szCs w:val="21"/>
          <w:highlight w:val="none"/>
        </w:rPr>
      </w:pPr>
      <w:r>
        <w:rPr>
          <w:rFonts w:hint="eastAsia" w:ascii="仿宋" w:hAnsi="仿宋" w:cs="仿宋"/>
          <w:b/>
          <w:color w:val="auto"/>
          <w:szCs w:val="21"/>
          <w:highlight w:val="none"/>
          <w:u w:val="single"/>
        </w:rPr>
        <w:t>（</w:t>
      </w:r>
      <w:r>
        <w:rPr>
          <w:rFonts w:hint="eastAsia" w:ascii="仿宋" w:hAnsi="仿宋" w:cs="仿宋"/>
          <w:b/>
          <w:color w:val="auto"/>
          <w:szCs w:val="21"/>
          <w:highlight w:val="none"/>
          <w:u w:val="single"/>
          <w:lang w:eastAsia="zh-CN"/>
        </w:rPr>
        <w:t>采购人</w:t>
      </w:r>
      <w:r>
        <w:rPr>
          <w:rFonts w:hint="eastAsia" w:ascii="仿宋" w:hAnsi="仿宋" w:cs="仿宋"/>
          <w:b/>
          <w:color w:val="auto"/>
          <w:szCs w:val="21"/>
          <w:highlight w:val="none"/>
          <w:u w:val="single"/>
        </w:rPr>
        <w:t>或</w:t>
      </w:r>
      <w:r>
        <w:rPr>
          <w:rFonts w:hint="eastAsia" w:ascii="仿宋" w:hAnsi="仿宋" w:cs="仿宋"/>
          <w:b/>
          <w:color w:val="auto"/>
          <w:szCs w:val="21"/>
          <w:highlight w:val="none"/>
          <w:u w:val="single"/>
          <w:lang w:eastAsia="zh-CN"/>
        </w:rPr>
        <w:t>采购代理机构</w:t>
      </w:r>
      <w:r>
        <w:rPr>
          <w:rFonts w:hint="eastAsia" w:ascii="仿宋" w:hAnsi="仿宋" w:cs="仿宋"/>
          <w:b/>
          <w:color w:val="auto"/>
          <w:szCs w:val="21"/>
          <w:highlight w:val="none"/>
          <w:u w:val="single"/>
        </w:rPr>
        <w:t xml:space="preserve">名称） </w:t>
      </w:r>
      <w:r>
        <w:rPr>
          <w:rFonts w:hint="eastAsia" w:ascii="仿宋" w:hAnsi="仿宋" w:cs="仿宋"/>
          <w:b/>
          <w:color w:val="auto"/>
          <w:szCs w:val="21"/>
          <w:highlight w:val="none"/>
        </w:rPr>
        <w:t xml:space="preserve"> ：</w:t>
      </w:r>
    </w:p>
    <w:p>
      <w:pPr>
        <w:spacing w:line="360" w:lineRule="auto"/>
        <w:ind w:right="-21" w:rightChars="-10" w:firstLine="493" w:firstLineChars="235"/>
        <w:rPr>
          <w:rFonts w:hint="eastAsia" w:ascii="仿宋" w:hAnsi="仿宋" w:cs="仿宋"/>
          <w:color w:val="auto"/>
          <w:szCs w:val="21"/>
          <w:highlight w:val="none"/>
        </w:rPr>
      </w:pPr>
      <w:r>
        <w:rPr>
          <w:rFonts w:hint="eastAsia" w:ascii="仿宋" w:hAnsi="仿宋" w:cs="仿宋"/>
          <w:color w:val="auto"/>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w:t>
      </w:r>
      <w:r>
        <w:rPr>
          <w:rFonts w:hint="eastAsia" w:ascii="仿宋" w:hAnsi="仿宋" w:cs="仿宋"/>
          <w:color w:val="auto"/>
          <w:szCs w:val="21"/>
          <w:highlight w:val="none"/>
          <w:lang w:val="en-US" w:eastAsia="zh-CN"/>
        </w:rPr>
        <w:t>失信主体</w:t>
      </w:r>
      <w:r>
        <w:rPr>
          <w:rFonts w:hint="eastAsia" w:ascii="仿宋" w:hAnsi="仿宋" w:cs="仿宋"/>
          <w:color w:val="auto"/>
          <w:szCs w:val="21"/>
          <w:highlight w:val="none"/>
        </w:rPr>
        <w:t>、政府采购严重违法失信行为记录名单。</w:t>
      </w:r>
    </w:p>
    <w:p>
      <w:pPr>
        <w:tabs>
          <w:tab w:val="left" w:pos="10065"/>
        </w:tabs>
        <w:spacing w:line="360" w:lineRule="auto"/>
        <w:ind w:right="-21" w:rightChars="-10" w:firstLine="371" w:firstLineChars="177"/>
        <w:rPr>
          <w:rFonts w:hint="eastAsia" w:ascii="仿宋" w:hAnsi="仿宋" w:cs="仿宋"/>
          <w:color w:val="auto"/>
          <w:szCs w:val="21"/>
          <w:highlight w:val="none"/>
        </w:rPr>
      </w:pPr>
      <w:r>
        <w:rPr>
          <w:rFonts w:hint="eastAsia" w:ascii="仿宋" w:hAnsi="仿宋" w:cs="仿宋"/>
          <w:color w:val="auto"/>
          <w:szCs w:val="21"/>
          <w:highlight w:val="none"/>
        </w:rPr>
        <w:t>如发现我单位提供的声明函不实时，我单位将按照《政府采购法》有关提供虚假材料的规定，接受处罚。</w:t>
      </w:r>
    </w:p>
    <w:p>
      <w:pPr>
        <w:spacing w:line="360" w:lineRule="auto"/>
        <w:ind w:right="1050" w:rightChars="500" w:firstLine="420" w:firstLineChars="200"/>
        <w:rPr>
          <w:rFonts w:hint="eastAsia" w:ascii="仿宋" w:hAnsi="仿宋" w:cs="仿宋"/>
          <w:color w:val="auto"/>
          <w:szCs w:val="21"/>
          <w:highlight w:val="none"/>
        </w:rPr>
      </w:pPr>
      <w:r>
        <w:rPr>
          <w:rFonts w:hint="eastAsia" w:ascii="仿宋" w:hAnsi="仿宋" w:cs="仿宋"/>
          <w:color w:val="auto"/>
          <w:szCs w:val="21"/>
          <w:highlight w:val="none"/>
        </w:rPr>
        <w:t>特此声明。</w:t>
      </w:r>
    </w:p>
    <w:p>
      <w:pPr>
        <w:spacing w:before="156" w:beforeLines="50" w:after="156" w:afterLines="50" w:line="400" w:lineRule="exact"/>
        <w:ind w:right="1050" w:rightChars="500"/>
        <w:rPr>
          <w:rFonts w:hint="eastAsia" w:ascii="仿宋" w:hAnsi="仿宋" w:cs="仿宋"/>
          <w:color w:val="auto"/>
          <w:szCs w:val="21"/>
          <w:highlight w:val="none"/>
        </w:rPr>
      </w:pPr>
    </w:p>
    <w:p>
      <w:pPr>
        <w:spacing w:before="156" w:beforeLines="50" w:after="156" w:afterLines="50" w:line="400" w:lineRule="exact"/>
        <w:ind w:right="1050" w:rightChars="500"/>
        <w:rPr>
          <w:rFonts w:hint="eastAsia" w:ascii="仿宋" w:hAnsi="仿宋" w:cs="仿宋"/>
          <w:color w:val="auto"/>
          <w:szCs w:val="21"/>
          <w:highlight w:val="none"/>
        </w:rPr>
      </w:pPr>
    </w:p>
    <w:p>
      <w:pPr>
        <w:spacing w:line="360" w:lineRule="exact"/>
        <w:ind w:right="1050" w:rightChars="500"/>
        <w:rPr>
          <w:rFonts w:hint="eastAsia" w:ascii="仿宋" w:hAnsi="仿宋" w:cs="仿宋"/>
          <w:color w:val="auto"/>
          <w:szCs w:val="21"/>
          <w:highlight w:val="none"/>
        </w:rPr>
      </w:pP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spacing w:line="360" w:lineRule="auto"/>
        <w:rPr>
          <w:rFonts w:hint="eastAsia" w:ascii="仿宋" w:hAnsi="仿宋" w:cs="仿宋"/>
          <w:color w:val="auto"/>
          <w:szCs w:val="21"/>
          <w:highlight w:val="none"/>
        </w:rPr>
      </w:pPr>
    </w:p>
    <w:p>
      <w:pPr>
        <w:spacing w:line="360" w:lineRule="exact"/>
        <w:ind w:right="1050" w:rightChars="500"/>
        <w:jc w:val="left"/>
        <w:rPr>
          <w:rFonts w:hint="eastAsia" w:ascii="仿宋" w:hAnsi="仿宋" w:cs="仿宋"/>
          <w:color w:val="auto"/>
          <w:szCs w:val="21"/>
          <w:highlight w:val="none"/>
          <w:u w:val="singl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格式9</w:t>
      </w:r>
    </w:p>
    <w:p>
      <w:pPr>
        <w:spacing w:before="312" w:beforeLines="100" w:after="312" w:afterLines="100" w:line="360" w:lineRule="auto"/>
        <w:ind w:right="-21" w:rightChars="-10"/>
        <w:jc w:val="center"/>
        <w:rPr>
          <w:rFonts w:hint="eastAsia" w:ascii="仿宋" w:hAnsi="仿宋" w:cs="仿宋"/>
          <w:b/>
          <w:color w:val="auto"/>
          <w:sz w:val="32"/>
          <w:szCs w:val="32"/>
          <w:highlight w:val="none"/>
        </w:rPr>
      </w:pPr>
      <w:bookmarkStart w:id="104" w:name="_Toc14782_WPSOffice_Level2"/>
      <w:bookmarkStart w:id="105" w:name="_Toc24841_WPSOffice_Level2"/>
      <w:r>
        <w:rPr>
          <w:rFonts w:hint="eastAsia" w:ascii="仿宋" w:hAnsi="仿宋" w:cs="仿宋"/>
          <w:b/>
          <w:color w:val="auto"/>
          <w:sz w:val="32"/>
          <w:szCs w:val="32"/>
          <w:highlight w:val="none"/>
        </w:rPr>
        <w:t>投标函</w:t>
      </w:r>
      <w:bookmarkEnd w:id="104"/>
      <w:bookmarkEnd w:id="105"/>
    </w:p>
    <w:p>
      <w:pPr>
        <w:adjustRightInd w:val="0"/>
        <w:snapToGrid w:val="0"/>
        <w:spacing w:line="360" w:lineRule="auto"/>
        <w:ind w:right="630" w:rightChars="300"/>
        <w:rPr>
          <w:rFonts w:hint="eastAsia" w:ascii="仿宋" w:hAnsi="仿宋" w:cs="仿宋"/>
          <w:color w:val="auto"/>
          <w:szCs w:val="21"/>
          <w:highlight w:val="none"/>
          <w:u w:val="single"/>
        </w:rPr>
      </w:pPr>
      <w:r>
        <w:rPr>
          <w:rFonts w:hint="eastAsia" w:ascii="仿宋" w:hAnsi="仿宋" w:cs="仿宋"/>
          <w:color w:val="auto"/>
          <w:szCs w:val="21"/>
          <w:highlight w:val="none"/>
        </w:rPr>
        <w:t xml:space="preserve"> </w:t>
      </w:r>
      <w:r>
        <w:rPr>
          <w:rFonts w:hint="eastAsia" w:ascii="仿宋" w:hAnsi="仿宋" w:cs="仿宋"/>
          <w:color w:val="auto"/>
          <w:szCs w:val="21"/>
          <w:highlight w:val="none"/>
          <w:u w:val="single"/>
        </w:rPr>
        <w:t>（</w:t>
      </w:r>
      <w:r>
        <w:rPr>
          <w:rFonts w:hint="eastAsia" w:ascii="仿宋" w:hAnsi="仿宋" w:cs="仿宋"/>
          <w:color w:val="auto"/>
          <w:szCs w:val="21"/>
          <w:highlight w:val="none"/>
          <w:u w:val="single"/>
          <w:lang w:eastAsia="zh-CN"/>
        </w:rPr>
        <w:t>采购人</w:t>
      </w:r>
      <w:r>
        <w:rPr>
          <w:rFonts w:hint="eastAsia" w:ascii="仿宋" w:hAnsi="仿宋" w:cs="仿宋"/>
          <w:color w:val="auto"/>
          <w:szCs w:val="21"/>
          <w:highlight w:val="none"/>
          <w:u w:val="single"/>
        </w:rPr>
        <w:t>或</w:t>
      </w:r>
      <w:r>
        <w:rPr>
          <w:rFonts w:hint="eastAsia" w:ascii="仿宋" w:hAnsi="仿宋" w:cs="仿宋"/>
          <w:color w:val="auto"/>
          <w:szCs w:val="21"/>
          <w:highlight w:val="none"/>
          <w:u w:val="single"/>
          <w:lang w:eastAsia="zh-CN"/>
        </w:rPr>
        <w:t>采购代理机构</w:t>
      </w:r>
      <w:r>
        <w:rPr>
          <w:rFonts w:hint="eastAsia" w:ascii="仿宋" w:hAnsi="仿宋" w:cs="仿宋"/>
          <w:color w:val="auto"/>
          <w:szCs w:val="21"/>
          <w:highlight w:val="none"/>
          <w:u w:val="single"/>
        </w:rPr>
        <w:t>）：</w:t>
      </w:r>
    </w:p>
    <w:p>
      <w:pPr>
        <w:adjustRightInd w:val="0"/>
        <w:snapToGrid w:val="0"/>
        <w:spacing w:line="360" w:lineRule="auto"/>
        <w:ind w:right="-21" w:rightChars="-10"/>
        <w:rPr>
          <w:rFonts w:hint="eastAsia" w:ascii="仿宋" w:hAnsi="仿宋" w:eastAsia="仿宋" w:cs="仿宋"/>
          <w:color w:val="auto"/>
          <w:szCs w:val="21"/>
          <w:highlight w:val="none"/>
          <w:lang w:eastAsia="zh-CN"/>
        </w:rPr>
      </w:pPr>
      <w:r>
        <w:rPr>
          <w:rFonts w:hint="eastAsia" w:ascii="仿宋" w:hAnsi="仿宋" w:cs="仿宋"/>
          <w:color w:val="auto"/>
          <w:szCs w:val="21"/>
          <w:highlight w:val="none"/>
        </w:rPr>
        <w:t xml:space="preserve">    根据贵方</w:t>
      </w:r>
      <w:r>
        <w:rPr>
          <w:rFonts w:hint="eastAsia" w:ascii="仿宋" w:hAnsi="仿宋" w:cs="仿宋"/>
          <w:color w:val="auto"/>
          <w:szCs w:val="21"/>
          <w:highlight w:val="none"/>
          <w:u w:val="single"/>
        </w:rPr>
        <w:t>(项目名称)</w:t>
      </w:r>
      <w:r>
        <w:rPr>
          <w:rFonts w:hint="eastAsia" w:ascii="仿宋" w:hAnsi="仿宋" w:cs="仿宋"/>
          <w:color w:val="auto"/>
          <w:szCs w:val="21"/>
          <w:highlight w:val="none"/>
        </w:rPr>
        <w:t>项目的招标公告</w:t>
      </w:r>
      <w:r>
        <w:rPr>
          <w:rFonts w:hint="eastAsia" w:ascii="仿宋" w:hAnsi="仿宋" w:cs="仿宋"/>
          <w:color w:val="auto"/>
          <w:szCs w:val="21"/>
          <w:highlight w:val="none"/>
          <w:u w:val="single"/>
        </w:rPr>
        <w:t>(招标编号)</w:t>
      </w:r>
      <w:r>
        <w:rPr>
          <w:rFonts w:hint="eastAsia" w:ascii="仿宋" w:hAnsi="仿宋" w:cs="仿宋"/>
          <w:color w:val="auto"/>
          <w:szCs w:val="21"/>
          <w:highlight w:val="none"/>
        </w:rPr>
        <w:t>,签字代表</w:t>
      </w:r>
      <w:r>
        <w:rPr>
          <w:rFonts w:hint="eastAsia" w:ascii="仿宋" w:hAnsi="仿宋" w:cs="仿宋"/>
          <w:color w:val="auto"/>
          <w:szCs w:val="21"/>
          <w:highlight w:val="none"/>
          <w:u w:val="single"/>
        </w:rPr>
        <w:t>(姓名、职务)</w:t>
      </w:r>
      <w:r>
        <w:rPr>
          <w:rFonts w:hint="eastAsia" w:ascii="仿宋" w:hAnsi="仿宋" w:cs="仿宋"/>
          <w:color w:val="auto"/>
          <w:szCs w:val="21"/>
          <w:highlight w:val="none"/>
        </w:rPr>
        <w:t>经正式授权并代表</w:t>
      </w:r>
      <w:r>
        <w:rPr>
          <w:rFonts w:hint="eastAsia" w:ascii="仿宋" w:hAnsi="仿宋" w:cs="仿宋"/>
          <w:color w:val="auto"/>
          <w:szCs w:val="21"/>
          <w:highlight w:val="none"/>
          <w:lang w:eastAsia="zh-CN"/>
        </w:rPr>
        <w:t>供应商</w:t>
      </w:r>
      <w:r>
        <w:rPr>
          <w:rFonts w:hint="eastAsia" w:ascii="仿宋" w:hAnsi="仿宋" w:cs="仿宋"/>
          <w:color w:val="auto"/>
          <w:szCs w:val="21"/>
          <w:highlight w:val="none"/>
          <w:u w:val="single"/>
        </w:rPr>
        <w:t>（名称、地址）</w:t>
      </w:r>
      <w:r>
        <w:rPr>
          <w:rFonts w:hint="eastAsia" w:ascii="仿宋" w:hAnsi="仿宋" w:cs="仿宋"/>
          <w:color w:val="auto"/>
          <w:szCs w:val="21"/>
          <w:highlight w:val="none"/>
        </w:rPr>
        <w:t>提交下述文件正本</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份、副本</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份及电子文档</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份，并以</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u w:val="single"/>
          <w:lang w:val="en-US" w:eastAsia="zh-CN"/>
        </w:rPr>
        <w:t xml:space="preserve">  </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形式出具的金额为</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人民币元的投标保证金。</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据此，签字代表宣布同意如下：</w:t>
      </w:r>
    </w:p>
    <w:p>
      <w:pPr>
        <w:numPr>
          <w:ilvl w:val="0"/>
          <w:numId w:val="5"/>
        </w:num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本项目投标总价详见开标一览表。</w:t>
      </w:r>
    </w:p>
    <w:p>
      <w:pPr>
        <w:numPr>
          <w:ilvl w:val="0"/>
          <w:numId w:val="5"/>
        </w:num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本投标有效期为自递交投标文件截止之日起</w:t>
      </w:r>
      <w:r>
        <w:rPr>
          <w:rFonts w:hint="eastAsia" w:ascii="仿宋" w:hAnsi="仿宋" w:cs="仿宋"/>
          <w:color w:val="auto"/>
          <w:szCs w:val="21"/>
          <w:highlight w:val="none"/>
          <w:u w:val="single"/>
        </w:rPr>
        <w:t>90</w:t>
      </w:r>
      <w:r>
        <w:rPr>
          <w:rFonts w:hint="eastAsia" w:ascii="仿宋" w:hAnsi="仿宋" w:cs="仿宋"/>
          <w:color w:val="auto"/>
          <w:szCs w:val="21"/>
          <w:highlight w:val="none"/>
        </w:rPr>
        <w:t>日历日。</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（3）已详细审查全部招标文件，包括所有补充通知（如果有的话）。</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（4）在规定的开标时间后，遵守招标文件中有关保证金的规定。</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（5）我方不是为本项目提供整体设计、规范编制或者项目管理、监理、检测等服务的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，我方不是</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的附属机构。</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（6）在领取中标通知书的同时按招标文件规定的形式，向</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一次性支付采购代理服务费（适用于中标人支付采购代理服务费情形）。</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（8）按照招标文件的规定履行合同责任和义务。</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（9）我方承诺投标文件中的证明材料真实、合法、有效。</w:t>
      </w:r>
    </w:p>
    <w:p>
      <w:pPr>
        <w:adjustRightInd w:val="0"/>
        <w:snapToGrid w:val="0"/>
        <w:spacing w:line="360" w:lineRule="auto"/>
        <w:ind w:right="-21" w:rightChars="-10" w:firstLine="420" w:firstLineChars="200"/>
        <w:rPr>
          <w:rFonts w:hint="eastAsia" w:ascii="仿宋" w:hAnsi="仿宋" w:cs="仿宋"/>
          <w:color w:val="auto"/>
          <w:szCs w:val="21"/>
          <w:highlight w:val="none"/>
        </w:rPr>
      </w:pPr>
      <w:r>
        <w:rPr>
          <w:rFonts w:hint="eastAsia" w:ascii="仿宋" w:hAnsi="仿宋" w:cs="仿宋"/>
          <w:color w:val="auto"/>
          <w:szCs w:val="21"/>
          <w:highlight w:val="none"/>
        </w:rPr>
        <w:t>其他事项：</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w:t>
      </w:r>
    </w:p>
    <w:p>
      <w:pPr>
        <w:adjustRightInd w:val="0"/>
        <w:snapToGrid w:val="0"/>
        <w:spacing w:line="360" w:lineRule="auto"/>
        <w:ind w:right="-21" w:rightChars="-10"/>
        <w:rPr>
          <w:rFonts w:hint="eastAsia" w:ascii="仿宋" w:hAnsi="仿宋" w:cs="仿宋"/>
          <w:color w:val="auto"/>
          <w:szCs w:val="21"/>
          <w:highlight w:val="none"/>
        </w:rPr>
      </w:pPr>
    </w:p>
    <w:p>
      <w:pPr>
        <w:pStyle w:val="39"/>
        <w:rPr>
          <w:rFonts w:hint="eastAsia" w:ascii="仿宋" w:hAnsi="仿宋" w:eastAsia="仿宋" w:cs="仿宋"/>
          <w:color w:val="auto"/>
          <w:highlight w:val="none"/>
        </w:rPr>
      </w:pPr>
    </w:p>
    <w:p>
      <w:pPr>
        <w:adjustRightInd w:val="0"/>
        <w:snapToGrid w:val="0"/>
        <w:spacing w:line="360" w:lineRule="auto"/>
        <w:ind w:right="-21" w:rightChars="-10"/>
        <w:rPr>
          <w:rFonts w:hint="eastAsia" w:ascii="仿宋" w:hAnsi="仿宋" w:cs="仿宋"/>
          <w:color w:val="auto"/>
          <w:szCs w:val="21"/>
          <w:highlight w:val="none"/>
        </w:rPr>
      </w:pPr>
    </w:p>
    <w:p>
      <w:pPr>
        <w:adjustRightInd w:val="0"/>
        <w:snapToGrid w:val="0"/>
        <w:spacing w:line="360" w:lineRule="auto"/>
        <w:ind w:right="-21" w:rightChars="-10"/>
        <w:rPr>
          <w:rFonts w:hint="eastAsia" w:ascii="仿宋" w:hAnsi="仿宋" w:cs="仿宋"/>
          <w:color w:val="auto"/>
          <w:szCs w:val="21"/>
          <w:highlight w:val="none"/>
        </w:rPr>
      </w:pPr>
      <w:r>
        <w:rPr>
          <w:rFonts w:hint="eastAsia" w:ascii="仿宋" w:hAnsi="仿宋" w:cs="仿宋"/>
          <w:color w:val="auto"/>
          <w:szCs w:val="21"/>
          <w:highlight w:val="none"/>
        </w:rPr>
        <w:t>与本项目有关的一切往来通讯请寄</w:t>
      </w:r>
    </w:p>
    <w:p>
      <w:pPr>
        <w:adjustRightInd w:val="0"/>
        <w:snapToGrid w:val="0"/>
        <w:spacing w:line="360" w:lineRule="auto"/>
        <w:ind w:right="-21" w:rightChars="-10"/>
        <w:rPr>
          <w:rFonts w:hint="eastAsia" w:ascii="仿宋" w:hAnsi="仿宋" w:cs="仿宋"/>
          <w:color w:val="auto"/>
          <w:szCs w:val="21"/>
          <w:highlight w:val="none"/>
          <w:u w:val="single"/>
        </w:rPr>
      </w:pPr>
      <w:r>
        <w:rPr>
          <w:rFonts w:hint="eastAsia" w:ascii="仿宋" w:hAnsi="仿宋" w:cs="仿宋"/>
          <w:color w:val="auto"/>
          <w:szCs w:val="21"/>
          <w:highlight w:val="none"/>
        </w:rPr>
        <w:t>地址：</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传真：</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u w:val="single"/>
        </w:rPr>
      </w:pPr>
      <w:r>
        <w:rPr>
          <w:rFonts w:hint="eastAsia" w:ascii="仿宋" w:hAnsi="仿宋" w:cs="仿宋"/>
          <w:color w:val="auto"/>
          <w:szCs w:val="21"/>
          <w:highlight w:val="none"/>
        </w:rPr>
        <w:t>电话：</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 xml:space="preserve">         电子邮件：</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u w:val="single"/>
        </w:rPr>
      </w:pPr>
      <w:r>
        <w:rPr>
          <w:rFonts w:hint="eastAsia" w:ascii="仿宋" w:hAnsi="仿宋" w:cs="仿宋"/>
          <w:color w:val="auto"/>
          <w:szCs w:val="21"/>
          <w:highlight w:val="none"/>
        </w:rPr>
        <w:t>法定代表人（非法人组织负责人）或其授权委托人（签字或盖章）：</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名称（加盖单位公章）：</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开户银行（全称）：</w:t>
      </w:r>
      <w:r>
        <w:rPr>
          <w:rFonts w:hint="eastAsia" w:ascii="仿宋" w:hAnsi="仿宋" w:cs="仿宋"/>
          <w:color w:val="auto"/>
          <w:szCs w:val="21"/>
          <w:highlight w:val="none"/>
          <w:u w:val="single"/>
        </w:rPr>
        <w:t xml:space="preserve">             </w:t>
      </w:r>
    </w:p>
    <w:p>
      <w:pPr>
        <w:adjustRightInd w:val="0"/>
        <w:snapToGrid w:val="0"/>
        <w:spacing w:line="360" w:lineRule="auto"/>
        <w:ind w:right="-21" w:rightChars="-1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银行账号：</w:t>
      </w:r>
      <w:r>
        <w:rPr>
          <w:rFonts w:hint="eastAsia" w:ascii="仿宋" w:hAnsi="仿宋" w:cs="仿宋"/>
          <w:color w:val="auto"/>
          <w:szCs w:val="21"/>
          <w:highlight w:val="none"/>
          <w:u w:val="single"/>
        </w:rPr>
        <w:t xml:space="preserve">                     </w:t>
      </w:r>
    </w:p>
    <w:p>
      <w:pPr>
        <w:adjustRightInd w:val="0"/>
        <w:snapToGrid w:val="0"/>
        <w:spacing w:line="360" w:lineRule="auto"/>
        <w:ind w:right="1050" w:rightChars="500"/>
        <w:jc w:val="left"/>
        <w:rPr>
          <w:rFonts w:hint="eastAsia" w:ascii="仿宋" w:hAnsi="仿宋" w:cs="仿宋"/>
          <w:color w:val="auto"/>
          <w:szCs w:val="21"/>
          <w:highlight w:val="none"/>
          <w:u w:val="singl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adjustRightInd w:val="0"/>
        <w:snapToGrid w:val="0"/>
        <w:spacing w:line="360" w:lineRule="auto"/>
        <w:ind w:right="1050" w:rightChars="500"/>
        <w:jc w:val="left"/>
        <w:rPr>
          <w:rFonts w:hint="eastAsia" w:ascii="仿宋" w:hAnsi="仿宋" w:cs="仿宋"/>
          <w:color w:val="auto"/>
          <w:szCs w:val="21"/>
          <w:highlight w:val="none"/>
          <w:u w:val="single"/>
        </w:rPr>
      </w:pP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格式10</w:t>
      </w:r>
    </w:p>
    <w:p>
      <w:pPr>
        <w:adjustRightInd w:val="0"/>
        <w:snapToGrid w:val="0"/>
        <w:spacing w:before="312" w:beforeLines="100" w:after="312" w:afterLines="100" w:line="360" w:lineRule="auto"/>
        <w:ind w:right="105" w:rightChars="50"/>
        <w:jc w:val="center"/>
        <w:rPr>
          <w:rFonts w:hint="eastAsia" w:ascii="仿宋" w:hAnsi="仿宋" w:cs="仿宋"/>
          <w:b/>
          <w:bCs/>
          <w:color w:val="auto"/>
          <w:sz w:val="32"/>
          <w:szCs w:val="32"/>
          <w:highlight w:val="none"/>
        </w:rPr>
      </w:pPr>
      <w:bookmarkStart w:id="106" w:name="_Toc2673_WPSOffice_Level2"/>
      <w:bookmarkStart w:id="107" w:name="_Toc11267_WPSOffice_Level2"/>
      <w:r>
        <w:rPr>
          <w:rFonts w:hint="eastAsia" w:ascii="仿宋" w:hAnsi="仿宋" w:cs="仿宋"/>
          <w:b/>
          <w:bCs/>
          <w:color w:val="auto"/>
          <w:sz w:val="32"/>
          <w:szCs w:val="32"/>
          <w:highlight w:val="none"/>
        </w:rPr>
        <w:t>开标一览表</w:t>
      </w:r>
      <w:bookmarkEnd w:id="106"/>
      <w:bookmarkEnd w:id="107"/>
    </w:p>
    <w:p>
      <w:pPr>
        <w:adjustRightInd w:val="0"/>
        <w:snapToGrid w:val="0"/>
        <w:spacing w:line="360" w:lineRule="auto"/>
        <w:ind w:right="105" w:rightChars="50"/>
        <w:jc w:val="left"/>
        <w:rPr>
          <w:rFonts w:hint="eastAsia" w:ascii="仿宋" w:hAnsi="仿宋" w:cs="仿宋"/>
          <w:b/>
          <w:bCs/>
          <w:color w:val="auto"/>
          <w:szCs w:val="21"/>
          <w:highlight w:val="none"/>
        </w:rPr>
      </w:pPr>
      <w:r>
        <w:rPr>
          <w:rFonts w:hint="eastAsia" w:ascii="仿宋" w:hAnsi="仿宋" w:cs="仿宋"/>
          <w:b/>
          <w:bCs/>
          <w:color w:val="auto"/>
          <w:szCs w:val="21"/>
          <w:highlight w:val="none"/>
        </w:rPr>
        <w:t>包号：                                                      报价单位：</w:t>
      </w:r>
    </w:p>
    <w:tbl>
      <w:tblPr>
        <w:tblStyle w:val="23"/>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货物名称</w:t>
            </w:r>
          </w:p>
        </w:tc>
        <w:tc>
          <w:tcPr>
            <w:tcW w:w="2373"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投标总价</w:t>
            </w:r>
          </w:p>
        </w:tc>
        <w:tc>
          <w:tcPr>
            <w:tcW w:w="13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投标保证金</w:t>
            </w:r>
          </w:p>
        </w:tc>
        <w:tc>
          <w:tcPr>
            <w:tcW w:w="11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交货时间</w:t>
            </w:r>
          </w:p>
        </w:tc>
        <w:tc>
          <w:tcPr>
            <w:tcW w:w="1252"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交货地点</w:t>
            </w:r>
          </w:p>
        </w:tc>
        <w:tc>
          <w:tcPr>
            <w:tcW w:w="951"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r>
              <w:rPr>
                <w:rFonts w:hint="eastAsia" w:ascii="仿宋" w:hAnsi="仿宋" w:cs="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p>
        </w:tc>
        <w:tc>
          <w:tcPr>
            <w:tcW w:w="2373" w:type="dxa"/>
            <w:noWrap w:val="0"/>
            <w:vAlign w:val="center"/>
          </w:tcPr>
          <w:p>
            <w:pPr>
              <w:keepNext w:val="0"/>
              <w:keepLines w:val="0"/>
              <w:suppressLineNumbers w:val="0"/>
              <w:adjustRightInd w:val="0"/>
              <w:snapToGrid w:val="0"/>
              <w:spacing w:before="0" w:beforeAutospacing="0" w:after="0" w:afterAutospacing="0"/>
              <w:ind w:left="-55" w:leftChars="-26" w:right="-46" w:rightChars="-22"/>
              <w:jc w:val="left"/>
              <w:rPr>
                <w:rFonts w:hint="eastAsia" w:ascii="仿宋" w:hAnsi="仿宋" w:cs="仿宋"/>
                <w:color w:val="auto"/>
                <w:szCs w:val="21"/>
                <w:highlight w:val="none"/>
              </w:rPr>
            </w:pPr>
            <w:r>
              <w:rPr>
                <w:rFonts w:hint="eastAsia" w:ascii="仿宋" w:hAnsi="仿宋" w:cs="仿宋"/>
                <w:color w:val="auto"/>
                <w:szCs w:val="21"/>
                <w:highlight w:val="none"/>
              </w:rPr>
              <w:t>小写：</w:t>
            </w:r>
          </w:p>
          <w:p>
            <w:pPr>
              <w:keepNext w:val="0"/>
              <w:keepLines w:val="0"/>
              <w:suppressLineNumbers w:val="0"/>
              <w:adjustRightInd w:val="0"/>
              <w:snapToGrid w:val="0"/>
              <w:spacing w:before="0" w:beforeAutospacing="0" w:after="0" w:afterAutospacing="0"/>
              <w:ind w:left="-55" w:leftChars="-26" w:right="-46" w:rightChars="-22"/>
              <w:jc w:val="left"/>
              <w:rPr>
                <w:rFonts w:hint="eastAsia" w:ascii="仿宋" w:hAnsi="仿宋" w:cs="仿宋"/>
                <w:color w:val="auto"/>
                <w:szCs w:val="21"/>
                <w:highlight w:val="none"/>
              </w:rPr>
            </w:pPr>
            <w:r>
              <w:rPr>
                <w:rFonts w:hint="eastAsia" w:ascii="仿宋" w:hAnsi="仿宋" w:cs="仿宋"/>
                <w:color w:val="auto"/>
                <w:szCs w:val="21"/>
                <w:highlight w:val="none"/>
              </w:rPr>
              <w:t>大写：</w:t>
            </w:r>
          </w:p>
        </w:tc>
        <w:tc>
          <w:tcPr>
            <w:tcW w:w="13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eastAsia="仿宋" w:cs="仿宋"/>
                <w:color w:val="auto"/>
                <w:szCs w:val="21"/>
                <w:highlight w:val="none"/>
                <w:lang w:val="en-US" w:eastAsia="zh-CN"/>
              </w:rPr>
            </w:pPr>
          </w:p>
        </w:tc>
        <w:tc>
          <w:tcPr>
            <w:tcW w:w="1109"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p>
        </w:tc>
        <w:tc>
          <w:tcPr>
            <w:tcW w:w="1252"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p>
        </w:tc>
        <w:tc>
          <w:tcPr>
            <w:tcW w:w="951" w:type="dxa"/>
            <w:noWrap w:val="0"/>
            <w:vAlign w:val="center"/>
          </w:tcPr>
          <w:p>
            <w:pPr>
              <w:keepNext w:val="0"/>
              <w:keepLines w:val="0"/>
              <w:suppressLineNumbers w:val="0"/>
              <w:adjustRightInd w:val="0"/>
              <w:snapToGrid w:val="0"/>
              <w:spacing w:before="0" w:beforeAutospacing="0" w:after="0" w:afterAutospacing="0"/>
              <w:ind w:left="-55" w:leftChars="-26" w:right="-46" w:rightChars="-22"/>
              <w:jc w:val="center"/>
              <w:rPr>
                <w:rFonts w:hint="eastAsia" w:ascii="仿宋" w:hAnsi="仿宋" w:cs="仿宋"/>
                <w:color w:val="auto"/>
                <w:szCs w:val="21"/>
                <w:highlight w:val="none"/>
              </w:rPr>
            </w:pPr>
          </w:p>
        </w:tc>
      </w:tr>
    </w:tbl>
    <w:p>
      <w:pPr>
        <w:adjustRightInd w:val="0"/>
        <w:snapToGrid w:val="0"/>
        <w:spacing w:line="360" w:lineRule="auto"/>
        <w:ind w:right="105" w:rightChars="50" w:firstLine="420" w:firstLineChars="200"/>
        <w:jc w:val="left"/>
        <w:rPr>
          <w:rFonts w:hint="eastAsia" w:ascii="仿宋" w:hAnsi="仿宋" w:cs="仿宋"/>
          <w:color w:val="auto"/>
          <w:szCs w:val="21"/>
          <w:highlight w:val="none"/>
        </w:rPr>
      </w:pPr>
    </w:p>
    <w:p>
      <w:pPr>
        <w:adjustRightInd w:val="0"/>
        <w:snapToGrid w:val="0"/>
        <w:spacing w:line="360" w:lineRule="auto"/>
        <w:ind w:right="105" w:rightChars="50"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注：此表中，投标总价应和分项报价表的总价相一致。</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spacing w:line="480" w:lineRule="auto"/>
        <w:ind w:right="1050" w:rightChars="500"/>
        <w:jc w:val="left"/>
        <w:rPr>
          <w:rFonts w:hint="eastAsia" w:ascii="仿宋" w:hAnsi="仿宋" w:cs="仿宋"/>
          <w:color w:val="auto"/>
          <w:szCs w:val="21"/>
          <w:highlight w:val="none"/>
          <w:u w:val="singl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r>
        <w:rPr>
          <w:rFonts w:hint="eastAsia" w:ascii="仿宋" w:hAnsi="仿宋" w:cs="仿宋"/>
          <w:color w:val="auto"/>
          <w:szCs w:val="21"/>
          <w:highlight w:val="none"/>
        </w:rPr>
        <w:t xml:space="preserve">  </w:t>
      </w: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br w:type="page"/>
      </w:r>
      <w:r>
        <w:rPr>
          <w:rFonts w:hint="eastAsia" w:ascii="仿宋" w:hAnsi="仿宋" w:cs="仿宋"/>
          <w:color w:val="auto"/>
          <w:szCs w:val="28"/>
          <w:highlight w:val="none"/>
        </w:rPr>
        <w:t>格式11</w:t>
      </w:r>
    </w:p>
    <w:p>
      <w:pPr>
        <w:adjustRightInd w:val="0"/>
        <w:snapToGrid w:val="0"/>
        <w:spacing w:before="312" w:beforeLines="100" w:after="312" w:afterLines="100" w:line="360" w:lineRule="auto"/>
        <w:ind w:right="105" w:rightChars="50"/>
        <w:jc w:val="center"/>
        <w:rPr>
          <w:rFonts w:hint="eastAsia" w:ascii="仿宋" w:hAnsi="仿宋" w:cs="仿宋"/>
          <w:b/>
          <w:bCs/>
          <w:color w:val="auto"/>
          <w:sz w:val="32"/>
          <w:szCs w:val="32"/>
          <w:highlight w:val="none"/>
        </w:rPr>
      </w:pPr>
      <w:bookmarkStart w:id="108" w:name="_Toc28271_WPSOffice_Level2"/>
      <w:bookmarkStart w:id="109" w:name="_Toc16044_WPSOffice_Level2"/>
      <w:r>
        <w:rPr>
          <w:rFonts w:hint="eastAsia" w:ascii="仿宋" w:hAnsi="仿宋" w:cs="仿宋"/>
          <w:b/>
          <w:bCs/>
          <w:color w:val="auto"/>
          <w:sz w:val="32"/>
          <w:szCs w:val="32"/>
          <w:highlight w:val="none"/>
        </w:rPr>
        <w:t>分项报价表</w:t>
      </w:r>
      <w:bookmarkEnd w:id="108"/>
      <w:bookmarkEnd w:id="109"/>
    </w:p>
    <w:p>
      <w:pPr>
        <w:adjustRightInd w:val="0"/>
        <w:snapToGrid w:val="0"/>
        <w:spacing w:line="360" w:lineRule="auto"/>
        <w:ind w:right="105" w:rightChars="50"/>
        <w:jc w:val="left"/>
        <w:rPr>
          <w:rFonts w:hint="eastAsia" w:ascii="仿宋" w:hAnsi="仿宋" w:cs="仿宋"/>
          <w:b/>
          <w:bCs/>
          <w:color w:val="auto"/>
          <w:szCs w:val="21"/>
          <w:highlight w:val="none"/>
        </w:rPr>
      </w:pPr>
      <w:r>
        <w:rPr>
          <w:rFonts w:hint="eastAsia" w:ascii="仿宋" w:hAnsi="仿宋" w:cs="仿宋"/>
          <w:b/>
          <w:bCs/>
          <w:color w:val="auto"/>
          <w:szCs w:val="21"/>
          <w:highlight w:val="none"/>
        </w:rPr>
        <w:t>包号：                                                      报价单位：</w:t>
      </w:r>
    </w:p>
    <w:tbl>
      <w:tblPr>
        <w:tblStyle w:val="23"/>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序号</w:t>
            </w: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产品名称</w:t>
            </w: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品牌</w:t>
            </w: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型号</w:t>
            </w:r>
          </w:p>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规格</w:t>
            </w: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数量</w:t>
            </w: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原产地</w:t>
            </w: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制造商名称</w:t>
            </w: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单价</w:t>
            </w: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总价</w:t>
            </w: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r>
              <w:rPr>
                <w:rFonts w:hint="eastAsia" w:ascii="仿宋" w:hAnsi="仿宋" w:cs="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347"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97" w:leftChars="-46" w:right="-63" w:rightChars="-3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r>
              <w:rPr>
                <w:rFonts w:hint="eastAsia" w:ascii="仿宋" w:hAnsi="仿宋" w:cs="仿宋"/>
                <w:color w:val="auto"/>
                <w:szCs w:val="21"/>
                <w:highlight w:val="none"/>
              </w:rPr>
              <w:t>总价</w:t>
            </w:r>
          </w:p>
        </w:tc>
        <w:tc>
          <w:tcPr>
            <w:tcW w:w="1033"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1033"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721"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675"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68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02"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bl>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注：此表中，总价应和开标一览表的投标总价相一致。</w:t>
      </w:r>
    </w:p>
    <w:p>
      <w:pPr>
        <w:adjustRightInd w:val="0"/>
        <w:snapToGrid w:val="0"/>
        <w:spacing w:line="360" w:lineRule="auto"/>
        <w:ind w:right="105" w:rightChars="50"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此表填写的货物种类及数量等必须和相应包组采购需求一致，否则按无效投标处理。</w:t>
      </w:r>
    </w:p>
    <w:p>
      <w:pPr>
        <w:adjustRightInd w:val="0"/>
        <w:snapToGrid w:val="0"/>
        <w:spacing w:line="360" w:lineRule="auto"/>
        <w:ind w:right="105" w:rightChars="50" w:firstLine="420" w:firstLineChars="20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adjustRightInd w:val="0"/>
        <w:snapToGrid w:val="0"/>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adjustRightInd w:val="0"/>
        <w:snapToGrid w:val="0"/>
        <w:spacing w:line="480" w:lineRule="auto"/>
        <w:ind w:right="105" w:rightChars="50"/>
        <w:jc w:val="left"/>
        <w:rPr>
          <w:rFonts w:hint="eastAsia" w:ascii="仿宋" w:hAnsi="仿宋" w:cs="仿宋"/>
          <w:color w:val="auto"/>
          <w:szCs w:val="21"/>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pStyle w:val="5"/>
        <w:adjustRightInd w:val="0"/>
        <w:snapToGrid w:val="0"/>
        <w:spacing w:before="0" w:after="0" w:line="240" w:lineRule="auto"/>
        <w:jc w:val="left"/>
        <w:rPr>
          <w:rFonts w:hint="eastAsia" w:ascii="仿宋" w:hAnsi="仿宋" w:cs="仿宋"/>
          <w:color w:val="auto"/>
          <w:szCs w:val="21"/>
          <w:highlight w:val="none"/>
        </w:rPr>
        <w:sectPr>
          <w:pgSz w:w="11906" w:h="16838"/>
          <w:pgMar w:top="1440" w:right="1797" w:bottom="1440" w:left="1797" w:header="851" w:footer="992" w:gutter="0"/>
          <w:cols w:space="720" w:num="1"/>
          <w:docGrid w:type="lines" w:linePitch="312" w:charSpace="0"/>
        </w:sectPr>
      </w:pP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格式12</w:t>
      </w:r>
    </w:p>
    <w:p>
      <w:pPr>
        <w:adjustRightInd w:val="0"/>
        <w:snapToGrid w:val="0"/>
        <w:spacing w:before="312" w:beforeLines="100" w:line="360" w:lineRule="auto"/>
        <w:ind w:right="105" w:rightChars="50"/>
        <w:jc w:val="center"/>
        <w:rPr>
          <w:rFonts w:hint="eastAsia" w:ascii="仿宋" w:hAnsi="仿宋" w:cs="仿宋"/>
          <w:b/>
          <w:bCs/>
          <w:color w:val="auto"/>
          <w:sz w:val="32"/>
          <w:szCs w:val="32"/>
          <w:highlight w:val="none"/>
        </w:rPr>
      </w:pPr>
      <w:r>
        <w:rPr>
          <w:rFonts w:hint="eastAsia" w:ascii="仿宋" w:hAnsi="仿宋" w:cs="仿宋"/>
          <w:b/>
          <w:bCs/>
          <w:color w:val="auto"/>
          <w:sz w:val="32"/>
          <w:szCs w:val="32"/>
          <w:highlight w:val="none"/>
        </w:rPr>
        <w:t>技术规格偏离表（00</w:t>
      </w:r>
      <w:r>
        <w:rPr>
          <w:rFonts w:hint="eastAsia" w:ascii="仿宋" w:hAnsi="仿宋" w:cs="仿宋"/>
          <w:b/>
          <w:bCs/>
          <w:color w:val="auto"/>
          <w:sz w:val="32"/>
          <w:szCs w:val="32"/>
          <w:highlight w:val="none"/>
          <w:lang w:val="en-US" w:eastAsia="zh-CN"/>
        </w:rPr>
        <w:t>1</w:t>
      </w:r>
      <w:r>
        <w:rPr>
          <w:rFonts w:hint="eastAsia" w:ascii="仿宋" w:hAnsi="仿宋" w:cs="仿宋"/>
          <w:b/>
          <w:bCs/>
          <w:color w:val="auto"/>
          <w:sz w:val="32"/>
          <w:szCs w:val="32"/>
          <w:highlight w:val="none"/>
        </w:rPr>
        <w:t>包）</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98"/>
        <w:gridCol w:w="2332"/>
        <w:gridCol w:w="750"/>
        <w:gridCol w:w="873"/>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001-1</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产品名称：北斗有源终端</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14个</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blHeader/>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一、实质性要求（★）</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1、支持北斗二号和北斗三号 1-63 号全部卫星通讯，首次捕获时间≤10s；信号中断 30s，重捕获时间不超过:≤3s；</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2、每套配置北斗白卡1张，须提供北斗用户终端设备入网检测报告；</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3、提供承诺函，配合采购人接入国家消防救援局北斗消防综合管理服务平台。</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eastAsia" w:ascii="仿宋" w:hAnsi="仿宋" w:cs="仿宋"/>
                <w:b/>
                <w:bCs/>
                <w:color w:val="auto"/>
                <w:highlight w:val="none"/>
                <w:lang w:val="en-US" w:eastAsia="zh-CN"/>
              </w:rPr>
              <w:t>4、</w:t>
            </w:r>
            <w:r>
              <w:rPr>
                <w:rFonts w:hint="default" w:ascii="仿宋" w:hAnsi="仿宋" w:cs="仿宋"/>
                <w:b/>
                <w:bCs/>
                <w:color w:val="auto"/>
                <w:highlight w:val="none"/>
              </w:rPr>
              <w:t>根据采购单位要求，安装符合《消防装备物资物联网标识管理》规定的二维码和RFID标签，（车辆或器材）在交付前须完成国家消防救援局系统赋码工作，确保一物一码。</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二、一般指标性参数（●）</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1、短报文通信：短报文长度≥1000个汉字；</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2、接收频点：B1C/B1I频段；</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3、定位精度 ：水平定位精度≤5米、高程定位精度≤10米；</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4、灵敏度：冷启动捕获灵敏度≥-148dBm；跟踪灵敏度≥-162dBm；</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5、天线：嵌入式陶瓷天线；</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6、CPU主频：≥2.3GHZ、八核处理器；内存：运行内存≥4GB，机身内存≥64GB，最大存储扩展容量≥128GB；</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7</w:t>
            </w:r>
            <w:r>
              <w:rPr>
                <w:rFonts w:hint="default" w:ascii="仿宋" w:hAnsi="仿宋" w:cs="仿宋"/>
                <w:color w:val="auto"/>
                <w:highlight w:val="none"/>
              </w:rPr>
              <w:t>、配置专用通信APP，支持收发北斗消息、SOS上报、报平安、位置上报、发简单短信、支持友邻位置；</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8</w:t>
            </w:r>
            <w:r>
              <w:rPr>
                <w:rFonts w:hint="default" w:ascii="仿宋" w:hAnsi="仿宋" w:cs="仿宋"/>
                <w:color w:val="auto"/>
                <w:highlight w:val="none"/>
              </w:rPr>
              <w:t>、支持发送北斗语音，单条语音时长不小于30秒；</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9</w:t>
            </w:r>
            <w:r>
              <w:rPr>
                <w:rFonts w:hint="default" w:ascii="仿宋" w:hAnsi="仿宋" w:cs="仿宋"/>
                <w:color w:val="auto"/>
                <w:highlight w:val="none"/>
              </w:rPr>
              <w:t>、支持通过北斗发送图片，在100倍压缩率情况下，图像质量评价指标PSNR不低于20dB；</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10</w:t>
            </w:r>
            <w:r>
              <w:rPr>
                <w:rFonts w:hint="default" w:ascii="仿宋" w:hAnsi="仿宋" w:cs="仿宋"/>
                <w:color w:val="auto"/>
                <w:highlight w:val="none"/>
              </w:rPr>
              <w:t>、工作温度范围：-30℃～+70℃；防水防尘等级：≥IP67；</w:t>
            </w:r>
            <w:r>
              <w:rPr>
                <w:rFonts w:hint="eastAsia" w:ascii="仿宋" w:hAnsi="仿宋" w:cs="仿宋"/>
                <w:color w:val="auto"/>
                <w:highlight w:val="none"/>
                <w:lang w:val="en-US" w:eastAsia="zh-CN"/>
              </w:rPr>
              <w:t xml:space="preserve"> </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11</w:t>
            </w:r>
            <w:r>
              <w:rPr>
                <w:rFonts w:hint="default" w:ascii="仿宋" w:hAnsi="仿宋" w:cs="仿宋"/>
                <w:color w:val="auto"/>
                <w:highlight w:val="none"/>
              </w:rPr>
              <w:t>、电池容量：待机时长(h)≥120小时，通话时长(h)≥24小时，另配置同等容量的备用电池1块；</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color w:val="auto"/>
                <w:highlight w:val="none"/>
                <w:lang w:eastAsia="zh-CN"/>
              </w:rPr>
            </w:pPr>
            <w:r>
              <w:rPr>
                <w:rFonts w:hint="eastAsia" w:ascii="仿宋" w:hAnsi="仿宋" w:cs="仿宋"/>
                <w:color w:val="auto"/>
                <w:highlight w:val="none"/>
                <w:lang w:val="en-US" w:eastAsia="zh-CN"/>
              </w:rPr>
              <w:t>12</w:t>
            </w:r>
            <w:r>
              <w:rPr>
                <w:rFonts w:hint="default" w:ascii="仿宋" w:hAnsi="仿宋" w:cs="仿宋"/>
                <w:color w:val="auto"/>
                <w:highlight w:val="none"/>
              </w:rPr>
              <w:t>、其他功能：内置气压计、指南针；、尺寸(mm) L*W*T：整机≤180*90*25mm；重量：含电池≤420g；</w:t>
            </w:r>
            <w:r>
              <w:rPr>
                <w:rFonts w:hint="eastAsia" w:ascii="仿宋" w:hAnsi="仿宋" w:cs="仿宋"/>
                <w:color w:val="auto"/>
                <w:highlight w:val="none"/>
                <w:lang w:val="en-US" w:eastAsia="zh-CN"/>
              </w:rPr>
              <w:t xml:space="preserve"> </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adjustRightInd w:val="0"/>
        <w:snapToGrid w:val="0"/>
        <w:spacing w:line="360" w:lineRule="auto"/>
        <w:ind w:right="105" w:rightChars="50"/>
        <w:jc w:val="left"/>
        <w:rPr>
          <w:rFonts w:hint="eastAsia" w:ascii="仿宋" w:hAnsi="仿宋" w:cs="仿宋"/>
          <w:b/>
          <w:color w:val="auto"/>
          <w:szCs w:val="21"/>
          <w:highlight w:val="none"/>
        </w:rPr>
      </w:pPr>
      <w:r>
        <w:rPr>
          <w:rFonts w:hint="eastAsia" w:ascii="仿宋" w:hAnsi="仿宋" w:cs="仿宋"/>
          <w:b/>
          <w:color w:val="auto"/>
          <w:szCs w:val="21"/>
          <w:highlight w:val="none"/>
        </w:rPr>
        <w:t>填表要求：</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1．“投标文件响应内容”一栏由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按照招标文件要求填写并进行逐项响应。</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3．“偏离说明”一栏由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对偏离的情况做详细说明。</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4．提供★标注项的技术指标和性能的详细说明(产品技术说明书、技术白皮书、产品彩页等文字资料、检测报告、图纸和数据均可)。</w:t>
      </w:r>
    </w:p>
    <w:p>
      <w:pPr>
        <w:snapToGrid w:val="0"/>
        <w:spacing w:line="36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36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pStyle w:val="39"/>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gridCol w:w="2318"/>
        <w:gridCol w:w="682"/>
        <w:gridCol w:w="764"/>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color w:val="auto"/>
                <w:highlight w:val="none"/>
                <w:lang w:val="en-US" w:eastAsia="zh-CN"/>
              </w:rPr>
            </w:pPr>
            <w:r>
              <w:rPr>
                <w:rFonts w:hint="eastAsia" w:ascii="仿宋" w:hAnsi="仿宋" w:eastAsia="仿宋" w:cs="仿宋"/>
                <w:color w:val="auto"/>
                <w:highlight w:val="none"/>
              </w:rPr>
              <w:br w:type="page"/>
            </w: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001-2</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产品名称：卫星电话</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16部</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blHeader/>
          <w:jc w:val="center"/>
        </w:trPr>
        <w:tc>
          <w:tcPr>
            <w:tcW w:w="92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23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6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7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2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b/>
                <w:bCs/>
                <w:color w:val="auto"/>
                <w:highlight w:val="none"/>
              </w:rPr>
            </w:pPr>
            <w:r>
              <w:rPr>
                <w:rFonts w:hint="default" w:ascii="仿宋" w:hAnsi="仿宋" w:cs="仿宋"/>
                <w:b/>
                <w:bCs/>
                <w:color w:val="auto"/>
                <w:highlight w:val="none"/>
              </w:rPr>
              <w:t>一、实质性要求（★）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b/>
                <w:bCs/>
                <w:color w:val="auto"/>
                <w:highlight w:val="none"/>
              </w:rPr>
            </w:pPr>
            <w:r>
              <w:rPr>
                <w:rFonts w:hint="default" w:ascii="仿宋" w:hAnsi="仿宋" w:cs="仿宋"/>
                <w:b/>
                <w:bCs/>
                <w:color w:val="auto"/>
                <w:highlight w:val="none"/>
              </w:rPr>
              <w:t>1、须提供投标产品天通核心基带和射频芯片技术声明函；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b/>
                <w:bCs/>
                <w:color w:val="auto"/>
                <w:highlight w:val="none"/>
              </w:rPr>
            </w:pPr>
            <w:r>
              <w:rPr>
                <w:rFonts w:hint="default" w:ascii="仿宋" w:hAnsi="仿宋" w:cs="仿宋"/>
                <w:b/>
                <w:bCs/>
                <w:color w:val="auto"/>
                <w:highlight w:val="none"/>
              </w:rPr>
              <w:t>2、提供投标产品1年卫星通信服务费。</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eastAsia="宋体"/>
                <w:b/>
                <w:bCs/>
                <w:color w:val="auto"/>
                <w:highlight w:val="none"/>
                <w:lang w:val="en-US" w:eastAsia="zh-CN"/>
              </w:rPr>
            </w:pPr>
            <w:r>
              <w:rPr>
                <w:rFonts w:hint="eastAsia" w:ascii="仿宋" w:hAnsi="仿宋" w:cs="仿宋"/>
                <w:b/>
                <w:bCs/>
                <w:color w:val="auto"/>
                <w:highlight w:val="none"/>
                <w:lang w:val="en-US" w:eastAsia="zh-CN"/>
              </w:rPr>
              <w:t>3、</w:t>
            </w:r>
            <w:r>
              <w:rPr>
                <w:rFonts w:hint="eastAsia" w:ascii="仿宋" w:hAnsi="仿宋" w:eastAsia="仿宋" w:cs="仿宋"/>
                <w:b/>
                <w:bCs/>
                <w:color w:val="auto"/>
                <w:kern w:val="2"/>
                <w:sz w:val="21"/>
                <w:szCs w:val="24"/>
                <w:highlight w:val="none"/>
                <w:lang w:val="en-US" w:eastAsia="zh-CN" w:bidi="ar-SA"/>
              </w:rPr>
              <w:t>根据采购单位要求，安装符合《消防装备物资物联网标识管理》规定的二维码和RFID标签，（车辆或器材）在交付前须完成国家消防救援局系统赋码工作，确保一物一码。</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二、一般指标性参数（●）</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1、基本功能：支持天通卫星移动网络话音、短信功能，支持地面全网通通信功能；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eastAsia" w:ascii="仿宋" w:hAnsi="仿宋" w:eastAsia="仿宋" w:cs="仿宋"/>
                <w:color w:val="auto"/>
                <w:highlight w:val="none"/>
                <w:lang w:eastAsia="zh-CN"/>
              </w:rPr>
            </w:pPr>
            <w:r>
              <w:rPr>
                <w:rFonts w:hint="default" w:ascii="仿宋" w:hAnsi="仿宋" w:cs="仿宋"/>
                <w:color w:val="auto"/>
                <w:highlight w:val="none"/>
              </w:rPr>
              <w:t>2、接收频段：2170-2200MHz；发射频段：1980-2010MHz；</w:t>
            </w:r>
            <w:r>
              <w:rPr>
                <w:rFonts w:hint="eastAsia" w:ascii="仿宋" w:hAnsi="仿宋" w:cs="仿宋"/>
                <w:color w:val="auto"/>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3</w:t>
            </w:r>
            <w:r>
              <w:rPr>
                <w:rFonts w:hint="default" w:ascii="仿宋" w:hAnsi="仿宋" w:cs="仿宋"/>
                <w:color w:val="auto"/>
                <w:highlight w:val="none"/>
              </w:rPr>
              <w:t>、卫星语音速率：支持1.2kbps/2.4kbps/4.0kbps；</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4</w:t>
            </w:r>
            <w:r>
              <w:rPr>
                <w:rFonts w:hint="default" w:ascii="仿宋" w:hAnsi="仿宋" w:cs="仿宋"/>
                <w:color w:val="auto"/>
                <w:highlight w:val="none"/>
              </w:rPr>
              <w:t>、显示单元：≥2.6英寸，分辨率≥240*320像素；</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5</w:t>
            </w:r>
            <w:r>
              <w:rPr>
                <w:rFonts w:hint="default" w:ascii="仿宋" w:hAnsi="仿宋" w:cs="仿宋"/>
                <w:color w:val="auto"/>
                <w:highlight w:val="none"/>
              </w:rPr>
              <w:t>、存储单元：运行内存≥4GB，机身内存≥64GB，最大存储扩展≥64GB；</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6</w:t>
            </w:r>
            <w:r>
              <w:rPr>
                <w:rFonts w:hint="default" w:ascii="仿宋" w:hAnsi="仿宋" w:cs="仿宋"/>
                <w:color w:val="auto"/>
                <w:highlight w:val="none"/>
              </w:rPr>
              <w:t>、电池容量：≥5000mAh，电池可拆卸，另配置同等容量的备用电池1块；</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7</w:t>
            </w:r>
            <w:r>
              <w:rPr>
                <w:rFonts w:hint="default" w:ascii="仿宋" w:hAnsi="仿宋" w:cs="仿宋"/>
                <w:color w:val="auto"/>
                <w:highlight w:val="none"/>
              </w:rPr>
              <w:t>、摄像功能：后置≥1300万像素摄像头，具备闪光灯（附加手电筒功能）；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8</w:t>
            </w:r>
            <w:r>
              <w:rPr>
                <w:rFonts w:hint="default" w:ascii="仿宋" w:hAnsi="仿宋" w:cs="仿宋"/>
                <w:color w:val="auto"/>
                <w:highlight w:val="none"/>
              </w:rPr>
              <w:t>、按键：支持全功能物理按键键盘；</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9</w:t>
            </w:r>
            <w:r>
              <w:rPr>
                <w:rFonts w:hint="default" w:ascii="仿宋" w:hAnsi="仿宋" w:cs="仿宋"/>
                <w:color w:val="auto"/>
                <w:highlight w:val="none"/>
              </w:rPr>
              <w:t>、外部接口：USB TYPE-C接口，有线耳机接口，一键SOS，并预留独立座充接口；</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10</w:t>
            </w:r>
            <w:r>
              <w:rPr>
                <w:rFonts w:hint="default" w:ascii="仿宋" w:hAnsi="仿宋" w:cs="仿宋"/>
                <w:color w:val="auto"/>
                <w:highlight w:val="none"/>
              </w:rPr>
              <w:t>、终端天线：旋转角度≥240°，天线可拆卸，并支持外接小型车载吸顶天线扩展使用场景；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11</w:t>
            </w:r>
            <w:r>
              <w:rPr>
                <w:rFonts w:hint="default" w:ascii="仿宋" w:hAnsi="仿宋" w:cs="仿宋"/>
                <w:color w:val="auto"/>
                <w:highlight w:val="none"/>
              </w:rPr>
              <w:t>、工作时长：待机≥120小时，通话≥9小时；重量：≤300g；工作温度：-20℃～﹢55℃；防护等级：≥IP68；</w:t>
            </w:r>
            <w:r>
              <w:rPr>
                <w:rFonts w:hint="eastAsia" w:ascii="仿宋" w:hAnsi="仿宋" w:cs="仿宋"/>
                <w:color w:val="auto"/>
                <w:highlight w:val="none"/>
                <w:lang w:val="en-US" w:eastAsia="zh-CN"/>
              </w:rPr>
              <w:t xml:space="preserve"> </w:t>
            </w:r>
          </w:p>
        </w:tc>
        <w:tc>
          <w:tcPr>
            <w:tcW w:w="23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6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23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tabs>
                <w:tab w:val="left" w:pos="-61"/>
              </w:tabs>
              <w:kinsoku/>
              <w:wordWrap/>
              <w:overflowPunct/>
              <w:topLinePunct w:val="0"/>
              <w:autoSpaceDE/>
              <w:autoSpaceDN/>
              <w:bidi w:val="0"/>
              <w:adjustRightInd w:val="0"/>
              <w:snapToGrid w:val="0"/>
              <w:spacing w:before="0" w:beforeAutospacing="0" w:after="0" w:afterAutospacing="0" w:line="240" w:lineRule="exact"/>
              <w:ind w:left="0" w:right="-55" w:rightChars="-26"/>
              <w:jc w:val="center"/>
              <w:textAlignment w:val="auto"/>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6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adjustRightInd w:val="0"/>
        <w:snapToGrid w:val="0"/>
        <w:spacing w:line="360" w:lineRule="auto"/>
        <w:ind w:right="105" w:rightChars="50"/>
        <w:jc w:val="left"/>
        <w:rPr>
          <w:rFonts w:hint="eastAsia" w:ascii="仿宋" w:hAnsi="仿宋" w:cs="仿宋"/>
          <w:b/>
          <w:color w:val="auto"/>
          <w:szCs w:val="21"/>
          <w:highlight w:val="none"/>
        </w:rPr>
      </w:pPr>
    </w:p>
    <w:p>
      <w:pPr>
        <w:adjustRightInd w:val="0"/>
        <w:snapToGrid w:val="0"/>
        <w:spacing w:line="360" w:lineRule="auto"/>
        <w:ind w:right="105" w:rightChars="50"/>
        <w:jc w:val="left"/>
        <w:rPr>
          <w:rFonts w:hint="eastAsia" w:ascii="仿宋" w:hAnsi="仿宋" w:cs="仿宋"/>
          <w:b/>
          <w:color w:val="auto"/>
          <w:szCs w:val="21"/>
          <w:highlight w:val="none"/>
        </w:rPr>
      </w:pPr>
      <w:r>
        <w:rPr>
          <w:rFonts w:hint="eastAsia" w:ascii="仿宋" w:hAnsi="仿宋" w:cs="仿宋"/>
          <w:b/>
          <w:color w:val="auto"/>
          <w:szCs w:val="21"/>
          <w:highlight w:val="none"/>
        </w:rPr>
        <w:t>填表要求：</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1．“投标文件响应内容”一栏由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按照招标文件要求填写并进行逐项响应。</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3．“偏离说明”一栏由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对偏离的情况做详细说明。</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4．提供★标注项的技术指标和性能的详细说明(产品技术说明书、技术白皮书、产品彩页等文字资料、检测报告、图纸和数据均可)。</w:t>
      </w:r>
    </w:p>
    <w:p>
      <w:pPr>
        <w:snapToGrid w:val="0"/>
        <w:spacing w:line="24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24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pStyle w:val="39"/>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br w:type="page"/>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gridCol w:w="2318"/>
        <w:gridCol w:w="682"/>
        <w:gridCol w:w="764"/>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15"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color w:val="auto"/>
                <w:highlight w:val="none"/>
                <w:lang w:val="en-US" w:eastAsia="zh-CN"/>
              </w:rPr>
            </w:pPr>
            <w:r>
              <w:rPr>
                <w:rFonts w:hint="eastAsia" w:ascii="仿宋" w:hAnsi="仿宋" w:eastAsia="仿宋" w:cs="仿宋"/>
                <w:color w:val="auto"/>
                <w:highlight w:val="none"/>
              </w:rPr>
              <w:br w:type="page"/>
            </w:r>
            <w:r>
              <w:rPr>
                <w:rFonts w:hint="eastAsia" w:ascii="仿宋" w:hAnsi="仿宋" w:eastAsia="仿宋" w:cs="仿宋"/>
                <w:color w:val="auto"/>
                <w:highlight w:val="none"/>
              </w:rPr>
              <w:br w:type="page"/>
            </w: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001-3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产品名称：卫星便携站</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2台</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cs="仿宋"/>
                <w:color w:val="auto"/>
                <w:szCs w:val="21"/>
                <w:highlight w:val="none"/>
                <w:lang w:val="en-US" w:eastAsia="zh-CN"/>
              </w:rPr>
            </w:pPr>
            <w:r>
              <w:rPr>
                <w:rFonts w:hint="eastAsia" w:ascii="仿宋" w:hAnsi="仿宋" w:eastAsia="仿宋" w:cs="仿宋"/>
                <w:b/>
                <w:bCs/>
                <w:color w:val="auto"/>
                <w:kern w:val="2"/>
                <w:sz w:val="21"/>
                <w:szCs w:val="21"/>
                <w:highlight w:val="none"/>
                <w:lang w:val="en-US" w:eastAsia="zh-CN"/>
              </w:rPr>
              <w:t>是否为核心产品：是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blHeader/>
          <w:jc w:val="center"/>
        </w:trPr>
        <w:tc>
          <w:tcPr>
            <w:tcW w:w="92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23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6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7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2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b/>
                <w:bCs/>
                <w:color w:val="auto"/>
                <w:highlight w:val="none"/>
              </w:rPr>
            </w:pPr>
            <w:r>
              <w:rPr>
                <w:rFonts w:hint="default" w:ascii="仿宋" w:hAnsi="仿宋" w:cs="仿宋"/>
                <w:b/>
                <w:bCs/>
                <w:color w:val="auto"/>
                <w:highlight w:val="none"/>
              </w:rPr>
              <w:t>一、实质性要求（★）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b/>
                <w:bCs/>
                <w:color w:val="auto"/>
                <w:highlight w:val="none"/>
              </w:rPr>
            </w:pPr>
            <w:r>
              <w:rPr>
                <w:rFonts w:hint="default" w:ascii="仿宋" w:hAnsi="仿宋" w:cs="仿宋"/>
                <w:b/>
                <w:bCs/>
                <w:color w:val="auto"/>
                <w:highlight w:val="none"/>
              </w:rPr>
              <w:t>1、支持网管和业务双通道，可接入消防救援局卫星主站网管系统；支持网管信令加密传输；网管信道采用TDM/TDMA体制，返向链路支持控制和业务时隙，时隙数量动态可调，支持IP短报文传输；</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b/>
                <w:bCs/>
                <w:color w:val="auto"/>
                <w:highlight w:val="none"/>
              </w:rPr>
            </w:pPr>
            <w:r>
              <w:rPr>
                <w:rFonts w:hint="default" w:ascii="仿宋" w:hAnsi="仿宋" w:cs="仿宋"/>
                <w:b/>
                <w:bCs/>
                <w:color w:val="auto"/>
                <w:highlight w:val="none"/>
              </w:rPr>
              <w:t>2、内置MESH中继模块功率不小于2W，双发双收；</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b/>
                <w:bCs/>
                <w:color w:val="auto"/>
                <w:highlight w:val="none"/>
              </w:rPr>
            </w:pPr>
            <w:r>
              <w:rPr>
                <w:rFonts w:hint="default" w:ascii="仿宋" w:hAnsi="仿宋" w:cs="仿宋"/>
                <w:b/>
                <w:bCs/>
                <w:color w:val="auto"/>
                <w:highlight w:val="none"/>
              </w:rPr>
              <w:t>3、承诺所投产品验收前符合国家消防救援局《城市复杂建筑及重特大自然灾害现场联合作战关键应急通信装备建设方案》中背负式自组网单兵图传产品技术标准，与全省现有自组网基站和自组网单兵设备实现无线空口互联互通；</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b/>
                <w:bCs/>
                <w:color w:val="auto"/>
                <w:highlight w:val="none"/>
              </w:rPr>
            </w:pPr>
            <w:r>
              <w:rPr>
                <w:rFonts w:hint="default" w:ascii="仿宋" w:hAnsi="仿宋" w:cs="仿宋"/>
                <w:b/>
                <w:bCs/>
                <w:color w:val="auto"/>
                <w:highlight w:val="none"/>
              </w:rPr>
              <w:t>4、支持北斗定位（不依赖其他定位系统），需配合采购方接入国家消防救援局综合位置服务平台（提供承诺函）；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b/>
                <w:bCs/>
                <w:color w:val="auto"/>
                <w:highlight w:val="none"/>
              </w:rPr>
            </w:pPr>
            <w:r>
              <w:rPr>
                <w:rFonts w:hint="default" w:ascii="仿宋" w:hAnsi="仿宋" w:cs="仿宋"/>
                <w:b/>
                <w:bCs/>
                <w:color w:val="auto"/>
                <w:highlight w:val="none"/>
              </w:rPr>
              <w:t>5、每套配套1套多网融合自组网单兵（链路延申）、1台控制平板（控制及参数回显）、一体化航空运输箱（便于携行运输）。</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eastAsia" w:ascii="仿宋" w:hAnsi="仿宋" w:cs="仿宋"/>
                <w:b/>
                <w:bCs/>
                <w:color w:val="auto"/>
                <w:highlight w:val="none"/>
                <w:lang w:val="en-US" w:eastAsia="zh-CN"/>
              </w:rPr>
            </w:pPr>
            <w:r>
              <w:rPr>
                <w:rFonts w:hint="eastAsia" w:ascii="仿宋" w:hAnsi="仿宋" w:cs="仿宋"/>
                <w:b/>
                <w:bCs/>
                <w:color w:val="auto"/>
                <w:highlight w:val="none"/>
                <w:lang w:val="en-US" w:eastAsia="zh-CN"/>
              </w:rPr>
              <w:t>6、根据采购单位要求，安装符合《消防装备物资物联网标识管理》规定的二维码和RFID标签，（车辆或器材）在交付前须完成部局系统赋码工作，确保一物一码。</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一、一般指标性参数（●）</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1、通信能力：一体化设计，卫星便携站内置卫星通信模块、Mesh通信模块、5G通信模块；</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default" w:ascii="仿宋" w:hAnsi="仿宋" w:cs="仿宋"/>
                <w:color w:val="auto"/>
                <w:highlight w:val="none"/>
              </w:rPr>
              <w:t>2、工作频率：发射：14 GHz ～14.5GHz，接收：12.25 GHz～12.75 GHz；</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eastAsia" w:ascii="仿宋" w:hAnsi="仿宋" w:eastAsia="仿宋" w:cs="仿宋"/>
                <w:color w:val="auto"/>
                <w:highlight w:val="none"/>
                <w:lang w:eastAsia="zh-CN"/>
              </w:rPr>
            </w:pPr>
            <w:r>
              <w:rPr>
                <w:rFonts w:hint="default" w:ascii="仿宋" w:hAnsi="仿宋" w:cs="仿宋"/>
                <w:color w:val="auto"/>
                <w:highlight w:val="none"/>
              </w:rPr>
              <w:t>3、天线等效口径：≥0.6米；天线增益：发射≥35dBi, 接收≥34.5dBi；</w:t>
            </w:r>
            <w:r>
              <w:rPr>
                <w:rFonts w:hint="eastAsia" w:ascii="仿宋" w:hAnsi="仿宋" w:cs="仿宋"/>
                <w:color w:val="auto"/>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4</w:t>
            </w:r>
            <w:r>
              <w:rPr>
                <w:rFonts w:hint="default" w:ascii="仿宋" w:hAnsi="仿宋" w:cs="仿宋"/>
                <w:color w:val="auto"/>
                <w:highlight w:val="none"/>
              </w:rPr>
              <w:t>、数据速率：上行速率≥4Mbps、下行速率≥12Mbps；</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5</w:t>
            </w:r>
            <w:r>
              <w:rPr>
                <w:rFonts w:hint="default" w:ascii="仿宋" w:hAnsi="仿宋" w:cs="仿宋"/>
                <w:color w:val="auto"/>
                <w:highlight w:val="none"/>
              </w:rPr>
              <w:t>、调制解调方式：至少包括BPSK、QPSK、8PSK、16APSK；</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6</w:t>
            </w:r>
            <w:r>
              <w:rPr>
                <w:rFonts w:hint="default" w:ascii="仿宋" w:hAnsi="仿宋" w:cs="仿宋"/>
                <w:color w:val="auto"/>
                <w:highlight w:val="none"/>
              </w:rPr>
              <w:t>、输出功率：≥16W（42dBm）；</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7</w:t>
            </w:r>
            <w:r>
              <w:rPr>
                <w:rFonts w:hint="default" w:ascii="仿宋" w:hAnsi="仿宋" w:cs="仿宋"/>
                <w:color w:val="auto"/>
                <w:highlight w:val="none"/>
              </w:rPr>
              <w:t>、调整方式：手动调节方位、俯仰、极化，展开即可对星使用；</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8</w:t>
            </w:r>
            <w:r>
              <w:rPr>
                <w:rFonts w:hint="default" w:ascii="仿宋" w:hAnsi="仿宋" w:cs="仿宋"/>
                <w:color w:val="auto"/>
                <w:highlight w:val="none"/>
              </w:rPr>
              <w:t>、MESH通信能力：支持 1420-1520MHz 工作频段；中继模块与基站之间数据带宽≥80Mbps；支持 6 跳以上组网，最末端带宽满足 8Mbps 以上；</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9</w:t>
            </w:r>
            <w:r>
              <w:rPr>
                <w:rFonts w:hint="default" w:ascii="仿宋" w:hAnsi="仿宋" w:cs="仿宋"/>
                <w:color w:val="auto"/>
                <w:highlight w:val="none"/>
              </w:rPr>
              <w:t>、内置方位俯仰极化传感器：能实时显示卫星站理论角度和实际角度信息；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10</w:t>
            </w:r>
            <w:r>
              <w:rPr>
                <w:rFonts w:hint="default" w:ascii="仿宋" w:hAnsi="仿宋" w:cs="仿宋"/>
                <w:color w:val="auto"/>
                <w:highlight w:val="none"/>
              </w:rPr>
              <w:t>、内置简单频谱仪：可查看载波和信标状态；支持智能辅助对星；</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11</w:t>
            </w:r>
            <w:r>
              <w:rPr>
                <w:rFonts w:hint="default" w:ascii="仿宋" w:hAnsi="仿宋" w:cs="仿宋"/>
                <w:color w:val="auto"/>
                <w:highlight w:val="none"/>
              </w:rPr>
              <w:t>、防护等级：≥IP65；整站开通时间：≤3分钟；</w:t>
            </w:r>
            <w:r>
              <w:rPr>
                <w:rFonts w:hint="eastAsia" w:ascii="仿宋" w:hAnsi="仿宋" w:cs="仿宋"/>
                <w:color w:val="auto"/>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12</w:t>
            </w:r>
            <w:r>
              <w:rPr>
                <w:rFonts w:hint="default" w:ascii="仿宋" w:hAnsi="仿宋" w:cs="仿宋"/>
                <w:color w:val="auto"/>
                <w:highlight w:val="none"/>
              </w:rPr>
              <w:t>、业务传输：内置音视频会议板卡，支持不少于14路单兵音视频同时接入调度；支持现场音视频及单兵佩戴终端数据通过Mesh信道回传至卫星站；支持后指、前指、灾害现场三方语音通话；具备多路本地视频监控、画面按模板显示、多路视频合路回传等能力；能实现720P以上高清图像传输；</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13</w:t>
            </w:r>
            <w:r>
              <w:rPr>
                <w:rFonts w:hint="default" w:ascii="仿宋" w:hAnsi="仿宋" w:cs="仿宋"/>
                <w:color w:val="auto"/>
                <w:highlight w:val="none"/>
              </w:rPr>
              <w:t>、便民服务：内置便民电话APP，支持受灾群众通过卫星链路拨打公网电话；其他：内置摄像头、扬声器；</w:t>
            </w:r>
            <w:r>
              <w:rPr>
                <w:rFonts w:hint="eastAsia" w:ascii="仿宋" w:hAnsi="仿宋" w:cs="仿宋"/>
                <w:color w:val="auto"/>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14</w:t>
            </w:r>
            <w:r>
              <w:rPr>
                <w:rFonts w:hint="default" w:ascii="仿宋" w:hAnsi="仿宋" w:cs="仿宋"/>
                <w:color w:val="auto"/>
                <w:highlight w:val="none"/>
              </w:rPr>
              <w:t>、屏幕显示：提供12英寸以上，高亮显示屏（分辨率≥720P）</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15</w:t>
            </w:r>
            <w:r>
              <w:rPr>
                <w:rFonts w:hint="default" w:ascii="仿宋" w:hAnsi="仿宋" w:cs="仿宋"/>
                <w:color w:val="auto"/>
                <w:highlight w:val="none"/>
              </w:rPr>
              <w:t>、外形尺寸：长宽高不超过600×400×60mm(不含支架)，整站重量≤12kg；</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16</w:t>
            </w:r>
            <w:r>
              <w:rPr>
                <w:rFonts w:hint="default" w:ascii="仿宋" w:hAnsi="仿宋" w:cs="仿宋"/>
                <w:color w:val="auto"/>
                <w:highlight w:val="none"/>
              </w:rPr>
              <w:t>、配套提供</w:t>
            </w:r>
            <w:r>
              <w:rPr>
                <w:rFonts w:hint="eastAsia" w:ascii="仿宋" w:hAnsi="仿宋" w:cs="仿宋"/>
                <w:color w:val="auto"/>
                <w:highlight w:val="none"/>
                <w:lang w:val="en-US" w:eastAsia="zh-CN"/>
              </w:rPr>
              <w:t>的</w:t>
            </w:r>
            <w:r>
              <w:rPr>
                <w:rFonts w:hint="default" w:ascii="仿宋" w:hAnsi="仿宋" w:cs="仿宋"/>
                <w:color w:val="auto"/>
                <w:highlight w:val="none"/>
              </w:rPr>
              <w:t>多网融合自组网单兵，与卫星便携站内的MESH模块无线互联互通，图像直接进入消防图像综合管理平台；多网融合自组网单兵内置不小于2.4寸彩色显示屏幕，可以查看设备状态、链路状态等，方便管理；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exact"/>
              <w:ind w:left="0" w:right="105" w:rightChars="50"/>
              <w:jc w:val="left"/>
              <w:textAlignment w:val="auto"/>
              <w:rPr>
                <w:rFonts w:hint="default" w:ascii="仿宋" w:hAnsi="仿宋" w:cs="仿宋"/>
                <w:color w:val="auto"/>
                <w:highlight w:val="none"/>
              </w:rPr>
            </w:pPr>
            <w:r>
              <w:rPr>
                <w:rFonts w:hint="eastAsia" w:ascii="仿宋" w:hAnsi="仿宋" w:cs="仿宋"/>
                <w:color w:val="auto"/>
                <w:highlight w:val="none"/>
                <w:lang w:val="en-US" w:eastAsia="zh-CN"/>
              </w:rPr>
              <w:t>17</w:t>
            </w:r>
            <w:r>
              <w:rPr>
                <w:rFonts w:hint="default" w:ascii="仿宋" w:hAnsi="仿宋" w:cs="仿宋"/>
                <w:color w:val="auto"/>
                <w:highlight w:val="none"/>
              </w:rPr>
              <w:t>、配套控制平板，处理器核心数≥8核，≥7寸以上高亮触摸屏，≥256G运行内存，安装便民电话APP，拨打卫星电话；</w:t>
            </w:r>
          </w:p>
        </w:tc>
        <w:tc>
          <w:tcPr>
            <w:tcW w:w="23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6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231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tabs>
                <w:tab w:val="left" w:pos="-61"/>
              </w:tabs>
              <w:kinsoku/>
              <w:wordWrap/>
              <w:overflowPunct/>
              <w:topLinePunct w:val="0"/>
              <w:autoSpaceDE/>
              <w:autoSpaceDN/>
              <w:bidi w:val="0"/>
              <w:adjustRightInd w:val="0"/>
              <w:snapToGrid w:val="0"/>
              <w:spacing w:before="0" w:beforeAutospacing="0" w:after="0" w:afterAutospacing="0" w:line="240" w:lineRule="exact"/>
              <w:ind w:left="0" w:right="-55" w:rightChars="-26"/>
              <w:jc w:val="center"/>
              <w:textAlignment w:val="auto"/>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6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2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adjustRightInd w:val="0"/>
        <w:snapToGrid w:val="0"/>
        <w:spacing w:line="360" w:lineRule="auto"/>
        <w:ind w:right="105" w:rightChars="50"/>
        <w:jc w:val="left"/>
        <w:rPr>
          <w:rFonts w:hint="eastAsia" w:ascii="仿宋" w:hAnsi="仿宋" w:cs="仿宋"/>
          <w:b/>
          <w:color w:val="auto"/>
          <w:szCs w:val="21"/>
          <w:highlight w:val="none"/>
        </w:rPr>
      </w:pPr>
    </w:p>
    <w:p>
      <w:pPr>
        <w:adjustRightInd w:val="0"/>
        <w:snapToGrid w:val="0"/>
        <w:spacing w:line="360" w:lineRule="auto"/>
        <w:ind w:right="105" w:rightChars="50"/>
        <w:jc w:val="left"/>
        <w:rPr>
          <w:rFonts w:hint="eastAsia" w:ascii="仿宋" w:hAnsi="仿宋" w:cs="仿宋"/>
          <w:b/>
          <w:color w:val="auto"/>
          <w:szCs w:val="21"/>
          <w:highlight w:val="none"/>
        </w:rPr>
      </w:pPr>
      <w:r>
        <w:rPr>
          <w:rFonts w:hint="eastAsia" w:ascii="仿宋" w:hAnsi="仿宋" w:cs="仿宋"/>
          <w:b/>
          <w:color w:val="auto"/>
          <w:szCs w:val="21"/>
          <w:highlight w:val="none"/>
        </w:rPr>
        <w:t>填表要求：</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1．“投标文件响应内容”一栏由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按照招标文件要求填写并进行逐项响应。</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3．“偏离说明”一栏由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对偏离的情况做详细说明。</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4．提供★标注项的技术指标和性能的详细说明(产品技术说明书、技术白皮书、产品彩页等文字资料、检测报告、图纸和数据均可)。</w:t>
      </w:r>
    </w:p>
    <w:p>
      <w:pPr>
        <w:snapToGrid w:val="0"/>
        <w:spacing w:line="24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24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pStyle w:val="39"/>
        <w:spacing w:line="240" w:lineRule="auto"/>
        <w:rPr>
          <w:rFonts w:hint="eastAsia" w:ascii="仿宋" w:hAnsi="仿宋" w:eastAsia="仿宋" w:cs="仿宋"/>
          <w:color w:val="auto"/>
          <w:highlight w:val="none"/>
        </w:rPr>
        <w:sectPr>
          <w:pgSz w:w="16838" w:h="11906" w:orient="landscape"/>
          <w:pgMar w:top="1701" w:right="1417" w:bottom="1701" w:left="1417" w:header="851" w:footer="992" w:gutter="0"/>
          <w:cols w:space="0" w:num="1"/>
          <w:rtlGutter w:val="0"/>
          <w:docGrid w:type="lines" w:linePitch="312" w:charSpace="0"/>
        </w:sect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br w:type="page"/>
      </w:r>
    </w:p>
    <w:p>
      <w:pPr>
        <w:jc w:val="center"/>
        <w:rPr>
          <w:rFonts w:hint="eastAsia" w:ascii="仿宋" w:hAnsi="仿宋" w:cs="仿宋"/>
          <w:b/>
          <w:bCs/>
          <w:color w:val="auto"/>
          <w:sz w:val="32"/>
          <w:szCs w:val="32"/>
          <w:highlight w:val="none"/>
        </w:rPr>
      </w:pPr>
      <w:r>
        <w:rPr>
          <w:rFonts w:hint="eastAsia" w:ascii="仿宋" w:hAnsi="仿宋" w:cs="仿宋"/>
          <w:b/>
          <w:bCs/>
          <w:color w:val="auto"/>
          <w:sz w:val="32"/>
          <w:szCs w:val="32"/>
          <w:highlight w:val="none"/>
        </w:rPr>
        <w:t>技术规格偏离表（00</w:t>
      </w:r>
      <w:r>
        <w:rPr>
          <w:rFonts w:hint="eastAsia" w:ascii="仿宋" w:hAnsi="仿宋" w:cs="仿宋"/>
          <w:b/>
          <w:bCs/>
          <w:color w:val="auto"/>
          <w:sz w:val="32"/>
          <w:szCs w:val="32"/>
          <w:highlight w:val="none"/>
          <w:lang w:val="en-US" w:eastAsia="zh-CN"/>
        </w:rPr>
        <w:t>8</w:t>
      </w:r>
      <w:r>
        <w:rPr>
          <w:rFonts w:hint="eastAsia" w:ascii="仿宋" w:hAnsi="仿宋" w:cs="仿宋"/>
          <w:b/>
          <w:bCs/>
          <w:color w:val="auto"/>
          <w:sz w:val="32"/>
          <w:szCs w:val="32"/>
          <w:highlight w:val="none"/>
        </w:rPr>
        <w:t>包）</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98"/>
        <w:gridCol w:w="2332"/>
        <w:gridCol w:w="750"/>
        <w:gridCol w:w="873"/>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008-1</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产品名称：背负式可视系统</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6套</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blHeader/>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一、实质性要求（★）</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1、承诺所投产品内置音视频编码板，前端采集的视频可以直接回传至消防图像综合管理系统，在消防图像综合管理系统平台资源树可直接调取单兵视频资源，并可以与单兵之间发起双向语音通信，并查询定位信息；</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2、承诺所投产品验收前须与全省现有宽带自组网设备（宽带自组网基站和自组网单兵）实现无线空口互联互通；</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3、承诺所投产品验收前通过国家消防救援局《现场联合作战关键通信装备检查核验》，符合通信距离和传输带宽核验要求，方可验收合格；</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4、采用北斗卫星定位，定位数据可实时上传至国家消防救援局消防综合定位服务平台（提供承诺函）；</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5、每套包含1部摄像机，要求4K高清数码摄像机，光学变焦≥15倍，5轴防抖，≥1×HDMI输出，≥1×1900mAh 电池。</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仿宋" w:hAnsi="仿宋" w:eastAsia="仿宋" w:cs="仿宋"/>
                <w:b/>
                <w:bCs/>
                <w:color w:val="auto"/>
                <w:kern w:val="2"/>
                <w:sz w:val="21"/>
                <w:szCs w:val="24"/>
                <w:highlight w:val="none"/>
                <w:lang w:val="en-US" w:eastAsia="zh-CN" w:bidi="ar-SA"/>
              </w:rPr>
            </w:pPr>
            <w:r>
              <w:rPr>
                <w:rFonts w:hint="eastAsia" w:ascii="仿宋" w:hAnsi="仿宋" w:eastAsia="仿宋" w:cs="仿宋"/>
                <w:b/>
                <w:bCs/>
                <w:color w:val="auto"/>
                <w:kern w:val="2"/>
                <w:sz w:val="21"/>
                <w:szCs w:val="24"/>
                <w:highlight w:val="none"/>
                <w:lang w:val="en-US" w:eastAsia="zh-CN" w:bidi="ar-SA"/>
              </w:rPr>
              <w:t>6、</w:t>
            </w:r>
            <w:r>
              <w:rPr>
                <w:rFonts w:hint="default" w:ascii="仿宋" w:hAnsi="仿宋" w:eastAsia="仿宋" w:cs="仿宋"/>
                <w:b/>
                <w:bCs/>
                <w:color w:val="auto"/>
                <w:kern w:val="2"/>
                <w:sz w:val="21"/>
                <w:szCs w:val="24"/>
                <w:highlight w:val="none"/>
                <w:lang w:val="en-US" w:eastAsia="zh-CN" w:bidi="ar-SA"/>
              </w:rPr>
              <w:t>根据采购单位要求，安装符合《消防装备物资物联网标识管理》规定的二维码和RFID标签，（车辆或器材）在交付前须完成国家消防救援局系统赋码工作，确保一物一码。</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二、一般指标性参数（●）</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1、功能要求：支持一键式开机，与无线中继台配合使用；</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2、配置全向天线情况下,视距场景与图像自组网基站间传输距离≥4km，且无线传输速率≥4Mbps；</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3、支持1420-1520MHz工作频段。中心频点可调，10MHz和20MHz频宽可调，频点可自动与无线中继台（图像自组网基站）保持同步；</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4、发射功率：1-2W，支持双发双收；</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5、接口要求：提供HDMI视频和3.5mm音频接口，提供网口，支持WiFi、蓝牙接入，内置5G全网通双卡模块，支持5G双SIM卡接入公网功能；</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6、防护等级：≥IP67；</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color w:val="auto"/>
                <w:highlight w:val="none"/>
                <w:lang w:eastAsia="zh-CN"/>
              </w:rPr>
            </w:pPr>
            <w:r>
              <w:rPr>
                <w:rFonts w:hint="default" w:ascii="仿宋" w:hAnsi="仿宋" w:cs="仿宋"/>
                <w:color w:val="auto"/>
                <w:highlight w:val="none"/>
              </w:rPr>
              <w:t>7、重量：≤1kg；工作温度：满足-30℃~+65℃；工作时长：≥6小时，待机时长≥12小时；</w:t>
            </w:r>
            <w:r>
              <w:rPr>
                <w:rFonts w:hint="eastAsia" w:ascii="仿宋" w:hAnsi="仿宋" w:cs="仿宋"/>
                <w:color w:val="auto"/>
                <w:highlight w:val="none"/>
                <w:lang w:val="en-US" w:eastAsia="zh-CN"/>
              </w:rPr>
              <w:t xml:space="preserve"> </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8</w:t>
            </w:r>
            <w:r>
              <w:rPr>
                <w:rFonts w:hint="default" w:ascii="仿宋" w:hAnsi="仿宋" w:cs="仿宋"/>
                <w:color w:val="auto"/>
                <w:highlight w:val="none"/>
              </w:rPr>
              <w:t>、采用北斗卫星定位（不依赖其他定位系统），可提供地理位置定位功能，定位数据可实时上传至国家消防救援局消防综合定位服务平台；</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9</w:t>
            </w:r>
            <w:r>
              <w:rPr>
                <w:rFonts w:hint="default" w:ascii="仿宋" w:hAnsi="仿宋" w:cs="仿宋"/>
                <w:color w:val="auto"/>
                <w:highlight w:val="none"/>
              </w:rPr>
              <w:t>、提供移动端APP和PC端WEB管理工具，支持拓扑呈现、设备和链路状态监测、数据配置等功能；</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10</w:t>
            </w:r>
            <w:r>
              <w:rPr>
                <w:rFonts w:hint="default" w:ascii="仿宋" w:hAnsi="仿宋" w:cs="仿宋"/>
                <w:color w:val="auto"/>
                <w:highlight w:val="none"/>
              </w:rPr>
              <w:t>、内置不小于2.4寸彩色液晶显示屏可查看设备状态、链路状态、视频传输状态、与相邻终端的直线距离等；</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adjustRightInd w:val="0"/>
        <w:snapToGrid w:val="0"/>
        <w:spacing w:line="360" w:lineRule="auto"/>
        <w:ind w:right="105" w:rightChars="50"/>
        <w:jc w:val="left"/>
        <w:rPr>
          <w:rFonts w:hint="eastAsia" w:ascii="仿宋" w:hAnsi="仿宋" w:cs="仿宋"/>
          <w:b/>
          <w:color w:val="auto"/>
          <w:szCs w:val="21"/>
          <w:highlight w:val="none"/>
        </w:rPr>
      </w:pPr>
      <w:r>
        <w:rPr>
          <w:rFonts w:hint="eastAsia" w:ascii="仿宋" w:hAnsi="仿宋" w:cs="仿宋"/>
          <w:b/>
          <w:color w:val="auto"/>
          <w:szCs w:val="21"/>
          <w:highlight w:val="none"/>
        </w:rPr>
        <w:t>填表要求：</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1．“投标文件响应内容”一栏由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按照招标文件要求填写并进行逐项响应。</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3．“偏离说明”一栏由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对偏离的情况做详细说明。</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4．提供★标注项的技术指标和性能的详细说明(产品技术说明书、技术白皮书、产品彩页等文字资料、检测报告、图纸和数据均可)。</w:t>
      </w:r>
    </w:p>
    <w:p>
      <w:pPr>
        <w:snapToGrid w:val="0"/>
        <w:spacing w:line="24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24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pStyle w:val="39"/>
        <w:spacing w:line="24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pPr>
        <w:jc w:val="center"/>
        <w:rPr>
          <w:rFonts w:hint="eastAsia" w:ascii="仿宋" w:hAnsi="仿宋" w:cs="仿宋"/>
          <w:b/>
          <w:bCs/>
          <w:color w:val="auto"/>
          <w:sz w:val="32"/>
          <w:szCs w:val="32"/>
          <w:highlight w:val="none"/>
        </w:rPr>
      </w:pPr>
      <w:r>
        <w:rPr>
          <w:rFonts w:hint="eastAsia" w:ascii="仿宋" w:hAnsi="仿宋" w:cs="仿宋"/>
          <w:b/>
          <w:bCs/>
          <w:color w:val="auto"/>
          <w:sz w:val="32"/>
          <w:szCs w:val="32"/>
          <w:highlight w:val="none"/>
        </w:rPr>
        <w:t>技术规格偏离表（00</w:t>
      </w:r>
      <w:r>
        <w:rPr>
          <w:rFonts w:hint="eastAsia" w:ascii="仿宋" w:hAnsi="仿宋" w:cs="仿宋"/>
          <w:b/>
          <w:bCs/>
          <w:color w:val="auto"/>
          <w:sz w:val="32"/>
          <w:szCs w:val="32"/>
          <w:highlight w:val="none"/>
          <w:lang w:val="en-US" w:eastAsia="zh-CN"/>
        </w:rPr>
        <w:t>8</w:t>
      </w:r>
      <w:r>
        <w:rPr>
          <w:rFonts w:hint="eastAsia" w:ascii="仿宋" w:hAnsi="仿宋" w:cs="仿宋"/>
          <w:b/>
          <w:bCs/>
          <w:color w:val="auto"/>
          <w:sz w:val="32"/>
          <w:szCs w:val="32"/>
          <w:highlight w:val="none"/>
        </w:rPr>
        <w:t>包）</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98"/>
        <w:gridCol w:w="2332"/>
        <w:gridCol w:w="750"/>
        <w:gridCol w:w="873"/>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008-2</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产品名称：无线中继台</w:t>
            </w:r>
          </w:p>
          <w:p>
            <w:pPr>
              <w:pStyle w:val="19"/>
              <w:keepNext w:val="0"/>
              <w:keepLines w:val="0"/>
              <w:widowControl w:val="0"/>
              <w:suppressLineNumbers w:val="0"/>
              <w:adjustRightInd w:val="0"/>
              <w:snapToGrid w:val="0"/>
              <w:spacing w:before="0" w:beforeAutospacing="0" w:after="0" w:afterAutospacing="0"/>
              <w:ind w:left="0" w:right="0"/>
              <w:jc w:val="both"/>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6台</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cs="仿宋"/>
                <w:color w:val="auto"/>
                <w:szCs w:val="21"/>
                <w:highlight w:val="none"/>
                <w:lang w:val="en-US" w:eastAsia="zh-CN"/>
              </w:rPr>
            </w:pPr>
            <w:r>
              <w:rPr>
                <w:rFonts w:hint="eastAsia" w:ascii="仿宋" w:hAnsi="仿宋" w:eastAsia="仿宋" w:cs="仿宋"/>
                <w:b/>
                <w:bCs/>
                <w:color w:val="auto"/>
                <w:kern w:val="2"/>
                <w:sz w:val="21"/>
                <w:szCs w:val="21"/>
                <w:highlight w:val="none"/>
                <w:lang w:val="en-US" w:eastAsia="zh-CN"/>
              </w:rPr>
              <w:t>是否为核心产品：是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blHeader/>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一、实质性要求（★）</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1、承诺所投产品要求与全省现有自组网设备（自组网基站和自组网单兵）实现无线空口互联互通；</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2、承诺所投产品验收前通过国家消防救援局《现场联合作战关键通信装备检查核验》，符合通信距离和传输带宽（单跳无线传输速率≥80Mbps，级联6跳之后最末带宽≥8Mbps）核验要求，方可验收合格；</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3、采用北斗卫星定位，定位数据可实时上传至国家消防救援局消防综合定位服务平台。（提供承诺函）</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i w:val="0"/>
                <w:iCs w:val="0"/>
                <w:color w:val="auto"/>
                <w:kern w:val="0"/>
                <w:sz w:val="21"/>
                <w:szCs w:val="21"/>
                <w:highlight w:val="none"/>
                <w:u w:val="none"/>
                <w:lang w:val="en-US" w:eastAsia="zh-CN" w:bidi="ar"/>
              </w:rPr>
              <w:t>4、根据采购单位要求，安装符合《消防装备物资物联网标识管理》规定的二维码和RFID标签，器材在交付前须完成国家消防救援局系统赋码工作，确保一物一码。</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二、一般指标性参数（●）</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1、接口要求：一体化铠装防水双芯光口≥2个，防水网口≥1个，支持WiFi和5G全网通公网；</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2、便捷性：支持一键式开机；</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3、频率：支持512-582MHz或1420-1520MHz工作频段，中心频点可调，10MHz和20MHz频宽可调，支持频段内自动跳频选择无干扰频点；</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4、发射功率：≥10w，功率可调 ，支持双发双收；</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5、接入及吞吐量：可接入1.4GHz或500MHz单兵终端，且数据吞吐量≥80Mbps；</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6、混合组网：支持有线（光纤接口+网线接口）与无线混合组网，基站间可通过有线、无线互联，终端可在基站间平滑切换，保证业务不中断；</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7、其他功能需求：基站内置不小于2.4寸液晶具备显示屏幕，可以查看设备状态、链路状态、与相邻基站或终端的直线距离等，支持通过屏幕按钮快速配置；</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8、连续工作时长：≥12小时，待机时长≥24小时，设备关机状态下，可以快速检查电池剩余电量；</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9、防护等级：≥IP67；</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10、重量：≤6kg；工作温度：-30℃~+65℃；</w:t>
            </w:r>
            <w:r>
              <w:rPr>
                <w:rFonts w:hint="eastAsia" w:ascii="仿宋" w:hAnsi="仿宋" w:cs="仿宋"/>
                <w:i w:val="0"/>
                <w:iCs w:val="0"/>
                <w:color w:val="auto"/>
                <w:kern w:val="0"/>
                <w:sz w:val="21"/>
                <w:szCs w:val="21"/>
                <w:highlight w:val="none"/>
                <w:u w:val="none"/>
                <w:lang w:val="en-US" w:eastAsia="zh-CN" w:bidi="ar"/>
              </w:rPr>
              <w:t xml:space="preserve"> </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i w:val="0"/>
                <w:iCs w:val="0"/>
                <w:color w:val="auto"/>
                <w:kern w:val="0"/>
                <w:sz w:val="21"/>
                <w:szCs w:val="21"/>
                <w:highlight w:val="none"/>
                <w:u w:val="none"/>
                <w:lang w:val="en-US" w:eastAsia="zh-CN" w:bidi="ar"/>
              </w:rPr>
              <w:t>11</w:t>
            </w:r>
            <w:r>
              <w:rPr>
                <w:rFonts w:hint="eastAsia" w:ascii="仿宋" w:hAnsi="仿宋" w:eastAsia="仿宋" w:cs="仿宋"/>
                <w:i w:val="0"/>
                <w:iCs w:val="0"/>
                <w:color w:val="auto"/>
                <w:kern w:val="0"/>
                <w:sz w:val="21"/>
                <w:szCs w:val="21"/>
                <w:highlight w:val="none"/>
                <w:u w:val="none"/>
                <w:lang w:val="en-US" w:eastAsia="zh-CN" w:bidi="ar"/>
              </w:rPr>
              <w:t>、管理功能：提供移动端APP和PC端WEB管理工具，支持拓扑呈现、设备和链路状态监测、数据配置等功能；</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adjustRightInd w:val="0"/>
        <w:snapToGrid w:val="0"/>
        <w:spacing w:line="360" w:lineRule="auto"/>
        <w:ind w:right="105" w:rightChars="50"/>
        <w:jc w:val="left"/>
        <w:rPr>
          <w:rFonts w:hint="eastAsia" w:ascii="仿宋" w:hAnsi="仿宋" w:cs="仿宋"/>
          <w:b/>
          <w:color w:val="auto"/>
          <w:szCs w:val="21"/>
          <w:highlight w:val="none"/>
        </w:rPr>
      </w:pPr>
      <w:r>
        <w:rPr>
          <w:rFonts w:hint="eastAsia" w:ascii="仿宋" w:hAnsi="仿宋" w:cs="仿宋"/>
          <w:b/>
          <w:color w:val="auto"/>
          <w:szCs w:val="21"/>
          <w:highlight w:val="none"/>
        </w:rPr>
        <w:t>填表要求：</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1．“投标文件响应内容”一栏由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按照招标文件要求填写并进行逐项响应。</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3．“偏离说明”一栏由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对偏离的情况做详细说明。</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4．提供★标注项的技术指标和性能的详细说明(产品技术说明书、技术白皮书、产品彩页等文字资料、检测报告、图纸和数据均可)。</w:t>
      </w:r>
    </w:p>
    <w:p>
      <w:pPr>
        <w:snapToGrid w:val="0"/>
        <w:spacing w:line="24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24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pStyle w:val="39"/>
        <w:spacing w:line="24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pPr>
        <w:rPr>
          <w:rFonts w:hint="eastAsia" w:ascii="仿宋" w:hAnsi="仿宋" w:eastAsia="仿宋" w:cs="仿宋"/>
          <w:color w:val="auto"/>
          <w:highlight w:val="none"/>
          <w:u w:val="single"/>
        </w:rPr>
      </w:pPr>
    </w:p>
    <w:p>
      <w:pPr>
        <w:jc w:val="center"/>
        <w:rPr>
          <w:rFonts w:hint="eastAsia" w:ascii="仿宋" w:hAnsi="仿宋" w:cs="仿宋"/>
          <w:b/>
          <w:bCs/>
          <w:color w:val="auto"/>
          <w:sz w:val="32"/>
          <w:szCs w:val="32"/>
          <w:highlight w:val="none"/>
        </w:rPr>
      </w:pPr>
      <w:r>
        <w:rPr>
          <w:rFonts w:hint="eastAsia" w:ascii="仿宋" w:hAnsi="仿宋" w:cs="仿宋"/>
          <w:b/>
          <w:bCs/>
          <w:color w:val="auto"/>
          <w:sz w:val="32"/>
          <w:szCs w:val="32"/>
          <w:highlight w:val="none"/>
        </w:rPr>
        <w:t>技术规格偏离表（00</w:t>
      </w:r>
      <w:r>
        <w:rPr>
          <w:rFonts w:hint="eastAsia" w:ascii="仿宋" w:hAnsi="仿宋" w:cs="仿宋"/>
          <w:b/>
          <w:bCs/>
          <w:color w:val="auto"/>
          <w:sz w:val="32"/>
          <w:szCs w:val="32"/>
          <w:highlight w:val="none"/>
          <w:lang w:val="en-US" w:eastAsia="zh-CN"/>
        </w:rPr>
        <w:t>8</w:t>
      </w:r>
      <w:r>
        <w:rPr>
          <w:rFonts w:hint="eastAsia" w:ascii="仿宋" w:hAnsi="仿宋" w:cs="仿宋"/>
          <w:b/>
          <w:bCs/>
          <w:color w:val="auto"/>
          <w:sz w:val="32"/>
          <w:szCs w:val="32"/>
          <w:highlight w:val="none"/>
        </w:rPr>
        <w:t>包）</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98"/>
        <w:gridCol w:w="2332"/>
        <w:gridCol w:w="750"/>
        <w:gridCol w:w="873"/>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blHeader/>
          <w:jc w:val="center"/>
        </w:trPr>
        <w:tc>
          <w:tcPr>
            <w:tcW w:w="0" w:type="auto"/>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color w:val="auto"/>
                <w:highlight w:val="none"/>
                <w:lang w:val="en-US" w:eastAsia="zh-CN"/>
              </w:rPr>
            </w:pPr>
            <w:r>
              <w:rPr>
                <w:rFonts w:hint="eastAsia" w:ascii="仿宋" w:hAnsi="仿宋" w:cs="仿宋"/>
                <w:color w:val="auto"/>
                <w:szCs w:val="21"/>
                <w:highlight w:val="none"/>
              </w:rPr>
              <w:t>包号：</w:t>
            </w:r>
            <w:r>
              <w:rPr>
                <w:rFonts w:hint="eastAsia" w:ascii="仿宋" w:hAnsi="仿宋" w:cs="仿宋"/>
                <w:color w:val="auto"/>
                <w:szCs w:val="21"/>
                <w:highlight w:val="none"/>
                <w:lang w:val="en-US" w:eastAsia="zh-CN"/>
              </w:rPr>
              <w:t>008-3</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产品名称：消防员单兵图侦系统</w:t>
            </w:r>
          </w:p>
          <w:p>
            <w:pPr>
              <w:pStyle w:val="19"/>
              <w:keepNext w:val="0"/>
              <w:keepLines w:val="0"/>
              <w:widowControl w:val="0"/>
              <w:suppressLineNumbers w:val="0"/>
              <w:adjustRightInd w:val="0"/>
              <w:snapToGrid w:val="0"/>
              <w:spacing w:before="0" w:beforeAutospacing="0" w:after="0" w:afterAutospacing="0"/>
              <w:ind w:left="0" w:right="0"/>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数量：</w:t>
            </w:r>
            <w:r>
              <w:rPr>
                <w:rFonts w:hint="eastAsia" w:ascii="仿宋" w:hAnsi="仿宋" w:eastAsia="仿宋" w:cs="仿宋"/>
                <w:color w:val="auto"/>
                <w:kern w:val="2"/>
                <w:sz w:val="21"/>
                <w:szCs w:val="21"/>
                <w:highlight w:val="none"/>
                <w:lang w:val="en-US" w:eastAsia="zh-CN"/>
              </w:rPr>
              <w:t>3套</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cs="仿宋"/>
                <w:color w:val="auto"/>
                <w:szCs w:val="21"/>
                <w:highlight w:val="none"/>
                <w:lang w:val="en-US" w:eastAsia="zh-CN"/>
              </w:rPr>
            </w:pPr>
            <w:r>
              <w:rPr>
                <w:rFonts w:hint="eastAsia" w:ascii="仿宋" w:hAnsi="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p>
            <w:pPr>
              <w:keepNext w:val="0"/>
              <w:keepLines w:val="0"/>
              <w:suppressLineNumbers w:val="0"/>
              <w:tabs>
                <w:tab w:val="left" w:pos="0"/>
              </w:tabs>
              <w:adjustRightInd w:val="0"/>
              <w:snapToGrid w:val="0"/>
              <w:spacing w:before="0" w:beforeAutospacing="0" w:after="0" w:afterAutospacing="0"/>
              <w:ind w:left="0" w:right="0"/>
              <w:rPr>
                <w:rFonts w:hint="eastAsia" w:ascii="仿宋" w:hAnsi="仿宋" w:cs="仿宋"/>
                <w:color w:val="auto"/>
                <w:szCs w:val="21"/>
                <w:highlight w:val="none"/>
                <w:lang w:val="en-US" w:eastAsia="zh-CN"/>
              </w:rPr>
            </w:pPr>
            <w:r>
              <w:rPr>
                <w:rFonts w:hint="eastAsia" w:ascii="仿宋" w:hAnsi="仿宋" w:eastAsia="仿宋" w:cs="仿宋"/>
                <w:b/>
                <w:bCs/>
                <w:color w:val="auto"/>
                <w:kern w:val="2"/>
                <w:sz w:val="21"/>
                <w:szCs w:val="21"/>
                <w:highlight w:val="none"/>
                <w:lang w:val="en-US" w:eastAsia="zh-CN"/>
              </w:rPr>
              <w:t>是否为核心产品：是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blHeader/>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招标文件要求</w:t>
            </w:r>
          </w:p>
          <w:p>
            <w:pPr>
              <w:keepNext w:val="0"/>
              <w:keepLines w:val="0"/>
              <w:suppressLineNumbers w:val="0"/>
              <w:snapToGrid w:val="0"/>
              <w:spacing w:before="0" w:beforeAutospacing="0" w:after="0" w:afterAutospacing="0"/>
              <w:ind w:left="0" w:right="0" w:hanging="1" w:firstLineChars="0"/>
              <w:rPr>
                <w:rFonts w:hint="eastAsia" w:ascii="仿宋" w:hAnsi="仿宋" w:cs="仿宋"/>
                <w:b/>
                <w:color w:val="auto"/>
                <w:szCs w:val="21"/>
                <w:highlight w:val="none"/>
              </w:rPr>
            </w:pPr>
            <w:r>
              <w:rPr>
                <w:rFonts w:hint="eastAsia" w:ascii="仿宋" w:hAnsi="仿宋" w:cs="仿宋"/>
                <w:b/>
                <w:color w:val="auto"/>
                <w:sz w:val="18"/>
                <w:szCs w:val="18"/>
                <w:highlight w:val="none"/>
              </w:rPr>
              <w:t>重要提示：实质性要求及重要指标用★标注（“★”必须标注在序号前），★标注项不得负偏离，如果负偏离，则投标文件无效。</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响应内容</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偏离程度</w:t>
            </w: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szCs w:val="21"/>
                <w:highlight w:val="none"/>
              </w:rPr>
              <w:t>偏离说明</w:t>
            </w: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一、实质性要求（★）</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1、消防员单兵图侦系统每套包含1台基站和1台单兵，消防图综平台设备资源树可直接调取MESH单兵资源，并和单兵之间发起双向语音通信；</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2、承诺所投产品要求与全省现有自组网设备（自组网基站和自组网单兵）实现无线空口互联互通；</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b/>
                <w:bCs/>
                <w:color w:val="auto"/>
                <w:highlight w:val="none"/>
              </w:rPr>
            </w:pPr>
            <w:r>
              <w:rPr>
                <w:rFonts w:hint="default" w:ascii="仿宋" w:hAnsi="仿宋" w:cs="仿宋"/>
                <w:b/>
                <w:bCs/>
                <w:color w:val="auto"/>
                <w:highlight w:val="none"/>
              </w:rPr>
              <w:t>3、采用北斗卫星定位，定位数据可实时上传至国家消防救援局消防综合定位服务平台（提供承诺函）。</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
                <w:bCs/>
                <w:color w:val="auto"/>
                <w:kern w:val="2"/>
                <w:sz w:val="21"/>
                <w:szCs w:val="24"/>
                <w:highlight w:val="none"/>
                <w:lang w:val="en-US" w:eastAsia="zh-CN" w:bidi="ar-SA"/>
              </w:rPr>
            </w:pPr>
            <w:r>
              <w:rPr>
                <w:rFonts w:hint="eastAsia" w:ascii="仿宋" w:hAnsi="仿宋" w:eastAsia="仿宋" w:cs="仿宋"/>
                <w:b/>
                <w:bCs/>
                <w:color w:val="auto"/>
                <w:kern w:val="2"/>
                <w:sz w:val="21"/>
                <w:szCs w:val="24"/>
                <w:highlight w:val="none"/>
                <w:lang w:val="en-US" w:eastAsia="zh-CN" w:bidi="ar-SA"/>
              </w:rPr>
              <w:t>4、</w:t>
            </w:r>
            <w:r>
              <w:rPr>
                <w:rFonts w:hint="default" w:ascii="仿宋" w:hAnsi="仿宋" w:eastAsia="仿宋" w:cs="仿宋"/>
                <w:b/>
                <w:bCs/>
                <w:color w:val="auto"/>
                <w:kern w:val="2"/>
                <w:sz w:val="21"/>
                <w:szCs w:val="24"/>
                <w:highlight w:val="none"/>
                <w:lang w:val="en-US" w:eastAsia="zh-CN" w:bidi="ar-SA"/>
              </w:rPr>
              <w:t>根据采购单位要求，安装符合《消防装备物资物联网标识管理》规定的二维码和RFID标签，（车辆或器材）在交付前须完成国家消防救援局系统赋码工作，确保一物一码。</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二、一般指标性参数（●）</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(一）基站</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1、操作性：支持一键式开机、随地架设；</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2、频率：支持1420-1520MHz工作频段，中心频点可调，10MHz和20MHz频宽可调，支持频段内自动跳频选择干净频点；</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3、功率：发射功率≥10W，支持双发双收；</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4、接入及吞吐量：可接入1.4GHz单兵终端，且数据吞吐量≥80Mbps；</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5、一体化防水接口要求：一体化防水航空网口≥1个，支持WiFi和4G/5G公网；</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6、混合组网：支持有线与无线（网线接口），基站间可通过有线互联，且终端可在基站间平滑切换，业务不中断；</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7、基站主机支持内置不小于2.4英寸的液晶显示屏幕，可以查看设备状态、链路状态、与相邻基站或终端的直线距离等，支持通过屏幕按钮快速配置；</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8、防护等级：≥IP67；</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color w:val="auto"/>
                <w:highlight w:val="none"/>
                <w:lang w:eastAsia="zh-CN"/>
              </w:rPr>
            </w:pPr>
            <w:r>
              <w:rPr>
                <w:rFonts w:hint="default" w:ascii="仿宋" w:hAnsi="仿宋" w:cs="仿宋"/>
                <w:color w:val="auto"/>
                <w:highlight w:val="none"/>
              </w:rPr>
              <w:t>9、整机重量（包含电池）：≤4.5kg；工作温度：-30℃~+65℃；工作时长：≥8小时，待机时长≥24小时，设备关机状态下，可以快速检查电池剩余电量；</w:t>
            </w:r>
            <w:r>
              <w:rPr>
                <w:rFonts w:hint="eastAsia" w:ascii="仿宋" w:hAnsi="仿宋" w:cs="仿宋"/>
                <w:color w:val="auto"/>
                <w:highlight w:val="none"/>
                <w:lang w:val="en-US" w:eastAsia="zh-CN"/>
              </w:rPr>
              <w:t xml:space="preserve"> </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10</w:t>
            </w:r>
            <w:r>
              <w:rPr>
                <w:rFonts w:hint="default" w:ascii="仿宋" w:hAnsi="仿宋" w:cs="仿宋"/>
                <w:color w:val="auto"/>
                <w:highlight w:val="none"/>
              </w:rPr>
              <w:t>、管理功能：提供移动端APP和PC端WEB管理工具，支持拓扑呈现、设备和链路状态监测、数据配置等功能；</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（二）单兵</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1、操作性：操作便捷、支持一键式开机、随地架设；</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2、通信覆盖：配置全向天线情况下,视距场景与图像自组网基站间传输距离≥20km，且无线传输速率≥4Mbps；</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3、频率：支持1420-1520MHz工作频段，中心频点可调，10MHz和20MHz频宽可调，频点可自动与图像自组网基站保持同步；</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4、发射功率：≥2W，支持双发双收；</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5、接口要求：提供一体化HDMI视频和一体化3.5mm音频接口，提供网口，支持WiFi、蓝牙接入，支持5G双SIM卡接入公网功能；</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default" w:ascii="仿宋" w:hAnsi="仿宋" w:cs="仿宋"/>
                <w:color w:val="auto"/>
                <w:highlight w:val="none"/>
              </w:rPr>
              <w:t>6、防护等级（整机，含接口）：≥IP67；</w:t>
            </w:r>
          </w:p>
          <w:p>
            <w:pPr>
              <w:keepNext w:val="0"/>
              <w:keepLines w:val="0"/>
              <w:suppressLineNumbers w:val="0"/>
              <w:adjustRightInd w:val="0"/>
              <w:snapToGrid w:val="0"/>
              <w:spacing w:before="0" w:beforeAutospacing="0" w:after="0" w:afterAutospacing="0"/>
              <w:ind w:left="0" w:right="105" w:rightChars="50"/>
              <w:jc w:val="left"/>
              <w:rPr>
                <w:rFonts w:hint="eastAsia" w:ascii="仿宋" w:hAnsi="仿宋" w:eastAsia="仿宋" w:cs="仿宋"/>
                <w:color w:val="auto"/>
                <w:highlight w:val="none"/>
                <w:lang w:eastAsia="zh-CN"/>
              </w:rPr>
            </w:pPr>
            <w:r>
              <w:rPr>
                <w:rFonts w:hint="default" w:ascii="仿宋" w:hAnsi="仿宋" w:cs="仿宋"/>
                <w:color w:val="auto"/>
                <w:highlight w:val="none"/>
              </w:rPr>
              <w:t>7、整机重量（包含电池）：≤1500g；工作温度：满足-30℃~+65℃；工作时长：≥6小时，待机时长≥12小时；</w:t>
            </w:r>
            <w:r>
              <w:rPr>
                <w:rFonts w:hint="eastAsia" w:ascii="仿宋" w:hAnsi="仿宋" w:cs="仿宋"/>
                <w:color w:val="auto"/>
                <w:highlight w:val="none"/>
                <w:lang w:val="en-US" w:eastAsia="zh-CN"/>
              </w:rPr>
              <w:t xml:space="preserve"> </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8</w:t>
            </w:r>
            <w:r>
              <w:rPr>
                <w:rFonts w:hint="default" w:ascii="仿宋" w:hAnsi="仿宋" w:cs="仿宋"/>
                <w:color w:val="auto"/>
                <w:highlight w:val="none"/>
              </w:rPr>
              <w:t>、其他功能：单兵主机内置不小于2.4寸彩色液晶显示屏幕，可以查看设备状态、链路状态、视频传输状态、与相邻基站或终端的直线距离等，支持通过屏幕快速配置；</w:t>
            </w:r>
          </w:p>
          <w:p>
            <w:pPr>
              <w:keepNext w:val="0"/>
              <w:keepLines w:val="0"/>
              <w:suppressLineNumbers w:val="0"/>
              <w:adjustRightInd w:val="0"/>
              <w:snapToGrid w:val="0"/>
              <w:spacing w:before="0" w:beforeAutospacing="0" w:after="0" w:afterAutospacing="0"/>
              <w:ind w:left="0" w:right="105" w:rightChars="50"/>
              <w:jc w:val="left"/>
              <w:rPr>
                <w:rFonts w:hint="default" w:ascii="仿宋" w:hAnsi="仿宋" w:cs="仿宋"/>
                <w:color w:val="auto"/>
                <w:highlight w:val="none"/>
              </w:rPr>
            </w:pPr>
            <w:r>
              <w:rPr>
                <w:rFonts w:hint="eastAsia" w:ascii="仿宋" w:hAnsi="仿宋" w:cs="仿宋"/>
                <w:color w:val="auto"/>
                <w:highlight w:val="none"/>
                <w:lang w:val="en-US" w:eastAsia="zh-CN"/>
              </w:rPr>
              <w:t>9</w:t>
            </w:r>
            <w:r>
              <w:rPr>
                <w:rFonts w:hint="default" w:ascii="仿宋" w:hAnsi="仿宋" w:cs="仿宋"/>
                <w:color w:val="auto"/>
                <w:highlight w:val="none"/>
              </w:rPr>
              <w:t>、管理功能：提供移动端APP和PC端WEB管理工具，支持拓扑呈现、设备和链路状态监测、数据配置等功能；</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adjustRightInd w:val="0"/>
              <w:snapToGrid w:val="0"/>
              <w:spacing w:before="0" w:beforeAutospacing="0" w:after="0" w:afterAutospacing="0"/>
              <w:ind w:left="0" w:right="0"/>
              <w:jc w:val="center"/>
              <w:rPr>
                <w:rFonts w:hint="eastAsia" w:ascii="仿宋" w:hAnsi="仿宋" w:cs="仿宋"/>
                <w:color w:val="auto"/>
                <w:kern w:val="0"/>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r>
              <w:rPr>
                <w:rFonts w:hint="eastAsia" w:ascii="仿宋" w:hAnsi="仿宋" w:cs="仿宋"/>
                <w:color w:val="auto"/>
                <w:kern w:val="0"/>
                <w:szCs w:val="21"/>
                <w:highlight w:val="none"/>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color w:val="auto"/>
                <w:szCs w:val="21"/>
                <w:highlight w:val="none"/>
              </w:rPr>
            </w:pPr>
            <w:r>
              <w:rPr>
                <w:rFonts w:hint="eastAsia" w:ascii="仿宋" w:hAnsi="仿宋" w:cs="仿宋"/>
                <w:color w:val="auto"/>
                <w:szCs w:val="21"/>
                <w:highlight w:val="none"/>
              </w:rPr>
              <w:t>其它</w:t>
            </w:r>
          </w:p>
        </w:tc>
        <w:tc>
          <w:tcPr>
            <w:tcW w:w="233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
              </w:tabs>
              <w:adjustRightInd w:val="0"/>
              <w:snapToGrid w:val="0"/>
              <w:spacing w:before="0" w:beforeAutospacing="0" w:after="0" w:afterAutospacing="0"/>
              <w:ind w:left="0" w:right="-55" w:rightChars="-26"/>
              <w:jc w:val="center"/>
              <w:rPr>
                <w:rFonts w:hint="eastAsia" w:ascii="仿宋" w:hAnsi="仿宋" w:cs="仿宋"/>
                <w:color w:val="auto"/>
                <w:kern w:val="0"/>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未提供需求而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认为需说明及补充的内容在此填列</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8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0"/>
              </w:tabs>
              <w:snapToGrid w:val="0"/>
              <w:spacing w:before="0" w:beforeAutospacing="0" w:after="0" w:afterAutospacing="0"/>
              <w:ind w:left="0" w:right="0"/>
              <w:jc w:val="center"/>
              <w:rPr>
                <w:rFonts w:hint="eastAsia" w:ascii="仿宋" w:hAnsi="仿宋" w:cs="仿宋"/>
                <w:color w:val="auto"/>
                <w:kern w:val="0"/>
                <w:szCs w:val="21"/>
                <w:highlight w:val="none"/>
              </w:rPr>
            </w:pPr>
          </w:p>
        </w:tc>
      </w:tr>
    </w:tbl>
    <w:p>
      <w:pPr>
        <w:adjustRightInd w:val="0"/>
        <w:snapToGrid w:val="0"/>
        <w:spacing w:line="360" w:lineRule="auto"/>
        <w:ind w:right="105" w:rightChars="50"/>
        <w:jc w:val="left"/>
        <w:rPr>
          <w:rFonts w:hint="eastAsia" w:ascii="仿宋" w:hAnsi="仿宋" w:cs="仿宋"/>
          <w:b/>
          <w:color w:val="auto"/>
          <w:szCs w:val="21"/>
          <w:highlight w:val="none"/>
        </w:rPr>
      </w:pPr>
      <w:r>
        <w:rPr>
          <w:rFonts w:hint="eastAsia" w:ascii="仿宋" w:hAnsi="仿宋" w:cs="仿宋"/>
          <w:b/>
          <w:color w:val="auto"/>
          <w:szCs w:val="21"/>
          <w:highlight w:val="none"/>
        </w:rPr>
        <w:t>填表要求：</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1．“投标文件响应内容”一栏由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按照招标文件要求填写并进行逐项响应。</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3．“偏离说明”一栏由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对偏离的情况做详细说明。</w:t>
      </w:r>
    </w:p>
    <w:p>
      <w:pPr>
        <w:adjustRightInd w:val="0"/>
        <w:snapToGrid w:val="0"/>
        <w:spacing w:line="240" w:lineRule="auto"/>
        <w:rPr>
          <w:rFonts w:hint="eastAsia" w:ascii="仿宋" w:hAnsi="仿宋" w:cs="仿宋"/>
          <w:color w:val="auto"/>
          <w:szCs w:val="21"/>
          <w:highlight w:val="none"/>
        </w:rPr>
      </w:pPr>
      <w:r>
        <w:rPr>
          <w:rFonts w:hint="eastAsia" w:ascii="仿宋" w:hAnsi="仿宋" w:cs="仿宋"/>
          <w:color w:val="auto"/>
          <w:szCs w:val="21"/>
          <w:highlight w:val="none"/>
        </w:rPr>
        <w:t>4．提供★标注项的技术指标和性能的详细说明(产品技术说明书、技术白皮书、产品彩页等文字资料、检测报告、图纸和数据均可)。</w:t>
      </w:r>
    </w:p>
    <w:p>
      <w:pPr>
        <w:snapToGrid w:val="0"/>
        <w:spacing w:line="24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napToGrid w:val="0"/>
        <w:spacing w:line="24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pStyle w:val="39"/>
        <w:spacing w:line="24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pPr>
        <w:pStyle w:val="39"/>
        <w:spacing w:line="240" w:lineRule="auto"/>
        <w:rPr>
          <w:rFonts w:hint="eastAsia" w:ascii="仿宋" w:hAnsi="仿宋" w:eastAsia="仿宋" w:cs="仿宋"/>
          <w:color w:val="auto"/>
          <w:highlight w:val="none"/>
          <w:u w:val="single"/>
        </w:rPr>
        <w:sectPr>
          <w:pgSz w:w="16838" w:h="11906" w:orient="landscape"/>
          <w:pgMar w:top="1797" w:right="1440" w:bottom="1797" w:left="1440" w:header="851" w:footer="992" w:gutter="0"/>
          <w:cols w:space="720" w:num="1"/>
          <w:docGrid w:type="lines" w:linePitch="312" w:charSpace="0"/>
        </w:sectPr>
      </w:pPr>
    </w:p>
    <w:p>
      <w:pPr>
        <w:pStyle w:val="39"/>
        <w:rPr>
          <w:rFonts w:hint="eastAsia" w:ascii="仿宋" w:hAnsi="仿宋" w:eastAsia="仿宋" w:cs="仿宋"/>
          <w:color w:val="auto"/>
          <w:highlight w:val="none"/>
        </w:rPr>
      </w:pPr>
    </w:p>
    <w:p>
      <w:pPr>
        <w:pStyle w:val="5"/>
        <w:adjustRightInd w:val="0"/>
        <w:snapToGrid w:val="0"/>
        <w:spacing w:before="0" w:after="0" w:line="240" w:lineRule="auto"/>
        <w:jc w:val="left"/>
        <w:rPr>
          <w:rFonts w:hint="eastAsia" w:ascii="仿宋" w:hAnsi="仿宋" w:cs="仿宋"/>
          <w:b w:val="0"/>
          <w:bCs/>
          <w:color w:val="auto"/>
          <w:sz w:val="32"/>
          <w:szCs w:val="32"/>
          <w:highlight w:val="none"/>
        </w:rPr>
      </w:pPr>
      <w:r>
        <w:rPr>
          <w:rFonts w:hint="eastAsia" w:ascii="仿宋" w:hAnsi="仿宋" w:cs="仿宋"/>
          <w:color w:val="auto"/>
          <w:szCs w:val="28"/>
          <w:highlight w:val="none"/>
        </w:rPr>
        <w:t>格式13</w:t>
      </w:r>
      <w:bookmarkStart w:id="110" w:name="_Toc4431_WPSOffice_Level2"/>
      <w:bookmarkStart w:id="111" w:name="_Toc8488_WPSOffice_Level2"/>
    </w:p>
    <w:bookmarkEnd w:id="110"/>
    <w:bookmarkEnd w:id="111"/>
    <w:p>
      <w:pPr>
        <w:adjustRightInd w:val="0"/>
        <w:snapToGrid w:val="0"/>
        <w:ind w:right="105" w:rightChars="50"/>
        <w:jc w:val="center"/>
        <w:rPr>
          <w:rFonts w:hint="eastAsia" w:ascii="仿宋" w:hAnsi="仿宋" w:cs="仿宋"/>
          <w:b/>
          <w:bCs/>
          <w:color w:val="auto"/>
          <w:sz w:val="32"/>
          <w:szCs w:val="32"/>
          <w:highlight w:val="none"/>
        </w:rPr>
      </w:pPr>
      <w:r>
        <w:rPr>
          <w:rFonts w:hint="eastAsia" w:ascii="仿宋" w:hAnsi="仿宋" w:cs="仿宋"/>
          <w:b/>
          <w:bCs/>
          <w:color w:val="auto"/>
          <w:sz w:val="32"/>
          <w:szCs w:val="32"/>
          <w:highlight w:val="none"/>
        </w:rPr>
        <w:t>商务条款偏离表</w:t>
      </w:r>
    </w:p>
    <w:p>
      <w:pPr>
        <w:adjustRightInd w:val="0"/>
        <w:snapToGrid w:val="0"/>
        <w:spacing w:line="360" w:lineRule="auto"/>
        <w:ind w:right="105" w:rightChars="50"/>
        <w:jc w:val="left"/>
        <w:rPr>
          <w:rFonts w:hint="default"/>
          <w:color w:val="auto"/>
          <w:highlight w:val="none"/>
          <w:lang w:val="en-US" w:eastAsia="zh-CN"/>
        </w:rPr>
      </w:pPr>
      <w:r>
        <w:rPr>
          <w:rFonts w:hint="eastAsia" w:ascii="仿宋" w:hAnsi="仿宋" w:cs="仿宋"/>
          <w:b/>
          <w:bCs/>
          <w:color w:val="auto"/>
          <w:szCs w:val="21"/>
          <w:highlight w:val="none"/>
        </w:rPr>
        <w:t>包号：</w:t>
      </w:r>
      <w:r>
        <w:rPr>
          <w:rFonts w:hint="eastAsia" w:ascii="仿宋" w:hAnsi="仿宋" w:cs="仿宋"/>
          <w:b/>
          <w:bCs/>
          <w:color w:val="auto"/>
          <w:szCs w:val="21"/>
          <w:highlight w:val="none"/>
          <w:lang w:val="en-US" w:eastAsia="zh-CN"/>
        </w:rPr>
        <w:t>001、008</w:t>
      </w:r>
    </w:p>
    <w:tbl>
      <w:tblPr>
        <w:tblStyle w:val="23"/>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3927"/>
        <w:gridCol w:w="1737"/>
        <w:gridCol w:w="610"/>
        <w:gridCol w:w="860"/>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48" w:rightChars="-23"/>
              <w:jc w:val="center"/>
              <w:rPr>
                <w:rFonts w:hint="eastAsia" w:ascii="仿宋" w:hAnsi="仿宋" w:cs="仿宋"/>
                <w:color w:val="auto"/>
                <w:szCs w:val="21"/>
                <w:highlight w:val="none"/>
              </w:rPr>
            </w:pPr>
            <w:r>
              <w:rPr>
                <w:rFonts w:hint="eastAsia" w:ascii="仿宋" w:hAnsi="仿宋" w:cs="仿宋"/>
                <w:color w:val="auto"/>
                <w:szCs w:val="21"/>
                <w:highlight w:val="none"/>
              </w:rPr>
              <w:t>序号</w:t>
            </w:r>
          </w:p>
        </w:tc>
        <w:tc>
          <w:tcPr>
            <w:tcW w:w="3927" w:type="dxa"/>
            <w:noWrap w:val="0"/>
            <w:vAlign w:val="center"/>
          </w:tcPr>
          <w:p>
            <w:pPr>
              <w:keepNext w:val="0"/>
              <w:keepLines w:val="0"/>
              <w:suppressLineNumbers w:val="0"/>
              <w:adjustRightInd w:val="0"/>
              <w:snapToGrid w:val="0"/>
              <w:spacing w:before="0" w:beforeAutospacing="0" w:after="0" w:afterAutospacing="0"/>
              <w:ind w:left="0" w:right="-73" w:rightChars="-35"/>
              <w:jc w:val="center"/>
              <w:rPr>
                <w:rFonts w:hint="eastAsia" w:ascii="仿宋" w:hAnsi="仿宋" w:cs="仿宋"/>
                <w:color w:val="auto"/>
                <w:szCs w:val="21"/>
                <w:highlight w:val="none"/>
              </w:rPr>
            </w:pPr>
            <w:r>
              <w:rPr>
                <w:rFonts w:hint="eastAsia" w:ascii="仿宋" w:hAnsi="仿宋" w:cs="仿宋"/>
                <w:color w:val="auto"/>
                <w:szCs w:val="21"/>
                <w:highlight w:val="none"/>
              </w:rPr>
              <w:t>招标文件的商务条款</w:t>
            </w:r>
          </w:p>
          <w:p>
            <w:pPr>
              <w:keepNext w:val="0"/>
              <w:keepLines w:val="0"/>
              <w:suppressLineNumbers w:val="0"/>
              <w:adjustRightInd w:val="0"/>
              <w:snapToGrid w:val="0"/>
              <w:spacing w:before="0" w:beforeAutospacing="0" w:after="0" w:afterAutospacing="0"/>
              <w:ind w:left="0" w:right="-73" w:rightChars="-35"/>
              <w:jc w:val="center"/>
              <w:rPr>
                <w:rFonts w:hint="eastAsia" w:ascii="仿宋" w:hAnsi="仿宋" w:cs="仿宋"/>
                <w:color w:val="auto"/>
                <w:szCs w:val="21"/>
                <w:highlight w:val="none"/>
              </w:rPr>
            </w:pPr>
            <w:r>
              <w:rPr>
                <w:rFonts w:hint="eastAsia" w:ascii="仿宋" w:hAnsi="仿宋" w:cs="仿宋"/>
                <w:color w:val="auto"/>
                <w:szCs w:val="21"/>
                <w:highlight w:val="none"/>
              </w:rPr>
              <w:t>（</w:t>
            </w:r>
            <w:r>
              <w:rPr>
                <w:rFonts w:hint="eastAsia" w:ascii="仿宋" w:hAnsi="仿宋" w:cs="仿宋"/>
                <w:b/>
                <w:color w:val="auto"/>
                <w:szCs w:val="21"/>
                <w:highlight w:val="none"/>
              </w:rPr>
              <w:t>实质性要求及重要指标用★标注，★标注项不得负偏离，如果负偏离，则投标文件无效。</w:t>
            </w:r>
            <w:r>
              <w:rPr>
                <w:rFonts w:hint="eastAsia" w:ascii="仿宋" w:hAnsi="仿宋" w:cs="仿宋"/>
                <w:color w:val="auto"/>
                <w:szCs w:val="21"/>
                <w:highlight w:val="none"/>
              </w:rPr>
              <w:t>）</w:t>
            </w:r>
          </w:p>
        </w:tc>
        <w:tc>
          <w:tcPr>
            <w:tcW w:w="1737"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投标文件</w:t>
            </w:r>
          </w:p>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响应内容</w:t>
            </w:r>
          </w:p>
        </w:tc>
        <w:tc>
          <w:tcPr>
            <w:tcW w:w="610"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偏离程度</w:t>
            </w:r>
          </w:p>
        </w:tc>
        <w:tc>
          <w:tcPr>
            <w:tcW w:w="860"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偏离说明</w:t>
            </w:r>
          </w:p>
        </w:tc>
        <w:tc>
          <w:tcPr>
            <w:tcW w:w="830" w:type="dxa"/>
            <w:noWrap w:val="0"/>
            <w:vAlign w:val="center"/>
          </w:tcPr>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证明</w:t>
            </w:r>
          </w:p>
          <w:p>
            <w:pPr>
              <w:keepNext w:val="0"/>
              <w:keepLines w:val="0"/>
              <w:suppressLineNumbers w:val="0"/>
              <w:adjustRightInd w:val="0"/>
              <w:snapToGrid w:val="0"/>
              <w:spacing w:before="0" w:beforeAutospacing="0" w:after="0" w:afterAutospacing="0"/>
              <w:ind w:left="0" w:right="-107" w:rightChars="-51"/>
              <w:jc w:val="center"/>
              <w:rPr>
                <w:rFonts w:hint="eastAsia" w:ascii="仿宋" w:hAnsi="仿宋" w:cs="仿宋"/>
                <w:color w:val="auto"/>
                <w:szCs w:val="21"/>
                <w:highlight w:val="none"/>
              </w:rPr>
            </w:pPr>
            <w:r>
              <w:rPr>
                <w:rFonts w:hint="eastAsia" w:ascii="仿宋" w:hAnsi="仿宋" w:cs="仿宋"/>
                <w:color w:val="auto"/>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1</w:t>
            </w:r>
          </w:p>
        </w:tc>
        <w:tc>
          <w:tcPr>
            <w:tcW w:w="3927" w:type="dxa"/>
            <w:noWrap w:val="0"/>
            <w:vAlign w:val="center"/>
          </w:tcPr>
          <w:p>
            <w:pPr>
              <w:keepNext w:val="0"/>
              <w:keepLines w:val="0"/>
              <w:suppressLineNumbers w:val="0"/>
              <w:spacing w:before="0" w:beforeAutospacing="0" w:after="0" w:afterAutospacing="0"/>
              <w:ind w:left="0" w:right="0"/>
              <w:rPr>
                <w:rFonts w:hint="default"/>
                <w:color w:val="auto"/>
                <w:highlight w:val="none"/>
                <w:lang w:val="en-US" w:eastAsia="zh-CN"/>
              </w:rPr>
            </w:pPr>
            <w:r>
              <w:rPr>
                <w:rFonts w:hint="eastAsia"/>
                <w:b/>
                <w:bCs/>
                <w:color w:val="auto"/>
                <w:highlight w:val="none"/>
              </w:rPr>
              <w:t>交货时间：</w:t>
            </w:r>
            <w:r>
              <w:rPr>
                <w:rFonts w:hint="eastAsia" w:ascii="仿宋" w:hAnsi="仿宋" w:cs="仿宋"/>
                <w:color w:val="auto"/>
                <w:szCs w:val="21"/>
                <w:highlight w:val="none"/>
                <w:lang w:val="en-US" w:eastAsia="zh-CN"/>
              </w:rPr>
              <w:t>合同签订后</w:t>
            </w:r>
            <w:r>
              <w:rPr>
                <w:rFonts w:hint="eastAsia" w:ascii="仿宋" w:hAnsi="仿宋" w:cs="仿宋"/>
                <w:color w:val="auto"/>
                <w:szCs w:val="21"/>
                <w:highlight w:val="none"/>
                <w:u w:val="none"/>
                <w:lang w:val="en-US" w:eastAsia="zh-CN"/>
              </w:rPr>
              <w:t xml:space="preserve"> 60日</w:t>
            </w:r>
            <w:r>
              <w:rPr>
                <w:rFonts w:hint="eastAsia" w:ascii="仿宋" w:hAnsi="仿宋" w:cs="仿宋"/>
                <w:color w:val="auto"/>
                <w:szCs w:val="21"/>
                <w:highlight w:val="none"/>
                <w:lang w:val="en-US" w:eastAsia="zh-CN"/>
              </w:rPr>
              <w:t>供货；</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2</w:t>
            </w:r>
          </w:p>
        </w:tc>
        <w:tc>
          <w:tcPr>
            <w:tcW w:w="3927" w:type="dxa"/>
            <w:noWrap w:val="0"/>
            <w:vAlign w:val="center"/>
          </w:tcPr>
          <w:p>
            <w:pPr>
              <w:keepNext w:val="0"/>
              <w:keepLines w:val="0"/>
              <w:suppressLineNumbers w:val="0"/>
              <w:spacing w:before="0" w:beforeAutospacing="0" w:after="0" w:afterAutospacing="0"/>
              <w:ind w:left="0" w:right="0"/>
              <w:jc w:val="left"/>
              <w:rPr>
                <w:rFonts w:hint="default"/>
                <w:color w:val="auto"/>
                <w:highlight w:val="none"/>
                <w:lang w:val="en-US"/>
              </w:rPr>
            </w:pPr>
            <w:r>
              <w:rPr>
                <w:rFonts w:hint="eastAsia"/>
                <w:b/>
                <w:bCs/>
                <w:color w:val="auto"/>
                <w:highlight w:val="none"/>
              </w:rPr>
              <w:t>交货地点：</w:t>
            </w:r>
            <w:r>
              <w:rPr>
                <w:rFonts w:hint="eastAsia"/>
                <w:color w:val="auto"/>
                <w:highlight w:val="none"/>
                <w:lang w:val="en-US" w:eastAsia="zh-CN"/>
              </w:rPr>
              <w:t>辽宁省消防救援总队训练与战勤保障支队</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3</w:t>
            </w:r>
          </w:p>
        </w:tc>
        <w:tc>
          <w:tcPr>
            <w:tcW w:w="3927" w:type="dxa"/>
            <w:noWrap w:val="0"/>
            <w:vAlign w:val="center"/>
          </w:tcPr>
          <w:p>
            <w:pPr>
              <w:keepNext w:val="0"/>
              <w:keepLines w:val="0"/>
              <w:suppressLineNumbers w:val="0"/>
              <w:spacing w:before="0" w:beforeAutospacing="0" w:after="0" w:afterAutospacing="0"/>
              <w:ind w:left="0" w:leftChars="0" w:right="0" w:rightChars="0"/>
              <w:rPr>
                <w:rFonts w:hint="eastAsia" w:ascii="仿宋" w:hAnsi="仿宋" w:cs="仿宋"/>
                <w:b/>
                <w:bCs w:val="0"/>
                <w:color w:val="auto"/>
                <w:szCs w:val="21"/>
                <w:highlight w:val="none"/>
              </w:rPr>
            </w:pPr>
            <w:r>
              <w:rPr>
                <w:rFonts w:hint="eastAsia" w:ascii="仿宋" w:hAnsi="仿宋" w:cs="仿宋"/>
                <w:b/>
                <w:bCs w:val="0"/>
                <w:color w:val="auto"/>
                <w:szCs w:val="21"/>
                <w:highlight w:val="none"/>
              </w:rPr>
              <w:t>付款方式：</w:t>
            </w:r>
          </w:p>
          <w:p>
            <w:pPr>
              <w:keepNext w:val="0"/>
              <w:keepLines w:val="0"/>
              <w:suppressLineNumbers w:val="0"/>
              <w:spacing w:before="0" w:beforeAutospacing="0" w:after="0" w:afterAutospacing="0"/>
              <w:ind w:left="0" w:leftChars="0" w:right="0" w:rightChars="0"/>
              <w:rPr>
                <w:rFonts w:hint="eastAsia" w:ascii="仿宋" w:hAnsi="仿宋" w:cs="仿宋"/>
                <w:bCs/>
                <w:color w:val="auto"/>
                <w:szCs w:val="21"/>
                <w:highlight w:val="none"/>
              </w:rPr>
            </w:pPr>
            <w:r>
              <w:rPr>
                <w:rFonts w:hint="eastAsia" w:ascii="仿宋" w:hAnsi="仿宋" w:cs="仿宋"/>
                <w:bCs/>
                <w:color w:val="auto"/>
                <w:szCs w:val="21"/>
                <w:highlight w:val="none"/>
              </w:rPr>
              <w:t>合同签订后，中标供应商向采购人提供合同金额30%的发票，中标供应商同时需提供不可撤销、不可转让的见索即付的等额独立保函后，采购人向中标供应商支付合同总额的30%预付款；如中标供应商无法在供货前开具保函，中标供应商供货至指定地点后，中标供应商向采购人提供合同金额30%的发票后，采购人向中标供应商支付合同总额的30%预付款。货到验收合格且履约验收审计通过，根据履约验收审计意见确定付款金额。中标供应商向采购人提供足额有效的发票（发票金额依据结算审计意见确定），采购人支付应付金额100%的货款（扣除30%预付款）。</w:t>
            </w:r>
          </w:p>
          <w:p>
            <w:pPr>
              <w:keepNext w:val="0"/>
              <w:keepLines w:val="0"/>
              <w:suppressLineNumbers w:val="0"/>
              <w:spacing w:before="0" w:beforeAutospacing="0" w:after="0" w:afterAutospacing="0"/>
              <w:ind w:left="0" w:leftChars="0" w:right="0" w:rightChars="0"/>
              <w:rPr>
                <w:rFonts w:hint="eastAsia" w:ascii="仿宋" w:hAnsi="仿宋" w:cs="仿宋"/>
                <w:bCs/>
                <w:color w:val="auto"/>
                <w:szCs w:val="21"/>
                <w:highlight w:val="none"/>
              </w:rPr>
            </w:pPr>
            <w:r>
              <w:rPr>
                <w:rFonts w:hint="eastAsia" w:ascii="仿宋" w:hAnsi="仿宋" w:cs="仿宋"/>
                <w:bCs/>
                <w:color w:val="auto"/>
                <w:szCs w:val="21"/>
                <w:highlight w:val="none"/>
              </w:rPr>
              <w:t>注：开具保函的银行需选择：中国工商银行、中国农业银行、中国银行、中国建设银行、交通银行、中国光大银行、中信银行、招商银行、中国邮政储蓄银行、中国民生银行、浦发银行、兴业银行、广发银行（保函有效期不低于12个月）。</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4</w:t>
            </w:r>
          </w:p>
        </w:tc>
        <w:tc>
          <w:tcPr>
            <w:tcW w:w="3927" w:type="dxa"/>
            <w:noWrap w:val="0"/>
            <w:vAlign w:val="center"/>
          </w:tcPr>
          <w:p>
            <w:pPr>
              <w:keepNext w:val="0"/>
              <w:keepLines w:val="0"/>
              <w:suppressLineNumbers w:val="0"/>
              <w:spacing w:before="0" w:beforeAutospacing="0" w:after="0" w:afterAutospacing="0"/>
              <w:ind w:left="0" w:right="0"/>
              <w:jc w:val="left"/>
              <w:rPr>
                <w:rFonts w:hint="default" w:ascii="仿宋" w:hAnsi="仿宋" w:eastAsia="仿宋" w:cs="仿宋"/>
                <w:bCs/>
                <w:color w:val="auto"/>
                <w:szCs w:val="21"/>
                <w:highlight w:val="none"/>
                <w:lang w:val="en-US" w:eastAsia="zh-CN"/>
              </w:rPr>
            </w:pPr>
            <w:r>
              <w:rPr>
                <w:rFonts w:hint="eastAsia" w:ascii="仿宋" w:hAnsi="仿宋" w:cs="仿宋"/>
                <w:b/>
                <w:color w:val="auto"/>
                <w:szCs w:val="21"/>
                <w:highlight w:val="none"/>
              </w:rPr>
              <w:t>质量保证期：</w:t>
            </w:r>
            <w:r>
              <w:rPr>
                <w:rFonts w:hint="eastAsia" w:ascii="仿宋" w:hAnsi="仿宋" w:cs="仿宋"/>
                <w:b w:val="0"/>
                <w:bCs/>
                <w:color w:val="auto"/>
                <w:szCs w:val="21"/>
                <w:highlight w:val="none"/>
                <w:lang w:val="en-US" w:eastAsia="zh-CN"/>
              </w:rPr>
              <w:t>3年</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jc w:val="center"/>
              <w:rPr>
                <w:rFonts w:hint="eastAsia" w:ascii="仿宋" w:hAnsi="仿宋" w:cs="仿宋"/>
                <w:b/>
                <w:color w:val="auto"/>
                <w:szCs w:val="21"/>
                <w:highlight w:val="none"/>
              </w:rPr>
            </w:pPr>
            <w:r>
              <w:rPr>
                <w:rFonts w:hint="eastAsia" w:ascii="仿宋" w:hAnsi="仿宋" w:cs="仿宋"/>
                <w:b/>
                <w:color w:val="auto"/>
                <w:szCs w:val="21"/>
                <w:highlight w:val="none"/>
              </w:rPr>
              <w:t>★</w:t>
            </w:r>
            <w:r>
              <w:rPr>
                <w:rFonts w:hint="eastAsia" w:ascii="仿宋" w:hAnsi="仿宋" w:cs="仿宋"/>
                <w:color w:val="auto"/>
                <w:szCs w:val="21"/>
                <w:highlight w:val="none"/>
              </w:rPr>
              <w:t>5</w:t>
            </w:r>
          </w:p>
        </w:tc>
        <w:tc>
          <w:tcPr>
            <w:tcW w:w="3927" w:type="dxa"/>
            <w:noWrap w:val="0"/>
            <w:vAlign w:val="center"/>
          </w:tcPr>
          <w:p>
            <w:pPr>
              <w:keepNext w:val="0"/>
              <w:keepLines w:val="0"/>
              <w:suppressLineNumbers w:val="0"/>
              <w:adjustRightInd w:val="0"/>
              <w:snapToGrid w:val="0"/>
              <w:spacing w:before="0" w:beforeAutospacing="0" w:after="0" w:afterAutospacing="0"/>
              <w:ind w:left="0" w:right="0"/>
              <w:rPr>
                <w:rFonts w:hint="eastAsia" w:ascii="Arial" w:hAnsi="Arial" w:cs="Arial"/>
                <w:color w:val="auto"/>
                <w:highlight w:val="none"/>
                <w:lang w:eastAsia="zh-CN"/>
              </w:rPr>
            </w:pPr>
            <w:r>
              <w:rPr>
                <w:rFonts w:hint="default" w:ascii="Arial" w:hAnsi="Arial" w:cs="Arial"/>
                <w:b/>
                <w:bCs/>
                <w:color w:val="auto"/>
                <w:szCs w:val="21"/>
                <w:highlight w:val="none"/>
              </w:rPr>
              <w:t>验收标准</w:t>
            </w:r>
            <w:r>
              <w:rPr>
                <w:rFonts w:hint="eastAsia" w:ascii="Arial" w:hAnsi="Arial" w:cs="Arial"/>
                <w:b/>
                <w:bCs/>
                <w:color w:val="auto"/>
                <w:szCs w:val="21"/>
                <w:highlight w:val="none"/>
              </w:rPr>
              <w:t>及程序</w:t>
            </w:r>
            <w:r>
              <w:rPr>
                <w:rFonts w:hint="default" w:ascii="Arial" w:hAnsi="Arial" w:cs="Arial"/>
                <w:color w:val="auto"/>
                <w:szCs w:val="21"/>
                <w:highlight w:val="none"/>
              </w:rPr>
              <w:t>：</w:t>
            </w:r>
            <w:r>
              <w:rPr>
                <w:rFonts w:hint="eastAsia" w:ascii="Arial" w:hAnsi="Arial" w:cs="Arial"/>
                <w:color w:val="auto"/>
                <w:highlight w:val="none"/>
              </w:rPr>
              <w:t>根据</w:t>
            </w:r>
            <w:r>
              <w:rPr>
                <w:rFonts w:hint="eastAsia" w:ascii="Arial" w:hAnsi="Arial" w:cs="Arial"/>
                <w:color w:val="auto"/>
                <w:highlight w:val="none"/>
                <w:lang w:eastAsia="zh-CN"/>
              </w:rPr>
              <w:t>《辽宁省消防救援总队自然灾害应急能力提升工程装备建设项目验收实施方案》</w:t>
            </w:r>
          </w:p>
          <w:p>
            <w:pPr>
              <w:keepNext w:val="0"/>
              <w:keepLines w:val="0"/>
              <w:suppressLineNumbers w:val="0"/>
              <w:adjustRightInd w:val="0"/>
              <w:snapToGrid w:val="0"/>
              <w:spacing w:before="0" w:beforeAutospacing="0" w:after="0" w:afterAutospacing="0"/>
              <w:ind w:left="0" w:right="0"/>
              <w:rPr>
                <w:rFonts w:hint="default" w:ascii="Arial" w:hAnsi="Arial" w:cs="Arial"/>
                <w:color w:val="auto"/>
                <w:szCs w:val="21"/>
                <w:highlight w:val="none"/>
              </w:rPr>
            </w:pPr>
            <w:r>
              <w:rPr>
                <w:rFonts w:hint="default" w:ascii="Arial" w:hAnsi="Arial" w:cs="Arial"/>
                <w:b/>
                <w:bCs/>
                <w:color w:val="auto"/>
                <w:szCs w:val="21"/>
                <w:highlight w:val="none"/>
              </w:rPr>
              <w:t>验收报告：</w:t>
            </w:r>
            <w:r>
              <w:rPr>
                <w:rFonts w:hint="default" w:ascii="Arial" w:hAnsi="Arial" w:cs="Arial"/>
                <w:color w:val="auto"/>
                <w:szCs w:val="21"/>
                <w:highlight w:val="none"/>
              </w:rPr>
              <w:t>按采购方验收报告填写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default" w:ascii="Arial" w:hAnsi="Arial" w:cs="Arial"/>
                <w:b/>
                <w:bCs/>
                <w:color w:val="auto"/>
                <w:szCs w:val="21"/>
                <w:highlight w:val="none"/>
              </w:rPr>
              <w:t>组织验收主体</w:t>
            </w:r>
            <w:r>
              <w:rPr>
                <w:rFonts w:hint="default" w:ascii="Arial" w:hAnsi="Arial" w:cs="Arial"/>
                <w:color w:val="auto"/>
                <w:szCs w:val="21"/>
                <w:highlight w:val="none"/>
              </w:rPr>
              <w:t>：本项目的履约验收工作由</w:t>
            </w:r>
            <w:r>
              <w:rPr>
                <w:rFonts w:hint="eastAsia" w:ascii="Arial" w:hAnsi="Arial" w:cs="Arial"/>
                <w:color w:val="auto"/>
                <w:szCs w:val="21"/>
                <w:highlight w:val="none"/>
              </w:rPr>
              <w:t>采购人</w:t>
            </w:r>
            <w:r>
              <w:rPr>
                <w:rFonts w:hint="default" w:ascii="Arial" w:hAnsi="Arial" w:cs="Arial"/>
                <w:color w:val="auto"/>
                <w:szCs w:val="21"/>
                <w:highlight w:val="none"/>
              </w:rPr>
              <w:t>依法组织实施。</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cs="仿宋"/>
                <w:b/>
                <w:color w:val="auto"/>
                <w:szCs w:val="21"/>
                <w:highlight w:val="none"/>
              </w:rPr>
            </w:pPr>
            <w:r>
              <w:rPr>
                <w:rFonts w:hint="eastAsia" w:ascii="仿宋" w:hAnsi="仿宋" w:cs="仿宋"/>
                <w:b w:val="0"/>
                <w:bCs/>
                <w:color w:val="auto"/>
                <w:szCs w:val="21"/>
                <w:highlight w:val="none"/>
              </w:rPr>
              <w:t>★</w:t>
            </w:r>
            <w:r>
              <w:rPr>
                <w:rFonts w:hint="eastAsia" w:ascii="仿宋" w:hAnsi="仿宋" w:cs="仿宋"/>
                <w:b w:val="0"/>
                <w:bCs/>
                <w:color w:val="auto"/>
                <w:szCs w:val="21"/>
                <w:highlight w:val="none"/>
                <w:lang w:val="en-US" w:eastAsia="zh-CN"/>
              </w:rPr>
              <w:t>6</w:t>
            </w:r>
          </w:p>
        </w:tc>
        <w:tc>
          <w:tcPr>
            <w:tcW w:w="3927" w:type="dxa"/>
            <w:noWrap w:val="0"/>
            <w:vAlign w:val="center"/>
          </w:tcPr>
          <w:p>
            <w:pPr>
              <w:keepNext w:val="0"/>
              <w:keepLines w:val="0"/>
              <w:suppressLineNumbers w:val="0"/>
              <w:spacing w:before="0" w:beforeAutospacing="0" w:after="0" w:afterAutospacing="0"/>
              <w:ind w:left="0" w:right="0"/>
              <w:rPr>
                <w:rFonts w:hint="default" w:ascii="仿宋" w:hAnsi="仿宋" w:cs="仿宋"/>
                <w:b w:val="0"/>
                <w:bCs/>
                <w:color w:val="auto"/>
                <w:szCs w:val="21"/>
                <w:highlight w:val="none"/>
              </w:rPr>
            </w:pPr>
            <w:r>
              <w:rPr>
                <w:rFonts w:hint="eastAsia" w:ascii="仿宋" w:hAnsi="仿宋" w:cs="仿宋"/>
                <w:b w:val="0"/>
                <w:bCs/>
                <w:color w:val="auto"/>
                <w:szCs w:val="21"/>
                <w:highlight w:val="none"/>
              </w:rPr>
              <w:t>供货时提前做好</w:t>
            </w:r>
            <w:r>
              <w:rPr>
                <w:rFonts w:hint="eastAsia" w:ascii="仿宋" w:hAnsi="仿宋" w:cs="仿宋"/>
                <w:b w:val="0"/>
                <w:bCs/>
                <w:color w:val="auto"/>
                <w:szCs w:val="21"/>
                <w:highlight w:val="none"/>
                <w:lang w:val="en-US" w:eastAsia="zh-CN"/>
              </w:rPr>
              <w:t>采购</w:t>
            </w:r>
            <w:r>
              <w:rPr>
                <w:rFonts w:hint="eastAsia" w:ascii="仿宋" w:hAnsi="仿宋" w:cs="仿宋"/>
                <w:b w:val="0"/>
                <w:bCs/>
                <w:color w:val="auto"/>
                <w:szCs w:val="21"/>
                <w:highlight w:val="none"/>
              </w:rPr>
              <w:t>单位标识，同时做好存放期间的防尘、防雨等防护措施，并提供可供叉车转运的托盘或装具。</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cs="仿宋"/>
                <w:color w:val="auto"/>
                <w:szCs w:val="21"/>
                <w:highlight w:val="none"/>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0" w:hanging="1" w:firstLineChars="0"/>
              <w:jc w:val="center"/>
              <w:rPr>
                <w:rFonts w:hint="eastAsia" w:ascii="仿宋" w:hAnsi="仿宋" w:eastAsia="仿宋" w:cs="仿宋"/>
                <w:b w:val="0"/>
                <w:bCs/>
                <w:color w:val="auto"/>
                <w:kern w:val="2"/>
                <w:sz w:val="21"/>
                <w:szCs w:val="21"/>
                <w:highlight w:val="none"/>
                <w:lang w:val="en-US" w:eastAsia="zh-CN" w:bidi="ar-SA"/>
              </w:rPr>
            </w:pPr>
            <w:r>
              <w:rPr>
                <w:rFonts w:hint="eastAsia" w:ascii="仿宋" w:hAnsi="仿宋" w:cs="仿宋"/>
                <w:b w:val="0"/>
                <w:bCs/>
                <w:color w:val="auto"/>
                <w:szCs w:val="21"/>
                <w:highlight w:val="none"/>
              </w:rPr>
              <w:t>★</w:t>
            </w:r>
            <w:r>
              <w:rPr>
                <w:rFonts w:hint="eastAsia" w:ascii="仿宋" w:hAnsi="仿宋" w:cs="仿宋"/>
                <w:b w:val="0"/>
                <w:bCs/>
                <w:color w:val="auto"/>
                <w:szCs w:val="21"/>
                <w:highlight w:val="none"/>
                <w:lang w:val="en-US" w:eastAsia="zh-CN"/>
              </w:rPr>
              <w:t>7</w:t>
            </w:r>
          </w:p>
        </w:tc>
        <w:tc>
          <w:tcPr>
            <w:tcW w:w="3927" w:type="dxa"/>
            <w:noWrap w:val="0"/>
            <w:vAlign w:val="center"/>
          </w:tcPr>
          <w:p>
            <w:pPr>
              <w:keepNext w:val="0"/>
              <w:keepLines w:val="0"/>
              <w:suppressLineNumbers w:val="0"/>
              <w:spacing w:before="0" w:beforeAutospacing="0" w:after="0" w:afterAutospacing="0"/>
              <w:ind w:left="0" w:right="0"/>
              <w:rPr>
                <w:rFonts w:hint="eastAsia" w:ascii="仿宋" w:hAnsi="仿宋" w:cs="仿宋"/>
                <w:b w:val="0"/>
                <w:bCs/>
                <w:color w:val="auto"/>
                <w:szCs w:val="21"/>
                <w:highlight w:val="none"/>
                <w:lang w:val="en-US" w:eastAsia="zh-CN"/>
              </w:rPr>
            </w:pPr>
            <w:r>
              <w:rPr>
                <w:rFonts w:hint="eastAsia" w:ascii="仿宋" w:hAnsi="仿宋" w:cs="仿宋"/>
                <w:b w:val="0"/>
                <w:bCs/>
                <w:color w:val="auto"/>
                <w:szCs w:val="21"/>
                <w:highlight w:val="none"/>
              </w:rPr>
              <w:t>总体要求：所投产品必须为具备相应生产资格和资质条件的公司生产的并具有自主知识产权产品，具备正规的供货渠道和铭牌编号，不得是贴牌产品，投标供应商具备完善的售后维修维护能力。</w:t>
            </w:r>
          </w:p>
        </w:tc>
        <w:tc>
          <w:tcPr>
            <w:tcW w:w="1737" w:type="dxa"/>
            <w:noWrap w:val="0"/>
            <w:vAlign w:val="center"/>
          </w:tcPr>
          <w:p>
            <w:pPr>
              <w:keepNext w:val="0"/>
              <w:keepLines w:val="0"/>
              <w:suppressLineNumbers w:val="0"/>
              <w:adjustRightInd w:val="0"/>
              <w:snapToGrid w:val="0"/>
              <w:spacing w:before="0" w:beforeAutospacing="0" w:after="0" w:afterAutospacing="0"/>
              <w:ind w:left="0" w:right="105" w:rightChars="50" w:firstLine="514" w:firstLineChars="245"/>
              <w:jc w:val="center"/>
              <w:rPr>
                <w:rFonts w:hint="eastAsia" w:ascii="仿宋" w:hAnsi="仿宋" w:eastAsia="仿宋" w:cs="仿宋"/>
                <w:color w:val="auto"/>
                <w:kern w:val="2"/>
                <w:sz w:val="21"/>
                <w:szCs w:val="21"/>
                <w:highlight w:val="none"/>
                <w:lang w:val="en-US" w:eastAsia="zh-CN" w:bidi="ar-SA"/>
              </w:rPr>
            </w:pP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lang w:val="en-US" w:eastAsia="zh-CN"/>
              </w:rPr>
              <w:t>8</w:t>
            </w:r>
          </w:p>
        </w:tc>
        <w:tc>
          <w:tcPr>
            <w:tcW w:w="3927" w:type="dxa"/>
            <w:noWrap w:val="0"/>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rPr>
              <w:t>其它</w:t>
            </w:r>
          </w:p>
        </w:tc>
        <w:tc>
          <w:tcPr>
            <w:tcW w:w="1737"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rPr>
              <w:t>采购单位未提供需求而</w:t>
            </w:r>
            <w:r>
              <w:rPr>
                <w:rFonts w:hint="eastAsia" w:ascii="仿宋" w:hAnsi="仿宋" w:cs="仿宋"/>
                <w:color w:val="auto"/>
                <w:szCs w:val="21"/>
                <w:highlight w:val="none"/>
                <w:lang w:val="en-US" w:eastAsia="zh-CN"/>
              </w:rPr>
              <w:t>供应商</w:t>
            </w:r>
            <w:r>
              <w:rPr>
                <w:rFonts w:hint="eastAsia" w:ascii="仿宋" w:hAnsi="仿宋" w:cs="仿宋"/>
                <w:color w:val="auto"/>
                <w:szCs w:val="21"/>
                <w:highlight w:val="none"/>
              </w:rPr>
              <w:t>认为需说明及补充的内容在此填列</w:t>
            </w:r>
          </w:p>
        </w:tc>
        <w:tc>
          <w:tcPr>
            <w:tcW w:w="61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c>
          <w:tcPr>
            <w:tcW w:w="86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c>
          <w:tcPr>
            <w:tcW w:w="830" w:type="dxa"/>
            <w:noWrap w:val="0"/>
            <w:vAlign w:val="center"/>
          </w:tcPr>
          <w:p>
            <w:pPr>
              <w:keepNext w:val="0"/>
              <w:keepLines w:val="0"/>
              <w:suppressLineNumbers w:val="0"/>
              <w:adjustRightInd w:val="0"/>
              <w:snapToGrid w:val="0"/>
              <w:spacing w:before="0" w:beforeAutospacing="0" w:after="0" w:afterAutospacing="0"/>
              <w:ind w:left="0" w:right="105" w:rightChars="50"/>
              <w:jc w:val="center"/>
              <w:rPr>
                <w:rFonts w:hint="eastAsia" w:ascii="仿宋" w:hAnsi="仿宋" w:eastAsia="仿宋" w:cs="仿宋"/>
                <w:color w:val="auto"/>
                <w:kern w:val="2"/>
                <w:sz w:val="21"/>
                <w:szCs w:val="21"/>
                <w:highlight w:val="none"/>
                <w:lang w:val="en-US" w:eastAsia="zh-CN" w:bidi="ar-SA"/>
              </w:rPr>
            </w:pPr>
          </w:p>
        </w:tc>
      </w:tr>
    </w:tbl>
    <w:p>
      <w:pPr>
        <w:adjustRightInd w:val="0"/>
        <w:snapToGrid w:val="0"/>
        <w:spacing w:line="360" w:lineRule="auto"/>
        <w:ind w:right="105" w:rightChars="50"/>
        <w:jc w:val="left"/>
        <w:rPr>
          <w:rFonts w:hint="eastAsia" w:ascii="仿宋" w:hAnsi="仿宋" w:cs="仿宋"/>
          <w:b/>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r>
        <w:rPr>
          <w:rFonts w:hint="eastAsia" w:ascii="仿宋" w:hAnsi="仿宋" w:cs="仿宋"/>
          <w:b/>
          <w:color w:val="auto"/>
          <w:szCs w:val="21"/>
          <w:highlight w:val="none"/>
        </w:rPr>
        <w:t>填表要求：</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1．“投标文件响应内容”一栏由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按照招标文件要求填写，进行响应。</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3．“偏离说明”一栏由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对偏离的情况做详细说明。</w:t>
      </w: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rPr>
          <w:rFonts w:hint="eastAsia" w:ascii="仿宋" w:hAnsi="仿宋" w:cs="仿宋"/>
          <w:color w:val="auto"/>
          <w:szCs w:val="28"/>
          <w:highlight w:val="none"/>
        </w:rPr>
      </w:pPr>
      <w:r>
        <w:rPr>
          <w:rFonts w:hint="eastAsia" w:ascii="仿宋" w:hAnsi="仿宋" w:cs="仿宋"/>
          <w:color w:val="auto"/>
          <w:szCs w:val="28"/>
          <w:highlight w:val="none"/>
        </w:rPr>
        <w:br w:type="page"/>
      </w: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格式14</w:t>
      </w:r>
    </w:p>
    <w:p>
      <w:pPr>
        <w:adjustRightInd w:val="0"/>
        <w:snapToGrid w:val="0"/>
        <w:spacing w:before="319" w:beforeLines="100" w:after="319" w:afterLines="100" w:line="360" w:lineRule="auto"/>
        <w:ind w:right="105" w:rightChars="50"/>
        <w:jc w:val="center"/>
        <w:rPr>
          <w:rFonts w:hint="eastAsia" w:ascii="仿宋" w:hAnsi="仿宋" w:cs="仿宋"/>
          <w:b/>
          <w:bCs/>
          <w:color w:val="auto"/>
          <w:sz w:val="32"/>
          <w:szCs w:val="32"/>
          <w:highlight w:val="none"/>
        </w:rPr>
      </w:pPr>
      <w:bookmarkStart w:id="112" w:name="_Toc9410_WPSOffice_Level2"/>
      <w:bookmarkStart w:id="113" w:name="_Toc20929_WPSOffice_Level2"/>
      <w:r>
        <w:rPr>
          <w:rFonts w:hint="eastAsia" w:ascii="仿宋" w:hAnsi="仿宋" w:cs="仿宋"/>
          <w:b/>
          <w:bCs/>
          <w:color w:val="auto"/>
          <w:sz w:val="32"/>
          <w:szCs w:val="32"/>
          <w:highlight w:val="none"/>
          <w:lang w:eastAsia="zh-CN"/>
        </w:rPr>
        <w:t>供应商</w:t>
      </w:r>
      <w:r>
        <w:rPr>
          <w:rFonts w:hint="eastAsia" w:ascii="仿宋" w:hAnsi="仿宋" w:cs="仿宋"/>
          <w:b/>
          <w:bCs/>
          <w:color w:val="auto"/>
          <w:sz w:val="32"/>
          <w:szCs w:val="32"/>
          <w:highlight w:val="none"/>
        </w:rPr>
        <w:t>关联单位的说明</w:t>
      </w:r>
      <w:bookmarkEnd w:id="112"/>
      <w:bookmarkEnd w:id="113"/>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说明：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应当如实披露与本单位存在下列关联关系的单位名称：</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bookmarkStart w:id="114" w:name="_Toc2074_WPSOffice_Level2"/>
      <w:bookmarkStart w:id="115" w:name="_Toc31070_WPSOffice_Level2"/>
      <w:r>
        <w:rPr>
          <w:rFonts w:hint="eastAsia" w:ascii="仿宋" w:hAnsi="仿宋" w:cs="仿宋"/>
          <w:color w:val="auto"/>
          <w:szCs w:val="21"/>
          <w:highlight w:val="none"/>
        </w:rPr>
        <w:t>（1）与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单位法定代表人（或非法人组织负责人）为同一人的其他单位；</w:t>
      </w:r>
      <w:bookmarkEnd w:id="114"/>
      <w:bookmarkEnd w:id="115"/>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bookmarkStart w:id="116" w:name="_Toc27053_WPSOffice_Level2"/>
      <w:bookmarkStart w:id="117" w:name="_Toc889_WPSOffice_Level2"/>
      <w:r>
        <w:rPr>
          <w:rFonts w:hint="eastAsia" w:ascii="仿宋" w:hAnsi="仿宋" w:cs="仿宋"/>
          <w:color w:val="auto"/>
          <w:szCs w:val="21"/>
          <w:highlight w:val="none"/>
        </w:rPr>
        <w:t>（2）与</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存在直接控股、管理关系的其他单位。</w:t>
      </w:r>
      <w:bookmarkEnd w:id="116"/>
      <w:bookmarkEnd w:id="117"/>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注：若无此情形，写“无”即可</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spacing w:line="480" w:lineRule="auto"/>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名称（加盖单位公章）：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法定代表人（或</w:t>
      </w:r>
      <w:r>
        <w:rPr>
          <w:rFonts w:hint="eastAsia" w:ascii="仿宋" w:hAnsi="仿宋" w:cs="仿宋"/>
          <w:color w:val="auto"/>
          <w:szCs w:val="21"/>
          <w:highlight w:val="none"/>
        </w:rPr>
        <w:t>非法人组织负责人）或</w:t>
      </w:r>
      <w:r>
        <w:rPr>
          <w:rFonts w:hint="eastAsia" w:ascii="仿宋" w:hAnsi="仿宋" w:cs="仿宋"/>
          <w:color w:val="auto"/>
          <w:highlight w:val="none"/>
        </w:rPr>
        <w:t>其</w:t>
      </w:r>
      <w:r>
        <w:rPr>
          <w:rFonts w:hint="eastAsia" w:ascii="仿宋" w:hAnsi="仿宋" w:cs="仿宋"/>
          <w:color w:val="auto"/>
          <w:szCs w:val="21"/>
          <w:highlight w:val="none"/>
        </w:rPr>
        <w:t>授权</w:t>
      </w:r>
      <w:r>
        <w:rPr>
          <w:rFonts w:hint="eastAsia" w:ascii="仿宋" w:hAnsi="仿宋" w:cs="仿宋"/>
          <w:color w:val="auto"/>
          <w:highlight w:val="none"/>
        </w:rPr>
        <w:t>委托</w:t>
      </w:r>
      <w:r>
        <w:rPr>
          <w:rFonts w:hint="eastAsia" w:ascii="仿宋" w:hAnsi="仿宋" w:cs="仿宋"/>
          <w:color w:val="auto"/>
          <w:szCs w:val="21"/>
          <w:highlight w:val="none"/>
        </w:rPr>
        <w:t>人</w:t>
      </w:r>
      <w:r>
        <w:rPr>
          <w:rFonts w:hint="eastAsia" w:ascii="仿宋" w:hAnsi="仿宋" w:cs="仿宋"/>
          <w:color w:val="auto"/>
          <w:highlight w:val="none"/>
        </w:rPr>
        <w:t>(签字或盖章)：</w:t>
      </w:r>
      <w:r>
        <w:rPr>
          <w:rFonts w:hint="eastAsia" w:ascii="仿宋" w:hAnsi="仿宋" w:cs="仿宋"/>
          <w:color w:val="auto"/>
          <w:highlight w:val="none"/>
          <w:u w:val="single"/>
        </w:rPr>
        <w:t xml:space="preserve">           </w:t>
      </w:r>
    </w:p>
    <w:p>
      <w:pPr>
        <w:spacing w:line="480" w:lineRule="auto"/>
        <w:rPr>
          <w:rFonts w:hint="eastAsia" w:ascii="仿宋" w:hAnsi="仿宋" w:cs="仿宋"/>
          <w:color w:val="auto"/>
          <w:highlight w:val="none"/>
        </w:rPr>
      </w:pPr>
      <w:r>
        <w:rPr>
          <w:rFonts w:hint="eastAsia" w:ascii="仿宋" w:hAnsi="仿宋" w:cs="仿宋"/>
          <w:color w:val="auto"/>
          <w:highlight w:val="none"/>
        </w:rPr>
        <w:t>日期：</w:t>
      </w:r>
      <w:r>
        <w:rPr>
          <w:rFonts w:hint="eastAsia" w:ascii="仿宋" w:hAnsi="仿宋" w:cs="仿宋"/>
          <w:color w:val="auto"/>
          <w:highlight w:val="none"/>
          <w:u w:val="single"/>
        </w:rPr>
        <w:t xml:space="preserve">                </w:t>
      </w: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spacing w:line="360" w:lineRule="auto"/>
        <w:ind w:firstLine="420" w:firstLineChars="200"/>
        <w:rPr>
          <w:rFonts w:hint="eastAsia" w:ascii="仿宋" w:hAnsi="仿宋" w:cs="仿宋"/>
          <w:color w:val="auto"/>
          <w:szCs w:val="21"/>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格式15</w:t>
      </w:r>
    </w:p>
    <w:p>
      <w:pPr>
        <w:adjustRightInd w:val="0"/>
        <w:snapToGrid w:val="0"/>
        <w:spacing w:before="319" w:beforeLines="100" w:after="319" w:afterLines="100" w:line="360" w:lineRule="auto"/>
        <w:ind w:right="105" w:rightChars="50"/>
        <w:jc w:val="center"/>
        <w:rPr>
          <w:rFonts w:hint="eastAsia" w:ascii="仿宋" w:hAnsi="仿宋" w:cs="仿宋"/>
          <w:b/>
          <w:bCs/>
          <w:color w:val="auto"/>
          <w:sz w:val="32"/>
          <w:szCs w:val="32"/>
          <w:highlight w:val="none"/>
        </w:rPr>
      </w:pPr>
      <w:r>
        <w:rPr>
          <w:rFonts w:hint="eastAsia" w:ascii="仿宋" w:hAnsi="仿宋" w:cs="仿宋"/>
          <w:b/>
          <w:bCs/>
          <w:color w:val="auto"/>
          <w:sz w:val="32"/>
          <w:szCs w:val="32"/>
          <w:highlight w:val="none"/>
        </w:rPr>
        <w:t>中小企业声明函（货物）</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本公司（联合体）郑重声明，根据《政府采购促进中小企业发展管理办法》（财库﹝2020﹞46号）的规定，本公司（联合体）参加</w:t>
      </w:r>
      <w:r>
        <w:rPr>
          <w:rFonts w:hint="eastAsia" w:ascii="仿宋" w:hAnsi="仿宋" w:cs="仿宋"/>
          <w:i/>
          <w:color w:val="auto"/>
          <w:kern w:val="0"/>
          <w:szCs w:val="21"/>
          <w:highlight w:val="none"/>
          <w:u w:val="single"/>
        </w:rPr>
        <w:t>（单位名称）</w:t>
      </w:r>
      <w:r>
        <w:rPr>
          <w:rFonts w:hint="eastAsia" w:ascii="仿宋" w:hAnsi="仿宋" w:cs="仿宋"/>
          <w:color w:val="auto"/>
          <w:kern w:val="0"/>
          <w:szCs w:val="21"/>
          <w:highlight w:val="none"/>
        </w:rPr>
        <w:t>的</w:t>
      </w:r>
      <w:r>
        <w:rPr>
          <w:rFonts w:hint="eastAsia" w:ascii="仿宋" w:hAnsi="仿宋" w:cs="仿宋"/>
          <w:i/>
          <w:color w:val="auto"/>
          <w:kern w:val="0"/>
          <w:szCs w:val="21"/>
          <w:highlight w:val="none"/>
          <w:u w:val="single"/>
        </w:rPr>
        <w:t>（项目名称）</w:t>
      </w:r>
      <w:r>
        <w:rPr>
          <w:rFonts w:hint="eastAsia" w:ascii="仿宋" w:hAnsi="仿宋" w:cs="仿宋"/>
          <w:color w:val="auto"/>
          <w:kern w:val="0"/>
          <w:szCs w:val="21"/>
          <w:highlight w:val="none"/>
        </w:rPr>
        <w:t>采购活动，提供的货物全部由符合政策要求的中小企业制造。相关企业（含联合体中的中小企业、签订分包意向协议的中小企业）的具体情况如下：</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1.</w:t>
      </w:r>
      <w:r>
        <w:rPr>
          <w:rFonts w:hint="eastAsia" w:ascii="仿宋" w:hAnsi="仿宋" w:cs="仿宋"/>
          <w:i/>
          <w:color w:val="auto"/>
          <w:kern w:val="0"/>
          <w:szCs w:val="21"/>
          <w:highlight w:val="none"/>
          <w:u w:val="single"/>
        </w:rPr>
        <w:t xml:space="preserve"> （标的名称） </w:t>
      </w:r>
      <w:r>
        <w:rPr>
          <w:rFonts w:hint="eastAsia" w:ascii="仿宋" w:hAnsi="仿宋" w:cs="仿宋"/>
          <w:color w:val="auto"/>
          <w:kern w:val="0"/>
          <w:szCs w:val="21"/>
          <w:highlight w:val="none"/>
        </w:rPr>
        <w:t>，属于</w:t>
      </w:r>
      <w:r>
        <w:rPr>
          <w:rFonts w:hint="eastAsia" w:ascii="仿宋" w:hAnsi="仿宋" w:cs="仿宋"/>
          <w:i/>
          <w:color w:val="auto"/>
          <w:kern w:val="0"/>
          <w:szCs w:val="21"/>
          <w:highlight w:val="none"/>
          <w:u w:val="single"/>
        </w:rPr>
        <w:t>（</w:t>
      </w:r>
      <w:r>
        <w:rPr>
          <w:rFonts w:hint="eastAsia" w:ascii="仿宋" w:hAnsi="仿宋" w:cs="仿宋"/>
          <w:i/>
          <w:color w:val="auto"/>
          <w:kern w:val="0"/>
          <w:szCs w:val="21"/>
          <w:highlight w:val="none"/>
          <w:u w:val="single"/>
          <w:lang w:eastAsia="zh-CN"/>
        </w:rPr>
        <w:t>招标文件</w:t>
      </w:r>
      <w:r>
        <w:rPr>
          <w:rFonts w:hint="eastAsia" w:ascii="仿宋" w:hAnsi="仿宋" w:cs="仿宋"/>
          <w:i/>
          <w:color w:val="auto"/>
          <w:kern w:val="0"/>
          <w:szCs w:val="21"/>
          <w:highlight w:val="none"/>
          <w:u w:val="single"/>
        </w:rPr>
        <w:t>中明确的所属行业）行业</w:t>
      </w:r>
      <w:r>
        <w:rPr>
          <w:rFonts w:hint="eastAsia" w:ascii="仿宋" w:hAnsi="仿宋" w:cs="仿宋"/>
          <w:color w:val="auto"/>
          <w:kern w:val="0"/>
          <w:szCs w:val="21"/>
          <w:highlight w:val="none"/>
        </w:rPr>
        <w:t>；制造商为</w:t>
      </w:r>
      <w:r>
        <w:rPr>
          <w:rFonts w:hint="eastAsia" w:ascii="仿宋" w:hAnsi="仿宋" w:cs="仿宋"/>
          <w:i/>
          <w:color w:val="auto"/>
          <w:kern w:val="0"/>
          <w:szCs w:val="21"/>
          <w:highlight w:val="none"/>
          <w:u w:val="single"/>
        </w:rPr>
        <w:t>（企业名称）</w:t>
      </w:r>
      <w:r>
        <w:rPr>
          <w:rFonts w:hint="eastAsia" w:ascii="仿宋" w:hAnsi="仿宋" w:cs="仿宋"/>
          <w:color w:val="auto"/>
          <w:kern w:val="0"/>
          <w:szCs w:val="21"/>
          <w:highlight w:val="none"/>
        </w:rPr>
        <w:t>，从业人员</w:t>
      </w:r>
      <w:r>
        <w:rPr>
          <w:rFonts w:hint="eastAsia" w:ascii="仿宋" w:hAnsi="仿宋" w:cs="仿宋"/>
          <w:color w:val="auto"/>
          <w:kern w:val="0"/>
          <w:szCs w:val="21"/>
          <w:highlight w:val="none"/>
          <w:u w:val="single"/>
        </w:rPr>
        <w:t>　　</w:t>
      </w:r>
      <w:r>
        <w:rPr>
          <w:rFonts w:hint="eastAsia" w:ascii="仿宋" w:hAnsi="仿宋" w:cs="仿宋"/>
          <w:color w:val="auto"/>
          <w:kern w:val="0"/>
          <w:szCs w:val="21"/>
          <w:highlight w:val="none"/>
        </w:rPr>
        <w:t>人，营业收入为</w:t>
      </w:r>
      <w:r>
        <w:rPr>
          <w:rFonts w:hint="eastAsia" w:ascii="仿宋" w:hAnsi="仿宋" w:cs="仿宋"/>
          <w:color w:val="auto"/>
          <w:kern w:val="0"/>
          <w:szCs w:val="21"/>
          <w:highlight w:val="none"/>
          <w:u w:val="single"/>
        </w:rPr>
        <w:t>　　</w:t>
      </w:r>
      <w:r>
        <w:rPr>
          <w:rFonts w:hint="eastAsia" w:ascii="仿宋" w:hAnsi="仿宋" w:cs="仿宋"/>
          <w:color w:val="auto"/>
          <w:kern w:val="0"/>
          <w:szCs w:val="21"/>
          <w:highlight w:val="none"/>
        </w:rPr>
        <w:t>万元，资产总额为</w:t>
      </w:r>
      <w:r>
        <w:rPr>
          <w:rFonts w:hint="eastAsia" w:ascii="仿宋" w:hAnsi="仿宋" w:cs="仿宋"/>
          <w:color w:val="auto"/>
          <w:kern w:val="0"/>
          <w:szCs w:val="21"/>
          <w:highlight w:val="none"/>
          <w:u w:val="single"/>
        </w:rPr>
        <w:t>　　</w:t>
      </w:r>
      <w:r>
        <w:rPr>
          <w:rFonts w:hint="eastAsia" w:ascii="仿宋" w:hAnsi="仿宋" w:cs="仿宋"/>
          <w:color w:val="auto"/>
          <w:kern w:val="0"/>
          <w:szCs w:val="21"/>
          <w:highlight w:val="none"/>
        </w:rPr>
        <w:t>万元，属于</w:t>
      </w:r>
      <w:r>
        <w:rPr>
          <w:rFonts w:hint="eastAsia" w:ascii="仿宋" w:hAnsi="仿宋" w:cs="仿宋"/>
          <w:i/>
          <w:color w:val="auto"/>
          <w:kern w:val="0"/>
          <w:szCs w:val="21"/>
          <w:highlight w:val="none"/>
          <w:u w:val="single"/>
        </w:rPr>
        <w:t>（中型企业、小型企业、微型企业）</w:t>
      </w:r>
      <w:r>
        <w:rPr>
          <w:rFonts w:hint="eastAsia" w:ascii="仿宋" w:hAnsi="仿宋" w:cs="仿宋"/>
          <w:color w:val="auto"/>
          <w:kern w:val="0"/>
          <w:szCs w:val="21"/>
          <w:highlight w:val="none"/>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2.</w:t>
      </w:r>
      <w:r>
        <w:rPr>
          <w:rFonts w:hint="eastAsia" w:ascii="仿宋" w:hAnsi="仿宋" w:cs="仿宋"/>
          <w:i/>
          <w:color w:val="auto"/>
          <w:kern w:val="0"/>
          <w:szCs w:val="21"/>
          <w:highlight w:val="none"/>
          <w:u w:val="single"/>
        </w:rPr>
        <w:t xml:space="preserve"> （标的名称） </w:t>
      </w:r>
      <w:r>
        <w:rPr>
          <w:rFonts w:hint="eastAsia" w:ascii="仿宋" w:hAnsi="仿宋" w:cs="仿宋"/>
          <w:color w:val="auto"/>
          <w:kern w:val="0"/>
          <w:szCs w:val="21"/>
          <w:highlight w:val="none"/>
        </w:rPr>
        <w:t>，属于</w:t>
      </w:r>
      <w:r>
        <w:rPr>
          <w:rFonts w:hint="eastAsia" w:ascii="仿宋" w:hAnsi="仿宋" w:cs="仿宋"/>
          <w:i/>
          <w:color w:val="auto"/>
          <w:kern w:val="0"/>
          <w:szCs w:val="21"/>
          <w:highlight w:val="none"/>
          <w:u w:val="single"/>
        </w:rPr>
        <w:t>（</w:t>
      </w:r>
      <w:r>
        <w:rPr>
          <w:rFonts w:hint="eastAsia" w:ascii="仿宋" w:hAnsi="仿宋" w:cs="仿宋"/>
          <w:i/>
          <w:color w:val="auto"/>
          <w:kern w:val="0"/>
          <w:szCs w:val="21"/>
          <w:highlight w:val="none"/>
          <w:u w:val="single"/>
          <w:lang w:eastAsia="zh-CN"/>
        </w:rPr>
        <w:t>招标文件</w:t>
      </w:r>
      <w:r>
        <w:rPr>
          <w:rFonts w:hint="eastAsia" w:ascii="仿宋" w:hAnsi="仿宋" w:cs="仿宋"/>
          <w:i/>
          <w:color w:val="auto"/>
          <w:kern w:val="0"/>
          <w:szCs w:val="21"/>
          <w:highlight w:val="none"/>
          <w:u w:val="single"/>
        </w:rPr>
        <w:t>中明确的所属行业）行业</w:t>
      </w:r>
      <w:r>
        <w:rPr>
          <w:rFonts w:hint="eastAsia" w:ascii="仿宋" w:hAnsi="仿宋" w:cs="仿宋"/>
          <w:color w:val="auto"/>
          <w:kern w:val="0"/>
          <w:szCs w:val="21"/>
          <w:highlight w:val="none"/>
        </w:rPr>
        <w:t>；制造商为</w:t>
      </w:r>
      <w:r>
        <w:rPr>
          <w:rFonts w:hint="eastAsia" w:ascii="仿宋" w:hAnsi="仿宋" w:cs="仿宋"/>
          <w:i/>
          <w:color w:val="auto"/>
          <w:kern w:val="0"/>
          <w:szCs w:val="21"/>
          <w:highlight w:val="none"/>
          <w:u w:val="single"/>
        </w:rPr>
        <w:t>（企业名称）</w:t>
      </w:r>
      <w:r>
        <w:rPr>
          <w:rFonts w:hint="eastAsia" w:ascii="仿宋" w:hAnsi="仿宋" w:cs="仿宋"/>
          <w:color w:val="auto"/>
          <w:kern w:val="0"/>
          <w:szCs w:val="21"/>
          <w:highlight w:val="none"/>
        </w:rPr>
        <w:t>，从业人员</w:t>
      </w:r>
      <w:r>
        <w:rPr>
          <w:rFonts w:hint="eastAsia" w:ascii="仿宋" w:hAnsi="仿宋" w:cs="仿宋"/>
          <w:color w:val="auto"/>
          <w:kern w:val="0"/>
          <w:szCs w:val="21"/>
          <w:highlight w:val="none"/>
          <w:u w:val="single"/>
        </w:rPr>
        <w:t>　　</w:t>
      </w:r>
      <w:r>
        <w:rPr>
          <w:rFonts w:hint="eastAsia" w:ascii="仿宋" w:hAnsi="仿宋" w:cs="仿宋"/>
          <w:color w:val="auto"/>
          <w:kern w:val="0"/>
          <w:szCs w:val="21"/>
          <w:highlight w:val="none"/>
        </w:rPr>
        <w:t>人，营业收入为</w:t>
      </w:r>
      <w:r>
        <w:rPr>
          <w:rFonts w:hint="eastAsia" w:ascii="仿宋" w:hAnsi="仿宋" w:cs="仿宋"/>
          <w:color w:val="auto"/>
          <w:kern w:val="0"/>
          <w:szCs w:val="21"/>
          <w:highlight w:val="none"/>
          <w:u w:val="single"/>
        </w:rPr>
        <w:t>　　</w:t>
      </w:r>
      <w:r>
        <w:rPr>
          <w:rFonts w:hint="eastAsia" w:ascii="仿宋" w:hAnsi="仿宋" w:cs="仿宋"/>
          <w:color w:val="auto"/>
          <w:kern w:val="0"/>
          <w:szCs w:val="21"/>
          <w:highlight w:val="none"/>
        </w:rPr>
        <w:t>万元，资产总额为</w:t>
      </w:r>
      <w:r>
        <w:rPr>
          <w:rFonts w:hint="eastAsia" w:ascii="仿宋" w:hAnsi="仿宋" w:cs="仿宋"/>
          <w:color w:val="auto"/>
          <w:kern w:val="0"/>
          <w:szCs w:val="21"/>
          <w:highlight w:val="none"/>
          <w:u w:val="single"/>
        </w:rPr>
        <w:t>　　</w:t>
      </w:r>
      <w:r>
        <w:rPr>
          <w:rFonts w:hint="eastAsia" w:ascii="仿宋" w:hAnsi="仿宋" w:cs="仿宋"/>
          <w:color w:val="auto"/>
          <w:kern w:val="0"/>
          <w:szCs w:val="21"/>
          <w:highlight w:val="none"/>
        </w:rPr>
        <w:t>万元，属于</w:t>
      </w:r>
      <w:r>
        <w:rPr>
          <w:rFonts w:hint="eastAsia" w:ascii="仿宋" w:hAnsi="仿宋" w:cs="仿宋"/>
          <w:i/>
          <w:color w:val="auto"/>
          <w:kern w:val="0"/>
          <w:szCs w:val="21"/>
          <w:highlight w:val="none"/>
          <w:u w:val="single"/>
        </w:rPr>
        <w:t>（中型企业、小型企业、微型企业）</w:t>
      </w:r>
      <w:r>
        <w:rPr>
          <w:rFonts w:hint="eastAsia" w:ascii="仿宋" w:hAnsi="仿宋" w:cs="仿宋"/>
          <w:color w:val="auto"/>
          <w:kern w:val="0"/>
          <w:szCs w:val="21"/>
          <w:highlight w:val="none"/>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以上企业，不属于大企业的分支机构，不存在控股股东为大企业的情形，也不存在与大企业的负责人为同一人的情形。</w:t>
      </w:r>
    </w:p>
    <w:p>
      <w:pPr>
        <w:autoSpaceDE w:val="0"/>
        <w:autoSpaceDN w:val="0"/>
        <w:adjustRightInd w:val="0"/>
        <w:snapToGrid w:val="0"/>
        <w:spacing w:before="159" w:beforeLines="50" w:after="159" w:afterLines="50" w:line="360" w:lineRule="auto"/>
        <w:ind w:firstLine="420" w:firstLineChars="200"/>
        <w:jc w:val="left"/>
        <w:rPr>
          <w:rFonts w:hint="eastAsia" w:ascii="仿宋" w:hAnsi="仿宋" w:cs="仿宋"/>
          <w:color w:val="auto"/>
          <w:kern w:val="0"/>
          <w:szCs w:val="21"/>
          <w:highlight w:val="none"/>
        </w:rPr>
      </w:pPr>
      <w:r>
        <w:rPr>
          <w:rFonts w:hint="eastAsia" w:ascii="仿宋" w:hAnsi="仿宋" w:cs="仿宋"/>
          <w:color w:val="auto"/>
          <w:kern w:val="0"/>
          <w:szCs w:val="21"/>
          <w:highlight w:val="none"/>
        </w:rPr>
        <w:t>本企业对上述声明内容的真实性负责。如有虚假，将依法承担相应责任。</w:t>
      </w:r>
    </w:p>
    <w:p>
      <w:pPr>
        <w:autoSpaceDE w:val="0"/>
        <w:autoSpaceDN w:val="0"/>
        <w:adjustRightInd w:val="0"/>
        <w:snapToGrid w:val="0"/>
        <w:spacing w:line="360" w:lineRule="auto"/>
        <w:ind w:firstLine="2511" w:firstLineChars="1196"/>
        <w:jc w:val="left"/>
        <w:rPr>
          <w:rFonts w:hint="eastAsia" w:ascii="仿宋" w:hAnsi="仿宋" w:cs="仿宋"/>
          <w:color w:val="auto"/>
          <w:kern w:val="0"/>
          <w:szCs w:val="21"/>
          <w:highlight w:val="none"/>
        </w:rPr>
      </w:pPr>
    </w:p>
    <w:p>
      <w:pPr>
        <w:adjustRightInd w:val="0"/>
        <w:snapToGrid w:val="0"/>
        <w:spacing w:line="480" w:lineRule="auto"/>
        <w:ind w:right="105" w:rightChars="50"/>
        <w:jc w:val="left"/>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名称（加盖单位公章）：</w:t>
      </w:r>
      <w:r>
        <w:rPr>
          <w:rFonts w:hint="eastAsia" w:ascii="仿宋" w:hAnsi="仿宋" w:cs="仿宋"/>
          <w:color w:val="auto"/>
          <w:szCs w:val="21"/>
          <w:highlight w:val="none"/>
          <w:u w:val="single"/>
        </w:rPr>
        <w:t xml:space="preserve">              </w:t>
      </w:r>
    </w:p>
    <w:p>
      <w:pPr>
        <w:adjustRightInd w:val="0"/>
        <w:snapToGrid w:val="0"/>
        <w:spacing w:line="480" w:lineRule="auto"/>
        <w:ind w:right="105" w:rightChars="50"/>
        <w:jc w:val="left"/>
        <w:rPr>
          <w:rFonts w:hint="eastAsia" w:ascii="仿宋" w:hAnsi="仿宋" w:cs="仿宋"/>
          <w:color w:val="auto"/>
          <w:szCs w:val="21"/>
          <w:highlight w:val="none"/>
          <w:u w:val="singl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pStyle w:val="38"/>
        <w:ind w:firstLine="480"/>
        <w:rPr>
          <w:rFonts w:hint="eastAsia" w:ascii="仿宋" w:hAnsi="仿宋" w:eastAsia="仿宋" w:cs="仿宋"/>
          <w:color w:val="auto"/>
          <w:highlight w:val="none"/>
        </w:rPr>
      </w:pPr>
    </w:p>
    <w:p>
      <w:pPr>
        <w:adjustRightInd w:val="0"/>
        <w:snapToGrid w:val="0"/>
        <w:spacing w:line="360" w:lineRule="auto"/>
        <w:ind w:right="105" w:rightChars="50"/>
        <w:jc w:val="left"/>
        <w:rPr>
          <w:rFonts w:hint="eastAsia" w:ascii="仿宋" w:hAnsi="仿宋" w:cs="仿宋"/>
          <w:color w:val="auto"/>
          <w:szCs w:val="21"/>
          <w:highlight w:val="none"/>
        </w:rPr>
      </w:pPr>
      <w:r>
        <w:rPr>
          <w:rFonts w:hint="eastAsia" w:ascii="仿宋" w:hAnsi="仿宋" w:cs="仿宋"/>
          <w:color w:val="auto"/>
          <w:szCs w:val="21"/>
          <w:highlight w:val="none"/>
        </w:rPr>
        <w:t>注：</w:t>
      </w:r>
    </w:p>
    <w:p>
      <w:pPr>
        <w:numPr>
          <w:ilvl w:val="0"/>
          <w:numId w:val="0"/>
        </w:numPr>
        <w:adjustRightInd w:val="0"/>
        <w:snapToGrid w:val="0"/>
        <w:spacing w:line="360" w:lineRule="auto"/>
        <w:ind w:right="105" w:rightChars="50"/>
        <w:jc w:val="left"/>
        <w:rPr>
          <w:rFonts w:hint="eastAsia" w:ascii="仿宋" w:hAnsi="仿宋" w:cs="仿宋"/>
          <w:color w:val="auto"/>
          <w:szCs w:val="21"/>
          <w:highlight w:val="none"/>
        </w:rPr>
      </w:pPr>
      <w:r>
        <w:rPr>
          <w:rFonts w:hint="eastAsia" w:ascii="仿宋" w:hAnsi="仿宋" w:cs="仿宋"/>
          <w:color w:val="auto"/>
          <w:szCs w:val="21"/>
          <w:highlight w:val="none"/>
          <w:lang w:val="en-US" w:eastAsia="zh-CN"/>
        </w:rPr>
        <w:t>1、</w:t>
      </w:r>
      <w:r>
        <w:rPr>
          <w:rFonts w:hint="eastAsia" w:ascii="仿宋" w:hAnsi="仿宋" w:cs="仿宋"/>
          <w:color w:val="auto"/>
          <w:szCs w:val="21"/>
          <w:highlight w:val="none"/>
        </w:rPr>
        <w:t>从业人员、营业收入、资产总额填报上一年度数据，无上一年度数据的新成立企业可不填报。</w:t>
      </w:r>
    </w:p>
    <w:p>
      <w:pPr>
        <w:numPr>
          <w:ilvl w:val="0"/>
          <w:numId w:val="0"/>
        </w:numPr>
        <w:adjustRightInd w:val="0"/>
        <w:snapToGrid w:val="0"/>
        <w:spacing w:line="360" w:lineRule="auto"/>
        <w:ind w:right="105" w:rightChars="50"/>
        <w:jc w:val="left"/>
        <w:rPr>
          <w:rFonts w:hint="eastAsia" w:ascii="仿宋" w:hAnsi="仿宋" w:cs="仿宋"/>
          <w:b/>
          <w:bCs/>
          <w:color w:val="auto"/>
          <w:szCs w:val="21"/>
          <w:highlight w:val="none"/>
        </w:rPr>
      </w:pPr>
      <w:r>
        <w:rPr>
          <w:rFonts w:hint="eastAsia" w:ascii="仿宋" w:hAnsi="仿宋" w:cs="仿宋"/>
          <w:b/>
          <w:bCs/>
          <w:color w:val="auto"/>
          <w:szCs w:val="21"/>
          <w:highlight w:val="none"/>
          <w:lang w:val="en-US" w:eastAsia="zh-CN"/>
        </w:rPr>
        <w:t>2、</w:t>
      </w:r>
      <w:r>
        <w:rPr>
          <w:rFonts w:hint="eastAsia" w:ascii="仿宋" w:hAnsi="仿宋" w:cs="仿宋"/>
          <w:b/>
          <w:bCs/>
          <w:color w:val="auto"/>
          <w:szCs w:val="21"/>
          <w:highlight w:val="none"/>
        </w:rPr>
        <w:t>本项目采购标的对应的中小企业划分标准所属行业为：工业。根据中小企业划型标准（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r>
        <w:rPr>
          <w:rFonts w:hint="eastAsia" w:ascii="仿宋" w:hAnsi="仿宋" w:cs="仿宋"/>
          <w:b/>
          <w:bCs/>
          <w:color w:val="auto"/>
          <w:szCs w:val="21"/>
          <w:highlight w:val="none"/>
          <w:lang w:val="en-US" w:eastAsia="zh-CN"/>
        </w:rPr>
        <w:t>3、标的名称按前附表1.3.6填写。</w:t>
      </w:r>
    </w:p>
    <w:p>
      <w:pPr>
        <w:pStyle w:val="5"/>
        <w:adjustRightInd w:val="0"/>
        <w:snapToGrid w:val="0"/>
        <w:spacing w:before="0" w:after="0" w:line="240" w:lineRule="auto"/>
        <w:jc w:val="left"/>
        <w:rPr>
          <w:rFonts w:hint="eastAsia" w:ascii="仿宋" w:hAnsi="仿宋" w:cs="仿宋"/>
          <w:b/>
          <w:color w:val="auto"/>
          <w:szCs w:val="28"/>
          <w:highlight w:val="none"/>
          <w:lang w:eastAsia="zh-CN"/>
        </w:rPr>
      </w:pPr>
      <w:r>
        <w:rPr>
          <w:rFonts w:hint="eastAsia" w:ascii="仿宋" w:hAnsi="仿宋" w:cs="仿宋"/>
          <w:b/>
          <w:color w:val="auto"/>
          <w:szCs w:val="28"/>
          <w:highlight w:val="none"/>
        </w:rPr>
        <w:t>格式1</w:t>
      </w:r>
      <w:r>
        <w:rPr>
          <w:rFonts w:hint="eastAsia" w:ascii="仿宋" w:hAnsi="仿宋" w:cs="仿宋"/>
          <w:b/>
          <w:color w:val="auto"/>
          <w:szCs w:val="28"/>
          <w:highlight w:val="none"/>
          <w:lang w:val="en-US" w:eastAsia="zh-CN"/>
        </w:rPr>
        <w:t>6</w:t>
      </w:r>
    </w:p>
    <w:p>
      <w:pPr>
        <w:adjustRightInd w:val="0"/>
        <w:snapToGrid w:val="0"/>
        <w:spacing w:before="319" w:beforeLines="100" w:after="319" w:afterLines="100" w:line="360" w:lineRule="auto"/>
        <w:ind w:right="105" w:rightChars="50"/>
        <w:jc w:val="center"/>
        <w:rPr>
          <w:rFonts w:hint="eastAsia" w:ascii="仿宋" w:hAnsi="仿宋" w:cs="仿宋"/>
          <w:b/>
          <w:bCs/>
          <w:color w:val="auto"/>
          <w:sz w:val="32"/>
          <w:szCs w:val="32"/>
          <w:highlight w:val="none"/>
        </w:rPr>
      </w:pPr>
      <w:bookmarkStart w:id="118" w:name="_Toc13566_WPSOffice_Level2"/>
      <w:bookmarkStart w:id="119" w:name="_Toc29880_WPSOffice_Level2"/>
      <w:r>
        <w:rPr>
          <w:rFonts w:hint="eastAsia" w:ascii="仿宋" w:hAnsi="仿宋" w:cs="仿宋"/>
          <w:b/>
          <w:bCs/>
          <w:color w:val="auto"/>
          <w:sz w:val="32"/>
          <w:szCs w:val="32"/>
          <w:highlight w:val="none"/>
        </w:rPr>
        <w:t>残疾人福利性单位声明函</w:t>
      </w:r>
      <w:bookmarkEnd w:id="118"/>
      <w:bookmarkEnd w:id="119"/>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单位的</w:t>
      </w:r>
      <w:r>
        <w:rPr>
          <w:rFonts w:hint="eastAsia" w:ascii="仿宋" w:hAnsi="仿宋" w:cs="仿宋"/>
          <w:color w:val="auto"/>
          <w:szCs w:val="21"/>
          <w:highlight w:val="none"/>
          <w:u w:val="single"/>
        </w:rPr>
        <w:t xml:space="preserve">     </w:t>
      </w:r>
      <w:r>
        <w:rPr>
          <w:rFonts w:hint="eastAsia" w:ascii="仿宋" w:hAnsi="仿宋" w:cs="仿宋"/>
          <w:color w:val="auto"/>
          <w:szCs w:val="21"/>
          <w:highlight w:val="none"/>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本单位对上述声明的真实性负责。如有虚假，将依法承担相应责任。</w:t>
      </w:r>
    </w:p>
    <w:tbl>
      <w:tblPr>
        <w:tblStyle w:val="23"/>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序号</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品  名</w:t>
            </w:r>
          </w:p>
        </w:tc>
        <w:tc>
          <w:tcPr>
            <w:tcW w:w="1587" w:type="dxa"/>
            <w:noWrap w:val="0"/>
            <w:vAlign w:val="center"/>
          </w:tcPr>
          <w:p>
            <w:pPr>
              <w:keepNext w:val="0"/>
              <w:keepLines w:val="0"/>
              <w:widowControl/>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数量</w:t>
            </w: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规格</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型号</w:t>
            </w: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生产</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厂家</w:t>
            </w:r>
          </w:p>
        </w:tc>
        <w:tc>
          <w:tcPr>
            <w:tcW w:w="1344"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1</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2</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3</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w:t>
            </w:r>
          </w:p>
        </w:tc>
        <w:tc>
          <w:tcPr>
            <w:tcW w:w="1582"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58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427"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p>
        </w:tc>
        <w:tc>
          <w:tcPr>
            <w:tcW w:w="1344" w:type="dxa"/>
            <w:noWrap w:val="0"/>
            <w:vAlign w:val="center"/>
          </w:tcPr>
          <w:p>
            <w:pPr>
              <w:keepNext w:val="0"/>
              <w:keepLines w:val="0"/>
              <w:suppressLineNumbers w:val="0"/>
              <w:spacing w:before="0" w:beforeAutospacing="0" w:after="0" w:afterAutospacing="0" w:line="360" w:lineRule="auto"/>
              <w:ind w:left="0" w:right="0"/>
              <w:rPr>
                <w:rFonts w:hint="eastAsia" w:ascii="仿宋" w:hAnsi="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0"/>
            <w:vAlign w:val="center"/>
          </w:tcPr>
          <w:p>
            <w:pPr>
              <w:keepNext w:val="0"/>
              <w:keepLines w:val="0"/>
              <w:suppressLineNumbers w:val="0"/>
              <w:spacing w:before="0" w:beforeAutospacing="0" w:after="0" w:afterAutospacing="0"/>
              <w:ind w:left="0" w:right="0" w:firstLine="422" w:firstLineChars="200"/>
              <w:jc w:val="left"/>
              <w:rPr>
                <w:rFonts w:hint="eastAsia" w:ascii="仿宋" w:hAnsi="仿宋" w:cs="仿宋"/>
                <w:color w:val="auto"/>
                <w:szCs w:val="21"/>
                <w:highlight w:val="none"/>
              </w:rPr>
            </w:pPr>
            <w:r>
              <w:rPr>
                <w:rFonts w:hint="eastAsia" w:ascii="仿宋" w:hAnsi="仿宋" w:cs="仿宋"/>
                <w:b/>
                <w:color w:val="auto"/>
                <w:szCs w:val="21"/>
                <w:highlight w:val="none"/>
              </w:rPr>
              <w:t xml:space="preserve"> </w:t>
            </w:r>
            <w:r>
              <w:rPr>
                <w:rFonts w:hint="eastAsia" w:ascii="仿宋" w:hAnsi="仿宋" w:cs="仿宋"/>
                <w:b/>
                <w:color w:val="auto"/>
                <w:szCs w:val="21"/>
                <w:highlight w:val="none"/>
                <w:lang w:val="zh-CN"/>
              </w:rPr>
              <w:t>投标文件中所提供投标的以上伴随产品为我单位生产的产品，</w:t>
            </w:r>
            <w:r>
              <w:rPr>
                <w:rFonts w:hint="eastAsia" w:ascii="仿宋" w:hAnsi="仿宋" w:cs="仿宋"/>
                <w:b/>
                <w:color w:val="auto"/>
                <w:szCs w:val="21"/>
                <w:highlight w:val="none"/>
              </w:rPr>
              <w:t>如有虚假</w:t>
            </w:r>
            <w:r>
              <w:rPr>
                <w:rFonts w:hint="eastAsia" w:ascii="仿宋" w:hAnsi="仿宋" w:cs="仿宋"/>
                <w:b/>
                <w:color w:val="auto"/>
                <w:szCs w:val="21"/>
                <w:highlight w:val="none"/>
                <w:lang w:val="zh-CN"/>
              </w:rPr>
              <w:t>，我单位承担由此产生的一切后果</w:t>
            </w:r>
            <w:r>
              <w:rPr>
                <w:rFonts w:hint="eastAsia" w:ascii="仿宋" w:hAnsi="仿宋" w:cs="仿宋"/>
                <w:color w:val="auto"/>
                <w:szCs w:val="21"/>
                <w:highlight w:val="none"/>
                <w:lang w:val="zh-CN"/>
              </w:rPr>
              <w:t>。</w:t>
            </w:r>
          </w:p>
        </w:tc>
      </w:tr>
    </w:tbl>
    <w:p>
      <w:pPr>
        <w:adjustRightInd w:val="0"/>
        <w:snapToGrid w:val="0"/>
        <w:spacing w:line="360" w:lineRule="auto"/>
        <w:ind w:right="105" w:rightChars="50" w:firstLine="476" w:firstLineChars="227"/>
        <w:jc w:val="left"/>
        <w:rPr>
          <w:rFonts w:hint="eastAsia" w:ascii="仿宋" w:hAnsi="仿宋" w:cs="仿宋"/>
          <w:color w:val="auto"/>
          <w:szCs w:val="21"/>
          <w:highlight w:val="none"/>
        </w:rPr>
      </w:pP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注：1、</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为非残疾人福利性单位的，无需填写此声明函。</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 xml:space="preserve">    3、如为本项目提供本单位伴随产品的，请填写此表格。</w:t>
      </w:r>
    </w:p>
    <w:p>
      <w:pPr>
        <w:adjustRightInd w:val="0"/>
        <w:snapToGrid w:val="0"/>
        <w:spacing w:line="360" w:lineRule="auto"/>
        <w:ind w:right="105" w:rightChars="50" w:firstLine="476" w:firstLineChars="227"/>
        <w:jc w:val="left"/>
        <w:rPr>
          <w:rFonts w:hint="eastAsia" w:ascii="仿宋" w:hAnsi="仿宋" w:cs="仿宋"/>
          <w:color w:val="auto"/>
          <w:szCs w:val="21"/>
          <w:highlight w:val="none"/>
        </w:rPr>
      </w:pPr>
      <w:r>
        <w:rPr>
          <w:rFonts w:hint="eastAsia" w:ascii="仿宋" w:hAnsi="仿宋" w:cs="仿宋"/>
          <w:color w:val="auto"/>
          <w:szCs w:val="21"/>
          <w:highlight w:val="none"/>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360" w:lineRule="auto"/>
        <w:ind w:right="105" w:rightChars="50"/>
        <w:jc w:val="left"/>
        <w:rPr>
          <w:rFonts w:hint="eastAsia" w:ascii="仿宋" w:hAnsi="仿宋" w:cs="仿宋"/>
          <w:color w:val="auto"/>
          <w:szCs w:val="21"/>
          <w:highlight w:val="none"/>
        </w:rPr>
      </w:pPr>
    </w:p>
    <w:p>
      <w:pPr>
        <w:adjustRightInd w:val="0"/>
        <w:snapToGrid w:val="0"/>
        <w:spacing w:line="480" w:lineRule="auto"/>
        <w:ind w:right="105" w:rightChars="50"/>
        <w:jc w:val="left"/>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名称（加盖单位公章）：</w:t>
      </w:r>
      <w:r>
        <w:rPr>
          <w:rFonts w:hint="eastAsia" w:ascii="仿宋" w:hAnsi="仿宋" w:cs="仿宋"/>
          <w:color w:val="auto"/>
          <w:szCs w:val="21"/>
          <w:highlight w:val="none"/>
          <w:u w:val="single"/>
        </w:rPr>
        <w:t xml:space="preserve">              </w:t>
      </w:r>
    </w:p>
    <w:p>
      <w:pPr>
        <w:adjustRightInd w:val="0"/>
        <w:snapToGrid w:val="0"/>
        <w:spacing w:line="480" w:lineRule="auto"/>
        <w:ind w:right="105" w:rightChars="50"/>
        <w:jc w:val="left"/>
        <w:rPr>
          <w:rFonts w:hint="eastAsia" w:ascii="仿宋" w:hAnsi="仿宋" w:cs="仿宋"/>
          <w:b/>
          <w:color w:val="auto"/>
          <w:sz w:val="28"/>
          <w:szCs w:val="28"/>
          <w:highlight w:val="none"/>
        </w:rPr>
      </w:pPr>
      <w:r>
        <w:rPr>
          <w:rFonts w:hint="eastAsia" w:ascii="仿宋" w:hAnsi="仿宋" w:cs="仿宋"/>
          <w:color w:val="auto"/>
          <w:szCs w:val="21"/>
          <w:highlight w:val="none"/>
        </w:rPr>
        <w:t>日 期：</w:t>
      </w:r>
      <w:r>
        <w:rPr>
          <w:rFonts w:hint="eastAsia" w:ascii="仿宋" w:hAnsi="仿宋" w:cs="仿宋"/>
          <w:color w:val="auto"/>
          <w:szCs w:val="21"/>
          <w:highlight w:val="none"/>
          <w:u w:val="single"/>
        </w:rPr>
        <w:t xml:space="preserve">              </w:t>
      </w:r>
    </w:p>
    <w:p>
      <w:pPr>
        <w:adjustRightInd w:val="0"/>
        <w:snapToGrid w:val="0"/>
        <w:spacing w:line="360" w:lineRule="auto"/>
        <w:ind w:right="105" w:rightChars="50"/>
        <w:jc w:val="left"/>
        <w:rPr>
          <w:rFonts w:hint="eastAsia" w:ascii="仿宋" w:hAnsi="仿宋" w:cs="仿宋"/>
          <w:color w:val="auto"/>
          <w:szCs w:val="21"/>
          <w:highlight w:val="none"/>
          <w:u w:val="single"/>
        </w:rPr>
      </w:pPr>
    </w:p>
    <w:p>
      <w:pPr>
        <w:widowControl/>
        <w:jc w:val="left"/>
        <w:rPr>
          <w:rFonts w:hint="eastAsia" w:ascii="仿宋" w:hAnsi="仿宋" w:cs="仿宋"/>
          <w:color w:val="auto"/>
          <w:szCs w:val="21"/>
          <w:highlight w:val="none"/>
          <w:u w:val="single"/>
        </w:rPr>
      </w:pPr>
    </w:p>
    <w:p>
      <w:pPr>
        <w:widowControl/>
        <w:jc w:val="left"/>
        <w:rPr>
          <w:rFonts w:hint="eastAsia" w:ascii="仿宋" w:hAnsi="仿宋" w:cs="仿宋"/>
          <w:b/>
          <w:color w:val="auto"/>
          <w:kern w:val="44"/>
          <w:sz w:val="44"/>
          <w:highlight w:val="none"/>
        </w:rPr>
      </w:pPr>
      <w:bookmarkStart w:id="120" w:name="_Toc4498_WPSOffice_Level1"/>
    </w:p>
    <w:p>
      <w:pPr>
        <w:pStyle w:val="4"/>
        <w:snapToGrid w:val="0"/>
        <w:spacing w:before="319" w:beforeLines="100" w:after="319" w:afterLines="100" w:line="360" w:lineRule="auto"/>
        <w:rPr>
          <w:rFonts w:hint="eastAsia" w:ascii="仿宋" w:hAnsi="仿宋" w:cs="仿宋"/>
          <w:color w:val="auto"/>
          <w:highlight w:val="none"/>
        </w:rPr>
      </w:pPr>
      <w:bookmarkStart w:id="121" w:name="_Toc17590"/>
      <w:r>
        <w:rPr>
          <w:rFonts w:hint="eastAsia" w:ascii="仿宋" w:hAnsi="仿宋" w:cs="仿宋"/>
          <w:color w:val="auto"/>
          <w:highlight w:val="none"/>
        </w:rPr>
        <w:t>第三章 货物需求</w:t>
      </w:r>
      <w:bookmarkEnd w:id="120"/>
      <w:bookmarkEnd w:id="121"/>
    </w:p>
    <w:p>
      <w:pPr>
        <w:pStyle w:val="39"/>
        <w:jc w:val="center"/>
        <w:rPr>
          <w:rFonts w:hint="eastAsia" w:ascii="仿宋" w:hAnsi="仿宋" w:eastAsia="仿宋" w:cs="仿宋"/>
          <w:color w:val="auto"/>
          <w:szCs w:val="28"/>
          <w:highlight w:val="none"/>
        </w:rPr>
      </w:pPr>
      <w:r>
        <w:rPr>
          <w:rFonts w:hint="eastAsia" w:ascii="仿宋" w:hAnsi="仿宋" w:eastAsia="仿宋" w:cs="仿宋"/>
          <w:color w:val="auto"/>
          <w:szCs w:val="28"/>
          <w:highlight w:val="none"/>
        </w:rPr>
        <w:t>详见格式12技术规格偏离表和格式13商务条款偏离表。</w:t>
      </w: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
        <w:adjustRightInd/>
        <w:spacing w:line="600" w:lineRule="exact"/>
        <w:rPr>
          <w:rFonts w:hint="eastAsia" w:ascii="仿宋" w:hAnsi="仿宋" w:eastAsia="仿宋" w:cs="仿宋"/>
          <w:color w:val="auto"/>
          <w:highlight w:val="none"/>
        </w:rPr>
      </w:pPr>
      <w:r>
        <w:rPr>
          <w:rFonts w:hint="eastAsia" w:ascii="仿宋" w:hAnsi="仿宋" w:eastAsia="仿宋" w:cs="仿宋"/>
          <w:color w:val="auto"/>
          <w:sz w:val="32"/>
          <w:szCs w:val="32"/>
          <w:highlight w:val="none"/>
        </w:rPr>
        <w:t xml:space="preserve">    </w:t>
      </w: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39"/>
        <w:rPr>
          <w:rFonts w:hint="eastAsia" w:ascii="仿宋" w:hAnsi="仿宋" w:eastAsia="仿宋" w:cs="仿宋"/>
          <w:color w:val="auto"/>
          <w:szCs w:val="21"/>
          <w:highlight w:val="none"/>
        </w:rPr>
      </w:pPr>
    </w:p>
    <w:p>
      <w:pPr>
        <w:pStyle w:val="4"/>
        <w:snapToGrid w:val="0"/>
        <w:spacing w:before="319" w:beforeLines="100" w:after="319" w:afterLines="100" w:line="360" w:lineRule="auto"/>
        <w:rPr>
          <w:rFonts w:hint="eastAsia" w:ascii="仿宋" w:hAnsi="仿宋" w:cs="仿宋"/>
          <w:color w:val="auto"/>
          <w:highlight w:val="none"/>
        </w:rPr>
      </w:pPr>
      <w:bookmarkStart w:id="122" w:name="_Toc2821_WPSOffice_Level1"/>
      <w:bookmarkStart w:id="123" w:name="_Toc25237"/>
      <w:r>
        <w:rPr>
          <w:rFonts w:hint="eastAsia" w:ascii="仿宋" w:hAnsi="仿宋" w:cs="仿宋"/>
          <w:color w:val="auto"/>
          <w:highlight w:val="none"/>
        </w:rPr>
        <w:br w:type="page"/>
      </w:r>
      <w:r>
        <w:rPr>
          <w:rFonts w:hint="eastAsia" w:ascii="仿宋" w:hAnsi="仿宋" w:cs="仿宋"/>
          <w:color w:val="auto"/>
          <w:highlight w:val="none"/>
        </w:rPr>
        <w:t>第四章 评标方法</w:t>
      </w:r>
      <w:bookmarkEnd w:id="122"/>
      <w:bookmarkEnd w:id="123"/>
    </w:p>
    <w:p>
      <w:pPr>
        <w:adjustRightInd w:val="0"/>
        <w:snapToGrid w:val="0"/>
        <w:spacing w:line="360" w:lineRule="auto"/>
        <w:ind w:firstLine="420" w:firstLineChars="200"/>
        <w:rPr>
          <w:rFonts w:hint="eastAsia" w:ascii="仿宋" w:hAnsi="仿宋" w:cs="仿宋"/>
          <w:b/>
          <w:color w:val="auto"/>
          <w:kern w:val="0"/>
          <w:szCs w:val="21"/>
          <w:highlight w:val="none"/>
        </w:rPr>
      </w:pPr>
      <w:r>
        <w:rPr>
          <w:rFonts w:hint="eastAsia" w:ascii="仿宋" w:hAnsi="仿宋" w:cs="仿宋"/>
          <w:bCs/>
          <w:color w:val="auto"/>
          <w:kern w:val="0"/>
          <w:szCs w:val="21"/>
          <w:highlight w:val="none"/>
        </w:rPr>
        <w:t>本项目将按照招标文件第一章</w:t>
      </w:r>
      <w:r>
        <w:rPr>
          <w:rFonts w:hint="eastAsia" w:ascii="仿宋" w:hAnsi="仿宋" w:cs="仿宋"/>
          <w:bCs/>
          <w:color w:val="auto"/>
          <w:kern w:val="0"/>
          <w:szCs w:val="21"/>
          <w:highlight w:val="none"/>
          <w:lang w:eastAsia="zh-CN"/>
        </w:rPr>
        <w:t>供应商</w:t>
      </w:r>
      <w:r>
        <w:rPr>
          <w:rFonts w:hint="eastAsia" w:ascii="仿宋" w:hAnsi="仿宋" w:cs="仿宋"/>
          <w:bCs/>
          <w:color w:val="auto"/>
          <w:kern w:val="0"/>
          <w:szCs w:val="21"/>
          <w:highlight w:val="none"/>
        </w:rPr>
        <w:t>须知中“六 开标及评标”、“七 确定中标”及本章的规定评标。</w:t>
      </w:r>
    </w:p>
    <w:p>
      <w:pPr>
        <w:adjustRightInd w:val="0"/>
        <w:snapToGrid w:val="0"/>
        <w:spacing w:line="360" w:lineRule="auto"/>
        <w:ind w:firstLine="422" w:firstLineChars="200"/>
        <w:rPr>
          <w:rFonts w:hint="eastAsia" w:ascii="仿宋" w:hAnsi="仿宋" w:cs="仿宋"/>
          <w:b/>
          <w:color w:val="auto"/>
          <w:kern w:val="0"/>
          <w:szCs w:val="21"/>
          <w:highlight w:val="none"/>
        </w:rPr>
      </w:pPr>
      <w:bookmarkStart w:id="124" w:name="_Toc22313_WPSOffice_Level2"/>
      <w:r>
        <w:rPr>
          <w:rFonts w:hint="eastAsia" w:ascii="仿宋" w:hAnsi="仿宋" w:cs="仿宋"/>
          <w:b/>
          <w:color w:val="auto"/>
          <w:kern w:val="0"/>
          <w:szCs w:val="21"/>
          <w:highlight w:val="none"/>
        </w:rPr>
        <w:t>一、评标方法</w:t>
      </w:r>
      <w:bookmarkEnd w:id="124"/>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本项目采用</w:t>
      </w:r>
      <w:r>
        <w:rPr>
          <w:rFonts w:hint="eastAsia" w:ascii="仿宋" w:hAnsi="仿宋" w:cs="仿宋"/>
          <w:color w:val="auto"/>
          <w:kern w:val="0"/>
          <w:szCs w:val="21"/>
          <w:highlight w:val="none"/>
          <w:u w:val="single"/>
        </w:rPr>
        <w:t>综合评分法</w:t>
      </w:r>
      <w:r>
        <w:rPr>
          <w:rFonts w:hint="eastAsia" w:ascii="仿宋" w:hAnsi="仿宋" w:cs="仿宋"/>
          <w:color w:val="auto"/>
          <w:kern w:val="0"/>
          <w:szCs w:val="21"/>
          <w:highlight w:val="none"/>
        </w:rPr>
        <w:t>进行评标。</w:t>
      </w:r>
    </w:p>
    <w:p>
      <w:pPr>
        <w:adjustRightInd w:val="0"/>
        <w:snapToGrid w:val="0"/>
        <w:spacing w:line="360" w:lineRule="auto"/>
        <w:ind w:firstLine="422" w:firstLineChars="200"/>
        <w:textAlignment w:val="baseline"/>
        <w:rPr>
          <w:rFonts w:hint="eastAsia" w:ascii="仿宋" w:hAnsi="仿宋" w:cs="仿宋"/>
          <w:b/>
          <w:color w:val="auto"/>
          <w:kern w:val="0"/>
          <w:szCs w:val="21"/>
          <w:highlight w:val="none"/>
        </w:rPr>
      </w:pPr>
      <w:bookmarkStart w:id="125" w:name="_Toc21368_WPSOffice_Level2"/>
      <w:r>
        <w:rPr>
          <w:rFonts w:hint="eastAsia" w:ascii="仿宋" w:hAnsi="仿宋" w:cs="仿宋"/>
          <w:b/>
          <w:color w:val="auto"/>
          <w:kern w:val="0"/>
          <w:szCs w:val="21"/>
          <w:highlight w:val="none"/>
        </w:rPr>
        <w:t>二、评标原则及程序</w:t>
      </w:r>
      <w:bookmarkEnd w:id="125"/>
    </w:p>
    <w:p>
      <w:pPr>
        <w:adjustRightInd w:val="0"/>
        <w:snapToGrid w:val="0"/>
        <w:spacing w:line="360" w:lineRule="auto"/>
        <w:ind w:firstLine="422" w:firstLineChars="200"/>
        <w:textAlignment w:val="baseline"/>
        <w:rPr>
          <w:rFonts w:hint="eastAsia" w:ascii="仿宋" w:hAnsi="仿宋" w:cs="仿宋"/>
          <w:b/>
          <w:color w:val="auto"/>
          <w:kern w:val="0"/>
          <w:szCs w:val="21"/>
          <w:highlight w:val="none"/>
        </w:rPr>
      </w:pPr>
      <w:r>
        <w:rPr>
          <w:rFonts w:hint="eastAsia" w:ascii="仿宋" w:hAnsi="仿宋" w:cs="仿宋"/>
          <w:b/>
          <w:color w:val="auto"/>
          <w:kern w:val="0"/>
          <w:szCs w:val="21"/>
          <w:highlight w:val="none"/>
        </w:rPr>
        <w:t>（一）评标原则</w:t>
      </w:r>
    </w:p>
    <w:p>
      <w:pPr>
        <w:adjustRightInd w:val="0"/>
        <w:snapToGrid w:val="0"/>
        <w:spacing w:line="360" w:lineRule="auto"/>
        <w:ind w:firstLine="420" w:firstLineChars="200"/>
        <w:textAlignment w:val="baseline"/>
        <w:rPr>
          <w:rFonts w:hint="eastAsia" w:ascii="仿宋" w:hAnsi="仿宋" w:cs="仿宋"/>
          <w:b/>
          <w:color w:val="auto"/>
          <w:kern w:val="0"/>
          <w:szCs w:val="21"/>
          <w:highlight w:val="none"/>
        </w:rPr>
      </w:pPr>
      <w:r>
        <w:rPr>
          <w:rFonts w:hint="eastAsia" w:ascii="仿宋" w:hAnsi="仿宋" w:cs="仿宋"/>
          <w:color w:val="auto"/>
          <w:kern w:val="0"/>
          <w:highlight w:val="none"/>
        </w:rPr>
        <w:t>评标委员会应当按照客观、公正、审慎的原则，根据</w:t>
      </w:r>
      <w:r>
        <w:rPr>
          <w:rFonts w:hint="eastAsia" w:ascii="仿宋" w:hAnsi="仿宋" w:cs="仿宋"/>
          <w:color w:val="auto"/>
          <w:kern w:val="0"/>
          <w:highlight w:val="none"/>
          <w:lang w:eastAsia="zh-CN"/>
        </w:rPr>
        <w:t>招标文件</w:t>
      </w:r>
      <w:r>
        <w:rPr>
          <w:rFonts w:hint="eastAsia" w:ascii="仿宋" w:hAnsi="仿宋" w:cs="仿宋"/>
          <w:color w:val="auto"/>
          <w:kern w:val="0"/>
          <w:highlight w:val="none"/>
        </w:rPr>
        <w:t>规定的评审程序、评审方法和评审标准进行独立评审。</w:t>
      </w:r>
      <w:r>
        <w:rPr>
          <w:rFonts w:hint="eastAsia" w:ascii="仿宋" w:hAnsi="仿宋" w:cs="仿宋"/>
          <w:color w:val="auto"/>
          <w:kern w:val="0"/>
          <w:highlight w:val="none"/>
          <w:lang w:eastAsia="zh-CN"/>
        </w:rPr>
        <w:t>招标文件</w:t>
      </w:r>
      <w:r>
        <w:rPr>
          <w:rFonts w:hint="eastAsia" w:ascii="仿宋" w:hAnsi="仿宋" w:cs="仿宋"/>
          <w:color w:val="auto"/>
          <w:kern w:val="0"/>
          <w:highlight w:val="none"/>
        </w:rPr>
        <w:t>内容违反国家有关强制性规定的，评标委员会应当停止评审并向</w:t>
      </w:r>
      <w:r>
        <w:rPr>
          <w:rFonts w:hint="eastAsia" w:ascii="仿宋" w:hAnsi="仿宋" w:cs="仿宋"/>
          <w:color w:val="auto"/>
          <w:kern w:val="0"/>
          <w:highlight w:val="none"/>
          <w:lang w:eastAsia="zh-CN"/>
        </w:rPr>
        <w:t>采购人</w:t>
      </w:r>
      <w:r>
        <w:rPr>
          <w:rFonts w:hint="eastAsia" w:ascii="仿宋" w:hAnsi="仿宋" w:cs="仿宋"/>
          <w:color w:val="auto"/>
          <w:kern w:val="0"/>
          <w:highlight w:val="none"/>
        </w:rPr>
        <w:t>或者</w:t>
      </w:r>
      <w:r>
        <w:rPr>
          <w:rFonts w:hint="eastAsia" w:ascii="仿宋" w:hAnsi="仿宋" w:cs="仿宋"/>
          <w:color w:val="auto"/>
          <w:kern w:val="0"/>
          <w:highlight w:val="none"/>
          <w:lang w:eastAsia="zh-CN"/>
        </w:rPr>
        <w:t>采购代理机构</w:t>
      </w:r>
      <w:r>
        <w:rPr>
          <w:rFonts w:hint="eastAsia" w:ascii="仿宋" w:hAnsi="仿宋" w:cs="仿宋"/>
          <w:color w:val="auto"/>
          <w:kern w:val="0"/>
          <w:highlight w:val="none"/>
        </w:rPr>
        <w:t>说明情况。</w:t>
      </w:r>
    </w:p>
    <w:p>
      <w:pPr>
        <w:adjustRightInd w:val="0"/>
        <w:snapToGrid w:val="0"/>
        <w:spacing w:line="360" w:lineRule="auto"/>
        <w:ind w:firstLine="422" w:firstLineChars="200"/>
        <w:textAlignment w:val="baseline"/>
        <w:rPr>
          <w:rFonts w:hint="eastAsia" w:ascii="仿宋" w:hAnsi="仿宋" w:cs="仿宋"/>
          <w:b/>
          <w:color w:val="auto"/>
          <w:kern w:val="0"/>
          <w:szCs w:val="21"/>
          <w:highlight w:val="none"/>
        </w:rPr>
      </w:pPr>
      <w:r>
        <w:rPr>
          <w:rFonts w:hint="eastAsia" w:ascii="仿宋" w:hAnsi="仿宋" w:cs="仿宋"/>
          <w:b/>
          <w:color w:val="auto"/>
          <w:kern w:val="0"/>
          <w:szCs w:val="21"/>
          <w:highlight w:val="none"/>
        </w:rPr>
        <w:t>（二）评标程序</w:t>
      </w:r>
    </w:p>
    <w:p>
      <w:pPr>
        <w:adjustRightInd w:val="0"/>
        <w:snapToGrid w:val="0"/>
        <w:spacing w:line="360" w:lineRule="auto"/>
        <w:ind w:firstLine="422" w:firstLineChars="200"/>
        <w:textAlignment w:val="baseline"/>
        <w:rPr>
          <w:rFonts w:hint="eastAsia" w:ascii="仿宋" w:hAnsi="仿宋" w:cs="仿宋"/>
          <w:b/>
          <w:color w:val="auto"/>
          <w:kern w:val="0"/>
          <w:szCs w:val="21"/>
          <w:highlight w:val="none"/>
        </w:rPr>
      </w:pPr>
      <w:r>
        <w:rPr>
          <w:rFonts w:hint="eastAsia" w:ascii="仿宋" w:hAnsi="仿宋" w:cs="仿宋"/>
          <w:b/>
          <w:color w:val="auto"/>
          <w:kern w:val="0"/>
          <w:szCs w:val="21"/>
          <w:highlight w:val="none"/>
        </w:rPr>
        <w:t>★1、资格审查</w:t>
      </w:r>
    </w:p>
    <w:p>
      <w:pPr>
        <w:adjustRightInd w:val="0"/>
        <w:snapToGrid w:val="0"/>
        <w:spacing w:line="360" w:lineRule="auto"/>
        <w:ind w:firstLine="420" w:firstLineChars="200"/>
        <w:textAlignment w:val="baseline"/>
        <w:rPr>
          <w:rFonts w:hint="eastAsia" w:ascii="仿宋" w:hAnsi="仿宋" w:cs="仿宋"/>
          <w:color w:val="auto"/>
          <w:kern w:val="0"/>
          <w:szCs w:val="21"/>
          <w:highlight w:val="none"/>
        </w:rPr>
      </w:pPr>
      <w:r>
        <w:rPr>
          <w:rFonts w:hint="eastAsia" w:ascii="仿宋" w:hAnsi="仿宋" w:cs="仿宋"/>
          <w:color w:val="auto"/>
          <w:kern w:val="0"/>
          <w:szCs w:val="21"/>
          <w:highlight w:val="none"/>
        </w:rPr>
        <w:t>1.1详见</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须知22条。资格审查表详见本章附件1。</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w:t>
      </w:r>
      <w:r>
        <w:rPr>
          <w:rFonts w:hint="eastAsia" w:ascii="仿宋" w:hAnsi="仿宋" w:cs="仿宋"/>
          <w:b/>
          <w:bCs/>
          <w:color w:val="auto"/>
          <w:kern w:val="0"/>
          <w:szCs w:val="21"/>
          <w:highlight w:val="none"/>
        </w:rPr>
        <w:t>2、符合性审查</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2.1详见</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须知23条。符合性审查表详见本章附件2。</w:t>
      </w:r>
    </w:p>
    <w:p>
      <w:pPr>
        <w:adjustRightInd w:val="0"/>
        <w:snapToGrid w:val="0"/>
        <w:spacing w:line="360" w:lineRule="auto"/>
        <w:ind w:firstLine="422" w:firstLineChars="200"/>
        <w:rPr>
          <w:rFonts w:hint="eastAsia" w:ascii="仿宋" w:hAnsi="仿宋" w:cs="仿宋"/>
          <w:b/>
          <w:color w:val="auto"/>
          <w:kern w:val="0"/>
          <w:szCs w:val="21"/>
          <w:highlight w:val="none"/>
        </w:rPr>
      </w:pPr>
      <w:r>
        <w:rPr>
          <w:rFonts w:hint="eastAsia" w:ascii="仿宋" w:hAnsi="仿宋" w:cs="仿宋"/>
          <w:b/>
          <w:color w:val="auto"/>
          <w:kern w:val="0"/>
          <w:szCs w:val="21"/>
          <w:highlight w:val="none"/>
        </w:rPr>
        <w:t>3、样品及演示</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3.1</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须知表11.3条</w:t>
      </w:r>
      <w:r>
        <w:rPr>
          <w:rFonts w:hint="eastAsia" w:ascii="仿宋" w:hAnsi="仿宋" w:cs="仿宋"/>
          <w:color w:val="auto"/>
          <w:szCs w:val="21"/>
          <w:highlight w:val="none"/>
        </w:rPr>
        <w:t>中要求</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提供样品或演示的，按照</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须知表25.1条</w:t>
      </w:r>
      <w:r>
        <w:rPr>
          <w:rFonts w:hint="eastAsia" w:ascii="仿宋" w:hAnsi="仿宋" w:cs="仿宋"/>
          <w:color w:val="auto"/>
          <w:szCs w:val="21"/>
          <w:highlight w:val="none"/>
        </w:rPr>
        <w:t>中确定的评审方法以及评审标准进行评审。(样品或演示属于符合性审查的，按照</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须知23条</w:t>
      </w:r>
      <w:r>
        <w:rPr>
          <w:rFonts w:hint="eastAsia" w:ascii="仿宋" w:hAnsi="仿宋" w:cs="仿宋"/>
          <w:color w:val="auto"/>
          <w:szCs w:val="21"/>
          <w:highlight w:val="none"/>
        </w:rPr>
        <w:t>规定执行）</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★4</w:t>
      </w:r>
      <w:r>
        <w:rPr>
          <w:rFonts w:hint="eastAsia" w:ascii="仿宋" w:hAnsi="仿宋" w:cs="仿宋"/>
          <w:b/>
          <w:bCs/>
          <w:color w:val="auto"/>
          <w:kern w:val="0"/>
          <w:szCs w:val="21"/>
          <w:highlight w:val="none"/>
        </w:rPr>
        <w:t>、同一品牌产品</w:t>
      </w:r>
    </w:p>
    <w:p>
      <w:pPr>
        <w:adjustRightInd w:val="0"/>
        <w:snapToGrid w:val="0"/>
        <w:spacing w:line="360" w:lineRule="auto"/>
        <w:ind w:firstLine="420" w:firstLineChars="200"/>
        <w:rPr>
          <w:rFonts w:hint="eastAsia" w:ascii="仿宋" w:hAnsi="仿宋" w:cs="仿宋"/>
          <w:b/>
          <w:bCs/>
          <w:color w:val="auto"/>
          <w:szCs w:val="21"/>
          <w:highlight w:val="none"/>
        </w:rPr>
      </w:pPr>
      <w:r>
        <w:rPr>
          <w:rFonts w:hint="eastAsia" w:ascii="仿宋" w:hAnsi="仿宋" w:cs="仿宋"/>
          <w:color w:val="auto"/>
          <w:szCs w:val="21"/>
          <w:highlight w:val="none"/>
        </w:rPr>
        <w:t>4.1通过资格审查、符合性审查的不同品牌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不足3家的，按照</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须知28条第（1）款</w:t>
      </w:r>
      <w:r>
        <w:rPr>
          <w:rFonts w:hint="eastAsia" w:ascii="仿宋" w:hAnsi="仿宋" w:cs="仿宋"/>
          <w:color w:val="auto"/>
          <w:szCs w:val="21"/>
          <w:highlight w:val="none"/>
        </w:rPr>
        <w:t>执行</w:t>
      </w:r>
      <w:r>
        <w:rPr>
          <w:rFonts w:hint="eastAsia" w:ascii="仿宋" w:hAnsi="仿宋" w:cs="仿宋"/>
          <w:color w:val="auto"/>
          <w:kern w:val="0"/>
          <w:szCs w:val="21"/>
          <w:highlight w:val="none"/>
        </w:rPr>
        <w:t>。</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4.2提供相同品牌产品且通过资格审查、符合性审查的不同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，按一家</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计算。</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4.3如一个分包内只有一种产品，不同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所投产品为同一品牌的，按如下方式处理：</w:t>
      </w:r>
    </w:p>
    <w:p>
      <w:pPr>
        <w:numPr>
          <w:ilvl w:val="0"/>
          <w:numId w:val="6"/>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如本项目使用最低评标价法，提供相同品牌产品的不同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以其中通过资格审查、符合性审查且报价最低的参加比较及评价；报价相同的，按</w:t>
      </w:r>
      <w:r>
        <w:rPr>
          <w:rFonts w:hint="eastAsia" w:ascii="仿宋" w:hAnsi="仿宋" w:cs="仿宋"/>
          <w:color w:val="auto"/>
          <w:kern w:val="0"/>
          <w:szCs w:val="21"/>
          <w:highlight w:val="none"/>
        </w:rPr>
        <w:t>本章第8条</w:t>
      </w:r>
      <w:r>
        <w:rPr>
          <w:rFonts w:hint="eastAsia" w:ascii="仿宋" w:hAnsi="仿宋" w:cs="仿宋"/>
          <w:color w:val="auto"/>
          <w:szCs w:val="21"/>
          <w:highlight w:val="none"/>
        </w:rPr>
        <w:t>“推荐中标候选人的原则”规定执行；未规定的采取随机抽取方式确定，其他</w:t>
      </w:r>
      <w:r>
        <w:rPr>
          <w:rFonts w:hint="eastAsia" w:ascii="仿宋" w:hAnsi="仿宋" w:cs="仿宋"/>
          <w:b/>
          <w:bCs/>
          <w:color w:val="auto"/>
          <w:szCs w:val="21"/>
          <w:highlight w:val="none"/>
        </w:rPr>
        <w:t>投标无效</w:t>
      </w:r>
      <w:r>
        <w:rPr>
          <w:rFonts w:hint="eastAsia" w:ascii="仿宋" w:hAnsi="仿宋" w:cs="仿宋"/>
          <w:color w:val="auto"/>
          <w:szCs w:val="21"/>
          <w:highlight w:val="none"/>
        </w:rPr>
        <w:t>。</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（2）如本项目使用综合评分法，评审后得分最高的同品牌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获得中标人推荐资格；评审得分相同的，按本章第8条“推荐中标候选人的原则”规定执行；未规定的采取随机抽取方式确定，其他同品牌</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不作为中标候选人。</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szCs w:val="21"/>
          <w:highlight w:val="none"/>
        </w:rPr>
        <w:t>4.4如一个分包内包含多种产品的，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将在招标文件中载明核心产品，多家</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提供的核心产品品牌相同的，</w:t>
      </w:r>
      <w:r>
        <w:rPr>
          <w:rFonts w:hint="eastAsia" w:ascii="仿宋" w:hAnsi="仿宋" w:cs="仿宋"/>
          <w:color w:val="auto"/>
          <w:kern w:val="0"/>
          <w:szCs w:val="21"/>
          <w:highlight w:val="none"/>
        </w:rPr>
        <w:t>按本章第4.3条规定处理。</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★5</w:t>
      </w:r>
      <w:r>
        <w:rPr>
          <w:rFonts w:hint="eastAsia" w:ascii="仿宋" w:hAnsi="仿宋" w:cs="仿宋"/>
          <w:b/>
          <w:bCs/>
          <w:color w:val="auto"/>
          <w:kern w:val="0"/>
          <w:szCs w:val="21"/>
          <w:highlight w:val="none"/>
        </w:rPr>
        <w:t>、比较及评价</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5.1评标委员会对通过符合性审查的投标文件进行比较和评价。</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5.2在评标期间，对投标文件的澄清按</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须知24条内容执行。</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5.3评标委员会认为</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的报价明显低于其他通过符合性审查的</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报价，有可能影响产品质量或者不能诚信履约的，评标委员会应当要求其在评标现场合理的时间（</w:t>
      </w:r>
      <w:r>
        <w:rPr>
          <w:rFonts w:hint="eastAsia" w:ascii="仿宋" w:hAnsi="仿宋" w:cs="仿宋"/>
          <w:color w:val="auto"/>
          <w:kern w:val="0"/>
          <w:szCs w:val="21"/>
          <w:highlight w:val="none"/>
        </w:rPr>
        <w:t>接到通知后</w:t>
      </w:r>
      <w:r>
        <w:rPr>
          <w:rFonts w:hint="eastAsia" w:ascii="仿宋" w:hAnsi="仿宋" w:cs="仿宋"/>
          <w:color w:val="auto"/>
          <w:kern w:val="0"/>
          <w:szCs w:val="21"/>
          <w:highlight w:val="none"/>
          <w:u w:val="single"/>
        </w:rPr>
        <w:t>0.5</w:t>
      </w:r>
      <w:r>
        <w:rPr>
          <w:rFonts w:hint="eastAsia" w:ascii="仿宋" w:hAnsi="仿宋" w:cs="仿宋"/>
          <w:color w:val="auto"/>
          <w:kern w:val="0"/>
          <w:szCs w:val="21"/>
          <w:highlight w:val="none"/>
        </w:rPr>
        <w:t>小时</w:t>
      </w:r>
      <w:r>
        <w:rPr>
          <w:rFonts w:hint="eastAsia" w:ascii="仿宋" w:hAnsi="仿宋" w:cs="仿宋"/>
          <w:color w:val="auto"/>
          <w:szCs w:val="21"/>
          <w:highlight w:val="none"/>
        </w:rPr>
        <w:t>）内提供书面说明，并提交相关证明材料，</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不能证明其报价合理性的，评标委员会应当将</w:t>
      </w:r>
      <w:r>
        <w:rPr>
          <w:rFonts w:hint="eastAsia" w:ascii="仿宋" w:hAnsi="仿宋" w:cs="仿宋"/>
          <w:color w:val="auto"/>
          <w:szCs w:val="21"/>
          <w:highlight w:val="none"/>
        </w:rPr>
        <w:t>其投标作为</w:t>
      </w:r>
      <w:r>
        <w:rPr>
          <w:rFonts w:hint="eastAsia" w:ascii="仿宋" w:hAnsi="仿宋" w:cs="仿宋"/>
          <w:b/>
          <w:bCs/>
          <w:color w:val="auto"/>
          <w:szCs w:val="21"/>
          <w:highlight w:val="none"/>
        </w:rPr>
        <w:t>无效投标处理</w:t>
      </w:r>
      <w:r>
        <w:rPr>
          <w:rFonts w:hint="eastAsia" w:ascii="仿宋" w:hAnsi="仿宋" w:cs="仿宋"/>
          <w:color w:val="auto"/>
          <w:szCs w:val="21"/>
          <w:highlight w:val="none"/>
        </w:rPr>
        <w:t>。</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提供书面说明后，评标委员会应当结合采购项目采购需求、专业实际情况、</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财务状况报告、与其他</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比较情况等就</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的书面说明进行审查评价。</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如有下列情况的，评标委员会应当将其投标文件作为无效处理：</w:t>
      </w:r>
    </w:p>
    <w:p>
      <w:pPr>
        <w:numPr>
          <w:ilvl w:val="0"/>
          <w:numId w:val="7"/>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拒绝或者变相拒绝提供有效书面说明；</w:t>
      </w:r>
    </w:p>
    <w:p>
      <w:pPr>
        <w:numPr>
          <w:ilvl w:val="0"/>
          <w:numId w:val="7"/>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书面说明不能证明其报价合理性的；</w:t>
      </w:r>
    </w:p>
    <w:p>
      <w:pPr>
        <w:numPr>
          <w:ilvl w:val="0"/>
          <w:numId w:val="7"/>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未在规定时间内递交有效书面说明书的。</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★6</w:t>
      </w:r>
      <w:r>
        <w:rPr>
          <w:rFonts w:hint="eastAsia" w:ascii="仿宋" w:hAnsi="仿宋" w:cs="仿宋"/>
          <w:b/>
          <w:bCs/>
          <w:color w:val="auto"/>
          <w:kern w:val="0"/>
          <w:szCs w:val="21"/>
          <w:highlight w:val="none"/>
        </w:rPr>
        <w:t>、需落实的政府采购政策性规定：</w:t>
      </w:r>
    </w:p>
    <w:p>
      <w:pPr>
        <w:adjustRightInd w:val="0"/>
        <w:snapToGrid w:val="0"/>
        <w:spacing w:line="360" w:lineRule="auto"/>
        <w:ind w:firstLine="422" w:firstLineChars="200"/>
        <w:rPr>
          <w:rFonts w:hint="eastAsia" w:ascii="仿宋" w:hAnsi="仿宋" w:cs="仿宋"/>
          <w:b/>
          <w:color w:val="auto"/>
          <w:kern w:val="0"/>
          <w:szCs w:val="21"/>
          <w:highlight w:val="none"/>
        </w:rPr>
      </w:pPr>
      <w:r>
        <w:rPr>
          <w:rFonts w:hint="eastAsia" w:ascii="仿宋" w:hAnsi="仿宋" w:cs="仿宋"/>
          <w:b/>
          <w:color w:val="auto"/>
          <w:kern w:val="0"/>
          <w:szCs w:val="21"/>
          <w:highlight w:val="none"/>
        </w:rPr>
        <w:t>6.1对于中小微企业的相关规定</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6.1.1 具体执行“政府采购促进中小企业发展管理办法(财库(2020)46号)”的相关规定。对于专门面向中小企业采购的项目或者采购包，不再执行价格评审优惠的扶持政策。</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对于非专门面向中小企业的项目，在满足价格扣除条件且在投标文件中按要求提交了</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《中小企业声明函》的，对最后报价给予价格扣除，用扣除后的价格参与评审。最后报价</w:t>
      </w:r>
    </w:p>
    <w:p>
      <w:pPr>
        <w:adjustRightInd w:val="0"/>
        <w:snapToGrid w:val="0"/>
        <w:spacing w:line="360" w:lineRule="auto"/>
        <w:rPr>
          <w:rFonts w:hint="eastAsia" w:ascii="仿宋" w:hAnsi="仿宋" w:cs="仿宋"/>
          <w:color w:val="auto"/>
          <w:szCs w:val="21"/>
          <w:highlight w:val="none"/>
        </w:rPr>
      </w:pPr>
      <w:r>
        <w:rPr>
          <w:rFonts w:hint="eastAsia" w:ascii="仿宋" w:hAnsi="仿宋" w:cs="仿宋"/>
          <w:color w:val="auto"/>
          <w:szCs w:val="21"/>
          <w:highlight w:val="none"/>
        </w:rPr>
        <w:t>扣除比例如下:</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(1)非联合体投标</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小型和微型企业相应产品、服务投标报价的</w:t>
      </w:r>
      <w:r>
        <w:rPr>
          <w:rFonts w:hint="eastAsia" w:ascii="仿宋" w:hAnsi="仿宋" w:cs="仿宋"/>
          <w:color w:val="auto"/>
          <w:szCs w:val="21"/>
          <w:highlight w:val="none"/>
          <w:u w:val="single"/>
          <w:lang w:val="en-US" w:eastAsia="zh-CN"/>
        </w:rPr>
        <w:t>10</w:t>
      </w:r>
      <w:r>
        <w:rPr>
          <w:rFonts w:hint="eastAsia" w:ascii="仿宋" w:hAnsi="仿宋" w:cs="仿宋"/>
          <w:color w:val="auto"/>
          <w:szCs w:val="21"/>
          <w:highlight w:val="none"/>
          <w:u w:val="single"/>
        </w:rPr>
        <w:t>%</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(2)联合体投标(不适用)</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应当对联合体或者大中型企业的报价给予</w:t>
      </w:r>
      <w:r>
        <w:rPr>
          <w:rFonts w:hint="eastAsia" w:ascii="仿宋" w:hAnsi="仿宋" w:cs="仿宋"/>
          <w:color w:val="auto"/>
          <w:szCs w:val="21"/>
          <w:highlight w:val="none"/>
          <w:u w:val="single"/>
        </w:rPr>
        <w:t xml:space="preserve">  /  </w:t>
      </w:r>
      <w:r>
        <w:rPr>
          <w:rFonts w:hint="eastAsia" w:ascii="仿宋" w:hAnsi="仿宋" w:cs="仿宋"/>
          <w:color w:val="auto"/>
          <w:szCs w:val="21"/>
          <w:highlight w:val="none"/>
        </w:rPr>
        <w:t>的扣除。</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联合体各方均为小型、微型企业，按第本款（1）条规定享受扶持政策。组成联合体的大中型企业和自然人、法人或其他组织，与小型、微型企业之间不得存在投资关系。</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依据《政府采购促进中小企业发展管理办法》（财库〔2020〕46号）规定享受扶持政策获得政府采购合同的，小微企业不得将合同分包给大中型企业，中型企业不得将合同分包给大型企业。</w:t>
      </w:r>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 w:hAnsi="仿宋" w:cs="仿宋"/>
          <w:color w:val="auto"/>
          <w:kern w:val="0"/>
          <w:szCs w:val="21"/>
          <w:highlight w:val="none"/>
        </w:rPr>
        <w:t>用扣除后的价格参与评审</w:t>
      </w:r>
      <w:r>
        <w:rPr>
          <w:rFonts w:hint="eastAsia" w:ascii="仿宋" w:hAnsi="仿宋" w:cs="仿宋"/>
          <w:color w:val="auto"/>
          <w:szCs w:val="21"/>
          <w:highlight w:val="none"/>
        </w:rPr>
        <w:t>。</w:t>
      </w:r>
    </w:p>
    <w:p>
      <w:p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kern w:val="0"/>
          <w:szCs w:val="21"/>
          <w:highlight w:val="none"/>
        </w:rPr>
        <w:t>6.1.3</w:t>
      </w:r>
      <w:r>
        <w:rPr>
          <w:rFonts w:hint="eastAsia" w:ascii="仿宋" w:hAnsi="仿宋" w:cs="仿宋"/>
          <w:color w:val="auto"/>
          <w:szCs w:val="21"/>
          <w:highlight w:val="none"/>
        </w:rPr>
        <w:t>残疾人福利性单位视同小型、微型企业，在满足价格扣除条件且在</w:t>
      </w:r>
      <w:r>
        <w:rPr>
          <w:rFonts w:hint="eastAsia" w:ascii="仿宋" w:hAnsi="仿宋" w:cs="仿宋"/>
          <w:color w:val="auto"/>
          <w:kern w:val="0"/>
          <w:szCs w:val="21"/>
          <w:highlight w:val="none"/>
        </w:rPr>
        <w:t>投标文件中提供了《残疾人福利性单位声明函》的，</w:t>
      </w:r>
      <w:r>
        <w:rPr>
          <w:rFonts w:hint="eastAsia" w:ascii="仿宋" w:hAnsi="仿宋" w:cs="仿宋"/>
          <w:color w:val="auto"/>
          <w:szCs w:val="21"/>
          <w:highlight w:val="none"/>
        </w:rPr>
        <w:t>对其投标报价按本章6.1.1条款的比例予以扣除</w:t>
      </w:r>
      <w:r>
        <w:rPr>
          <w:rFonts w:hint="eastAsia" w:ascii="仿宋" w:hAnsi="仿宋" w:cs="仿宋"/>
          <w:color w:val="auto"/>
          <w:kern w:val="0"/>
          <w:szCs w:val="21"/>
          <w:highlight w:val="none"/>
        </w:rPr>
        <w:t>，用扣除后的价格参与评审。</w:t>
      </w:r>
    </w:p>
    <w:p>
      <w:pPr>
        <w:adjustRightInd w:val="0"/>
        <w:snapToGrid w:val="0"/>
        <w:spacing w:line="360" w:lineRule="auto"/>
        <w:ind w:firstLine="422" w:firstLineChars="200"/>
        <w:rPr>
          <w:rFonts w:hint="eastAsia" w:ascii="仿宋" w:hAnsi="仿宋" w:cs="仿宋"/>
          <w:b/>
          <w:color w:val="auto"/>
          <w:szCs w:val="21"/>
          <w:highlight w:val="none"/>
        </w:rPr>
      </w:pPr>
      <w:r>
        <w:rPr>
          <w:rFonts w:hint="eastAsia" w:ascii="仿宋" w:hAnsi="仿宋" w:cs="仿宋"/>
          <w:b/>
          <w:color w:val="auto"/>
          <w:szCs w:val="21"/>
          <w:highlight w:val="none"/>
        </w:rPr>
        <w:t>6.1.4残疾人福利性单位属于小型、微型企业的，不重复享受政策。</w:t>
      </w:r>
    </w:p>
    <w:p>
      <w:pPr>
        <w:adjustRightInd w:val="0"/>
        <w:snapToGrid w:val="0"/>
        <w:spacing w:line="360" w:lineRule="auto"/>
        <w:ind w:firstLine="422" w:firstLineChars="200"/>
        <w:rPr>
          <w:rFonts w:hint="eastAsia" w:ascii="仿宋" w:hAnsi="仿宋" w:cs="仿宋"/>
          <w:b/>
          <w:color w:val="auto"/>
          <w:kern w:val="0"/>
          <w:szCs w:val="21"/>
          <w:highlight w:val="none"/>
        </w:rPr>
      </w:pPr>
      <w:r>
        <w:rPr>
          <w:rFonts w:hint="eastAsia" w:ascii="仿宋" w:hAnsi="仿宋" w:cs="仿宋"/>
          <w:b/>
          <w:color w:val="auto"/>
          <w:kern w:val="0"/>
          <w:szCs w:val="21"/>
          <w:highlight w:val="none"/>
        </w:rPr>
        <w:t>6.2对于节能产品、环境标志产品的相关规定</w:t>
      </w:r>
    </w:p>
    <w:p>
      <w:pPr>
        <w:numPr>
          <w:ilvl w:val="0"/>
          <w:numId w:val="8"/>
        </w:numPr>
        <w:adjustRightInd w:val="0"/>
        <w:snapToGrid w:val="0"/>
        <w:spacing w:line="360" w:lineRule="auto"/>
        <w:ind w:firstLine="420" w:firstLineChars="200"/>
        <w:jc w:val="left"/>
        <w:rPr>
          <w:rFonts w:hint="eastAsia" w:ascii="仿宋" w:hAnsi="仿宋" w:cs="仿宋"/>
          <w:color w:val="auto"/>
          <w:szCs w:val="21"/>
          <w:highlight w:val="none"/>
        </w:rPr>
      </w:pPr>
      <w:r>
        <w:rPr>
          <w:rFonts w:hint="eastAsia" w:ascii="仿宋" w:hAnsi="仿宋" w:cs="仿宋"/>
          <w:color w:val="auto"/>
          <w:szCs w:val="21"/>
          <w:highlight w:val="none"/>
        </w:rPr>
        <w:t>节能产品或环境标志产品，依据品目清单和认证证书实施政府优先采购。</w:t>
      </w:r>
      <w:r>
        <w:rPr>
          <w:rFonts w:hint="eastAsia" w:ascii="仿宋" w:hAnsi="仿宋" w:cs="仿宋"/>
          <w:color w:val="auto"/>
          <w:highlight w:val="none"/>
          <w:lang w:eastAsia="zh-CN"/>
        </w:rPr>
        <w:t>供应商</w:t>
      </w:r>
      <w:r>
        <w:rPr>
          <w:rFonts w:hint="eastAsia" w:ascii="仿宋" w:hAnsi="仿宋" w:cs="仿宋"/>
          <w:color w:val="auto"/>
          <w:szCs w:val="21"/>
          <w:highlight w:val="none"/>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hint="eastAsia" w:ascii="仿宋" w:hAnsi="仿宋" w:cs="仿宋"/>
          <w:color w:val="auto"/>
          <w:szCs w:val="21"/>
          <w:highlight w:val="none"/>
        </w:rPr>
      </w:pPr>
      <w:r>
        <w:rPr>
          <w:rFonts w:hint="eastAsia" w:ascii="仿宋" w:hAnsi="仿宋" w:cs="仿宋"/>
          <w:color w:val="auto"/>
          <w:kern w:val="0"/>
          <w:szCs w:val="21"/>
          <w:highlight w:val="none"/>
        </w:rPr>
        <w:t>采用最低评标价法的，</w:t>
      </w:r>
      <w:r>
        <w:rPr>
          <w:rFonts w:hint="eastAsia" w:ascii="仿宋" w:hAnsi="仿宋" w:cs="仿宋"/>
          <w:color w:val="auto"/>
          <w:szCs w:val="21"/>
          <w:highlight w:val="none"/>
        </w:rPr>
        <w:t>对</w:t>
      </w:r>
      <w:r>
        <w:rPr>
          <w:rFonts w:hint="eastAsia" w:ascii="仿宋" w:hAnsi="仿宋" w:cs="仿宋"/>
          <w:color w:val="auto"/>
          <w:kern w:val="0"/>
          <w:szCs w:val="21"/>
          <w:highlight w:val="none"/>
        </w:rPr>
        <w:t>清单中投标产品的报价</w:t>
      </w:r>
      <w:r>
        <w:rPr>
          <w:rFonts w:hint="eastAsia" w:ascii="仿宋" w:hAnsi="仿宋" w:cs="仿宋"/>
          <w:color w:val="auto"/>
          <w:szCs w:val="21"/>
          <w:highlight w:val="none"/>
        </w:rPr>
        <w:t>给予价格扣除，用扣除后的价格参与评审。报价扣除比例为</w:t>
      </w:r>
      <w:r>
        <w:rPr>
          <w:rFonts w:hint="eastAsia" w:ascii="仿宋" w:hAnsi="仿宋" w:cs="仿宋"/>
          <w:color w:val="auto"/>
          <w:kern w:val="0"/>
          <w:szCs w:val="21"/>
          <w:highlight w:val="none"/>
        </w:rPr>
        <w:t>清单中产品报价的</w:t>
      </w:r>
      <w:r>
        <w:rPr>
          <w:rFonts w:hint="eastAsia" w:ascii="仿宋" w:hAnsi="仿宋" w:cs="仿宋"/>
          <w:color w:val="auto"/>
          <w:szCs w:val="21"/>
          <w:highlight w:val="none"/>
          <w:u w:val="single"/>
        </w:rPr>
        <w:t>/</w:t>
      </w:r>
      <w:r>
        <w:rPr>
          <w:rFonts w:hint="eastAsia" w:ascii="仿宋" w:hAnsi="仿宋" w:cs="仿宋"/>
          <w:color w:val="auto"/>
          <w:szCs w:val="21"/>
          <w:highlight w:val="none"/>
        </w:rPr>
        <w:t xml:space="preserve"> %。</w:t>
      </w:r>
    </w:p>
    <w:p>
      <w:pPr>
        <w:adjustRightInd w:val="0"/>
        <w:snapToGrid w:val="0"/>
        <w:spacing w:line="360" w:lineRule="auto"/>
        <w:ind w:firstLine="630" w:firstLineChars="300"/>
        <w:jc w:val="left"/>
        <w:rPr>
          <w:rFonts w:hint="eastAsia" w:ascii="仿宋" w:hAnsi="仿宋" w:cs="仿宋"/>
          <w:color w:val="auto"/>
          <w:szCs w:val="21"/>
          <w:highlight w:val="none"/>
        </w:rPr>
      </w:pPr>
      <w:r>
        <w:rPr>
          <w:rFonts w:hint="eastAsia" w:ascii="仿宋" w:hAnsi="仿宋" w:cs="仿宋"/>
          <w:color w:val="auto"/>
          <w:kern w:val="0"/>
          <w:szCs w:val="21"/>
          <w:highlight w:val="none"/>
        </w:rPr>
        <w:t>采用综合评分法评标的项目，对清单中产品给予相应的加分。（详见评分细则）</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（2）</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应同时提供品目清单网络截图，并以明确标注所报产品信息和位置的方式，用以方便评审。</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（3）认证机构和获证产品信息发布媒体：详见中国政府采购网（www.ccgp.gov.cn）建立的与认证结果信息发布平台的链接。</w:t>
      </w:r>
    </w:p>
    <w:p>
      <w:pPr>
        <w:adjustRightInd w:val="0"/>
        <w:spacing w:line="360" w:lineRule="auto"/>
        <w:ind w:firstLine="422" w:firstLineChars="20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6.3对于列入《</w:t>
      </w:r>
      <w:r>
        <w:rPr>
          <w:rFonts w:hint="eastAsia" w:ascii="仿宋_GB2312" w:hAnsi="仿宋_GB2312" w:eastAsia="仿宋_GB2312" w:cs="仿宋_GB2312"/>
          <w:b/>
          <w:bCs/>
          <w:color w:val="auto"/>
          <w:szCs w:val="21"/>
          <w:highlight w:val="none"/>
          <w:lang w:eastAsia="zh-CN"/>
        </w:rPr>
        <w:t>创新产品和服务目录</w:t>
      </w:r>
      <w:r>
        <w:rPr>
          <w:rFonts w:hint="eastAsia" w:ascii="仿宋_GB2312" w:hAnsi="仿宋_GB2312" w:eastAsia="仿宋_GB2312" w:cs="仿宋_GB2312"/>
          <w:b/>
          <w:bCs/>
          <w:color w:val="auto"/>
          <w:szCs w:val="21"/>
          <w:highlight w:val="none"/>
        </w:rPr>
        <w:t>》内的产品、服务的相关规定</w:t>
      </w:r>
    </w:p>
    <w:p>
      <w:pPr>
        <w:adjustRightIn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采用最低评标价法的：对列入《</w:t>
      </w:r>
      <w:r>
        <w:rPr>
          <w:rFonts w:hint="eastAsia" w:ascii="仿宋_GB2312" w:hAnsi="仿宋_GB2312" w:eastAsia="仿宋_GB2312" w:cs="仿宋_GB2312"/>
          <w:color w:val="auto"/>
          <w:szCs w:val="21"/>
          <w:highlight w:val="none"/>
          <w:lang w:eastAsia="zh-CN"/>
        </w:rPr>
        <w:t>创新产品和服务目录</w:t>
      </w:r>
      <w:r>
        <w:rPr>
          <w:rFonts w:hint="eastAsia" w:ascii="仿宋_GB2312" w:hAnsi="仿宋_GB2312" w:eastAsia="仿宋_GB2312" w:cs="仿宋_GB2312"/>
          <w:color w:val="auto"/>
          <w:szCs w:val="21"/>
          <w:highlight w:val="none"/>
        </w:rPr>
        <w:t>》内的投标产品、服务给予其投标报价</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6%</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（6-8%）的价格扣除，用扣除后的价格参与评审。</w:t>
      </w:r>
    </w:p>
    <w:p>
      <w:pPr>
        <w:adjustRightInd w:val="0"/>
        <w:spacing w:line="360" w:lineRule="auto"/>
        <w:ind w:firstLine="420" w:firstLineChars="200"/>
        <w:jc w:val="left"/>
        <w:rPr>
          <w:rFonts w:hint="eastAsia"/>
          <w:color w:val="auto"/>
          <w:highlight w:val="none"/>
        </w:rPr>
      </w:pPr>
      <w:r>
        <w:rPr>
          <w:rFonts w:hint="eastAsia" w:ascii="仿宋_GB2312" w:hAnsi="仿宋_GB2312" w:eastAsia="仿宋_GB2312" w:cs="仿宋_GB2312"/>
          <w:color w:val="auto"/>
          <w:szCs w:val="21"/>
          <w:highlight w:val="none"/>
        </w:rPr>
        <w:t>采用综合评分法评标的：对列入《</w:t>
      </w:r>
      <w:r>
        <w:rPr>
          <w:rFonts w:hint="eastAsia" w:ascii="仿宋_GB2312" w:hAnsi="仿宋_GB2312" w:eastAsia="仿宋_GB2312" w:cs="仿宋_GB2312"/>
          <w:color w:val="auto"/>
          <w:szCs w:val="21"/>
          <w:highlight w:val="none"/>
          <w:lang w:eastAsia="zh-CN"/>
        </w:rPr>
        <w:t>创新产品和服务目录</w:t>
      </w:r>
      <w:r>
        <w:rPr>
          <w:rFonts w:hint="eastAsia" w:ascii="仿宋_GB2312" w:hAnsi="仿宋_GB2312" w:eastAsia="仿宋_GB2312" w:cs="仿宋_GB2312"/>
          <w:color w:val="auto"/>
          <w:szCs w:val="21"/>
          <w:highlight w:val="none"/>
        </w:rPr>
        <w:t>》内的投标产品、服务给予</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6%</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（6-8%）的加分（详见评分细则）。</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★7</w:t>
      </w:r>
      <w:r>
        <w:rPr>
          <w:rFonts w:hint="eastAsia" w:ascii="仿宋" w:hAnsi="仿宋" w:cs="仿宋"/>
          <w:b/>
          <w:bCs/>
          <w:color w:val="auto"/>
          <w:kern w:val="0"/>
          <w:szCs w:val="21"/>
          <w:highlight w:val="none"/>
        </w:rPr>
        <w:t>、投标无效情况详见</w:t>
      </w:r>
      <w:r>
        <w:rPr>
          <w:rFonts w:hint="eastAsia" w:ascii="仿宋" w:hAnsi="仿宋" w:cs="仿宋"/>
          <w:b/>
          <w:bCs/>
          <w:color w:val="auto"/>
          <w:kern w:val="0"/>
          <w:szCs w:val="21"/>
          <w:highlight w:val="none"/>
          <w:lang w:eastAsia="zh-CN"/>
        </w:rPr>
        <w:t>供应商</w:t>
      </w:r>
      <w:r>
        <w:rPr>
          <w:rFonts w:hint="eastAsia" w:ascii="仿宋" w:hAnsi="仿宋" w:cs="仿宋"/>
          <w:b/>
          <w:bCs/>
          <w:color w:val="auto"/>
          <w:kern w:val="0"/>
          <w:szCs w:val="21"/>
          <w:highlight w:val="none"/>
        </w:rPr>
        <w:t>须知。</w:t>
      </w:r>
    </w:p>
    <w:p>
      <w:pPr>
        <w:adjustRightInd w:val="0"/>
        <w:snapToGrid w:val="0"/>
        <w:spacing w:line="360" w:lineRule="auto"/>
        <w:ind w:firstLine="422" w:firstLineChars="200"/>
        <w:rPr>
          <w:rFonts w:hint="eastAsia" w:ascii="仿宋" w:hAnsi="仿宋" w:cs="仿宋"/>
          <w:b/>
          <w:bCs/>
          <w:color w:val="auto"/>
          <w:kern w:val="0"/>
          <w:szCs w:val="21"/>
          <w:highlight w:val="none"/>
        </w:rPr>
      </w:pPr>
      <w:r>
        <w:rPr>
          <w:rFonts w:hint="eastAsia" w:ascii="仿宋" w:hAnsi="仿宋" w:cs="仿宋"/>
          <w:b/>
          <w:color w:val="auto"/>
          <w:kern w:val="0"/>
          <w:szCs w:val="21"/>
          <w:highlight w:val="none"/>
        </w:rPr>
        <w:t>★8</w:t>
      </w:r>
      <w:r>
        <w:rPr>
          <w:rFonts w:hint="eastAsia" w:ascii="仿宋" w:hAnsi="仿宋" w:cs="仿宋"/>
          <w:b/>
          <w:bCs/>
          <w:color w:val="auto"/>
          <w:kern w:val="0"/>
          <w:szCs w:val="21"/>
          <w:highlight w:val="none"/>
        </w:rPr>
        <w:t>、推荐中标候选人的原则</w:t>
      </w:r>
    </w:p>
    <w:p>
      <w:pPr>
        <w:adjustRightInd w:val="0"/>
        <w:snapToGrid w:val="0"/>
        <w:spacing w:line="360" w:lineRule="auto"/>
        <w:ind w:firstLine="420" w:firstLineChars="200"/>
        <w:rPr>
          <w:rFonts w:hint="eastAsia" w:ascii="仿宋" w:hAnsi="仿宋" w:cs="仿宋"/>
          <w:color w:val="auto"/>
          <w:kern w:val="0"/>
          <w:szCs w:val="21"/>
          <w:highlight w:val="none"/>
        </w:rPr>
      </w:pPr>
      <w:r>
        <w:rPr>
          <w:rFonts w:hint="eastAsia" w:ascii="仿宋" w:hAnsi="仿宋" w:cs="仿宋"/>
          <w:color w:val="auto"/>
          <w:kern w:val="0"/>
          <w:szCs w:val="21"/>
          <w:highlight w:val="none"/>
        </w:rPr>
        <w:t>详见第一章</w:t>
      </w: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须知第29条，具体处理办法如下：</w:t>
      </w:r>
    </w:p>
    <w:p>
      <w:pPr>
        <w:numPr>
          <w:ilvl w:val="0"/>
          <w:numId w:val="9"/>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采用最低评标价法的：</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扣除后的投标报价相同时，按投标报价由低至高排序；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按前款不能区分的，优先采购节能产品、环境标志产品；</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按前款不能区分的，按技术指标优劣排序；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其他情况，由评标委员会投票处理。</w:t>
      </w:r>
    </w:p>
    <w:p>
      <w:pPr>
        <w:numPr>
          <w:ilvl w:val="0"/>
          <w:numId w:val="9"/>
        </w:num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采用综合评分法的：</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得分相同的，按扣除后的投标报价由低到高顺序排序；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按前款不能区分的，按投标报价由低至高顺序排序；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按前款不能区分的，按技术指标优劣排序；</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其他情况，由评标委员会投票处理。</w:t>
      </w:r>
    </w:p>
    <w:p>
      <w:pPr>
        <w:adjustRightInd w:val="0"/>
        <w:snapToGrid w:val="0"/>
        <w:spacing w:line="360" w:lineRule="auto"/>
        <w:ind w:firstLine="422" w:firstLineChars="200"/>
        <w:rPr>
          <w:rFonts w:hint="eastAsia" w:ascii="仿宋" w:hAnsi="仿宋" w:cs="仿宋"/>
          <w:b/>
          <w:color w:val="auto"/>
          <w:kern w:val="0"/>
          <w:szCs w:val="21"/>
          <w:highlight w:val="none"/>
        </w:rPr>
      </w:pPr>
      <w:bookmarkStart w:id="126" w:name="_Toc30297_WPSOffice_Level2"/>
      <w:r>
        <w:rPr>
          <w:rFonts w:hint="eastAsia" w:ascii="仿宋" w:hAnsi="仿宋" w:cs="仿宋"/>
          <w:b/>
          <w:color w:val="auto"/>
          <w:szCs w:val="21"/>
          <w:highlight w:val="none"/>
        </w:rPr>
        <w:t>三、</w:t>
      </w:r>
      <w:r>
        <w:rPr>
          <w:rFonts w:hint="eastAsia" w:ascii="仿宋" w:hAnsi="仿宋" w:cs="仿宋"/>
          <w:b/>
          <w:color w:val="auto"/>
          <w:kern w:val="0"/>
          <w:szCs w:val="21"/>
          <w:highlight w:val="none"/>
        </w:rPr>
        <w:t>确定中标人</w:t>
      </w:r>
      <w:bookmarkEnd w:id="126"/>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rPr>
        <w:t>评标委员会根据全体评标委员会成员签字的原始评标记录和评标结果编写评标报告，并向</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提交书面评标报告。</w:t>
      </w:r>
    </w:p>
    <w:p>
      <w:pPr>
        <w:adjustRightInd w:val="0"/>
        <w:snapToGrid w:val="0"/>
        <w:spacing w:line="360" w:lineRule="auto"/>
        <w:ind w:firstLine="420" w:firstLineChars="200"/>
        <w:rPr>
          <w:rFonts w:hint="eastAsia" w:ascii="仿宋" w:hAnsi="仿宋" w:cs="仿宋"/>
          <w:color w:val="auto"/>
          <w:szCs w:val="21"/>
          <w:highlight w:val="none"/>
        </w:rPr>
      </w:pP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按照评标报告确定的中标候选人名单按顺序确定中标人，或由</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委托评标委员会按照第一章</w:t>
      </w:r>
      <w:r>
        <w:rPr>
          <w:rFonts w:hint="eastAsia" w:ascii="仿宋" w:hAnsi="仿宋" w:cs="仿宋"/>
          <w:color w:val="auto"/>
          <w:szCs w:val="21"/>
          <w:highlight w:val="none"/>
          <w:lang w:eastAsia="zh-CN"/>
        </w:rPr>
        <w:t>供应商</w:t>
      </w:r>
      <w:r>
        <w:rPr>
          <w:rFonts w:hint="eastAsia" w:ascii="仿宋" w:hAnsi="仿宋" w:cs="仿宋"/>
          <w:color w:val="auto"/>
          <w:szCs w:val="21"/>
          <w:highlight w:val="none"/>
        </w:rPr>
        <w:t>须知第31条规定的方式确定中标人。</w:t>
      </w: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highlight w:val="none"/>
        </w:rPr>
        <w:br w:type="page"/>
      </w:r>
      <w:bookmarkStart w:id="127" w:name="_Toc32318_WPSOffice_Level2"/>
      <w:r>
        <w:rPr>
          <w:rFonts w:hint="eastAsia" w:ascii="仿宋" w:hAnsi="仿宋" w:cs="仿宋"/>
          <w:color w:val="auto"/>
          <w:szCs w:val="28"/>
          <w:highlight w:val="none"/>
        </w:rPr>
        <w:t xml:space="preserve">附件1 </w:t>
      </w:r>
    </w:p>
    <w:p>
      <w:pPr>
        <w:jc w:val="center"/>
        <w:rPr>
          <w:rFonts w:hint="default" w:eastAsia="宋体"/>
          <w:color w:val="auto"/>
          <w:highlight w:val="none"/>
          <w:lang w:val="en-US" w:eastAsia="zh-CN"/>
        </w:rPr>
      </w:pPr>
      <w:r>
        <w:rPr>
          <w:rFonts w:hint="eastAsia" w:ascii="仿宋" w:hAnsi="仿宋" w:cs="仿宋"/>
          <w:b/>
          <w:color w:val="auto"/>
          <w:sz w:val="32"/>
          <w:szCs w:val="32"/>
          <w:highlight w:val="none"/>
        </w:rPr>
        <w:t>资格审查表</w:t>
      </w:r>
      <w:bookmarkEnd w:id="127"/>
    </w:p>
    <w:tbl>
      <w:tblPr>
        <w:tblStyle w:val="23"/>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noWrap w:val="0"/>
            <w:vAlign w:val="center"/>
          </w:tcPr>
          <w:p>
            <w:pPr>
              <w:keepNext w:val="0"/>
              <w:keepLines w:val="0"/>
              <w:suppressLineNumbers w:val="0"/>
              <w:spacing w:before="0" w:beforeAutospacing="0" w:after="0" w:afterAutospacing="0"/>
              <w:ind w:left="-97" w:leftChars="-46" w:right="-86" w:rightChars="-41"/>
              <w:jc w:val="center"/>
              <w:rPr>
                <w:rFonts w:hint="eastAsia" w:ascii="仿宋" w:hAnsi="仿宋" w:cs="仿宋"/>
                <w:color w:val="auto"/>
                <w:highlight w:val="none"/>
              </w:rPr>
            </w:pPr>
            <w:r>
              <w:rPr>
                <w:rFonts w:hint="eastAsia" w:ascii="仿宋" w:hAnsi="仿宋" w:cs="仿宋"/>
                <w:color w:val="auto"/>
                <w:highlight w:val="none"/>
              </w:rPr>
              <w:t>序号</w:t>
            </w:r>
          </w:p>
        </w:tc>
        <w:tc>
          <w:tcPr>
            <w:tcW w:w="3837" w:type="dxa"/>
            <w:vMerge w:val="restart"/>
            <w:noWrap w:val="0"/>
            <w:vAlign w:val="center"/>
          </w:tcPr>
          <w:p>
            <w:pPr>
              <w:pStyle w:val="5"/>
              <w:suppressLineNumbers w:val="0"/>
              <w:adjustRightInd w:val="0"/>
              <w:snapToGrid w:val="0"/>
              <w:spacing w:before="0" w:beforeAutospacing="0" w:after="0" w:afterAutospacing="0" w:line="240" w:lineRule="auto"/>
              <w:ind w:left="-97" w:leftChars="-46" w:right="-86" w:rightChars="-41"/>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审查项目</w:t>
            </w:r>
          </w:p>
        </w:tc>
        <w:tc>
          <w:tcPr>
            <w:tcW w:w="1982" w:type="dxa"/>
            <w:vMerge w:val="restart"/>
            <w:noWrap w:val="0"/>
            <w:vAlign w:val="center"/>
          </w:tcPr>
          <w:p>
            <w:pPr>
              <w:pStyle w:val="5"/>
              <w:suppressLineNumbers w:val="0"/>
              <w:adjustRightInd w:val="0"/>
              <w:snapToGrid w:val="0"/>
              <w:spacing w:before="0" w:beforeAutospacing="0" w:after="0" w:afterAutospacing="0" w:line="240" w:lineRule="auto"/>
              <w:ind w:left="-97" w:leftChars="-46" w:right="-86" w:rightChars="-41"/>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审查标准</w:t>
            </w:r>
          </w:p>
        </w:tc>
        <w:tc>
          <w:tcPr>
            <w:tcW w:w="2836" w:type="dxa"/>
            <w:gridSpan w:val="3"/>
            <w:noWrap w:val="0"/>
            <w:vAlign w:val="center"/>
          </w:tcPr>
          <w:p>
            <w:pPr>
              <w:pStyle w:val="5"/>
              <w:suppressLineNumbers w:val="0"/>
              <w:adjustRightInd w:val="0"/>
              <w:snapToGrid w:val="0"/>
              <w:spacing w:before="0" w:beforeAutospacing="0" w:after="0" w:afterAutospacing="0" w:line="240" w:lineRule="auto"/>
              <w:ind w:left="-97" w:leftChars="-46" w:right="-86" w:rightChars="-41"/>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lang w:eastAsia="zh-CN"/>
              </w:rPr>
              <w:t>供应商</w:t>
            </w:r>
            <w:r>
              <w:rPr>
                <w:rFonts w:hint="eastAsia" w:ascii="仿宋" w:hAnsi="仿宋" w:cs="仿宋"/>
                <w:b w:val="0"/>
                <w:color w:val="auto"/>
                <w:sz w:val="21"/>
                <w:szCs w:val="21"/>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highlight w:val="none"/>
              </w:rPr>
            </w:pPr>
          </w:p>
        </w:tc>
        <w:tc>
          <w:tcPr>
            <w:tcW w:w="3837" w:type="dxa"/>
            <w:vMerge w:val="continue"/>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1982" w:type="dxa"/>
            <w:vMerge w:val="continue"/>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86"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1</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营业执照或事业单位法人证书或执业许可证等证明文件或自然人的身份证明</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2</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组织机构代码证</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3</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税务登记证</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szCs w:val="21"/>
                <w:highlight w:val="none"/>
              </w:rPr>
              <w:t>4</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szCs w:val="21"/>
                <w:highlight w:val="none"/>
              </w:rPr>
              <w:t>法定代表人（或非法人组织负责人）身份证明书</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5</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法定代表人（或非法人组织</w:t>
            </w:r>
            <w:r>
              <w:rPr>
                <w:rFonts w:hint="eastAsia" w:ascii="仿宋" w:hAnsi="仿宋" w:cs="仿宋"/>
                <w:color w:val="auto"/>
                <w:szCs w:val="21"/>
                <w:highlight w:val="none"/>
              </w:rPr>
              <w:t>负责人）</w:t>
            </w:r>
            <w:r>
              <w:rPr>
                <w:rFonts w:hint="eastAsia" w:ascii="仿宋" w:hAnsi="仿宋" w:cs="仿宋"/>
                <w:color w:val="auto"/>
                <w:highlight w:val="none"/>
              </w:rPr>
              <w:t>授权委托书</w:t>
            </w:r>
            <w:r>
              <w:rPr>
                <w:rFonts w:hint="eastAsia" w:ascii="仿宋" w:hAnsi="仿宋" w:cs="仿宋"/>
                <w:color w:val="auto"/>
                <w:szCs w:val="21"/>
                <w:highlight w:val="none"/>
              </w:rPr>
              <w:t>（授权委托人参加投标的须提供）</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noWrap w:val="0"/>
            <w:vAlign w:val="center"/>
          </w:tcPr>
          <w:p>
            <w:pPr>
              <w:keepNext w:val="0"/>
              <w:keepLines w:val="0"/>
              <w:widowControl/>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6</w:t>
            </w:r>
          </w:p>
        </w:tc>
        <w:tc>
          <w:tcPr>
            <w:tcW w:w="3837" w:type="dxa"/>
            <w:noWrap w:val="0"/>
            <w:vAlign w:val="center"/>
          </w:tcPr>
          <w:p>
            <w:pPr>
              <w:keepNext w:val="0"/>
              <w:keepLines w:val="0"/>
              <w:widowControl/>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具有良好的商业信誉和健全的财务会计制度的承诺函</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1.信息完整</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7</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开标时间前六个月内任一个月的依法缴纳税收的缴款凭据</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8</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开标时间前六个月内任一个月的依法缴纳社会保障资金的缴款凭据</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1.按要求提供</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2.合法有效</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9</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b/>
                <w:color w:val="auto"/>
                <w:szCs w:val="21"/>
                <w:highlight w:val="none"/>
              </w:rPr>
            </w:pPr>
            <w:r>
              <w:rPr>
                <w:rFonts w:hint="eastAsia" w:ascii="仿宋" w:hAnsi="仿宋" w:cs="仿宋"/>
                <w:color w:val="auto"/>
                <w:highlight w:val="none"/>
              </w:rPr>
              <w:t>具备履行合同所必需的设备和专业技术能力声明函</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1.信息完整</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szCs w:val="21"/>
                <w:highlight w:val="none"/>
              </w:rPr>
              <w:t>10</w:t>
            </w:r>
          </w:p>
        </w:tc>
        <w:tc>
          <w:tcPr>
            <w:tcW w:w="383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color w:val="auto"/>
                <w:highlight w:val="none"/>
              </w:rPr>
            </w:pPr>
            <w:r>
              <w:rPr>
                <w:rFonts w:hint="eastAsia" w:ascii="仿宋" w:hAnsi="仿宋" w:cs="仿宋"/>
                <w:color w:val="auto"/>
                <w:szCs w:val="21"/>
                <w:highlight w:val="none"/>
              </w:rPr>
              <w:t>参加政府采购活动前3年内在经营活动中没有重大违法记录的书面声明</w:t>
            </w:r>
          </w:p>
        </w:tc>
        <w:tc>
          <w:tcPr>
            <w:tcW w:w="1982"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2.按规定签章</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pPr>
              <w:keepNext w:val="0"/>
              <w:keepLines w:val="0"/>
              <w:suppressLineNumbers w:val="0"/>
              <w:snapToGrid w:val="0"/>
              <w:spacing w:before="0" w:beforeAutospacing="0" w:after="0" w:afterAutospacing="0"/>
              <w:ind w:left="0" w:leftChars="0" w:right="0" w:rightChars="0"/>
              <w:jc w:val="center"/>
              <w:rPr>
                <w:rFonts w:hint="default" w:ascii="仿宋" w:hAnsi="仿宋" w:eastAsia="仿宋" w:cs="仿宋"/>
                <w:color w:val="auto"/>
                <w:highlight w:val="none"/>
                <w:lang w:val="en-US" w:eastAsia="zh-CN"/>
              </w:rPr>
            </w:pPr>
            <w:r>
              <w:rPr>
                <w:rFonts w:hint="eastAsia" w:ascii="仿宋" w:hAnsi="仿宋" w:cs="仿宋"/>
                <w:color w:val="auto"/>
                <w:highlight w:val="none"/>
              </w:rPr>
              <w:t>1</w:t>
            </w:r>
            <w:r>
              <w:rPr>
                <w:rFonts w:hint="eastAsia" w:ascii="仿宋" w:hAnsi="仿宋" w:cs="仿宋"/>
                <w:color w:val="auto"/>
                <w:highlight w:val="none"/>
                <w:lang w:val="en-US" w:eastAsia="zh-CN"/>
              </w:rPr>
              <w:t>1</w:t>
            </w:r>
          </w:p>
        </w:tc>
        <w:tc>
          <w:tcPr>
            <w:tcW w:w="3837" w:type="dxa"/>
            <w:noWrap w:val="0"/>
            <w:vAlign w:val="center"/>
          </w:tcPr>
          <w:p>
            <w:pPr>
              <w:keepNext w:val="0"/>
              <w:keepLines w:val="0"/>
              <w:suppressLineNumbers w:val="0"/>
              <w:snapToGrid w:val="0"/>
              <w:spacing w:before="0" w:beforeAutospacing="0" w:after="0" w:afterAutospacing="0"/>
              <w:ind w:left="0" w:leftChars="0" w:right="0" w:rightChars="0"/>
              <w:jc w:val="left"/>
              <w:rPr>
                <w:rFonts w:hint="default" w:ascii="仿宋" w:hAnsi="仿宋" w:cs="仿宋"/>
                <w:color w:val="auto"/>
                <w:highlight w:val="none"/>
              </w:rPr>
            </w:pPr>
            <w:r>
              <w:rPr>
                <w:rFonts w:hint="eastAsia" w:ascii="仿宋" w:hAnsi="仿宋" w:cs="仿宋"/>
                <w:color w:val="auto"/>
                <w:highlight w:val="none"/>
              </w:rPr>
              <w:t>信用记录（</w:t>
            </w:r>
            <w:r>
              <w:rPr>
                <w:rFonts w:hint="eastAsia" w:ascii="仿宋" w:hAnsi="仿宋" w:cs="仿宋"/>
                <w:color w:val="auto"/>
                <w:szCs w:val="21"/>
                <w:highlight w:val="none"/>
                <w:lang w:eastAsia="zh-CN"/>
              </w:rPr>
              <w:t>采购人</w:t>
            </w:r>
            <w:r>
              <w:rPr>
                <w:rFonts w:hint="eastAsia" w:ascii="仿宋" w:hAnsi="仿宋" w:cs="仿宋"/>
                <w:color w:val="auto"/>
                <w:szCs w:val="21"/>
                <w:highlight w:val="none"/>
              </w:rPr>
              <w:t>或</w:t>
            </w:r>
            <w:r>
              <w:rPr>
                <w:rFonts w:hint="eastAsia" w:ascii="仿宋" w:hAnsi="仿宋" w:cs="仿宋"/>
                <w:color w:val="auto"/>
                <w:szCs w:val="21"/>
                <w:highlight w:val="none"/>
                <w:lang w:eastAsia="zh-CN"/>
              </w:rPr>
              <w:t>采购代理机构</w:t>
            </w:r>
            <w:r>
              <w:rPr>
                <w:rFonts w:hint="eastAsia" w:ascii="仿宋" w:hAnsi="仿宋" w:cs="仿宋"/>
                <w:color w:val="auto"/>
                <w:szCs w:val="21"/>
                <w:highlight w:val="none"/>
              </w:rPr>
              <w:t>将按照招标文件规定的审查期间内进行查询</w:t>
            </w:r>
            <w:r>
              <w:rPr>
                <w:rFonts w:hint="eastAsia" w:ascii="仿宋" w:hAnsi="仿宋" w:cs="仿宋"/>
                <w:color w:val="auto"/>
                <w:highlight w:val="none"/>
              </w:rPr>
              <w:t>）</w:t>
            </w:r>
          </w:p>
        </w:tc>
        <w:tc>
          <w:tcPr>
            <w:tcW w:w="1982" w:type="dxa"/>
            <w:noWrap w:val="0"/>
            <w:vAlign w:val="center"/>
          </w:tcPr>
          <w:p>
            <w:pPr>
              <w:pStyle w:val="5"/>
              <w:suppressLineNumbers w:val="0"/>
              <w:adjustRightInd w:val="0"/>
              <w:snapToGrid w:val="0"/>
              <w:spacing w:before="0" w:beforeAutospacing="0" w:after="0" w:afterAutospacing="0" w:line="240" w:lineRule="auto"/>
              <w:ind w:left="0" w:leftChars="0" w:right="0" w:rightChars="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无投标须知22.2.1所述的不良记录</w:t>
            </w: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p>
        </w:tc>
        <w:tc>
          <w:tcPr>
            <w:tcW w:w="3837"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highlight w:val="none"/>
              </w:rPr>
              <w:t>结论</w:t>
            </w:r>
          </w:p>
        </w:tc>
        <w:tc>
          <w:tcPr>
            <w:tcW w:w="198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86"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62"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88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bl>
    <w:p>
      <w:pPr>
        <w:snapToGrid w:val="0"/>
        <w:rPr>
          <w:rFonts w:hint="eastAsia" w:ascii="仿宋" w:hAnsi="仿宋" w:cs="仿宋"/>
          <w:color w:val="auto"/>
          <w:highlight w:val="none"/>
        </w:rPr>
      </w:pPr>
      <w:r>
        <w:rPr>
          <w:rFonts w:hint="eastAsia" w:ascii="仿宋" w:hAnsi="仿宋" w:cs="仿宋"/>
          <w:color w:val="auto"/>
          <w:highlight w:val="none"/>
        </w:rPr>
        <w:t>填表说明：1、每项内容审查合格，在表中填写“√”；不合格填写“×”</w:t>
      </w:r>
    </w:p>
    <w:p>
      <w:pPr>
        <w:snapToGrid w:val="0"/>
        <w:rPr>
          <w:rFonts w:hint="eastAsia" w:ascii="仿宋" w:hAnsi="仿宋" w:cs="仿宋"/>
          <w:color w:val="auto"/>
          <w:highlight w:val="none"/>
        </w:rPr>
      </w:pPr>
      <w:r>
        <w:rPr>
          <w:rFonts w:hint="eastAsia" w:ascii="仿宋" w:hAnsi="仿宋" w:cs="仿宋"/>
          <w:color w:val="auto"/>
          <w:highlight w:val="none"/>
        </w:rPr>
        <w:t xml:space="preserve">          2、审查结论填写“通过”或“不通过”</w:t>
      </w:r>
    </w:p>
    <w:p>
      <w:pPr>
        <w:rPr>
          <w:rFonts w:hint="eastAsia" w:ascii="仿宋" w:hAnsi="仿宋" w:cs="仿宋"/>
          <w:color w:val="auto"/>
          <w:highlight w:val="none"/>
        </w:rPr>
      </w:pPr>
    </w:p>
    <w:p>
      <w:pPr>
        <w:pStyle w:val="19"/>
        <w:widowControl w:val="0"/>
        <w:snapToGrid w:val="0"/>
        <w:spacing w:before="0" w:beforeAutospacing="0" w:after="0" w:afterAutospacing="0" w:line="48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审查人签字：</w:t>
      </w:r>
    </w:p>
    <w:p>
      <w:pPr>
        <w:pStyle w:val="19"/>
        <w:widowControl w:val="0"/>
        <w:snapToGrid w:val="0"/>
        <w:spacing w:before="0" w:beforeAutospacing="0" w:after="0" w:afterAutospacing="0" w:line="480" w:lineRule="auto"/>
        <w:jc w:val="both"/>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日      期：</w:t>
      </w:r>
    </w:p>
    <w:p>
      <w:pPr>
        <w:bidi w:val="0"/>
        <w:rPr>
          <w:rFonts w:hint="eastAsia"/>
          <w:color w:val="auto"/>
          <w:highlight w:val="none"/>
        </w:rPr>
      </w:pPr>
      <w:bookmarkStart w:id="128" w:name="_Toc11558_WPSOffice_Level2"/>
    </w:p>
    <w:p>
      <w:pPr>
        <w:rPr>
          <w:rFonts w:hint="eastAsia" w:ascii="仿宋" w:hAnsi="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rPr>
          <w:rFonts w:hint="eastAsia" w:ascii="仿宋" w:hAnsi="仿宋" w:cs="仿宋"/>
          <w:color w:val="auto"/>
          <w:szCs w:val="28"/>
          <w:highlight w:val="none"/>
        </w:rPr>
      </w:pPr>
      <w:r>
        <w:rPr>
          <w:rFonts w:hint="eastAsia" w:ascii="仿宋" w:hAnsi="仿宋" w:cs="仿宋"/>
          <w:color w:val="auto"/>
          <w:szCs w:val="28"/>
          <w:highlight w:val="none"/>
        </w:rPr>
        <w:br w:type="page"/>
      </w:r>
    </w:p>
    <w:p>
      <w:pPr>
        <w:pStyle w:val="5"/>
        <w:adjustRightInd w:val="0"/>
        <w:snapToGrid w:val="0"/>
        <w:spacing w:before="0" w:after="0" w:line="240" w:lineRule="auto"/>
        <w:jc w:val="left"/>
        <w:rPr>
          <w:rFonts w:hint="eastAsia" w:ascii="仿宋" w:hAnsi="仿宋" w:cs="仿宋"/>
          <w:color w:val="auto"/>
          <w:szCs w:val="28"/>
          <w:highlight w:val="none"/>
        </w:rPr>
      </w:pPr>
      <w:r>
        <w:rPr>
          <w:rFonts w:hint="eastAsia" w:ascii="仿宋" w:hAnsi="仿宋" w:cs="仿宋"/>
          <w:color w:val="auto"/>
          <w:szCs w:val="28"/>
          <w:highlight w:val="none"/>
        </w:rPr>
        <w:t xml:space="preserve">附件2                  </w:t>
      </w:r>
    </w:p>
    <w:p>
      <w:pPr>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符合性审查表</w:t>
      </w:r>
      <w:bookmarkEnd w:id="128"/>
    </w:p>
    <w:tbl>
      <w:tblPr>
        <w:tblStyle w:val="23"/>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627"/>
        <w:gridCol w:w="3028"/>
        <w:gridCol w:w="1104"/>
        <w:gridCol w:w="993"/>
        <w:gridCol w:w="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Merge w:val="restart"/>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color w:val="auto"/>
                <w:highlight w:val="none"/>
              </w:rPr>
            </w:pPr>
            <w:r>
              <w:rPr>
                <w:rFonts w:hint="eastAsia" w:ascii="仿宋" w:hAnsi="仿宋" w:cs="仿宋"/>
                <w:color w:val="auto"/>
                <w:highlight w:val="none"/>
              </w:rPr>
              <w:t>序号</w:t>
            </w:r>
          </w:p>
        </w:tc>
        <w:tc>
          <w:tcPr>
            <w:tcW w:w="2627" w:type="dxa"/>
            <w:vMerge w:val="restart"/>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color w:val="auto"/>
                <w:highlight w:val="none"/>
              </w:rPr>
            </w:pPr>
            <w:r>
              <w:rPr>
                <w:rFonts w:hint="eastAsia" w:ascii="仿宋" w:hAnsi="仿宋" w:cs="仿宋"/>
                <w:color w:val="auto"/>
                <w:highlight w:val="none"/>
              </w:rPr>
              <w:t>审查项目</w:t>
            </w:r>
          </w:p>
        </w:tc>
        <w:tc>
          <w:tcPr>
            <w:tcW w:w="3028" w:type="dxa"/>
            <w:vMerge w:val="restart"/>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color w:val="auto"/>
                <w:highlight w:val="none"/>
              </w:rPr>
            </w:pPr>
            <w:r>
              <w:rPr>
                <w:rFonts w:hint="eastAsia" w:ascii="仿宋" w:hAnsi="仿宋" w:cs="仿宋"/>
                <w:color w:val="auto"/>
                <w:highlight w:val="none"/>
              </w:rPr>
              <w:t>审查标准</w:t>
            </w:r>
          </w:p>
        </w:tc>
        <w:tc>
          <w:tcPr>
            <w:tcW w:w="3016" w:type="dxa"/>
            <w:gridSpan w:val="3"/>
            <w:noWrap w:val="0"/>
            <w:vAlign w:val="center"/>
          </w:tcPr>
          <w:p>
            <w:pPr>
              <w:keepNext w:val="0"/>
              <w:keepLines w:val="0"/>
              <w:suppressLineNumbers w:val="0"/>
              <w:spacing w:before="0" w:beforeAutospacing="0" w:after="0" w:afterAutospacing="0"/>
              <w:ind w:left="-84" w:leftChars="-40" w:right="-76" w:rightChars="-36"/>
              <w:jc w:val="center"/>
              <w:rPr>
                <w:rFonts w:hint="eastAsia" w:ascii="仿宋" w:hAnsi="仿宋" w:cs="仿宋"/>
                <w:color w:val="auto"/>
                <w:highlight w:val="none"/>
              </w:rPr>
            </w:pPr>
            <w:r>
              <w:rPr>
                <w:rFonts w:hint="eastAsia" w:ascii="仿宋" w:hAnsi="仿宋" w:cs="仿宋"/>
                <w:color w:val="auto"/>
                <w:highlight w:val="none"/>
                <w:lang w:eastAsia="zh-CN"/>
              </w:rPr>
              <w:t>供应商</w:t>
            </w:r>
            <w:r>
              <w:rPr>
                <w:rFonts w:hint="eastAsia" w:ascii="仿宋" w:hAnsi="仿宋" w:cs="仿宋"/>
                <w:color w:val="auto"/>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53" w:type="dxa"/>
            <w:vMerge w:val="continue"/>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highlight w:val="none"/>
              </w:rPr>
            </w:pPr>
          </w:p>
        </w:tc>
        <w:tc>
          <w:tcPr>
            <w:tcW w:w="2627" w:type="dxa"/>
            <w:vMerge w:val="continue"/>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3028" w:type="dxa"/>
            <w:vMerge w:val="continue"/>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1104"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highlight w:val="none"/>
              </w:rPr>
            </w:pPr>
            <w:r>
              <w:rPr>
                <w:rFonts w:hint="eastAsia" w:ascii="仿宋" w:hAnsi="仿宋" w:cs="仿宋"/>
                <w:color w:val="auto"/>
                <w:kern w:val="0"/>
                <w:sz w:val="20"/>
                <w:szCs w:val="21"/>
                <w:highlight w:val="none"/>
              </w:rPr>
              <w:t>1</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投标函</w:t>
            </w:r>
          </w:p>
        </w:tc>
        <w:tc>
          <w:tcPr>
            <w:tcW w:w="3028" w:type="dxa"/>
            <w:noWrap w:val="0"/>
            <w:vAlign w:val="top"/>
          </w:tcPr>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center"/>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653" w:type="dxa"/>
            <w:noWrap w:val="0"/>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color w:val="auto"/>
                <w:kern w:val="2"/>
                <w:sz w:val="21"/>
                <w:szCs w:val="24"/>
                <w:highlight w:val="none"/>
                <w:lang w:val="en-US" w:eastAsia="zh-CN" w:bidi="ar-SA"/>
              </w:rPr>
            </w:pPr>
            <w:r>
              <w:rPr>
                <w:rFonts w:hint="eastAsia" w:ascii="仿宋" w:hAnsi="仿宋" w:cs="仿宋"/>
                <w:color w:val="auto"/>
                <w:highlight w:val="none"/>
                <w:lang w:val="en-US" w:eastAsia="zh-CN"/>
              </w:rPr>
              <w:t>2</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eastAsia="仿宋" w:cs="仿宋"/>
                <w:kern w:val="0"/>
                <w:sz w:val="21"/>
                <w:szCs w:val="21"/>
                <w:highlight w:val="none"/>
                <w:lang w:val="en-US" w:eastAsia="zh-CN" w:bidi="ar-SA"/>
              </w:rPr>
            </w:pPr>
            <w:r>
              <w:rPr>
                <w:rFonts w:hint="eastAsia" w:ascii="仿宋" w:hAnsi="仿宋" w:cs="仿宋"/>
                <w:kern w:val="0"/>
                <w:szCs w:val="21"/>
                <w:highlight w:val="none"/>
              </w:rPr>
              <w:t>递交投标保证金证明</w:t>
            </w:r>
          </w:p>
        </w:tc>
        <w:tc>
          <w:tcPr>
            <w:tcW w:w="3028" w:type="dxa"/>
            <w:noWrap w:val="0"/>
            <w:vAlign w:val="center"/>
          </w:tcPr>
          <w:p>
            <w:pPr>
              <w:pStyle w:val="5"/>
              <w:suppressLineNumbers w:val="0"/>
              <w:adjustRightInd w:val="0"/>
              <w:snapToGrid w:val="0"/>
              <w:spacing w:before="0" w:beforeAutospacing="0" w:after="0" w:afterAutospacing="0" w:line="240" w:lineRule="auto"/>
              <w:ind w:left="0" w:right="0"/>
              <w:jc w:val="left"/>
              <w:rPr>
                <w:rFonts w:hint="eastAsia" w:ascii="仿宋" w:hAnsi="仿宋" w:cs="仿宋"/>
                <w:b w:val="0"/>
                <w:sz w:val="21"/>
                <w:szCs w:val="21"/>
                <w:highlight w:val="none"/>
              </w:rPr>
            </w:pPr>
            <w:r>
              <w:rPr>
                <w:rFonts w:hint="eastAsia" w:ascii="仿宋" w:hAnsi="仿宋" w:cs="仿宋"/>
                <w:b w:val="0"/>
                <w:sz w:val="21"/>
                <w:szCs w:val="21"/>
                <w:highlight w:val="none"/>
              </w:rPr>
              <w:t>1.按要求提供</w:t>
            </w:r>
          </w:p>
          <w:p>
            <w:pPr>
              <w:pStyle w:val="5"/>
              <w:suppressLineNumbers w:val="0"/>
              <w:adjustRightInd w:val="0"/>
              <w:snapToGrid w:val="0"/>
              <w:spacing w:before="0" w:beforeAutospacing="0" w:after="0" w:afterAutospacing="0" w:line="240" w:lineRule="auto"/>
              <w:ind w:left="0" w:right="0"/>
              <w:jc w:val="left"/>
              <w:rPr>
                <w:rFonts w:hint="eastAsia" w:ascii="仿宋" w:hAnsi="仿宋" w:eastAsia="仿宋" w:cs="仿宋"/>
                <w:b w:val="0"/>
                <w:kern w:val="2"/>
                <w:sz w:val="21"/>
                <w:szCs w:val="21"/>
                <w:highlight w:val="none"/>
                <w:lang w:val="en-US" w:eastAsia="zh-CN" w:bidi="ar-SA"/>
              </w:rPr>
            </w:pPr>
            <w:r>
              <w:rPr>
                <w:rFonts w:hint="eastAsia" w:ascii="仿宋" w:hAnsi="仿宋" w:cs="仿宋"/>
                <w:b w:val="0"/>
                <w:sz w:val="21"/>
                <w:szCs w:val="21"/>
                <w:highlight w:val="none"/>
              </w:rPr>
              <w:t>2.合法有效</w:t>
            </w:r>
          </w:p>
        </w:tc>
        <w:tc>
          <w:tcPr>
            <w:tcW w:w="1104"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53" w:type="dxa"/>
            <w:noWrap w:val="0"/>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color w:val="auto"/>
                <w:kern w:val="2"/>
                <w:sz w:val="21"/>
                <w:szCs w:val="24"/>
                <w:highlight w:val="none"/>
                <w:lang w:val="en-US" w:eastAsia="zh-CN" w:bidi="ar-SA"/>
              </w:rPr>
            </w:pPr>
            <w:r>
              <w:rPr>
                <w:rFonts w:hint="eastAsia" w:ascii="仿宋" w:hAnsi="仿宋" w:cs="仿宋"/>
                <w:color w:val="auto"/>
                <w:highlight w:val="none"/>
                <w:lang w:val="en-US" w:eastAsia="zh-CN"/>
              </w:rPr>
              <w:t>3</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开标一览表</w:t>
            </w:r>
          </w:p>
        </w:tc>
        <w:tc>
          <w:tcPr>
            <w:tcW w:w="3028" w:type="dxa"/>
            <w:noWrap w:val="0"/>
            <w:vAlign w:val="top"/>
          </w:tcPr>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noWrap w:val="0"/>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color w:val="auto"/>
                <w:kern w:val="2"/>
                <w:sz w:val="21"/>
                <w:szCs w:val="24"/>
                <w:highlight w:val="none"/>
                <w:lang w:val="en-US" w:eastAsia="zh-CN" w:bidi="ar-SA"/>
              </w:rPr>
            </w:pPr>
            <w:r>
              <w:rPr>
                <w:rFonts w:hint="eastAsia" w:ascii="仿宋" w:hAnsi="仿宋" w:cs="仿宋"/>
                <w:color w:val="auto"/>
                <w:highlight w:val="none"/>
                <w:lang w:val="en-US" w:eastAsia="zh-CN"/>
              </w:rPr>
              <w:t>4</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分项报价表</w:t>
            </w:r>
          </w:p>
        </w:tc>
        <w:tc>
          <w:tcPr>
            <w:tcW w:w="3028" w:type="dxa"/>
            <w:noWrap w:val="0"/>
            <w:vAlign w:val="top"/>
          </w:tcPr>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1.按给定格式填写，信息完整</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noWrap w:val="0"/>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color w:val="auto"/>
                <w:kern w:val="2"/>
                <w:sz w:val="21"/>
                <w:szCs w:val="24"/>
                <w:highlight w:val="none"/>
                <w:lang w:val="en-US" w:eastAsia="zh-CN" w:bidi="ar-SA"/>
              </w:rPr>
            </w:pPr>
            <w:r>
              <w:rPr>
                <w:rFonts w:hint="eastAsia" w:ascii="仿宋" w:hAnsi="仿宋" w:cs="仿宋"/>
                <w:color w:val="auto"/>
                <w:highlight w:val="none"/>
                <w:lang w:val="en-US" w:eastAsia="zh-CN"/>
              </w:rPr>
              <w:t>5</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技术规格偏离表</w:t>
            </w:r>
          </w:p>
        </w:tc>
        <w:tc>
          <w:tcPr>
            <w:tcW w:w="3028" w:type="dxa"/>
            <w:noWrap w:val="0"/>
            <w:vAlign w:val="top"/>
          </w:tcPr>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1.按给定格式及填表要求填写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noWrap w:val="0"/>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color w:val="auto"/>
                <w:kern w:val="2"/>
                <w:sz w:val="21"/>
                <w:szCs w:val="24"/>
                <w:highlight w:val="none"/>
                <w:lang w:val="en-US" w:eastAsia="zh-CN" w:bidi="ar-SA"/>
              </w:rPr>
            </w:pPr>
            <w:r>
              <w:rPr>
                <w:rFonts w:hint="eastAsia" w:ascii="仿宋" w:hAnsi="仿宋" w:cs="仿宋"/>
                <w:color w:val="auto"/>
                <w:highlight w:val="none"/>
                <w:lang w:val="en-US" w:eastAsia="zh-CN"/>
              </w:rPr>
              <w:t>6</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rPr>
              <w:t>商务条款偏离表</w:t>
            </w:r>
          </w:p>
        </w:tc>
        <w:tc>
          <w:tcPr>
            <w:tcW w:w="3028" w:type="dxa"/>
            <w:noWrap w:val="0"/>
            <w:vAlign w:val="top"/>
          </w:tcPr>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1.按给定格式及填表要求填写</w:t>
            </w:r>
          </w:p>
          <w:p>
            <w:pPr>
              <w:keepNext w:val="0"/>
              <w:keepLines w:val="0"/>
              <w:suppressLineNumbers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2.响应招标文件实质性要求</w:t>
            </w:r>
          </w:p>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3.按规定签章</w:t>
            </w:r>
          </w:p>
        </w:tc>
        <w:tc>
          <w:tcPr>
            <w:tcW w:w="1104"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53" w:type="dxa"/>
            <w:noWrap w:val="0"/>
            <w:vAlign w:val="center"/>
          </w:tcPr>
          <w:p>
            <w:pPr>
              <w:keepNext w:val="0"/>
              <w:keepLines w:val="0"/>
              <w:suppressLineNumbers w:val="0"/>
              <w:snapToGrid w:val="0"/>
              <w:spacing w:before="0" w:beforeAutospacing="0" w:after="0" w:afterAutospacing="0"/>
              <w:ind w:left="0" w:leftChars="0" w:right="0" w:rightChars="0"/>
              <w:jc w:val="center"/>
              <w:rPr>
                <w:rFonts w:hint="eastAsia" w:ascii="仿宋" w:hAnsi="仿宋" w:eastAsia="仿宋" w:cs="仿宋"/>
                <w:color w:val="auto"/>
                <w:kern w:val="2"/>
                <w:sz w:val="21"/>
                <w:szCs w:val="24"/>
                <w:highlight w:val="none"/>
                <w:lang w:val="en-US" w:eastAsia="zh-CN" w:bidi="ar-SA"/>
              </w:rPr>
            </w:pPr>
            <w:r>
              <w:rPr>
                <w:rFonts w:hint="eastAsia" w:ascii="仿宋" w:hAnsi="仿宋" w:cs="仿宋"/>
                <w:color w:val="auto"/>
                <w:highlight w:val="none"/>
                <w:lang w:val="en-US" w:eastAsia="zh-CN"/>
              </w:rPr>
              <w:t>7</w:t>
            </w:r>
          </w:p>
        </w:tc>
        <w:tc>
          <w:tcPr>
            <w:tcW w:w="2627" w:type="dxa"/>
            <w:noWrap w:val="0"/>
            <w:vAlign w:val="center"/>
          </w:tcPr>
          <w:p>
            <w:pPr>
              <w:keepNext w:val="0"/>
              <w:keepLines w:val="0"/>
              <w:suppressLineNumbers w:val="0"/>
              <w:spacing w:before="0" w:beforeAutospacing="0" w:after="0" w:afterAutospacing="0"/>
              <w:ind w:left="0" w:right="0"/>
              <w:rPr>
                <w:rFonts w:hint="eastAsia" w:ascii="仿宋" w:hAnsi="仿宋" w:cs="仿宋"/>
                <w:b/>
                <w:color w:val="auto"/>
                <w:szCs w:val="21"/>
                <w:highlight w:val="none"/>
              </w:rPr>
            </w:pPr>
            <w:r>
              <w:rPr>
                <w:rFonts w:hint="eastAsia" w:ascii="仿宋" w:hAnsi="仿宋" w:cs="仿宋"/>
                <w:color w:val="auto"/>
                <w:kern w:val="0"/>
                <w:szCs w:val="21"/>
                <w:highlight w:val="none"/>
                <w:lang w:eastAsia="zh-CN"/>
              </w:rPr>
              <w:t>供应商</w:t>
            </w:r>
            <w:r>
              <w:rPr>
                <w:rFonts w:hint="eastAsia" w:ascii="仿宋" w:hAnsi="仿宋" w:cs="仿宋"/>
                <w:color w:val="auto"/>
                <w:kern w:val="0"/>
                <w:szCs w:val="21"/>
                <w:highlight w:val="none"/>
              </w:rPr>
              <w:t>关联单位说明</w:t>
            </w:r>
          </w:p>
        </w:tc>
        <w:tc>
          <w:tcPr>
            <w:tcW w:w="3028" w:type="dxa"/>
            <w:noWrap w:val="0"/>
            <w:vAlign w:val="center"/>
          </w:tcPr>
          <w:p>
            <w:pPr>
              <w:pStyle w:val="5"/>
              <w:suppressLineNumbers w:val="0"/>
              <w:adjustRightInd w:val="0"/>
              <w:snapToGrid w:val="0"/>
              <w:spacing w:before="0" w:beforeAutospacing="0" w:after="0" w:afterAutospacing="0" w:line="240" w:lineRule="auto"/>
              <w:ind w:left="0" w:right="0"/>
              <w:jc w:val="both"/>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无投标须知1.5所述情形</w:t>
            </w:r>
          </w:p>
        </w:tc>
        <w:tc>
          <w:tcPr>
            <w:tcW w:w="1104"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53" w:type="dxa"/>
            <w:noWrap w:val="0"/>
            <w:vAlign w:val="center"/>
          </w:tcPr>
          <w:p>
            <w:pPr>
              <w:keepNext w:val="0"/>
              <w:keepLines w:val="0"/>
              <w:suppressLineNumbers w:val="0"/>
              <w:snapToGrid w:val="0"/>
              <w:spacing w:before="0" w:beforeAutospacing="0" w:after="0" w:afterAutospacing="0"/>
              <w:ind w:left="0" w:right="0"/>
              <w:jc w:val="center"/>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8</w:t>
            </w:r>
          </w:p>
        </w:tc>
        <w:tc>
          <w:tcPr>
            <w:tcW w:w="2627" w:type="dxa"/>
            <w:noWrap w:val="0"/>
            <w:vAlign w:val="center"/>
          </w:tcPr>
          <w:p>
            <w:pPr>
              <w:keepNext w:val="0"/>
              <w:keepLines w:val="0"/>
              <w:suppressLineNumbers w:val="0"/>
              <w:snapToGrid w:val="0"/>
              <w:spacing w:before="0" w:beforeAutospacing="0" w:after="0" w:afterAutospacing="0"/>
              <w:ind w:left="0" w:right="0"/>
              <w:jc w:val="left"/>
              <w:rPr>
                <w:rFonts w:hint="eastAsia" w:ascii="仿宋" w:hAnsi="仿宋" w:cs="仿宋"/>
                <w:color w:val="auto"/>
                <w:szCs w:val="21"/>
                <w:highlight w:val="none"/>
              </w:rPr>
            </w:pPr>
            <w:r>
              <w:rPr>
                <w:rFonts w:hint="eastAsia" w:ascii="仿宋" w:hAnsi="仿宋" w:cs="仿宋"/>
                <w:color w:val="auto"/>
                <w:szCs w:val="21"/>
                <w:highlight w:val="none"/>
              </w:rPr>
              <w:t>投标报价</w:t>
            </w:r>
          </w:p>
        </w:tc>
        <w:tc>
          <w:tcPr>
            <w:tcW w:w="3028" w:type="dxa"/>
            <w:noWrap w:val="0"/>
            <w:vAlign w:val="top"/>
          </w:tcPr>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1.响应招标文件实质性要求</w:t>
            </w:r>
          </w:p>
          <w:p>
            <w:pPr>
              <w:pStyle w:val="5"/>
              <w:suppressLineNumbers w:val="0"/>
              <w:adjustRightInd w:val="0"/>
              <w:snapToGrid w:val="0"/>
              <w:spacing w:before="0" w:beforeAutospacing="0" w:after="0" w:afterAutospacing="0" w:line="240" w:lineRule="auto"/>
              <w:ind w:left="0" w:right="0"/>
              <w:jc w:val="left"/>
              <w:outlineLvl w:val="1"/>
              <w:rPr>
                <w:rFonts w:hint="eastAsia" w:ascii="仿宋" w:hAnsi="仿宋" w:cs="仿宋"/>
                <w:b w:val="0"/>
                <w:color w:val="auto"/>
                <w:sz w:val="21"/>
                <w:szCs w:val="21"/>
                <w:highlight w:val="none"/>
              </w:rPr>
            </w:pPr>
            <w:r>
              <w:rPr>
                <w:rFonts w:hint="eastAsia" w:ascii="仿宋" w:hAnsi="仿宋" w:cs="仿宋"/>
                <w:b w:val="0"/>
                <w:color w:val="auto"/>
                <w:sz w:val="21"/>
                <w:szCs w:val="21"/>
                <w:highlight w:val="none"/>
              </w:rPr>
              <w:t>2.无投标须知26.2所述情形</w:t>
            </w:r>
          </w:p>
        </w:tc>
        <w:tc>
          <w:tcPr>
            <w:tcW w:w="1104"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53"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highlight w:val="none"/>
              </w:rPr>
            </w:pPr>
          </w:p>
        </w:tc>
        <w:tc>
          <w:tcPr>
            <w:tcW w:w="2627" w:type="dxa"/>
            <w:noWrap w:val="0"/>
            <w:vAlign w:val="center"/>
          </w:tcPr>
          <w:p>
            <w:pPr>
              <w:keepNext w:val="0"/>
              <w:keepLines w:val="0"/>
              <w:suppressLineNumbers w:val="0"/>
              <w:snapToGrid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结论</w:t>
            </w:r>
          </w:p>
        </w:tc>
        <w:tc>
          <w:tcPr>
            <w:tcW w:w="3028"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1104"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93"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c>
          <w:tcPr>
            <w:tcW w:w="919" w:type="dxa"/>
            <w:noWrap w:val="0"/>
            <w:vAlign w:val="top"/>
          </w:tcPr>
          <w:p>
            <w:pPr>
              <w:pStyle w:val="5"/>
              <w:suppressLineNumbers w:val="0"/>
              <w:adjustRightInd w:val="0"/>
              <w:snapToGrid w:val="0"/>
              <w:spacing w:before="0" w:beforeAutospacing="0" w:after="0" w:afterAutospacing="0" w:line="240" w:lineRule="auto"/>
              <w:ind w:left="0" w:right="0"/>
              <w:outlineLvl w:val="1"/>
              <w:rPr>
                <w:rFonts w:hint="eastAsia" w:ascii="仿宋" w:hAnsi="仿宋" w:cs="仿宋"/>
                <w:color w:val="auto"/>
                <w:sz w:val="21"/>
                <w:szCs w:val="21"/>
                <w:highlight w:val="none"/>
              </w:rPr>
            </w:pPr>
          </w:p>
        </w:tc>
      </w:tr>
    </w:tbl>
    <w:p>
      <w:pPr>
        <w:ind w:firstLine="323" w:firstLineChars="0"/>
        <w:rPr>
          <w:rFonts w:hint="eastAsia" w:ascii="仿宋" w:hAnsi="仿宋" w:cs="仿宋"/>
          <w:color w:val="auto"/>
          <w:highlight w:val="none"/>
        </w:rPr>
      </w:pPr>
    </w:p>
    <w:p>
      <w:pPr>
        <w:rPr>
          <w:rFonts w:hint="eastAsia" w:ascii="仿宋" w:hAnsi="仿宋" w:cs="仿宋"/>
          <w:color w:val="auto"/>
          <w:highlight w:val="none"/>
        </w:rPr>
      </w:pPr>
      <w:r>
        <w:rPr>
          <w:rFonts w:hint="eastAsia" w:ascii="仿宋" w:hAnsi="仿宋" w:cs="仿宋"/>
          <w:color w:val="auto"/>
          <w:highlight w:val="none"/>
        </w:rPr>
        <w:t>填表说明：1、每项内容审查合格，在表中填写“√”；不合格填写“×”</w:t>
      </w:r>
    </w:p>
    <w:p>
      <w:pPr>
        <w:rPr>
          <w:rFonts w:hint="eastAsia" w:ascii="仿宋" w:hAnsi="仿宋" w:cs="仿宋"/>
          <w:color w:val="auto"/>
          <w:highlight w:val="none"/>
        </w:rPr>
      </w:pPr>
      <w:r>
        <w:rPr>
          <w:rFonts w:hint="eastAsia" w:ascii="仿宋" w:hAnsi="仿宋" w:cs="仿宋"/>
          <w:color w:val="auto"/>
          <w:highlight w:val="none"/>
        </w:rPr>
        <w:t xml:space="preserve">          2、审查结论填写“通过”或“不通过”</w:t>
      </w:r>
    </w:p>
    <w:p>
      <w:pPr>
        <w:pStyle w:val="19"/>
        <w:widowControl w:val="0"/>
        <w:snapToGrid w:val="0"/>
        <w:spacing w:before="0" w:beforeAutospacing="0" w:after="0" w:afterAutospacing="0" w:line="480" w:lineRule="auto"/>
        <w:ind w:left="5880" w:hanging="5880" w:hangingChars="28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审查人签字： </w:t>
      </w:r>
    </w:p>
    <w:p>
      <w:pPr>
        <w:pStyle w:val="19"/>
        <w:widowControl w:val="0"/>
        <w:snapToGrid w:val="0"/>
        <w:spacing w:before="0" w:beforeAutospacing="0" w:after="0" w:afterAutospacing="0" w:line="480" w:lineRule="auto"/>
        <w:ind w:left="5880" w:hanging="5880" w:hangingChars="2800"/>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日      期：</w:t>
      </w:r>
      <w:r>
        <w:rPr>
          <w:rFonts w:hint="eastAsia" w:ascii="仿宋" w:hAnsi="仿宋" w:eastAsia="仿宋" w:cs="仿宋"/>
          <w:b/>
          <w:color w:val="auto"/>
          <w:sz w:val="21"/>
          <w:szCs w:val="21"/>
          <w:highlight w:val="none"/>
        </w:rPr>
        <w:t xml:space="preserve"> </w:t>
      </w:r>
    </w:p>
    <w:p>
      <w:pPr>
        <w:bidi w:val="0"/>
        <w:rPr>
          <w:rFonts w:hint="eastAsia"/>
          <w:color w:val="auto"/>
          <w:highlight w:val="none"/>
        </w:rPr>
      </w:pPr>
      <w:bookmarkStart w:id="129" w:name="_Toc17433_WPSOffice_Level2"/>
    </w:p>
    <w:p>
      <w:pPr>
        <w:rPr>
          <w:rFonts w:hint="eastAsia" w:ascii="仿宋" w:hAnsi="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p>
    <w:p>
      <w:pPr>
        <w:pStyle w:val="39"/>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adjustRightInd w:val="0"/>
        <w:snapToGrid w:val="0"/>
        <w:spacing w:before="0" w:after="0" w:line="240" w:lineRule="auto"/>
        <w:jc w:val="left"/>
        <w:rPr>
          <w:rFonts w:hint="eastAsia" w:ascii="仿宋" w:hAnsi="仿宋" w:cs="仿宋"/>
          <w:color w:val="auto"/>
          <w:sz w:val="32"/>
          <w:szCs w:val="32"/>
          <w:highlight w:val="none"/>
        </w:rPr>
      </w:pPr>
      <w:r>
        <w:rPr>
          <w:rFonts w:hint="eastAsia" w:ascii="仿宋" w:hAnsi="仿宋" w:cs="仿宋"/>
          <w:color w:val="auto"/>
          <w:szCs w:val="28"/>
          <w:highlight w:val="none"/>
        </w:rPr>
        <w:t xml:space="preserve">附件3                   </w:t>
      </w:r>
      <w:r>
        <w:rPr>
          <w:rFonts w:hint="eastAsia" w:ascii="仿宋" w:hAnsi="仿宋" w:cs="仿宋"/>
          <w:color w:val="auto"/>
          <w:sz w:val="32"/>
          <w:szCs w:val="32"/>
          <w:highlight w:val="none"/>
        </w:rPr>
        <w:t xml:space="preserve"> </w:t>
      </w:r>
    </w:p>
    <w:p>
      <w:pPr>
        <w:jc w:val="center"/>
        <w:rPr>
          <w:rFonts w:hint="eastAsia" w:ascii="仿宋" w:hAnsi="仿宋" w:cs="仿宋"/>
          <w:b/>
          <w:color w:val="auto"/>
          <w:sz w:val="32"/>
          <w:szCs w:val="32"/>
          <w:highlight w:val="none"/>
        </w:rPr>
      </w:pPr>
      <w:r>
        <w:rPr>
          <w:rFonts w:hint="eastAsia" w:ascii="仿宋" w:hAnsi="仿宋" w:cs="仿宋"/>
          <w:b/>
          <w:color w:val="auto"/>
          <w:sz w:val="32"/>
          <w:szCs w:val="32"/>
          <w:highlight w:val="none"/>
        </w:rPr>
        <w:t>评分细则</w:t>
      </w:r>
      <w:bookmarkEnd w:id="129"/>
    </w:p>
    <w:p>
      <w:pPr>
        <w:numPr>
          <w:ilvl w:val="0"/>
          <w:numId w:val="0"/>
        </w:numPr>
        <w:rPr>
          <w:rFonts w:hint="default" w:ascii="仿宋" w:hAnsi="仿宋" w:cs="仿宋"/>
          <w:b/>
          <w:color w:val="auto"/>
          <w:szCs w:val="21"/>
          <w:highlight w:val="none"/>
          <w:lang w:val="en-US" w:eastAsia="zh-CN"/>
        </w:rPr>
      </w:pPr>
      <w:r>
        <w:rPr>
          <w:rFonts w:hint="eastAsia" w:ascii="仿宋" w:hAnsi="仿宋" w:cs="仿宋"/>
          <w:b/>
          <w:color w:val="auto"/>
          <w:szCs w:val="21"/>
          <w:highlight w:val="none"/>
          <w:lang w:eastAsia="zh-CN"/>
        </w:rPr>
        <w:t>（</w:t>
      </w:r>
      <w:r>
        <w:rPr>
          <w:rFonts w:hint="eastAsia" w:ascii="仿宋" w:hAnsi="仿宋" w:cs="仿宋"/>
          <w:b/>
          <w:color w:val="auto"/>
          <w:szCs w:val="21"/>
          <w:highlight w:val="none"/>
          <w:lang w:val="en-US" w:eastAsia="zh-CN"/>
        </w:rPr>
        <w:t>一</w:t>
      </w:r>
      <w:r>
        <w:rPr>
          <w:rFonts w:hint="eastAsia" w:ascii="仿宋" w:hAnsi="仿宋" w:cs="仿宋"/>
          <w:b/>
          <w:color w:val="auto"/>
          <w:szCs w:val="21"/>
          <w:highlight w:val="none"/>
          <w:lang w:eastAsia="zh-CN"/>
        </w:rPr>
        <w:t>）</w:t>
      </w:r>
      <w:r>
        <w:rPr>
          <w:rFonts w:hint="eastAsia" w:ascii="仿宋" w:hAnsi="仿宋" w:cs="仿宋"/>
          <w:b/>
          <w:color w:val="auto"/>
          <w:szCs w:val="21"/>
          <w:highlight w:val="none"/>
          <w:lang w:val="en-US" w:eastAsia="zh-CN"/>
        </w:rPr>
        <w:t>基本评分标准</w:t>
      </w:r>
    </w:p>
    <w:tbl>
      <w:tblPr>
        <w:tblStyle w:val="23"/>
        <w:tblW w:w="54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1152"/>
        <w:gridCol w:w="6099"/>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blHeader/>
        </w:trPr>
        <w:tc>
          <w:tcPr>
            <w:tcW w:w="64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包号</w:t>
            </w:r>
          </w:p>
        </w:tc>
        <w:tc>
          <w:tcPr>
            <w:tcW w:w="3945" w:type="pct"/>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仿宋" w:hAnsi="仿宋" w:cs="Lucida Sans Unicode"/>
                <w:color w:val="auto"/>
                <w:szCs w:val="21"/>
                <w:highlight w:val="none"/>
                <w:lang w:val="en-US" w:eastAsia="zh-CN"/>
              </w:rPr>
              <w:t>001、008包</w:t>
            </w:r>
            <w:r>
              <w:rPr>
                <w:rFonts w:hint="eastAsia" w:ascii="仿宋" w:hAnsi="仿宋" w:cs="Lucida Sans Unicode"/>
                <w:color w:val="auto"/>
                <w:szCs w:val="21"/>
                <w:highlight w:val="none"/>
              </w:rPr>
              <w:t>（</w:t>
            </w:r>
            <w:r>
              <w:rPr>
                <w:rFonts w:hint="eastAsia" w:ascii="仿宋" w:hAnsi="仿宋" w:cs="仿宋"/>
                <w:color w:val="auto"/>
                <w:szCs w:val="21"/>
                <w:highlight w:val="none"/>
              </w:rPr>
              <w:t>●</w:t>
            </w:r>
            <w:r>
              <w:rPr>
                <w:rFonts w:hint="eastAsia" w:ascii="仿宋" w:hAnsi="仿宋" w:cs="Lucida Sans Unicode"/>
                <w:color w:val="auto"/>
                <w:szCs w:val="21"/>
                <w:highlight w:val="none"/>
                <w:lang w:val="en-US" w:eastAsia="zh-CN"/>
              </w:rPr>
              <w:t>40</w:t>
            </w:r>
            <w:r>
              <w:rPr>
                <w:rFonts w:hint="eastAsia" w:ascii="仿宋" w:hAnsi="仿宋" w:cs="Lucida Sans Unicode"/>
                <w:color w:val="auto"/>
                <w:szCs w:val="21"/>
                <w:highlight w:val="none"/>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blHeader/>
        </w:trPr>
        <w:tc>
          <w:tcPr>
            <w:tcW w:w="64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项目</w:t>
            </w: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分项名称</w:t>
            </w:r>
          </w:p>
        </w:tc>
        <w:tc>
          <w:tcPr>
            <w:tcW w:w="3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评分标准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价格部分</w:t>
            </w: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报价</w:t>
            </w:r>
          </w:p>
        </w:tc>
        <w:tc>
          <w:tcPr>
            <w:tcW w:w="3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rPr>
                <w:rFonts w:hint="default" w:ascii="宋体" w:hAnsi="宋体" w:cs="仿宋"/>
                <w:color w:val="auto"/>
                <w:szCs w:val="21"/>
                <w:highlight w:val="none"/>
              </w:rPr>
            </w:pPr>
            <w:r>
              <w:rPr>
                <w:rFonts w:hint="eastAsia" w:ascii="宋体" w:hAnsi="宋体" w:cs="仿宋"/>
                <w:color w:val="auto"/>
                <w:szCs w:val="21"/>
                <w:highlight w:val="none"/>
              </w:rPr>
              <w:t>计算公式为：(Cmin/C)*30。其中，Cmin为所有有效</w:t>
            </w:r>
            <w:r>
              <w:rPr>
                <w:rFonts w:hint="eastAsia" w:ascii="宋体" w:hAnsi="宋体" w:cs="仿宋"/>
                <w:color w:val="auto"/>
                <w:szCs w:val="21"/>
                <w:highlight w:val="none"/>
                <w:lang w:eastAsia="zh-CN"/>
              </w:rPr>
              <w:t>供应商</w:t>
            </w:r>
            <w:r>
              <w:rPr>
                <w:rFonts w:hint="eastAsia" w:ascii="宋体" w:hAnsi="宋体" w:cs="仿宋"/>
                <w:color w:val="auto"/>
                <w:szCs w:val="21"/>
                <w:highlight w:val="none"/>
              </w:rPr>
              <w:t>中的最低投标价格，C为</w:t>
            </w:r>
            <w:r>
              <w:rPr>
                <w:rFonts w:hint="eastAsia" w:ascii="宋体" w:hAnsi="宋体" w:cs="仿宋"/>
                <w:color w:val="auto"/>
                <w:szCs w:val="21"/>
                <w:highlight w:val="none"/>
                <w:lang w:eastAsia="zh-CN"/>
              </w:rPr>
              <w:t>供应商</w:t>
            </w:r>
            <w:r>
              <w:rPr>
                <w:rFonts w:hint="eastAsia" w:ascii="宋体" w:hAnsi="宋体" w:cs="仿宋"/>
                <w:color w:val="auto"/>
                <w:szCs w:val="21"/>
                <w:highlight w:val="none"/>
              </w:rPr>
              <w:t>的投标价格。（得分按四舍五入的方式保留小数点后二位）</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restar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技术部分</w:t>
            </w: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技术点对点响应</w:t>
            </w:r>
          </w:p>
        </w:tc>
        <w:tc>
          <w:tcPr>
            <w:tcW w:w="30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default" w:ascii="宋体" w:hAnsi="宋体" w:cs="仿宋"/>
                <w:color w:val="auto"/>
                <w:szCs w:val="21"/>
                <w:highlight w:val="none"/>
              </w:rPr>
            </w:pPr>
            <w:r>
              <w:rPr>
                <w:rFonts w:hint="eastAsia" w:ascii="宋体" w:hAnsi="宋体" w:cs="仿宋"/>
                <w:color w:val="auto"/>
                <w:szCs w:val="21"/>
                <w:highlight w:val="none"/>
              </w:rPr>
              <w:t>技术规格偏离表中★标注项不允许负偏离，如果负偏离，则投标文件按无效处理。●标注项共</w:t>
            </w:r>
            <w:r>
              <w:rPr>
                <w:rFonts w:hint="eastAsia" w:ascii="宋体" w:hAnsi="宋体" w:cs="仿宋"/>
                <w:color w:val="auto"/>
                <w:szCs w:val="21"/>
                <w:highlight w:val="none"/>
                <w:lang w:val="en-US" w:eastAsia="zh-CN"/>
              </w:rPr>
              <w:t>4</w:t>
            </w:r>
            <w:r>
              <w:rPr>
                <w:rFonts w:hint="eastAsia" w:ascii="宋体" w:hAnsi="宋体" w:cs="仿宋"/>
                <w:color w:val="auto"/>
                <w:szCs w:val="21"/>
                <w:highlight w:val="none"/>
              </w:rPr>
              <w:t>0项，每负偏离一项基础分扣</w:t>
            </w:r>
            <w:r>
              <w:rPr>
                <w:rFonts w:hint="eastAsia" w:ascii="宋体" w:hAnsi="宋体" w:cs="仿宋"/>
                <w:color w:val="auto"/>
                <w:szCs w:val="21"/>
                <w:highlight w:val="none"/>
                <w:lang w:val="en-US" w:eastAsia="zh-CN"/>
              </w:rPr>
              <w:t>1</w:t>
            </w:r>
            <w:r>
              <w:rPr>
                <w:rFonts w:hint="eastAsia" w:ascii="宋体" w:hAnsi="宋体" w:cs="仿宋"/>
                <w:color w:val="auto"/>
                <w:szCs w:val="21"/>
                <w:highlight w:val="none"/>
              </w:rPr>
              <w:t>分，基础分满分为40分。</w:t>
            </w:r>
            <w:r>
              <w:rPr>
                <w:rFonts w:hint="eastAsia" w:ascii="宋体" w:hAnsi="宋体" w:cs="仿宋"/>
                <w:b/>
                <w:bCs/>
                <w:color w:val="auto"/>
                <w:szCs w:val="21"/>
                <w:highlight w:val="none"/>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vMerge w:val="continue"/>
            <w:tcBorders>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仿宋" w:hAnsi="仿宋" w:cs="Times New Roman"/>
                <w:color w:val="auto"/>
                <w:szCs w:val="21"/>
                <w:highlight w:val="none"/>
              </w:rPr>
            </w:pPr>
            <w:r>
              <w:rPr>
                <w:rFonts w:hint="eastAsia" w:ascii="仿宋" w:hAnsi="仿宋" w:cs="Times New Roman"/>
                <w:color w:val="auto"/>
                <w:szCs w:val="21"/>
                <w:highlight w:val="none"/>
                <w:lang w:val="en-US" w:eastAsia="zh-CN"/>
              </w:rPr>
              <w:t>样品</w:t>
            </w:r>
            <w:r>
              <w:rPr>
                <w:rFonts w:hint="eastAsia" w:ascii="仿宋" w:hAnsi="仿宋" w:cs="Times New Roman"/>
                <w:color w:val="auto"/>
                <w:szCs w:val="21"/>
                <w:highlight w:val="none"/>
              </w:rPr>
              <w:t>评测</w:t>
            </w:r>
          </w:p>
        </w:tc>
        <w:tc>
          <w:tcPr>
            <w:tcW w:w="60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eastAsia" w:ascii="仿宋" w:hAnsi="仿宋" w:cs="Times New Roman"/>
                <w:color w:val="auto"/>
                <w:szCs w:val="21"/>
                <w:highlight w:val="none"/>
              </w:rPr>
            </w:pPr>
            <w:r>
              <w:rPr>
                <w:rFonts w:hint="eastAsia" w:ascii="仿宋" w:hAnsi="仿宋" w:cs="Times New Roman"/>
                <w:color w:val="auto"/>
                <w:szCs w:val="21"/>
                <w:highlight w:val="none"/>
              </w:rPr>
              <w:t>1、产品视频包含本包组全部产品，得2分；产品视频不全或部分无法播放，得1分；没有产品视频或全部无法播放，得0分。</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仿宋" w:hAnsi="仿宋" w:cs="Times New Roman"/>
                <w:color w:val="auto"/>
                <w:szCs w:val="21"/>
                <w:highlight w:val="none"/>
              </w:rPr>
            </w:pPr>
            <w:r>
              <w:rPr>
                <w:rFonts w:hint="eastAsia" w:ascii="仿宋" w:hAnsi="仿宋" w:cs="Times New Roman"/>
                <w:color w:val="auto"/>
                <w:szCs w:val="21"/>
                <w:highlight w:val="none"/>
              </w:rPr>
              <w:t>2、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主要部件加工工艺、部件连接结构、连接方式进行综合评审，每有1处不完善扣 2分，满分8分，扣完为止。样品、视频不带或少带，此项得0分。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restar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商务部分</w:t>
            </w:r>
          </w:p>
        </w:tc>
        <w:tc>
          <w:tcPr>
            <w:tcW w:w="568" w:type="pc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仿宋" w:hAnsi="仿宋" w:cs="Times New Roman"/>
                <w:color w:val="auto"/>
                <w:szCs w:val="21"/>
                <w:highlight w:val="none"/>
              </w:rPr>
              <w:t>业绩情况</w:t>
            </w:r>
          </w:p>
        </w:tc>
        <w:tc>
          <w:tcPr>
            <w:tcW w:w="300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default" w:ascii="宋体" w:hAnsi="宋体" w:cs="仿宋"/>
                <w:color w:val="auto"/>
                <w:szCs w:val="21"/>
                <w:highlight w:val="none"/>
              </w:rPr>
              <w:t>供应商提供所投类似项目销售业绩（2021年1月1日至今，以签订合同时间为准），每有1个业绩得1分，最多得3分。供应商须提供每份业绩的中标通知书、合同关键页、对应的发票及验收证明的复印件并加盖供应商公章，未提供或提供不全不得分。</w:t>
            </w:r>
          </w:p>
        </w:tc>
        <w:tc>
          <w:tcPr>
            <w:tcW w:w="369" w:type="pc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仿宋" w:hAnsi="仿宋" w:cs="Arial"/>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42" w:type="pct"/>
            <w:vMerge w:val="continue"/>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宋体" w:hAnsi="宋体" w:cs="仿宋"/>
                <w:color w:val="auto"/>
                <w:szCs w:val="21"/>
                <w:highlight w:val="none"/>
              </w:rPr>
            </w:pPr>
          </w:p>
        </w:tc>
        <w:tc>
          <w:tcPr>
            <w:tcW w:w="568" w:type="pc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仿宋" w:hAnsi="仿宋" w:cs="Times New Roman"/>
                <w:color w:val="auto"/>
                <w:szCs w:val="21"/>
                <w:highlight w:val="none"/>
              </w:rPr>
            </w:pPr>
            <w:r>
              <w:rPr>
                <w:rFonts w:hint="eastAsia" w:ascii="仿宋" w:hAnsi="仿宋" w:cs="仿宋"/>
                <w:color w:val="auto"/>
                <w:szCs w:val="21"/>
                <w:highlight w:val="none"/>
              </w:rPr>
              <w:t>体系认证</w:t>
            </w:r>
          </w:p>
        </w:tc>
        <w:tc>
          <w:tcPr>
            <w:tcW w:w="300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eastAsia" w:ascii="仿宋" w:hAnsi="仿宋" w:cs="Times New Roman"/>
                <w:color w:val="auto"/>
                <w:szCs w:val="21"/>
                <w:highlight w:val="none"/>
              </w:rPr>
            </w:pPr>
            <w:r>
              <w:rPr>
                <w:rFonts w:hint="eastAsia" w:ascii="仿宋" w:hAnsi="仿宋" w:cs="华文仿宋"/>
                <w:color w:val="auto"/>
                <w:szCs w:val="21"/>
                <w:highlight w:val="none"/>
                <w:lang w:eastAsia="zh-CN"/>
              </w:rPr>
              <w:t>供应商</w:t>
            </w:r>
            <w:r>
              <w:rPr>
                <w:rFonts w:hint="eastAsia" w:ascii="仿宋" w:hAnsi="仿宋" w:cs="华文仿宋"/>
                <w:color w:val="auto"/>
                <w:szCs w:val="21"/>
                <w:highlight w:val="none"/>
              </w:rPr>
              <w:t>所投产品</w:t>
            </w:r>
            <w:r>
              <w:rPr>
                <w:rFonts w:hint="eastAsia" w:ascii="仿宋" w:hAnsi="仿宋" w:cs="华文仿宋"/>
                <w:color w:val="auto"/>
                <w:szCs w:val="21"/>
                <w:highlight w:val="none"/>
                <w:lang w:eastAsia="zh-CN"/>
              </w:rPr>
              <w:t>（</w:t>
            </w:r>
            <w:r>
              <w:rPr>
                <w:rFonts w:hint="eastAsia" w:ascii="仿宋" w:hAnsi="仿宋" w:cs="华文仿宋"/>
                <w:color w:val="auto"/>
                <w:szCs w:val="21"/>
                <w:highlight w:val="none"/>
                <w:lang w:val="en-US" w:eastAsia="zh-CN"/>
              </w:rPr>
              <w:t>核心产品）</w:t>
            </w:r>
            <w:r>
              <w:rPr>
                <w:rFonts w:hint="eastAsia" w:ascii="仿宋" w:hAnsi="仿宋" w:cs="华文仿宋"/>
                <w:color w:val="auto"/>
                <w:szCs w:val="21"/>
                <w:highlight w:val="none"/>
              </w:rPr>
              <w:t>生产厂家具有有效期内的环境管理体系认证、职业健康安全管理体系认证、质量体系认证的，提供全部三种认证证书得2分，未提供或提供不全的不得分；</w:t>
            </w:r>
            <w:r>
              <w:rPr>
                <w:rFonts w:hint="eastAsia" w:ascii="Calibri" w:hAnsi="Calibri" w:cs="Times New Roman"/>
                <w:color w:val="auto"/>
                <w:highlight w:val="none"/>
              </w:rPr>
              <w:t>（投标文件内提供认证证书复印件加盖公章）。</w:t>
            </w:r>
          </w:p>
        </w:tc>
        <w:tc>
          <w:tcPr>
            <w:tcW w:w="369" w:type="pct"/>
            <w:tcBorders>
              <w:top w:val="single" w:color="auto" w:sz="4" w:space="0"/>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仿宋" w:hAnsi="仿宋" w:cs="Arial"/>
                <w:color w:val="auto"/>
                <w:szCs w:val="21"/>
                <w:highlight w:val="none"/>
              </w:rPr>
            </w:pPr>
            <w:r>
              <w:rPr>
                <w:rFonts w:hint="eastAsia" w:ascii="仿宋" w:hAnsi="仿宋" w:cs="Arial"/>
                <w:color w:val="auto"/>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noWrap w:val="0"/>
            <w:vAlign w:val="center"/>
          </w:tcPr>
          <w:p>
            <w:pPr>
              <w:keepNext w:val="0"/>
              <w:keepLines w:val="0"/>
              <w:suppressLineNumbers w:val="0"/>
              <w:tabs>
                <w:tab w:val="left" w:pos="709"/>
              </w:tabs>
              <w:adjustRightInd w:val="0"/>
              <w:snapToGrid w:val="0"/>
              <w:spacing w:before="0" w:beforeAutospacing="0" w:after="0" w:afterAutospacing="0"/>
              <w:ind w:left="709" w:right="0" w:hanging="709"/>
              <w:textAlignment w:val="baseline"/>
              <w:rPr>
                <w:rFonts w:hint="default" w:ascii="宋体" w:hAnsi="宋体" w:cs="仿宋"/>
                <w:color w:val="auto"/>
                <w:szCs w:val="21"/>
                <w:highlight w:val="none"/>
              </w:rPr>
            </w:pP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仿宋"/>
                <w:color w:val="auto"/>
                <w:szCs w:val="21"/>
                <w:highlight w:val="none"/>
              </w:rPr>
            </w:pPr>
            <w:r>
              <w:rPr>
                <w:rFonts w:hint="eastAsia" w:ascii="宋体" w:hAnsi="宋体" w:cs="仿宋"/>
                <w:color w:val="auto"/>
                <w:szCs w:val="21"/>
                <w:highlight w:val="none"/>
              </w:rPr>
              <w:t>供货方案</w:t>
            </w:r>
          </w:p>
        </w:tc>
        <w:tc>
          <w:tcPr>
            <w:tcW w:w="300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一、供货方案内容包含但不限于调试（安装）、验收、货物运输安全方面、项目实施进度计划、供货期保障措施等内容。</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（1）供货方案全面完整包含上述方案全部内容，针对本项目增加采购单位未提供需求而</w:t>
            </w:r>
            <w:r>
              <w:rPr>
                <w:rFonts w:hint="eastAsia" w:ascii="Calibri" w:hAnsi="Calibri" w:cs="Times New Roman"/>
                <w:color w:val="auto"/>
                <w:highlight w:val="none"/>
                <w:lang w:eastAsia="zh-CN"/>
              </w:rPr>
              <w:t>供应商</w:t>
            </w:r>
            <w:r>
              <w:rPr>
                <w:rFonts w:hint="eastAsia" w:ascii="Calibri" w:hAnsi="Calibri" w:cs="Times New Roman"/>
                <w:color w:val="auto"/>
                <w:highlight w:val="none"/>
              </w:rPr>
              <w:t>认为需说明及补充的其他供货方案内容且合理，全面响应项目实际需求；调试（安装）、验收、货物运输安全方面等内容科学合理，项目实施进度计划、供货期保障措施贴合实际并且具有很高的可操作性得3分。</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（2）供货方案较为完整包含上述方案全部内容，响应项目实际需求；调试（安装）、验收、货物运输安全方面等内容较为合理；项目实施进度计划、供货期保障措施具有可操作性得2分。</w:t>
            </w:r>
          </w:p>
          <w:p>
            <w:pPr>
              <w:keepNext w:val="0"/>
              <w:keepLines w:val="0"/>
              <w:suppressLineNumbers w:val="0"/>
              <w:spacing w:before="0" w:beforeAutospacing="0" w:after="0" w:afterAutospacing="0"/>
              <w:ind w:left="0" w:right="0"/>
              <w:jc w:val="left"/>
              <w:rPr>
                <w:rFonts w:hint="eastAsia" w:ascii="Times New Roman" w:hAnsi="Times New Roman" w:cs="Times New Roman"/>
                <w:color w:val="auto"/>
                <w:highlight w:val="none"/>
              </w:rPr>
            </w:pPr>
            <w:r>
              <w:rPr>
                <w:rFonts w:hint="eastAsia" w:ascii="Calibri" w:hAnsi="Calibri" w:cs="Times New Roman"/>
                <w:color w:val="auto"/>
                <w:highlight w:val="none"/>
              </w:rPr>
              <w:t>（3）供货方案不完整，基本响应项目实际需求；相关方案内容缺乏合理</w:t>
            </w:r>
            <w:r>
              <w:rPr>
                <w:rFonts w:hint="eastAsia" w:ascii="Times New Roman" w:hAnsi="Times New Roman" w:cs="Times New Roman"/>
                <w:color w:val="auto"/>
                <w:highlight w:val="none"/>
              </w:rPr>
              <w:t>性，实际操作存在一定难度得1分。</w:t>
            </w:r>
          </w:p>
          <w:p>
            <w:pPr>
              <w:keepNext w:val="0"/>
              <w:keepLines w:val="0"/>
              <w:suppressLineNumbers w:val="0"/>
              <w:spacing w:before="0" w:beforeAutospacing="0" w:after="0" w:afterAutospacing="0"/>
              <w:ind w:left="0" w:right="0"/>
              <w:jc w:val="left"/>
              <w:rPr>
                <w:rFonts w:hint="eastAsia" w:ascii="Times New Roman" w:hAnsi="Times New Roman" w:cs="Times New Roman"/>
                <w:color w:val="auto"/>
                <w:highlight w:val="none"/>
              </w:rPr>
            </w:pPr>
            <w:r>
              <w:rPr>
                <w:rFonts w:hint="eastAsia" w:ascii="Times New Roman" w:hAnsi="Times New Roman" w:cs="Times New Roman"/>
                <w:color w:val="auto"/>
                <w:highlight w:val="none"/>
              </w:rPr>
              <w:t>（4）未提供供货方案或提供方案相关内容不实的、与实际情况不符、或未能满足项目实际需求的0分。</w:t>
            </w:r>
          </w:p>
          <w:p>
            <w:pPr>
              <w:keepNext w:val="0"/>
              <w:keepLines w:val="0"/>
              <w:suppressLineNumbers w:val="0"/>
              <w:spacing w:before="0" w:beforeAutospacing="0" w:after="0" w:afterAutospacing="0"/>
              <w:ind w:left="0" w:right="0"/>
              <w:jc w:val="left"/>
              <w:rPr>
                <w:rFonts w:hint="eastAsia" w:ascii="Calibri" w:hAnsi="Calibri" w:eastAsia="宋体" w:cs="Times New Roman"/>
                <w:color w:val="auto"/>
                <w:highlight w:val="none"/>
              </w:rPr>
            </w:pPr>
            <w:r>
              <w:rPr>
                <w:rFonts w:hint="eastAsia" w:ascii="Times New Roman" w:hAnsi="Times New Roman" w:cs="Times New Roman"/>
                <w:color w:val="auto"/>
                <w:highlight w:val="none"/>
              </w:rPr>
              <w:t>二、</w:t>
            </w:r>
            <w:r>
              <w:rPr>
                <w:rFonts w:hint="eastAsia" w:ascii="Times New Roman" w:hAnsi="Times New Roman" w:cs="Times New Roman"/>
                <w:color w:val="auto"/>
                <w:highlight w:val="none"/>
                <w:lang w:eastAsia="zh-CN"/>
              </w:rPr>
              <w:t>供应商</w:t>
            </w:r>
            <w:r>
              <w:rPr>
                <w:rFonts w:hint="eastAsia" w:ascii="Times New Roman" w:hAnsi="Times New Roman" w:cs="Times New Roman"/>
                <w:color w:val="auto"/>
                <w:highlight w:val="none"/>
              </w:rPr>
              <w:t xml:space="preserve">在交货期 </w:t>
            </w:r>
            <w:r>
              <w:rPr>
                <w:rFonts w:hint="eastAsia" w:cs="Times New Roman"/>
                <w:color w:val="auto"/>
                <w:highlight w:val="none"/>
                <w:lang w:val="en-US" w:eastAsia="zh-CN"/>
              </w:rPr>
              <w:t>60</w:t>
            </w:r>
            <w:r>
              <w:rPr>
                <w:rFonts w:hint="eastAsia" w:ascii="Times New Roman" w:hAnsi="Times New Roman" w:cs="Times New Roman"/>
                <w:color w:val="auto"/>
                <w:highlight w:val="none"/>
              </w:rPr>
              <w:t>天的基础上，每提前</w:t>
            </w:r>
            <w:r>
              <w:rPr>
                <w:rFonts w:hint="eastAsia" w:cs="Times New Roman"/>
                <w:color w:val="auto"/>
                <w:highlight w:val="none"/>
                <w:lang w:val="en-US" w:eastAsia="zh-CN"/>
              </w:rPr>
              <w:t>10</w:t>
            </w:r>
            <w:r>
              <w:rPr>
                <w:rFonts w:hint="eastAsia" w:ascii="Times New Roman" w:hAnsi="Times New Roman" w:cs="Times New Roman"/>
                <w:color w:val="auto"/>
                <w:highlight w:val="none"/>
              </w:rPr>
              <w:t>天交货得1分，最高得2分，提供承诺函并加盖</w:t>
            </w:r>
            <w:r>
              <w:rPr>
                <w:rFonts w:hint="eastAsia" w:ascii="Times New Roman" w:hAnsi="Times New Roman" w:cs="Times New Roman"/>
                <w:color w:val="auto"/>
                <w:highlight w:val="none"/>
                <w:lang w:eastAsia="zh-CN"/>
              </w:rPr>
              <w:t>供应商</w:t>
            </w:r>
            <w:r>
              <w:rPr>
                <w:rFonts w:hint="eastAsia" w:ascii="Times New Roman" w:hAnsi="Times New Roman" w:cs="Times New Roman"/>
                <w:color w:val="auto"/>
                <w:highlight w:val="none"/>
              </w:rPr>
              <w:t>公章，未提供不得分。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宋体" w:hAnsi="宋体" w:cs="仿宋"/>
                <w:color w:val="auto"/>
                <w:szCs w:val="21"/>
                <w:highlight w:val="none"/>
              </w:rPr>
            </w:pPr>
            <w:r>
              <w:rPr>
                <w:rFonts w:hint="eastAsia" w:ascii="宋体" w:hAnsi="宋体" w:cs="仿宋"/>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noWrap w:val="0"/>
            <w:vAlign w:val="center"/>
          </w:tcPr>
          <w:p>
            <w:pPr>
              <w:keepNext w:val="0"/>
              <w:keepLines w:val="0"/>
              <w:suppressLineNumbers w:val="0"/>
              <w:tabs>
                <w:tab w:val="left" w:pos="709"/>
              </w:tabs>
              <w:adjustRightInd w:val="0"/>
              <w:snapToGrid w:val="0"/>
              <w:spacing w:before="0" w:beforeAutospacing="0" w:after="0" w:afterAutospacing="0"/>
              <w:ind w:left="709" w:right="0" w:hanging="709"/>
              <w:textAlignment w:val="baseline"/>
              <w:rPr>
                <w:rFonts w:hint="default" w:ascii="宋体" w:hAnsi="宋体" w:cs="仿宋"/>
                <w:color w:val="auto"/>
                <w:szCs w:val="21"/>
                <w:highlight w:val="none"/>
              </w:rPr>
            </w:pP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仿宋"/>
                <w:color w:val="auto"/>
                <w:szCs w:val="21"/>
                <w:highlight w:val="none"/>
              </w:rPr>
            </w:pPr>
            <w:r>
              <w:rPr>
                <w:rFonts w:hint="eastAsia" w:ascii="宋体" w:hAnsi="宋体" w:cs="仿宋"/>
                <w:color w:val="auto"/>
                <w:szCs w:val="21"/>
                <w:highlight w:val="none"/>
              </w:rPr>
              <w:t>产品质量控制保障措施</w:t>
            </w:r>
          </w:p>
        </w:tc>
        <w:tc>
          <w:tcPr>
            <w:tcW w:w="300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产品质量控制保障措施内容包含但不限于产品质量检查、检查人员配备、检测设备配备、检查流程、质量控制管理制度等内容。</w:t>
            </w:r>
          </w:p>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（1）产品质量控制保障措施全面完整包含上述方案全部内容，针对本项目增加采购单位未提供需求而</w:t>
            </w:r>
            <w:r>
              <w:rPr>
                <w:rFonts w:hint="eastAsia" w:ascii="宋体" w:hAnsi="宋体" w:cs="仿宋"/>
                <w:color w:val="auto"/>
                <w:szCs w:val="21"/>
                <w:highlight w:val="none"/>
                <w:lang w:eastAsia="zh-CN"/>
              </w:rPr>
              <w:t>供应商</w:t>
            </w:r>
            <w:r>
              <w:rPr>
                <w:rFonts w:hint="eastAsia" w:ascii="宋体" w:hAnsi="宋体" w:cs="仿宋"/>
                <w:color w:val="auto"/>
                <w:szCs w:val="21"/>
                <w:highlight w:val="none"/>
              </w:rPr>
              <w:t>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3分。</w:t>
            </w:r>
          </w:p>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2分。</w:t>
            </w:r>
          </w:p>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（3）产品质量控制保障措施不完整，基本响应项目实际需求；相关方案内容缺乏合理性，检查人员及检测设备配备不齐全，实际操作存在一定难度得1分。</w:t>
            </w:r>
          </w:p>
          <w:p>
            <w:pPr>
              <w:keepNext w:val="0"/>
              <w:keepLines w:val="0"/>
              <w:suppressLineNumbers w:val="0"/>
              <w:spacing w:before="0" w:beforeAutospacing="0" w:after="0" w:afterAutospacing="0"/>
              <w:ind w:left="0" w:right="0"/>
              <w:jc w:val="left"/>
              <w:rPr>
                <w:rFonts w:hint="default" w:ascii="宋体" w:hAnsi="宋体" w:cs="仿宋"/>
                <w:color w:val="auto"/>
                <w:szCs w:val="21"/>
                <w:highlight w:val="none"/>
              </w:rPr>
            </w:pPr>
            <w:r>
              <w:rPr>
                <w:rFonts w:hint="eastAsia" w:ascii="宋体" w:hAnsi="宋体" w:cs="仿宋"/>
                <w:color w:val="auto"/>
                <w:szCs w:val="21"/>
                <w:highlight w:val="none"/>
              </w:rPr>
              <w:t>（4）未提供产品质量控制保障措施或提供措施相关内容不实的、与实际情况不符、或未能满足项目实际需求的0分。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eastAsia" w:ascii="宋体" w:hAnsi="宋体" w:cs="仿宋"/>
                <w:color w:val="auto"/>
                <w:szCs w:val="21"/>
                <w:highlight w:val="none"/>
              </w:rPr>
            </w:pPr>
            <w:r>
              <w:rPr>
                <w:rFonts w:hint="eastAsia" w:ascii="宋体" w:hAnsi="宋体" w:cs="仿宋"/>
                <w:color w:val="auto"/>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2" w:type="pct"/>
            <w:vMerge w:val="continue"/>
            <w:tcBorders>
              <w:left w:val="single" w:color="auto" w:sz="4" w:space="0"/>
              <w:right w:val="single" w:color="auto" w:sz="4" w:space="0"/>
            </w:tcBorders>
            <w:noWrap w:val="0"/>
            <w:vAlign w:val="center"/>
          </w:tcPr>
          <w:p>
            <w:pPr>
              <w:keepNext w:val="0"/>
              <w:keepLines w:val="0"/>
              <w:suppressLineNumbers w:val="0"/>
              <w:tabs>
                <w:tab w:val="left" w:pos="709"/>
              </w:tabs>
              <w:adjustRightInd w:val="0"/>
              <w:snapToGrid w:val="0"/>
              <w:spacing w:before="0" w:beforeAutospacing="0" w:after="0" w:afterAutospacing="0"/>
              <w:ind w:left="709" w:right="0" w:hanging="709"/>
              <w:textAlignment w:val="baseline"/>
              <w:rPr>
                <w:rFonts w:hint="default" w:ascii="宋体" w:hAnsi="宋体" w:cs="仿宋"/>
                <w:color w:val="auto"/>
                <w:szCs w:val="21"/>
                <w:highlight w:val="none"/>
              </w:rPr>
            </w:pPr>
          </w:p>
        </w:tc>
        <w:tc>
          <w:tcPr>
            <w:tcW w:w="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仿宋"/>
                <w:color w:val="auto"/>
                <w:szCs w:val="21"/>
                <w:highlight w:val="none"/>
              </w:rPr>
            </w:pPr>
            <w:r>
              <w:rPr>
                <w:rFonts w:hint="eastAsia" w:ascii="宋体" w:hAnsi="宋体" w:cs="仿宋"/>
                <w:color w:val="auto"/>
                <w:szCs w:val="21"/>
                <w:highlight w:val="none"/>
              </w:rPr>
              <w:t>售后服务方案</w:t>
            </w:r>
          </w:p>
        </w:tc>
        <w:tc>
          <w:tcPr>
            <w:tcW w:w="6099" w:type="dxa"/>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一、售后服务方案内容包含但不限于服务人员配备、人员岗位职责、服务响应时间、售后服务人员的管理制度、常用备品备件的准备、巡检巡修的方式、频率、巡检保养情况档案记录整理、产品技术培训等内容。</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（1）售后服务方案全面完整包含上述方案全部内容，针对本项目增加采购单位未提供需求而</w:t>
            </w:r>
            <w:r>
              <w:rPr>
                <w:rFonts w:hint="eastAsia" w:ascii="Calibri" w:hAnsi="Calibri" w:cs="Times New Roman"/>
                <w:color w:val="auto"/>
                <w:highlight w:val="none"/>
                <w:lang w:eastAsia="zh-CN"/>
              </w:rPr>
              <w:t>供应商</w:t>
            </w:r>
            <w:r>
              <w:rPr>
                <w:rFonts w:hint="eastAsia" w:ascii="Calibri" w:hAnsi="Calibri" w:cs="Times New Roman"/>
                <w:color w:val="auto"/>
                <w:highlight w:val="none"/>
              </w:rPr>
              <w:t>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w:t>
            </w:r>
            <w:r>
              <w:rPr>
                <w:rFonts w:hint="eastAsia" w:ascii="Calibri" w:hAnsi="Calibri" w:cs="Times New Roman"/>
                <w:color w:val="auto"/>
                <w:highlight w:val="none"/>
                <w:lang w:val="en-US" w:eastAsia="zh-CN"/>
              </w:rPr>
              <w:t>4</w:t>
            </w:r>
            <w:r>
              <w:rPr>
                <w:rFonts w:hint="eastAsia" w:ascii="Calibri" w:hAnsi="Calibri" w:cs="Times New Roman"/>
                <w:color w:val="auto"/>
                <w:highlight w:val="none"/>
              </w:rPr>
              <w:t>分。</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w:t>
            </w:r>
            <w:r>
              <w:rPr>
                <w:rFonts w:hint="eastAsia" w:ascii="仿宋" w:hAnsi="仿宋" w:cs="Times New Roman"/>
                <w:color w:val="auto"/>
                <w:szCs w:val="21"/>
                <w:highlight w:val="none"/>
              </w:rPr>
              <w:t>产品技术培训人员能力</w:t>
            </w:r>
            <w:r>
              <w:rPr>
                <w:rFonts w:hint="eastAsia" w:ascii="Calibri" w:hAnsi="Calibri" w:cs="Times New Roman"/>
                <w:color w:val="auto"/>
                <w:highlight w:val="none"/>
              </w:rPr>
              <w:t>基本满足项目需求、培训周期基本满足项目需求、培训内容较为全面、培训计划合理且具有可操作性得</w:t>
            </w:r>
            <w:r>
              <w:rPr>
                <w:rFonts w:hint="eastAsia" w:ascii="Calibri" w:hAnsi="Calibri" w:cs="Times New Roman"/>
                <w:color w:val="auto"/>
                <w:highlight w:val="none"/>
                <w:lang w:val="en-US" w:eastAsia="zh-CN"/>
              </w:rPr>
              <w:t>2</w:t>
            </w:r>
            <w:r>
              <w:rPr>
                <w:rFonts w:hint="eastAsia" w:ascii="Calibri" w:hAnsi="Calibri" w:cs="Times New Roman"/>
                <w:color w:val="auto"/>
                <w:highlight w:val="none"/>
              </w:rPr>
              <w:t>分。</w:t>
            </w:r>
          </w:p>
          <w:p>
            <w:pPr>
              <w:keepNext w:val="0"/>
              <w:keepLines w:val="0"/>
              <w:suppressLineNumbers w:val="0"/>
              <w:spacing w:before="0" w:beforeAutospacing="0" w:after="0" w:afterAutospacing="0"/>
              <w:ind w:left="0" w:right="0"/>
              <w:jc w:val="left"/>
              <w:rPr>
                <w:rFonts w:hint="default" w:ascii="Calibri" w:hAnsi="Calibri" w:cs="Times New Roman"/>
                <w:color w:val="auto"/>
                <w:highlight w:val="none"/>
              </w:rPr>
            </w:pPr>
            <w:r>
              <w:rPr>
                <w:rFonts w:hint="eastAsia" w:ascii="Calibri" w:hAnsi="Calibri" w:cs="Times New Roman"/>
                <w:color w:val="auto"/>
                <w:highlight w:val="none"/>
              </w:rPr>
              <w:t>（3）售后服务方案不完整，基本响应项目实际需求；相关方案内容缺乏合理性，服务人员配备不齐全，产品技术培训实际操作存在一定难度得1分。</w:t>
            </w:r>
          </w:p>
          <w:p>
            <w:pPr>
              <w:keepNext w:val="0"/>
              <w:keepLines w:val="0"/>
              <w:suppressLineNumbers w:val="0"/>
              <w:spacing w:before="0" w:beforeAutospacing="0" w:after="0" w:afterAutospacing="0"/>
              <w:ind w:left="0" w:right="0"/>
              <w:jc w:val="left"/>
              <w:rPr>
                <w:rFonts w:hint="eastAsia" w:ascii="Times New Roman" w:hAnsi="Times New Roman" w:cs="Times New Roman"/>
                <w:color w:val="auto"/>
                <w:highlight w:val="none"/>
              </w:rPr>
            </w:pPr>
            <w:r>
              <w:rPr>
                <w:rFonts w:hint="eastAsia" w:ascii="Calibri" w:hAnsi="Calibri" w:cs="Times New Roman"/>
                <w:color w:val="auto"/>
                <w:highlight w:val="none"/>
              </w:rPr>
              <w:t>（4）未提供售后服务方案或提供方案相关内容不实的、与实</w:t>
            </w:r>
            <w:r>
              <w:rPr>
                <w:rFonts w:hint="eastAsia" w:ascii="Times New Roman" w:hAnsi="Times New Roman" w:cs="Times New Roman"/>
                <w:color w:val="auto"/>
                <w:highlight w:val="none"/>
              </w:rPr>
              <w:t>际情况不符、或未能满足项目实际需求的0分。</w:t>
            </w:r>
          </w:p>
          <w:p>
            <w:pPr>
              <w:keepNext w:val="0"/>
              <w:keepLines w:val="0"/>
              <w:suppressLineNumbers w:val="0"/>
              <w:spacing w:before="0" w:beforeAutospacing="0" w:after="0" w:afterAutospacing="0"/>
              <w:ind w:left="0" w:right="0"/>
              <w:jc w:val="left"/>
              <w:rPr>
                <w:rFonts w:hint="eastAsia" w:ascii="Times New Roman" w:hAnsi="Times New Roman" w:cs="Times New Roman"/>
                <w:color w:val="auto"/>
                <w:highlight w:val="none"/>
              </w:rPr>
            </w:pPr>
            <w:r>
              <w:rPr>
                <w:rFonts w:hint="eastAsia" w:ascii="Times New Roman" w:hAnsi="Times New Roman" w:cs="Times New Roman"/>
                <w:color w:val="auto"/>
                <w:highlight w:val="none"/>
              </w:rPr>
              <w:t>二、</w:t>
            </w:r>
            <w:r>
              <w:rPr>
                <w:rFonts w:hint="eastAsia" w:ascii="Times New Roman" w:hAnsi="Times New Roman" w:cs="Times New Roman"/>
                <w:color w:val="auto"/>
                <w:highlight w:val="none"/>
                <w:lang w:eastAsia="zh-CN"/>
              </w:rPr>
              <w:t>供应商</w:t>
            </w:r>
            <w:r>
              <w:rPr>
                <w:rFonts w:hint="eastAsia" w:ascii="Times New Roman" w:hAnsi="Times New Roman" w:cs="Times New Roman"/>
                <w:color w:val="auto"/>
                <w:highlight w:val="none"/>
              </w:rPr>
              <w:t>在质量保证期3年的基础上，每增加1年质量保证期得0.5分，最高得2分，提供承诺函并加盖公章，未提供不得分。</w:t>
            </w:r>
          </w:p>
          <w:p>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default" w:ascii="Calibri" w:hAnsi="Calibri" w:cs="Times New Roman"/>
                <w:color w:val="auto"/>
                <w:highlight w:val="none"/>
              </w:rPr>
            </w:pPr>
            <w:r>
              <w:rPr>
                <w:rFonts w:hint="eastAsia" w:ascii="Calibri" w:hAnsi="Calibri" w:eastAsia="仿宋" w:cs="Times New Roman"/>
                <w:color w:val="auto"/>
                <w:kern w:val="2"/>
                <w:sz w:val="21"/>
                <w:szCs w:val="24"/>
                <w:highlight w:val="none"/>
                <w:lang w:val="en-US" w:eastAsia="zh-CN" w:bidi="ar-SA"/>
              </w:rPr>
              <w:t>三、质保期外，如设备损坏需要更换配件，只收取配件成本费用的或所有费用均免费的，得1分；只收取配件成本费用和工程师维修费的得0.5分，需提供承诺函。本项满分得1分。未提供不得分。</w:t>
            </w: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2" w:type="pct"/>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合  计</w:t>
            </w:r>
          </w:p>
        </w:tc>
        <w:tc>
          <w:tcPr>
            <w:tcW w:w="568" w:type="pct"/>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w:t>
            </w:r>
          </w:p>
        </w:tc>
        <w:tc>
          <w:tcPr>
            <w:tcW w:w="3007" w:type="pct"/>
            <w:tcBorders>
              <w:left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napToGrid w:val="0"/>
              <w:spacing w:before="100" w:beforeAutospacing="1" w:after="100" w:afterAutospacing="1"/>
              <w:ind w:left="0" w:right="0"/>
              <w:jc w:val="center"/>
              <w:rPr>
                <w:rFonts w:hint="default" w:ascii="宋体" w:hAnsi="宋体" w:cs="仿宋"/>
                <w:color w:val="auto"/>
                <w:szCs w:val="21"/>
                <w:highlight w:val="none"/>
              </w:rPr>
            </w:pPr>
            <w:r>
              <w:rPr>
                <w:rFonts w:hint="eastAsia" w:ascii="宋体" w:hAnsi="宋体" w:cs="仿宋"/>
                <w:color w:val="auto"/>
                <w:szCs w:val="21"/>
                <w:highlight w:val="none"/>
              </w:rPr>
              <w:t>100</w:t>
            </w:r>
          </w:p>
        </w:tc>
      </w:tr>
    </w:tbl>
    <w:p>
      <w:pPr>
        <w:rPr>
          <w:rFonts w:hint="eastAsia" w:ascii="仿宋" w:hAnsi="仿宋" w:cs="仿宋"/>
          <w:b/>
          <w:bCs/>
          <w:color w:val="auto"/>
          <w:highlight w:val="none"/>
        </w:rPr>
      </w:pPr>
      <w:r>
        <w:rPr>
          <w:rFonts w:hint="eastAsia" w:ascii="仿宋" w:hAnsi="仿宋" w:cs="仿宋"/>
          <w:b/>
          <w:bCs/>
          <w:color w:val="auto"/>
          <w:highlight w:val="none"/>
        </w:rPr>
        <w:t>注：证明材料需根据评标办法要求提供，如发现不一致的地方以评标办法为准。</w:t>
      </w:r>
    </w:p>
    <w:p>
      <w:pPr>
        <w:rPr>
          <w:rFonts w:hint="eastAsia" w:ascii="仿宋" w:hAnsi="仿宋" w:cs="仿宋"/>
          <w:b/>
          <w:bCs/>
          <w:color w:val="auto"/>
          <w:highlight w:val="none"/>
        </w:rPr>
      </w:pPr>
    </w:p>
    <w:p>
      <w:pPr>
        <w:rPr>
          <w:rFonts w:hint="eastAsia" w:ascii="仿宋" w:hAnsi="仿宋" w:cs="仿宋"/>
          <w:b/>
          <w:color w:val="auto"/>
          <w:szCs w:val="21"/>
          <w:highlight w:val="none"/>
          <w:lang w:eastAsia="zh-CN"/>
        </w:rPr>
      </w:pPr>
    </w:p>
    <w:p>
      <w:pPr>
        <w:rPr>
          <w:rFonts w:hint="eastAsia" w:ascii="仿宋" w:hAnsi="仿宋" w:cs="仿宋"/>
          <w:b/>
          <w:color w:val="auto"/>
          <w:szCs w:val="21"/>
          <w:highlight w:val="none"/>
        </w:rPr>
      </w:pPr>
      <w:r>
        <w:rPr>
          <w:rFonts w:hint="eastAsia" w:ascii="仿宋" w:hAnsi="仿宋" w:cs="仿宋"/>
          <w:b/>
          <w:color w:val="auto"/>
          <w:szCs w:val="21"/>
          <w:highlight w:val="none"/>
          <w:lang w:eastAsia="zh-CN"/>
        </w:rPr>
        <w:t>（</w:t>
      </w:r>
      <w:r>
        <w:rPr>
          <w:rFonts w:hint="eastAsia" w:ascii="仿宋" w:hAnsi="仿宋" w:cs="仿宋"/>
          <w:b/>
          <w:color w:val="auto"/>
          <w:szCs w:val="21"/>
          <w:highlight w:val="none"/>
          <w:lang w:val="en-US" w:eastAsia="zh-CN"/>
        </w:rPr>
        <w:t>二</w:t>
      </w:r>
      <w:r>
        <w:rPr>
          <w:rFonts w:hint="eastAsia" w:ascii="仿宋" w:hAnsi="仿宋" w:cs="仿宋"/>
          <w:b/>
          <w:color w:val="auto"/>
          <w:szCs w:val="21"/>
          <w:highlight w:val="none"/>
          <w:lang w:eastAsia="zh-CN"/>
        </w:rPr>
        <w:t>）</w:t>
      </w:r>
      <w:r>
        <w:rPr>
          <w:rFonts w:hint="eastAsia" w:ascii="仿宋" w:hAnsi="仿宋" w:cs="仿宋"/>
          <w:b/>
          <w:color w:val="auto"/>
          <w:szCs w:val="21"/>
          <w:highlight w:val="none"/>
        </w:rPr>
        <w:t>加分项评分标准</w:t>
      </w:r>
    </w:p>
    <w:tbl>
      <w:tblPr>
        <w:tblStyle w:val="23"/>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8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加分</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因素</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节能</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产品</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对于清单中的投标产品价格给予价格部分总分值</w:t>
            </w:r>
            <w:r>
              <w:rPr>
                <w:rFonts w:hint="eastAsia" w:ascii="仿宋" w:hAnsi="仿宋" w:cs="仿宋"/>
                <w:color w:val="auto"/>
                <w:kern w:val="0"/>
                <w:szCs w:val="21"/>
                <w:highlight w:val="none"/>
                <w:u w:val="single"/>
              </w:rPr>
              <w:t>3</w:t>
            </w:r>
            <w:r>
              <w:rPr>
                <w:rFonts w:hint="eastAsia" w:ascii="仿宋" w:hAnsi="仿宋" w:cs="仿宋"/>
                <w:color w:val="auto"/>
                <w:kern w:val="0"/>
                <w:szCs w:val="21"/>
                <w:highlight w:val="none"/>
              </w:rPr>
              <w:t>%</w:t>
            </w:r>
            <w:r>
              <w:rPr>
                <w:rFonts w:hint="eastAsia" w:ascii="仿宋" w:hAnsi="仿宋" w:cs="仿宋"/>
                <w:color w:val="auto"/>
                <w:szCs w:val="21"/>
                <w:highlight w:val="none"/>
              </w:rPr>
              <w:t>的加分，计算公式如下：</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节能产品加分＝（节能产品投标报价之和/投标总价）×价格部分总分值</w:t>
            </w:r>
            <w:r>
              <w:rPr>
                <w:rFonts w:hint="eastAsia" w:ascii="仿宋" w:hAnsi="仿宋" w:cs="仿宋"/>
                <w:color w:val="auto"/>
                <w:szCs w:val="21"/>
                <w:highlight w:val="none"/>
                <w:u w:val="single"/>
                <w:lang w:val="en-US" w:eastAsia="zh-CN"/>
              </w:rPr>
              <w:t xml:space="preserve"> </w:t>
            </w:r>
            <w:r>
              <w:rPr>
                <w:rFonts w:hint="eastAsia" w:ascii="仿宋" w:hAnsi="仿宋" w:cs="仿宋"/>
                <w:color w:val="auto"/>
                <w:szCs w:val="21"/>
                <w:highlight w:val="none"/>
              </w:rPr>
              <w:t>×</w:t>
            </w:r>
            <w:r>
              <w:rPr>
                <w:rFonts w:hint="eastAsia" w:ascii="仿宋" w:hAnsi="仿宋" w:cs="仿宋"/>
                <w:color w:val="auto"/>
                <w:szCs w:val="21"/>
                <w:highlight w:val="none"/>
                <w:u w:val="single"/>
              </w:rPr>
              <w:t>3</w:t>
            </w:r>
            <w:r>
              <w:rPr>
                <w:rFonts w:hint="eastAsia" w:ascii="仿宋" w:hAnsi="仿宋" w:cs="仿宋"/>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环保</w:t>
            </w:r>
          </w:p>
          <w:p>
            <w:pPr>
              <w:keepNext w:val="0"/>
              <w:keepLines w:val="0"/>
              <w:suppressLineNumbers w:val="0"/>
              <w:spacing w:before="0" w:beforeAutospacing="0" w:after="0" w:afterAutospacing="0"/>
              <w:ind w:left="0" w:right="0"/>
              <w:jc w:val="center"/>
              <w:rPr>
                <w:rFonts w:hint="eastAsia" w:ascii="仿宋" w:hAnsi="仿宋" w:cs="仿宋"/>
                <w:color w:val="auto"/>
                <w:szCs w:val="21"/>
                <w:highlight w:val="none"/>
              </w:rPr>
            </w:pPr>
            <w:r>
              <w:rPr>
                <w:rFonts w:hint="eastAsia" w:ascii="仿宋" w:hAnsi="仿宋" w:cs="仿宋"/>
                <w:color w:val="auto"/>
                <w:szCs w:val="21"/>
                <w:highlight w:val="none"/>
              </w:rPr>
              <w:t>产品</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对于清单中的投标产品价格给予价格部分总分值</w:t>
            </w:r>
            <w:r>
              <w:rPr>
                <w:rFonts w:hint="eastAsia" w:ascii="仿宋" w:hAnsi="仿宋" w:cs="仿宋"/>
                <w:color w:val="auto"/>
                <w:szCs w:val="21"/>
                <w:highlight w:val="none"/>
                <w:u w:val="single"/>
              </w:rPr>
              <w:t>3</w:t>
            </w:r>
            <w:r>
              <w:rPr>
                <w:rFonts w:hint="eastAsia" w:ascii="仿宋" w:hAnsi="仿宋" w:cs="仿宋"/>
                <w:color w:val="auto"/>
                <w:szCs w:val="21"/>
                <w:highlight w:val="none"/>
              </w:rPr>
              <w:t>%的加分，计算公式如下：</w:t>
            </w:r>
          </w:p>
          <w:p>
            <w:pPr>
              <w:keepNext w:val="0"/>
              <w:keepLines w:val="0"/>
              <w:suppressLineNumbers w:val="0"/>
              <w:spacing w:before="0" w:beforeAutospacing="0" w:after="0" w:afterAutospacing="0"/>
              <w:ind w:left="0" w:right="0"/>
              <w:rPr>
                <w:rFonts w:hint="eastAsia" w:ascii="仿宋" w:hAnsi="仿宋" w:cs="仿宋"/>
                <w:color w:val="auto"/>
                <w:szCs w:val="21"/>
                <w:highlight w:val="none"/>
              </w:rPr>
            </w:pPr>
            <w:r>
              <w:rPr>
                <w:rFonts w:hint="eastAsia" w:ascii="仿宋" w:hAnsi="仿宋" w:cs="仿宋"/>
                <w:color w:val="auto"/>
                <w:szCs w:val="21"/>
                <w:highlight w:val="none"/>
              </w:rPr>
              <w:t>环保产品加分＝（环保产品投标报价之和/投标总价）×价格部分总分值</w:t>
            </w:r>
            <w:r>
              <w:rPr>
                <w:rFonts w:hint="eastAsia" w:ascii="仿宋" w:hAnsi="仿宋" w:cs="仿宋"/>
                <w:color w:val="auto"/>
                <w:szCs w:val="21"/>
                <w:highlight w:val="none"/>
                <w:u w:val="single"/>
                <w:lang w:val="en-US" w:eastAsia="zh-CN"/>
              </w:rPr>
              <w:t xml:space="preserve"> </w:t>
            </w:r>
            <w:r>
              <w:rPr>
                <w:rFonts w:hint="eastAsia" w:ascii="仿宋" w:hAnsi="仿宋" w:cs="仿宋"/>
                <w:color w:val="auto"/>
                <w:szCs w:val="21"/>
                <w:highlight w:val="none"/>
              </w:rPr>
              <w:t>×</w:t>
            </w:r>
            <w:r>
              <w:rPr>
                <w:rFonts w:hint="eastAsia" w:ascii="仿宋" w:hAnsi="仿宋" w:cs="仿宋"/>
                <w:color w:val="auto"/>
                <w:szCs w:val="21"/>
                <w:highlight w:val="none"/>
                <w:u w:val="single"/>
              </w:rPr>
              <w:t>3</w:t>
            </w:r>
            <w:r>
              <w:rPr>
                <w:rFonts w:hint="eastAsia" w:ascii="仿宋" w:hAnsi="仿宋" w:cs="仿宋"/>
                <w:color w:val="auto"/>
                <w:szCs w:val="21"/>
                <w:highlight w:val="none"/>
              </w:rPr>
              <w:t>%。</w:t>
            </w:r>
          </w:p>
        </w:tc>
      </w:tr>
    </w:tbl>
    <w:p>
      <w:pPr>
        <w:rPr>
          <w:rFonts w:hint="eastAsia" w:ascii="仿宋" w:hAnsi="仿宋" w:cs="仿宋"/>
          <w:color w:val="auto"/>
          <w:szCs w:val="21"/>
          <w:highlight w:val="none"/>
        </w:rPr>
      </w:pPr>
      <w:r>
        <w:rPr>
          <w:rFonts w:hint="eastAsia" w:ascii="仿宋" w:hAnsi="仿宋" w:cs="仿宋"/>
          <w:color w:val="auto"/>
          <w:szCs w:val="21"/>
          <w:highlight w:val="none"/>
        </w:rPr>
        <w:br w:type="page"/>
      </w:r>
    </w:p>
    <w:p>
      <w:pPr>
        <w:rPr>
          <w:rFonts w:hint="eastAsia" w:ascii="仿宋" w:hAnsi="仿宋" w:cs="仿宋"/>
          <w:color w:val="auto"/>
          <w:highlight w:val="none"/>
        </w:rPr>
      </w:pPr>
      <w:bookmarkStart w:id="130" w:name="_Toc25922_WPSOffice_Level1"/>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rPr>
          <w:rFonts w:hint="eastAsia" w:ascii="仿宋" w:hAnsi="仿宋" w:cs="仿宋"/>
          <w:color w:val="auto"/>
          <w:highlight w:val="none"/>
        </w:rPr>
      </w:pPr>
    </w:p>
    <w:p>
      <w:pPr>
        <w:pStyle w:val="4"/>
        <w:numPr>
          <w:ilvl w:val="0"/>
          <w:numId w:val="10"/>
        </w:numPr>
        <w:adjustRightInd w:val="0"/>
        <w:snapToGrid w:val="0"/>
        <w:spacing w:before="319" w:beforeLines="100" w:after="319" w:afterLines="100"/>
        <w:rPr>
          <w:rFonts w:hint="eastAsia" w:ascii="仿宋" w:hAnsi="仿宋" w:cs="仿宋"/>
          <w:color w:val="auto"/>
          <w:highlight w:val="none"/>
        </w:rPr>
      </w:pPr>
      <w:bookmarkStart w:id="131" w:name="_Toc19588"/>
      <w:r>
        <w:rPr>
          <w:rFonts w:hint="eastAsia" w:ascii="仿宋" w:hAnsi="仿宋" w:cs="仿宋"/>
          <w:color w:val="auto"/>
          <w:highlight w:val="none"/>
        </w:rPr>
        <w:t>政府采购合同条款</w:t>
      </w:r>
      <w:bookmarkEnd w:id="130"/>
      <w:r>
        <w:rPr>
          <w:rFonts w:hint="eastAsia" w:ascii="仿宋" w:hAnsi="仿宋" w:cs="仿宋"/>
          <w:color w:val="auto"/>
          <w:highlight w:val="none"/>
        </w:rPr>
        <w:t>及格式</w:t>
      </w:r>
      <w:bookmarkEnd w:id="131"/>
    </w:p>
    <w:p>
      <w:pPr>
        <w:rPr>
          <w:rFonts w:hint="eastAsia" w:ascii="仿宋" w:hAnsi="仿宋" w:cs="仿宋"/>
          <w:color w:val="auto"/>
          <w:highlight w:val="none"/>
        </w:rPr>
      </w:pPr>
    </w:p>
    <w:p>
      <w:pPr>
        <w:bidi w:val="0"/>
        <w:jc w:val="right"/>
        <w:rPr>
          <w:rFonts w:hint="eastAsia" w:ascii="仿宋" w:hAnsi="仿宋" w:eastAsia="仿宋" w:cs="Times New Roman"/>
          <w:color w:val="auto"/>
          <w:sz w:val="36"/>
          <w:szCs w:val="36"/>
          <w:highlight w:val="none"/>
          <w:lang w:eastAsia="zh-CN"/>
        </w:rPr>
      </w:pPr>
      <w:bookmarkStart w:id="132" w:name="_Toc23704_WPSOffice_Level1"/>
      <w:r>
        <w:rPr>
          <w:rFonts w:hint="eastAsia" w:ascii="仿宋" w:hAnsi="仿宋" w:cs="仿宋"/>
          <w:color w:val="auto"/>
          <w:szCs w:val="28"/>
          <w:highlight w:val="none"/>
        </w:rPr>
        <w:br w:type="page"/>
      </w:r>
      <w:bookmarkEnd w:id="132"/>
      <w:r>
        <w:rPr>
          <w:rFonts w:hint="eastAsia" w:ascii="仿宋" w:hAnsi="仿宋" w:eastAsia="仿宋" w:cs="仿宋"/>
          <w:color w:val="auto"/>
          <w:sz w:val="28"/>
          <w:szCs w:val="28"/>
          <w:highlight w:val="none"/>
        </w:rPr>
        <w:t xml:space="preserve">                                                          </w:t>
      </w:r>
      <w:r>
        <w:rPr>
          <w:rFonts w:hint="eastAsia" w:ascii="仿宋" w:hAnsi="仿宋" w:eastAsia="仿宋" w:cs="Times New Roman"/>
          <w:color w:val="auto"/>
          <w:sz w:val="28"/>
          <w:szCs w:val="28"/>
          <w:highlight w:val="none"/>
        </w:rPr>
        <w:t>合同编号：</w:t>
      </w:r>
      <w:r>
        <w:rPr>
          <w:rFonts w:hint="eastAsia" w:ascii="仿宋" w:hAnsi="仿宋" w:eastAsia="仿宋" w:cs="Times New Roman"/>
          <w:color w:val="auto"/>
          <w:sz w:val="28"/>
          <w:szCs w:val="28"/>
          <w:highlight w:val="none"/>
          <w:lang w:val="en-US" w:eastAsia="zh-CN"/>
        </w:rPr>
        <w:t>xxx</w:t>
      </w:r>
    </w:p>
    <w:p>
      <w:pPr>
        <w:pStyle w:val="3"/>
        <w:spacing w:line="600" w:lineRule="auto"/>
        <w:ind w:right="-1"/>
        <w:jc w:val="center"/>
        <w:rPr>
          <w:rFonts w:ascii="仿宋" w:hAnsi="仿宋" w:eastAsia="仿宋" w:cs="Times New Roman"/>
          <w:b/>
          <w:bCs/>
          <w:color w:val="auto"/>
          <w:sz w:val="40"/>
          <w:szCs w:val="40"/>
          <w:highlight w:val="none"/>
        </w:rPr>
      </w:pPr>
    </w:p>
    <w:p>
      <w:pPr>
        <w:pStyle w:val="3"/>
        <w:spacing w:line="600" w:lineRule="auto"/>
        <w:ind w:right="-1"/>
        <w:jc w:val="center"/>
        <w:outlineLvl w:val="0"/>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辽宁省消防救援总队自然灾害应急能力提升工程</w:t>
      </w:r>
    </w:p>
    <w:p>
      <w:pPr>
        <w:pStyle w:val="3"/>
        <w:spacing w:line="600" w:lineRule="auto"/>
        <w:ind w:right="-1"/>
        <w:jc w:val="center"/>
        <w:outlineLvl w:val="0"/>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装备建设项目（信通装备项目）</w:t>
      </w:r>
    </w:p>
    <w:p>
      <w:pPr>
        <w:pStyle w:val="3"/>
        <w:spacing w:line="600" w:lineRule="auto"/>
        <w:ind w:right="-1"/>
        <w:jc w:val="center"/>
        <w:outlineLvl w:val="0"/>
        <w:rPr>
          <w:rFonts w:ascii="仿宋" w:hAnsi="仿宋" w:eastAsia="仿宋"/>
          <w:b/>
          <w:bCs/>
          <w:color w:val="auto"/>
          <w:sz w:val="36"/>
          <w:szCs w:val="36"/>
          <w:highlight w:val="none"/>
        </w:rPr>
      </w:pPr>
      <w:r>
        <w:rPr>
          <w:rFonts w:hint="eastAsia" w:ascii="仿宋" w:hAnsi="仿宋" w:eastAsia="仿宋" w:cs="仿宋"/>
          <w:b/>
          <w:bCs/>
          <w:color w:val="auto"/>
          <w:sz w:val="36"/>
          <w:szCs w:val="36"/>
          <w:highlight w:val="none"/>
        </w:rPr>
        <w:t>第</w:t>
      </w:r>
      <w:r>
        <w:rPr>
          <w:rFonts w:hint="eastAsia" w:ascii="仿宋" w:hAnsi="仿宋" w:eastAsia="仿宋" w:cs="仿宋"/>
          <w:b/>
          <w:bCs/>
          <w:color w:val="auto"/>
          <w:sz w:val="36"/>
          <w:szCs w:val="36"/>
          <w:highlight w:val="none"/>
          <w:u w:val="single"/>
          <w:lang w:val="en-US" w:eastAsia="zh-CN"/>
        </w:rPr>
        <w:t>xxx</w:t>
      </w:r>
      <w:r>
        <w:rPr>
          <w:rFonts w:hint="eastAsia" w:ascii="仿宋" w:hAnsi="仿宋" w:eastAsia="仿宋" w:cs="仿宋"/>
          <w:b/>
          <w:bCs/>
          <w:color w:val="auto"/>
          <w:sz w:val="36"/>
          <w:szCs w:val="36"/>
          <w:highlight w:val="none"/>
        </w:rPr>
        <w:t>包</w:t>
      </w:r>
    </w:p>
    <w:p>
      <w:pPr>
        <w:widowControl/>
        <w:spacing w:line="360" w:lineRule="auto"/>
        <w:jc w:val="center"/>
        <w:rPr>
          <w:rFonts w:ascii="仿宋" w:hAnsi="仿宋"/>
          <w:b/>
          <w:color w:val="auto"/>
          <w:kern w:val="0"/>
          <w:sz w:val="24"/>
          <w:highlight w:val="none"/>
        </w:rPr>
      </w:pPr>
    </w:p>
    <w:p>
      <w:pPr>
        <w:pStyle w:val="8"/>
        <w:ind w:firstLine="560"/>
        <w:rPr>
          <w:rFonts w:ascii="仿宋" w:hAnsi="仿宋"/>
          <w:color w:val="auto"/>
          <w:highlight w:val="none"/>
        </w:rPr>
      </w:pPr>
    </w:p>
    <w:p>
      <w:pPr>
        <w:pStyle w:val="8"/>
        <w:tabs>
          <w:tab w:val="left" w:pos="7341"/>
        </w:tabs>
        <w:ind w:firstLine="560"/>
        <w:rPr>
          <w:rFonts w:ascii="仿宋" w:hAnsi="仿宋"/>
          <w:color w:val="auto"/>
          <w:highlight w:val="none"/>
        </w:rPr>
      </w:pPr>
      <w:r>
        <w:rPr>
          <w:rFonts w:hint="eastAsia" w:ascii="仿宋" w:hAnsi="仿宋"/>
          <w:color w:val="auto"/>
          <w:highlight w:val="none"/>
        </w:rPr>
        <w:tab/>
      </w:r>
    </w:p>
    <w:p>
      <w:pPr>
        <w:pStyle w:val="8"/>
        <w:ind w:firstLine="560"/>
        <w:rPr>
          <w:rFonts w:ascii="仿宋" w:hAnsi="仿宋"/>
          <w:color w:val="auto"/>
          <w:highlight w:val="none"/>
        </w:rPr>
      </w:pPr>
    </w:p>
    <w:p>
      <w:pPr>
        <w:widowControl/>
        <w:spacing w:line="360" w:lineRule="auto"/>
        <w:jc w:val="center"/>
        <w:rPr>
          <w:rFonts w:ascii="仿宋" w:hAnsi="仿宋"/>
          <w:b/>
          <w:color w:val="auto"/>
          <w:kern w:val="0"/>
          <w:sz w:val="72"/>
          <w:szCs w:val="72"/>
          <w:highlight w:val="none"/>
        </w:rPr>
      </w:pPr>
      <w:r>
        <w:rPr>
          <w:rFonts w:ascii="仿宋" w:hAnsi="仿宋"/>
          <w:b/>
          <w:color w:val="auto"/>
          <w:kern w:val="0"/>
          <w:sz w:val="72"/>
          <w:szCs w:val="72"/>
          <w:highlight w:val="none"/>
        </w:rPr>
        <w:t>采购合同</w:t>
      </w:r>
    </w:p>
    <w:p>
      <w:pPr>
        <w:pStyle w:val="3"/>
        <w:spacing w:line="360" w:lineRule="auto"/>
        <w:ind w:right="958"/>
        <w:jc w:val="center"/>
        <w:rPr>
          <w:rFonts w:ascii="仿宋" w:hAnsi="仿宋" w:eastAsia="仿宋" w:cs="Times New Roman"/>
          <w:b/>
          <w:bCs/>
          <w:color w:val="auto"/>
          <w:sz w:val="52"/>
          <w:szCs w:val="52"/>
          <w:highlight w:val="none"/>
        </w:rPr>
      </w:pPr>
    </w:p>
    <w:p>
      <w:pPr>
        <w:pStyle w:val="3"/>
        <w:spacing w:line="360" w:lineRule="auto"/>
        <w:ind w:right="958"/>
        <w:rPr>
          <w:rFonts w:ascii="仿宋" w:hAnsi="仿宋" w:eastAsia="仿宋" w:cs="Times New Roman"/>
          <w:b/>
          <w:bCs/>
          <w:color w:val="auto"/>
          <w:sz w:val="52"/>
          <w:szCs w:val="52"/>
          <w:highlight w:val="none"/>
        </w:rPr>
      </w:pPr>
    </w:p>
    <w:p>
      <w:pPr>
        <w:pStyle w:val="3"/>
        <w:spacing w:line="360" w:lineRule="auto"/>
        <w:ind w:right="958"/>
        <w:rPr>
          <w:rFonts w:ascii="仿宋" w:hAnsi="仿宋" w:eastAsia="仿宋" w:cs="Times New Roman"/>
          <w:b/>
          <w:bCs/>
          <w:color w:val="auto"/>
          <w:sz w:val="52"/>
          <w:szCs w:val="52"/>
          <w:highlight w:val="none"/>
        </w:rPr>
      </w:pPr>
    </w:p>
    <w:p>
      <w:pPr>
        <w:pStyle w:val="3"/>
        <w:spacing w:line="360" w:lineRule="auto"/>
        <w:ind w:right="958"/>
        <w:rPr>
          <w:rFonts w:ascii="仿宋" w:hAnsi="仿宋" w:eastAsia="仿宋" w:cs="Times New Roman"/>
          <w:b/>
          <w:bCs/>
          <w:color w:val="auto"/>
          <w:sz w:val="30"/>
          <w:szCs w:val="30"/>
          <w:highlight w:val="none"/>
        </w:rPr>
      </w:pPr>
    </w:p>
    <w:p>
      <w:pPr>
        <w:pStyle w:val="3"/>
        <w:spacing w:line="360" w:lineRule="auto"/>
        <w:ind w:right="958" w:firstLine="301" w:firstLineChars="100"/>
        <w:rPr>
          <w:rFonts w:hint="eastAsia" w:ascii="仿宋" w:hAnsi="仿宋" w:eastAsia="仿宋" w:cs="Times New Roman"/>
          <w:b/>
          <w:bCs w:val="0"/>
          <w:color w:val="auto"/>
          <w:sz w:val="30"/>
          <w:szCs w:val="30"/>
          <w:highlight w:val="none"/>
          <w:u w:val="single"/>
          <w:lang w:val="en-US" w:eastAsia="zh-CN"/>
        </w:rPr>
      </w:pPr>
      <w:r>
        <w:rPr>
          <w:rFonts w:ascii="仿宋" w:hAnsi="仿宋" w:eastAsia="仿宋" w:cs="Times New Roman"/>
          <w:b/>
          <w:bCs w:val="0"/>
          <w:color w:val="auto"/>
          <w:sz w:val="30"/>
          <w:szCs w:val="30"/>
          <w:highlight w:val="none"/>
        </w:rPr>
        <w:t>甲方（</w:t>
      </w:r>
      <w:r>
        <w:rPr>
          <w:rFonts w:hint="eastAsia" w:ascii="仿宋" w:hAnsi="仿宋" w:eastAsia="仿宋" w:cs="Times New Roman"/>
          <w:b/>
          <w:bCs w:val="0"/>
          <w:color w:val="auto"/>
          <w:sz w:val="30"/>
          <w:szCs w:val="30"/>
          <w:highlight w:val="none"/>
        </w:rPr>
        <w:t>采购人</w:t>
      </w:r>
      <w:r>
        <w:rPr>
          <w:rFonts w:ascii="仿宋" w:hAnsi="仿宋" w:eastAsia="仿宋" w:cs="Times New Roman"/>
          <w:b/>
          <w:bCs w:val="0"/>
          <w:color w:val="auto"/>
          <w:sz w:val="30"/>
          <w:szCs w:val="30"/>
          <w:highlight w:val="none"/>
        </w:rPr>
        <w:t>）：</w:t>
      </w:r>
      <w:r>
        <w:rPr>
          <w:rFonts w:hint="eastAsia" w:ascii="仿宋" w:hAnsi="仿宋" w:eastAsia="仿宋" w:cs="Times New Roman"/>
          <w:b/>
          <w:bCs w:val="0"/>
          <w:color w:val="auto"/>
          <w:sz w:val="30"/>
          <w:szCs w:val="30"/>
          <w:highlight w:val="none"/>
        </w:rPr>
        <w:t>辽宁省消防救援总队</w:t>
      </w:r>
    </w:p>
    <w:p>
      <w:pPr>
        <w:pStyle w:val="3"/>
        <w:spacing w:line="360" w:lineRule="auto"/>
        <w:ind w:right="958" w:firstLine="301" w:firstLineChars="100"/>
        <w:rPr>
          <w:rFonts w:hint="eastAsia" w:ascii="仿宋" w:hAnsi="仿宋" w:eastAsia="仿宋" w:cs="Times New Roman"/>
          <w:b/>
          <w:bCs w:val="0"/>
          <w:color w:val="auto"/>
          <w:sz w:val="30"/>
          <w:szCs w:val="30"/>
          <w:highlight w:val="none"/>
          <w:lang w:eastAsia="zh-CN"/>
        </w:rPr>
      </w:pPr>
      <w:r>
        <w:rPr>
          <w:rFonts w:ascii="仿宋" w:hAnsi="仿宋" w:eastAsia="仿宋" w:cs="Times New Roman"/>
          <w:b/>
          <w:bCs w:val="0"/>
          <w:color w:val="auto"/>
          <w:sz w:val="30"/>
          <w:szCs w:val="30"/>
          <w:highlight w:val="none"/>
        </w:rPr>
        <w:t>乙方（</w:t>
      </w:r>
      <w:r>
        <w:rPr>
          <w:rFonts w:hint="eastAsia" w:ascii="仿宋" w:hAnsi="仿宋" w:eastAsia="仿宋" w:cs="Times New Roman"/>
          <w:b/>
          <w:bCs w:val="0"/>
          <w:color w:val="auto"/>
          <w:sz w:val="30"/>
          <w:szCs w:val="30"/>
          <w:highlight w:val="none"/>
        </w:rPr>
        <w:t>中标人</w:t>
      </w:r>
      <w:r>
        <w:rPr>
          <w:rFonts w:ascii="仿宋" w:hAnsi="仿宋" w:eastAsia="仿宋" w:cs="Times New Roman"/>
          <w:b/>
          <w:bCs w:val="0"/>
          <w:color w:val="auto"/>
          <w:sz w:val="30"/>
          <w:szCs w:val="30"/>
          <w:highlight w:val="none"/>
        </w:rPr>
        <w:t>）：</w:t>
      </w:r>
      <w:r>
        <w:rPr>
          <w:rFonts w:hint="eastAsia" w:ascii="仿宋" w:hAnsi="仿宋" w:eastAsia="仿宋" w:cs="Times New Roman"/>
          <w:b/>
          <w:bCs w:val="0"/>
          <w:color w:val="auto"/>
          <w:sz w:val="30"/>
          <w:szCs w:val="30"/>
          <w:highlight w:val="none"/>
          <w:lang w:val="en-US" w:eastAsia="zh-CN"/>
        </w:rPr>
        <w:t>xxx</w:t>
      </w:r>
    </w:p>
    <w:p>
      <w:pPr>
        <w:pStyle w:val="3"/>
        <w:spacing w:line="360" w:lineRule="auto"/>
        <w:ind w:right="958" w:firstLine="300" w:firstLineChars="100"/>
        <w:rPr>
          <w:rFonts w:ascii="仿宋" w:hAnsi="仿宋" w:eastAsia="仿宋" w:cs="Times New Roman"/>
          <w:bCs/>
          <w:color w:val="auto"/>
          <w:sz w:val="30"/>
          <w:szCs w:val="30"/>
          <w:highlight w:val="none"/>
          <w:u w:val="single"/>
        </w:rPr>
      </w:pPr>
    </w:p>
    <w:p>
      <w:pPr>
        <w:pStyle w:val="3"/>
        <w:spacing w:line="360" w:lineRule="auto"/>
        <w:ind w:right="958"/>
        <w:jc w:val="center"/>
        <w:rPr>
          <w:rFonts w:ascii="仿宋" w:hAnsi="仿宋" w:eastAsia="仿宋" w:cs="Times New Roman"/>
          <w:b/>
          <w:bCs w:val="0"/>
          <w:color w:val="auto"/>
          <w:sz w:val="30"/>
          <w:szCs w:val="30"/>
          <w:highlight w:val="none"/>
        </w:rPr>
      </w:pPr>
      <w:r>
        <w:rPr>
          <w:rFonts w:ascii="仿宋" w:hAnsi="仿宋" w:eastAsia="仿宋" w:cs="Times New Roman"/>
          <w:b/>
          <w:bCs w:val="0"/>
          <w:color w:val="auto"/>
          <w:sz w:val="30"/>
          <w:szCs w:val="30"/>
          <w:highlight w:val="none"/>
        </w:rPr>
        <w:t>二〇二</w:t>
      </w:r>
      <w:r>
        <w:rPr>
          <w:rFonts w:hint="eastAsia" w:ascii="仿宋" w:hAnsi="仿宋" w:eastAsia="仿宋" w:cs="Times New Roman"/>
          <w:b/>
          <w:bCs w:val="0"/>
          <w:color w:val="auto"/>
          <w:sz w:val="30"/>
          <w:szCs w:val="30"/>
          <w:highlight w:val="none"/>
          <w:lang w:val="en-US" w:eastAsia="zh-CN"/>
        </w:rPr>
        <w:t>四</w:t>
      </w:r>
      <w:r>
        <w:rPr>
          <w:rFonts w:ascii="仿宋" w:hAnsi="仿宋" w:eastAsia="仿宋" w:cs="Times New Roman"/>
          <w:b/>
          <w:bCs w:val="0"/>
          <w:color w:val="auto"/>
          <w:sz w:val="30"/>
          <w:szCs w:val="30"/>
          <w:highlight w:val="none"/>
        </w:rPr>
        <w:t>年</w:t>
      </w:r>
    </w:p>
    <w:p>
      <w:pPr>
        <w:rPr>
          <w:rFonts w:ascii="仿宋" w:hAnsi="仿宋"/>
          <w:color w:val="auto"/>
          <w:sz w:val="36"/>
          <w:szCs w:val="36"/>
          <w:highlight w:val="none"/>
        </w:rPr>
        <w:sectPr>
          <w:footerReference r:id="rId6" w:type="first"/>
          <w:footerReference r:id="rId5" w:type="default"/>
          <w:pgSz w:w="11906" w:h="16838"/>
          <w:pgMar w:top="1440" w:right="1797" w:bottom="1440" w:left="1797" w:header="851" w:footer="992" w:gutter="0"/>
          <w:cols w:space="720" w:num="1"/>
          <w:docGrid w:type="lines" w:linePitch="312" w:charSpace="0"/>
        </w:sectPr>
      </w:pPr>
    </w:p>
    <w:p>
      <w:pPr>
        <w:tabs>
          <w:tab w:val="left" w:pos="3600"/>
          <w:tab w:val="left" w:pos="3780"/>
          <w:tab w:val="left" w:pos="3960"/>
        </w:tabs>
        <w:spacing w:line="360" w:lineRule="auto"/>
        <w:jc w:val="center"/>
        <w:rPr>
          <w:rFonts w:ascii="仿宋" w:hAnsi="仿宋" w:cs="仿宋"/>
          <w:b/>
          <w:bCs/>
          <w:spacing w:val="-4"/>
          <w:sz w:val="36"/>
          <w:szCs w:val="36"/>
          <w:highlight w:val="none"/>
        </w:rPr>
      </w:pPr>
      <w:r>
        <w:rPr>
          <w:rFonts w:hint="eastAsia" w:ascii="仿宋" w:hAnsi="仿宋" w:cs="仿宋"/>
          <w:b/>
          <w:bCs/>
          <w:spacing w:val="-4"/>
          <w:sz w:val="36"/>
          <w:szCs w:val="36"/>
          <w:highlight w:val="none"/>
        </w:rPr>
        <w:t>辽宁省消防救援总队自然灾害应急能力提升工程</w:t>
      </w:r>
    </w:p>
    <w:p>
      <w:pPr>
        <w:tabs>
          <w:tab w:val="left" w:pos="3600"/>
          <w:tab w:val="left" w:pos="3780"/>
          <w:tab w:val="left" w:pos="3960"/>
        </w:tabs>
        <w:spacing w:line="360" w:lineRule="auto"/>
        <w:jc w:val="center"/>
        <w:rPr>
          <w:rFonts w:ascii="仿宋" w:hAnsi="仿宋" w:cs="仿宋"/>
          <w:b/>
          <w:bCs/>
          <w:spacing w:val="-4"/>
          <w:sz w:val="36"/>
          <w:szCs w:val="36"/>
          <w:highlight w:val="none"/>
        </w:rPr>
      </w:pPr>
      <w:r>
        <w:rPr>
          <w:rFonts w:hint="eastAsia" w:ascii="仿宋" w:hAnsi="仿宋" w:cs="仿宋"/>
          <w:b/>
          <w:bCs/>
          <w:spacing w:val="-4"/>
          <w:sz w:val="36"/>
          <w:szCs w:val="36"/>
          <w:highlight w:val="none"/>
        </w:rPr>
        <w:t>装备建设项目（</w:t>
      </w:r>
      <w:r>
        <w:rPr>
          <w:rFonts w:hint="eastAsia" w:ascii="仿宋" w:hAnsi="仿宋" w:eastAsia="仿宋" w:cs="仿宋"/>
          <w:b/>
          <w:bCs/>
          <w:color w:val="auto"/>
          <w:sz w:val="36"/>
          <w:szCs w:val="36"/>
          <w:highlight w:val="none"/>
        </w:rPr>
        <w:t>信通装备项目</w:t>
      </w:r>
      <w:r>
        <w:rPr>
          <w:rFonts w:hint="eastAsia" w:ascii="仿宋" w:hAnsi="仿宋" w:cs="仿宋"/>
          <w:b/>
          <w:bCs/>
          <w:spacing w:val="-4"/>
          <w:sz w:val="36"/>
          <w:szCs w:val="36"/>
          <w:highlight w:val="none"/>
        </w:rPr>
        <w:t>）</w:t>
      </w:r>
    </w:p>
    <w:p>
      <w:pPr>
        <w:tabs>
          <w:tab w:val="left" w:pos="3600"/>
          <w:tab w:val="left" w:pos="3780"/>
          <w:tab w:val="left" w:pos="3960"/>
        </w:tabs>
        <w:spacing w:line="360" w:lineRule="auto"/>
        <w:jc w:val="center"/>
        <w:rPr>
          <w:rFonts w:ascii="仿宋" w:hAnsi="仿宋" w:cs="仿宋"/>
          <w:b/>
          <w:bCs/>
          <w:spacing w:val="-4"/>
          <w:sz w:val="36"/>
          <w:szCs w:val="36"/>
          <w:highlight w:val="none"/>
        </w:rPr>
      </w:pPr>
      <w:r>
        <w:rPr>
          <w:rFonts w:hint="eastAsia" w:ascii="仿宋" w:hAnsi="仿宋" w:cs="仿宋"/>
          <w:b/>
          <w:bCs/>
          <w:spacing w:val="-4"/>
          <w:sz w:val="36"/>
          <w:szCs w:val="36"/>
          <w:highlight w:val="none"/>
        </w:rPr>
        <w:t>第</w:t>
      </w:r>
      <w:r>
        <w:rPr>
          <w:rFonts w:hint="eastAsia" w:ascii="仿宋" w:hAnsi="仿宋" w:cs="仿宋"/>
          <w:b/>
          <w:bCs/>
          <w:sz w:val="40"/>
          <w:szCs w:val="40"/>
          <w:highlight w:val="none"/>
          <w:u w:val="single"/>
        </w:rPr>
        <w:t>xxx</w:t>
      </w:r>
      <w:r>
        <w:rPr>
          <w:rFonts w:hint="eastAsia" w:ascii="仿宋" w:hAnsi="仿宋" w:cs="仿宋"/>
          <w:b/>
          <w:bCs/>
          <w:spacing w:val="-4"/>
          <w:sz w:val="36"/>
          <w:szCs w:val="36"/>
          <w:highlight w:val="none"/>
        </w:rPr>
        <w:t>包</w:t>
      </w:r>
    </w:p>
    <w:p>
      <w:pPr>
        <w:tabs>
          <w:tab w:val="left" w:pos="3600"/>
          <w:tab w:val="left" w:pos="3780"/>
          <w:tab w:val="left" w:pos="3960"/>
        </w:tabs>
        <w:spacing w:line="360" w:lineRule="auto"/>
        <w:jc w:val="center"/>
        <w:outlineLvl w:val="0"/>
        <w:rPr>
          <w:rFonts w:ascii="仿宋" w:hAnsi="仿宋" w:cs="Times New Roman"/>
          <w:bCs/>
          <w:spacing w:val="-4"/>
          <w:sz w:val="36"/>
          <w:szCs w:val="36"/>
          <w:highlight w:val="none"/>
        </w:rPr>
      </w:pPr>
      <w:r>
        <w:rPr>
          <w:rFonts w:hint="eastAsia" w:ascii="仿宋" w:hAnsi="仿宋" w:cs="仿宋"/>
          <w:b/>
          <w:bCs/>
          <w:spacing w:val="-4"/>
          <w:sz w:val="36"/>
          <w:szCs w:val="36"/>
          <w:highlight w:val="none"/>
        </w:rPr>
        <w:t>采购合同</w:t>
      </w:r>
    </w:p>
    <w:p>
      <w:pPr>
        <w:widowControl/>
        <w:adjustRightInd w:val="0"/>
        <w:spacing w:line="360" w:lineRule="auto"/>
        <w:ind w:firstLine="480" w:firstLineChars="200"/>
        <w:rPr>
          <w:rFonts w:ascii="仿宋" w:hAnsi="仿宋" w:cs="Times New Roman"/>
          <w:kern w:val="0"/>
          <w:sz w:val="24"/>
          <w:szCs w:val="24"/>
          <w:highlight w:val="none"/>
        </w:rPr>
      </w:pPr>
    </w:p>
    <w:p>
      <w:pPr>
        <w:spacing w:line="360" w:lineRule="auto"/>
        <w:jc w:val="left"/>
        <w:rPr>
          <w:rFonts w:ascii="仿宋" w:hAnsi="仿宋" w:cs="仿宋"/>
          <w:b/>
          <w:sz w:val="24"/>
          <w:szCs w:val="24"/>
          <w:highlight w:val="none"/>
        </w:rPr>
      </w:pPr>
      <w:r>
        <w:rPr>
          <w:rFonts w:hint="eastAsia" w:ascii="仿宋" w:hAnsi="仿宋" w:cs="仿宋"/>
          <w:b/>
          <w:color w:val="000000"/>
          <w:sz w:val="24"/>
          <w:szCs w:val="24"/>
          <w:highlight w:val="none"/>
        </w:rPr>
        <w:t>甲方（采购人）：辽宁省消防救援总队</w:t>
      </w:r>
      <w:r>
        <w:rPr>
          <w:rFonts w:hint="eastAsia" w:ascii="仿宋" w:hAnsi="仿宋" w:cs="仿宋"/>
          <w:b/>
          <w:sz w:val="24"/>
          <w:szCs w:val="24"/>
          <w:highlight w:val="none"/>
        </w:rPr>
        <w:t xml:space="preserve"> </w:t>
      </w:r>
    </w:p>
    <w:p>
      <w:pPr>
        <w:spacing w:after="100" w:line="360" w:lineRule="auto"/>
        <w:jc w:val="left"/>
        <w:rPr>
          <w:rFonts w:ascii="仿宋" w:hAnsi="仿宋" w:cs="Times New Roman"/>
          <w:kern w:val="0"/>
          <w:sz w:val="24"/>
          <w:szCs w:val="24"/>
          <w:highlight w:val="none"/>
        </w:rPr>
      </w:pPr>
      <w:r>
        <w:rPr>
          <w:rFonts w:hint="eastAsia" w:ascii="仿宋" w:hAnsi="仿宋" w:cs="仿宋"/>
          <w:b/>
          <w:color w:val="000000"/>
          <w:sz w:val="24"/>
          <w:szCs w:val="24"/>
          <w:highlight w:val="none"/>
        </w:rPr>
        <w:t>乙方（中标人）：xxxx</w:t>
      </w:r>
    </w:p>
    <w:p>
      <w:pPr>
        <w:widowControl/>
        <w:adjustRightInd w:val="0"/>
        <w:spacing w:line="360" w:lineRule="auto"/>
        <w:ind w:firstLine="420" w:firstLineChars="200"/>
        <w:rPr>
          <w:rFonts w:ascii="仿宋" w:hAnsi="仿宋" w:cs="Times New Roman"/>
          <w:kern w:val="0"/>
          <w:sz w:val="24"/>
          <w:szCs w:val="24"/>
          <w:highlight w:val="none"/>
        </w:rPr>
      </w:pPr>
      <w:r>
        <w:rPr>
          <w:rFonts w:hint="eastAsia" w:ascii="仿宋_GB2312" w:hAnsi="Times New Roman" w:eastAsia="仿宋_GB2312" w:cs="仿宋_GB2312"/>
          <w:highlight w:val="none"/>
          <w:u w:val="single"/>
        </w:rPr>
        <w:t>辽宁省消防救援总队</w:t>
      </w:r>
      <w:r>
        <w:rPr>
          <w:rFonts w:hint="eastAsia" w:ascii="仿宋_GB2312" w:hAnsi="Times New Roman" w:eastAsia="仿宋_GB2312" w:cs="仿宋_GB2312"/>
          <w:highlight w:val="none"/>
        </w:rPr>
        <w:t>和</w:t>
      </w:r>
      <w:r>
        <w:rPr>
          <w:rFonts w:hint="eastAsia" w:ascii="仿宋_GB2312" w:hAnsi="Times New Roman" w:eastAsia="仿宋_GB2312" w:cs="仿宋_GB2312"/>
          <w:highlight w:val="none"/>
          <w:u w:val="single"/>
        </w:rPr>
        <w:t xml:space="preserve">   (乙方名称)    </w:t>
      </w:r>
      <w:r>
        <w:rPr>
          <w:rFonts w:hint="eastAsia" w:ascii="仿宋_GB2312" w:hAnsi="Times New Roman" w:eastAsia="仿宋_GB2312" w:cs="仿宋_GB2312"/>
          <w:highlight w:val="none"/>
        </w:rPr>
        <w:t xml:space="preserve"> </w:t>
      </w:r>
      <w:r>
        <w:rPr>
          <w:rFonts w:ascii="仿宋" w:hAnsi="仿宋" w:cs="Times New Roman"/>
          <w:kern w:val="0"/>
          <w:sz w:val="24"/>
          <w:szCs w:val="24"/>
          <w:highlight w:val="none"/>
        </w:rPr>
        <w:t>，</w:t>
      </w:r>
      <w:r>
        <w:rPr>
          <w:rFonts w:hint="eastAsia" w:ascii="仿宋" w:hAnsi="仿宋" w:cs="Times New Roman"/>
          <w:kern w:val="0"/>
          <w:sz w:val="24"/>
          <w:szCs w:val="24"/>
          <w:highlight w:val="none"/>
        </w:rPr>
        <w:t>根据《中华人民共和国民法典》和有关法律法规，遵循平等、自愿、公平和诚实信用原则，</w:t>
      </w:r>
      <w:r>
        <w:rPr>
          <w:rFonts w:ascii="仿宋" w:hAnsi="仿宋" w:cs="Times New Roman"/>
          <w:kern w:val="0"/>
          <w:sz w:val="24"/>
          <w:szCs w:val="24"/>
          <w:highlight w:val="none"/>
        </w:rPr>
        <w:t>本着质量可靠、价格合理、服务周到、交货按时的原则，就乙方向甲方生产供应货物事宜，共同签订本合同。本合同所列明的各项条款，甲乙双方应共同遵守执行。</w:t>
      </w:r>
    </w:p>
    <w:p>
      <w:pPr>
        <w:widowControl/>
        <w:adjustRightInd w:val="0"/>
        <w:spacing w:line="360" w:lineRule="auto"/>
        <w:ind w:firstLine="480" w:firstLineChars="200"/>
        <w:outlineLvl w:val="0"/>
        <w:rPr>
          <w:rFonts w:ascii="仿宋" w:hAnsi="仿宋" w:cs="Times New Roman"/>
          <w:b/>
          <w:kern w:val="0"/>
          <w:sz w:val="24"/>
          <w:szCs w:val="24"/>
          <w:highlight w:val="none"/>
        </w:rPr>
      </w:pPr>
      <w:bookmarkStart w:id="133" w:name="_Toc13230_WPSOffice_Level2"/>
      <w:r>
        <w:rPr>
          <w:rFonts w:ascii="仿宋" w:hAnsi="仿宋" w:cs="Times New Roman"/>
          <w:b/>
          <w:kern w:val="0"/>
          <w:sz w:val="24"/>
          <w:szCs w:val="24"/>
          <w:highlight w:val="none"/>
        </w:rPr>
        <w:t>一、政府采购合同文件</w:t>
      </w:r>
      <w:bookmarkEnd w:id="133"/>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本政府采购合同所附下列文件是构成本政府采购合同不可分割的部分：</w:t>
      </w:r>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1.招标文件</w:t>
      </w:r>
      <w:r>
        <w:rPr>
          <w:rFonts w:hint="eastAsia" w:ascii="仿宋" w:hAnsi="仿宋" w:cs="仿宋"/>
          <w:color w:val="000000"/>
          <w:kern w:val="0"/>
          <w:sz w:val="24"/>
          <w:szCs w:val="24"/>
          <w:highlight w:val="none"/>
        </w:rPr>
        <w:t>（招标文件编号）</w:t>
      </w:r>
      <w:r>
        <w:rPr>
          <w:rFonts w:ascii="仿宋" w:hAnsi="仿宋" w:cs="Times New Roman"/>
          <w:kern w:val="0"/>
          <w:sz w:val="24"/>
          <w:szCs w:val="24"/>
          <w:highlight w:val="none"/>
        </w:rPr>
        <w:t>；</w:t>
      </w:r>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2.招标文件的更正公告；</w:t>
      </w:r>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3.中标人提交的投标文件；</w:t>
      </w:r>
    </w:p>
    <w:p>
      <w:pPr>
        <w:widowControl/>
        <w:adjustRightInd w:val="0"/>
        <w:spacing w:line="360" w:lineRule="auto"/>
        <w:ind w:firstLine="480" w:firstLineChars="200"/>
        <w:rPr>
          <w:rFonts w:ascii="仿宋" w:hAnsi="仿宋" w:cs="Times New Roman"/>
          <w:kern w:val="0"/>
          <w:sz w:val="24"/>
          <w:szCs w:val="24"/>
          <w:highlight w:val="none"/>
        </w:rPr>
      </w:pPr>
      <w:r>
        <w:rPr>
          <w:rFonts w:hint="eastAsia" w:ascii="仿宋" w:hAnsi="仿宋" w:cs="Times New Roman"/>
          <w:kern w:val="0"/>
          <w:sz w:val="24"/>
          <w:szCs w:val="24"/>
          <w:highlight w:val="none"/>
        </w:rPr>
        <w:t>4</w:t>
      </w:r>
      <w:r>
        <w:rPr>
          <w:rFonts w:ascii="仿宋" w:hAnsi="仿宋" w:cs="Times New Roman"/>
          <w:kern w:val="0"/>
          <w:sz w:val="24"/>
          <w:szCs w:val="24"/>
          <w:highlight w:val="none"/>
        </w:rPr>
        <w:t>.中标通知书；</w:t>
      </w:r>
    </w:p>
    <w:p>
      <w:pPr>
        <w:widowControl/>
        <w:adjustRightInd w:val="0"/>
        <w:spacing w:line="360" w:lineRule="auto"/>
        <w:ind w:firstLine="480" w:firstLineChars="200"/>
        <w:rPr>
          <w:rFonts w:ascii="仿宋" w:hAnsi="仿宋" w:cs="Times New Roman"/>
          <w:kern w:val="0"/>
          <w:sz w:val="24"/>
          <w:szCs w:val="24"/>
          <w:highlight w:val="none"/>
        </w:rPr>
      </w:pPr>
      <w:r>
        <w:rPr>
          <w:rFonts w:hint="eastAsia" w:ascii="仿宋" w:hAnsi="仿宋" w:cs="Times New Roman"/>
          <w:kern w:val="0"/>
          <w:sz w:val="24"/>
          <w:szCs w:val="24"/>
          <w:highlight w:val="none"/>
        </w:rPr>
        <w:t>5</w:t>
      </w:r>
      <w:r>
        <w:rPr>
          <w:rFonts w:ascii="仿宋" w:hAnsi="仿宋" w:cs="Times New Roman"/>
          <w:kern w:val="0"/>
          <w:sz w:val="24"/>
          <w:szCs w:val="24"/>
          <w:highlight w:val="none"/>
        </w:rPr>
        <w:t>.政府采购合同的其它附件。</w:t>
      </w:r>
    </w:p>
    <w:p>
      <w:pPr>
        <w:widowControl/>
        <w:adjustRightInd w:val="0"/>
        <w:spacing w:line="360" w:lineRule="auto"/>
        <w:ind w:firstLine="480" w:firstLineChars="200"/>
        <w:outlineLvl w:val="0"/>
        <w:rPr>
          <w:rFonts w:ascii="仿宋" w:hAnsi="仿宋" w:cs="Times New Roman"/>
          <w:b/>
          <w:kern w:val="0"/>
          <w:sz w:val="24"/>
          <w:szCs w:val="24"/>
          <w:highlight w:val="none"/>
        </w:rPr>
      </w:pPr>
      <w:bookmarkStart w:id="134" w:name="_Toc19527_WPSOffice_Level2"/>
      <w:r>
        <w:rPr>
          <w:rFonts w:ascii="仿宋" w:hAnsi="仿宋" w:cs="Times New Roman"/>
          <w:b/>
          <w:kern w:val="0"/>
          <w:sz w:val="24"/>
          <w:szCs w:val="24"/>
          <w:highlight w:val="none"/>
        </w:rPr>
        <w:t>二、政府采购合同范围和条件</w:t>
      </w:r>
      <w:bookmarkEnd w:id="134"/>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本政府采购合同的范围和条件与上述政府采购合同文件的规定相一致。</w:t>
      </w:r>
    </w:p>
    <w:p>
      <w:pPr>
        <w:widowControl/>
        <w:adjustRightInd w:val="0"/>
        <w:spacing w:line="360" w:lineRule="auto"/>
        <w:ind w:firstLine="480" w:firstLineChars="200"/>
        <w:outlineLvl w:val="0"/>
        <w:rPr>
          <w:rFonts w:ascii="仿宋" w:hAnsi="仿宋" w:cs="Times New Roman"/>
          <w:b/>
          <w:kern w:val="0"/>
          <w:sz w:val="24"/>
          <w:szCs w:val="24"/>
          <w:highlight w:val="none"/>
        </w:rPr>
      </w:pPr>
      <w:bookmarkStart w:id="135" w:name="_Toc18050_WPSOffice_Level2"/>
      <w:r>
        <w:rPr>
          <w:rFonts w:ascii="仿宋" w:hAnsi="仿宋" w:cs="Times New Roman"/>
          <w:b/>
          <w:kern w:val="0"/>
          <w:sz w:val="24"/>
          <w:szCs w:val="24"/>
          <w:highlight w:val="none"/>
        </w:rPr>
        <w:t>三、政府采购合同标的</w:t>
      </w:r>
      <w:bookmarkEnd w:id="135"/>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本政府采购合同的标的为招标文件中所列货物及相关服务</w:t>
      </w:r>
      <w:r>
        <w:rPr>
          <w:rFonts w:hint="eastAsia" w:ascii="仿宋" w:hAnsi="仿宋" w:cs="Times New Roman"/>
          <w:kern w:val="0"/>
          <w:sz w:val="24"/>
          <w:szCs w:val="24"/>
          <w:highlight w:val="none"/>
        </w:rPr>
        <w:t>，乙方货物及相关服务应符合招标文件数量和质量要求，并符合投标文件承诺数量和质量标准</w:t>
      </w:r>
      <w:r>
        <w:rPr>
          <w:rFonts w:ascii="仿宋" w:hAnsi="仿宋" w:cs="Times New Roman"/>
          <w:kern w:val="0"/>
          <w:sz w:val="24"/>
          <w:szCs w:val="24"/>
          <w:highlight w:val="none"/>
        </w:rPr>
        <w:t>。</w:t>
      </w:r>
    </w:p>
    <w:p>
      <w:pPr>
        <w:widowControl/>
        <w:adjustRightInd w:val="0"/>
        <w:spacing w:line="360" w:lineRule="auto"/>
        <w:ind w:firstLine="480" w:firstLineChars="200"/>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四、政府采购</w:t>
      </w:r>
      <w:r>
        <w:rPr>
          <w:rFonts w:ascii="仿宋" w:hAnsi="仿宋" w:cs="Times New Roman"/>
          <w:b/>
          <w:kern w:val="0"/>
          <w:sz w:val="24"/>
          <w:szCs w:val="24"/>
          <w:highlight w:val="none"/>
        </w:rPr>
        <w:t>合同金额</w:t>
      </w:r>
    </w:p>
    <w:p>
      <w:pPr>
        <w:widowControl/>
        <w:adjustRightInd w:val="0"/>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根据上述政府采购合同文件要求，政府采购合同的总金额为人民币</w:t>
      </w:r>
      <w:r>
        <w:rPr>
          <w:rFonts w:hint="eastAsia" w:ascii="仿宋" w:hAnsi="仿宋" w:cs="仿宋"/>
          <w:color w:val="000000"/>
          <w:kern w:val="0"/>
          <w:sz w:val="24"/>
          <w:szCs w:val="24"/>
          <w:highlight w:val="none"/>
        </w:rPr>
        <w:t>XX</w:t>
      </w:r>
      <w:r>
        <w:rPr>
          <w:rFonts w:hint="eastAsia" w:ascii="仿宋" w:hAnsi="仿宋" w:cs="Times New Roman"/>
          <w:kern w:val="0"/>
          <w:sz w:val="24"/>
          <w:szCs w:val="24"/>
          <w:highlight w:val="none"/>
          <w:u w:val="single"/>
        </w:rPr>
        <w:t>元整</w:t>
      </w:r>
      <w:r>
        <w:rPr>
          <w:rFonts w:hint="eastAsia" w:ascii="仿宋" w:hAnsi="仿宋" w:cs="Times New Roman"/>
          <w:kern w:val="0"/>
          <w:sz w:val="24"/>
          <w:szCs w:val="24"/>
          <w:highlight w:val="none"/>
        </w:rPr>
        <w:t>，小写</w:t>
      </w:r>
      <w:r>
        <w:rPr>
          <w:rFonts w:hint="eastAsia" w:ascii="仿宋" w:hAnsi="仿宋" w:cs="仿宋"/>
          <w:color w:val="000000"/>
          <w:kern w:val="0"/>
          <w:sz w:val="24"/>
          <w:szCs w:val="24"/>
          <w:highlight w:val="none"/>
        </w:rPr>
        <w:t>¥XX</w:t>
      </w:r>
      <w:r>
        <w:rPr>
          <w:rFonts w:ascii="仿宋" w:hAnsi="仿宋" w:cs="Times New Roman"/>
          <w:kern w:val="0"/>
          <w:sz w:val="24"/>
          <w:szCs w:val="24"/>
          <w:highlight w:val="none"/>
        </w:rPr>
        <w:t>元</w:t>
      </w:r>
      <w:r>
        <w:rPr>
          <w:rFonts w:hint="eastAsia" w:ascii="仿宋" w:hAnsi="仿宋" w:cs="Times New Roman"/>
          <w:kern w:val="0"/>
          <w:sz w:val="24"/>
          <w:szCs w:val="24"/>
          <w:highlight w:val="none"/>
        </w:rPr>
        <w:t>（含税价）</w:t>
      </w:r>
      <w:r>
        <w:rPr>
          <w:rFonts w:ascii="仿宋" w:hAnsi="仿宋" w:cs="Times New Roman"/>
          <w:kern w:val="0"/>
          <w:sz w:val="24"/>
          <w:szCs w:val="24"/>
          <w:highlight w:val="none"/>
        </w:rPr>
        <w:t>。</w:t>
      </w:r>
      <w:r>
        <w:rPr>
          <w:rFonts w:hint="eastAsia" w:ascii="仿宋" w:hAnsi="仿宋" w:cs="Times New Roman"/>
          <w:kern w:val="0"/>
          <w:sz w:val="24"/>
          <w:szCs w:val="24"/>
          <w:highlight w:val="none"/>
        </w:rPr>
        <w:t>如国家政策导致税率调整，不含税价格不变，税金依据政策进行相应调整。</w:t>
      </w:r>
    </w:p>
    <w:tbl>
      <w:tblPr>
        <w:tblStyle w:val="23"/>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93"/>
        <w:gridCol w:w="934"/>
        <w:gridCol w:w="785"/>
        <w:gridCol w:w="469"/>
        <w:gridCol w:w="735"/>
        <w:gridCol w:w="780"/>
        <w:gridCol w:w="930"/>
        <w:gridCol w:w="1110"/>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highlight w:val="none"/>
              </w:rPr>
              <w:t>序号</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highlight w:val="none"/>
              </w:rPr>
              <w:t>货物品类名称</w:t>
            </w: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highlight w:val="none"/>
              </w:rPr>
              <w:t>品牌</w:t>
            </w: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highlight w:val="none"/>
              </w:rPr>
            </w:pPr>
            <w:r>
              <w:rPr>
                <w:rFonts w:hint="default" w:ascii="仿宋" w:hAnsi="仿宋" w:cs="Times New Roman"/>
                <w:highlight w:val="none"/>
              </w:rPr>
              <w:t>型号</w:t>
            </w:r>
          </w:p>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highlight w:val="none"/>
              </w:rPr>
              <w:t>规格</w:t>
            </w: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highlight w:val="none"/>
              </w:rPr>
              <w:t>数量</w:t>
            </w: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highlight w:val="none"/>
              </w:rPr>
              <w:t>原产地</w:t>
            </w: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highlight w:val="none"/>
              </w:rPr>
              <w:t>制造商名称</w:t>
            </w: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highlight w:val="none"/>
              </w:rPr>
              <w:t>单价</w:t>
            </w: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highlight w:val="none"/>
              </w:rPr>
              <w:t>总价</w:t>
            </w: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1</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2</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3</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4</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5</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6</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7</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8</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9</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10</w:t>
            </w:r>
          </w:p>
        </w:tc>
        <w:tc>
          <w:tcPr>
            <w:tcW w:w="993"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4"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46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35"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78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93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111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c>
          <w:tcPr>
            <w:tcW w:w="639"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default" w:ascii="仿宋" w:hAnsi="仿宋" w:cs="Times New Roman"/>
                <w:color w:val="auto"/>
                <w:szCs w:val="21"/>
                <w:highlight w:val="none"/>
              </w:rPr>
              <w:t>总价</w:t>
            </w:r>
          </w:p>
        </w:tc>
        <w:tc>
          <w:tcPr>
            <w:tcW w:w="7375" w:type="dxa"/>
            <w:gridSpan w:val="9"/>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color w:val="auto"/>
                <w:szCs w:val="21"/>
                <w:highlight w:val="none"/>
              </w:rPr>
              <w:t>大写：人民币</w:t>
            </w:r>
            <w:r>
              <w:rPr>
                <w:rFonts w:hint="eastAsia" w:ascii="仿宋" w:hAnsi="仿宋" w:cs="Times New Roman"/>
                <w:color w:val="auto"/>
                <w:szCs w:val="21"/>
                <w:highlight w:val="none"/>
                <w:lang w:val="en-US" w:eastAsia="zh-CN"/>
              </w:rPr>
              <w:t>XX</w:t>
            </w:r>
            <w:r>
              <w:rPr>
                <w:rFonts w:hint="eastAsia" w:ascii="仿宋" w:hAnsi="仿宋" w:cs="Times New Roman"/>
                <w:color w:val="auto"/>
                <w:szCs w:val="21"/>
                <w:highlight w:val="none"/>
              </w:rPr>
              <w:t>元整，小写：￥</w:t>
            </w:r>
            <w:r>
              <w:rPr>
                <w:rFonts w:hint="eastAsia" w:ascii="仿宋" w:hAnsi="仿宋" w:cs="Times New Roman"/>
                <w:color w:val="auto"/>
                <w:szCs w:val="21"/>
                <w:highlight w:val="none"/>
                <w:lang w:val="en-US" w:eastAsia="zh-CN"/>
              </w:rPr>
              <w:t>XX</w:t>
            </w:r>
            <w:r>
              <w:rPr>
                <w:rFonts w:hint="eastAsia" w:ascii="仿宋" w:hAnsi="仿宋" w:cs="Times New Roman"/>
                <w:color w:val="auto"/>
                <w:szCs w:val="21"/>
                <w:highlight w:val="none"/>
              </w:rPr>
              <w:t>元</w:t>
            </w:r>
            <w:r>
              <w:rPr>
                <w:rFonts w:hint="eastAsia" w:ascii="仿宋" w:hAnsi="仿宋" w:cs="Times New Roman"/>
                <w:color w:val="auto"/>
                <w:szCs w:val="21"/>
                <w:highlight w:val="none"/>
                <w:lang w:val="en-US" w:eastAsia="zh-CN"/>
              </w:rPr>
              <w:t>整</w:t>
            </w:r>
            <w:r>
              <w:rPr>
                <w:rFonts w:hint="eastAsia" w:ascii="仿宋" w:hAnsi="仿宋" w:cs="Times New Roman"/>
                <w:color w:val="auto"/>
                <w:szCs w:val="21"/>
                <w:highlight w:val="none"/>
              </w:rPr>
              <w:t>（含税价）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8135" w:type="dxa"/>
            <w:gridSpan w:val="10"/>
            <w:vAlign w:val="center"/>
          </w:tcPr>
          <w:p>
            <w:pPr>
              <w:keepNext w:val="0"/>
              <w:keepLines w:val="0"/>
              <w:suppressLineNumbers w:val="0"/>
              <w:adjustRightInd w:val="0"/>
              <w:snapToGrid w:val="0"/>
              <w:spacing w:before="0" w:beforeAutospacing="0" w:after="0" w:afterAutospacing="0"/>
              <w:ind w:left="-96" w:leftChars="-46" w:right="-63" w:rightChars="-30"/>
              <w:jc w:val="center"/>
              <w:rPr>
                <w:rFonts w:hint="default" w:ascii="仿宋" w:hAnsi="仿宋" w:cs="Times New Roman"/>
                <w:color w:val="auto"/>
                <w:szCs w:val="21"/>
                <w:highlight w:val="none"/>
              </w:rPr>
            </w:pPr>
            <w:r>
              <w:rPr>
                <w:rFonts w:hint="eastAsia" w:ascii="仿宋" w:hAnsi="仿宋" w:cs="Times New Roman"/>
                <w:highlight w:val="none"/>
              </w:rPr>
              <w:t>（本表格中所述总价为甲方所有自乙方处采购货物或接受服务所需支出的全部费用，包括但不限于：原材料、生产、包装、运输费、装卸费、保险费、检测费用、验收费用、国家征收的所有相关税费）</w:t>
            </w:r>
          </w:p>
        </w:tc>
      </w:tr>
    </w:tbl>
    <w:p>
      <w:pPr>
        <w:widowControl/>
        <w:adjustRightInd w:val="0"/>
        <w:spacing w:line="360" w:lineRule="auto"/>
        <w:ind w:firstLine="480" w:firstLineChars="200"/>
        <w:jc w:val="left"/>
        <w:outlineLvl w:val="0"/>
        <w:rPr>
          <w:rFonts w:ascii="仿宋" w:hAnsi="仿宋" w:cs="宋体"/>
          <w:b/>
          <w:kern w:val="0"/>
          <w:sz w:val="24"/>
          <w:szCs w:val="24"/>
          <w:highlight w:val="none"/>
        </w:rPr>
      </w:pPr>
      <w:r>
        <w:rPr>
          <w:rFonts w:hint="eastAsia" w:ascii="仿宋" w:hAnsi="仿宋" w:cs="宋体"/>
          <w:b/>
          <w:kern w:val="0"/>
          <w:sz w:val="24"/>
          <w:szCs w:val="24"/>
          <w:highlight w:val="none"/>
        </w:rPr>
        <w:t>五</w:t>
      </w:r>
      <w:r>
        <w:rPr>
          <w:rFonts w:ascii="仿宋" w:hAnsi="仿宋" w:cs="宋体"/>
          <w:b/>
          <w:kern w:val="0"/>
          <w:sz w:val="24"/>
          <w:szCs w:val="24"/>
          <w:highlight w:val="none"/>
        </w:rPr>
        <w:t>、交货时间及交货地点</w:t>
      </w:r>
    </w:p>
    <w:p>
      <w:pPr>
        <w:spacing w:line="360" w:lineRule="auto"/>
        <w:ind w:firstLine="480" w:firstLineChars="200"/>
        <w:rPr>
          <w:rFonts w:ascii="仿宋" w:hAnsi="仿宋" w:cs="仿宋"/>
          <w:sz w:val="24"/>
          <w:szCs w:val="24"/>
          <w:highlight w:val="none"/>
        </w:rPr>
      </w:pPr>
      <w:r>
        <w:rPr>
          <w:rFonts w:ascii="仿宋" w:hAnsi="仿宋" w:cs="仿宋"/>
          <w:sz w:val="24"/>
          <w:szCs w:val="24"/>
          <w:highlight w:val="none"/>
        </w:rPr>
        <w:t xml:space="preserve">1.交货时间：乙方应于签订之日起 </w:t>
      </w:r>
      <w:r>
        <w:rPr>
          <w:rFonts w:hint="eastAsia" w:ascii="仿宋" w:hAnsi="仿宋" w:cs="仿宋"/>
          <w:color w:val="000000"/>
          <w:kern w:val="0"/>
          <w:sz w:val="24"/>
          <w:szCs w:val="24"/>
          <w:highlight w:val="none"/>
        </w:rPr>
        <w:t>XX</w:t>
      </w:r>
      <w:r>
        <w:rPr>
          <w:rFonts w:hint="eastAsia" w:ascii="仿宋" w:hAnsi="仿宋" w:cs="仿宋"/>
          <w:color w:val="000000"/>
          <w:kern w:val="0"/>
          <w:sz w:val="24"/>
          <w:szCs w:val="24"/>
          <w:highlight w:val="none"/>
          <w:u w:val="single"/>
        </w:rPr>
        <w:t>日</w:t>
      </w:r>
      <w:r>
        <w:rPr>
          <w:rFonts w:hint="eastAsia" w:ascii="仿宋" w:hAnsi="仿宋" w:cs="仿宋"/>
          <w:color w:val="000000"/>
          <w:kern w:val="0"/>
          <w:sz w:val="24"/>
          <w:szCs w:val="24"/>
          <w:highlight w:val="none"/>
        </w:rPr>
        <w:t>内</w:t>
      </w:r>
      <w:r>
        <w:rPr>
          <w:rFonts w:ascii="仿宋" w:hAnsi="仿宋" w:cs="仿宋"/>
          <w:sz w:val="24"/>
          <w:szCs w:val="24"/>
          <w:highlight w:val="none"/>
        </w:rPr>
        <w:t>向甲方交付全部货物且完成终验收并交付使用。(中标文件交货期限与本条款不一致的，以中标文件相应承诺期限为准)</w:t>
      </w:r>
    </w:p>
    <w:p>
      <w:pPr>
        <w:spacing w:line="360" w:lineRule="auto"/>
        <w:ind w:firstLine="480" w:firstLineChars="200"/>
        <w:rPr>
          <w:rFonts w:ascii="仿宋" w:hAnsi="仿宋" w:cs="仿宋"/>
          <w:sz w:val="24"/>
          <w:szCs w:val="24"/>
          <w:highlight w:val="none"/>
        </w:rPr>
      </w:pPr>
      <w:r>
        <w:rPr>
          <w:rFonts w:ascii="仿宋" w:hAnsi="仿宋" w:cs="仿宋"/>
          <w:sz w:val="24"/>
          <w:szCs w:val="24"/>
          <w:highlight w:val="none"/>
        </w:rPr>
        <w:t>2.交货地点：</w:t>
      </w:r>
      <w:r>
        <w:rPr>
          <w:rFonts w:hint="eastAsia" w:ascii="仿宋" w:hAnsi="仿宋" w:cs="仿宋"/>
          <w:sz w:val="24"/>
          <w:szCs w:val="24"/>
          <w:highlight w:val="none"/>
        </w:rPr>
        <w:t>辽宁省消防救援总队训练与战勤保障支队</w:t>
      </w:r>
      <w:r>
        <w:rPr>
          <w:rFonts w:ascii="仿宋" w:hAnsi="仿宋" w:cs="仿宋"/>
          <w:sz w:val="24"/>
          <w:szCs w:val="24"/>
          <w:highlight w:val="none"/>
        </w:rPr>
        <w:t>。</w:t>
      </w:r>
    </w:p>
    <w:p>
      <w:pPr>
        <w:spacing w:line="360" w:lineRule="auto"/>
        <w:ind w:firstLine="480" w:firstLineChars="200"/>
        <w:jc w:val="left"/>
        <w:rPr>
          <w:rFonts w:ascii="仿宋" w:hAnsi="仿宋" w:cs="仿宋"/>
          <w:b/>
          <w:bCs/>
          <w:sz w:val="24"/>
          <w:szCs w:val="24"/>
          <w:highlight w:val="none"/>
        </w:rPr>
      </w:pPr>
      <w:r>
        <w:rPr>
          <w:rFonts w:hint="eastAsia" w:ascii="仿宋" w:hAnsi="仿宋" w:cs="仿宋"/>
          <w:b/>
          <w:bCs/>
          <w:sz w:val="24"/>
          <w:szCs w:val="24"/>
          <w:highlight w:val="none"/>
        </w:rPr>
        <w:t>六、货物发货</w:t>
      </w:r>
    </w:p>
    <w:p>
      <w:pPr>
        <w:spacing w:line="360" w:lineRule="auto"/>
        <w:ind w:firstLine="480" w:firstLineChars="200"/>
        <w:jc w:val="left"/>
        <w:rPr>
          <w:rFonts w:ascii="仿宋" w:hAnsi="仿宋" w:cs="仿宋"/>
          <w:color w:val="000000"/>
          <w:sz w:val="24"/>
          <w:szCs w:val="24"/>
          <w:highlight w:val="none"/>
        </w:rPr>
      </w:pPr>
      <w:r>
        <w:rPr>
          <w:rFonts w:hint="eastAsia" w:ascii="仿宋" w:hAnsi="仿宋" w:cs="仿宋"/>
          <w:color w:val="000000"/>
          <w:sz w:val="24"/>
          <w:szCs w:val="24"/>
          <w:highlight w:val="none"/>
        </w:rPr>
        <w:t>1.货物发运可以根据甲方需要一次性或分批次发货，并在货物发运前向甲方报送发货清单。乙方应将全部货物发运至交货清单中指定地址，待甲方验收合格后，交付至甲方。货物交付前，一切数量缺失、产品损坏等风险均由乙方承担。</w:t>
      </w:r>
    </w:p>
    <w:p>
      <w:pPr>
        <w:spacing w:line="360" w:lineRule="auto"/>
        <w:ind w:firstLine="480" w:firstLineChars="200"/>
        <w:jc w:val="left"/>
        <w:rPr>
          <w:rFonts w:ascii="仿宋" w:hAnsi="仿宋" w:cs="仿宋"/>
          <w:sz w:val="24"/>
          <w:szCs w:val="24"/>
          <w:highlight w:val="none"/>
        </w:rPr>
      </w:pPr>
      <w:r>
        <w:rPr>
          <w:rFonts w:hint="eastAsia" w:ascii="仿宋" w:hAnsi="仿宋" w:cs="仿宋"/>
          <w:sz w:val="24"/>
          <w:szCs w:val="24"/>
          <w:highlight w:val="none"/>
        </w:rPr>
        <w:t>2.本合同签订后在投标文件承诺的交货期之内向甲方交付完毕全部货物。</w:t>
      </w:r>
    </w:p>
    <w:p>
      <w:pPr>
        <w:spacing w:line="360" w:lineRule="auto"/>
        <w:ind w:firstLine="480" w:firstLineChars="200"/>
        <w:rPr>
          <w:rFonts w:ascii="Times New Roman" w:hAnsi="Times New Roman" w:cs="Times New Roman"/>
          <w:szCs w:val="24"/>
          <w:highlight w:val="none"/>
        </w:rPr>
      </w:pPr>
      <w:r>
        <w:rPr>
          <w:rFonts w:hint="eastAsia" w:ascii="仿宋" w:hAnsi="仿宋" w:cs="仿宋"/>
          <w:sz w:val="24"/>
          <w:szCs w:val="24"/>
          <w:highlight w:val="none"/>
        </w:rPr>
        <w:t>3.乙方交货的同时应提交下列文件：制造厂商出具的质量检验证书、产品合格证、说明书、产地证明、质量保证期限与方式、售后服务等能够证明产品符合使用要求的单证以及测试、运行等方面的技术文件及招标文件、投标文件确定供方应随货物同时提供的其他资料。</w:t>
      </w:r>
    </w:p>
    <w:p>
      <w:pPr>
        <w:spacing w:line="360" w:lineRule="auto"/>
        <w:ind w:firstLine="480" w:firstLineChars="200"/>
        <w:rPr>
          <w:rFonts w:ascii="仿宋" w:hAnsi="仿宋" w:cs="仿宋"/>
          <w:b/>
          <w:bCs/>
          <w:sz w:val="24"/>
          <w:szCs w:val="24"/>
          <w:highlight w:val="none"/>
        </w:rPr>
      </w:pPr>
      <w:r>
        <w:rPr>
          <w:rFonts w:hint="eastAsia" w:ascii="仿宋" w:hAnsi="仿宋" w:cs="仿宋"/>
          <w:b/>
          <w:bCs/>
          <w:sz w:val="24"/>
          <w:szCs w:val="24"/>
          <w:highlight w:val="none"/>
        </w:rPr>
        <w:t>七</w:t>
      </w:r>
      <w:r>
        <w:rPr>
          <w:rFonts w:ascii="仿宋" w:hAnsi="仿宋" w:cs="仿宋"/>
          <w:b/>
          <w:bCs/>
          <w:sz w:val="24"/>
          <w:szCs w:val="24"/>
          <w:highlight w:val="none"/>
        </w:rPr>
        <w:t>、付款方式及条件</w:t>
      </w:r>
    </w:p>
    <w:p>
      <w:pPr>
        <w:spacing w:line="360" w:lineRule="auto"/>
        <w:ind w:firstLine="480" w:firstLineChars="200"/>
        <w:rPr>
          <w:rFonts w:hint="eastAsia" w:ascii="仿宋" w:hAnsi="仿宋" w:cs="仿宋"/>
          <w:color w:val="auto"/>
          <w:sz w:val="24"/>
          <w:highlight w:val="none"/>
        </w:rPr>
      </w:pPr>
      <w:r>
        <w:rPr>
          <w:rFonts w:hint="eastAsia" w:ascii="仿宋" w:hAnsi="仿宋" w:cs="仿宋"/>
          <w:color w:val="auto"/>
          <w:sz w:val="24"/>
          <w:highlight w:val="none"/>
        </w:rPr>
        <w:t>1、合同签订后，乙方向甲方提供合同金额30%的发票，乙方同时需提供不可撤销、不可转让的见索即付的等额独立保函后，甲方向乙方支付合同总额的30%预付款；如乙方无法在供货前开具保函，乙方供货至指定地点后，乙方向甲方提供合同金额30%的发票后，甲方向乙方支付合同总额的30%预付款。货到验收合格且履约验收审计通过，根据履约验收审计意见确定付款金额。乙方向甲方提供足额有效的发票（发票金额依据结算审计意见确定），甲方支付应付金额100%的货款（扣除30%预付款）。</w:t>
      </w:r>
    </w:p>
    <w:p>
      <w:pPr>
        <w:spacing w:line="360" w:lineRule="auto"/>
        <w:ind w:firstLine="480" w:firstLineChars="200"/>
        <w:rPr>
          <w:rFonts w:ascii="仿宋" w:hAnsi="仿宋" w:cs="仿宋"/>
          <w:sz w:val="24"/>
          <w:szCs w:val="24"/>
          <w:highlight w:val="none"/>
        </w:rPr>
      </w:pPr>
      <w:r>
        <w:rPr>
          <w:rFonts w:hint="eastAsia" w:ascii="仿宋" w:hAnsi="仿宋" w:cs="仿宋"/>
          <w:color w:val="auto"/>
          <w:sz w:val="24"/>
          <w:highlight w:val="none"/>
        </w:rPr>
        <w:t>2、开具保函的银行需选择：中国工商银行、中国农业银行、中国银行、中国建设银行、交通银行、中国光大银行、中信银行、招商银行、中国邮政储蓄银行、中国民生银行、浦发银行、兴业银行、广发银行（保函有效期不低于12个月）。</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3</w:t>
      </w:r>
      <w:r>
        <w:rPr>
          <w:rFonts w:ascii="仿宋" w:hAnsi="仿宋" w:cs="仿宋"/>
          <w:sz w:val="24"/>
          <w:szCs w:val="24"/>
          <w:highlight w:val="none"/>
        </w:rPr>
        <w:t>.如因乙方未提供符合要求的发票导致甲方未按约定付款的，甲方不承担违约责任。</w:t>
      </w:r>
    </w:p>
    <w:p>
      <w:pPr>
        <w:widowControl/>
        <w:adjustRightInd w:val="0"/>
        <w:spacing w:line="360" w:lineRule="auto"/>
        <w:ind w:firstLine="470" w:firstLineChars="196"/>
        <w:jc w:val="left"/>
        <w:outlineLvl w:val="0"/>
        <w:rPr>
          <w:rFonts w:ascii="仿宋" w:hAnsi="仿宋" w:cs="仿宋"/>
          <w:sz w:val="24"/>
          <w:szCs w:val="24"/>
          <w:highlight w:val="none"/>
        </w:rPr>
      </w:pPr>
      <w:r>
        <w:rPr>
          <w:rFonts w:hint="eastAsia" w:ascii="仿宋" w:hAnsi="仿宋" w:cs="仿宋"/>
          <w:sz w:val="24"/>
          <w:szCs w:val="24"/>
          <w:highlight w:val="none"/>
        </w:rPr>
        <w:t>4</w:t>
      </w:r>
      <w:r>
        <w:rPr>
          <w:rFonts w:ascii="仿宋" w:hAnsi="仿宋" w:cs="仿宋"/>
          <w:sz w:val="24"/>
          <w:szCs w:val="24"/>
          <w:highlight w:val="none"/>
        </w:rPr>
        <w:t>.本合同以人民币结算，付款方式：银行转账。</w:t>
      </w:r>
    </w:p>
    <w:p>
      <w:pPr>
        <w:widowControl/>
        <w:adjustRightInd w:val="0"/>
        <w:spacing w:line="360" w:lineRule="auto"/>
        <w:ind w:firstLine="480" w:firstLineChars="200"/>
        <w:jc w:val="left"/>
        <w:outlineLvl w:val="0"/>
        <w:rPr>
          <w:rFonts w:ascii="仿宋" w:hAnsi="仿宋" w:cs="宋体"/>
          <w:b/>
          <w:kern w:val="0"/>
          <w:sz w:val="24"/>
          <w:szCs w:val="24"/>
          <w:highlight w:val="none"/>
        </w:rPr>
      </w:pPr>
      <w:r>
        <w:rPr>
          <w:rFonts w:hint="eastAsia" w:ascii="仿宋" w:hAnsi="仿宋" w:cs="宋体"/>
          <w:b/>
          <w:kern w:val="0"/>
          <w:sz w:val="24"/>
          <w:szCs w:val="24"/>
          <w:highlight w:val="none"/>
        </w:rPr>
        <w:t>八、</w:t>
      </w:r>
      <w:r>
        <w:rPr>
          <w:rFonts w:ascii="仿宋" w:hAnsi="仿宋" w:cs="宋体"/>
          <w:b/>
          <w:kern w:val="0"/>
          <w:sz w:val="24"/>
          <w:szCs w:val="24"/>
          <w:highlight w:val="none"/>
        </w:rPr>
        <w:t>验收要求</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1.</w:t>
      </w:r>
      <w:r>
        <w:rPr>
          <w:rFonts w:ascii="仿宋" w:hAnsi="仿宋" w:cs="宋体"/>
          <w:kern w:val="0"/>
          <w:sz w:val="24"/>
          <w:szCs w:val="24"/>
          <w:highlight w:val="none"/>
        </w:rPr>
        <w:t>严格按照政府采购相关法律法规以及行业管理规定和</w:t>
      </w:r>
      <w:r>
        <w:rPr>
          <w:rFonts w:hint="eastAsia" w:ascii="仿宋" w:hAnsi="仿宋" w:cs="宋体"/>
          <w:kern w:val="0"/>
          <w:sz w:val="24"/>
          <w:szCs w:val="24"/>
          <w:highlight w:val="none"/>
        </w:rPr>
        <w:t>《辽宁省消防救援总队自然灾害应急能力提升工程装备建设项目验收实施方案》（详见附件）</w:t>
      </w:r>
      <w:r>
        <w:rPr>
          <w:rFonts w:ascii="仿宋" w:hAnsi="仿宋" w:cs="宋体"/>
          <w:kern w:val="0"/>
          <w:sz w:val="24"/>
          <w:szCs w:val="24"/>
          <w:highlight w:val="none"/>
        </w:rPr>
        <w:t>的要求进行验收。</w:t>
      </w:r>
    </w:p>
    <w:p>
      <w:pPr>
        <w:spacing w:line="360" w:lineRule="auto"/>
        <w:ind w:firstLine="480" w:firstLineChars="200"/>
        <w:rPr>
          <w:rFonts w:ascii="仿宋" w:hAnsi="仿宋" w:cs="仿宋"/>
          <w:sz w:val="24"/>
          <w:szCs w:val="24"/>
          <w:highlight w:val="none"/>
        </w:rPr>
      </w:pPr>
      <w:r>
        <w:rPr>
          <w:rFonts w:hint="eastAsia" w:ascii="仿宋" w:hAnsi="仿宋" w:cs="宋体"/>
          <w:kern w:val="0"/>
          <w:sz w:val="24"/>
          <w:szCs w:val="24"/>
          <w:highlight w:val="none"/>
        </w:rPr>
        <w:t>2.</w:t>
      </w:r>
      <w:r>
        <w:rPr>
          <w:rFonts w:hint="eastAsia" w:ascii="仿宋" w:hAnsi="仿宋" w:cs="仿宋"/>
          <w:sz w:val="24"/>
          <w:szCs w:val="24"/>
          <w:highlight w:val="none"/>
        </w:rPr>
        <w:t>乙方</w:t>
      </w:r>
      <w:r>
        <w:rPr>
          <w:rFonts w:ascii="仿宋" w:hAnsi="仿宋" w:cs="仿宋"/>
          <w:sz w:val="24"/>
          <w:szCs w:val="24"/>
          <w:highlight w:val="none"/>
        </w:rPr>
        <w:t>完全履行合同义务后，甲方按照</w:t>
      </w:r>
      <w:r>
        <w:rPr>
          <w:rFonts w:hint="eastAsia" w:ascii="仿宋" w:hAnsi="仿宋" w:cs="仿宋"/>
          <w:sz w:val="24"/>
          <w:szCs w:val="24"/>
          <w:highlight w:val="none"/>
        </w:rPr>
        <w:t>乙方投标时提供的样品结合</w:t>
      </w:r>
      <w:r>
        <w:rPr>
          <w:rFonts w:ascii="仿宋" w:hAnsi="仿宋" w:cs="仿宋"/>
          <w:sz w:val="24"/>
          <w:szCs w:val="24"/>
          <w:highlight w:val="none"/>
        </w:rPr>
        <w:t>上述列明的标准进行验收</w:t>
      </w:r>
      <w:r>
        <w:rPr>
          <w:rFonts w:hint="eastAsia" w:ascii="仿宋" w:hAnsi="仿宋" w:cs="仿宋"/>
          <w:sz w:val="24"/>
          <w:szCs w:val="24"/>
          <w:highlight w:val="none"/>
        </w:rPr>
        <w:t>。如乙方提供货物与其提供样品不符，视为货物不合格。</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验收过程中对验收结果存在争议时，甲方有权将货物及样品送第三方检验机构进行检验。检测费用由乙方支付。如第三方检验机构出具的检验报告合格，则视为乙方交付货物通过了甲方组织的送检。如第三方检验机构出具的检验报告不合格，则视为乙方交付货物未通过甲方组织的送检。甲方有权按采购合同约定，要求乙方无条件更换货物，并有权要求乙方支付违约金。甲方收到更换货物后，向乙方退还不合格产品。如货物已使用，甲方无需退还，也无需向乙方支付任何费用。</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3.</w:t>
      </w:r>
      <w:r>
        <w:rPr>
          <w:rFonts w:ascii="仿宋" w:hAnsi="仿宋" w:cs="仿宋"/>
          <w:sz w:val="24"/>
          <w:szCs w:val="24"/>
          <w:highlight w:val="none"/>
        </w:rPr>
        <w:t>验收不合格的，乙方需按照本</w:t>
      </w:r>
      <w:r>
        <w:rPr>
          <w:rFonts w:hint="eastAsia" w:ascii="仿宋" w:hAnsi="仿宋" w:cs="仿宋"/>
          <w:sz w:val="24"/>
          <w:szCs w:val="24"/>
          <w:highlight w:val="none"/>
        </w:rPr>
        <w:t>合同</w:t>
      </w:r>
      <w:r>
        <w:rPr>
          <w:rFonts w:ascii="仿宋" w:hAnsi="仿宋" w:cs="仿宋"/>
          <w:sz w:val="24"/>
          <w:szCs w:val="24"/>
          <w:highlight w:val="none"/>
        </w:rPr>
        <w:t>及与</w:t>
      </w:r>
      <w:r>
        <w:rPr>
          <w:rFonts w:hint="eastAsia" w:ascii="仿宋" w:hAnsi="仿宋" w:cs="仿宋"/>
          <w:sz w:val="24"/>
          <w:szCs w:val="24"/>
          <w:highlight w:val="none"/>
        </w:rPr>
        <w:t>甲方</w:t>
      </w:r>
      <w:r>
        <w:rPr>
          <w:rFonts w:ascii="仿宋" w:hAnsi="仿宋" w:cs="仿宋"/>
          <w:sz w:val="24"/>
          <w:szCs w:val="24"/>
          <w:highlight w:val="none"/>
        </w:rPr>
        <w:t>的约定承担相应违约责任。</w:t>
      </w:r>
    </w:p>
    <w:p>
      <w:pPr>
        <w:snapToGrid w:val="0"/>
        <w:spacing w:line="360" w:lineRule="auto"/>
        <w:ind w:firstLine="480" w:firstLineChars="200"/>
        <w:rPr>
          <w:rFonts w:ascii="仿宋" w:hAnsi="仿宋" w:cs="宋体"/>
          <w:kern w:val="0"/>
          <w:sz w:val="24"/>
          <w:szCs w:val="24"/>
          <w:highlight w:val="none"/>
        </w:rPr>
      </w:pPr>
      <w:r>
        <w:rPr>
          <w:rFonts w:hint="eastAsia" w:ascii="仿宋" w:hAnsi="仿宋" w:cs="仿宋"/>
          <w:sz w:val="24"/>
          <w:szCs w:val="24"/>
          <w:highlight w:val="none"/>
        </w:rPr>
        <w:t>4.</w:t>
      </w:r>
      <w:r>
        <w:rPr>
          <w:rFonts w:hint="eastAsia" w:ascii="仿宋" w:hAnsi="仿宋" w:cs="宋体"/>
          <w:kern w:val="0"/>
          <w:sz w:val="24"/>
          <w:szCs w:val="24"/>
          <w:highlight w:val="none"/>
        </w:rPr>
        <w:t>验收合格后，甲方出具验收合格书。验收合格并不能免除乙方的瑕疵担保责任，货物是否合格以安装调试完毕甲方能正常投入使用为准。</w:t>
      </w:r>
    </w:p>
    <w:p>
      <w:pPr>
        <w:snapToGrid w:val="0"/>
        <w:spacing w:line="360" w:lineRule="auto"/>
        <w:ind w:firstLine="480" w:firstLineChars="200"/>
        <w:rPr>
          <w:rFonts w:ascii="仿宋" w:hAnsi="仿宋" w:cs="宋体"/>
          <w:kern w:val="0"/>
          <w:sz w:val="24"/>
          <w:szCs w:val="24"/>
          <w:highlight w:val="none"/>
        </w:rPr>
      </w:pPr>
      <w:r>
        <w:rPr>
          <w:rFonts w:hint="eastAsia" w:ascii="仿宋" w:hAnsi="仿宋" w:cs="宋体"/>
          <w:kern w:val="0"/>
          <w:sz w:val="24"/>
          <w:szCs w:val="24"/>
          <w:highlight w:val="none"/>
        </w:rPr>
        <w:t>5.货物验收不合格的，乙方需根据验收结论整改，并重新参加验收。如在甲方规定期限内不能够完成整改的，甲方有权解除本合同，乙方应向甲方退还全部已收款项,并要求乙方支付合同总金额20%的违约金。甲方有权向市场监督管理等行政部门反映，由相关行政部门对其违法行为进行查处。</w:t>
      </w:r>
    </w:p>
    <w:p>
      <w:pPr>
        <w:widowControl/>
        <w:adjustRightInd w:val="0"/>
        <w:spacing w:line="360" w:lineRule="auto"/>
        <w:ind w:firstLine="480" w:firstLineChars="200"/>
        <w:jc w:val="left"/>
        <w:outlineLvl w:val="0"/>
        <w:rPr>
          <w:rFonts w:ascii="仿宋" w:hAnsi="仿宋" w:cs="宋体"/>
          <w:b/>
          <w:kern w:val="0"/>
          <w:sz w:val="24"/>
          <w:szCs w:val="24"/>
          <w:highlight w:val="none"/>
        </w:rPr>
      </w:pPr>
      <w:r>
        <w:rPr>
          <w:rFonts w:hint="eastAsia" w:ascii="仿宋" w:hAnsi="仿宋" w:cs="宋体"/>
          <w:b/>
          <w:kern w:val="0"/>
          <w:sz w:val="24"/>
          <w:szCs w:val="24"/>
          <w:highlight w:val="none"/>
        </w:rPr>
        <w:t>九、违约责任</w:t>
      </w:r>
    </w:p>
    <w:p>
      <w:pPr>
        <w:widowControl/>
        <w:adjustRightInd w:val="0"/>
        <w:spacing w:line="360" w:lineRule="auto"/>
        <w:ind w:firstLine="480" w:firstLineChars="200"/>
        <w:jc w:val="left"/>
        <w:outlineLvl w:val="1"/>
        <w:rPr>
          <w:rFonts w:ascii="仿宋" w:hAnsi="仿宋" w:cs="宋体"/>
          <w:kern w:val="0"/>
          <w:sz w:val="24"/>
          <w:szCs w:val="24"/>
          <w:highlight w:val="none"/>
        </w:rPr>
      </w:pPr>
      <w:r>
        <w:rPr>
          <w:rFonts w:hint="eastAsia" w:ascii="仿宋" w:hAnsi="仿宋" w:cs="宋体"/>
          <w:kern w:val="0"/>
          <w:sz w:val="24"/>
          <w:szCs w:val="24"/>
          <w:highlight w:val="none"/>
        </w:rPr>
        <w:t>（一）产品质量问题</w:t>
      </w:r>
    </w:p>
    <w:p>
      <w:pPr>
        <w:widowControl/>
        <w:adjustRightInd w:val="0"/>
        <w:spacing w:line="360" w:lineRule="auto"/>
        <w:ind w:firstLine="480" w:firstLineChars="200"/>
        <w:jc w:val="left"/>
        <w:rPr>
          <w:rFonts w:ascii="仿宋" w:hAnsi="仿宋" w:cs="Times New Roman"/>
          <w:szCs w:val="24"/>
          <w:highlight w:val="none"/>
        </w:rPr>
      </w:pPr>
      <w:r>
        <w:rPr>
          <w:rFonts w:hint="eastAsia" w:ascii="仿宋" w:hAnsi="仿宋" w:cs="宋体"/>
          <w:kern w:val="0"/>
          <w:sz w:val="24"/>
          <w:szCs w:val="24"/>
          <w:highlight w:val="none"/>
        </w:rPr>
        <w:t>1.如甲方在货物使用过程中发现乙方提供的货物品类</w:t>
      </w:r>
      <w:r>
        <w:rPr>
          <w:rFonts w:ascii="仿宋" w:hAnsi="仿宋" w:cs="Times New Roman"/>
          <w:kern w:val="0"/>
          <w:sz w:val="24"/>
          <w:szCs w:val="24"/>
          <w:highlight w:val="none"/>
        </w:rPr>
        <w:t>中有任</w:t>
      </w:r>
      <w:r>
        <w:rPr>
          <w:rFonts w:hint="eastAsia" w:ascii="仿宋" w:hAnsi="仿宋" w:cs="Times New Roman"/>
          <w:kern w:val="0"/>
          <w:sz w:val="24"/>
          <w:szCs w:val="24"/>
          <w:highlight w:val="none"/>
        </w:rPr>
        <w:t>何</w:t>
      </w:r>
      <w:r>
        <w:rPr>
          <w:rFonts w:ascii="仿宋" w:hAnsi="仿宋" w:cs="Times New Roman"/>
          <w:kern w:val="0"/>
          <w:sz w:val="24"/>
          <w:szCs w:val="24"/>
          <w:highlight w:val="none"/>
        </w:rPr>
        <w:t>一项不符合</w:t>
      </w:r>
      <w:r>
        <w:rPr>
          <w:rFonts w:hint="eastAsia" w:ascii="仿宋" w:hAnsi="仿宋" w:cs="Times New Roman"/>
          <w:kern w:val="0"/>
          <w:sz w:val="24"/>
          <w:szCs w:val="24"/>
          <w:highlight w:val="none"/>
        </w:rPr>
        <w:t>本合同约定</w:t>
      </w:r>
      <w:r>
        <w:rPr>
          <w:rFonts w:ascii="仿宋" w:hAnsi="仿宋" w:cs="Times New Roman"/>
          <w:kern w:val="0"/>
          <w:sz w:val="24"/>
          <w:szCs w:val="24"/>
          <w:highlight w:val="none"/>
        </w:rPr>
        <w:t>的，则视为乙方</w:t>
      </w:r>
      <w:r>
        <w:rPr>
          <w:rFonts w:hint="eastAsia" w:ascii="仿宋" w:hAnsi="仿宋" w:cs="Times New Roman"/>
          <w:kern w:val="0"/>
          <w:sz w:val="24"/>
          <w:szCs w:val="24"/>
          <w:highlight w:val="none"/>
        </w:rPr>
        <w:t>违约</w:t>
      </w:r>
      <w:r>
        <w:rPr>
          <w:rFonts w:ascii="仿宋" w:hAnsi="仿宋" w:cs="Times New Roman"/>
          <w:kern w:val="0"/>
          <w:sz w:val="24"/>
          <w:szCs w:val="24"/>
          <w:highlight w:val="none"/>
        </w:rPr>
        <w:t>，甲方有权要求乙方支付合同总金额5%的违约金。</w:t>
      </w:r>
      <w:r>
        <w:rPr>
          <w:rFonts w:hint="eastAsia" w:ascii="仿宋" w:hAnsi="仿宋" w:cs="Times New Roman"/>
          <w:kern w:val="0"/>
          <w:sz w:val="24"/>
          <w:szCs w:val="24"/>
          <w:highlight w:val="none"/>
        </w:rPr>
        <w:t>同时</w:t>
      </w:r>
      <w:r>
        <w:rPr>
          <w:rFonts w:ascii="仿宋" w:hAnsi="仿宋" w:cs="Times New Roman"/>
          <w:kern w:val="0"/>
          <w:sz w:val="24"/>
          <w:szCs w:val="24"/>
          <w:highlight w:val="none"/>
        </w:rPr>
        <w:t>甲方有权要求乙方</w:t>
      </w:r>
      <w:r>
        <w:rPr>
          <w:rFonts w:hint="eastAsia" w:ascii="仿宋" w:hAnsi="仿宋" w:cs="宋体"/>
          <w:kern w:val="0"/>
          <w:sz w:val="24"/>
          <w:szCs w:val="24"/>
          <w:highlight w:val="none"/>
        </w:rPr>
        <w:t>采补发、修复、更换或退货等</w:t>
      </w:r>
      <w:r>
        <w:rPr>
          <w:rFonts w:ascii="仿宋" w:hAnsi="仿宋" w:cs="Times New Roman"/>
          <w:kern w:val="0"/>
          <w:sz w:val="24"/>
          <w:szCs w:val="24"/>
          <w:highlight w:val="none"/>
        </w:rPr>
        <w:t>，</w:t>
      </w:r>
      <w:r>
        <w:rPr>
          <w:rFonts w:hint="eastAsia" w:ascii="仿宋" w:hAnsi="仿宋" w:cs="宋体"/>
          <w:kern w:val="0"/>
          <w:sz w:val="24"/>
          <w:szCs w:val="24"/>
          <w:highlight w:val="none"/>
        </w:rPr>
        <w:t>乙方应自甲方发出异议后5日内采取相应补救措施，如因此而造成迟延履行，乙方应按本条第（三）款承担违约责任。</w:t>
      </w:r>
      <w:r>
        <w:rPr>
          <w:rFonts w:ascii="仿宋" w:hAnsi="仿宋" w:cs="Times New Roman"/>
          <w:kern w:val="0"/>
          <w:sz w:val="24"/>
          <w:szCs w:val="24"/>
          <w:highlight w:val="none"/>
        </w:rPr>
        <w:t>如乙方</w:t>
      </w:r>
      <w:r>
        <w:rPr>
          <w:rFonts w:hint="eastAsia" w:ascii="仿宋" w:hAnsi="仿宋" w:cs="宋体"/>
          <w:kern w:val="0"/>
          <w:sz w:val="24"/>
          <w:szCs w:val="24"/>
          <w:highlight w:val="none"/>
        </w:rPr>
        <w:t>拒绝更换货物，或超过5日未及时采取补救措施，甲方有权解除本合同，要求乙方返还全部已收合同价款并支付合同总金额20%的违约金。</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2.如乙方提供的货物存在影响功能使用的问题，乙方应无条件更换存在问题的货物，且如每存在一处问题，甲方有权要求乙方支付合同总金额1%的违约金，但该等违约金总金额不得超过合同总金额的</w:t>
      </w:r>
      <w:r>
        <w:rPr>
          <w:rFonts w:ascii="仿宋" w:hAnsi="仿宋" w:cs="宋体"/>
          <w:kern w:val="0"/>
          <w:sz w:val="24"/>
          <w:szCs w:val="24"/>
          <w:highlight w:val="none"/>
        </w:rPr>
        <w:t>5</w:t>
      </w:r>
      <w:r>
        <w:rPr>
          <w:rFonts w:hint="eastAsia" w:ascii="仿宋" w:hAnsi="仿宋" w:cs="宋体"/>
          <w:kern w:val="0"/>
          <w:sz w:val="24"/>
          <w:szCs w:val="24"/>
          <w:highlight w:val="none"/>
        </w:rPr>
        <w:t>%。</w:t>
      </w:r>
    </w:p>
    <w:p>
      <w:pPr>
        <w:spacing w:line="360" w:lineRule="auto"/>
        <w:ind w:firstLine="480" w:firstLineChars="200"/>
        <w:outlineLvl w:val="1"/>
        <w:rPr>
          <w:rFonts w:ascii="仿宋" w:hAnsi="仿宋" w:cs="宋体"/>
          <w:kern w:val="0"/>
          <w:sz w:val="24"/>
          <w:szCs w:val="24"/>
          <w:highlight w:val="none"/>
        </w:rPr>
      </w:pPr>
      <w:r>
        <w:rPr>
          <w:rFonts w:hint="eastAsia" w:ascii="仿宋" w:hAnsi="仿宋" w:cs="宋体"/>
          <w:kern w:val="0"/>
          <w:sz w:val="24"/>
          <w:szCs w:val="24"/>
          <w:highlight w:val="none"/>
        </w:rPr>
        <w:t>（二）产品数量问题</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如乙方未在约定供货时间按约定数量向甲方交货，则甲方有权要求</w:t>
      </w:r>
      <w:r>
        <w:rPr>
          <w:rFonts w:ascii="仿宋" w:hAnsi="仿宋" w:cs="Times New Roman"/>
          <w:kern w:val="0"/>
          <w:sz w:val="24"/>
          <w:szCs w:val="24"/>
          <w:highlight w:val="none"/>
        </w:rPr>
        <w:t>乙方</w:t>
      </w:r>
      <w:r>
        <w:rPr>
          <w:rFonts w:hint="eastAsia" w:ascii="仿宋" w:hAnsi="仿宋" w:cs="宋体"/>
          <w:kern w:val="0"/>
          <w:sz w:val="24"/>
          <w:szCs w:val="24"/>
          <w:highlight w:val="none"/>
        </w:rPr>
        <w:t>补充货物数量，由此产生的延迟交货后果，乙方应按本条第（三）款承担违约责任；货物数量缺失超过合同总供货数量10%的，甲方亦有权选择解除本合同，要求乙方返还全部已收合同价款并支付合同总金额20%的违约金。</w:t>
      </w:r>
    </w:p>
    <w:p>
      <w:pPr>
        <w:widowControl/>
        <w:adjustRightInd w:val="0"/>
        <w:spacing w:line="360" w:lineRule="auto"/>
        <w:ind w:firstLine="480" w:firstLineChars="200"/>
        <w:jc w:val="left"/>
        <w:outlineLvl w:val="1"/>
        <w:rPr>
          <w:rFonts w:ascii="仿宋" w:hAnsi="仿宋" w:cs="宋体"/>
          <w:kern w:val="0"/>
          <w:sz w:val="24"/>
          <w:szCs w:val="24"/>
          <w:highlight w:val="none"/>
        </w:rPr>
      </w:pPr>
      <w:r>
        <w:rPr>
          <w:rFonts w:hint="eastAsia" w:ascii="仿宋" w:hAnsi="仿宋" w:cs="宋体"/>
          <w:kern w:val="0"/>
          <w:sz w:val="24"/>
          <w:szCs w:val="24"/>
          <w:highlight w:val="none"/>
        </w:rPr>
        <w:t>（三）延期交货问题</w:t>
      </w:r>
    </w:p>
    <w:p>
      <w:pPr>
        <w:spacing w:line="360" w:lineRule="auto"/>
        <w:ind w:firstLine="480" w:firstLineChars="200"/>
        <w:rPr>
          <w:rFonts w:ascii="仿宋" w:hAnsi="仿宋" w:cs="宋体"/>
          <w:kern w:val="0"/>
          <w:sz w:val="24"/>
          <w:szCs w:val="24"/>
          <w:highlight w:val="none"/>
        </w:rPr>
      </w:pPr>
      <w:r>
        <w:rPr>
          <w:rFonts w:hint="eastAsia" w:ascii="仿宋" w:hAnsi="仿宋" w:cs="宋体"/>
          <w:kern w:val="0"/>
          <w:sz w:val="24"/>
          <w:szCs w:val="24"/>
          <w:highlight w:val="none"/>
        </w:rPr>
        <w:t>乙方延迟交货10天以上的，甲方有权追究乙方责任，并由第11天起，乙方每延迟一天向甲方支付合同总金额千分之二的违约金，甲方亦有权解除合同，乙方应向甲方支付合同总金额20%的违约金。</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（四）保密责任违约</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宋体"/>
          <w:kern w:val="0"/>
          <w:sz w:val="24"/>
          <w:szCs w:val="24"/>
          <w:highlight w:val="none"/>
        </w:rPr>
        <w:t>本合同内容以及乙方因签订、履行本合同所获悉的甲方、关联单位及合作单位的相</w:t>
      </w:r>
      <w:r>
        <w:rPr>
          <w:rFonts w:ascii="仿宋" w:hAnsi="仿宋" w:cs="Times New Roman"/>
          <w:kern w:val="0"/>
          <w:sz w:val="24"/>
          <w:szCs w:val="24"/>
          <w:highlight w:val="none"/>
        </w:rPr>
        <w:t>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并要求乙方支付合同总金额20%的违约金。</w:t>
      </w:r>
    </w:p>
    <w:p>
      <w:pPr>
        <w:widowControl/>
        <w:adjustRightInd w:val="0"/>
        <w:spacing w:line="360" w:lineRule="auto"/>
        <w:ind w:firstLine="480" w:firstLineChars="200"/>
        <w:jc w:val="left"/>
        <w:rPr>
          <w:rFonts w:ascii="仿宋" w:hAnsi="仿宋" w:cs="仿宋"/>
          <w:kern w:val="0"/>
          <w:sz w:val="24"/>
          <w:szCs w:val="24"/>
          <w:highlight w:val="none"/>
        </w:rPr>
      </w:pPr>
      <w:r>
        <w:rPr>
          <w:rFonts w:hint="eastAsia" w:ascii="仿宋" w:hAnsi="仿宋" w:cs="宋体"/>
          <w:kern w:val="0"/>
          <w:sz w:val="24"/>
          <w:szCs w:val="24"/>
          <w:highlight w:val="none"/>
        </w:rPr>
        <w:t>（五）其他违约</w:t>
      </w:r>
    </w:p>
    <w:p>
      <w:pPr>
        <w:spacing w:line="360" w:lineRule="auto"/>
        <w:ind w:firstLine="480" w:firstLineChars="200"/>
        <w:rPr>
          <w:rFonts w:ascii="仿宋" w:hAnsi="仿宋" w:cs="仿宋"/>
          <w:kern w:val="0"/>
          <w:sz w:val="24"/>
          <w:szCs w:val="24"/>
          <w:highlight w:val="none"/>
        </w:rPr>
      </w:pPr>
      <w:r>
        <w:rPr>
          <w:rFonts w:hint="eastAsia" w:ascii="仿宋" w:hAnsi="仿宋" w:cs="仿宋"/>
          <w:kern w:val="0"/>
          <w:sz w:val="24"/>
          <w:szCs w:val="24"/>
          <w:highlight w:val="none"/>
        </w:rPr>
        <w:t>1.乙方应严格按照本合同约定的期限及要求与甲方签订采购合同，否则，甲方有权取消乙方的中标资格，有权解除本合同，并要求乙方支付中标金额5%的违约金。</w:t>
      </w:r>
    </w:p>
    <w:p>
      <w:pPr>
        <w:spacing w:line="360" w:lineRule="auto"/>
        <w:ind w:firstLine="480" w:firstLineChars="200"/>
        <w:rPr>
          <w:rFonts w:ascii="仿宋" w:hAnsi="仿宋" w:cs="仿宋"/>
          <w:kern w:val="0"/>
          <w:sz w:val="24"/>
          <w:szCs w:val="24"/>
          <w:highlight w:val="none"/>
        </w:rPr>
      </w:pPr>
      <w:r>
        <w:rPr>
          <w:rFonts w:hint="eastAsia" w:ascii="仿宋" w:hAnsi="仿宋" w:cs="仿宋"/>
          <w:kern w:val="0"/>
          <w:sz w:val="24"/>
          <w:szCs w:val="24"/>
          <w:highlight w:val="none"/>
        </w:rPr>
        <w:t>2.如果乙方存在分包、转包行为或未在向甲方提交的生产厂家或货物生产地址生产货物的，甲方有权解除本合同并要求乙方支付中标金额5％的违约金，并且甲方有权向有管辖权的行政机关反映，由有管辖权的行政机关予以处理。甲方亦有权解除与乙方签订的采购合同并有权要求乙方退还已收全部合同价款。</w:t>
      </w:r>
    </w:p>
    <w:p>
      <w:pPr>
        <w:widowControl/>
        <w:adjustRightInd w:val="0"/>
        <w:spacing w:line="360" w:lineRule="auto"/>
        <w:ind w:firstLine="480" w:firstLineChars="200"/>
        <w:jc w:val="left"/>
        <w:rPr>
          <w:rFonts w:ascii="仿宋" w:hAnsi="仿宋" w:cs="仿宋"/>
          <w:kern w:val="0"/>
          <w:sz w:val="24"/>
          <w:szCs w:val="24"/>
          <w:highlight w:val="none"/>
        </w:rPr>
      </w:pPr>
      <w:r>
        <w:rPr>
          <w:rFonts w:hint="eastAsia" w:ascii="仿宋" w:hAnsi="仿宋" w:cs="仿宋"/>
          <w:kern w:val="0"/>
          <w:sz w:val="24"/>
          <w:szCs w:val="24"/>
          <w:highlight w:val="none"/>
        </w:rPr>
        <w:t>3.货物验收不合格的，乙方需根据验收结论整改，并重新参加验收。乙方应在验收备忘录及验收意见规定的整改时限内完成整改并申请复验，因乙方未按验收备忘录及验收意见完成整改而导致复验不合格的，每次乙方应向甲方支付复验不合格标的物总金额的3%作为违约金。复验不合格或未在验收备忘录及验收意见规定期限内完成整改的，甲方有权解除本合同并要求乙方支付合同总金额20%的违约金。</w:t>
      </w:r>
    </w:p>
    <w:p>
      <w:pPr>
        <w:widowControl/>
        <w:adjustRightInd w:val="0"/>
        <w:spacing w:line="360" w:lineRule="auto"/>
        <w:ind w:firstLine="480" w:firstLineChars="200"/>
        <w:jc w:val="left"/>
        <w:rPr>
          <w:rFonts w:ascii="仿宋" w:hAnsi="仿宋" w:cs="仿宋"/>
          <w:kern w:val="0"/>
          <w:sz w:val="24"/>
          <w:szCs w:val="24"/>
          <w:highlight w:val="none"/>
        </w:rPr>
      </w:pPr>
    </w:p>
    <w:p>
      <w:pPr>
        <w:widowControl/>
        <w:adjustRightInd w:val="0"/>
        <w:spacing w:line="360" w:lineRule="auto"/>
        <w:ind w:firstLine="480" w:firstLineChars="200"/>
        <w:jc w:val="left"/>
        <w:rPr>
          <w:rFonts w:ascii="仿宋" w:hAnsi="仿宋" w:cs="宋体"/>
          <w:b/>
          <w:kern w:val="0"/>
          <w:sz w:val="24"/>
          <w:szCs w:val="24"/>
          <w:highlight w:val="none"/>
        </w:rPr>
      </w:pPr>
      <w:r>
        <w:rPr>
          <w:rFonts w:hint="eastAsia" w:ascii="仿宋" w:hAnsi="仿宋" w:cs="宋体"/>
          <w:b/>
          <w:kern w:val="0"/>
          <w:sz w:val="24"/>
          <w:szCs w:val="24"/>
          <w:highlight w:val="none"/>
        </w:rPr>
        <w:t>十、合同转让和分包</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除甲方事先书面同意外，乙方不得部分或全部转让、分包本采购合同义务。</w:t>
      </w:r>
    </w:p>
    <w:p>
      <w:pPr>
        <w:widowControl/>
        <w:adjustRightInd w:val="0"/>
        <w:spacing w:line="360" w:lineRule="auto"/>
        <w:ind w:firstLine="480" w:firstLineChars="200"/>
        <w:jc w:val="left"/>
        <w:rPr>
          <w:rFonts w:ascii="仿宋" w:hAnsi="仿宋" w:cs="宋体"/>
          <w:b/>
          <w:kern w:val="0"/>
          <w:sz w:val="24"/>
          <w:szCs w:val="24"/>
          <w:highlight w:val="none"/>
        </w:rPr>
      </w:pPr>
      <w:r>
        <w:rPr>
          <w:rFonts w:hint="eastAsia" w:ascii="仿宋" w:hAnsi="仿宋" w:cs="宋体"/>
          <w:b/>
          <w:kern w:val="0"/>
          <w:sz w:val="24"/>
          <w:szCs w:val="24"/>
          <w:highlight w:val="none"/>
        </w:rPr>
        <w:t>十一、知识产权</w:t>
      </w:r>
    </w:p>
    <w:p>
      <w:pPr>
        <w:widowControl/>
        <w:adjustRightInd w:val="0"/>
        <w:spacing w:line="360" w:lineRule="auto"/>
        <w:ind w:firstLine="480" w:firstLineChars="200"/>
        <w:jc w:val="left"/>
        <w:rPr>
          <w:rFonts w:ascii="仿宋" w:hAnsi="仿宋" w:cs="宋体"/>
          <w:b/>
          <w:kern w:val="0"/>
          <w:sz w:val="24"/>
          <w:szCs w:val="24"/>
          <w:highlight w:val="none"/>
        </w:rPr>
      </w:pPr>
      <w:r>
        <w:rPr>
          <w:rFonts w:hint="eastAsia" w:ascii="仿宋" w:hAnsi="仿宋" w:cs="Times New Roman"/>
          <w:kern w:val="0"/>
          <w:sz w:val="24"/>
          <w:szCs w:val="24"/>
          <w:highlight w:val="none"/>
        </w:rPr>
        <w:t>乙方应保证所提供的货物或其任何一部分均不存在侵犯任何第三方的专利权、商标权或著作权等知识产权情形，符合安全要求。并通过合法渠道进货、全新且未使用过的，保证其拥有合法的所有权或合法授权（即不存在资产抵押或其他可能影响货物所有权的事宜）。否则由此产生的一切后果由乙方负全责，因乙方违反前述义务给甲方造成损失的，由乙方赔偿甲方的全部经济损失（包括但不限于直接损失、间接损失、律师费、差旅费、鉴定费等）。</w:t>
      </w:r>
    </w:p>
    <w:p>
      <w:pPr>
        <w:widowControl/>
        <w:adjustRightInd w:val="0"/>
        <w:spacing w:line="360" w:lineRule="auto"/>
        <w:ind w:firstLine="480" w:firstLineChars="200"/>
        <w:jc w:val="left"/>
        <w:outlineLvl w:val="0"/>
        <w:rPr>
          <w:rFonts w:ascii="仿宋" w:hAnsi="仿宋" w:cs="宋体"/>
          <w:b/>
          <w:kern w:val="0"/>
          <w:sz w:val="24"/>
          <w:szCs w:val="24"/>
          <w:highlight w:val="none"/>
        </w:rPr>
      </w:pPr>
      <w:r>
        <w:rPr>
          <w:rFonts w:hint="eastAsia" w:ascii="仿宋" w:hAnsi="仿宋" w:cs="宋体"/>
          <w:b/>
          <w:kern w:val="0"/>
          <w:sz w:val="24"/>
          <w:szCs w:val="24"/>
          <w:highlight w:val="none"/>
        </w:rPr>
        <w:t>十二、质量保证期</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1.</w:t>
      </w:r>
      <w:r>
        <w:rPr>
          <w:rFonts w:ascii="仿宋" w:hAnsi="仿宋" w:cs="Times New Roman"/>
          <w:sz w:val="24"/>
          <w:szCs w:val="24"/>
          <w:highlight w:val="none"/>
        </w:rPr>
        <w:t>质量保证期</w:t>
      </w:r>
      <w:r>
        <w:rPr>
          <w:rFonts w:hint="eastAsia" w:ascii="仿宋" w:hAnsi="仿宋" w:cs="Times New Roman"/>
          <w:sz w:val="24"/>
          <w:szCs w:val="24"/>
          <w:highlight w:val="none"/>
        </w:rPr>
        <w:t>为验收合格之日起</w:t>
      </w:r>
      <w:r>
        <w:rPr>
          <w:rFonts w:hint="eastAsia" w:ascii="仿宋" w:hAnsi="仿宋" w:cs="仿宋"/>
          <w:color w:val="000000"/>
          <w:kern w:val="0"/>
          <w:sz w:val="24"/>
          <w:szCs w:val="24"/>
          <w:highlight w:val="none"/>
        </w:rPr>
        <w:t>XX</w:t>
      </w:r>
      <w:r>
        <w:rPr>
          <w:rFonts w:hint="eastAsia" w:ascii="仿宋" w:hAnsi="仿宋" w:cs="仿宋"/>
          <w:sz w:val="24"/>
          <w:szCs w:val="24"/>
          <w:highlight w:val="none"/>
          <w:u w:val="single"/>
        </w:rPr>
        <w:t>月</w:t>
      </w:r>
      <w:r>
        <w:rPr>
          <w:rFonts w:ascii="仿宋" w:hAnsi="仿宋" w:cs="Times New Roman"/>
          <w:sz w:val="24"/>
          <w:szCs w:val="24"/>
          <w:highlight w:val="none"/>
        </w:rPr>
        <w:t>。</w:t>
      </w:r>
    </w:p>
    <w:p>
      <w:pPr>
        <w:widowControl/>
        <w:spacing w:line="360" w:lineRule="auto"/>
        <w:ind w:firstLine="480" w:firstLineChars="200"/>
        <w:jc w:val="left"/>
        <w:rPr>
          <w:rFonts w:ascii="仿宋" w:hAnsi="仿宋" w:cs="仿宋"/>
          <w:sz w:val="24"/>
          <w:szCs w:val="24"/>
          <w:highlight w:val="none"/>
        </w:rPr>
      </w:pPr>
      <w:r>
        <w:rPr>
          <w:rFonts w:hint="eastAsia" w:ascii="仿宋" w:hAnsi="仿宋" w:cs="宋体"/>
          <w:kern w:val="0"/>
          <w:sz w:val="24"/>
          <w:szCs w:val="24"/>
          <w:highlight w:val="none"/>
        </w:rPr>
        <w:t>2.质量保证期的定义：指库存货物可以正常使用且不会导致人身或财产损害的期限。</w:t>
      </w:r>
      <w:r>
        <w:rPr>
          <w:rFonts w:hint="eastAsia" w:ascii="仿宋" w:hAnsi="仿宋" w:cs="仿宋"/>
          <w:sz w:val="24"/>
          <w:szCs w:val="24"/>
          <w:highlight w:val="none"/>
        </w:rPr>
        <w:t>本条所述质量保证期系指库存货物可以正常使用且不会因质量问题导致人身或财产损害的期限。如在质量保证期中发现货物无法正常使用或导致人身或财产损害，则乙方除向受害第三方承担赔偿责任外还应向甲方承担违约责任。</w:t>
      </w:r>
    </w:p>
    <w:p>
      <w:pPr>
        <w:widowControl/>
        <w:spacing w:line="360" w:lineRule="auto"/>
        <w:ind w:firstLine="480" w:firstLineChars="200"/>
        <w:jc w:val="left"/>
        <w:rPr>
          <w:rFonts w:ascii="仿宋" w:hAnsi="仿宋" w:cs="Times New Roman"/>
          <w:kern w:val="0"/>
          <w:sz w:val="24"/>
          <w:szCs w:val="24"/>
          <w:highlight w:val="none"/>
        </w:rPr>
      </w:pPr>
      <w:r>
        <w:rPr>
          <w:rFonts w:hint="eastAsia" w:ascii="仿宋" w:hAnsi="仿宋" w:cs="宋体"/>
          <w:kern w:val="0"/>
          <w:sz w:val="24"/>
          <w:szCs w:val="24"/>
          <w:highlight w:val="none"/>
        </w:rPr>
        <w:t>3.在质量保证期中甲方发现货物无法正常使用或导致人身或财产损害，则乙方应按本合同约定区分质量问题的性质向甲方承担违约责任，对于所造成的人身或财产损害，乙方应全额赔偿，甲方亦会根据人身或财产损害的情形，就乙方未提供质量合格货物的违法/犯罪行为向有管辖权的行政机</w:t>
      </w:r>
      <w:r>
        <w:rPr>
          <w:rFonts w:ascii="仿宋" w:hAnsi="仿宋" w:cs="Times New Roman"/>
          <w:kern w:val="0"/>
          <w:sz w:val="24"/>
          <w:szCs w:val="24"/>
          <w:highlight w:val="none"/>
        </w:rPr>
        <w:t>关/司法机关进行移送。</w:t>
      </w:r>
    </w:p>
    <w:p>
      <w:pPr>
        <w:spacing w:line="360" w:lineRule="auto"/>
        <w:ind w:firstLine="480" w:firstLineChars="200"/>
        <w:rPr>
          <w:rFonts w:ascii="仿宋" w:hAnsi="仿宋" w:cs="仿宋"/>
          <w:sz w:val="24"/>
          <w:szCs w:val="24"/>
          <w:highlight w:val="none"/>
        </w:rPr>
      </w:pPr>
      <w:r>
        <w:rPr>
          <w:rFonts w:hint="eastAsia" w:ascii="仿宋" w:hAnsi="仿宋" w:cs="Times New Roman"/>
          <w:kern w:val="0"/>
          <w:sz w:val="24"/>
          <w:szCs w:val="24"/>
          <w:highlight w:val="none"/>
        </w:rPr>
        <w:t>4.在质保期内，货物发生故障或无法正常使用，乙方负责对货物免费维修或更换。质量保证期内乙方不收取任何维修费用，超出质量保证期的，</w:t>
      </w:r>
      <w:r>
        <w:rPr>
          <w:rFonts w:hint="eastAsia" w:ascii="仿宋" w:hAnsi="仿宋" w:cs="Times New Roman"/>
          <w:kern w:val="0"/>
          <w:sz w:val="24"/>
          <w:szCs w:val="24"/>
          <w:highlight w:val="none"/>
          <w:u w:val="single"/>
        </w:rPr>
        <w:t xml:space="preserve">                          </w:t>
      </w:r>
      <w:r>
        <w:rPr>
          <w:rFonts w:hint="eastAsia" w:ascii="仿宋" w:hAnsi="仿宋" w:cs="Times New Roman"/>
          <w:kern w:val="0"/>
          <w:sz w:val="24"/>
          <w:szCs w:val="24"/>
          <w:highlight w:val="none"/>
        </w:rPr>
        <w:t>。</w:t>
      </w:r>
      <w:r>
        <w:rPr>
          <w:rFonts w:hint="eastAsia" w:ascii="仿宋" w:hAnsi="仿宋" w:cs="仿宋"/>
          <w:sz w:val="24"/>
          <w:szCs w:val="24"/>
          <w:highlight w:val="none"/>
        </w:rPr>
        <w:t>（以投标文件响应为准）</w:t>
      </w:r>
    </w:p>
    <w:p>
      <w:pPr>
        <w:spacing w:line="360" w:lineRule="auto"/>
        <w:ind w:firstLine="480" w:firstLineChars="200"/>
        <w:jc w:val="left"/>
        <w:rPr>
          <w:rFonts w:ascii="仿宋" w:hAnsi="仿宋" w:cs="仿宋"/>
          <w:b/>
          <w:bCs/>
          <w:sz w:val="24"/>
          <w:szCs w:val="24"/>
          <w:highlight w:val="none"/>
        </w:rPr>
      </w:pPr>
      <w:r>
        <w:rPr>
          <w:rFonts w:hint="eastAsia" w:ascii="仿宋" w:hAnsi="仿宋" w:cs="仿宋"/>
          <w:b/>
          <w:bCs/>
          <w:sz w:val="24"/>
          <w:szCs w:val="24"/>
          <w:highlight w:val="none"/>
        </w:rPr>
        <w:t>十三、权利和义务</w:t>
      </w:r>
    </w:p>
    <w:p>
      <w:pPr>
        <w:spacing w:line="360" w:lineRule="auto"/>
        <w:ind w:firstLine="480" w:firstLineChars="200"/>
        <w:jc w:val="left"/>
        <w:rPr>
          <w:rFonts w:ascii="仿宋" w:hAnsi="仿宋" w:cs="仿宋"/>
          <w:b/>
          <w:bCs/>
          <w:sz w:val="24"/>
          <w:szCs w:val="24"/>
          <w:highlight w:val="none"/>
        </w:rPr>
      </w:pPr>
      <w:r>
        <w:rPr>
          <w:rFonts w:hint="eastAsia" w:ascii="仿宋" w:hAnsi="仿宋" w:cs="仿宋"/>
          <w:b/>
          <w:bCs/>
          <w:sz w:val="24"/>
          <w:szCs w:val="24"/>
          <w:highlight w:val="none"/>
        </w:rPr>
        <w:t>1.甲方的权利与义务</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1.1 甲方有权要求乙方提供真实、详细的公司资信材料、产品及服务资料及符合要求的产品及服务。</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1.2 甲方有权要求乙方独立供货，不得将甲方所购产品及服务转包第三方。</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1.3 乙方如在提供产品及服务过程中出现问题，致使不符合协议内容的，或因泄漏秘密或业务资料，给甲方造成损害，甲方有权取消乙方供货资格，并要求乙方按采购合同约定承担违约责任，并赔偿由此而造成的所有损失。</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1.4 甲方有权建立反馈和评价机制，并对乙方履行本协议和采购合同的情况作出反馈与评价。</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1.5甲方有权对乙方履约情况进行检查。</w:t>
      </w:r>
    </w:p>
    <w:p>
      <w:pPr>
        <w:spacing w:line="360" w:lineRule="auto"/>
        <w:ind w:firstLine="480" w:firstLineChars="200"/>
        <w:rPr>
          <w:rFonts w:ascii="仿宋" w:hAnsi="仿宋" w:cs="仿宋"/>
          <w:b/>
          <w:bCs/>
          <w:sz w:val="24"/>
          <w:szCs w:val="24"/>
          <w:highlight w:val="none"/>
        </w:rPr>
      </w:pPr>
      <w:r>
        <w:rPr>
          <w:rFonts w:hint="eastAsia" w:ascii="仿宋" w:hAnsi="仿宋" w:cs="仿宋"/>
          <w:b/>
          <w:bCs/>
          <w:sz w:val="24"/>
          <w:szCs w:val="24"/>
          <w:highlight w:val="none"/>
        </w:rPr>
        <w:t>2.乙方的权利与义务</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2.1 在本协议期内，乙方具有为供货及提供相关服务的资格。</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 xml:space="preserve">2.2乙方有权拒绝满足甲方超出响应承诺以外服务的其他要求。 </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2.3乙方必须维护甲方的合法权益，不得为乙方或任何第三方的利益而损害甲方的合法权益。</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2.4 乙方对产品及服务质量承担责任。确因乙方的过失，致使采购结果与采购合同内容不符的，乙方应按采购合同约定承担违约责任，并赔偿由此而造成的所有损失。</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 xml:space="preserve">2.5乙方随时接受并配合甲方的监督检查。 </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2.6乙方保证对提供给甲方的产品及服务享有合法权利，不侵犯任何第三方的知识产权等权益。（包括但不限于商标权、专利权、版权、对不便申请专利的技术秘密和商业秘密的权利等）否则，乙方将赔偿由此给甲方造成的全部损失。</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2.7本协议有效期间，乙方发生包括但不限于经行业主管部门授予的资格（质）发生变更或被注销，或机构变更、相关人员变动、歇业、停产、被停业整顿、被注销登记、被吊销营业执照、被撤销、申请或被申请破产、解散、生产经营出现严重困难、转产等影响其履约能力的情况时，应自上述情形发生之日起2个工作日内以书面形式通知甲方。</w:t>
      </w:r>
    </w:p>
    <w:p>
      <w:pPr>
        <w:spacing w:line="360" w:lineRule="auto"/>
        <w:ind w:firstLine="480" w:firstLineChars="200"/>
        <w:rPr>
          <w:rFonts w:ascii="仿宋" w:hAnsi="仿宋" w:cs="仿宋"/>
          <w:sz w:val="24"/>
          <w:szCs w:val="24"/>
          <w:highlight w:val="none"/>
        </w:rPr>
      </w:pPr>
      <w:r>
        <w:rPr>
          <w:rFonts w:hint="eastAsia" w:ascii="仿宋" w:hAnsi="仿宋" w:cs="仿宋"/>
          <w:sz w:val="24"/>
          <w:szCs w:val="24"/>
          <w:highlight w:val="none"/>
        </w:rPr>
        <w:t>2.8乙方提供的全部货物均应按标准保护措施进行包装。这类包装应适应于远距离运输、防潮、防震、防锈和防野蛮装卸，以确保货物安全无损运抵指定交货地点。如因包装问题导致货物毁损或者品质下降，甲方有权要求降价、换货、拒收部分或整批货物，由此造成需方的费用和损失，均由乙方承担。</w:t>
      </w:r>
    </w:p>
    <w:p>
      <w:pPr>
        <w:spacing w:line="360" w:lineRule="auto"/>
        <w:ind w:firstLine="480" w:firstLineChars="200"/>
        <w:rPr>
          <w:rFonts w:ascii="Times New Roman" w:hAnsi="Times New Roman" w:cs="Times New Roman"/>
          <w:szCs w:val="24"/>
          <w:highlight w:val="none"/>
        </w:rPr>
      </w:pPr>
      <w:r>
        <w:rPr>
          <w:rFonts w:hint="eastAsia" w:ascii="仿宋" w:hAnsi="仿宋" w:cs="仿宋"/>
          <w:sz w:val="24"/>
          <w:szCs w:val="24"/>
          <w:highlight w:val="none"/>
        </w:rPr>
        <w:t>2.9乙方应根据招投标文件履行培训义务。</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十四</w:t>
      </w:r>
      <w:r>
        <w:rPr>
          <w:rFonts w:ascii="仿宋" w:hAnsi="仿宋" w:cs="Times New Roman"/>
          <w:b/>
          <w:kern w:val="0"/>
          <w:sz w:val="24"/>
          <w:szCs w:val="24"/>
          <w:highlight w:val="none"/>
        </w:rPr>
        <w:t>、不可抗力</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1.</w:t>
      </w:r>
      <w:r>
        <w:rPr>
          <w:rFonts w:ascii="仿宋" w:hAnsi="仿宋" w:cs="Times New Roman"/>
          <w:kern w:val="0"/>
          <w:sz w:val="24"/>
          <w:szCs w:val="24"/>
          <w:highlight w:val="none"/>
        </w:rPr>
        <w:t>甲乙双方均不承担由于不可抗力的任何原因所造成的无法交货或违约，不可抗力包括战争、叛乱、严重火灾、水灾、地震等人力无法抗拒的原因。</w:t>
      </w:r>
    </w:p>
    <w:p>
      <w:pPr>
        <w:spacing w:line="360" w:lineRule="auto"/>
        <w:ind w:firstLine="480" w:firstLineChars="200"/>
        <w:rPr>
          <w:rFonts w:ascii="仿宋" w:hAnsi="仿宋" w:cs="Times New Roman"/>
          <w:kern w:val="0"/>
          <w:sz w:val="24"/>
          <w:szCs w:val="24"/>
          <w:highlight w:val="none"/>
        </w:rPr>
      </w:pPr>
      <w:r>
        <w:rPr>
          <w:rFonts w:hint="eastAsia" w:ascii="仿宋" w:hAnsi="仿宋" w:cs="Times New Roman"/>
          <w:kern w:val="0"/>
          <w:sz w:val="24"/>
          <w:szCs w:val="24"/>
          <w:highlight w:val="none"/>
        </w:rPr>
        <w:t>2.</w:t>
      </w:r>
      <w:r>
        <w:rPr>
          <w:rFonts w:ascii="仿宋" w:hAnsi="仿宋" w:cs="Times New Roman"/>
          <w:kern w:val="0"/>
          <w:sz w:val="24"/>
          <w:szCs w:val="24"/>
          <w:highlight w:val="none"/>
        </w:rPr>
        <w:t>由于不可抗力原因，使双方或任何一方不能履行合同义务时，应采取有效措施，尽量避免或减少损失，将损失降低到最低程度。并在不可抗力发生后二十四小时内以书面形式通知对方，并在其后十日内向对方提供有效证明文件。在此情况下，乙方仍然有责任采取必要的措施加速供货，减少不可抗力的影响，不可抗力的影响消除后应立即通知对方。由于不可抗力的影响致使本合同不能履行或没有履行的必要时，一方有权通知另一方解除合同。</w:t>
      </w:r>
    </w:p>
    <w:p>
      <w:pPr>
        <w:spacing w:line="360" w:lineRule="auto"/>
        <w:ind w:firstLine="480" w:firstLineChars="200"/>
        <w:rPr>
          <w:rFonts w:ascii="仿宋" w:hAnsi="仿宋" w:cs="Times New Roman"/>
          <w:kern w:val="0"/>
          <w:sz w:val="24"/>
          <w:szCs w:val="24"/>
          <w:highlight w:val="none"/>
        </w:rPr>
      </w:pPr>
      <w:r>
        <w:rPr>
          <w:rFonts w:ascii="仿宋" w:hAnsi="仿宋" w:cs="Times New Roman"/>
          <w:kern w:val="0"/>
          <w:sz w:val="24"/>
          <w:szCs w:val="24"/>
          <w:highlight w:val="none"/>
        </w:rPr>
        <w:t>3.由于不可抗力导致本合同不能履行的，双方均不需承担违约责任。但如系因违约而遇上不可抗力，违约方不得以不可抗力为由进行抗辩，违约方仍应按本合同约定执行。</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十五</w:t>
      </w:r>
      <w:r>
        <w:rPr>
          <w:rFonts w:ascii="仿宋" w:hAnsi="仿宋" w:cs="Times New Roman"/>
          <w:b/>
          <w:kern w:val="0"/>
          <w:sz w:val="24"/>
          <w:szCs w:val="24"/>
          <w:highlight w:val="none"/>
        </w:rPr>
        <w:t>、争议的解决</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凡因本合同引起的或与本合同有关的任何争议，双方首先通过友好协商解决；如不能通过友好协商解决的，任何一方可向甲方所在地</w:t>
      </w:r>
      <w:r>
        <w:rPr>
          <w:rFonts w:hint="eastAsia" w:ascii="仿宋" w:hAnsi="仿宋" w:cs="Times New Roman"/>
          <w:kern w:val="0"/>
          <w:sz w:val="24"/>
          <w:szCs w:val="24"/>
          <w:highlight w:val="none"/>
        </w:rPr>
        <w:t>有管辖权</w:t>
      </w:r>
      <w:r>
        <w:rPr>
          <w:rFonts w:ascii="仿宋" w:hAnsi="仿宋" w:cs="Times New Roman"/>
          <w:kern w:val="0"/>
          <w:sz w:val="24"/>
          <w:szCs w:val="24"/>
          <w:highlight w:val="none"/>
        </w:rPr>
        <w:t>的人民法院提起诉讼。</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ascii="仿宋" w:hAnsi="仿宋" w:cs="Times New Roman"/>
          <w:b/>
          <w:kern w:val="0"/>
          <w:sz w:val="24"/>
          <w:szCs w:val="24"/>
          <w:highlight w:val="none"/>
        </w:rPr>
        <w:t>十</w:t>
      </w:r>
      <w:r>
        <w:rPr>
          <w:rFonts w:hint="eastAsia" w:ascii="仿宋" w:hAnsi="仿宋" w:cs="Times New Roman"/>
          <w:b/>
          <w:kern w:val="0"/>
          <w:sz w:val="24"/>
          <w:szCs w:val="24"/>
          <w:highlight w:val="none"/>
        </w:rPr>
        <w:t>六</w:t>
      </w:r>
      <w:r>
        <w:rPr>
          <w:rFonts w:ascii="仿宋" w:hAnsi="仿宋" w:cs="Times New Roman"/>
          <w:b/>
          <w:kern w:val="0"/>
          <w:sz w:val="24"/>
          <w:szCs w:val="24"/>
          <w:highlight w:val="none"/>
        </w:rPr>
        <w:t>、合同生效</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1.合同正本</w:t>
      </w:r>
      <w:r>
        <w:rPr>
          <w:rFonts w:hint="eastAsia" w:ascii="仿宋" w:hAnsi="仿宋" w:cs="Times New Roman"/>
          <w:kern w:val="0"/>
          <w:sz w:val="24"/>
          <w:szCs w:val="24"/>
          <w:highlight w:val="none"/>
        </w:rPr>
        <w:t>壹</w:t>
      </w:r>
      <w:r>
        <w:rPr>
          <w:rFonts w:ascii="仿宋" w:hAnsi="仿宋" w:cs="Times New Roman"/>
          <w:kern w:val="0"/>
          <w:sz w:val="24"/>
          <w:szCs w:val="24"/>
          <w:highlight w:val="none"/>
        </w:rPr>
        <w:t>式</w:t>
      </w:r>
      <w:r>
        <w:rPr>
          <w:rFonts w:hint="eastAsia" w:ascii="仿宋" w:hAnsi="仿宋" w:cs="Times New Roman"/>
          <w:kern w:val="0"/>
          <w:sz w:val="24"/>
          <w:szCs w:val="24"/>
          <w:highlight w:val="none"/>
        </w:rPr>
        <w:t>肆</w:t>
      </w:r>
      <w:r>
        <w:rPr>
          <w:rFonts w:ascii="仿宋" w:hAnsi="仿宋" w:cs="Times New Roman"/>
          <w:kern w:val="0"/>
          <w:sz w:val="24"/>
          <w:szCs w:val="24"/>
          <w:highlight w:val="none"/>
        </w:rPr>
        <w:t>份，甲</w:t>
      </w:r>
      <w:r>
        <w:rPr>
          <w:rFonts w:hint="eastAsia" w:ascii="仿宋" w:hAnsi="仿宋" w:cs="Times New Roman"/>
          <w:kern w:val="0"/>
          <w:sz w:val="24"/>
          <w:szCs w:val="24"/>
          <w:highlight w:val="none"/>
        </w:rPr>
        <w:t>方叁份，</w:t>
      </w:r>
      <w:r>
        <w:rPr>
          <w:rFonts w:ascii="仿宋" w:hAnsi="仿宋" w:cs="Times New Roman"/>
          <w:kern w:val="0"/>
          <w:sz w:val="24"/>
          <w:szCs w:val="24"/>
          <w:highlight w:val="none"/>
        </w:rPr>
        <w:t>乙方</w:t>
      </w:r>
      <w:r>
        <w:rPr>
          <w:rFonts w:hint="eastAsia" w:ascii="仿宋" w:hAnsi="仿宋" w:cs="Times New Roman"/>
          <w:kern w:val="0"/>
          <w:sz w:val="24"/>
          <w:szCs w:val="24"/>
          <w:highlight w:val="none"/>
        </w:rPr>
        <w:t>壹</w:t>
      </w:r>
      <w:r>
        <w:rPr>
          <w:rFonts w:ascii="仿宋" w:hAnsi="仿宋" w:cs="Times New Roman"/>
          <w:kern w:val="0"/>
          <w:sz w:val="24"/>
          <w:szCs w:val="24"/>
          <w:highlight w:val="none"/>
        </w:rPr>
        <w:t>份，</w:t>
      </w:r>
      <w:r>
        <w:rPr>
          <w:rFonts w:hint="eastAsia" w:ascii="仿宋" w:hAnsi="仿宋" w:cs="Times New Roman"/>
          <w:kern w:val="0"/>
          <w:sz w:val="24"/>
          <w:szCs w:val="24"/>
          <w:highlight w:val="none"/>
        </w:rPr>
        <w:t>每份合同</w:t>
      </w:r>
      <w:r>
        <w:rPr>
          <w:rFonts w:hint="eastAsia" w:ascii="仿宋" w:hAnsi="仿宋" w:cs="仿宋"/>
          <w:sz w:val="24"/>
          <w:szCs w:val="24"/>
          <w:highlight w:val="none"/>
        </w:rPr>
        <w:t>具有同等法律效力，经</w:t>
      </w:r>
      <w:r>
        <w:rPr>
          <w:rFonts w:ascii="仿宋" w:hAnsi="仿宋" w:cs="Times New Roman"/>
          <w:kern w:val="0"/>
          <w:sz w:val="24"/>
          <w:szCs w:val="24"/>
          <w:highlight w:val="none"/>
        </w:rPr>
        <w:t>双方</w:t>
      </w:r>
      <w:r>
        <w:rPr>
          <w:rFonts w:hint="eastAsia" w:ascii="仿宋" w:hAnsi="仿宋" w:cs="Times New Roman"/>
          <w:kern w:val="0"/>
          <w:sz w:val="24"/>
          <w:szCs w:val="24"/>
          <w:highlight w:val="none"/>
        </w:rPr>
        <w:t>法定代表人或</w:t>
      </w:r>
      <w:r>
        <w:rPr>
          <w:rFonts w:ascii="仿宋" w:hAnsi="仿宋" w:cs="Times New Roman"/>
          <w:kern w:val="0"/>
          <w:sz w:val="24"/>
          <w:szCs w:val="24"/>
          <w:highlight w:val="none"/>
        </w:rPr>
        <w:t>授权</w:t>
      </w:r>
      <w:r>
        <w:rPr>
          <w:rFonts w:hint="eastAsia" w:ascii="仿宋" w:hAnsi="仿宋" w:cs="Times New Roman"/>
          <w:kern w:val="0"/>
          <w:sz w:val="24"/>
          <w:szCs w:val="24"/>
          <w:highlight w:val="none"/>
        </w:rPr>
        <w:t>委托人</w:t>
      </w:r>
      <w:r>
        <w:rPr>
          <w:rFonts w:ascii="仿宋" w:hAnsi="仿宋" w:cs="Times New Roman"/>
          <w:kern w:val="0"/>
          <w:sz w:val="24"/>
          <w:szCs w:val="24"/>
          <w:highlight w:val="none"/>
        </w:rPr>
        <w:t>签字并加盖公章或合同章</w:t>
      </w:r>
      <w:r>
        <w:rPr>
          <w:rFonts w:hint="eastAsia" w:ascii="仿宋" w:hAnsi="仿宋" w:cs="Times New Roman"/>
          <w:kern w:val="0"/>
          <w:sz w:val="24"/>
          <w:szCs w:val="24"/>
          <w:highlight w:val="none"/>
        </w:rPr>
        <w:t>后生效</w:t>
      </w:r>
      <w:r>
        <w:rPr>
          <w:rFonts w:ascii="仿宋" w:hAnsi="仿宋" w:cs="Times New Roman"/>
          <w:kern w:val="0"/>
          <w:sz w:val="24"/>
          <w:szCs w:val="24"/>
          <w:highlight w:val="none"/>
        </w:rPr>
        <w:t>。</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2.本合同附件与招标文件</w:t>
      </w:r>
      <w:r>
        <w:rPr>
          <w:rFonts w:hint="eastAsia" w:ascii="仿宋" w:hAnsi="仿宋" w:cs="Times New Roman"/>
          <w:kern w:val="0"/>
          <w:sz w:val="24"/>
          <w:szCs w:val="24"/>
          <w:highlight w:val="none"/>
        </w:rPr>
        <w:t>、中标通知书</w:t>
      </w:r>
      <w:r>
        <w:rPr>
          <w:rFonts w:ascii="仿宋" w:hAnsi="仿宋" w:cs="Times New Roman"/>
          <w:kern w:val="0"/>
          <w:sz w:val="24"/>
          <w:szCs w:val="24"/>
          <w:highlight w:val="none"/>
        </w:rPr>
        <w:t>是</w:t>
      </w:r>
      <w:r>
        <w:rPr>
          <w:rFonts w:hint="eastAsia" w:ascii="仿宋" w:hAnsi="仿宋" w:cs="Times New Roman"/>
          <w:kern w:val="0"/>
          <w:sz w:val="24"/>
          <w:szCs w:val="24"/>
          <w:highlight w:val="none"/>
        </w:rPr>
        <w:t>本</w:t>
      </w:r>
      <w:r>
        <w:rPr>
          <w:rFonts w:ascii="仿宋" w:hAnsi="仿宋" w:cs="Times New Roman"/>
          <w:kern w:val="0"/>
          <w:sz w:val="24"/>
          <w:szCs w:val="24"/>
          <w:highlight w:val="none"/>
        </w:rPr>
        <w:t>合同不可分割的一部分，对甲乙双方具有同</w:t>
      </w:r>
      <w:r>
        <w:rPr>
          <w:rFonts w:hint="eastAsia" w:ascii="仿宋" w:hAnsi="仿宋" w:cs="Times New Roman"/>
          <w:kern w:val="0"/>
          <w:sz w:val="24"/>
          <w:szCs w:val="24"/>
          <w:highlight w:val="none"/>
        </w:rPr>
        <w:t>等</w:t>
      </w:r>
      <w:r>
        <w:rPr>
          <w:rFonts w:ascii="仿宋" w:hAnsi="仿宋" w:cs="Times New Roman"/>
          <w:kern w:val="0"/>
          <w:sz w:val="24"/>
          <w:szCs w:val="24"/>
          <w:highlight w:val="none"/>
        </w:rPr>
        <w:t>合同效力。</w:t>
      </w:r>
    </w:p>
    <w:p>
      <w:pPr>
        <w:widowControl/>
        <w:adjustRightInd w:val="0"/>
        <w:spacing w:line="360" w:lineRule="auto"/>
        <w:ind w:firstLine="480" w:firstLineChars="200"/>
        <w:jc w:val="left"/>
        <w:rPr>
          <w:rFonts w:ascii="仿宋" w:hAnsi="仿宋" w:cs="宋体"/>
          <w:kern w:val="0"/>
          <w:sz w:val="24"/>
          <w:szCs w:val="24"/>
          <w:highlight w:val="none"/>
        </w:rPr>
      </w:pPr>
      <w:r>
        <w:rPr>
          <w:rFonts w:ascii="仿宋" w:hAnsi="仿宋" w:cs="Times New Roman"/>
          <w:kern w:val="0"/>
          <w:sz w:val="24"/>
          <w:szCs w:val="24"/>
          <w:highlight w:val="none"/>
        </w:rPr>
        <w:t>3.本合同未尽事宜，则由双方协商解决，协商</w:t>
      </w:r>
      <w:r>
        <w:rPr>
          <w:rFonts w:hint="eastAsia" w:ascii="仿宋" w:hAnsi="仿宋" w:cs="Times New Roman"/>
          <w:kern w:val="0"/>
          <w:sz w:val="24"/>
          <w:szCs w:val="24"/>
          <w:highlight w:val="none"/>
        </w:rPr>
        <w:t>补充协议</w:t>
      </w:r>
      <w:r>
        <w:rPr>
          <w:rFonts w:ascii="仿宋" w:hAnsi="仿宋" w:cs="Times New Roman"/>
          <w:kern w:val="0"/>
          <w:sz w:val="24"/>
          <w:szCs w:val="24"/>
          <w:highlight w:val="none"/>
        </w:rPr>
        <w:t>同样作为合同附件，与合同具有同等效力。</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十七、合同的解除与变更</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1.合同生效后，除不可抗力外，甲乙任何一方不得无故解除或变更合同。</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2.合同的变更以“补充协议”形式作为合同附件，与合同具有同等法律效力。在新协议未达成前，原合同仍然有效。要求变更的一方应及时书面通知对方，对方在接到通知  3  日内书面给予答复，逾期未答复则视为不同意。双方达成协议的，按新合同执行。</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3.变更或解除合同所产生的费用或造成的损失由违约责任方负责。</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Times New Roman"/>
          <w:kern w:val="0"/>
          <w:sz w:val="24"/>
          <w:szCs w:val="24"/>
          <w:highlight w:val="none"/>
        </w:rPr>
        <w:t>4.如果一方严重违反协议，并在收到对方违约通知书后在 30 天内仍未能改正违约行为的，另一方可立即解除本协议，并按协议约定要求违约方承担违约责任。</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十八、合同的解释</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本合同及相关文件的解释顺序：</w:t>
      </w:r>
      <w:r>
        <w:rPr>
          <w:rFonts w:hint="eastAsia" w:ascii="仿宋" w:hAnsi="仿宋" w:cs="仿宋"/>
          <w:sz w:val="24"/>
          <w:szCs w:val="24"/>
          <w:highlight w:val="none"/>
        </w:rPr>
        <w:t>一是甲乙双方签署的采购合同及其附件；二是甲乙双方签署的补充协议；三是中标通知书；四是招标文件；五是投标文件及附录；六是技术标准和标样。</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十九、通知与送达</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1.本</w:t>
      </w:r>
      <w:r>
        <w:rPr>
          <w:rFonts w:hint="eastAsia" w:ascii="仿宋" w:hAnsi="仿宋" w:cs="Times New Roman"/>
          <w:kern w:val="0"/>
          <w:sz w:val="24"/>
          <w:szCs w:val="24"/>
          <w:highlight w:val="none"/>
        </w:rPr>
        <w:t>合同</w:t>
      </w:r>
      <w:r>
        <w:rPr>
          <w:rFonts w:ascii="仿宋" w:hAnsi="仿宋" w:cs="Times New Roman"/>
          <w:kern w:val="0"/>
          <w:sz w:val="24"/>
          <w:szCs w:val="24"/>
          <w:highlight w:val="none"/>
        </w:rPr>
        <w:t>甲乙双方发出与本</w:t>
      </w:r>
      <w:r>
        <w:rPr>
          <w:rFonts w:hint="eastAsia" w:ascii="仿宋" w:hAnsi="仿宋" w:cs="Times New Roman"/>
          <w:kern w:val="0"/>
          <w:sz w:val="24"/>
          <w:szCs w:val="24"/>
          <w:highlight w:val="none"/>
        </w:rPr>
        <w:t>合同</w:t>
      </w:r>
      <w:r>
        <w:rPr>
          <w:rFonts w:ascii="仿宋" w:hAnsi="仿宋" w:cs="Times New Roman"/>
          <w:kern w:val="0"/>
          <w:sz w:val="24"/>
          <w:szCs w:val="24"/>
          <w:highlight w:val="none"/>
        </w:rPr>
        <w:t>有关的通知或回复，应根据相关事项的重要程度，以纸质文件、电子文件、微信短信、电话等方式发出；如果以专人送递或特快专递发送，以送达至</w:t>
      </w:r>
      <w:r>
        <w:rPr>
          <w:rFonts w:hint="eastAsia" w:ascii="仿宋" w:hAnsi="仿宋" w:cs="Times New Roman"/>
          <w:kern w:val="0"/>
          <w:sz w:val="24"/>
          <w:szCs w:val="24"/>
          <w:highlight w:val="none"/>
        </w:rPr>
        <w:t>本合同约定的</w:t>
      </w:r>
      <w:r>
        <w:rPr>
          <w:rFonts w:ascii="仿宋" w:hAnsi="仿宋" w:cs="Times New Roman"/>
          <w:kern w:val="0"/>
          <w:sz w:val="24"/>
          <w:szCs w:val="24"/>
          <w:highlight w:val="none"/>
        </w:rPr>
        <w:t>通讯</w:t>
      </w:r>
      <w:r>
        <w:rPr>
          <w:rFonts w:hint="eastAsia" w:ascii="仿宋" w:hAnsi="仿宋" w:cs="Times New Roman"/>
          <w:kern w:val="0"/>
          <w:sz w:val="24"/>
          <w:szCs w:val="24"/>
          <w:highlight w:val="none"/>
        </w:rPr>
        <w:t>地址</w:t>
      </w:r>
      <w:r>
        <w:rPr>
          <w:rFonts w:ascii="仿宋" w:hAnsi="仿宋" w:cs="Times New Roman"/>
          <w:kern w:val="0"/>
          <w:sz w:val="24"/>
          <w:szCs w:val="24"/>
          <w:highlight w:val="none"/>
        </w:rPr>
        <w:t>为送达。</w:t>
      </w:r>
    </w:p>
    <w:p>
      <w:pPr>
        <w:widowControl/>
        <w:adjustRightInd w:val="0"/>
        <w:spacing w:line="360" w:lineRule="auto"/>
        <w:ind w:firstLine="480" w:firstLineChars="200"/>
        <w:jc w:val="left"/>
        <w:rPr>
          <w:rFonts w:ascii="仿宋" w:hAnsi="仿宋" w:cs="Times New Roman"/>
          <w:kern w:val="0"/>
          <w:sz w:val="24"/>
          <w:szCs w:val="24"/>
          <w:highlight w:val="none"/>
        </w:rPr>
      </w:pPr>
      <w:r>
        <w:rPr>
          <w:rFonts w:ascii="仿宋" w:hAnsi="仿宋" w:cs="Times New Roman"/>
          <w:kern w:val="0"/>
          <w:sz w:val="24"/>
          <w:szCs w:val="24"/>
          <w:highlight w:val="none"/>
        </w:rPr>
        <w:t>2.双方发出的与本</w:t>
      </w:r>
      <w:r>
        <w:rPr>
          <w:rFonts w:hint="eastAsia" w:ascii="仿宋" w:hAnsi="仿宋" w:cs="Times New Roman"/>
          <w:kern w:val="0"/>
          <w:sz w:val="24"/>
          <w:szCs w:val="24"/>
          <w:highlight w:val="none"/>
        </w:rPr>
        <w:t>合同</w:t>
      </w:r>
      <w:r>
        <w:rPr>
          <w:rFonts w:ascii="仿宋" w:hAnsi="仿宋" w:cs="Times New Roman"/>
          <w:kern w:val="0"/>
          <w:sz w:val="24"/>
          <w:szCs w:val="24"/>
          <w:highlight w:val="none"/>
        </w:rPr>
        <w:t>有关的通知或回复均应发至</w:t>
      </w:r>
      <w:r>
        <w:rPr>
          <w:rFonts w:hint="eastAsia" w:ascii="仿宋" w:hAnsi="仿宋" w:cs="Times New Roman"/>
          <w:kern w:val="0"/>
          <w:sz w:val="24"/>
          <w:szCs w:val="24"/>
          <w:highlight w:val="none"/>
        </w:rPr>
        <w:t>本合同尾部</w:t>
      </w:r>
      <w:r>
        <w:rPr>
          <w:rFonts w:ascii="仿宋" w:hAnsi="仿宋" w:cs="Times New Roman"/>
          <w:kern w:val="0"/>
          <w:sz w:val="24"/>
          <w:szCs w:val="24"/>
          <w:highlight w:val="none"/>
        </w:rPr>
        <w:t>通讯地址，一方变更通讯地址，应自变更之日起</w:t>
      </w:r>
      <w:r>
        <w:rPr>
          <w:rFonts w:hint="eastAsia" w:ascii="仿宋" w:hAnsi="仿宋" w:cs="Times New Roman"/>
          <w:kern w:val="0"/>
          <w:sz w:val="24"/>
          <w:szCs w:val="24"/>
          <w:highlight w:val="none"/>
        </w:rPr>
        <w:t>3</w:t>
      </w:r>
      <w:r>
        <w:rPr>
          <w:rFonts w:ascii="仿宋" w:hAnsi="仿宋" w:cs="Times New Roman"/>
          <w:kern w:val="0"/>
          <w:sz w:val="24"/>
          <w:szCs w:val="24"/>
          <w:highlight w:val="none"/>
        </w:rPr>
        <w:t>个工作日内，将变更后的地址通知对方。变更方不履行通知义务的，应对此造成的一切后果承担法律责任。</w:t>
      </w:r>
    </w:p>
    <w:p>
      <w:pPr>
        <w:widowControl/>
        <w:adjustRightInd w:val="0"/>
        <w:spacing w:line="360" w:lineRule="auto"/>
        <w:ind w:firstLine="480" w:firstLineChars="200"/>
        <w:jc w:val="left"/>
        <w:outlineLvl w:val="0"/>
        <w:rPr>
          <w:rFonts w:ascii="仿宋" w:hAnsi="仿宋" w:cs="Times New Roman"/>
          <w:b/>
          <w:kern w:val="0"/>
          <w:sz w:val="24"/>
          <w:szCs w:val="24"/>
          <w:highlight w:val="none"/>
        </w:rPr>
      </w:pPr>
      <w:r>
        <w:rPr>
          <w:rFonts w:hint="eastAsia" w:ascii="仿宋" w:hAnsi="仿宋" w:cs="Times New Roman"/>
          <w:b/>
          <w:kern w:val="0"/>
          <w:sz w:val="24"/>
          <w:szCs w:val="24"/>
          <w:highlight w:val="none"/>
        </w:rPr>
        <w:t>二十、合同附件</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1.《交货清单》</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2.</w:t>
      </w:r>
      <w:r>
        <w:rPr>
          <w:rFonts w:hint="eastAsia" w:ascii="仿宋" w:hAnsi="仿宋" w:cs="Times New Roman"/>
          <w:sz w:val="24"/>
          <w:szCs w:val="24"/>
          <w:highlight w:val="none"/>
        </w:rPr>
        <w:t>分项报价</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3.《技术规格偏离表》</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4</w:t>
      </w:r>
      <w:r>
        <w:rPr>
          <w:rFonts w:ascii="仿宋" w:hAnsi="仿宋" w:cs="宋体"/>
          <w:kern w:val="0"/>
          <w:sz w:val="24"/>
          <w:szCs w:val="24"/>
          <w:highlight w:val="none"/>
        </w:rPr>
        <w:t>.</w:t>
      </w:r>
      <w:r>
        <w:rPr>
          <w:rFonts w:hint="eastAsia" w:ascii="仿宋" w:hAnsi="仿宋" w:cs="宋体"/>
          <w:kern w:val="0"/>
          <w:sz w:val="24"/>
          <w:szCs w:val="24"/>
          <w:highlight w:val="none"/>
        </w:rPr>
        <w:t>《辽宁省消防救援总队自然灾害应急能力提升工程装备建设项目验收实施方案》</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5</w:t>
      </w:r>
      <w:r>
        <w:rPr>
          <w:rFonts w:ascii="仿宋" w:hAnsi="仿宋" w:cs="宋体"/>
          <w:kern w:val="0"/>
          <w:sz w:val="24"/>
          <w:szCs w:val="24"/>
          <w:highlight w:val="none"/>
        </w:rPr>
        <w:t>.</w:t>
      </w:r>
      <w:r>
        <w:rPr>
          <w:rFonts w:hint="eastAsia" w:ascii="仿宋" w:hAnsi="仿宋" w:cs="宋体"/>
          <w:kern w:val="0"/>
          <w:sz w:val="24"/>
          <w:szCs w:val="24"/>
          <w:highlight w:val="none"/>
        </w:rPr>
        <w:t>投标文件中有关售后服务、质量保证、巡检、培训、备品清单等内容</w:t>
      </w:r>
    </w:p>
    <w:p>
      <w:pPr>
        <w:spacing w:line="360" w:lineRule="auto"/>
        <w:rPr>
          <w:rFonts w:ascii="宋体" w:hAnsi="Times New Roman" w:eastAsia="宋体" w:cs="Times New Roman"/>
          <w:sz w:val="24"/>
          <w:szCs w:val="20"/>
          <w:highlight w:val="none"/>
        </w:rPr>
      </w:pPr>
      <w:r>
        <w:rPr>
          <w:rFonts w:hint="eastAsia" w:ascii="仿宋" w:hAnsi="仿宋" w:cs="宋体"/>
          <w:kern w:val="0"/>
          <w:sz w:val="24"/>
          <w:szCs w:val="24"/>
          <w:highlight w:val="none"/>
        </w:rPr>
        <w:t xml:space="preserve">    </w:t>
      </w:r>
    </w:p>
    <w:p>
      <w:pPr>
        <w:tabs>
          <w:tab w:val="left" w:pos="8306"/>
        </w:tabs>
        <w:spacing w:line="360" w:lineRule="auto"/>
        <w:ind w:right="-58" w:firstLine="448" w:firstLineChars="200"/>
        <w:rPr>
          <w:rFonts w:ascii="仿宋" w:hAnsi="仿宋" w:cs="仿宋"/>
          <w:spacing w:val="-8"/>
          <w:sz w:val="24"/>
          <w:szCs w:val="24"/>
          <w:highlight w:val="none"/>
        </w:rPr>
      </w:pPr>
      <w:r>
        <w:rPr>
          <w:rFonts w:hint="eastAsia" w:ascii="仿宋" w:hAnsi="仿宋" w:cs="仿宋"/>
          <w:spacing w:val="-8"/>
          <w:sz w:val="24"/>
          <w:szCs w:val="24"/>
          <w:highlight w:val="none"/>
        </w:rPr>
        <w:t>甲方（盖章）：                               乙方（盖章）：</w:t>
      </w:r>
    </w:p>
    <w:p>
      <w:pPr>
        <w:tabs>
          <w:tab w:val="left" w:pos="8306"/>
        </w:tabs>
        <w:spacing w:line="360" w:lineRule="auto"/>
        <w:ind w:right="-58" w:firstLine="448" w:firstLineChars="200"/>
        <w:rPr>
          <w:rFonts w:ascii="仿宋" w:hAnsi="仿宋" w:cs="仿宋"/>
          <w:spacing w:val="-8"/>
          <w:sz w:val="24"/>
          <w:szCs w:val="24"/>
          <w:highlight w:val="none"/>
        </w:rPr>
      </w:pPr>
      <w:r>
        <w:rPr>
          <w:rFonts w:hint="eastAsia" w:ascii="仿宋" w:hAnsi="仿宋" w:cs="仿宋"/>
          <w:spacing w:val="-8"/>
          <w:sz w:val="24"/>
          <w:szCs w:val="24"/>
          <w:highlight w:val="none"/>
        </w:rPr>
        <w:t>地址：                                       地址：</w:t>
      </w:r>
    </w:p>
    <w:p>
      <w:pPr>
        <w:tabs>
          <w:tab w:val="left" w:pos="8306"/>
        </w:tabs>
        <w:spacing w:line="360" w:lineRule="auto"/>
        <w:ind w:right="-58" w:firstLine="448" w:firstLineChars="200"/>
        <w:rPr>
          <w:rFonts w:ascii="仿宋" w:hAnsi="仿宋" w:cs="仿宋"/>
          <w:spacing w:val="-8"/>
          <w:sz w:val="24"/>
          <w:szCs w:val="24"/>
          <w:highlight w:val="none"/>
        </w:rPr>
      </w:pPr>
      <w:r>
        <w:rPr>
          <w:rFonts w:hint="eastAsia" w:ascii="仿宋" w:hAnsi="仿宋" w:cs="仿宋"/>
          <w:spacing w:val="-8"/>
          <w:sz w:val="24"/>
          <w:szCs w:val="24"/>
          <w:highlight w:val="none"/>
        </w:rPr>
        <w:t>法定代表人或授权委托人                      法定代表人或授权委托人</w:t>
      </w:r>
    </w:p>
    <w:p>
      <w:pPr>
        <w:tabs>
          <w:tab w:val="left" w:pos="8306"/>
        </w:tabs>
        <w:spacing w:line="360" w:lineRule="auto"/>
        <w:ind w:right="-58" w:firstLine="448" w:firstLineChars="200"/>
        <w:rPr>
          <w:rFonts w:ascii="仿宋" w:hAnsi="仿宋" w:cs="仿宋"/>
          <w:spacing w:val="-8"/>
          <w:sz w:val="24"/>
          <w:szCs w:val="24"/>
          <w:highlight w:val="none"/>
        </w:rPr>
      </w:pPr>
      <w:r>
        <w:rPr>
          <w:rFonts w:hint="eastAsia" w:ascii="仿宋" w:hAnsi="仿宋" w:cs="仿宋"/>
          <w:spacing w:val="-8"/>
          <w:sz w:val="24"/>
          <w:szCs w:val="24"/>
          <w:highlight w:val="none"/>
        </w:rPr>
        <w:t>（签字或盖章）：                            （签字或盖章）：</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电话：                                  电话：</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开户行：                                开户行：</w:t>
      </w:r>
    </w:p>
    <w:p>
      <w:pPr>
        <w:widowControl/>
        <w:adjustRightInd w:val="0"/>
        <w:spacing w:line="360" w:lineRule="auto"/>
        <w:ind w:firstLine="480" w:firstLineChars="200"/>
        <w:jc w:val="left"/>
        <w:rPr>
          <w:rFonts w:ascii="仿宋" w:hAnsi="仿宋" w:cs="宋体"/>
          <w:kern w:val="0"/>
          <w:sz w:val="24"/>
          <w:szCs w:val="24"/>
          <w:highlight w:val="none"/>
        </w:rPr>
      </w:pPr>
      <w:r>
        <w:rPr>
          <w:rFonts w:hint="eastAsia" w:ascii="仿宋" w:hAnsi="仿宋" w:cs="宋体"/>
          <w:kern w:val="0"/>
          <w:sz w:val="24"/>
          <w:szCs w:val="24"/>
          <w:highlight w:val="none"/>
        </w:rPr>
        <w:t>银行账号：                              银行账号：</w:t>
      </w:r>
    </w:p>
    <w:p>
      <w:pPr>
        <w:widowControl/>
        <w:adjustRightInd w:val="0"/>
        <w:spacing w:line="360" w:lineRule="auto"/>
        <w:ind w:firstLine="480" w:firstLineChars="200"/>
        <w:jc w:val="left"/>
        <w:rPr>
          <w:rFonts w:ascii="仿宋" w:hAnsi="仿宋" w:cs="Times New Roman"/>
          <w:kern w:val="0"/>
          <w:sz w:val="24"/>
          <w:szCs w:val="24"/>
          <w:highlight w:val="none"/>
        </w:rPr>
      </w:pPr>
      <w:r>
        <w:rPr>
          <w:rFonts w:hint="eastAsia" w:ascii="仿宋" w:hAnsi="仿宋" w:cs="宋体"/>
          <w:kern w:val="0"/>
          <w:sz w:val="24"/>
          <w:szCs w:val="24"/>
          <w:highlight w:val="none"/>
        </w:rPr>
        <w:t>开户行地址：                            开户行地址：</w:t>
      </w:r>
      <w:r>
        <w:rPr>
          <w:rFonts w:hint="eastAsia" w:ascii="仿宋" w:hAnsi="仿宋" w:cs="Times New Roman"/>
          <w:kern w:val="0"/>
          <w:sz w:val="24"/>
          <w:szCs w:val="24"/>
          <w:highlight w:val="none"/>
        </w:rPr>
        <w:t xml:space="preserve"> </w:t>
      </w:r>
    </w:p>
    <w:p>
      <w:pPr>
        <w:widowControl/>
        <w:adjustRightInd w:val="0"/>
        <w:spacing w:line="360" w:lineRule="auto"/>
        <w:ind w:firstLine="480" w:firstLineChars="200"/>
        <w:jc w:val="left"/>
        <w:rPr>
          <w:rFonts w:ascii="仿宋" w:hAnsi="仿宋" w:cs="宋体"/>
          <w:color w:val="auto"/>
          <w:kern w:val="0"/>
          <w:sz w:val="24"/>
          <w:highlight w:val="none"/>
        </w:rPr>
      </w:pPr>
      <w:r>
        <w:rPr>
          <w:rFonts w:hint="eastAsia" w:ascii="仿宋" w:hAnsi="仿宋" w:cs="宋体"/>
          <w:kern w:val="0"/>
          <w:sz w:val="24"/>
          <w:szCs w:val="24"/>
          <w:highlight w:val="none"/>
        </w:rPr>
        <w:t>日期：     年  月  日                   日期：     年  月  日</w:t>
      </w:r>
    </w:p>
    <w:p>
      <w:pPr>
        <w:spacing w:line="360" w:lineRule="auto"/>
        <w:rPr>
          <w:rFonts w:hint="eastAsia" w:ascii="仿宋" w:hAnsi="仿宋" w:eastAsia="仿宋"/>
          <w:color w:val="auto"/>
          <w:sz w:val="24"/>
          <w:highlight w:val="none"/>
          <w:lang w:eastAsia="zh-CN"/>
        </w:rPr>
      </w:pPr>
      <w:r>
        <w:rPr>
          <w:rFonts w:ascii="仿宋" w:hAnsi="仿宋"/>
          <w:color w:val="auto"/>
          <w:sz w:val="24"/>
          <w:highlight w:val="none"/>
        </w:rPr>
        <w:br w:type="page"/>
      </w:r>
      <w:r>
        <w:rPr>
          <w:rFonts w:ascii="仿宋" w:hAnsi="仿宋"/>
          <w:color w:val="auto"/>
          <w:sz w:val="24"/>
          <w:highlight w:val="none"/>
        </w:rPr>
        <w:t>附件</w:t>
      </w:r>
      <w:r>
        <w:rPr>
          <w:rFonts w:hint="eastAsia" w:ascii="仿宋" w:hAnsi="仿宋"/>
          <w:color w:val="auto"/>
          <w:sz w:val="24"/>
          <w:highlight w:val="none"/>
          <w:lang w:val="en-US" w:eastAsia="zh-CN"/>
        </w:rPr>
        <w:t>1</w:t>
      </w:r>
    </w:p>
    <w:p>
      <w:pPr>
        <w:spacing w:line="360" w:lineRule="auto"/>
        <w:jc w:val="center"/>
        <w:outlineLvl w:val="0"/>
        <w:rPr>
          <w:rFonts w:hint="eastAsia" w:ascii="仿宋" w:hAnsi="仿宋" w:cs="仿宋"/>
          <w:color w:val="auto"/>
          <w:kern w:val="0"/>
          <w:sz w:val="32"/>
          <w:szCs w:val="32"/>
          <w:highlight w:val="none"/>
        </w:rPr>
      </w:pPr>
      <w:r>
        <w:rPr>
          <w:rFonts w:hint="eastAsia" w:ascii="仿宋" w:hAnsi="仿宋" w:cs="仿宋"/>
          <w:color w:val="auto"/>
          <w:kern w:val="0"/>
          <w:sz w:val="32"/>
          <w:szCs w:val="32"/>
          <w:highlight w:val="none"/>
        </w:rPr>
        <w:t>辽宁省消防救援总队自然灾害应急能力提升工程</w:t>
      </w:r>
    </w:p>
    <w:p>
      <w:pPr>
        <w:spacing w:line="360" w:lineRule="auto"/>
        <w:jc w:val="center"/>
        <w:outlineLvl w:val="0"/>
        <w:rPr>
          <w:rFonts w:ascii="仿宋" w:hAnsi="仿宋" w:cs="仿宋"/>
          <w:color w:val="auto"/>
          <w:kern w:val="0"/>
          <w:sz w:val="32"/>
          <w:szCs w:val="32"/>
          <w:highlight w:val="none"/>
        </w:rPr>
      </w:pPr>
      <w:r>
        <w:rPr>
          <w:rFonts w:hint="eastAsia" w:ascii="仿宋" w:hAnsi="仿宋" w:cs="仿宋"/>
          <w:color w:val="auto"/>
          <w:kern w:val="0"/>
          <w:sz w:val="32"/>
          <w:szCs w:val="32"/>
          <w:highlight w:val="none"/>
        </w:rPr>
        <w:t>装备建设项目（</w:t>
      </w:r>
      <w:r>
        <w:rPr>
          <w:rFonts w:hint="eastAsia" w:ascii="仿宋" w:hAnsi="仿宋" w:cs="仿宋"/>
          <w:color w:val="auto"/>
          <w:kern w:val="0"/>
          <w:sz w:val="24"/>
          <w:highlight w:val="none"/>
          <w:lang w:val="en-US" w:eastAsia="zh-CN"/>
        </w:rPr>
        <w:t>XX</w:t>
      </w:r>
      <w:r>
        <w:rPr>
          <w:rFonts w:hint="eastAsia" w:ascii="仿宋" w:hAnsi="仿宋" w:cs="仿宋"/>
          <w:color w:val="auto"/>
          <w:kern w:val="0"/>
          <w:sz w:val="32"/>
          <w:szCs w:val="32"/>
          <w:highlight w:val="none"/>
        </w:rPr>
        <w:t>）</w:t>
      </w:r>
    </w:p>
    <w:p>
      <w:pPr>
        <w:spacing w:line="360" w:lineRule="auto"/>
        <w:jc w:val="center"/>
        <w:outlineLvl w:val="0"/>
        <w:rPr>
          <w:rFonts w:ascii="仿宋" w:hAnsi="仿宋"/>
          <w:color w:val="auto"/>
          <w:kern w:val="0"/>
          <w:sz w:val="32"/>
          <w:szCs w:val="32"/>
          <w:highlight w:val="none"/>
        </w:rPr>
      </w:pPr>
      <w:r>
        <w:rPr>
          <w:rFonts w:hint="eastAsia" w:ascii="仿宋" w:hAnsi="仿宋" w:cs="仿宋"/>
          <w:color w:val="auto"/>
          <w:kern w:val="0"/>
          <w:sz w:val="32"/>
          <w:szCs w:val="32"/>
          <w:highlight w:val="none"/>
        </w:rPr>
        <w:t>第</w:t>
      </w:r>
      <w:r>
        <w:rPr>
          <w:rFonts w:hint="eastAsia" w:ascii="仿宋" w:hAnsi="仿宋" w:cs="仿宋"/>
          <w:color w:val="auto"/>
          <w:kern w:val="0"/>
          <w:sz w:val="24"/>
          <w:highlight w:val="none"/>
          <w:lang w:val="en-US" w:eastAsia="zh-CN"/>
        </w:rPr>
        <w:t>XX</w:t>
      </w:r>
      <w:r>
        <w:rPr>
          <w:rFonts w:hint="eastAsia" w:ascii="仿宋" w:hAnsi="仿宋" w:cs="仿宋"/>
          <w:color w:val="auto"/>
          <w:kern w:val="0"/>
          <w:sz w:val="32"/>
          <w:szCs w:val="32"/>
          <w:highlight w:val="none"/>
        </w:rPr>
        <w:t>包交货清单</w:t>
      </w:r>
    </w:p>
    <w:p>
      <w:pPr>
        <w:pStyle w:val="8"/>
        <w:spacing w:line="360" w:lineRule="auto"/>
        <w:ind w:firstLine="0" w:firstLineChars="0"/>
        <w:jc w:val="center"/>
        <w:rPr>
          <w:rFonts w:ascii="仿宋" w:hAnsi="仿宋"/>
          <w:b/>
          <w:color w:val="auto"/>
          <w:sz w:val="44"/>
          <w:szCs w:val="44"/>
          <w:highlight w:val="none"/>
        </w:rPr>
      </w:pPr>
    </w:p>
    <w:tbl>
      <w:tblPr>
        <w:tblStyle w:val="23"/>
        <w:tblW w:w="8649" w:type="dxa"/>
        <w:jc w:val="center"/>
        <w:tblLayout w:type="fixed"/>
        <w:tblCellMar>
          <w:top w:w="0" w:type="dxa"/>
          <w:left w:w="108" w:type="dxa"/>
          <w:bottom w:w="0" w:type="dxa"/>
          <w:right w:w="108" w:type="dxa"/>
        </w:tblCellMar>
      </w:tblPr>
      <w:tblGrid>
        <w:gridCol w:w="572"/>
        <w:gridCol w:w="1267"/>
        <w:gridCol w:w="1620"/>
        <w:gridCol w:w="885"/>
        <w:gridCol w:w="533"/>
        <w:gridCol w:w="1515"/>
        <w:gridCol w:w="2257"/>
      </w:tblGrid>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收物单位：</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rPr>
                <w:rFonts w:hint="default" w:ascii="仿宋" w:hAnsi="仿宋"/>
                <w:color w:val="auto"/>
                <w:kern w:val="0"/>
                <w:sz w:val="24"/>
                <w:highlight w:val="none"/>
              </w:rPr>
            </w:pPr>
            <w:r>
              <w:rPr>
                <w:rFonts w:hint="default" w:ascii="仿宋" w:hAnsi="仿宋"/>
                <w:color w:val="auto"/>
                <w:kern w:val="0"/>
                <w:sz w:val="24"/>
                <w:highlight w:val="none"/>
              </w:rPr>
              <w:t>收物地址：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收物人：</w:t>
            </w:r>
            <w:r>
              <w:rPr>
                <w:rFonts w:hint="eastAsia" w:ascii="仿宋" w:hAnsi="仿宋"/>
                <w:color w:val="auto"/>
                <w:kern w:val="0"/>
                <w:sz w:val="24"/>
                <w:highlight w:val="none"/>
              </w:rPr>
              <w:t xml:space="preserve">      </w:t>
            </w:r>
            <w:r>
              <w:rPr>
                <w:rFonts w:hint="default" w:ascii="仿宋" w:hAnsi="仿宋"/>
                <w:color w:val="auto"/>
                <w:kern w:val="0"/>
                <w:sz w:val="24"/>
                <w:highlight w:val="none"/>
              </w:rPr>
              <w:t>手机：</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发物单位（盖章）：</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 w:val="24"/>
                <w:highlight w:val="none"/>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 w:val="24"/>
                <w:highlight w:val="none"/>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发物地址：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 w:val="24"/>
                <w:highlight w:val="none"/>
              </w:rPr>
            </w:pPr>
            <w:r>
              <w:rPr>
                <w:rFonts w:hint="default" w:ascii="仿宋" w:hAnsi="仿宋"/>
                <w:color w:val="auto"/>
                <w:kern w:val="0"/>
                <w:sz w:val="24"/>
                <w:highlight w:val="none"/>
              </w:rPr>
              <w:t>发物人：</w:t>
            </w:r>
            <w:r>
              <w:rPr>
                <w:rFonts w:hint="eastAsia" w:ascii="仿宋" w:hAnsi="仿宋"/>
                <w:color w:val="auto"/>
                <w:kern w:val="0"/>
                <w:sz w:val="24"/>
                <w:highlight w:val="none"/>
              </w:rPr>
              <w:t xml:space="preserve">          </w:t>
            </w:r>
            <w:r>
              <w:rPr>
                <w:rFonts w:hint="default" w:ascii="仿宋" w:hAnsi="仿宋"/>
                <w:color w:val="auto"/>
                <w:kern w:val="0"/>
                <w:sz w:val="24"/>
                <w:highlight w:val="none"/>
              </w:rPr>
              <w:t>手机：</w:t>
            </w:r>
          </w:p>
        </w:tc>
      </w:tr>
      <w:tr>
        <w:tblPrEx>
          <w:tblCellMar>
            <w:top w:w="0" w:type="dxa"/>
            <w:left w:w="108" w:type="dxa"/>
            <w:bottom w:w="0" w:type="dxa"/>
            <w:right w:w="108" w:type="dxa"/>
          </w:tblCellMar>
        </w:tblPrEx>
        <w:trPr>
          <w:trHeight w:val="383" w:hRule="atLeast"/>
          <w:jc w:val="center"/>
        </w:trPr>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序号</w:t>
            </w:r>
          </w:p>
        </w:tc>
        <w:tc>
          <w:tcPr>
            <w:tcW w:w="1267"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品名</w:t>
            </w:r>
          </w:p>
        </w:tc>
        <w:tc>
          <w:tcPr>
            <w:tcW w:w="1620" w:type="dxa"/>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b/>
                <w:color w:val="auto"/>
                <w:kern w:val="0"/>
                <w:szCs w:val="21"/>
                <w:highlight w:val="none"/>
              </w:rPr>
            </w:pPr>
            <w:r>
              <w:rPr>
                <w:rFonts w:hint="eastAsia" w:ascii="仿宋" w:hAnsi="仿宋"/>
                <w:b/>
                <w:color w:val="auto"/>
                <w:kern w:val="0"/>
                <w:szCs w:val="21"/>
                <w:highlight w:val="none"/>
              </w:rPr>
              <w:t>型号款式</w:t>
            </w:r>
          </w:p>
        </w:tc>
        <w:tc>
          <w:tcPr>
            <w:tcW w:w="885" w:type="dxa"/>
            <w:tcBorders>
              <w:top w:val="single" w:color="000000" w:sz="4" w:space="0"/>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计量</w:t>
            </w:r>
          </w:p>
          <w:p>
            <w:pPr>
              <w:keepNext w:val="0"/>
              <w:keepLines w:val="0"/>
              <w:widowControl/>
              <w:suppressLineNumbers w:val="0"/>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单位</w:t>
            </w:r>
          </w:p>
        </w:tc>
        <w:tc>
          <w:tcPr>
            <w:tcW w:w="2048" w:type="dxa"/>
            <w:gridSpan w:val="2"/>
            <w:tcBorders>
              <w:top w:val="single" w:color="000000" w:sz="4" w:space="0"/>
              <w:left w:val="single" w:color="auto" w:sz="4" w:space="0"/>
              <w:bottom w:val="single" w:color="000000"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合同约定交货数量</w:t>
            </w:r>
          </w:p>
          <w:p>
            <w:pPr>
              <w:keepNext w:val="0"/>
              <w:keepLines w:val="0"/>
              <w:suppressLineNumbers w:val="0"/>
              <w:spacing w:before="0" w:beforeAutospacing="0" w:after="0" w:afterAutospacing="0"/>
              <w:ind w:left="0" w:right="0"/>
              <w:jc w:val="center"/>
              <w:rPr>
                <w:rFonts w:hint="default" w:ascii="仿宋" w:hAnsi="仿宋"/>
                <w:color w:val="auto"/>
                <w:szCs w:val="21"/>
                <w:highlight w:val="none"/>
              </w:rPr>
            </w:pPr>
            <w:r>
              <w:rPr>
                <w:rFonts w:hint="default" w:ascii="仿宋" w:hAnsi="仿宋"/>
                <w:b/>
                <w:color w:val="auto"/>
                <w:kern w:val="0"/>
                <w:szCs w:val="21"/>
                <w:highlight w:val="none"/>
              </w:rPr>
              <w:t>（由发物单位填写）</w:t>
            </w:r>
          </w:p>
        </w:tc>
        <w:tc>
          <w:tcPr>
            <w:tcW w:w="2257"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suppressLineNumbers w:val="0"/>
              <w:spacing w:before="0" w:beforeAutospacing="0" w:after="0" w:afterAutospacing="0"/>
              <w:ind w:left="0" w:right="0"/>
              <w:jc w:val="center"/>
              <w:rPr>
                <w:rFonts w:hint="default" w:ascii="仿宋" w:hAnsi="仿宋"/>
                <w:b/>
                <w:color w:val="auto"/>
                <w:kern w:val="0"/>
                <w:szCs w:val="21"/>
                <w:highlight w:val="none"/>
              </w:rPr>
            </w:pPr>
            <w:r>
              <w:rPr>
                <w:rFonts w:hint="default" w:ascii="仿宋" w:hAnsi="仿宋"/>
                <w:b/>
                <w:color w:val="auto"/>
                <w:kern w:val="0"/>
                <w:szCs w:val="21"/>
                <w:highlight w:val="none"/>
              </w:rPr>
              <w:t>本次交货和到货数量</w:t>
            </w:r>
          </w:p>
          <w:p>
            <w:pPr>
              <w:keepNext w:val="0"/>
              <w:keepLines w:val="0"/>
              <w:suppressLineNumbers w:val="0"/>
              <w:spacing w:before="0" w:beforeAutospacing="0" w:after="0" w:afterAutospacing="0"/>
              <w:ind w:left="0" w:right="0"/>
              <w:jc w:val="center"/>
              <w:rPr>
                <w:rFonts w:hint="default" w:ascii="仿宋" w:hAnsi="仿宋"/>
                <w:color w:val="auto"/>
                <w:szCs w:val="21"/>
                <w:highlight w:val="none"/>
              </w:rPr>
            </w:pPr>
            <w:r>
              <w:rPr>
                <w:rFonts w:hint="default" w:ascii="仿宋" w:hAnsi="仿宋"/>
                <w:b/>
                <w:color w:val="auto"/>
                <w:kern w:val="0"/>
                <w:szCs w:val="21"/>
                <w:highlight w:val="none"/>
              </w:rPr>
              <w:t>（由发物单位填写）</w:t>
            </w: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1</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2</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3</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4</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5</w:t>
            </w:r>
          </w:p>
        </w:tc>
        <w:tc>
          <w:tcPr>
            <w:tcW w:w="1267"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1620" w:type="dxa"/>
            <w:tcBorders>
              <w:top w:val="nil"/>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885" w:type="dxa"/>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048" w:type="dxa"/>
            <w:gridSpan w:val="2"/>
            <w:tcBorders>
              <w:top w:val="nil"/>
              <w:left w:val="nil"/>
              <w:bottom w:val="single" w:color="000000"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vMerge w:val="restart"/>
            <w:tcBorders>
              <w:top w:val="nil"/>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center"/>
              <w:rPr>
                <w:rFonts w:hint="default" w:ascii="仿宋" w:hAnsi="仿宋"/>
                <w:color w:val="auto"/>
                <w:kern w:val="0"/>
                <w:szCs w:val="21"/>
                <w:highlight w:val="none"/>
              </w:rPr>
            </w:pPr>
            <w:r>
              <w:rPr>
                <w:rFonts w:hint="default" w:ascii="仿宋" w:hAnsi="仿宋"/>
                <w:color w:val="auto"/>
                <w:kern w:val="0"/>
                <w:szCs w:val="21"/>
                <w:highlight w:val="none"/>
              </w:rPr>
              <w:t>备注</w:t>
            </w: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1</w:t>
            </w:r>
            <w:r>
              <w:rPr>
                <w:rFonts w:hint="eastAsia" w:ascii="仿宋" w:hAnsi="仿宋"/>
                <w:color w:val="auto"/>
                <w:kern w:val="0"/>
                <w:szCs w:val="21"/>
                <w:highlight w:val="none"/>
              </w:rPr>
              <w:t>.</w:t>
            </w:r>
            <w:r>
              <w:rPr>
                <w:rFonts w:hint="default" w:ascii="仿宋" w:hAnsi="仿宋"/>
                <w:color w:val="auto"/>
                <w:kern w:val="0"/>
                <w:szCs w:val="21"/>
                <w:highlight w:val="none"/>
              </w:rPr>
              <w:t>收货单位对照此清单，确认货物包装完好、品名、数量、号型准确无误后，收货单位方可盖章、签字。</w:t>
            </w:r>
          </w:p>
        </w:tc>
      </w:tr>
      <w:tr>
        <w:tblPrEx>
          <w:tblCellMar>
            <w:top w:w="0" w:type="dxa"/>
            <w:left w:w="108" w:type="dxa"/>
            <w:bottom w:w="0" w:type="dxa"/>
            <w:right w:w="108" w:type="dxa"/>
          </w:tblCellMar>
        </w:tblPrEx>
        <w:trPr>
          <w:trHeight w:val="328"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keepNext w:val="0"/>
              <w:keepLines w:val="0"/>
              <w:suppressLineNumbers w:val="0"/>
              <w:spacing w:before="0" w:beforeAutospacing="0" w:after="0" w:afterAutospacing="0"/>
              <w:ind w:left="0" w:right="0"/>
              <w:rPr>
                <w:rFonts w:hint="default" w:ascii="仿宋" w:hAnsi="仿宋"/>
                <w:color w:val="auto"/>
                <w:szCs w:val="21"/>
                <w:highlight w:val="none"/>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2</w:t>
            </w:r>
            <w:r>
              <w:rPr>
                <w:rFonts w:hint="eastAsia" w:ascii="仿宋" w:hAnsi="仿宋"/>
                <w:color w:val="auto"/>
                <w:kern w:val="0"/>
                <w:szCs w:val="21"/>
                <w:highlight w:val="none"/>
              </w:rPr>
              <w:t>.</w:t>
            </w:r>
            <w:r>
              <w:rPr>
                <w:rFonts w:hint="default" w:ascii="仿宋" w:hAnsi="仿宋"/>
                <w:color w:val="auto"/>
                <w:kern w:val="0"/>
                <w:szCs w:val="21"/>
                <w:highlight w:val="none"/>
              </w:rPr>
              <w:t>本交货清单一式三份，接收单位留存</w:t>
            </w:r>
            <w:r>
              <w:rPr>
                <w:rFonts w:hint="eastAsia" w:ascii="仿宋" w:hAnsi="仿宋"/>
                <w:color w:val="auto"/>
                <w:kern w:val="0"/>
                <w:szCs w:val="21"/>
                <w:highlight w:val="none"/>
              </w:rPr>
              <w:t>二</w:t>
            </w:r>
            <w:r>
              <w:rPr>
                <w:rFonts w:hint="default" w:ascii="仿宋" w:hAnsi="仿宋"/>
                <w:color w:val="auto"/>
                <w:kern w:val="0"/>
                <w:szCs w:val="21"/>
                <w:highlight w:val="none"/>
              </w:rPr>
              <w:t>份，发货单位留存</w:t>
            </w:r>
            <w:r>
              <w:rPr>
                <w:rFonts w:hint="eastAsia" w:ascii="仿宋" w:hAnsi="仿宋"/>
                <w:color w:val="auto"/>
                <w:kern w:val="0"/>
                <w:szCs w:val="21"/>
                <w:highlight w:val="none"/>
              </w:rPr>
              <w:t>一</w:t>
            </w:r>
            <w:r>
              <w:rPr>
                <w:rFonts w:hint="default" w:ascii="仿宋" w:hAnsi="仿宋"/>
                <w:color w:val="auto"/>
                <w:kern w:val="0"/>
                <w:szCs w:val="21"/>
                <w:highlight w:val="none"/>
              </w:rPr>
              <w:t>份。</w:t>
            </w:r>
          </w:p>
        </w:tc>
      </w:tr>
      <w:tr>
        <w:tblPrEx>
          <w:tblCellMar>
            <w:top w:w="0" w:type="dxa"/>
            <w:left w:w="108" w:type="dxa"/>
            <w:bottom w:w="0" w:type="dxa"/>
            <w:right w:w="108" w:type="dxa"/>
          </w:tblCellMar>
        </w:tblPrEx>
        <w:trPr>
          <w:trHeight w:val="341"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keepNext w:val="0"/>
              <w:keepLines w:val="0"/>
              <w:suppressLineNumbers w:val="0"/>
              <w:spacing w:before="0" w:beforeAutospacing="0" w:after="0" w:afterAutospacing="0"/>
              <w:ind w:left="0" w:right="0"/>
              <w:rPr>
                <w:rFonts w:hint="default" w:ascii="仿宋" w:hAnsi="仿宋"/>
                <w:color w:val="auto"/>
                <w:szCs w:val="21"/>
                <w:highlight w:val="none"/>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3</w:t>
            </w:r>
            <w:r>
              <w:rPr>
                <w:rFonts w:hint="eastAsia" w:ascii="仿宋" w:hAnsi="仿宋"/>
                <w:color w:val="auto"/>
                <w:kern w:val="0"/>
                <w:szCs w:val="21"/>
                <w:highlight w:val="none"/>
              </w:rPr>
              <w:t>.</w:t>
            </w:r>
            <w:r>
              <w:rPr>
                <w:rFonts w:hint="default" w:ascii="仿宋" w:hAnsi="仿宋"/>
                <w:color w:val="auto"/>
                <w:kern w:val="0"/>
                <w:szCs w:val="21"/>
                <w:highlight w:val="none"/>
              </w:rPr>
              <w:t>确认收货和盖章、签字后，收货单位将此清单的彩色扫描件发至发货厂家邮箱：</w:t>
            </w:r>
            <w:r>
              <w:rPr>
                <w:rFonts w:hint="eastAsia" w:ascii="仿宋" w:hAnsi="仿宋"/>
                <w:color w:val="auto"/>
                <w:kern w:val="0"/>
                <w:sz w:val="24"/>
                <w:highlight w:val="none"/>
              </w:rPr>
              <w:t xml:space="preserve"> </w:t>
            </w:r>
          </w:p>
        </w:tc>
      </w:tr>
      <w:tr>
        <w:tblPrEx>
          <w:tblCellMar>
            <w:top w:w="0" w:type="dxa"/>
            <w:left w:w="108" w:type="dxa"/>
            <w:bottom w:w="0" w:type="dxa"/>
            <w:right w:w="108" w:type="dxa"/>
          </w:tblCellMar>
        </w:tblPrEx>
        <w:trPr>
          <w:trHeight w:val="439" w:hRule="atLeast"/>
          <w:jc w:val="center"/>
        </w:trPr>
        <w:tc>
          <w:tcPr>
            <w:tcW w:w="8649" w:type="dxa"/>
            <w:gridSpan w:val="7"/>
            <w:tcBorders>
              <w:top w:val="single" w:color="000000" w:sz="4" w:space="0"/>
              <w:left w:val="nil"/>
              <w:bottom w:val="nil"/>
              <w:right w:val="nil"/>
            </w:tcBorders>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Cs w:val="21"/>
                <w:highlight w:val="none"/>
              </w:rPr>
            </w:pPr>
          </w:p>
        </w:tc>
      </w:tr>
      <w:tr>
        <w:tblPrEx>
          <w:tblCellMar>
            <w:top w:w="0" w:type="dxa"/>
            <w:left w:w="108" w:type="dxa"/>
            <w:bottom w:w="0" w:type="dxa"/>
            <w:right w:w="108" w:type="dxa"/>
          </w:tblCellMar>
        </w:tblPrEx>
        <w:trPr>
          <w:trHeight w:val="1018" w:hRule="atLeast"/>
          <w:jc w:val="center"/>
        </w:trPr>
        <w:tc>
          <w:tcPr>
            <w:tcW w:w="4877" w:type="dxa"/>
            <w:gridSpan w:val="5"/>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收货单位（盖章）：</w:t>
            </w:r>
          </w:p>
        </w:tc>
        <w:tc>
          <w:tcPr>
            <w:tcW w:w="3772" w:type="dxa"/>
            <w:gridSpan w:val="2"/>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签收人(双人签字)：</w:t>
            </w:r>
          </w:p>
        </w:tc>
      </w:tr>
      <w:tr>
        <w:tblPrEx>
          <w:tblCellMar>
            <w:top w:w="0" w:type="dxa"/>
            <w:left w:w="108" w:type="dxa"/>
            <w:bottom w:w="0" w:type="dxa"/>
            <w:right w:w="108" w:type="dxa"/>
          </w:tblCellMar>
        </w:tblPrEx>
        <w:trPr>
          <w:trHeight w:val="597" w:hRule="atLeast"/>
          <w:jc w:val="center"/>
        </w:trPr>
        <w:tc>
          <w:tcPr>
            <w:tcW w:w="8649" w:type="dxa"/>
            <w:gridSpan w:val="7"/>
            <w:shd w:val="clear" w:color="auto" w:fill="FFFFFF"/>
            <w:vAlign w:val="center"/>
          </w:tcPr>
          <w:p>
            <w:pPr>
              <w:keepNext w:val="0"/>
              <w:keepLines w:val="0"/>
              <w:widowControl/>
              <w:suppressLineNumbers w:val="0"/>
              <w:spacing w:before="0" w:beforeAutospacing="0" w:after="0" w:afterAutospacing="0"/>
              <w:ind w:left="0" w:right="0"/>
              <w:jc w:val="left"/>
              <w:rPr>
                <w:rFonts w:hint="default" w:ascii="仿宋" w:hAnsi="仿宋"/>
                <w:color w:val="auto"/>
                <w:kern w:val="0"/>
                <w:szCs w:val="21"/>
                <w:highlight w:val="none"/>
              </w:rPr>
            </w:pPr>
            <w:r>
              <w:rPr>
                <w:rFonts w:hint="default" w:ascii="仿宋" w:hAnsi="仿宋"/>
                <w:color w:val="auto"/>
                <w:kern w:val="0"/>
                <w:szCs w:val="21"/>
                <w:highlight w:val="none"/>
              </w:rPr>
              <w:t>签收时间：</w:t>
            </w:r>
            <w:r>
              <w:rPr>
                <w:rFonts w:hint="eastAsia" w:ascii="仿宋" w:hAnsi="仿宋"/>
                <w:color w:val="auto"/>
                <w:kern w:val="0"/>
                <w:szCs w:val="21"/>
                <w:highlight w:val="none"/>
              </w:rPr>
              <w:t xml:space="preserve">    </w:t>
            </w:r>
            <w:r>
              <w:rPr>
                <w:rFonts w:hint="default" w:ascii="仿宋" w:hAnsi="仿宋"/>
                <w:color w:val="auto"/>
                <w:kern w:val="0"/>
                <w:szCs w:val="21"/>
                <w:highlight w:val="none"/>
              </w:rPr>
              <w:t>年</w:t>
            </w:r>
            <w:r>
              <w:rPr>
                <w:rFonts w:hint="eastAsia" w:ascii="仿宋" w:hAnsi="仿宋"/>
                <w:color w:val="auto"/>
                <w:kern w:val="0"/>
                <w:szCs w:val="21"/>
                <w:highlight w:val="none"/>
              </w:rPr>
              <w:t xml:space="preserve">   </w:t>
            </w:r>
            <w:r>
              <w:rPr>
                <w:rFonts w:hint="default" w:ascii="仿宋" w:hAnsi="仿宋"/>
                <w:color w:val="auto"/>
                <w:kern w:val="0"/>
                <w:szCs w:val="21"/>
                <w:highlight w:val="none"/>
              </w:rPr>
              <w:t>月</w:t>
            </w:r>
            <w:r>
              <w:rPr>
                <w:rFonts w:hint="eastAsia" w:ascii="仿宋" w:hAnsi="仿宋"/>
                <w:color w:val="auto"/>
                <w:kern w:val="0"/>
                <w:szCs w:val="21"/>
                <w:highlight w:val="none"/>
              </w:rPr>
              <w:t xml:space="preserve">   </w:t>
            </w:r>
            <w:r>
              <w:rPr>
                <w:rFonts w:hint="default" w:ascii="仿宋" w:hAnsi="仿宋"/>
                <w:color w:val="auto"/>
                <w:kern w:val="0"/>
                <w:szCs w:val="21"/>
                <w:highlight w:val="none"/>
              </w:rPr>
              <w:t>日</w:t>
            </w:r>
          </w:p>
        </w:tc>
      </w:tr>
    </w:tbl>
    <w:p>
      <w:pPr>
        <w:rPr>
          <w:rFonts w:ascii="仿宋" w:hAnsi="仿宋"/>
          <w:color w:val="auto"/>
          <w:sz w:val="24"/>
          <w:highlight w:val="none"/>
        </w:rPr>
      </w:pPr>
      <w:r>
        <w:rPr>
          <w:rFonts w:ascii="仿宋" w:hAnsi="仿宋"/>
          <w:color w:val="auto"/>
          <w:sz w:val="24"/>
          <w:highlight w:val="none"/>
        </w:rPr>
        <w:br w:type="page"/>
      </w:r>
    </w:p>
    <w:p>
      <w:pPr>
        <w:spacing w:line="360" w:lineRule="auto"/>
        <w:rPr>
          <w:rFonts w:ascii="仿宋" w:hAnsi="仿宋"/>
          <w:color w:val="auto"/>
          <w:sz w:val="24"/>
          <w:highlight w:val="none"/>
        </w:rPr>
      </w:pPr>
      <w:r>
        <w:rPr>
          <w:rFonts w:hint="eastAsia" w:ascii="仿宋" w:hAnsi="仿宋"/>
          <w:color w:val="auto"/>
          <w:sz w:val="24"/>
          <w:highlight w:val="none"/>
        </w:rPr>
        <w:t>附件2 分项报价</w:t>
      </w:r>
    </w:p>
    <w:p>
      <w:pPr>
        <w:rPr>
          <w:rFonts w:ascii="仿宋" w:hAnsi="仿宋"/>
          <w:color w:val="auto"/>
          <w:sz w:val="24"/>
          <w:highlight w:val="none"/>
        </w:rPr>
      </w:pPr>
      <w:r>
        <w:rPr>
          <w:rFonts w:ascii="仿宋" w:hAnsi="仿宋"/>
          <w:color w:val="auto"/>
          <w:sz w:val="24"/>
          <w:highlight w:val="none"/>
        </w:rPr>
        <w:br w:type="page"/>
      </w:r>
    </w:p>
    <w:p>
      <w:pPr>
        <w:spacing w:line="360" w:lineRule="auto"/>
        <w:rPr>
          <w:rFonts w:hint="eastAsia" w:ascii="仿宋" w:hAnsi="仿宋" w:cs="宋体"/>
          <w:color w:val="auto"/>
          <w:kern w:val="0"/>
          <w:sz w:val="24"/>
          <w:highlight w:val="none"/>
        </w:rPr>
      </w:pPr>
      <w:r>
        <w:rPr>
          <w:rFonts w:ascii="仿宋" w:hAnsi="仿宋"/>
          <w:color w:val="auto"/>
          <w:sz w:val="24"/>
          <w:highlight w:val="none"/>
        </w:rPr>
        <w:t>附件</w:t>
      </w:r>
      <w:r>
        <w:rPr>
          <w:rFonts w:hint="eastAsia" w:ascii="仿宋" w:hAnsi="仿宋"/>
          <w:color w:val="auto"/>
          <w:sz w:val="24"/>
          <w:highlight w:val="none"/>
        </w:rPr>
        <w:t>3</w:t>
      </w:r>
      <w:r>
        <w:rPr>
          <w:rFonts w:hint="eastAsia" w:ascii="仿宋" w:hAnsi="仿宋" w:cs="宋体"/>
          <w:color w:val="auto"/>
          <w:kern w:val="0"/>
          <w:sz w:val="24"/>
          <w:highlight w:val="none"/>
        </w:rPr>
        <w:t>《技术规格偏离表》</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br w:type="page"/>
      </w:r>
    </w:p>
    <w:p>
      <w:pPr>
        <w:widowControl/>
        <w:adjustRightInd w:val="0"/>
        <w:spacing w:line="360" w:lineRule="auto"/>
        <w:jc w:val="left"/>
        <w:rPr>
          <w:rFonts w:ascii="仿宋" w:hAnsi="仿宋" w:cs="宋体"/>
          <w:color w:val="auto"/>
          <w:kern w:val="0"/>
          <w:sz w:val="24"/>
          <w:highlight w:val="none"/>
        </w:rPr>
      </w:pPr>
      <w:r>
        <w:rPr>
          <w:rFonts w:hint="eastAsia" w:ascii="仿宋" w:hAnsi="仿宋" w:cs="宋体"/>
          <w:color w:val="auto"/>
          <w:kern w:val="0"/>
          <w:sz w:val="24"/>
          <w:highlight w:val="none"/>
          <w:lang w:val="en-US" w:eastAsia="zh-CN"/>
        </w:rPr>
        <w:t>附件</w:t>
      </w:r>
      <w:r>
        <w:rPr>
          <w:rFonts w:hint="eastAsia" w:ascii="仿宋" w:hAnsi="仿宋" w:cs="宋体"/>
          <w:color w:val="auto"/>
          <w:kern w:val="0"/>
          <w:sz w:val="24"/>
          <w:highlight w:val="none"/>
        </w:rPr>
        <w:t>4</w:t>
      </w:r>
      <w:r>
        <w:rPr>
          <w:rFonts w:ascii="仿宋" w:hAnsi="仿宋" w:cs="宋体"/>
          <w:color w:val="auto"/>
          <w:kern w:val="0"/>
          <w:sz w:val="24"/>
          <w:highlight w:val="none"/>
        </w:rPr>
        <w:t>.</w:t>
      </w:r>
      <w:r>
        <w:rPr>
          <w:rFonts w:hint="eastAsia" w:ascii="仿宋" w:hAnsi="仿宋" w:cs="宋体"/>
          <w:color w:val="auto"/>
          <w:kern w:val="0"/>
          <w:sz w:val="24"/>
          <w:highlight w:val="none"/>
        </w:rPr>
        <w:t>《辽宁省消防救援总队自然灾害应急能力提升工程装备建设项目验收实施方案》</w:t>
      </w:r>
    </w:p>
    <w:p>
      <w:pPr>
        <w:rPr>
          <w:rFonts w:hint="eastAsia" w:ascii="仿宋" w:hAnsi="仿宋" w:cs="宋体"/>
          <w:color w:val="auto"/>
          <w:kern w:val="0"/>
          <w:sz w:val="24"/>
          <w:highlight w:val="none"/>
        </w:rPr>
      </w:pPr>
    </w:p>
    <w:p>
      <w:pPr>
        <w:ind w:firstLine="480" w:firstLineChars="200"/>
        <w:rPr>
          <w:rFonts w:hint="eastAsia" w:ascii="仿宋" w:hAnsi="仿宋" w:cs="宋体"/>
          <w:color w:val="auto"/>
          <w:kern w:val="0"/>
          <w:sz w:val="24"/>
          <w:highlight w:val="none"/>
        </w:rPr>
      </w:pPr>
      <w:r>
        <w:rPr>
          <w:rFonts w:hint="eastAsia" w:ascii="仿宋" w:hAnsi="仿宋" w:cs="宋体"/>
          <w:color w:val="auto"/>
          <w:kern w:val="0"/>
          <w:sz w:val="24"/>
          <w:highlight w:val="none"/>
        </w:rPr>
        <w:t>为科学高效开展辽宁省消防救援总队自然灾害应急能力提升工程装备建设项目验收工作，按照《自然灾害应急能力提升工程国家综合性消防救援队伍项目实施管理办法》、《从严监督管理2023年增发国债装备采购项目十条举措》、《辽宁省消防救援总队自然灾害应急能力提升工程国家综合性消防救援队伍项目建设实施工作机制》、《辽宁省消防救援总队消防装备采购管理暂行规定》等文件要求，制定此方案。</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一、基本要求</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严格执行“提采验”分离、“背对背”等验收要求，验收由采购部门组织业务部门、使用单位、外部专家、采购业务专家库人员组成两个独立的验收组，分别对照验收标准对全部货物开展检查，并进行结论比对、整合。验收内容要包括每一项技术和商务要求的履约情况，验收标准应根据技术标准、招标文件和中标人的投标文件综合确定，包括所有客观、量化指标。</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二、验收小组组成</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（一）验收工作由采购办组织，验收小组人员由业务部门、使用单位、采购业务专家库人员组成。</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（二）积极邀请地方科研院所、检测机构、专业院校等单位装备领域第三方专家参与。</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三、检查程序和内容</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（一）车辆验收</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（1）车辆行驶测试，使用单位派遣1名具有5年以上消防车驾驶经验的驾驶员，对验收车辆进行试驾，主要检查验收车辆，在行驶过程中是否存在质量、安全、操作等方面的问题；</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 xml:space="preserve">（2）隐蔽工程资料审查，对验收车辆的生产进度表、底盘合格证、水力测试报告、泵炮等大件采购证明文件及车辆底盘进场、上装安装2个时间节点的影像资料进行审验； </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（3）参数与车辆一致性比对，对照投标文件、随车文件及其他相关文件对车辆开展一致性检查；</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（4）现场车辆性能测试，按照《消防车辆验收性能测试表》（附件一）要求，对消防车辆性能进行测试，并将测试结果填写到表内。</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（二）装备器材及灭火剂</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按每批、每种装备的到货数量确定抽检比例。除另有规定外，装备抽检一般不少于2件套，数量不足2件套需全验。若发现装备存在质量问题或与招标参数不符，应加倍抽检，抽检后仍有问题，则该批装备认定为不合格。</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（1）清点数量，检查包装标识是否清晰且标识的装备种类、数量是否与到货单相符；</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（2）核对装备器材品牌型号；</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（3）检验装备的名称、型号、规格、产品序号、生产厂家和出厂(生产）日期是否与产品清单相符；</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（4）按照招标文件参数核对装备器材核心参数；</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（5）检验质量保证书、检验合格证、技术资料、装箱清单等是否齐全；</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（6）检验成套装备的主件、附件、备件和配套部件等是否齐全；</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（7）检验装备外观是否有明显质量问题，如结构是否完整，安装是否牢固，有无损伤、脱漆、松动、变形，金属件镀层是否良好，有无氧化、锈蚀，塑料、橡胶件有无老化、变质等；</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（8）应对装备进行试启动或试运行，一般应全检；对于数量较多的装备，可采取抽检，抽检不少于2件套；若发现装备存在质量问题，应加倍抽检；若仍存在质量问题，则该批装备为不合格；</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（9）应根据产品标准、订货合同所约定的技术指标以及产品说明书规定的技术指标进行相关性能检验。如果对检验结果存在争议，应委托有资质的第三方检测机构进行检验；</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（10）实地性能测试，对装备器材的核心功能开展测试；</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（11）其他需要验收内容。</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四、验收结果确定</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与供货商对每个包组的检查结果逐一进行会商。</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（一）对于检查未发现问题的，出具同意收货的验收备忘录、采购合同履约验收意见书。</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（二）对检查中发现质量、安全、一致性、不符合投标文件响应内容等问题的，要求供货商对发现的问题进行整改，与供货商签订不同意收货的验收备忘录、采购合同履约验收意见书。</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三）对检查中发现的不属于质量、安全、一致性、不符合投标文件响应内容等问题且不影响需求单位使用实际的或验收小组提出招标文件相应内容外合理化建议的，出具同意收货的验收备忘录、采购合同履约验收意见书并明确收货后供应商整改意见。</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五、售后培训</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（一）技术要求强的车辆、装备应以先培训后验收形式进行，并将培训成果作为验收的一项。</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（二）对于常用车辆、装备可以采用先验收后培训的形式进行验收。</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（三）培训的具体要求按照招标文件内售后要求执行。</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六、工作要求</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（一）强化验收认识。验收小组成员要提高对车辆器材验收工作的认识，把思想统一端正，采取有效措施，确保验收工作有效开展。</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（二）强化后续保障。验收小组成员要学习车辆器材相关参数和招标文件要求，做到准确有效的验收。</w:t>
      </w:r>
    </w:p>
    <w:p>
      <w:pPr>
        <w:rPr>
          <w:rFonts w:hint="eastAsia" w:ascii="仿宋" w:hAnsi="仿宋" w:cs="宋体"/>
          <w:color w:val="auto"/>
          <w:kern w:val="0"/>
          <w:sz w:val="24"/>
          <w:highlight w:val="none"/>
        </w:rPr>
      </w:pPr>
      <w:r>
        <w:rPr>
          <w:rFonts w:hint="eastAsia" w:ascii="仿宋" w:hAnsi="仿宋" w:cs="宋体"/>
          <w:color w:val="auto"/>
          <w:kern w:val="0"/>
          <w:sz w:val="24"/>
          <w:highlight w:val="none"/>
        </w:rPr>
        <w:t>（三）强化信息录入。信息录入公开项目单位应将装备项目的采购公告、招标文件、中标公告、采购合同等信息在中国政府采购网发布后5日内，装备验收信息在交货后10日内，录入装备采购信息网。</w:t>
      </w:r>
    </w:p>
    <w:p>
      <w:pPr>
        <w:rPr>
          <w:rFonts w:hint="eastAsia" w:ascii="仿宋" w:hAnsi="仿宋" w:cs="宋体"/>
          <w:color w:val="auto"/>
          <w:kern w:val="0"/>
          <w:sz w:val="24"/>
          <w:highlight w:val="none"/>
          <w:lang w:val="en-US" w:eastAsia="zh-CN"/>
        </w:rPr>
      </w:pPr>
      <w:r>
        <w:rPr>
          <w:rFonts w:hint="eastAsia" w:ascii="仿宋" w:hAnsi="仿宋" w:cs="宋体"/>
          <w:color w:val="auto"/>
          <w:kern w:val="0"/>
          <w:sz w:val="24"/>
          <w:highlight w:val="none"/>
          <w:lang w:val="en-US" w:eastAsia="zh-CN"/>
        </w:rPr>
        <w:br w:type="page"/>
      </w:r>
    </w:p>
    <w:p>
      <w:pPr>
        <w:widowControl/>
        <w:adjustRightInd w:val="0"/>
        <w:spacing w:line="360" w:lineRule="auto"/>
        <w:jc w:val="left"/>
        <w:rPr>
          <w:rFonts w:ascii="仿宋" w:hAnsi="仿宋" w:cs="宋体"/>
          <w:color w:val="auto"/>
          <w:kern w:val="0"/>
          <w:sz w:val="24"/>
          <w:highlight w:val="none"/>
        </w:rPr>
      </w:pPr>
      <w:r>
        <w:rPr>
          <w:rFonts w:hint="eastAsia" w:ascii="仿宋" w:hAnsi="仿宋" w:cs="宋体"/>
          <w:color w:val="auto"/>
          <w:kern w:val="0"/>
          <w:sz w:val="24"/>
          <w:highlight w:val="none"/>
          <w:lang w:val="en-US" w:eastAsia="zh-CN"/>
        </w:rPr>
        <w:t>附件</w:t>
      </w:r>
      <w:r>
        <w:rPr>
          <w:rFonts w:hint="eastAsia" w:ascii="仿宋" w:hAnsi="仿宋" w:cs="宋体"/>
          <w:color w:val="auto"/>
          <w:kern w:val="0"/>
          <w:sz w:val="24"/>
          <w:highlight w:val="none"/>
        </w:rPr>
        <w:t>5</w:t>
      </w:r>
      <w:r>
        <w:rPr>
          <w:rFonts w:ascii="仿宋" w:hAnsi="仿宋" w:cs="宋体"/>
          <w:color w:val="auto"/>
          <w:kern w:val="0"/>
          <w:sz w:val="24"/>
          <w:highlight w:val="none"/>
        </w:rPr>
        <w:t>.</w:t>
      </w:r>
      <w:r>
        <w:rPr>
          <w:rFonts w:hint="eastAsia" w:ascii="仿宋" w:hAnsi="仿宋" w:cs="宋体"/>
          <w:color w:val="auto"/>
          <w:kern w:val="0"/>
          <w:sz w:val="24"/>
          <w:highlight w:val="none"/>
        </w:rPr>
        <w:t>投标文件中有关售后服务、质量保证、巡检、培训、备品清单等内容</w:t>
      </w:r>
    </w:p>
    <w:p>
      <w:pPr>
        <w:pStyle w:val="22"/>
        <w:rPr>
          <w:rFonts w:hint="eastAsia"/>
          <w:color w:val="auto"/>
          <w:highlight w:val="none"/>
        </w:rPr>
      </w:pPr>
    </w:p>
    <w:p>
      <w:pPr>
        <w:rPr>
          <w:color w:val="auto"/>
          <w:highlight w:val="none"/>
        </w:rPr>
      </w:pPr>
    </w:p>
    <w:p>
      <w:pPr>
        <w:adjustRightInd w:val="0"/>
        <w:snapToGrid w:val="0"/>
        <w:spacing w:line="360" w:lineRule="auto"/>
        <w:rPr>
          <w:rFonts w:hint="eastAsia" w:ascii="仿宋" w:hAnsi="仿宋" w:cs="仿宋"/>
          <w:color w:val="auto"/>
          <w:szCs w:val="21"/>
          <w:highlight w:val="none"/>
        </w:rPr>
      </w:pPr>
    </w:p>
    <w:sectPr>
      <w:footerReference r:id="rId7"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1</w:t>
    </w:r>
    <w:r>
      <w:fldChar w:fldCharType="end"/>
    </w:r>
  </w:p>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74</w:t>
    </w:r>
    <w:r>
      <w:fldChar w:fldCharType="end"/>
    </w:r>
  </w:p>
  <w:p>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A86FF804"/>
    <w:multiLevelType w:val="singleLevel"/>
    <w:tmpl w:val="A86FF804"/>
    <w:lvl w:ilvl="0" w:tentative="0">
      <w:start w:val="2"/>
      <w:numFmt w:val="decimal"/>
      <w:suff w:val="nothing"/>
      <w:lvlText w:val="%1、"/>
      <w:lvlJc w:val="left"/>
    </w:lvl>
  </w:abstractNum>
  <w:abstractNum w:abstractNumId="2">
    <w:nsid w:val="ADE1FA36"/>
    <w:multiLevelType w:val="singleLevel"/>
    <w:tmpl w:val="ADE1FA36"/>
    <w:lvl w:ilvl="0" w:tentative="0">
      <w:start w:val="5"/>
      <w:numFmt w:val="chineseCounting"/>
      <w:suff w:val="space"/>
      <w:lvlText w:val="第%1章"/>
      <w:lvlJc w:val="left"/>
      <w:rPr>
        <w:rFonts w:hint="eastAsia"/>
      </w:rPr>
    </w:lvl>
  </w:abstractNum>
  <w:abstractNum w:abstractNumId="3">
    <w:nsid w:val="B4FDF470"/>
    <w:multiLevelType w:val="singleLevel"/>
    <w:tmpl w:val="B4FDF470"/>
    <w:lvl w:ilvl="0" w:tentative="0">
      <w:start w:val="1"/>
      <w:numFmt w:val="decimal"/>
      <w:suff w:val="nothing"/>
      <w:lvlText w:val="（%1）"/>
      <w:lvlJc w:val="left"/>
    </w:lvl>
  </w:abstractNum>
  <w:abstractNum w:abstractNumId="4">
    <w:nsid w:val="B9A1E8D1"/>
    <w:multiLevelType w:val="singleLevel"/>
    <w:tmpl w:val="B9A1E8D1"/>
    <w:lvl w:ilvl="0" w:tentative="0">
      <w:start w:val="1"/>
      <w:numFmt w:val="decimal"/>
      <w:suff w:val="nothing"/>
      <w:lvlText w:val="（%1）"/>
      <w:lvlJc w:val="left"/>
    </w:lvl>
  </w:abstractNum>
  <w:abstractNum w:abstractNumId="5">
    <w:nsid w:val="EE8E3184"/>
    <w:multiLevelType w:val="singleLevel"/>
    <w:tmpl w:val="EE8E3184"/>
    <w:lvl w:ilvl="0" w:tentative="0">
      <w:start w:val="1"/>
      <w:numFmt w:val="decimal"/>
      <w:suff w:val="nothing"/>
      <w:lvlText w:val="（%1）"/>
      <w:lvlJc w:val="left"/>
    </w:lvl>
  </w:abstractNum>
  <w:abstractNum w:abstractNumId="6">
    <w:nsid w:val="27E8E525"/>
    <w:multiLevelType w:val="singleLevel"/>
    <w:tmpl w:val="27E8E525"/>
    <w:lvl w:ilvl="0" w:tentative="0">
      <w:start w:val="1"/>
      <w:numFmt w:val="decimal"/>
      <w:suff w:val="nothing"/>
      <w:lvlText w:val="（%1）"/>
      <w:lvlJc w:val="left"/>
    </w:lvl>
  </w:abstractNum>
  <w:abstractNum w:abstractNumId="7">
    <w:nsid w:val="420C153B"/>
    <w:multiLevelType w:val="multilevel"/>
    <w:tmpl w:val="420C153B"/>
    <w:lvl w:ilvl="0" w:tentative="0">
      <w:start w:val="1"/>
      <w:numFmt w:val="decimal"/>
      <w:pStyle w:val="4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7B4156D0"/>
    <w:multiLevelType w:val="singleLevel"/>
    <w:tmpl w:val="7B4156D0"/>
    <w:lvl w:ilvl="0" w:tentative="0">
      <w:start w:val="1"/>
      <w:numFmt w:val="decimal"/>
      <w:suff w:val="nothing"/>
      <w:lvlText w:val="（%1）"/>
      <w:lvlJc w:val="left"/>
    </w:lvl>
  </w:abstractNum>
  <w:abstractNum w:abstractNumId="9">
    <w:nsid w:val="7BC8C23E"/>
    <w:multiLevelType w:val="singleLevel"/>
    <w:tmpl w:val="7BC8C23E"/>
    <w:lvl w:ilvl="0" w:tentative="0">
      <w:start w:val="1"/>
      <w:numFmt w:val="decimal"/>
      <w:suff w:val="nothing"/>
      <w:lvlText w:val="%1、"/>
      <w:lvlJc w:val="left"/>
    </w:lvl>
  </w:abstractNum>
  <w:num w:numId="1">
    <w:abstractNumId w:val="7"/>
  </w:num>
  <w:num w:numId="2">
    <w:abstractNumId w:val="1"/>
  </w:num>
  <w:num w:numId="3">
    <w:abstractNumId w:val="9"/>
  </w:num>
  <w:num w:numId="4">
    <w:abstractNumId w:val="0"/>
  </w:num>
  <w:num w:numId="5">
    <w:abstractNumId w:val="4"/>
  </w:num>
  <w:num w:numId="6">
    <w:abstractNumId w:val="3"/>
  </w:num>
  <w:num w:numId="7">
    <w:abstractNumId w:val="6"/>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RmN2MxYjc2OTY0YTA1YzhiN2E2MDg5Mjc3OTA3YzQifQ=="/>
    <w:docVar w:name="KSO_WPS_MARK_KEY" w:val="2b13280a-6a84-43e5-877c-a494f5302d65"/>
  </w:docVars>
  <w:rsids>
    <w:rsidRoot w:val="35AB3B2B"/>
    <w:rsid w:val="00001D20"/>
    <w:rsid w:val="0000641B"/>
    <w:rsid w:val="00007440"/>
    <w:rsid w:val="000111D8"/>
    <w:rsid w:val="00017AF4"/>
    <w:rsid w:val="00017D20"/>
    <w:rsid w:val="00024251"/>
    <w:rsid w:val="000256A5"/>
    <w:rsid w:val="00026864"/>
    <w:rsid w:val="000341B1"/>
    <w:rsid w:val="000414AA"/>
    <w:rsid w:val="0004684E"/>
    <w:rsid w:val="00051172"/>
    <w:rsid w:val="00056F1E"/>
    <w:rsid w:val="00057599"/>
    <w:rsid w:val="000577D5"/>
    <w:rsid w:val="00057E41"/>
    <w:rsid w:val="00062FCE"/>
    <w:rsid w:val="00064F81"/>
    <w:rsid w:val="00065918"/>
    <w:rsid w:val="00066CC6"/>
    <w:rsid w:val="00072ED6"/>
    <w:rsid w:val="000730A7"/>
    <w:rsid w:val="00080F44"/>
    <w:rsid w:val="00084D3F"/>
    <w:rsid w:val="00092BC6"/>
    <w:rsid w:val="000935A9"/>
    <w:rsid w:val="000A696E"/>
    <w:rsid w:val="000B193A"/>
    <w:rsid w:val="000B364F"/>
    <w:rsid w:val="000B6FF4"/>
    <w:rsid w:val="000C3A16"/>
    <w:rsid w:val="000C45C0"/>
    <w:rsid w:val="000C6B1F"/>
    <w:rsid w:val="000C6CC3"/>
    <w:rsid w:val="000D0513"/>
    <w:rsid w:val="000D2859"/>
    <w:rsid w:val="000D78CA"/>
    <w:rsid w:val="000E2E67"/>
    <w:rsid w:val="000E3DED"/>
    <w:rsid w:val="000E600B"/>
    <w:rsid w:val="000E663A"/>
    <w:rsid w:val="000F0A3D"/>
    <w:rsid w:val="001006F2"/>
    <w:rsid w:val="00102A03"/>
    <w:rsid w:val="00112D2F"/>
    <w:rsid w:val="00113B59"/>
    <w:rsid w:val="0011622C"/>
    <w:rsid w:val="00121015"/>
    <w:rsid w:val="001245ED"/>
    <w:rsid w:val="00124EB2"/>
    <w:rsid w:val="00125079"/>
    <w:rsid w:val="00127CE8"/>
    <w:rsid w:val="0013200B"/>
    <w:rsid w:val="00136DDA"/>
    <w:rsid w:val="001405B0"/>
    <w:rsid w:val="001417F4"/>
    <w:rsid w:val="001461F2"/>
    <w:rsid w:val="001536FE"/>
    <w:rsid w:val="00153E3D"/>
    <w:rsid w:val="00154309"/>
    <w:rsid w:val="00154F3C"/>
    <w:rsid w:val="00163B9A"/>
    <w:rsid w:val="00170000"/>
    <w:rsid w:val="0017006D"/>
    <w:rsid w:val="001711BB"/>
    <w:rsid w:val="00171212"/>
    <w:rsid w:val="00175F87"/>
    <w:rsid w:val="00176C91"/>
    <w:rsid w:val="00180FAA"/>
    <w:rsid w:val="00185A20"/>
    <w:rsid w:val="00185EE5"/>
    <w:rsid w:val="0018797A"/>
    <w:rsid w:val="001954A2"/>
    <w:rsid w:val="001A10E9"/>
    <w:rsid w:val="001A345F"/>
    <w:rsid w:val="001A65D4"/>
    <w:rsid w:val="001B059B"/>
    <w:rsid w:val="001B28CD"/>
    <w:rsid w:val="001B45F6"/>
    <w:rsid w:val="001B7D94"/>
    <w:rsid w:val="001C6199"/>
    <w:rsid w:val="001C694D"/>
    <w:rsid w:val="001C7491"/>
    <w:rsid w:val="001D59D7"/>
    <w:rsid w:val="001D6499"/>
    <w:rsid w:val="001E069F"/>
    <w:rsid w:val="001E0C84"/>
    <w:rsid w:val="001E32C3"/>
    <w:rsid w:val="001E69F3"/>
    <w:rsid w:val="001F2B1F"/>
    <w:rsid w:val="001F2BEB"/>
    <w:rsid w:val="001F68DD"/>
    <w:rsid w:val="00201287"/>
    <w:rsid w:val="00201466"/>
    <w:rsid w:val="00201D14"/>
    <w:rsid w:val="002040EE"/>
    <w:rsid w:val="0020601B"/>
    <w:rsid w:val="00207B29"/>
    <w:rsid w:val="00212157"/>
    <w:rsid w:val="002137A5"/>
    <w:rsid w:val="00220F45"/>
    <w:rsid w:val="002220C1"/>
    <w:rsid w:val="00223C9B"/>
    <w:rsid w:val="00231ECD"/>
    <w:rsid w:val="00233435"/>
    <w:rsid w:val="0023502A"/>
    <w:rsid w:val="002371EE"/>
    <w:rsid w:val="0023734B"/>
    <w:rsid w:val="00237843"/>
    <w:rsid w:val="00240C7B"/>
    <w:rsid w:val="00243720"/>
    <w:rsid w:val="00244CB1"/>
    <w:rsid w:val="00247C40"/>
    <w:rsid w:val="00250B65"/>
    <w:rsid w:val="00250B88"/>
    <w:rsid w:val="00254A05"/>
    <w:rsid w:val="00267F66"/>
    <w:rsid w:val="00275045"/>
    <w:rsid w:val="00285E04"/>
    <w:rsid w:val="00297998"/>
    <w:rsid w:val="002A0F47"/>
    <w:rsid w:val="002A262E"/>
    <w:rsid w:val="002A2B31"/>
    <w:rsid w:val="002A6B0D"/>
    <w:rsid w:val="002B0113"/>
    <w:rsid w:val="002B05AE"/>
    <w:rsid w:val="002B2B54"/>
    <w:rsid w:val="002B6D24"/>
    <w:rsid w:val="002B7C13"/>
    <w:rsid w:val="002C4CD8"/>
    <w:rsid w:val="002C79A6"/>
    <w:rsid w:val="002D095A"/>
    <w:rsid w:val="002D129E"/>
    <w:rsid w:val="002D2AE9"/>
    <w:rsid w:val="002D4872"/>
    <w:rsid w:val="002E1029"/>
    <w:rsid w:val="002E7EC5"/>
    <w:rsid w:val="002F374C"/>
    <w:rsid w:val="002F5320"/>
    <w:rsid w:val="003000ED"/>
    <w:rsid w:val="0030067B"/>
    <w:rsid w:val="00302A71"/>
    <w:rsid w:val="00320240"/>
    <w:rsid w:val="003216E0"/>
    <w:rsid w:val="00321983"/>
    <w:rsid w:val="00331431"/>
    <w:rsid w:val="00332105"/>
    <w:rsid w:val="00333267"/>
    <w:rsid w:val="0034051A"/>
    <w:rsid w:val="00340D7B"/>
    <w:rsid w:val="003438BF"/>
    <w:rsid w:val="00347598"/>
    <w:rsid w:val="00347D42"/>
    <w:rsid w:val="00360290"/>
    <w:rsid w:val="00362501"/>
    <w:rsid w:val="00362E10"/>
    <w:rsid w:val="003635EA"/>
    <w:rsid w:val="003636AD"/>
    <w:rsid w:val="00373611"/>
    <w:rsid w:val="00374B41"/>
    <w:rsid w:val="0038352D"/>
    <w:rsid w:val="00385750"/>
    <w:rsid w:val="0038764A"/>
    <w:rsid w:val="003879AD"/>
    <w:rsid w:val="00393C8D"/>
    <w:rsid w:val="00396190"/>
    <w:rsid w:val="003A0A83"/>
    <w:rsid w:val="003A0C5B"/>
    <w:rsid w:val="003A51BF"/>
    <w:rsid w:val="003B3DB5"/>
    <w:rsid w:val="003B3F78"/>
    <w:rsid w:val="003C2E8F"/>
    <w:rsid w:val="003C32AC"/>
    <w:rsid w:val="003C63A6"/>
    <w:rsid w:val="003C733F"/>
    <w:rsid w:val="003C7F66"/>
    <w:rsid w:val="003D194F"/>
    <w:rsid w:val="003D27FC"/>
    <w:rsid w:val="003D35B5"/>
    <w:rsid w:val="003E2902"/>
    <w:rsid w:val="003E3AE7"/>
    <w:rsid w:val="003E6D92"/>
    <w:rsid w:val="003F16E2"/>
    <w:rsid w:val="003F38B1"/>
    <w:rsid w:val="003F59F3"/>
    <w:rsid w:val="003F61A0"/>
    <w:rsid w:val="00402E13"/>
    <w:rsid w:val="00403226"/>
    <w:rsid w:val="00406F1A"/>
    <w:rsid w:val="0040780F"/>
    <w:rsid w:val="00414770"/>
    <w:rsid w:val="00415BFE"/>
    <w:rsid w:val="0042221A"/>
    <w:rsid w:val="004242E9"/>
    <w:rsid w:val="00425155"/>
    <w:rsid w:val="00426C65"/>
    <w:rsid w:val="00427F18"/>
    <w:rsid w:val="00440750"/>
    <w:rsid w:val="00442823"/>
    <w:rsid w:val="0045483E"/>
    <w:rsid w:val="00454ECE"/>
    <w:rsid w:val="00460499"/>
    <w:rsid w:val="00460B7F"/>
    <w:rsid w:val="00462341"/>
    <w:rsid w:val="00465526"/>
    <w:rsid w:val="00465DC4"/>
    <w:rsid w:val="00466581"/>
    <w:rsid w:val="004674C3"/>
    <w:rsid w:val="00470382"/>
    <w:rsid w:val="00475DDD"/>
    <w:rsid w:val="0048013C"/>
    <w:rsid w:val="00481BAD"/>
    <w:rsid w:val="004838DC"/>
    <w:rsid w:val="00484AB5"/>
    <w:rsid w:val="00496012"/>
    <w:rsid w:val="0049745C"/>
    <w:rsid w:val="004A1A92"/>
    <w:rsid w:val="004A1D8B"/>
    <w:rsid w:val="004A71B7"/>
    <w:rsid w:val="004B44C2"/>
    <w:rsid w:val="004C5563"/>
    <w:rsid w:val="004C6064"/>
    <w:rsid w:val="004C6411"/>
    <w:rsid w:val="004E2C91"/>
    <w:rsid w:val="004E3769"/>
    <w:rsid w:val="004E3DB9"/>
    <w:rsid w:val="004E4BAC"/>
    <w:rsid w:val="004E524B"/>
    <w:rsid w:val="004F4E14"/>
    <w:rsid w:val="005009A0"/>
    <w:rsid w:val="005018C5"/>
    <w:rsid w:val="00501AE6"/>
    <w:rsid w:val="00502E90"/>
    <w:rsid w:val="00506285"/>
    <w:rsid w:val="00507A86"/>
    <w:rsid w:val="005113B8"/>
    <w:rsid w:val="00513444"/>
    <w:rsid w:val="00516823"/>
    <w:rsid w:val="00516FC2"/>
    <w:rsid w:val="005227FD"/>
    <w:rsid w:val="00525BD0"/>
    <w:rsid w:val="00537776"/>
    <w:rsid w:val="00543E38"/>
    <w:rsid w:val="005448AD"/>
    <w:rsid w:val="00545AFF"/>
    <w:rsid w:val="00552A48"/>
    <w:rsid w:val="005551B0"/>
    <w:rsid w:val="005553C9"/>
    <w:rsid w:val="0055604D"/>
    <w:rsid w:val="0055608C"/>
    <w:rsid w:val="005570A2"/>
    <w:rsid w:val="0056074F"/>
    <w:rsid w:val="00566384"/>
    <w:rsid w:val="00567CAA"/>
    <w:rsid w:val="00567FC9"/>
    <w:rsid w:val="00574B44"/>
    <w:rsid w:val="005756BA"/>
    <w:rsid w:val="00575A00"/>
    <w:rsid w:val="00575F8E"/>
    <w:rsid w:val="005809F6"/>
    <w:rsid w:val="00581FD9"/>
    <w:rsid w:val="005820E7"/>
    <w:rsid w:val="00584C97"/>
    <w:rsid w:val="0059272D"/>
    <w:rsid w:val="00593905"/>
    <w:rsid w:val="005939F9"/>
    <w:rsid w:val="005A1209"/>
    <w:rsid w:val="005B47F2"/>
    <w:rsid w:val="005B7018"/>
    <w:rsid w:val="005C11FC"/>
    <w:rsid w:val="005C58A7"/>
    <w:rsid w:val="005D3414"/>
    <w:rsid w:val="005D49FC"/>
    <w:rsid w:val="005D523F"/>
    <w:rsid w:val="005E4A02"/>
    <w:rsid w:val="005E710A"/>
    <w:rsid w:val="005F2452"/>
    <w:rsid w:val="005F2DC6"/>
    <w:rsid w:val="005F3121"/>
    <w:rsid w:val="005F74FD"/>
    <w:rsid w:val="006072BB"/>
    <w:rsid w:val="00613AD2"/>
    <w:rsid w:val="0062157E"/>
    <w:rsid w:val="006279B9"/>
    <w:rsid w:val="006314BF"/>
    <w:rsid w:val="00633CA8"/>
    <w:rsid w:val="00635F97"/>
    <w:rsid w:val="00636D14"/>
    <w:rsid w:val="00640136"/>
    <w:rsid w:val="0064074B"/>
    <w:rsid w:val="00642EAC"/>
    <w:rsid w:val="00644184"/>
    <w:rsid w:val="006468D1"/>
    <w:rsid w:val="00646E85"/>
    <w:rsid w:val="00650C7C"/>
    <w:rsid w:val="0065463C"/>
    <w:rsid w:val="006546F2"/>
    <w:rsid w:val="00662BF2"/>
    <w:rsid w:val="00670E87"/>
    <w:rsid w:val="0067657A"/>
    <w:rsid w:val="006836A4"/>
    <w:rsid w:val="00684C44"/>
    <w:rsid w:val="006872FE"/>
    <w:rsid w:val="006901E5"/>
    <w:rsid w:val="0069059A"/>
    <w:rsid w:val="00691C08"/>
    <w:rsid w:val="0069767F"/>
    <w:rsid w:val="006A5FBF"/>
    <w:rsid w:val="006B2896"/>
    <w:rsid w:val="006C5246"/>
    <w:rsid w:val="006C78CF"/>
    <w:rsid w:val="006D4E40"/>
    <w:rsid w:val="006D5B4F"/>
    <w:rsid w:val="006D698C"/>
    <w:rsid w:val="006E3DB9"/>
    <w:rsid w:val="006E5550"/>
    <w:rsid w:val="006E62A7"/>
    <w:rsid w:val="006F0602"/>
    <w:rsid w:val="006F22A5"/>
    <w:rsid w:val="006F5C69"/>
    <w:rsid w:val="006F6BC3"/>
    <w:rsid w:val="006F78CE"/>
    <w:rsid w:val="0070077B"/>
    <w:rsid w:val="007221EC"/>
    <w:rsid w:val="007272CA"/>
    <w:rsid w:val="0073017F"/>
    <w:rsid w:val="0073594D"/>
    <w:rsid w:val="00741475"/>
    <w:rsid w:val="00741BF4"/>
    <w:rsid w:val="00754838"/>
    <w:rsid w:val="00764EE8"/>
    <w:rsid w:val="00767EC3"/>
    <w:rsid w:val="00781077"/>
    <w:rsid w:val="00784140"/>
    <w:rsid w:val="007A6C0D"/>
    <w:rsid w:val="007B4DD2"/>
    <w:rsid w:val="007C2CCC"/>
    <w:rsid w:val="007D0A2A"/>
    <w:rsid w:val="007D5D7B"/>
    <w:rsid w:val="007F14E4"/>
    <w:rsid w:val="007F1855"/>
    <w:rsid w:val="007F18A5"/>
    <w:rsid w:val="007F315A"/>
    <w:rsid w:val="007F5AA0"/>
    <w:rsid w:val="007F5AC9"/>
    <w:rsid w:val="007F5EB2"/>
    <w:rsid w:val="007F774A"/>
    <w:rsid w:val="007F77B7"/>
    <w:rsid w:val="00800D26"/>
    <w:rsid w:val="00803A51"/>
    <w:rsid w:val="00804207"/>
    <w:rsid w:val="00805FCD"/>
    <w:rsid w:val="00810AF7"/>
    <w:rsid w:val="00821ADA"/>
    <w:rsid w:val="008271AC"/>
    <w:rsid w:val="00827A12"/>
    <w:rsid w:val="00827EF8"/>
    <w:rsid w:val="008341E6"/>
    <w:rsid w:val="0085543B"/>
    <w:rsid w:val="0085740E"/>
    <w:rsid w:val="00876A74"/>
    <w:rsid w:val="00885FE6"/>
    <w:rsid w:val="008A07F8"/>
    <w:rsid w:val="008A616A"/>
    <w:rsid w:val="008A6ACB"/>
    <w:rsid w:val="008D1E72"/>
    <w:rsid w:val="008D20AA"/>
    <w:rsid w:val="008D297F"/>
    <w:rsid w:val="008D2B28"/>
    <w:rsid w:val="008D32DE"/>
    <w:rsid w:val="008D561D"/>
    <w:rsid w:val="008E1F6C"/>
    <w:rsid w:val="008E20CD"/>
    <w:rsid w:val="008E37AC"/>
    <w:rsid w:val="008E5B7A"/>
    <w:rsid w:val="008F249C"/>
    <w:rsid w:val="008F2CA2"/>
    <w:rsid w:val="008F4A8F"/>
    <w:rsid w:val="008F6E80"/>
    <w:rsid w:val="008F7CA4"/>
    <w:rsid w:val="00900E6A"/>
    <w:rsid w:val="00905216"/>
    <w:rsid w:val="0091415F"/>
    <w:rsid w:val="00914AE2"/>
    <w:rsid w:val="00921280"/>
    <w:rsid w:val="00925E22"/>
    <w:rsid w:val="00931C17"/>
    <w:rsid w:val="00935C54"/>
    <w:rsid w:val="00936C49"/>
    <w:rsid w:val="00942887"/>
    <w:rsid w:val="009444C8"/>
    <w:rsid w:val="00944572"/>
    <w:rsid w:val="00946992"/>
    <w:rsid w:val="0094701F"/>
    <w:rsid w:val="00952F84"/>
    <w:rsid w:val="00953227"/>
    <w:rsid w:val="00955D5A"/>
    <w:rsid w:val="00960EE4"/>
    <w:rsid w:val="00963FBF"/>
    <w:rsid w:val="0097162B"/>
    <w:rsid w:val="00972B5B"/>
    <w:rsid w:val="00972B8A"/>
    <w:rsid w:val="009740DF"/>
    <w:rsid w:val="00984150"/>
    <w:rsid w:val="0098744A"/>
    <w:rsid w:val="00987F43"/>
    <w:rsid w:val="00990911"/>
    <w:rsid w:val="0099429C"/>
    <w:rsid w:val="00994CC8"/>
    <w:rsid w:val="009956C5"/>
    <w:rsid w:val="00995B38"/>
    <w:rsid w:val="009A14B1"/>
    <w:rsid w:val="009A3A1B"/>
    <w:rsid w:val="009A5F69"/>
    <w:rsid w:val="009A70BD"/>
    <w:rsid w:val="009B380B"/>
    <w:rsid w:val="009B39AE"/>
    <w:rsid w:val="009C6A42"/>
    <w:rsid w:val="009E185F"/>
    <w:rsid w:val="009E428A"/>
    <w:rsid w:val="009E5033"/>
    <w:rsid w:val="009F020E"/>
    <w:rsid w:val="009F3722"/>
    <w:rsid w:val="009F4690"/>
    <w:rsid w:val="009F668F"/>
    <w:rsid w:val="00A047D9"/>
    <w:rsid w:val="00A05D3C"/>
    <w:rsid w:val="00A155F7"/>
    <w:rsid w:val="00A20495"/>
    <w:rsid w:val="00A237C2"/>
    <w:rsid w:val="00A2647B"/>
    <w:rsid w:val="00A2757B"/>
    <w:rsid w:val="00A27ED3"/>
    <w:rsid w:val="00A30936"/>
    <w:rsid w:val="00A32160"/>
    <w:rsid w:val="00A349D1"/>
    <w:rsid w:val="00A413A6"/>
    <w:rsid w:val="00A429CD"/>
    <w:rsid w:val="00A6193E"/>
    <w:rsid w:val="00A62A79"/>
    <w:rsid w:val="00A65485"/>
    <w:rsid w:val="00A71F97"/>
    <w:rsid w:val="00A728B9"/>
    <w:rsid w:val="00A72AA0"/>
    <w:rsid w:val="00A82127"/>
    <w:rsid w:val="00A91E39"/>
    <w:rsid w:val="00A92B37"/>
    <w:rsid w:val="00A960E6"/>
    <w:rsid w:val="00AA11E5"/>
    <w:rsid w:val="00AA2D9E"/>
    <w:rsid w:val="00AA4459"/>
    <w:rsid w:val="00AA53A6"/>
    <w:rsid w:val="00AA6246"/>
    <w:rsid w:val="00AA75B1"/>
    <w:rsid w:val="00AB297E"/>
    <w:rsid w:val="00AC40D9"/>
    <w:rsid w:val="00AC41EB"/>
    <w:rsid w:val="00AC4735"/>
    <w:rsid w:val="00AC4F4E"/>
    <w:rsid w:val="00AD0D2A"/>
    <w:rsid w:val="00AD58F8"/>
    <w:rsid w:val="00AE1992"/>
    <w:rsid w:val="00AE6103"/>
    <w:rsid w:val="00AF622C"/>
    <w:rsid w:val="00AF702F"/>
    <w:rsid w:val="00B12FC7"/>
    <w:rsid w:val="00B31D6E"/>
    <w:rsid w:val="00B34597"/>
    <w:rsid w:val="00B34B5B"/>
    <w:rsid w:val="00B35BD1"/>
    <w:rsid w:val="00B45EAC"/>
    <w:rsid w:val="00B4607D"/>
    <w:rsid w:val="00B47161"/>
    <w:rsid w:val="00B47A77"/>
    <w:rsid w:val="00B575C4"/>
    <w:rsid w:val="00B63443"/>
    <w:rsid w:val="00B73DD6"/>
    <w:rsid w:val="00B82712"/>
    <w:rsid w:val="00B83BBD"/>
    <w:rsid w:val="00B85153"/>
    <w:rsid w:val="00B9112D"/>
    <w:rsid w:val="00B9697B"/>
    <w:rsid w:val="00BA498E"/>
    <w:rsid w:val="00BA7264"/>
    <w:rsid w:val="00BA7453"/>
    <w:rsid w:val="00BB1D83"/>
    <w:rsid w:val="00BB241E"/>
    <w:rsid w:val="00BB3858"/>
    <w:rsid w:val="00BB5E97"/>
    <w:rsid w:val="00BB6719"/>
    <w:rsid w:val="00BB6AEE"/>
    <w:rsid w:val="00BC22DA"/>
    <w:rsid w:val="00BC393A"/>
    <w:rsid w:val="00BC3F19"/>
    <w:rsid w:val="00BD03EB"/>
    <w:rsid w:val="00BD33BA"/>
    <w:rsid w:val="00BD7FD1"/>
    <w:rsid w:val="00BE1B5D"/>
    <w:rsid w:val="00BE29C8"/>
    <w:rsid w:val="00BE3E71"/>
    <w:rsid w:val="00BE694E"/>
    <w:rsid w:val="00BF2574"/>
    <w:rsid w:val="00BF4409"/>
    <w:rsid w:val="00BF5725"/>
    <w:rsid w:val="00BF5B6B"/>
    <w:rsid w:val="00BF5DF5"/>
    <w:rsid w:val="00BF6D8F"/>
    <w:rsid w:val="00C041B7"/>
    <w:rsid w:val="00C160E3"/>
    <w:rsid w:val="00C16AB5"/>
    <w:rsid w:val="00C23B79"/>
    <w:rsid w:val="00C24DC8"/>
    <w:rsid w:val="00C25539"/>
    <w:rsid w:val="00C2639B"/>
    <w:rsid w:val="00C27808"/>
    <w:rsid w:val="00C30898"/>
    <w:rsid w:val="00C31EC7"/>
    <w:rsid w:val="00C33EEC"/>
    <w:rsid w:val="00C36881"/>
    <w:rsid w:val="00C47BDC"/>
    <w:rsid w:val="00C52469"/>
    <w:rsid w:val="00C545E2"/>
    <w:rsid w:val="00C6439D"/>
    <w:rsid w:val="00C65295"/>
    <w:rsid w:val="00C66946"/>
    <w:rsid w:val="00C70B7D"/>
    <w:rsid w:val="00C7297A"/>
    <w:rsid w:val="00C7506A"/>
    <w:rsid w:val="00C9111A"/>
    <w:rsid w:val="00C9148F"/>
    <w:rsid w:val="00C95877"/>
    <w:rsid w:val="00C9700C"/>
    <w:rsid w:val="00CA1B28"/>
    <w:rsid w:val="00CA1CED"/>
    <w:rsid w:val="00CA232C"/>
    <w:rsid w:val="00CA5149"/>
    <w:rsid w:val="00CA7336"/>
    <w:rsid w:val="00CB3A08"/>
    <w:rsid w:val="00CB4999"/>
    <w:rsid w:val="00CC73A8"/>
    <w:rsid w:val="00CC7443"/>
    <w:rsid w:val="00CD2E54"/>
    <w:rsid w:val="00CD595F"/>
    <w:rsid w:val="00CE57F7"/>
    <w:rsid w:val="00CE7541"/>
    <w:rsid w:val="00CF06D6"/>
    <w:rsid w:val="00CF52DD"/>
    <w:rsid w:val="00CF5357"/>
    <w:rsid w:val="00CF77F2"/>
    <w:rsid w:val="00D01EB5"/>
    <w:rsid w:val="00D0461A"/>
    <w:rsid w:val="00D20DC8"/>
    <w:rsid w:val="00D22BD0"/>
    <w:rsid w:val="00D249CE"/>
    <w:rsid w:val="00D27E85"/>
    <w:rsid w:val="00D31B95"/>
    <w:rsid w:val="00D31C69"/>
    <w:rsid w:val="00D33D22"/>
    <w:rsid w:val="00D34A65"/>
    <w:rsid w:val="00D401F6"/>
    <w:rsid w:val="00D411F2"/>
    <w:rsid w:val="00D44146"/>
    <w:rsid w:val="00D44A1E"/>
    <w:rsid w:val="00D519BD"/>
    <w:rsid w:val="00D52014"/>
    <w:rsid w:val="00D528AD"/>
    <w:rsid w:val="00D602FB"/>
    <w:rsid w:val="00D60B11"/>
    <w:rsid w:val="00D65C4C"/>
    <w:rsid w:val="00D70A03"/>
    <w:rsid w:val="00D70FDD"/>
    <w:rsid w:val="00D81F13"/>
    <w:rsid w:val="00D83E39"/>
    <w:rsid w:val="00D8435D"/>
    <w:rsid w:val="00D85037"/>
    <w:rsid w:val="00D85390"/>
    <w:rsid w:val="00D87717"/>
    <w:rsid w:val="00D95734"/>
    <w:rsid w:val="00DA1A59"/>
    <w:rsid w:val="00DA3619"/>
    <w:rsid w:val="00DA4744"/>
    <w:rsid w:val="00DA4E96"/>
    <w:rsid w:val="00DB10A5"/>
    <w:rsid w:val="00DB2EC4"/>
    <w:rsid w:val="00DB3C73"/>
    <w:rsid w:val="00DB41F3"/>
    <w:rsid w:val="00DC6127"/>
    <w:rsid w:val="00DD084B"/>
    <w:rsid w:val="00DD769A"/>
    <w:rsid w:val="00DE1771"/>
    <w:rsid w:val="00DE76CC"/>
    <w:rsid w:val="00E01590"/>
    <w:rsid w:val="00E0524F"/>
    <w:rsid w:val="00E13885"/>
    <w:rsid w:val="00E173B1"/>
    <w:rsid w:val="00E23A64"/>
    <w:rsid w:val="00E259A1"/>
    <w:rsid w:val="00E31078"/>
    <w:rsid w:val="00E334F5"/>
    <w:rsid w:val="00E42AF4"/>
    <w:rsid w:val="00E4425F"/>
    <w:rsid w:val="00E461B4"/>
    <w:rsid w:val="00E51C75"/>
    <w:rsid w:val="00E6211C"/>
    <w:rsid w:val="00E71B27"/>
    <w:rsid w:val="00E73294"/>
    <w:rsid w:val="00E80304"/>
    <w:rsid w:val="00E83E68"/>
    <w:rsid w:val="00E854C0"/>
    <w:rsid w:val="00E8779E"/>
    <w:rsid w:val="00E9634E"/>
    <w:rsid w:val="00E96DA4"/>
    <w:rsid w:val="00EA3F4A"/>
    <w:rsid w:val="00EA4917"/>
    <w:rsid w:val="00EA5093"/>
    <w:rsid w:val="00EA6FE2"/>
    <w:rsid w:val="00EB4AC1"/>
    <w:rsid w:val="00EB5386"/>
    <w:rsid w:val="00EB5A60"/>
    <w:rsid w:val="00EC77B7"/>
    <w:rsid w:val="00ED2EE8"/>
    <w:rsid w:val="00ED40CF"/>
    <w:rsid w:val="00ED617D"/>
    <w:rsid w:val="00ED7BEC"/>
    <w:rsid w:val="00EE5727"/>
    <w:rsid w:val="00EE68FA"/>
    <w:rsid w:val="00EF29D6"/>
    <w:rsid w:val="00EF36D4"/>
    <w:rsid w:val="00EF4A8C"/>
    <w:rsid w:val="00F016CB"/>
    <w:rsid w:val="00F05317"/>
    <w:rsid w:val="00F054E3"/>
    <w:rsid w:val="00F0587C"/>
    <w:rsid w:val="00F05EBD"/>
    <w:rsid w:val="00F10D37"/>
    <w:rsid w:val="00F12BEA"/>
    <w:rsid w:val="00F147AF"/>
    <w:rsid w:val="00F16439"/>
    <w:rsid w:val="00F16FF4"/>
    <w:rsid w:val="00F25C5E"/>
    <w:rsid w:val="00F27C78"/>
    <w:rsid w:val="00F3061C"/>
    <w:rsid w:val="00F31388"/>
    <w:rsid w:val="00F339CC"/>
    <w:rsid w:val="00F3701C"/>
    <w:rsid w:val="00F40E4C"/>
    <w:rsid w:val="00F44C10"/>
    <w:rsid w:val="00F5163C"/>
    <w:rsid w:val="00F5200B"/>
    <w:rsid w:val="00F61503"/>
    <w:rsid w:val="00F638A8"/>
    <w:rsid w:val="00F64DEA"/>
    <w:rsid w:val="00F67C2D"/>
    <w:rsid w:val="00F73FB6"/>
    <w:rsid w:val="00F7590E"/>
    <w:rsid w:val="00F94824"/>
    <w:rsid w:val="00F95A7E"/>
    <w:rsid w:val="00FA05F0"/>
    <w:rsid w:val="00FA1398"/>
    <w:rsid w:val="00FA14CF"/>
    <w:rsid w:val="00FB6998"/>
    <w:rsid w:val="00FC15F9"/>
    <w:rsid w:val="00FC6CD4"/>
    <w:rsid w:val="00FC7FD4"/>
    <w:rsid w:val="00FD12D5"/>
    <w:rsid w:val="00FD57C2"/>
    <w:rsid w:val="00FE0B56"/>
    <w:rsid w:val="00FE3377"/>
    <w:rsid w:val="00FE5B5E"/>
    <w:rsid w:val="00FF2C4E"/>
    <w:rsid w:val="00FF75E6"/>
    <w:rsid w:val="01007E42"/>
    <w:rsid w:val="012313A8"/>
    <w:rsid w:val="01275D20"/>
    <w:rsid w:val="014712E4"/>
    <w:rsid w:val="017734C4"/>
    <w:rsid w:val="018239F6"/>
    <w:rsid w:val="01864D83"/>
    <w:rsid w:val="0198291B"/>
    <w:rsid w:val="019A5532"/>
    <w:rsid w:val="01CB3F63"/>
    <w:rsid w:val="01EA4E7C"/>
    <w:rsid w:val="01F376F8"/>
    <w:rsid w:val="02075790"/>
    <w:rsid w:val="02203B3A"/>
    <w:rsid w:val="02340997"/>
    <w:rsid w:val="02566600"/>
    <w:rsid w:val="027520D7"/>
    <w:rsid w:val="028E237A"/>
    <w:rsid w:val="029E162E"/>
    <w:rsid w:val="029E7AD0"/>
    <w:rsid w:val="02A16E70"/>
    <w:rsid w:val="02B349AE"/>
    <w:rsid w:val="02B63877"/>
    <w:rsid w:val="02F545EC"/>
    <w:rsid w:val="02FA30D3"/>
    <w:rsid w:val="03090322"/>
    <w:rsid w:val="03215DBB"/>
    <w:rsid w:val="032759B1"/>
    <w:rsid w:val="032E5674"/>
    <w:rsid w:val="036D74E6"/>
    <w:rsid w:val="036F159C"/>
    <w:rsid w:val="0382266E"/>
    <w:rsid w:val="03A07AD7"/>
    <w:rsid w:val="03A85BF6"/>
    <w:rsid w:val="03AB77B8"/>
    <w:rsid w:val="03B409DD"/>
    <w:rsid w:val="03B95FF4"/>
    <w:rsid w:val="03EC73DD"/>
    <w:rsid w:val="03F74936"/>
    <w:rsid w:val="03FD2384"/>
    <w:rsid w:val="042A346F"/>
    <w:rsid w:val="046B3792"/>
    <w:rsid w:val="04745109"/>
    <w:rsid w:val="049D565A"/>
    <w:rsid w:val="04A942BA"/>
    <w:rsid w:val="04AC72EC"/>
    <w:rsid w:val="04AF71C7"/>
    <w:rsid w:val="04D70E27"/>
    <w:rsid w:val="04E204B9"/>
    <w:rsid w:val="05190704"/>
    <w:rsid w:val="052D4EEB"/>
    <w:rsid w:val="05343452"/>
    <w:rsid w:val="057B7AFF"/>
    <w:rsid w:val="0580226C"/>
    <w:rsid w:val="05860158"/>
    <w:rsid w:val="05926AFC"/>
    <w:rsid w:val="05946925"/>
    <w:rsid w:val="059B2E14"/>
    <w:rsid w:val="05AA531D"/>
    <w:rsid w:val="05AF5900"/>
    <w:rsid w:val="05CD3179"/>
    <w:rsid w:val="05D067D9"/>
    <w:rsid w:val="05D20995"/>
    <w:rsid w:val="05EE786C"/>
    <w:rsid w:val="05FE190F"/>
    <w:rsid w:val="062407B0"/>
    <w:rsid w:val="06306B73"/>
    <w:rsid w:val="06624ACB"/>
    <w:rsid w:val="06750C66"/>
    <w:rsid w:val="06A22F18"/>
    <w:rsid w:val="06AB60C8"/>
    <w:rsid w:val="06C207AA"/>
    <w:rsid w:val="06DB7470"/>
    <w:rsid w:val="06DC5839"/>
    <w:rsid w:val="06EF58D3"/>
    <w:rsid w:val="07026F93"/>
    <w:rsid w:val="07116147"/>
    <w:rsid w:val="071435BA"/>
    <w:rsid w:val="07593D76"/>
    <w:rsid w:val="075E76FE"/>
    <w:rsid w:val="07754928"/>
    <w:rsid w:val="079B0BC0"/>
    <w:rsid w:val="07B34DB3"/>
    <w:rsid w:val="07FA3C26"/>
    <w:rsid w:val="07FD36EB"/>
    <w:rsid w:val="08027033"/>
    <w:rsid w:val="081303C8"/>
    <w:rsid w:val="0855720F"/>
    <w:rsid w:val="085B4F44"/>
    <w:rsid w:val="085E716A"/>
    <w:rsid w:val="08894C98"/>
    <w:rsid w:val="088D5F5C"/>
    <w:rsid w:val="08A26242"/>
    <w:rsid w:val="08A81DAE"/>
    <w:rsid w:val="091151DF"/>
    <w:rsid w:val="093323A4"/>
    <w:rsid w:val="0941245A"/>
    <w:rsid w:val="0949606C"/>
    <w:rsid w:val="094C565A"/>
    <w:rsid w:val="09642C78"/>
    <w:rsid w:val="096D5AA7"/>
    <w:rsid w:val="0997077C"/>
    <w:rsid w:val="099867F6"/>
    <w:rsid w:val="09BC7504"/>
    <w:rsid w:val="09C15C02"/>
    <w:rsid w:val="09EB72A8"/>
    <w:rsid w:val="09FD11BF"/>
    <w:rsid w:val="0A0E39C6"/>
    <w:rsid w:val="0A13499B"/>
    <w:rsid w:val="0A260FC3"/>
    <w:rsid w:val="0A2B6A3F"/>
    <w:rsid w:val="0A5B7E05"/>
    <w:rsid w:val="0A643AC5"/>
    <w:rsid w:val="0AA84D20"/>
    <w:rsid w:val="0AB823C4"/>
    <w:rsid w:val="0ACA4546"/>
    <w:rsid w:val="0AD11E75"/>
    <w:rsid w:val="0AE55920"/>
    <w:rsid w:val="0AF147AC"/>
    <w:rsid w:val="0AF85C08"/>
    <w:rsid w:val="0B14682F"/>
    <w:rsid w:val="0B825441"/>
    <w:rsid w:val="0B8415DD"/>
    <w:rsid w:val="0B945133"/>
    <w:rsid w:val="0BA525D8"/>
    <w:rsid w:val="0BC11EE9"/>
    <w:rsid w:val="0BD50CE3"/>
    <w:rsid w:val="0BEF4CA9"/>
    <w:rsid w:val="0BF40511"/>
    <w:rsid w:val="0BF55B92"/>
    <w:rsid w:val="0C236C56"/>
    <w:rsid w:val="0C2F6006"/>
    <w:rsid w:val="0C426CB3"/>
    <w:rsid w:val="0C4A0E8C"/>
    <w:rsid w:val="0C5056AF"/>
    <w:rsid w:val="0C5B02F8"/>
    <w:rsid w:val="0C5B37C6"/>
    <w:rsid w:val="0C5D60B6"/>
    <w:rsid w:val="0C602928"/>
    <w:rsid w:val="0C7358DA"/>
    <w:rsid w:val="0C8352C9"/>
    <w:rsid w:val="0C88726E"/>
    <w:rsid w:val="0C954445"/>
    <w:rsid w:val="0C970E9C"/>
    <w:rsid w:val="0CCB7B51"/>
    <w:rsid w:val="0CCE23B0"/>
    <w:rsid w:val="0CE866DD"/>
    <w:rsid w:val="0D2210AE"/>
    <w:rsid w:val="0D2848D8"/>
    <w:rsid w:val="0D416E49"/>
    <w:rsid w:val="0D461A52"/>
    <w:rsid w:val="0D5B2BA8"/>
    <w:rsid w:val="0D690915"/>
    <w:rsid w:val="0D8F1B47"/>
    <w:rsid w:val="0DA0360B"/>
    <w:rsid w:val="0DA47700"/>
    <w:rsid w:val="0DB55C17"/>
    <w:rsid w:val="0DC134A7"/>
    <w:rsid w:val="0DDF0D4D"/>
    <w:rsid w:val="0E422B0F"/>
    <w:rsid w:val="0E4D03C4"/>
    <w:rsid w:val="0E512BF8"/>
    <w:rsid w:val="0E7B44CD"/>
    <w:rsid w:val="0EED50EF"/>
    <w:rsid w:val="0EF37672"/>
    <w:rsid w:val="0EF46240"/>
    <w:rsid w:val="0F1964F3"/>
    <w:rsid w:val="0F465E03"/>
    <w:rsid w:val="0F5002B6"/>
    <w:rsid w:val="0F5C1D51"/>
    <w:rsid w:val="0F620FFF"/>
    <w:rsid w:val="0F681E22"/>
    <w:rsid w:val="0F6C20F8"/>
    <w:rsid w:val="0F9262E5"/>
    <w:rsid w:val="0FAC38D7"/>
    <w:rsid w:val="0FCB51A9"/>
    <w:rsid w:val="0FEE60A0"/>
    <w:rsid w:val="1000028B"/>
    <w:rsid w:val="100B5B75"/>
    <w:rsid w:val="10292C00"/>
    <w:rsid w:val="10390CED"/>
    <w:rsid w:val="103A1507"/>
    <w:rsid w:val="10406B96"/>
    <w:rsid w:val="105105A4"/>
    <w:rsid w:val="10797991"/>
    <w:rsid w:val="108D7FEC"/>
    <w:rsid w:val="10C34A85"/>
    <w:rsid w:val="10C6145D"/>
    <w:rsid w:val="10EA5A19"/>
    <w:rsid w:val="10EB0A61"/>
    <w:rsid w:val="10F96CD3"/>
    <w:rsid w:val="10FA4E14"/>
    <w:rsid w:val="110662B7"/>
    <w:rsid w:val="110D477C"/>
    <w:rsid w:val="111125C9"/>
    <w:rsid w:val="11230728"/>
    <w:rsid w:val="114317C8"/>
    <w:rsid w:val="11504EEC"/>
    <w:rsid w:val="117E3EBF"/>
    <w:rsid w:val="11921F79"/>
    <w:rsid w:val="119A07D7"/>
    <w:rsid w:val="11A63895"/>
    <w:rsid w:val="11AA0E33"/>
    <w:rsid w:val="11D465DE"/>
    <w:rsid w:val="11DB026D"/>
    <w:rsid w:val="11F35E10"/>
    <w:rsid w:val="121E003E"/>
    <w:rsid w:val="123238F4"/>
    <w:rsid w:val="124E6914"/>
    <w:rsid w:val="125A6F14"/>
    <w:rsid w:val="1273400A"/>
    <w:rsid w:val="127515E6"/>
    <w:rsid w:val="128131B4"/>
    <w:rsid w:val="128276A4"/>
    <w:rsid w:val="12871737"/>
    <w:rsid w:val="12995F82"/>
    <w:rsid w:val="12B45137"/>
    <w:rsid w:val="12B76D01"/>
    <w:rsid w:val="12C03FA5"/>
    <w:rsid w:val="12C65A8B"/>
    <w:rsid w:val="12D84CD4"/>
    <w:rsid w:val="12F51579"/>
    <w:rsid w:val="12FD7CCA"/>
    <w:rsid w:val="13042B7A"/>
    <w:rsid w:val="13167841"/>
    <w:rsid w:val="131909C4"/>
    <w:rsid w:val="131B30E8"/>
    <w:rsid w:val="131F2662"/>
    <w:rsid w:val="1336140F"/>
    <w:rsid w:val="13405DEA"/>
    <w:rsid w:val="13701A76"/>
    <w:rsid w:val="137139DD"/>
    <w:rsid w:val="1379754E"/>
    <w:rsid w:val="13A445CA"/>
    <w:rsid w:val="13B47F15"/>
    <w:rsid w:val="13B92AEA"/>
    <w:rsid w:val="13C139AF"/>
    <w:rsid w:val="13D116DD"/>
    <w:rsid w:val="13E01C4A"/>
    <w:rsid w:val="13EB4529"/>
    <w:rsid w:val="14011AE1"/>
    <w:rsid w:val="141872B2"/>
    <w:rsid w:val="14333776"/>
    <w:rsid w:val="1446120A"/>
    <w:rsid w:val="144E16AB"/>
    <w:rsid w:val="144F087E"/>
    <w:rsid w:val="144F6715"/>
    <w:rsid w:val="147A16BB"/>
    <w:rsid w:val="1497131D"/>
    <w:rsid w:val="149C206F"/>
    <w:rsid w:val="14AA5797"/>
    <w:rsid w:val="14F53EDD"/>
    <w:rsid w:val="15007BFE"/>
    <w:rsid w:val="152940E5"/>
    <w:rsid w:val="154D743D"/>
    <w:rsid w:val="155443C6"/>
    <w:rsid w:val="15567B46"/>
    <w:rsid w:val="15667555"/>
    <w:rsid w:val="15795824"/>
    <w:rsid w:val="158D492B"/>
    <w:rsid w:val="15A97268"/>
    <w:rsid w:val="15B605E5"/>
    <w:rsid w:val="15BF3B8D"/>
    <w:rsid w:val="15CF1DD7"/>
    <w:rsid w:val="15D62A35"/>
    <w:rsid w:val="15D95123"/>
    <w:rsid w:val="15E224A7"/>
    <w:rsid w:val="160C07B5"/>
    <w:rsid w:val="16150220"/>
    <w:rsid w:val="162D02D9"/>
    <w:rsid w:val="1638500A"/>
    <w:rsid w:val="16397A1B"/>
    <w:rsid w:val="164342FA"/>
    <w:rsid w:val="165351E7"/>
    <w:rsid w:val="165770B0"/>
    <w:rsid w:val="169D3553"/>
    <w:rsid w:val="16A22BEB"/>
    <w:rsid w:val="16A86180"/>
    <w:rsid w:val="16CB645F"/>
    <w:rsid w:val="16D71C8D"/>
    <w:rsid w:val="16E11B7C"/>
    <w:rsid w:val="171820A2"/>
    <w:rsid w:val="171877C6"/>
    <w:rsid w:val="17571001"/>
    <w:rsid w:val="17647109"/>
    <w:rsid w:val="176C18A3"/>
    <w:rsid w:val="17707BBF"/>
    <w:rsid w:val="177572AC"/>
    <w:rsid w:val="17776970"/>
    <w:rsid w:val="179E6119"/>
    <w:rsid w:val="17BA1FA3"/>
    <w:rsid w:val="17CB05D4"/>
    <w:rsid w:val="17CF624F"/>
    <w:rsid w:val="181270D8"/>
    <w:rsid w:val="183A7AB3"/>
    <w:rsid w:val="18402742"/>
    <w:rsid w:val="185540E5"/>
    <w:rsid w:val="185C4B83"/>
    <w:rsid w:val="1862727E"/>
    <w:rsid w:val="186A451A"/>
    <w:rsid w:val="18C80336"/>
    <w:rsid w:val="18CA034D"/>
    <w:rsid w:val="18F051D2"/>
    <w:rsid w:val="190C0B53"/>
    <w:rsid w:val="190D6017"/>
    <w:rsid w:val="191E6BCD"/>
    <w:rsid w:val="19492BEC"/>
    <w:rsid w:val="196E5555"/>
    <w:rsid w:val="19962C12"/>
    <w:rsid w:val="19A215AC"/>
    <w:rsid w:val="19AE3FA6"/>
    <w:rsid w:val="1A1324AA"/>
    <w:rsid w:val="1A3017B0"/>
    <w:rsid w:val="1A367F46"/>
    <w:rsid w:val="1A51491B"/>
    <w:rsid w:val="1A7409A4"/>
    <w:rsid w:val="1A9E4AAF"/>
    <w:rsid w:val="1AA05338"/>
    <w:rsid w:val="1AC3684A"/>
    <w:rsid w:val="1ACA77FB"/>
    <w:rsid w:val="1ACC5BF8"/>
    <w:rsid w:val="1AD774CB"/>
    <w:rsid w:val="1AE92FD5"/>
    <w:rsid w:val="1AFC6854"/>
    <w:rsid w:val="1B1E67F8"/>
    <w:rsid w:val="1B200CF6"/>
    <w:rsid w:val="1B2A7529"/>
    <w:rsid w:val="1B390BDC"/>
    <w:rsid w:val="1B3C77DE"/>
    <w:rsid w:val="1B4E55E8"/>
    <w:rsid w:val="1B653071"/>
    <w:rsid w:val="1B8E7170"/>
    <w:rsid w:val="1BAB226E"/>
    <w:rsid w:val="1BBD111D"/>
    <w:rsid w:val="1BE0443F"/>
    <w:rsid w:val="1C1F6605"/>
    <w:rsid w:val="1C2870A8"/>
    <w:rsid w:val="1C471722"/>
    <w:rsid w:val="1C5C588F"/>
    <w:rsid w:val="1C983F97"/>
    <w:rsid w:val="1CB1569A"/>
    <w:rsid w:val="1CB313F6"/>
    <w:rsid w:val="1CBA0DC9"/>
    <w:rsid w:val="1CEF0D6A"/>
    <w:rsid w:val="1CF17351"/>
    <w:rsid w:val="1CFB6B14"/>
    <w:rsid w:val="1D3C45B0"/>
    <w:rsid w:val="1D4028B0"/>
    <w:rsid w:val="1D481C3A"/>
    <w:rsid w:val="1D51728B"/>
    <w:rsid w:val="1D5D57EA"/>
    <w:rsid w:val="1D613CFF"/>
    <w:rsid w:val="1DC46673"/>
    <w:rsid w:val="1DCF0496"/>
    <w:rsid w:val="1DE34A7E"/>
    <w:rsid w:val="1E00462C"/>
    <w:rsid w:val="1E012619"/>
    <w:rsid w:val="1E1C5E73"/>
    <w:rsid w:val="1E2527AC"/>
    <w:rsid w:val="1E2734D1"/>
    <w:rsid w:val="1E3D5BFF"/>
    <w:rsid w:val="1E3F5B0A"/>
    <w:rsid w:val="1E402DD2"/>
    <w:rsid w:val="1E462655"/>
    <w:rsid w:val="1E5B585E"/>
    <w:rsid w:val="1E703E54"/>
    <w:rsid w:val="1E7352C5"/>
    <w:rsid w:val="1E915FCF"/>
    <w:rsid w:val="1EA0459D"/>
    <w:rsid w:val="1EB21D4C"/>
    <w:rsid w:val="1EB37DB8"/>
    <w:rsid w:val="1EC51899"/>
    <w:rsid w:val="1ECC5D06"/>
    <w:rsid w:val="1ED42809"/>
    <w:rsid w:val="1EEF0477"/>
    <w:rsid w:val="1EF26162"/>
    <w:rsid w:val="1F372797"/>
    <w:rsid w:val="1F6457D9"/>
    <w:rsid w:val="1F64740B"/>
    <w:rsid w:val="1F6A2CF4"/>
    <w:rsid w:val="1F7D3F22"/>
    <w:rsid w:val="1F9F2549"/>
    <w:rsid w:val="1FCC5382"/>
    <w:rsid w:val="1FD86B10"/>
    <w:rsid w:val="1FFD6FC8"/>
    <w:rsid w:val="201221D2"/>
    <w:rsid w:val="202279CC"/>
    <w:rsid w:val="20326079"/>
    <w:rsid w:val="20432702"/>
    <w:rsid w:val="20441B19"/>
    <w:rsid w:val="205A1629"/>
    <w:rsid w:val="20663493"/>
    <w:rsid w:val="2069018D"/>
    <w:rsid w:val="2078256A"/>
    <w:rsid w:val="207C6377"/>
    <w:rsid w:val="20A0219D"/>
    <w:rsid w:val="20AB38D2"/>
    <w:rsid w:val="20AD1AC6"/>
    <w:rsid w:val="20B60991"/>
    <w:rsid w:val="20B87A68"/>
    <w:rsid w:val="20BF45FE"/>
    <w:rsid w:val="20C70459"/>
    <w:rsid w:val="20DC3D54"/>
    <w:rsid w:val="20FB478C"/>
    <w:rsid w:val="20FB7716"/>
    <w:rsid w:val="2102069D"/>
    <w:rsid w:val="21042CED"/>
    <w:rsid w:val="2106288F"/>
    <w:rsid w:val="210743EB"/>
    <w:rsid w:val="21082292"/>
    <w:rsid w:val="215018EE"/>
    <w:rsid w:val="216F5CAE"/>
    <w:rsid w:val="21701F90"/>
    <w:rsid w:val="217817F7"/>
    <w:rsid w:val="2181507E"/>
    <w:rsid w:val="21C9221A"/>
    <w:rsid w:val="21F7445F"/>
    <w:rsid w:val="220B022B"/>
    <w:rsid w:val="22160B82"/>
    <w:rsid w:val="222866C7"/>
    <w:rsid w:val="222B739A"/>
    <w:rsid w:val="22630C84"/>
    <w:rsid w:val="228952D6"/>
    <w:rsid w:val="2297314D"/>
    <w:rsid w:val="229F23A9"/>
    <w:rsid w:val="22A279E3"/>
    <w:rsid w:val="22AF6AE8"/>
    <w:rsid w:val="22BA2B41"/>
    <w:rsid w:val="22D26F9A"/>
    <w:rsid w:val="23040DF1"/>
    <w:rsid w:val="233C7E85"/>
    <w:rsid w:val="235A6A54"/>
    <w:rsid w:val="239F090A"/>
    <w:rsid w:val="23AF69F1"/>
    <w:rsid w:val="23B12896"/>
    <w:rsid w:val="23BC1D74"/>
    <w:rsid w:val="23CB0902"/>
    <w:rsid w:val="23D26F32"/>
    <w:rsid w:val="23E11A3F"/>
    <w:rsid w:val="23ED5950"/>
    <w:rsid w:val="23F316BB"/>
    <w:rsid w:val="24763848"/>
    <w:rsid w:val="247C12B5"/>
    <w:rsid w:val="24827E18"/>
    <w:rsid w:val="2492046F"/>
    <w:rsid w:val="24963225"/>
    <w:rsid w:val="24C31569"/>
    <w:rsid w:val="24C9231F"/>
    <w:rsid w:val="24D52D8A"/>
    <w:rsid w:val="24E567F1"/>
    <w:rsid w:val="24F133E8"/>
    <w:rsid w:val="24FA3483"/>
    <w:rsid w:val="253634F0"/>
    <w:rsid w:val="25377C12"/>
    <w:rsid w:val="25522BB6"/>
    <w:rsid w:val="25675458"/>
    <w:rsid w:val="25745F06"/>
    <w:rsid w:val="25752CBA"/>
    <w:rsid w:val="257B5469"/>
    <w:rsid w:val="258F0A94"/>
    <w:rsid w:val="25902E9C"/>
    <w:rsid w:val="25A641D2"/>
    <w:rsid w:val="25AB3597"/>
    <w:rsid w:val="25B0273C"/>
    <w:rsid w:val="25D45C3E"/>
    <w:rsid w:val="25DD61F7"/>
    <w:rsid w:val="25E81861"/>
    <w:rsid w:val="26034EF6"/>
    <w:rsid w:val="260E6047"/>
    <w:rsid w:val="263A7732"/>
    <w:rsid w:val="263D5C2C"/>
    <w:rsid w:val="26671A94"/>
    <w:rsid w:val="2682292E"/>
    <w:rsid w:val="26AF716B"/>
    <w:rsid w:val="26B57F3A"/>
    <w:rsid w:val="26BB1EFF"/>
    <w:rsid w:val="26C25C81"/>
    <w:rsid w:val="26C8461C"/>
    <w:rsid w:val="27126E5B"/>
    <w:rsid w:val="27437FDF"/>
    <w:rsid w:val="275B4E31"/>
    <w:rsid w:val="275C718B"/>
    <w:rsid w:val="276E7580"/>
    <w:rsid w:val="27983FEE"/>
    <w:rsid w:val="279E1806"/>
    <w:rsid w:val="279F27E3"/>
    <w:rsid w:val="27C40F6B"/>
    <w:rsid w:val="27CF1CA7"/>
    <w:rsid w:val="28073099"/>
    <w:rsid w:val="281C69CE"/>
    <w:rsid w:val="281E11E4"/>
    <w:rsid w:val="284B2685"/>
    <w:rsid w:val="284B4960"/>
    <w:rsid w:val="286A598B"/>
    <w:rsid w:val="28907C53"/>
    <w:rsid w:val="28B92147"/>
    <w:rsid w:val="28E318D4"/>
    <w:rsid w:val="28EF1580"/>
    <w:rsid w:val="28F92049"/>
    <w:rsid w:val="28FA4760"/>
    <w:rsid w:val="290A6D49"/>
    <w:rsid w:val="291B31FE"/>
    <w:rsid w:val="293624BD"/>
    <w:rsid w:val="294D49C5"/>
    <w:rsid w:val="29511AFD"/>
    <w:rsid w:val="296231D6"/>
    <w:rsid w:val="298760C9"/>
    <w:rsid w:val="29A7304D"/>
    <w:rsid w:val="29B616C2"/>
    <w:rsid w:val="29BA0A21"/>
    <w:rsid w:val="29BB2399"/>
    <w:rsid w:val="29D02BC2"/>
    <w:rsid w:val="29DD6CB4"/>
    <w:rsid w:val="2A043AD2"/>
    <w:rsid w:val="2A08798F"/>
    <w:rsid w:val="2A19597B"/>
    <w:rsid w:val="2A23324E"/>
    <w:rsid w:val="2A2B739C"/>
    <w:rsid w:val="2A2D4E44"/>
    <w:rsid w:val="2A3C5105"/>
    <w:rsid w:val="2A6C2D68"/>
    <w:rsid w:val="2A6F0AFC"/>
    <w:rsid w:val="2A7439F6"/>
    <w:rsid w:val="2A93464B"/>
    <w:rsid w:val="2AB729DE"/>
    <w:rsid w:val="2ABB29A9"/>
    <w:rsid w:val="2AC025E8"/>
    <w:rsid w:val="2ACE0C31"/>
    <w:rsid w:val="2ACE1AD5"/>
    <w:rsid w:val="2AFD4EC5"/>
    <w:rsid w:val="2AFF1738"/>
    <w:rsid w:val="2B046437"/>
    <w:rsid w:val="2B1B420B"/>
    <w:rsid w:val="2B2E05A5"/>
    <w:rsid w:val="2B320A0B"/>
    <w:rsid w:val="2B376F2C"/>
    <w:rsid w:val="2B417276"/>
    <w:rsid w:val="2B5A5895"/>
    <w:rsid w:val="2B6B3D2E"/>
    <w:rsid w:val="2B8808AD"/>
    <w:rsid w:val="2B954A46"/>
    <w:rsid w:val="2B96058E"/>
    <w:rsid w:val="2BA737A6"/>
    <w:rsid w:val="2BDE3F9A"/>
    <w:rsid w:val="2BFA5278"/>
    <w:rsid w:val="2C01555B"/>
    <w:rsid w:val="2C121A3B"/>
    <w:rsid w:val="2C1D2D14"/>
    <w:rsid w:val="2C275941"/>
    <w:rsid w:val="2C3C763E"/>
    <w:rsid w:val="2C403987"/>
    <w:rsid w:val="2C520C10"/>
    <w:rsid w:val="2C765025"/>
    <w:rsid w:val="2C852F06"/>
    <w:rsid w:val="2C981CCD"/>
    <w:rsid w:val="2C9F53AF"/>
    <w:rsid w:val="2CBA641B"/>
    <w:rsid w:val="2CBF724F"/>
    <w:rsid w:val="2CC40CB7"/>
    <w:rsid w:val="2D020BD1"/>
    <w:rsid w:val="2D040C32"/>
    <w:rsid w:val="2D0757A6"/>
    <w:rsid w:val="2D2254D9"/>
    <w:rsid w:val="2D253580"/>
    <w:rsid w:val="2D55028C"/>
    <w:rsid w:val="2D6A0315"/>
    <w:rsid w:val="2D957953"/>
    <w:rsid w:val="2D982E0B"/>
    <w:rsid w:val="2DB53B3B"/>
    <w:rsid w:val="2DCA5BD6"/>
    <w:rsid w:val="2DCB5CD4"/>
    <w:rsid w:val="2DCC44FF"/>
    <w:rsid w:val="2DDE357F"/>
    <w:rsid w:val="2DE41D3C"/>
    <w:rsid w:val="2DF27FDF"/>
    <w:rsid w:val="2DFC1F88"/>
    <w:rsid w:val="2E072654"/>
    <w:rsid w:val="2E0979F4"/>
    <w:rsid w:val="2E156399"/>
    <w:rsid w:val="2E1C1821"/>
    <w:rsid w:val="2E294A02"/>
    <w:rsid w:val="2E3D32FC"/>
    <w:rsid w:val="2E49531C"/>
    <w:rsid w:val="2E5E1319"/>
    <w:rsid w:val="2E6F38EF"/>
    <w:rsid w:val="2EBD58C6"/>
    <w:rsid w:val="2EC24EAE"/>
    <w:rsid w:val="2ECB4CA9"/>
    <w:rsid w:val="2F025FD6"/>
    <w:rsid w:val="2F041B3C"/>
    <w:rsid w:val="2F0A6CD1"/>
    <w:rsid w:val="2F47109C"/>
    <w:rsid w:val="2F4B2213"/>
    <w:rsid w:val="2F630800"/>
    <w:rsid w:val="2F757F47"/>
    <w:rsid w:val="2F7F2D70"/>
    <w:rsid w:val="2F8868AA"/>
    <w:rsid w:val="2F8B4DEA"/>
    <w:rsid w:val="2F9075F6"/>
    <w:rsid w:val="2F965A58"/>
    <w:rsid w:val="2F9A4F90"/>
    <w:rsid w:val="2F9A594D"/>
    <w:rsid w:val="2FF3519E"/>
    <w:rsid w:val="30303517"/>
    <w:rsid w:val="306D6DEE"/>
    <w:rsid w:val="307B4A76"/>
    <w:rsid w:val="308E13FA"/>
    <w:rsid w:val="30A6152A"/>
    <w:rsid w:val="30BA3228"/>
    <w:rsid w:val="30CE09B6"/>
    <w:rsid w:val="30FA6AA0"/>
    <w:rsid w:val="310C1CD2"/>
    <w:rsid w:val="3112096E"/>
    <w:rsid w:val="311E4999"/>
    <w:rsid w:val="311F12DD"/>
    <w:rsid w:val="312573D2"/>
    <w:rsid w:val="31300A9C"/>
    <w:rsid w:val="313279B0"/>
    <w:rsid w:val="31487B21"/>
    <w:rsid w:val="314D6867"/>
    <w:rsid w:val="31785EB2"/>
    <w:rsid w:val="3179279B"/>
    <w:rsid w:val="317F3D7D"/>
    <w:rsid w:val="31960D20"/>
    <w:rsid w:val="31A435DE"/>
    <w:rsid w:val="31CD0C24"/>
    <w:rsid w:val="31CD0D39"/>
    <w:rsid w:val="31F0559B"/>
    <w:rsid w:val="31FF60CF"/>
    <w:rsid w:val="320C4E24"/>
    <w:rsid w:val="320F4EAD"/>
    <w:rsid w:val="322963D4"/>
    <w:rsid w:val="32490EF5"/>
    <w:rsid w:val="324E528F"/>
    <w:rsid w:val="32642296"/>
    <w:rsid w:val="326B085A"/>
    <w:rsid w:val="32A01606"/>
    <w:rsid w:val="32B61B53"/>
    <w:rsid w:val="32C94A9C"/>
    <w:rsid w:val="32D040EC"/>
    <w:rsid w:val="32D47840"/>
    <w:rsid w:val="32D909B3"/>
    <w:rsid w:val="32D93D68"/>
    <w:rsid w:val="32DC217C"/>
    <w:rsid w:val="32E120A3"/>
    <w:rsid w:val="33092D4F"/>
    <w:rsid w:val="332D454F"/>
    <w:rsid w:val="33355CB1"/>
    <w:rsid w:val="33426DD3"/>
    <w:rsid w:val="334E1463"/>
    <w:rsid w:val="339165C1"/>
    <w:rsid w:val="339542F7"/>
    <w:rsid w:val="33995376"/>
    <w:rsid w:val="33C85644"/>
    <w:rsid w:val="33D74FB0"/>
    <w:rsid w:val="33F26834"/>
    <w:rsid w:val="33F8366A"/>
    <w:rsid w:val="340007CF"/>
    <w:rsid w:val="3437693D"/>
    <w:rsid w:val="343B467F"/>
    <w:rsid w:val="346E6DDD"/>
    <w:rsid w:val="348E3F5F"/>
    <w:rsid w:val="34A07D70"/>
    <w:rsid w:val="34AE125F"/>
    <w:rsid w:val="34C77CC1"/>
    <w:rsid w:val="34D84426"/>
    <w:rsid w:val="34D85063"/>
    <w:rsid w:val="34EB1C02"/>
    <w:rsid w:val="350C2BCF"/>
    <w:rsid w:val="3511718E"/>
    <w:rsid w:val="352548D7"/>
    <w:rsid w:val="352A70A8"/>
    <w:rsid w:val="35301317"/>
    <w:rsid w:val="359A279A"/>
    <w:rsid w:val="359B5E22"/>
    <w:rsid w:val="359C1AAB"/>
    <w:rsid w:val="35A63D95"/>
    <w:rsid w:val="35AB3B2B"/>
    <w:rsid w:val="35B11597"/>
    <w:rsid w:val="35B27244"/>
    <w:rsid w:val="35D97CAC"/>
    <w:rsid w:val="36080F50"/>
    <w:rsid w:val="360B3E62"/>
    <w:rsid w:val="361D3AF6"/>
    <w:rsid w:val="364970DE"/>
    <w:rsid w:val="364E1FAC"/>
    <w:rsid w:val="36503AF9"/>
    <w:rsid w:val="36624316"/>
    <w:rsid w:val="366B28CE"/>
    <w:rsid w:val="366C02C0"/>
    <w:rsid w:val="367F29FE"/>
    <w:rsid w:val="36B54D4D"/>
    <w:rsid w:val="36C24DA9"/>
    <w:rsid w:val="36C26B8E"/>
    <w:rsid w:val="36E41E01"/>
    <w:rsid w:val="36FA7861"/>
    <w:rsid w:val="370647C7"/>
    <w:rsid w:val="3716362D"/>
    <w:rsid w:val="371B60A2"/>
    <w:rsid w:val="371D71F3"/>
    <w:rsid w:val="373234C8"/>
    <w:rsid w:val="37334E28"/>
    <w:rsid w:val="3744619F"/>
    <w:rsid w:val="374E03A8"/>
    <w:rsid w:val="375F48B5"/>
    <w:rsid w:val="37797AAB"/>
    <w:rsid w:val="378267EB"/>
    <w:rsid w:val="378C19E3"/>
    <w:rsid w:val="37965565"/>
    <w:rsid w:val="38142964"/>
    <w:rsid w:val="383438BF"/>
    <w:rsid w:val="3857135C"/>
    <w:rsid w:val="38683E4F"/>
    <w:rsid w:val="38710E3F"/>
    <w:rsid w:val="389649C5"/>
    <w:rsid w:val="38A327F3"/>
    <w:rsid w:val="38BB18EB"/>
    <w:rsid w:val="38E06F41"/>
    <w:rsid w:val="39671A73"/>
    <w:rsid w:val="39693A3D"/>
    <w:rsid w:val="3971655D"/>
    <w:rsid w:val="39732FDC"/>
    <w:rsid w:val="39745D84"/>
    <w:rsid w:val="397A3554"/>
    <w:rsid w:val="39B051C8"/>
    <w:rsid w:val="39BA1ADC"/>
    <w:rsid w:val="39DF4E5A"/>
    <w:rsid w:val="39F40A57"/>
    <w:rsid w:val="39FE4185"/>
    <w:rsid w:val="3A4678DA"/>
    <w:rsid w:val="3A735F50"/>
    <w:rsid w:val="3A881CA1"/>
    <w:rsid w:val="3A8D08BE"/>
    <w:rsid w:val="3A9E1D40"/>
    <w:rsid w:val="3AC759D7"/>
    <w:rsid w:val="3AE356EC"/>
    <w:rsid w:val="3AE83416"/>
    <w:rsid w:val="3AE84F21"/>
    <w:rsid w:val="3B0312A1"/>
    <w:rsid w:val="3B1E1277"/>
    <w:rsid w:val="3B241639"/>
    <w:rsid w:val="3B2958E9"/>
    <w:rsid w:val="3B340B10"/>
    <w:rsid w:val="3B4342F2"/>
    <w:rsid w:val="3B705907"/>
    <w:rsid w:val="3BAC54A0"/>
    <w:rsid w:val="3BB450D2"/>
    <w:rsid w:val="3BB51625"/>
    <w:rsid w:val="3BB83A55"/>
    <w:rsid w:val="3BC540CC"/>
    <w:rsid w:val="3BCF2FFD"/>
    <w:rsid w:val="3C016259"/>
    <w:rsid w:val="3C05702B"/>
    <w:rsid w:val="3C5F111A"/>
    <w:rsid w:val="3C70334F"/>
    <w:rsid w:val="3C797D13"/>
    <w:rsid w:val="3C806348"/>
    <w:rsid w:val="3C9E74BA"/>
    <w:rsid w:val="3CA31014"/>
    <w:rsid w:val="3CB3298B"/>
    <w:rsid w:val="3CD2615F"/>
    <w:rsid w:val="3D11205B"/>
    <w:rsid w:val="3D206530"/>
    <w:rsid w:val="3D3D55B3"/>
    <w:rsid w:val="3D50398D"/>
    <w:rsid w:val="3D5619DA"/>
    <w:rsid w:val="3D5B6EE5"/>
    <w:rsid w:val="3D5F1DD9"/>
    <w:rsid w:val="3D604ED5"/>
    <w:rsid w:val="3DBA1081"/>
    <w:rsid w:val="3DC950E0"/>
    <w:rsid w:val="3DE25DB3"/>
    <w:rsid w:val="3DE6670E"/>
    <w:rsid w:val="3E1B54E8"/>
    <w:rsid w:val="3E5849EE"/>
    <w:rsid w:val="3E5E39A4"/>
    <w:rsid w:val="3E7A463F"/>
    <w:rsid w:val="3E925B12"/>
    <w:rsid w:val="3EE3310A"/>
    <w:rsid w:val="3EE629F3"/>
    <w:rsid w:val="3EF14B6E"/>
    <w:rsid w:val="3EFB0FE0"/>
    <w:rsid w:val="3F0128C7"/>
    <w:rsid w:val="3F12480E"/>
    <w:rsid w:val="3F50722A"/>
    <w:rsid w:val="3F645D9C"/>
    <w:rsid w:val="3F67457A"/>
    <w:rsid w:val="3F7647BE"/>
    <w:rsid w:val="3F790A64"/>
    <w:rsid w:val="3F8E1AF4"/>
    <w:rsid w:val="3FA13F17"/>
    <w:rsid w:val="3FA35235"/>
    <w:rsid w:val="3FA54560"/>
    <w:rsid w:val="3FB10B8E"/>
    <w:rsid w:val="3FCB2B69"/>
    <w:rsid w:val="3FFD4490"/>
    <w:rsid w:val="405A34BE"/>
    <w:rsid w:val="40650AB8"/>
    <w:rsid w:val="406D2075"/>
    <w:rsid w:val="40A711A0"/>
    <w:rsid w:val="40A73A11"/>
    <w:rsid w:val="40B065BA"/>
    <w:rsid w:val="40B26EFA"/>
    <w:rsid w:val="40B81662"/>
    <w:rsid w:val="40D50F73"/>
    <w:rsid w:val="40E06472"/>
    <w:rsid w:val="40E534CE"/>
    <w:rsid w:val="40E765BD"/>
    <w:rsid w:val="40EF0E34"/>
    <w:rsid w:val="410D6E30"/>
    <w:rsid w:val="41412351"/>
    <w:rsid w:val="4147566D"/>
    <w:rsid w:val="414E6719"/>
    <w:rsid w:val="415A0A67"/>
    <w:rsid w:val="416D4D8C"/>
    <w:rsid w:val="416D4E4C"/>
    <w:rsid w:val="417855F7"/>
    <w:rsid w:val="417A46D4"/>
    <w:rsid w:val="418F600A"/>
    <w:rsid w:val="41904DF6"/>
    <w:rsid w:val="419345E1"/>
    <w:rsid w:val="41940CDA"/>
    <w:rsid w:val="41AA2509"/>
    <w:rsid w:val="41B16EBC"/>
    <w:rsid w:val="41CF0BCF"/>
    <w:rsid w:val="41D427C4"/>
    <w:rsid w:val="41DF489C"/>
    <w:rsid w:val="41E04248"/>
    <w:rsid w:val="42042CCA"/>
    <w:rsid w:val="420A743F"/>
    <w:rsid w:val="42451FBA"/>
    <w:rsid w:val="42812A86"/>
    <w:rsid w:val="429736E4"/>
    <w:rsid w:val="42B56350"/>
    <w:rsid w:val="42C20CAF"/>
    <w:rsid w:val="42FE0D52"/>
    <w:rsid w:val="430640AA"/>
    <w:rsid w:val="430E5AD6"/>
    <w:rsid w:val="43104C13"/>
    <w:rsid w:val="432C5504"/>
    <w:rsid w:val="43365770"/>
    <w:rsid w:val="43482809"/>
    <w:rsid w:val="43727FC7"/>
    <w:rsid w:val="43794BD1"/>
    <w:rsid w:val="439006C3"/>
    <w:rsid w:val="43934B60"/>
    <w:rsid w:val="4396542E"/>
    <w:rsid w:val="43AA712C"/>
    <w:rsid w:val="43AB5B35"/>
    <w:rsid w:val="43D11CE6"/>
    <w:rsid w:val="440A64BF"/>
    <w:rsid w:val="444D670B"/>
    <w:rsid w:val="444E11F4"/>
    <w:rsid w:val="448B2AB9"/>
    <w:rsid w:val="44BA0BF0"/>
    <w:rsid w:val="44C409AF"/>
    <w:rsid w:val="44CB6471"/>
    <w:rsid w:val="44D70159"/>
    <w:rsid w:val="450076AD"/>
    <w:rsid w:val="4504471C"/>
    <w:rsid w:val="45156827"/>
    <w:rsid w:val="45263750"/>
    <w:rsid w:val="4530214F"/>
    <w:rsid w:val="453840A2"/>
    <w:rsid w:val="454C4C9E"/>
    <w:rsid w:val="454C510A"/>
    <w:rsid w:val="455A55B1"/>
    <w:rsid w:val="4565155C"/>
    <w:rsid w:val="4567448A"/>
    <w:rsid w:val="45791C6C"/>
    <w:rsid w:val="45974ABD"/>
    <w:rsid w:val="45991E6B"/>
    <w:rsid w:val="45997458"/>
    <w:rsid w:val="45AF2941"/>
    <w:rsid w:val="45B95404"/>
    <w:rsid w:val="45C00C1C"/>
    <w:rsid w:val="45C64D7A"/>
    <w:rsid w:val="45CC15B0"/>
    <w:rsid w:val="45D05F89"/>
    <w:rsid w:val="45F75F2C"/>
    <w:rsid w:val="460008CE"/>
    <w:rsid w:val="46107943"/>
    <w:rsid w:val="461B60BF"/>
    <w:rsid w:val="46212412"/>
    <w:rsid w:val="46212973"/>
    <w:rsid w:val="462430DE"/>
    <w:rsid w:val="462431C5"/>
    <w:rsid w:val="46244F73"/>
    <w:rsid w:val="46343186"/>
    <w:rsid w:val="46362EF9"/>
    <w:rsid w:val="46A301C2"/>
    <w:rsid w:val="46A54CB5"/>
    <w:rsid w:val="46A83331"/>
    <w:rsid w:val="46B215A3"/>
    <w:rsid w:val="46BC0A08"/>
    <w:rsid w:val="46C24488"/>
    <w:rsid w:val="46C36755"/>
    <w:rsid w:val="46D027AA"/>
    <w:rsid w:val="46FE7656"/>
    <w:rsid w:val="47092F16"/>
    <w:rsid w:val="47262CD6"/>
    <w:rsid w:val="47273729"/>
    <w:rsid w:val="47396823"/>
    <w:rsid w:val="476202FD"/>
    <w:rsid w:val="476D5EBB"/>
    <w:rsid w:val="47711558"/>
    <w:rsid w:val="47723768"/>
    <w:rsid w:val="478D3B1B"/>
    <w:rsid w:val="47B0799F"/>
    <w:rsid w:val="47C47B45"/>
    <w:rsid w:val="47CD33E9"/>
    <w:rsid w:val="47D9353C"/>
    <w:rsid w:val="47E54F55"/>
    <w:rsid w:val="47EA7AF7"/>
    <w:rsid w:val="47F6293F"/>
    <w:rsid w:val="47F62EEF"/>
    <w:rsid w:val="47F941DE"/>
    <w:rsid w:val="47FA3E97"/>
    <w:rsid w:val="47FE50D5"/>
    <w:rsid w:val="48066DAD"/>
    <w:rsid w:val="48162878"/>
    <w:rsid w:val="481655AD"/>
    <w:rsid w:val="482A25E9"/>
    <w:rsid w:val="483337FA"/>
    <w:rsid w:val="484463AC"/>
    <w:rsid w:val="48961FF5"/>
    <w:rsid w:val="48A25DD0"/>
    <w:rsid w:val="48B81B49"/>
    <w:rsid w:val="48DD2962"/>
    <w:rsid w:val="48EF5006"/>
    <w:rsid w:val="493B4786"/>
    <w:rsid w:val="49490BB1"/>
    <w:rsid w:val="494B36B3"/>
    <w:rsid w:val="495F62C2"/>
    <w:rsid w:val="49692915"/>
    <w:rsid w:val="498107BD"/>
    <w:rsid w:val="499769D5"/>
    <w:rsid w:val="49BE33C3"/>
    <w:rsid w:val="49CC218C"/>
    <w:rsid w:val="49F35A38"/>
    <w:rsid w:val="4A3847B0"/>
    <w:rsid w:val="4A3F772C"/>
    <w:rsid w:val="4A492B02"/>
    <w:rsid w:val="4A584C12"/>
    <w:rsid w:val="4A6603DD"/>
    <w:rsid w:val="4A6E7668"/>
    <w:rsid w:val="4A745D11"/>
    <w:rsid w:val="4ABC719B"/>
    <w:rsid w:val="4AE0759D"/>
    <w:rsid w:val="4B040E73"/>
    <w:rsid w:val="4B054806"/>
    <w:rsid w:val="4B323DAD"/>
    <w:rsid w:val="4B3E2640"/>
    <w:rsid w:val="4B6C0448"/>
    <w:rsid w:val="4B7B6955"/>
    <w:rsid w:val="4B7F49FA"/>
    <w:rsid w:val="4B911AF6"/>
    <w:rsid w:val="4B9210A7"/>
    <w:rsid w:val="4B983D0E"/>
    <w:rsid w:val="4B992729"/>
    <w:rsid w:val="4BB66672"/>
    <w:rsid w:val="4BBB4082"/>
    <w:rsid w:val="4BF14E5C"/>
    <w:rsid w:val="4BF6455A"/>
    <w:rsid w:val="4C124497"/>
    <w:rsid w:val="4C2C72E7"/>
    <w:rsid w:val="4C5B7215"/>
    <w:rsid w:val="4C6A36A5"/>
    <w:rsid w:val="4C6F4321"/>
    <w:rsid w:val="4C6F4A09"/>
    <w:rsid w:val="4C956D80"/>
    <w:rsid w:val="4CA93838"/>
    <w:rsid w:val="4CB2203E"/>
    <w:rsid w:val="4CE0596C"/>
    <w:rsid w:val="4CE4468D"/>
    <w:rsid w:val="4CF3569F"/>
    <w:rsid w:val="4CFB6914"/>
    <w:rsid w:val="4D221A5E"/>
    <w:rsid w:val="4D2F1ADF"/>
    <w:rsid w:val="4D364D90"/>
    <w:rsid w:val="4D397E04"/>
    <w:rsid w:val="4D5B3007"/>
    <w:rsid w:val="4D6604E2"/>
    <w:rsid w:val="4D83282D"/>
    <w:rsid w:val="4D850510"/>
    <w:rsid w:val="4D851DF6"/>
    <w:rsid w:val="4D8C33FE"/>
    <w:rsid w:val="4DB91463"/>
    <w:rsid w:val="4DC64642"/>
    <w:rsid w:val="4DD26CD8"/>
    <w:rsid w:val="4DD51249"/>
    <w:rsid w:val="4DE16570"/>
    <w:rsid w:val="4DEF505E"/>
    <w:rsid w:val="4E1C29D4"/>
    <w:rsid w:val="4E1F77D0"/>
    <w:rsid w:val="4E203D1D"/>
    <w:rsid w:val="4E36503C"/>
    <w:rsid w:val="4E3D30FD"/>
    <w:rsid w:val="4E663FE6"/>
    <w:rsid w:val="4E775A65"/>
    <w:rsid w:val="4E7D306C"/>
    <w:rsid w:val="4E85443D"/>
    <w:rsid w:val="4EA330F5"/>
    <w:rsid w:val="4EB175C0"/>
    <w:rsid w:val="4EB90223"/>
    <w:rsid w:val="4EBC4081"/>
    <w:rsid w:val="4ED02D42"/>
    <w:rsid w:val="4ED56898"/>
    <w:rsid w:val="4EE36998"/>
    <w:rsid w:val="4F377CE8"/>
    <w:rsid w:val="4F42117D"/>
    <w:rsid w:val="4F48599F"/>
    <w:rsid w:val="4F4F2BC1"/>
    <w:rsid w:val="4F604C84"/>
    <w:rsid w:val="4F7A0880"/>
    <w:rsid w:val="4F7F6130"/>
    <w:rsid w:val="4F96706C"/>
    <w:rsid w:val="4F9D7B44"/>
    <w:rsid w:val="4FA060F5"/>
    <w:rsid w:val="4FBA2288"/>
    <w:rsid w:val="4FC915F8"/>
    <w:rsid w:val="4FD55530"/>
    <w:rsid w:val="4FE70DC0"/>
    <w:rsid w:val="4FEF71FB"/>
    <w:rsid w:val="50025973"/>
    <w:rsid w:val="502E52C3"/>
    <w:rsid w:val="50421741"/>
    <w:rsid w:val="504E4277"/>
    <w:rsid w:val="5064547C"/>
    <w:rsid w:val="506F3038"/>
    <w:rsid w:val="50952DF2"/>
    <w:rsid w:val="509E1DC6"/>
    <w:rsid w:val="50EA74A0"/>
    <w:rsid w:val="50F07683"/>
    <w:rsid w:val="50FA7102"/>
    <w:rsid w:val="511F03FB"/>
    <w:rsid w:val="512B3E20"/>
    <w:rsid w:val="51316332"/>
    <w:rsid w:val="516C70A1"/>
    <w:rsid w:val="519012EF"/>
    <w:rsid w:val="51AD54F6"/>
    <w:rsid w:val="51C15D6C"/>
    <w:rsid w:val="51D05E86"/>
    <w:rsid w:val="521D3114"/>
    <w:rsid w:val="52372CD0"/>
    <w:rsid w:val="523875ED"/>
    <w:rsid w:val="526826F8"/>
    <w:rsid w:val="5269091F"/>
    <w:rsid w:val="52720E14"/>
    <w:rsid w:val="52A36F9E"/>
    <w:rsid w:val="52DD09D8"/>
    <w:rsid w:val="52EE08C8"/>
    <w:rsid w:val="5302247A"/>
    <w:rsid w:val="532C190B"/>
    <w:rsid w:val="53315390"/>
    <w:rsid w:val="533A5121"/>
    <w:rsid w:val="53425BB0"/>
    <w:rsid w:val="53430A03"/>
    <w:rsid w:val="534B0C47"/>
    <w:rsid w:val="5360776D"/>
    <w:rsid w:val="5371731E"/>
    <w:rsid w:val="537261AA"/>
    <w:rsid w:val="53754EBF"/>
    <w:rsid w:val="53985582"/>
    <w:rsid w:val="53B81D46"/>
    <w:rsid w:val="53C90865"/>
    <w:rsid w:val="53DE5962"/>
    <w:rsid w:val="53E411F3"/>
    <w:rsid w:val="54105A60"/>
    <w:rsid w:val="544D59FD"/>
    <w:rsid w:val="54617855"/>
    <w:rsid w:val="546A6B00"/>
    <w:rsid w:val="54754BEC"/>
    <w:rsid w:val="54A31759"/>
    <w:rsid w:val="54B10B69"/>
    <w:rsid w:val="54CE59A1"/>
    <w:rsid w:val="54D357A1"/>
    <w:rsid w:val="54D553E1"/>
    <w:rsid w:val="54FE79E1"/>
    <w:rsid w:val="55003D7E"/>
    <w:rsid w:val="550479F9"/>
    <w:rsid w:val="550D17C0"/>
    <w:rsid w:val="551F09BE"/>
    <w:rsid w:val="554054D5"/>
    <w:rsid w:val="5565242B"/>
    <w:rsid w:val="55714E1D"/>
    <w:rsid w:val="558B0EF2"/>
    <w:rsid w:val="55A345CB"/>
    <w:rsid w:val="55F301F8"/>
    <w:rsid w:val="55F3226C"/>
    <w:rsid w:val="55F71271"/>
    <w:rsid w:val="56195DC5"/>
    <w:rsid w:val="561B7A15"/>
    <w:rsid w:val="56205935"/>
    <w:rsid w:val="562B40FC"/>
    <w:rsid w:val="5671771B"/>
    <w:rsid w:val="5675145B"/>
    <w:rsid w:val="568610CC"/>
    <w:rsid w:val="568E4EED"/>
    <w:rsid w:val="569F5204"/>
    <w:rsid w:val="56A40F80"/>
    <w:rsid w:val="56C02A96"/>
    <w:rsid w:val="56D80C8A"/>
    <w:rsid w:val="56DB78D0"/>
    <w:rsid w:val="56DE2F1C"/>
    <w:rsid w:val="56E30A23"/>
    <w:rsid w:val="56F805D3"/>
    <w:rsid w:val="56F9482C"/>
    <w:rsid w:val="57250B4B"/>
    <w:rsid w:val="572F2122"/>
    <w:rsid w:val="572F3778"/>
    <w:rsid w:val="5732282D"/>
    <w:rsid w:val="57513E3C"/>
    <w:rsid w:val="575E71D1"/>
    <w:rsid w:val="57656AAF"/>
    <w:rsid w:val="57780285"/>
    <w:rsid w:val="57803FD4"/>
    <w:rsid w:val="57895841"/>
    <w:rsid w:val="57A44166"/>
    <w:rsid w:val="57AA5AC8"/>
    <w:rsid w:val="57CB7122"/>
    <w:rsid w:val="57EF7B8B"/>
    <w:rsid w:val="580206F4"/>
    <w:rsid w:val="580F49BF"/>
    <w:rsid w:val="5816406A"/>
    <w:rsid w:val="581F69C6"/>
    <w:rsid w:val="58274104"/>
    <w:rsid w:val="58286FB6"/>
    <w:rsid w:val="5859799D"/>
    <w:rsid w:val="58BB51AE"/>
    <w:rsid w:val="58C67724"/>
    <w:rsid w:val="58F74373"/>
    <w:rsid w:val="58F9403E"/>
    <w:rsid w:val="590D5D3B"/>
    <w:rsid w:val="59240A16"/>
    <w:rsid w:val="592B2BC8"/>
    <w:rsid w:val="5932697F"/>
    <w:rsid w:val="5945570A"/>
    <w:rsid w:val="595B54FE"/>
    <w:rsid w:val="596504DB"/>
    <w:rsid w:val="597746E4"/>
    <w:rsid w:val="597F7FA7"/>
    <w:rsid w:val="59843CBF"/>
    <w:rsid w:val="598A1022"/>
    <w:rsid w:val="599B0ABE"/>
    <w:rsid w:val="59B44E5D"/>
    <w:rsid w:val="59B93578"/>
    <w:rsid w:val="59C60319"/>
    <w:rsid w:val="5A0A7C1A"/>
    <w:rsid w:val="5A274BDA"/>
    <w:rsid w:val="5A2A0227"/>
    <w:rsid w:val="5A4A27BF"/>
    <w:rsid w:val="5A4A7AA9"/>
    <w:rsid w:val="5A513A05"/>
    <w:rsid w:val="5A636A25"/>
    <w:rsid w:val="5A6D518B"/>
    <w:rsid w:val="5A787A17"/>
    <w:rsid w:val="5A795462"/>
    <w:rsid w:val="5A865B96"/>
    <w:rsid w:val="5A94486F"/>
    <w:rsid w:val="5AAE2C06"/>
    <w:rsid w:val="5B0E0A6F"/>
    <w:rsid w:val="5B101B12"/>
    <w:rsid w:val="5B314B9C"/>
    <w:rsid w:val="5B4A73F1"/>
    <w:rsid w:val="5B4F5494"/>
    <w:rsid w:val="5B5267B9"/>
    <w:rsid w:val="5B5F034D"/>
    <w:rsid w:val="5B64318C"/>
    <w:rsid w:val="5B7948A2"/>
    <w:rsid w:val="5B7A2A80"/>
    <w:rsid w:val="5B944500"/>
    <w:rsid w:val="5B9E5C51"/>
    <w:rsid w:val="5BC05588"/>
    <w:rsid w:val="5BC414F3"/>
    <w:rsid w:val="5BCC5A39"/>
    <w:rsid w:val="5BD42E24"/>
    <w:rsid w:val="5BDC498A"/>
    <w:rsid w:val="5BE21F66"/>
    <w:rsid w:val="5BFB37A6"/>
    <w:rsid w:val="5C240C7B"/>
    <w:rsid w:val="5C7D5F2F"/>
    <w:rsid w:val="5C8C6F77"/>
    <w:rsid w:val="5C8D51F6"/>
    <w:rsid w:val="5CA223D5"/>
    <w:rsid w:val="5CA52AF5"/>
    <w:rsid w:val="5CB963A2"/>
    <w:rsid w:val="5CC41C0D"/>
    <w:rsid w:val="5CC67A67"/>
    <w:rsid w:val="5CCE1A7B"/>
    <w:rsid w:val="5CE42D12"/>
    <w:rsid w:val="5CE60D7D"/>
    <w:rsid w:val="5CF138A4"/>
    <w:rsid w:val="5D114E9F"/>
    <w:rsid w:val="5D186A5C"/>
    <w:rsid w:val="5D2006AE"/>
    <w:rsid w:val="5D5C7CF4"/>
    <w:rsid w:val="5D5D7AEC"/>
    <w:rsid w:val="5D7719D5"/>
    <w:rsid w:val="5D811BDF"/>
    <w:rsid w:val="5DA21489"/>
    <w:rsid w:val="5DB07B64"/>
    <w:rsid w:val="5DC1140A"/>
    <w:rsid w:val="5DDE2965"/>
    <w:rsid w:val="5DE3706A"/>
    <w:rsid w:val="5DE55D4F"/>
    <w:rsid w:val="5DF24F34"/>
    <w:rsid w:val="5E0B635A"/>
    <w:rsid w:val="5E1F1A63"/>
    <w:rsid w:val="5E294CEB"/>
    <w:rsid w:val="5E6A32E8"/>
    <w:rsid w:val="5E742CA5"/>
    <w:rsid w:val="5E9203D1"/>
    <w:rsid w:val="5EA11D24"/>
    <w:rsid w:val="5ED02091"/>
    <w:rsid w:val="5ED02A30"/>
    <w:rsid w:val="5EE17A4E"/>
    <w:rsid w:val="5EEB2E56"/>
    <w:rsid w:val="5EF12061"/>
    <w:rsid w:val="5EF54261"/>
    <w:rsid w:val="5EF66F80"/>
    <w:rsid w:val="5EFD3DCB"/>
    <w:rsid w:val="5F0C25F1"/>
    <w:rsid w:val="5F0C439F"/>
    <w:rsid w:val="5F1E7B5D"/>
    <w:rsid w:val="5F282312"/>
    <w:rsid w:val="5F323D85"/>
    <w:rsid w:val="5F503A97"/>
    <w:rsid w:val="5F5919A6"/>
    <w:rsid w:val="5F5D1498"/>
    <w:rsid w:val="5F82440E"/>
    <w:rsid w:val="5F895057"/>
    <w:rsid w:val="5F940A3E"/>
    <w:rsid w:val="5F990328"/>
    <w:rsid w:val="5FB05672"/>
    <w:rsid w:val="5FC133DB"/>
    <w:rsid w:val="5FE377F5"/>
    <w:rsid w:val="5FE408D5"/>
    <w:rsid w:val="5FEE514E"/>
    <w:rsid w:val="60210B27"/>
    <w:rsid w:val="602430D5"/>
    <w:rsid w:val="60353E49"/>
    <w:rsid w:val="603C0211"/>
    <w:rsid w:val="60581AFC"/>
    <w:rsid w:val="605C661D"/>
    <w:rsid w:val="606E36B0"/>
    <w:rsid w:val="60864E22"/>
    <w:rsid w:val="60992FAF"/>
    <w:rsid w:val="60AF76D8"/>
    <w:rsid w:val="60B011C2"/>
    <w:rsid w:val="610B3038"/>
    <w:rsid w:val="614E5CC5"/>
    <w:rsid w:val="6157463B"/>
    <w:rsid w:val="617E4947"/>
    <w:rsid w:val="618C3680"/>
    <w:rsid w:val="618D2173"/>
    <w:rsid w:val="619157A0"/>
    <w:rsid w:val="61AD7FAC"/>
    <w:rsid w:val="61B9082C"/>
    <w:rsid w:val="61D06884"/>
    <w:rsid w:val="61DA5A55"/>
    <w:rsid w:val="620039AE"/>
    <w:rsid w:val="62012E19"/>
    <w:rsid w:val="620B624F"/>
    <w:rsid w:val="620C4DF8"/>
    <w:rsid w:val="623954AB"/>
    <w:rsid w:val="62552691"/>
    <w:rsid w:val="629923ED"/>
    <w:rsid w:val="62A22034"/>
    <w:rsid w:val="62F87114"/>
    <w:rsid w:val="62FE72D8"/>
    <w:rsid w:val="632259C4"/>
    <w:rsid w:val="63263D0D"/>
    <w:rsid w:val="634D2D5C"/>
    <w:rsid w:val="63632B45"/>
    <w:rsid w:val="6373260F"/>
    <w:rsid w:val="63856413"/>
    <w:rsid w:val="63A23524"/>
    <w:rsid w:val="63AD54D7"/>
    <w:rsid w:val="63D201A3"/>
    <w:rsid w:val="63D83E7C"/>
    <w:rsid w:val="63DF6D3D"/>
    <w:rsid w:val="63F034EC"/>
    <w:rsid w:val="64003D27"/>
    <w:rsid w:val="640F4477"/>
    <w:rsid w:val="644763D7"/>
    <w:rsid w:val="64505A3F"/>
    <w:rsid w:val="64610CE9"/>
    <w:rsid w:val="64623999"/>
    <w:rsid w:val="646E04C5"/>
    <w:rsid w:val="64945C4D"/>
    <w:rsid w:val="649548FB"/>
    <w:rsid w:val="64AD388C"/>
    <w:rsid w:val="64B60830"/>
    <w:rsid w:val="64B654D9"/>
    <w:rsid w:val="64C060ED"/>
    <w:rsid w:val="64CE650D"/>
    <w:rsid w:val="64D81CF5"/>
    <w:rsid w:val="65420BAE"/>
    <w:rsid w:val="65440656"/>
    <w:rsid w:val="65520C3E"/>
    <w:rsid w:val="65863C10"/>
    <w:rsid w:val="6590775B"/>
    <w:rsid w:val="659F5F6D"/>
    <w:rsid w:val="65A45561"/>
    <w:rsid w:val="65B91B53"/>
    <w:rsid w:val="65C65DFC"/>
    <w:rsid w:val="65E816C2"/>
    <w:rsid w:val="66291CDA"/>
    <w:rsid w:val="66324275"/>
    <w:rsid w:val="6633482D"/>
    <w:rsid w:val="663D6FFE"/>
    <w:rsid w:val="66582833"/>
    <w:rsid w:val="667557A4"/>
    <w:rsid w:val="6677281C"/>
    <w:rsid w:val="669F59AB"/>
    <w:rsid w:val="669F5C50"/>
    <w:rsid w:val="66AD46B9"/>
    <w:rsid w:val="66C07BE6"/>
    <w:rsid w:val="66C66E69"/>
    <w:rsid w:val="66E9246C"/>
    <w:rsid w:val="66F67E0E"/>
    <w:rsid w:val="66FB682C"/>
    <w:rsid w:val="670341D1"/>
    <w:rsid w:val="67395B31"/>
    <w:rsid w:val="673D3AD3"/>
    <w:rsid w:val="67447F61"/>
    <w:rsid w:val="67484C14"/>
    <w:rsid w:val="67564DCC"/>
    <w:rsid w:val="675A18E7"/>
    <w:rsid w:val="676E3F85"/>
    <w:rsid w:val="67AA791C"/>
    <w:rsid w:val="67F24A7A"/>
    <w:rsid w:val="680C4CB4"/>
    <w:rsid w:val="681253D0"/>
    <w:rsid w:val="681F3395"/>
    <w:rsid w:val="682D5F54"/>
    <w:rsid w:val="68464F3B"/>
    <w:rsid w:val="684A64D9"/>
    <w:rsid w:val="685A6D95"/>
    <w:rsid w:val="68656D1C"/>
    <w:rsid w:val="68731520"/>
    <w:rsid w:val="689A0C6D"/>
    <w:rsid w:val="689B44E8"/>
    <w:rsid w:val="68A32F09"/>
    <w:rsid w:val="68AD274F"/>
    <w:rsid w:val="68B26060"/>
    <w:rsid w:val="68B94F59"/>
    <w:rsid w:val="68BE670A"/>
    <w:rsid w:val="68C0194D"/>
    <w:rsid w:val="68C65D6E"/>
    <w:rsid w:val="68DA5ADD"/>
    <w:rsid w:val="68DC1A4F"/>
    <w:rsid w:val="68F2680E"/>
    <w:rsid w:val="68FC0C56"/>
    <w:rsid w:val="69107A14"/>
    <w:rsid w:val="691F344E"/>
    <w:rsid w:val="6924250F"/>
    <w:rsid w:val="692549DB"/>
    <w:rsid w:val="69271690"/>
    <w:rsid w:val="693B7832"/>
    <w:rsid w:val="694C0E55"/>
    <w:rsid w:val="6959691A"/>
    <w:rsid w:val="696033A5"/>
    <w:rsid w:val="696533DD"/>
    <w:rsid w:val="696973C3"/>
    <w:rsid w:val="696F027E"/>
    <w:rsid w:val="698E4AF7"/>
    <w:rsid w:val="69A16F46"/>
    <w:rsid w:val="69C55233"/>
    <w:rsid w:val="69D33FBE"/>
    <w:rsid w:val="69EB0D20"/>
    <w:rsid w:val="6A0D1184"/>
    <w:rsid w:val="6A37195A"/>
    <w:rsid w:val="6A624D6D"/>
    <w:rsid w:val="6A636D66"/>
    <w:rsid w:val="6A721EA2"/>
    <w:rsid w:val="6A8C667E"/>
    <w:rsid w:val="6A932B4B"/>
    <w:rsid w:val="6AC83870"/>
    <w:rsid w:val="6AE866A8"/>
    <w:rsid w:val="6AF619D0"/>
    <w:rsid w:val="6AFE299C"/>
    <w:rsid w:val="6B0146A4"/>
    <w:rsid w:val="6B051D29"/>
    <w:rsid w:val="6B087F5F"/>
    <w:rsid w:val="6B0D02EB"/>
    <w:rsid w:val="6B676306"/>
    <w:rsid w:val="6B6D718E"/>
    <w:rsid w:val="6B711B7A"/>
    <w:rsid w:val="6B755260"/>
    <w:rsid w:val="6B7632CC"/>
    <w:rsid w:val="6B8E2D0B"/>
    <w:rsid w:val="6BA07E6A"/>
    <w:rsid w:val="6BC8556D"/>
    <w:rsid w:val="6BD43669"/>
    <w:rsid w:val="6BE8725E"/>
    <w:rsid w:val="6BE97136"/>
    <w:rsid w:val="6BF72FC1"/>
    <w:rsid w:val="6C0A2840"/>
    <w:rsid w:val="6C101972"/>
    <w:rsid w:val="6C152647"/>
    <w:rsid w:val="6C156D2D"/>
    <w:rsid w:val="6C187585"/>
    <w:rsid w:val="6C255D33"/>
    <w:rsid w:val="6C2F6077"/>
    <w:rsid w:val="6C3345BF"/>
    <w:rsid w:val="6C4433CA"/>
    <w:rsid w:val="6C6608D6"/>
    <w:rsid w:val="6C7D5484"/>
    <w:rsid w:val="6C9852E5"/>
    <w:rsid w:val="6C992705"/>
    <w:rsid w:val="6CD1181E"/>
    <w:rsid w:val="6CD858AC"/>
    <w:rsid w:val="6CF2276F"/>
    <w:rsid w:val="6CFA7D7F"/>
    <w:rsid w:val="6CFB33C6"/>
    <w:rsid w:val="6CFC5A53"/>
    <w:rsid w:val="6D374CDD"/>
    <w:rsid w:val="6D603BDC"/>
    <w:rsid w:val="6D66521C"/>
    <w:rsid w:val="6D6B38D7"/>
    <w:rsid w:val="6D6F33E7"/>
    <w:rsid w:val="6D8D7A35"/>
    <w:rsid w:val="6D921C73"/>
    <w:rsid w:val="6DA2484C"/>
    <w:rsid w:val="6DA87988"/>
    <w:rsid w:val="6DBD1347"/>
    <w:rsid w:val="6E0B41E3"/>
    <w:rsid w:val="6E2A7591"/>
    <w:rsid w:val="6E386F5E"/>
    <w:rsid w:val="6E3B2833"/>
    <w:rsid w:val="6E4F523E"/>
    <w:rsid w:val="6E5729A2"/>
    <w:rsid w:val="6E583A1F"/>
    <w:rsid w:val="6E6E472E"/>
    <w:rsid w:val="6E7004A6"/>
    <w:rsid w:val="6E790D0C"/>
    <w:rsid w:val="6E9560FC"/>
    <w:rsid w:val="6E9A4651"/>
    <w:rsid w:val="6E9F6FDD"/>
    <w:rsid w:val="6EAA495D"/>
    <w:rsid w:val="6EAB742B"/>
    <w:rsid w:val="6EAE1C55"/>
    <w:rsid w:val="6EB0558D"/>
    <w:rsid w:val="6EB959B7"/>
    <w:rsid w:val="6EC6113E"/>
    <w:rsid w:val="6EC97476"/>
    <w:rsid w:val="6EE265AE"/>
    <w:rsid w:val="6EFC7F8C"/>
    <w:rsid w:val="6EFF1080"/>
    <w:rsid w:val="6F045092"/>
    <w:rsid w:val="6F0B01CF"/>
    <w:rsid w:val="6F170E2C"/>
    <w:rsid w:val="6F1C670B"/>
    <w:rsid w:val="6F213326"/>
    <w:rsid w:val="6F3A22A7"/>
    <w:rsid w:val="6F45287E"/>
    <w:rsid w:val="6F68200A"/>
    <w:rsid w:val="6F697C94"/>
    <w:rsid w:val="6F702DBF"/>
    <w:rsid w:val="6F85605F"/>
    <w:rsid w:val="6F9970C9"/>
    <w:rsid w:val="6FCE3141"/>
    <w:rsid w:val="6FE253D4"/>
    <w:rsid w:val="6FFA1CBF"/>
    <w:rsid w:val="70191088"/>
    <w:rsid w:val="70212D2F"/>
    <w:rsid w:val="70531535"/>
    <w:rsid w:val="7064228D"/>
    <w:rsid w:val="70866758"/>
    <w:rsid w:val="70935B85"/>
    <w:rsid w:val="70980188"/>
    <w:rsid w:val="70BF0D6E"/>
    <w:rsid w:val="70CA6A0A"/>
    <w:rsid w:val="70D70CB1"/>
    <w:rsid w:val="70E01DD1"/>
    <w:rsid w:val="70F76C5D"/>
    <w:rsid w:val="71146B51"/>
    <w:rsid w:val="71147230"/>
    <w:rsid w:val="71161C74"/>
    <w:rsid w:val="71186BD3"/>
    <w:rsid w:val="71597165"/>
    <w:rsid w:val="717256AD"/>
    <w:rsid w:val="718544F1"/>
    <w:rsid w:val="71940950"/>
    <w:rsid w:val="71976406"/>
    <w:rsid w:val="71A07E50"/>
    <w:rsid w:val="71BB412E"/>
    <w:rsid w:val="71CA611F"/>
    <w:rsid w:val="71DC09E8"/>
    <w:rsid w:val="71DE2066"/>
    <w:rsid w:val="71E95523"/>
    <w:rsid w:val="720A152D"/>
    <w:rsid w:val="721147C0"/>
    <w:rsid w:val="721F1D01"/>
    <w:rsid w:val="7222649A"/>
    <w:rsid w:val="724A2756"/>
    <w:rsid w:val="7272515D"/>
    <w:rsid w:val="72D11304"/>
    <w:rsid w:val="72E17BC5"/>
    <w:rsid w:val="72EF0902"/>
    <w:rsid w:val="72F07E08"/>
    <w:rsid w:val="73005B71"/>
    <w:rsid w:val="730C4186"/>
    <w:rsid w:val="7341102A"/>
    <w:rsid w:val="73504D4A"/>
    <w:rsid w:val="736B0572"/>
    <w:rsid w:val="736E51D0"/>
    <w:rsid w:val="737974C3"/>
    <w:rsid w:val="738A77E6"/>
    <w:rsid w:val="73A17E6A"/>
    <w:rsid w:val="73C117A4"/>
    <w:rsid w:val="73E16D57"/>
    <w:rsid w:val="73E3397D"/>
    <w:rsid w:val="73EE0AE6"/>
    <w:rsid w:val="74515CAA"/>
    <w:rsid w:val="7453624B"/>
    <w:rsid w:val="746049BA"/>
    <w:rsid w:val="74616509"/>
    <w:rsid w:val="74640AAD"/>
    <w:rsid w:val="74874E5A"/>
    <w:rsid w:val="74A227F4"/>
    <w:rsid w:val="74A2568B"/>
    <w:rsid w:val="74BA5E3A"/>
    <w:rsid w:val="74C47F76"/>
    <w:rsid w:val="74FD32BB"/>
    <w:rsid w:val="75085535"/>
    <w:rsid w:val="753D4FBB"/>
    <w:rsid w:val="754E3DD7"/>
    <w:rsid w:val="7557416E"/>
    <w:rsid w:val="755B6AA4"/>
    <w:rsid w:val="7573132B"/>
    <w:rsid w:val="75766165"/>
    <w:rsid w:val="757934F0"/>
    <w:rsid w:val="757939E9"/>
    <w:rsid w:val="75884663"/>
    <w:rsid w:val="758F711B"/>
    <w:rsid w:val="759C7DD3"/>
    <w:rsid w:val="75C80FD3"/>
    <w:rsid w:val="75DC3A8B"/>
    <w:rsid w:val="75FE45EA"/>
    <w:rsid w:val="76021882"/>
    <w:rsid w:val="76160679"/>
    <w:rsid w:val="761715C6"/>
    <w:rsid w:val="76393D81"/>
    <w:rsid w:val="766331F3"/>
    <w:rsid w:val="766574D1"/>
    <w:rsid w:val="767C3DB4"/>
    <w:rsid w:val="768F2CE9"/>
    <w:rsid w:val="76D307C3"/>
    <w:rsid w:val="76DE1045"/>
    <w:rsid w:val="771463D1"/>
    <w:rsid w:val="774A39DA"/>
    <w:rsid w:val="776C147A"/>
    <w:rsid w:val="77777CEB"/>
    <w:rsid w:val="779B02BA"/>
    <w:rsid w:val="77B77F39"/>
    <w:rsid w:val="77CA4292"/>
    <w:rsid w:val="77D64484"/>
    <w:rsid w:val="77E922B4"/>
    <w:rsid w:val="78052150"/>
    <w:rsid w:val="78081990"/>
    <w:rsid w:val="781A58E7"/>
    <w:rsid w:val="7833145C"/>
    <w:rsid w:val="78351855"/>
    <w:rsid w:val="784106DE"/>
    <w:rsid w:val="786258A4"/>
    <w:rsid w:val="787A60AB"/>
    <w:rsid w:val="78811502"/>
    <w:rsid w:val="78B62B10"/>
    <w:rsid w:val="78CE1FD7"/>
    <w:rsid w:val="78D0463B"/>
    <w:rsid w:val="78FE7CCB"/>
    <w:rsid w:val="7906595E"/>
    <w:rsid w:val="79156386"/>
    <w:rsid w:val="7917686A"/>
    <w:rsid w:val="79270E1D"/>
    <w:rsid w:val="794B7201"/>
    <w:rsid w:val="795B0ABE"/>
    <w:rsid w:val="796E79CC"/>
    <w:rsid w:val="796E7CD8"/>
    <w:rsid w:val="79872B48"/>
    <w:rsid w:val="798A42B2"/>
    <w:rsid w:val="798B1783"/>
    <w:rsid w:val="79B2108A"/>
    <w:rsid w:val="79DC025D"/>
    <w:rsid w:val="7A1C281D"/>
    <w:rsid w:val="7A2300C1"/>
    <w:rsid w:val="7A291E51"/>
    <w:rsid w:val="7A417E6A"/>
    <w:rsid w:val="7A92024C"/>
    <w:rsid w:val="7A98347A"/>
    <w:rsid w:val="7AA16ABA"/>
    <w:rsid w:val="7AA222D1"/>
    <w:rsid w:val="7AAE6C33"/>
    <w:rsid w:val="7AB67B89"/>
    <w:rsid w:val="7B0B5BD1"/>
    <w:rsid w:val="7B312D12"/>
    <w:rsid w:val="7B930658"/>
    <w:rsid w:val="7B953190"/>
    <w:rsid w:val="7BA53398"/>
    <w:rsid w:val="7BBD0551"/>
    <w:rsid w:val="7BC71689"/>
    <w:rsid w:val="7BE20360"/>
    <w:rsid w:val="7BE20509"/>
    <w:rsid w:val="7BF6111E"/>
    <w:rsid w:val="7C014E34"/>
    <w:rsid w:val="7C1A1A2B"/>
    <w:rsid w:val="7C340082"/>
    <w:rsid w:val="7C343E95"/>
    <w:rsid w:val="7C435CA9"/>
    <w:rsid w:val="7C78688F"/>
    <w:rsid w:val="7C7D390E"/>
    <w:rsid w:val="7C867510"/>
    <w:rsid w:val="7C9E2682"/>
    <w:rsid w:val="7CC50BC4"/>
    <w:rsid w:val="7CF01DBB"/>
    <w:rsid w:val="7CF510C4"/>
    <w:rsid w:val="7CF93C5A"/>
    <w:rsid w:val="7D0A41BC"/>
    <w:rsid w:val="7D21376C"/>
    <w:rsid w:val="7D221505"/>
    <w:rsid w:val="7D622331"/>
    <w:rsid w:val="7D8B198E"/>
    <w:rsid w:val="7D934831"/>
    <w:rsid w:val="7DA57DF5"/>
    <w:rsid w:val="7DB84D2F"/>
    <w:rsid w:val="7DD75B87"/>
    <w:rsid w:val="7DFC7E2B"/>
    <w:rsid w:val="7E122B46"/>
    <w:rsid w:val="7E262275"/>
    <w:rsid w:val="7E2676D0"/>
    <w:rsid w:val="7E4F73AA"/>
    <w:rsid w:val="7E5E2466"/>
    <w:rsid w:val="7E654A6D"/>
    <w:rsid w:val="7E74200D"/>
    <w:rsid w:val="7E7B647C"/>
    <w:rsid w:val="7E7B6F9A"/>
    <w:rsid w:val="7E9B05EC"/>
    <w:rsid w:val="7EA11AEE"/>
    <w:rsid w:val="7EA22277"/>
    <w:rsid w:val="7EAF6DC9"/>
    <w:rsid w:val="7EB825D9"/>
    <w:rsid w:val="7EC63541"/>
    <w:rsid w:val="7EED4B13"/>
    <w:rsid w:val="7F385010"/>
    <w:rsid w:val="7F8B1A78"/>
    <w:rsid w:val="7FA418D8"/>
    <w:rsid w:val="7FA92784"/>
    <w:rsid w:val="7FDD570F"/>
    <w:rsid w:val="7FE87C3E"/>
    <w:rsid w:val="7FFA351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4">
    <w:name w:val="heading 1"/>
    <w:basedOn w:val="1"/>
    <w:next w:val="1"/>
    <w:link w:val="29"/>
    <w:autoRedefine/>
    <w:qFormat/>
    <w:uiPriority w:val="0"/>
    <w:pPr>
      <w:keepNext/>
      <w:keepLines/>
      <w:spacing w:before="120" w:after="120"/>
      <w:jc w:val="center"/>
      <w:outlineLvl w:val="0"/>
    </w:pPr>
    <w:rPr>
      <w:rFonts w:ascii="Calibri" w:hAnsi="Calibri"/>
      <w:b/>
      <w:kern w:val="44"/>
      <w:sz w:val="44"/>
    </w:rPr>
  </w:style>
  <w:style w:type="paragraph" w:styleId="5">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6">
    <w:name w:val="heading 3"/>
    <w:basedOn w:val="1"/>
    <w:next w:val="1"/>
    <w:autoRedefine/>
    <w:qFormat/>
    <w:uiPriority w:val="9"/>
    <w:pPr>
      <w:keepNext/>
      <w:keepLines/>
      <w:spacing w:before="260" w:after="260" w:line="416" w:lineRule="auto"/>
      <w:outlineLvl w:val="2"/>
    </w:pPr>
    <w:rPr>
      <w:rFonts w:ascii="Times New Roman" w:hAnsi="Times New Roman" w:cs="Times New Roman"/>
      <w:b/>
      <w:bCs/>
      <w:sz w:val="32"/>
      <w:szCs w:val="32"/>
    </w:rPr>
  </w:style>
  <w:style w:type="paragraph" w:styleId="7">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5">
    <w:name w:val="Default Paragraph Font"/>
    <w:autoRedefine/>
    <w:unhideWhenUsed/>
    <w:qFormat/>
    <w:uiPriority w:val="1"/>
  </w:style>
  <w:style w:type="table" w:default="1" w:styleId="23">
    <w:name w:val="Normal Table"/>
    <w:autoRedefin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next w:val="3"/>
    <w:link w:val="32"/>
    <w:autoRedefine/>
    <w:qFormat/>
    <w:uiPriority w:val="0"/>
    <w:pPr>
      <w:keepNext w:val="0"/>
      <w:keepLines w:val="0"/>
      <w:widowControl w:val="0"/>
      <w:suppressLineNumbers w:val="0"/>
      <w:spacing w:before="0" w:beforeAutospacing="0" w:after="12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3">
    <w:name w:val="Default"/>
    <w:next w:val="1"/>
    <w:autoRedefine/>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paragraph" w:styleId="8">
    <w:name w:val="Normal Indent"/>
    <w:basedOn w:val="1"/>
    <w:autoRedefine/>
    <w:qFormat/>
    <w:uiPriority w:val="0"/>
    <w:pPr>
      <w:ind w:firstLine="420" w:firstLineChars="200"/>
    </w:pPr>
    <w:rPr>
      <w:sz w:val="28"/>
      <w:szCs w:val="24"/>
    </w:rPr>
  </w:style>
  <w:style w:type="paragraph" w:styleId="9">
    <w:name w:val="Document Map"/>
    <w:basedOn w:val="1"/>
    <w:link w:val="30"/>
    <w:autoRedefine/>
    <w:qFormat/>
    <w:uiPriority w:val="0"/>
    <w:rPr>
      <w:rFonts w:ascii="宋体" w:hAnsi="Calibri" w:eastAsia="宋体"/>
      <w:sz w:val="18"/>
      <w:szCs w:val="18"/>
    </w:rPr>
  </w:style>
  <w:style w:type="paragraph" w:styleId="10">
    <w:name w:val="toa heading"/>
    <w:basedOn w:val="1"/>
    <w:next w:val="1"/>
    <w:autoRedefine/>
    <w:unhideWhenUsed/>
    <w:qFormat/>
    <w:uiPriority w:val="99"/>
    <w:pPr>
      <w:spacing w:before="120"/>
    </w:pPr>
    <w:rPr>
      <w:rFonts w:ascii="Cambria" w:hAnsi="Cambria"/>
      <w:sz w:val="24"/>
    </w:rPr>
  </w:style>
  <w:style w:type="paragraph" w:styleId="11">
    <w:name w:val="annotation text"/>
    <w:basedOn w:val="1"/>
    <w:link w:val="31"/>
    <w:autoRedefine/>
    <w:unhideWhenUsed/>
    <w:qFormat/>
    <w:uiPriority w:val="99"/>
    <w:pPr>
      <w:jc w:val="left"/>
    </w:pPr>
    <w:rPr>
      <w:rFonts w:ascii="Calibri" w:hAnsi="Calibri"/>
    </w:rPr>
  </w:style>
  <w:style w:type="paragraph" w:styleId="12">
    <w:name w:val="Body Text Indent"/>
    <w:basedOn w:val="1"/>
    <w:next w:val="13"/>
    <w:link w:val="33"/>
    <w:autoRedefine/>
    <w:qFormat/>
    <w:uiPriority w:val="0"/>
    <w:pPr>
      <w:spacing w:line="360" w:lineRule="auto"/>
      <w:ind w:firstLine="480" w:firstLineChars="200"/>
    </w:pPr>
    <w:rPr>
      <w:rFonts w:ascii="宋体" w:hAnsi="Times New Roman" w:eastAsia="宋体" w:cs="Times New Roman"/>
      <w:sz w:val="24"/>
      <w:szCs w:val="20"/>
    </w:rPr>
  </w:style>
  <w:style w:type="paragraph" w:styleId="13">
    <w:name w:val="envelope return"/>
    <w:basedOn w:val="1"/>
    <w:autoRedefine/>
    <w:qFormat/>
    <w:uiPriority w:val="0"/>
    <w:pPr>
      <w:snapToGrid w:val="0"/>
    </w:pPr>
    <w:rPr>
      <w:rFonts w:ascii="Arial" w:hAnsi="Arial" w:cs="Arial"/>
    </w:rPr>
  </w:style>
  <w:style w:type="paragraph" w:styleId="14">
    <w:name w:val="Plain Text"/>
    <w:basedOn w:val="1"/>
    <w:autoRedefine/>
    <w:qFormat/>
    <w:uiPriority w:val="99"/>
    <w:rPr>
      <w:rFonts w:ascii="宋体" w:hAnsi="Courier New" w:cs="Courier New"/>
      <w:szCs w:val="21"/>
    </w:rPr>
  </w:style>
  <w:style w:type="paragraph" w:styleId="15">
    <w:name w:val="Balloon Text"/>
    <w:basedOn w:val="1"/>
    <w:link w:val="34"/>
    <w:autoRedefine/>
    <w:qFormat/>
    <w:uiPriority w:val="0"/>
    <w:rPr>
      <w:rFonts w:ascii="Calibri" w:hAnsi="Calibri"/>
      <w:sz w:val="18"/>
      <w:szCs w:val="18"/>
    </w:rPr>
  </w:style>
  <w:style w:type="paragraph" w:styleId="16">
    <w:name w:val="footer"/>
    <w:basedOn w:val="1"/>
    <w:link w:val="35"/>
    <w:autoRedefine/>
    <w:qFormat/>
    <w:uiPriority w:val="99"/>
    <w:pPr>
      <w:tabs>
        <w:tab w:val="center" w:pos="4153"/>
        <w:tab w:val="right" w:pos="8306"/>
      </w:tabs>
      <w:snapToGrid w:val="0"/>
      <w:jc w:val="left"/>
    </w:pPr>
    <w:rPr>
      <w:sz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0"/>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11"/>
    <w:next w:val="11"/>
    <w:link w:val="36"/>
    <w:autoRedefine/>
    <w:qFormat/>
    <w:uiPriority w:val="0"/>
    <w:rPr>
      <w:b/>
      <w:bCs/>
    </w:rPr>
  </w:style>
  <w:style w:type="paragraph" w:styleId="21">
    <w:name w:val="Body Text First Indent"/>
    <w:basedOn w:val="2"/>
    <w:next w:val="1"/>
    <w:autoRedefine/>
    <w:qFormat/>
    <w:uiPriority w:val="0"/>
    <w:pPr>
      <w:ind w:firstLine="420" w:firstLineChars="100"/>
    </w:pPr>
  </w:style>
  <w:style w:type="paragraph" w:styleId="22">
    <w:name w:val="Body Text First Indent 2"/>
    <w:basedOn w:val="12"/>
    <w:next w:val="1"/>
    <w:link w:val="37"/>
    <w:autoRedefine/>
    <w:unhideWhenUsed/>
    <w:qFormat/>
    <w:uiPriority w:val="99"/>
    <w:pPr>
      <w:ind w:firstLine="42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rPr>
  </w:style>
  <w:style w:type="character" w:styleId="27">
    <w:name w:val="Hyperlink"/>
    <w:autoRedefine/>
    <w:qFormat/>
    <w:uiPriority w:val="0"/>
    <w:rPr>
      <w:color w:val="0000FF"/>
      <w:u w:val="single"/>
    </w:rPr>
  </w:style>
  <w:style w:type="character" w:styleId="28">
    <w:name w:val="annotation reference"/>
    <w:autoRedefine/>
    <w:unhideWhenUsed/>
    <w:qFormat/>
    <w:uiPriority w:val="99"/>
    <w:rPr>
      <w:sz w:val="21"/>
      <w:szCs w:val="21"/>
    </w:rPr>
  </w:style>
  <w:style w:type="character" w:customStyle="1" w:styleId="29">
    <w:name w:val="标题 1 Char"/>
    <w:link w:val="4"/>
    <w:autoRedefine/>
    <w:qFormat/>
    <w:uiPriority w:val="0"/>
    <w:rPr>
      <w:rFonts w:ascii="Calibri" w:hAnsi="Calibri" w:eastAsia="仿宋" w:cs="Times New Roman"/>
      <w:b/>
      <w:kern w:val="44"/>
      <w:sz w:val="44"/>
      <w:szCs w:val="24"/>
    </w:rPr>
  </w:style>
  <w:style w:type="character" w:customStyle="1" w:styleId="30">
    <w:name w:val="文档结构图 Char"/>
    <w:link w:val="9"/>
    <w:autoRedefine/>
    <w:qFormat/>
    <w:uiPriority w:val="0"/>
    <w:rPr>
      <w:rFonts w:ascii="宋体" w:hAnsi="Calibri" w:cs="Times New Roman"/>
      <w:kern w:val="2"/>
      <w:sz w:val="18"/>
      <w:szCs w:val="18"/>
    </w:rPr>
  </w:style>
  <w:style w:type="character" w:customStyle="1" w:styleId="31">
    <w:name w:val="批注文字 Char"/>
    <w:link w:val="11"/>
    <w:autoRedefine/>
    <w:qFormat/>
    <w:uiPriority w:val="99"/>
    <w:rPr>
      <w:rFonts w:ascii="Calibri" w:hAnsi="Calibri" w:eastAsia="仿宋" w:cs="Times New Roman"/>
      <w:kern w:val="2"/>
      <w:sz w:val="21"/>
      <w:szCs w:val="24"/>
    </w:rPr>
  </w:style>
  <w:style w:type="character" w:customStyle="1" w:styleId="32">
    <w:name w:val="正文文本 Char"/>
    <w:link w:val="2"/>
    <w:autoRedefine/>
    <w:qFormat/>
    <w:uiPriority w:val="0"/>
    <w:rPr>
      <w:rFonts w:hint="default" w:ascii="Times New Roman" w:hAnsi="Times New Roman" w:eastAsia="仿宋" w:cs="Times New Roman"/>
      <w:kern w:val="2"/>
      <w:sz w:val="21"/>
      <w:szCs w:val="24"/>
    </w:rPr>
  </w:style>
  <w:style w:type="character" w:customStyle="1" w:styleId="33">
    <w:name w:val="正文文本缩进 Char"/>
    <w:basedOn w:val="25"/>
    <w:link w:val="12"/>
    <w:autoRedefine/>
    <w:qFormat/>
    <w:uiPriority w:val="0"/>
    <w:rPr>
      <w:rFonts w:hint="default" w:ascii="Calibri" w:hAnsi="Calibri" w:cs="Calibri"/>
      <w:kern w:val="2"/>
      <w:sz w:val="21"/>
      <w:szCs w:val="24"/>
    </w:rPr>
  </w:style>
  <w:style w:type="character" w:customStyle="1" w:styleId="34">
    <w:name w:val="批注框文本 Char"/>
    <w:link w:val="15"/>
    <w:autoRedefine/>
    <w:qFormat/>
    <w:uiPriority w:val="0"/>
    <w:rPr>
      <w:rFonts w:ascii="Calibri" w:hAnsi="Calibri" w:eastAsia="仿宋" w:cs="Times New Roman"/>
      <w:kern w:val="2"/>
      <w:sz w:val="18"/>
      <w:szCs w:val="18"/>
    </w:rPr>
  </w:style>
  <w:style w:type="character" w:customStyle="1" w:styleId="35">
    <w:name w:val="页脚 Char"/>
    <w:link w:val="16"/>
    <w:autoRedefine/>
    <w:qFormat/>
    <w:uiPriority w:val="99"/>
    <w:rPr>
      <w:rFonts w:eastAsia="仿宋"/>
      <w:kern w:val="2"/>
      <w:sz w:val="18"/>
      <w:szCs w:val="24"/>
    </w:rPr>
  </w:style>
  <w:style w:type="character" w:customStyle="1" w:styleId="36">
    <w:name w:val="批注主题 Char"/>
    <w:link w:val="20"/>
    <w:autoRedefine/>
    <w:qFormat/>
    <w:uiPriority w:val="0"/>
    <w:rPr>
      <w:rFonts w:ascii="Calibri" w:hAnsi="Calibri" w:eastAsia="仿宋" w:cs="Times New Roman"/>
      <w:b/>
      <w:bCs/>
      <w:kern w:val="2"/>
      <w:sz w:val="21"/>
      <w:szCs w:val="24"/>
    </w:rPr>
  </w:style>
  <w:style w:type="character" w:customStyle="1" w:styleId="37">
    <w:name w:val="正文首行缩进 2 Char"/>
    <w:basedOn w:val="33"/>
    <w:link w:val="22"/>
    <w:autoRedefine/>
    <w:qFormat/>
    <w:uiPriority w:val="0"/>
    <w:rPr>
      <w:rFonts w:hint="default" w:ascii="Calibri" w:hAnsi="Calibri" w:cs="Calibri"/>
      <w:kern w:val="2"/>
      <w:sz w:val="21"/>
      <w:szCs w:val="24"/>
    </w:rPr>
  </w:style>
  <w:style w:type="paragraph" w:customStyle="1" w:styleId="38">
    <w:name w:val="0正文"/>
    <w:autoRedefine/>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39">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0">
    <w:name w:val="列出段落11"/>
    <w:basedOn w:val="1"/>
    <w:autoRedefine/>
    <w:qFormat/>
    <w:uiPriority w:val="34"/>
    <w:pPr>
      <w:ind w:firstLine="420" w:firstLineChars="200"/>
    </w:pPr>
    <w:rPr>
      <w:rFonts w:ascii="Calibri" w:hAnsi="Calibri" w:eastAsia="宋体" w:cs="Times New Roman"/>
      <w:szCs w:val="22"/>
      <w:lang w:val="zh-CN"/>
    </w:rPr>
  </w:style>
  <w:style w:type="paragraph" w:customStyle="1" w:styleId="41">
    <w:name w:val="样式N"/>
    <w:basedOn w:val="42"/>
    <w:autoRedefine/>
    <w:qFormat/>
    <w:uiPriority w:val="0"/>
    <w:rPr>
      <w:sz w:val="30"/>
    </w:rPr>
  </w:style>
  <w:style w:type="paragraph" w:customStyle="1" w:styleId="42">
    <w:name w:val="样式H"/>
    <w:basedOn w:val="4"/>
    <w:next w:val="1"/>
    <w:autoRedefine/>
    <w:qFormat/>
    <w:uiPriority w:val="0"/>
    <w:pPr>
      <w:spacing w:before="100" w:line="500" w:lineRule="exact"/>
    </w:pPr>
  </w:style>
  <w:style w:type="paragraph" w:styleId="43">
    <w:name w:val="List Paragraph"/>
    <w:basedOn w:val="1"/>
    <w:autoRedefine/>
    <w:qFormat/>
    <w:uiPriority w:val="34"/>
    <w:pPr>
      <w:ind w:firstLine="420" w:firstLineChars="200"/>
    </w:pPr>
  </w:style>
  <w:style w:type="paragraph" w:customStyle="1" w:styleId="44">
    <w:name w:val="首行缩进"/>
    <w:basedOn w:val="1"/>
    <w:autoRedefine/>
    <w:qFormat/>
    <w:uiPriority w:val="0"/>
    <w:pPr>
      <w:ind w:firstLine="480"/>
    </w:pPr>
    <w:rPr>
      <w:lang w:val="zh-CN"/>
    </w:rPr>
  </w:style>
  <w:style w:type="paragraph" w:customStyle="1" w:styleId="4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6">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7">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48">
    <w:name w:val="WPSOffice手动目录 1"/>
    <w:autoRedefine/>
    <w:qFormat/>
    <w:uiPriority w:val="0"/>
    <w:rPr>
      <w:rFonts w:ascii="Times New Roman" w:hAnsi="Times New Roman" w:eastAsia="宋体" w:cs="Times New Roman"/>
      <w:lang w:val="en-US" w:eastAsia="zh-CN" w:bidi="ar-SA"/>
    </w:rPr>
  </w:style>
  <w:style w:type="paragraph" w:customStyle="1" w:styleId="4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0">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51">
    <w:name w:val="font11"/>
    <w:basedOn w:val="25"/>
    <w:autoRedefine/>
    <w:qFormat/>
    <w:uiPriority w:val="0"/>
    <w:rPr>
      <w:rFonts w:hint="default" w:ascii="Times New Roman" w:hAnsi="Times New Roman" w:cs="Times New Roman"/>
      <w:color w:val="000000"/>
      <w:sz w:val="40"/>
      <w:szCs w:val="4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43562</Words>
  <Characters>45939</Characters>
  <Lines>298</Lines>
  <Paragraphs>83</Paragraphs>
  <TotalTime>1</TotalTime>
  <ScaleCrop>false</ScaleCrop>
  <LinksUpToDate>false</LinksUpToDate>
  <CharactersWithSpaces>49020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2023-08-08T08:09:00Z</dcterms:created>
  <dc:creator>meimei</dc:creator>
  <cp:lastModifiedBy>美式冰咖啡</cp:lastModifiedBy>
  <cp:lastPrinted>2024-04-17T10:25:00Z</cp:lastPrinted>
  <dcterms:modified xsi:type="dcterms:W3CDTF">2024-06-14T06:53:56Z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78D793809835470E8F4859C0C80B6E78_13</vt:lpwstr>
  </property>
</Properties>
</file>