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C13264">
      <w:pPr>
        <w:adjustRightInd w:val="0"/>
        <w:snapToGrid w:val="0"/>
        <w:spacing w:line="288" w:lineRule="auto"/>
        <w:jc w:val="center"/>
        <w:outlineLvl w:val="0"/>
        <w:rPr>
          <w:rFonts w:ascii="仿宋" w:hAnsi="仿宋" w:eastAsia="仿宋" w:cs="仿宋"/>
          <w:b/>
          <w:bCs/>
          <w:sz w:val="32"/>
          <w:szCs w:val="32"/>
          <w:highlight w:val="none"/>
        </w:rPr>
      </w:pPr>
      <w:r>
        <w:rPr>
          <w:rFonts w:hint="eastAsia" w:ascii="仿宋" w:hAnsi="仿宋" w:eastAsia="仿宋" w:cs="仿宋"/>
          <w:b/>
          <w:bCs/>
          <w:sz w:val="32"/>
          <w:szCs w:val="32"/>
          <w:highlight w:val="none"/>
        </w:rPr>
        <w:t>采购需求</w:t>
      </w:r>
    </w:p>
    <w:p w14:paraId="3E457750">
      <w:pPr>
        <w:adjustRightInd w:val="0"/>
        <w:snapToGrid w:val="0"/>
        <w:spacing w:line="288" w:lineRule="auto"/>
        <w:outlineLvl w:val="1"/>
        <w:rPr>
          <w:rFonts w:ascii="仿宋" w:hAnsi="仿宋" w:eastAsia="仿宋" w:cs="仿宋"/>
          <w:b/>
          <w:szCs w:val="21"/>
          <w:highlight w:val="none"/>
        </w:rPr>
      </w:pPr>
      <w:r>
        <w:rPr>
          <w:rFonts w:hint="eastAsia" w:ascii="仿宋" w:hAnsi="仿宋" w:eastAsia="仿宋" w:cs="仿宋"/>
          <w:b/>
          <w:szCs w:val="21"/>
          <w:highlight w:val="none"/>
        </w:rPr>
        <w:t>一、为落实政府采购政策需满足的要求</w:t>
      </w:r>
    </w:p>
    <w:tbl>
      <w:tblPr>
        <w:tblStyle w:val="2"/>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2749"/>
        <w:gridCol w:w="5168"/>
      </w:tblGrid>
      <w:tr w14:paraId="514B1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2BDC5889">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bookmarkStart w:id="0" w:name="_Hlk45005599"/>
            <w:r>
              <w:rPr>
                <w:rFonts w:hint="eastAsia" w:ascii="仿宋" w:hAnsi="仿宋" w:eastAsia="仿宋" w:cs="仿宋"/>
                <w:b/>
                <w:bCs/>
                <w:szCs w:val="21"/>
                <w:highlight w:val="none"/>
              </w:rPr>
              <w:t>序号</w:t>
            </w:r>
          </w:p>
        </w:tc>
        <w:tc>
          <w:tcPr>
            <w:tcW w:w="1614" w:type="pct"/>
            <w:vAlign w:val="center"/>
          </w:tcPr>
          <w:p w14:paraId="767198B4">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政策名称</w:t>
            </w:r>
          </w:p>
        </w:tc>
        <w:tc>
          <w:tcPr>
            <w:tcW w:w="3034" w:type="pct"/>
            <w:vAlign w:val="center"/>
          </w:tcPr>
          <w:p w14:paraId="104BD00A">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内容</w:t>
            </w:r>
          </w:p>
        </w:tc>
      </w:tr>
      <w:tr w14:paraId="15892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7B8BDE20">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1</w:t>
            </w:r>
          </w:p>
        </w:tc>
        <w:tc>
          <w:tcPr>
            <w:tcW w:w="3106" w:type="dxa"/>
            <w:vAlign w:val="center"/>
          </w:tcPr>
          <w:p w14:paraId="17FD94DC">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color w:val="auto"/>
                <w:szCs w:val="21"/>
                <w:highlight w:val="none"/>
              </w:rPr>
              <w:t>政府采购进口产品</w:t>
            </w:r>
          </w:p>
        </w:tc>
        <w:tc>
          <w:tcPr>
            <w:tcW w:w="3034" w:type="pct"/>
            <w:vAlign w:val="center"/>
          </w:tcPr>
          <w:p w14:paraId="360D118A">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szCs w:val="21"/>
                <w:highlight w:val="none"/>
              </w:rPr>
            </w:pPr>
            <w:r>
              <w:rPr>
                <w:rFonts w:hint="eastAsia" w:ascii="仿宋" w:hAnsi="仿宋" w:eastAsia="仿宋" w:cs="仿宋"/>
                <w:szCs w:val="21"/>
                <w:highlight w:val="none"/>
              </w:rPr>
              <w:t>允许采购进口产品</w:t>
            </w:r>
            <w:r>
              <w:rPr>
                <w:rFonts w:hint="eastAsia" w:ascii="仿宋" w:hAnsi="仿宋" w:eastAsia="仿宋" w:cs="仿宋"/>
                <w:szCs w:val="21"/>
                <w:highlight w:val="none"/>
                <w:lang w:eastAsia="zh-CN"/>
              </w:rPr>
              <w:t>（</w:t>
            </w:r>
            <w:r>
              <w:rPr>
                <w:rFonts w:hint="eastAsia" w:ascii="仿宋" w:hAnsi="仿宋" w:eastAsia="仿宋" w:cs="仿宋"/>
                <w:szCs w:val="21"/>
                <w:highlight w:val="none"/>
                <w:lang w:val="en-US" w:eastAsia="zh-CN"/>
              </w:rPr>
              <w:t>详见技术要求</w:t>
            </w:r>
            <w:r>
              <w:rPr>
                <w:rFonts w:hint="eastAsia" w:ascii="仿宋" w:hAnsi="仿宋" w:eastAsia="仿宋" w:cs="仿宋"/>
                <w:szCs w:val="21"/>
                <w:highlight w:val="none"/>
                <w:lang w:eastAsia="zh-CN"/>
              </w:rPr>
              <w:t>）</w:t>
            </w:r>
          </w:p>
        </w:tc>
      </w:tr>
      <w:tr w14:paraId="7DF99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1023EBD4">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2</w:t>
            </w:r>
          </w:p>
        </w:tc>
        <w:tc>
          <w:tcPr>
            <w:tcW w:w="3106" w:type="dxa"/>
            <w:vAlign w:val="center"/>
          </w:tcPr>
          <w:p w14:paraId="75BFC01B">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color w:val="auto"/>
                <w:szCs w:val="21"/>
                <w:highlight w:val="none"/>
              </w:rPr>
              <w:t>政府强制采购节能产品</w:t>
            </w:r>
          </w:p>
        </w:tc>
        <w:tc>
          <w:tcPr>
            <w:tcW w:w="3034" w:type="pct"/>
            <w:vAlign w:val="center"/>
          </w:tcPr>
          <w:p w14:paraId="4638380D">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szCs w:val="21"/>
                <w:highlight w:val="none"/>
              </w:rPr>
            </w:pPr>
            <w:r>
              <w:rPr>
                <w:rFonts w:hint="eastAsia" w:ascii="仿宋" w:hAnsi="仿宋" w:eastAsia="仿宋" w:cs="仿宋"/>
                <w:szCs w:val="21"/>
                <w:highlight w:val="none"/>
              </w:rPr>
              <w:t>不适用</w:t>
            </w:r>
          </w:p>
        </w:tc>
      </w:tr>
      <w:tr w14:paraId="33BDD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5CA1DA09">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3</w:t>
            </w:r>
          </w:p>
        </w:tc>
        <w:tc>
          <w:tcPr>
            <w:tcW w:w="3106" w:type="dxa"/>
            <w:vAlign w:val="center"/>
          </w:tcPr>
          <w:p w14:paraId="2D273CF5">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color w:val="auto"/>
                <w:szCs w:val="21"/>
                <w:highlight w:val="none"/>
              </w:rPr>
              <w:t>政府优先采购节能、环保产品</w:t>
            </w:r>
          </w:p>
        </w:tc>
        <w:tc>
          <w:tcPr>
            <w:tcW w:w="3034" w:type="pct"/>
            <w:vAlign w:val="center"/>
          </w:tcPr>
          <w:p w14:paraId="0DFC4B9E">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szCs w:val="21"/>
                <w:highlight w:val="none"/>
              </w:rPr>
            </w:pPr>
            <w:r>
              <w:rPr>
                <w:rFonts w:hint="eastAsia" w:ascii="仿宋" w:hAnsi="仿宋" w:eastAsia="仿宋" w:cs="仿宋"/>
                <w:color w:val="auto"/>
                <w:szCs w:val="21"/>
                <w:highlight w:val="none"/>
              </w:rPr>
              <w:t>提供材料详见招标文件第六章“</w:t>
            </w:r>
            <w:r>
              <w:rPr>
                <w:rFonts w:hint="eastAsia" w:ascii="仿宋" w:hAnsi="仿宋" w:eastAsia="仿宋" w:cs="仿宋"/>
                <w:color w:val="auto"/>
                <w:szCs w:val="21"/>
                <w:highlight w:val="none"/>
                <w:lang w:val="en-US" w:eastAsia="zh-CN"/>
              </w:rPr>
              <w:t>商务和技术</w:t>
            </w:r>
            <w:r>
              <w:rPr>
                <w:rFonts w:hint="eastAsia" w:ascii="仿宋" w:hAnsi="仿宋" w:eastAsia="仿宋" w:cs="仿宋"/>
                <w:color w:val="auto"/>
                <w:szCs w:val="21"/>
                <w:highlight w:val="none"/>
              </w:rPr>
              <w:t>文件”</w:t>
            </w:r>
          </w:p>
        </w:tc>
      </w:tr>
      <w:tr w14:paraId="60DF7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2E71EF21">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4</w:t>
            </w:r>
          </w:p>
        </w:tc>
        <w:tc>
          <w:tcPr>
            <w:tcW w:w="3106" w:type="dxa"/>
            <w:vAlign w:val="center"/>
          </w:tcPr>
          <w:p w14:paraId="31D1F8A0">
            <w:pPr>
              <w:keepNext w:val="0"/>
              <w:keepLines w:val="0"/>
              <w:pageBreakBefore w:val="0"/>
              <w:widowControl w:val="0"/>
              <w:kinsoku/>
              <w:wordWrap/>
              <w:overflowPunct/>
              <w:topLinePunct w:val="0"/>
              <w:autoSpaceDE/>
              <w:autoSpaceDN/>
              <w:bidi w:val="0"/>
              <w:adjustRightInd/>
              <w:snapToGrid w:val="0"/>
              <w:jc w:val="center"/>
              <w:textAlignment w:val="auto"/>
              <w:rPr>
                <w:rFonts w:hint="default" w:ascii="仿宋" w:hAnsi="仿宋" w:eastAsia="仿宋" w:cs="仿宋"/>
                <w:b/>
                <w:bCs/>
                <w:szCs w:val="21"/>
                <w:highlight w:val="none"/>
                <w:lang w:val="en-US" w:eastAsia="zh-CN"/>
              </w:rPr>
            </w:pPr>
            <w:r>
              <w:rPr>
                <w:rFonts w:hint="eastAsia" w:ascii="仿宋" w:hAnsi="仿宋" w:eastAsia="仿宋" w:cs="仿宋"/>
                <w:b/>
                <w:bCs/>
                <w:color w:val="auto"/>
                <w:szCs w:val="21"/>
                <w:highlight w:val="none"/>
              </w:rPr>
              <w:t>政府采购</w:t>
            </w:r>
            <w:r>
              <w:rPr>
                <w:rFonts w:hint="eastAsia" w:ascii="仿宋" w:hAnsi="仿宋" w:eastAsia="仿宋" w:cs="仿宋"/>
                <w:b/>
                <w:bCs/>
                <w:color w:val="auto"/>
                <w:szCs w:val="21"/>
                <w:highlight w:val="none"/>
                <w:lang w:eastAsia="zh-CN"/>
              </w:rPr>
              <w:t>支持科技创新</w:t>
            </w:r>
          </w:p>
        </w:tc>
        <w:tc>
          <w:tcPr>
            <w:tcW w:w="3034" w:type="pct"/>
            <w:vAlign w:val="center"/>
          </w:tcPr>
          <w:p w14:paraId="4D899FA1">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szCs w:val="21"/>
                <w:highlight w:val="none"/>
              </w:rPr>
            </w:pPr>
            <w:r>
              <w:rPr>
                <w:rFonts w:hint="eastAsia" w:ascii="仿宋" w:hAnsi="仿宋" w:eastAsia="仿宋" w:cs="仿宋"/>
                <w:color w:val="auto"/>
                <w:szCs w:val="21"/>
                <w:highlight w:val="none"/>
              </w:rPr>
              <w:t>提供材料详见招标文件第六章“</w:t>
            </w:r>
            <w:r>
              <w:rPr>
                <w:rFonts w:hint="eastAsia" w:ascii="仿宋" w:hAnsi="仿宋" w:eastAsia="仿宋" w:cs="仿宋"/>
                <w:color w:val="auto"/>
                <w:szCs w:val="21"/>
                <w:highlight w:val="none"/>
                <w:lang w:val="en-US" w:eastAsia="zh-CN"/>
              </w:rPr>
              <w:t>商务和技术</w:t>
            </w:r>
            <w:r>
              <w:rPr>
                <w:rFonts w:hint="eastAsia" w:ascii="仿宋" w:hAnsi="仿宋" w:eastAsia="仿宋" w:cs="仿宋"/>
                <w:color w:val="auto"/>
                <w:szCs w:val="21"/>
                <w:highlight w:val="none"/>
              </w:rPr>
              <w:t>文件”</w:t>
            </w:r>
          </w:p>
        </w:tc>
      </w:tr>
      <w:tr w14:paraId="4DDAC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6DE581F2">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5</w:t>
            </w:r>
          </w:p>
        </w:tc>
        <w:tc>
          <w:tcPr>
            <w:tcW w:w="3106" w:type="dxa"/>
            <w:vAlign w:val="center"/>
          </w:tcPr>
          <w:p w14:paraId="56C183D9">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color w:val="auto"/>
                <w:szCs w:val="21"/>
                <w:highlight w:val="none"/>
              </w:rPr>
              <w:t>政府采购促进中小企业发展</w:t>
            </w:r>
          </w:p>
        </w:tc>
        <w:tc>
          <w:tcPr>
            <w:tcW w:w="3034" w:type="pct"/>
            <w:vAlign w:val="center"/>
          </w:tcPr>
          <w:p w14:paraId="305AF14B">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color w:val="auto"/>
                <w:szCs w:val="21"/>
                <w:highlight w:val="none"/>
              </w:rPr>
            </w:pPr>
            <w:r>
              <w:rPr>
                <w:rFonts w:hint="eastAsia" w:ascii="仿宋" w:hAnsi="仿宋" w:eastAsia="仿宋" w:cs="仿宋"/>
                <w:color w:val="auto"/>
                <w:szCs w:val="21"/>
                <w:highlight w:val="none"/>
              </w:rPr>
              <w:t>提供材料详见招标文件第六章“</w:t>
            </w:r>
            <w:r>
              <w:rPr>
                <w:rFonts w:hint="eastAsia" w:ascii="仿宋" w:hAnsi="仿宋" w:eastAsia="仿宋" w:cs="仿宋"/>
                <w:color w:val="auto"/>
                <w:szCs w:val="21"/>
                <w:highlight w:val="none"/>
                <w:lang w:val="en-US" w:eastAsia="zh-CN"/>
              </w:rPr>
              <w:t>报价文件</w:t>
            </w:r>
            <w:r>
              <w:rPr>
                <w:rFonts w:hint="eastAsia" w:ascii="仿宋" w:hAnsi="仿宋" w:eastAsia="仿宋" w:cs="仿宋"/>
                <w:color w:val="auto"/>
                <w:szCs w:val="21"/>
                <w:highlight w:val="none"/>
              </w:rPr>
              <w:t>”</w:t>
            </w:r>
          </w:p>
          <w:p w14:paraId="335D1B46">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本项目</w:t>
            </w:r>
            <w:r>
              <w:rPr>
                <w:rFonts w:hint="eastAsia" w:ascii="仿宋" w:hAnsi="仿宋" w:eastAsia="仿宋" w:cs="仿宋"/>
                <w:b/>
                <w:bCs/>
                <w:color w:val="auto"/>
                <w:szCs w:val="21"/>
                <w:highlight w:val="none"/>
                <w:lang w:val="en-US" w:eastAsia="zh-CN"/>
              </w:rPr>
              <w:t>属性：</w:t>
            </w:r>
            <w:r>
              <w:rPr>
                <w:rFonts w:hint="eastAsia" w:ascii="仿宋" w:hAnsi="仿宋" w:eastAsia="仿宋" w:cs="仿宋"/>
                <w:b/>
                <w:bCs/>
                <w:color w:val="auto"/>
                <w:szCs w:val="21"/>
                <w:highlight w:val="none"/>
              </w:rPr>
              <w:t>货物</w:t>
            </w:r>
          </w:p>
          <w:p w14:paraId="12478FBD">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b/>
                <w:bCs/>
                <w:color w:val="auto"/>
                <w:szCs w:val="21"/>
                <w:highlight w:val="none"/>
              </w:rPr>
            </w:pPr>
            <w:r>
              <w:rPr>
                <w:rFonts w:hint="eastAsia" w:ascii="仿宋" w:hAnsi="仿宋" w:eastAsia="仿宋" w:cs="仿宋"/>
                <w:b/>
                <w:bCs/>
                <w:color w:val="auto"/>
                <w:szCs w:val="21"/>
                <w:highlight w:val="none"/>
              </w:rPr>
              <w:t>采购标的对应的中小企业划分标准所属行业</w:t>
            </w:r>
            <w:r>
              <w:rPr>
                <w:rFonts w:hint="eastAsia" w:ascii="仿宋" w:hAnsi="仿宋" w:eastAsia="仿宋" w:cs="仿宋"/>
                <w:b/>
                <w:bCs/>
                <w:color w:val="auto"/>
                <w:szCs w:val="21"/>
                <w:highlight w:val="none"/>
                <w:lang w:eastAsia="zh-CN"/>
              </w:rPr>
              <w:t>：</w:t>
            </w:r>
            <w:r>
              <w:rPr>
                <w:rFonts w:hint="eastAsia" w:ascii="仿宋" w:hAnsi="仿宋" w:eastAsia="仿宋" w:cs="仿宋"/>
                <w:b/>
                <w:bCs/>
                <w:color w:val="auto"/>
                <w:szCs w:val="21"/>
                <w:highlight w:val="none"/>
              </w:rPr>
              <w:t>工业</w:t>
            </w:r>
          </w:p>
          <w:p w14:paraId="7FBC2F02">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szCs w:val="21"/>
                <w:highlight w:val="none"/>
                <w:lang w:eastAsia="zh-CN"/>
              </w:rPr>
            </w:pPr>
            <w:r>
              <w:rPr>
                <w:rFonts w:hint="eastAsia" w:ascii="仿宋" w:hAnsi="仿宋" w:eastAsia="仿宋" w:cs="仿宋"/>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1993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65CD276E">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6</w:t>
            </w:r>
          </w:p>
        </w:tc>
        <w:tc>
          <w:tcPr>
            <w:tcW w:w="3106" w:type="dxa"/>
            <w:vAlign w:val="center"/>
          </w:tcPr>
          <w:p w14:paraId="3E88BE32">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color w:val="auto"/>
                <w:szCs w:val="21"/>
                <w:highlight w:val="none"/>
              </w:rPr>
              <w:t>政府采购支持监狱企业发展</w:t>
            </w:r>
          </w:p>
        </w:tc>
        <w:tc>
          <w:tcPr>
            <w:tcW w:w="3034" w:type="pct"/>
            <w:vAlign w:val="center"/>
          </w:tcPr>
          <w:p w14:paraId="7C3D3E19">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szCs w:val="21"/>
                <w:highlight w:val="none"/>
              </w:rPr>
            </w:pPr>
            <w:r>
              <w:rPr>
                <w:rFonts w:hint="eastAsia" w:ascii="仿宋" w:hAnsi="仿宋" w:eastAsia="仿宋" w:cs="仿宋"/>
                <w:color w:val="auto"/>
                <w:szCs w:val="21"/>
                <w:highlight w:val="none"/>
                <w:lang w:val="en-US" w:eastAsia="zh-CN"/>
              </w:rPr>
              <w:t>视同小微企业，</w:t>
            </w:r>
            <w:r>
              <w:rPr>
                <w:rFonts w:hint="eastAsia" w:ascii="仿宋" w:hAnsi="仿宋" w:eastAsia="仿宋" w:cs="仿宋"/>
                <w:color w:val="auto"/>
                <w:szCs w:val="21"/>
                <w:highlight w:val="none"/>
              </w:rPr>
              <w:t>提供材料详见招标文件第六章“</w:t>
            </w:r>
            <w:r>
              <w:rPr>
                <w:rFonts w:hint="eastAsia" w:ascii="仿宋" w:hAnsi="仿宋" w:eastAsia="仿宋" w:cs="仿宋"/>
                <w:color w:val="auto"/>
                <w:szCs w:val="21"/>
                <w:highlight w:val="none"/>
                <w:lang w:val="en-US" w:eastAsia="zh-CN"/>
              </w:rPr>
              <w:t>报价文件</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w:t>
            </w:r>
          </w:p>
        </w:tc>
      </w:tr>
      <w:tr w14:paraId="2C8A6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350" w:type="pct"/>
            <w:vAlign w:val="center"/>
          </w:tcPr>
          <w:p w14:paraId="4AD18261">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7</w:t>
            </w:r>
          </w:p>
        </w:tc>
        <w:tc>
          <w:tcPr>
            <w:tcW w:w="3106" w:type="dxa"/>
            <w:vAlign w:val="center"/>
          </w:tcPr>
          <w:p w14:paraId="6A7C56E1">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color w:val="auto"/>
                <w:szCs w:val="21"/>
                <w:highlight w:val="none"/>
              </w:rPr>
              <w:t>政府采购促进残疾人就业</w:t>
            </w:r>
          </w:p>
        </w:tc>
        <w:tc>
          <w:tcPr>
            <w:tcW w:w="3034" w:type="pct"/>
            <w:vAlign w:val="center"/>
          </w:tcPr>
          <w:p w14:paraId="29010F66">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szCs w:val="21"/>
                <w:highlight w:val="none"/>
              </w:rPr>
            </w:pPr>
            <w:r>
              <w:rPr>
                <w:rFonts w:hint="eastAsia" w:ascii="仿宋" w:hAnsi="仿宋" w:eastAsia="仿宋" w:cs="仿宋"/>
                <w:color w:val="auto"/>
                <w:szCs w:val="21"/>
                <w:highlight w:val="none"/>
                <w:lang w:val="en-US" w:eastAsia="zh-CN"/>
              </w:rPr>
              <w:t>视同小微企业，</w:t>
            </w:r>
            <w:r>
              <w:rPr>
                <w:rFonts w:hint="eastAsia" w:ascii="仿宋" w:hAnsi="仿宋" w:eastAsia="仿宋" w:cs="仿宋"/>
                <w:color w:val="auto"/>
                <w:szCs w:val="21"/>
                <w:highlight w:val="none"/>
              </w:rPr>
              <w:t>提供材料详见招标文件第六章“</w:t>
            </w:r>
            <w:r>
              <w:rPr>
                <w:rFonts w:hint="eastAsia" w:ascii="仿宋" w:hAnsi="仿宋" w:eastAsia="仿宋" w:cs="仿宋"/>
                <w:color w:val="auto"/>
                <w:szCs w:val="21"/>
                <w:highlight w:val="none"/>
                <w:lang w:val="en-US" w:eastAsia="zh-CN"/>
              </w:rPr>
              <w:t>报价文件</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lang w:eastAsia="zh-CN"/>
              </w:rPr>
              <w:t>。</w:t>
            </w:r>
          </w:p>
        </w:tc>
      </w:tr>
      <w:bookmarkEnd w:id="0"/>
    </w:tbl>
    <w:p w14:paraId="53F13AD1">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ascii="仿宋" w:hAnsi="仿宋" w:eastAsia="仿宋" w:cs="仿宋"/>
          <w:b/>
          <w:spacing w:val="-4"/>
          <w:szCs w:val="21"/>
          <w:highlight w:val="none"/>
        </w:rPr>
      </w:pPr>
    </w:p>
    <w:p w14:paraId="46649503">
      <w:pPr>
        <w:keepNext w:val="0"/>
        <w:keepLines w:val="0"/>
        <w:pageBreakBefore w:val="0"/>
        <w:widowControl w:val="0"/>
        <w:kinsoku/>
        <w:wordWrap/>
        <w:overflowPunct/>
        <w:topLinePunct w:val="0"/>
        <w:autoSpaceDE/>
        <w:autoSpaceDN/>
        <w:bidi w:val="0"/>
        <w:adjustRightInd w:val="0"/>
        <w:snapToGrid w:val="0"/>
        <w:spacing w:line="288" w:lineRule="auto"/>
        <w:textAlignment w:val="auto"/>
        <w:outlineLvl w:val="1"/>
        <w:rPr>
          <w:rFonts w:ascii="仿宋" w:hAnsi="仿宋" w:eastAsia="仿宋" w:cs="仿宋"/>
          <w:b/>
          <w:szCs w:val="21"/>
          <w:highlight w:val="none"/>
        </w:rPr>
      </w:pPr>
      <w:r>
        <w:rPr>
          <w:rFonts w:hint="eastAsia" w:ascii="仿宋" w:hAnsi="仿宋" w:eastAsia="仿宋" w:cs="仿宋"/>
          <w:b/>
          <w:szCs w:val="21"/>
          <w:highlight w:val="none"/>
        </w:rPr>
        <w:t>二、采购资金的支付方式、时间、条件</w:t>
      </w:r>
    </w:p>
    <w:tbl>
      <w:tblPr>
        <w:tblStyle w:val="2"/>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797"/>
        <w:gridCol w:w="6725"/>
      </w:tblGrid>
      <w:tr w14:paraId="73E06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54" w:type="pct"/>
            <w:tcBorders>
              <w:top w:val="single" w:color="auto" w:sz="4" w:space="0"/>
              <w:left w:val="single" w:color="auto" w:sz="4" w:space="0"/>
              <w:bottom w:val="single" w:color="auto" w:sz="4" w:space="0"/>
              <w:right w:val="single" w:color="auto" w:sz="4" w:space="0"/>
            </w:tcBorders>
            <w:vAlign w:val="center"/>
          </w:tcPr>
          <w:p w14:paraId="5BAF91B2">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支付方式</w:t>
            </w:r>
          </w:p>
        </w:tc>
        <w:tc>
          <w:tcPr>
            <w:tcW w:w="3945" w:type="pct"/>
            <w:tcBorders>
              <w:top w:val="single" w:color="auto" w:sz="4" w:space="0"/>
              <w:left w:val="single" w:color="auto" w:sz="4" w:space="0"/>
              <w:bottom w:val="single" w:color="auto" w:sz="4" w:space="0"/>
              <w:right w:val="single" w:color="auto" w:sz="4" w:space="0"/>
            </w:tcBorders>
            <w:vAlign w:val="center"/>
          </w:tcPr>
          <w:p w14:paraId="1E8D1395">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szCs w:val="21"/>
                <w:highlight w:val="none"/>
              </w:rPr>
            </w:pPr>
            <w:r>
              <w:rPr>
                <w:rFonts w:hint="eastAsia" w:ascii="仿宋" w:hAnsi="仿宋" w:eastAsia="仿宋" w:cs="仿宋"/>
                <w:szCs w:val="21"/>
                <w:highlight w:val="none"/>
              </w:rPr>
              <w:t>银行转账</w:t>
            </w:r>
          </w:p>
        </w:tc>
      </w:tr>
      <w:tr w14:paraId="1D66C95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54" w:type="pct"/>
            <w:tcBorders>
              <w:top w:val="single" w:color="auto" w:sz="4" w:space="0"/>
              <w:left w:val="single" w:color="auto" w:sz="4" w:space="0"/>
              <w:bottom w:val="single" w:color="auto" w:sz="4" w:space="0"/>
              <w:right w:val="single" w:color="auto" w:sz="4" w:space="0"/>
            </w:tcBorders>
            <w:vAlign w:val="center"/>
          </w:tcPr>
          <w:p w14:paraId="56EB4599">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Cs w:val="21"/>
                <w:highlight w:val="none"/>
              </w:rPr>
              <w:t>▲支付时间及条件</w:t>
            </w:r>
          </w:p>
        </w:tc>
        <w:tc>
          <w:tcPr>
            <w:tcW w:w="3945" w:type="pct"/>
            <w:tcBorders>
              <w:top w:val="single" w:color="auto" w:sz="4" w:space="0"/>
              <w:left w:val="single" w:color="auto" w:sz="4" w:space="0"/>
              <w:bottom w:val="single" w:color="auto" w:sz="4" w:space="0"/>
              <w:right w:val="single" w:color="auto" w:sz="4" w:space="0"/>
            </w:tcBorders>
            <w:vAlign w:val="center"/>
          </w:tcPr>
          <w:p w14:paraId="02909823">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highlight w:val="none"/>
              </w:rPr>
            </w:pPr>
            <w:r>
              <w:rPr>
                <w:rFonts w:hint="eastAsia" w:ascii="仿宋" w:hAnsi="仿宋" w:eastAsia="仿宋" w:cs="仿宋"/>
                <w:highlight w:val="none"/>
              </w:rPr>
              <w:t>详见合同条款</w:t>
            </w:r>
          </w:p>
        </w:tc>
      </w:tr>
      <w:tr w14:paraId="1E988E3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054" w:type="pct"/>
            <w:tcBorders>
              <w:top w:val="single" w:color="auto" w:sz="4" w:space="0"/>
              <w:left w:val="single" w:color="auto" w:sz="4" w:space="0"/>
              <w:bottom w:val="single" w:color="auto" w:sz="4" w:space="0"/>
              <w:right w:val="single" w:color="auto" w:sz="4" w:space="0"/>
            </w:tcBorders>
            <w:vAlign w:val="center"/>
          </w:tcPr>
          <w:p w14:paraId="4EB5DB14">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szCs w:val="21"/>
                <w:highlight w:val="none"/>
              </w:rPr>
            </w:pPr>
            <w:r>
              <w:rPr>
                <w:rFonts w:hint="eastAsia" w:ascii="仿宋" w:hAnsi="仿宋" w:eastAsia="仿宋" w:cs="仿宋"/>
                <w:b/>
                <w:bCs/>
                <w:sz w:val="21"/>
                <w:szCs w:val="21"/>
                <w:highlight w:val="none"/>
              </w:rPr>
              <w:t>履约保证金</w:t>
            </w:r>
          </w:p>
        </w:tc>
        <w:tc>
          <w:tcPr>
            <w:tcW w:w="3945" w:type="pct"/>
            <w:tcBorders>
              <w:top w:val="single" w:color="auto" w:sz="4" w:space="0"/>
              <w:left w:val="single" w:color="auto" w:sz="4" w:space="0"/>
              <w:bottom w:val="single" w:color="auto" w:sz="4" w:space="0"/>
              <w:right w:val="single" w:color="auto" w:sz="4" w:space="0"/>
            </w:tcBorders>
            <w:vAlign w:val="center"/>
          </w:tcPr>
          <w:p w14:paraId="56BF5B7B">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金额：合同金额的10%；</w:t>
            </w:r>
          </w:p>
          <w:p w14:paraId="33471D4D">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缴纳形式：支票/汇票/电汇/或其他非现金形式，允许中小企业引入信用担保手段；</w:t>
            </w:r>
          </w:p>
          <w:p w14:paraId="4025230C">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缴纳时间：合同签订后3个工作日内；</w:t>
            </w:r>
          </w:p>
          <w:p w14:paraId="3AC990B3">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接收人：合同甲方；</w:t>
            </w:r>
          </w:p>
          <w:p w14:paraId="5FE245DB">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sz w:val="21"/>
                <w:szCs w:val="21"/>
                <w:highlight w:val="none"/>
                <w:lang w:val="en-US" w:eastAsia="zh-CN"/>
              </w:rPr>
            </w:pPr>
            <w:r>
              <w:rPr>
                <w:rFonts w:hint="default" w:ascii="仿宋" w:hAnsi="仿宋" w:eastAsia="仿宋" w:cs="仿宋"/>
                <w:sz w:val="21"/>
                <w:szCs w:val="21"/>
                <w:highlight w:val="none"/>
                <w:lang w:val="en-US" w:eastAsia="zh-CN"/>
              </w:rPr>
              <w:t>有效期限：合同签订之日起至项目通过</w:t>
            </w:r>
            <w:r>
              <w:rPr>
                <w:rFonts w:hint="eastAsia" w:ascii="仿宋" w:hAnsi="仿宋" w:eastAsia="仿宋" w:cs="仿宋"/>
                <w:sz w:val="21"/>
                <w:szCs w:val="21"/>
                <w:highlight w:val="none"/>
                <w:lang w:val="en-US" w:eastAsia="zh-CN"/>
              </w:rPr>
              <w:t>采购人</w:t>
            </w:r>
            <w:r>
              <w:rPr>
                <w:rFonts w:hint="default" w:ascii="仿宋" w:hAnsi="仿宋" w:eastAsia="仿宋" w:cs="仿宋"/>
                <w:sz w:val="21"/>
                <w:szCs w:val="21"/>
                <w:highlight w:val="none"/>
                <w:lang w:val="en-US" w:eastAsia="zh-CN"/>
              </w:rPr>
              <w:t>验收后结束；</w:t>
            </w:r>
          </w:p>
          <w:p w14:paraId="741F370E">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szCs w:val="21"/>
                <w:highlight w:val="none"/>
                <w:lang w:val="en-US" w:eastAsia="zh-CN"/>
              </w:rPr>
            </w:pPr>
            <w:r>
              <w:rPr>
                <w:rFonts w:hint="default" w:ascii="仿宋" w:hAnsi="仿宋" w:eastAsia="仿宋" w:cs="仿宋"/>
                <w:sz w:val="21"/>
                <w:szCs w:val="21"/>
                <w:highlight w:val="none"/>
                <w:lang w:val="en-US" w:eastAsia="zh-CN"/>
              </w:rPr>
              <w:t>退还：验收合格出具验收报告后退还。</w:t>
            </w:r>
          </w:p>
        </w:tc>
      </w:tr>
    </w:tbl>
    <w:p w14:paraId="397DCF35">
      <w:pPr>
        <w:keepNext w:val="0"/>
        <w:keepLines w:val="0"/>
        <w:pageBreakBefore w:val="0"/>
        <w:widowControl w:val="0"/>
        <w:kinsoku/>
        <w:wordWrap/>
        <w:overflowPunct/>
        <w:topLinePunct w:val="0"/>
        <w:autoSpaceDE/>
        <w:autoSpaceDN/>
        <w:bidi w:val="0"/>
        <w:adjustRightInd w:val="0"/>
        <w:snapToGrid w:val="0"/>
        <w:spacing w:line="288" w:lineRule="auto"/>
        <w:textAlignment w:val="auto"/>
        <w:outlineLvl w:val="9"/>
        <w:rPr>
          <w:rFonts w:hint="eastAsia" w:ascii="仿宋" w:hAnsi="仿宋" w:eastAsia="仿宋" w:cs="仿宋"/>
          <w:b/>
          <w:szCs w:val="21"/>
        </w:rPr>
      </w:pPr>
    </w:p>
    <w:p w14:paraId="0BE73D43">
      <w:pPr>
        <w:keepNext w:val="0"/>
        <w:keepLines w:val="0"/>
        <w:pageBreakBefore w:val="0"/>
        <w:widowControl w:val="0"/>
        <w:kinsoku/>
        <w:wordWrap/>
        <w:overflowPunct/>
        <w:topLinePunct w:val="0"/>
        <w:autoSpaceDE/>
        <w:autoSpaceDN/>
        <w:bidi w:val="0"/>
        <w:adjustRightInd w:val="0"/>
        <w:snapToGrid w:val="0"/>
        <w:spacing w:line="288" w:lineRule="auto"/>
        <w:textAlignment w:val="auto"/>
        <w:outlineLvl w:val="1"/>
        <w:rPr>
          <w:rFonts w:ascii="仿宋" w:hAnsi="仿宋" w:eastAsia="仿宋" w:cs="仿宋"/>
          <w:b/>
          <w:szCs w:val="21"/>
        </w:rPr>
      </w:pPr>
      <w:r>
        <w:rPr>
          <w:rFonts w:hint="eastAsia" w:ascii="仿宋" w:hAnsi="仿宋" w:eastAsia="仿宋" w:cs="仿宋"/>
          <w:b/>
          <w:szCs w:val="21"/>
        </w:rPr>
        <w:t>三、服务要求（技术要求里另有注明的以技术要求为准）</w:t>
      </w:r>
    </w:p>
    <w:tbl>
      <w:tblPr>
        <w:tblStyle w:val="2"/>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31"/>
        <w:gridCol w:w="7897"/>
      </w:tblGrid>
      <w:tr w14:paraId="1535910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731" w:type="dxa"/>
            <w:tcBorders>
              <w:top w:val="single" w:color="auto" w:sz="4" w:space="0"/>
              <w:left w:val="single" w:color="auto" w:sz="4" w:space="0"/>
              <w:bottom w:val="single" w:color="auto" w:sz="4" w:space="0"/>
              <w:right w:val="single" w:color="auto" w:sz="4" w:space="0"/>
            </w:tcBorders>
            <w:vAlign w:val="center"/>
          </w:tcPr>
          <w:p w14:paraId="1B209537">
            <w:pPr>
              <w:snapToGrid w:val="0"/>
              <w:jc w:val="center"/>
              <w:rPr>
                <w:rFonts w:ascii="仿宋" w:hAnsi="仿宋" w:eastAsia="仿宋" w:cs="仿宋"/>
                <w:b/>
                <w:bCs/>
                <w:color w:val="auto"/>
                <w:szCs w:val="21"/>
                <w:highlight w:val="none"/>
              </w:rPr>
            </w:pPr>
            <w:r>
              <w:rPr>
                <w:rFonts w:hint="eastAsia" w:ascii="仿宋" w:hAnsi="仿宋" w:eastAsia="仿宋" w:cs="仿宋"/>
                <w:b/>
                <w:bCs/>
                <w:szCs w:val="21"/>
                <w:highlight w:val="none"/>
              </w:rPr>
              <w:t>▲交付时间</w:t>
            </w:r>
          </w:p>
        </w:tc>
        <w:tc>
          <w:tcPr>
            <w:tcW w:w="7897" w:type="dxa"/>
            <w:tcBorders>
              <w:top w:val="single" w:color="auto" w:sz="4" w:space="0"/>
              <w:left w:val="single" w:color="auto" w:sz="4" w:space="0"/>
              <w:bottom w:val="single" w:color="auto" w:sz="4" w:space="0"/>
              <w:right w:val="single" w:color="auto" w:sz="4" w:space="0"/>
            </w:tcBorders>
            <w:vAlign w:val="center"/>
          </w:tcPr>
          <w:p w14:paraId="3D116D5D">
            <w:pPr>
              <w:snapToGrid w:val="0"/>
              <w:rPr>
                <w:rFonts w:hint="eastAsia" w:ascii="仿宋" w:hAnsi="仿宋" w:eastAsia="仿宋" w:cs="仿宋"/>
                <w:color w:val="auto"/>
                <w:szCs w:val="21"/>
                <w:highlight w:val="none"/>
                <w:lang w:val="en-US" w:eastAsia="zh-CN"/>
              </w:rPr>
            </w:pPr>
            <w:r>
              <w:rPr>
                <w:rFonts w:hint="eastAsia" w:ascii="仿宋" w:hAnsi="仿宋" w:eastAsia="仿宋" w:cs="仿宋"/>
                <w:highlight w:val="none"/>
              </w:rPr>
              <w:t>国产设备为合同签订后1个月内交货，进口设备为合同签订后3个月内交货。</w:t>
            </w:r>
          </w:p>
        </w:tc>
      </w:tr>
      <w:tr w14:paraId="4DBAE5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731" w:type="dxa"/>
            <w:tcBorders>
              <w:top w:val="single" w:color="auto" w:sz="4" w:space="0"/>
              <w:left w:val="single" w:color="auto" w:sz="4" w:space="0"/>
              <w:bottom w:val="single" w:color="auto" w:sz="4" w:space="0"/>
              <w:right w:val="single" w:color="auto" w:sz="4" w:space="0"/>
            </w:tcBorders>
            <w:vAlign w:val="center"/>
          </w:tcPr>
          <w:p w14:paraId="388FEF1E">
            <w:pPr>
              <w:snapToGrid w:val="0"/>
              <w:jc w:val="center"/>
              <w:rPr>
                <w:rFonts w:ascii="仿宋" w:hAnsi="仿宋" w:eastAsia="仿宋" w:cs="仿宋"/>
                <w:b/>
                <w:bCs/>
                <w:color w:val="auto"/>
                <w:szCs w:val="21"/>
                <w:highlight w:val="none"/>
              </w:rPr>
            </w:pPr>
            <w:r>
              <w:rPr>
                <w:rFonts w:hint="eastAsia" w:ascii="仿宋" w:hAnsi="仿宋" w:eastAsia="仿宋" w:cs="仿宋"/>
                <w:b/>
                <w:bCs/>
                <w:szCs w:val="21"/>
                <w:highlight w:val="none"/>
              </w:rPr>
              <w:t>交付地点</w:t>
            </w:r>
          </w:p>
        </w:tc>
        <w:tc>
          <w:tcPr>
            <w:tcW w:w="7897" w:type="dxa"/>
            <w:tcBorders>
              <w:top w:val="single" w:color="auto" w:sz="4" w:space="0"/>
              <w:left w:val="single" w:color="auto" w:sz="4" w:space="0"/>
              <w:bottom w:val="single" w:color="auto" w:sz="4" w:space="0"/>
              <w:right w:val="single" w:color="auto" w:sz="4" w:space="0"/>
            </w:tcBorders>
            <w:vAlign w:val="center"/>
          </w:tcPr>
          <w:p w14:paraId="39D52196">
            <w:pPr>
              <w:snapToGrid w:val="0"/>
              <w:rPr>
                <w:rFonts w:ascii="仿宋" w:hAnsi="仿宋" w:eastAsia="仿宋" w:cs="仿宋"/>
                <w:color w:val="auto"/>
                <w:szCs w:val="21"/>
                <w:highlight w:val="none"/>
              </w:rPr>
            </w:pPr>
            <w:r>
              <w:rPr>
                <w:rFonts w:hint="eastAsia" w:ascii="仿宋" w:hAnsi="仿宋" w:eastAsia="仿宋" w:cs="仿宋"/>
                <w:szCs w:val="21"/>
                <w:highlight w:val="none"/>
              </w:rPr>
              <w:t>采购人指定地点</w:t>
            </w:r>
          </w:p>
        </w:tc>
      </w:tr>
      <w:tr w14:paraId="3515811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731" w:type="dxa"/>
            <w:tcBorders>
              <w:top w:val="single" w:color="auto" w:sz="4" w:space="0"/>
              <w:left w:val="single" w:color="auto" w:sz="4" w:space="0"/>
              <w:bottom w:val="single" w:color="auto" w:sz="4" w:space="0"/>
              <w:right w:val="single" w:color="auto" w:sz="4" w:space="0"/>
            </w:tcBorders>
            <w:vAlign w:val="center"/>
          </w:tcPr>
          <w:p w14:paraId="37A23DC2">
            <w:pPr>
              <w:snapToGrid w:val="0"/>
              <w:jc w:val="center"/>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rPr>
              <w:t>质保期</w:t>
            </w:r>
          </w:p>
        </w:tc>
        <w:tc>
          <w:tcPr>
            <w:tcW w:w="7897" w:type="dxa"/>
            <w:tcBorders>
              <w:top w:val="single" w:color="auto" w:sz="4" w:space="0"/>
              <w:left w:val="single" w:color="auto" w:sz="4" w:space="0"/>
              <w:bottom w:val="single" w:color="auto" w:sz="4" w:space="0"/>
              <w:right w:val="single" w:color="auto" w:sz="4" w:space="0"/>
            </w:tcBorders>
            <w:vAlign w:val="center"/>
          </w:tcPr>
          <w:p w14:paraId="4F13E082">
            <w:pPr>
              <w:snapToGrid w:val="0"/>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rPr>
              <w:t>自最终验收合格之日起3年，软件产品终身免费维护升级，如存在未明确质保期的，则质保期均不少于3年。如质保期届满仍有质量和服务问题未解决的，则质保期延续至经采购人确认无任何质量和服务问题止。</w:t>
            </w:r>
          </w:p>
        </w:tc>
      </w:tr>
      <w:tr w14:paraId="7A2332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731" w:type="dxa"/>
            <w:tcBorders>
              <w:top w:val="single" w:color="auto" w:sz="4" w:space="0"/>
              <w:left w:val="single" w:color="auto" w:sz="4" w:space="0"/>
              <w:bottom w:val="single" w:color="auto" w:sz="4" w:space="0"/>
              <w:right w:val="single" w:color="auto" w:sz="4" w:space="0"/>
            </w:tcBorders>
            <w:vAlign w:val="center"/>
          </w:tcPr>
          <w:p w14:paraId="6CD89346">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服务标准、期限、效率</w:t>
            </w:r>
          </w:p>
        </w:tc>
        <w:tc>
          <w:tcPr>
            <w:tcW w:w="7897" w:type="dxa"/>
            <w:tcBorders>
              <w:top w:val="single" w:color="auto" w:sz="4" w:space="0"/>
              <w:left w:val="single" w:color="auto" w:sz="4" w:space="0"/>
              <w:bottom w:val="single" w:color="auto" w:sz="4" w:space="0"/>
              <w:right w:val="single" w:color="auto" w:sz="4" w:space="0"/>
            </w:tcBorders>
            <w:vAlign w:val="center"/>
          </w:tcPr>
          <w:p w14:paraId="22B9F2C5">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lang w:eastAsia="zh-CN"/>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承诺提供的技术参数真实有效，不符合</w:t>
            </w:r>
            <w:r>
              <w:rPr>
                <w:rFonts w:hint="eastAsia" w:ascii="仿宋" w:hAnsi="仿宋" w:eastAsia="仿宋" w:cs="仿宋"/>
                <w:color w:val="auto"/>
                <w:highlight w:val="none"/>
                <w:lang w:val="en-US" w:eastAsia="zh-CN"/>
              </w:rPr>
              <w:t>技术要求</w:t>
            </w:r>
            <w:r>
              <w:rPr>
                <w:rFonts w:hint="eastAsia" w:ascii="仿宋" w:hAnsi="仿宋" w:eastAsia="仿宋" w:cs="仿宋"/>
                <w:color w:val="auto"/>
                <w:highlight w:val="none"/>
              </w:rPr>
              <w:t>的条款明确标出</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如提供虚假参数，</w:t>
            </w:r>
            <w:r>
              <w:rPr>
                <w:rFonts w:hint="eastAsia" w:ascii="仿宋" w:hAnsi="仿宋" w:eastAsia="仿宋" w:cs="仿宋"/>
                <w:color w:val="auto"/>
                <w:highlight w:val="none"/>
                <w:lang w:val="en-US" w:eastAsia="zh-CN"/>
              </w:rPr>
              <w:t>则</w:t>
            </w:r>
            <w:r>
              <w:rPr>
                <w:rFonts w:hint="eastAsia" w:ascii="仿宋" w:hAnsi="仿宋" w:eastAsia="仿宋" w:cs="仿宋"/>
                <w:color w:val="auto"/>
                <w:highlight w:val="none"/>
              </w:rPr>
              <w:t>在交货验收阶段</w:t>
            </w:r>
            <w:r>
              <w:rPr>
                <w:rFonts w:hint="eastAsia" w:ascii="仿宋" w:hAnsi="仿宋" w:eastAsia="仿宋" w:cs="仿宋"/>
                <w:color w:val="auto"/>
                <w:highlight w:val="none"/>
                <w:lang w:val="en-US" w:eastAsia="zh-CN"/>
              </w:rPr>
              <w:t>采购人</w:t>
            </w:r>
            <w:r>
              <w:rPr>
                <w:rFonts w:hint="eastAsia" w:ascii="仿宋" w:hAnsi="仿宋" w:eastAsia="仿宋" w:cs="仿宋"/>
                <w:color w:val="auto"/>
                <w:highlight w:val="none"/>
              </w:rPr>
              <w:t>具有随时终止合同的权利</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并没收履约保证金，对此造成的一切后果由投标人自行承担</w:t>
            </w:r>
            <w:r>
              <w:rPr>
                <w:rFonts w:hint="eastAsia" w:ascii="仿宋" w:hAnsi="仿宋" w:eastAsia="仿宋" w:cs="仿宋"/>
                <w:color w:val="auto"/>
                <w:highlight w:val="none"/>
                <w:lang w:eastAsia="zh-CN"/>
              </w:rPr>
              <w:t>。投标产品技术</w:t>
            </w:r>
            <w:r>
              <w:rPr>
                <w:rFonts w:hint="eastAsia" w:ascii="仿宋" w:hAnsi="仿宋" w:eastAsia="仿宋" w:cs="仿宋"/>
                <w:color w:val="auto"/>
                <w:highlight w:val="none"/>
                <w:lang w:val="en-US" w:eastAsia="zh-CN"/>
              </w:rPr>
              <w:t>参数</w:t>
            </w:r>
            <w:r>
              <w:rPr>
                <w:rFonts w:hint="eastAsia" w:ascii="仿宋" w:hAnsi="仿宋" w:eastAsia="仿宋" w:cs="仿宋"/>
                <w:color w:val="auto"/>
                <w:highlight w:val="none"/>
                <w:lang w:eastAsia="zh-CN"/>
              </w:rPr>
              <w:t>具备相当于或高于招标文件中规定的要求，并能提供更好的性能，具有更高的可靠性、安全性、耐用性；</w:t>
            </w:r>
          </w:p>
          <w:p w14:paraId="1C22ED70">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保证提供的产品为合法企业生产的合法产品，符合中华人民共和国有关法律、法规、规章、文件、标准、规范的规定。按国家规定应通过有关部门鉴定（批准）的产品，保证已按国家规定通过鉴定（批准）；实行产品许可证制度的产品已获得国家许可；实行强制性认证的产品已通过国家认可认证；</w:t>
            </w:r>
          </w:p>
          <w:p w14:paraId="5334376F">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lang w:eastAsia="zh-CN"/>
              </w:rPr>
            </w:pPr>
            <w:r>
              <w:rPr>
                <w:rFonts w:hint="eastAsia" w:ascii="仿宋" w:hAnsi="仿宋" w:eastAsia="仿宋" w:cs="仿宋"/>
                <w:highlight w:val="none"/>
                <w:lang w:val="en-US" w:eastAsia="zh-CN"/>
              </w:rPr>
              <w:t>3.</w:t>
            </w:r>
            <w:r>
              <w:rPr>
                <w:rFonts w:hint="eastAsia" w:ascii="仿宋" w:hAnsi="仿宋" w:eastAsia="仿宋" w:cs="仿宋"/>
                <w:highlight w:val="none"/>
              </w:rPr>
              <w:t>如招标文件中遗漏必备的设备、配件或服务，</w:t>
            </w:r>
            <w:r>
              <w:rPr>
                <w:rFonts w:hint="eastAsia" w:ascii="仿宋" w:hAnsi="仿宋" w:eastAsia="仿宋" w:cs="仿宋"/>
                <w:highlight w:val="none"/>
                <w:lang w:eastAsia="zh-CN"/>
              </w:rPr>
              <w:t>需</w:t>
            </w:r>
            <w:r>
              <w:rPr>
                <w:rFonts w:hint="eastAsia" w:ascii="仿宋" w:hAnsi="仿宋" w:eastAsia="仿宋" w:cs="仿宋"/>
                <w:highlight w:val="none"/>
              </w:rPr>
              <w:t>在投标文件中指出并提出解决方案供采购人参考</w:t>
            </w:r>
            <w:r>
              <w:rPr>
                <w:rFonts w:hint="eastAsia" w:ascii="仿宋" w:hAnsi="仿宋" w:eastAsia="仿宋" w:cs="仿宋"/>
                <w:highlight w:val="none"/>
                <w:lang w:eastAsia="zh-CN"/>
              </w:rPr>
              <w:t>；</w:t>
            </w:r>
          </w:p>
          <w:p w14:paraId="5B09B7A6">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4.</w:t>
            </w:r>
            <w:r>
              <w:rPr>
                <w:rFonts w:hint="eastAsia" w:ascii="仿宋" w:hAnsi="仿宋" w:eastAsia="仿宋" w:cs="仿宋"/>
                <w:highlight w:val="none"/>
              </w:rPr>
              <w:t>保证采购人产品需求</w:t>
            </w:r>
            <w:r>
              <w:rPr>
                <w:rFonts w:hint="eastAsia" w:ascii="仿宋" w:hAnsi="仿宋" w:eastAsia="仿宋" w:cs="仿宋"/>
                <w:highlight w:val="none"/>
                <w:lang w:val="en-US" w:eastAsia="zh-CN"/>
              </w:rPr>
              <w:t>的</w:t>
            </w:r>
            <w:r>
              <w:rPr>
                <w:rFonts w:hint="eastAsia" w:ascii="仿宋" w:hAnsi="仿宋" w:eastAsia="仿宋" w:cs="仿宋"/>
                <w:highlight w:val="none"/>
              </w:rPr>
              <w:t>完整性，如项目实施过程中因缺少必备的设备、配件或服务导致产品无法正常运行的</w:t>
            </w:r>
            <w:r>
              <w:rPr>
                <w:rFonts w:hint="eastAsia" w:ascii="仿宋" w:hAnsi="仿宋" w:eastAsia="仿宋" w:cs="仿宋"/>
                <w:highlight w:val="none"/>
                <w:lang w:val="en-US" w:eastAsia="zh-CN"/>
              </w:rPr>
              <w:t>则</w:t>
            </w:r>
            <w:r>
              <w:rPr>
                <w:rFonts w:hint="eastAsia" w:ascii="仿宋" w:hAnsi="仿宋" w:eastAsia="仿宋" w:cs="仿宋"/>
                <w:highlight w:val="none"/>
                <w:lang w:eastAsia="zh-CN"/>
              </w:rPr>
              <w:t>需</w:t>
            </w:r>
            <w:r>
              <w:rPr>
                <w:rFonts w:hint="eastAsia" w:ascii="仿宋" w:hAnsi="仿宋" w:eastAsia="仿宋" w:cs="仿宋"/>
                <w:highlight w:val="none"/>
              </w:rPr>
              <w:t>补足</w:t>
            </w:r>
            <w:r>
              <w:rPr>
                <w:rFonts w:hint="eastAsia" w:ascii="仿宋" w:hAnsi="仿宋" w:eastAsia="仿宋" w:cs="仿宋"/>
                <w:highlight w:val="none"/>
                <w:lang w:eastAsia="zh-CN"/>
              </w:rPr>
              <w:t>（</w:t>
            </w:r>
            <w:r>
              <w:rPr>
                <w:rFonts w:hint="eastAsia" w:ascii="仿宋" w:hAnsi="仿宋" w:eastAsia="仿宋" w:cs="仿宋"/>
                <w:highlight w:val="none"/>
              </w:rPr>
              <w:t>费用包含在投标总价</w:t>
            </w:r>
            <w:r>
              <w:rPr>
                <w:rFonts w:hint="eastAsia" w:ascii="仿宋" w:hAnsi="仿宋" w:eastAsia="仿宋" w:cs="仿宋"/>
                <w:highlight w:val="none"/>
                <w:lang w:val="en-US" w:eastAsia="zh-CN"/>
              </w:rPr>
              <w:t>中）；</w:t>
            </w:r>
          </w:p>
          <w:p w14:paraId="6DD2644F">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安装调试（若需要安装调试）</w:t>
            </w:r>
          </w:p>
          <w:p w14:paraId="1B76DD83">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.1 安装地点：采购人指定地点；</w:t>
            </w:r>
          </w:p>
          <w:p w14:paraId="63FD6873">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.2 完成时间：接到采购人通知后在规定时间内完成安装调试，如在规定时间内由于中标人原因不能完成安装调试，中标人承担由此给采购人造成的损失；</w:t>
            </w:r>
          </w:p>
          <w:p w14:paraId="1ACABAD1">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.3 如中标人委托国内代理（或其他机构）负责安装或配合安装需在签约时指明，但中标人仍要对合同货物及其安装质量负全部责任；</w:t>
            </w:r>
          </w:p>
          <w:p w14:paraId="3173E7FD">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.4 安装标准：符合我国国家有关技术规范要求和技术标准，所有软件和硬件保证同时安装到位</w:t>
            </w:r>
            <w:r>
              <w:rPr>
                <w:rFonts w:hint="eastAsia" w:ascii="仿宋" w:hAnsi="仿宋" w:eastAsia="仿宋" w:cs="仿宋"/>
                <w:highlight w:val="none"/>
                <w:lang w:eastAsia="zh-CN"/>
              </w:rPr>
              <w:t>（</w:t>
            </w:r>
            <w:r>
              <w:rPr>
                <w:rFonts w:hint="eastAsia" w:ascii="仿宋" w:hAnsi="仿宋" w:eastAsia="仿宋" w:cs="仿宋"/>
                <w:highlight w:val="none"/>
                <w:lang w:val="en-US" w:eastAsia="zh-CN"/>
              </w:rPr>
              <w:t>软件以U盘或光盘形式随硬件同时交付</w:t>
            </w:r>
            <w:r>
              <w:rPr>
                <w:rFonts w:hint="eastAsia" w:ascii="仿宋" w:hAnsi="仿宋" w:eastAsia="仿宋" w:cs="仿宋"/>
                <w:highlight w:val="none"/>
                <w:lang w:eastAsia="zh-CN"/>
              </w:rPr>
              <w:t>）</w:t>
            </w:r>
            <w:r>
              <w:rPr>
                <w:rFonts w:hint="eastAsia" w:ascii="仿宋" w:hAnsi="仿宋" w:eastAsia="仿宋" w:cs="仿宋"/>
                <w:highlight w:val="none"/>
              </w:rPr>
              <w:t>；</w:t>
            </w:r>
          </w:p>
          <w:p w14:paraId="7FB84914">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rPr>
            </w:pPr>
            <w:r>
              <w:rPr>
                <w:rFonts w:hint="eastAsia" w:ascii="仿宋" w:hAnsi="仿宋" w:eastAsia="仿宋" w:cs="仿宋"/>
                <w:highlight w:val="none"/>
                <w:lang w:val="en-US" w:eastAsia="zh-CN"/>
              </w:rPr>
              <w:t>5</w:t>
            </w:r>
            <w:r>
              <w:rPr>
                <w:rFonts w:hint="eastAsia" w:ascii="仿宋" w:hAnsi="仿宋" w:eastAsia="仿宋" w:cs="仿宋"/>
                <w:highlight w:val="none"/>
              </w:rPr>
              <w:t>.5 费用：包含在投标总价中；</w:t>
            </w:r>
          </w:p>
          <w:p w14:paraId="7473BA5A">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highlight w:val="none"/>
                <w:lang w:val="en-US" w:eastAsia="zh-CN"/>
              </w:rPr>
            </w:pPr>
            <w:r>
              <w:rPr>
                <w:rFonts w:hint="eastAsia" w:ascii="仿宋" w:hAnsi="仿宋" w:eastAsia="仿宋" w:cs="仿宋"/>
                <w:highlight w:val="none"/>
                <w:lang w:val="en-US" w:eastAsia="zh-CN"/>
              </w:rPr>
              <w:t>5</w:t>
            </w:r>
            <w:r>
              <w:rPr>
                <w:rFonts w:hint="eastAsia" w:ascii="仿宋" w:hAnsi="仿宋" w:eastAsia="仿宋" w:cs="仿宋"/>
                <w:highlight w:val="none"/>
              </w:rPr>
              <w:t xml:space="preserve">.6 </w:t>
            </w:r>
            <w:r>
              <w:rPr>
                <w:rFonts w:hint="eastAsia" w:ascii="仿宋" w:hAnsi="仿宋" w:eastAsia="仿宋" w:cs="仿宋"/>
                <w:highlight w:val="none"/>
                <w:lang w:eastAsia="zh-CN"/>
              </w:rPr>
              <w:t>投标文件中需提供</w:t>
            </w:r>
            <w:r>
              <w:rPr>
                <w:rFonts w:hint="eastAsia" w:ascii="仿宋" w:hAnsi="仿宋" w:eastAsia="仿宋" w:cs="仿宋"/>
                <w:highlight w:val="none"/>
              </w:rPr>
              <w:t>安装调试方法或方案</w:t>
            </w:r>
            <w:r>
              <w:rPr>
                <w:rFonts w:hint="eastAsia" w:ascii="仿宋" w:hAnsi="仿宋" w:eastAsia="仿宋" w:cs="仿宋"/>
                <w:highlight w:val="none"/>
                <w:lang w:eastAsia="zh-CN"/>
              </w:rPr>
              <w:t>，</w:t>
            </w:r>
            <w:r>
              <w:rPr>
                <w:rFonts w:hint="eastAsia" w:ascii="仿宋" w:hAnsi="仿宋" w:eastAsia="仿宋" w:cs="仿宋"/>
                <w:highlight w:val="none"/>
                <w:lang w:val="en-US" w:eastAsia="zh-CN"/>
              </w:rPr>
              <w:t>包括安装前准备阶段[安装调试计划（技术资料准备、安装流程、人员分工、时间节点等）、采购人现有环境（基础条件、环境参数、配套设施等）检查及改造方案等]、安装调试阶段（流程、标准、性能验证、文档移交等）；</w:t>
            </w:r>
          </w:p>
          <w:p w14:paraId="1BF4CB1C">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color w:val="auto"/>
                <w:highlight w:val="none"/>
                <w:lang w:val="en-US" w:eastAsia="zh-CN"/>
              </w:rPr>
            </w:pPr>
            <w:r>
              <w:rPr>
                <w:rFonts w:hint="eastAsia" w:ascii="仿宋" w:hAnsi="仿宋" w:eastAsia="仿宋" w:cs="仿宋"/>
                <w:highlight w:val="none"/>
                <w:lang w:val="en-US" w:eastAsia="zh-CN"/>
              </w:rPr>
              <w:t xml:space="preserve">5.7 </w:t>
            </w:r>
            <w:r>
              <w:rPr>
                <w:rFonts w:hint="eastAsia" w:ascii="仿宋" w:hAnsi="仿宋" w:eastAsia="仿宋" w:cs="仿宋"/>
                <w:highlight w:val="none"/>
                <w:lang w:eastAsia="zh-CN"/>
              </w:rPr>
              <w:t>投标文件中需提供日常运行及保养方案，</w:t>
            </w:r>
            <w:r>
              <w:rPr>
                <w:rFonts w:hint="eastAsia" w:ascii="仿宋" w:hAnsi="仿宋" w:eastAsia="仿宋" w:cs="仿宋"/>
                <w:highlight w:val="none"/>
                <w:lang w:val="en-US" w:eastAsia="zh-CN"/>
              </w:rPr>
              <w:t>包括</w:t>
            </w:r>
            <w:r>
              <w:rPr>
                <w:rFonts w:hint="eastAsia" w:ascii="仿宋" w:hAnsi="仿宋" w:eastAsia="仿宋" w:cs="仿宋"/>
                <w:highlight w:val="none"/>
                <w:lang w:eastAsia="zh-CN"/>
              </w:rPr>
              <w:t>操作使用说明、日常维修保养说明、关键部件&amp;易损件&amp;耗材检查和更换周期</w:t>
            </w:r>
            <w:r>
              <w:rPr>
                <w:rFonts w:hint="eastAsia" w:ascii="仿宋" w:hAnsi="仿宋" w:eastAsia="仿宋" w:cs="仿宋"/>
                <w:highlight w:val="none"/>
                <w:lang w:val="en-US" w:eastAsia="zh-CN"/>
              </w:rPr>
              <w:t>等</w:t>
            </w:r>
            <w:r>
              <w:rPr>
                <w:rFonts w:hint="eastAsia" w:ascii="仿宋" w:hAnsi="仿宋" w:eastAsia="仿宋" w:cs="仿宋"/>
                <w:highlight w:val="none"/>
                <w:lang w:eastAsia="zh-CN"/>
              </w:rPr>
              <w:t>。</w:t>
            </w:r>
          </w:p>
          <w:p w14:paraId="451987EA">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color w:val="auto"/>
                <w:highlight w:val="none"/>
              </w:rPr>
            </w:pP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培训</w:t>
            </w:r>
          </w:p>
          <w:p w14:paraId="7E7886E0">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6.1 </w:t>
            </w:r>
            <w:r>
              <w:rPr>
                <w:rFonts w:hint="eastAsia" w:ascii="仿宋" w:hAnsi="仿宋" w:eastAsia="仿宋" w:cs="仿宋"/>
                <w:color w:val="auto"/>
                <w:highlight w:val="none"/>
              </w:rPr>
              <w:t>对采购人人员进行设备操作、保养、维修等培训，并作为验收合格的前提条件</w:t>
            </w:r>
            <w:r>
              <w:rPr>
                <w:rFonts w:hint="eastAsia" w:ascii="仿宋" w:hAnsi="仿宋" w:eastAsia="仿宋" w:cs="仿宋"/>
                <w:color w:val="auto"/>
                <w:highlight w:val="none"/>
                <w:lang w:eastAsia="zh-CN"/>
              </w:rPr>
              <w:t>；</w:t>
            </w:r>
          </w:p>
          <w:p w14:paraId="09399226">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6.2 费用：包含在投标总价中；</w:t>
            </w:r>
          </w:p>
          <w:p w14:paraId="1EA45678">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6.3 投标文件中需提供相应的培训计划，包括培训目标、培训对象、培训内容（理论知识、实操、维修保养等）、培训时间与地点、培训方式、培训师资、培训后跟进（效果跟踪、复训计划、技术支持等）等。</w:t>
            </w:r>
          </w:p>
          <w:p w14:paraId="38E6F885">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color w:val="auto"/>
                <w:highlight w:val="none"/>
              </w:rPr>
            </w:pP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售后服务</w:t>
            </w:r>
          </w:p>
          <w:p w14:paraId="4E89DC44">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 xml:space="preserve">7.1 </w:t>
            </w:r>
            <w:r>
              <w:rPr>
                <w:rFonts w:hint="eastAsia" w:ascii="仿宋" w:hAnsi="仿宋" w:eastAsia="仿宋" w:cs="仿宋"/>
                <w:color w:val="auto"/>
                <w:szCs w:val="21"/>
                <w:highlight w:val="none"/>
              </w:rPr>
              <w:t>售后服务机构完善</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响应快速</w:t>
            </w:r>
            <w:r>
              <w:rPr>
                <w:rFonts w:hint="eastAsia" w:ascii="仿宋" w:hAnsi="仿宋" w:eastAsia="仿宋" w:cs="仿宋"/>
                <w:color w:val="auto"/>
                <w:szCs w:val="21"/>
                <w:highlight w:val="none"/>
                <w:lang w:eastAsia="zh-CN"/>
              </w:rPr>
              <w:t>，提供24小时电话咨询，如故障问题仍无法解决，</w:t>
            </w:r>
            <w:r>
              <w:rPr>
                <w:rFonts w:hint="eastAsia" w:ascii="仿宋" w:hAnsi="仿宋" w:eastAsia="仿宋" w:cs="仿宋"/>
                <w:color w:val="auto"/>
                <w:szCs w:val="21"/>
                <w:highlight w:val="none"/>
                <w:lang w:val="en-US" w:eastAsia="zh-CN"/>
              </w:rPr>
              <w:t>必须</w:t>
            </w:r>
            <w:r>
              <w:rPr>
                <w:rFonts w:hint="eastAsia" w:ascii="仿宋" w:hAnsi="仿宋" w:eastAsia="仿宋" w:cs="仿宋"/>
                <w:color w:val="auto"/>
                <w:szCs w:val="21"/>
                <w:highlight w:val="none"/>
                <w:lang w:eastAsia="zh-CN"/>
              </w:rPr>
              <w:t>在接到</w:t>
            </w:r>
            <w:r>
              <w:rPr>
                <w:rFonts w:hint="eastAsia" w:ascii="仿宋" w:hAnsi="仿宋" w:eastAsia="仿宋" w:cs="仿宋"/>
                <w:color w:val="auto"/>
                <w:szCs w:val="21"/>
                <w:highlight w:val="none"/>
                <w:lang w:val="en-US" w:eastAsia="zh-CN"/>
              </w:rPr>
              <w:t>采购人</w:t>
            </w:r>
            <w:r>
              <w:rPr>
                <w:rFonts w:hint="eastAsia" w:ascii="仿宋" w:hAnsi="仿宋" w:eastAsia="仿宋" w:cs="仿宋"/>
                <w:color w:val="auto"/>
                <w:szCs w:val="21"/>
                <w:highlight w:val="none"/>
                <w:lang w:eastAsia="zh-CN"/>
              </w:rPr>
              <w:t>通知后</w:t>
            </w:r>
            <w:r>
              <w:rPr>
                <w:rFonts w:hint="eastAsia" w:ascii="仿宋" w:hAnsi="仿宋" w:eastAsia="仿宋" w:cs="仿宋"/>
                <w:color w:val="auto"/>
                <w:szCs w:val="21"/>
                <w:highlight w:val="none"/>
                <w:lang w:val="en-US" w:eastAsia="zh-CN"/>
              </w:rPr>
              <w:t>24</w:t>
            </w:r>
            <w:r>
              <w:rPr>
                <w:rFonts w:hint="eastAsia" w:ascii="仿宋" w:hAnsi="仿宋" w:eastAsia="仿宋" w:cs="仿宋"/>
                <w:color w:val="auto"/>
                <w:szCs w:val="21"/>
                <w:highlight w:val="none"/>
                <w:lang w:eastAsia="zh-CN"/>
              </w:rPr>
              <w:t>小时内提出具体的解决方案，并在最短时间内派员到现场解决问题；</w:t>
            </w:r>
          </w:p>
          <w:p w14:paraId="7ABD97B0">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7.2 配备</w:t>
            </w:r>
            <w:r>
              <w:rPr>
                <w:rFonts w:hint="eastAsia" w:ascii="仿宋" w:hAnsi="仿宋" w:eastAsia="仿宋" w:cs="仿宋"/>
                <w:color w:val="auto"/>
                <w:szCs w:val="21"/>
                <w:highlight w:val="none"/>
              </w:rPr>
              <w:t>专业售后人员和专业技术团队，提供应用方案和软件部分的详细技术资料</w:t>
            </w:r>
            <w:r>
              <w:rPr>
                <w:rFonts w:hint="eastAsia" w:ascii="仿宋" w:hAnsi="仿宋" w:eastAsia="仿宋" w:cs="仿宋"/>
                <w:color w:val="auto"/>
                <w:szCs w:val="21"/>
                <w:highlight w:val="none"/>
                <w:lang w:eastAsia="zh-CN"/>
              </w:rPr>
              <w:t>；</w:t>
            </w:r>
          </w:p>
          <w:p w14:paraId="32A8431F">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 xml:space="preserve">7.3 </w:t>
            </w:r>
            <w:r>
              <w:rPr>
                <w:rFonts w:hint="eastAsia" w:ascii="仿宋" w:hAnsi="仿宋" w:eastAsia="仿宋" w:cs="仿宋"/>
                <w:highlight w:val="none"/>
                <w:lang w:eastAsia="zh-CN"/>
              </w:rPr>
              <w:t>投标文件中需提供</w:t>
            </w:r>
            <w:r>
              <w:rPr>
                <w:rFonts w:hint="eastAsia" w:ascii="仿宋" w:hAnsi="仿宋" w:eastAsia="仿宋" w:cs="仿宋"/>
                <w:color w:val="auto"/>
                <w:szCs w:val="21"/>
                <w:highlight w:val="none"/>
                <w:lang w:val="en-US" w:eastAsia="zh-CN"/>
              </w:rPr>
              <w:t>售后服务方案，包括售后服务体系[售后服务团队（原厂及自有售后人员售后服务经验、技术能力等）、原厂及自有备品备件仓库、退换货时效保障机制]、售后服务内容[时效（响应时间、提出具体的解决方案时间、到达采购人现场时间等）、质保期内免费的定期巡检及必要的维护保养指导等（频次、方式等）、质保期外有偿的维护保养（检查、故障排查、部件更换等）和个性化维护保养方案等及相应收费标准]、售后服务流程[售后接收处理和反馈（方式、具体步骤等）、故障诊断及现场维修服务（具体步骤、服务标准等）、反馈意见收集及定期回访（频次、方式、目的等）]、日常反馈机制[采购人满意度调查（方式、内容等）、投诉处理（时效、处理团队、改进措施等）]及随机标准附件、备品备件、易损件、零配件、专用工具等准备和保障措施。</w:t>
            </w:r>
          </w:p>
        </w:tc>
      </w:tr>
      <w:tr w14:paraId="094033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731" w:type="dxa"/>
            <w:tcBorders>
              <w:top w:val="single" w:color="auto" w:sz="4" w:space="0"/>
              <w:left w:val="single" w:color="auto" w:sz="4" w:space="0"/>
              <w:bottom w:val="single" w:color="auto" w:sz="4" w:space="0"/>
              <w:right w:val="single" w:color="auto" w:sz="4" w:space="0"/>
            </w:tcBorders>
            <w:vAlign w:val="center"/>
          </w:tcPr>
          <w:p w14:paraId="030A0015">
            <w:pPr>
              <w:keepNext w:val="0"/>
              <w:keepLines w:val="0"/>
              <w:pageBreakBefore w:val="0"/>
              <w:widowControl w:val="0"/>
              <w:kinsoku/>
              <w:wordWrap/>
              <w:overflowPunct/>
              <w:topLinePunct w:val="0"/>
              <w:autoSpaceDE/>
              <w:autoSpaceDN/>
              <w:bidi w:val="0"/>
              <w:adjustRightInd/>
              <w:snapToGrid w:val="0"/>
              <w:jc w:val="center"/>
              <w:textAlignment w:val="auto"/>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其他技术、服务要求</w:t>
            </w:r>
          </w:p>
        </w:tc>
        <w:tc>
          <w:tcPr>
            <w:tcW w:w="7897" w:type="dxa"/>
            <w:tcBorders>
              <w:top w:val="single" w:color="auto" w:sz="4" w:space="0"/>
              <w:left w:val="single" w:color="auto" w:sz="4" w:space="0"/>
              <w:bottom w:val="single" w:color="auto" w:sz="4" w:space="0"/>
              <w:right w:val="single" w:color="auto" w:sz="4" w:space="0"/>
            </w:tcBorders>
            <w:vAlign w:val="center"/>
          </w:tcPr>
          <w:p w14:paraId="005DAF43">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color w:val="auto"/>
                <w:szCs w:val="21"/>
                <w:highlight w:val="none"/>
              </w:rPr>
            </w:pPr>
            <w:r>
              <w:rPr>
                <w:rFonts w:hint="eastAsia" w:ascii="仿宋" w:hAnsi="仿宋" w:eastAsia="仿宋" w:cs="仿宋"/>
                <w:color w:val="auto"/>
                <w:szCs w:val="21"/>
                <w:highlight w:val="none"/>
              </w:rPr>
              <w:t>1.技术支持：</w:t>
            </w:r>
            <w:r>
              <w:rPr>
                <w:rFonts w:hint="eastAsia" w:ascii="仿宋" w:hAnsi="仿宋" w:eastAsia="仿宋" w:cs="仿宋"/>
                <w:color w:val="auto"/>
                <w:szCs w:val="21"/>
                <w:highlight w:val="none"/>
                <w:lang w:val="en-US" w:eastAsia="zh-CN"/>
              </w:rPr>
              <w:t>质保期内外</w:t>
            </w:r>
            <w:r>
              <w:rPr>
                <w:rFonts w:hint="eastAsia" w:ascii="仿宋" w:hAnsi="仿宋" w:eastAsia="仿宋" w:cs="仿宋"/>
                <w:color w:val="auto"/>
                <w:szCs w:val="21"/>
                <w:highlight w:val="none"/>
              </w:rPr>
              <w:t>中标人</w:t>
            </w:r>
            <w:r>
              <w:rPr>
                <w:rFonts w:hint="eastAsia" w:ascii="仿宋" w:hAnsi="仿宋" w:eastAsia="仿宋" w:cs="仿宋"/>
                <w:color w:val="auto"/>
                <w:szCs w:val="21"/>
                <w:highlight w:val="none"/>
                <w:lang w:val="en-US" w:eastAsia="zh-CN"/>
              </w:rPr>
              <w:t>均需</w:t>
            </w:r>
            <w:r>
              <w:rPr>
                <w:rFonts w:hint="eastAsia" w:ascii="仿宋" w:hAnsi="仿宋" w:eastAsia="仿宋" w:cs="仿宋"/>
                <w:color w:val="auto"/>
                <w:szCs w:val="21"/>
                <w:highlight w:val="none"/>
              </w:rPr>
              <w:t>及时提供合同货物软件</w:t>
            </w:r>
            <w:r>
              <w:rPr>
                <w:rFonts w:hint="eastAsia" w:ascii="仿宋" w:hAnsi="仿宋" w:eastAsia="仿宋" w:cs="仿宋"/>
                <w:color w:val="auto"/>
                <w:szCs w:val="21"/>
                <w:highlight w:val="none"/>
                <w:lang w:val="en-US" w:eastAsia="zh-CN"/>
              </w:rPr>
              <w:t>的</w:t>
            </w:r>
            <w:r>
              <w:rPr>
                <w:rFonts w:hint="eastAsia" w:ascii="仿宋" w:hAnsi="仿宋" w:eastAsia="仿宋" w:cs="仿宋"/>
                <w:color w:val="auto"/>
                <w:szCs w:val="21"/>
                <w:highlight w:val="none"/>
              </w:rPr>
              <w:t>升级</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lang w:val="en-US" w:eastAsia="zh-CN"/>
              </w:rPr>
              <w:t>硬件支持情况下）及</w:t>
            </w:r>
            <w:r>
              <w:rPr>
                <w:rFonts w:hint="eastAsia" w:ascii="仿宋" w:hAnsi="仿宋" w:eastAsia="仿宋" w:cs="仿宋"/>
                <w:color w:val="auto"/>
                <w:szCs w:val="21"/>
                <w:highlight w:val="none"/>
              </w:rPr>
              <w:t>新功能和应用的资料</w:t>
            </w:r>
            <w:r>
              <w:rPr>
                <w:rFonts w:hint="eastAsia" w:ascii="仿宋" w:hAnsi="仿宋" w:eastAsia="仿宋" w:cs="仿宋"/>
                <w:color w:val="auto"/>
                <w:szCs w:val="21"/>
                <w:highlight w:val="none"/>
                <w:lang w:eastAsia="zh-CN"/>
              </w:rPr>
              <w:t>，费用包含在投标总价中；</w:t>
            </w:r>
          </w:p>
          <w:p w14:paraId="1C44A796">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lang w:eastAsia="zh-CN"/>
              </w:rPr>
              <w:t>供货时提供有关的全套技术文件（如产品说明书、参数标准、质量保证书、保修证明、操作维修保养说明、相关配套使用手册等）；</w:t>
            </w:r>
          </w:p>
          <w:p w14:paraId="5A634624">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lang w:eastAsia="zh-CN"/>
              </w:rPr>
              <w:t>保证所提供的货物或与该货物有关的一切权利均不会侵犯任何第三方的知识产权；</w:t>
            </w:r>
          </w:p>
          <w:p w14:paraId="3585D70F">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lang w:eastAsia="zh-CN"/>
              </w:rPr>
              <w:t>对中标产品使用的安全性、有效性及可靠性承担全部责任，保证在合同验收阶段的性能检验与投标文件明确的技术指标一致；</w:t>
            </w:r>
          </w:p>
          <w:p w14:paraId="6726B638">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lang w:eastAsia="zh-CN"/>
              </w:rPr>
              <w:t>工作条件：投标产品能在采购人所处的条件下正常工作，可通过现场踏勘进行了解；</w:t>
            </w:r>
          </w:p>
          <w:p w14:paraId="5A4B8ABB">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lang w:eastAsia="zh-CN"/>
              </w:rPr>
              <w:t>环境要求：投标产品安装运行对环境的要求能满足采购人的现有条件，如对环境有特别要求，则在投标文件中进行明确，否则，未适应产品安装运行所要具备的环境条件的营造费用由投标人承担，可通过现场踏勘了解采购人能够提供的现有条件；</w:t>
            </w:r>
          </w:p>
          <w:p w14:paraId="61461479">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7.</w:t>
            </w:r>
            <w:r>
              <w:rPr>
                <w:rFonts w:hint="eastAsia" w:ascii="仿宋" w:hAnsi="仿宋" w:eastAsia="仿宋" w:cs="仿宋"/>
                <w:color w:val="auto"/>
                <w:szCs w:val="21"/>
                <w:highlight w:val="none"/>
                <w:lang w:eastAsia="zh-CN"/>
              </w:rPr>
              <w:t>产品本体：产品在工作条件和环境条件具备的前提下正常运行即能达到投标文件承诺的技术指标及性能，不需要另外配置其他物品；</w:t>
            </w:r>
          </w:p>
          <w:p w14:paraId="00798201">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8.</w:t>
            </w:r>
            <w:r>
              <w:rPr>
                <w:rFonts w:hint="eastAsia" w:ascii="仿宋" w:hAnsi="仿宋" w:eastAsia="仿宋" w:cs="仿宋"/>
                <w:color w:val="auto"/>
                <w:szCs w:val="21"/>
                <w:highlight w:val="none"/>
                <w:lang w:eastAsia="zh-CN"/>
              </w:rPr>
              <w:t>随机配送的备品备件、易损件、零配件、专用工具：与产品相关的辅助性物品，为方便采购人使用而提供的、不会影响产品本身正常运行，包括采购人要求随机配送或产品自身随机配送的物品，在投标文件中列出各种随机配送的备品备件、易损件、零配件、专用工具的规格、用途、数量、单价和总价，费用包含在投标总价中；</w:t>
            </w:r>
          </w:p>
          <w:p w14:paraId="08C1A779">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9.</w:t>
            </w:r>
            <w:r>
              <w:rPr>
                <w:rFonts w:hint="eastAsia" w:ascii="仿宋" w:hAnsi="仿宋" w:eastAsia="仿宋" w:cs="仿宋"/>
                <w:color w:val="auto"/>
                <w:szCs w:val="21"/>
                <w:highlight w:val="none"/>
                <w:lang w:eastAsia="zh-CN"/>
              </w:rPr>
              <w:t>选配件及其他：为保证产品长期工作，在投标文件中列举与产品配套的选配件及其他设备的清单，具体包括选配件及其他设备的规格、用途、数量供采购人按需选购，并在今后一段时间内保持供应、价格不上涨，该项费用不包括在本次投标报价内；</w:t>
            </w:r>
          </w:p>
          <w:p w14:paraId="1E7094D6">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eastAsia="zh-CN"/>
              </w:rPr>
              <w:t>1</w:t>
            </w:r>
            <w:r>
              <w:rPr>
                <w:rFonts w:hint="eastAsia" w:ascii="仿宋" w:hAnsi="仿宋" w:eastAsia="仿宋" w:cs="仿宋"/>
                <w:color w:val="auto"/>
                <w:szCs w:val="21"/>
                <w:highlight w:val="none"/>
                <w:lang w:val="en-US" w:eastAsia="zh-CN"/>
              </w:rPr>
              <w:t>0</w:t>
            </w:r>
            <w:r>
              <w:rPr>
                <w:rFonts w:hint="eastAsia" w:ascii="仿宋" w:hAnsi="仿宋" w:eastAsia="仿宋" w:cs="仿宋"/>
                <w:color w:val="auto"/>
                <w:szCs w:val="21"/>
                <w:highlight w:val="none"/>
                <w:lang w:eastAsia="zh-CN"/>
              </w:rPr>
              <w:t>.工作范围：按国家有关标准及规范完成招标文件规定的所有工作内容，包括完成所有产品供货、履行所有规定服务、产品及服务达到招标文件规定的质量标准及使用要求等；</w:t>
            </w:r>
          </w:p>
          <w:p w14:paraId="212D1508">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11.</w:t>
            </w:r>
            <w:r>
              <w:rPr>
                <w:rFonts w:hint="eastAsia" w:ascii="仿宋" w:hAnsi="仿宋" w:eastAsia="仿宋" w:cs="仿宋"/>
                <w:color w:val="auto"/>
                <w:szCs w:val="21"/>
                <w:highlight w:val="none"/>
                <w:lang w:eastAsia="zh-CN"/>
              </w:rPr>
              <w:t>安装过程中安装服务提供方或其聘请的雇员遭受人身损害或安装服务提供方或其聘请的雇员令采购人或第三方遭受人身损害或财产损失，由此引起的一切法律责任由中标人全部承担，若采购人因此为中标人垫付任何款项，采购人有权要求中标人据实立即支付，且有权从应付中标人的价款中将上述款项自行扣除。</w:t>
            </w:r>
          </w:p>
        </w:tc>
      </w:tr>
      <w:tr w14:paraId="7A1404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731" w:type="dxa"/>
            <w:tcBorders>
              <w:top w:val="single" w:color="auto" w:sz="4" w:space="0"/>
              <w:left w:val="single" w:color="auto" w:sz="4" w:space="0"/>
              <w:bottom w:val="single" w:color="auto" w:sz="4" w:space="0"/>
              <w:right w:val="single" w:color="auto" w:sz="4" w:space="0"/>
            </w:tcBorders>
            <w:vAlign w:val="center"/>
          </w:tcPr>
          <w:p w14:paraId="3E368B15">
            <w:pPr>
              <w:keepNext w:val="0"/>
              <w:keepLines w:val="0"/>
              <w:pageBreakBefore w:val="0"/>
              <w:widowControl w:val="0"/>
              <w:kinsoku/>
              <w:wordWrap/>
              <w:overflowPunct/>
              <w:topLinePunct w:val="0"/>
              <w:autoSpaceDE/>
              <w:autoSpaceDN/>
              <w:bidi w:val="0"/>
              <w:adjustRightInd/>
              <w:snapToGrid w:val="0"/>
              <w:jc w:val="center"/>
              <w:textAlignment w:val="auto"/>
              <w:rPr>
                <w:rFonts w:hint="default" w:ascii="仿宋" w:hAnsi="仿宋" w:eastAsia="仿宋" w:cs="仿宋"/>
                <w:b/>
                <w:bCs/>
                <w:color w:val="auto"/>
                <w:szCs w:val="21"/>
                <w:highlight w:val="none"/>
                <w:lang w:val="en-US" w:eastAsia="zh-CN"/>
              </w:rPr>
            </w:pPr>
            <w:r>
              <w:rPr>
                <w:rFonts w:hint="eastAsia" w:ascii="仿宋" w:hAnsi="仿宋" w:eastAsia="仿宋" w:cs="仿宋"/>
                <w:b/>
                <w:bCs/>
                <w:color w:val="auto"/>
                <w:szCs w:val="21"/>
                <w:highlight w:val="none"/>
                <w:lang w:val="en-US" w:eastAsia="zh-CN"/>
              </w:rPr>
              <w:t>履约验收</w:t>
            </w:r>
          </w:p>
        </w:tc>
        <w:tc>
          <w:tcPr>
            <w:tcW w:w="7897" w:type="dxa"/>
            <w:tcBorders>
              <w:top w:val="single" w:color="auto" w:sz="4" w:space="0"/>
              <w:left w:val="single" w:color="auto" w:sz="4" w:space="0"/>
              <w:bottom w:val="single" w:color="auto" w:sz="4" w:space="0"/>
              <w:right w:val="single" w:color="auto" w:sz="4" w:space="0"/>
            </w:tcBorders>
            <w:vAlign w:val="center"/>
          </w:tcPr>
          <w:p w14:paraId="7AB19508">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1.</w:t>
            </w:r>
            <w:r>
              <w:rPr>
                <w:rFonts w:hint="eastAsia" w:ascii="仿宋" w:hAnsi="仿宋" w:eastAsia="仿宋" w:cs="仿宋"/>
                <w:color w:val="auto"/>
                <w:szCs w:val="21"/>
                <w:highlight w:val="none"/>
              </w:rPr>
              <w:t>验收主体：自然资源部第二海洋研究所</w:t>
            </w:r>
            <w:r>
              <w:rPr>
                <w:rFonts w:hint="eastAsia" w:ascii="仿宋" w:hAnsi="仿宋" w:eastAsia="仿宋" w:cs="仿宋"/>
                <w:color w:val="auto"/>
                <w:szCs w:val="21"/>
                <w:highlight w:val="none"/>
                <w:lang w:eastAsia="zh-CN"/>
              </w:rPr>
              <w:t>；</w:t>
            </w:r>
          </w:p>
          <w:p w14:paraId="3D01F40D">
            <w:pPr>
              <w:keepNext w:val="0"/>
              <w:keepLines w:val="0"/>
              <w:pageBreakBefore w:val="0"/>
              <w:widowControl w:val="0"/>
              <w:kinsoku/>
              <w:wordWrap/>
              <w:overflowPunct/>
              <w:topLinePunct w:val="0"/>
              <w:autoSpaceDE/>
              <w:autoSpaceDN/>
              <w:bidi w:val="0"/>
              <w:adjustRightInd/>
              <w:snapToGrid w:val="0"/>
              <w:textAlignment w:val="auto"/>
              <w:rPr>
                <w:rFonts w:hint="default"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2.</w:t>
            </w:r>
            <w:r>
              <w:rPr>
                <w:rFonts w:hint="eastAsia" w:ascii="仿宋" w:hAnsi="仿宋" w:eastAsia="仿宋" w:cs="仿宋"/>
                <w:color w:val="auto"/>
                <w:szCs w:val="21"/>
                <w:highlight w:val="none"/>
              </w:rPr>
              <w:t>验收时间：</w:t>
            </w:r>
            <w:r>
              <w:rPr>
                <w:rFonts w:hint="eastAsia" w:ascii="仿宋" w:hAnsi="仿宋" w:eastAsia="仿宋" w:cs="仿宋"/>
                <w:color w:val="auto"/>
                <w:szCs w:val="21"/>
                <w:highlight w:val="none"/>
                <w:lang w:val="en-US" w:eastAsia="zh-CN"/>
              </w:rPr>
              <w:t>详见合同条款“六、产品验收”；</w:t>
            </w:r>
          </w:p>
          <w:p w14:paraId="2E9F2CA7">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3.</w:t>
            </w:r>
            <w:r>
              <w:rPr>
                <w:rFonts w:hint="eastAsia" w:ascii="仿宋" w:hAnsi="仿宋" w:eastAsia="仿宋" w:cs="仿宋"/>
                <w:color w:val="auto"/>
                <w:szCs w:val="21"/>
                <w:highlight w:val="none"/>
              </w:rPr>
              <w:t>验收方式：根据采购人要求组织验收</w:t>
            </w:r>
            <w:r>
              <w:rPr>
                <w:rFonts w:hint="eastAsia" w:ascii="仿宋" w:hAnsi="仿宋" w:eastAsia="仿宋" w:cs="仿宋"/>
                <w:color w:val="auto"/>
                <w:szCs w:val="21"/>
                <w:highlight w:val="none"/>
                <w:lang w:eastAsia="zh-CN"/>
              </w:rPr>
              <w:t>；</w:t>
            </w:r>
          </w:p>
          <w:p w14:paraId="6466AE37">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4.</w:t>
            </w:r>
            <w:r>
              <w:rPr>
                <w:rFonts w:hint="eastAsia" w:ascii="仿宋" w:hAnsi="仿宋" w:eastAsia="仿宋" w:cs="仿宋"/>
                <w:color w:val="auto"/>
                <w:szCs w:val="21"/>
                <w:highlight w:val="none"/>
              </w:rPr>
              <w:t>验收程序</w:t>
            </w:r>
          </w:p>
          <w:p w14:paraId="3676CA5E">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4.1 </w:t>
            </w:r>
            <w:r>
              <w:rPr>
                <w:rFonts w:hint="eastAsia" w:ascii="仿宋" w:hAnsi="仿宋" w:eastAsia="仿宋" w:cs="仿宋"/>
                <w:color w:val="auto"/>
                <w:szCs w:val="21"/>
                <w:highlight w:val="none"/>
              </w:rPr>
              <w:t>中标人提供相关的验收材料（不限于）：投标产品</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产品操作手册及其他相关文件；</w:t>
            </w:r>
          </w:p>
          <w:p w14:paraId="252B4040">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4.2 </w:t>
            </w:r>
            <w:r>
              <w:rPr>
                <w:rFonts w:hint="eastAsia" w:ascii="仿宋" w:hAnsi="仿宋" w:eastAsia="仿宋" w:cs="仿宋"/>
                <w:color w:val="auto"/>
                <w:szCs w:val="21"/>
                <w:highlight w:val="none"/>
              </w:rPr>
              <w:t>档案材料验收：验收小组根据采购合同及</w:t>
            </w:r>
            <w:r>
              <w:rPr>
                <w:rFonts w:hint="eastAsia" w:ascii="仿宋" w:hAnsi="仿宋" w:eastAsia="仿宋" w:cs="仿宋"/>
                <w:color w:val="auto"/>
                <w:szCs w:val="21"/>
                <w:highlight w:val="none"/>
                <w:lang w:val="en-US" w:eastAsia="zh-CN"/>
              </w:rPr>
              <w:t>招标</w:t>
            </w:r>
            <w:r>
              <w:rPr>
                <w:rFonts w:hint="eastAsia" w:ascii="仿宋" w:hAnsi="仿宋" w:eastAsia="仿宋" w:cs="仿宋"/>
                <w:color w:val="auto"/>
                <w:szCs w:val="21"/>
                <w:highlight w:val="none"/>
              </w:rPr>
              <w:t>内容，对项目履约过程中的相关档案及材料、过程文件资料和效果等方面进行逐项查验，并对相关证明文件进行验收；</w:t>
            </w:r>
          </w:p>
          <w:p w14:paraId="3EAD9367">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4.3 </w:t>
            </w:r>
            <w:r>
              <w:rPr>
                <w:rFonts w:hint="eastAsia" w:ascii="仿宋" w:hAnsi="仿宋" w:eastAsia="仿宋" w:cs="仿宋"/>
                <w:color w:val="auto"/>
                <w:szCs w:val="21"/>
                <w:highlight w:val="none"/>
              </w:rPr>
              <w:t>验收小组在验收过程中，对验收的内容及情况与实际查验结果不符合采购合同约定的情况如实反馈，并做相应记录；</w:t>
            </w:r>
          </w:p>
          <w:p w14:paraId="3A0D2BBC">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lang w:val="en-US" w:eastAsia="zh-CN"/>
              </w:rPr>
              <w:t xml:space="preserve">4.4 </w:t>
            </w:r>
            <w:r>
              <w:rPr>
                <w:rFonts w:hint="eastAsia" w:ascii="仿宋" w:hAnsi="仿宋" w:eastAsia="仿宋" w:cs="仿宋"/>
                <w:color w:val="auto"/>
                <w:szCs w:val="21"/>
                <w:highlight w:val="none"/>
              </w:rPr>
              <w:t>查验结束后召开验收讨论会，验收小组结合档案材料验收情况对项目履约完成情况进行讨论总结，得出验收结论，并出具验收报告。验收报告应当根据验收方案制作，并经验收小组全体成员签字。验收小组成员对验收报告载明的结论有异议的，应当在验收报告上签署不同意见并说明理由，否则视为同意验收结论。</w:t>
            </w:r>
          </w:p>
          <w:p w14:paraId="210BDBF6">
            <w:pPr>
              <w:keepNext w:val="0"/>
              <w:keepLines w:val="0"/>
              <w:pageBreakBefore w:val="0"/>
              <w:widowControl w:val="0"/>
              <w:kinsoku/>
              <w:wordWrap/>
              <w:overflowPunct/>
              <w:topLinePunct w:val="0"/>
              <w:autoSpaceDE/>
              <w:autoSpaceDN/>
              <w:bidi w:val="0"/>
              <w:adjustRightInd/>
              <w:snapToGrid w:val="0"/>
              <w:textAlignment w:val="auto"/>
              <w:rPr>
                <w:rFonts w:hint="eastAsia" w:ascii="仿宋" w:hAnsi="仿宋" w:eastAsia="仿宋" w:cs="仿宋"/>
                <w:color w:val="auto"/>
                <w:szCs w:val="21"/>
                <w:highlight w:val="none"/>
                <w:lang w:eastAsia="zh-CN"/>
              </w:rPr>
            </w:pPr>
            <w:r>
              <w:rPr>
                <w:rFonts w:hint="eastAsia" w:ascii="仿宋" w:hAnsi="仿宋" w:eastAsia="仿宋" w:cs="仿宋"/>
                <w:color w:val="auto"/>
                <w:szCs w:val="21"/>
                <w:highlight w:val="none"/>
                <w:lang w:val="en-US" w:eastAsia="zh-CN"/>
              </w:rPr>
              <w:t>5.</w:t>
            </w:r>
            <w:r>
              <w:rPr>
                <w:rFonts w:hint="eastAsia" w:ascii="仿宋" w:hAnsi="仿宋" w:eastAsia="仿宋" w:cs="仿宋"/>
                <w:color w:val="auto"/>
                <w:szCs w:val="21"/>
                <w:highlight w:val="none"/>
              </w:rPr>
              <w:t>验收内容：根据招标文件中“采购需求”内容进行验收</w:t>
            </w:r>
            <w:r>
              <w:rPr>
                <w:rFonts w:hint="eastAsia" w:ascii="仿宋" w:hAnsi="仿宋" w:eastAsia="仿宋" w:cs="仿宋"/>
                <w:color w:val="auto"/>
                <w:szCs w:val="21"/>
                <w:highlight w:val="none"/>
                <w:lang w:eastAsia="zh-CN"/>
              </w:rPr>
              <w:t>；</w:t>
            </w:r>
          </w:p>
          <w:p w14:paraId="2B2FC5E2">
            <w:pPr>
              <w:keepNext w:val="0"/>
              <w:keepLines w:val="0"/>
              <w:pageBreakBefore w:val="0"/>
              <w:widowControl w:val="0"/>
              <w:kinsoku/>
              <w:wordWrap/>
              <w:overflowPunct/>
              <w:topLinePunct w:val="0"/>
              <w:autoSpaceDE/>
              <w:autoSpaceDN/>
              <w:bidi w:val="0"/>
              <w:adjustRightInd/>
              <w:snapToGrid w:val="0"/>
              <w:textAlignment w:val="auto"/>
              <w:rPr>
                <w:rFonts w:ascii="仿宋" w:hAnsi="仿宋" w:eastAsia="仿宋" w:cs="仿宋"/>
                <w:color w:val="auto"/>
                <w:szCs w:val="21"/>
                <w:highlight w:val="none"/>
              </w:rPr>
            </w:pPr>
            <w:r>
              <w:rPr>
                <w:rFonts w:hint="eastAsia" w:ascii="仿宋" w:hAnsi="仿宋" w:eastAsia="仿宋" w:cs="仿宋"/>
                <w:color w:val="auto"/>
                <w:szCs w:val="21"/>
                <w:highlight w:val="none"/>
                <w:lang w:val="en-US" w:eastAsia="zh-CN"/>
              </w:rPr>
              <w:t>6.</w:t>
            </w:r>
            <w:r>
              <w:rPr>
                <w:rFonts w:hint="eastAsia" w:ascii="仿宋" w:hAnsi="仿宋" w:eastAsia="仿宋" w:cs="仿宋"/>
                <w:color w:val="auto"/>
                <w:szCs w:val="21"/>
                <w:highlight w:val="none"/>
              </w:rPr>
              <w:t>验收标准：根据招标文件、投标文件及采购合同等采购文件确定的技术指标或者服务要求确定。</w:t>
            </w:r>
          </w:p>
        </w:tc>
      </w:tr>
    </w:tbl>
    <w:p w14:paraId="03D3B972">
      <w:pPr>
        <w:keepNext w:val="0"/>
        <w:keepLines w:val="0"/>
        <w:pageBreakBefore w:val="0"/>
        <w:widowControl w:val="0"/>
        <w:kinsoku/>
        <w:wordWrap/>
        <w:overflowPunct/>
        <w:topLinePunct w:val="0"/>
        <w:autoSpaceDE/>
        <w:autoSpaceDN/>
        <w:bidi w:val="0"/>
        <w:adjustRightInd w:val="0"/>
        <w:snapToGrid w:val="0"/>
        <w:spacing w:line="288" w:lineRule="auto"/>
        <w:textAlignment w:val="auto"/>
        <w:outlineLvl w:val="9"/>
        <w:rPr>
          <w:rFonts w:hint="eastAsia" w:ascii="仿宋" w:hAnsi="仿宋" w:eastAsia="仿宋" w:cs="仿宋"/>
          <w:b/>
          <w:szCs w:val="21"/>
        </w:rPr>
      </w:pPr>
    </w:p>
    <w:p w14:paraId="655C29BD">
      <w:pPr>
        <w:adjustRightInd w:val="0"/>
        <w:snapToGrid w:val="0"/>
        <w:spacing w:line="288" w:lineRule="auto"/>
        <w:outlineLvl w:val="1"/>
        <w:rPr>
          <w:rFonts w:ascii="仿宋" w:hAnsi="仿宋" w:eastAsia="仿宋" w:cs="仿宋"/>
          <w:szCs w:val="21"/>
        </w:rPr>
      </w:pPr>
      <w:r>
        <w:rPr>
          <w:rFonts w:hint="eastAsia" w:ascii="仿宋" w:hAnsi="仿宋" w:eastAsia="仿宋" w:cs="仿宋"/>
          <w:b/>
          <w:szCs w:val="21"/>
        </w:rPr>
        <w:t>四、技术要求</w:t>
      </w:r>
    </w:p>
    <w:p w14:paraId="00B0FF9B">
      <w:pPr>
        <w:adjustRightInd w:val="0"/>
        <w:snapToGrid w:val="0"/>
        <w:spacing w:line="288" w:lineRule="auto"/>
        <w:ind w:firstLine="422" w:firstLineChars="200"/>
        <w:rPr>
          <w:rFonts w:ascii="仿宋" w:hAnsi="仿宋" w:eastAsia="仿宋" w:cs="仿宋"/>
          <w:b/>
          <w:bCs/>
          <w:szCs w:val="21"/>
        </w:rPr>
      </w:pPr>
      <w:bookmarkStart w:id="1" w:name="_Hlk92271413"/>
      <w:r>
        <w:rPr>
          <w:rFonts w:hint="eastAsia" w:ascii="仿宋" w:hAnsi="仿宋" w:eastAsia="仿宋" w:cs="仿宋"/>
          <w:b/>
          <w:bCs/>
          <w:szCs w:val="21"/>
        </w:rPr>
        <w:t>1.需执行的国家相关标准、行业标准、地方标准或者其他标准、规范</w:t>
      </w:r>
    </w:p>
    <w:bookmarkEnd w:id="1"/>
    <w:p w14:paraId="39E51D33">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1.1 产品品牌所在国有强制性标准的执行产品品牌所在国强制性标准，如涉及中华人民共和国规定的标准及规范、行业标准及规范、其它相关标准及规范，则按最新相关标准及规范执行，上述标准及规范如有不一致，则以更严格者为准；</w:t>
      </w:r>
    </w:p>
    <w:p w14:paraId="6EC4EB0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1.2 产品本体、零部件、配件产品质量符合中华人民共和国及产品品牌所在国有关质量标准，上述标准如有不一致，则以更严格者为准。</w:t>
      </w:r>
    </w:p>
    <w:p w14:paraId="1F43EFAF">
      <w:pPr>
        <w:keepNext w:val="0"/>
        <w:keepLines w:val="0"/>
        <w:pageBreakBefore w:val="0"/>
        <w:widowControl w:val="0"/>
        <w:kinsoku/>
        <w:wordWrap/>
        <w:overflowPunct/>
        <w:topLinePunct w:val="0"/>
        <w:autoSpaceDE/>
        <w:autoSpaceDN/>
        <w:bidi w:val="0"/>
        <w:adjustRightInd w:val="0"/>
        <w:snapToGrid w:val="0"/>
        <w:spacing w:line="288" w:lineRule="auto"/>
        <w:ind w:firstLine="422" w:firstLineChars="200"/>
        <w:textAlignment w:val="auto"/>
        <w:rPr>
          <w:rFonts w:hint="eastAsia" w:ascii="仿宋" w:hAnsi="仿宋" w:eastAsia="仿宋" w:cs="仿宋"/>
          <w:szCs w:val="21"/>
          <w:highlight w:val="none"/>
          <w:lang w:val="en-US" w:eastAsia="zh-CN"/>
        </w:rPr>
      </w:pPr>
      <w:r>
        <w:rPr>
          <w:rFonts w:hint="eastAsia" w:ascii="仿宋" w:hAnsi="仿宋" w:eastAsia="仿宋" w:cs="仿宋"/>
          <w:b/>
          <w:bCs/>
          <w:color w:val="auto"/>
          <w:szCs w:val="21"/>
          <w:highlight w:val="none"/>
        </w:rPr>
        <w:t>2.需实现的功能或者目标</w:t>
      </w:r>
      <w:r>
        <w:rPr>
          <w:rFonts w:hint="eastAsia" w:ascii="仿宋" w:hAnsi="仿宋" w:eastAsia="仿宋" w:cs="仿宋"/>
          <w:b/>
          <w:bCs/>
          <w:color w:val="auto"/>
          <w:szCs w:val="21"/>
          <w:highlight w:val="none"/>
          <w:lang w:eastAsia="zh-CN"/>
        </w:rPr>
        <w:t>：</w:t>
      </w:r>
      <w:r>
        <w:rPr>
          <w:rFonts w:hint="eastAsia" w:ascii="仿宋" w:hAnsi="仿宋" w:eastAsia="仿宋" w:cs="仿宋"/>
          <w:szCs w:val="21"/>
          <w:highlight w:val="none"/>
        </w:rPr>
        <w:t>交钥匙项目</w:t>
      </w:r>
      <w:r>
        <w:rPr>
          <w:rFonts w:hint="eastAsia" w:ascii="仿宋" w:hAnsi="仿宋" w:eastAsia="仿宋" w:cs="仿宋"/>
          <w:szCs w:val="21"/>
          <w:highlight w:val="none"/>
          <w:lang w:eastAsia="zh-CN"/>
        </w:rPr>
        <w:t>，</w:t>
      </w:r>
      <w:r>
        <w:rPr>
          <w:rFonts w:hint="eastAsia" w:ascii="仿宋" w:hAnsi="仿宋" w:eastAsia="仿宋" w:cs="仿宋"/>
          <w:szCs w:val="21"/>
          <w:highlight w:val="none"/>
        </w:rPr>
        <w:t>采购人在招标文件中未列明的所需辅材、附件、配件、线缆等后续将不再单独支付费用，招标文件未提及但完备</w:t>
      </w:r>
      <w:r>
        <w:rPr>
          <w:rFonts w:hint="eastAsia" w:ascii="仿宋" w:hAnsi="仿宋" w:eastAsia="仿宋" w:cs="仿宋"/>
          <w:szCs w:val="21"/>
          <w:highlight w:val="none"/>
          <w:lang w:val="en-US" w:eastAsia="zh-CN"/>
        </w:rPr>
        <w:t>产品</w:t>
      </w:r>
      <w:r>
        <w:rPr>
          <w:rFonts w:hint="eastAsia" w:ascii="仿宋" w:hAnsi="仿宋" w:eastAsia="仿宋" w:cs="仿宋"/>
          <w:szCs w:val="21"/>
          <w:highlight w:val="none"/>
        </w:rPr>
        <w:t>运行所需的其它软硬件和改造内容均由中标人提供</w:t>
      </w:r>
      <w:r>
        <w:rPr>
          <w:rFonts w:hint="eastAsia" w:ascii="仿宋" w:hAnsi="仿宋" w:eastAsia="仿宋" w:cs="仿宋"/>
          <w:szCs w:val="21"/>
          <w:highlight w:val="none"/>
          <w:lang w:eastAsia="zh-CN"/>
        </w:rPr>
        <w:t>（</w:t>
      </w:r>
      <w:r>
        <w:rPr>
          <w:rFonts w:hint="eastAsia" w:ascii="仿宋" w:hAnsi="仿宋" w:eastAsia="仿宋" w:cs="仿宋"/>
          <w:color w:val="auto"/>
          <w:szCs w:val="21"/>
          <w:highlight w:val="none"/>
          <w:lang w:eastAsia="zh-CN"/>
        </w:rPr>
        <w:t>费用包含在投标总价中）</w:t>
      </w:r>
      <w:r>
        <w:rPr>
          <w:rFonts w:hint="eastAsia" w:ascii="仿宋" w:hAnsi="仿宋" w:eastAsia="仿宋" w:cs="仿宋"/>
          <w:szCs w:val="21"/>
          <w:highlight w:val="none"/>
        </w:rPr>
        <w:t>并提供同等维保服务</w:t>
      </w:r>
      <w:r>
        <w:rPr>
          <w:rFonts w:hint="eastAsia" w:ascii="仿宋" w:hAnsi="仿宋" w:eastAsia="仿宋" w:cs="仿宋"/>
          <w:szCs w:val="21"/>
          <w:highlight w:val="none"/>
          <w:lang w:val="en-US" w:eastAsia="zh-CN"/>
        </w:rPr>
        <w:t>。</w:t>
      </w:r>
    </w:p>
    <w:p w14:paraId="66CE8086">
      <w:pPr>
        <w:adjustRightInd w:val="0"/>
        <w:snapToGrid w:val="0"/>
        <w:spacing w:line="288" w:lineRule="auto"/>
        <w:ind w:firstLine="406" w:firstLineChars="200"/>
        <w:rPr>
          <w:rFonts w:ascii="仿宋" w:hAnsi="仿宋" w:eastAsia="仿宋" w:cs="仿宋"/>
          <w:b/>
          <w:bCs/>
          <w:spacing w:val="-4"/>
          <w:szCs w:val="21"/>
        </w:rPr>
      </w:pPr>
      <w:r>
        <w:rPr>
          <w:rFonts w:hint="eastAsia" w:ascii="仿宋" w:hAnsi="仿宋" w:eastAsia="仿宋" w:cs="仿宋"/>
          <w:b/>
          <w:bCs/>
          <w:spacing w:val="-4"/>
          <w:szCs w:val="21"/>
        </w:rPr>
        <w:t>3.需满足的质量、安全、技术规格、物理特性等要求</w:t>
      </w:r>
    </w:p>
    <w:tbl>
      <w:tblPr>
        <w:tblStyle w:val="2"/>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581"/>
        <w:gridCol w:w="683"/>
        <w:gridCol w:w="684"/>
        <w:gridCol w:w="6010"/>
      </w:tblGrid>
      <w:tr w14:paraId="09C3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 w:type="dxa"/>
            <w:vAlign w:val="center"/>
          </w:tcPr>
          <w:p w14:paraId="24A79518">
            <w:pPr>
              <w:jc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序号</w:t>
            </w:r>
          </w:p>
        </w:tc>
        <w:tc>
          <w:tcPr>
            <w:tcW w:w="1581" w:type="dxa"/>
            <w:vAlign w:val="center"/>
          </w:tcPr>
          <w:p w14:paraId="63A3948A">
            <w:pPr>
              <w:jc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lang w:val="en-US" w:eastAsia="zh-CN"/>
                <w14:textFill>
                  <w14:solidFill>
                    <w14:schemeClr w14:val="tx1"/>
                  </w14:solidFill>
                </w14:textFill>
              </w:rPr>
              <w:t>标的</w:t>
            </w:r>
            <w:r>
              <w:rPr>
                <w:rFonts w:hint="eastAsia" w:ascii="仿宋" w:hAnsi="仿宋" w:eastAsia="仿宋" w:cs="仿宋"/>
                <w:b/>
                <w:bCs/>
                <w:color w:val="000000" w:themeColor="text1"/>
                <w:szCs w:val="21"/>
                <w14:textFill>
                  <w14:solidFill>
                    <w14:schemeClr w14:val="tx1"/>
                  </w14:solidFill>
                </w14:textFill>
              </w:rPr>
              <w:t>名称</w:t>
            </w:r>
          </w:p>
        </w:tc>
        <w:tc>
          <w:tcPr>
            <w:tcW w:w="683" w:type="dxa"/>
            <w:vAlign w:val="center"/>
          </w:tcPr>
          <w:p w14:paraId="30D06795">
            <w:pPr>
              <w:jc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数量</w:t>
            </w:r>
          </w:p>
        </w:tc>
        <w:tc>
          <w:tcPr>
            <w:tcW w:w="684" w:type="dxa"/>
            <w:vAlign w:val="center"/>
          </w:tcPr>
          <w:p w14:paraId="062AEF0D">
            <w:pPr>
              <w:jc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单位</w:t>
            </w:r>
          </w:p>
        </w:tc>
        <w:tc>
          <w:tcPr>
            <w:tcW w:w="6010" w:type="dxa"/>
            <w:vAlign w:val="center"/>
          </w:tcPr>
          <w:p w14:paraId="356977A7">
            <w:pPr>
              <w:jc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szCs w:val="21"/>
                <w14:textFill>
                  <w14:solidFill>
                    <w14:schemeClr w14:val="tx1"/>
                  </w14:solidFill>
                </w14:textFill>
              </w:rPr>
              <w:t>要求</w:t>
            </w:r>
          </w:p>
        </w:tc>
      </w:tr>
      <w:tr w14:paraId="7A63A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 w:type="dxa"/>
            <w:vAlign w:val="center"/>
          </w:tcPr>
          <w:p w14:paraId="3012657E">
            <w:pPr>
              <w:snapToGrid w:val="0"/>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1</w:t>
            </w:r>
          </w:p>
        </w:tc>
        <w:tc>
          <w:tcPr>
            <w:tcW w:w="1581" w:type="dxa"/>
            <w:vAlign w:val="center"/>
          </w:tcPr>
          <w:p w14:paraId="304B755A">
            <w:pPr>
              <w:snapToGrid w:val="0"/>
              <w:jc w:val="center"/>
              <w:rPr>
                <w:rFonts w:ascii="仿宋" w:hAnsi="仿宋" w:eastAsia="仿宋" w:cs="仿宋"/>
                <w:szCs w:val="21"/>
              </w:rPr>
            </w:pPr>
            <w:r>
              <w:rPr>
                <w:rFonts w:hint="eastAsia" w:ascii="仿宋" w:hAnsi="仿宋" w:eastAsia="仿宋" w:cs="仿宋"/>
                <w:szCs w:val="21"/>
              </w:rPr>
              <w:t>多参数水质仪</w:t>
            </w:r>
          </w:p>
          <w:p w14:paraId="18D5713E">
            <w:pPr>
              <w:snapToGrid w:val="0"/>
              <w:jc w:val="center"/>
              <w:rPr>
                <w:rFonts w:ascii="仿宋" w:hAnsi="仿宋" w:eastAsia="仿宋" w:cs="仿宋"/>
                <w:szCs w:val="21"/>
              </w:rPr>
            </w:pPr>
            <w:r>
              <w:rPr>
                <w:rFonts w:hint="eastAsia" w:ascii="仿宋" w:hAnsi="仿宋" w:eastAsia="仿宋" w:cs="仿宋"/>
                <w:b/>
                <w:bCs/>
                <w:szCs w:val="21"/>
              </w:rPr>
              <w:t>（允许进口）</w:t>
            </w:r>
          </w:p>
        </w:tc>
        <w:tc>
          <w:tcPr>
            <w:tcW w:w="683" w:type="dxa"/>
            <w:vAlign w:val="center"/>
          </w:tcPr>
          <w:p w14:paraId="185A6BCE">
            <w:pPr>
              <w:snapToGrid w:val="0"/>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8</w:t>
            </w:r>
          </w:p>
        </w:tc>
        <w:tc>
          <w:tcPr>
            <w:tcW w:w="684" w:type="dxa"/>
            <w:vAlign w:val="center"/>
          </w:tcPr>
          <w:p w14:paraId="6DCA822F">
            <w:pPr>
              <w:jc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szCs w:val="21"/>
              </w:rPr>
              <w:t>套</w:t>
            </w:r>
          </w:p>
        </w:tc>
        <w:tc>
          <w:tcPr>
            <w:tcW w:w="6010" w:type="dxa"/>
            <w:vAlign w:val="center"/>
          </w:tcPr>
          <w:p w14:paraId="37EC2F35">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1.耐压深度：≥7000m；</w:t>
            </w:r>
          </w:p>
          <w:p w14:paraId="4445EEEB">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2.工作方式：自容方式；</w:t>
            </w:r>
          </w:p>
          <w:p w14:paraId="5AAB572B">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3.温度</w:t>
            </w:r>
          </w:p>
          <w:p w14:paraId="2C63EC43">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3.1 测量范围：≥-5℃~+45℃；</w:t>
            </w:r>
          </w:p>
          <w:p w14:paraId="5EB06B7E">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3.2 准确度：</w:t>
            </w:r>
            <w:r>
              <w:rPr>
                <w:rFonts w:hint="eastAsia" w:ascii="仿宋" w:hAnsi="仿宋" w:eastAsia="仿宋" w:cs="仿宋"/>
              </w:rPr>
              <w:t>≤0.002℃（-5℃~+35℃）、≤0.01℃（35~45℃）；</w:t>
            </w:r>
          </w:p>
          <w:p w14:paraId="7B91914B">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★3.3 稳定度：≤0.0002℃/月；</w:t>
            </w:r>
          </w:p>
          <w:p w14:paraId="4030576A">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3.4 分辨率：≤0.0001℃。</w:t>
            </w:r>
          </w:p>
          <w:p w14:paraId="264BCCB3">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4.盐度（电导率）</w:t>
            </w:r>
          </w:p>
          <w:p w14:paraId="2B2C728D">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4.1 测量范围：≥0~70mS/cm；</w:t>
            </w:r>
          </w:p>
          <w:p w14:paraId="5FC3FA85">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4.2 准确度：≤0.003mS/cm；</w:t>
            </w:r>
          </w:p>
          <w:p w14:paraId="2BE7F847">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★4.3 稳定度：≤0.003mS/cm/月；</w:t>
            </w:r>
          </w:p>
          <w:p w14:paraId="282A27DB">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4.4 分辨率：≤0.0001mS/cm。</w:t>
            </w:r>
          </w:p>
          <w:p w14:paraId="723E0FBE">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5.压力</w:t>
            </w:r>
          </w:p>
          <w:p w14:paraId="2832CE66">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5.1 测量范围：≥7000m；</w:t>
            </w:r>
          </w:p>
          <w:p w14:paraId="323D44E0">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5.2 准确度：≤0.1%满量程；</w:t>
            </w:r>
          </w:p>
          <w:p w14:paraId="72F4F154">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5.3 稳定度：≤0.05%满量程/年；</w:t>
            </w:r>
          </w:p>
          <w:p w14:paraId="1BDD3816">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6.配置防生物附着装置；</w:t>
            </w:r>
          </w:p>
          <w:p w14:paraId="015B67BE">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7.材料：钛合金耐压壳。</w:t>
            </w:r>
          </w:p>
        </w:tc>
      </w:tr>
      <w:tr w14:paraId="6B979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7" w:type="dxa"/>
            <w:vAlign w:val="center"/>
          </w:tcPr>
          <w:p w14:paraId="1DF023D7">
            <w:pPr>
              <w:snapToGrid w:val="0"/>
              <w:jc w:val="center"/>
              <w:rPr>
                <w:rFonts w:ascii="仿宋" w:hAnsi="仿宋" w:eastAsia="仿宋" w:cs="仿宋"/>
                <w:szCs w:val="21"/>
              </w:rPr>
            </w:pPr>
            <w:r>
              <w:rPr>
                <w:rFonts w:hint="eastAsia" w:ascii="仿宋" w:hAnsi="仿宋" w:eastAsia="仿宋" w:cs="仿宋"/>
                <w:szCs w:val="21"/>
              </w:rPr>
              <w:t>2</w:t>
            </w:r>
          </w:p>
        </w:tc>
        <w:tc>
          <w:tcPr>
            <w:tcW w:w="1581" w:type="dxa"/>
            <w:vAlign w:val="center"/>
          </w:tcPr>
          <w:p w14:paraId="28E10B5A">
            <w:pPr>
              <w:snapToGrid w:val="0"/>
              <w:jc w:val="center"/>
              <w:rPr>
                <w:rFonts w:ascii="仿宋" w:hAnsi="仿宋" w:eastAsia="仿宋" w:cs="仿宋"/>
                <w:szCs w:val="21"/>
              </w:rPr>
            </w:pPr>
            <w:r>
              <w:rPr>
                <w:rFonts w:hint="eastAsia" w:ascii="仿宋" w:hAnsi="仿宋" w:eastAsia="仿宋" w:cs="仿宋"/>
                <w:szCs w:val="21"/>
              </w:rPr>
              <w:t>ADCP</w:t>
            </w:r>
          </w:p>
          <w:p w14:paraId="44E07F33">
            <w:pPr>
              <w:snapToGrid w:val="0"/>
              <w:jc w:val="center"/>
              <w:rPr>
                <w:rFonts w:ascii="仿宋" w:hAnsi="仿宋" w:eastAsia="仿宋" w:cs="仿宋"/>
                <w:szCs w:val="21"/>
              </w:rPr>
            </w:pPr>
            <w:r>
              <w:rPr>
                <w:rFonts w:hint="eastAsia" w:ascii="仿宋" w:hAnsi="仿宋" w:eastAsia="仿宋" w:cs="仿宋"/>
                <w:szCs w:val="21"/>
              </w:rPr>
              <w:t>多普勒海流仪</w:t>
            </w:r>
          </w:p>
          <w:p w14:paraId="2E3B7E2F">
            <w:pPr>
              <w:snapToGrid w:val="0"/>
              <w:jc w:val="center"/>
              <w:rPr>
                <w:rFonts w:ascii="仿宋" w:hAnsi="仿宋" w:eastAsia="仿宋" w:cs="仿宋"/>
                <w:szCs w:val="21"/>
              </w:rPr>
            </w:pPr>
            <w:r>
              <w:rPr>
                <w:rFonts w:hint="eastAsia" w:ascii="仿宋" w:hAnsi="仿宋" w:eastAsia="仿宋" w:cs="仿宋"/>
                <w:b/>
                <w:bCs/>
                <w:szCs w:val="21"/>
              </w:rPr>
              <w:t>（核心产品）</w:t>
            </w:r>
          </w:p>
          <w:p w14:paraId="30AE9E1B">
            <w:pPr>
              <w:snapToGrid w:val="0"/>
              <w:jc w:val="center"/>
              <w:rPr>
                <w:rFonts w:ascii="仿宋" w:hAnsi="仿宋" w:eastAsia="仿宋" w:cs="仿宋"/>
                <w:szCs w:val="21"/>
              </w:rPr>
            </w:pPr>
            <w:r>
              <w:rPr>
                <w:rFonts w:hint="eastAsia" w:ascii="仿宋" w:hAnsi="仿宋" w:eastAsia="仿宋" w:cs="仿宋"/>
                <w:b/>
                <w:bCs/>
                <w:szCs w:val="21"/>
              </w:rPr>
              <w:t>（允许进口）</w:t>
            </w:r>
          </w:p>
        </w:tc>
        <w:tc>
          <w:tcPr>
            <w:tcW w:w="683" w:type="dxa"/>
            <w:vAlign w:val="center"/>
          </w:tcPr>
          <w:p w14:paraId="53EBFA77">
            <w:pPr>
              <w:snapToGrid w:val="0"/>
              <w:jc w:val="center"/>
              <w:rPr>
                <w:rFonts w:ascii="仿宋" w:hAnsi="仿宋" w:eastAsia="仿宋" w:cs="仿宋"/>
                <w:szCs w:val="21"/>
              </w:rPr>
            </w:pPr>
            <w:r>
              <w:rPr>
                <w:rFonts w:hint="eastAsia" w:ascii="仿宋" w:hAnsi="仿宋" w:eastAsia="仿宋" w:cs="仿宋"/>
                <w:szCs w:val="21"/>
              </w:rPr>
              <w:t>2</w:t>
            </w:r>
          </w:p>
        </w:tc>
        <w:tc>
          <w:tcPr>
            <w:tcW w:w="684" w:type="dxa"/>
            <w:vAlign w:val="center"/>
          </w:tcPr>
          <w:p w14:paraId="369BA8E5">
            <w:pPr>
              <w:jc w:val="center"/>
              <w:rPr>
                <w:rFonts w:ascii="仿宋" w:hAnsi="仿宋" w:eastAsia="仿宋" w:cs="仿宋"/>
                <w:szCs w:val="21"/>
              </w:rPr>
            </w:pPr>
            <w:r>
              <w:rPr>
                <w:rFonts w:hint="eastAsia" w:ascii="仿宋" w:hAnsi="仿宋" w:eastAsia="仿宋" w:cs="仿宋"/>
                <w:szCs w:val="21"/>
              </w:rPr>
              <w:t>套</w:t>
            </w:r>
          </w:p>
        </w:tc>
        <w:tc>
          <w:tcPr>
            <w:tcW w:w="6010" w:type="dxa"/>
            <w:vAlign w:val="center"/>
          </w:tcPr>
          <w:p w14:paraId="00CC149F">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1.声学频率：≤300kHz；</w:t>
            </w:r>
          </w:p>
          <w:p w14:paraId="493560B6">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★2.声学波数：≥4波束，波束角20°；</w:t>
            </w:r>
          </w:p>
          <w:p w14:paraId="2647907E">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3.耐压深度：≥6000m；</w:t>
            </w:r>
          </w:p>
          <w:p w14:paraId="19EC9FC6">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★4.测量范围：0~116m@宽带模式，0~154m@大量程模式；</w:t>
            </w:r>
          </w:p>
          <w:p w14:paraId="0DADC368">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5.流速范围：±5m/s(默认)(或优于)、±20m/s(最大)(或优于)；</w:t>
            </w:r>
          </w:p>
          <w:p w14:paraId="7B3B9DBE">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6.流速精度：≤水流速的±0.5%±5mm/s；</w:t>
            </w:r>
          </w:p>
          <w:p w14:paraId="2F0D3624">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7.流速分辨率：≤1mm/s；</w:t>
            </w:r>
          </w:p>
          <w:p w14:paraId="5BD7A013">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★8.深度层面数：1~255层；</w:t>
            </w:r>
          </w:p>
          <w:p w14:paraId="6C3C0204">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9.垂直分辨率：等同深度单元；</w:t>
            </w:r>
          </w:p>
          <w:p w14:paraId="3E2A3271">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10.发射频率：≥2Hz；</w:t>
            </w:r>
          </w:p>
          <w:p w14:paraId="4CD8313F">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11.数据通讯：RS232或RS422，波特率1200~115200；</w:t>
            </w:r>
          </w:p>
          <w:p w14:paraId="317CE0CB">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12.工作电压：42VDC；</w:t>
            </w:r>
          </w:p>
          <w:p w14:paraId="1EC0A02D">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13.标准传感器</w:t>
            </w:r>
          </w:p>
          <w:p w14:paraId="2FA773DF">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13.1 压力</w:t>
            </w:r>
          </w:p>
          <w:p w14:paraId="0D7575FE">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(1)传感器：水深≥6000m；</w:t>
            </w:r>
          </w:p>
          <w:p w14:paraId="4EA108BD">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(2)精度：≤0.25%满量程；</w:t>
            </w:r>
          </w:p>
          <w:p w14:paraId="6297AFED">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13.2 温度（装在换能器上）</w:t>
            </w:r>
          </w:p>
          <w:p w14:paraId="571266DD">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(1)量程：-5℃~+45℃(或优于)；</w:t>
            </w:r>
          </w:p>
          <w:p w14:paraId="1C1ECEA2">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(2)精密度：≤0.4℃；</w:t>
            </w:r>
          </w:p>
          <w:p w14:paraId="194F96E0">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(3)分辨率：≤0.01℃。</w:t>
            </w:r>
          </w:p>
          <w:p w14:paraId="2B9651D5">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13.3 倾斜</w:t>
            </w:r>
          </w:p>
          <w:p w14:paraId="53C73C37">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(1)量程：≥15°；</w:t>
            </w:r>
          </w:p>
          <w:p w14:paraId="26057A4D">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(2)准确度：≤0.5°；</w:t>
            </w:r>
          </w:p>
          <w:p w14:paraId="6BA36B83">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(3)精密度：≤0.5°；</w:t>
            </w:r>
          </w:p>
          <w:p w14:paraId="4B5A91D3">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(4)分辨率：≤0.01°。</w:t>
            </w:r>
          </w:p>
          <w:p w14:paraId="57065D48">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13.4 罗经(磁通门型，内置现场标定功能)</w:t>
            </w:r>
          </w:p>
          <w:p w14:paraId="7E8A8DFB">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(1)准确度：≤2°；</w:t>
            </w:r>
          </w:p>
          <w:p w14:paraId="17A256DA">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(2)精密度：≤0.5°；</w:t>
            </w:r>
          </w:p>
          <w:p w14:paraId="515628AA">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(3)分辨率：≤0.01°；</w:t>
            </w:r>
          </w:p>
          <w:p w14:paraId="1D11FF69">
            <w:pPr>
              <w:snapToGrid w:val="0"/>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szCs w:val="21"/>
                <w14:textFill>
                  <w14:solidFill>
                    <w14:schemeClr w14:val="tx1"/>
                  </w14:solidFill>
                </w14:textFill>
              </w:rPr>
              <w:t>(4)允许最大倾角：≥15°。</w:t>
            </w:r>
          </w:p>
        </w:tc>
      </w:tr>
    </w:tbl>
    <w:p w14:paraId="54E43A0F">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38681F"/>
    <w:rsid w:val="743868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2025-03-18T11:20:00Z</dcterms:created>
  <dc:creator>海</dc:creator>
  <cp:lastModifiedBy>海</cp:lastModifiedBy>
  <dcterms:modified xsi:type="dcterms:W3CDTF">2025-03-18T11:20:49Z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03B43CF391A14D1689BBBC3D642E901C_11</vt:lpwstr>
  </property>
  <property fmtid="{D5CDD505-2E9C-101B-9397-08002B2CF9AE}" pid="4" name="KSOTemplateDocerSaveRecord">
    <vt:lpwstr>eyJoZGlkIjoiNWUzZDI5NjkxNTZiZTRkYTM2NmU4MDkxMTQ4OTlmNjYiLCJ1c2VySWQiOiI5NjIxMjE3NzQifQ==</vt:lpwstr>
  </property>
</Properties>
</file>