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Theme="minorEastAsia" w:hAnsiTheme="minorEastAsia" w:eastAsiaTheme="minorEastAsia" w:cstheme="minorEastAsia"/>
          <w:b/>
          <w:bCs/>
          <w:color w:val="auto"/>
          <w:sz w:val="44"/>
          <w:szCs w:val="44"/>
          <w:highlight w:val="none"/>
        </w:rPr>
      </w:pPr>
      <w:bookmarkStart w:id="0" w:name="_Toc23730"/>
    </w:p>
    <w:bookmarkEnd w:id="0"/>
    <w:p>
      <w:pPr>
        <w:tabs>
          <w:tab w:val="left" w:pos="1985"/>
        </w:tabs>
        <w:spacing w:line="360" w:lineRule="auto"/>
        <w:jc w:val="center"/>
        <w:rPr>
          <w:rFonts w:asciiTheme="minorEastAsia" w:hAnsiTheme="minorEastAsia" w:eastAsiaTheme="minorEastAsia" w:cstheme="minorEastAsia"/>
          <w:b/>
          <w:color w:val="auto"/>
          <w:sz w:val="72"/>
          <w:szCs w:val="72"/>
          <w:highlight w:val="none"/>
        </w:rPr>
      </w:pPr>
      <w:r>
        <w:rPr>
          <w:rFonts w:asciiTheme="minorEastAsia" w:hAnsiTheme="minorEastAsia" w:eastAsiaTheme="minorEastAsia" w:cstheme="minorEastAsia"/>
          <w:b/>
          <w:color w:val="auto"/>
          <w:sz w:val="72"/>
          <w:szCs w:val="72"/>
          <w:highlight w:val="none"/>
        </w:rPr>
        <w:t xml:space="preserve"> </w:t>
      </w:r>
      <w:r>
        <w:rPr>
          <w:rFonts w:hint="eastAsia" w:ascii="Times New Roman" w:hAnsi="Times New Roman" w:cs="Times New Roman"/>
          <w:b/>
          <w:color w:val="auto"/>
          <w:sz w:val="56"/>
          <w:szCs w:val="56"/>
          <w:highlight w:val="none"/>
          <w:u w:val="none"/>
        </w:rPr>
        <w:t>便携式氧</w:t>
      </w:r>
      <w:r>
        <w:rPr>
          <w:rFonts w:ascii="Times New Roman" w:hAnsi="Times New Roman" w:cs="Times New Roman"/>
          <w:b/>
          <w:color w:val="auto"/>
          <w:sz w:val="56"/>
          <w:szCs w:val="56"/>
          <w:highlight w:val="none"/>
          <w:u w:val="none"/>
        </w:rPr>
        <w:t>化亚氮同位素分析仪</w:t>
      </w:r>
    </w:p>
    <w:p>
      <w:pPr>
        <w:tabs>
          <w:tab w:val="left" w:pos="1985"/>
        </w:tabs>
        <w:spacing w:line="360" w:lineRule="auto"/>
        <w:jc w:val="center"/>
        <w:rPr>
          <w:rFonts w:asciiTheme="minorEastAsia" w:hAnsiTheme="minorEastAsia" w:eastAsiaTheme="minorEastAsia" w:cstheme="minorEastAsia"/>
          <w:b/>
          <w:color w:val="auto"/>
          <w:sz w:val="72"/>
          <w:szCs w:val="72"/>
          <w:highlight w:val="none"/>
        </w:rPr>
      </w:pPr>
      <w:r>
        <w:rPr>
          <w:rFonts w:asciiTheme="minorEastAsia" w:hAnsiTheme="minorEastAsia" w:eastAsiaTheme="minorEastAsia" w:cstheme="minorEastAsia"/>
          <w:b/>
          <w:color w:val="auto"/>
          <w:sz w:val="72"/>
          <w:szCs w:val="72"/>
          <w:highlight w:val="none"/>
        </w:rPr>
        <w:t xml:space="preserve"> </w:t>
      </w:r>
    </w:p>
    <w:p>
      <w:pPr>
        <w:pStyle w:val="16"/>
        <w:rPr>
          <w:rFonts w:asciiTheme="minorEastAsia" w:hAnsiTheme="minorEastAsia" w:eastAsiaTheme="minorEastAsia" w:cstheme="minorEastAsia"/>
          <w:color w:val="auto"/>
          <w:highlight w:val="none"/>
        </w:rPr>
      </w:pPr>
    </w:p>
    <w:p>
      <w:pPr>
        <w:adjustRightInd/>
        <w:spacing w:line="360" w:lineRule="auto"/>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招 标 文 件</w:t>
      </w:r>
    </w:p>
    <w:p>
      <w:pPr>
        <w:adjustRightInd/>
        <w:spacing w:line="360" w:lineRule="auto"/>
        <w:jc w:val="center"/>
        <w:rPr>
          <w:rFonts w:asciiTheme="minorEastAsia" w:hAnsiTheme="minorEastAsia" w:eastAsiaTheme="minorEastAsia" w:cstheme="minorEastAsia"/>
          <w:color w:val="auto"/>
          <w:sz w:val="21"/>
          <w:szCs w:val="21"/>
          <w:highlight w:val="none"/>
        </w:rPr>
      </w:pPr>
    </w:p>
    <w:p>
      <w:pPr>
        <w:tabs>
          <w:tab w:val="left" w:pos="1985"/>
        </w:tabs>
        <w:spacing w:line="360" w:lineRule="auto"/>
        <w:jc w:val="center"/>
        <w:rPr>
          <w:rFonts w:hint="default" w:asciiTheme="minorEastAsia" w:hAnsiTheme="minorEastAsia" w:eastAsiaTheme="minorEastAsia" w:cstheme="minorEastAsia"/>
          <w:b/>
          <w:color w:val="auto"/>
          <w:sz w:val="30"/>
          <w:szCs w:val="30"/>
          <w:highlight w:val="none"/>
          <w:lang w:val="en-US" w:eastAsia="zh-CN"/>
        </w:rPr>
      </w:pPr>
      <w:bookmarkStart w:id="1" w:name="_Toc450515161"/>
      <w:r>
        <w:rPr>
          <w:rFonts w:hint="eastAsia" w:asciiTheme="minorEastAsia" w:hAnsiTheme="minorEastAsia" w:eastAsiaTheme="minorEastAsia" w:cstheme="minorEastAsia"/>
          <w:b/>
          <w:bCs/>
          <w:color w:val="auto"/>
          <w:spacing w:val="16"/>
          <w:sz w:val="32"/>
          <w:szCs w:val="32"/>
          <w:highlight w:val="none"/>
        </w:rPr>
        <w:t>项目编号:</w:t>
      </w:r>
      <w:bookmarkEnd w:id="1"/>
      <w:r>
        <w:rPr>
          <w:rFonts w:hint="eastAsia" w:asciiTheme="minorEastAsia" w:hAnsiTheme="minorEastAsia" w:eastAsiaTheme="minorEastAsia" w:cstheme="minorEastAsia"/>
          <w:b/>
          <w:bCs/>
          <w:color w:val="auto"/>
          <w:spacing w:val="16"/>
          <w:sz w:val="32"/>
          <w:szCs w:val="32"/>
          <w:highlight w:val="none"/>
          <w:lang w:val="en-US" w:eastAsia="zh-CN"/>
        </w:rPr>
        <w:t>AZF202300069</w:t>
      </w:r>
    </w:p>
    <w:p>
      <w:pPr>
        <w:adjustRightInd/>
        <w:spacing w:line="360" w:lineRule="auto"/>
        <w:ind w:firstLine="1440" w:firstLineChars="450"/>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 </w:t>
      </w:r>
    </w:p>
    <w:p>
      <w:pPr>
        <w:adjustRightInd/>
        <w:spacing w:line="360" w:lineRule="auto"/>
        <w:jc w:val="both"/>
        <w:rPr>
          <w:rFonts w:asciiTheme="minorEastAsia" w:hAnsiTheme="minorEastAsia" w:eastAsiaTheme="minorEastAsia" w:cstheme="minorEastAsia"/>
          <w:color w:val="auto"/>
          <w:sz w:val="32"/>
          <w:szCs w:val="32"/>
          <w:highlight w:val="none"/>
        </w:rPr>
      </w:pPr>
    </w:p>
    <w:p>
      <w:pPr>
        <w:adjustRightInd/>
        <w:spacing w:line="360" w:lineRule="auto"/>
        <w:jc w:val="both"/>
        <w:rPr>
          <w:rFonts w:asciiTheme="minorEastAsia" w:hAnsiTheme="minorEastAsia" w:eastAsiaTheme="minorEastAsia" w:cstheme="minorEastAsia"/>
          <w:color w:val="auto"/>
          <w:sz w:val="32"/>
          <w:szCs w:val="32"/>
          <w:highlight w:val="none"/>
        </w:rPr>
      </w:pP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color w:val="auto"/>
          <w:spacing w:val="16"/>
          <w:sz w:val="32"/>
          <w:szCs w:val="32"/>
          <w:highlight w:val="none"/>
          <w:u w:val="single"/>
        </w:rPr>
      </w:pPr>
      <w:r>
        <w:rPr>
          <w:rFonts w:hint="eastAsia" w:asciiTheme="minorEastAsia" w:hAnsiTheme="minorEastAsia" w:eastAsiaTheme="minorEastAsia" w:cstheme="minorEastAsia"/>
          <w:b/>
          <w:bCs/>
          <w:color w:val="auto"/>
          <w:spacing w:val="16"/>
          <w:sz w:val="32"/>
          <w:szCs w:val="32"/>
          <w:highlight w:val="none"/>
        </w:rPr>
        <w:t>采   购  人：</w:t>
      </w:r>
      <w:r>
        <w:rPr>
          <w:rFonts w:hint="eastAsia" w:asciiTheme="minorEastAsia" w:hAnsiTheme="minorEastAsia" w:eastAsiaTheme="minorEastAsia" w:cstheme="minorEastAsia"/>
          <w:b/>
          <w:bCs/>
          <w:color w:val="auto"/>
          <w:spacing w:val="16"/>
          <w:sz w:val="32"/>
          <w:szCs w:val="32"/>
          <w:highlight w:val="none"/>
          <w:u w:val="single"/>
        </w:rPr>
        <w:t xml:space="preserve">     西南大学              </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color w:val="auto"/>
          <w:spacing w:val="16"/>
          <w:sz w:val="32"/>
          <w:szCs w:val="32"/>
          <w:highlight w:val="none"/>
          <w:u w:val="single"/>
        </w:rPr>
      </w:pPr>
      <w:r>
        <w:rPr>
          <w:rFonts w:hint="eastAsia" w:asciiTheme="minorEastAsia" w:hAnsiTheme="minorEastAsia" w:eastAsiaTheme="minorEastAsia" w:cstheme="minorEastAsia"/>
          <w:b/>
          <w:bCs/>
          <w:color w:val="auto"/>
          <w:spacing w:val="16"/>
          <w:sz w:val="32"/>
          <w:szCs w:val="32"/>
          <w:highlight w:val="none"/>
        </w:rPr>
        <w:t>采购组织机构：</w:t>
      </w:r>
      <w:r>
        <w:rPr>
          <w:rFonts w:hint="eastAsia" w:asciiTheme="minorEastAsia" w:hAnsiTheme="minorEastAsia" w:eastAsiaTheme="minorEastAsia" w:cstheme="minorEastAsia"/>
          <w:b/>
          <w:bCs/>
          <w:color w:val="auto"/>
          <w:spacing w:val="16"/>
          <w:sz w:val="32"/>
          <w:szCs w:val="32"/>
          <w:highlight w:val="none"/>
          <w:u w:val="single"/>
        </w:rPr>
        <w:t>西南大学采购与招投标管理中心</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color w:val="auto"/>
          <w:spacing w:val="16"/>
          <w:sz w:val="36"/>
          <w:szCs w:val="36"/>
          <w:highlight w:val="none"/>
          <w:u w:val="single"/>
        </w:rPr>
      </w:pPr>
      <w:r>
        <w:rPr>
          <w:rFonts w:hint="eastAsia" w:asciiTheme="minorEastAsia" w:hAnsiTheme="minorEastAsia" w:eastAsiaTheme="minorEastAsia" w:cstheme="minorEastAsia"/>
          <w:b/>
          <w:bCs/>
          <w:color w:val="auto"/>
          <w:spacing w:val="16"/>
          <w:sz w:val="32"/>
          <w:szCs w:val="32"/>
          <w:highlight w:val="none"/>
        </w:rPr>
        <w:t>采购代理机构：</w:t>
      </w:r>
      <w:r>
        <w:rPr>
          <w:rFonts w:hint="eastAsia" w:asciiTheme="minorEastAsia" w:hAnsiTheme="minorEastAsia" w:eastAsiaTheme="minorEastAsia" w:cstheme="minorEastAsia"/>
          <w:b/>
          <w:bCs/>
          <w:color w:val="auto"/>
          <w:spacing w:val="16"/>
          <w:sz w:val="32"/>
          <w:szCs w:val="32"/>
          <w:highlight w:val="none"/>
          <w:u w:val="single"/>
        </w:rPr>
        <w:t>重庆联盛建设项目管理有限公司</w:t>
      </w:r>
    </w:p>
    <w:p>
      <w:pPr>
        <w:tabs>
          <w:tab w:val="left" w:pos="3200"/>
          <w:tab w:val="left" w:pos="4320"/>
          <w:tab w:val="left" w:pos="5420"/>
        </w:tabs>
        <w:autoSpaceDE w:val="0"/>
        <w:autoSpaceDN w:val="0"/>
        <w:snapToGrid w:val="0"/>
        <w:spacing w:line="360" w:lineRule="auto"/>
        <w:jc w:val="center"/>
        <w:rPr>
          <w:rFonts w:asciiTheme="minorEastAsia" w:hAnsiTheme="minorEastAsia" w:eastAsiaTheme="minorEastAsia" w:cstheme="minorEastAsia"/>
          <w:b/>
          <w:bCs/>
          <w:color w:val="auto"/>
          <w:spacing w:val="16"/>
          <w:w w:val="99"/>
          <w:sz w:val="36"/>
          <w:szCs w:val="36"/>
          <w:highlight w:val="none"/>
        </w:rPr>
      </w:pPr>
    </w:p>
    <w:p>
      <w:pPr>
        <w:pStyle w:val="19"/>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adjustRightInd/>
        <w:spacing w:line="360" w:lineRule="auto"/>
        <w:ind w:firstLine="3433" w:firstLineChars="950"/>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二〇二三年八月</w:t>
      </w:r>
    </w:p>
    <w:p>
      <w:pPr>
        <w:widowControl/>
        <w:spacing w:line="360" w:lineRule="auto"/>
        <w:jc w:val="center"/>
        <w:rPr>
          <w:rFonts w:asciiTheme="minorEastAsia" w:hAnsiTheme="minorEastAsia" w:eastAsiaTheme="minorEastAsia" w:cstheme="minorEastAsia"/>
          <w:b/>
          <w:color w:val="auto"/>
          <w:szCs w:val="28"/>
          <w:highlight w:val="none"/>
        </w:rPr>
      </w:pPr>
    </w:p>
    <w:p>
      <w:pPr>
        <w:widowControl/>
        <w:spacing w:line="360" w:lineRule="auto"/>
        <w:jc w:val="center"/>
        <w:rPr>
          <w:rFonts w:asciiTheme="minorEastAsia" w:hAnsiTheme="minorEastAsia" w:eastAsiaTheme="minorEastAsia" w:cstheme="minorEastAsia"/>
          <w:b/>
          <w:color w:val="auto"/>
          <w:szCs w:val="28"/>
          <w:highlight w:val="none"/>
        </w:rPr>
        <w:sectPr>
          <w:footerReference r:id="rId7" w:type="first"/>
          <w:headerReference r:id="rId5" w:type="default"/>
          <w:footerReference r:id="rId6" w:type="default"/>
          <w:pgSz w:w="11907" w:h="16840"/>
          <w:pgMar w:top="1418" w:right="1247" w:bottom="1247" w:left="1418" w:header="851" w:footer="851" w:gutter="0"/>
          <w:pgNumType w:start="1"/>
          <w:cols w:space="720" w:num="1"/>
          <w:titlePg/>
          <w:docGrid w:linePitch="326" w:charSpace="0"/>
        </w:sectPr>
      </w:pPr>
    </w:p>
    <w:p>
      <w:pPr>
        <w:snapToGrid w:val="0"/>
        <w:spacing w:line="360" w:lineRule="auto"/>
        <w:jc w:val="center"/>
        <w:outlineLvl w:val="0"/>
        <w:rPr>
          <w:rFonts w:asciiTheme="minorEastAsia" w:hAnsiTheme="minorEastAsia" w:eastAsiaTheme="minorEastAsia" w:cstheme="minorEastAsia"/>
          <w:b/>
          <w:bCs/>
          <w:color w:val="auto"/>
          <w:kern w:val="44"/>
          <w:sz w:val="44"/>
          <w:szCs w:val="44"/>
          <w:highlight w:val="none"/>
        </w:rPr>
      </w:pPr>
      <w:bookmarkStart w:id="2" w:name="_Toc408855417"/>
      <w:bookmarkStart w:id="3" w:name="_Toc328815981"/>
      <w:bookmarkStart w:id="4" w:name="_Toc105671347"/>
      <w:bookmarkStart w:id="5" w:name="_Toc429580581"/>
      <w:bookmarkStart w:id="6" w:name="_Toc497924384"/>
      <w:bookmarkStart w:id="7" w:name="_Toc21186"/>
      <w:bookmarkStart w:id="8" w:name="_Toc15833"/>
      <w:bookmarkStart w:id="9" w:name="_Toc135668343"/>
    </w:p>
    <w:p>
      <w:pPr>
        <w:snapToGrid w:val="0"/>
        <w:spacing w:line="360" w:lineRule="auto"/>
        <w:jc w:val="center"/>
        <w:outlineLvl w:val="0"/>
        <w:rPr>
          <w:rFonts w:asciiTheme="minorEastAsia" w:hAnsiTheme="minorEastAsia" w:eastAsiaTheme="minorEastAsia" w:cstheme="minorEastAsia"/>
          <w:b/>
          <w:bCs/>
          <w:color w:val="auto"/>
          <w:kern w:val="44"/>
          <w:sz w:val="44"/>
          <w:szCs w:val="44"/>
          <w:highlight w:val="none"/>
        </w:rPr>
      </w:pPr>
      <w:bookmarkStart w:id="10" w:name="_Toc138929553"/>
      <w:r>
        <w:rPr>
          <w:rFonts w:hint="eastAsia" w:asciiTheme="minorEastAsia" w:hAnsiTheme="minorEastAsia" w:eastAsiaTheme="minorEastAsia" w:cstheme="minorEastAsia"/>
          <w:b/>
          <w:bCs/>
          <w:color w:val="auto"/>
          <w:kern w:val="44"/>
          <w:sz w:val="44"/>
          <w:szCs w:val="44"/>
          <w:highlight w:val="none"/>
        </w:rPr>
        <w:t>目    录</w:t>
      </w:r>
      <w:bookmarkEnd w:id="2"/>
      <w:bookmarkEnd w:id="3"/>
      <w:bookmarkEnd w:id="4"/>
      <w:bookmarkEnd w:id="5"/>
      <w:bookmarkEnd w:id="6"/>
      <w:bookmarkEnd w:id="7"/>
      <w:bookmarkEnd w:id="8"/>
      <w:bookmarkEnd w:id="9"/>
      <w:bookmarkEnd w:id="10"/>
    </w:p>
    <w:p>
      <w:pPr>
        <w:pStyle w:val="3"/>
        <w:rPr>
          <w:rFonts w:asciiTheme="minorEastAsia" w:hAnsiTheme="minorEastAsia" w:eastAsiaTheme="minorEastAsia" w:cstheme="minorEastAsia"/>
          <w:color w:val="auto"/>
          <w:highlight w:val="none"/>
        </w:rPr>
      </w:pPr>
    </w:p>
    <w:p>
      <w:pPr>
        <w:pStyle w:val="16"/>
        <w:spacing w:line="900" w:lineRule="exact"/>
        <w:rPr>
          <w:rFonts w:asciiTheme="minorEastAsia" w:hAnsiTheme="minorEastAsia" w:eastAsiaTheme="minorEastAsia" w:cstheme="minorEastAsia"/>
          <w:color w:val="auto"/>
          <w:kern w:val="2"/>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TOC \o "1-1" \h \z \u </w:instrText>
      </w:r>
      <w:r>
        <w:rPr>
          <w:rFonts w:hint="eastAsia" w:asciiTheme="minorEastAsia" w:hAnsiTheme="minorEastAsia" w:eastAsiaTheme="minorEastAsia" w:cs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"_Toc138929554"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第一篇  投标邀请书</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_Toc138929554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6"/>
        <w:spacing w:line="900" w:lineRule="exact"/>
        <w:rPr>
          <w:rFonts w:asciiTheme="minorEastAsia" w:hAnsiTheme="minorEastAsia" w:eastAsiaTheme="minorEastAsia" w:cstheme="minorEastAsia"/>
          <w:color w:val="auto"/>
          <w:kern w:val="2"/>
          <w:sz w:val="28"/>
          <w:szCs w:val="28"/>
          <w:highlight w:val="none"/>
        </w:rPr>
      </w:pPr>
      <w:r>
        <w:rPr>
          <w:color w:val="auto"/>
          <w:highlight w:val="none"/>
        </w:rPr>
        <w:fldChar w:fldCharType="begin"/>
      </w:r>
      <w:r>
        <w:rPr>
          <w:color w:val="auto"/>
          <w:highlight w:val="none"/>
        </w:rPr>
        <w:instrText xml:space="preserve"> HYPERLINK \l "_Toc138929557"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第二篇 项目技术规格、数量及质量要求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_Toc138929557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6"/>
        <w:spacing w:line="900" w:lineRule="exact"/>
        <w:rPr>
          <w:rStyle w:val="29"/>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"_Toc138929558"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第三篇  项目商务要求</w:t>
      </w:r>
      <w:bookmarkStart w:id="154" w:name="_GoBack"/>
      <w:bookmarkEnd w:id="154"/>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4</w:t>
      </w:r>
    </w:p>
    <w:p>
      <w:pPr>
        <w:pStyle w:val="16"/>
        <w:spacing w:line="900" w:lineRule="exact"/>
        <w:rPr>
          <w:rStyle w:val="29"/>
          <w:rFonts w:asciiTheme="minorEastAsia" w:hAnsiTheme="minorEastAsia" w:eastAsiaTheme="minorEastAsia" w:cstheme="minorEastAsia"/>
          <w:color w:val="auto"/>
          <w:sz w:val="28"/>
          <w:szCs w:val="28"/>
          <w:highlight w:val="none"/>
          <w:u w:val="none"/>
        </w:rPr>
      </w:pPr>
      <w:r>
        <w:rPr>
          <w:rStyle w:val="29"/>
          <w:rFonts w:hint="eastAsia" w:asciiTheme="minorEastAsia" w:hAnsiTheme="minorEastAsia" w:eastAsiaTheme="minorEastAsia" w:cstheme="minorEastAsia"/>
          <w:color w:val="auto"/>
          <w:sz w:val="28"/>
          <w:szCs w:val="28"/>
          <w:highlight w:val="none"/>
          <w:u w:val="none"/>
        </w:rPr>
        <w:t>第四篇  资格审查及评标办法</w:t>
      </w:r>
      <w:r>
        <w:rPr>
          <w:rFonts w:hint="eastAsia" w:asciiTheme="minorEastAsia" w:hAnsiTheme="minorEastAsia" w:eastAsiaTheme="minorEastAsia" w:cstheme="minorEastAsia"/>
          <w:color w:val="auto"/>
          <w:sz w:val="28"/>
          <w:szCs w:val="28"/>
          <w:highlight w:val="none"/>
        </w:rPr>
        <w:tab/>
      </w:r>
      <w:r>
        <w:rPr>
          <w:rStyle w:val="29"/>
          <w:rFonts w:hint="eastAsia" w:asciiTheme="minorEastAsia" w:hAnsiTheme="minorEastAsia" w:eastAsiaTheme="minorEastAsia" w:cstheme="minorEastAsia"/>
          <w:color w:val="auto"/>
          <w:sz w:val="28"/>
          <w:szCs w:val="28"/>
          <w:highlight w:val="none"/>
          <w:u w:val="none"/>
        </w:rPr>
        <w:t>18</w:t>
      </w:r>
    </w:p>
    <w:p>
      <w:pPr>
        <w:pStyle w:val="16"/>
        <w:spacing w:line="900" w:lineRule="exact"/>
        <w:rPr>
          <w:rFonts w:eastAsiaTheme="minorEastAsia"/>
          <w:color w:val="auto"/>
          <w:highlight w:val="none"/>
        </w:rPr>
      </w:pPr>
      <w:r>
        <w:rPr>
          <w:rStyle w:val="29"/>
          <w:rFonts w:hint="eastAsia" w:asciiTheme="minorEastAsia" w:hAnsiTheme="minorEastAsia" w:eastAsiaTheme="minorEastAsia" w:cstheme="minorEastAsia"/>
          <w:color w:val="auto"/>
          <w:sz w:val="28"/>
          <w:szCs w:val="28"/>
          <w:highlight w:val="none"/>
          <w:u w:val="none"/>
        </w:rPr>
        <w:t>第五篇  投标人须知</w:t>
      </w:r>
      <w:r>
        <w:rPr>
          <w:rFonts w:hint="eastAsia" w:asciiTheme="minorEastAsia" w:hAnsiTheme="minorEastAsia" w:eastAsiaTheme="minorEastAsia" w:cstheme="minorEastAsia"/>
          <w:color w:val="auto"/>
          <w:sz w:val="28"/>
          <w:szCs w:val="28"/>
          <w:highlight w:val="none"/>
        </w:rPr>
        <w:tab/>
      </w:r>
      <w:r>
        <w:rPr>
          <w:rStyle w:val="29"/>
          <w:rFonts w:hint="eastAsia" w:asciiTheme="minorEastAsia" w:hAnsiTheme="minorEastAsia" w:eastAsiaTheme="minorEastAsia" w:cstheme="minorEastAsia"/>
          <w:color w:val="auto"/>
          <w:sz w:val="28"/>
          <w:szCs w:val="28"/>
          <w:highlight w:val="none"/>
          <w:u w:val="none"/>
        </w:rPr>
        <w:t>27</w:t>
      </w:r>
    </w:p>
    <w:p>
      <w:pPr>
        <w:pStyle w:val="16"/>
        <w:spacing w:line="900" w:lineRule="exact"/>
        <w:rPr>
          <w:rFonts w:asciiTheme="minorEastAsia" w:hAnsiTheme="minorEastAsia" w:eastAsiaTheme="minorEastAsia" w:cstheme="minorEastAsia"/>
          <w:color w:val="auto"/>
          <w:kern w:val="2"/>
          <w:sz w:val="28"/>
          <w:szCs w:val="28"/>
          <w:highlight w:val="none"/>
        </w:rPr>
      </w:pPr>
      <w:r>
        <w:rPr>
          <w:color w:val="auto"/>
          <w:highlight w:val="none"/>
        </w:rPr>
        <w:fldChar w:fldCharType="begin"/>
      </w:r>
      <w:r>
        <w:rPr>
          <w:color w:val="auto"/>
          <w:highlight w:val="none"/>
        </w:rPr>
        <w:instrText xml:space="preserve"> HYPERLINK \l "_Toc138929559"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第六篇  合同文本</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1</w:t>
      </w:r>
    </w:p>
    <w:p>
      <w:pPr>
        <w:pStyle w:val="16"/>
        <w:spacing w:line="900" w:lineRule="exact"/>
        <w:rPr>
          <w:rFonts w:asciiTheme="minorEastAsia" w:hAnsiTheme="minorEastAsia" w:eastAsiaTheme="minorEastAsia" w:cstheme="minorEastAsia"/>
          <w:color w:val="auto"/>
          <w:kern w:val="2"/>
          <w:sz w:val="28"/>
          <w:szCs w:val="28"/>
          <w:highlight w:val="none"/>
        </w:rPr>
      </w:pPr>
      <w:r>
        <w:rPr>
          <w:color w:val="auto"/>
          <w:highlight w:val="none"/>
        </w:rPr>
        <w:fldChar w:fldCharType="begin"/>
      </w:r>
      <w:r>
        <w:rPr>
          <w:color w:val="auto"/>
          <w:highlight w:val="none"/>
        </w:rPr>
        <w:instrText xml:space="preserve"> HYPERLINK \l "_Toc138929560"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第七篇  投标文件格式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_Toc138929560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50</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snapToGrid w:val="0"/>
        <w:spacing w:line="620" w:lineRule="exact"/>
        <w:jc w:val="both"/>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end"/>
      </w:r>
    </w:p>
    <w:p>
      <w:pPr>
        <w:snapToGrid w:val="0"/>
        <w:spacing w:line="360" w:lineRule="auto"/>
        <w:jc w:val="both"/>
        <w:rPr>
          <w:rFonts w:asciiTheme="minorEastAsia" w:hAnsiTheme="minorEastAsia" w:eastAsiaTheme="minorEastAsia" w:cstheme="minorEastAsia"/>
          <w:color w:val="auto"/>
          <w:highlight w:val="none"/>
        </w:rPr>
        <w:sectPr>
          <w:footerReference r:id="rId9" w:type="first"/>
          <w:footerReference r:id="rId8" w:type="default"/>
          <w:pgSz w:w="11907" w:h="16840"/>
          <w:pgMar w:top="1418" w:right="1247" w:bottom="1247" w:left="1418" w:header="851" w:footer="851" w:gutter="0"/>
          <w:cols w:space="720" w:num="1"/>
          <w:titlePg/>
          <w:docGrid w:linePitch="326" w:charSpace="0"/>
        </w:sectPr>
      </w:pPr>
    </w:p>
    <w:p>
      <w:pPr>
        <w:pStyle w:val="3"/>
        <w:spacing w:before="120" w:after="120"/>
        <w:ind w:left="0" w:firstLine="0"/>
        <w:jc w:val="center"/>
        <w:rPr>
          <w:rFonts w:asciiTheme="minorEastAsia" w:hAnsiTheme="minorEastAsia" w:eastAsiaTheme="minorEastAsia" w:cstheme="minorEastAsia"/>
          <w:color w:val="auto"/>
          <w:highlight w:val="none"/>
        </w:rPr>
      </w:pPr>
      <w:bookmarkStart w:id="11" w:name="_Toc138929554"/>
      <w:r>
        <w:rPr>
          <w:rFonts w:hint="eastAsia" w:asciiTheme="minorEastAsia" w:hAnsiTheme="minorEastAsia" w:eastAsiaTheme="minorEastAsia" w:cstheme="minorEastAsia"/>
          <w:color w:val="auto"/>
          <w:highlight w:val="none"/>
        </w:rPr>
        <w:t>第一篇  投标邀请书</w:t>
      </w:r>
      <w:bookmarkEnd w:id="11"/>
    </w:p>
    <w:p>
      <w:pPr>
        <w:snapToGrid w:val="0"/>
        <w:spacing w:line="360" w:lineRule="exact"/>
        <w:ind w:firstLine="420" w:firstLineChars="200"/>
        <w:rPr>
          <w:rFonts w:asciiTheme="minorEastAsia" w:hAnsiTheme="minorEastAsia" w:eastAsiaTheme="minorEastAsia" w:cstheme="minorEastAsia"/>
          <w:color w:val="auto"/>
          <w:sz w:val="21"/>
          <w:szCs w:val="21"/>
          <w:highlight w:val="none"/>
        </w:rPr>
      </w:pPr>
      <w:bookmarkStart w:id="12" w:name="_Toc184013603"/>
      <w:bookmarkStart w:id="13" w:name="_Toc174185146"/>
      <w:bookmarkStart w:id="14" w:name="_Toc184023102"/>
      <w:bookmarkStart w:id="15" w:name="_Toc180051010"/>
      <w:bookmarkStart w:id="16" w:name="_Toc186274099"/>
      <w:r>
        <w:rPr>
          <w:rFonts w:hint="eastAsia" w:asciiTheme="minorEastAsia" w:hAnsiTheme="minorEastAsia" w:eastAsiaTheme="minorEastAsia" w:cstheme="minorEastAsia"/>
          <w:color w:val="auto"/>
          <w:sz w:val="21"/>
          <w:szCs w:val="21"/>
          <w:highlight w:val="none"/>
        </w:rPr>
        <w:t>根据《中华人民共和国政府采购法》、《政府采购货物和服务招标投标管理办法》（财政部第87号令）等法律法规规定，西南大学现对“</w:t>
      </w:r>
      <w:r>
        <w:rPr>
          <w:rFonts w:hint="eastAsia"/>
          <w:color w:val="auto"/>
          <w:sz w:val="24"/>
          <w:szCs w:val="24"/>
          <w:highlight w:val="none"/>
        </w:rPr>
        <w:t>便携式氧化亚氮同位素分析仪</w:t>
      </w:r>
      <w:r>
        <w:rPr>
          <w:rFonts w:hint="eastAsia" w:asciiTheme="minorEastAsia" w:hAnsiTheme="minorEastAsia" w:eastAsiaTheme="minorEastAsia" w:cstheme="minorEastAsia"/>
          <w:color w:val="auto"/>
          <w:sz w:val="21"/>
          <w:szCs w:val="21"/>
          <w:highlight w:val="none"/>
        </w:rPr>
        <w:t>”项目进行公开招标，欢迎具有相关资格的潜在投标人参与投标。</w:t>
      </w:r>
    </w:p>
    <w:p>
      <w:pPr>
        <w:snapToGrid w:val="0"/>
        <w:spacing w:line="360" w:lineRule="exact"/>
        <w:ind w:firstLine="211" w:firstLineChars="1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一、采购项目内容</w:t>
      </w:r>
      <w:bookmarkEnd w:id="12"/>
      <w:bookmarkEnd w:id="13"/>
      <w:bookmarkEnd w:id="14"/>
      <w:bookmarkEnd w:id="15"/>
      <w:bookmarkEnd w:id="16"/>
      <w:bookmarkStart w:id="17" w:name="_Toc174185147"/>
      <w:bookmarkStart w:id="18" w:name="_Toc186274100"/>
      <w:bookmarkStart w:id="19" w:name="_Toc184023103"/>
      <w:bookmarkStart w:id="20" w:name="_Toc184013604"/>
      <w:bookmarkStart w:id="21" w:name="_Toc180051011"/>
    </w:p>
    <w:tbl>
      <w:tblPr>
        <w:tblStyle w:val="24"/>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2027"/>
        <w:gridCol w:w="1936"/>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50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项目名称</w:t>
            </w:r>
          </w:p>
        </w:tc>
        <w:tc>
          <w:tcPr>
            <w:tcW w:w="2027" w:type="dxa"/>
            <w:tcBorders>
              <w:top w:val="single" w:color="auto" w:sz="4" w:space="0"/>
              <w:left w:val="single" w:color="auto" w:sz="4" w:space="0"/>
              <w:right w:val="single" w:color="auto" w:sz="4" w:space="0"/>
            </w:tcBorders>
            <w:vAlign w:val="center"/>
          </w:tcPr>
          <w:p>
            <w:pPr>
              <w:widowControl/>
              <w:snapToGrid w:val="0"/>
              <w:spacing w:line="360" w:lineRule="exact"/>
              <w:jc w:val="center"/>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最高限价</w:t>
            </w:r>
          </w:p>
          <w:p>
            <w:pPr>
              <w:widowControl/>
              <w:snapToGrid w:val="0"/>
              <w:spacing w:line="360" w:lineRule="exact"/>
              <w:jc w:val="center"/>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（万元）</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数</w:t>
            </w:r>
            <w:r>
              <w:rPr>
                <w:rFonts w:hint="eastAsia" w:asciiTheme="minorEastAsia" w:hAnsiTheme="minorEastAsia" w:eastAsiaTheme="minorEastAsia" w:cstheme="minorEastAsia"/>
                <w:b/>
                <w:bCs/>
                <w:color w:val="auto"/>
                <w:sz w:val="21"/>
                <w:szCs w:val="21"/>
                <w:highlight w:val="none"/>
              </w:rPr>
              <w:t>量（</w:t>
            </w:r>
            <w:r>
              <w:rPr>
                <w:rFonts w:hint="eastAsia" w:asciiTheme="minorEastAsia" w:hAnsiTheme="minorEastAsia" w:eastAsiaTheme="minorEastAsia" w:cstheme="minorEastAsia"/>
                <w:b/>
                <w:bCs/>
                <w:color w:val="auto"/>
                <w:sz w:val="21"/>
                <w:szCs w:val="21"/>
                <w:highlight w:val="none"/>
                <w:lang w:eastAsia="zh-CN"/>
              </w:rPr>
              <w:t>台</w:t>
            </w:r>
            <w:r>
              <w:rPr>
                <w:rFonts w:hint="eastAsia" w:asciiTheme="minorEastAsia" w:hAnsiTheme="minorEastAsia" w:eastAsiaTheme="minorEastAsia" w:cstheme="minorEastAsia"/>
                <w:b/>
                <w:bCs/>
                <w:color w:val="auto"/>
                <w:sz w:val="21"/>
                <w:szCs w:val="21"/>
                <w:highlight w:val="none"/>
              </w:rPr>
              <w:t>）</w:t>
            </w:r>
          </w:p>
        </w:tc>
        <w:tc>
          <w:tcPr>
            <w:tcW w:w="2298" w:type="dxa"/>
            <w:tcBorders>
              <w:top w:val="single" w:color="auto" w:sz="4" w:space="0"/>
              <w:left w:val="single" w:color="auto" w:sz="4" w:space="0"/>
              <w:right w:val="single" w:color="auto" w:sz="4" w:space="0"/>
            </w:tcBorders>
            <w:vAlign w:val="center"/>
          </w:tcPr>
          <w:p>
            <w:pPr>
              <w:pStyle w:val="8"/>
              <w:spacing w:line="240" w:lineRule="atLeast"/>
              <w:ind w:left="0" w:leftChars="0"/>
              <w:jc w:val="center"/>
              <w:outlineLvl w:val="0"/>
              <w:rPr>
                <w:rFonts w:asciiTheme="minorEastAsia" w:hAnsiTheme="minorEastAsia" w:eastAsiaTheme="minorEastAsia" w:cstheme="minorEastAsia"/>
                <w:b/>
                <w:bCs/>
                <w:color w:val="auto"/>
                <w:sz w:val="21"/>
                <w:szCs w:val="21"/>
                <w:highlight w:val="none"/>
              </w:rPr>
            </w:pPr>
            <w:bookmarkStart w:id="22" w:name="_Toc21067"/>
            <w:bookmarkStart w:id="23" w:name="_Toc105671349"/>
            <w:bookmarkStart w:id="24" w:name="_Toc27745"/>
            <w:bookmarkStart w:id="25" w:name="_Toc135668345"/>
            <w:bookmarkStart w:id="26" w:name="_Toc138929555"/>
            <w:r>
              <w:rPr>
                <w:rFonts w:hint="eastAsia" w:asciiTheme="minorEastAsia" w:hAnsiTheme="minorEastAsia" w:eastAsiaTheme="minorEastAsia" w:cstheme="minorEastAsia"/>
                <w:b/>
                <w:bCs/>
                <w:color w:val="auto"/>
                <w:sz w:val="21"/>
                <w:szCs w:val="21"/>
                <w:highlight w:val="none"/>
              </w:rPr>
              <w:t>中标人数量（名）</w:t>
            </w:r>
            <w:bookmarkEnd w:id="22"/>
            <w:bookmarkEnd w:id="23"/>
            <w:bookmarkEnd w:id="24"/>
            <w:bookmarkEnd w:id="25"/>
            <w:bookmarkEnd w:id="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350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color w:val="auto"/>
                <w:sz w:val="21"/>
                <w:szCs w:val="21"/>
                <w:highlight w:val="none"/>
              </w:rPr>
            </w:pPr>
            <w:r>
              <w:rPr>
                <w:rFonts w:hint="eastAsia"/>
                <w:color w:val="auto"/>
                <w:sz w:val="24"/>
                <w:szCs w:val="24"/>
                <w:highlight w:val="none"/>
              </w:rPr>
              <w:t>便携式氧化亚氮同位素分析仪</w:t>
            </w:r>
          </w:p>
        </w:tc>
        <w:tc>
          <w:tcPr>
            <w:tcW w:w="2027"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248</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w:t>
            </w:r>
          </w:p>
        </w:tc>
        <w:tc>
          <w:tcPr>
            <w:tcW w:w="2298" w:type="dxa"/>
            <w:tcBorders>
              <w:top w:val="single" w:color="auto" w:sz="4" w:space="0"/>
              <w:left w:val="single" w:color="auto" w:sz="4" w:space="0"/>
              <w:right w:val="single" w:color="auto" w:sz="4" w:space="0"/>
            </w:tcBorders>
            <w:vAlign w:val="center"/>
          </w:tcPr>
          <w:p>
            <w:pPr>
              <w:pStyle w:val="5"/>
              <w:spacing w:line="400" w:lineRule="exact"/>
              <w:ind w:firstLine="0"/>
              <w:jc w:val="center"/>
              <w:outlineLvl w:val="0"/>
              <w:rPr>
                <w:rFonts w:asciiTheme="minorEastAsia" w:hAnsiTheme="minorEastAsia" w:eastAsiaTheme="minorEastAsia" w:cstheme="minorEastAsia"/>
                <w:b/>
                <w:bCs/>
                <w:color w:val="auto"/>
                <w:sz w:val="21"/>
                <w:szCs w:val="21"/>
                <w:highlight w:val="none"/>
              </w:rPr>
            </w:pPr>
            <w:bookmarkStart w:id="27" w:name="_Toc569"/>
            <w:bookmarkStart w:id="28" w:name="_Toc12869"/>
            <w:bookmarkStart w:id="29" w:name="_Toc105671351"/>
            <w:bookmarkStart w:id="30" w:name="_Toc138929556"/>
            <w:bookmarkStart w:id="31" w:name="_Toc135668346"/>
            <w:r>
              <w:rPr>
                <w:rFonts w:hint="eastAsia" w:asciiTheme="minorEastAsia" w:hAnsiTheme="minorEastAsia" w:eastAsiaTheme="minorEastAsia" w:cstheme="minorEastAsia"/>
                <w:b/>
                <w:bCs/>
                <w:color w:val="auto"/>
                <w:sz w:val="21"/>
                <w:szCs w:val="21"/>
                <w:highlight w:val="none"/>
              </w:rPr>
              <w:t>1</w:t>
            </w:r>
            <w:bookmarkEnd w:id="27"/>
            <w:bookmarkEnd w:id="28"/>
            <w:bookmarkEnd w:id="29"/>
            <w:bookmarkEnd w:id="30"/>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9767" w:type="dxa"/>
            <w:gridSpan w:val="4"/>
            <w:tcBorders>
              <w:top w:val="single" w:color="auto" w:sz="4" w:space="0"/>
              <w:left w:val="single" w:color="auto" w:sz="4" w:space="0"/>
              <w:right w:val="single" w:color="auto" w:sz="4" w:space="0"/>
            </w:tcBorders>
          </w:tcPr>
          <w:p>
            <w:pPr>
              <w:widowControl/>
              <w:snapToGrid w:val="0"/>
              <w:spacing w:line="360" w:lineRule="exact"/>
              <w:textAlignment w:val="auto"/>
              <w:rPr>
                <w:rFonts w:asciiTheme="minorEastAsia" w:hAnsiTheme="minorEastAsia" w:eastAsiaTheme="minorEastAsia" w:cstheme="minorEastAsia"/>
                <w:color w:val="auto"/>
                <w:sz w:val="21"/>
                <w:szCs w:val="21"/>
                <w:highlight w:val="none"/>
              </w:rPr>
            </w:pPr>
            <w:bookmarkStart w:id="32" w:name="_Hlk344477914"/>
            <w:r>
              <w:rPr>
                <w:rFonts w:hint="eastAsia" w:asciiTheme="minorEastAsia" w:hAnsiTheme="minorEastAsia" w:eastAsiaTheme="minorEastAsia" w:cstheme="minorEastAsia"/>
                <w:color w:val="auto"/>
                <w:sz w:val="21"/>
                <w:szCs w:val="21"/>
                <w:highlight w:val="none"/>
              </w:rPr>
              <w:t>注：1.投标人报价不得超过本项目</w:t>
            </w:r>
            <w:r>
              <w:rPr>
                <w:rFonts w:hint="eastAsia" w:asciiTheme="minorEastAsia" w:hAnsiTheme="minorEastAsia" w:eastAsiaTheme="minorEastAsia" w:cstheme="minorEastAsia"/>
                <w:b/>
                <w:bCs/>
                <w:color w:val="auto"/>
                <w:sz w:val="21"/>
                <w:szCs w:val="21"/>
                <w:highlight w:val="none"/>
              </w:rPr>
              <w:t>“最高限价”</w:t>
            </w:r>
            <w:r>
              <w:rPr>
                <w:rFonts w:hint="eastAsia" w:asciiTheme="minorEastAsia" w:hAnsiTheme="minorEastAsia" w:eastAsiaTheme="minorEastAsia" w:cstheme="minorEastAsia"/>
                <w:color w:val="auto"/>
                <w:sz w:val="21"/>
                <w:szCs w:val="21"/>
                <w:highlight w:val="none"/>
              </w:rPr>
              <w:t>；</w:t>
            </w:r>
          </w:p>
          <w:p>
            <w:pPr>
              <w:widowControl/>
              <w:snapToGrid w:val="0"/>
              <w:spacing w:line="360" w:lineRule="exact"/>
              <w:ind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2.以上采购项目内容的具体要求，见“第二篇 项目技术规格、数量及质量要求”；</w:t>
            </w:r>
          </w:p>
          <w:p>
            <w:pPr>
              <w:widowControl/>
              <w:snapToGrid w:val="0"/>
              <w:spacing w:line="360" w:lineRule="exact"/>
              <w:ind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3.本项目允许采购进口产品（进口产品指通过中国海关报关验放进入中国境内且产自关境外的产品)，进口产品若非制造商参与投标，则须提供制造商授权函。</w:t>
            </w:r>
          </w:p>
          <w:p>
            <w:pPr>
              <w:pStyle w:val="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4.</w:t>
            </w:r>
            <w:r>
              <w:rPr>
                <w:rFonts w:hint="eastAsia" w:asciiTheme="minorEastAsia" w:hAnsiTheme="minorEastAsia" w:eastAsiaTheme="minorEastAsia" w:cstheme="minorEastAsia"/>
                <w:b/>
                <w:color w:val="auto"/>
                <w:szCs w:val="21"/>
                <w:highlight w:val="none"/>
              </w:rPr>
              <w:t xml:space="preserve"> 本项目采购标的对应的《中小企业划型标准规定》所属行业为：工业</w:t>
            </w:r>
          </w:p>
        </w:tc>
      </w:tr>
      <w:bookmarkEnd w:id="32"/>
    </w:tbl>
    <w:p>
      <w:pPr>
        <w:tabs>
          <w:tab w:val="left" w:pos="2370"/>
        </w:tabs>
        <w:snapToGrid w:val="0"/>
        <w:spacing w:line="360" w:lineRule="auto"/>
        <w:rPr>
          <w:rFonts w:asciiTheme="minorEastAsia" w:hAnsiTheme="minorEastAsia" w:eastAsiaTheme="minorEastAsia" w:cstheme="minorEastAsia"/>
          <w:b/>
          <w:color w:val="auto"/>
          <w:sz w:val="21"/>
          <w:szCs w:val="21"/>
          <w:highlight w:val="none"/>
        </w:rPr>
      </w:pPr>
    </w:p>
    <w:p>
      <w:pPr>
        <w:tabs>
          <w:tab w:val="left" w:pos="2370"/>
        </w:tabs>
        <w:snapToGrid w:val="0"/>
        <w:spacing w:line="360" w:lineRule="auto"/>
        <w:ind w:firstLine="211" w:firstLineChars="1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二、资金来源</w:t>
      </w:r>
    </w:p>
    <w:p>
      <w:pPr>
        <w:snapToGrid w:val="0"/>
        <w:spacing w:line="400" w:lineRule="exact"/>
        <w:ind w:firstLine="525" w:firstLineChars="25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财政预算资金，采购人资金已到位。预算金额：</w:t>
      </w:r>
      <w:r>
        <w:rPr>
          <w:rFonts w:hint="eastAsia" w:asciiTheme="minorEastAsia" w:hAnsiTheme="minorEastAsia" w:eastAsiaTheme="minorEastAsia" w:cstheme="minorEastAsia"/>
          <w:color w:val="auto"/>
          <w:sz w:val="21"/>
          <w:szCs w:val="21"/>
          <w:highlight w:val="none"/>
          <w:lang w:bidi="ar"/>
        </w:rPr>
        <w:t>人民币</w:t>
      </w:r>
      <w:r>
        <w:rPr>
          <w:rFonts w:hint="eastAsia" w:asciiTheme="minorEastAsia" w:hAnsiTheme="minorEastAsia" w:eastAsiaTheme="minorEastAsia" w:cstheme="minorEastAsia"/>
          <w:b/>
          <w:bCs/>
          <w:color w:val="auto"/>
          <w:sz w:val="21"/>
          <w:szCs w:val="21"/>
          <w:highlight w:val="none"/>
          <w:lang w:val="en-US" w:eastAsia="zh-CN"/>
        </w:rPr>
        <w:t>248</w:t>
      </w:r>
      <w:r>
        <w:rPr>
          <w:rFonts w:hint="eastAsia" w:asciiTheme="minorEastAsia" w:hAnsiTheme="minorEastAsia" w:eastAsiaTheme="minorEastAsia" w:cstheme="minorEastAsia"/>
          <w:color w:val="auto"/>
          <w:sz w:val="21"/>
          <w:szCs w:val="21"/>
          <w:highlight w:val="none"/>
          <w:lang w:bidi="ar"/>
        </w:rPr>
        <w:t>万元。</w:t>
      </w:r>
    </w:p>
    <w:p>
      <w:pPr>
        <w:spacing w:line="400" w:lineRule="exact"/>
        <w:ind w:firstLine="424" w:firstLineChars="20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项目预算是完成整个项目的预算额，若关境外货物报价中不含进口清关费用的，评审时将按加上清关费用的价格判断其是否为超预算报价。清关费用的计算方式见第四篇所述。该计算方式中涉及的系数和计算汇率及现钞卖出价只作为判断其投标报价是否满足预算要求及计算评标价时使用。</w:t>
      </w:r>
    </w:p>
    <w:p>
      <w:pPr>
        <w:rPr>
          <w:rFonts w:asciiTheme="minorEastAsia" w:hAnsiTheme="minorEastAsia" w:eastAsiaTheme="minorEastAsia" w:cstheme="minorEastAsia"/>
          <w:color w:val="auto"/>
          <w:highlight w:val="none"/>
        </w:rPr>
      </w:pPr>
    </w:p>
    <w:p>
      <w:pPr>
        <w:tabs>
          <w:tab w:val="left" w:pos="2370"/>
        </w:tabs>
        <w:snapToGrid w:val="0"/>
        <w:spacing w:line="360" w:lineRule="auto"/>
        <w:ind w:firstLine="211" w:firstLineChars="1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三、 投标人资格要求</w:t>
      </w:r>
    </w:p>
    <w:bookmarkEnd w:id="17"/>
    <w:p>
      <w:pPr>
        <w:snapToGrid w:val="0"/>
        <w:spacing w:line="360" w:lineRule="auto"/>
        <w:ind w:firstLine="525" w:firstLineChars="250"/>
        <w:rPr>
          <w:rFonts w:asciiTheme="minorEastAsia" w:hAnsiTheme="minorEastAsia" w:eastAsiaTheme="minorEastAsia" w:cstheme="minorEastAsia"/>
          <w:color w:val="auto"/>
          <w:sz w:val="21"/>
          <w:szCs w:val="21"/>
          <w:highlight w:val="none"/>
        </w:rPr>
      </w:pPr>
      <w:bookmarkStart w:id="33" w:name="_Toc174185148"/>
      <w:r>
        <w:rPr>
          <w:rFonts w:hint="eastAsia" w:asciiTheme="minorEastAsia" w:hAnsiTheme="minorEastAsia" w:eastAsiaTheme="minorEastAsia" w:cstheme="minorEastAsia"/>
          <w:color w:val="auto"/>
          <w:sz w:val="21"/>
          <w:szCs w:val="21"/>
          <w:highlight w:val="none"/>
        </w:rPr>
        <w:t>（一）满足《中华人民共和国政府采购法》第二十二条规定；</w:t>
      </w:r>
    </w:p>
    <w:p>
      <w:pPr>
        <w:snapToGrid w:val="0"/>
        <w:spacing w:line="360" w:lineRule="auto"/>
        <w:ind w:firstLine="525" w:firstLineChars="25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（二）本项目的特定资格要求：</w:t>
      </w:r>
      <w:bookmarkStart w:id="34" w:name="OLE_LINK14"/>
      <w:r>
        <w:rPr>
          <w:rFonts w:hint="eastAsia" w:asciiTheme="minorEastAsia" w:hAnsiTheme="minorEastAsia" w:eastAsiaTheme="minorEastAsia" w:cstheme="minorEastAsia"/>
          <w:color w:val="auto"/>
          <w:sz w:val="21"/>
          <w:szCs w:val="21"/>
          <w:highlight w:val="none"/>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函）。</w:t>
      </w:r>
      <w:bookmarkEnd w:id="34"/>
    </w:p>
    <w:p>
      <w:pPr>
        <w:snapToGrid w:val="0"/>
        <w:spacing w:line="360" w:lineRule="auto"/>
        <w:ind w:firstLine="211" w:firstLineChars="1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四、投标、开标的有关说明</w:t>
      </w:r>
    </w:p>
    <w:bookmarkEnd w:id="18"/>
    <w:bookmarkEnd w:id="19"/>
    <w:bookmarkEnd w:id="20"/>
    <w:bookmarkEnd w:id="21"/>
    <w:bookmarkEnd w:id="33"/>
    <w:p>
      <w:pPr>
        <w:snapToGrid w:val="0"/>
        <w:spacing w:line="360" w:lineRule="auto"/>
        <w:ind w:firstLine="420" w:firstLineChars="200"/>
        <w:rPr>
          <w:rFonts w:asciiTheme="minorEastAsia" w:hAnsiTheme="minorEastAsia" w:eastAsiaTheme="minorEastAsia" w:cstheme="minorEastAsia"/>
          <w:color w:val="auto"/>
          <w:kern w:val="2"/>
          <w:sz w:val="21"/>
          <w:szCs w:val="21"/>
          <w:highlight w:val="none"/>
        </w:rPr>
      </w:pPr>
      <w:bookmarkStart w:id="35" w:name="_Toc184023104"/>
      <w:bookmarkStart w:id="36" w:name="_Toc180051012"/>
      <w:bookmarkStart w:id="37" w:name="_Toc184013605"/>
      <w:bookmarkStart w:id="38" w:name="_Toc186274101"/>
      <w:bookmarkStart w:id="39" w:name="_Toc174185149"/>
      <w:r>
        <w:rPr>
          <w:rFonts w:hint="eastAsia" w:asciiTheme="minorEastAsia" w:hAnsiTheme="minorEastAsia" w:eastAsiaTheme="minorEastAsia" w:cstheme="minorEastAsia"/>
          <w:color w:val="auto"/>
          <w:sz w:val="21"/>
          <w:szCs w:val="21"/>
          <w:highlight w:val="none"/>
        </w:rPr>
        <w:t>（一）招标文件的获取：</w:t>
      </w:r>
      <w:r>
        <w:rPr>
          <w:rFonts w:hint="eastAsia" w:asciiTheme="minorEastAsia" w:hAnsiTheme="minorEastAsia" w:eastAsiaTheme="minorEastAsia" w:cstheme="minorEastAsia"/>
          <w:color w:val="auto"/>
          <w:kern w:val="2"/>
          <w:sz w:val="21"/>
          <w:szCs w:val="21"/>
          <w:highlight w:val="none"/>
        </w:rPr>
        <w:t>凡有意参加本项目投标的投标人，</w:t>
      </w:r>
      <w:r>
        <w:rPr>
          <w:rFonts w:hint="eastAsia" w:asciiTheme="minorEastAsia" w:hAnsiTheme="minorEastAsia" w:eastAsiaTheme="minorEastAsia" w:cstheme="minorEastAsia"/>
          <w:color w:val="auto"/>
          <w:sz w:val="21"/>
          <w:szCs w:val="21"/>
          <w:highlight w:val="none"/>
        </w:rPr>
        <w:t>请于</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2023</w:t>
      </w:r>
      <w:r>
        <w:rPr>
          <w:rFonts w:hint="eastAsia" w:asciiTheme="minorEastAsia" w:hAnsiTheme="minorEastAsia" w:eastAsiaTheme="minorEastAsia" w:cstheme="minorEastAsia"/>
          <w:color w:val="auto"/>
          <w:sz w:val="21"/>
          <w:szCs w:val="21"/>
          <w:highlight w:val="none"/>
        </w:rPr>
        <w:t xml:space="preserve"> 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8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31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sz w:val="21"/>
          <w:szCs w:val="21"/>
          <w:highlight w:val="none"/>
        </w:rPr>
        <w:t>起</w:t>
      </w:r>
      <w:r>
        <w:rPr>
          <w:rFonts w:hint="eastAsia" w:asciiTheme="minorEastAsia" w:hAnsiTheme="minorEastAsia" w:eastAsiaTheme="minorEastAsia" w:cstheme="minorEastAsia"/>
          <w:color w:val="auto"/>
          <w:kern w:val="2"/>
          <w:sz w:val="21"/>
          <w:szCs w:val="21"/>
          <w:highlight w:val="none"/>
        </w:rPr>
        <w:t>在</w:t>
      </w:r>
      <w:r>
        <w:rPr>
          <w:rFonts w:hint="eastAsia" w:asciiTheme="minorEastAsia" w:hAnsiTheme="minorEastAsia" w:eastAsiaTheme="minorEastAsia" w:cstheme="minorEastAsia"/>
          <w:color w:val="auto"/>
          <w:sz w:val="21"/>
          <w:szCs w:val="21"/>
          <w:highlight w:val="none"/>
        </w:rPr>
        <w:t>《中国政府采购网》（http://www.ccgp.gov.cn/）或</w:t>
      </w:r>
      <w:r>
        <w:rPr>
          <w:rFonts w:hint="eastAsia" w:asciiTheme="minorEastAsia" w:hAnsiTheme="minorEastAsia" w:eastAsiaTheme="minorEastAsia" w:cstheme="minorEastAsia"/>
          <w:color w:val="auto"/>
          <w:kern w:val="2"/>
          <w:sz w:val="21"/>
          <w:szCs w:val="21"/>
          <w:highlight w:val="none"/>
        </w:rPr>
        <w:t>西南大学采购与招投标管理中心网页</w:t>
      </w:r>
      <w:r>
        <w:rPr>
          <w:rFonts w:hint="eastAsia" w:asciiTheme="minorEastAsia" w:hAnsiTheme="minorEastAsia" w:eastAsiaTheme="minorEastAsia" w:cstheme="minorEastAsia"/>
          <w:b/>
          <w:bCs/>
          <w:color w:val="auto"/>
          <w:kern w:val="2"/>
          <w:sz w:val="21"/>
          <w:szCs w:val="21"/>
          <w:highlight w:val="none"/>
        </w:rPr>
        <w:t>（https://ecaigou.swu.edu.cn:30910/bid/index?redirect=%2F）</w:t>
      </w:r>
      <w:r>
        <w:rPr>
          <w:rFonts w:hint="eastAsia" w:asciiTheme="minorEastAsia" w:hAnsiTheme="minorEastAsia" w:eastAsiaTheme="minorEastAsia" w:cstheme="minorEastAsia"/>
          <w:color w:val="auto"/>
          <w:sz w:val="21"/>
          <w:szCs w:val="21"/>
          <w:highlight w:val="none"/>
        </w:rPr>
        <w:t>网上下载本项目招标文件、图纸（如果有）、补遗等开标前公布的所有项目资料，无论投标人领取或下载与否，采购人和采购组织机构都视为投标人全部收到以上资料并全部知晓有关招标过程和事宜，若未及时登录前述网站下载获取相关资料，所产生的一切后果由投标人自行负责。</w:t>
      </w:r>
    </w:p>
    <w:p>
      <w:pPr>
        <w:snapToGrid w:val="0"/>
        <w:spacing w:line="360" w:lineRule="auto"/>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（二）招标文件公告期限：自招标公告发布之日</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2023</w:t>
      </w:r>
      <w:r>
        <w:rPr>
          <w:rFonts w:hint="eastAsia" w:asciiTheme="minorEastAsia" w:hAnsiTheme="minorEastAsia" w:eastAsiaTheme="minorEastAsia" w:cstheme="minorEastAsia"/>
          <w:color w:val="auto"/>
          <w:sz w:val="21"/>
          <w:szCs w:val="21"/>
          <w:highlight w:val="none"/>
        </w:rPr>
        <w:t xml:space="preserve"> 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8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31</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kern w:val="2"/>
          <w:sz w:val="21"/>
          <w:szCs w:val="21"/>
          <w:highlight w:val="none"/>
        </w:rPr>
        <w:t>起</w:t>
      </w:r>
      <w:r>
        <w:rPr>
          <w:rFonts w:hint="eastAsia" w:asciiTheme="minorEastAsia" w:hAnsiTheme="minorEastAsia" w:eastAsiaTheme="minorEastAsia" w:cstheme="minorEastAsia"/>
          <w:color w:val="auto"/>
          <w:kern w:val="2"/>
          <w:sz w:val="21"/>
          <w:szCs w:val="21"/>
          <w:highlight w:val="none"/>
        </w:rPr>
        <w:t>五个工作日</w:t>
      </w:r>
      <w:r>
        <w:rPr>
          <w:rFonts w:hint="eastAsia" w:asciiTheme="minorEastAsia" w:hAnsiTheme="minorEastAsia" w:eastAsiaTheme="minorEastAsia" w:cstheme="minorEastAsia"/>
          <w:b/>
          <w:bCs/>
          <w:color w:val="auto"/>
          <w:kern w:val="2"/>
          <w:sz w:val="21"/>
          <w:szCs w:val="21"/>
          <w:highlight w:val="none"/>
        </w:rPr>
        <w:t>。</w:t>
      </w:r>
    </w:p>
    <w:p>
      <w:pPr>
        <w:snapToGri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（三）招标文件资料费：400元/份，资料费收取后不予退还，可在线支付或现场扫描二维码支付。</w:t>
      </w:r>
    </w:p>
    <w:p>
      <w:pPr>
        <w:snapToGri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（1）在线支付</w:t>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微信扫下图二维码，关注“西南大学e采购”官方公众号，或微信公众号搜索“西南大学e采购”加关注。打开公众号右下角“关于我们”，点击“在线缴费”，根据缴费提示完成在线支付。</w:t>
      </w:r>
    </w:p>
    <w:p>
      <w:pPr>
        <w:pStyle w:val="16"/>
        <w:rPr>
          <w:rFonts w:asciiTheme="minorEastAsia" w:hAnsiTheme="minorEastAsia" w:eastAsiaTheme="minorEastAsia" w:cstheme="minorEastAsia"/>
          <w:color w:val="auto"/>
          <w:highlight w:val="none"/>
        </w:rPr>
      </w:pPr>
    </w:p>
    <w:p>
      <w:pPr>
        <w:tabs>
          <w:tab w:val="left" w:pos="8100"/>
          <w:tab w:val="left" w:pos="8280"/>
        </w:tabs>
        <w:spacing w:line="460" w:lineRule="exact"/>
        <w:ind w:left="360" w:firstLine="539"/>
        <w:rPr>
          <w:rFonts w:asciiTheme="minorEastAsia" w:hAnsiTheme="minorEastAsia" w:eastAsiaTheme="minorEastAsia" w:cstheme="minorEastAsia"/>
          <w:color w:val="auto"/>
          <w:sz w:val="21"/>
          <w:szCs w:val="21"/>
          <w:highlight w:val="none"/>
        </w:rPr>
      </w:pPr>
    </w:p>
    <w:p>
      <w:pPr>
        <w:tabs>
          <w:tab w:val="left" w:pos="8100"/>
          <w:tab w:val="left" w:pos="8280"/>
        </w:tabs>
        <w:spacing w:line="460" w:lineRule="exact"/>
        <w:ind w:left="360" w:firstLine="539"/>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drawing>
          <wp:anchor distT="0" distB="0" distL="114300" distR="114300" simplePos="0" relativeHeight="251660288" behindDoc="0" locked="0" layoutInCell="1" allowOverlap="1">
            <wp:simplePos x="0" y="0"/>
            <wp:positionH relativeFrom="column">
              <wp:posOffset>3272790</wp:posOffset>
            </wp:positionH>
            <wp:positionV relativeFrom="paragraph">
              <wp:posOffset>-558800</wp:posOffset>
            </wp:positionV>
            <wp:extent cx="1931670" cy="1570990"/>
            <wp:effectExtent l="0" t="0" r="11430" b="1016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21"/>
                    <a:stretch>
                      <a:fillRect/>
                    </a:stretch>
                  </pic:blipFill>
                  <pic:spPr>
                    <a:xfrm>
                      <a:off x="0" y="0"/>
                      <a:ext cx="1931670" cy="1570990"/>
                    </a:xfrm>
                    <a:prstGeom prst="rect">
                      <a:avLst/>
                    </a:prstGeom>
                    <a:noFill/>
                    <a:ln>
                      <a:noFill/>
                    </a:ln>
                  </pic:spPr>
                </pic:pic>
              </a:graphicData>
            </a:graphic>
          </wp:anchor>
        </w:drawing>
      </w:r>
      <w:r>
        <w:rPr>
          <w:rFonts w:hint="eastAsia" w:asciiTheme="minorEastAsia" w:hAnsiTheme="minorEastAsia" w:eastAsiaTheme="minorEastAsia" w:cstheme="minorEastAsia"/>
          <w:color w:val="auto"/>
          <w:sz w:val="21"/>
          <w:szCs w:val="21"/>
          <w:highlight w:val="none"/>
        </w:rPr>
        <w:drawing>
          <wp:anchor distT="0" distB="0" distL="114300" distR="114300" simplePos="0" relativeHeight="251659264" behindDoc="0" locked="0" layoutInCell="1" allowOverlap="1">
            <wp:simplePos x="0" y="0"/>
            <wp:positionH relativeFrom="column">
              <wp:posOffset>654685</wp:posOffset>
            </wp:positionH>
            <wp:positionV relativeFrom="paragraph">
              <wp:posOffset>-414020</wp:posOffset>
            </wp:positionV>
            <wp:extent cx="1447800" cy="1447800"/>
            <wp:effectExtent l="0" t="0" r="0" b="0"/>
            <wp:wrapNone/>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22"/>
                    <a:stretch>
                      <a:fillRect/>
                    </a:stretch>
                  </pic:blipFill>
                  <pic:spPr>
                    <a:xfrm>
                      <a:off x="0" y="0"/>
                      <a:ext cx="1447800" cy="1447800"/>
                    </a:xfrm>
                    <a:prstGeom prst="rect">
                      <a:avLst/>
                    </a:prstGeom>
                    <a:noFill/>
                    <a:ln>
                      <a:noFill/>
                    </a:ln>
                  </pic:spPr>
                </pic:pic>
              </a:graphicData>
            </a:graphic>
          </wp:anchor>
        </w:drawing>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采购与招投标管理中心官方公众号</w:t>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（2）现场扫描二维码支付</w:t>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通过西南大学采购与招投标管理中心提供的二维码现场扫码付款，并在“备注”栏填写采购项目编号和分包号。</w:t>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发票索取：请准确填写“发票抬头”和“纳税人识别号”，并加入西南大学供应商群，向采购与招投标管理中心工作人员索取电子发票。</w:t>
      </w:r>
    </w:p>
    <w:p>
      <w:pPr>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297180</wp:posOffset>
            </wp:positionV>
            <wp:extent cx="2266950" cy="2381250"/>
            <wp:effectExtent l="0" t="0" r="0" b="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3"/>
                    <a:stretch>
                      <a:fillRect/>
                    </a:stretch>
                  </pic:blipFill>
                  <pic:spPr>
                    <a:xfrm>
                      <a:off x="0" y="0"/>
                      <a:ext cx="2266950" cy="2381250"/>
                    </a:xfrm>
                    <a:prstGeom prst="rect">
                      <a:avLst/>
                    </a:prstGeom>
                    <a:noFill/>
                    <a:ln>
                      <a:noFill/>
                    </a:ln>
                  </pic:spPr>
                </pic:pic>
              </a:graphicData>
            </a:graphic>
          </wp:anchor>
        </w:drawing>
      </w:r>
      <w:r>
        <w:rPr>
          <w:rFonts w:hint="eastAsia" w:asciiTheme="minorEastAsia" w:hAnsiTheme="minorEastAsia" w:eastAsiaTheme="minorEastAsia" w:cstheme="minorEastAsia"/>
          <w:color w:val="auto"/>
          <w:sz w:val="21"/>
          <w:szCs w:val="21"/>
          <w:highlight w:val="none"/>
        </w:rPr>
        <w:drawing>
          <wp:inline distT="0" distB="0" distL="114300" distR="114300">
            <wp:extent cx="2223135" cy="2747010"/>
            <wp:effectExtent l="0" t="0" r="571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4"/>
                    <a:stretch>
                      <a:fillRect/>
                    </a:stretch>
                  </pic:blipFill>
                  <pic:spPr>
                    <a:xfrm>
                      <a:off x="0" y="0"/>
                      <a:ext cx="2223135" cy="2747010"/>
                    </a:xfrm>
                    <a:prstGeom prst="rect">
                      <a:avLst/>
                    </a:prstGeom>
                    <a:noFill/>
                    <a:ln>
                      <a:noFill/>
                    </a:ln>
                  </pic:spPr>
                </pic:pic>
              </a:graphicData>
            </a:graphic>
          </wp:inline>
        </w:drawing>
      </w:r>
    </w:p>
    <w:p>
      <w:pPr>
        <w:snapToGrid w:val="0"/>
        <w:spacing w:line="360" w:lineRule="exact"/>
        <w:ind w:left="240" w:leftChars="100" w:firstLine="210" w:firstLineChars="100"/>
        <w:textAlignment w:val="auto"/>
        <w:rPr>
          <w:rFonts w:asciiTheme="minorEastAsia" w:hAnsiTheme="minorEastAsia" w:eastAsiaTheme="minorEastAsia" w:cstheme="minorEastAsia"/>
          <w:color w:val="auto"/>
          <w:sz w:val="21"/>
          <w:szCs w:val="21"/>
          <w:highlight w:val="none"/>
        </w:rPr>
      </w:pPr>
    </w:p>
    <w:p>
      <w:pPr>
        <w:snapToGrid w:val="0"/>
        <w:spacing w:line="360" w:lineRule="exact"/>
        <w:ind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（四）投标文件递交起止时间：</w:t>
      </w:r>
      <w:r>
        <w:rPr>
          <w:rFonts w:hint="eastAsia" w:asciiTheme="minorEastAsia" w:hAnsiTheme="minorEastAsia" w:eastAsiaTheme="minorEastAsia" w:cstheme="minorEastAsia"/>
          <w:b/>
          <w:bCs/>
          <w:color w:val="auto"/>
          <w:sz w:val="21"/>
          <w:szCs w:val="21"/>
          <w:highlight w:val="none"/>
          <w:u w:val="single"/>
        </w:rPr>
        <w:t>2023</w:t>
      </w:r>
      <w:r>
        <w:rPr>
          <w:rFonts w:hint="eastAsia" w:asciiTheme="minorEastAsia" w:hAnsiTheme="minorEastAsia" w:eastAsiaTheme="minorEastAsia" w:cstheme="minorEastAsia"/>
          <w:b/>
          <w:bCs/>
          <w:color w:val="auto"/>
          <w:sz w:val="21"/>
          <w:szCs w:val="21"/>
          <w:highlight w:val="none"/>
        </w:rPr>
        <w:t xml:space="preserve"> 年</w:t>
      </w:r>
      <w:r>
        <w:rPr>
          <w:rFonts w:hint="eastAsia" w:asciiTheme="minorEastAsia" w:hAnsiTheme="minorEastAsia" w:eastAsiaTheme="minorEastAsia" w:cstheme="minorEastAsia"/>
          <w:b/>
          <w:bCs/>
          <w:color w:val="auto"/>
          <w:sz w:val="21"/>
          <w:szCs w:val="21"/>
          <w:highlight w:val="none"/>
          <w:u w:val="single"/>
          <w:lang w:val="en-US" w:eastAsia="zh-CN"/>
        </w:rPr>
        <w:t xml:space="preserve"> 9  </w:t>
      </w:r>
      <w:r>
        <w:rPr>
          <w:rFonts w:hint="eastAsia" w:asciiTheme="minorEastAsia" w:hAnsiTheme="minorEastAsia" w:eastAsiaTheme="minorEastAsia" w:cstheme="minorEastAsia"/>
          <w:b/>
          <w:bCs/>
          <w:color w:val="auto"/>
          <w:sz w:val="21"/>
          <w:szCs w:val="21"/>
          <w:highlight w:val="none"/>
        </w:rPr>
        <w:t>月</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 xml:space="preserve"> 21 </w:t>
      </w:r>
      <w:r>
        <w:rPr>
          <w:rFonts w:hint="eastAsia" w:asciiTheme="minorEastAsia" w:hAnsiTheme="minorEastAsia" w:eastAsiaTheme="minorEastAsia" w:cstheme="minorEastAsia"/>
          <w:b/>
          <w:bCs/>
          <w:color w:val="auto"/>
          <w:sz w:val="21"/>
          <w:szCs w:val="21"/>
          <w:highlight w:val="none"/>
        </w:rPr>
        <w:t>日</w:t>
      </w:r>
      <w:r>
        <w:rPr>
          <w:rFonts w:hint="eastAsia" w:asciiTheme="minorEastAsia" w:hAnsiTheme="minorEastAsia" w:eastAsiaTheme="minorEastAsia" w:cstheme="minorEastAsia"/>
          <w:b/>
          <w:bCs/>
          <w:color w:val="auto"/>
          <w:sz w:val="21"/>
          <w:szCs w:val="21"/>
          <w:highlight w:val="none"/>
          <w:u w:val="single"/>
        </w:rPr>
        <w:t>9</w:t>
      </w:r>
      <w:r>
        <w:rPr>
          <w:rFonts w:hint="eastAsia" w:asciiTheme="minorEastAsia" w:hAnsiTheme="minorEastAsia" w:eastAsiaTheme="minorEastAsia" w:cstheme="minorEastAsia"/>
          <w:b/>
          <w:bCs/>
          <w:color w:val="auto"/>
          <w:sz w:val="21"/>
          <w:szCs w:val="21"/>
          <w:highlight w:val="none"/>
        </w:rPr>
        <w:t>时</w:t>
      </w:r>
      <w:r>
        <w:rPr>
          <w:rFonts w:hint="eastAsia" w:asciiTheme="minorEastAsia" w:hAnsiTheme="minorEastAsia" w:eastAsiaTheme="minorEastAsia" w:cstheme="minorEastAsia"/>
          <w:b/>
          <w:bCs/>
          <w:color w:val="auto"/>
          <w:sz w:val="21"/>
          <w:szCs w:val="21"/>
          <w:highlight w:val="none"/>
          <w:u w:val="single"/>
        </w:rPr>
        <w:t>00</w:t>
      </w:r>
      <w:r>
        <w:rPr>
          <w:rFonts w:hint="eastAsia" w:asciiTheme="minorEastAsia" w:hAnsiTheme="minorEastAsia" w:eastAsiaTheme="minorEastAsia" w:cstheme="minorEastAsia"/>
          <w:b/>
          <w:bCs/>
          <w:color w:val="auto"/>
          <w:sz w:val="21"/>
          <w:szCs w:val="21"/>
          <w:highlight w:val="none"/>
        </w:rPr>
        <w:t>分至</w:t>
      </w:r>
      <w:r>
        <w:rPr>
          <w:rFonts w:hint="eastAsia" w:asciiTheme="minorEastAsia" w:hAnsiTheme="minorEastAsia" w:eastAsiaTheme="minorEastAsia" w:cstheme="minorEastAsia"/>
          <w:b/>
          <w:bCs/>
          <w:color w:val="auto"/>
          <w:sz w:val="21"/>
          <w:szCs w:val="21"/>
          <w:highlight w:val="none"/>
          <w:u w:val="single"/>
        </w:rPr>
        <w:t>2023</w:t>
      </w:r>
      <w:r>
        <w:rPr>
          <w:rFonts w:hint="eastAsia" w:asciiTheme="minorEastAsia" w:hAnsiTheme="minorEastAsia" w:eastAsiaTheme="minorEastAsia" w:cstheme="minorEastAsia"/>
          <w:b/>
          <w:bCs/>
          <w:color w:val="auto"/>
          <w:sz w:val="21"/>
          <w:szCs w:val="21"/>
          <w:highlight w:val="none"/>
        </w:rPr>
        <w:t xml:space="preserve"> 年</w:t>
      </w:r>
      <w:r>
        <w:rPr>
          <w:rFonts w:hint="eastAsia" w:asciiTheme="minorEastAsia" w:hAnsiTheme="minorEastAsia" w:eastAsiaTheme="minorEastAsia" w:cstheme="minorEastAsia"/>
          <w:b/>
          <w:bCs/>
          <w:color w:val="auto"/>
          <w:sz w:val="21"/>
          <w:szCs w:val="21"/>
          <w:highlight w:val="none"/>
          <w:u w:val="single"/>
          <w:lang w:val="en-US" w:eastAsia="zh-CN"/>
        </w:rPr>
        <w:t xml:space="preserve">  9 </w:t>
      </w:r>
      <w:r>
        <w:rPr>
          <w:rFonts w:hint="eastAsia" w:asciiTheme="minorEastAsia" w:hAnsiTheme="minorEastAsia" w:eastAsiaTheme="minorEastAsia" w:cstheme="minorEastAsia"/>
          <w:b/>
          <w:bCs/>
          <w:color w:val="auto"/>
          <w:sz w:val="21"/>
          <w:szCs w:val="21"/>
          <w:highlight w:val="none"/>
        </w:rPr>
        <w:t>月</w:t>
      </w:r>
      <w:r>
        <w:rPr>
          <w:rFonts w:hint="eastAsia" w:asciiTheme="minorEastAsia" w:hAnsiTheme="minorEastAsia" w:eastAsiaTheme="minorEastAsia" w:cstheme="minorEastAsia"/>
          <w:b/>
          <w:bCs/>
          <w:color w:val="auto"/>
          <w:sz w:val="21"/>
          <w:szCs w:val="21"/>
          <w:highlight w:val="none"/>
          <w:u w:val="single"/>
          <w:lang w:val="en-US" w:eastAsia="zh-CN"/>
        </w:rPr>
        <w:t xml:space="preserve"> 21 </w:t>
      </w:r>
      <w:r>
        <w:rPr>
          <w:rFonts w:hint="eastAsia" w:asciiTheme="minorEastAsia" w:hAnsiTheme="minorEastAsia" w:eastAsiaTheme="minorEastAsia" w:cstheme="minorEastAsia"/>
          <w:b/>
          <w:bCs/>
          <w:color w:val="auto"/>
          <w:sz w:val="21"/>
          <w:szCs w:val="21"/>
          <w:highlight w:val="none"/>
        </w:rPr>
        <w:t>日</w:t>
      </w:r>
      <w:r>
        <w:rPr>
          <w:rFonts w:hint="eastAsia" w:asciiTheme="minorEastAsia" w:hAnsiTheme="minorEastAsia" w:eastAsiaTheme="minorEastAsia" w:cstheme="minorEastAsia"/>
          <w:b/>
          <w:bCs/>
          <w:color w:val="auto"/>
          <w:sz w:val="21"/>
          <w:szCs w:val="21"/>
          <w:highlight w:val="none"/>
          <w:u w:val="single"/>
        </w:rPr>
        <w:t>9</w:t>
      </w:r>
      <w:r>
        <w:rPr>
          <w:rFonts w:hint="eastAsia" w:asciiTheme="minorEastAsia" w:hAnsiTheme="minorEastAsia" w:eastAsiaTheme="minorEastAsia" w:cstheme="minorEastAsia"/>
          <w:b/>
          <w:bCs/>
          <w:color w:val="auto"/>
          <w:sz w:val="21"/>
          <w:szCs w:val="21"/>
          <w:highlight w:val="none"/>
        </w:rPr>
        <w:t>时</w:t>
      </w:r>
      <w:r>
        <w:rPr>
          <w:rFonts w:hint="eastAsia" w:asciiTheme="minorEastAsia" w:hAnsiTheme="minorEastAsia" w:eastAsiaTheme="minorEastAsia" w:cstheme="minorEastAsia"/>
          <w:b/>
          <w:bCs/>
          <w:color w:val="auto"/>
          <w:sz w:val="21"/>
          <w:szCs w:val="21"/>
          <w:highlight w:val="none"/>
          <w:u w:val="single"/>
        </w:rPr>
        <w:t>30</w:t>
      </w:r>
      <w:r>
        <w:rPr>
          <w:rFonts w:hint="eastAsia" w:asciiTheme="minorEastAsia" w:hAnsiTheme="minorEastAsia" w:eastAsiaTheme="minorEastAsia" w:cstheme="minorEastAsia"/>
          <w:b/>
          <w:bCs/>
          <w:color w:val="auto"/>
          <w:sz w:val="21"/>
          <w:szCs w:val="21"/>
          <w:highlight w:val="none"/>
        </w:rPr>
        <w:t>分</w:t>
      </w:r>
      <w:r>
        <w:rPr>
          <w:rFonts w:hint="eastAsia" w:asciiTheme="minorEastAsia" w:hAnsiTheme="minorEastAsia" w:eastAsiaTheme="minorEastAsia" w:cstheme="minorEastAsia"/>
          <w:color w:val="auto"/>
          <w:sz w:val="21"/>
          <w:szCs w:val="21"/>
          <w:highlight w:val="none"/>
        </w:rPr>
        <w:t>（北京时间，下同）接受投标文件。超过投标截止时间递交的投标文件，恕不接收。</w:t>
      </w:r>
    </w:p>
    <w:bookmarkEnd w:id="35"/>
    <w:bookmarkEnd w:id="36"/>
    <w:bookmarkEnd w:id="37"/>
    <w:bookmarkEnd w:id="38"/>
    <w:bookmarkEnd w:id="39"/>
    <w:p>
      <w:pPr>
        <w:snapToGrid w:val="0"/>
        <w:spacing w:line="360" w:lineRule="exact"/>
        <w:ind w:firstLine="420" w:firstLineChars="200"/>
        <w:textAlignment w:val="auto"/>
        <w:rPr>
          <w:rFonts w:asciiTheme="minorEastAsia" w:hAnsiTheme="minorEastAsia" w:eastAsiaTheme="minorEastAsia" w:cstheme="minorEastAsia"/>
          <w:color w:val="auto"/>
          <w:kern w:val="2"/>
          <w:sz w:val="21"/>
          <w:szCs w:val="21"/>
          <w:highlight w:val="none"/>
        </w:rPr>
      </w:pPr>
      <w:bookmarkStart w:id="40" w:name="_Toc174185151"/>
      <w:bookmarkStart w:id="41" w:name="_Toc186274103"/>
      <w:bookmarkStart w:id="42" w:name="_Toc184013607"/>
      <w:bookmarkStart w:id="43" w:name="_Toc184023106"/>
      <w:bookmarkStart w:id="44" w:name="_Toc180051014"/>
      <w:r>
        <w:rPr>
          <w:rFonts w:hint="eastAsia" w:asciiTheme="minorEastAsia" w:hAnsiTheme="minorEastAsia" w:eastAsiaTheme="minorEastAsia" w:cstheme="minorEastAsia"/>
          <w:color w:val="auto"/>
          <w:sz w:val="21"/>
          <w:szCs w:val="21"/>
          <w:highlight w:val="none"/>
        </w:rPr>
        <w:t>（五）递交投标文件截止时间和开标时间：</w:t>
      </w:r>
      <w:r>
        <w:rPr>
          <w:rFonts w:hint="eastAsia" w:asciiTheme="minorEastAsia" w:hAnsiTheme="minorEastAsia" w:eastAsiaTheme="minorEastAsia" w:cstheme="minorEastAsia"/>
          <w:b/>
          <w:bCs/>
          <w:color w:val="auto"/>
          <w:sz w:val="21"/>
          <w:szCs w:val="21"/>
          <w:highlight w:val="none"/>
          <w:u w:val="single"/>
        </w:rPr>
        <w:t>2023</w:t>
      </w:r>
      <w:r>
        <w:rPr>
          <w:rFonts w:hint="eastAsia" w:asciiTheme="minorEastAsia" w:hAnsiTheme="minorEastAsia" w:eastAsiaTheme="minorEastAsia" w:cstheme="minorEastAsia"/>
          <w:b/>
          <w:bCs/>
          <w:color w:val="auto"/>
          <w:sz w:val="21"/>
          <w:szCs w:val="21"/>
          <w:highlight w:val="none"/>
        </w:rPr>
        <w:t xml:space="preserve"> </w:t>
      </w:r>
      <w:r>
        <w:rPr>
          <w:rFonts w:hint="eastAsia" w:asciiTheme="minorEastAsia" w:hAnsiTheme="minorEastAsia" w:eastAsiaTheme="minorEastAsia" w:cstheme="minorEastAsia"/>
          <w:b/>
          <w:bCs/>
          <w:color w:val="auto"/>
          <w:sz w:val="21"/>
          <w:szCs w:val="21"/>
          <w:highlight w:val="none"/>
        </w:rPr>
        <w:t>年</w:t>
      </w:r>
      <w:r>
        <w:rPr>
          <w:rFonts w:hint="eastAsia" w:asciiTheme="minorEastAsia" w:hAnsiTheme="minorEastAsia" w:eastAsiaTheme="minorEastAsia" w:cstheme="minorEastAsia"/>
          <w:b/>
          <w:bCs/>
          <w:color w:val="auto"/>
          <w:sz w:val="21"/>
          <w:szCs w:val="21"/>
          <w:highlight w:val="none"/>
          <w:u w:val="single"/>
          <w:lang w:val="en-US" w:eastAsia="zh-CN"/>
        </w:rPr>
        <w:t xml:space="preserve"> 9 </w:t>
      </w:r>
      <w:r>
        <w:rPr>
          <w:rFonts w:hint="eastAsia" w:asciiTheme="minorEastAsia" w:hAnsiTheme="minorEastAsia" w:eastAsiaTheme="minorEastAsia" w:cstheme="minorEastAsia"/>
          <w:b/>
          <w:bCs/>
          <w:color w:val="auto"/>
          <w:sz w:val="21"/>
          <w:szCs w:val="21"/>
          <w:highlight w:val="none"/>
        </w:rPr>
        <w:t>月</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 xml:space="preserve">21 </w:t>
      </w:r>
      <w:r>
        <w:rPr>
          <w:rFonts w:hint="eastAsia" w:asciiTheme="minorEastAsia" w:hAnsiTheme="minorEastAsia" w:eastAsiaTheme="minorEastAsia" w:cstheme="minorEastAsia"/>
          <w:b/>
          <w:bCs/>
          <w:color w:val="auto"/>
          <w:sz w:val="21"/>
          <w:szCs w:val="21"/>
          <w:highlight w:val="none"/>
        </w:rPr>
        <w:t>日</w:t>
      </w:r>
      <w:r>
        <w:rPr>
          <w:rFonts w:hint="eastAsia" w:asciiTheme="minorEastAsia" w:hAnsiTheme="minorEastAsia" w:eastAsiaTheme="minorEastAsia" w:cstheme="minorEastAsia"/>
          <w:b/>
          <w:bCs/>
          <w:color w:val="auto"/>
          <w:sz w:val="21"/>
          <w:szCs w:val="21"/>
          <w:highlight w:val="none"/>
          <w:u w:val="single"/>
        </w:rPr>
        <w:t>9</w:t>
      </w:r>
      <w:r>
        <w:rPr>
          <w:rFonts w:hint="eastAsia" w:asciiTheme="minorEastAsia" w:hAnsiTheme="minorEastAsia" w:eastAsiaTheme="minorEastAsia" w:cstheme="minorEastAsia"/>
          <w:b/>
          <w:bCs/>
          <w:color w:val="auto"/>
          <w:sz w:val="21"/>
          <w:szCs w:val="21"/>
          <w:highlight w:val="none"/>
        </w:rPr>
        <w:t>时</w:t>
      </w:r>
      <w:r>
        <w:rPr>
          <w:rFonts w:hint="eastAsia" w:asciiTheme="minorEastAsia" w:hAnsiTheme="minorEastAsia" w:eastAsiaTheme="minorEastAsia" w:cstheme="minorEastAsia"/>
          <w:b/>
          <w:bCs/>
          <w:color w:val="auto"/>
          <w:sz w:val="21"/>
          <w:szCs w:val="21"/>
          <w:highlight w:val="none"/>
          <w:u w:val="single"/>
        </w:rPr>
        <w:t>30</w:t>
      </w:r>
      <w:r>
        <w:rPr>
          <w:rFonts w:hint="eastAsia" w:asciiTheme="minorEastAsia" w:hAnsiTheme="minorEastAsia" w:eastAsiaTheme="minorEastAsia" w:cstheme="minorEastAsia"/>
          <w:b/>
          <w:bCs/>
          <w:color w:val="auto"/>
          <w:sz w:val="21"/>
          <w:szCs w:val="21"/>
          <w:highlight w:val="none"/>
        </w:rPr>
        <w:t>分</w:t>
      </w:r>
      <w:r>
        <w:rPr>
          <w:rFonts w:hint="eastAsia" w:asciiTheme="minorEastAsia" w:hAnsiTheme="minorEastAsia" w:eastAsiaTheme="minorEastAsia" w:cstheme="minorEastAsia"/>
          <w:color w:val="auto"/>
          <w:sz w:val="21"/>
          <w:szCs w:val="21"/>
          <w:highlight w:val="none"/>
        </w:rPr>
        <w:t>（北京时间）。</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（六）投标人须满足以下要件，其投标才被接受：</w:t>
      </w:r>
    </w:p>
    <w:p>
      <w:pPr>
        <w:snapToGrid w:val="0"/>
        <w:spacing w:line="360" w:lineRule="exact"/>
        <w:ind w:firstLine="525" w:firstLineChars="25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1、按时递交了投标文件；</w:t>
      </w:r>
    </w:p>
    <w:p>
      <w:pPr>
        <w:snapToGrid w:val="0"/>
        <w:spacing w:line="360" w:lineRule="exact"/>
        <w:ind w:firstLine="525" w:firstLineChars="25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2、按时签到；</w:t>
      </w:r>
    </w:p>
    <w:p>
      <w:pPr>
        <w:snapToGrid w:val="0"/>
        <w:spacing w:line="360" w:lineRule="exact"/>
        <w:ind w:firstLine="525" w:firstLineChars="25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3、按招标文件要求进行密封的投标文件。</w:t>
      </w:r>
    </w:p>
    <w:p>
      <w:pPr>
        <w:tabs>
          <w:tab w:val="left" w:pos="2370"/>
        </w:tabs>
        <w:snapToGrid w:val="0"/>
        <w:spacing w:line="360" w:lineRule="exact"/>
        <w:ind w:firstLine="420" w:firstLineChars="200"/>
        <w:rPr>
          <w:rFonts w:asciiTheme="minorEastAsia" w:hAnsiTheme="minorEastAsia" w:eastAsiaTheme="minorEastAsia" w:cstheme="minorEastAsia"/>
          <w:bCs/>
          <w:color w:val="auto"/>
          <w:sz w:val="21"/>
          <w:szCs w:val="21"/>
          <w:highlight w:val="none"/>
        </w:rPr>
      </w:pPr>
      <w:bookmarkStart w:id="45" w:name="_Toc465262481"/>
      <w:r>
        <w:rPr>
          <w:rFonts w:hint="eastAsia" w:asciiTheme="minorEastAsia" w:hAnsiTheme="minorEastAsia" w:eastAsiaTheme="minorEastAsia" w:cstheme="minorEastAsia"/>
          <w:bCs/>
          <w:color w:val="auto"/>
          <w:sz w:val="21"/>
          <w:szCs w:val="21"/>
          <w:highlight w:val="none"/>
        </w:rPr>
        <w:t>（七）</w:t>
      </w:r>
      <w:r>
        <w:rPr>
          <w:rFonts w:hint="eastAsia" w:asciiTheme="minorEastAsia" w:hAnsiTheme="minorEastAsia" w:eastAsiaTheme="minorEastAsia" w:cstheme="minorEastAsia"/>
          <w:bCs/>
          <w:color w:val="auto"/>
          <w:kern w:val="2"/>
          <w:sz w:val="21"/>
          <w:szCs w:val="21"/>
          <w:highlight w:val="none"/>
        </w:rPr>
        <w:t>投标地点：</w:t>
      </w:r>
      <w:r>
        <w:rPr>
          <w:rFonts w:hint="eastAsia" w:asciiTheme="minorEastAsia" w:hAnsiTheme="minorEastAsia" w:eastAsiaTheme="minorEastAsia" w:cstheme="minorEastAsia"/>
          <w:color w:val="auto"/>
          <w:kern w:val="2"/>
          <w:sz w:val="21"/>
          <w:szCs w:val="21"/>
          <w:highlight w:val="none"/>
        </w:rPr>
        <w:t>重庆市北碚区天生路2号西南大学文俊楼(南区行政楼)二楼采购与招投标管理中心开标1室（西南大学二号门内400米处）。</w:t>
      </w:r>
    </w:p>
    <w:p>
      <w:pPr>
        <w:tabs>
          <w:tab w:val="left" w:pos="2370"/>
        </w:tabs>
        <w:snapToGrid w:val="0"/>
        <w:spacing w:line="360" w:lineRule="exact"/>
        <w:ind w:firstLine="420" w:firstLineChars="200"/>
        <w:rPr>
          <w:rFonts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sz w:val="21"/>
          <w:szCs w:val="21"/>
          <w:highlight w:val="none"/>
        </w:rPr>
        <w:t>（八）</w:t>
      </w:r>
      <w:r>
        <w:rPr>
          <w:rFonts w:hint="eastAsia" w:asciiTheme="minorEastAsia" w:hAnsiTheme="minorEastAsia" w:eastAsiaTheme="minorEastAsia" w:cstheme="minorEastAsia"/>
          <w:bCs/>
          <w:color w:val="auto"/>
          <w:kern w:val="2"/>
          <w:sz w:val="21"/>
          <w:szCs w:val="21"/>
          <w:highlight w:val="none"/>
        </w:rPr>
        <w:t>开标地点：同投标地点</w:t>
      </w:r>
    </w:p>
    <w:p>
      <w:pPr>
        <w:tabs>
          <w:tab w:val="left" w:pos="2370"/>
        </w:tabs>
        <w:snapToGrid w:val="0"/>
        <w:spacing w:line="360" w:lineRule="exact"/>
        <w:ind w:firstLine="211" w:firstLineChars="1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五、投标保证金</w:t>
      </w:r>
      <w:bookmarkEnd w:id="45"/>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bookmarkStart w:id="46" w:name="_Toc516249119"/>
      <w:bookmarkStart w:id="47" w:name="_Toc516648291"/>
      <w:bookmarkStart w:id="48" w:name="_Toc523826308"/>
      <w:bookmarkStart w:id="49" w:name="_Toc465262482"/>
      <w:r>
        <w:rPr>
          <w:rFonts w:hint="eastAsia" w:asciiTheme="minorEastAsia" w:hAnsiTheme="minorEastAsia" w:eastAsiaTheme="minorEastAsia" w:cstheme="minorEastAsia"/>
          <w:color w:val="auto"/>
          <w:kern w:val="2"/>
          <w:sz w:val="21"/>
          <w:szCs w:val="21"/>
          <w:highlight w:val="none"/>
        </w:rPr>
        <w:t>本项目不收取投标（响应）保证金，但投标人若存在以下情形的，将被列为西南大学失信行为人名单，视情节轻重，禁止失信行为人及其关联方3至5年内参加西南大学政府采购限额标准以下的任何采购项目：</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（一）在投标（响应）有效期内撤回投标（响应）文件的；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（二）无正当理由放弃中标（成交）资格的；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（三）不按规定提交履约担保或低价风险担保（如有）的；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（四）非不可抗力原因，拒不签订采购合同的；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（五）合同签订后拒绝履行合同义务的；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（六）弄虚作假，提供虚假材料的；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（七）存在围标、串标等违法行为的；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（八）其他严重扰乱采购程序的。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    上述关联方是指单位负责人为同一人或存在直接控股、关联关系的不同供应商。</w:t>
      </w:r>
    </w:p>
    <w:p>
      <w:pPr>
        <w:pStyle w:val="2"/>
        <w:snapToGrid w:val="0"/>
        <w:spacing w:before="0" w:after="0" w:line="360" w:lineRule="exact"/>
        <w:ind w:left="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六、</w:t>
      </w:r>
      <w:bookmarkEnd w:id="46"/>
      <w:bookmarkEnd w:id="47"/>
      <w:bookmarkEnd w:id="48"/>
      <w:bookmarkStart w:id="50" w:name="_Toc516249120"/>
      <w:bookmarkStart w:id="51" w:name="_Toc523826309"/>
      <w:bookmarkStart w:id="52" w:name="_Toc516648292"/>
      <w:r>
        <w:rPr>
          <w:rFonts w:hint="eastAsia" w:asciiTheme="minorEastAsia" w:hAnsiTheme="minorEastAsia" w:eastAsiaTheme="minorEastAsia" w:cstheme="minorEastAsia"/>
          <w:color w:val="auto"/>
          <w:sz w:val="21"/>
          <w:szCs w:val="21"/>
          <w:highlight w:val="none"/>
        </w:rPr>
        <w:t>投标有关规定</w:t>
      </w:r>
      <w:bookmarkEnd w:id="50"/>
      <w:bookmarkEnd w:id="51"/>
      <w:bookmarkEnd w:id="52"/>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（一）法定代表人为同一个人的两个及两个以上单位，母公司、全资子公司及其控股公司，不得对同一分包同时进行投标。 </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（二）单位负责人为同一人或者存在直接控股、管理关系的不同投标人，不得参加同一合同项（分包）下的政府采购活动。</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（三）为采购项目提供整体设计、规范编制或者项目管理、监理、检测等服务的投标人，不得再参加该采购项目的其他采购活动。</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（四）投标人不得向采购人/西南大学提供赠品、回扣或者与采购无关的其他商品、服务，一经发现，其投标人资格将被取消。</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（五）超过投标截止时间递交的投标文件，恕不接收。</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（六）投标费用：无论投标结果如何，投标人参与本项目投标的所有费用均应由投标人自行承担。采购人/采购组织机构/采购代理机构在任何情况下无义务也无责任承担这些费用。</w:t>
      </w:r>
    </w:p>
    <w:p>
      <w:pPr>
        <w:snapToGrid w:val="0"/>
        <w:spacing w:line="360" w:lineRule="exact"/>
        <w:ind w:firstLine="211" w:firstLineChars="1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（七）本项目不接受联合体投标。</w:t>
      </w:r>
    </w:p>
    <w:p>
      <w:pPr>
        <w:tabs>
          <w:tab w:val="left" w:pos="2370"/>
        </w:tabs>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（八）</w:t>
      </w:r>
      <w:bookmarkStart w:id="53" w:name="OLE_LINK1"/>
      <w:r>
        <w:rPr>
          <w:rFonts w:hint="eastAsia" w:asciiTheme="minorEastAsia" w:hAnsiTheme="minorEastAsia" w:eastAsiaTheme="minorEastAsia" w:cstheme="minorEastAsia"/>
          <w:color w:val="auto"/>
          <w:sz w:val="21"/>
          <w:szCs w:val="21"/>
          <w:highlight w:val="none"/>
        </w:rPr>
        <w:t>按照《财政部关于在政府采购活动中查询及使用信用记录有关问题的通知》财库〔2016〕125号的规定，投标人被列入失信被执行人、重大税收违法案件当事人名单、政府采购严重违法失信行为记录名单及其他不符合《中华人民共和国政府采购法》第二十二条规定条件的</w:t>
      </w:r>
      <w:bookmarkEnd w:id="53"/>
      <w:r>
        <w:rPr>
          <w:rFonts w:hint="eastAsia" w:asciiTheme="minorEastAsia" w:hAnsiTheme="minorEastAsia" w:eastAsiaTheme="minorEastAsia" w:cstheme="minorEastAsia"/>
          <w:color w:val="auto"/>
          <w:sz w:val="21"/>
          <w:szCs w:val="21"/>
          <w:highlight w:val="none"/>
        </w:rPr>
        <w:t>投标人，将拒绝其参与政府采购活动。</w:t>
      </w:r>
      <w:bookmarkStart w:id="54" w:name="_Toc480788291"/>
      <w:bookmarkStart w:id="55" w:name="_Toc446505900"/>
    </w:p>
    <w:p>
      <w:pPr>
        <w:tabs>
          <w:tab w:val="left" w:pos="2370"/>
        </w:tabs>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九）采购人/采购组织机构/采购代理机构在任何时候发现投标人以他人名义投标、相互串通投标，在投标文件中提交虚假资料或失实资料的，或者以其他方式弄虚作假的，其投标将被拒绝并视情况依法追究其责任。</w:t>
      </w:r>
    </w:p>
    <w:p>
      <w:pPr>
        <w:pStyle w:val="2"/>
        <w:snapToGrid w:val="0"/>
        <w:spacing w:before="0" w:after="0" w:line="360" w:lineRule="exact"/>
        <w:ind w:left="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七、</w:t>
      </w:r>
      <w:bookmarkEnd w:id="54"/>
      <w:bookmarkEnd w:id="55"/>
      <w:bookmarkStart w:id="56" w:name="_Toc500253676"/>
      <w:bookmarkStart w:id="57" w:name="_Toc523826310"/>
      <w:bookmarkStart w:id="58" w:name="_Toc516249121"/>
      <w:bookmarkStart w:id="59" w:name="_Toc516648293"/>
      <w:r>
        <w:rPr>
          <w:rFonts w:hint="eastAsia" w:asciiTheme="minorEastAsia" w:hAnsiTheme="minorEastAsia" w:eastAsiaTheme="minorEastAsia" w:cstheme="minorEastAsia"/>
          <w:color w:val="auto"/>
          <w:sz w:val="21"/>
          <w:szCs w:val="21"/>
          <w:highlight w:val="none"/>
        </w:rPr>
        <w:t>发布公告的媒介</w:t>
      </w:r>
      <w:bookmarkEnd w:id="56"/>
      <w:bookmarkEnd w:id="57"/>
    </w:p>
    <w:p>
      <w:pPr>
        <w:snapToGrid w:val="0"/>
        <w:spacing w:line="360" w:lineRule="exact"/>
        <w:ind w:firstLine="420" w:firstLineChars="200"/>
        <w:rPr>
          <w:rFonts w:asciiTheme="minorEastAsia" w:hAnsiTheme="minorEastAsia" w:eastAsiaTheme="minorEastAsia" w:cstheme="minorEastAsia"/>
          <w:color w:val="auto"/>
          <w:sz w:val="21"/>
          <w:szCs w:val="21"/>
          <w:highlight w:val="none"/>
        </w:rPr>
      </w:pPr>
      <w:bookmarkStart w:id="60" w:name="_Toc519427126"/>
      <w:r>
        <w:rPr>
          <w:rFonts w:hint="eastAsia" w:asciiTheme="minorEastAsia" w:hAnsiTheme="minorEastAsia" w:eastAsiaTheme="minorEastAsia" w:cstheme="minorEastAsia"/>
          <w:color w:val="auto"/>
          <w:sz w:val="21"/>
          <w:szCs w:val="21"/>
          <w:highlight w:val="none"/>
        </w:rPr>
        <w:t>本项目采购公告将在</w:t>
      </w:r>
      <w:r>
        <w:rPr>
          <w:rFonts w:hint="eastAsia" w:asciiTheme="minorEastAsia" w:hAnsiTheme="minorEastAsia" w:eastAsiaTheme="minorEastAsia" w:cstheme="minorEastAsia"/>
          <w:color w:val="auto"/>
          <w:kern w:val="2"/>
          <w:sz w:val="21"/>
          <w:szCs w:val="21"/>
          <w:highlight w:val="none"/>
        </w:rPr>
        <w:t>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Theme="minorEastAsia" w:hAnsiTheme="minorEastAsia" w:eastAsiaTheme="minorEastAsia" w:cstheme="minorEastAsia"/>
          <w:color w:val="auto"/>
          <w:kern w:val="2"/>
          <w:sz w:val="21"/>
          <w:szCs w:val="21"/>
          <w:highlight w:val="none"/>
        </w:rPr>
        <w:t>http://www.ccgp.gov.cn</w:t>
      </w:r>
      <w:r>
        <w:rPr>
          <w:rFonts w:hint="eastAsia" w:asciiTheme="minorEastAsia" w:hAnsiTheme="minorEastAsia" w:eastAsiaTheme="minorEastAsia" w:cstheme="minorEastAsia"/>
          <w:color w:val="auto"/>
          <w:kern w:val="2"/>
          <w:sz w:val="21"/>
          <w:szCs w:val="21"/>
          <w:highlight w:val="none"/>
        </w:rPr>
        <w:fldChar w:fldCharType="end"/>
      </w:r>
      <w:r>
        <w:rPr>
          <w:rFonts w:hint="eastAsia" w:asciiTheme="minorEastAsia" w:hAnsiTheme="minorEastAsia" w:eastAsiaTheme="minorEastAsia" w:cstheme="minorEastAsia"/>
          <w:color w:val="auto"/>
          <w:kern w:val="2"/>
          <w:sz w:val="21"/>
          <w:szCs w:val="21"/>
          <w:highlight w:val="none"/>
        </w:rPr>
        <w:t>）和西南大学采购与招投标管理中心网页（https://ecaigou.swu.edu.cn:30910/bid/index?redirect=%2F）</w:t>
      </w:r>
      <w:r>
        <w:rPr>
          <w:rFonts w:hint="eastAsia" w:asciiTheme="minorEastAsia" w:hAnsiTheme="minorEastAsia" w:eastAsiaTheme="minorEastAsia" w:cstheme="minorEastAsia"/>
          <w:color w:val="auto"/>
          <w:sz w:val="21"/>
          <w:szCs w:val="21"/>
          <w:highlight w:val="none"/>
        </w:rPr>
        <w:t>上同时发布。</w:t>
      </w:r>
      <w:bookmarkEnd w:id="60"/>
    </w:p>
    <w:p>
      <w:pPr>
        <w:pStyle w:val="2"/>
        <w:snapToGrid w:val="0"/>
        <w:spacing w:before="0" w:after="0" w:line="360" w:lineRule="exact"/>
        <w:ind w:left="0"/>
        <w:rPr>
          <w:rFonts w:asciiTheme="minorEastAsia" w:hAnsiTheme="minorEastAsia" w:eastAsiaTheme="minorEastAsia" w:cstheme="minorEastAsia"/>
          <w:color w:val="auto"/>
          <w:sz w:val="21"/>
          <w:szCs w:val="21"/>
          <w:highlight w:val="none"/>
        </w:rPr>
      </w:pPr>
      <w:bookmarkStart w:id="61" w:name="_Toc523826311"/>
      <w:r>
        <w:rPr>
          <w:rFonts w:hint="eastAsia" w:asciiTheme="minorEastAsia" w:hAnsiTheme="minorEastAsia" w:eastAsiaTheme="minorEastAsia" w:cstheme="minorEastAsia"/>
          <w:color w:val="auto"/>
          <w:sz w:val="21"/>
          <w:szCs w:val="21"/>
          <w:highlight w:val="none"/>
        </w:rPr>
        <w:t>八、联系方式</w:t>
      </w:r>
      <w:bookmarkEnd w:id="58"/>
      <w:bookmarkEnd w:id="59"/>
      <w:bookmarkEnd w:id="61"/>
    </w:p>
    <w:p>
      <w:pPr>
        <w:spacing w:line="40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（一）采购人：</w:t>
      </w:r>
      <w:r>
        <w:rPr>
          <w:rFonts w:hint="eastAsia" w:asciiTheme="minorEastAsia" w:hAnsiTheme="minorEastAsia" w:eastAsiaTheme="minorEastAsia" w:cstheme="minorEastAsia"/>
          <w:color w:val="auto"/>
          <w:sz w:val="21"/>
          <w:highlight w:val="none"/>
        </w:rPr>
        <w:t>西南大学</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（二）采购组织机构：西南大学采购与招投标管理中心</w:t>
      </w:r>
    </w:p>
    <w:p>
      <w:pPr>
        <w:snapToGrid w:val="0"/>
        <w:spacing w:line="360" w:lineRule="exact"/>
        <w:ind w:firstLine="840" w:firstLineChars="4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联系人：龚老师   袁老师</w:t>
      </w:r>
    </w:p>
    <w:p>
      <w:pPr>
        <w:snapToGrid w:val="0"/>
        <w:spacing w:line="360" w:lineRule="exact"/>
        <w:ind w:firstLine="844" w:firstLineChars="4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  话：0</w:t>
      </w:r>
      <w:r>
        <w:rPr>
          <w:rFonts w:asciiTheme="minorEastAsia" w:hAnsiTheme="minorEastAsia" w:eastAsiaTheme="minorEastAsia" w:cstheme="minorEastAsia"/>
          <w:color w:val="auto"/>
          <w:sz w:val="21"/>
          <w:szCs w:val="21"/>
          <w:highlight w:val="none"/>
        </w:rPr>
        <w:t>23-68250189   68252007</w:t>
      </w:r>
    </w:p>
    <w:p>
      <w:pPr>
        <w:snapToGrid w:val="0"/>
        <w:spacing w:line="360" w:lineRule="exact"/>
        <w:ind w:firstLine="844" w:firstLineChars="4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  箱：</w:t>
      </w:r>
      <w:r>
        <w:rPr>
          <w:color w:val="auto"/>
          <w:highlight w:val="none"/>
        </w:rPr>
        <w:fldChar w:fldCharType="begin"/>
      </w:r>
      <w:r>
        <w:rPr>
          <w:color w:val="auto"/>
          <w:highlight w:val="none"/>
        </w:rPr>
        <w:instrText xml:space="preserve"> HYPERLINK "mailto:rxzhang@swu.edu.cn" </w:instrText>
      </w:r>
      <w:r>
        <w:rPr>
          <w:color w:val="auto"/>
          <w:highlight w:val="none"/>
        </w:rPr>
        <w:fldChar w:fldCharType="separate"/>
      </w:r>
      <w:r>
        <w:rPr>
          <w:rFonts w:hint="eastAsia" w:asciiTheme="minorEastAsia" w:hAnsiTheme="minorEastAsia" w:eastAsiaTheme="minorEastAsia" w:cstheme="minorEastAsia"/>
          <w:color w:val="auto"/>
          <w:sz w:val="21"/>
          <w:szCs w:val="21"/>
          <w:highlight w:val="none"/>
        </w:rPr>
        <w:t>rxzhang@swu.edu.cn</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   </w:t>
      </w:r>
    </w:p>
    <w:p>
      <w:pPr>
        <w:snapToGrid w:val="0"/>
        <w:spacing w:line="360" w:lineRule="exact"/>
        <w:ind w:firstLine="844" w:firstLineChars="4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  址：重庆市北碚区天生路2号</w:t>
      </w:r>
    </w:p>
    <w:p>
      <w:pPr>
        <w:snapToGrid w:val="0"/>
        <w:spacing w:line="360" w:lineRule="exact"/>
        <w:ind w:left="210" w:firstLine="630" w:firstLineChars="3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位  置：西南大学2号门内进入直行约400米，南区文俊楼（南区行政楼）二楼右侧。</w:t>
      </w:r>
    </w:p>
    <w:p>
      <w:pPr>
        <w:pStyle w:val="31"/>
        <w:numPr>
          <w:ilvl w:val="0"/>
          <w:numId w:val="2"/>
        </w:numPr>
        <w:snapToGrid w:val="0"/>
        <w:spacing w:line="360" w:lineRule="exact"/>
        <w:ind w:firstLineChars="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技术交流人： </w:t>
      </w:r>
      <w:r>
        <w:rPr>
          <w:rFonts w:hint="eastAsia" w:asciiTheme="minorEastAsia" w:hAnsiTheme="minorEastAsia" w:eastAsiaTheme="minorEastAsia" w:cstheme="minorEastAsia"/>
          <w:color w:val="auto"/>
          <w:szCs w:val="21"/>
          <w:highlight w:val="none"/>
          <w:lang w:eastAsia="zh-CN"/>
        </w:rPr>
        <w:t>李</w:t>
      </w:r>
      <w:r>
        <w:rPr>
          <w:rFonts w:hint="eastAsia" w:asciiTheme="minorEastAsia" w:hAnsiTheme="minorEastAsia" w:eastAsiaTheme="minorEastAsia" w:cstheme="minorEastAsia"/>
          <w:color w:val="auto"/>
          <w:szCs w:val="21"/>
          <w:highlight w:val="none"/>
        </w:rPr>
        <w:t xml:space="preserve">老师 </w:t>
      </w:r>
      <w:r>
        <w:rPr>
          <w:rFonts w:asciiTheme="minorEastAsia" w:hAnsiTheme="minorEastAsia" w:eastAsiaTheme="minorEastAsia" w:cstheme="minorEastAsia"/>
          <w:color w:val="auto"/>
          <w:szCs w:val="21"/>
          <w:highlight w:val="none"/>
        </w:rPr>
        <w:t xml:space="preserve">  </w:t>
      </w:r>
      <w:r>
        <w:rPr>
          <w:rFonts w:hint="eastAsia" w:asciiTheme="minorEastAsia" w:hAnsiTheme="minorEastAsia" w:eastAsiaTheme="minorEastAsia" w:cstheme="minorEastAsia"/>
          <w:color w:val="auto"/>
          <w:szCs w:val="21"/>
          <w:highlight w:val="none"/>
        </w:rPr>
        <w:t>联系电话</w:t>
      </w:r>
      <w:r>
        <w:rPr>
          <w:rFonts w:hint="eastAsia" w:asciiTheme="minorEastAsia" w:hAnsiTheme="minorEastAsia" w:eastAsiaTheme="minorEastAsia" w:cstheme="minorEastAsia"/>
          <w:color w:val="auto"/>
          <w:szCs w:val="21"/>
          <w:highlight w:val="none"/>
          <w:lang w:val="en-US" w:eastAsia="zh-CN"/>
        </w:rPr>
        <w:t>13650510593</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（四）采购代理机构：重庆联盛建设项目管理有限公司</w:t>
      </w:r>
    </w:p>
    <w:p>
      <w:pPr>
        <w:snapToGrid w:val="0"/>
        <w:spacing w:line="360" w:lineRule="exact"/>
        <w:ind w:firstLine="840" w:firstLineChars="4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联系人：邓夏    邮  箱: 522677273@qq.com  </w:t>
      </w:r>
    </w:p>
    <w:p>
      <w:pPr>
        <w:snapToGrid w:val="0"/>
        <w:spacing w:line="360" w:lineRule="exact"/>
        <w:ind w:firstLine="840" w:firstLineChars="4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话：023-61896023 </w:t>
      </w:r>
    </w:p>
    <w:p>
      <w:pPr>
        <w:snapToGrid w:val="0"/>
        <w:spacing w:line="360" w:lineRule="exact"/>
        <w:ind w:firstLine="840" w:firstLineChars="4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址：重庆北部新区翠云云柏路2号 </w:t>
      </w:r>
    </w:p>
    <w:p>
      <w:pPr>
        <w:pStyle w:val="2"/>
        <w:snapToGrid w:val="0"/>
        <w:spacing w:before="0" w:after="0" w:line="360" w:lineRule="exact"/>
        <w:ind w:left="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九、其他</w:t>
      </w:r>
    </w:p>
    <w:p>
      <w:pPr>
        <w:spacing w:line="420" w:lineRule="exact"/>
        <w:ind w:firstLine="493" w:firstLineChars="235"/>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本项目不组织统一现场踏勘，请各供应商自行前往现场踏勘并充分了解项目情况、运输道路、安装空间及环境、装卸限制及任何其它足以影响报价的情况，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供应商需自行负责在踏勘现场中所发生的人员伤亡和财产损失，现场踏勘所发生的费用由供应商承担。</w:t>
      </w:r>
    </w:p>
    <w:p>
      <w:pPr>
        <w:spacing w:line="420" w:lineRule="exact"/>
        <w:ind w:firstLine="493" w:firstLineChars="235"/>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现场踏勘联系人：</w:t>
      </w:r>
      <w:r>
        <w:rPr>
          <w:rFonts w:hint="eastAsia" w:ascii="黑体" w:hAnsi="黑体" w:cs="黑体" w:eastAsia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李</w:t>
      </w:r>
      <w:r>
        <w:rPr>
          <w:rFonts w:hint="eastAsia" w:asciiTheme="minorEastAsia" w:hAnsiTheme="minorEastAsia" w:eastAsiaTheme="minorEastAsia" w:cstheme="minorEastAsia"/>
          <w:color w:val="auto"/>
          <w:sz w:val="21"/>
          <w:szCs w:val="21"/>
          <w:highlight w:val="none"/>
        </w:rPr>
        <w:t>老师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联系电话 </w:t>
      </w:r>
      <w:r>
        <w:rPr>
          <w:rFonts w:hint="eastAsia" w:asciiTheme="minorEastAsia" w:hAnsiTheme="minorEastAsia" w:eastAsiaTheme="minorEastAsia" w:cstheme="minorEastAsia"/>
          <w:color w:val="auto"/>
          <w:sz w:val="21"/>
          <w:szCs w:val="21"/>
          <w:highlight w:val="none"/>
          <w:lang w:val="en-US" w:eastAsia="zh-CN"/>
        </w:rPr>
        <w:t>13650510593</w:t>
      </w:r>
    </w:p>
    <w:p>
      <w:pPr>
        <w:snapToGrid w:val="0"/>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(二)进校人员要求：</w:t>
      </w:r>
    </w:p>
    <w:p>
      <w:pPr>
        <w:pStyle w:val="10"/>
        <w:spacing w:line="42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1、人员出入</w:t>
      </w:r>
    </w:p>
    <w:p>
      <w:pPr>
        <w:pStyle w:val="10"/>
        <w:spacing w:line="42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需持有效身份证在校门通过人行门禁由门岗工作人员核验身份证、采集信息后，可出入校园。</w:t>
      </w:r>
    </w:p>
    <w:p>
      <w:pPr>
        <w:pStyle w:val="10"/>
        <w:spacing w:line="42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2、车辆出入</w:t>
      </w:r>
    </w:p>
    <w:p>
      <w:pPr>
        <w:pStyle w:val="10"/>
        <w:spacing w:line="42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校外车辆来校实行预约报备制，需提前至少一天通过“西南大学保卫处”微信公众号提交《校外车辆进校申请》，由校内对接单位在“数智西大”平台审核、保卫处审批通过后，方可出入校园。信息填写要求详见西南大学采招中心网页（</w:t>
      </w:r>
      <w:r>
        <w:rPr>
          <w:color w:val="auto"/>
          <w:highlight w:val="none"/>
        </w:rPr>
        <w:fldChar w:fldCharType="begin"/>
      </w:r>
      <w:r>
        <w:rPr>
          <w:color w:val="auto"/>
          <w:highlight w:val="none"/>
        </w:rPr>
        <w:instrText xml:space="preserve"> HYPERLINK "https://ecaigou.swu.edu.cn:30910/bid/detail?id=9157" </w:instrText>
      </w:r>
      <w:r>
        <w:rPr>
          <w:color w:val="auto"/>
          <w:highlight w:val="none"/>
        </w:rPr>
        <w:fldChar w:fldCharType="separate"/>
      </w:r>
      <w:r>
        <w:rPr>
          <w:rFonts w:hint="eastAsia" w:asciiTheme="minorEastAsia" w:hAnsiTheme="minorEastAsia" w:eastAsiaTheme="minorEastAsia" w:cstheme="minorEastAsia"/>
          <w:color w:val="auto"/>
          <w:kern w:val="0"/>
          <w:highlight w:val="none"/>
        </w:rPr>
        <w:t>https://ecaigou.swu.edu.cn:30910/bid/detail?id=9157</w:t>
      </w:r>
      <w:r>
        <w:rPr>
          <w:rFonts w:hint="eastAsia" w:asciiTheme="minorEastAsia" w:hAnsiTheme="minorEastAsia" w:eastAsiaTheme="minorEastAsia" w:cstheme="minorEastAsia"/>
          <w:color w:val="auto"/>
          <w:kern w:val="0"/>
          <w:highlight w:val="none"/>
        </w:rPr>
        <w:fldChar w:fldCharType="end"/>
      </w:r>
      <w:r>
        <w:rPr>
          <w:rFonts w:hint="eastAsia" w:asciiTheme="minorEastAsia" w:hAnsiTheme="minorEastAsia" w:eastAsiaTheme="minorEastAsia" w:cstheme="minorEastAsia"/>
          <w:color w:val="auto"/>
          <w:kern w:val="0"/>
          <w:highlight w:val="none"/>
        </w:rPr>
        <w:t>）所述。项目单位联系人与现场踏勘联系人相同。</w:t>
      </w:r>
    </w:p>
    <w:p>
      <w:pPr>
        <w:pStyle w:val="10"/>
        <w:spacing w:line="42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有发热、干咳、乏力、咽痛、嗅（味）觉减退、流涕、肌肉酸痛、腹泻等症状的人员不得进校。</w:t>
      </w:r>
    </w:p>
    <w:bookmarkEnd w:id="49"/>
    <w:p>
      <w:pPr>
        <w:rPr>
          <w:rFonts w:asciiTheme="minorEastAsia" w:hAnsiTheme="minorEastAsia" w:eastAsiaTheme="minorEastAsia" w:cstheme="minorEastAsia"/>
          <w:color w:val="auto"/>
          <w:highlight w:val="none"/>
        </w:rPr>
        <w:sectPr>
          <w:headerReference r:id="rId10" w:type="first"/>
          <w:footerReference r:id="rId11" w:type="default"/>
          <w:pgSz w:w="11906" w:h="16838"/>
          <w:pgMar w:top="1418" w:right="1247" w:bottom="1247" w:left="1418" w:header="851" w:footer="992" w:gutter="0"/>
          <w:cols w:space="720" w:num="1"/>
          <w:docGrid w:linePitch="312" w:charSpace="0"/>
        </w:sectPr>
      </w:pPr>
    </w:p>
    <w:bookmarkEnd w:id="40"/>
    <w:bookmarkEnd w:id="41"/>
    <w:bookmarkEnd w:id="42"/>
    <w:bookmarkEnd w:id="43"/>
    <w:bookmarkEnd w:id="44"/>
    <w:p>
      <w:pPr>
        <w:pStyle w:val="3"/>
        <w:spacing w:before="120" w:after="120"/>
        <w:ind w:left="0" w:firstLine="0"/>
        <w:jc w:val="center"/>
        <w:rPr>
          <w:rFonts w:asciiTheme="minorEastAsia" w:hAnsiTheme="minorEastAsia" w:eastAsiaTheme="minorEastAsia" w:cstheme="minorEastAsia"/>
          <w:color w:val="auto"/>
          <w:highlight w:val="none"/>
        </w:rPr>
      </w:pPr>
      <w:bookmarkStart w:id="62" w:name="_Toc174185152"/>
      <w:bookmarkStart w:id="63" w:name="_Toc138929557"/>
      <w:bookmarkStart w:id="64" w:name="OLE_LINK5"/>
      <w:bookmarkStart w:id="65" w:name="OLE_LINK6"/>
      <w:r>
        <w:rPr>
          <w:rFonts w:hint="eastAsia" w:asciiTheme="minorEastAsia" w:hAnsiTheme="minorEastAsia" w:eastAsiaTheme="minorEastAsia" w:cstheme="minorEastAsia"/>
          <w:color w:val="auto"/>
          <w:highlight w:val="none"/>
        </w:rPr>
        <w:t xml:space="preserve">第二篇 </w:t>
      </w:r>
      <w:bookmarkEnd w:id="62"/>
      <w:r>
        <w:rPr>
          <w:rFonts w:hint="eastAsia" w:asciiTheme="minorEastAsia" w:hAnsiTheme="minorEastAsia" w:eastAsiaTheme="minorEastAsia" w:cstheme="minorEastAsia"/>
          <w:color w:val="auto"/>
          <w:highlight w:val="none"/>
        </w:rPr>
        <w:t>项目技术规格、数量及质量要求</w:t>
      </w:r>
      <w:bookmarkEnd w:id="63"/>
    </w:p>
    <w:p>
      <w:pPr>
        <w:autoSpaceDE w:val="0"/>
        <w:autoSpaceDN w:val="0"/>
        <w:spacing w:line="360" w:lineRule="auto"/>
        <w:rPr>
          <w:rFonts w:asciiTheme="minorEastAsia" w:hAnsiTheme="minorEastAsia" w:eastAsiaTheme="minorEastAsia" w:cstheme="minorEastAsia"/>
          <w:b/>
          <w:color w:val="auto"/>
          <w:highlight w:val="none"/>
        </w:rPr>
      </w:pPr>
      <w:bookmarkStart w:id="66" w:name="_Toc498417024"/>
      <w:bookmarkStart w:id="67" w:name="_Toc535418619"/>
    </w:p>
    <w:p>
      <w:pPr>
        <w:autoSpaceDE w:val="0"/>
        <w:autoSpaceDN w:val="0"/>
        <w:spacing w:line="36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一、货物名称、数量：</w:t>
      </w:r>
    </w:p>
    <w:p>
      <w:pPr>
        <w:autoSpaceDE w:val="0"/>
        <w:autoSpaceDN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1．货物名称：</w:t>
      </w:r>
      <w:r>
        <w:rPr>
          <w:rFonts w:hint="eastAsia" w:asciiTheme="minorEastAsia" w:hAnsiTheme="minorEastAsia" w:eastAsiaTheme="minorEastAsia" w:cstheme="minorEastAsia"/>
          <w:color w:val="auto"/>
          <w:sz w:val="21"/>
          <w:szCs w:val="21"/>
          <w:highlight w:val="none"/>
        </w:rPr>
        <w:t>便携式氧化亚氮同位素分析仪</w:t>
      </w:r>
    </w:p>
    <w:p>
      <w:pPr>
        <w:autoSpaceDE w:val="0"/>
        <w:autoSpaceDN w:val="0"/>
        <w:spacing w:line="360" w:lineRule="auto"/>
        <w:ind w:firstLine="420" w:firstLineChars="200"/>
        <w:rPr>
          <w:color w:val="auto"/>
          <w:highlight w:val="none"/>
        </w:rPr>
      </w:pPr>
      <w:r>
        <w:rPr>
          <w:rFonts w:hint="eastAsia" w:asciiTheme="minorEastAsia" w:hAnsiTheme="minorEastAsia" w:eastAsiaTheme="minorEastAsia" w:cstheme="minorEastAsia"/>
          <w:color w:val="auto"/>
          <w:sz w:val="21"/>
          <w:szCs w:val="21"/>
          <w:highlight w:val="none"/>
        </w:rPr>
        <w:t>2．数量：</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eastAsia="zh-CN"/>
        </w:rPr>
        <w:t>台</w:t>
      </w:r>
    </w:p>
    <w:p>
      <w:pPr>
        <w:spacing w:line="44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二、功能及用途：</w:t>
      </w:r>
    </w:p>
    <w:p>
      <w:pPr>
        <w:pStyle w:val="7"/>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用于测量大气中N</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O的δ</w:t>
      </w:r>
      <w:r>
        <w:rPr>
          <w:rFonts w:hint="eastAsia" w:ascii="宋体" w:hAnsi="宋体" w:eastAsia="宋体" w:cs="宋体"/>
          <w:color w:val="auto"/>
          <w:sz w:val="21"/>
          <w:szCs w:val="21"/>
          <w:highlight w:val="none"/>
          <w:vertAlign w:val="superscript"/>
        </w:rPr>
        <w:t>15</w:t>
      </w:r>
      <w:r>
        <w:rPr>
          <w:rFonts w:hint="eastAsia" w:ascii="宋体" w:hAnsi="宋体" w:eastAsia="宋体" w:cs="宋体"/>
          <w:color w:val="auto"/>
          <w:sz w:val="21"/>
          <w:szCs w:val="21"/>
          <w:highlight w:val="none"/>
        </w:rPr>
        <w:t>N、δ</w:t>
      </w:r>
      <w:r>
        <w:rPr>
          <w:rFonts w:hint="eastAsia" w:ascii="宋体" w:hAnsi="宋体" w:eastAsia="宋体" w:cs="宋体"/>
          <w:color w:val="auto"/>
          <w:sz w:val="21"/>
          <w:szCs w:val="21"/>
          <w:highlight w:val="none"/>
          <w:vertAlign w:val="superscript"/>
        </w:rPr>
        <w:t>15</w:t>
      </w:r>
      <w:r>
        <w:rPr>
          <w:rFonts w:hint="eastAsia" w:ascii="宋体" w:hAnsi="宋体" w:eastAsia="宋体" w:cs="宋体"/>
          <w:color w:val="auto"/>
          <w:sz w:val="21"/>
          <w:szCs w:val="21"/>
          <w:highlight w:val="none"/>
        </w:rPr>
        <w:t>N</w:t>
      </w:r>
      <w:r>
        <w:rPr>
          <w:rFonts w:hint="eastAsia" w:ascii="宋体" w:hAnsi="宋体" w:eastAsia="宋体" w:cs="宋体"/>
          <w:color w:val="auto"/>
          <w:sz w:val="21"/>
          <w:szCs w:val="21"/>
          <w:highlight w:val="none"/>
          <w:vertAlign w:val="superscript"/>
        </w:rPr>
        <w:t>α</w:t>
      </w:r>
      <w:r>
        <w:rPr>
          <w:rFonts w:hint="eastAsia" w:ascii="宋体" w:hAnsi="宋体" w:eastAsia="宋体" w:cs="宋体"/>
          <w:color w:val="auto"/>
          <w:sz w:val="21"/>
          <w:szCs w:val="21"/>
          <w:highlight w:val="none"/>
        </w:rPr>
        <w:t>、δ</w:t>
      </w:r>
      <w:r>
        <w:rPr>
          <w:rFonts w:hint="eastAsia" w:ascii="宋体" w:hAnsi="宋体" w:eastAsia="宋体" w:cs="宋体"/>
          <w:color w:val="auto"/>
          <w:sz w:val="21"/>
          <w:szCs w:val="21"/>
          <w:highlight w:val="none"/>
          <w:vertAlign w:val="superscript"/>
        </w:rPr>
        <w:t>15</w:t>
      </w:r>
      <w:r>
        <w:rPr>
          <w:rFonts w:hint="eastAsia" w:ascii="宋体" w:hAnsi="宋体" w:eastAsia="宋体" w:cs="宋体"/>
          <w:color w:val="auto"/>
          <w:sz w:val="21"/>
          <w:szCs w:val="21"/>
          <w:highlight w:val="none"/>
        </w:rPr>
        <w:t>N</w:t>
      </w:r>
      <w:r>
        <w:rPr>
          <w:rFonts w:hint="eastAsia" w:ascii="宋体" w:hAnsi="宋体" w:eastAsia="宋体" w:cs="宋体"/>
          <w:color w:val="auto"/>
          <w:sz w:val="21"/>
          <w:szCs w:val="21"/>
          <w:highlight w:val="none"/>
          <w:vertAlign w:val="superscript"/>
        </w:rPr>
        <w:t>β</w:t>
      </w:r>
      <w:r>
        <w:rPr>
          <w:rFonts w:hint="eastAsia" w:ascii="宋体" w:hAnsi="宋体" w:eastAsia="宋体" w:cs="宋体"/>
          <w:color w:val="auto"/>
          <w:sz w:val="21"/>
          <w:szCs w:val="21"/>
          <w:highlight w:val="none"/>
        </w:rPr>
        <w:t>、δ</w:t>
      </w:r>
      <w:r>
        <w:rPr>
          <w:rFonts w:hint="eastAsia" w:ascii="宋体" w:hAnsi="宋体" w:eastAsia="宋体" w:cs="宋体"/>
          <w:color w:val="auto"/>
          <w:sz w:val="21"/>
          <w:szCs w:val="21"/>
          <w:highlight w:val="none"/>
          <w:vertAlign w:val="superscript"/>
        </w:rPr>
        <w:t>18</w:t>
      </w:r>
      <w:r>
        <w:rPr>
          <w:rFonts w:hint="eastAsia" w:ascii="宋体" w:hAnsi="宋体" w:eastAsia="宋体" w:cs="宋体"/>
          <w:color w:val="auto"/>
          <w:sz w:val="21"/>
          <w:szCs w:val="21"/>
          <w:highlight w:val="none"/>
        </w:rPr>
        <w:t>O以及N</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O浓度，可应用于自然地理学、生态学、环境科学等领域，进行野外观测及分析研究。</w:t>
      </w:r>
    </w:p>
    <w:p>
      <w:pPr>
        <w:autoSpaceDE w:val="0"/>
        <w:autoSpaceDN w:val="0"/>
        <w:spacing w:line="4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三、具体技术要求</w:t>
      </w:r>
    </w:p>
    <w:p>
      <w:pPr>
        <w:keepNext w:val="0"/>
        <w:keepLines w:val="0"/>
        <w:pageBreakBefore w:val="0"/>
        <w:widowControl w:val="0"/>
        <w:kinsoku/>
        <w:wordWrap/>
        <w:overflowPunct/>
        <w:topLinePunct w:val="0"/>
        <w:bidi w:val="0"/>
        <w:adjustRightInd w:val="0"/>
        <w:snapToGrid/>
        <w:spacing w:line="360" w:lineRule="auto"/>
        <w:ind w:firstLine="442" w:firstLineChars="200"/>
        <w:textAlignment w:val="baseline"/>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b/>
          <w:color w:val="auto"/>
          <w:sz w:val="22"/>
          <w:szCs w:val="22"/>
          <w:highlight w:val="none"/>
        </w:rPr>
        <w:t>*</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rPr>
        <w:t>采用激光光谱分析技术，</w:t>
      </w:r>
      <w:r>
        <w:rPr>
          <w:rFonts w:hint="eastAsia" w:ascii="宋体" w:hAnsi="宋体" w:cs="宋体"/>
          <w:color w:val="auto"/>
          <w:sz w:val="21"/>
          <w:szCs w:val="21"/>
          <w:highlight w:val="none"/>
        </w:rPr>
        <w:t>检测腔内反射镜面：≤2。</w:t>
      </w:r>
      <w:r>
        <w:rPr>
          <w:rFonts w:hint="eastAsia" w:ascii="宋体" w:hAnsi="宋体" w:cs="宋体"/>
          <w:color w:val="auto"/>
          <w:sz w:val="21"/>
          <w:szCs w:val="21"/>
          <w:highlight w:val="none"/>
        </w:rPr>
        <w:t>无活动组件，以确保后期使用过程中的数据稳定；</w:t>
      </w:r>
    </w:p>
    <w:p>
      <w:pPr>
        <w:pStyle w:val="7"/>
        <w:keepNext w:val="0"/>
        <w:keepLines w:val="0"/>
        <w:pageBreakBefore w:val="0"/>
        <w:widowControl w:val="0"/>
        <w:kinsoku/>
        <w:wordWrap/>
        <w:overflowPunct/>
        <w:topLinePunct w:val="0"/>
        <w:bidi w:val="0"/>
        <w:adjustRightInd w:val="0"/>
        <w:snapToGrid/>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2、测量室：≤ 2L；</w:t>
      </w:r>
    </w:p>
    <w:p>
      <w:pPr>
        <w:keepNext w:val="0"/>
        <w:keepLines w:val="0"/>
        <w:pageBreakBefore w:val="0"/>
        <w:widowControl w:val="0"/>
        <w:kinsoku/>
        <w:wordWrap/>
        <w:overflowPunct/>
        <w:topLinePunct w:val="0"/>
        <w:bidi w:val="0"/>
        <w:adjustRightInd w:val="0"/>
        <w:snapToGrid/>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3、测量精度（1σ，300sec，确保全量程线性，非单点精度）：</w:t>
      </w:r>
    </w:p>
    <w:p>
      <w:pPr>
        <w:keepNext w:val="0"/>
        <w:keepLines w:val="0"/>
        <w:pageBreakBefore w:val="0"/>
        <w:widowControl w:val="0"/>
        <w:kinsoku/>
        <w:wordWrap/>
        <w:overflowPunct/>
        <w:topLinePunct w:val="0"/>
        <w:bidi w:val="0"/>
        <w:adjustRightInd w:val="0"/>
        <w:snapToGrid/>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δ</w:t>
      </w:r>
      <w:r>
        <w:rPr>
          <w:rFonts w:hint="eastAsia" w:ascii="宋体" w:hAnsi="宋体" w:eastAsia="宋体" w:cs="宋体"/>
          <w:color w:val="auto"/>
          <w:sz w:val="21"/>
          <w:szCs w:val="21"/>
          <w:highlight w:val="none"/>
          <w:vertAlign w:val="superscript"/>
        </w:rPr>
        <w:t>15</w:t>
      </w:r>
      <w:r>
        <w:rPr>
          <w:rFonts w:hint="eastAsia" w:ascii="宋体" w:hAnsi="宋体" w:eastAsia="宋体" w:cs="宋体"/>
          <w:color w:val="auto"/>
          <w:sz w:val="21"/>
          <w:szCs w:val="21"/>
          <w:highlight w:val="none"/>
        </w:rPr>
        <w:t>N：≦1‰；δ</w:t>
      </w:r>
      <w:r>
        <w:rPr>
          <w:rFonts w:hint="eastAsia" w:ascii="宋体" w:hAnsi="宋体" w:eastAsia="宋体" w:cs="宋体"/>
          <w:color w:val="auto"/>
          <w:sz w:val="21"/>
          <w:szCs w:val="21"/>
          <w:highlight w:val="none"/>
          <w:vertAlign w:val="superscript"/>
        </w:rPr>
        <w:t>15</w:t>
      </w:r>
      <w:r>
        <w:rPr>
          <w:rFonts w:hint="eastAsia" w:ascii="宋体" w:hAnsi="宋体" w:eastAsia="宋体" w:cs="宋体"/>
          <w:color w:val="auto"/>
          <w:sz w:val="21"/>
          <w:szCs w:val="21"/>
          <w:highlight w:val="none"/>
        </w:rPr>
        <w:t>Nα：≦1‰；δ</w:t>
      </w:r>
      <w:r>
        <w:rPr>
          <w:rFonts w:hint="eastAsia" w:ascii="宋体" w:hAnsi="宋体" w:eastAsia="宋体" w:cs="宋体"/>
          <w:color w:val="auto"/>
          <w:sz w:val="21"/>
          <w:szCs w:val="21"/>
          <w:highlight w:val="none"/>
          <w:vertAlign w:val="superscript"/>
        </w:rPr>
        <w:t>15</w:t>
      </w:r>
      <w:r>
        <w:rPr>
          <w:rFonts w:hint="eastAsia" w:ascii="宋体" w:hAnsi="宋体" w:eastAsia="宋体" w:cs="宋体"/>
          <w:color w:val="auto"/>
          <w:sz w:val="21"/>
          <w:szCs w:val="21"/>
          <w:highlight w:val="none"/>
        </w:rPr>
        <w:t>Nβ：≦1‰；δ</w:t>
      </w:r>
      <w:r>
        <w:rPr>
          <w:rFonts w:hint="eastAsia" w:ascii="宋体" w:hAnsi="宋体" w:eastAsia="宋体" w:cs="宋体"/>
          <w:color w:val="auto"/>
          <w:sz w:val="21"/>
          <w:szCs w:val="21"/>
          <w:highlight w:val="none"/>
          <w:vertAlign w:val="superscript"/>
        </w:rPr>
        <w:t>18</w:t>
      </w:r>
      <w:r>
        <w:rPr>
          <w:rFonts w:hint="eastAsia" w:ascii="宋体" w:hAnsi="宋体" w:eastAsia="宋体" w:cs="宋体"/>
          <w:color w:val="auto"/>
          <w:sz w:val="21"/>
          <w:szCs w:val="21"/>
          <w:highlight w:val="none"/>
        </w:rPr>
        <w:t>O：≦2‰；N</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O：≦0.1ppb</w:t>
      </w:r>
    </w:p>
    <w:p>
      <w:pPr>
        <w:keepNext w:val="0"/>
        <w:keepLines w:val="0"/>
        <w:pageBreakBefore w:val="0"/>
        <w:widowControl w:val="0"/>
        <w:kinsoku/>
        <w:wordWrap/>
        <w:overflowPunct/>
        <w:topLinePunct w:val="0"/>
        <w:bidi w:val="0"/>
        <w:adjustRightInd w:val="0"/>
        <w:snapToGrid/>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4、光谱采集：系统提供光谱回放模式，可用系统内光谱标库里的标准光谱曲线对测量的光谱重新拟合，对测量结果重新判定（需要提供原厂商生产厂商说明书作为证明资料）；</w:t>
      </w:r>
    </w:p>
    <w:p>
      <w:pPr>
        <w:keepNext w:val="0"/>
        <w:keepLines w:val="0"/>
        <w:pageBreakBefore w:val="0"/>
        <w:widowControl w:val="0"/>
        <w:kinsoku/>
        <w:wordWrap/>
        <w:overflowPunct/>
        <w:topLinePunct w:val="0"/>
        <w:bidi w:val="0"/>
        <w:adjustRightInd w:val="0"/>
        <w:snapToGrid/>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5、保证精度测量范围：N</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O：0.3-100ppm；</w:t>
      </w:r>
    </w:p>
    <w:p>
      <w:pPr>
        <w:keepNext w:val="0"/>
        <w:keepLines w:val="0"/>
        <w:pageBreakBefore w:val="0"/>
        <w:widowControl w:val="0"/>
        <w:kinsoku/>
        <w:wordWrap/>
        <w:overflowPunct/>
        <w:topLinePunct w:val="0"/>
        <w:bidi w:val="0"/>
        <w:adjustRightInd w:val="0"/>
        <w:snapToGrid/>
        <w:spacing w:line="360" w:lineRule="auto"/>
        <w:ind w:firstLine="442" w:firstLineChars="200"/>
        <w:textAlignment w:val="baseline"/>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b/>
          <w:color w:val="auto"/>
          <w:sz w:val="22"/>
          <w:szCs w:val="22"/>
          <w:highlight w:val="none"/>
        </w:rPr>
        <w:t>*</w:t>
      </w:r>
      <w:r>
        <w:rPr>
          <w:rFonts w:hint="eastAsia" w:ascii="宋体" w:hAnsi="宋体" w:eastAsia="宋体" w:cs="宋体"/>
          <w:color w:val="auto"/>
          <w:sz w:val="21"/>
          <w:szCs w:val="21"/>
          <w:highlight w:val="none"/>
        </w:rPr>
        <w:t>6、测量速度：1Hz；</w:t>
      </w:r>
    </w:p>
    <w:p>
      <w:pPr>
        <w:keepNext w:val="0"/>
        <w:keepLines w:val="0"/>
        <w:pageBreakBefore w:val="0"/>
        <w:widowControl w:val="0"/>
        <w:kinsoku/>
        <w:wordWrap/>
        <w:overflowPunct/>
        <w:topLinePunct w:val="0"/>
        <w:bidi w:val="0"/>
        <w:adjustRightInd w:val="0"/>
        <w:snapToGrid/>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7、环境湿度：不小于0-80%RH，无冷凝；</w:t>
      </w:r>
    </w:p>
    <w:p>
      <w:pPr>
        <w:keepNext w:val="0"/>
        <w:keepLines w:val="0"/>
        <w:pageBreakBefore w:val="0"/>
        <w:widowControl w:val="0"/>
        <w:kinsoku/>
        <w:wordWrap/>
        <w:overflowPunct/>
        <w:topLinePunct w:val="0"/>
        <w:bidi w:val="0"/>
        <w:adjustRightInd w:val="0"/>
        <w:snapToGrid/>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8、操作温度：0-45℃；</w:t>
      </w:r>
    </w:p>
    <w:p>
      <w:pPr>
        <w:keepNext w:val="0"/>
        <w:keepLines w:val="0"/>
        <w:pageBreakBefore w:val="0"/>
        <w:widowControl w:val="0"/>
        <w:kinsoku/>
        <w:wordWrap/>
        <w:overflowPunct/>
        <w:topLinePunct w:val="0"/>
        <w:bidi w:val="0"/>
        <w:adjustRightInd w:val="0"/>
        <w:snapToGrid/>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9、数据输出方式：USB、RS232、以太网；</w:t>
      </w:r>
    </w:p>
    <w:p>
      <w:pPr>
        <w:keepNext w:val="0"/>
        <w:keepLines w:val="0"/>
        <w:pageBreakBefore w:val="0"/>
        <w:widowControl w:val="0"/>
        <w:kinsoku/>
        <w:wordWrap/>
        <w:overflowPunct/>
        <w:topLinePunct w:val="0"/>
        <w:bidi w:val="0"/>
        <w:adjustRightInd w:val="0"/>
        <w:snapToGrid/>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10、兼具连续流动测量模式和手动间断进样模式，可通过手动进样模块进行气袋或气瓶样品的手动进样分析，扩展设备的使用范围；</w:t>
      </w:r>
    </w:p>
    <w:p>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11、室外呼吸室：可自动升降且升降高度可调，可自动开合，面积≥0.08M²（直径 ≥ 0.35M），高度 ≥ 0.5米，可扩展作低矮作物的群落呼吸测量用需要（需要提供呼吸室工作过程视频资料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视频演示的，供应商投标时需将视频演示资料拷入U盘，U盘可单独封装或放入投标文件中封装，同投标文件一并递交，演示视频资料最终作为投标文件存档保存。评审时由各供应商自行携带演示设备，评审现场采购组织机构提供高清接口及投影设备。</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bidi w:val="0"/>
        <w:adjustRightInd w:val="0"/>
        <w:snapToGrid/>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12、售后服务</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baseline"/>
        <w:rPr>
          <w:rFonts w:asciiTheme="minorEastAsia" w:hAnsiTheme="minorEastAsia"/>
          <w:b/>
          <w:color w:val="auto"/>
          <w:sz w:val="21"/>
          <w:szCs w:val="21"/>
          <w:highlight w:val="none"/>
        </w:rPr>
      </w:pPr>
      <w:r>
        <w:rPr>
          <w:rFonts w:hint="eastAsia" w:ascii="宋体" w:hAnsi="宋体" w:eastAsia="宋体" w:cs="宋体"/>
          <w:color w:val="auto"/>
          <w:sz w:val="21"/>
          <w:szCs w:val="21"/>
          <w:highlight w:val="none"/>
        </w:rPr>
        <w:t>专业售后服务和维修团队，一年内主机质保，4小时内电话响应，72小时内上门服务。</w:t>
      </w:r>
    </w:p>
    <w:p>
      <w:pPr>
        <w:autoSpaceDE w:val="0"/>
        <w:autoSpaceDN w:val="0"/>
        <w:spacing w:line="4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四、配置</w:t>
      </w:r>
    </w:p>
    <w:p>
      <w:pPr>
        <w:spacing w:line="360" w:lineRule="auto"/>
        <w:ind w:firstLine="420" w:firstLineChars="200"/>
        <w:rPr>
          <w:rFonts w:hint="eastAsia" w:eastAsia="宋体" w:asciiTheme="minorEastAsia" w:hAnsiTheme="minorEastAsia"/>
          <w:bCs/>
          <w:color w:val="auto"/>
          <w:sz w:val="21"/>
          <w:szCs w:val="21"/>
          <w:highlight w:val="none"/>
          <w:lang w:eastAsia="zh-CN"/>
        </w:rPr>
      </w:pPr>
      <w:r>
        <w:rPr>
          <w:rFonts w:ascii="宋体" w:hAnsi="宋体" w:cs="宋体"/>
          <w:color w:val="auto"/>
          <w:sz w:val="21"/>
          <w:szCs w:val="21"/>
          <w:highlight w:val="none"/>
        </w:rPr>
        <w:t>包含</w:t>
      </w:r>
      <w:r>
        <w:rPr>
          <w:rFonts w:hint="eastAsia" w:ascii="宋体" w:hAnsi="宋体" w:cs="宋体"/>
          <w:color w:val="auto"/>
          <w:sz w:val="21"/>
          <w:szCs w:val="21"/>
          <w:highlight w:val="none"/>
        </w:rPr>
        <w:t>或</w:t>
      </w:r>
      <w:r>
        <w:rPr>
          <w:rFonts w:ascii="宋体" w:hAnsi="宋体" w:cs="宋体"/>
          <w:color w:val="auto"/>
          <w:sz w:val="21"/>
          <w:szCs w:val="21"/>
          <w:highlight w:val="none"/>
        </w:rPr>
        <w:t>不限于以下配置，以实现本</w:t>
      </w:r>
      <w:r>
        <w:rPr>
          <w:rFonts w:hint="eastAsia" w:ascii="宋体" w:hAnsi="宋体" w:cs="宋体"/>
          <w:color w:val="auto"/>
          <w:sz w:val="21"/>
          <w:szCs w:val="21"/>
          <w:highlight w:val="none"/>
        </w:rPr>
        <w:t>招标</w:t>
      </w:r>
      <w:r>
        <w:rPr>
          <w:rFonts w:ascii="宋体" w:hAnsi="宋体" w:cs="宋体"/>
          <w:color w:val="auto"/>
          <w:sz w:val="21"/>
          <w:szCs w:val="21"/>
          <w:highlight w:val="none"/>
        </w:rPr>
        <w:t>文件要求的技术指标、功能和性能为准，且响应文件须明确报出配置及配件的数量、品牌、规格型号及相关技术指标</w:t>
      </w:r>
      <w:r>
        <w:rPr>
          <w:rFonts w:hint="eastAsia" w:ascii="宋体" w:hAnsi="宋体" w:cs="宋体"/>
          <w:color w:val="auto"/>
          <w:sz w:val="21"/>
          <w:szCs w:val="21"/>
          <w:highlight w:val="none"/>
          <w:lang w:eastAsia="zh-CN"/>
        </w:rPr>
        <w:t>。</w:t>
      </w:r>
    </w:p>
    <w:p>
      <w:pPr>
        <w:pStyle w:val="31"/>
        <w:pageBreakBefore w:val="0"/>
        <w:widowControl/>
        <w:numPr>
          <w:ilvl w:val="0"/>
          <w:numId w:val="3"/>
        </w:numPr>
        <w:kinsoku/>
        <w:wordWrap/>
        <w:overflowPunct/>
        <w:topLinePunct w:val="0"/>
        <w:autoSpaceDE/>
        <w:autoSpaceDN/>
        <w:bidi w:val="0"/>
        <w:adjustRightInd w:val="0"/>
        <w:snapToGrid w:val="0"/>
        <w:spacing w:line="360" w:lineRule="auto"/>
        <w:ind w:left="120" w:leftChars="5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氧化亚氮同位素分析仪  1台</w:t>
      </w:r>
    </w:p>
    <w:p>
      <w:pPr>
        <w:pStyle w:val="31"/>
        <w:pageBreakBefore w:val="0"/>
        <w:widowControl/>
        <w:numPr>
          <w:ilvl w:val="0"/>
          <w:numId w:val="3"/>
        </w:numPr>
        <w:kinsoku/>
        <w:wordWrap/>
        <w:overflowPunct/>
        <w:topLinePunct w:val="0"/>
        <w:autoSpaceDE/>
        <w:autoSpaceDN/>
        <w:bidi w:val="0"/>
        <w:adjustRightInd w:val="0"/>
        <w:snapToGrid w:val="0"/>
        <w:spacing w:line="360" w:lineRule="auto"/>
        <w:ind w:left="120" w:leftChars="5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氧化亚氮同位素标气 1瓶</w:t>
      </w:r>
    </w:p>
    <w:p>
      <w:pPr>
        <w:pStyle w:val="31"/>
        <w:keepNext/>
        <w:keepLines/>
        <w:pageBreakBefore w:val="0"/>
        <w:widowControl/>
        <w:numPr>
          <w:ilvl w:val="0"/>
          <w:numId w:val="3"/>
        </w:numPr>
        <w:kinsoku/>
        <w:wordWrap/>
        <w:overflowPunct/>
        <w:topLinePunct w:val="0"/>
        <w:autoSpaceDE/>
        <w:autoSpaceDN/>
        <w:bidi w:val="0"/>
        <w:adjustRightInd w:val="0"/>
        <w:snapToGrid w:val="0"/>
        <w:spacing w:line="360" w:lineRule="auto"/>
        <w:ind w:left="105" w:firstLine="420" w:firstLineChars="200"/>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手动进样模块 1套</w:t>
      </w:r>
    </w:p>
    <w:p>
      <w:pPr>
        <w:pStyle w:val="31"/>
        <w:keepNext/>
        <w:keepLines/>
        <w:pageBreakBefore w:val="0"/>
        <w:widowControl/>
        <w:numPr>
          <w:ilvl w:val="0"/>
          <w:numId w:val="3"/>
        </w:numPr>
        <w:kinsoku/>
        <w:wordWrap/>
        <w:overflowPunct/>
        <w:topLinePunct w:val="0"/>
        <w:autoSpaceDE/>
        <w:autoSpaceDN/>
        <w:bidi w:val="0"/>
        <w:adjustRightInd w:val="0"/>
        <w:snapToGrid w:val="0"/>
        <w:spacing w:line="360" w:lineRule="auto"/>
        <w:ind w:left="105" w:firstLine="420" w:firstLineChars="200"/>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室内采气袋多通道控制模块（16路）带标气接口1套；</w:t>
      </w:r>
    </w:p>
    <w:p>
      <w:pPr>
        <w:pStyle w:val="31"/>
        <w:keepNext/>
        <w:keepLines/>
        <w:pageBreakBefore w:val="0"/>
        <w:widowControl/>
        <w:numPr>
          <w:ilvl w:val="0"/>
          <w:numId w:val="3"/>
        </w:numPr>
        <w:kinsoku/>
        <w:wordWrap/>
        <w:overflowPunct/>
        <w:topLinePunct w:val="0"/>
        <w:autoSpaceDE/>
        <w:autoSpaceDN/>
        <w:bidi w:val="0"/>
        <w:adjustRightInd w:val="0"/>
        <w:snapToGrid w:val="0"/>
        <w:spacing w:line="360" w:lineRule="auto"/>
        <w:ind w:left="105" w:firstLine="420" w:firstLineChars="200"/>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室外呼吸室测量同位素多通道控制器（16路）带标气接口1套；</w:t>
      </w:r>
    </w:p>
    <w:p>
      <w:pPr>
        <w:pStyle w:val="31"/>
        <w:keepNext/>
        <w:keepLines/>
        <w:pageBreakBefore w:val="0"/>
        <w:widowControl/>
        <w:numPr>
          <w:ilvl w:val="0"/>
          <w:numId w:val="3"/>
        </w:numPr>
        <w:kinsoku/>
        <w:wordWrap/>
        <w:overflowPunct/>
        <w:topLinePunct w:val="0"/>
        <w:autoSpaceDE/>
        <w:autoSpaceDN/>
        <w:bidi w:val="0"/>
        <w:adjustRightInd w:val="0"/>
        <w:snapToGrid w:val="0"/>
        <w:spacing w:line="360" w:lineRule="auto"/>
        <w:ind w:left="105" w:firstLine="420" w:firstLineChars="200"/>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室外呼吸室3个；</w:t>
      </w:r>
    </w:p>
    <w:p>
      <w:pPr>
        <w:pStyle w:val="31"/>
        <w:keepNext/>
        <w:keepLines/>
        <w:pageBreakBefore w:val="0"/>
        <w:widowControl/>
        <w:numPr>
          <w:ilvl w:val="0"/>
          <w:numId w:val="3"/>
        </w:numPr>
        <w:kinsoku/>
        <w:wordWrap/>
        <w:overflowPunct/>
        <w:topLinePunct w:val="0"/>
        <w:autoSpaceDE/>
        <w:autoSpaceDN/>
        <w:bidi w:val="0"/>
        <w:adjustRightInd w:val="0"/>
        <w:snapToGrid w:val="0"/>
        <w:spacing w:line="360" w:lineRule="auto"/>
        <w:ind w:left="105" w:firstLine="420" w:firstLineChars="200"/>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采气袋500ml至少16个；</w:t>
      </w:r>
    </w:p>
    <w:p>
      <w:pPr>
        <w:pStyle w:val="31"/>
        <w:keepNext/>
        <w:keepLines/>
        <w:pageBreakBefore w:val="0"/>
        <w:widowControl/>
        <w:numPr>
          <w:ilvl w:val="0"/>
          <w:numId w:val="3"/>
        </w:numPr>
        <w:kinsoku/>
        <w:wordWrap/>
        <w:overflowPunct/>
        <w:topLinePunct w:val="0"/>
        <w:autoSpaceDE/>
        <w:autoSpaceDN/>
        <w:bidi w:val="0"/>
        <w:adjustRightInd w:val="0"/>
        <w:snapToGrid w:val="0"/>
        <w:spacing w:line="360" w:lineRule="auto"/>
        <w:ind w:left="105" w:firstLine="420" w:firstLineChars="200"/>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气体多路采样管路1套</w:t>
      </w:r>
    </w:p>
    <w:p>
      <w:pPr>
        <w:pStyle w:val="31"/>
        <w:keepNext/>
        <w:keepLines/>
        <w:pageBreakBefore w:val="0"/>
        <w:widowControl/>
        <w:numPr>
          <w:ilvl w:val="0"/>
          <w:numId w:val="3"/>
        </w:numPr>
        <w:kinsoku/>
        <w:wordWrap/>
        <w:overflowPunct/>
        <w:topLinePunct w:val="0"/>
        <w:autoSpaceDE/>
        <w:autoSpaceDN/>
        <w:bidi w:val="0"/>
        <w:adjustRightInd w:val="0"/>
        <w:snapToGrid w:val="0"/>
        <w:spacing w:line="360" w:lineRule="auto"/>
        <w:ind w:left="105" w:firstLine="420" w:firstLineChars="200"/>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液晶显示器1台</w:t>
      </w:r>
    </w:p>
    <w:p>
      <w:pPr>
        <w:pStyle w:val="31"/>
        <w:keepNext/>
        <w:keepLines/>
        <w:pageBreakBefore w:val="0"/>
        <w:widowControl/>
        <w:numPr>
          <w:ilvl w:val="0"/>
          <w:numId w:val="3"/>
        </w:numPr>
        <w:kinsoku/>
        <w:wordWrap/>
        <w:overflowPunct/>
        <w:topLinePunct w:val="0"/>
        <w:autoSpaceDE/>
        <w:autoSpaceDN/>
        <w:bidi w:val="0"/>
        <w:adjustRightInd w:val="0"/>
        <w:snapToGrid w:val="0"/>
        <w:spacing w:line="360" w:lineRule="auto"/>
        <w:ind w:left="105" w:firstLine="420" w:firstLineChars="200"/>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数据处理软件</w:t>
      </w:r>
    </w:p>
    <w:p>
      <w:pPr>
        <w:autoSpaceDE w:val="0"/>
        <w:autoSpaceDN w:val="0"/>
        <w:spacing w:line="4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五、提供技术文件要求</w:t>
      </w:r>
    </w:p>
    <w:p>
      <w:pPr>
        <w:snapToGrid w:val="0"/>
        <w:spacing w:line="42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1</w:t>
      </w:r>
      <w:r>
        <w:rPr>
          <w:rFonts w:hint="eastAsia" w:asciiTheme="minorEastAsia" w:hAnsiTheme="minorEastAsia" w:eastAsiaTheme="minorEastAsia" w:cstheme="minorEastAsia"/>
          <w:b/>
          <w:color w:val="auto"/>
          <w:sz w:val="21"/>
          <w:szCs w:val="21"/>
          <w:highlight w:val="none"/>
        </w:rPr>
        <w:t>.投标人应对本篇“*”</w:t>
      </w:r>
      <w:r>
        <w:rPr>
          <w:rFonts w:hint="eastAsia" w:asciiTheme="minorEastAsia" w:hAnsiTheme="minorEastAsia" w:eastAsiaTheme="minorEastAsia" w:cstheme="minorEastAsia"/>
          <w:color w:val="auto"/>
          <w:sz w:val="18"/>
          <w:szCs w:val="18"/>
          <w:highlight w:val="none"/>
        </w:rPr>
        <w:t xml:space="preserve"> </w:t>
      </w:r>
      <w:r>
        <w:rPr>
          <w:rFonts w:hint="eastAsia" w:asciiTheme="minorEastAsia" w:hAnsiTheme="minorEastAsia" w:eastAsiaTheme="minorEastAsia" w:cstheme="minorEastAsia"/>
          <w:b/>
          <w:color w:val="auto"/>
          <w:sz w:val="21"/>
          <w:szCs w:val="21"/>
          <w:highlight w:val="none"/>
        </w:rPr>
        <w:t>标注</w:t>
      </w:r>
      <w:r>
        <w:rPr>
          <w:rFonts w:hint="eastAsia" w:asciiTheme="minorEastAsia" w:hAnsiTheme="minorEastAsia" w:eastAsiaTheme="minorEastAsia" w:cstheme="minorEastAsia"/>
          <w:b/>
          <w:bCs/>
          <w:color w:val="auto"/>
          <w:sz w:val="21"/>
          <w:szCs w:val="21"/>
          <w:highlight w:val="none"/>
        </w:rPr>
        <w:t>技术规格参数响应情况</w:t>
      </w:r>
      <w:r>
        <w:rPr>
          <w:rFonts w:hint="eastAsia" w:asciiTheme="minorEastAsia" w:hAnsiTheme="minorEastAsia" w:eastAsiaTheme="minorEastAsia" w:cstheme="minorEastAsia"/>
          <w:b/>
          <w:color w:val="auto"/>
          <w:sz w:val="21"/>
          <w:szCs w:val="21"/>
          <w:highlight w:val="none"/>
        </w:rPr>
        <w:t>提供有效的佐证材料，</w:t>
      </w:r>
      <w:r>
        <w:rPr>
          <w:rFonts w:hint="eastAsia" w:asciiTheme="minorEastAsia" w:hAnsiTheme="minorEastAsia" w:eastAsiaTheme="minorEastAsia" w:cstheme="minorEastAsia"/>
          <w:bCs/>
          <w:color w:val="auto"/>
          <w:sz w:val="21"/>
          <w:szCs w:val="21"/>
          <w:highlight w:val="none"/>
        </w:rPr>
        <w:t>包括但不限于列有技术参数且完整的厂家产品彩页，或厂家官方网站公布的截图，或厂家产品说明书，或第三方机构出具的检测报告，或经厂家确认的证明材料等（</w:t>
      </w:r>
      <w:r>
        <w:rPr>
          <w:rFonts w:hint="eastAsia" w:asciiTheme="minorEastAsia" w:hAnsiTheme="minorEastAsia" w:eastAsiaTheme="minorEastAsia" w:cstheme="minorEastAsia"/>
          <w:b/>
          <w:color w:val="auto"/>
          <w:sz w:val="21"/>
          <w:szCs w:val="21"/>
          <w:highlight w:val="none"/>
        </w:rPr>
        <w:t>本篇第三条具体技术要求里有明确的技术文件规定的</w:t>
      </w:r>
      <w:r>
        <w:rPr>
          <w:rFonts w:hint="eastAsia" w:asciiTheme="minorEastAsia" w:hAnsiTheme="minorEastAsia" w:eastAsiaTheme="minorEastAsia" w:cstheme="minorEastAsia"/>
          <w:bCs/>
          <w:color w:val="auto"/>
          <w:sz w:val="21"/>
          <w:szCs w:val="21"/>
          <w:highlight w:val="none"/>
        </w:rPr>
        <w:t>，</w:t>
      </w:r>
      <w:r>
        <w:rPr>
          <w:rFonts w:hint="eastAsia" w:asciiTheme="minorEastAsia" w:hAnsiTheme="minorEastAsia" w:eastAsiaTheme="minorEastAsia" w:cstheme="minorEastAsia"/>
          <w:b/>
          <w:color w:val="auto"/>
          <w:sz w:val="21"/>
          <w:szCs w:val="21"/>
          <w:highlight w:val="none"/>
        </w:rPr>
        <w:t>从其规定）</w:t>
      </w:r>
      <w:r>
        <w:rPr>
          <w:rFonts w:hint="eastAsia" w:asciiTheme="minorEastAsia" w:hAnsiTheme="minorEastAsia" w:eastAsiaTheme="minorEastAsia" w:cstheme="minorEastAsia"/>
          <w:bCs/>
          <w:color w:val="auto"/>
          <w:sz w:val="21"/>
          <w:szCs w:val="21"/>
          <w:highlight w:val="none"/>
        </w:rPr>
        <w:t>，以佐证所投产品的相应的技术参数及功能，并在《技术偏离表》中注明页码。</w:t>
      </w:r>
      <w:r>
        <w:rPr>
          <w:rFonts w:hint="eastAsia" w:asciiTheme="minorEastAsia" w:hAnsiTheme="minorEastAsia" w:eastAsiaTheme="minorEastAsia" w:cstheme="minorEastAsia"/>
          <w:b/>
          <w:color w:val="auto"/>
          <w:sz w:val="21"/>
          <w:szCs w:val="21"/>
          <w:highlight w:val="none"/>
        </w:rPr>
        <w:t>如上述资料未能体现采购要求的“*”标注参数的</w:t>
      </w:r>
      <w:r>
        <w:rPr>
          <w:rFonts w:hint="eastAsia" w:asciiTheme="minorEastAsia" w:hAnsiTheme="minorEastAsia" w:eastAsiaTheme="minorEastAsia" w:cstheme="minorEastAsia"/>
          <w:bCs/>
          <w:color w:val="auto"/>
          <w:sz w:val="21"/>
          <w:szCs w:val="21"/>
          <w:highlight w:val="none"/>
        </w:rPr>
        <w:t>，则相应的技术参数响应</w:t>
      </w:r>
      <w:r>
        <w:rPr>
          <w:rFonts w:hint="eastAsia" w:asciiTheme="minorEastAsia" w:hAnsiTheme="minorEastAsia" w:eastAsiaTheme="minorEastAsia" w:cstheme="minorEastAsia"/>
          <w:b/>
          <w:color w:val="auto"/>
          <w:sz w:val="21"/>
          <w:szCs w:val="21"/>
          <w:highlight w:val="none"/>
        </w:rPr>
        <w:t>将被视为负偏离。</w:t>
      </w:r>
    </w:p>
    <w:p>
      <w:pPr>
        <w:snapToGrid w:val="0"/>
        <w:spacing w:line="420" w:lineRule="exact"/>
        <w:ind w:firstLine="420" w:firstLineChars="200"/>
        <w:jc w:val="both"/>
        <w:textAlignment w:val="auto"/>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lang w:val="en-US" w:eastAsia="zh-CN"/>
        </w:rPr>
        <w:t>2</w:t>
      </w:r>
      <w:r>
        <w:rPr>
          <w:rFonts w:hint="eastAsia" w:ascii="宋体" w:hAnsi="宋体" w:cs="宋体"/>
          <w:color w:val="auto"/>
          <w:kern w:val="2"/>
          <w:sz w:val="21"/>
          <w:szCs w:val="21"/>
          <w:highlight w:val="none"/>
        </w:rPr>
        <w:t>．若制造商公开发布的印刷资料与检测机构出具的检测报告不一致，以检测机构出具的检测报告为准。</w:t>
      </w:r>
    </w:p>
    <w:p>
      <w:pPr>
        <w:snapToGrid w:val="0"/>
        <w:spacing w:line="420" w:lineRule="exact"/>
        <w:ind w:firstLine="420" w:firstLineChars="200"/>
        <w:jc w:val="both"/>
        <w:textAlignment w:val="auto"/>
        <w:rPr>
          <w:rFonts w:hint="eastAsia"/>
          <w:color w:val="auto"/>
          <w:highlight w:val="none"/>
        </w:rPr>
      </w:pPr>
      <w:r>
        <w:rPr>
          <w:rFonts w:hint="eastAsia" w:ascii="宋体" w:hAnsi="宋体" w:cs="宋体"/>
          <w:color w:val="auto"/>
          <w:kern w:val="2"/>
          <w:sz w:val="21"/>
          <w:szCs w:val="21"/>
          <w:highlight w:val="none"/>
          <w:lang w:val="en-US" w:eastAsia="zh-CN"/>
        </w:rPr>
        <w:t>3</w:t>
      </w:r>
      <w:r>
        <w:rPr>
          <w:rFonts w:hint="eastAsia" w:ascii="宋体" w:hAnsi="宋体" w:cs="宋体"/>
          <w:color w:val="auto"/>
          <w:kern w:val="2"/>
          <w:sz w:val="21"/>
          <w:szCs w:val="21"/>
          <w:highlight w:val="none"/>
        </w:rPr>
        <w:t>．由于厂家的产品彩页或厂家官方网站公布的资料更新滞后造成所投产品技术参数相比厂家产品彩页说明或厂家官方网站资料确有改进或不同的，须在“技术规格/要求偏离表”的备注栏中做出特别说明并提供经厂家确认的证明材料。</w:t>
      </w:r>
    </w:p>
    <w:p>
      <w:pPr>
        <w:autoSpaceDE w:val="0"/>
        <w:autoSpaceDN w:val="0"/>
        <w:spacing w:line="4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六、标准附件、专用工具和消耗品</w:t>
      </w:r>
    </w:p>
    <w:p>
      <w:pPr>
        <w:spacing w:line="360" w:lineRule="auto"/>
        <w:ind w:firstLine="420"/>
        <w:rPr>
          <w:color w:val="auto"/>
          <w:highlight w:val="none"/>
        </w:rPr>
      </w:pPr>
      <w:r>
        <w:rPr>
          <w:rFonts w:hint="eastAsia" w:asciiTheme="minorEastAsia" w:hAnsiTheme="minorEastAsia" w:eastAsiaTheme="minorEastAsia" w:cstheme="minorEastAsia"/>
          <w:color w:val="auto"/>
          <w:sz w:val="21"/>
          <w:szCs w:val="21"/>
          <w:highlight w:val="none"/>
        </w:rPr>
        <w:t>除技术要求中指定的附件和专用工具外，投标人应提供仪器设备的正常运行和常规保养所需的全套标准附件、专用工具和消耗品（若有）。投标人在投标文件中需列出这些附件和工具的数量和单价的清单，这些附件和工具的报价的总值需计入响应总价中。</w:t>
      </w:r>
    </w:p>
    <w:p>
      <w:pPr>
        <w:autoSpaceDE w:val="0"/>
        <w:autoSpaceDN w:val="0"/>
        <w:spacing w:line="4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七、其他附件：</w:t>
      </w:r>
    </w:p>
    <w:p>
      <w:pPr>
        <w:pStyle w:val="16"/>
        <w:ind w:firstLine="420"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rPr>
        <w:t>对于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pPr>
        <w:autoSpaceDE w:val="0"/>
        <w:autoSpaceDN w:val="0"/>
        <w:spacing w:line="400" w:lineRule="exact"/>
        <w:rPr>
          <w:rFonts w:asciiTheme="minorEastAsia" w:hAnsiTheme="minorEastAsia" w:eastAsiaTheme="minorEastAsia" w:cstheme="minorEastAsia"/>
          <w:b/>
          <w:color w:val="auto"/>
          <w:highlight w:val="none"/>
        </w:rPr>
      </w:pPr>
    </w:p>
    <w:p>
      <w:pPr>
        <w:autoSpaceDE w:val="0"/>
        <w:autoSpaceDN w:val="0"/>
        <w:spacing w:line="4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八、说明</w:t>
      </w:r>
    </w:p>
    <w:p>
      <w:pPr>
        <w:snapToGrid w:val="0"/>
        <w:spacing w:line="42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投标人应按招标文件要求如实填写技术规格/要求偏离表。投标人须对照招标文件技术规格要求，将自己所投的所有货物的功能、技术性能、配置、用途等内容按照技术规格/要求偏离表格式逐条填写，说明所提供货物和服务已对招标文件的技术规格做出了实质性响应，并申明与技术规格条文的偏差和例外。</w:t>
      </w:r>
      <w:r>
        <w:rPr>
          <w:rFonts w:hint="eastAsia" w:asciiTheme="minorEastAsia" w:hAnsiTheme="minorEastAsia" w:eastAsiaTheme="minorEastAsia" w:cstheme="minorEastAsia"/>
          <w:b/>
          <w:color w:val="auto"/>
          <w:kern w:val="2"/>
          <w:sz w:val="21"/>
          <w:szCs w:val="21"/>
          <w:highlight w:val="none"/>
        </w:rPr>
        <w:t>凡未填写技术规格/要求偏离表或未作出应答的</w:t>
      </w:r>
      <w:r>
        <w:rPr>
          <w:rFonts w:hint="eastAsia" w:asciiTheme="minorEastAsia" w:hAnsiTheme="minorEastAsia" w:eastAsiaTheme="minorEastAsia" w:cstheme="minorEastAsia"/>
          <w:color w:val="auto"/>
          <w:kern w:val="2"/>
          <w:sz w:val="21"/>
          <w:szCs w:val="21"/>
          <w:highlight w:val="none"/>
        </w:rPr>
        <w:t>，将视为</w:t>
      </w:r>
      <w:r>
        <w:rPr>
          <w:rFonts w:hint="eastAsia" w:asciiTheme="minorEastAsia" w:hAnsiTheme="minorEastAsia" w:eastAsiaTheme="minorEastAsia" w:cstheme="minorEastAsia"/>
          <w:b/>
          <w:color w:val="auto"/>
          <w:kern w:val="2"/>
          <w:sz w:val="21"/>
          <w:szCs w:val="21"/>
          <w:highlight w:val="none"/>
        </w:rPr>
        <w:t>无效响应</w:t>
      </w:r>
      <w:r>
        <w:rPr>
          <w:rFonts w:hint="eastAsia" w:asciiTheme="minorEastAsia" w:hAnsiTheme="minorEastAsia" w:eastAsiaTheme="minorEastAsia" w:cstheme="minorEastAsia"/>
          <w:color w:val="auto"/>
          <w:kern w:val="2"/>
          <w:sz w:val="21"/>
          <w:szCs w:val="21"/>
          <w:highlight w:val="none"/>
        </w:rPr>
        <w:t>。</w:t>
      </w:r>
    </w:p>
    <w:p>
      <w:pPr>
        <w:snapToGrid w:val="0"/>
        <w:spacing w:line="420" w:lineRule="exact"/>
        <w:ind w:firstLine="420" w:firstLineChars="200"/>
        <w:jc w:val="both"/>
        <w:textAlignment w:val="auto"/>
        <w:rPr>
          <w:rFonts w:asciiTheme="minorEastAsia" w:hAnsiTheme="minorEastAsia" w:eastAsiaTheme="minorEastAsia" w:cstheme="minorEastAsia"/>
          <w:color w:val="auto"/>
          <w:sz w:val="21"/>
          <w:szCs w:val="21"/>
          <w:highlight w:val="none"/>
        </w:rPr>
        <w:sectPr>
          <w:pgSz w:w="11906" w:h="16838"/>
          <w:pgMar w:top="1418" w:right="1247" w:bottom="1247" w:left="1418" w:header="851" w:footer="851" w:gutter="0"/>
          <w:cols w:space="720" w:num="1"/>
          <w:docGrid w:linePitch="326" w:charSpace="0"/>
        </w:sectPr>
      </w:pPr>
      <w:r>
        <w:rPr>
          <w:rFonts w:hint="eastAsia" w:asciiTheme="minorEastAsia" w:hAnsiTheme="minorEastAsia" w:eastAsiaTheme="minorEastAsia" w:cstheme="minorEastAsia"/>
          <w:color w:val="auto"/>
          <w:kern w:val="2"/>
          <w:sz w:val="21"/>
          <w:szCs w:val="21"/>
          <w:highlight w:val="none"/>
        </w:rPr>
        <w:t>2、除重量指标外，对于有区间值要求的指标项，如标示为“≤”某指标值的，评审时以“=”该指标值的判定为满足，“＜”该指标值的判定为优于；同样，如标示为“≥”某指标值的，评审时以“=”该指标值的判定为满足，“＞该指标值的判定为优于</w:t>
      </w:r>
      <w:r>
        <w:rPr>
          <w:rFonts w:hint="eastAsia" w:asciiTheme="minorEastAsia" w:hAnsiTheme="minorEastAsia" w:eastAsiaTheme="minorEastAsia" w:cstheme="minorEastAsia"/>
          <w:color w:val="auto"/>
          <w:sz w:val="21"/>
          <w:szCs w:val="21"/>
          <w:highlight w:val="none"/>
        </w:rPr>
        <w:t>。</w:t>
      </w:r>
    </w:p>
    <w:bookmarkEnd w:id="64"/>
    <w:bookmarkEnd w:id="65"/>
    <w:bookmarkEnd w:id="66"/>
    <w:bookmarkEnd w:id="67"/>
    <w:p>
      <w:pPr>
        <w:pStyle w:val="3"/>
        <w:spacing w:before="120" w:after="120"/>
        <w:ind w:left="0" w:firstLine="2209" w:firstLineChars="500"/>
        <w:jc w:val="both"/>
        <w:rPr>
          <w:rFonts w:asciiTheme="minorEastAsia" w:hAnsiTheme="minorEastAsia" w:eastAsiaTheme="minorEastAsia" w:cstheme="minorEastAsia"/>
          <w:color w:val="auto"/>
          <w:highlight w:val="none"/>
        </w:rPr>
      </w:pPr>
      <w:bookmarkStart w:id="68" w:name="_Toc138929558"/>
      <w:bookmarkStart w:id="69" w:name="_Toc178828113"/>
      <w:bookmarkStart w:id="70" w:name="_Toc418512116"/>
      <w:r>
        <w:rPr>
          <w:rFonts w:hint="eastAsia" w:asciiTheme="minorEastAsia" w:hAnsiTheme="minorEastAsia" w:eastAsiaTheme="minorEastAsia" w:cstheme="minorEastAsia"/>
          <w:color w:val="auto"/>
          <w:highlight w:val="none"/>
        </w:rPr>
        <w:t>第三篇  项目商务要求</w:t>
      </w:r>
      <w:bookmarkEnd w:id="68"/>
    </w:p>
    <w:bookmarkEnd w:id="69"/>
    <w:bookmarkEnd w:id="70"/>
    <w:p>
      <w:pPr>
        <w:spacing w:line="360" w:lineRule="auto"/>
        <w:ind w:firstLine="442" w:firstLineChars="200"/>
        <w:rPr>
          <w:rFonts w:asciiTheme="minorEastAsia" w:hAnsiTheme="minorEastAsia" w:eastAsiaTheme="minorEastAsia" w:cstheme="minorEastAsia"/>
          <w:b/>
          <w:color w:val="auto"/>
          <w:sz w:val="22"/>
          <w:highlight w:val="none"/>
        </w:rPr>
      </w:pPr>
      <w:r>
        <w:rPr>
          <w:rFonts w:hint="eastAsia" w:asciiTheme="minorEastAsia" w:hAnsiTheme="minorEastAsia" w:eastAsiaTheme="minorEastAsia" w:cstheme="minorEastAsia"/>
          <w:b/>
          <w:color w:val="auto"/>
          <w:sz w:val="22"/>
          <w:highlight w:val="none"/>
        </w:rPr>
        <w:t>一.通用条款</w:t>
      </w:r>
    </w:p>
    <w:p>
      <w:pPr>
        <w:spacing w:line="360" w:lineRule="auto"/>
        <w:ind w:firstLine="519" w:firstLineChars="235"/>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进口设备：详见进口设备合同模版</w:t>
      </w:r>
    </w:p>
    <w:p>
      <w:pPr>
        <w:spacing w:line="360" w:lineRule="auto"/>
        <w:ind w:firstLine="519" w:firstLineChars="235"/>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国产设备：详见国产设备合同模版</w:t>
      </w:r>
    </w:p>
    <w:p>
      <w:pPr>
        <w:spacing w:line="360" w:lineRule="auto"/>
        <w:ind w:firstLine="389" w:firstLineChars="176"/>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二.专用条款</w:t>
      </w:r>
    </w:p>
    <w:p>
      <w:pPr>
        <w:spacing w:line="360" w:lineRule="auto"/>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 xml:space="preserve">   </w:t>
      </w: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bCs/>
          <w:color w:val="auto"/>
          <w:sz w:val="22"/>
          <w:highlight w:val="none"/>
        </w:rPr>
        <w:t>（一）交货时间：</w:t>
      </w:r>
    </w:p>
    <w:p>
      <w:pPr>
        <w:pStyle w:val="31"/>
        <w:numPr>
          <w:ilvl w:val="0"/>
          <w:numId w:val="0"/>
        </w:numPr>
        <w:autoSpaceDE w:val="0"/>
        <w:autoSpaceDN w:val="0"/>
        <w:adjustRightInd w:val="0"/>
        <w:spacing w:line="360" w:lineRule="auto"/>
        <w:ind w:leftChars="0" w:firstLine="440" w:firstLineChars="200"/>
        <w:rPr>
          <w:rFonts w:hint="eastAsia" w:asciiTheme="minorEastAsia" w:hAnsiTheme="minorEastAsia" w:eastAsiaTheme="minorEastAsia" w:cstheme="minorEastAsia"/>
          <w:b/>
          <w:bCs/>
          <w:color w:val="auto"/>
          <w:kern w:val="0"/>
          <w:sz w:val="22"/>
          <w:szCs w:val="24"/>
          <w:highlight w:val="none"/>
          <w:lang w:val="en-US" w:eastAsia="zh-CN" w:bidi="ar-SA"/>
        </w:rPr>
      </w:pPr>
      <w:r>
        <w:rPr>
          <w:rFonts w:hint="eastAsia" w:asciiTheme="minorEastAsia" w:hAnsiTheme="minorEastAsia" w:eastAsiaTheme="minorEastAsia" w:cstheme="minorEastAsia"/>
          <w:color w:val="auto"/>
          <w:sz w:val="22"/>
          <w:highlight w:val="none"/>
        </w:rPr>
        <w:t>1.关境内货物：</w:t>
      </w:r>
      <w:r>
        <w:rPr>
          <w:rFonts w:hint="eastAsia" w:asciiTheme="minorEastAsia" w:hAnsiTheme="minorEastAsia" w:eastAsiaTheme="minorEastAsia" w:cstheme="minorEastAsia"/>
          <w:color w:val="auto"/>
          <w:sz w:val="22"/>
          <w:highlight w:val="none"/>
        </w:rPr>
        <w:t>关境内货物为</w:t>
      </w:r>
      <w:r>
        <w:rPr>
          <w:rFonts w:ascii="Times New Roman" w:hAnsi="Times New Roman" w:cs="Times New Roman"/>
          <w:color w:val="auto"/>
          <w:sz w:val="22"/>
          <w:highlight w:val="none"/>
        </w:rPr>
        <w:t>合同签订后30个工作日内所有设备到货并完成安装</w:t>
      </w:r>
      <w:r>
        <w:rPr>
          <w:rFonts w:hint="eastAsia" w:ascii="Times New Roman" w:hAnsi="Times New Roman" w:cs="Times New Roman"/>
          <w:color w:val="auto"/>
          <w:sz w:val="22"/>
          <w:highlight w:val="none"/>
        </w:rPr>
        <w:t>调</w:t>
      </w:r>
      <w:r>
        <w:rPr>
          <w:rFonts w:hint="eastAsia" w:ascii="Times New Roman" w:hAnsi="Times New Roman" w:cs="Times New Roman"/>
          <w:color w:val="auto"/>
          <w:sz w:val="22"/>
          <w:highlight w:val="none"/>
          <w:lang w:val="en-US" w:eastAsia="zh-CN"/>
        </w:rPr>
        <w:t>试。</w:t>
      </w:r>
    </w:p>
    <w:p>
      <w:pPr>
        <w:pStyle w:val="31"/>
        <w:numPr>
          <w:ilvl w:val="0"/>
          <w:numId w:val="0"/>
        </w:numPr>
        <w:autoSpaceDE w:val="0"/>
        <w:autoSpaceDN w:val="0"/>
        <w:adjustRightInd w:val="0"/>
        <w:spacing w:line="360" w:lineRule="auto"/>
        <w:ind w:firstLine="440" w:firstLineChars="200"/>
        <w:rPr>
          <w:rFonts w:hint="eastAsia" w:asciiTheme="minorEastAsia" w:hAnsiTheme="minorEastAsia" w:eastAsiaTheme="minorEastAsia" w:cstheme="minorEastAsia"/>
          <w:color w:val="auto"/>
          <w:sz w:val="22"/>
          <w:highlight w:val="none"/>
          <w:lang w:eastAsia="zh-CN"/>
        </w:rPr>
      </w:pPr>
      <w:r>
        <w:rPr>
          <w:rFonts w:hint="eastAsia" w:asciiTheme="minorEastAsia" w:hAnsiTheme="minorEastAsia" w:eastAsiaTheme="minorEastAsia" w:cstheme="minorEastAsia"/>
          <w:color w:val="auto"/>
          <w:sz w:val="22"/>
          <w:highlight w:val="none"/>
        </w:rPr>
        <w:t>关境外货物：关境外货物为</w:t>
      </w:r>
      <w:r>
        <w:rPr>
          <w:rFonts w:hint="eastAsia" w:asciiTheme="minorEastAsia" w:hAnsiTheme="minorEastAsia" w:eastAsiaTheme="minorEastAsia" w:cstheme="minorEastAsia"/>
          <w:color w:val="auto"/>
          <w:sz w:val="22"/>
          <w:highlight w:val="none"/>
        </w:rPr>
        <w:t>收到L/C后</w:t>
      </w:r>
      <w:r>
        <w:rPr>
          <w:rFonts w:asciiTheme="minorEastAsia" w:hAnsiTheme="minorEastAsia" w:eastAsiaTheme="minorEastAsia" w:cstheme="minorEastAsia"/>
          <w:color w:val="auto"/>
          <w:sz w:val="22"/>
          <w:highlight w:val="none"/>
        </w:rPr>
        <w:t>6-15</w:t>
      </w:r>
      <w:r>
        <w:rPr>
          <w:rFonts w:hint="eastAsia" w:asciiTheme="minorEastAsia" w:hAnsiTheme="minorEastAsia" w:eastAsiaTheme="minorEastAsia" w:cstheme="minorEastAsia"/>
          <w:color w:val="auto"/>
          <w:sz w:val="22"/>
          <w:highlight w:val="none"/>
        </w:rPr>
        <w:t>个月内完成供货,</w:t>
      </w:r>
      <w:r>
        <w:rPr>
          <w:rFonts w:asciiTheme="minorEastAsia" w:hAnsiTheme="minorEastAsia" w:eastAsiaTheme="minorEastAsia" w:cstheme="minorEastAsia"/>
          <w:color w:val="auto"/>
          <w:sz w:val="22"/>
          <w:highlight w:val="none"/>
        </w:rPr>
        <w:t>8-17</w:t>
      </w:r>
      <w:r>
        <w:rPr>
          <w:rFonts w:hint="eastAsia" w:asciiTheme="minorEastAsia" w:hAnsiTheme="minorEastAsia" w:eastAsiaTheme="minorEastAsia" w:cstheme="minorEastAsia"/>
          <w:color w:val="auto"/>
          <w:sz w:val="22"/>
          <w:highlight w:val="none"/>
        </w:rPr>
        <w:t>个月内完成安装并验收完毕</w:t>
      </w:r>
      <w:r>
        <w:rPr>
          <w:rFonts w:hint="eastAsia" w:asciiTheme="minorEastAsia" w:hAnsiTheme="minorEastAsia" w:eastAsiaTheme="minorEastAsia" w:cstheme="minorEastAsia"/>
          <w:color w:val="auto"/>
          <w:sz w:val="22"/>
          <w:highlight w:val="none"/>
          <w:lang w:val="en-US" w:eastAsia="zh-CN"/>
        </w:rPr>
        <w:t>,</w:t>
      </w:r>
      <w:r>
        <w:rPr>
          <w:rFonts w:hint="eastAsia" w:asciiTheme="minorEastAsia" w:hAnsiTheme="minorEastAsia" w:eastAsiaTheme="minorEastAsia" w:cstheme="minorEastAsia"/>
          <w:color w:val="auto"/>
          <w:sz w:val="22"/>
          <w:highlight w:val="none"/>
        </w:rPr>
        <w:t>供应商应保证在要求时间内完成全部货物的供货、安装、调试和培训工作，符合国家标准、行业规范和合同等相关文件的要求。</w:t>
      </w:r>
    </w:p>
    <w:p>
      <w:pPr>
        <w:widowControl/>
        <w:tabs>
          <w:tab w:val="left" w:pos="1134"/>
        </w:tabs>
        <w:spacing w:line="400" w:lineRule="exact"/>
        <w:ind w:firstLine="499" w:firstLineChars="227"/>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2.供方应在交货前至少提前三天以书面或电子文件形式通知需方准备收货。</w:t>
      </w:r>
      <w:bookmarkStart w:id="71" w:name="_Toc453512847"/>
      <w:bookmarkStart w:id="72" w:name="_Toc453513146"/>
    </w:p>
    <w:p>
      <w:pPr>
        <w:widowControl/>
        <w:tabs>
          <w:tab w:val="left" w:pos="1134"/>
        </w:tabs>
        <w:spacing w:line="400" w:lineRule="exact"/>
        <w:ind w:firstLine="499" w:firstLineChars="227"/>
        <w:rPr>
          <w:rFonts w:hint="eastAsia" w:asciiTheme="minorEastAsia" w:hAnsiTheme="minorEastAsia" w:eastAsiaTheme="minorEastAsia" w:cstheme="minorEastAsia"/>
          <w:bCs/>
          <w:color w:val="auto"/>
          <w:kern w:val="24"/>
          <w:highlight w:val="none"/>
        </w:rPr>
      </w:pPr>
      <w:r>
        <w:rPr>
          <w:rFonts w:hint="eastAsia" w:asciiTheme="minorEastAsia" w:hAnsiTheme="minorEastAsia" w:eastAsiaTheme="minorEastAsia" w:cstheme="minorEastAsia"/>
          <w:color w:val="auto"/>
          <w:sz w:val="22"/>
          <w:highlight w:val="none"/>
        </w:rPr>
        <w:t>需方指定收货人：</w:t>
      </w:r>
      <w:r>
        <w:rPr>
          <w:rFonts w:hint="eastAsia" w:asciiTheme="minorEastAsia" w:hAnsiTheme="minorEastAsia" w:eastAsiaTheme="minorEastAsia" w:cstheme="minorEastAsia"/>
          <w:color w:val="auto"/>
          <w:sz w:val="22"/>
          <w:highlight w:val="none"/>
          <w:u w:val="single"/>
        </w:rPr>
        <w:t xml:space="preserve"> </w:t>
      </w:r>
      <w:r>
        <w:rPr>
          <w:rFonts w:hint="eastAsia" w:asciiTheme="minorEastAsia" w:hAnsiTheme="minorEastAsia" w:eastAsiaTheme="minorEastAsia" w:cstheme="minorEastAsia"/>
          <w:color w:val="auto"/>
          <w:sz w:val="22"/>
          <w:highlight w:val="none"/>
          <w:u w:val="single"/>
          <w:lang w:eastAsia="zh-CN"/>
        </w:rPr>
        <w:t>李老师</w:t>
      </w:r>
      <w:r>
        <w:rPr>
          <w:rFonts w:hint="eastAsia" w:asciiTheme="minorEastAsia" w:hAnsiTheme="minorEastAsia" w:eastAsiaTheme="minorEastAsia" w:cstheme="minorEastAsia"/>
          <w:color w:val="auto"/>
          <w:sz w:val="22"/>
          <w:highlight w:val="none"/>
          <w:u w:val="single"/>
          <w:lang w:val="en-US" w:eastAsia="zh-CN"/>
        </w:rPr>
        <w:t xml:space="preserve"> </w:t>
      </w:r>
      <w:r>
        <w:rPr>
          <w:rFonts w:hint="eastAsia" w:asciiTheme="minorEastAsia" w:hAnsiTheme="minorEastAsia" w:eastAsiaTheme="minorEastAsia" w:cstheme="minorEastAsia"/>
          <w:color w:val="auto"/>
          <w:sz w:val="22"/>
          <w:highlight w:val="none"/>
          <w:u w:val="single"/>
        </w:rPr>
        <w:t xml:space="preserve"> </w:t>
      </w:r>
      <w:r>
        <w:rPr>
          <w:rFonts w:hint="eastAsia" w:asciiTheme="minorEastAsia" w:hAnsiTheme="minorEastAsia" w:eastAsiaTheme="minorEastAsia" w:cstheme="minorEastAsia"/>
          <w:color w:val="auto"/>
          <w:sz w:val="22"/>
          <w:highlight w:val="none"/>
        </w:rPr>
        <w:t>，电话：</w:t>
      </w:r>
      <w:r>
        <w:rPr>
          <w:rFonts w:hint="eastAsia" w:asciiTheme="minorEastAsia" w:hAnsiTheme="minorEastAsia" w:eastAsiaTheme="minorEastAsia" w:cstheme="minorEastAsia"/>
          <w:color w:val="auto"/>
          <w:sz w:val="22"/>
          <w:highlight w:val="none"/>
          <w:u w:val="single"/>
          <w:lang w:val="en-US" w:eastAsia="zh-CN"/>
        </w:rPr>
        <w:t xml:space="preserve"> </w:t>
      </w:r>
      <w:r>
        <w:rPr>
          <w:rFonts w:hint="eastAsia" w:asciiTheme="minorEastAsia" w:hAnsiTheme="minorEastAsia" w:eastAsiaTheme="minorEastAsia" w:cstheme="minorEastAsia"/>
          <w:color w:val="auto"/>
          <w:sz w:val="22"/>
          <w:highlight w:val="none"/>
          <w:u w:val="single"/>
        </w:rPr>
        <w:t xml:space="preserve"> </w:t>
      </w:r>
      <w:r>
        <w:rPr>
          <w:rFonts w:asciiTheme="minorEastAsia" w:hAnsiTheme="minorEastAsia" w:eastAsiaTheme="minorEastAsia" w:cstheme="minorEastAsia"/>
          <w:color w:val="auto"/>
          <w:sz w:val="22"/>
          <w:highlight w:val="none"/>
          <w:u w:val="single"/>
        </w:rPr>
        <w:t>13650510593</w:t>
      </w:r>
      <w:r>
        <w:rPr>
          <w:rFonts w:hint="eastAsia" w:asciiTheme="minorEastAsia" w:hAnsiTheme="minorEastAsia" w:eastAsiaTheme="minorEastAsia" w:cstheme="minorEastAsia"/>
          <w:color w:val="auto"/>
          <w:sz w:val="22"/>
          <w:highlight w:val="none"/>
          <w:u w:val="single"/>
        </w:rPr>
        <w:t xml:space="preserve">  </w:t>
      </w:r>
      <w:r>
        <w:rPr>
          <w:rFonts w:hint="eastAsia" w:asciiTheme="minorEastAsia" w:hAnsiTheme="minorEastAsia" w:eastAsiaTheme="minorEastAsia" w:cstheme="minorEastAsia"/>
          <w:color w:val="auto"/>
          <w:sz w:val="22"/>
          <w:highlight w:val="none"/>
        </w:rPr>
        <w:t>。</w:t>
      </w:r>
    </w:p>
    <w:p>
      <w:pPr>
        <w:widowControl/>
        <w:tabs>
          <w:tab w:val="left" w:pos="1134"/>
        </w:tabs>
        <w:spacing w:line="400" w:lineRule="exact"/>
        <w:ind w:firstLine="544" w:firstLineChars="227"/>
        <w:rPr>
          <w:rFonts w:asciiTheme="minorEastAsia" w:hAnsiTheme="minorEastAsia" w:eastAsiaTheme="minorEastAsia" w:cstheme="minorEastAsia"/>
          <w:b/>
          <w:color w:val="auto"/>
          <w:sz w:val="22"/>
          <w:highlight w:val="none"/>
        </w:rPr>
      </w:pP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color w:val="auto"/>
          <w:sz w:val="22"/>
          <w:highlight w:val="none"/>
        </w:rPr>
        <w:t>（二）交货地点：</w:t>
      </w:r>
      <w:r>
        <w:rPr>
          <w:rFonts w:hint="eastAsia" w:asciiTheme="minorEastAsia" w:hAnsiTheme="minorEastAsia" w:eastAsiaTheme="minorEastAsia" w:cstheme="minorEastAsia"/>
          <w:color w:val="auto"/>
          <w:sz w:val="22"/>
          <w:highlight w:val="none"/>
        </w:rPr>
        <w:t>西南大学地理科学学院</w:t>
      </w:r>
      <w:r>
        <w:rPr>
          <w:rFonts w:hint="eastAsia" w:asciiTheme="minorEastAsia" w:hAnsiTheme="minorEastAsia" w:eastAsiaTheme="minorEastAsia" w:cstheme="minorEastAsia"/>
          <w:color w:val="auto"/>
          <w:sz w:val="22"/>
          <w:highlight w:val="none"/>
        </w:rPr>
        <w:t>。</w:t>
      </w:r>
    </w:p>
    <w:p>
      <w:pPr>
        <w:widowControl/>
        <w:tabs>
          <w:tab w:val="left" w:pos="1134"/>
        </w:tabs>
        <w:spacing w:line="400" w:lineRule="exact"/>
        <w:ind w:firstLine="48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color w:val="auto"/>
          <w:sz w:val="22"/>
          <w:highlight w:val="none"/>
        </w:rPr>
        <w:t>（三）包装和运输要求：</w:t>
      </w:r>
      <w:r>
        <w:rPr>
          <w:rFonts w:hint="eastAsia" w:asciiTheme="minorEastAsia" w:hAnsiTheme="minorEastAsia" w:eastAsiaTheme="minorEastAsia" w:cstheme="minorEastAsia"/>
          <w:b/>
          <w:bCs/>
          <w:color w:val="auto"/>
          <w:sz w:val="22"/>
          <w:highlight w:val="none"/>
          <w:u w:val="single"/>
        </w:rPr>
        <w:t>供方应提供原厂包装的货物； 在货物运输中采用的外包装应符合运输要求，足以保护货物在运输过程中不受锈蚀、损坏或者灭失（若需特殊保管方式如冷冻等，请列明）。如果由于不适当的包装而导致货物损坏和由此产生的费用，应由供方承担全部责任。</w:t>
      </w:r>
    </w:p>
    <w:p>
      <w:pPr>
        <w:autoSpaceDE w:val="0"/>
        <w:autoSpaceDN w:val="0"/>
        <w:spacing w:line="460" w:lineRule="exact"/>
        <w:ind w:firstLine="387" w:firstLineChars="176"/>
        <w:rPr>
          <w:color w:val="auto"/>
          <w:highlight w:val="none"/>
        </w:rPr>
      </w:pPr>
      <w:r>
        <w:rPr>
          <w:rFonts w:hint="eastAsia" w:asciiTheme="minorEastAsia" w:hAnsiTheme="minorEastAsia" w:eastAsiaTheme="minorEastAsia" w:cstheme="minorEastAsia"/>
          <w:color w:val="auto"/>
          <w:sz w:val="22"/>
          <w:highlight w:val="none"/>
        </w:rPr>
        <w:t>保险要求：供应商负责安全运输到指定地点</w:t>
      </w:r>
    </w:p>
    <w:p>
      <w:pPr>
        <w:autoSpaceDE w:val="0"/>
        <w:autoSpaceDN w:val="0"/>
        <w:spacing w:line="460" w:lineRule="exact"/>
        <w:ind w:firstLine="389" w:firstLineChars="176"/>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*（四）货物安装调试、培训与验收</w:t>
      </w:r>
    </w:p>
    <w:p>
      <w:pPr>
        <w:autoSpaceDE w:val="0"/>
        <w:autoSpaceDN w:val="0"/>
        <w:spacing w:line="460" w:lineRule="exact"/>
        <w:ind w:firstLine="420"/>
        <w:rPr>
          <w:rFonts w:hint="eastAsia"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lang w:val="en-US" w:eastAsia="zh-CN"/>
        </w:rPr>
        <w:t>1</w:t>
      </w:r>
      <w:r>
        <w:rPr>
          <w:rFonts w:hint="eastAsia" w:asciiTheme="minorEastAsia" w:hAnsiTheme="minorEastAsia" w:eastAsiaTheme="minorEastAsia" w:cstheme="minorEastAsia"/>
          <w:bCs/>
          <w:color w:val="auto"/>
          <w:kern w:val="24"/>
          <w:sz w:val="22"/>
          <w:szCs w:val="22"/>
          <w:highlight w:val="none"/>
        </w:rPr>
        <w:t>.货物到达指定地点之日起10个工作日内，由供货商与需方用户共同开箱，检查仪器设备及随机附件是否全新、完好无损；技术资料与图纸（供方在交货时应向需方提供与本合同项下货物相符且最新的完整的技术资料）是否与需方的要求相符，并填写开箱记录。进口货物提供报关单等证明。</w:t>
      </w:r>
    </w:p>
    <w:p>
      <w:pPr>
        <w:autoSpaceDE w:val="0"/>
        <w:autoSpaceDN w:val="0"/>
        <w:spacing w:line="460" w:lineRule="exact"/>
        <w:ind w:firstLine="420"/>
        <w:rPr>
          <w:rFonts w:hint="eastAsia"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lang w:val="en-US" w:eastAsia="zh-CN"/>
        </w:rPr>
        <w:t>2</w:t>
      </w:r>
      <w:r>
        <w:rPr>
          <w:rFonts w:hint="eastAsia" w:asciiTheme="minorEastAsia" w:hAnsiTheme="minorEastAsia" w:eastAsiaTheme="minorEastAsia" w:cstheme="minorEastAsia"/>
          <w:bCs/>
          <w:color w:val="auto"/>
          <w:kern w:val="24"/>
          <w:sz w:val="22"/>
          <w:szCs w:val="22"/>
          <w:highlight w:val="none"/>
        </w:rPr>
        <w:t>.货物全部到齐（包括试剂耗材，技术资料），供应商完成安装、调试和现场培训后，设备和项目进入试运行期。设备和项目正常运行 30个工作日后，由供货商提出书面验收申请，需方受理申请且资料完整后 15 日内组织验收小组，验收小组将根据采购文件、投标文件、合同等项目文件约定内容对项目和设备进行质量性能的综合运行验收。通过技术性能验收后，需方将出具验收合格证明。</w:t>
      </w:r>
    </w:p>
    <w:p>
      <w:pPr>
        <w:autoSpaceDE w:val="0"/>
        <w:autoSpaceDN w:val="0"/>
        <w:spacing w:line="460" w:lineRule="exact"/>
        <w:ind w:firstLine="420"/>
        <w:rPr>
          <w:rFonts w:hint="eastAsia"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lang w:val="en-US" w:eastAsia="zh-CN"/>
        </w:rPr>
        <w:t>3.</w:t>
      </w:r>
      <w:r>
        <w:rPr>
          <w:rFonts w:hint="eastAsia" w:asciiTheme="minorEastAsia" w:hAnsiTheme="minorEastAsia" w:eastAsiaTheme="minorEastAsia" w:cstheme="minorEastAsia"/>
          <w:bCs/>
          <w:color w:val="auto"/>
          <w:kern w:val="24"/>
          <w:sz w:val="22"/>
          <w:szCs w:val="22"/>
          <w:highlight w:val="none"/>
        </w:rPr>
        <w:t>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p>
    <w:p>
      <w:pPr>
        <w:tabs>
          <w:tab w:val="left" w:pos="540"/>
        </w:tabs>
        <w:snapToGrid w:val="0"/>
        <w:spacing w:after="120" w:afterLines="50" w:line="400" w:lineRule="exact"/>
        <w:ind w:firstLine="480" w:firstLineChars="200"/>
        <w:rPr>
          <w:rFonts w:asciiTheme="minorEastAsia" w:hAnsiTheme="minorEastAsia" w:eastAsiaTheme="minorEastAsia" w:cstheme="minorEastAsia"/>
          <w:b/>
          <w:color w:val="auto"/>
          <w:sz w:val="22"/>
          <w:highlight w:val="none"/>
        </w:rPr>
      </w:pP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color w:val="auto"/>
          <w:sz w:val="22"/>
          <w:highlight w:val="none"/>
        </w:rPr>
        <w:t>（五）付款方式及履约保证金</w:t>
      </w:r>
    </w:p>
    <w:p>
      <w:pPr>
        <w:tabs>
          <w:tab w:val="left" w:pos="540"/>
        </w:tabs>
        <w:snapToGrid w:val="0"/>
        <w:spacing w:after="120" w:afterLines="50"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1.</w:t>
      </w:r>
      <w:r>
        <w:rPr>
          <w:rFonts w:hint="eastAsia" w:asciiTheme="minorEastAsia" w:hAnsiTheme="minorEastAsia" w:eastAsiaTheme="minorEastAsia" w:cstheme="minorEastAsia"/>
          <w:bCs/>
          <w:color w:val="auto"/>
          <w:kern w:val="24"/>
          <w:sz w:val="22"/>
          <w:szCs w:val="22"/>
          <w:highlight w:val="none"/>
        </w:rPr>
        <w:t>关境外货物：</w:t>
      </w:r>
    </w:p>
    <w:p>
      <w:pPr>
        <w:autoSpaceDE w:val="0"/>
        <w:autoSpaceDN w:val="0"/>
        <w:spacing w:line="460" w:lineRule="exact"/>
        <w:ind w:firstLine="420"/>
        <w:rPr>
          <w:rFonts w:hint="eastAsia"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rPr>
        <w:t>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pPr>
        <w:autoSpaceDE w:val="0"/>
        <w:autoSpaceDN w:val="0"/>
        <w:spacing w:line="460" w:lineRule="exact"/>
        <w:ind w:firstLine="420"/>
        <w:rPr>
          <w:rFonts w:hint="eastAsia" w:asciiTheme="minorEastAsia" w:hAnsiTheme="minorEastAsia" w:eastAsiaTheme="minorEastAsia" w:cstheme="minorEastAsia"/>
          <w:bCs/>
          <w:color w:val="auto"/>
          <w:kern w:val="24"/>
          <w:sz w:val="22"/>
          <w:szCs w:val="22"/>
          <w:highlight w:val="none"/>
          <w:lang w:val="en-US" w:eastAsia="zh-CN"/>
        </w:rPr>
      </w:pPr>
      <w:r>
        <w:rPr>
          <w:rFonts w:hint="eastAsia" w:asciiTheme="minorEastAsia" w:hAnsiTheme="minorEastAsia" w:eastAsiaTheme="minorEastAsia" w:cstheme="minorEastAsia"/>
          <w:bCs/>
          <w:color w:val="auto"/>
          <w:kern w:val="24"/>
          <w:sz w:val="22"/>
          <w:szCs w:val="22"/>
          <w:highlight w:val="none"/>
        </w:rPr>
        <w:t>2.关境内货物</w:t>
      </w:r>
      <w:r>
        <w:rPr>
          <w:rFonts w:hint="eastAsia" w:asciiTheme="minorEastAsia" w:hAnsiTheme="minorEastAsia" w:eastAsiaTheme="minorEastAsia" w:cstheme="minorEastAsia"/>
          <w:bCs/>
          <w:color w:val="auto"/>
          <w:kern w:val="24"/>
          <w:sz w:val="22"/>
          <w:szCs w:val="22"/>
          <w:highlight w:val="none"/>
          <w:lang w:val="en-US" w:eastAsia="zh-CN"/>
        </w:rPr>
        <w:t>:</w:t>
      </w:r>
    </w:p>
    <w:p>
      <w:pPr>
        <w:autoSpaceDE w:val="0"/>
        <w:autoSpaceDN w:val="0"/>
        <w:spacing w:line="460" w:lineRule="exact"/>
        <w:ind w:firstLine="420"/>
        <w:rPr>
          <w:rFonts w:hint="eastAsia"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lang w:eastAsia="zh-CN"/>
        </w:rPr>
        <w:t>（</w:t>
      </w:r>
      <w:r>
        <w:rPr>
          <w:rFonts w:hint="eastAsia" w:asciiTheme="minorEastAsia" w:hAnsiTheme="minorEastAsia" w:eastAsiaTheme="minorEastAsia" w:cstheme="minorEastAsia"/>
          <w:bCs/>
          <w:color w:val="auto"/>
          <w:kern w:val="24"/>
          <w:sz w:val="22"/>
          <w:szCs w:val="22"/>
          <w:highlight w:val="none"/>
          <w:lang w:val="en-US" w:eastAsia="zh-CN"/>
        </w:rPr>
        <w:t>1）</w:t>
      </w:r>
      <w:r>
        <w:rPr>
          <w:rFonts w:hint="eastAsia" w:asciiTheme="minorEastAsia" w:hAnsiTheme="minorEastAsia" w:eastAsiaTheme="minorEastAsia" w:cstheme="minorEastAsia"/>
          <w:bCs/>
          <w:color w:val="auto"/>
          <w:kern w:val="24"/>
          <w:sz w:val="22"/>
          <w:szCs w:val="22"/>
          <w:highlight w:val="none"/>
        </w:rPr>
        <w:t>质量性能验收合格后 3 个工作日内，供方向需方交纳合同总价的 5%作履约保证金；需方收到履约保证金后 7个工作日内，向供方支付100%的合同总价款。</w:t>
      </w:r>
    </w:p>
    <w:p>
      <w:pPr>
        <w:autoSpaceDE w:val="0"/>
        <w:autoSpaceDN w:val="0"/>
        <w:spacing w:line="460" w:lineRule="exact"/>
        <w:ind w:firstLine="420"/>
        <w:rPr>
          <w:rFonts w:hint="eastAsia"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lang w:eastAsia="zh-CN"/>
        </w:rPr>
        <w:t>（</w:t>
      </w:r>
      <w:r>
        <w:rPr>
          <w:rFonts w:hint="eastAsia" w:asciiTheme="minorEastAsia" w:hAnsiTheme="minorEastAsia" w:eastAsiaTheme="minorEastAsia" w:cstheme="minorEastAsia"/>
          <w:bCs/>
          <w:color w:val="auto"/>
          <w:kern w:val="24"/>
          <w:sz w:val="22"/>
          <w:szCs w:val="22"/>
          <w:highlight w:val="none"/>
          <w:lang w:val="en-US" w:eastAsia="zh-CN"/>
        </w:rPr>
        <w:t>2）</w:t>
      </w:r>
      <w:r>
        <w:rPr>
          <w:rFonts w:hint="eastAsia" w:asciiTheme="minorEastAsia" w:hAnsiTheme="minorEastAsia" w:eastAsiaTheme="minorEastAsia" w:cstheme="minorEastAsia"/>
          <w:bCs/>
          <w:color w:val="auto"/>
          <w:kern w:val="24"/>
          <w:sz w:val="22"/>
          <w:szCs w:val="22"/>
          <w:highlight w:val="none"/>
        </w:rPr>
        <w:t>质量性能验收合格之日起 1 年内若无遗留问题，需方将履约保证金本金全额无息退还供方；若有尚未解决的遗留问题，暂不予退还。</w:t>
      </w:r>
    </w:p>
    <w:p>
      <w:pPr>
        <w:autoSpaceDE w:val="0"/>
        <w:autoSpaceDN w:val="0"/>
        <w:spacing w:line="460" w:lineRule="exact"/>
        <w:ind w:firstLine="420"/>
        <w:rPr>
          <w:rFonts w:hint="eastAsia"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lang w:eastAsia="zh-CN"/>
        </w:rPr>
        <w:t>（</w:t>
      </w:r>
      <w:r>
        <w:rPr>
          <w:rFonts w:hint="eastAsia" w:asciiTheme="minorEastAsia" w:hAnsiTheme="minorEastAsia" w:eastAsiaTheme="minorEastAsia" w:cstheme="minorEastAsia"/>
          <w:bCs/>
          <w:color w:val="auto"/>
          <w:kern w:val="24"/>
          <w:sz w:val="22"/>
          <w:szCs w:val="22"/>
          <w:highlight w:val="none"/>
          <w:lang w:val="en-US" w:eastAsia="zh-CN"/>
        </w:rPr>
        <w:t>3）</w:t>
      </w:r>
      <w:r>
        <w:rPr>
          <w:rFonts w:hint="eastAsia" w:asciiTheme="minorEastAsia" w:hAnsiTheme="minorEastAsia" w:eastAsiaTheme="minorEastAsia" w:cstheme="minorEastAsia"/>
          <w:bCs/>
          <w:color w:val="auto"/>
          <w:kern w:val="24"/>
          <w:sz w:val="22"/>
          <w:szCs w:val="22"/>
          <w:highlight w:val="none"/>
        </w:rPr>
        <w:t>需方每次向供方付款前，供方应该先行向需方提供等额正式发票（增值税专用发票）。货款及履约保证金均以银行转账方式支付</w:t>
      </w:r>
      <w:r>
        <w:rPr>
          <w:rFonts w:hint="eastAsia" w:asciiTheme="minorEastAsia" w:hAnsiTheme="minorEastAsia" w:eastAsiaTheme="minorEastAsia" w:cstheme="minorEastAsia"/>
          <w:bCs/>
          <w:color w:val="auto"/>
          <w:kern w:val="24"/>
          <w:sz w:val="22"/>
          <w:szCs w:val="22"/>
          <w:highlight w:val="none"/>
        </w:rPr>
        <w:t>。</w:t>
      </w:r>
    </w:p>
    <w:p>
      <w:pPr>
        <w:autoSpaceDE w:val="0"/>
        <w:autoSpaceDN w:val="0"/>
        <w:spacing w:line="460" w:lineRule="exact"/>
        <w:ind w:firstLine="420"/>
        <w:rPr>
          <w:rFonts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rPr>
        <w:t>3.关境外货物的进口清关及进口免税手续（若能享受免税政策）由采购人指定的外贸公司负责办理。进口代理费标准：合同金额小于人民币200万元的，按0.25%计收；合同金额大于等于200万元人民币小于500万元人民币的，按0.1%计收；合同金额大于等于500万元人民币，按0.05%计收。其他费用的收费标准按各外贸公司与西南大学签订的进口仪器设备外贸代理服务合同执行。</w:t>
      </w:r>
    </w:p>
    <w:p>
      <w:pPr>
        <w:autoSpaceDE w:val="0"/>
        <w:autoSpaceDN w:val="0"/>
        <w:spacing w:line="460" w:lineRule="exact"/>
        <w:ind w:firstLine="420"/>
        <w:rPr>
          <w:rFonts w:cs="宋体" w:asciiTheme="minorEastAsia" w:hAnsiTheme="minorEastAsia" w:eastAsiaTheme="minorEastAsia"/>
          <w:b/>
          <w:bCs/>
          <w:color w:val="auto"/>
          <w:sz w:val="22"/>
          <w:szCs w:val="22"/>
          <w:highlight w:val="none"/>
        </w:rPr>
      </w:pPr>
      <w:r>
        <w:rPr>
          <w:rFonts w:cs="宋体" w:asciiTheme="minorEastAsia" w:hAnsiTheme="minorEastAsia" w:eastAsiaTheme="minorEastAsia"/>
          <w:b/>
          <w:bCs/>
          <w:color w:val="auto"/>
          <w:sz w:val="22"/>
          <w:szCs w:val="22"/>
          <w:highlight w:val="none"/>
        </w:rPr>
        <w:t>我校所购进口产品，必须通过我校指定的外贸代理公司报关进入，不接受之前已报关进入国内的产品</w:t>
      </w:r>
      <w:r>
        <w:rPr>
          <w:rFonts w:hint="eastAsia" w:cs="宋体" w:asciiTheme="minorEastAsia" w:hAnsiTheme="minorEastAsia" w:eastAsiaTheme="minorEastAsia"/>
          <w:b/>
          <w:bCs/>
          <w:color w:val="auto"/>
          <w:sz w:val="22"/>
          <w:szCs w:val="22"/>
          <w:highlight w:val="none"/>
        </w:rPr>
        <w:t>。</w:t>
      </w:r>
    </w:p>
    <w:p>
      <w:pPr>
        <w:widowControl/>
        <w:tabs>
          <w:tab w:val="left" w:pos="1134"/>
        </w:tabs>
        <w:spacing w:line="420" w:lineRule="exact"/>
        <w:ind w:firstLine="220" w:firstLineChars="1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需方银行账号信息：</w:t>
      </w:r>
    </w:p>
    <w:tbl>
      <w:tblPr>
        <w:tblStyle w:val="24"/>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2282"/>
        <w:gridCol w:w="2694"/>
        <w:gridCol w:w="2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开户名称：</w:t>
            </w:r>
          </w:p>
        </w:tc>
        <w:tc>
          <w:tcPr>
            <w:tcW w:w="2282" w:type="dxa"/>
            <w:tcBorders>
              <w:top w:val="nil"/>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西南大学</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银行账号：</w:t>
            </w:r>
          </w:p>
        </w:tc>
        <w:tc>
          <w:tcPr>
            <w:tcW w:w="2818" w:type="dxa"/>
            <w:tcBorders>
              <w:top w:val="nil"/>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开户银行：</w:t>
            </w:r>
          </w:p>
        </w:tc>
        <w:tc>
          <w:tcPr>
            <w:tcW w:w="2282" w:type="dxa"/>
            <w:tcBorders>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工行重庆朝阳支行</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统一社会信用代码：</w:t>
            </w:r>
          </w:p>
        </w:tc>
        <w:tc>
          <w:tcPr>
            <w:tcW w:w="2818" w:type="dxa"/>
            <w:tcBorders>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银行行号：</w:t>
            </w:r>
          </w:p>
        </w:tc>
        <w:tc>
          <w:tcPr>
            <w:tcW w:w="2282" w:type="dxa"/>
            <w:tcBorders>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102653000474</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注册地址：</w:t>
            </w:r>
          </w:p>
        </w:tc>
        <w:tc>
          <w:tcPr>
            <w:tcW w:w="2818" w:type="dxa"/>
            <w:tcBorders>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重庆市北碚区天生路2号</w:t>
            </w:r>
          </w:p>
        </w:tc>
      </w:tr>
    </w:tbl>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highlight w:val="none"/>
        </w:rPr>
      </w:pPr>
    </w:p>
    <w:bookmarkEnd w:id="71"/>
    <w:bookmarkEnd w:id="72"/>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w:t>
      </w:r>
      <w:r>
        <w:rPr>
          <w:rFonts w:hint="eastAsia" w:asciiTheme="minorEastAsia" w:hAnsiTheme="minorEastAsia" w:eastAsiaTheme="minorEastAsia" w:cstheme="minorEastAsia"/>
          <w:b/>
          <w:color w:val="auto"/>
          <w:sz w:val="22"/>
          <w:szCs w:val="22"/>
          <w:highlight w:val="none"/>
          <w:lang w:eastAsia="zh-CN"/>
        </w:rPr>
        <w:t>六）采购标的的服务期限、标准、效率等要求</w:t>
      </w:r>
    </w:p>
    <w:p>
      <w:pPr>
        <w:tabs>
          <w:tab w:val="left" w:pos="540"/>
        </w:tabs>
        <w:snapToGrid w:val="0"/>
        <w:spacing w:after="120" w:afterLines="50"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制造商对产品提供终身技术支持，无论保修期内或保修期外，制造商均需提供优质高效的售后服务。</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1.供需双方签订终验收合格报告之日起项目</w:t>
      </w:r>
      <w:r>
        <w:rPr>
          <w:rFonts w:hint="eastAsia" w:asciiTheme="minorEastAsia" w:hAnsiTheme="minorEastAsia" w:eastAsiaTheme="minorEastAsia" w:cstheme="minorEastAsia"/>
          <w:b/>
          <w:bCs/>
          <w:color w:val="auto"/>
          <w:sz w:val="21"/>
          <w:szCs w:val="21"/>
          <w:highlight w:val="none"/>
        </w:rPr>
        <w:t>整体免费质保</w:t>
      </w:r>
      <w:r>
        <w:rPr>
          <w:rFonts w:hint="eastAsia" w:asciiTheme="minorEastAsia" w:hAnsiTheme="minorEastAsia" w:eastAsiaTheme="minorEastAsia" w:cstheme="minorEastAsia"/>
          <w:b/>
          <w:bCs/>
          <w:color w:val="auto"/>
          <w:sz w:val="21"/>
          <w:szCs w:val="21"/>
          <w:highlight w:val="none"/>
        </w:rPr>
        <w:t>不低于1年</w:t>
      </w:r>
      <w:r>
        <w:rPr>
          <w:rFonts w:hint="eastAsia" w:asciiTheme="minorEastAsia" w:hAnsiTheme="minorEastAsia" w:eastAsiaTheme="minorEastAsia" w:cstheme="minorEastAsia"/>
          <w:b/>
          <w:bCs/>
          <w:color w:val="auto"/>
          <w:sz w:val="21"/>
          <w:szCs w:val="21"/>
          <w:highlight w:val="none"/>
        </w:rPr>
        <w:t>（进口货物须由制造商提供免费质保）</w:t>
      </w:r>
      <w:r>
        <w:rPr>
          <w:rFonts w:hint="eastAsia" w:asciiTheme="minorEastAsia" w:hAnsiTheme="minorEastAsia" w:eastAsiaTheme="minorEastAsia" w:cstheme="minorEastAsia"/>
          <w:color w:val="auto"/>
          <w:sz w:val="21"/>
          <w:szCs w:val="21"/>
          <w:highlight w:val="none"/>
        </w:rPr>
        <w:t>。免费质量保证期从货物供货、安装、调试正常且经采购人综合运行并签订终验收合格报告之日起开始计算。免费质量保证期以整个项目为单位进行响应。质保期内，若货物出现故障，故障件的质保期从故障排除之日起重新起计；质保期内，故障时间累计超过1个月，整机保修期顺延3个月。</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2.质量保证期内服务</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2.1正常使用条件下，供方须对设备出现的故障提供全免费维修，零部件损坏须及时免费更换，供方自备安装调试及维修用工具。</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2.2供方应提供 7*24 小时技术服务；接到客户的信息反馈或咨询后，应在 4小时电话响应，提出解决方案；如需现场服务，应安排就近工程师于72小时内到达现场进行服务。设备保修期满前一个月，应进行一次全面的检查、维护，并写出正式报告，如发现潜在问题，应负责排除。</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2.3在质保期内，供应商应每年上门对设备进行全面检修。制造商售后工程师每年至少回访、维护两次，解决需方用户实验中遇到问题和了解设备运行状况。</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*3.质量保证期后服务</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 供方的响应、到达现场及排除故障时限与质保期内相同。</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 质量保证期后，供方提供有偿服务，适当收取零配件和服务费。供方收取的零配件价款或服务费不得高于同类产品或服务的市场通行价格。在设备硬件允许下，终身免费提供软件升级服务。</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 制造商应保证零配件的终身供应。成交人和制造商售后服务中维修使用的备品备件及易损件应为原厂配件，未经采购人同意不得使用非原厂配件。</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*（七）风险承担</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1.货物毁损、灭失的风险，在货物送达指定地点并经采购人接收以前由供方承担，在货物经采购人接收以后由采购人承担。 </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2.采购人因货物质量不符合约定的质量要求而拒绝接受货物或解除合同的，在采购人规定的期限内未收回其货物的，货物毁损、灭失的风险由供方承担。 </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由供方承担货物毁损、灭失风险的，如货物毁损或灭失的，供方应于30天内（关境内供货）或</w:t>
      </w:r>
      <w:r>
        <w:rPr>
          <w:rFonts w:hint="eastAsia" w:asciiTheme="minorEastAsia" w:hAnsiTheme="minorEastAsia" w:eastAsiaTheme="minorEastAsia" w:cstheme="minorEastAsia"/>
          <w:color w:val="auto"/>
          <w:sz w:val="21"/>
          <w:szCs w:val="21"/>
          <w:highlight w:val="none"/>
          <w:u w:val="single"/>
        </w:rPr>
        <w:t>90</w:t>
      </w:r>
      <w:r>
        <w:rPr>
          <w:rFonts w:hint="eastAsia" w:asciiTheme="minorEastAsia" w:hAnsiTheme="minorEastAsia" w:eastAsiaTheme="minorEastAsia" w:cstheme="minorEastAsia"/>
          <w:color w:val="auto"/>
          <w:sz w:val="21"/>
          <w:szCs w:val="21"/>
          <w:highlight w:val="none"/>
        </w:rPr>
        <w:t>天内（关境外供货）重新提供符合合同规定的货物，否则，视为供方逾期交货。</w:t>
      </w:r>
    </w:p>
    <w:p>
      <w:pPr>
        <w:tabs>
          <w:tab w:val="left" w:pos="2370"/>
        </w:tabs>
        <w:spacing w:line="380" w:lineRule="exact"/>
        <w:ind w:firstLine="420"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4. 由采购人承担货物毁损、灭失风险的，则采购人不能免除给付货款的义务。</w:t>
      </w:r>
    </w:p>
    <w:p>
      <w:pPr>
        <w:tabs>
          <w:tab w:val="left" w:pos="540"/>
        </w:tabs>
        <w:snapToGrid w:val="0"/>
        <w:spacing w:after="120" w:afterLines="50" w:line="400" w:lineRule="exact"/>
        <w:ind w:firstLine="480"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color w:val="auto"/>
          <w:sz w:val="22"/>
          <w:szCs w:val="22"/>
          <w:highlight w:val="none"/>
        </w:rPr>
        <w:t>（八）知识产权</w:t>
      </w:r>
    </w:p>
    <w:p>
      <w:pPr>
        <w:tabs>
          <w:tab w:val="left" w:pos="540"/>
        </w:tabs>
        <w:snapToGrid w:val="0"/>
        <w:spacing w:after="120" w:afterLines="50" w:line="400" w:lineRule="exact"/>
        <w:ind w:firstLine="42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1"/>
          <w:szCs w:val="21"/>
          <w:highlight w:val="none"/>
        </w:rPr>
        <w:t>采购人在中华人民共和国境内使用供应商提供的货物及服务时免受第三方提出的侵犯其专利权或其它知识产权的起诉。如果第三方提出侵权指控，供应商应承担由此而引起的一切法律责任和费用。</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三、其他</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（一）本篇“*”标注条款为实质性要求，一条不满足的，为无效标</w:t>
      </w:r>
    </w:p>
    <w:p>
      <w:pPr>
        <w:tabs>
          <w:tab w:val="left" w:pos="540"/>
        </w:tabs>
        <w:snapToGrid w:val="0"/>
        <w:spacing w:after="120" w:afterLines="50" w:line="40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二）专用条款优先于通用条款，专用条款和通用条款在相同内容上表述不一致的，以专用条款为准；专用条款所述内容为通用条款未涉及的，应作为通用条款的补充内容；专用条款未述及的内容，按通用条款执行。</w:t>
      </w:r>
    </w:p>
    <w:p>
      <w:pPr>
        <w:tabs>
          <w:tab w:val="left" w:pos="540"/>
        </w:tabs>
        <w:snapToGrid w:val="0"/>
        <w:spacing w:after="120" w:afterLines="50" w:line="40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（三）供应商必须在投标文件中明确列出以上条款和服务承诺，对响应及偏离情况在商务偏离表中进行说明。</w:t>
      </w:r>
      <w:r>
        <w:rPr>
          <w:rFonts w:hint="eastAsia" w:asciiTheme="minorEastAsia" w:hAnsiTheme="minorEastAsia" w:eastAsiaTheme="minorEastAsia" w:cstheme="minorEastAsia"/>
          <w:b/>
          <w:color w:val="auto"/>
          <w:sz w:val="22"/>
          <w:szCs w:val="22"/>
          <w:highlight w:val="none"/>
        </w:rPr>
        <w:t>未按规定提供商务偏离表的，为无效标</w:t>
      </w:r>
      <w:r>
        <w:rPr>
          <w:rFonts w:hint="eastAsia" w:asciiTheme="minorEastAsia" w:hAnsiTheme="minorEastAsia" w:eastAsiaTheme="minorEastAsia" w:cstheme="minorEastAsia"/>
          <w:color w:val="auto"/>
          <w:sz w:val="22"/>
          <w:szCs w:val="22"/>
          <w:highlight w:val="none"/>
        </w:rPr>
        <w:t>。</w:t>
      </w:r>
    </w:p>
    <w:p>
      <w:pPr>
        <w:tabs>
          <w:tab w:val="left" w:pos="2370"/>
        </w:tabs>
        <w:spacing w:line="3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（四）未尽事宜由供需双方在采购合同中详细约定。</w:t>
      </w:r>
    </w:p>
    <w:p>
      <w:pPr>
        <w:pStyle w:val="7"/>
        <w:rPr>
          <w:rFonts w:asciiTheme="minorEastAsia" w:hAnsiTheme="minorEastAsia" w:eastAsiaTheme="minorEastAsia" w:cstheme="minorEastAsia"/>
          <w:color w:val="auto"/>
          <w:highlight w:val="none"/>
        </w:rPr>
      </w:pPr>
    </w:p>
    <w:p>
      <w:pPr>
        <w:pStyle w:val="2"/>
        <w:ind w:left="0"/>
        <w:rPr>
          <w:color w:val="auto"/>
          <w:highlight w:val="none"/>
        </w:rPr>
      </w:pPr>
    </w:p>
    <w:p>
      <w:pPr>
        <w:rPr>
          <w:rFonts w:asciiTheme="minorEastAsia" w:hAnsiTheme="minorEastAsia" w:eastAsiaTheme="minorEastAsia" w:cstheme="minorEastAsia"/>
          <w:color w:val="auto"/>
          <w:highlight w:val="none"/>
        </w:rPr>
      </w:pPr>
    </w:p>
    <w:p>
      <w:pPr>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第四篇  资格审查及评标办法</w:t>
      </w: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p>
    <w:p>
      <w:pPr>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评审分两个阶段，资格审查阶段和评标阶段。</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一、资格审查阶段：</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资格性审查是依据法律法规和招标文件的规定，对投标文件中的资格证明、信用信息记录等进行审查，以确定投标人是否具备投标资格。</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或采购代理机构负责投标人的资格审查工作，即审查投标人资格条件是否满足要求及其提供的证明材料是否齐全和有效，只有满足招标公告中投标人资格要求的投标人才是合格投标人。被认定为不合格投标人的，不得进入符合性审查。合格投标人不足3家的，不得进入评标阶段。</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资格性审查资料表如下：</w:t>
      </w:r>
    </w:p>
    <w:p>
      <w:pPr>
        <w:snapToGrid w:val="0"/>
        <w:spacing w:line="360" w:lineRule="exact"/>
        <w:ind w:firstLine="422" w:firstLineChars="200"/>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资格性检查资料表</w:t>
      </w:r>
    </w:p>
    <w:tbl>
      <w:tblPr>
        <w:tblStyle w:val="2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126"/>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2835" w:type="dxa"/>
            <w:gridSpan w:val="2"/>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检查因素</w:t>
            </w:r>
          </w:p>
        </w:tc>
        <w:tc>
          <w:tcPr>
            <w:tcW w:w="5812" w:type="dxa"/>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7" w:hRule="atLeast"/>
        </w:trPr>
        <w:tc>
          <w:tcPr>
            <w:tcW w:w="709"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w:t>
            </w:r>
          </w:p>
        </w:tc>
        <w:tc>
          <w:tcPr>
            <w:tcW w:w="709" w:type="dxa"/>
            <w:vMerge w:val="restart"/>
            <w:vAlign w:val="center"/>
          </w:tcPr>
          <w:p>
            <w:pPr>
              <w:snapToGrid w:val="0"/>
              <w:spacing w:line="360" w:lineRule="exact"/>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投标人应符合的基本资格条件</w:t>
            </w: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1）具有独立承担民事责任的能力</w:t>
            </w:r>
          </w:p>
        </w:tc>
        <w:tc>
          <w:tcPr>
            <w:tcW w:w="5812" w:type="dxa"/>
            <w:vAlign w:val="center"/>
          </w:tcPr>
          <w:p>
            <w:pPr>
              <w:snapToGrid w:val="0"/>
              <w:spacing w:line="3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提供投标人法人营业执照或事业单位法人证书或个体工商户营业执照或有效的自然人身份证明或社会团体法人登记证书（提供复印件）；</w:t>
            </w:r>
          </w:p>
          <w:p>
            <w:pPr>
              <w:snapToGrid w:val="0"/>
              <w:spacing w:line="3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投标人法定代表人（单位负责人）身份证明和法定代表人（单位负责人）授权代表委托书。</w:t>
            </w:r>
          </w:p>
          <w:p>
            <w:pPr>
              <w:spacing w:line="2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供应商法定代表人身份证明和法定代表人授权代表委托书。</w:t>
            </w:r>
          </w:p>
          <w:p>
            <w:pPr>
              <w:snapToGrid w:val="0"/>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不具有独立承担民事责任的的分公司、办事处等主体未经具有独立承担民事责任的主体授权的，不能参加投标。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2）具有良好的商业信誉和健全的财务会计制度</w:t>
            </w:r>
          </w:p>
        </w:tc>
        <w:tc>
          <w:tcPr>
            <w:tcW w:w="5812" w:type="dxa"/>
            <w:vMerge w:val="restart"/>
            <w:vAlign w:val="center"/>
          </w:tcPr>
          <w:p>
            <w:pPr>
              <w:snapToGrid w:val="0"/>
              <w:spacing w:line="360" w:lineRule="exact"/>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提供“资格条件承诺函”（详见第七部分）。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3）具有履行合同所必需的设备和专业技术能力</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4）有依法缴纳税收和社会保障资金的良好记录</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rPr>
              <w:t>5）参加政府采购活动前三年内，在经营活动中没有重大违法记录</w:t>
            </w:r>
          </w:p>
        </w:tc>
        <w:tc>
          <w:tcPr>
            <w:tcW w:w="5812" w:type="dxa"/>
            <w:vAlign w:val="center"/>
          </w:tcPr>
          <w:p>
            <w:pPr>
              <w:spacing w:line="3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1.提供“资格条件承诺函”</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color w:val="auto"/>
                <w:sz w:val="21"/>
                <w:szCs w:val="21"/>
                <w:highlight w:val="none"/>
              </w:rPr>
              <w:t>详见第七部分</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color w:val="auto"/>
                <w:sz w:val="21"/>
                <w:szCs w:val="21"/>
                <w:highlight w:val="none"/>
              </w:rPr>
              <w:t>；</w:t>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2.在评审阶段资格性检查时采购代理机构将通过 “信用中国”网站(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9"/>
                <w:rFonts w:hint="eastAsia" w:asciiTheme="minorEastAsia" w:hAnsiTheme="minorEastAsia" w:eastAsiaTheme="minorEastAsia" w:cstheme="minorEastAsia"/>
                <w:color w:val="auto"/>
                <w:highlight w:val="none"/>
              </w:rPr>
              <w:t>www.creditchina.gov.cn</w:t>
            </w:r>
            <w:r>
              <w:rPr>
                <w:rStyle w:val="29"/>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 w:val="21"/>
                <w:szCs w:val="21"/>
                <w:highlight w:val="none"/>
              </w:rPr>
              <w:t>)和 “中国政府采购网”网站(www.ccgp.gov.cn)对</w:t>
            </w:r>
            <w:r>
              <w:rPr>
                <w:rFonts w:hint="eastAsia" w:asciiTheme="minorEastAsia" w:hAnsiTheme="minorEastAsia" w:eastAsiaTheme="minorEastAsia" w:cstheme="minorEastAsia"/>
                <w:color w:val="auto"/>
                <w:kern w:val="2"/>
                <w:sz w:val="21"/>
                <w:szCs w:val="21"/>
                <w:highlight w:val="none"/>
              </w:rPr>
              <w:t>投标人</w:t>
            </w:r>
            <w:r>
              <w:rPr>
                <w:rFonts w:hint="eastAsia" w:asciiTheme="minorEastAsia" w:hAnsiTheme="minorEastAsia" w:eastAsiaTheme="minorEastAsia" w:cstheme="minorEastAsia"/>
                <w:color w:val="auto"/>
                <w:sz w:val="21"/>
                <w:szCs w:val="21"/>
                <w:highlight w:val="none"/>
              </w:rPr>
              <w:t>的信用记录进行查询：投标人被列入“信用中国”网站“失信被执行人”或“重大税收违法案件当事人名单”，拒绝其参与政府采购活动；投标人处于“中国政府采购网”“政府采购严重违法失信行为记录”中的禁止参加政府采购活动期间的，将拒绝其参与政府采购活动。上述的查询记录截止评审阶段资格性检查结束时止。</w:t>
            </w:r>
          </w:p>
          <w:p>
            <w:pPr>
              <w:snapToGrid w:val="0"/>
              <w:spacing w:line="36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8"/>
                <w:sz w:val="21"/>
                <w:szCs w:val="21"/>
                <w:highlight w:val="none"/>
              </w:rPr>
              <w:t>采购代理机构经办人将查询网页打印、签字并存档备查。</w:t>
            </w:r>
            <w:r>
              <w:rPr>
                <w:rFonts w:hint="eastAsia" w:asciiTheme="minorEastAsia" w:hAnsiTheme="minorEastAsia" w:eastAsiaTheme="minorEastAsia" w:cstheme="minorEastAsia"/>
                <w:color w:val="auto"/>
                <w:kern w:val="2"/>
                <w:sz w:val="21"/>
                <w:szCs w:val="21"/>
                <w:highlight w:val="none"/>
              </w:rPr>
              <w:t>投标人</w:t>
            </w:r>
            <w:r>
              <w:rPr>
                <w:rFonts w:hint="eastAsia" w:asciiTheme="minorEastAsia" w:hAnsiTheme="minorEastAsia" w:eastAsiaTheme="minorEastAsia" w:cstheme="minorEastAsia"/>
                <w:color w:val="auto"/>
                <w:kern w:val="28"/>
                <w:sz w:val="21"/>
                <w:szCs w:val="21"/>
                <w:highlight w:val="none"/>
              </w:rPr>
              <w:t>信用记录以采购代理机构查询结果为准，在本招标文件规定的查询时间之后，网站信息发生的任何变更均不再作为评审依据，</w:t>
            </w:r>
            <w:r>
              <w:rPr>
                <w:rFonts w:hint="eastAsia" w:asciiTheme="minorEastAsia" w:hAnsiTheme="minorEastAsia" w:eastAsiaTheme="minorEastAsia" w:cstheme="minorEastAsia"/>
                <w:color w:val="auto"/>
                <w:kern w:val="2"/>
                <w:sz w:val="21"/>
                <w:szCs w:val="21"/>
                <w:highlight w:val="none"/>
              </w:rPr>
              <w:t>投标人</w:t>
            </w:r>
            <w:r>
              <w:rPr>
                <w:rFonts w:hint="eastAsia" w:asciiTheme="minorEastAsia" w:hAnsiTheme="minorEastAsia" w:eastAsiaTheme="minorEastAsia" w:cstheme="minorEastAsia"/>
                <w:color w:val="auto"/>
                <w:kern w:val="28"/>
                <w:sz w:val="21"/>
                <w:szCs w:val="21"/>
                <w:highlight w:val="none"/>
              </w:rPr>
              <w:t>自行提供的与网站信息不一致的其他证明材料亦不作为评审依据。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6）法律、行政法规规定的其他条件</w:t>
            </w:r>
          </w:p>
        </w:tc>
        <w:tc>
          <w:tcPr>
            <w:tcW w:w="5812" w:type="dxa"/>
            <w:vAlign w:val="center"/>
          </w:tcPr>
          <w:p>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w:t>
            </w:r>
          </w:p>
        </w:tc>
        <w:tc>
          <w:tcPr>
            <w:tcW w:w="2835" w:type="dxa"/>
            <w:gridSpan w:val="2"/>
            <w:vAlign w:val="center"/>
          </w:tcPr>
          <w:p>
            <w:pPr>
              <w:snapToGrid w:val="0"/>
              <w:spacing w:line="3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特定资格条件</w:t>
            </w:r>
          </w:p>
        </w:tc>
        <w:tc>
          <w:tcPr>
            <w:tcW w:w="5812" w:type="dxa"/>
            <w:vAlign w:val="center"/>
          </w:tcPr>
          <w:p>
            <w:pPr>
              <w:spacing w:line="3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进口产品须提供生产制造商的经销授权函或具有授权权限的代理商的授权函，且需提供该代理商具有有效授权权限的相关证明文件，证明文件需能显示产品制造厂家对投标产品授权链条的完整性（进口产品制造商参与投标的，不需要提供该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w:t>
            </w:r>
          </w:p>
        </w:tc>
        <w:tc>
          <w:tcPr>
            <w:tcW w:w="2835" w:type="dxa"/>
            <w:gridSpan w:val="2"/>
            <w:vAlign w:val="center"/>
          </w:tcPr>
          <w:p>
            <w:pPr>
              <w:snapToGrid w:val="0"/>
              <w:spacing w:line="36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其它</w:t>
            </w:r>
          </w:p>
        </w:tc>
        <w:tc>
          <w:tcPr>
            <w:tcW w:w="5812" w:type="dxa"/>
            <w:vAlign w:val="center"/>
          </w:tcPr>
          <w:p>
            <w:pPr>
              <w:snapToGrid w:val="0"/>
              <w:spacing w:line="36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lang w:val="zh-CN"/>
              </w:rPr>
              <w:t>不存在本招标文件规定的资格审查不合格的其他情形。</w:t>
            </w:r>
          </w:p>
        </w:tc>
      </w:tr>
    </w:tbl>
    <w:p>
      <w:pPr>
        <w:snapToGrid w:val="0"/>
        <w:spacing w:line="360" w:lineRule="exact"/>
        <w:ind w:firstLine="420" w:firstLineChars="200"/>
        <w:jc w:val="both"/>
        <w:textAlignment w:val="auto"/>
        <w:rPr>
          <w:rFonts w:asciiTheme="minorEastAsia" w:hAnsiTheme="minorEastAsia" w:eastAsiaTheme="minorEastAsia" w:cstheme="minorEastAsia"/>
          <w:color w:val="auto"/>
          <w:sz w:val="21"/>
          <w:szCs w:val="21"/>
          <w:highlight w:val="none"/>
        </w:rPr>
      </w:pPr>
      <w:bookmarkStart w:id="73" w:name="OLE_LINK4"/>
      <w:bookmarkStart w:id="74" w:name="OLE_LINK3"/>
      <w:r>
        <w:rPr>
          <w:rFonts w:hint="eastAsia" w:asciiTheme="minorEastAsia" w:hAnsiTheme="minorEastAsia" w:eastAsiaTheme="minorEastAsia" w:cstheme="minorEastAsia"/>
          <w:color w:val="auto"/>
          <w:sz w:val="21"/>
          <w:szCs w:val="21"/>
          <w:highlight w:val="none"/>
        </w:rPr>
        <w:t>注：</w:t>
      </w:r>
      <w:bookmarkEnd w:id="73"/>
      <w:bookmarkEnd w:id="74"/>
      <w:r>
        <w:rPr>
          <w:rFonts w:hint="eastAsia" w:asciiTheme="minorEastAsia" w:hAnsiTheme="minorEastAsia" w:eastAsiaTheme="minorEastAsia" w:cstheme="minorEastAsia"/>
          <w:color w:val="auto"/>
          <w:sz w:val="21"/>
          <w:szCs w:val="21"/>
          <w:highlight w:val="none"/>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号）”执行。投标人可于投标截止日期前通过 “信用中国”网站(www.creditchina.gov.cn)、"中国政府采购网"(www.ccgp.gov.cn)等渠道查询信用记录。</w:t>
      </w:r>
    </w:p>
    <w:p>
      <w:pPr>
        <w:snapToGrid w:val="0"/>
        <w:spacing w:line="360" w:lineRule="exact"/>
        <w:ind w:firstLine="422" w:firstLineChars="20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特别说明：</w:t>
      </w:r>
    </w:p>
    <w:p>
      <w:pPr>
        <w:snapToGrid w:val="0"/>
        <w:spacing w:line="360" w:lineRule="exact"/>
        <w:ind w:firstLine="422" w:firstLineChars="20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对未通过资格审查的投标人不得进行符合性审查；合格投标人不足三家的，不得进入符合性审查程序。</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p>
    <w:p>
      <w:pPr>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二、评标阶段</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（一）评标方法：综合评分法</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采用综合评分法进行评标。综合评分法是指投标文件满足招标文件全部实质性要求且按照评审因素的量化指标评审得分最高的供应商为中标候选人的评标方法。投标人总得分为价格、商务、技术等评定因素分别按照相应权重值计算分项得分后相加，满分为102分，其中：2分为政策性加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计算方法如下：</w:t>
      </w:r>
      <w:r>
        <w:rPr>
          <w:rFonts w:hint="eastAsia" w:asciiTheme="minorEastAsia" w:hAnsiTheme="minorEastAsia" w:eastAsiaTheme="minorEastAsia" w:cstheme="minorEastAsia"/>
          <w:color w:val="auto"/>
          <w:sz w:val="21"/>
          <w:szCs w:val="21"/>
          <w:highlight w:val="none"/>
        </w:rPr>
        <w:tab/>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评标总得分＝F1×A1＋F2×A2＋…＋Fn×An+m</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F1，F2，…，Fn分别为除政策性因素外的各项评分因素的汇总得分；m为政策性因素加分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A1，A2，…，An分别为各项评分因素所占的权重(A1＋A2＋…＋An＝1)。</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（二）评标委员会</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评标工作由依法组建的评标委员会完成。评标委员会由采购人代表和评审专家组成，成员人数为五人（含）以上单数。其中，评审专家不少于成员总数的三分之二。</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（三）评标阶段</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评标工作由采购代理机构负责组织，具体评标事务由依法组建的评标委员会负责。评标委员会成员到位后，推举其中一位评审专家担任评审组长，并由评审组长牵头组织本项目评审工作。评标步骤：</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1、投标文件的初审</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（1）评标委员会将审查投标文件是否完整、总体编排是否有序、文件签署是否合格、有无计算上的错误等。</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在初审期间，评标委员会有权要求投标人对其投标文件中含义不明确、对同类问题表述不一致或者有明显文字和计算错误的内容作必要的澄清。投标人的澄清应在评标委员会规定的时间内进行，并不得超出投标文件范围或者改变投标文件的实质性内容。</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评标委员会要求投标人澄清、说明或者更正的，将以 书面形式作出，投标人的澄清、说明或者更正应当由投标文件签署人签字或者加盖单位公章。投标人的澄清、说明文件是投标文件的有效组成部分。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（3）初审中，算术错误按下述原则进行纠正：</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 投标文件中开标一览表（报价表）内容与投标文件中相应内容不一致的，以开标一览表（报价表）内容为准。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 投标文件的大写金额和小写金额不一致的，以大写金额为准；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 单价金额小数点或者百分比有明显错位的，以开标一览表的总价为准，并修改单价；</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④ 总价金额与按单价汇总金额不一致的，以单价金额计算结果为准；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⑤ 对不同文字文本投标文件的解释发生异议的，以中文文本为准；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⑥ 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360" w:lineRule="exact"/>
        <w:ind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评标委员会审查每份投标文件是否实质上响应了招标文件要求（即符合性审查）。实质上响应的投标应该是与招标文件要求的全部主要条款、条件和规格相符，没有重大偏离的投标。评标委员会决定投标文件的响应性只根据投标文件本身的内容，而不寻求外部的证据。但投标有不真实不正确的内容除外。符合性检查资料表如下：</w:t>
      </w:r>
    </w:p>
    <w:p>
      <w:pPr>
        <w:widowControl/>
        <w:spacing w:line="360" w:lineRule="auto"/>
        <w:ind w:firstLine="420" w:firstLineChars="200"/>
        <w:rPr>
          <w:rFonts w:asciiTheme="minorEastAsia" w:hAnsiTheme="minorEastAsia" w:eastAsiaTheme="minorEastAsia" w:cstheme="minorEastAsia"/>
          <w:color w:val="auto"/>
          <w:sz w:val="21"/>
          <w:szCs w:val="21"/>
          <w:highlight w:val="none"/>
        </w:rPr>
      </w:pPr>
    </w:p>
    <w:p>
      <w:pPr>
        <w:snapToGrid w:val="0"/>
        <w:spacing w:line="360" w:lineRule="exact"/>
        <w:ind w:firstLine="422" w:firstLineChars="200"/>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符合性检查资料表</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70"/>
        <w:gridCol w:w="1843"/>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8" w:type="dxa"/>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3413" w:type="dxa"/>
            <w:gridSpan w:val="2"/>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评审因素</w:t>
            </w:r>
          </w:p>
        </w:tc>
        <w:tc>
          <w:tcPr>
            <w:tcW w:w="5245" w:type="dxa"/>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有效性审查</w:t>
            </w:r>
          </w:p>
        </w:tc>
        <w:tc>
          <w:tcPr>
            <w:tcW w:w="1843"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投标文件签署或盖章</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按招标文件“第七篇投标文件格式”要求签署或盖章齐全。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法定代表人（单位负责人）身份证明及授权委托书</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法定代表人（单位负责人）身份证明及授权委托书有效，符合招标文件规定的格式且签章齐全。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投标方案</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lang w:val="zh-CN"/>
              </w:rPr>
              <w:t>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rPr>
              <w:t>报价唯一</w:t>
            </w:r>
          </w:p>
        </w:tc>
        <w:tc>
          <w:tcPr>
            <w:tcW w:w="5245" w:type="dxa"/>
            <w:vAlign w:val="center"/>
          </w:tcPr>
          <w:p>
            <w:pP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投标报价是固定价且唯一，无缺漏项，未提交选择性报价，且投标价未超过采购预算或最高限价。</w:t>
            </w:r>
          </w:p>
          <w:p>
            <w:pP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Pr>
                <w:rFonts w:hint="eastAsia" w:asciiTheme="minorEastAsia" w:hAnsiTheme="minorEastAsia" w:eastAsiaTheme="minorEastAsia" w:cstheme="minorEastAsia"/>
                <w:b/>
                <w:bCs/>
                <w:color w:val="auto"/>
                <w:sz w:val="21"/>
                <w:szCs w:val="21"/>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843" w:type="dxa"/>
            <w:vAlign w:val="center"/>
          </w:tcPr>
          <w:p>
            <w:pPr>
              <w:snapToGrid w:val="0"/>
              <w:spacing w:line="360" w:lineRule="exact"/>
              <w:jc w:val="center"/>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其它</w:t>
            </w:r>
          </w:p>
        </w:tc>
        <w:tc>
          <w:tcPr>
            <w:tcW w:w="5245" w:type="dxa"/>
            <w:vAlign w:val="center"/>
          </w:tcPr>
          <w:p>
            <w:pPr>
              <w:snapToGrid w:val="0"/>
              <w:spacing w:line="36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rPr>
              <w:t>投标内容符合国家法律法规及政策文件的相关规定，且没有其它未实质性响应招标文件要求或重大负偏离（无效标情形）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完整性审查</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lang w:val="zh-CN"/>
              </w:rPr>
              <w:t>投标文件份数</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投标文件正、副本数量符合招标文件要求</w:t>
            </w:r>
            <w:r>
              <w:rPr>
                <w:rFonts w:hint="eastAsia" w:asciiTheme="minorEastAsia" w:hAnsiTheme="minorEastAsia" w:eastAsiaTheme="minorEastAsia" w:cstheme="minor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highlight w:val="none"/>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sz w:val="21"/>
                <w:szCs w:val="21"/>
                <w:highlight w:val="none"/>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投标文件内容齐全、无遗漏。</w:t>
            </w:r>
          </w:p>
          <w:p>
            <w:pPr>
              <w:snapToGrid w:val="0"/>
              <w:spacing w:line="360" w:lineRule="exact"/>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投标文件完整，内容无重大错漏，并按要求签署、盖章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1570" w:type="dxa"/>
            <w:vAlign w:val="center"/>
          </w:tcPr>
          <w:p>
            <w:pPr>
              <w:spacing w:line="240" w:lineRule="exact"/>
              <w:jc w:val="center"/>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sz w:val="21"/>
                <w:szCs w:val="21"/>
                <w:highlight w:val="none"/>
              </w:rPr>
              <w:t>技术部分</w:t>
            </w:r>
          </w:p>
        </w:tc>
        <w:tc>
          <w:tcPr>
            <w:tcW w:w="1843" w:type="dxa"/>
            <w:vAlign w:val="center"/>
          </w:tcPr>
          <w:p>
            <w:pPr>
              <w:spacing w:line="2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技术部分已响应。技术部分未达无效投标情况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Align w:val="center"/>
          </w:tcPr>
          <w:p>
            <w:pPr>
              <w:spacing w:line="2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商务部分</w:t>
            </w:r>
          </w:p>
        </w:tc>
        <w:tc>
          <w:tcPr>
            <w:tcW w:w="1843" w:type="dxa"/>
            <w:vAlign w:val="center"/>
          </w:tcPr>
          <w:p>
            <w:pPr>
              <w:spacing w:line="2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rPr>
              <w:t>对第三篇、第六篇规定的内容作出响应，</w:t>
            </w:r>
            <w:r>
              <w:rPr>
                <w:rFonts w:hint="eastAsia" w:asciiTheme="minorEastAsia" w:hAnsiTheme="minorEastAsia" w:eastAsiaTheme="minorEastAsia" w:cstheme="minorEastAsia"/>
                <w:b/>
                <w:bCs/>
                <w:color w:val="auto"/>
                <w:sz w:val="21"/>
                <w:szCs w:val="21"/>
                <w:highlight w:val="none"/>
              </w:rPr>
              <w:t>其中“</w:t>
            </w: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bCs/>
                <w:color w:val="auto"/>
                <w:sz w:val="21"/>
                <w:szCs w:val="21"/>
                <w:highlight w:val="none"/>
              </w:rPr>
              <w:t>”标注条款为实质性要求，一条不满足的，为无效标。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投标有效期</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投标有效期为投标截止日期后90日历天。</w:t>
            </w:r>
          </w:p>
        </w:tc>
      </w:tr>
    </w:tbl>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bookmarkStart w:id="75" w:name="OLE_LINK52"/>
      <w:bookmarkStart w:id="76" w:name="OLE_LINK43"/>
      <w:bookmarkStart w:id="77" w:name="OLE_LINK53"/>
      <w:bookmarkStart w:id="78" w:name="OLE_LINK44"/>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根据符合性审查的情况，符合性审查合格的投标文件才参与评标，符合性审查合格投标人不足3家的，不得再进行评标。本项目不符合法定废标情形的前提下，评标委员会进入第二阶段评标工作：对技术、商务及价格的详细评审。</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②复核后，评审组长汇总计算每个投标人的得分。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pPr>
        <w:autoSpaceDE w:val="0"/>
        <w:autoSpaceDN w:val="0"/>
        <w:spacing w:line="3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在确定顺序过程中，若多家投标人提供的</w:t>
      </w:r>
      <w:r>
        <w:rPr>
          <w:rFonts w:hint="eastAsia" w:asciiTheme="minorEastAsia" w:hAnsiTheme="minorEastAsia" w:eastAsiaTheme="minorEastAsia" w:cstheme="minorEastAsia"/>
          <w:b/>
          <w:color w:val="auto"/>
          <w:sz w:val="21"/>
          <w:szCs w:val="21"/>
          <w:highlight w:val="none"/>
        </w:rPr>
        <w:t>核心产品（本项目的核心产品是</w:t>
      </w:r>
      <w:r>
        <w:rPr>
          <w:rFonts w:hint="eastAsia" w:asciiTheme="minorEastAsia" w:hAnsiTheme="minorEastAsia" w:eastAsiaTheme="minorEastAsia" w:cstheme="minorEastAsia"/>
          <w:b/>
          <w:color w:val="auto"/>
          <w:sz w:val="21"/>
          <w:szCs w:val="21"/>
          <w:highlight w:val="none"/>
        </w:rPr>
        <w:t>氧化亚氮同位素分析仪</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color w:val="auto"/>
          <w:sz w:val="21"/>
          <w:szCs w:val="21"/>
          <w:highlight w:val="none"/>
        </w:rPr>
        <w:t>品牌相同且均通过资格审查和符合性审查的，按一家投标人计算，评审后得分最高的投标人将获得中标人推荐资格；评审得分相同的，将技术最优者确定为中标人推荐资格获得者；评审得分和技术均相同的，将报价最低者确定为中标人推荐资格获得者；评审得分和技术、报价均相同的，将商务条款最优者确定为中标人推荐资格获得者；评标总得分、技术分、价格和商务均相同的，由评标委员会讨论后按照少数服从多数原则确定中标人推荐资格获得者，其余提供相同品牌产品的投标人不作为中标候选人。</w:t>
      </w:r>
    </w:p>
    <w:p>
      <w:pPr>
        <w:spacing w:line="360" w:lineRule="exact"/>
        <w:ind w:firstLine="531" w:firstLineChars="253"/>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3．评标委员会写出评标报告，将推荐的中标候选人报招标人确认。</w:t>
      </w:r>
      <w:bookmarkEnd w:id="75"/>
      <w:bookmarkEnd w:id="76"/>
      <w:bookmarkEnd w:id="77"/>
      <w:bookmarkEnd w:id="78"/>
    </w:p>
    <w:p>
      <w:pPr>
        <w:tabs>
          <w:tab w:val="left" w:pos="2370"/>
        </w:tabs>
        <w:snapToGrid w:val="0"/>
        <w:spacing w:before="120" w:beforeLines="50" w:line="360" w:lineRule="auto"/>
        <w:ind w:firstLine="422" w:firstLineChars="200"/>
        <w:rPr>
          <w:color w:val="auto"/>
          <w:highlight w:val="none"/>
        </w:rPr>
      </w:pPr>
      <w:r>
        <w:rPr>
          <w:rFonts w:hint="eastAsia" w:asciiTheme="minorEastAsia" w:hAnsiTheme="minorEastAsia" w:eastAsiaTheme="minorEastAsia" w:cstheme="minorEastAsia"/>
          <w:b/>
          <w:color w:val="auto"/>
          <w:sz w:val="21"/>
          <w:szCs w:val="21"/>
          <w:highlight w:val="none"/>
        </w:rPr>
        <w:t>三、评标标准</w:t>
      </w:r>
    </w:p>
    <w:tbl>
      <w:tblPr>
        <w:tblStyle w:val="24"/>
        <w:tblW w:w="9818"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992"/>
        <w:gridCol w:w="851"/>
        <w:gridCol w:w="7512"/>
      </w:tblGrid>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bookmarkStart w:id="79" w:name="_Hlk139574951"/>
            <w:r>
              <w:rPr>
                <w:rFonts w:hint="eastAsia" w:asciiTheme="minorEastAsia" w:hAnsiTheme="minorEastAsia" w:eastAsiaTheme="minorEastAsia" w:cstheme="minorEastAsia"/>
                <w:color w:val="auto"/>
                <w:sz w:val="18"/>
                <w:szCs w:val="18"/>
                <w:highlight w:val="none"/>
              </w:rPr>
              <w:t>序号</w:t>
            </w:r>
          </w:p>
        </w:tc>
        <w:tc>
          <w:tcPr>
            <w:tcW w:w="992"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评分因素</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及权重</w:t>
            </w:r>
          </w:p>
        </w:tc>
        <w:tc>
          <w:tcPr>
            <w:tcW w:w="851"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分值</w:t>
            </w:r>
          </w:p>
        </w:tc>
        <w:tc>
          <w:tcPr>
            <w:tcW w:w="7512"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评分标准</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992"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报价</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w:t>
            </w:r>
            <w:r>
              <w:rPr>
                <w:rFonts w:hint="eastAsia" w:asciiTheme="minorEastAsia" w:hAnsiTheme="minorEastAsia" w:eastAsiaTheme="minorEastAsia" w:cstheme="minorEastAsia"/>
                <w:color w:val="auto"/>
                <w:sz w:val="18"/>
                <w:szCs w:val="18"/>
                <w:highlight w:val="none"/>
                <w:lang w:val="en-US" w:eastAsia="zh-CN"/>
              </w:rPr>
              <w:t>40</w:t>
            </w:r>
            <w:r>
              <w:rPr>
                <w:rFonts w:hint="eastAsia" w:asciiTheme="minorEastAsia" w:hAnsiTheme="minorEastAsia" w:eastAsiaTheme="minorEastAsia" w:cstheme="minorEastAsia"/>
                <w:color w:val="auto"/>
                <w:sz w:val="18"/>
                <w:szCs w:val="18"/>
                <w:highlight w:val="none"/>
              </w:rPr>
              <w:t>%）</w:t>
            </w:r>
          </w:p>
        </w:tc>
        <w:tc>
          <w:tcPr>
            <w:tcW w:w="851" w:type="dxa"/>
            <w:vAlign w:val="center"/>
          </w:tcPr>
          <w:p>
            <w:pPr>
              <w:spacing w:line="320" w:lineRule="exact"/>
              <w:ind w:firstLine="28"/>
              <w:jc w:val="center"/>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40</w:t>
            </w:r>
          </w:p>
        </w:tc>
        <w:tc>
          <w:tcPr>
            <w:tcW w:w="7512" w:type="dxa"/>
            <w:vAlign w:val="center"/>
          </w:tcPr>
          <w:p>
            <w:pPr>
              <w:spacing w:line="400" w:lineRule="exact"/>
              <w:ind w:firstLine="381" w:firstLineChars="212"/>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报价得分＝（评标基准价/投标报价）×价格权值×100</w:t>
            </w:r>
          </w:p>
          <w:p>
            <w:pPr>
              <w:spacing w:line="400" w:lineRule="exact"/>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注：1.满足招标文件实质要求且最低的投标报价为评标基准价。</w:t>
            </w:r>
          </w:p>
          <w:p>
            <w:pPr>
              <w:spacing w:line="400" w:lineRule="exact"/>
              <w:ind w:firstLine="381" w:firstLineChars="212"/>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关境外货物的评审价格，均按货物到达西南大学的人民币价格进行评审。CIP西南大学项目现场外币价/DAP西南大学项目现场外币价/DDP西南大学项目现场价格外币价，将分别按照开标当日中国银行总行首次发布的外币对人民币现钞卖出价的102%/101.5%/100%进行测算（若所投币种为人民币，则直接按上述对应系数进行折算）。</w:t>
            </w:r>
          </w:p>
          <w:p>
            <w:pPr>
              <w:spacing w:line="400" w:lineRule="exact"/>
              <w:ind w:firstLine="381" w:firstLineChars="212"/>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3.</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18"/>
                <w:szCs w:val="18"/>
                <w:highlight w:val="none"/>
              </w:rPr>
              <w:t>本项目非专门面向中小企业采购项目。根据财政部、工业和信息化部制定的《政府采购促进中小企业发展暂行办法》，如投标货物均为小型或微型企业制造的产品（须提供《中小企业声明函》），可在上述价格评分中，对投标价格</w:t>
            </w:r>
            <w:r>
              <w:rPr>
                <w:rFonts w:hint="eastAsia" w:asciiTheme="minorEastAsia" w:hAnsiTheme="minorEastAsia" w:eastAsiaTheme="minorEastAsia" w:cstheme="minorEastAsia"/>
                <w:color w:val="auto"/>
                <w:sz w:val="18"/>
                <w:szCs w:val="18"/>
                <w:highlight w:val="none"/>
              </w:rPr>
              <w:t>给予</w:t>
            </w:r>
            <w:r>
              <w:rPr>
                <w:rFonts w:hint="eastAsia" w:asciiTheme="minorEastAsia" w:hAnsiTheme="minorEastAsia" w:eastAsiaTheme="minorEastAsia" w:cstheme="minorEastAsia"/>
                <w:color w:val="auto"/>
                <w:sz w:val="18"/>
                <w:szCs w:val="18"/>
                <w:highlight w:val="none"/>
                <w:lang w:val="en-US" w:eastAsia="zh-CN"/>
              </w:rPr>
              <w:t>10</w:t>
            </w:r>
            <w:r>
              <w:rPr>
                <w:rFonts w:hint="eastAsia" w:asciiTheme="minorEastAsia" w:hAnsiTheme="minorEastAsia" w:eastAsiaTheme="minorEastAsia" w:cstheme="minorEastAsia"/>
                <w:color w:val="auto"/>
                <w:sz w:val="18"/>
                <w:szCs w:val="18"/>
                <w:highlight w:val="none"/>
              </w:rPr>
              <w:t>%的</w:t>
            </w:r>
            <w:r>
              <w:rPr>
                <w:rFonts w:hint="eastAsia" w:asciiTheme="minorEastAsia" w:hAnsiTheme="minorEastAsia" w:eastAsiaTheme="minorEastAsia" w:cstheme="minorEastAsia"/>
                <w:color w:val="auto"/>
                <w:sz w:val="18"/>
                <w:szCs w:val="18"/>
                <w:highlight w:val="none"/>
              </w:rPr>
              <w:t>扣除，并用扣除后的价格计算价格得分。</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w:t>
            </w:r>
          </w:p>
        </w:tc>
        <w:tc>
          <w:tcPr>
            <w:tcW w:w="992" w:type="dxa"/>
            <w:vMerge w:val="restart"/>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技术部分</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w:t>
            </w:r>
            <w:r>
              <w:rPr>
                <w:rFonts w:hint="eastAsia" w:asciiTheme="minorEastAsia" w:hAnsiTheme="minorEastAsia" w:eastAsiaTheme="minorEastAsia" w:cstheme="minorEastAsia"/>
                <w:color w:val="auto"/>
                <w:sz w:val="18"/>
                <w:szCs w:val="18"/>
                <w:highlight w:val="none"/>
                <w:lang w:val="en-US" w:eastAsia="zh-CN"/>
              </w:rPr>
              <w:t>52</w:t>
            </w:r>
            <w:r>
              <w:rPr>
                <w:rFonts w:hint="eastAsia" w:asciiTheme="minorEastAsia" w:hAnsiTheme="minorEastAsia" w:eastAsiaTheme="minorEastAsia" w:cstheme="minorEastAsia"/>
                <w:color w:val="auto"/>
                <w:sz w:val="18"/>
                <w:szCs w:val="18"/>
                <w:highlight w:val="none"/>
              </w:rPr>
              <w:t>%）</w:t>
            </w:r>
          </w:p>
          <w:p>
            <w:pPr>
              <w:spacing w:line="320" w:lineRule="exact"/>
              <w:ind w:firstLine="28"/>
              <w:jc w:val="center"/>
              <w:rPr>
                <w:rFonts w:asciiTheme="minorEastAsia" w:hAnsiTheme="minorEastAsia" w:eastAsiaTheme="minorEastAsia" w:cstheme="minorEastAsia"/>
                <w:color w:val="auto"/>
                <w:sz w:val="18"/>
                <w:szCs w:val="18"/>
                <w:highlight w:val="none"/>
              </w:rPr>
            </w:pPr>
          </w:p>
          <w:p>
            <w:pPr>
              <w:spacing w:line="320" w:lineRule="exact"/>
              <w:ind w:firstLine="28"/>
              <w:jc w:val="center"/>
              <w:rPr>
                <w:rFonts w:asciiTheme="minorEastAsia" w:hAnsiTheme="minorEastAsia" w:eastAsiaTheme="minorEastAsia" w:cstheme="minorEastAsia"/>
                <w:color w:val="auto"/>
                <w:sz w:val="18"/>
                <w:szCs w:val="18"/>
                <w:highlight w:val="none"/>
              </w:rPr>
            </w:pPr>
          </w:p>
          <w:p>
            <w:pPr>
              <w:spacing w:line="320" w:lineRule="exact"/>
              <w:ind w:firstLine="28"/>
              <w:jc w:val="center"/>
              <w:rPr>
                <w:rFonts w:asciiTheme="minorEastAsia" w:hAnsiTheme="minorEastAsia" w:eastAsiaTheme="minorEastAsia" w:cstheme="minorEastAsia"/>
                <w:color w:val="auto"/>
                <w:sz w:val="18"/>
                <w:szCs w:val="18"/>
                <w:highlight w:val="none"/>
              </w:rPr>
            </w:pPr>
          </w:p>
          <w:p>
            <w:pPr>
              <w:spacing w:line="320" w:lineRule="exact"/>
              <w:ind w:firstLine="28"/>
              <w:jc w:val="center"/>
              <w:rPr>
                <w:rFonts w:asciiTheme="minorEastAsia" w:hAnsiTheme="minorEastAsia" w:eastAsiaTheme="minorEastAsia" w:cstheme="minorEastAsia"/>
                <w:color w:val="auto"/>
                <w:sz w:val="18"/>
                <w:szCs w:val="18"/>
                <w:highlight w:val="none"/>
              </w:rPr>
            </w:pPr>
          </w:p>
          <w:p>
            <w:pPr>
              <w:pStyle w:val="7"/>
              <w:rPr>
                <w:color w:val="auto"/>
                <w:highlight w:val="none"/>
              </w:rPr>
            </w:pPr>
          </w:p>
        </w:tc>
        <w:tc>
          <w:tcPr>
            <w:tcW w:w="851" w:type="dxa"/>
            <w:vMerge w:val="restart"/>
            <w:vAlign w:val="center"/>
          </w:tcPr>
          <w:p>
            <w:pPr>
              <w:spacing w:line="320" w:lineRule="exact"/>
              <w:ind w:firstLine="28"/>
              <w:jc w:val="center"/>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52</w:t>
            </w:r>
          </w:p>
        </w:tc>
        <w:tc>
          <w:tcPr>
            <w:tcW w:w="7512" w:type="dxa"/>
            <w:vAlign w:val="center"/>
          </w:tcPr>
          <w:p>
            <w:pPr>
              <w:pStyle w:val="31"/>
              <w:spacing w:line="400" w:lineRule="exact"/>
              <w:ind w:left="28" w:firstLine="360"/>
              <w:jc w:val="left"/>
              <w:rPr>
                <w:color w:val="auto"/>
                <w:highlight w:val="none"/>
              </w:rPr>
            </w:pPr>
            <w:r>
              <w:rPr>
                <w:rFonts w:hint="eastAsia" w:asciiTheme="minorEastAsia" w:hAnsiTheme="minorEastAsia" w:eastAsiaTheme="minorEastAsia" w:cstheme="minorEastAsia"/>
                <w:color w:val="auto"/>
                <w:kern w:val="0"/>
                <w:sz w:val="18"/>
                <w:szCs w:val="18"/>
                <w:highlight w:val="none"/>
                <w:lang w:val="en-US" w:eastAsia="zh-CN" w:bidi="ar-SA"/>
              </w:rPr>
              <w:t>1.起评分：有效投标人起评分为42分。评委根据技术指标的偏离情况按以下标准进行评审。</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463" w:type="dxa"/>
            <w:vMerge w:val="continue"/>
            <w:tcBorders>
              <w:left w:val="single" w:color="auto" w:sz="4" w:space="0"/>
            </w:tcBorders>
            <w:vAlign w:val="center"/>
          </w:tcPr>
          <w:p>
            <w:pPr>
              <w:spacing w:line="320" w:lineRule="exact"/>
              <w:ind w:firstLine="28"/>
              <w:jc w:val="center"/>
              <w:rPr>
                <w:rFonts w:hint="eastAsia" w:asciiTheme="minorEastAsia" w:hAnsiTheme="minorEastAsia" w:eastAsiaTheme="minorEastAsia" w:cstheme="minorEastAsia"/>
                <w:color w:val="auto"/>
                <w:sz w:val="18"/>
                <w:szCs w:val="18"/>
                <w:highlight w:val="none"/>
              </w:rPr>
            </w:pPr>
          </w:p>
        </w:tc>
        <w:tc>
          <w:tcPr>
            <w:tcW w:w="992" w:type="dxa"/>
            <w:vMerge w:val="continue"/>
            <w:vAlign w:val="center"/>
          </w:tcPr>
          <w:p>
            <w:pPr>
              <w:pStyle w:val="7"/>
              <w:rPr>
                <w:color w:val="auto"/>
                <w:highlight w:val="none"/>
              </w:rPr>
            </w:pPr>
          </w:p>
        </w:tc>
        <w:tc>
          <w:tcPr>
            <w:tcW w:w="851" w:type="dxa"/>
            <w:vMerge w:val="continue"/>
            <w:vAlign w:val="center"/>
          </w:tcPr>
          <w:p>
            <w:pPr>
              <w:spacing w:line="320" w:lineRule="exact"/>
              <w:ind w:firstLine="28"/>
              <w:jc w:val="center"/>
              <w:rPr>
                <w:rFonts w:hint="eastAsia" w:asciiTheme="minorEastAsia" w:hAnsiTheme="minorEastAsia" w:eastAsiaTheme="minorEastAsia" w:cstheme="minorEastAsia"/>
                <w:color w:val="auto"/>
                <w:sz w:val="18"/>
                <w:szCs w:val="18"/>
                <w:highlight w:val="none"/>
                <w:lang w:val="en-US" w:eastAsia="zh-CN"/>
              </w:rPr>
            </w:pPr>
          </w:p>
        </w:tc>
        <w:tc>
          <w:tcPr>
            <w:tcW w:w="7512" w:type="dxa"/>
            <w:vAlign w:val="center"/>
          </w:tcPr>
          <w:p>
            <w:pPr>
              <w:pStyle w:val="31"/>
              <w:spacing w:line="400" w:lineRule="exact"/>
              <w:ind w:left="28" w:firstLine="360"/>
              <w:jc w:val="left"/>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 扣分条款</w:t>
            </w:r>
          </w:p>
          <w:p>
            <w:pPr>
              <w:spacing w:line="400" w:lineRule="exact"/>
              <w:ind w:firstLine="360" w:firstLineChars="200"/>
              <w:jc w:val="lef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2.1 招标文件第二篇中“</w:t>
            </w:r>
            <w:r>
              <w:rPr>
                <w:rFonts w:hint="eastAsia" w:asciiTheme="minorEastAsia" w:hAnsiTheme="minorEastAsia" w:eastAsiaTheme="minorEastAsia" w:cstheme="minorEastAsia"/>
                <w:b/>
                <w:color w:val="auto"/>
                <w:sz w:val="22"/>
                <w:szCs w:val="22"/>
                <w:highlight w:val="none"/>
              </w:rPr>
              <w:t>*</w:t>
            </w:r>
            <w:r>
              <w:rPr>
                <w:rFonts w:hint="eastAsia" w:asciiTheme="minorEastAsia" w:hAnsiTheme="minorEastAsia" w:eastAsiaTheme="minorEastAsia" w:cstheme="minorEastAsia"/>
                <w:color w:val="auto"/>
                <w:sz w:val="18"/>
                <w:szCs w:val="18"/>
                <w:highlight w:val="none"/>
              </w:rPr>
              <w:t>”标注内容为实质性要求</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w:t>
            </w:r>
            <w:r>
              <w:rPr>
                <w:rFonts w:hint="eastAsia" w:asciiTheme="minorEastAsia" w:hAnsiTheme="minorEastAsia" w:eastAsiaTheme="minorEastAsia" w:cstheme="minorEastAsia"/>
                <w:b/>
                <w:color w:val="auto"/>
                <w:sz w:val="22"/>
                <w:szCs w:val="22"/>
                <w:highlight w:val="none"/>
              </w:rPr>
              <w:t>*</w:t>
            </w:r>
            <w:r>
              <w:rPr>
                <w:rFonts w:hint="eastAsia" w:asciiTheme="minorEastAsia" w:hAnsiTheme="minorEastAsia" w:eastAsiaTheme="minorEastAsia" w:cstheme="minorEastAsia"/>
                <w:color w:val="auto"/>
                <w:sz w:val="18"/>
                <w:szCs w:val="18"/>
                <w:highlight w:val="none"/>
              </w:rPr>
              <w:t>”标注内容有一条达不到要求的，技术部分得0分。</w:t>
            </w:r>
          </w:p>
          <w:p>
            <w:pPr>
              <w:spacing w:line="400" w:lineRule="exact"/>
              <w:ind w:firstLine="360" w:firstLineChars="200"/>
              <w:rPr>
                <w:color w:val="auto"/>
                <w:highlight w:val="none"/>
              </w:rPr>
            </w:pPr>
            <w:r>
              <w:rPr>
                <w:rFonts w:hint="eastAsia" w:asciiTheme="minorEastAsia" w:hAnsiTheme="minorEastAsia" w:eastAsiaTheme="minorEastAsia" w:cstheme="minorEastAsia"/>
                <w:color w:val="auto"/>
                <w:sz w:val="18"/>
                <w:szCs w:val="18"/>
                <w:highlight w:val="none"/>
              </w:rPr>
              <w:t>2.2 一般性技术要求【本招标文件第二篇技术参数中非</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b/>
                <w:color w:val="auto"/>
                <w:sz w:val="22"/>
                <w:szCs w:val="22"/>
                <w:highlight w:val="none"/>
              </w:rPr>
              <w:t>*</w:t>
            </w:r>
            <w:r>
              <w:rPr>
                <w:rFonts w:hint="eastAsia" w:asciiTheme="minorEastAsia" w:hAnsiTheme="minorEastAsia" w:eastAsiaTheme="minorEastAsia" w:cstheme="minorEastAsia"/>
                <w:color w:val="auto"/>
                <w:sz w:val="18"/>
                <w:szCs w:val="18"/>
                <w:highlight w:val="none"/>
              </w:rPr>
              <w:t>”标注的部分】达不到招标文件要求的，每负偏离一条从起评分中扣4分，有5条及以上负偏离的，技术部分得0分。</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463" w:type="dxa"/>
            <w:vMerge w:val="continue"/>
            <w:tcBorders>
              <w:left w:val="single" w:color="auto" w:sz="4" w:space="0"/>
            </w:tcBorders>
            <w:vAlign w:val="center"/>
          </w:tcPr>
          <w:p>
            <w:pPr>
              <w:spacing w:line="320" w:lineRule="exact"/>
              <w:ind w:firstLine="28"/>
              <w:jc w:val="center"/>
              <w:rPr>
                <w:rFonts w:hint="eastAsia" w:asciiTheme="minorEastAsia" w:hAnsiTheme="minorEastAsia" w:eastAsiaTheme="minorEastAsia" w:cstheme="minorEastAsia"/>
                <w:color w:val="auto"/>
                <w:sz w:val="18"/>
                <w:szCs w:val="18"/>
                <w:highlight w:val="none"/>
              </w:rPr>
            </w:pPr>
          </w:p>
        </w:tc>
        <w:tc>
          <w:tcPr>
            <w:tcW w:w="992" w:type="dxa"/>
            <w:vMerge w:val="continue"/>
            <w:vAlign w:val="center"/>
          </w:tcPr>
          <w:p>
            <w:pPr>
              <w:pStyle w:val="7"/>
              <w:rPr>
                <w:color w:val="auto"/>
                <w:highlight w:val="none"/>
              </w:rPr>
            </w:pPr>
          </w:p>
        </w:tc>
        <w:tc>
          <w:tcPr>
            <w:tcW w:w="851" w:type="dxa"/>
            <w:vMerge w:val="continue"/>
            <w:vAlign w:val="center"/>
          </w:tcPr>
          <w:p>
            <w:pPr>
              <w:spacing w:line="320" w:lineRule="exact"/>
              <w:ind w:firstLine="28"/>
              <w:jc w:val="center"/>
              <w:rPr>
                <w:rFonts w:hint="eastAsia" w:asciiTheme="minorEastAsia" w:hAnsiTheme="minorEastAsia" w:eastAsiaTheme="minorEastAsia" w:cstheme="minorEastAsia"/>
                <w:color w:val="auto"/>
                <w:sz w:val="18"/>
                <w:szCs w:val="18"/>
                <w:highlight w:val="none"/>
                <w:lang w:val="en-US" w:eastAsia="zh-CN"/>
              </w:rPr>
            </w:pPr>
          </w:p>
        </w:tc>
        <w:tc>
          <w:tcPr>
            <w:tcW w:w="7512" w:type="dxa"/>
            <w:vAlign w:val="center"/>
          </w:tcPr>
          <w:p>
            <w:pPr>
              <w:spacing w:line="400" w:lineRule="exact"/>
              <w:ind w:firstLine="360" w:firstLineChars="200"/>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3.加分条款（共10分）</w:t>
            </w:r>
          </w:p>
          <w:p>
            <w:pPr>
              <w:spacing w:line="400" w:lineRule="exact"/>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3.1满足本</w:t>
            </w:r>
            <w:r>
              <w:rPr>
                <w:rFonts w:hint="eastAsia" w:ascii="宋体" w:hAnsi="宋体" w:eastAsia="宋体" w:cs="宋体"/>
                <w:color w:val="auto"/>
                <w:sz w:val="18"/>
                <w:szCs w:val="18"/>
                <w:highlight w:val="none"/>
              </w:rPr>
              <w:t>招标文件第二篇技术参数要求第</w:t>
            </w:r>
            <w:r>
              <w:rPr>
                <w:rFonts w:hint="eastAsia" w:asciiTheme="minorEastAsia" w:hAnsiTheme="minorEastAsia" w:eastAsiaTheme="minorEastAsia" w:cstheme="minorEastAsia"/>
                <w:b/>
                <w:color w:val="auto"/>
                <w:sz w:val="22"/>
                <w:szCs w:val="22"/>
                <w:highlight w:val="none"/>
              </w:rPr>
              <w:t>*</w:t>
            </w:r>
            <w:r>
              <w:rPr>
                <w:rFonts w:hint="eastAsia" w:ascii="宋体" w:hAnsi="宋体" w:eastAsia="宋体" w:cs="宋体"/>
                <w:color w:val="auto"/>
                <w:sz w:val="18"/>
                <w:szCs w:val="18"/>
                <w:highlight w:val="none"/>
              </w:rPr>
              <w:t>1条</w:t>
            </w:r>
            <w:r>
              <w:rPr>
                <w:rFonts w:hint="eastAsia" w:ascii="宋体" w:hAnsi="宋体" w:eastAsia="宋体" w:cs="宋体"/>
                <w:color w:val="auto"/>
                <w:sz w:val="18"/>
                <w:szCs w:val="18"/>
                <w:highlight w:val="none"/>
              </w:rPr>
              <w:t>要求外，采用离轴积分腔输出光谱技术的，加1分；采用精度更高的中红外激光直接吸收技术的，加3分；</w:t>
            </w:r>
          </w:p>
          <w:p>
            <w:pPr>
              <w:spacing w:line="400" w:lineRule="exact"/>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3.2 满足本招标文件第二篇技术参数要求第3条要求的，达到或优于测量精度【（1σ，100sec）：N</w:t>
            </w:r>
            <w:r>
              <w:rPr>
                <w:rFonts w:hint="eastAsia" w:ascii="宋体" w:hAnsi="宋体" w:eastAsia="宋体" w:cs="宋体"/>
                <w:color w:val="auto"/>
                <w:sz w:val="18"/>
                <w:szCs w:val="18"/>
                <w:highlight w:val="none"/>
                <w:vertAlign w:val="subscript"/>
              </w:rPr>
              <w:t>2</w:t>
            </w:r>
            <w:r>
              <w:rPr>
                <w:rFonts w:hint="eastAsia" w:ascii="宋体" w:hAnsi="宋体" w:eastAsia="宋体" w:cs="宋体"/>
                <w:color w:val="auto"/>
                <w:sz w:val="18"/>
                <w:szCs w:val="18"/>
                <w:highlight w:val="none"/>
              </w:rPr>
              <w:t>O：0.01ppb，δ</w:t>
            </w:r>
            <w:r>
              <w:rPr>
                <w:rFonts w:hint="eastAsia" w:ascii="宋体" w:hAnsi="宋体" w:eastAsia="宋体" w:cs="宋体"/>
                <w:color w:val="auto"/>
                <w:sz w:val="18"/>
                <w:szCs w:val="18"/>
                <w:highlight w:val="none"/>
                <w:vertAlign w:val="superscript"/>
              </w:rPr>
              <w:t>18</w:t>
            </w:r>
            <w:r>
              <w:rPr>
                <w:rFonts w:hint="eastAsia" w:ascii="宋体" w:hAnsi="宋体" w:eastAsia="宋体" w:cs="宋体"/>
                <w:color w:val="auto"/>
                <w:sz w:val="18"/>
                <w:szCs w:val="18"/>
                <w:highlight w:val="none"/>
              </w:rPr>
              <w:t>O：2‰，δ</w:t>
            </w:r>
            <w:r>
              <w:rPr>
                <w:rFonts w:hint="eastAsia" w:ascii="宋体" w:hAnsi="宋体" w:eastAsia="宋体" w:cs="宋体"/>
                <w:color w:val="auto"/>
                <w:sz w:val="18"/>
                <w:szCs w:val="18"/>
                <w:highlight w:val="none"/>
                <w:vertAlign w:val="superscript"/>
              </w:rPr>
              <w:t>15</w:t>
            </w:r>
            <w:r>
              <w:rPr>
                <w:rFonts w:hint="eastAsia" w:ascii="宋体" w:hAnsi="宋体" w:eastAsia="宋体" w:cs="宋体"/>
                <w:color w:val="auto"/>
                <w:sz w:val="18"/>
                <w:szCs w:val="18"/>
                <w:highlight w:val="none"/>
              </w:rPr>
              <w:t>Nβ：1‰】的，加3分；</w:t>
            </w:r>
          </w:p>
          <w:p>
            <w:pPr>
              <w:spacing w:line="400" w:lineRule="exact"/>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3.3满足本招标文件第二篇中第</w:t>
            </w:r>
            <w:r>
              <w:rPr>
                <w:rFonts w:hint="eastAsia" w:asciiTheme="minorEastAsia" w:hAnsiTheme="minorEastAsia" w:eastAsiaTheme="minorEastAsia" w:cstheme="minorEastAsia"/>
                <w:b/>
                <w:color w:val="auto"/>
                <w:sz w:val="22"/>
                <w:szCs w:val="22"/>
                <w:highlight w:val="none"/>
              </w:rPr>
              <w:t>*</w:t>
            </w:r>
            <w:r>
              <w:rPr>
                <w:rFonts w:hint="eastAsia" w:ascii="宋体" w:hAnsi="宋体" w:eastAsia="宋体" w:cs="宋体"/>
                <w:color w:val="auto"/>
                <w:sz w:val="18"/>
                <w:szCs w:val="18"/>
                <w:highlight w:val="none"/>
              </w:rPr>
              <w:t>6条技术要求</w:t>
            </w:r>
            <w:r>
              <w:rPr>
                <w:rFonts w:hint="eastAsia" w:ascii="宋体" w:hAnsi="宋体" w:eastAsia="宋体" w:cs="宋体"/>
                <w:color w:val="auto"/>
                <w:sz w:val="18"/>
                <w:szCs w:val="18"/>
                <w:highlight w:val="none"/>
              </w:rPr>
              <w:t>测量速度：达到2Hz的，加2分；&gt; 2Hz的，</w:t>
            </w:r>
            <w:r>
              <w:rPr>
                <w:rFonts w:hint="eastAsia" w:ascii="宋体" w:hAnsi="宋体" w:eastAsia="宋体" w:cs="宋体"/>
                <w:color w:val="auto"/>
                <w:sz w:val="18"/>
                <w:szCs w:val="18"/>
                <w:highlight w:val="none"/>
              </w:rPr>
              <w:t>加4分；</w:t>
            </w:r>
          </w:p>
          <w:p>
            <w:pPr>
              <w:spacing w:line="400" w:lineRule="exact"/>
              <w:ind w:firstLine="360" w:firstLineChars="200"/>
              <w:rPr>
                <w:b/>
                <w:bCs/>
                <w:color w:val="auto"/>
                <w:highlight w:val="none"/>
              </w:rPr>
            </w:pPr>
            <w:r>
              <w:rPr>
                <w:rFonts w:hint="eastAsia" w:ascii="宋体" w:hAnsi="宋体" w:eastAsia="宋体" w:cs="宋体"/>
                <w:color w:val="auto"/>
                <w:sz w:val="18"/>
                <w:szCs w:val="18"/>
                <w:highlight w:val="none"/>
              </w:rPr>
              <w:t>3.4以上总加分不超过10分。</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3</w:t>
            </w:r>
          </w:p>
        </w:tc>
        <w:tc>
          <w:tcPr>
            <w:tcW w:w="992" w:type="dxa"/>
            <w:vMerge w:val="restart"/>
            <w:vAlign w:val="center"/>
          </w:tcPr>
          <w:p>
            <w:pPr>
              <w:spacing w:line="320" w:lineRule="exact"/>
              <w:ind w:firstLine="28"/>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商务部分</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（8%）</w:t>
            </w:r>
          </w:p>
        </w:tc>
        <w:tc>
          <w:tcPr>
            <w:tcW w:w="851" w:type="dxa"/>
            <w:vMerge w:val="restart"/>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8</w:t>
            </w:r>
          </w:p>
        </w:tc>
        <w:tc>
          <w:tcPr>
            <w:tcW w:w="7512" w:type="dxa"/>
            <w:vAlign w:val="center"/>
          </w:tcPr>
          <w:p>
            <w:pPr>
              <w:numPr>
                <w:ilvl w:val="0"/>
                <w:numId w:val="4"/>
              </w:numPr>
              <w:spacing w:line="400" w:lineRule="exact"/>
              <w:ind w:firstLine="361" w:firstLineChars="200"/>
              <w:rPr>
                <w:rFonts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售后服务（3分）</w:t>
            </w:r>
          </w:p>
          <w:p>
            <w:pPr>
              <w:spacing w:line="400" w:lineRule="exact"/>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1.1.对本项目中所有设备，满足2小时电话响应，72小时内上门服务，得1分；</w:t>
            </w:r>
          </w:p>
          <w:p>
            <w:pPr>
              <w:spacing w:line="400" w:lineRule="exact"/>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1.2.对本项目中所有设备，满足2小时电话响应，48小时内上门服务，得2分；</w:t>
            </w:r>
          </w:p>
          <w:p>
            <w:pPr>
              <w:spacing w:line="400" w:lineRule="exact"/>
              <w:ind w:firstLine="360" w:firstLineChars="200"/>
              <w:rPr>
                <w:rFonts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1.3.对本项目中所有设备，满足2小时电话响应，24小时内上门服务，得3分。</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7512" w:type="dxa"/>
            <w:vAlign w:val="center"/>
          </w:tcPr>
          <w:p>
            <w:pPr>
              <w:spacing w:line="400" w:lineRule="exact"/>
              <w:ind w:firstLine="361" w:firstLineChars="200"/>
              <w:rPr>
                <w:rFonts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2．增加质保期限（</w:t>
            </w:r>
            <w:r>
              <w:rPr>
                <w:rFonts w:hint="eastAsia" w:asciiTheme="minorEastAsia" w:hAnsiTheme="minorEastAsia" w:eastAsiaTheme="minorEastAsia" w:cstheme="minorEastAsia"/>
                <w:b/>
                <w:bCs/>
                <w:color w:val="auto"/>
                <w:sz w:val="18"/>
                <w:szCs w:val="18"/>
                <w:highlight w:val="none"/>
                <w:lang w:val="en-US" w:eastAsia="zh-CN"/>
              </w:rPr>
              <w:t>2</w:t>
            </w:r>
            <w:r>
              <w:rPr>
                <w:rFonts w:hint="eastAsia" w:asciiTheme="minorEastAsia" w:hAnsiTheme="minorEastAsia" w:eastAsiaTheme="minorEastAsia" w:cstheme="minorEastAsia"/>
                <w:b/>
                <w:bCs/>
                <w:color w:val="auto"/>
                <w:sz w:val="18"/>
                <w:szCs w:val="18"/>
                <w:highlight w:val="none"/>
              </w:rPr>
              <w:t>分）</w:t>
            </w:r>
          </w:p>
          <w:p>
            <w:pPr>
              <w:spacing w:line="400" w:lineRule="exact"/>
              <w:ind w:firstLine="360" w:firstLineChars="200"/>
              <w:rPr>
                <w:rFonts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满足招标文件要求免费质保一年的前提下，对于本项目中设备，能提供多于一年质保服务的，每增加一年得1分，最多得2分。（免费质保由制造商提供才计算分值，需提供制造商出具的证明）；</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7512" w:type="dxa"/>
            <w:vAlign w:val="center"/>
          </w:tcPr>
          <w:p>
            <w:pPr>
              <w:spacing w:line="400" w:lineRule="exact"/>
              <w:ind w:firstLine="361" w:firstLineChars="200"/>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3. 培训服务（</w:t>
            </w:r>
            <w:r>
              <w:rPr>
                <w:rFonts w:hint="eastAsia" w:asciiTheme="minorEastAsia" w:hAnsiTheme="minorEastAsia" w:eastAsiaTheme="minorEastAsia" w:cstheme="minorEastAsia"/>
                <w:b/>
                <w:bCs/>
                <w:color w:val="auto"/>
                <w:sz w:val="18"/>
                <w:szCs w:val="18"/>
                <w:highlight w:val="none"/>
                <w:lang w:val="en-US" w:eastAsia="zh-CN"/>
              </w:rPr>
              <w:t>3</w:t>
            </w:r>
            <w:r>
              <w:rPr>
                <w:rFonts w:hint="eastAsia" w:asciiTheme="minorEastAsia" w:hAnsiTheme="minorEastAsia" w:eastAsiaTheme="minorEastAsia" w:cstheme="minorEastAsia"/>
                <w:b/>
                <w:bCs/>
                <w:color w:val="auto"/>
                <w:sz w:val="18"/>
                <w:szCs w:val="18"/>
                <w:highlight w:val="none"/>
              </w:rPr>
              <w:t>分）</w:t>
            </w:r>
          </w:p>
          <w:p>
            <w:pPr>
              <w:spacing w:line="400" w:lineRule="exact"/>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（1）满足招标文件中的售后服务要求，提供详细的培训服务计划，承诺质保期内每一年上门培训满1次，每次培训时间不少于3天，培训用户方达到2名科研人员会正确操作使用仪器得1分；</w:t>
            </w:r>
          </w:p>
          <w:p>
            <w:pPr>
              <w:spacing w:line="400" w:lineRule="exact"/>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（2）满足招标文件中的售后服务要求，提供详细的培训服务计划，承诺质保期内每一年上门培训满3次，每次培训时间不少于5天，培训用户方达到3名科研人员会正确操作使用仪器得2分；</w:t>
            </w:r>
          </w:p>
          <w:p>
            <w:pPr>
              <w:spacing w:line="400" w:lineRule="exact"/>
              <w:ind w:firstLine="360" w:firstLineChars="200"/>
              <w:jc w:val="left"/>
              <w:rPr>
                <w:rFonts w:asciiTheme="minorEastAsia" w:hAnsiTheme="minorEastAsia" w:eastAsiaTheme="minorEastAsia" w:cstheme="minorEastAsia"/>
                <w:b/>
                <w:color w:val="auto"/>
                <w:sz w:val="18"/>
                <w:szCs w:val="18"/>
                <w:highlight w:val="none"/>
              </w:rPr>
            </w:pPr>
            <w:r>
              <w:rPr>
                <w:rFonts w:hint="eastAsia" w:ascii="宋体" w:hAnsi="宋体" w:eastAsia="宋体" w:cs="宋体"/>
                <w:color w:val="auto"/>
                <w:sz w:val="18"/>
                <w:szCs w:val="18"/>
                <w:highlight w:val="none"/>
              </w:rPr>
              <w:t>（3）满足招标文件中的售后服务要求，提供详细的培训服务计划，承诺质保期内每一年上门培训满5次，每次培训时间不少于7天，培训用户方达到4名科研人员会正确操作使用仪器得3分。</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4</w:t>
            </w:r>
          </w:p>
        </w:tc>
        <w:tc>
          <w:tcPr>
            <w:tcW w:w="992" w:type="dxa"/>
            <w:vMerge w:val="restart"/>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政策加分</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w:t>
            </w:r>
          </w:p>
        </w:tc>
        <w:tc>
          <w:tcPr>
            <w:tcW w:w="851"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7512" w:type="dxa"/>
            <w:vAlign w:val="center"/>
          </w:tcPr>
          <w:p>
            <w:pPr>
              <w:widowControl/>
              <w:spacing w:line="400" w:lineRule="exact"/>
              <w:ind w:firstLine="360" w:firstLineChars="200"/>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1.投标产品属于《财政部 发展改革委关于印发节能产品政府采购品目清单的通知》（财库〔2019〕19号）范围内的节能产品的，有一款得0.5分，最多得1分。</w:t>
            </w:r>
          </w:p>
          <w:p>
            <w:pPr>
              <w:widowControl/>
              <w:spacing w:line="400" w:lineRule="exact"/>
              <w:ind w:firstLine="360" w:firstLineChars="200"/>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851"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7512" w:type="dxa"/>
            <w:vAlign w:val="center"/>
          </w:tcPr>
          <w:p>
            <w:pPr>
              <w:widowControl/>
              <w:spacing w:line="400" w:lineRule="exact"/>
              <w:ind w:firstLine="360" w:firstLineChars="200"/>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2.投标产品属于《财政部 生态环境部关于印发环境标志产品政府采购品目清单的通知》（财库〔2019〕18号）范围内的环境标志产品的，有一款得0.5分，最多得1分。</w:t>
            </w:r>
          </w:p>
          <w:p>
            <w:pPr>
              <w:spacing w:line="400" w:lineRule="exact"/>
              <w:ind w:firstLine="360" w:firstLineChars="200"/>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306" w:type="dxa"/>
            <w:gridSpan w:val="3"/>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合计</w:t>
            </w:r>
          </w:p>
        </w:tc>
        <w:tc>
          <w:tcPr>
            <w:tcW w:w="7512" w:type="dxa"/>
            <w:vAlign w:val="center"/>
          </w:tcPr>
          <w:p>
            <w:pPr>
              <w:spacing w:line="400" w:lineRule="exact"/>
              <w:ind w:firstLine="360" w:firstLineChars="20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102分</w:t>
            </w:r>
          </w:p>
        </w:tc>
      </w:tr>
      <w:bookmarkEnd w:id="79"/>
    </w:tbl>
    <w:p>
      <w:pPr>
        <w:rPr>
          <w:color w:val="auto"/>
          <w:highlight w:val="none"/>
        </w:rPr>
      </w:pPr>
    </w:p>
    <w:p>
      <w:pPr>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注：关于小微企业报价扣除比例说明</w:t>
      </w:r>
    </w:p>
    <w:p>
      <w:pPr>
        <w:snapToGrid w:val="0"/>
        <w:spacing w:line="360" w:lineRule="exact"/>
        <w:ind w:firstLine="465"/>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1.关于小微企业：</w:t>
      </w:r>
    </w:p>
    <w:p>
      <w:pPr>
        <w:snapToGrid w:val="0"/>
        <w:spacing w:line="360" w:lineRule="exact"/>
        <w:ind w:firstLine="465"/>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按《财政部 工业和信息化部关于印发&lt;政府采购促进中小企业发展管理办法&gt;的通知》（财库〔2020〕46号）之规定，在政府采购活动中，供应商提供的货物、工程或者服务符合下列情形的，享受本办法规定的中小企业扶持政策： </w:t>
      </w:r>
    </w:p>
    <w:p>
      <w:pPr>
        <w:snapToGrid w:val="0"/>
        <w:spacing w:line="360" w:lineRule="exact"/>
        <w:ind w:firstLine="465"/>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1.1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 </w:t>
      </w:r>
    </w:p>
    <w:p>
      <w:pPr>
        <w:snapToGrid w:val="0"/>
        <w:spacing w:line="3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1.2在货物采购项目中，供应商提供的货物既有中小企业制造货物，也有大型企业制造货物的，不享受（财库〔2020〕46号）规定的中小企业扶持政策。</w:t>
      </w:r>
    </w:p>
    <w:p>
      <w:pPr>
        <w:snapToGrid w:val="0"/>
        <w:spacing w:line="3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1.3 以联合体形式参加政府采购活动，联合体各方均为中小企业的，联合体视同中小企业。其中，联合体各方均为小微企业的，联合体视同小微企业</w:t>
      </w:r>
      <w:r>
        <w:rPr>
          <w:rFonts w:hint="eastAsia" w:asciiTheme="minorEastAsia" w:hAnsiTheme="minorEastAsia" w:eastAsiaTheme="minorEastAsia" w:cstheme="minorEastAsia"/>
          <w:color w:val="auto"/>
          <w:sz w:val="21"/>
          <w:szCs w:val="21"/>
          <w:highlight w:val="none"/>
        </w:rPr>
        <w:t>。大中型企业与小微企业组成联合体共同参加投标，小微型企业的协议合同金额占到联合体协议合同金额30%以上的，可给予联合体</w:t>
      </w:r>
      <w:r>
        <w:rPr>
          <w:rFonts w:hint="eastAsia" w:asciiTheme="minorEastAsia" w:hAnsiTheme="minorEastAsia" w:eastAsiaTheme="minorEastAsia" w:cstheme="minorEastAsia"/>
          <w:color w:val="auto"/>
          <w:sz w:val="21"/>
          <w:szCs w:val="21"/>
          <w:highlight w:val="none"/>
          <w:u w:val="single"/>
        </w:rPr>
        <w:t>4%</w:t>
      </w:r>
      <w:r>
        <w:rPr>
          <w:rFonts w:hint="eastAsia" w:asciiTheme="minorEastAsia" w:hAnsiTheme="minorEastAsia" w:eastAsiaTheme="minorEastAsia" w:cstheme="minorEastAsia"/>
          <w:color w:val="auto"/>
          <w:sz w:val="21"/>
          <w:szCs w:val="21"/>
          <w:highlight w:val="none"/>
        </w:rPr>
        <w:t>的价格扣除</w:t>
      </w:r>
      <w:r>
        <w:rPr>
          <w:rFonts w:hint="eastAsia" w:asciiTheme="minorEastAsia" w:hAnsiTheme="minorEastAsia" w:eastAsiaTheme="minorEastAsia" w:cstheme="minorEastAsia"/>
          <w:b/>
          <w:color w:val="auto"/>
          <w:sz w:val="21"/>
          <w:szCs w:val="21"/>
          <w:highlight w:val="none"/>
        </w:rPr>
        <w:t>（本项目不接受联合体参与投标）</w:t>
      </w:r>
      <w:r>
        <w:rPr>
          <w:rFonts w:hint="eastAsia" w:asciiTheme="minorEastAsia" w:hAnsiTheme="minorEastAsia" w:eastAsiaTheme="minorEastAsia" w:cstheme="minorEastAsia"/>
          <w:color w:val="auto"/>
          <w:sz w:val="21"/>
          <w:szCs w:val="21"/>
          <w:highlight w:val="none"/>
        </w:rPr>
        <w:t>。</w:t>
      </w:r>
    </w:p>
    <w:p>
      <w:pPr>
        <w:snapToGrid w:val="0"/>
        <w:spacing w:line="360" w:lineRule="exact"/>
        <w:ind w:firstLine="465"/>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1.4本规定所称中小企业划分标准按照《工业和信息化部、国家统计局、国家发展和改革委员会、财政部关于印发中小企业划型标准规定的通知》（工信部联企业〔2011〕300号）执行。</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2.依照&lt;财政部、司法部关于政府采购支持监狱企业发展有关问题的通知&gt;（财库〔2014〕68号）之规定，监狱企业应当符合以下条件：</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2.2 监狱企业参加政府采购活动时，视同小型、微型企业，应当提供由省级以上监狱管理局、戒毒管理局（含新疆生产建设兵团）出具的属于监狱企业的证明文件。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依照《关于促进残疾人就业政府采购政策的通知》（财库〔2017〕141号）之规定，享受政府采购支持政策的残疾人福利性单位在参加政府采购活动时，视同小型、微型企业，但应当提供通知规定的《残疾人福利性单位声明函》（见附件2），并对声明的真实性负责。</w:t>
      </w:r>
    </w:p>
    <w:p>
      <w:pPr>
        <w:snapToGrid w:val="0"/>
        <w:spacing w:line="360" w:lineRule="exact"/>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4、具体报价扣除比例说明：</w:t>
      </w:r>
    </w:p>
    <w:p>
      <w:pPr>
        <w:snapToGrid w:val="0"/>
        <w:spacing w:line="360" w:lineRule="exact"/>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在投标报价的基础上，小型、微型企业或监狱企业</w:t>
      </w:r>
      <w:r>
        <w:rPr>
          <w:rFonts w:hint="eastAsia" w:asciiTheme="minorEastAsia" w:hAnsiTheme="minorEastAsia" w:eastAsiaTheme="minorEastAsia" w:cstheme="minorEastAsia"/>
          <w:color w:val="auto"/>
          <w:kern w:val="2"/>
          <w:sz w:val="21"/>
          <w:szCs w:val="21"/>
          <w:highlight w:val="none"/>
        </w:rPr>
        <w:t>或残疾人企业</w:t>
      </w:r>
      <w:r>
        <w:rPr>
          <w:rFonts w:hint="eastAsia" w:asciiTheme="minorEastAsia" w:hAnsiTheme="minorEastAsia" w:eastAsiaTheme="minorEastAsia" w:cstheme="minorEastAsia"/>
          <w:color w:val="auto"/>
          <w:sz w:val="21"/>
          <w:szCs w:val="21"/>
          <w:highlight w:val="none"/>
        </w:rPr>
        <w:t>，按“投标报价×10%”进行扣除，以扣除后的报价参与评审；</w:t>
      </w:r>
    </w:p>
    <w:p>
      <w:pPr>
        <w:pStyle w:val="47"/>
        <w:numPr>
          <w:ilvl w:val="0"/>
          <w:numId w:val="0"/>
        </w:numPr>
        <w:spacing w:line="360" w:lineRule="exact"/>
        <w:ind w:firstLine="420" w:firstLineChars="200"/>
        <w:jc w:val="left"/>
        <w:rPr>
          <w:rFonts w:asciiTheme="minorEastAsia" w:hAnsiTheme="minorEastAsia" w:eastAsiaTheme="minorEastAsia" w:cstheme="minorEastAsia"/>
          <w:b w:val="0"/>
          <w:color w:val="auto"/>
          <w:kern w:val="2"/>
          <w:sz w:val="21"/>
          <w:szCs w:val="21"/>
          <w:highlight w:val="none"/>
          <w:lang w:val="en-US"/>
        </w:rPr>
      </w:pPr>
      <w:r>
        <w:rPr>
          <w:rFonts w:hint="eastAsia" w:asciiTheme="minorEastAsia" w:hAnsiTheme="minorEastAsia" w:eastAsiaTheme="minorEastAsia" w:cstheme="minorEastAsia"/>
          <w:b w:val="0"/>
          <w:color w:val="auto"/>
          <w:kern w:val="2"/>
          <w:sz w:val="21"/>
          <w:szCs w:val="21"/>
          <w:highlight w:val="none"/>
          <w:lang w:val="en-US"/>
        </w:rPr>
        <w:t>5、依据本办法规定享受扶持政策获得政府采购合同的，小微企业不得将合同分包给大中型企业，中型企业不得将合同分包给大型企业。</w:t>
      </w:r>
    </w:p>
    <w:p>
      <w:pPr>
        <w:rPr>
          <w:rFonts w:asciiTheme="minorEastAsia" w:hAnsiTheme="minorEastAsia" w:eastAsiaTheme="minorEastAsia" w:cstheme="minorEastAsia"/>
          <w:color w:val="auto"/>
          <w:highlight w:val="none"/>
        </w:rPr>
      </w:pPr>
    </w:p>
    <w:p>
      <w:pPr>
        <w:snapToGrid w:val="0"/>
        <w:spacing w:line="360" w:lineRule="exact"/>
        <w:ind w:firstLine="426" w:firstLineChars="202"/>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特别说明1：</w:t>
      </w:r>
    </w:p>
    <w:p>
      <w:pPr>
        <w:snapToGrid w:val="0"/>
        <w:spacing w:line="36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①按照本次采购标的所属行业的划型标准（</w:t>
      </w:r>
      <w:r>
        <w:rPr>
          <w:rFonts w:hint="eastAsia" w:asciiTheme="minorEastAsia" w:hAnsiTheme="minorEastAsia" w:eastAsiaTheme="minorEastAsia" w:cstheme="minorEastAsia"/>
          <w:b/>
          <w:bCs/>
          <w:color w:val="auto"/>
          <w:sz w:val="21"/>
          <w:szCs w:val="21"/>
          <w:highlight w:val="none"/>
        </w:rPr>
        <w:t>采购标的对应的中小企业划分标准所属行业：工业</w:t>
      </w:r>
      <w:r>
        <w:rPr>
          <w:rFonts w:hint="eastAsia" w:asciiTheme="minorEastAsia" w:hAnsiTheme="minorEastAsia" w:eastAsiaTheme="minorEastAsia" w:cstheme="minorEastAsia"/>
          <w:b/>
          <w:color w:val="auto"/>
          <w:sz w:val="21"/>
          <w:szCs w:val="21"/>
          <w:highlight w:val="none"/>
        </w:rPr>
        <w:t>），符合相应条件的企业应根据招标文件格式要求提供《中小企业声明函》；未按要求提供声明函的不被认定为小微型企业。</w:t>
      </w:r>
    </w:p>
    <w:p>
      <w:pPr>
        <w:snapToGrid w:val="0"/>
        <w:spacing w:line="360" w:lineRule="exact"/>
        <w:ind w:firstLine="422"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b/>
          <w:color w:val="auto"/>
          <w:sz w:val="21"/>
          <w:szCs w:val="21"/>
          <w:highlight w:val="none"/>
        </w:rPr>
        <w:t>②</w:t>
      </w:r>
      <w:r>
        <w:rPr>
          <w:rFonts w:hint="eastAsia" w:asciiTheme="minorEastAsia" w:hAnsiTheme="minorEastAsia" w:eastAsiaTheme="minorEastAsia" w:cstheme="minorEastAsia"/>
          <w:color w:val="auto"/>
          <w:kern w:val="2"/>
          <w:sz w:val="21"/>
          <w:szCs w:val="21"/>
          <w:highlight w:val="none"/>
        </w:rPr>
        <w:t>符合相应条件的监狱企业，应当提供由省级以上监狱管理局、戒毒管理局（含新疆生产建设兵团）出具的属于监狱企业的证明文件。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③ 符合相应条件的残疾人企业应根据招标文件的格式要求提供</w:t>
      </w:r>
      <w:r>
        <w:rPr>
          <w:rFonts w:hint="eastAsia" w:asciiTheme="minorEastAsia" w:hAnsiTheme="minorEastAsia" w:eastAsiaTheme="minorEastAsia" w:cstheme="minorEastAsia"/>
          <w:b/>
          <w:color w:val="auto"/>
          <w:kern w:val="2"/>
          <w:sz w:val="21"/>
          <w:szCs w:val="21"/>
          <w:highlight w:val="none"/>
        </w:rPr>
        <w:t>《残疾人福利性单位声明函》</w:t>
      </w:r>
      <w:r>
        <w:rPr>
          <w:rFonts w:hint="eastAsia" w:asciiTheme="minorEastAsia" w:hAnsiTheme="minorEastAsia" w:eastAsiaTheme="minorEastAsia" w:cstheme="minorEastAsia"/>
          <w:color w:val="auto"/>
          <w:kern w:val="2"/>
          <w:sz w:val="21"/>
          <w:szCs w:val="21"/>
          <w:highlight w:val="none"/>
        </w:rPr>
        <w:t>，未按要求提供声明函的不被认定为小微型企业。</w:t>
      </w:r>
    </w:p>
    <w:p>
      <w:pPr>
        <w:snapToGrid w:val="0"/>
        <w:spacing w:line="360" w:lineRule="exact"/>
        <w:ind w:firstLine="424" w:firstLineChars="202"/>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④对于既属于小微企业又属于监狱企业或残疾人企业的，不重复进行响应报价扣除。</w:t>
      </w:r>
    </w:p>
    <w:p>
      <w:pPr>
        <w:ind w:firstLine="210" w:firstLineChars="100"/>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21"/>
          <w:szCs w:val="21"/>
          <w:highlight w:val="none"/>
        </w:rPr>
        <w:t xml:space="preserve">  </w:t>
      </w:r>
    </w:p>
    <w:p>
      <w:pPr>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b/>
          <w:bCs/>
          <w:color w:val="auto"/>
          <w:sz w:val="21"/>
          <w:szCs w:val="21"/>
          <w:highlight w:val="none"/>
        </w:rPr>
        <w:t xml:space="preserve">特别说明2： </w:t>
      </w:r>
    </w:p>
    <w:p>
      <w:pPr>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若供应商提供的资料不全或前后不一致，评审时未发现的，按有利于采购人的原则执行，供应商须无条件接受。</w:t>
      </w: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四、评标过程及保密原则</w:t>
      </w:r>
    </w:p>
    <w:p>
      <w:pPr>
        <w:tabs>
          <w:tab w:val="left" w:pos="2370"/>
        </w:tabs>
        <w:snapToGrid w:val="0"/>
        <w:spacing w:line="360" w:lineRule="exact"/>
        <w:ind w:firstLine="420"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1、开标之后，直到授予中标人合同止，凡与本次招标有关人员对属于审查、澄清、评价和比较投标的有关资料以及授标意向等，均不得向投标人或其他无关的人员透露。</w:t>
      </w:r>
    </w:p>
    <w:p>
      <w:pPr>
        <w:tabs>
          <w:tab w:val="left" w:pos="2370"/>
        </w:tabs>
        <w:snapToGrid w:val="0"/>
        <w:spacing w:line="360" w:lineRule="exact"/>
        <w:ind w:firstLine="420"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2、在评标期间，投标人试图影响招标采购单位和评标委员会的任何活动，将导致其投标被拒绝，并承担相应的法律责任。</w:t>
      </w: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五、无效投标条款</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bookmarkStart w:id="80" w:name="_Toc418512125"/>
      <w:r>
        <w:rPr>
          <w:rFonts w:hint="eastAsia" w:asciiTheme="minorEastAsia" w:hAnsiTheme="minorEastAsia" w:eastAsiaTheme="minorEastAsia" w:cstheme="minorEastAsia"/>
          <w:color w:val="auto"/>
          <w:kern w:val="2"/>
          <w:sz w:val="21"/>
          <w:szCs w:val="21"/>
          <w:highlight w:val="none"/>
        </w:rPr>
        <w:t>（一）评标委员会评审时，投标人或其投标文件出现下列情况之一者，应为无效投标：</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1、投标文件未通过符合性检查的；</w:t>
      </w:r>
    </w:p>
    <w:p>
      <w:pPr>
        <w:pStyle w:val="16"/>
        <w:spacing w:line="36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highlight w:val="none"/>
        </w:rPr>
        <w:t>2、投标产品不符合必须强制执行的国家标准的；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3、投标文件未按照招标文件第七篇投标文件格式中所规定签字、盖章的；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4、投标文件出现多个投标方案或投标报价的；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投标报价超出招标文件规定的采购预算（最高限价）或单价限价的（招标项目预算是完成整个项目的预算额，因关境外货物可报CIP西南大学项目现场价/DAP西南大学项目现场价/DDP西南大学项目现场价格，判定其是否超预算需要加上校方承担的费用部份，评标时将分别按照开标当日中国银行总行首次发布的外币对人民币现汇卖出价的102%/101.5%/100%对CIP西南大学项目现场外币价/DAP西南大学项目现场外币价/DDP西南大学项目现场外币价格进行折算（若所投币种为人民币，则直接按上述对应系数进行折算）；</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6、投标文件响应招标文件的实质性内容不全或数据模糊、辨认不清或者拒不按照要求对投标文件进行澄清、说明或补正；</w:t>
      </w:r>
    </w:p>
    <w:p>
      <w:pPr>
        <w:widowControl/>
        <w:spacing w:line="360" w:lineRule="exact"/>
        <w:ind w:firstLine="420"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7、投标报价中有缺漏项的；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8、投标人的投标文件未提供的。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9、交货期或投标有效期不满足招标文件要求的；</w:t>
      </w:r>
    </w:p>
    <w:p>
      <w:pPr>
        <w:widowControl/>
        <w:spacing w:line="360" w:lineRule="exact"/>
        <w:ind w:firstLine="420"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10、评审小组认为投标人的报价明显低于其他通过符合性检查投标人的报价，有可能影响履约，且投标人未按照规定证明其报价合理性的；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11、对</w:t>
      </w:r>
      <w:r>
        <w:rPr>
          <w:rFonts w:hint="eastAsia" w:asciiTheme="minorEastAsia" w:hAnsiTheme="minorEastAsia" w:eastAsiaTheme="minorEastAsia" w:cstheme="minorEastAsia"/>
          <w:b/>
          <w:bCs/>
          <w:color w:val="auto"/>
          <w:kern w:val="2"/>
          <w:sz w:val="21"/>
          <w:szCs w:val="21"/>
          <w:highlight w:val="none"/>
        </w:rPr>
        <w:t>招标文件</w:t>
      </w:r>
      <w:r>
        <w:rPr>
          <w:rFonts w:hint="eastAsia" w:asciiTheme="minorEastAsia" w:hAnsiTheme="minorEastAsia" w:eastAsiaTheme="minorEastAsia" w:cstheme="minorEastAsia"/>
          <w:color w:val="auto"/>
          <w:kern w:val="2"/>
          <w:sz w:val="21"/>
          <w:szCs w:val="21"/>
          <w:highlight w:val="none"/>
        </w:rPr>
        <w:t>规定的不可偏离条款有偏离的；</w:t>
      </w:r>
    </w:p>
    <w:p>
      <w:pPr>
        <w:widowControl/>
        <w:spacing w:line="360" w:lineRule="exact"/>
        <w:ind w:firstLine="424" w:firstLineChars="202"/>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12、投标文件技术规格中的响应与事实不符或虚假投标的；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13、对合同其他条款重大偏离的；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14、不符合法律法规和招标文件其他实质性要求的；</w:t>
      </w:r>
    </w:p>
    <w:p>
      <w:pPr>
        <w:snapToGrid w:val="0"/>
        <w:spacing w:line="40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15、投标文件含有违反国家法律、法规的内容，或附有采购人/西南大学不能接受的条件的。</w:t>
      </w:r>
    </w:p>
    <w:p>
      <w:pPr>
        <w:widowControl/>
        <w:spacing w:line="400" w:lineRule="exact"/>
        <w:ind w:firstLine="422" w:firstLineChars="200"/>
        <w:rPr>
          <w:rFonts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 xml:space="preserve">（二）有下列情形之一的，其投标无效，采购人/西南大学将向相关部门举报：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1、不同投标人的投标文件由同一单位或者个人编制；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2、不同投标人委托同一单位或者个人办理投标事宜；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3、不同投标人的投标文件载明的项目管理成员或者联系人员为同一人；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4、不同投标人的投标文件异常一致或者投标报价呈规律性差异；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5、不同投标人的投标文件相互混装；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6、不同投标人使用同一个人或者企业资金交纳投标保证金或者投标保函的。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7、不同投标人的投标文件中载明的法定代表人或授权代表中出现同一人的；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8、不同投标人聘请同一人为其投标提供技术或者经济咨询服务的，但招标项目本身要求采用专有技术的除外；</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9、投标人有《中华人民共和国反不正当竞争法》所列的不正当竞争行为；</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10、采取不正当手段诋毁、排挤其他投标人的；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11、与西南大学采购与招投标管理中心、项目使用单位及个人或其他投标人恶意串通的；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12、向西南大学采购与招投标管理中心、项目使用单位及个人或评标专家行贿或者提供其他不正当利益的；</w:t>
      </w: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六、废标条款</w:t>
      </w:r>
      <w:bookmarkEnd w:id="80"/>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评标委员会评审时出现以下情况之一的，应予废标：</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（一）符合专业条件的投标人或者对招标文件作实质响应的投标人不足三家的；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（二）投标人的报价均超过了采购预算或最高限价，采购人不能支付的；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（三）出现影响采购公正的违法、违规行为的；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（四）因重大变故，采购任务取消的。</w:t>
      </w:r>
    </w:p>
    <w:p>
      <w:pPr>
        <w:snapToGrid w:val="0"/>
        <w:spacing w:line="360" w:lineRule="exact"/>
        <w:ind w:firstLine="42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sz w:val="21"/>
          <w:szCs w:val="21"/>
          <w:highlight w:val="none"/>
        </w:rPr>
        <w:t>废标后，除采购任务取消情形外，应当重新组织采购。</w:t>
      </w:r>
    </w:p>
    <w:p>
      <w:pPr>
        <w:snapToGrid w:val="0"/>
        <w:spacing w:before="60" w:after="60" w:line="360" w:lineRule="auto"/>
        <w:ind w:firstLine="560"/>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color w:val="auto"/>
          <w:kern w:val="2"/>
          <w:highlight w:val="none"/>
        </w:rPr>
        <w:br w:type="page"/>
      </w:r>
      <w:r>
        <w:rPr>
          <w:rFonts w:hint="eastAsia" w:asciiTheme="minorEastAsia" w:hAnsiTheme="minorEastAsia" w:eastAsiaTheme="minorEastAsia" w:cstheme="minorEastAsia"/>
          <w:b/>
          <w:color w:val="auto"/>
          <w:sz w:val="36"/>
          <w:szCs w:val="36"/>
          <w:highlight w:val="none"/>
        </w:rPr>
        <w:t>第五篇 投标人须知</w:t>
      </w:r>
    </w:p>
    <w:p>
      <w:pPr>
        <w:pStyle w:val="2"/>
        <w:spacing w:line="360" w:lineRule="auto"/>
        <w:ind w:left="0"/>
        <w:rPr>
          <w:rFonts w:asciiTheme="minorEastAsia" w:hAnsiTheme="minorEastAsia" w:eastAsiaTheme="minorEastAsia" w:cstheme="minorEastAsia"/>
          <w:color w:val="auto"/>
          <w:sz w:val="32"/>
          <w:highlight w:val="none"/>
        </w:rPr>
      </w:pPr>
      <w:bookmarkStart w:id="81" w:name="_Toc465269230"/>
      <w:r>
        <w:rPr>
          <w:rFonts w:hint="eastAsia" w:asciiTheme="minorEastAsia" w:hAnsiTheme="minorEastAsia" w:eastAsiaTheme="minorEastAsia" w:cstheme="minorEastAsia"/>
          <w:color w:val="auto"/>
          <w:sz w:val="32"/>
          <w:highlight w:val="none"/>
        </w:rPr>
        <w:t>一、说明</w:t>
      </w:r>
      <w:bookmarkEnd w:id="81"/>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82" w:name="_Toc465269231"/>
      <w:r>
        <w:rPr>
          <w:rFonts w:hint="eastAsia" w:asciiTheme="minorEastAsia" w:hAnsiTheme="minorEastAsia" w:eastAsiaTheme="minorEastAsia" w:cstheme="minorEastAsia"/>
          <w:b/>
          <w:color w:val="auto"/>
          <w:sz w:val="24"/>
          <w:szCs w:val="24"/>
          <w:highlight w:val="none"/>
        </w:rPr>
        <w:t>（一）项目说明</w:t>
      </w:r>
      <w:bookmarkEnd w:id="82"/>
    </w:p>
    <w:p>
      <w:pPr>
        <w:snapToGrid w:val="0"/>
        <w:spacing w:line="360" w:lineRule="auto"/>
        <w:ind w:firstLine="417" w:firstLineChars="17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1.采购形式</w:t>
      </w:r>
    </w:p>
    <w:p>
      <w:pPr>
        <w:pStyle w:val="31"/>
        <w:snapToGrid w:val="0"/>
        <w:spacing w:line="360" w:lineRule="auto"/>
        <w:ind w:firstLine="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西南大学通过公开招标采购方式采购本招标文件第二篇“项目技术规格、数量及质量要求”中所列项目。西南大学委托采购代理机构负责组织本项目的招标采购活动。</w:t>
      </w:r>
    </w:p>
    <w:p>
      <w:pPr>
        <w:snapToGrid w:val="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2.招标范围</w:t>
      </w:r>
    </w:p>
    <w:p>
      <w:pPr>
        <w:pStyle w:val="31"/>
        <w:snapToGrid w:val="0"/>
        <w:spacing w:line="360" w:lineRule="auto"/>
        <w:ind w:firstLine="676" w:firstLineChars="28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本招标文件第二篇“项目技术规格、数量及质量要求”中所列项目下的货物及相关服务。本范围不允许有缺漏项，否则</w:t>
      </w:r>
      <w:r>
        <w:rPr>
          <w:rFonts w:hint="eastAsia" w:asciiTheme="minorEastAsia" w:hAnsiTheme="minorEastAsia" w:eastAsiaTheme="minorEastAsia" w:cstheme="minorEastAsia"/>
          <w:b/>
          <w:color w:val="auto"/>
          <w:sz w:val="24"/>
          <w:szCs w:val="24"/>
          <w:highlight w:val="none"/>
        </w:rPr>
        <w:t>投标无效</w:t>
      </w:r>
      <w:r>
        <w:rPr>
          <w:rFonts w:hint="eastAsia" w:asciiTheme="minorEastAsia" w:hAnsiTheme="minorEastAsia" w:eastAsiaTheme="minorEastAsia" w:cstheme="minorEastAsia"/>
          <w:color w:val="auto"/>
          <w:sz w:val="24"/>
          <w:szCs w:val="24"/>
          <w:highlight w:val="none"/>
        </w:rPr>
        <w:t>。</w:t>
      </w:r>
    </w:p>
    <w:p>
      <w:pPr>
        <w:snapToGrid w:val="0"/>
        <w:spacing w:line="360" w:lineRule="auto"/>
        <w:ind w:firstLine="417" w:firstLineChars="17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3.招标要求</w:t>
      </w:r>
    </w:p>
    <w:p>
      <w:pPr>
        <w:pStyle w:val="31"/>
        <w:snapToGrid w:val="0"/>
        <w:spacing w:line="360" w:lineRule="auto"/>
        <w:ind w:firstLine="676" w:firstLineChars="28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3.1本项目的交货期：投标人应根据“商务要求”的要求制定设备的供货时间（包括到货和安装调试时间）。</w:t>
      </w:r>
    </w:p>
    <w:p>
      <w:pPr>
        <w:pStyle w:val="31"/>
        <w:snapToGrid w:val="0"/>
        <w:spacing w:line="360" w:lineRule="auto"/>
        <w:ind w:firstLine="0" w:firstLineChars="0"/>
        <w:jc w:val="left"/>
        <w:rPr>
          <w:rFonts w:asciiTheme="minorEastAsia" w:hAnsiTheme="minorEastAsia" w:eastAsiaTheme="minorEastAsia" w:cstheme="minorEastAsia"/>
          <w:color w:val="auto"/>
          <w:sz w:val="24"/>
          <w:szCs w:val="24"/>
          <w:highlight w:val="none"/>
        </w:rPr>
      </w:pPr>
      <w:bookmarkStart w:id="83" w:name="_Toc449106626"/>
      <w:bookmarkStart w:id="84" w:name="_Toc449109173"/>
      <w:bookmarkStart w:id="85" w:name="_Toc449109117"/>
      <w:bookmarkStart w:id="86" w:name="_Toc449109335"/>
      <w:r>
        <w:rPr>
          <w:rFonts w:hint="eastAsia" w:asciiTheme="minorEastAsia" w:hAnsiTheme="minorEastAsia" w:eastAsiaTheme="minorEastAsia" w:cstheme="minorEastAsia"/>
          <w:color w:val="auto"/>
          <w:sz w:val="24"/>
          <w:szCs w:val="24"/>
          <w:highlight w:val="none"/>
        </w:rPr>
        <w:t xml:space="preserve">    3.2 投标人的投标报价须按照“开标一览表”和“投标分项明细报价表”的格式要求进行相应报价。</w:t>
      </w:r>
      <w:bookmarkEnd w:id="83"/>
      <w:bookmarkEnd w:id="84"/>
      <w:bookmarkEnd w:id="85"/>
      <w:bookmarkEnd w:id="86"/>
    </w:p>
    <w:p>
      <w:pPr>
        <w:snapToGrid w:val="0"/>
        <w:spacing w:line="360" w:lineRule="auto"/>
        <w:ind w:firstLine="417" w:firstLineChars="17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3.3 投标人所投的设备必须技术先进、功能完整、运行安全、可靠。</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 投标人须提供投标货物的品牌、型号（配置），非标准化产品的配置应标识清楚，定制货物无品牌、型号的必须在《明细报价表》的“规格型号”栏内标明为“定制”，未提供品牌或型号、配置的，采购人可视其为</w:t>
      </w:r>
      <w:r>
        <w:rPr>
          <w:rFonts w:hint="eastAsia" w:asciiTheme="minorEastAsia" w:hAnsiTheme="minorEastAsia" w:eastAsiaTheme="minorEastAsia" w:cstheme="minorEastAsia"/>
          <w:b/>
          <w:color w:val="auto"/>
          <w:sz w:val="24"/>
          <w:szCs w:val="24"/>
          <w:highlight w:val="none"/>
        </w:rPr>
        <w:t>无效响应</w:t>
      </w:r>
      <w:r>
        <w:rPr>
          <w:rFonts w:hint="eastAsia" w:asciiTheme="minorEastAsia" w:hAnsiTheme="minorEastAsia" w:eastAsiaTheme="minorEastAsia" w:cstheme="minorEastAsia"/>
          <w:color w:val="auto"/>
          <w:sz w:val="24"/>
          <w:szCs w:val="24"/>
          <w:highlight w:val="none"/>
        </w:rPr>
        <w:t>。</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 投标人必须提交对招标文件实质性响应的投标文件。</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节能产品的优先采购和强制采购以国家财政部和国家发展改革委公布的最新“节能产品政府采购品目清单”中所列产品及相关规定为准。本项目采购中凡涉及到政府强制采购节能产品的，供应商必须在报价响应时提供所投产品在《节能产品政府采购品目清单》中相应页面的打印或复印材料，及国家确定的认证机构出具的，处于有效期之内的节能产品认证证书复印件。</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3.7环境标志产品的优先采购以国家财政部和国家环境保护部公布的最新“环境标志产品政府采购清单”所列产品及相关规定为准。</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3.8本项目涉及软件产品的，必须采购和使用正版软件，项目中涉及计算机办公产品的必须预装正版操作系统软件。</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3.9本项目所涉及的信息安全产品需经过国家相关认证。</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87" w:name="_Toc465269232"/>
      <w:r>
        <w:rPr>
          <w:rFonts w:hint="eastAsia" w:asciiTheme="minorEastAsia" w:hAnsiTheme="minorEastAsia" w:eastAsiaTheme="minorEastAsia" w:cstheme="minorEastAsia"/>
          <w:b/>
          <w:color w:val="auto"/>
          <w:sz w:val="24"/>
          <w:szCs w:val="24"/>
          <w:highlight w:val="none"/>
        </w:rPr>
        <w:t>（二）投标费用</w:t>
      </w:r>
      <w:bookmarkEnd w:id="87"/>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应自行承担其参与本项目投标的一切费用，包括但不限于编制投标文件及递交投标文件等所涉及的费用；西南大学在任何情况下无义务也无责任承担这些费用，不论投标结果如何，采购人在任何情况下均无义务和责任承担这些费用。</w:t>
      </w:r>
      <w:bookmarkStart w:id="88" w:name="_Toc465269233"/>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（三）合格的投标人</w:t>
      </w:r>
      <w:bookmarkEnd w:id="88"/>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1.投标人须符合本项目招标公告所规定的资格条件。</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2.投标人应遵守中国的有关法律、法规和规章的规定。</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截止到评审阶段资格性检查结束时止，投标人被“信用中国”网站（www.creditchina.gov.cn）列入“失信被执行人”或“重大税收违法案件当事人名单”或“政府采购严重违法失信名单”，或处于中国政府采购网（www.ccgp.gov.cn）政府采购严重违法失信行为记录名单中被财政部门禁止参加政府采购活动期间的，其投标响应将被拒绝。</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4.一个投标人只能提交一个投标文件。但如果投标人之间存在下列互为关联关系的情形之一的，不得同时参加本项目投标。</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 单位负责人为同一人的两个及两个以上单位；</w:t>
      </w:r>
      <w:bookmarkStart w:id="89" w:name="_Toc465269234"/>
      <w:bookmarkStart w:id="90" w:name="_Toc449109174"/>
      <w:bookmarkStart w:id="91" w:name="_Toc449109118"/>
      <w:bookmarkStart w:id="92" w:name="_Toc449301677"/>
      <w:bookmarkStart w:id="93" w:name="_Toc449109336"/>
      <w:bookmarkStart w:id="94" w:name="_Toc449302150"/>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 母公司、直接或间接持股 50％及以上的被投资公司；</w:t>
      </w:r>
      <w:bookmarkEnd w:id="89"/>
      <w:bookmarkEnd w:id="90"/>
      <w:bookmarkEnd w:id="91"/>
      <w:bookmarkEnd w:id="92"/>
      <w:bookmarkEnd w:id="93"/>
      <w:bookmarkEnd w:id="94"/>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 均为同一家母公司直接或间接持股 50％及以上的被投资公司。</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5.与采购人存在利害关系可能影响招标公正性的法人或其他组织不得参加投标。</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6.接受委托参与招标文件编制的法人或其他组织不得参加受托项目的投标，也不得为该项目的投标人编制投标文件或提供咨询。</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7.投标人不得与本次招标项下设计、编制技术规格和其它文件的公司或提供咨询服务的公司包括其附属机构有任何关联。</w:t>
      </w:r>
    </w:p>
    <w:p>
      <w:pPr>
        <w:snapToGrid w:val="0"/>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8．投标代理人在同一个项目中只能接受一个投标人的委托参加投标。</w:t>
      </w:r>
    </w:p>
    <w:p>
      <w:pPr>
        <w:snapToGrid w:val="0"/>
        <w:spacing w:line="360" w:lineRule="auto"/>
        <w:ind w:firstLine="482"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9.本项目不允许联合体投标。</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10.投标人在投标过程中不得向采购人提供赠品、回扣或者与采购无关的其他商品、服务，一经发现，其投标人资格将被取消。</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11.采购人在任何时候发现投标人以他人名义投标、相互串通投标，在投标文件中提交虚假资料或失实资料的，或者以其他方式弄虚作假的，其投标将被拒绝并将视情况依法追究其责任。</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提供相同品牌核心产品且通过资格审查、符合性审查的不同投标人参加同一合同包投标的，按一家投标人计算，评审后得分最高的同品牌投标人获得中标人推荐资格；评审得分相同的，由评标委员会按照招标文件规定的方式确定一个投标人获得中标人推荐资格，其他同品牌投标人不作为中标候选人。</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非单一产品采购项目，根据招标文件中载明的核心产品审查确定。多家投标人提供的产品品牌相同的，按前款规定处理。</w:t>
      </w:r>
    </w:p>
    <w:p>
      <w:pPr>
        <w:pStyle w:val="2"/>
        <w:spacing w:line="360" w:lineRule="auto"/>
        <w:ind w:left="0"/>
        <w:rPr>
          <w:rFonts w:asciiTheme="minorEastAsia" w:hAnsiTheme="minorEastAsia" w:eastAsiaTheme="minorEastAsia" w:cstheme="minorEastAsia"/>
          <w:color w:val="auto"/>
          <w:szCs w:val="30"/>
          <w:highlight w:val="none"/>
        </w:rPr>
      </w:pPr>
      <w:bookmarkStart w:id="95" w:name="_Toc465269235"/>
      <w:r>
        <w:rPr>
          <w:rFonts w:hint="eastAsia" w:asciiTheme="minorEastAsia" w:hAnsiTheme="minorEastAsia" w:eastAsiaTheme="minorEastAsia" w:cstheme="minorEastAsia"/>
          <w:color w:val="auto"/>
          <w:szCs w:val="30"/>
          <w:highlight w:val="none"/>
        </w:rPr>
        <w:t>二、招标文件</w:t>
      </w:r>
      <w:bookmarkEnd w:id="95"/>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96" w:name="_Toc465269236"/>
      <w:r>
        <w:rPr>
          <w:rFonts w:hint="eastAsia" w:asciiTheme="minorEastAsia" w:hAnsiTheme="minorEastAsia" w:eastAsiaTheme="minorEastAsia" w:cstheme="minorEastAsia"/>
          <w:b/>
          <w:color w:val="auto"/>
          <w:sz w:val="24"/>
          <w:szCs w:val="24"/>
          <w:highlight w:val="none"/>
        </w:rPr>
        <w:t>（一）招标文件构成</w:t>
      </w:r>
      <w:bookmarkEnd w:id="96"/>
    </w:p>
    <w:p>
      <w:pPr>
        <w:pStyle w:val="4"/>
        <w:spacing w:line="360" w:lineRule="auto"/>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1.招标文件以电子版或书面纸质文件的形式提供给各潜在投标人，电子版与纸质文件具有同等的法律效力，电子版与纸质版内容不一致时，以纸质版为准。招标文件包括以下内容：</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第一篇 投标邀请书</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第二篇 项目技术规格、数量及质量要求</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第三篇 商务要求</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第四篇 资格审查及评标办法</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第五篇 投标人须知</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第六篇 合同文本</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第七篇 投标文件格式</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招标公告及修改文件（若有）也是招标文件的组成部分。</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应认真阅读招标文件中所有的事项、格式、条款和技术规格等。投标人没有按照招标文件要求提交全部资料，或者投标文件没有对招标文件在各方面都作出实质性响应是投标人自己的风险，将导致或可能导致其投标被拒绝。</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97" w:name="_Toc465269237"/>
      <w:r>
        <w:rPr>
          <w:rFonts w:hint="eastAsia" w:asciiTheme="minorEastAsia" w:hAnsiTheme="minorEastAsia" w:eastAsiaTheme="minorEastAsia" w:cstheme="minorEastAsia"/>
          <w:b/>
          <w:color w:val="auto"/>
          <w:sz w:val="24"/>
          <w:szCs w:val="24"/>
          <w:highlight w:val="none"/>
        </w:rPr>
        <w:t>（二）招标文件的澄清</w:t>
      </w:r>
      <w:bookmarkEnd w:id="97"/>
    </w:p>
    <w:p>
      <w:pPr>
        <w:widowControl/>
        <w:spacing w:line="360" w:lineRule="auto"/>
        <w:ind w:left="324" w:leftChars="135"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公告期限为招标公告发出之日起五个工作日，供应商对招标文件如有询问或质疑的，应在收到招标文件之日或者招标文件公告期限届满之日起七个工作日内以书面形式向采购人或采购代理机构提出询问或质疑，并附相关证明材料。逾期恕不受理。</w:t>
      </w:r>
    </w:p>
    <w:p>
      <w:pPr>
        <w:snapToGrid w:val="0"/>
        <w:spacing w:line="420" w:lineRule="exact"/>
        <w:ind w:left="274" w:leftChars="114" w:firstLine="436" w:firstLineChars="18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采购组织机构或采购代理机构对收到的上述澄清要求，在投标截止日期15天前将以书面形式予以答复。同时将书面答复发给每个购买招标文件的潜在投标人（答复中不包括问题的来源）；如有需要，采购组织机构或采购代理机构可专门组织招标文件答疑会议。</w:t>
      </w:r>
    </w:p>
    <w:p>
      <w:pPr>
        <w:snapToGrid w:val="0"/>
        <w:spacing w:line="420" w:lineRule="exact"/>
        <w:ind w:firstLine="439" w:firstLineChars="183"/>
        <w:rPr>
          <w:rFonts w:asciiTheme="minorEastAsia" w:hAnsiTheme="minorEastAsia" w:eastAsiaTheme="minorEastAsia" w:cstheme="minorEastAsia"/>
          <w:color w:val="auto"/>
          <w:highlight w:val="none"/>
        </w:rPr>
      </w:pPr>
    </w:p>
    <w:p>
      <w:pPr>
        <w:pStyle w:val="31"/>
        <w:snapToGrid w:val="0"/>
        <w:spacing w:line="420" w:lineRule="exact"/>
        <w:ind w:firstLine="482"/>
        <w:jc w:val="left"/>
        <w:rPr>
          <w:rFonts w:asciiTheme="minorEastAsia" w:hAnsiTheme="minorEastAsia" w:eastAsiaTheme="minorEastAsia" w:cstheme="minorEastAsia"/>
          <w:b/>
          <w:color w:val="auto"/>
          <w:sz w:val="24"/>
          <w:szCs w:val="24"/>
          <w:highlight w:val="none"/>
        </w:rPr>
      </w:pPr>
      <w:bookmarkStart w:id="98" w:name="_Toc465269238"/>
      <w:r>
        <w:rPr>
          <w:rFonts w:hint="eastAsia" w:asciiTheme="minorEastAsia" w:hAnsiTheme="minorEastAsia" w:eastAsiaTheme="minorEastAsia" w:cstheme="minorEastAsia"/>
          <w:b/>
          <w:color w:val="auto"/>
          <w:sz w:val="24"/>
          <w:szCs w:val="24"/>
          <w:highlight w:val="none"/>
        </w:rPr>
        <w:t>（三）招标文件的修改</w:t>
      </w:r>
      <w:bookmarkEnd w:id="98"/>
    </w:p>
    <w:p>
      <w:pPr>
        <w:pStyle w:val="31"/>
        <w:snapToGrid w:val="0"/>
        <w:spacing w:line="42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在投标截止期前，</w:t>
      </w:r>
      <w:r>
        <w:rPr>
          <w:rFonts w:hint="eastAsia" w:asciiTheme="minorEastAsia" w:hAnsiTheme="minorEastAsia" w:eastAsiaTheme="minorEastAsia" w:cstheme="minorEastAsia"/>
          <w:color w:val="auto"/>
          <w:kern w:val="0"/>
          <w:sz w:val="24"/>
          <w:szCs w:val="24"/>
          <w:highlight w:val="none"/>
        </w:rPr>
        <w:t>采购组织机构或采购代理机构</w:t>
      </w:r>
      <w:r>
        <w:rPr>
          <w:rFonts w:hint="eastAsia" w:asciiTheme="minorEastAsia" w:hAnsiTheme="minorEastAsia" w:eastAsiaTheme="minorEastAsia" w:cstheme="minorEastAsia"/>
          <w:color w:val="auto"/>
          <w:sz w:val="24"/>
          <w:szCs w:val="24"/>
          <w:highlight w:val="none"/>
        </w:rPr>
        <w:t>可主动或在解答投标人提出的询问或质疑时对招标文件进行修改。</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2.对招标文件的修改将在中国政府采购网（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Theme="minorEastAsia" w:hAnsiTheme="minorEastAsia" w:eastAsiaTheme="minorEastAsia" w:cstheme="minorEastAsia"/>
          <w:color w:val="auto"/>
          <w:highlight w:val="none"/>
        </w:rPr>
        <w:t>http://www.ccgp.gov.cn</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t>）和西南大学采购与招投标管理中心网页（http://caigou.swu.edu.cn/sfw_cms/e?page=cms.index）上发布。无论投标人下载与否，均视为已知晓所有招标内容。对于可能影响投标文件编制的修改，将在投标截止日期15天前发布，不足15天的，将顺延提交投标文件的截止时间和开标时间。此修改书是招标文件的组成部分，对招、投标双方均具有约束力。</w:t>
      </w:r>
    </w:p>
    <w:p>
      <w:pPr>
        <w:widowControl/>
        <w:spacing w:line="360" w:lineRule="auto"/>
        <w:ind w:firstLine="482" w:firstLineChars="200"/>
        <w:rPr>
          <w:rFonts w:asciiTheme="minorEastAsia" w:hAnsiTheme="minorEastAsia" w:eastAsiaTheme="minorEastAsia" w:cstheme="minorEastAsia"/>
          <w:b/>
          <w:color w:val="auto"/>
          <w:highlight w:val="none"/>
        </w:rPr>
      </w:pPr>
      <w:bookmarkStart w:id="99" w:name="_Toc465269239"/>
      <w:r>
        <w:rPr>
          <w:rFonts w:hint="eastAsia" w:asciiTheme="minorEastAsia" w:hAnsiTheme="minorEastAsia" w:eastAsiaTheme="minorEastAsia" w:cstheme="minorEastAsia"/>
          <w:b/>
          <w:color w:val="auto"/>
          <w:highlight w:val="none"/>
        </w:rPr>
        <w:t>（四）招标语言及计量单位</w:t>
      </w:r>
      <w:bookmarkEnd w:id="99"/>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1.采购人发出的招标文件采用中文。</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2.招标文件中使用的计量单位采用中华人民共和国法定计量单位 (特别说明的除外)。</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3.招标文件中使用的日期、时间均为北京时区的日期、时间。</w:t>
      </w:r>
    </w:p>
    <w:p>
      <w:pPr>
        <w:pStyle w:val="2"/>
        <w:spacing w:line="360" w:lineRule="auto"/>
        <w:ind w:left="0"/>
        <w:rPr>
          <w:rFonts w:asciiTheme="minorEastAsia" w:hAnsiTheme="minorEastAsia" w:eastAsiaTheme="minorEastAsia" w:cstheme="minorEastAsia"/>
          <w:color w:val="auto"/>
          <w:highlight w:val="none"/>
        </w:rPr>
      </w:pPr>
      <w:bookmarkStart w:id="100" w:name="_Toc465269240"/>
      <w:r>
        <w:rPr>
          <w:rFonts w:hint="eastAsia" w:asciiTheme="minorEastAsia" w:hAnsiTheme="minorEastAsia" w:eastAsiaTheme="minorEastAsia" w:cstheme="minorEastAsia"/>
          <w:color w:val="auto"/>
          <w:highlight w:val="none"/>
        </w:rPr>
        <w:t>三、投标文件的编制</w:t>
      </w:r>
      <w:bookmarkEnd w:id="100"/>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1" w:name="_Toc465269241"/>
      <w:r>
        <w:rPr>
          <w:rFonts w:hint="eastAsia" w:asciiTheme="minorEastAsia" w:hAnsiTheme="minorEastAsia" w:eastAsiaTheme="minorEastAsia" w:cstheme="minorEastAsia"/>
          <w:b/>
          <w:color w:val="auto"/>
          <w:sz w:val="24"/>
          <w:szCs w:val="24"/>
          <w:highlight w:val="none"/>
        </w:rPr>
        <w:t>（一）投标语言及计量</w:t>
      </w:r>
      <w:bookmarkEnd w:id="101"/>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提交的投标文件以及投标人与西南大学采购与招投标管理中心就有关投标的所有往来函电均应使用中文。投标人提供的支持文件、技术资料和已印刷的文献可以用另一种语言，但相应内容应附有中文翻译本，在解释投标文件时以中文翻译本为准。</w:t>
      </w:r>
    </w:p>
    <w:p>
      <w:pPr>
        <w:widowControl/>
        <w:spacing w:line="360" w:lineRule="auto"/>
        <w:ind w:firstLine="56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 投标文件及所有投标人与西南大学采购与招投标管理中心往来文件中的计量单位应采用中华人民共和国法定计量单位(招标文件中有特别说明的除外)。</w:t>
      </w:r>
    </w:p>
    <w:p>
      <w:pPr>
        <w:widowControl/>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3.投标文件及所有投标人与西南大学采购与招投标管理中心往来文件中使用的日期、时间采用北京时区的日期、时间。</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2" w:name="_Toc465269242"/>
      <w:r>
        <w:rPr>
          <w:rFonts w:hint="eastAsia" w:asciiTheme="minorEastAsia" w:hAnsiTheme="minorEastAsia" w:eastAsiaTheme="minorEastAsia" w:cstheme="minorEastAsia"/>
          <w:b/>
          <w:color w:val="auto"/>
          <w:sz w:val="24"/>
          <w:szCs w:val="24"/>
          <w:highlight w:val="none"/>
        </w:rPr>
        <w:t>（二）投标文件的构成</w:t>
      </w:r>
      <w:bookmarkEnd w:id="102"/>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 投标人应完整地按招标文件提供的投标文件格式编写投标文件，投标文件应包括商务部分、技术部分和经济部分，如投标人代表不是法定代表人，须提供《法定代表人授权书》。</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 商务部分</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2.1以招标文件第七部分投标文件格式所列出的对应书面应答文件作为内容。</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针对招标文件第三部分商务要求的条款作出正面承诺和响应。</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2.3针对招标文件第六部分的合同或协议条款作出正面承诺和响应。</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 技术部分</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 对招标文件第二部分项目技术规格、数量及质量要求的书面应答，包括但不限于技术描述、技术规范、技术参数、技术文件、图纸、安装介绍、工期安排和售后服务等；</w:t>
      </w:r>
    </w:p>
    <w:p>
      <w:pPr>
        <w:widowControl/>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 证明货物和服务与招标文件的要求相一致的文件，它可以是文字资料、图纸和数据，包括：</w:t>
      </w:r>
    </w:p>
    <w:p>
      <w:pPr>
        <w:widowControl/>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3.2.1 货物主要技术指标和性能的详细说明；</w:t>
      </w:r>
    </w:p>
    <w:p>
      <w:pPr>
        <w:widowControl/>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3.2.2招标文件第二部分项目技术规格、数量及质量要求中规定的备品备件和专用工具清单，包括货源、现行价格及详细说明。</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3.2.3对招标文件第二部分项目技术规格、数量及质量要求，逐条说明所提供货物和服务是否已做出了实质性的响应，或说明与技术规格条文的偏差和例外。</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3.3货物经权威测试机构检测的性能报告，获得的国优、部优荣誉证书及相关质量证书（复印件）等。</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3.4 货物和服务的使用用户一览表。</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3.5 货物选型样本、样品及有关技术资料和说明。</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3.6招标文件要求或投标人认为必要的其它内容（如：相关优势等）。</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3.7投标人需要在投标文件中提供能明确清晰显示本次招标要求的指标及功能的技术支持资料，技术支持资料以列有技术参数且完整的厂家产品彩页，或厂家官方网站公布的截图，或厂家产品说明书，或经厂家确认的证明材料，或第三方机构出具的检测报告等，以佐证所投产品的相应的技术参数及功能。</w:t>
      </w:r>
    </w:p>
    <w:p>
      <w:pPr>
        <w:widowControl/>
        <w:spacing w:line="360" w:lineRule="auto"/>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4.投标文件应对上述内容标示具体位置的确切目录及索引。</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3" w:name="_Toc465269243"/>
      <w:r>
        <w:rPr>
          <w:rFonts w:hint="eastAsia" w:asciiTheme="minorEastAsia" w:hAnsiTheme="minorEastAsia" w:eastAsiaTheme="minorEastAsia" w:cstheme="minorEastAsia"/>
          <w:b/>
          <w:color w:val="auto"/>
          <w:sz w:val="24"/>
          <w:szCs w:val="24"/>
          <w:highlight w:val="none"/>
        </w:rPr>
        <w:t>（三）投标报价</w:t>
      </w:r>
      <w:bookmarkEnd w:id="103"/>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1.投标人应在投标明细报价表上标明本合同拟提供的货物的单价（如适用）、每个单项的小计、整个投标的总价以及合同项下的货物以及服务的来源地。本项目合同类型为买卖合同,固定总价合同。</w:t>
      </w:r>
    </w:p>
    <w:p>
      <w:pPr>
        <w:widowControl/>
        <w:spacing w:line="360" w:lineRule="auto"/>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*2.国产的货物及其有关服务的报价为DDP西南大学项目现场价（含装卸搬运费）。即货物送达西南大学并安装调试至指定位置所涉及的所有费用、税金以及售后服务费。 </w:t>
      </w:r>
    </w:p>
    <w:p>
      <w:pPr>
        <w:spacing w:line="520" w:lineRule="exact"/>
        <w:ind w:left="550" w:leftChars="22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3.从中华人民共和国关境外提供货物及服务的报价为CIP 西南大学或DAP西南大学</w:t>
      </w:r>
    </w:p>
    <w:p>
      <w:pPr>
        <w:spacing w:line="5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价，包括货物从进口口岸运至最终目的地的内陆运输费、保险费等；不包括海关杂费、外贸代理费等进口清关费用，如果可享受免征进口环节关税和增值税政策的，报价应不包含可减免的税金，否则需要包含应向中华人民共和国政府缴纳的进口环节关税和增值税。亦可报DDP西南大学（含装卸搬运费）价，包括货物送达西南大学并安装调试至指定位置所涉及的所有费用、税金（如果可享受免征进口环节关税和增值税政策的，报价应不包含可减免的税金）以及售后服务费。</w:t>
      </w:r>
    </w:p>
    <w:p>
      <w:pPr>
        <w:spacing w:line="520" w:lineRule="exact"/>
        <w:ind w:left="550" w:leftChars="22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4.在中华人民共和国境内的海关特殊监管区域内生产或加工销往境内其他地区的产</w:t>
      </w:r>
    </w:p>
    <w:p>
      <w:pPr>
        <w:spacing w:line="5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品，不视为政府采购项下的进口产品，但报价须按第3条要求执行。从境外进入海关特殊监管区域，再经办理报关手续后从海关特殊监管区进入境内其他地区的产品，为境外供货，报价按第3条要求执行。</w:t>
      </w:r>
    </w:p>
    <w:p>
      <w:pPr>
        <w:spacing w:line="4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
          <w:color w:val="auto"/>
          <w:highlight w:val="none"/>
        </w:rPr>
        <w:t xml:space="preserve"> 特别说明</w:t>
      </w:r>
      <w:r>
        <w:rPr>
          <w:rFonts w:hint="eastAsia" w:asciiTheme="minorEastAsia" w:hAnsiTheme="minorEastAsia" w:eastAsiaTheme="minorEastAsia" w:cstheme="minorEastAsia"/>
          <w:color w:val="auto"/>
          <w:highlight w:val="none"/>
        </w:rPr>
        <w:t>：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中标人承担。</w:t>
      </w:r>
    </w:p>
    <w:p>
      <w:pPr>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因投标人自身原因误填、错填是否免税项而选择了是否含税的报价而产生的风险由投标人承担。</w:t>
      </w:r>
      <w:r>
        <w:rPr>
          <w:rFonts w:hint="eastAsia" w:asciiTheme="minorEastAsia" w:hAnsiTheme="minorEastAsia" w:eastAsiaTheme="minorEastAsia" w:cstheme="minorEastAsia"/>
          <w:b/>
          <w:color w:val="auto"/>
          <w:highlight w:val="none"/>
        </w:rPr>
        <w:t>非免税产品填写“免税”的，所产生的税费也应由中标人承担。可以免税的产品填写“不免税”的，将从货款里扣除进口环节税金后再将余额支付给供方。</w:t>
      </w:r>
    </w:p>
    <w:p>
      <w:pPr>
        <w:spacing w:line="520" w:lineRule="exact"/>
        <w:ind w:left="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b/>
          <w:color w:val="auto"/>
          <w:highlight w:val="none"/>
        </w:rPr>
        <w:t>特别条款</w:t>
      </w:r>
      <w:r>
        <w:rPr>
          <w:rFonts w:hint="eastAsia" w:asciiTheme="minorEastAsia" w:hAnsiTheme="minorEastAsia" w:eastAsiaTheme="minorEastAsia" w:cstheme="minorEastAsia"/>
          <w:color w:val="auto"/>
          <w:highlight w:val="none"/>
        </w:rPr>
        <w:t>：投标人所提供的货物如果原产于美国，投标报价中还必须包括加征的关</w:t>
      </w:r>
    </w:p>
    <w:p>
      <w:pPr>
        <w:spacing w:line="5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税。加征关税的商品清单及税率以国务院税则委员会发布的最新有效公告为准。投标报价应当包含加征关税而未包含，是投标人的风险，视为已考虑在投标报价中。</w:t>
      </w:r>
    </w:p>
    <w:p>
      <w:pPr>
        <w:spacing w:line="5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6.在中国境内为需方提供的安调、培训服务，根据中国相关税法的规定，如有需要供方承担的税费，包括但不限于增值税，企业及个人所得税，均应由供方承担，需方依法代扣代缴。</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7.售后服务费、培训费用及检测验收费、必不可少的部件、附件、标准备件、专用工具、踏勘费、及伴随货物交运的有关费用等均须包含在投标报价中，不单独列项报价。</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8.标价应包含所有应向所有权人支付的专利权、商标权或其它知识产权等的费用及税金。</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9.标报价为一口价，投标人对每种货物只允许有一个报价，采购人不接受有任何选择的报价，同时不接受有条件的优惠报价。</w:t>
      </w:r>
      <w:r>
        <w:rPr>
          <w:rFonts w:hint="eastAsia" w:asciiTheme="minorEastAsia" w:hAnsiTheme="minorEastAsia" w:eastAsiaTheme="minorEastAsia" w:cstheme="minorEastAsia"/>
          <w:b/>
          <w:color w:val="auto"/>
          <w:highlight w:val="none"/>
        </w:rPr>
        <w:t>投标人在某一合同包内有任何选择报价的，将视为无效投标</w:t>
      </w:r>
      <w:r>
        <w:rPr>
          <w:rFonts w:hint="eastAsia" w:asciiTheme="minorEastAsia" w:hAnsiTheme="minorEastAsia" w:eastAsiaTheme="minorEastAsia" w:cstheme="minorEastAsia"/>
          <w:color w:val="auto"/>
          <w:highlight w:val="none"/>
        </w:rPr>
        <w:t>(招标文件有特别说明的除外)。</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10.必须按招标文件中“项目技术规格、数量及质量要求”里的采购方案报价，不得有缺漏项，否则视为非实质响应投标而被拒绝。</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11.货物中如包含国内提供的货物，供应商应对境外供货部分和国内供货部分分别报价，并分别签订进口货物购销协议和国内采购合同。</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12.报价中包含招标文件要求以外的内容，在评标时不予核减。</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13.标人所报的投标价在合同执行期间是固定不变的，不得以任何理由予以变更。以可调整的价格提交的投标文件将作为非响应性投标而予以拒绝。</w:t>
      </w:r>
    </w:p>
    <w:p>
      <w:pPr>
        <w:pStyle w:val="31"/>
        <w:snapToGrid w:val="0"/>
        <w:spacing w:line="460" w:lineRule="exact"/>
        <w:ind w:firstLine="482"/>
        <w:jc w:val="left"/>
        <w:rPr>
          <w:rFonts w:asciiTheme="minorEastAsia" w:hAnsiTheme="minorEastAsia" w:eastAsiaTheme="minorEastAsia" w:cstheme="minorEastAsia"/>
          <w:b/>
          <w:color w:val="auto"/>
          <w:sz w:val="24"/>
          <w:szCs w:val="24"/>
          <w:highlight w:val="none"/>
        </w:rPr>
      </w:pPr>
      <w:bookmarkStart w:id="104" w:name="_Toc465269244"/>
      <w:r>
        <w:rPr>
          <w:rFonts w:hint="eastAsia" w:asciiTheme="minorEastAsia" w:hAnsiTheme="minorEastAsia" w:eastAsiaTheme="minorEastAsia" w:cstheme="minorEastAsia"/>
          <w:b/>
          <w:color w:val="auto"/>
          <w:sz w:val="24"/>
          <w:szCs w:val="24"/>
          <w:highlight w:val="none"/>
        </w:rPr>
        <w:t>（四）投标货币</w:t>
      </w:r>
      <w:bookmarkEnd w:id="104"/>
    </w:p>
    <w:p>
      <w:pPr>
        <w:widowControl/>
        <w:spacing w:line="460" w:lineRule="exact"/>
        <w:ind w:firstLine="56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1.投标人从中华人民共和国关境内提供的货物和服务须用人民币报价；</w:t>
      </w:r>
    </w:p>
    <w:p>
      <w:pPr>
        <w:widowControl/>
        <w:spacing w:line="360" w:lineRule="auto"/>
        <w:ind w:firstLine="56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2.投标人从中华人民共和国关境外提供的货物和服务可报人民币或外币（以美元或国际主要流通货币报价）。</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5" w:name="_Toc465269245"/>
      <w:r>
        <w:rPr>
          <w:rFonts w:hint="eastAsia" w:asciiTheme="minorEastAsia" w:hAnsiTheme="minorEastAsia" w:eastAsiaTheme="minorEastAsia" w:cstheme="minorEastAsia"/>
          <w:b/>
          <w:color w:val="auto"/>
          <w:sz w:val="24"/>
          <w:szCs w:val="24"/>
          <w:highlight w:val="none"/>
        </w:rPr>
        <w:t>（五）证明投标人有资格履行合同的文件</w:t>
      </w:r>
      <w:bookmarkEnd w:id="105"/>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 投标人应按规定提交证明其有资格参加投标和中标后有能力履行合同的文件，并作为其投标文件的组成部分。</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2.投标人提交的在中标后有资格履行合同的证明文件应满足招标文件规定。</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 投标人已具备履行合同所需的财务、技术、生产和供货能力，包括为了履行服务进行人员配置的能力。</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营业执照、税务登记证、组织机构代码证和国家管理部门签发的销售许可（若必须）复印件加盖公章。</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2.3有关授权代理人的资料和制造商的授权书（若投标人为进口设备代理商）等。</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6" w:name="_Toc465269246"/>
      <w:r>
        <w:rPr>
          <w:rFonts w:hint="eastAsia" w:asciiTheme="minorEastAsia" w:hAnsiTheme="minorEastAsia" w:eastAsiaTheme="minorEastAsia" w:cstheme="minorEastAsia"/>
          <w:b/>
          <w:color w:val="auto"/>
          <w:sz w:val="24"/>
          <w:szCs w:val="24"/>
          <w:highlight w:val="none"/>
        </w:rPr>
        <w:t>（六）证明货物的合格性和符合招标文件规定的文件</w:t>
      </w:r>
      <w:bookmarkEnd w:id="106"/>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1.投标人应提交证明其拟提供的货物及相关服务符合招标文件规定的文件，包括</w:t>
      </w:r>
      <w:r>
        <w:rPr>
          <w:rFonts w:hint="eastAsia" w:asciiTheme="minorEastAsia" w:hAnsiTheme="minorEastAsia" w:eastAsiaTheme="minorEastAsia" w:cstheme="minorEastAsia"/>
          <w:color w:val="auto"/>
          <w:spacing w:val="-4"/>
          <w:highlight w:val="none"/>
        </w:rPr>
        <w:t>投标报价表中所列</w:t>
      </w:r>
      <w:r>
        <w:rPr>
          <w:rFonts w:hint="eastAsia" w:asciiTheme="minorEastAsia" w:hAnsiTheme="minorEastAsia" w:eastAsiaTheme="minorEastAsia" w:cstheme="minorEastAsia"/>
          <w:color w:val="auto"/>
          <w:highlight w:val="none"/>
        </w:rPr>
        <w:t>对货物原产地的说明，作为其投标文件的一部分。</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2.证明货物及相关服务与招标文件的要求相一致的文件，可以是文字资料、图纸、数据和实物，包括如下：</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 货物的型号、规格；</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货物主要技术指标和性能的详细说明，并提供有关部门出具的检验报告或厂家出具的证明材料等；</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 详细的合同项下提供货物及相关服务的执行时间表及其实施措施，明确标注出影响合同执行的关键时间及因素；</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 货物在《商务要求》规定的保质期内正常、连续地使用货物所必需的备品备件、专用工具的清单，包括其货源及现行价格；</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 对照招标文件要求的技术规格，投标人逐条说明所提供的货物及相关服务已对招标文件中的技术规格作出了实质性的响应；或申明与技术规格条文的偏差和例外。</w:t>
      </w:r>
    </w:p>
    <w:p>
      <w:pPr>
        <w:widowControl/>
        <w:spacing w:line="360" w:lineRule="auto"/>
        <w:ind w:firstLine="480"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rPr>
        <w:t>3.</w:t>
      </w:r>
      <w:r>
        <w:rPr>
          <w:rFonts w:hint="eastAsia" w:asciiTheme="minorEastAsia" w:hAnsiTheme="minorEastAsia" w:eastAsiaTheme="minorEastAsia" w:cstheme="minorEastAsia"/>
          <w:b/>
          <w:color w:val="auto"/>
          <w:highlight w:val="none"/>
        </w:rPr>
        <w:t>投标人在阐述投标人须知（第三条第（六）之 2.2款）时应注意：招标文件在技术规格中指出的工艺、材料和设备标准以及参照的品牌或型号仅起说明作用，并没有任何限制性。投标人在投标中可以选用替代标准、品牌或型号，但这些替代要实质上相当（或优）于招标文件技术规格的要求。</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投标文件和投标产品应符合我国有关法律法规、强制认证标准、国家关于安全、卫生、环保、质量、能耗、社会责任等有关规定以及国际公认的科学理论。否则，该投标将被拒绝。如该货物需要办理出口许可证等相关出口手续或/和该货物属于对中国限制出口的，投标人必须在投标文件中明确需要采购人协助提供的资料明细。由于出口许可证或/和限制出口的原因导致延迟交货或不能履行合同的，责任由投标人承担。</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中标人须保证合同货物在接收试验时各项技术参数满足合同要求，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w:t>
      </w:r>
    </w:p>
    <w:p>
      <w:pPr>
        <w:widowControl/>
        <w:spacing w:line="360" w:lineRule="auto"/>
        <w:ind w:firstLine="31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6.中标人须保证至货到用户指定安装地点时止，进口货物制造出厂日期不大于十二个月，国内货物制造出厂日期不大于六个月。任何超出此期限要求的，投标时须在《投标明细报价表》的备注中予以特别声明。制造出厂日期</w:t>
      </w:r>
      <w:r>
        <w:rPr>
          <w:rFonts w:hint="eastAsia" w:asciiTheme="minorEastAsia" w:hAnsiTheme="minorEastAsia" w:eastAsiaTheme="minorEastAsia" w:cstheme="minorEastAsia"/>
          <w:b/>
          <w:color w:val="auto"/>
          <w:highlight w:val="none"/>
        </w:rPr>
        <w:t>超出规定要求而未声明的</w:t>
      </w:r>
      <w:r>
        <w:rPr>
          <w:rFonts w:hint="eastAsia" w:asciiTheme="minorEastAsia" w:hAnsiTheme="minorEastAsia" w:eastAsiaTheme="minorEastAsia" w:cstheme="minorEastAsia"/>
          <w:color w:val="auto"/>
          <w:highlight w:val="none"/>
        </w:rPr>
        <w:t>，采购人有权酌情处理，包括但不限于视中标人为虚假响应、中止合同或扣付中标价 10%以上金额等。供应商所提供的货物必须符合国家有关标准。国内生产的货物须提供产品质量检验合格证明；进口货物属于《实施质量许可制度的进口商品目录》内的商品，必须获得国家商检局签发的“ 进口商品安全质量许可证书”及《安全标志》，属于《实施质量许可制度的进口商品目录》外的商品，须提供商检机构或有关检验机构的检验合格通知单或者生产厂商的质量检验合格证明。</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7" w:name="_Toc465269247"/>
      <w:r>
        <w:rPr>
          <w:rFonts w:hint="eastAsia" w:asciiTheme="minorEastAsia" w:hAnsiTheme="minorEastAsia" w:eastAsiaTheme="minorEastAsia" w:cstheme="minorEastAsia"/>
          <w:b/>
          <w:color w:val="auto"/>
          <w:sz w:val="24"/>
          <w:szCs w:val="24"/>
          <w:highlight w:val="none"/>
        </w:rPr>
        <w:t>（七）知识产权和专利权</w:t>
      </w:r>
      <w:bookmarkEnd w:id="107"/>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提供的产品，包括设备、软件、材料（和/或耗材）、技术资料要求在中华人民共和国境内拥有合法的使用权和版权；如果采购人在中华人民共和国境内使用该货物或其任何一部分时，有第三方向采购人提出侵犯其专利权、商标权或其它知识产权的主张，该责任由投标人承担。</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8" w:name="_Toc465269248"/>
      <w:r>
        <w:rPr>
          <w:rFonts w:hint="eastAsia" w:asciiTheme="minorEastAsia" w:hAnsiTheme="minorEastAsia" w:eastAsiaTheme="minorEastAsia" w:cstheme="minorEastAsia"/>
          <w:b/>
          <w:color w:val="auto"/>
          <w:sz w:val="24"/>
          <w:szCs w:val="24"/>
          <w:highlight w:val="none"/>
        </w:rPr>
        <w:t>（八）保密</w:t>
      </w:r>
      <w:bookmarkEnd w:id="108"/>
    </w:p>
    <w:p>
      <w:pPr>
        <w:widowControl/>
        <w:spacing w:line="360" w:lineRule="auto"/>
        <w:ind w:firstLine="552" w:firstLineChars="23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如采购人向投标人提供图纸、详细资料、样品、模型、模件和所有其他资料，这些均被视为保密资料，仅被用于它所规定的用途，除非得到采购人的同意，投标人不能向任何第三方透露。</w:t>
      </w:r>
      <w:bookmarkStart w:id="109" w:name="_Toc465269249"/>
    </w:p>
    <w:bookmarkEnd w:id="109"/>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10" w:name="_Toc465269250"/>
      <w:r>
        <w:rPr>
          <w:rFonts w:hint="eastAsia" w:asciiTheme="minorEastAsia" w:hAnsiTheme="minorEastAsia" w:eastAsiaTheme="minorEastAsia" w:cstheme="minorEastAsia"/>
          <w:b/>
          <w:color w:val="auto"/>
          <w:sz w:val="24"/>
          <w:szCs w:val="24"/>
          <w:highlight w:val="none"/>
        </w:rPr>
        <w:t>（九）投标有效期</w:t>
      </w:r>
      <w:bookmarkEnd w:id="110"/>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1.投标文件应在招标邀请书规定的投标截止日后的90 个日历日内保持有效。投标有效期短于这个规定期限的，将视为非实质性响应而被拒绝。</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特殊情况下采购人可在原投标有效期满之前，要求投标人同意延长投标文件的有效期。接受该要求的投标人将不会被要求和允许修正其投标。投标人也可以拒绝采购人的这种要求。上述要求和答复都应以书面形式提交。</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11" w:name="_Toc465269251"/>
      <w:r>
        <w:rPr>
          <w:rFonts w:hint="eastAsia" w:asciiTheme="minorEastAsia" w:hAnsiTheme="minorEastAsia" w:eastAsiaTheme="minorEastAsia" w:cstheme="minorEastAsia"/>
          <w:b/>
          <w:color w:val="auto"/>
          <w:sz w:val="24"/>
          <w:szCs w:val="24"/>
          <w:highlight w:val="none"/>
        </w:rPr>
        <w:t>（十）不允许偏离的条款</w:t>
      </w:r>
      <w:bookmarkEnd w:id="111"/>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1.招标文件中的重要条款不允许偏离，如投标文件中对重要条款有负偏离，则是投标人的风险。不允许负偏离的条款如下。</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1.1第三篇和第六篇商务条款中带“</w:t>
      </w:r>
      <w:r>
        <w:rPr>
          <w:rFonts w:hint="eastAsia" w:asciiTheme="minorEastAsia" w:hAnsiTheme="minorEastAsia" w:eastAsiaTheme="minorEastAsia" w:cstheme="minorEastAsia"/>
          <w:bCs/>
          <w:color w:val="auto"/>
          <w:kern w:val="2"/>
          <w:sz w:val="21"/>
          <w:szCs w:val="21"/>
          <w:highlight w:val="none"/>
        </w:rPr>
        <w:t>*</w:t>
      </w:r>
      <w:r>
        <w:rPr>
          <w:rFonts w:hint="eastAsia" w:asciiTheme="minorEastAsia" w:hAnsiTheme="minorEastAsia" w:eastAsiaTheme="minorEastAsia" w:cstheme="minorEastAsia"/>
          <w:color w:val="auto"/>
          <w:highlight w:val="none"/>
        </w:rPr>
        <w:t>”号的条款；</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1.2资格文件不允许偏离；</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1.3招标文件规定的其它不允许负偏离的内容。</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2.下述条款不应视作不可偏离：</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2.1招标文件中除资格文件，未加注“</w:t>
      </w:r>
      <w:r>
        <w:rPr>
          <w:rFonts w:hint="eastAsia" w:asciiTheme="minorEastAsia" w:hAnsiTheme="minorEastAsia" w:eastAsiaTheme="minorEastAsia" w:cstheme="minorEastAsia"/>
          <w:bCs/>
          <w:color w:val="auto"/>
          <w:kern w:val="2"/>
          <w:sz w:val="21"/>
          <w:szCs w:val="21"/>
          <w:highlight w:val="none"/>
        </w:rPr>
        <w:t>*</w:t>
      </w:r>
      <w:r>
        <w:rPr>
          <w:rFonts w:hint="eastAsia" w:asciiTheme="minorEastAsia" w:hAnsiTheme="minorEastAsia" w:eastAsiaTheme="minorEastAsia" w:cstheme="minorEastAsia"/>
          <w:color w:val="auto"/>
          <w:highlight w:val="none"/>
        </w:rPr>
        <w:t>”商务条款及招标文件明确为无效标（或废标、否决投标）情形外的条款；</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《项目技术规格、数量及质量要求》中已明确的投标人可提供其他优选方案部分；</w:t>
      </w:r>
    </w:p>
    <w:p>
      <w:pPr>
        <w:widowControl/>
        <w:spacing w:line="360" w:lineRule="auto"/>
        <w:ind w:firstLine="480"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rPr>
        <w:t>2.3投标文件中技术参数、功能或其他内容优于“项目技术规格、数量及质量要求部分”不视作负偏离，不构成无效标，投标人对这种优于的情况必须单独说明。</w:t>
      </w:r>
    </w:p>
    <w:p>
      <w:pPr>
        <w:widowControl/>
        <w:spacing w:line="360" w:lineRule="auto"/>
        <w:ind w:firstLine="480" w:firstLineChars="200"/>
        <w:rPr>
          <w:rFonts w:asciiTheme="minorEastAsia" w:hAnsiTheme="minorEastAsia" w:eastAsiaTheme="minorEastAsia" w:cstheme="minorEastAsia"/>
          <w:color w:val="auto"/>
          <w:highlight w:val="none"/>
        </w:rPr>
      </w:pPr>
      <w:bookmarkStart w:id="112" w:name="_Toc465269253"/>
      <w:r>
        <w:rPr>
          <w:rFonts w:hint="eastAsia" w:asciiTheme="minorEastAsia" w:hAnsiTheme="minorEastAsia" w:eastAsiaTheme="minorEastAsia" w:cstheme="minorEastAsia"/>
          <w:color w:val="auto"/>
          <w:highlight w:val="none"/>
        </w:rPr>
        <w:t>（十二）投标文件的份数、式样和签署</w:t>
      </w:r>
      <w:bookmarkEnd w:id="112"/>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 投标文件份数要求如下：</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（1）资格文件：纸质文档一式三份，其中正本一份，副本两份；</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（2）经济、商务、技术文件：纸质文档一式五份，其中正本一份，副本四份；</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最好提供全套投标文件电子文档一份。电子文档内容应与投标文件正本一致，可采用移动存储盘或光盘存储（不得使用软盘存储），且须保证无病毒。存储介质恕不退还。电子文件存储介质上须标明投标人名称和项目编号，并封装于独立的封袋内，信封上注明“电子文件”并按规定格式和要求标注。所有电子文件均不做压缩处理、不留密码，且用 WORD 和/或 EXCEL格式处理，并经测试确定可以打开）。</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每套纸质投标文件须在封面清楚地标明“正本”或“副本”，副本应为正本的完整复印件，副本与正本不一致时以正本为准。投标文件电子文档与纸质投标文件正本不一致时，以纸质投标文件正本为准。</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2．投标文件的“正本”和“副本”最好都加盖骑缝章，招标文件第七部分投标文件格式中规定签字、盖章的地方必须按其规定签字、盖章。</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highlight w:val="none"/>
        </w:rPr>
        <w:t>3．若投标人对投标文件的错处作必要修改，则应在修改处加盖投</w:t>
      </w:r>
      <w:r>
        <w:rPr>
          <w:rFonts w:hint="eastAsia" w:asciiTheme="minorEastAsia" w:hAnsiTheme="minorEastAsia" w:eastAsiaTheme="minorEastAsia" w:cstheme="minorEastAsia"/>
          <w:color w:val="auto"/>
          <w:kern w:val="2"/>
          <w:highlight w:val="none"/>
        </w:rPr>
        <w:t>标人公章或由法定代表人（单位负责人）或法人授权代表签字确认。</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 xml:space="preserve">4.投标人应按照 A4 纸规格准备投标文件，每页应带页码。 </w:t>
      </w:r>
    </w:p>
    <w:p>
      <w:pPr>
        <w:snapToGrid w:val="0"/>
        <w:spacing w:line="420" w:lineRule="exact"/>
        <w:ind w:firstLine="470" w:firstLineChars="196"/>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5.招标文件中已明示需盖章签名处均须由投标人在投标文件里加盖投标人公章，并经投标人法定代表人或其授权代表签名或签章。授权代表签署的，须将以书面形式出具的“法定代表人（或单位负责人）授权书”原件附在投标文件正本中，授权书复印件附在投标文件副本中。</w:t>
      </w:r>
    </w:p>
    <w:p>
      <w:pPr>
        <w:widowControl/>
        <w:spacing w:line="420" w:lineRule="exact"/>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6.任何行间插字、涂改和增删，必须由投标文件签字人用姓或首字母在旁边签字才有效。</w:t>
      </w:r>
    </w:p>
    <w:p>
      <w:pPr>
        <w:snapToGrid w:val="0"/>
        <w:spacing w:line="420" w:lineRule="exact"/>
        <w:ind w:firstLine="470" w:firstLineChars="196"/>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7.电报、电话、传真、邮寄形式的投标文件概不接受。</w:t>
      </w:r>
    </w:p>
    <w:p>
      <w:pPr>
        <w:widowControl/>
        <w:spacing w:line="360" w:lineRule="auto"/>
        <w:rPr>
          <w:rFonts w:asciiTheme="minorEastAsia" w:hAnsiTheme="minorEastAsia" w:eastAsiaTheme="minorEastAsia" w:cstheme="minorEastAsia"/>
          <w:color w:val="auto"/>
          <w:kern w:val="2"/>
          <w:highlight w:val="none"/>
        </w:rPr>
      </w:pP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bookmarkStart w:id="113" w:name="_Toc465269254"/>
      <w:r>
        <w:rPr>
          <w:rFonts w:hint="eastAsia" w:asciiTheme="minorEastAsia" w:hAnsiTheme="minorEastAsia" w:eastAsiaTheme="minorEastAsia" w:cstheme="minorEastAsia"/>
          <w:color w:val="auto"/>
          <w:sz w:val="24"/>
          <w:szCs w:val="24"/>
          <w:highlight w:val="none"/>
        </w:rPr>
        <w:t>（十三）投标文件的装订、密封和标记</w:t>
      </w:r>
      <w:bookmarkEnd w:id="113"/>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1.装订</w:t>
      </w:r>
    </w:p>
    <w:p>
      <w:pPr>
        <w:widowControl/>
        <w:spacing w:line="360" w:lineRule="auto"/>
        <w:ind w:firstLine="480" w:firstLineChars="200"/>
        <w:rPr>
          <w:rFonts w:asciiTheme="minorEastAsia" w:hAnsiTheme="minorEastAsia" w:eastAsiaTheme="minorEastAsia" w:cstheme="minorEastAsia"/>
          <w:color w:val="auto"/>
          <w:kern w:val="2"/>
          <w:highlight w:val="none"/>
        </w:rPr>
      </w:pPr>
      <w:bookmarkStart w:id="114" w:name="_Toc465269255"/>
      <w:r>
        <w:rPr>
          <w:rFonts w:hint="eastAsia" w:asciiTheme="minorEastAsia" w:hAnsiTheme="minorEastAsia" w:eastAsiaTheme="minorEastAsia" w:cstheme="minorEastAsia"/>
          <w:color w:val="auto"/>
          <w:kern w:val="2"/>
          <w:highlight w:val="none"/>
        </w:rPr>
        <w:t>（1）投标文件正、副本均需用线装加胶装分别装订成册。资格文件需单独装订。</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（2）“资格文件”应按照第七章规定格式装订成册，并应编制目录。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（3）“经济、商务、技术文件应按照第七章规定格式装订成册，并应编制目录。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4）投标文件纸质版的正、副本需在A4竖向的左侧进行装订（不得使用订书钉装订），装订需牢固。单册厚度最好不超过4厘米，如超过必须分上下册，若附图纸，A3及以上图纸，装订时需折叠成A4大小。任何情况下，采购人或采购代理机构对投标人采用活页等装订方式可能引致投标文件的拆散、缺失或换页等，都不承担责任。</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2.投标文件正本和所有的副本均应密封装箱或装袋，且在正、副本的封面标明“正本”“副本”字样。</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3.投标文件应包括开标一览表。为方便开标时唱标，最好将“开标一览表”单独密封，并在封袋上标明“开标一览表”字样，在投标时单独递交。</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4.所有封袋均请标明：</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项目编号：</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项目名称：</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投标人：（投标人全称并加盖公章）</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5.密封好的投标文件需在封口处加盖投标人公章或由法定代表人或授权代表签名后送达规定的地点。</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6.未按要求密封的投标文件，西南大学采购与招投标管理中心/采购代理机构将拒绝接收。</w:t>
      </w:r>
    </w:p>
    <w:p>
      <w:pPr>
        <w:widowControl/>
        <w:spacing w:line="360" w:lineRule="auto"/>
        <w:rPr>
          <w:rFonts w:asciiTheme="minorEastAsia" w:hAnsiTheme="minorEastAsia" w:eastAsiaTheme="minorEastAsia" w:cstheme="minorEastAsia"/>
          <w:color w:val="auto"/>
          <w:kern w:val="2"/>
          <w:highlight w:val="none"/>
        </w:rPr>
      </w:pP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（十四）投标文件的递交</w:t>
      </w:r>
      <w:bookmarkEnd w:id="114"/>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1.投标文件送达</w:t>
      </w:r>
    </w:p>
    <w:p>
      <w:pPr>
        <w:widowControl/>
        <w:tabs>
          <w:tab w:val="left" w:pos="1418"/>
        </w:tabs>
        <w:spacing w:line="360" w:lineRule="auto"/>
        <w:ind w:firstLine="424" w:firstLineChars="1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1.1</w:t>
      </w:r>
      <w:r>
        <w:rPr>
          <w:rFonts w:hint="eastAsia" w:asciiTheme="minorEastAsia" w:hAnsiTheme="minorEastAsia" w:eastAsiaTheme="minorEastAsia" w:cstheme="minorEastAsia"/>
          <w:color w:val="auto"/>
          <w:highlight w:val="none"/>
        </w:rPr>
        <w:t>各投标人对招标文件有询问、质疑的，须在招标文件公告期限届满之日或收到招标文件之日起七个工作日内，以书面形式（须由法定代表人或投标人代表签字并加盖单位公章，并附相关有效证明材料）向采购人提出询问或质疑。</w:t>
      </w:r>
      <w:r>
        <w:rPr>
          <w:rFonts w:hint="eastAsia" w:asciiTheme="minorEastAsia" w:hAnsiTheme="minorEastAsia" w:eastAsiaTheme="minorEastAsia" w:cstheme="minorEastAsia"/>
          <w:color w:val="auto"/>
          <w:spacing w:val="-2"/>
          <w:highlight w:val="none"/>
        </w:rPr>
        <w:t>未按规定要求或未在规定时限内提交书面异议的视为默认接受招标文件。逾期提交的</w:t>
      </w:r>
      <w:r>
        <w:rPr>
          <w:rFonts w:hint="eastAsia" w:asciiTheme="minorEastAsia" w:hAnsiTheme="minorEastAsia" w:eastAsiaTheme="minorEastAsia" w:cstheme="minorEastAsia"/>
          <w:color w:val="auto"/>
          <w:highlight w:val="none"/>
        </w:rPr>
        <w:t>询问或质疑</w:t>
      </w:r>
      <w:r>
        <w:rPr>
          <w:rFonts w:hint="eastAsia" w:asciiTheme="minorEastAsia" w:hAnsiTheme="minorEastAsia" w:eastAsiaTheme="minorEastAsia" w:cstheme="minorEastAsia"/>
          <w:color w:val="auto"/>
          <w:spacing w:val="-2"/>
          <w:highlight w:val="none"/>
        </w:rPr>
        <w:t>恕不受理，投标后亦不得以此提出异</w:t>
      </w:r>
      <w:r>
        <w:rPr>
          <w:rFonts w:hint="eastAsia" w:asciiTheme="minorEastAsia" w:hAnsiTheme="minorEastAsia" w:eastAsiaTheme="minorEastAsia" w:cstheme="minorEastAsia"/>
          <w:b/>
          <w:color w:val="auto"/>
          <w:spacing w:val="-2"/>
          <w:highlight w:val="none"/>
        </w:rPr>
        <w:t>议。</w:t>
      </w:r>
    </w:p>
    <w:p>
      <w:pPr>
        <w:widowControl/>
        <w:spacing w:line="360" w:lineRule="auto"/>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1.2采购人/采购代理机构可视具体情况，延长投标截止时间和开标时间，须将变更时间书面通知所有招标文件收受人。在此情况下，采购人/采购代理机构和投标人受投标截止期制约的所有权利和义务均应延长至新的截止日期。</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1.3投标人须将投标文件于投标截止时间前送达指定地点 。</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2.迟交的投标文件</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在规定的投标截止时间之后送达的投标文件，西南大学采购与招投标管理中心或采购代理机构将拒绝接收。</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3.投标文件的修改与撤回</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3.1投标人在递交投标文件后，可以修改或撤回其投标文件，但必须在规定的投标截止时间之前将书面修改或撤回的通知送达西南大学采购与招投标管理中心或采购代理机构。</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3.2在投标截止时间之后，投标人不得对其投标文件做任何修改，也不得撤回其投标。</w:t>
      </w:r>
    </w:p>
    <w:p>
      <w:pPr>
        <w:widowControl/>
        <w:spacing w:line="360" w:lineRule="auto"/>
        <w:ind w:firstLine="480" w:firstLineChars="200"/>
        <w:rPr>
          <w:rFonts w:asciiTheme="minorEastAsia" w:hAnsiTheme="minorEastAsia" w:eastAsiaTheme="minorEastAsia" w:cstheme="minorEastAsia"/>
          <w:color w:val="auto"/>
          <w:highlight w:val="none"/>
        </w:rPr>
      </w:pPr>
    </w:p>
    <w:p>
      <w:pPr>
        <w:spacing w:line="460" w:lineRule="exact"/>
        <w:rPr>
          <w:rFonts w:asciiTheme="minorEastAsia" w:hAnsiTheme="minorEastAsia" w:eastAsiaTheme="minorEastAsia" w:cstheme="minorEastAsia"/>
          <w:b/>
          <w:color w:val="auto"/>
          <w:sz w:val="30"/>
          <w:szCs w:val="30"/>
          <w:highlight w:val="none"/>
        </w:rPr>
      </w:pPr>
      <w:bookmarkStart w:id="115" w:name="_Toc465269256"/>
      <w:r>
        <w:rPr>
          <w:rFonts w:hint="eastAsia" w:asciiTheme="minorEastAsia" w:hAnsiTheme="minorEastAsia" w:eastAsiaTheme="minorEastAsia" w:cstheme="minorEastAsia"/>
          <w:b/>
          <w:color w:val="auto"/>
          <w:sz w:val="30"/>
          <w:szCs w:val="30"/>
          <w:highlight w:val="none"/>
        </w:rPr>
        <w:t>四、开标、评标与定标</w:t>
      </w:r>
      <w:bookmarkEnd w:id="115"/>
    </w:p>
    <w:p>
      <w:pPr>
        <w:widowControl/>
        <w:spacing w:line="360" w:lineRule="auto"/>
        <w:ind w:firstLine="422" w:firstLineChars="15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（一）开标</w:t>
      </w:r>
    </w:p>
    <w:p>
      <w:pPr>
        <w:pStyle w:val="10"/>
        <w:ind w:firstLine="840" w:firstLineChars="35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sz w:val="24"/>
          <w:szCs w:val="24"/>
          <w:highlight w:val="none"/>
        </w:rPr>
        <w:t>1.开标应当在招标文件“投标邀请书”确定的时间和地点公开进行。</w:t>
      </w:r>
    </w:p>
    <w:p>
      <w:pPr>
        <w:widowControl/>
        <w:spacing w:line="360" w:lineRule="auto"/>
        <w:ind w:left="324" w:leftChars="135"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2.开标由采购代理机构主持，邀请投标人代表参加。</w:t>
      </w:r>
    </w:p>
    <w:p>
      <w:pPr>
        <w:widowControl/>
        <w:spacing w:line="360" w:lineRule="auto"/>
        <w:ind w:left="324" w:leftChars="135" w:firstLine="472" w:firstLineChars="200"/>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3.开标时，由投标人或者其推荐的代表检查投标文件的密封情况；经确认无误后，由采购代理机构工作人员当众拆封，宣读投标文件正本“开标一览表”的投标人名称、投标报价和招标文件规定的需要宣布的其他内容。</w:t>
      </w:r>
    </w:p>
    <w:p>
      <w:pPr>
        <w:widowControl/>
        <w:spacing w:line="360" w:lineRule="auto"/>
        <w:ind w:left="322" w:leftChars="134" w:firstLine="556" w:firstLineChars="236"/>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4.开标过程应由采购代理机构单位指定专人负责记录，并存档备查。</w:t>
      </w:r>
    </w:p>
    <w:p>
      <w:pPr>
        <w:widowControl/>
        <w:spacing w:line="360" w:lineRule="auto"/>
        <w:ind w:firstLine="422" w:firstLineChars="15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（二）评标</w:t>
      </w:r>
      <w:bookmarkStart w:id="116" w:name="_Toc497729854"/>
    </w:p>
    <w:p>
      <w:pPr>
        <w:widowControl/>
        <w:spacing w:line="360" w:lineRule="auto"/>
        <w:ind w:firstLine="590" w:firstLineChars="250"/>
        <w:rPr>
          <w:rFonts w:asciiTheme="minorEastAsia" w:hAnsiTheme="minorEastAsia" w:eastAsiaTheme="minorEastAsia" w:cstheme="minorEastAsia"/>
          <w:color w:val="auto"/>
          <w:spacing w:val="-2"/>
          <w:kern w:val="2"/>
          <w:highlight w:val="none"/>
        </w:rPr>
      </w:pPr>
      <w:r>
        <w:rPr>
          <w:rFonts w:hint="eastAsia" w:asciiTheme="minorEastAsia" w:hAnsiTheme="minorEastAsia" w:eastAsiaTheme="minorEastAsia" w:cstheme="minorEastAsia"/>
          <w:color w:val="auto"/>
          <w:spacing w:val="-2"/>
          <w:kern w:val="2"/>
          <w:highlight w:val="none"/>
        </w:rPr>
        <w:t>详见第四部分 资格审查及评标办法。</w:t>
      </w:r>
      <w:bookmarkEnd w:id="116"/>
    </w:p>
    <w:p>
      <w:pPr>
        <w:widowControl/>
        <w:spacing w:line="360" w:lineRule="auto"/>
        <w:ind w:firstLine="422" w:firstLineChars="15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 （三）定标</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1.中标人的确定 </w:t>
      </w:r>
    </w:p>
    <w:p>
      <w:pPr>
        <w:spacing w:line="360" w:lineRule="auto"/>
        <w:ind w:firstLine="472"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（1）</w:t>
      </w:r>
      <w:r>
        <w:rPr>
          <w:rFonts w:hint="eastAsia" w:asciiTheme="minorEastAsia" w:hAnsiTheme="minorEastAsia" w:eastAsiaTheme="minorEastAsia" w:cstheme="minorEastAsia"/>
          <w:color w:val="auto"/>
          <w:highlight w:val="none"/>
        </w:rPr>
        <w:t>采购人在评审结束后5个工作日内，在评标报告确定的中标候选人名单中按顺序确定中标人，中标候选人并列的，由采购人自行确定中标人。</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（2）中标人确定后2个工作日内</w:t>
      </w:r>
      <w:r>
        <w:rPr>
          <w:rFonts w:hint="eastAsia" w:asciiTheme="minorEastAsia" w:hAnsiTheme="minorEastAsia" w:eastAsiaTheme="minorEastAsia" w:cstheme="minorEastAsia"/>
          <w:color w:val="auto"/>
          <w:spacing w:val="-6"/>
          <w:highlight w:val="none"/>
        </w:rPr>
        <w:t>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29"/>
          <w:rFonts w:hint="eastAsia" w:asciiTheme="minorEastAsia" w:hAnsiTheme="minorEastAsia" w:eastAsiaTheme="minorEastAsia" w:cstheme="minorEastAsia"/>
          <w:color w:val="auto"/>
          <w:spacing w:val="-6"/>
          <w:highlight w:val="none"/>
        </w:rPr>
        <w:t>http://www.ccgp.gov.cn/</w:t>
      </w:r>
      <w:r>
        <w:rPr>
          <w:rStyle w:val="29"/>
          <w:rFonts w:hint="eastAsia" w:asciiTheme="minorEastAsia" w:hAnsiTheme="minorEastAsia" w:eastAsiaTheme="minorEastAsia" w:cstheme="minorEastAsia"/>
          <w:color w:val="auto"/>
          <w:spacing w:val="-6"/>
          <w:highlight w:val="none"/>
        </w:rPr>
        <w:fldChar w:fldCharType="end"/>
      </w:r>
      <w:r>
        <w:rPr>
          <w:rFonts w:hint="eastAsia" w:asciiTheme="minorEastAsia" w:hAnsiTheme="minorEastAsia" w:eastAsiaTheme="minorEastAsia" w:cstheme="minorEastAsia"/>
          <w:color w:val="auto"/>
          <w:spacing w:val="-6"/>
          <w:highlight w:val="none"/>
        </w:rPr>
        <w:t xml:space="preserve">） </w:t>
      </w:r>
      <w:r>
        <w:rPr>
          <w:rFonts w:hint="eastAsia" w:asciiTheme="minorEastAsia" w:hAnsiTheme="minorEastAsia" w:eastAsiaTheme="minorEastAsia" w:cstheme="minorEastAsia"/>
          <w:color w:val="auto"/>
          <w:highlight w:val="none"/>
        </w:rPr>
        <w:t>和西南大学采购与招投标管理中心网页（</w:t>
      </w:r>
      <w:r>
        <w:rPr>
          <w:color w:val="auto"/>
          <w:highlight w:val="none"/>
        </w:rPr>
        <w:fldChar w:fldCharType="begin"/>
      </w:r>
      <w:r>
        <w:rPr>
          <w:color w:val="auto"/>
          <w:highlight w:val="none"/>
        </w:rPr>
        <w:instrText xml:space="preserve"> HYPERLINK "%20http://caigou.swu.edu.cn/sfw_cms/e?page=cms.index）公告中标结果。公告期为1" </w:instrText>
      </w:r>
      <w:r>
        <w:rPr>
          <w:color w:val="auto"/>
          <w:highlight w:val="none"/>
        </w:rPr>
        <w:fldChar w:fldCharType="separate"/>
      </w:r>
      <w:r>
        <w:rPr>
          <w:rStyle w:val="29"/>
          <w:rFonts w:hint="eastAsia" w:asciiTheme="minorEastAsia" w:hAnsiTheme="minorEastAsia" w:eastAsiaTheme="minorEastAsia" w:cstheme="minorEastAsia"/>
          <w:color w:val="auto"/>
          <w:highlight w:val="none"/>
        </w:rPr>
        <w:t>http://caigou.swu.edu.cn/sfw_cms/e?page=cms.index）</w:t>
      </w:r>
      <w:r>
        <w:rPr>
          <w:rStyle w:val="29"/>
          <w:rFonts w:hint="eastAsia" w:asciiTheme="minorEastAsia" w:hAnsiTheme="minorEastAsia" w:eastAsiaTheme="minorEastAsia" w:cstheme="minorEastAsia"/>
          <w:color w:val="auto"/>
          <w:highlight w:val="none"/>
          <w:u w:val="none"/>
        </w:rPr>
        <w:t>公告中标结果。公告期为1</w:t>
      </w:r>
      <w:r>
        <w:rPr>
          <w:rStyle w:val="29"/>
          <w:rFonts w:hint="eastAsia" w:asciiTheme="minorEastAsia" w:hAnsiTheme="minorEastAsia" w:eastAsiaTheme="minorEastAsia" w:cstheme="minorEastAsia"/>
          <w:color w:val="auto"/>
          <w:highlight w:val="none"/>
          <w:u w:val="none"/>
        </w:rPr>
        <w:fldChar w:fldCharType="end"/>
      </w:r>
      <w:r>
        <w:rPr>
          <w:rFonts w:hint="eastAsia" w:asciiTheme="minorEastAsia" w:hAnsiTheme="minorEastAsia" w:eastAsiaTheme="minorEastAsia" w:cstheme="minorEastAsia"/>
          <w:color w:val="auto"/>
          <w:highlight w:val="none"/>
        </w:rPr>
        <w:t>个工作日。投标人对评标结果如有异议，须在中标结果公告期限届满之日起七个工作日内，由法定代表人或投标人代表签字并加盖单位公章，并附相关有效证明材料，以书面形式向采购人提出询问或质疑。投标人对投诉或质疑、询问内容的真实性承担法律责任。</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2.发出中标通知</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（1）采购人或采购代理机构在公告中标结果的同时向中标人发出《中标通知书》。</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（2）《中标通知书》是合同的组成部分。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3.告知招标结果</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采购人或采购代理机构在公告中标结果的同时，告知未中标人本人的评审得分和排序。</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4.签订合同</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（1）中标人应当自发出中标通知书之日起 30 日内，派遣其授权在合同上签字的代表与采购人签订合同。</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（2）招标文件、中标人的投标文件及其澄清文件等，均为签订合同的依据。</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（3）在规定期限内，中标人拒绝与采购人签订合同的，采购人可以按照评审报告推荐的中标候选人名单排序，确定下一候选人为中标人，也可以重新开展政府采购活动。</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（4）当出现法规规定的中标无效情形时，采购人可与排名下一位的中标候选人另行签订合同，或依法重新开展采购活动。</w:t>
      </w:r>
    </w:p>
    <w:p>
      <w:pPr>
        <w:spacing w:line="420" w:lineRule="exact"/>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（5）依据《政府采购促进中小企业发展管理办法》（财库﹝2020﹞46 号）的规定享受扶持政策获得政府采购合同的，小微企业不得将合同分包给大中型企业，中型企业不得将合同分包给大型企业。</w:t>
      </w:r>
    </w:p>
    <w:p>
      <w:pPr>
        <w:snapToGrid w:val="0"/>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签订合同后，成交供应商不得将货物及其他相关服务进行转包。未经采购人同意，成交供应商也不得采用分包的形式履行合同，否则采购人有权终止合同。转包或分包造成采购人损失的，成交供应商应承担相应赔偿责任并按相关法律法规进行处理。</w:t>
      </w:r>
    </w:p>
    <w:p>
      <w:pPr>
        <w:snapToGrid w:val="0"/>
        <w:spacing w:line="420" w:lineRule="exact"/>
        <w:ind w:firstLine="480" w:firstLineChars="200"/>
        <w:rPr>
          <w:rFonts w:asciiTheme="minorEastAsia" w:hAnsiTheme="minorEastAsia" w:eastAsiaTheme="minorEastAsia" w:cstheme="minorEastAsia"/>
          <w:color w:val="auto"/>
          <w:highlight w:val="none"/>
        </w:rPr>
      </w:pPr>
    </w:p>
    <w:p>
      <w:pPr>
        <w:pStyle w:val="2"/>
        <w:spacing w:line="420" w:lineRule="exact"/>
        <w:ind w:left="0"/>
        <w:rPr>
          <w:rFonts w:asciiTheme="minorEastAsia" w:hAnsiTheme="minorEastAsia" w:eastAsiaTheme="minorEastAsia" w:cstheme="minorEastAsia"/>
          <w:bCs w:val="0"/>
          <w:color w:val="auto"/>
          <w:sz w:val="30"/>
          <w:szCs w:val="30"/>
          <w:highlight w:val="none"/>
        </w:rPr>
      </w:pPr>
      <w:r>
        <w:rPr>
          <w:rFonts w:hint="eastAsia" w:asciiTheme="minorEastAsia" w:hAnsiTheme="minorEastAsia" w:eastAsiaTheme="minorEastAsia" w:cstheme="minorEastAsia"/>
          <w:bCs w:val="0"/>
          <w:color w:val="auto"/>
          <w:sz w:val="30"/>
          <w:szCs w:val="30"/>
          <w:highlight w:val="none"/>
        </w:rPr>
        <w:t>五、关于询问或质疑和投诉</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（一）质疑内容、时限</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公告期限为采购公告发出之日起五个工作日，供应商对招标文件如有询问或质疑的应在收到招标文件之日或者招标文件公告期限届满之日起七个工作日内以书面形式向采购人提出询问或质疑，质疑须附相关证明材料。</w:t>
      </w:r>
    </w:p>
    <w:p>
      <w:pPr>
        <w:pStyle w:val="46"/>
        <w:spacing w:line="48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2.投标人对中标结果有询问或质疑的，应当在中标结果公告届满之日起七个工作日内以书面形式向采购人提出，质疑须附相关证明材料。</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3.供应商在法定质疑期内针对同一采购程序环节的质疑必须一次性提出。</w:t>
      </w:r>
    </w:p>
    <w:p>
      <w:pPr>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供应商对招标文件中供应商特定资格条件、技术质量和商务要求、评审标准及评审细则有异议的，应主要向采购人提出质疑（西南大学询问或质疑受理人：杨老师，电话：023-68251032，邮箱：yangm@swu.edu.cn），其他问题可向采购代理机构提出质疑。</w:t>
      </w:r>
    </w:p>
    <w:p>
      <w:pPr>
        <w:pStyle w:val="10"/>
        <w:rPr>
          <w:rFonts w:asciiTheme="minorEastAsia" w:hAnsiTheme="minorEastAsia" w:eastAsiaTheme="minorEastAsia" w:cstheme="minorEastAsia"/>
          <w:color w:val="auto"/>
          <w:highlight w:val="none"/>
        </w:rPr>
      </w:pP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（二）询问或质疑答复时限</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采购人或采购代理机构应在收到供应商依法提出的书面质疑后7个工作日内对质疑内容作出答复；在收到供应商依法提出的询问后3个工作日内对询问内容作出答复。</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（三）不予受理或暂缓受理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1.询问或质疑有下列情形之一的，不予受理：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(1)询问或质疑超过有效期的；</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(2)对同一事项重复询问或质疑的；对同一采购程序环节的询问或质疑未一次性提出的。</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2.询问或质疑有下列情形之一的，应暂不受理并告知投标人补充材料。投标人及时补充材料的，应予受理；逾期未补充的，不予受理：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（1）询问或质疑书内容不符合政府采购相关询问或质疑投诉政策之规定的；</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（2）质疑书提供的依据或证明材料不全的；</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（3）质疑书副本数量不足的（质疑书内容涉及其他供应商，并且需要采购人处理质疑时向其他供应商进行核实的，质疑供应商未按照与质疑事项相关的供应商数量提交质疑书副本）。</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（四）询问或者质疑事项可能影响中标、中标结果的，采购人应当暂停签订合同，已经签订合同的，应当中止履行合同。</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（五）投诉</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1.投标人对采购人的答复不满意或者采购人未在规定时间内答复的，可在答复期满后十五个工作日内按有关规定，向同级财政部门投诉。</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2.在提出投诉时，应附送相关证明材料。投诉书及证明材料为外文的，应同时提供其中文译本；中文与外文意思不一致的，以中文为准。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3.在确定受理投诉后，财政部门自受理投诉之日起三十个工作日内对投诉事项做出处理决定，并将投诉处理决定书送达投诉人、被投诉人和其他与投诉处理决定有利害关系的政府采购相关当事人。</w:t>
      </w:r>
      <w:bookmarkStart w:id="117" w:name="_Toc465269272"/>
      <w:bookmarkStart w:id="118" w:name="_Toc497729855"/>
    </w:p>
    <w:p>
      <w:pPr>
        <w:pStyle w:val="7"/>
        <w:rPr>
          <w:color w:val="auto"/>
          <w:highlight w:val="none"/>
        </w:rPr>
      </w:pPr>
    </w:p>
    <w:p>
      <w:pPr>
        <w:tabs>
          <w:tab w:val="left" w:pos="2370"/>
        </w:tabs>
        <w:snapToGrid w:val="0"/>
        <w:spacing w:line="34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六、招标代理服务费</w:t>
      </w:r>
    </w:p>
    <w:p>
      <w:pPr>
        <w:widowControl/>
        <w:spacing w:line="420" w:lineRule="exact"/>
        <w:ind w:firstLine="480" w:firstLineChars="200"/>
        <w:rPr>
          <w:rFonts w:asciiTheme="minorEastAsia" w:hAnsiTheme="minorEastAsia" w:eastAsiaTheme="minorEastAsia" w:cstheme="minorEastAsia"/>
          <w:color w:val="auto"/>
          <w:highlight w:val="none"/>
        </w:rPr>
      </w:pPr>
      <w:bookmarkStart w:id="119" w:name="_Toc429584878"/>
      <w:bookmarkStart w:id="120" w:name="_Toc345318310"/>
      <w:bookmarkStart w:id="121" w:name="_Toc342983494"/>
      <w:bookmarkStart w:id="122" w:name="_Toc343881212"/>
      <w:r>
        <w:rPr>
          <w:rFonts w:hint="eastAsia" w:asciiTheme="minorEastAsia" w:hAnsiTheme="minorEastAsia" w:eastAsiaTheme="minorEastAsia" w:cstheme="minorEastAsia"/>
          <w:color w:val="auto"/>
          <w:highlight w:val="none"/>
        </w:rPr>
        <w:t xml:space="preserve">1.中标人在领取中标通知书前一次性支付给重庆联盛建设项目管理有限公司。招标代理服务费的收取标准按照以下标准执行： </w:t>
      </w:r>
    </w:p>
    <w:bookmarkEnd w:id="119"/>
    <w:bookmarkEnd w:id="120"/>
    <w:bookmarkEnd w:id="121"/>
    <w:bookmarkEnd w:id="122"/>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参照《国家发展改革委关于降低部分建设项目收费标准规范收费行为等有关问题的通知》（发改价格[2011]534号）文件及原国家计委《招标代理服务收费管理暂行办法》（[2002]1980号）文件收费标准为依据下浮50%收取；按中标（成交）金额计算的代理服务费不足1万元的，按1万元结算，超过10万元的按10万元结算。</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2、收取招标代理服务费帐户</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户名：重庆联盛建设项目管理有限公司</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开户银行：建设银行重庆江北鲤鱼池支行</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账号：50001063800059888888</w:t>
      </w: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color w:val="auto"/>
          <w:highlight w:val="none"/>
        </w:rPr>
      </w:pPr>
    </w:p>
    <w:p>
      <w:pPr>
        <w:jc w:val="center"/>
        <w:rPr>
          <w:rFonts w:asciiTheme="minorEastAsia" w:hAnsiTheme="minorEastAsia" w:eastAsiaTheme="minorEastAsia" w:cstheme="minorEastAsia"/>
          <w:b/>
          <w:color w:val="auto"/>
          <w:sz w:val="36"/>
          <w:szCs w:val="36"/>
          <w:highlight w:val="none"/>
        </w:rPr>
      </w:pPr>
      <w:bookmarkStart w:id="123" w:name="_Toc138929559"/>
      <w:r>
        <w:rPr>
          <w:rFonts w:hint="eastAsia" w:asciiTheme="minorEastAsia" w:hAnsiTheme="minorEastAsia" w:eastAsiaTheme="minorEastAsia" w:cstheme="minorEastAsia"/>
          <w:b/>
          <w:color w:val="auto"/>
          <w:sz w:val="36"/>
          <w:szCs w:val="36"/>
          <w:highlight w:val="none"/>
        </w:rPr>
        <w:t>第六篇  合同</w:t>
      </w:r>
      <w:bookmarkEnd w:id="117"/>
      <w:r>
        <w:rPr>
          <w:rFonts w:hint="eastAsia" w:asciiTheme="minorEastAsia" w:hAnsiTheme="minorEastAsia" w:eastAsiaTheme="minorEastAsia" w:cstheme="minorEastAsia"/>
          <w:b/>
          <w:color w:val="auto"/>
          <w:sz w:val="36"/>
          <w:szCs w:val="36"/>
          <w:highlight w:val="none"/>
        </w:rPr>
        <w:t>文本</w:t>
      </w:r>
      <w:bookmarkEnd w:id="118"/>
      <w:bookmarkEnd w:id="123"/>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国内供货采用《国产设备采购合同》，进口货物采用《进口设备采购合同》。本合同范本中的内容在招标文件其他地方有规定的从其规定，采购文件其他地方没有规定的按范本要求执行。请厂商在响应时特别注意，范本内容同时要求体现在技术、商务偏离表内，供应商须在技术、商务条款偏离表中进行响应。</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属于政府采购的项目采购合同按规定应当公告，请投标人（响应人）在投标文件（响应文件）中明确要求不公开的合同内容（国家规定要求公开的除外）。</w:t>
      </w:r>
    </w:p>
    <w:p>
      <w:pPr>
        <w:pStyle w:val="46"/>
        <w:spacing w:line="480" w:lineRule="exact"/>
        <w:ind w:firstLine="2409" w:firstLineChars="600"/>
        <w:jc w:val="both"/>
        <w:rPr>
          <w:rFonts w:asciiTheme="minorEastAsia" w:hAnsiTheme="minorEastAsia" w:eastAsiaTheme="minorEastAsia" w:cstheme="minorEastAsia"/>
          <w:b/>
          <w:bCs/>
          <w:color w:val="auto"/>
          <w:kern w:val="44"/>
          <w:sz w:val="40"/>
          <w:szCs w:val="40"/>
          <w:highlight w:val="none"/>
        </w:rPr>
      </w:pPr>
      <w:bookmarkStart w:id="124" w:name="_Toc449302191"/>
      <w:bookmarkStart w:id="125" w:name="_Toc528079384"/>
      <w:bookmarkStart w:id="126" w:name="_Toc528078991"/>
      <w:bookmarkStart w:id="127" w:name="_Toc449302192"/>
      <w:r>
        <w:rPr>
          <w:rFonts w:hint="eastAsia" w:asciiTheme="minorEastAsia" w:hAnsiTheme="minorEastAsia" w:eastAsiaTheme="minorEastAsia" w:cstheme="minorEastAsia"/>
          <w:b/>
          <w:bCs/>
          <w:color w:val="auto"/>
          <w:kern w:val="44"/>
          <w:sz w:val="40"/>
          <w:szCs w:val="40"/>
          <w:highlight w:val="none"/>
        </w:rPr>
        <w:t>一、</w:t>
      </w:r>
      <w:bookmarkEnd w:id="124"/>
      <w:r>
        <w:rPr>
          <w:rFonts w:hint="eastAsia" w:asciiTheme="minorEastAsia" w:hAnsiTheme="minorEastAsia" w:eastAsiaTheme="minorEastAsia" w:cstheme="minorEastAsia"/>
          <w:b/>
          <w:bCs/>
          <w:color w:val="auto"/>
          <w:kern w:val="44"/>
          <w:sz w:val="40"/>
          <w:szCs w:val="40"/>
          <w:highlight w:val="none"/>
        </w:rPr>
        <w:t>国产设备采购合同</w:t>
      </w:r>
      <w:bookmarkEnd w:id="125"/>
      <w:bookmarkEnd w:id="126"/>
    </w:p>
    <w:tbl>
      <w:tblPr>
        <w:tblStyle w:val="2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4403"/>
        <w:gridCol w:w="1962"/>
        <w:gridCol w:w="2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w:t>
            </w:r>
          </w:p>
        </w:tc>
        <w:tc>
          <w:tcPr>
            <w:tcW w:w="4403"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962"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合同编号：</w:t>
            </w:r>
          </w:p>
        </w:tc>
        <w:tc>
          <w:tcPr>
            <w:tcW w:w="2628"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w:t>
            </w:r>
          </w:p>
        </w:tc>
        <w:tc>
          <w:tcPr>
            <w:tcW w:w="4403" w:type="dxa"/>
            <w:tcBorders>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西南大学</w:t>
            </w:r>
          </w:p>
        </w:tc>
        <w:tc>
          <w:tcPr>
            <w:tcW w:w="1962" w:type="dxa"/>
            <w:tcBorders>
              <w:top w:val="nil"/>
              <w:left w:val="nil"/>
              <w:bottom w:val="nil"/>
              <w:right w:val="nil"/>
            </w:tcBorders>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需方用户单位：</w:t>
            </w:r>
          </w:p>
        </w:tc>
        <w:tc>
          <w:tcPr>
            <w:tcW w:w="2628" w:type="dxa"/>
            <w:tcBorders>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需方就所需仪器、设备（包括相关配套软件、硬件、集成系统在内，以下统称货物/产品）按照采购程序进行采购（采购项目编号：</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分包号：</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 xml:space="preserve"> ；项目名称：</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 xml:space="preserve"> ；申购业务号：</w:t>
      </w:r>
      <w:r>
        <w:rPr>
          <w:rFonts w:hint="eastAsia" w:asciiTheme="minorEastAsia" w:hAnsiTheme="minorEastAsia" w:eastAsiaTheme="minorEastAsia" w:cstheme="minorEastAsia"/>
          <w:color w:val="auto"/>
          <w:sz w:val="22"/>
          <w:szCs w:val="22"/>
          <w:highlight w:val="none"/>
          <w:u w:val="single"/>
        </w:rPr>
        <w:t xml:space="preserve">  520   </w:t>
      </w:r>
      <w:r>
        <w:rPr>
          <w:rFonts w:hint="eastAsia" w:asciiTheme="minorEastAsia" w:hAnsiTheme="minorEastAsia" w:eastAsiaTheme="minorEastAsia" w:cstheme="minorEastAsia"/>
          <w:color w:val="auto"/>
          <w:sz w:val="22"/>
          <w:szCs w:val="22"/>
          <w:highlight w:val="none"/>
        </w:rPr>
        <w:t>）后，确定供方为中标（成交）供应商。依据《中华人民共和国民法典》、《中华人民共和国政府采购法》等有关法律、法规，遵循平等、自愿、公平和诚实信用原则，供、需双方协商一致，签订本合同。</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一、采购内容（如有多个院系，按院系分类汇总）</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备注：采购内容与本合同各项文件发生抵触的，按本合同第10.1条执行；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288"/>
        <w:gridCol w:w="1725"/>
        <w:gridCol w:w="1730"/>
        <w:gridCol w:w="432"/>
        <w:gridCol w:w="590"/>
        <w:gridCol w:w="1136"/>
        <w:gridCol w:w="1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27" w:type="dxa"/>
            <w:vAlign w:val="center"/>
          </w:tcPr>
          <w:p>
            <w:pPr>
              <w:jc w:val="center"/>
              <w:rPr>
                <w:rFonts w:asciiTheme="minorEastAsia" w:hAnsiTheme="minorEastAsia" w:eastAsiaTheme="minorEastAsia" w:cstheme="minorEastAsia"/>
                <w:color w:val="auto"/>
                <w:spacing w:val="-20"/>
                <w:sz w:val="22"/>
                <w:szCs w:val="22"/>
                <w:highlight w:val="none"/>
              </w:rPr>
            </w:pPr>
            <w:r>
              <w:rPr>
                <w:rFonts w:hint="eastAsia" w:asciiTheme="minorEastAsia" w:hAnsiTheme="minorEastAsia" w:eastAsiaTheme="minorEastAsia" w:cstheme="minorEastAsia"/>
                <w:color w:val="auto"/>
                <w:spacing w:val="-20"/>
                <w:sz w:val="22"/>
                <w:szCs w:val="22"/>
                <w:highlight w:val="none"/>
              </w:rPr>
              <w:t>序号</w:t>
            </w:r>
          </w:p>
        </w:tc>
        <w:tc>
          <w:tcPr>
            <w:tcW w:w="2288"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pacing w:val="-20"/>
                <w:sz w:val="22"/>
                <w:szCs w:val="22"/>
                <w:highlight w:val="none"/>
              </w:rPr>
              <w:t>产品名称</w:t>
            </w:r>
          </w:p>
        </w:tc>
        <w:tc>
          <w:tcPr>
            <w:tcW w:w="1725"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pacing w:val="-20"/>
                <w:sz w:val="22"/>
                <w:szCs w:val="22"/>
                <w:highlight w:val="none"/>
              </w:rPr>
              <w:t>品牌及型号</w:t>
            </w:r>
          </w:p>
        </w:tc>
        <w:tc>
          <w:tcPr>
            <w:tcW w:w="1730"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产地及</w:t>
            </w:r>
          </w:p>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生产厂商</w:t>
            </w:r>
          </w:p>
        </w:tc>
        <w:tc>
          <w:tcPr>
            <w:tcW w:w="432"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单</w:t>
            </w:r>
          </w:p>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位</w:t>
            </w:r>
          </w:p>
        </w:tc>
        <w:tc>
          <w:tcPr>
            <w:tcW w:w="590"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数</w:t>
            </w:r>
          </w:p>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量</w:t>
            </w:r>
          </w:p>
        </w:tc>
        <w:tc>
          <w:tcPr>
            <w:tcW w:w="1136"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pacing w:val="-20"/>
                <w:sz w:val="22"/>
                <w:szCs w:val="22"/>
                <w:highlight w:val="none"/>
              </w:rPr>
              <w:t>单价（元）</w:t>
            </w:r>
          </w:p>
        </w:tc>
        <w:tc>
          <w:tcPr>
            <w:tcW w:w="1334" w:type="dxa"/>
            <w:vAlign w:val="center"/>
          </w:tcPr>
          <w:p>
            <w:pPr>
              <w:jc w:val="center"/>
              <w:rPr>
                <w:rFonts w:asciiTheme="minorEastAsia" w:hAnsiTheme="minorEastAsia" w:eastAsiaTheme="minorEastAsia" w:cstheme="minorEastAsia"/>
                <w:color w:val="auto"/>
                <w:spacing w:val="-20"/>
                <w:sz w:val="22"/>
                <w:szCs w:val="22"/>
                <w:highlight w:val="none"/>
              </w:rPr>
            </w:pPr>
            <w:r>
              <w:rPr>
                <w:rFonts w:hint="eastAsia" w:asciiTheme="minorEastAsia" w:hAnsiTheme="minorEastAsia" w:eastAsiaTheme="minorEastAsia" w:cstheme="minorEastAsia"/>
                <w:color w:val="auto"/>
                <w:spacing w:val="-20"/>
                <w:sz w:val="22"/>
                <w:szCs w:val="22"/>
                <w:highlight w:val="none"/>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w:t>
            </w:r>
          </w:p>
        </w:tc>
        <w:tc>
          <w:tcPr>
            <w:tcW w:w="2288" w:type="dxa"/>
            <w:vAlign w:val="center"/>
          </w:tcPr>
          <w:p>
            <w:pPr>
              <w:spacing w:line="440" w:lineRule="exact"/>
              <w:ind w:right="82" w:rightChars="34"/>
              <w:rPr>
                <w:rFonts w:asciiTheme="minorEastAsia" w:hAnsiTheme="minorEastAsia" w:eastAsiaTheme="minorEastAsia" w:cstheme="minorEastAsia"/>
                <w:color w:val="auto"/>
                <w:sz w:val="22"/>
                <w:szCs w:val="22"/>
                <w:highlight w:val="none"/>
              </w:rPr>
            </w:pPr>
          </w:p>
        </w:tc>
        <w:tc>
          <w:tcPr>
            <w:tcW w:w="1725"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1730" w:type="dxa"/>
            <w:vAlign w:val="center"/>
          </w:tcPr>
          <w:p>
            <w:pPr>
              <w:rPr>
                <w:rFonts w:asciiTheme="minorEastAsia" w:hAnsiTheme="minorEastAsia" w:eastAsiaTheme="minorEastAsia" w:cstheme="minorEastAsia"/>
                <w:color w:val="auto"/>
                <w:sz w:val="22"/>
                <w:szCs w:val="22"/>
                <w:highlight w:val="none"/>
              </w:rPr>
            </w:pPr>
          </w:p>
        </w:tc>
        <w:tc>
          <w:tcPr>
            <w:tcW w:w="432"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590"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color w:val="auto"/>
                <w:sz w:val="22"/>
                <w:szCs w:val="22"/>
                <w:highlight w:val="none"/>
              </w:rPr>
            </w:pPr>
          </w:p>
        </w:tc>
        <w:tc>
          <w:tcPr>
            <w:tcW w:w="1334" w:type="dxa"/>
            <w:tcMar>
              <w:left w:w="0" w:type="dxa"/>
              <w:right w:w="0" w:type="dxa"/>
            </w:tcMar>
            <w:vAlign w:val="center"/>
          </w:tcPr>
          <w:p>
            <w:pPr>
              <w:jc w:val="right"/>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color w:val="auto"/>
                <w:sz w:val="22"/>
                <w:szCs w:val="22"/>
                <w:highlight w:val="none"/>
              </w:rPr>
            </w:pPr>
          </w:p>
        </w:tc>
        <w:tc>
          <w:tcPr>
            <w:tcW w:w="9235" w:type="dxa"/>
            <w:gridSpan w:val="7"/>
            <w:vAlign w:val="center"/>
          </w:tcPr>
          <w:p>
            <w:pP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w:t>
            </w:r>
          </w:p>
        </w:tc>
        <w:tc>
          <w:tcPr>
            <w:tcW w:w="2288" w:type="dxa"/>
            <w:vAlign w:val="center"/>
          </w:tcPr>
          <w:p>
            <w:pPr>
              <w:spacing w:line="440" w:lineRule="exact"/>
              <w:ind w:right="82" w:rightChars="34"/>
              <w:rPr>
                <w:rFonts w:asciiTheme="minorEastAsia" w:hAnsiTheme="minorEastAsia" w:eastAsiaTheme="minorEastAsia" w:cstheme="minorEastAsia"/>
                <w:color w:val="auto"/>
                <w:sz w:val="22"/>
                <w:szCs w:val="22"/>
                <w:highlight w:val="none"/>
              </w:rPr>
            </w:pPr>
          </w:p>
        </w:tc>
        <w:tc>
          <w:tcPr>
            <w:tcW w:w="1725"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1730" w:type="dxa"/>
            <w:vAlign w:val="center"/>
          </w:tcPr>
          <w:p>
            <w:pPr>
              <w:rPr>
                <w:rFonts w:asciiTheme="minorEastAsia" w:hAnsiTheme="minorEastAsia" w:eastAsiaTheme="minorEastAsia" w:cstheme="minorEastAsia"/>
                <w:color w:val="auto"/>
                <w:sz w:val="22"/>
                <w:szCs w:val="22"/>
                <w:highlight w:val="none"/>
              </w:rPr>
            </w:pPr>
          </w:p>
        </w:tc>
        <w:tc>
          <w:tcPr>
            <w:tcW w:w="432"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590"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color w:val="auto"/>
                <w:sz w:val="22"/>
                <w:szCs w:val="22"/>
                <w:highlight w:val="none"/>
              </w:rPr>
            </w:pPr>
          </w:p>
        </w:tc>
        <w:tc>
          <w:tcPr>
            <w:tcW w:w="1334" w:type="dxa"/>
            <w:tcMar>
              <w:left w:w="0" w:type="dxa"/>
              <w:right w:w="0" w:type="dxa"/>
            </w:tcMar>
            <w:vAlign w:val="center"/>
          </w:tcPr>
          <w:p>
            <w:pPr>
              <w:jc w:val="right"/>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color w:val="auto"/>
                <w:sz w:val="22"/>
                <w:szCs w:val="22"/>
                <w:highlight w:val="none"/>
              </w:rPr>
            </w:pPr>
          </w:p>
        </w:tc>
        <w:tc>
          <w:tcPr>
            <w:tcW w:w="9235" w:type="dxa"/>
            <w:gridSpan w:val="7"/>
            <w:vAlign w:val="center"/>
          </w:tcPr>
          <w:p>
            <w:pP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技术指标：</w:t>
            </w: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二、合同总价</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2.1合同总价为人民币大写：                元整，小写：￥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2.2本合同执行固定价格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*三、质量要求与技术标准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3.1供方须提供全新的、原厂包装的货物（含零部件、配件、附件、随机工具等），表面无划伤、无碰撞痕迹，内部无瑕疵。供方不收回包装。</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3.2供方提供的货物应完全符合本合同及各项文件中需方提出的，以及供方承诺的产品名称、品牌、型号、产地及生产厂商、规格配置、参数性能等各项要求与使用目的，应能够正常运行与使用。</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3.3供方提供的货物必须符合国家、行业、生产厂商及本合同各项文件要求的技术标准、安全质量标准、环保标准、售后服务标准。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上述标准为协议签订时有效的最新标准。上述标准不一致的，以要求高者为准。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3.4供方承诺并保证对其所提供的货物均享有合法权利的，不会侵犯第三方知识产权、所有权及其它合法权益。</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3.5（采购文件对技术标准有详细要求的，可于本款载明；此条款根据投标或投标文件承诺内容选择填写）。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四、交货及验收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*4.1交货期限、地点、方式</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4.1.1交货期限：供方应在合同签订生效后的     日内完全交货。供方应在交货前至少提前     工作日以书面或电子文件形式通知需方准备收货。</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*4.1.2交货方式：供方免费送货到 西南大学 指定位置，交需方用户单位。装卸和搬运均由供方负责，费用均由供方自行承担。</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4.1.3需方指定收货人：            ，电话: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*4.2外观和数量验收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4.2.1交货时，由供方和需方用户单位当场进行货物品名、数量、品牌、产地及生产厂商、型号及外观验收，并形成书面验收记录。货物零部件、配件、附件、随机工具等的外观和数量验收以配置清单为准。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4.2.2外观和数量验收记录由需方指定收货人签字，并加盖用户单位公章方为有效。外观和数量验收记录仅证明已按现状收到若干具体单位数量的货物。</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4.3供方应于交货后    个工作日内，或者于需方用户单位指定时间内派专业人员到现场免费安装调试，并达到正常运行状态。</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4.4质量性能验收（此条款根据投标或投标文件承诺内容选择填写）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4.4.1安装调试完毕并试运行   个工作日后，供方可提出书面验收申请。货物采用以下第（    ）种方式进行质量性能验收：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（1）由需方组织质量性能验收，供方配合进行；验收合格的，由需方出具质量性能验收报告，验收合格时间以报告中需方确认的最后时间为准。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（2）由    方聘请具有相应检验资格的中介机构进行检验，检验费用由    方承担。</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（3）由    方提请政府机构进行检验，检验费用由    方承担；验收合格时间以需方收到政府机构检验合格报告时间为准。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（4）其他验收方式：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4.4.2质量性能验收标准按本合同第三条约定的标准执行。</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4.4.3若供方拒绝在验收不合格的报告上签字的，应在    日内提出书面意见，并提交相关证据证明，否则视为供方认可该验收报告。</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4.5 供方应将所提供货物的清单、零部件、配件、附近、随机工具以及用户使用手册、质量合格证书、保修证书、产品使用说明书等资料按照本合同第4.1条、第4.2条之约定与货物一并交付给需方用户单位；供方不能完整交付货物及本款规定的单证和工具的，必须在交货期内限内补齐，否则视为未完全交货。</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4.6 验收时如发现所交付的货物有短装、次品、损坏、不能正常运行或其它不符合本合同及项目其他文件规定的标准与要求之情形者，供方与需方（或需方用户单位）共同做出详尽的现场记录或者签署备忘录，由此产生的时间延误与有关费用由供方承担，交货及验收期限不作相应顺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4.7（用户单位对验收有其他要求的，可于本款载明，但应根据投标或投标文件承诺内容填写；）。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五、培训</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5.1 安装调试合格后，由需方用户单位与供方共同商定培训时间，培训地点由需方指定。</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5.2 供方向需方免费提供培训，培训内容与方式如下：</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供方提供必要的培训资料，并指派专业人员就所供货物的组装、试运行、运行、使用、维护、保养等对需方人员进行培训，直至全面掌握为止/（（培训的具体内容根据投标文件响应内容填写）。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5.3 完成培训后，供方才能要求需方支付货款。</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六、 付款模式（根据招标文件规定选择）</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模式一（此条款根据投标或投标文件承诺内容填写，付款模式三选一，删除其余模式）</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====================履约保证金付款模式========================</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纳合同总价的    %（计人民币大写          元整，小写￥          ）作履约保证金；需方收到质保金后  3  个工作日内，根据合同及数量验收记录向供方支付100%的合同总价款，计人民币大写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6.1.2本合同中货物质量性能验收合格且培训工作完成后  7  个工作日内，需方向供方无息退还作为履约保证金的合同总价的   %，计人民币大写             元整，小写￥            元。</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6.1.3质量性能验收合格之日起 1 年内若无遗留问题，需方将剩余履约保证金（合同总价的   % ）无息退还供方；若有尚未解决的遗留问题，暂不予退还。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====================进度款付款模式========================</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模式二</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纳合同总价的  5  %（计人民币大写            元整，小写￥          ）作履约保证金；需方收到履约保证金后  7  个工作日内，根据合同及数量验收记录向供方支付合同总额80%的进度款，计人民币大写             元整，小写￥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6.1.2本合同中货物质量性能验收合格且培训工作完成后  7  个工作日内，需方</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向供方支付合同总价的20%进度款（即余款），计人民币大写             元整，小写￥            元。</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6.1.3质量性能验收合格之日起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模式三</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======================验收合格后付款模式========================</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6.1.1质量性能验收合格后  3  个工作日内，供方向需方交纳合同总价的  5  %（计人民币大写         元整，小写￥          ）作履约保证金；需方收到履约保证金后  7  个工作日内，向供方支付100%的合同总价款，计人民币大写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6.1.2质量性能验收合格之日起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6.2需方每次向供方付款前，供方应该先行向需方提供等额正式增值税专用发票。</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货款及质保金均以银行转账方式支付。</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3"/>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4"/>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西南大学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工行重庆朝阳支行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102653000474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重庆市北碚区天生路2号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填写经办人及联系电话</w:t>
            </w: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七、售后服务</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7.1质保期为质量性能验收合格后    年，本合同约定的质保期与货物保修证书或国家规定不一致的，以时间较长者为准。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7.2 质保期内供方应按不低于国家法律法规规定的、货物保修证书及其他资料载明的、本合同及项目其他文件要求的内容提供质保服务，质保期内的所有服务及产生的费用均由供方承担。</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*7.3 质保范围：本合同所涵盖的供方提供的所有货物，包括但不限于本合同列明的所有仪器、设备的硬件、软件、集成系统及其零部件、配件、随机工具和赠品等。/包括但不限于以下内容：（根据投标或投标文件承诺内容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 质保服务内容</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7.4.1 质保期内出现质量问题，供方在接到电话通知后    小时内响应到场，    小时内指派专业人员完成修复，确保货物正常运行；未在前述时间内响应的，视为拒绝维修。售后服务维修中使用的备品备件及易损件应为原厂配件，未经需方同意不得使用非原厂配件。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7.4.2 在本合同约定时间内不能修复的，供方予以免费更换或提供相同功能档次的货物予以临时调换，保证需方的正常使用。</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7.4.3 更换的货物及其软件、硬件、集成系统及其零部件、配件、附近、随机工具和赠品等应全新、合格，与原件品牌、规格、型号等一致，符合本合同质量要求。需方有权要求对更换的货物等重新组织验收。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7.4.4 临时调换后，供方应在需方确定的时限内对货物尽快修复，同时，需方有权随时了解或检查货物修复进度。</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7.4.5 质保期内的货物维护保养：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7.4.6 其他质保服务：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 仪器设备配套软件（硬件）的质保服务内容</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7.5.1 供方应在质保期内对软件（硬件）免费升级，免费提供技术支持，免费解决软件（硬件）使用过程中的故障、意外。</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7.5.2 供方对其提供的软件（硬件）自身漏洞、故障，应在接到需方电话通知后    日内免费修复。</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7.5.3 对定制软件或集成系统的其他质保服务：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7.5.4 供方提供的软件（硬件）出现本合同第7.5条未规定的情况的，适用本合同第七条对售后服务的其他规定。</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7.6 货物发生质量问题，由供方进行维修、更换的，维修或更换件的质保期相应延长。</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7.7 供方须指派专人负责与需方联系售后服务事宜：</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供方售后服务联系人：              ，联系电话：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7.8 质保期后服务：终身免费上门维修；涉及配件更换只收配件成本费。</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*八、违约责任（若有异议，请根据行业标准填写，并与用户确认，或根据投标投标文件、承诺内容填写）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8.1需方无正当理由拒收仪器设备的，应向供方支付合同总价 10 %的违约金。需方无正当理由逾期收货的，每天按合同总价的 5 ‰向供方支付违约金。需方无正当理由逾期付款的，每天按逾期付款金额的 5 ‰向供方支付违约金。</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8.2供方有以下违约行为之一的，应当在需方指定期间内完成整改，指定的期间内每日按合同总价的 5 ‰向需方支付违约金；供方在指定期限内未完成整改的，需方有权解除合同或部分退货，并要求供方另行支付合同总价 20 %的违约金。</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（1）逾期交货（包括不完全交货）的；</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（2）未在合同约定时间内完成安装调试的；</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（3）质量性能验收不合格的；</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（4）违反合同其他约定的。</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8.3质保期内，如货物经供方 3 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（1）解除合同或部分退货，供方向需方支付合同总价款 20 %的违约金；</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（2）需方使用质保金自行或请第三方进行维修、更换，供方应对维修、更换的方案和所产生的费用无条件予以完全认可；质保金不足以支付的，超出部分由供方承担。</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8.5未经需方书面同意，供方不得在市场宣传中使用与需方的合作案列，不得将需方作为业务伙伴进行宣传，不得使用需方的校名、校徽、商标、标志语等；若违反上述约定，应按合同总价的 20 %向需方支付违约金。</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8.6 因货物质量问题造成需方或其他任何人员伤、亡或财产损失的，由供方承担全部赔偿责任；需方先行垫付的，有权向供方追偿。</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 20 %向需方支付违约金。</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8.8供方未按合同约定支付违约金、赔偿金或相关费用的，需方有权从质保金中扣除相应金额，但这并不意味着对供方违约责任、赔偿责任全部或部分的豁免或解除。</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需方根据合同约定使用或扣除质保金后，供方应在需方指定的限期内补足质保金；限期内未能补足的，需方每天按质保金总额的 5 %继续扣除或计算逾期违约金。</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8.9双方同意，本合同所约定的违约金不能不能填补并赔偿因违约行为给守约方造成损失的，违约方还应对损失进行赔偿；前述损失包括守约方为维权所支出的必要费用（包括但不限于律师费、差旅费等）。</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九、争议解决办法</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合同履行期间,若双方发生争议，应友好协商解决，协商不成的，可依法向需方所在地人民法院提起诉讼。</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十、其他</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10.1本合同中“项目其他文件”系指本合同首部载明的采购项目的招标（采购）文件、澄清表（函）、投标（响应）文件（含特殊承诺）、中标（中标）通知书等。前述文件均为本合同不可分割的部分。前述文件之间若发生抵触，应以以下优先顺序为准：本合同、本合签订后双方拟定的书面补充合同、投标时的特殊承诺函、澄清文件、投标（响应）文件、招标（采购）文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10.2 双方确认下列地址为文书送达地址，并按照下列地址送达函件、诉讼文书、供货订单等各类文书。若一方根据下列地址（或对方通知的变更后的地址）向对方送达时发生收件人拒收或者其他无法送达的情形，则发出函件、诉讼文书、供货订单等文书之日起的第10日视为送达对方之日。</w:t>
      </w:r>
    </w:p>
    <w:tbl>
      <w:tblPr>
        <w:tblStyle w:val="24"/>
        <w:tblW w:w="0" w:type="auto"/>
        <w:tblInd w:w="0" w:type="dxa"/>
        <w:tblLayout w:type="fixed"/>
        <w:tblCellMar>
          <w:top w:w="0" w:type="dxa"/>
          <w:left w:w="108" w:type="dxa"/>
          <w:bottom w:w="0" w:type="dxa"/>
          <w:right w:w="108" w:type="dxa"/>
        </w:tblCellMar>
      </w:tblPr>
      <w:tblGrid>
        <w:gridCol w:w="2064"/>
        <w:gridCol w:w="4080"/>
        <w:gridCol w:w="1327"/>
        <w:gridCol w:w="2491"/>
      </w:tblGrid>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供方通讯地址：</w:t>
            </w:r>
          </w:p>
        </w:tc>
        <w:tc>
          <w:tcPr>
            <w:tcW w:w="4080"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327"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联系邮箱：</w:t>
            </w:r>
          </w:p>
        </w:tc>
        <w:tc>
          <w:tcPr>
            <w:tcW w:w="2491"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327"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需方通讯地址：</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327"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联系邮箱：</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327"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一方变更本合同中约定的收货人、售后服务联系人、送达地址、联系方式或联系人而未书面通知对方的，视为原约定仍有效。</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10.3 本合同未经双方协商一致，不得变更。</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10.4 如有未尽事宜，由双方依法订立书面补充合同。</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10.5本合同一式六份，供方一份，需方五份（采招中心一份，设备处两份，用户单位两份），自双方签字盖章之日起生效，每份具有同等法律效力。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-----------------------------以下无正文--------------------------------</w:t>
      </w:r>
    </w:p>
    <w:tbl>
      <w:tblPr>
        <w:tblStyle w:val="24"/>
        <w:tblpPr w:leftFromText="180" w:rightFromText="180" w:vertAnchor="text" w:horzAnchor="page" w:tblpX="1117" w:tblpY="444"/>
        <w:tblOverlap w:val="never"/>
        <w:tblW w:w="0" w:type="auto"/>
        <w:tblInd w:w="0" w:type="dxa"/>
        <w:tblLayout w:type="fixed"/>
        <w:tblCellMar>
          <w:top w:w="0" w:type="dxa"/>
          <w:left w:w="108" w:type="dxa"/>
          <w:bottom w:w="0" w:type="dxa"/>
          <w:right w:w="108" w:type="dxa"/>
        </w:tblCellMar>
      </w:tblPr>
      <w:tblGrid>
        <w:gridCol w:w="4981"/>
        <w:gridCol w:w="4981"/>
      </w:tblGrid>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供方（盖章）：</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需方（合同章）：西南大学</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法定代表人：</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法定代表人：张卫国</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地址：</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地址：重庆市北碚区天生路2号</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电话：</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邮编:400715</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授权代表人（签字）：</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授权代表人（签字）：(二级单位主要负责人)</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签约日期：      年     月     日</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签约日期：      年     月     日</w:t>
            </w: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sectPr>
          <w:headerReference r:id="rId14" w:type="first"/>
          <w:footerReference r:id="rId17" w:type="first"/>
          <w:headerReference r:id="rId12" w:type="default"/>
          <w:footerReference r:id="rId15" w:type="default"/>
          <w:headerReference r:id="rId13" w:type="even"/>
          <w:footerReference r:id="rId16" w:type="even"/>
          <w:pgSz w:w="11906" w:h="16838"/>
          <w:pgMar w:top="1134" w:right="1134" w:bottom="1134" w:left="1134" w:header="851" w:footer="851" w:gutter="0"/>
          <w:cols w:space="720" w:num="1"/>
          <w:docGrid w:linePitch="326" w:charSpace="0"/>
        </w:sectPr>
      </w:pPr>
    </w:p>
    <w:p>
      <w:pPr>
        <w:pStyle w:val="10"/>
        <w:spacing w:line="400" w:lineRule="exact"/>
        <w:ind w:firstLine="640" w:firstLineChars="200"/>
        <w:jc w:val="center"/>
        <w:rPr>
          <w:rFonts w:asciiTheme="minorEastAsia" w:hAnsiTheme="minorEastAsia" w:eastAsiaTheme="minorEastAsia" w:cstheme="minorEastAsia"/>
          <w:b/>
          <w:color w:val="auto"/>
          <w:kern w:val="44"/>
          <w:sz w:val="44"/>
          <w:szCs w:val="28"/>
          <w:highlight w:val="none"/>
        </w:rPr>
      </w:pPr>
      <w:r>
        <w:rPr>
          <w:rFonts w:hint="eastAsia" w:asciiTheme="minorEastAsia" w:hAnsiTheme="minorEastAsia" w:eastAsiaTheme="minorEastAsia" w:cstheme="minorEastAsia"/>
          <w:color w:val="auto"/>
          <w:sz w:val="32"/>
          <w:szCs w:val="32"/>
          <w:highlight w:val="none"/>
        </w:rPr>
        <w:t>二、</w:t>
      </w:r>
      <w:bookmarkEnd w:id="127"/>
      <w:r>
        <w:rPr>
          <w:rFonts w:hint="eastAsia" w:asciiTheme="minorEastAsia" w:hAnsiTheme="minorEastAsia" w:eastAsiaTheme="minorEastAsia" w:cstheme="minorEastAsia"/>
          <w:b/>
          <w:color w:val="auto"/>
          <w:kern w:val="44"/>
          <w:sz w:val="32"/>
          <w:szCs w:val="32"/>
          <w:highlight w:val="none"/>
        </w:rPr>
        <w:t>进口仪器设备采购合同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191"/>
        <w:gridCol w:w="1929"/>
        <w:gridCol w:w="975"/>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tcBorders>
              <w:top w:val="nil"/>
              <w:left w:val="nil"/>
              <w:bottom w:val="nil"/>
              <w:right w:val="nil"/>
            </w:tcBorders>
          </w:tcPr>
          <w:p>
            <w:pPr>
              <w:spacing w:line="288"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供方：</w:t>
            </w:r>
          </w:p>
        </w:tc>
        <w:tc>
          <w:tcPr>
            <w:tcW w:w="4191" w:type="dxa"/>
            <w:tcBorders>
              <w:top w:val="nil"/>
              <w:left w:val="nil"/>
              <w:right w:val="nil"/>
            </w:tcBorders>
          </w:tcPr>
          <w:p>
            <w:pPr>
              <w:spacing w:line="288" w:lineRule="auto"/>
              <w:rPr>
                <w:rFonts w:asciiTheme="minorEastAsia" w:hAnsiTheme="minorEastAsia" w:eastAsiaTheme="minorEastAsia" w:cstheme="minorEastAsia"/>
                <w:b/>
                <w:bCs/>
                <w:color w:val="auto"/>
                <w:sz w:val="21"/>
                <w:szCs w:val="21"/>
                <w:highlight w:val="none"/>
              </w:rPr>
            </w:pPr>
          </w:p>
        </w:tc>
        <w:tc>
          <w:tcPr>
            <w:tcW w:w="2904" w:type="dxa"/>
            <w:gridSpan w:val="2"/>
            <w:tcBorders>
              <w:top w:val="nil"/>
              <w:left w:val="nil"/>
              <w:bottom w:val="nil"/>
              <w:right w:val="nil"/>
            </w:tcBorders>
          </w:tcPr>
          <w:p>
            <w:pPr>
              <w:wordWrap w:val="0"/>
              <w:spacing w:line="288" w:lineRule="auto"/>
              <w:jc w:val="righ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合同编号</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[2023]CS</w:t>
            </w:r>
          </w:p>
        </w:tc>
        <w:tc>
          <w:tcPr>
            <w:tcW w:w="1914" w:type="dxa"/>
            <w:tcBorders>
              <w:top w:val="nil"/>
              <w:left w:val="nil"/>
              <w:right w:val="nil"/>
            </w:tcBorders>
          </w:tcPr>
          <w:p>
            <w:pPr>
              <w:wordWrap w:val="0"/>
              <w:spacing w:line="288" w:lineRule="auto"/>
              <w:rPr>
                <w:rFonts w:asciiTheme="minorEastAsia" w:hAnsiTheme="minorEastAsia" w:eastAsiaTheme="minorEastAsia" w:cstheme="minorEastAsia"/>
                <w:b/>
                <w:bCs/>
                <w:vanish/>
                <w:color w:val="auto"/>
                <w:sz w:val="21"/>
                <w:szCs w:val="21"/>
                <w:highlight w:val="none"/>
              </w:rPr>
            </w:pPr>
            <w:r>
              <w:rPr>
                <w:rFonts w:hint="eastAsia" w:asciiTheme="minorEastAsia" w:hAnsiTheme="minorEastAsia" w:eastAsiaTheme="minorEastAsia" w:cstheme="minorEastAsia"/>
                <w:b/>
                <w:bCs/>
                <w:vanish/>
                <w:color w:val="auto"/>
                <w:sz w:val="21"/>
                <w:szCs w:val="21"/>
                <w:highlight w:val="none"/>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9" w:type="dxa"/>
            <w:tcBorders>
              <w:top w:val="nil"/>
              <w:left w:val="nil"/>
              <w:bottom w:val="nil"/>
              <w:right w:val="nil"/>
            </w:tcBorders>
          </w:tcPr>
          <w:p>
            <w:pPr>
              <w:wordWrap w:val="0"/>
              <w:spacing w:line="288"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需方：</w:t>
            </w:r>
          </w:p>
        </w:tc>
        <w:tc>
          <w:tcPr>
            <w:tcW w:w="4191" w:type="dxa"/>
            <w:tcBorders>
              <w:left w:val="nil"/>
              <w:right w:val="nil"/>
            </w:tcBorders>
          </w:tcPr>
          <w:p>
            <w:pPr>
              <w:wordWrap w:val="0"/>
              <w:spacing w:line="288"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西南大学</w:t>
            </w:r>
          </w:p>
        </w:tc>
        <w:tc>
          <w:tcPr>
            <w:tcW w:w="1929" w:type="dxa"/>
            <w:tcBorders>
              <w:top w:val="nil"/>
              <w:left w:val="nil"/>
              <w:bottom w:val="nil"/>
              <w:right w:val="nil"/>
            </w:tcBorders>
          </w:tcPr>
          <w:p>
            <w:pPr>
              <w:wordWrap w:val="0"/>
              <w:spacing w:line="288" w:lineRule="auto"/>
              <w:jc w:val="right"/>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需方用户单位：</w:t>
            </w:r>
          </w:p>
        </w:tc>
        <w:tc>
          <w:tcPr>
            <w:tcW w:w="2889" w:type="dxa"/>
            <w:gridSpan w:val="2"/>
            <w:tcBorders>
              <w:left w:val="nil"/>
              <w:right w:val="nil"/>
            </w:tcBorders>
          </w:tcPr>
          <w:p>
            <w:pPr>
              <w:wordWrap w:val="0"/>
              <w:spacing w:line="288" w:lineRule="auto"/>
              <w:rPr>
                <w:rFonts w:asciiTheme="minorEastAsia" w:hAnsiTheme="minorEastAsia" w:eastAsiaTheme="minorEastAsia" w:cstheme="minorEastAsia"/>
                <w:color w:val="auto"/>
                <w:sz w:val="21"/>
                <w:szCs w:val="21"/>
                <w:highlight w:val="none"/>
              </w:rPr>
            </w:pPr>
          </w:p>
        </w:tc>
      </w:tr>
    </w:tbl>
    <w:p>
      <w:pPr>
        <w:spacing w:line="288"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                                 </w:t>
      </w:r>
    </w:p>
    <w:p>
      <w:pPr>
        <w:spacing w:line="288"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需方就所需进口仪器设备（包括相关配套软件、硬件、集成系统在内，以下统称货物）按照采购程序进行采购（采购项目编号：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，分包：</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）后，确定供方为中标（成交）供应商。依据《中华人民共和国政府采购法》、《中华人民共和国民法典》等有关法律、法规，遵循平等、自愿、公平和诚实信用原则，供、需双方协商一致，签订本合同。</w:t>
      </w:r>
    </w:p>
    <w:p>
      <w:pPr>
        <w:spacing w:line="288"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一、商务条款</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1.1 货物清单</w:t>
      </w:r>
    </w:p>
    <w:tbl>
      <w:tblPr>
        <w:tblStyle w:val="24"/>
        <w:tblW w:w="9834" w:type="dxa"/>
        <w:tblCellSpacing w:w="0"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138"/>
        <w:gridCol w:w="913"/>
        <w:gridCol w:w="550"/>
        <w:gridCol w:w="782"/>
        <w:gridCol w:w="782"/>
        <w:gridCol w:w="782"/>
        <w:gridCol w:w="683"/>
        <w:gridCol w:w="1031"/>
        <w:gridCol w:w="1117"/>
        <w:gridCol w:w="2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412"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913" w:type="dxa"/>
            <w:vAlign w:val="center"/>
          </w:tcPr>
          <w:p>
            <w:pPr>
              <w:widowControl/>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申购号</w:t>
            </w:r>
          </w:p>
        </w:tc>
        <w:tc>
          <w:tcPr>
            <w:tcW w:w="3579" w:type="dxa"/>
            <w:gridSpan w:val="5"/>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031"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经费号</w:t>
            </w:r>
          </w:p>
        </w:tc>
        <w:tc>
          <w:tcPr>
            <w:tcW w:w="3173" w:type="dxa"/>
            <w:gridSpan w:val="2"/>
            <w:vAlign w:val="center"/>
          </w:tcPr>
          <w:p>
            <w:pPr>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136"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中文名称</w:t>
            </w:r>
          </w:p>
        </w:tc>
        <w:tc>
          <w:tcPr>
            <w:tcW w:w="5523" w:type="dxa"/>
            <w:gridSpan w:val="7"/>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117" w:type="dxa"/>
            <w:vMerge w:val="restart"/>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制造厂家</w:t>
            </w:r>
          </w:p>
        </w:tc>
        <w:tc>
          <w:tcPr>
            <w:tcW w:w="2056" w:type="dxa"/>
            <w:vMerge w:val="restart"/>
            <w:vAlign w:val="center"/>
          </w:tcPr>
          <w:p>
            <w:pPr>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90"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英文名称</w:t>
            </w:r>
          </w:p>
        </w:tc>
        <w:tc>
          <w:tcPr>
            <w:tcW w:w="5523" w:type="dxa"/>
            <w:gridSpan w:val="7"/>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117" w:type="dxa"/>
            <w:vMerge w:val="continue"/>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p>
        </w:tc>
        <w:tc>
          <w:tcPr>
            <w:tcW w:w="2056" w:type="dxa"/>
            <w:vMerge w:val="continue"/>
            <w:vAlign w:val="center"/>
          </w:tcPr>
          <w:p>
            <w:pPr>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品牌</w:t>
            </w:r>
          </w:p>
        </w:tc>
        <w:tc>
          <w:tcPr>
            <w:tcW w:w="2245" w:type="dxa"/>
            <w:gridSpan w:val="3"/>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782"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型号</w:t>
            </w:r>
          </w:p>
        </w:tc>
        <w:tc>
          <w:tcPr>
            <w:tcW w:w="2496" w:type="dxa"/>
            <w:gridSpan w:val="3"/>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117"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生产国别</w:t>
            </w:r>
          </w:p>
        </w:tc>
        <w:tc>
          <w:tcPr>
            <w:tcW w:w="2056" w:type="dxa"/>
            <w:vAlign w:val="center"/>
          </w:tcPr>
          <w:p>
            <w:pPr>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w:t>
            </w:r>
          </w:p>
        </w:tc>
        <w:tc>
          <w:tcPr>
            <w:tcW w:w="1463" w:type="dxa"/>
            <w:gridSpan w:val="2"/>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p>
        </w:tc>
        <w:tc>
          <w:tcPr>
            <w:tcW w:w="782"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数量</w:t>
            </w:r>
          </w:p>
        </w:tc>
        <w:tc>
          <w:tcPr>
            <w:tcW w:w="782"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p>
        </w:tc>
        <w:tc>
          <w:tcPr>
            <w:tcW w:w="782"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单价</w:t>
            </w:r>
          </w:p>
        </w:tc>
        <w:tc>
          <w:tcPr>
            <w:tcW w:w="1714" w:type="dxa"/>
            <w:gridSpan w:val="2"/>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117"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小计</w:t>
            </w:r>
          </w:p>
        </w:tc>
        <w:tc>
          <w:tcPr>
            <w:tcW w:w="2056" w:type="dxa"/>
            <w:vAlign w:val="center"/>
          </w:tcPr>
          <w:p>
            <w:pPr>
              <w:widowControl/>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规格技术参数：</w:t>
            </w:r>
          </w:p>
          <w:p>
            <w:pPr>
              <w:widowControl/>
              <w:spacing w:line="288"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配置清单：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合同总价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vanish/>
                <w:color w:val="auto"/>
                <w:sz w:val="21"/>
                <w:szCs w:val="21"/>
                <w:highlight w:val="none"/>
                <w:u w:val="single"/>
              </w:rPr>
              <w:t>此处填写</w:t>
            </w:r>
            <w:r>
              <w:rPr>
                <w:rFonts w:hint="eastAsia" w:asciiTheme="minorEastAsia" w:hAnsiTheme="minorEastAsia" w:eastAsiaTheme="minorEastAsia" w:cstheme="minorEastAsia"/>
                <w:vanish/>
                <w:color w:val="auto"/>
                <w:sz w:val="21"/>
                <w:szCs w:val="21"/>
                <w:highlight w:val="none"/>
              </w:rPr>
              <w:t>币种</w:t>
            </w:r>
            <w:r>
              <w:rPr>
                <w:rFonts w:hint="eastAsia" w:asciiTheme="minorEastAsia" w:hAnsiTheme="minorEastAsia" w:eastAsiaTheme="minorEastAsia" w:cstheme="minorEastAsia"/>
                <w:color w:val="auto"/>
                <w:sz w:val="21"/>
                <w:szCs w:val="21"/>
                <w:highlight w:val="none"/>
              </w:rPr>
              <w:t>(大写):</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(小写:</w:t>
            </w:r>
            <w:r>
              <w:rPr>
                <w:rFonts w:hint="eastAsia" w:asciiTheme="minorEastAsia" w:hAnsiTheme="minorEastAsia" w:eastAsiaTheme="minorEastAsia" w:cstheme="minorEastAsia"/>
                <w:vanish/>
                <w:color w:val="auto"/>
                <w:sz w:val="21"/>
                <w:szCs w:val="21"/>
                <w:highlight w:val="none"/>
              </w:rPr>
              <w:t>币种符号+数字</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pPr>
              <w:widowControl/>
              <w:spacing w:line="288"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除1.2价格条件约定外，合同总价已包含但不限于货物、包装、运输、装卸、安装、调试、培训、验收（试剂耗材消耗）、免费保修期内的售后服务、强制性第三方监督检验机构的验收检验及技术资料等费用。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spacing w:line="288" w:lineRule="auto"/>
              <w:rPr>
                <w:rFonts w:asciiTheme="minorEastAsia" w:hAnsiTheme="minorEastAsia" w:eastAsiaTheme="minorEastAsia" w:cstheme="minorEastAsia"/>
                <w:vanish/>
                <w:color w:val="auto"/>
                <w:sz w:val="21"/>
                <w:szCs w:val="21"/>
                <w:highlight w:val="none"/>
              </w:rPr>
            </w:pPr>
            <w:r>
              <w:rPr>
                <w:rFonts w:hint="eastAsia" w:asciiTheme="minorEastAsia" w:hAnsiTheme="minorEastAsia" w:eastAsiaTheme="minorEastAsia" w:cstheme="minorEastAsia"/>
                <w:color w:val="auto"/>
                <w:sz w:val="21"/>
                <w:szCs w:val="21"/>
                <w:highlight w:val="none"/>
              </w:rPr>
              <w:t>备注:采购内容与本合同各项文件发生抵触的，按本合同第</w:t>
            </w:r>
            <w:r>
              <w:rPr>
                <w:rFonts w:hint="eastAsia" w:asciiTheme="minorEastAsia" w:hAnsiTheme="minorEastAsia" w:eastAsiaTheme="minorEastAsia" w:cstheme="minorEastAsia"/>
                <w:b/>
                <w:bCs/>
                <w:color w:val="auto"/>
                <w:sz w:val="21"/>
                <w:szCs w:val="21"/>
                <w:highlight w:val="none"/>
              </w:rPr>
              <w:t>8.1</w:t>
            </w:r>
            <w:r>
              <w:rPr>
                <w:rFonts w:hint="eastAsia" w:asciiTheme="minorEastAsia" w:hAnsiTheme="minorEastAsia" w:eastAsiaTheme="minorEastAsia" w:cstheme="minorEastAsia"/>
                <w:color w:val="auto"/>
                <w:sz w:val="21"/>
                <w:szCs w:val="21"/>
                <w:highlight w:val="none"/>
              </w:rPr>
              <w:t>条执行。</w:t>
            </w:r>
          </w:p>
        </w:tc>
      </w:tr>
    </w:tbl>
    <w:p>
      <w:pPr>
        <w:widowControl/>
        <w:spacing w:line="288" w:lineRule="auto"/>
        <w:ind w:firstLine="567"/>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1.2价格条件：</w:t>
      </w:r>
      <w:r>
        <w:rPr>
          <w:rFonts w:hint="eastAsia" w:asciiTheme="minorEastAsia" w:hAnsiTheme="minorEastAsia" w:eastAsiaTheme="minorEastAsia" w:cstheme="minorEastAsia"/>
          <w:color w:val="auto"/>
          <w:sz w:val="21"/>
          <w:szCs w:val="21"/>
          <w:highlight w:val="none"/>
          <w:u w:val="single"/>
        </w:rPr>
        <w:t>DDP、DAP、DAT、CIP等</w:t>
      </w:r>
      <w:r>
        <w:rPr>
          <w:rFonts w:hint="eastAsia" w:asciiTheme="minorEastAsia" w:hAnsiTheme="minorEastAsia" w:eastAsiaTheme="minorEastAsia" w:cstheme="minorEastAsia"/>
          <w:color w:val="auto"/>
          <w:sz w:val="21"/>
          <w:szCs w:val="21"/>
          <w:highlight w:val="none"/>
        </w:rPr>
        <w:t>西南大学项目现场。</w:t>
      </w:r>
    </w:p>
    <w:p>
      <w:pPr>
        <w:widowControl/>
        <w:spacing w:line="288" w:lineRule="auto"/>
        <w:ind w:firstLine="567"/>
        <w:rPr>
          <w:rFonts w:asciiTheme="minorEastAsia" w:hAnsiTheme="minorEastAsia" w:eastAsiaTheme="minorEastAsia" w:cstheme="minorEastAsia"/>
          <w:vanish/>
          <w:color w:val="auto"/>
          <w:sz w:val="21"/>
          <w:szCs w:val="21"/>
          <w:highlight w:val="none"/>
        </w:rPr>
      </w:pPr>
      <w:r>
        <w:rPr>
          <w:rFonts w:hint="eastAsia" w:asciiTheme="minorEastAsia" w:hAnsiTheme="minorEastAsia" w:eastAsiaTheme="minorEastAsia" w:cstheme="minorEastAsia"/>
          <w:vanish/>
          <w:color w:val="auto"/>
          <w:sz w:val="21"/>
          <w:szCs w:val="21"/>
          <w:highlight w:val="none"/>
        </w:rPr>
        <w:t>（此条款根据投标或投标文件承诺内容填写。）</w:t>
      </w:r>
    </w:p>
    <w:p>
      <w:pPr>
        <w:tabs>
          <w:tab w:val="left" w:pos="8100"/>
          <w:tab w:val="left" w:pos="8280"/>
        </w:tabs>
        <w:spacing w:line="400" w:lineRule="exact"/>
        <w:ind w:firstLine="491" w:firstLineChars="233"/>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1.3 外贸代理</w:t>
      </w:r>
    </w:p>
    <w:p>
      <w:pPr>
        <w:tabs>
          <w:tab w:val="left" w:pos="8100"/>
          <w:tab w:val="left" w:pos="8280"/>
        </w:tabs>
        <w:spacing w:line="400" w:lineRule="exact"/>
        <w:ind w:firstLine="489" w:firstLineChars="233"/>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1.3.1需方委托经需方招标的</w:t>
      </w:r>
      <w:r>
        <w:rPr>
          <w:rFonts w:hint="eastAsia" w:asciiTheme="minorEastAsia" w:hAnsiTheme="minorEastAsia" w:eastAsiaTheme="minorEastAsia" w:cstheme="minorEastAsia"/>
          <w:b/>
          <w:color w:val="auto"/>
          <w:sz w:val="21"/>
          <w:szCs w:val="21"/>
          <w:highlight w:val="none"/>
        </w:rPr>
        <w:t>外贸代理公司（以下简称外贸合同买方）</w:t>
      </w:r>
      <w:r>
        <w:rPr>
          <w:rFonts w:hint="eastAsia" w:asciiTheme="minorEastAsia" w:hAnsiTheme="minorEastAsia" w:eastAsiaTheme="minorEastAsia" w:cstheme="minorEastAsia"/>
          <w:bCs/>
          <w:color w:val="auto"/>
          <w:sz w:val="21"/>
          <w:szCs w:val="21"/>
          <w:highlight w:val="none"/>
        </w:rPr>
        <w:t>签订外贸合同，供方委托</w:t>
      </w:r>
      <w:r>
        <w:rPr>
          <w:rFonts w:hint="eastAsia" w:asciiTheme="minorEastAsia" w:hAnsiTheme="minorEastAsia" w:eastAsiaTheme="minorEastAsia" w:cstheme="minorEastAsia"/>
          <w:b/>
          <w:color w:val="auto"/>
          <w:sz w:val="21"/>
          <w:szCs w:val="21"/>
          <w:highlight w:val="none"/>
        </w:rPr>
        <w:t>其指定的外贸代理公司（以下简称外贸合同卖方）</w:t>
      </w:r>
      <w:r>
        <w:rPr>
          <w:rFonts w:hint="eastAsia" w:asciiTheme="minorEastAsia" w:hAnsiTheme="minorEastAsia" w:eastAsiaTheme="minorEastAsia" w:cstheme="minorEastAsia"/>
          <w:bCs/>
          <w:color w:val="auto"/>
          <w:sz w:val="21"/>
          <w:szCs w:val="21"/>
          <w:highlight w:val="none"/>
        </w:rPr>
        <w:t>签订外贸合同。若</w:t>
      </w:r>
      <w:r>
        <w:rPr>
          <w:rFonts w:hint="eastAsia" w:asciiTheme="minorEastAsia" w:hAnsiTheme="minorEastAsia" w:eastAsiaTheme="minorEastAsia" w:cstheme="minorEastAsia"/>
          <w:b/>
          <w:color w:val="auto"/>
          <w:sz w:val="21"/>
          <w:szCs w:val="21"/>
          <w:highlight w:val="none"/>
        </w:rPr>
        <w:t>外贸合同卖方</w:t>
      </w:r>
      <w:r>
        <w:rPr>
          <w:rFonts w:hint="eastAsia" w:asciiTheme="minorEastAsia" w:hAnsiTheme="minorEastAsia" w:eastAsiaTheme="minorEastAsia" w:cstheme="minorEastAsia"/>
          <w:bCs/>
          <w:color w:val="auto"/>
          <w:sz w:val="21"/>
          <w:szCs w:val="21"/>
          <w:highlight w:val="none"/>
        </w:rPr>
        <w:t>在外贸合同执行中给需方及外贸合同买方造成任何经济及名誉损失，均由供方承担。</w:t>
      </w:r>
    </w:p>
    <w:p>
      <w:pPr>
        <w:tabs>
          <w:tab w:val="left" w:pos="8100"/>
          <w:tab w:val="left" w:pos="8280"/>
        </w:tabs>
        <w:spacing w:line="400" w:lineRule="exact"/>
        <w:ind w:firstLine="489" w:firstLineChars="233"/>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1.3.2需方委托</w:t>
      </w:r>
      <w:r>
        <w:rPr>
          <w:rFonts w:hint="eastAsia" w:asciiTheme="minorEastAsia" w:hAnsiTheme="minorEastAsia" w:eastAsiaTheme="minorEastAsia" w:cstheme="minorEastAsia"/>
          <w:b/>
          <w:color w:val="auto"/>
          <w:sz w:val="21"/>
          <w:szCs w:val="21"/>
          <w:highlight w:val="none"/>
        </w:rPr>
        <w:t>外贸合同买方</w:t>
      </w:r>
      <w:r>
        <w:rPr>
          <w:rFonts w:hint="eastAsia" w:asciiTheme="minorEastAsia" w:hAnsiTheme="minorEastAsia" w:eastAsiaTheme="minorEastAsia" w:cstheme="minorEastAsia"/>
          <w:bCs/>
          <w:color w:val="auto"/>
          <w:sz w:val="21"/>
          <w:szCs w:val="21"/>
          <w:highlight w:val="none"/>
        </w:rPr>
        <w:t>办理中国境内的货物进口批文、免税手续并代理进口业务。</w:t>
      </w:r>
    </w:p>
    <w:p>
      <w:pPr>
        <w:tabs>
          <w:tab w:val="left" w:pos="8100"/>
          <w:tab w:val="left" w:pos="8280"/>
        </w:tabs>
        <w:spacing w:line="400" w:lineRule="exact"/>
        <w:ind w:firstLine="495" w:firstLineChars="236"/>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1.3.3进口代理费由（□供方 □需方）支付。</w:t>
      </w:r>
    </w:p>
    <w:p>
      <w:pPr>
        <w:tabs>
          <w:tab w:val="left" w:pos="8100"/>
          <w:tab w:val="left" w:pos="8280"/>
        </w:tabs>
        <w:spacing w:line="400" w:lineRule="exact"/>
        <w:ind w:firstLine="495" w:firstLineChars="236"/>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供方外贸业务联系人：</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，电话：</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w:t>
      </w:r>
    </w:p>
    <w:p>
      <w:pPr>
        <w:spacing w:before="120" w:beforeLines="50" w:line="288" w:lineRule="auto"/>
        <w:ind w:firstLine="489" w:firstLineChars="232"/>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1.4付款方式</w:t>
      </w:r>
      <w:r>
        <w:rPr>
          <w:rFonts w:hint="eastAsia" w:asciiTheme="minorEastAsia" w:hAnsiTheme="minorEastAsia" w:eastAsiaTheme="minorEastAsia" w:cstheme="minorEastAsia"/>
          <w:vanish/>
          <w:color w:val="auto"/>
          <w:sz w:val="21"/>
          <w:szCs w:val="21"/>
          <w:highlight w:val="none"/>
        </w:rPr>
        <w:t>（此条款根据投标或投标文件承诺内容填写）</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1.4.1付款安排：需方通过外贸合同买方根据需要及时向外贸合同卖方开立100%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pPr>
        <w:spacing w:line="288" w:lineRule="auto"/>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1.4.2 需方银行账号信息：</w:t>
      </w:r>
    </w:p>
    <w:p>
      <w:pPr>
        <w:spacing w:line="288" w:lineRule="auto"/>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开户名称：</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西南大学</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银行账号：</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3100028109024968877</w:t>
      </w:r>
    </w:p>
    <w:p>
      <w:pPr>
        <w:spacing w:line="288" w:lineRule="auto"/>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工行重庆朝阳支行</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统一社会信用代码：</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12100000450401733W</w:t>
      </w:r>
    </w:p>
    <w:p>
      <w:pPr>
        <w:spacing w:line="288" w:lineRule="auto"/>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银行行号：</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102653000474</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注册地址：</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重庆市北碚区天生路2号</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1.5包装</w:t>
      </w:r>
      <w:r>
        <w:rPr>
          <w:rFonts w:hint="eastAsia" w:asciiTheme="minorEastAsia" w:hAnsiTheme="minorEastAsia" w:eastAsiaTheme="minorEastAsia" w:cstheme="minorEastAsia"/>
          <w:color w:val="auto"/>
          <w:sz w:val="21"/>
          <w:szCs w:val="21"/>
          <w:highlight w:val="none"/>
        </w:rPr>
        <w:t>：供方须按进口通用标准包装全部货物，保证货物的包装符合整个运输过程的要求。由于包装不良所发生的损失，或由于采用不充分或不妥善的防护措施而造成的任何损害，乙方应负担由此产生的费用和损失。</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1.6到货时间</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2"/>
          <w:highlight w:val="none"/>
        </w:rPr>
        <w:t>收到L/C后</w:t>
      </w:r>
      <w:r>
        <w:rPr>
          <w:rFonts w:asciiTheme="minorEastAsia" w:hAnsiTheme="minorEastAsia" w:eastAsiaTheme="minorEastAsia" w:cstheme="minorEastAsia"/>
          <w:color w:val="auto"/>
          <w:sz w:val="22"/>
          <w:highlight w:val="none"/>
        </w:rPr>
        <w:t>6-15</w:t>
      </w:r>
      <w:r>
        <w:rPr>
          <w:rFonts w:hint="eastAsia" w:asciiTheme="minorEastAsia" w:hAnsiTheme="minorEastAsia" w:eastAsiaTheme="minorEastAsia" w:cstheme="minorEastAsia"/>
          <w:color w:val="auto"/>
          <w:sz w:val="22"/>
          <w:highlight w:val="none"/>
        </w:rPr>
        <w:t>个月内完成供货,</w:t>
      </w:r>
      <w:r>
        <w:rPr>
          <w:rFonts w:asciiTheme="minorEastAsia" w:hAnsiTheme="minorEastAsia" w:eastAsiaTheme="minorEastAsia" w:cstheme="minorEastAsia"/>
          <w:color w:val="auto"/>
          <w:sz w:val="22"/>
          <w:highlight w:val="none"/>
        </w:rPr>
        <w:t>8-17</w:t>
      </w:r>
      <w:r>
        <w:rPr>
          <w:rFonts w:hint="eastAsia" w:asciiTheme="minorEastAsia" w:hAnsiTheme="minorEastAsia" w:eastAsiaTheme="minorEastAsia" w:cstheme="minorEastAsia"/>
          <w:color w:val="auto"/>
          <w:sz w:val="22"/>
          <w:highlight w:val="none"/>
        </w:rPr>
        <w:t>个月内完成安装并验收完毕</w:t>
      </w:r>
      <w:r>
        <w:rPr>
          <w:rFonts w:hint="eastAsia" w:asciiTheme="minorEastAsia" w:hAnsiTheme="minorEastAsia" w:eastAsiaTheme="minorEastAsia" w:cstheme="minorEastAsia"/>
          <w:color w:val="auto"/>
          <w:sz w:val="21"/>
          <w:szCs w:val="21"/>
          <w:highlight w:val="none"/>
        </w:rPr>
        <w:t>。供方应当提前三日通知需方用户单位准备接收货物。</w:t>
      </w:r>
    </w:p>
    <w:p>
      <w:pPr>
        <w:spacing w:line="288" w:lineRule="auto"/>
        <w:ind w:firstLine="489" w:firstLineChars="233"/>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1.7</w:t>
      </w:r>
      <w:r>
        <w:rPr>
          <w:rFonts w:hint="eastAsia" w:asciiTheme="minorEastAsia" w:hAnsiTheme="minorEastAsia" w:eastAsiaTheme="minorEastAsia" w:cstheme="minorEastAsia"/>
          <w:b/>
          <w:color w:val="auto"/>
          <w:sz w:val="21"/>
          <w:szCs w:val="21"/>
          <w:highlight w:val="none"/>
        </w:rPr>
        <w:t>到货地点：</w:t>
      </w:r>
      <w:r>
        <w:rPr>
          <w:rFonts w:hint="eastAsia" w:asciiTheme="minorEastAsia" w:hAnsiTheme="minorEastAsia" w:eastAsiaTheme="minorEastAsia" w:cstheme="minorEastAsia"/>
          <w:color w:val="auto"/>
          <w:sz w:val="21"/>
          <w:szCs w:val="21"/>
          <w:highlight w:val="none"/>
          <w:u w:val="single"/>
        </w:rPr>
        <w:t>西南大学指定地点</w:t>
      </w:r>
      <w:r>
        <w:rPr>
          <w:rFonts w:hint="eastAsia" w:asciiTheme="minorEastAsia" w:hAnsiTheme="minorEastAsia" w:eastAsiaTheme="minorEastAsia" w:cstheme="minorEastAsia"/>
          <w:color w:val="auto"/>
          <w:sz w:val="21"/>
          <w:szCs w:val="21"/>
          <w:highlight w:val="none"/>
        </w:rPr>
        <w:t>。</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1.8质量要求</w:t>
      </w:r>
      <w:r>
        <w:rPr>
          <w:rFonts w:hint="eastAsia" w:asciiTheme="minorEastAsia" w:hAnsiTheme="minorEastAsia" w:eastAsiaTheme="minorEastAsia" w:cstheme="minorEastAsia"/>
          <w:color w:val="auto"/>
          <w:sz w:val="21"/>
          <w:szCs w:val="21"/>
          <w:highlight w:val="none"/>
        </w:rPr>
        <w:t>：供方提供给需方的货物必须是原厂生产的全新合格产品，必须符合中华人民共和国进口商品质量管理有关要求，必须提供货物合格资料或国家商检局签发的安全质量许可证书及《安全标志》，技术指标和参数应符合投标文件中作出的承诺和供需双方谈判确定的结果以及产品说明书中的要求。</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1.9知识产权：</w:t>
      </w:r>
      <w:r>
        <w:rPr>
          <w:rFonts w:hint="eastAsia" w:asciiTheme="minorEastAsia" w:hAnsiTheme="minorEastAsia" w:eastAsiaTheme="minorEastAsia" w:cstheme="minorEastAsia"/>
          <w:color w:val="auto"/>
          <w:sz w:val="21"/>
          <w:szCs w:val="21"/>
          <w:highlight w:val="none"/>
        </w:rPr>
        <w:t>应本合同项目需要应由供方自行编写或提供给需方使用的有关涉及知识产权的文件或资料，供方应确保不得侵犯他人合法权益，并保证他人不会对需方所使用上述的文件或资料主张任何权利。若与第三方发生有关成果归属或知识产权纠纷问题，供方有责任和义务采取包括但不限于法律诉讼的措施维护需方利益。由此发生的所有费用由供方承担，与需方无关。供方同时承担由此造成需方所有的经济损失。</w:t>
      </w:r>
    </w:p>
    <w:p>
      <w:pPr>
        <w:spacing w:line="288" w:lineRule="auto"/>
        <w:ind w:firstLine="489"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1.10技术资料</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1.10.1</w:t>
      </w:r>
      <w:r>
        <w:rPr>
          <w:rFonts w:hint="eastAsia" w:asciiTheme="minorEastAsia" w:hAnsiTheme="minorEastAsia" w:eastAsiaTheme="minorEastAsia" w:cstheme="minorEastAsia"/>
          <w:color w:val="auto"/>
          <w:sz w:val="21"/>
          <w:szCs w:val="21"/>
          <w:highlight w:val="none"/>
        </w:rPr>
        <w:t>供方保证提供的技术资料是在本合同生效时供方使用的最新技术资料，该技术资料是完整的、正确的、清晰统一的、与提供的合同货物相符。供方保证按合同规定将技术资料与合同货物一起按时运输并交付需方。</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1.10.2</w:t>
      </w:r>
      <w:r>
        <w:rPr>
          <w:rFonts w:hint="eastAsia" w:asciiTheme="minorEastAsia" w:hAnsiTheme="minorEastAsia" w:eastAsiaTheme="minorEastAsia" w:cstheme="minorEastAsia"/>
          <w:color w:val="auto"/>
          <w:sz w:val="21"/>
          <w:szCs w:val="21"/>
          <w:highlight w:val="none"/>
        </w:rPr>
        <w:t>如需方对合同货物做出变更，或因供方原因致使合同货物验收不合格而必须对合同货物做出变更的，供方应尽快在双方同意的期限内对合同货物做出变更，并及时提供相应的资料，该资料应是完整、正确、清晰、统一，并完全符合该合同货物变更后需方认可的技术规范和质量要求。</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1.10.3</w:t>
      </w:r>
      <w:r>
        <w:rPr>
          <w:rFonts w:hint="eastAsia" w:asciiTheme="minorEastAsia" w:hAnsiTheme="minorEastAsia" w:eastAsiaTheme="minorEastAsia" w:cstheme="minorEastAsia"/>
          <w:color w:val="auto"/>
          <w:sz w:val="21"/>
          <w:szCs w:val="21"/>
          <w:highlight w:val="none"/>
        </w:rPr>
        <w:t>供方在交货时，应随货交付下列相关的技术资料及物品：</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1)原产地证明；</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2)使用说明书、设备操作及维护手册；</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3)由制造商签发的质量证明书；</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4)送货清单，易损件、备品备件清单（含易损件、备件的名称、规格、型号、数量、成本价、产地等）。</w:t>
      </w:r>
    </w:p>
    <w:p>
      <w:pPr>
        <w:spacing w:line="288" w:lineRule="auto"/>
        <w:ind w:firstLine="491" w:firstLineChars="233"/>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5)生产厂商售后服务承诺书、保修协议、保修卡等售后服务资料。</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1.10.4</w:t>
      </w:r>
      <w:r>
        <w:rPr>
          <w:rFonts w:hint="eastAsia" w:asciiTheme="minorEastAsia" w:hAnsiTheme="minorEastAsia" w:eastAsiaTheme="minorEastAsia" w:cstheme="minorEastAsia"/>
          <w:color w:val="auto"/>
          <w:sz w:val="21"/>
          <w:szCs w:val="21"/>
          <w:highlight w:val="none"/>
        </w:rPr>
        <w:t xml:space="preserve">  1.10.3所列技术资料及物品作为需方所购产品不可或缺的一部分，供方应使用标准包装袋装好免费提供给需方。若供方没有按时将合同约定的资料提供给需方，需方有权拒绝接收货物。</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二、货物开箱、安装调试、培训与验收</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2.1货物抵达需方用户单位指定地点后，由供方与需方或需方用户单位于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10</w:t>
      </w:r>
      <w:r>
        <w:rPr>
          <w:rFonts w:hint="eastAsia" w:asciiTheme="minorEastAsia" w:hAnsiTheme="minorEastAsia" w:eastAsiaTheme="minorEastAsia" w:cstheme="minorEastAsia"/>
          <w:color w:val="auto"/>
          <w:sz w:val="21"/>
          <w:szCs w:val="21"/>
          <w:highlight w:val="none"/>
        </w:rPr>
        <w:t>个工作日内共同开箱，并填写开箱记录。在开箱验收中如发现货物不符合合同约定，需方有权拒绝接收货物、要求换货、退货、补货或解除合同。</w:t>
      </w:r>
    </w:p>
    <w:p>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需方指定收货人：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，电话: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2.2开箱后</w:t>
      </w:r>
      <w:r>
        <w:rPr>
          <w:rFonts w:asciiTheme="minorEastAsia" w:hAnsiTheme="minorEastAsia" w:eastAsiaTheme="minorEastAsia" w:cstheme="minorEastAsia"/>
          <w:color w:val="auto"/>
          <w:sz w:val="22"/>
          <w:highlight w:val="none"/>
          <w:u w:val="single"/>
        </w:rPr>
        <w:t>8-17</w:t>
      </w:r>
      <w:r>
        <w:rPr>
          <w:rFonts w:hint="eastAsia" w:asciiTheme="minorEastAsia" w:hAnsiTheme="minorEastAsia" w:eastAsiaTheme="minorEastAsia" w:cstheme="minorEastAsia"/>
          <w:color w:val="auto"/>
          <w:sz w:val="22"/>
          <w:highlight w:val="none"/>
          <w:u w:val="single"/>
        </w:rPr>
        <w:t>个月</w:t>
      </w:r>
      <w:r>
        <w:rPr>
          <w:rFonts w:hint="eastAsia" w:asciiTheme="minorEastAsia" w:hAnsiTheme="minorEastAsia" w:eastAsiaTheme="minorEastAsia" w:cstheme="minorEastAsia"/>
          <w:color w:val="auto"/>
          <w:sz w:val="21"/>
          <w:szCs w:val="21"/>
          <w:highlight w:val="none"/>
        </w:rPr>
        <w:t>内供方完成安装调试。合同货物的安装、调试由供方负责，需方给予协调配合。</w:t>
      </w:r>
    </w:p>
    <w:p>
      <w:pPr>
        <w:spacing w:line="288" w:lineRule="auto"/>
        <w:ind w:firstLine="489" w:firstLineChars="233"/>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2.3在安装调试完成</w:t>
      </w:r>
      <w:r>
        <w:rPr>
          <w:rFonts w:hint="eastAsia" w:asciiTheme="minorEastAsia" w:hAnsiTheme="minorEastAsia" w:eastAsiaTheme="minorEastAsia" w:cstheme="minorEastAsia"/>
          <w:color w:val="auto"/>
          <w:sz w:val="21"/>
          <w:szCs w:val="21"/>
          <w:highlight w:val="none"/>
        </w:rPr>
        <w:t>后</w:t>
      </w:r>
      <w:r>
        <w:rPr>
          <w:rFonts w:hint="eastAsia" w:asciiTheme="minorEastAsia" w:hAnsiTheme="minorEastAsia" w:eastAsiaTheme="minorEastAsia" w:cstheme="minorEastAsia"/>
          <w:b/>
          <w:bCs/>
          <w:color w:val="auto"/>
          <w:sz w:val="21"/>
          <w:szCs w:val="21"/>
          <w:highlight w:val="none"/>
          <w:u w:val="single"/>
          <w:lang w:val="en-US" w:eastAsia="zh-CN"/>
        </w:rPr>
        <w:t>15</w:t>
      </w:r>
      <w:r>
        <w:rPr>
          <w:rFonts w:hint="eastAsia" w:asciiTheme="minorEastAsia" w:hAnsiTheme="minorEastAsia" w:eastAsiaTheme="minorEastAsia" w:cstheme="minorEastAsia"/>
          <w:color w:val="auto"/>
          <w:sz w:val="21"/>
          <w:szCs w:val="21"/>
          <w:highlight w:val="none"/>
        </w:rPr>
        <w:t>日内</w:t>
      </w:r>
      <w:r>
        <w:rPr>
          <w:rFonts w:hint="eastAsia" w:asciiTheme="minorEastAsia" w:hAnsiTheme="minorEastAsia" w:eastAsiaTheme="minorEastAsia" w:cstheme="minorEastAsia"/>
          <w:color w:val="auto"/>
          <w:sz w:val="21"/>
          <w:szCs w:val="21"/>
          <w:highlight w:val="none"/>
        </w:rPr>
        <w:t>，供方负责对需方指定的技术人员和操作人员在需方处进行免费培训，内容包括合同货物的安全事项、工作原理、操作技能、日常维护和常规故障检修等，确保培训结束后需方技术人员和操作人员能独立进行操作、维护和常规故障的检修。</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2.4在合同约定的全部货物、相关技术资料及物品到齐（包括试剂耗材），供方安装、调试合格且完成培训后,供方向需方提出验收申请，需方受理申请且资料完整后</w:t>
      </w:r>
      <w:r>
        <w:rPr>
          <w:rFonts w:hint="eastAsia" w:asciiTheme="minorEastAsia" w:hAnsiTheme="minorEastAsia" w:eastAsiaTheme="minorEastAsia" w:cstheme="minorEastAsia"/>
          <w:b/>
          <w:bCs/>
          <w:color w:val="auto"/>
          <w:sz w:val="21"/>
          <w:szCs w:val="21"/>
          <w:highlight w:val="none"/>
          <w:u w:val="single"/>
        </w:rPr>
        <w:t xml:space="preserve"> 15 </w:t>
      </w:r>
      <w:r>
        <w:rPr>
          <w:rFonts w:hint="eastAsia" w:asciiTheme="minorEastAsia" w:hAnsiTheme="minorEastAsia" w:eastAsiaTheme="minorEastAsia" w:cstheme="minorEastAsia"/>
          <w:color w:val="auto"/>
          <w:sz w:val="21"/>
          <w:szCs w:val="21"/>
          <w:highlight w:val="none"/>
        </w:rPr>
        <w:t>日内组织对货物进行验收。在约定验收的日期前供方必须协助需方用户完成各项指标和功能的测试，现场验收时供方提供必要的技术支持，否则验收延误由供方负责。通过技术性能验收后，需方出具验收合格证明，视为验收合格。</w:t>
      </w:r>
    </w:p>
    <w:p>
      <w:pPr>
        <w:spacing w:line="288" w:lineRule="auto"/>
        <w:ind w:firstLine="491"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*三、售后服务及维修</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3.1</w:t>
      </w:r>
      <w:r>
        <w:rPr>
          <w:rFonts w:hint="eastAsia" w:asciiTheme="minorEastAsia" w:hAnsiTheme="minorEastAsia" w:eastAsiaTheme="minorEastAsia" w:cstheme="minorEastAsia"/>
          <w:color w:val="auto"/>
          <w:sz w:val="21"/>
          <w:szCs w:val="21"/>
          <w:highlight w:val="none"/>
        </w:rPr>
        <w:t>由供方承担售后服务及维修。</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，联系电话：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3.2保修期限：供方承诺本合同项下货物自验收合格之日起，由供方提供</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年免费保修服务。若保修期内出现故障，故障件的质保期从故障排除之日起重新起计；故障时间累计超过</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rPr>
        <w:t xml:space="preserve">壹 </w:t>
      </w:r>
      <w:r>
        <w:rPr>
          <w:rFonts w:hint="eastAsia" w:asciiTheme="minorEastAsia" w:hAnsiTheme="minorEastAsia" w:eastAsiaTheme="minorEastAsia" w:cstheme="minorEastAsia"/>
          <w:color w:val="auto"/>
          <w:sz w:val="21"/>
          <w:szCs w:val="21"/>
          <w:highlight w:val="none"/>
        </w:rPr>
        <w:t>个月，整机保修期顺延</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rPr>
        <w:t xml:space="preserve">叁 </w:t>
      </w:r>
      <w:r>
        <w:rPr>
          <w:rFonts w:hint="eastAsia" w:asciiTheme="minorEastAsia" w:hAnsiTheme="minorEastAsia" w:eastAsiaTheme="minorEastAsia" w:cstheme="minorEastAsia"/>
          <w:color w:val="auto"/>
          <w:sz w:val="21"/>
          <w:szCs w:val="21"/>
          <w:highlight w:val="none"/>
        </w:rPr>
        <w:t>个月。</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3.3保修期内，供方接到维修通知，供方人员应于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小时内到达现场处理，如货物在检修</w:t>
      </w:r>
      <w:r>
        <w:rPr>
          <w:rFonts w:hint="eastAsia" w:asciiTheme="minorEastAsia" w:hAnsiTheme="minorEastAsia" w:eastAsiaTheme="minorEastAsia" w:cstheme="minorEastAsia"/>
          <w:b/>
          <w:bCs/>
          <w:color w:val="auto"/>
          <w:sz w:val="21"/>
          <w:szCs w:val="21"/>
          <w:highlight w:val="none"/>
          <w:u w:val="single"/>
        </w:rPr>
        <w:t xml:space="preserve"> 8 </w:t>
      </w:r>
      <w:r>
        <w:rPr>
          <w:rFonts w:hint="eastAsia" w:asciiTheme="minorEastAsia" w:hAnsiTheme="minorEastAsia" w:eastAsiaTheme="minorEastAsia" w:cstheme="minorEastAsia"/>
          <w:color w:val="auto"/>
          <w:sz w:val="21"/>
          <w:szCs w:val="21"/>
          <w:highlight w:val="none"/>
        </w:rPr>
        <w:t>小时后故障仍无法排除，供方应在最短</w:t>
      </w:r>
      <w:r>
        <w:rPr>
          <w:rFonts w:hint="eastAsia" w:asciiTheme="minorEastAsia" w:hAnsiTheme="minorEastAsia" w:eastAsiaTheme="minorEastAsia" w:cstheme="minorEastAsia"/>
          <w:b/>
          <w:bCs/>
          <w:color w:val="auto"/>
          <w:sz w:val="21"/>
          <w:szCs w:val="21"/>
          <w:highlight w:val="none"/>
          <w:u w:val="single"/>
        </w:rPr>
        <w:t xml:space="preserve"> 72 </w:t>
      </w:r>
      <w:r>
        <w:rPr>
          <w:rFonts w:hint="eastAsia" w:asciiTheme="minorEastAsia" w:hAnsiTheme="minorEastAsia" w:eastAsiaTheme="minorEastAsia" w:cstheme="minorEastAsia"/>
          <w:color w:val="auto"/>
          <w:sz w:val="21"/>
          <w:szCs w:val="21"/>
          <w:highlight w:val="none"/>
        </w:rPr>
        <w:t>小时内更换零配件，修复故障货物。若</w:t>
      </w:r>
      <w:r>
        <w:rPr>
          <w:rFonts w:hint="eastAsia" w:asciiTheme="minorEastAsia" w:hAnsiTheme="minorEastAsia" w:eastAsiaTheme="minorEastAsia" w:cstheme="minorEastAsia"/>
          <w:b/>
          <w:bCs/>
          <w:color w:val="auto"/>
          <w:sz w:val="21"/>
          <w:szCs w:val="21"/>
          <w:highlight w:val="none"/>
          <w:u w:val="single"/>
        </w:rPr>
        <w:t>72</w:t>
      </w:r>
      <w:r>
        <w:rPr>
          <w:rFonts w:hint="eastAsia" w:asciiTheme="minorEastAsia" w:hAnsiTheme="minorEastAsia" w:eastAsiaTheme="minorEastAsia" w:cstheme="minorEastAsia"/>
          <w:color w:val="auto"/>
          <w:sz w:val="21"/>
          <w:szCs w:val="21"/>
          <w:highlight w:val="none"/>
        </w:rPr>
        <w:t>小时不能到达现场，视为供方拒绝维修，需方可自行联系维修并由供方承担所有维修费用和承担带来的扩大损失。</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3.4所有货物保修服务方式均为供方派员到用户货物使用现场进行保修，保修期内产生的一切费用均由</w:t>
      </w:r>
      <w:r>
        <w:rPr>
          <w:rFonts w:hint="eastAsia" w:asciiTheme="minorEastAsia" w:hAnsiTheme="minorEastAsia" w:eastAsiaTheme="minorEastAsia" w:cstheme="minorEastAsia"/>
          <w:bCs/>
          <w:color w:val="auto"/>
          <w:sz w:val="21"/>
          <w:szCs w:val="21"/>
          <w:highlight w:val="none"/>
        </w:rPr>
        <w:t>供方</w:t>
      </w:r>
      <w:r>
        <w:rPr>
          <w:rFonts w:hint="eastAsia" w:asciiTheme="minorEastAsia" w:hAnsiTheme="minorEastAsia" w:eastAsiaTheme="minorEastAsia" w:cstheme="minorEastAsia"/>
          <w:color w:val="auto"/>
          <w:sz w:val="21"/>
          <w:szCs w:val="21"/>
          <w:highlight w:val="none"/>
        </w:rPr>
        <w:t>承担。</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3.5质保期内货物不能及时维修时，供方应向需方提供相同的货物，以保证需方的正常使用。</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3.6质保期满后，供方以最优惠的价格（即不高于成本价及对其他客户的供应价格，定价原则以合同签订时的价格为标准，就低不就高）向需方提供零部件材料费和终身技术服务（含维修）及其它选加附件、易损耗件，以保障合同货物正常运行。</w:t>
      </w:r>
    </w:p>
    <w:p>
      <w:pPr>
        <w:spacing w:line="288" w:lineRule="auto"/>
        <w:ind w:firstLine="489"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四、违约与索赔条款</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供需双方均应全面履行本合同，任何一方未能按照本合同的约定履行自己的义务，应当承担违约责任。违约方应当赔偿守约方因此遭受的损失，包括但不限于守约方的直接经济损失、间接经济损失、守约方为追究违约责任所发生的律师费、差旅费、交通费等。</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4.2供方逾期交付货物或随货相关的技术资料及物品的，则每逾期一天，按合同总额的</w:t>
      </w:r>
      <w:r>
        <w:rPr>
          <w:rFonts w:hint="eastAsia" w:asciiTheme="minorEastAsia" w:hAnsiTheme="minorEastAsia" w:eastAsiaTheme="minorEastAsia" w:cstheme="minorEastAsia"/>
          <w:b/>
          <w:color w:val="auto"/>
          <w:sz w:val="21"/>
          <w:szCs w:val="21"/>
          <w:highlight w:val="none"/>
        </w:rPr>
        <w:t xml:space="preserve"> </w:t>
      </w:r>
      <w:r>
        <w:rPr>
          <w:rFonts w:hint="eastAsia" w:asciiTheme="minorEastAsia" w:hAnsiTheme="minorEastAsia" w:eastAsiaTheme="minorEastAsia" w:cstheme="minorEastAsia"/>
          <w:b/>
          <w:bCs/>
          <w:color w:val="auto"/>
          <w:sz w:val="21"/>
          <w:szCs w:val="21"/>
          <w:highlight w:val="none"/>
          <w:u w:val="single"/>
        </w:rPr>
        <w:t xml:space="preserve">3‰ </w:t>
      </w:r>
      <w:r>
        <w:rPr>
          <w:rFonts w:hint="eastAsia" w:asciiTheme="minorEastAsia" w:hAnsiTheme="minorEastAsia" w:eastAsiaTheme="minorEastAsia" w:cstheme="minorEastAsia"/>
          <w:color w:val="auto"/>
          <w:sz w:val="21"/>
          <w:szCs w:val="21"/>
          <w:highlight w:val="none"/>
        </w:rPr>
        <w:t xml:space="preserve">向需方支付违约金，违约金累计不超过合同总价的 </w:t>
      </w:r>
      <w:r>
        <w:rPr>
          <w:rFonts w:hint="eastAsia" w:asciiTheme="minorEastAsia" w:hAnsiTheme="minorEastAsia" w:eastAsiaTheme="minorEastAsia" w:cstheme="minorEastAsia"/>
          <w:b/>
          <w:bCs/>
          <w:color w:val="auto"/>
          <w:sz w:val="21"/>
          <w:szCs w:val="21"/>
          <w:highlight w:val="none"/>
          <w:u w:val="single"/>
        </w:rPr>
        <w:t xml:space="preserve">10% </w:t>
      </w:r>
      <w:r>
        <w:rPr>
          <w:rFonts w:hint="eastAsia" w:asciiTheme="minorEastAsia" w:hAnsiTheme="minorEastAsia" w:eastAsiaTheme="minorEastAsia" w:cstheme="minorEastAsia"/>
          <w:color w:val="auto"/>
          <w:sz w:val="21"/>
          <w:szCs w:val="21"/>
          <w:highlight w:val="none"/>
        </w:rPr>
        <w:t xml:space="preserve">，并承担因此给需方造成的实际损失。逾期交付超过 </w:t>
      </w:r>
      <w:r>
        <w:rPr>
          <w:rFonts w:hint="eastAsia" w:asciiTheme="minorEastAsia" w:hAnsiTheme="minorEastAsia" w:eastAsiaTheme="minorEastAsia" w:cstheme="minorEastAsia"/>
          <w:b/>
          <w:bCs/>
          <w:color w:val="auto"/>
          <w:sz w:val="21"/>
          <w:szCs w:val="21"/>
          <w:highlight w:val="none"/>
          <w:u w:val="single"/>
        </w:rPr>
        <w:t>30</w:t>
      </w:r>
      <w:r>
        <w:rPr>
          <w:rFonts w:hint="eastAsia" w:asciiTheme="minorEastAsia" w:hAnsiTheme="minorEastAsia" w:eastAsiaTheme="minorEastAsia" w:cstheme="minorEastAsia"/>
          <w:color w:val="auto"/>
          <w:sz w:val="21"/>
          <w:szCs w:val="21"/>
          <w:highlight w:val="none"/>
        </w:rPr>
        <w:t xml:space="preserve"> 日的，需方有权单方解除合同，并要求供方支付合同总金额 </w:t>
      </w:r>
      <w:r>
        <w:rPr>
          <w:rFonts w:hint="eastAsia" w:asciiTheme="minorEastAsia" w:hAnsiTheme="minorEastAsia" w:eastAsiaTheme="minorEastAsia" w:cstheme="minorEastAsia"/>
          <w:b/>
          <w:bCs/>
          <w:color w:val="auto"/>
          <w:sz w:val="21"/>
          <w:szCs w:val="21"/>
          <w:highlight w:val="none"/>
          <w:u w:val="single"/>
        </w:rPr>
        <w:t>20%</w:t>
      </w:r>
      <w:r>
        <w:rPr>
          <w:rFonts w:hint="eastAsia" w:asciiTheme="minorEastAsia" w:hAnsiTheme="minorEastAsia" w:eastAsiaTheme="minorEastAsia" w:cstheme="minorEastAsia"/>
          <w:color w:val="auto"/>
          <w:sz w:val="21"/>
          <w:szCs w:val="21"/>
          <w:highlight w:val="none"/>
        </w:rPr>
        <w:t xml:space="preserve"> 的违约金。</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若供方提供的货物、货物包装或相关的技术资料及物品不符合合同约定的，或验收不合格的，需方有权要求换货、退货、补货、折价、提供符合合同约定的相关的技术资料及物品或解除合同。如需方选择解除合同，则供方支付合同总金额 </w:t>
      </w:r>
      <w:r>
        <w:rPr>
          <w:rFonts w:hint="eastAsia" w:asciiTheme="minorEastAsia" w:hAnsiTheme="minorEastAsia" w:eastAsiaTheme="minorEastAsia" w:cstheme="minorEastAsia"/>
          <w:b/>
          <w:bCs/>
          <w:color w:val="auto"/>
          <w:sz w:val="21"/>
          <w:szCs w:val="21"/>
          <w:highlight w:val="none"/>
          <w:u w:val="single"/>
        </w:rPr>
        <w:t>20%</w:t>
      </w:r>
      <w:r>
        <w:rPr>
          <w:rFonts w:hint="eastAsia" w:asciiTheme="minorEastAsia" w:hAnsiTheme="minorEastAsia" w:eastAsiaTheme="minorEastAsia" w:cstheme="minorEastAsia"/>
          <w:color w:val="auto"/>
          <w:sz w:val="21"/>
          <w:szCs w:val="21"/>
          <w:highlight w:val="none"/>
        </w:rPr>
        <w:t xml:space="preserve"> 的违约金给需方，如需方选择退货，则供方支付退货货物金额 </w:t>
      </w:r>
      <w:r>
        <w:rPr>
          <w:rFonts w:hint="eastAsia" w:asciiTheme="minorEastAsia" w:hAnsiTheme="minorEastAsia" w:eastAsiaTheme="minorEastAsia" w:cstheme="minorEastAsia"/>
          <w:b/>
          <w:bCs/>
          <w:color w:val="auto"/>
          <w:sz w:val="21"/>
          <w:szCs w:val="21"/>
          <w:highlight w:val="none"/>
          <w:u w:val="single"/>
        </w:rPr>
        <w:t>20%</w:t>
      </w:r>
      <w:r>
        <w:rPr>
          <w:rFonts w:hint="eastAsia" w:asciiTheme="minorEastAsia" w:hAnsiTheme="minorEastAsia" w:eastAsiaTheme="minorEastAsia" w:cstheme="minorEastAsia"/>
          <w:color w:val="auto"/>
          <w:sz w:val="21"/>
          <w:szCs w:val="21"/>
          <w:highlight w:val="none"/>
        </w:rPr>
        <w:t xml:space="preserve"> 的违约金给需方，供方在</w:t>
      </w:r>
      <w:r>
        <w:rPr>
          <w:rFonts w:hint="eastAsia" w:asciiTheme="minorEastAsia" w:hAnsiTheme="minorEastAsia" w:eastAsiaTheme="minorEastAsia" w:cstheme="minorEastAsia"/>
          <w:b/>
          <w:bCs/>
          <w:color w:val="auto"/>
          <w:sz w:val="21"/>
          <w:szCs w:val="21"/>
          <w:highlight w:val="none"/>
          <w:u w:val="single"/>
        </w:rPr>
        <w:t>15</w:t>
      </w:r>
      <w:r>
        <w:rPr>
          <w:rFonts w:hint="eastAsia" w:asciiTheme="minorEastAsia" w:hAnsiTheme="minorEastAsia" w:eastAsiaTheme="minorEastAsia" w:cstheme="minorEastAsia"/>
          <w:color w:val="auto"/>
          <w:sz w:val="21"/>
          <w:szCs w:val="21"/>
          <w:highlight w:val="none"/>
        </w:rPr>
        <w:t xml:space="preserve">日内退还需方相应货款及缴纳相应的违约金后，凭交款单据拉走货物，同时自行承担由此产生的装卸费、运输费等相关费用；如选择换货、补货、折价、提供符合合同约定的相关的技术资料及物品，则供方首先支付合同总金额 </w:t>
      </w:r>
      <w:r>
        <w:rPr>
          <w:rFonts w:hint="eastAsia" w:asciiTheme="minorEastAsia" w:hAnsiTheme="minorEastAsia" w:eastAsiaTheme="minorEastAsia" w:cstheme="minorEastAsia"/>
          <w:b/>
          <w:bCs/>
          <w:color w:val="auto"/>
          <w:sz w:val="21"/>
          <w:szCs w:val="21"/>
          <w:highlight w:val="none"/>
          <w:u w:val="single"/>
        </w:rPr>
        <w:t>5%</w:t>
      </w:r>
      <w:r>
        <w:rPr>
          <w:rFonts w:hint="eastAsia" w:asciiTheme="minorEastAsia" w:hAnsiTheme="minorEastAsia" w:eastAsiaTheme="minorEastAsia" w:cstheme="minorEastAsia"/>
          <w:color w:val="auto"/>
          <w:sz w:val="21"/>
          <w:szCs w:val="21"/>
          <w:highlight w:val="none"/>
        </w:rPr>
        <w:t xml:space="preserve"> 的违约金给需方，然后需方选择折价的，由双方共同协商定价，供方应在重新定价后</w:t>
      </w:r>
      <w:r>
        <w:rPr>
          <w:rFonts w:hint="eastAsia" w:asciiTheme="minorEastAsia" w:hAnsiTheme="minorEastAsia" w:eastAsiaTheme="minorEastAsia" w:cstheme="minorEastAsia"/>
          <w:b/>
          <w:bCs/>
          <w:color w:val="auto"/>
          <w:sz w:val="21"/>
          <w:szCs w:val="21"/>
          <w:highlight w:val="none"/>
          <w:u w:val="single"/>
        </w:rPr>
        <w:t>10</w:t>
      </w:r>
      <w:r>
        <w:rPr>
          <w:rFonts w:hint="eastAsia" w:asciiTheme="minorEastAsia" w:hAnsiTheme="minorEastAsia" w:eastAsiaTheme="minorEastAsia" w:cstheme="minorEastAsia"/>
          <w:color w:val="auto"/>
          <w:sz w:val="21"/>
          <w:szCs w:val="21"/>
          <w:highlight w:val="none"/>
        </w:rPr>
        <w:t>日内退还需方货物差价，需方选择补货、换货、提供符合合同约定的相关的技术资料及物品的，供方在</w:t>
      </w:r>
      <w:r>
        <w:rPr>
          <w:rFonts w:hint="eastAsia" w:asciiTheme="minorEastAsia" w:hAnsiTheme="minorEastAsia" w:eastAsiaTheme="minorEastAsia" w:cstheme="minorEastAsia"/>
          <w:b/>
          <w:bCs/>
          <w:color w:val="auto"/>
          <w:sz w:val="21"/>
          <w:szCs w:val="21"/>
          <w:highlight w:val="none"/>
          <w:u w:val="single"/>
        </w:rPr>
        <w:t xml:space="preserve"> 40 </w:t>
      </w:r>
      <w:r>
        <w:rPr>
          <w:rFonts w:hint="eastAsia" w:asciiTheme="minorEastAsia" w:hAnsiTheme="minorEastAsia" w:eastAsiaTheme="minorEastAsia" w:cstheme="minorEastAsia"/>
          <w:color w:val="auto"/>
          <w:sz w:val="21"/>
          <w:szCs w:val="21"/>
          <w:highlight w:val="none"/>
        </w:rPr>
        <w:t>日内重新换货或补充提供符合合同约定的货物，未能提供的，按</w:t>
      </w:r>
      <w:r>
        <w:rPr>
          <w:rFonts w:hint="eastAsia" w:asciiTheme="minorEastAsia" w:hAnsiTheme="minorEastAsia" w:eastAsiaTheme="minorEastAsia" w:cstheme="minorEastAsia"/>
          <w:b/>
          <w:color w:val="auto"/>
          <w:sz w:val="21"/>
          <w:szCs w:val="21"/>
          <w:highlight w:val="none"/>
        </w:rPr>
        <w:t>4.2</w:t>
      </w:r>
      <w:r>
        <w:rPr>
          <w:rFonts w:hint="eastAsia" w:asciiTheme="minorEastAsia" w:hAnsiTheme="minorEastAsia" w:eastAsiaTheme="minorEastAsia" w:cstheme="minorEastAsia"/>
          <w:color w:val="auto"/>
          <w:sz w:val="21"/>
          <w:szCs w:val="21"/>
          <w:highlight w:val="none"/>
        </w:rPr>
        <w:t>约定的违约责任处理，需方给予的宽限期内不免除供方逾期交货或随货物品的违约责任。</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4.4凡因供方原因造成解除合同的，需方已支付的费用由供方返还。</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4.5若供方未按本合同的约定提供保修服务或在货物发生故障后</w:t>
      </w:r>
      <w:r>
        <w:rPr>
          <w:rFonts w:hint="eastAsia" w:asciiTheme="minorEastAsia" w:hAnsiTheme="minorEastAsia" w:eastAsiaTheme="minorEastAsia" w:cstheme="minorEastAsia"/>
          <w:b/>
          <w:bCs/>
          <w:color w:val="auto"/>
          <w:sz w:val="21"/>
          <w:szCs w:val="21"/>
          <w:highlight w:val="none"/>
          <w:u w:val="single"/>
        </w:rPr>
        <w:t xml:space="preserve"> 30 </w:t>
      </w:r>
      <w:r>
        <w:rPr>
          <w:rFonts w:hint="eastAsia" w:asciiTheme="minorEastAsia" w:hAnsiTheme="minorEastAsia" w:eastAsiaTheme="minorEastAsia" w:cstheme="minorEastAsia"/>
          <w:color w:val="auto"/>
          <w:sz w:val="21"/>
          <w:szCs w:val="21"/>
          <w:highlight w:val="none"/>
        </w:rPr>
        <w:t>日内无法修复货物使之正常运行的，需方有权要求供方按本合同约定价格全额退还损坏货物的货款，如因此造成需方损失的，供方应承担赔偿责任。</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4.6因货物质量问题造成需方或者任何第三人伤亡或财产损失的，由供方承担全部赔偿责任，需方先行垫付费用的，有权向供方追偿。</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4.7供方保证本合同货物的权利无瑕疵，包括货物知识产权、使用权等权利无瑕疵。如任何第三方对本合同货物全部或部分主张权利，或国家机关依法对本合同货物全部或部分没收、查封、扣押或采取其他措施，供方除应向需方返还全部已收货款外，还应按合同总价的</w:t>
      </w:r>
      <w:r>
        <w:rPr>
          <w:rFonts w:hint="eastAsia" w:asciiTheme="minorEastAsia" w:hAnsiTheme="minorEastAsia" w:eastAsiaTheme="minorEastAsia" w:cstheme="minorEastAsia"/>
          <w:b/>
          <w:color w:val="auto"/>
          <w:sz w:val="21"/>
          <w:szCs w:val="21"/>
          <w:highlight w:val="none"/>
          <w:u w:val="single"/>
        </w:rPr>
        <w:t>20%</w:t>
      </w:r>
      <w:r>
        <w:rPr>
          <w:rFonts w:hint="eastAsia" w:asciiTheme="minorEastAsia" w:hAnsiTheme="minorEastAsia" w:eastAsiaTheme="minorEastAsia" w:cstheme="minorEastAsia"/>
          <w:color w:val="auto"/>
          <w:sz w:val="21"/>
          <w:szCs w:val="21"/>
          <w:highlight w:val="none"/>
        </w:rPr>
        <w:t>向需方支付违约金。给需方造成罚款、诉讼费、律师费等损失的，由供方承担全部责任，需方先行垫付费用的，有权向供方追偿。</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4.8需方有权直接从货款、履约保证金中扣除供方应承担的维修费、罚款、违约金、赔偿金及损失。但这并不意味着对供方违约责任、赔偿责任全部或部分的豁免或解除。需方根据合同约定使用或扣除履约保证金的，供方应在需方指定的限期内补足履约保证金，限期内未补足的，每逾期一日按应补足金额的</w:t>
      </w:r>
      <w:r>
        <w:rPr>
          <w:rFonts w:hint="eastAsia" w:asciiTheme="minorEastAsia" w:hAnsiTheme="minorEastAsia" w:eastAsiaTheme="minorEastAsia" w:cstheme="minorEastAsia"/>
          <w:color w:val="auto"/>
          <w:sz w:val="21"/>
          <w:szCs w:val="21"/>
          <w:highlight w:val="none"/>
          <w:u w:val="single"/>
        </w:rPr>
        <w:t xml:space="preserve"> 5% </w:t>
      </w:r>
      <w:r>
        <w:rPr>
          <w:rFonts w:hint="eastAsia" w:asciiTheme="minorEastAsia" w:hAnsiTheme="minorEastAsia" w:eastAsiaTheme="minorEastAsia" w:cstheme="minorEastAsia"/>
          <w:color w:val="auto"/>
          <w:sz w:val="21"/>
          <w:szCs w:val="21"/>
          <w:highlight w:val="none"/>
        </w:rPr>
        <w:t>承担违约金。</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4.9未经需方书面同意，供方不得在市场宣传中使用与需方的合作案列，不得将需方作为业务伙伴进行宣传，不得使用需方的校名、校徽、商标、标志语等；若违反上述约定，应按合同总价的</w:t>
      </w:r>
      <w:r>
        <w:rPr>
          <w:rFonts w:hint="eastAsia" w:asciiTheme="minorEastAsia" w:hAnsiTheme="minorEastAsia" w:eastAsiaTheme="minorEastAsia" w:cstheme="minorEastAsia"/>
          <w:color w:val="auto"/>
          <w:sz w:val="21"/>
          <w:szCs w:val="21"/>
          <w:highlight w:val="none"/>
          <w:u w:val="single"/>
        </w:rPr>
        <w:t xml:space="preserve"> 20 </w:t>
      </w:r>
      <w:r>
        <w:rPr>
          <w:rFonts w:hint="eastAsia" w:asciiTheme="minorEastAsia" w:hAnsiTheme="minorEastAsia" w:eastAsiaTheme="minorEastAsia" w:cstheme="minorEastAsia"/>
          <w:color w:val="auto"/>
          <w:sz w:val="21"/>
          <w:szCs w:val="21"/>
          <w:highlight w:val="none"/>
        </w:rPr>
        <w:t>%向需方支付违约金。</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4.10供需双方的任何一方遇法定不可抗因素，造成合同履行不能或延时，由双方协商解决。</w:t>
      </w:r>
    </w:p>
    <w:p>
      <w:pPr>
        <w:spacing w:line="288" w:lineRule="auto"/>
        <w:ind w:firstLine="491"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五、变更</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本合同任何条款的变更及修改须经双方同意，采用书面形式改动，包括但不限于直接修改合同、重签合同、签订补充合同等形式。</w:t>
      </w:r>
    </w:p>
    <w:p>
      <w:pPr>
        <w:spacing w:line="288" w:lineRule="auto"/>
        <w:ind w:firstLine="491"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六、关于法律适用和争议解决</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 本合同的执行和争议的解决应适用中华人民共和国的法律并按照中华人民共和国的法律进行解释。</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 因本合同而产生的或与本合同有关的任何争议由双方协商解决，协商不成，应提交需方所在地法院起诉。</w:t>
      </w:r>
    </w:p>
    <w:p>
      <w:pPr>
        <w:spacing w:line="288"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七、送达地址确认</w:t>
      </w:r>
    </w:p>
    <w:p>
      <w:pPr>
        <w:spacing w:line="288" w:lineRule="auto"/>
        <w:ind w:firstLine="489" w:firstLineChars="233"/>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确定下列地址为文书送达地址，按照下列任一地址送达诉讼文书、供货订单、通知等其他各类文书的，视为供方签收；供方拒收或其他原因送达不到的，则发出诉讼文书、供货订单、通知等其他各类文书之日起的第</w:t>
      </w:r>
      <w:r>
        <w:rPr>
          <w:rFonts w:hint="eastAsia" w:asciiTheme="minorEastAsia" w:hAnsiTheme="minorEastAsia" w:eastAsiaTheme="minorEastAsia" w:cstheme="minorEastAsia"/>
          <w:bCs/>
          <w:color w:val="auto"/>
          <w:sz w:val="21"/>
          <w:szCs w:val="21"/>
          <w:highlight w:val="none"/>
          <w:u w:val="single"/>
        </w:rPr>
        <w:t>10</w:t>
      </w:r>
      <w:r>
        <w:rPr>
          <w:rFonts w:hint="eastAsia" w:asciiTheme="minorEastAsia" w:hAnsiTheme="minorEastAsia" w:eastAsiaTheme="minorEastAsia" w:cstheme="minorEastAsia"/>
          <w:bCs/>
          <w:color w:val="auto"/>
          <w:sz w:val="21"/>
          <w:szCs w:val="21"/>
          <w:highlight w:val="none"/>
        </w:rPr>
        <w:t>日视为送达对方之日。</w:t>
      </w:r>
    </w:p>
    <w:p>
      <w:pPr>
        <w:spacing w:line="288" w:lineRule="auto"/>
        <w:ind w:firstLine="489" w:firstLineChars="233"/>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供方如需变更约定送达地址，应将变更后的送达地址通知需方；未通知需方变更的，原约定送达地址仍为有效送达地址。</w:t>
      </w:r>
    </w:p>
    <w:tbl>
      <w:tblPr>
        <w:tblStyle w:val="24"/>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0"/>
        <w:gridCol w:w="5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供方经营地址：</w:t>
            </w:r>
          </w:p>
        </w:tc>
        <w:tc>
          <w:tcPr>
            <w:tcW w:w="5080" w:type="dxa"/>
            <w:tcBorders>
              <w:top w:val="nil"/>
              <w:left w:val="nil"/>
              <w:right w:val="nil"/>
            </w:tcBorders>
          </w:tcPr>
          <w:p>
            <w:pPr>
              <w:spacing w:line="288" w:lineRule="auto"/>
              <w:rPr>
                <w:rFonts w:asciiTheme="minorEastAsia" w:hAnsiTheme="minorEastAsia" w:eastAsiaTheme="minorEastAsia" w:cstheme="minorEastAsia"/>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供方传真号码：</w:t>
            </w:r>
          </w:p>
        </w:tc>
        <w:tc>
          <w:tcPr>
            <w:tcW w:w="5080" w:type="dxa"/>
            <w:tcBorders>
              <w:left w:val="nil"/>
              <w:right w:val="nil"/>
            </w:tcBorders>
          </w:tcPr>
          <w:p>
            <w:pPr>
              <w:spacing w:line="288" w:lineRule="auto"/>
              <w:rPr>
                <w:rFonts w:asciiTheme="minorEastAsia" w:hAnsiTheme="minorEastAsia" w:eastAsiaTheme="minorEastAsia" w:cstheme="minorEastAsia"/>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供方邮箱地址：</w:t>
            </w:r>
          </w:p>
        </w:tc>
        <w:tc>
          <w:tcPr>
            <w:tcW w:w="5080" w:type="dxa"/>
            <w:tcBorders>
              <w:left w:val="nil"/>
              <w:right w:val="nil"/>
            </w:tcBorders>
          </w:tcPr>
          <w:p>
            <w:pPr>
              <w:spacing w:line="288" w:lineRule="auto"/>
              <w:rPr>
                <w:rFonts w:asciiTheme="minorEastAsia" w:hAnsiTheme="minorEastAsia" w:eastAsiaTheme="minorEastAsia" w:cstheme="minorEastAsia"/>
                <w:bCs/>
                <w:color w:val="auto"/>
                <w:sz w:val="21"/>
                <w:szCs w:val="21"/>
                <w:highlight w:val="none"/>
              </w:rPr>
            </w:pPr>
          </w:p>
        </w:tc>
      </w:tr>
    </w:tbl>
    <w:p>
      <w:pPr>
        <w:spacing w:line="288"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八、其他</w:t>
      </w:r>
    </w:p>
    <w:p>
      <w:pPr>
        <w:spacing w:line="288" w:lineRule="auto"/>
        <w:ind w:firstLine="489" w:firstLineChars="233"/>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8.1本合同中“项目其他文件”系指本合同首部载明的采购项目的招标（采购）文件、澄清表（函）、投标（响应）文件（含特殊承诺）、中标（成交）通知书等，这些文件均为本合同不可分割的部分。前述文件之间若发生抵触，应以以下优先顺序为准：</w:t>
      </w:r>
      <w:r>
        <w:rPr>
          <w:rFonts w:hint="eastAsia" w:asciiTheme="minorEastAsia" w:hAnsiTheme="minorEastAsia" w:eastAsiaTheme="minorEastAsia" w:cstheme="minorEastAsia"/>
          <w:color w:val="auto"/>
          <w:sz w:val="21"/>
          <w:szCs w:val="21"/>
          <w:highlight w:val="none"/>
          <w:u w:val="single"/>
        </w:rPr>
        <w:t>本合同签订后双方拟定的书面补充合同、本合同、投标时的特殊承诺函、澄清文件、投标（响应）文件、招标（采购）文件。</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8.2 如有未尽事宜，由双方依法订立书面补充合同。</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8.3本合同一式七份，供方一份，需方六份（采招中心一份，设备处三份，用户单位两份），自双方法定代表人或授权代表人签字或盖章并加盖合同专用章后生效，每份具有同等法律效力。</w:t>
      </w:r>
    </w:p>
    <w:p>
      <w:pPr>
        <w:spacing w:line="288"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-----------------------------以下无正文--------------------------------</w:t>
      </w:r>
    </w:p>
    <w:p>
      <w:pPr>
        <w:spacing w:line="288" w:lineRule="auto"/>
        <w:jc w:val="center"/>
        <w:rPr>
          <w:rFonts w:asciiTheme="minorEastAsia" w:hAnsiTheme="minorEastAsia" w:eastAsiaTheme="minorEastAsia" w:cstheme="minorEastAsia"/>
          <w:color w:val="auto"/>
          <w:sz w:val="21"/>
          <w:szCs w:val="21"/>
          <w:highlight w:val="none"/>
        </w:rPr>
      </w:pPr>
    </w:p>
    <w:tbl>
      <w:tblPr>
        <w:tblStyle w:val="24"/>
        <w:tblW w:w="0" w:type="auto"/>
        <w:jc w:val="center"/>
        <w:tblLayout w:type="fixed"/>
        <w:tblCellMar>
          <w:top w:w="0" w:type="dxa"/>
          <w:left w:w="108" w:type="dxa"/>
          <w:bottom w:w="0" w:type="dxa"/>
          <w:right w:w="108" w:type="dxa"/>
        </w:tblCellMar>
      </w:tblPr>
      <w:tblGrid>
        <w:gridCol w:w="1520"/>
        <w:gridCol w:w="3461"/>
        <w:gridCol w:w="4981"/>
      </w:tblGrid>
      <w:tr>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供方（盖章）：</w:t>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需方（盖章）：西南大学</w:t>
            </w:r>
          </w:p>
          <w:p>
            <w:pPr>
              <w:rPr>
                <w:rFonts w:asciiTheme="minorEastAsia" w:hAnsiTheme="minorEastAsia" w:eastAsiaTheme="minorEastAsia" w:cstheme="minorEastAsia"/>
                <w:color w:val="auto"/>
                <w:sz w:val="21"/>
                <w:szCs w:val="21"/>
                <w:highlight w:val="none"/>
              </w:rPr>
            </w:pPr>
          </w:p>
        </w:tc>
      </w:tr>
      <w:tr>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统一社会信用代码：</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法定代表人：张卫国</w:t>
            </w:r>
          </w:p>
        </w:tc>
      </w:tr>
      <w:tr>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银行账号：</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地址：重庆市北碚区天生路2号</w:t>
            </w:r>
          </w:p>
        </w:tc>
      </w:tr>
      <w:tr>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注册地址：</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邮编:400715</w:t>
            </w:r>
          </w:p>
        </w:tc>
      </w:tr>
      <w:tr>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公司电话：</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授权代表人（签字）：</w:t>
            </w:r>
            <w:r>
              <w:rPr>
                <w:rFonts w:hint="eastAsia" w:asciiTheme="minorEastAsia" w:hAnsiTheme="minorEastAsia" w:eastAsiaTheme="minorEastAsia" w:cstheme="minorEastAsia"/>
                <w:vanish/>
                <w:color w:val="auto"/>
                <w:sz w:val="21"/>
                <w:szCs w:val="21"/>
                <w:highlight w:val="none"/>
              </w:rPr>
              <w:t>(二级单位主要负责人)</w:t>
            </w:r>
          </w:p>
        </w:tc>
      </w:tr>
      <w:tr>
        <w:trPr>
          <w:cantSplit/>
          <w:jc w:val="center"/>
          <w:hidden/>
        </w:trPr>
        <w:tc>
          <w:tcPr>
            <w:tcW w:w="1520" w:type="dxa"/>
          </w:tcPr>
          <w:p>
            <w:pPr>
              <w:wordWrap w:val="0"/>
              <w:spacing w:line="440" w:lineRule="exact"/>
              <w:ind w:right="-120" w:rightChars="-50"/>
              <w:rPr>
                <w:rFonts w:asciiTheme="minorEastAsia" w:hAnsiTheme="minorEastAsia" w:eastAsiaTheme="minorEastAsia" w:cstheme="minorEastAsia"/>
                <w:vanish/>
                <w:color w:val="auto"/>
                <w:sz w:val="21"/>
                <w:szCs w:val="21"/>
                <w:highlight w:val="none"/>
              </w:rPr>
            </w:pPr>
            <w:r>
              <w:rPr>
                <w:rFonts w:hint="eastAsia" w:asciiTheme="minorEastAsia" w:hAnsiTheme="minorEastAsia" w:eastAsiaTheme="minorEastAsia" w:cstheme="minorEastAsia"/>
                <w:vanish/>
                <w:color w:val="auto"/>
                <w:sz w:val="21"/>
                <w:szCs w:val="21"/>
                <w:highlight w:val="none"/>
              </w:rPr>
              <w:t>授权代表人</w:t>
            </w:r>
          </w:p>
        </w:tc>
        <w:tc>
          <w:tcPr>
            <w:tcW w:w="3461" w:type="dxa"/>
            <w:vAlign w:val="center"/>
          </w:tcPr>
          <w:p>
            <w:pPr>
              <w:spacing w:line="440" w:lineRule="exact"/>
              <w:ind w:left="-120" w:leftChars="-50"/>
              <w:rPr>
                <w:rFonts w:asciiTheme="minorEastAsia" w:hAnsiTheme="minorEastAsia" w:eastAsiaTheme="minorEastAsia" w:cstheme="minorEastAsia"/>
                <w:vanish/>
                <w:color w:val="auto"/>
                <w:sz w:val="21"/>
                <w:szCs w:val="21"/>
                <w:highlight w:val="none"/>
              </w:rPr>
            </w:pPr>
            <w:r>
              <w:rPr>
                <w:rFonts w:hint="eastAsia" w:asciiTheme="minorEastAsia" w:hAnsiTheme="minorEastAsia" w:eastAsiaTheme="minorEastAsia" w:cstheme="minorEastAsia"/>
                <w:vanish/>
                <w:color w:val="auto"/>
                <w:sz w:val="21"/>
                <w:szCs w:val="21"/>
                <w:highlight w:val="none"/>
              </w:rPr>
              <w:t>（签字）：</w:t>
            </w:r>
          </w:p>
        </w:tc>
        <w:tc>
          <w:tcPr>
            <w:tcW w:w="4981" w:type="dxa"/>
            <w:vAlign w:val="center"/>
          </w:tcPr>
          <w:p>
            <w:pPr>
              <w:spacing w:line="440" w:lineRule="exact"/>
              <w:rPr>
                <w:rFonts w:asciiTheme="minorEastAsia" w:hAnsiTheme="minorEastAsia" w:eastAsiaTheme="minorEastAsia" w:cstheme="minorEastAsia"/>
                <w:color w:val="auto"/>
                <w:sz w:val="21"/>
                <w:szCs w:val="21"/>
                <w:highlight w:val="none"/>
              </w:rPr>
            </w:pPr>
          </w:p>
        </w:tc>
      </w:tr>
      <w:tr>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签约日期：      年     月     日</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签约日期：      年     月     日</w:t>
            </w:r>
          </w:p>
        </w:tc>
      </w:tr>
    </w:tbl>
    <w:p>
      <w:pPr>
        <w:spacing w:line="288" w:lineRule="auto"/>
        <w:rPr>
          <w:rFonts w:asciiTheme="minorEastAsia" w:hAnsiTheme="minorEastAsia" w:eastAsiaTheme="minorEastAsia" w:cstheme="minorEastAsia"/>
          <w:color w:val="auto"/>
          <w:sz w:val="21"/>
          <w:szCs w:val="21"/>
          <w:highlight w:val="none"/>
        </w:rPr>
      </w:pPr>
    </w:p>
    <w:p>
      <w:pPr>
        <w:spacing w:line="360" w:lineRule="auto"/>
        <w:rPr>
          <w:rFonts w:asciiTheme="minorEastAsia" w:hAnsiTheme="minorEastAsia" w:eastAsiaTheme="minorEastAsia" w:cstheme="minorEastAsia"/>
          <w:color w:val="auto"/>
          <w:highlight w:val="none"/>
        </w:rPr>
      </w:pPr>
    </w:p>
    <w:p>
      <w:pPr>
        <w:spacing w:line="460" w:lineRule="exact"/>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注：合同签订流程详见</w:t>
      </w:r>
      <w:r>
        <w:rPr>
          <w:color w:val="auto"/>
          <w:highlight w:val="none"/>
        </w:rPr>
        <w:fldChar w:fldCharType="begin"/>
      </w:r>
      <w:r>
        <w:rPr>
          <w:color w:val="auto"/>
          <w:highlight w:val="none"/>
        </w:rPr>
        <w:instrText xml:space="preserve"> HYPERLINK "http://sysbc.swu.edu.cn/s/sbc/sbgl/20171011/1983989.html" </w:instrText>
      </w:r>
      <w:r>
        <w:rPr>
          <w:color w:val="auto"/>
          <w:highlight w:val="none"/>
        </w:rPr>
        <w:fldChar w:fldCharType="separate"/>
      </w:r>
      <w:r>
        <w:rPr>
          <w:rStyle w:val="29"/>
          <w:rFonts w:hint="eastAsia" w:asciiTheme="minorEastAsia" w:hAnsiTheme="minorEastAsia" w:eastAsiaTheme="minorEastAsia" w:cstheme="minorEastAsia"/>
          <w:b/>
          <w:color w:val="auto"/>
          <w:highlight w:val="none"/>
        </w:rPr>
        <w:t>http://sysbc.swu.edu.cn/s/sbc/sbgl/20171011/1983989.html</w:t>
      </w:r>
      <w:r>
        <w:rPr>
          <w:rStyle w:val="29"/>
          <w:rFonts w:hint="eastAsia" w:asciiTheme="minorEastAsia" w:hAnsiTheme="minorEastAsia" w:eastAsiaTheme="minorEastAsia" w:cstheme="minorEastAsia"/>
          <w:b/>
          <w:color w:val="auto"/>
          <w:highlight w:val="none"/>
        </w:rPr>
        <w:fldChar w:fldCharType="end"/>
      </w: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异地清关风险提示及承诺书</w:t>
      </w:r>
    </w:p>
    <w:p>
      <w:pPr>
        <w:spacing w:line="360" w:lineRule="auto"/>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货物异地（ 异地保税区 ）清关可能造成的风险 ：</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1、异地清关可能导致不同海关对同一商品的认定存在差异，即异地海关不认同我校所在地海关对商品的认定和归类，从而导致货物没办法清关；</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2、如在保税区特别是异地保税区清关，供应商可能在向海关申报时，把走私货物夹带到我校申报的货物中，该行为一经海关查出，我校和外贸公司可能被追究相关刑事责任，并取消我校申请免税的资格。</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3、货物异地清关，货物从异地到重庆用户处运输和保险均由供应商负责，外贸公司无法监督发货时间和保证货物的安全性。</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4、异地清关需要在重庆办好免税证后再邮寄单证至异地，常常导致无法及时清出货物和造成时间的拖延，产生滞报、仓储等相关费用。</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异地保税区进货均为大批量货物，而我校采购的货物为小额数量，即供应商有可能无法提供货物入境海关备案清单（清单上有供应商对外采购货物底价），导致外贸公司无法进行付汇核销，进而无法（或在规定期限内）跟用户老师进行结算。</w:t>
      </w:r>
    </w:p>
    <w:p>
      <w:pPr>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6、保税区内可以对货物进行组装加工，用户采购的货物可能被供应商在异地保税区内进行重组加工再发出（非保税区内禁止对货物进行拆箱，海关查货除外）。</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本人已经知悉上述异地清关的风险，有意外情况及时报告学校职能部门，并接受由于异地清关可能造成的到货时间延误、结算拖延，接受重庆海关已批准的免税而异地海关有可能不认可而导致的征税进口的情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甲方用户代表签名：</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（用户单位盖章）</w:t>
      </w:r>
    </w:p>
    <w:p>
      <w:pPr>
        <w:spacing w:line="360" w:lineRule="auto"/>
        <w:rPr>
          <w:rFonts w:asciiTheme="minorEastAsia" w:hAnsiTheme="minorEastAsia" w:eastAsiaTheme="minorEastAsia" w:cstheme="minorEastAsia"/>
          <w:color w:val="auto"/>
          <w:highlight w:val="none"/>
        </w:rPr>
      </w:pPr>
    </w:p>
    <w:p>
      <w:pPr>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乙方：乙方已经知悉上述异地清关可能造成的风险，保证不发生上述第 2、6 条的情况，对上述第 1、3、4、5 条愿意承担由于异地（异地保税区）清关可能造成的货物无法清关、清关延误、海关查处等相关责任，并负责由此产生的相关费用。</w:t>
      </w:r>
    </w:p>
    <w:p>
      <w:pPr>
        <w:spacing w:line="360" w:lineRule="auto"/>
        <w:ind w:firstLine="600" w:firstLineChars="250"/>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乙方法定代表人（授权代表）签名：</w:t>
      </w:r>
    </w:p>
    <w:p>
      <w:pPr>
        <w:spacing w:line="360" w:lineRule="auto"/>
        <w:jc w:val="center"/>
        <w:rPr>
          <w:rFonts w:asciiTheme="minorEastAsia" w:hAnsiTheme="minorEastAsia" w:eastAsiaTheme="minorEastAsia" w:cstheme="minorEastAsia"/>
          <w:b/>
          <w:color w:val="auto"/>
          <w:sz w:val="44"/>
          <w:szCs w:val="44"/>
          <w:highlight w:val="none"/>
        </w:rPr>
      </w:pPr>
    </w:p>
    <w:p>
      <w:pPr>
        <w:spacing w:line="360" w:lineRule="auto"/>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签订协议书注意事项</w:t>
      </w:r>
    </w:p>
    <w:p>
      <w:pPr>
        <w:spacing w:line="360" w:lineRule="auto"/>
        <w:jc w:val="center"/>
        <w:rPr>
          <w:rFonts w:asciiTheme="minorEastAsia" w:hAnsiTheme="minorEastAsia" w:eastAsiaTheme="minorEastAsia" w:cstheme="minorEastAsia"/>
          <w:color w:val="auto"/>
          <w:highlight w:val="none"/>
        </w:rPr>
      </w:pP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1、学校指定的外贸代理公司将参照本协议书签订外贸合同，协议书中的条款与外贸合同的相关条款严格一致（详见外贸合同模版），请仔细阅读具体条款。</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2、招标采购的中标公司在签订协议书时应提供中文产品说明彩页一式三份。</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3、提供的三份中文产品说明书主要用于办理免税及清关，说明书与协议书上首页及配置清单中的货物</w:t>
      </w:r>
      <w:r>
        <w:rPr>
          <w:rFonts w:hint="eastAsia" w:asciiTheme="minorEastAsia" w:hAnsiTheme="minorEastAsia" w:eastAsiaTheme="minorEastAsia" w:cstheme="minorEastAsia"/>
          <w:b/>
          <w:color w:val="auto"/>
          <w:highlight w:val="none"/>
        </w:rPr>
        <w:t>名称</w:t>
      </w:r>
      <w:r>
        <w:rPr>
          <w:rFonts w:hint="eastAsia" w:asciiTheme="minorEastAsia" w:hAnsiTheme="minorEastAsia" w:eastAsiaTheme="minorEastAsia" w:cstheme="minorEastAsia"/>
          <w:color w:val="auto"/>
          <w:highlight w:val="none"/>
        </w:rPr>
        <w:t>和</w:t>
      </w:r>
      <w:r>
        <w:rPr>
          <w:rFonts w:hint="eastAsia" w:asciiTheme="minorEastAsia" w:hAnsiTheme="minorEastAsia" w:eastAsiaTheme="minorEastAsia" w:cstheme="minorEastAsia"/>
          <w:b/>
          <w:color w:val="auto"/>
          <w:highlight w:val="none"/>
        </w:rPr>
        <w:t>型号</w:t>
      </w:r>
      <w:r>
        <w:rPr>
          <w:rFonts w:hint="eastAsia" w:asciiTheme="minorEastAsia" w:hAnsiTheme="minorEastAsia" w:eastAsiaTheme="minorEastAsia" w:cstheme="minorEastAsia"/>
          <w:color w:val="auto"/>
          <w:highlight w:val="none"/>
        </w:rPr>
        <w:t xml:space="preserve">必须一致，并含有该产品彩色外观图片(需√出)，如只有外文的，应附中文翻译。若说明书为供应商自行制作的彩色打印版，需要加盖供应商骑缝章并交学校用户每一页签名。 </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随同购置的附件或配件应列入清单中，不要列在第一页表格中。货物名称及清单应有中文，并且须列明具体数量和单位，国内交货部分要注明。配置清单中货物数量单位为“套”时，应列明“套”内具体货物清单。清单须按照招标结果核对确认并签名。</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5、办理软件免税进口必须含有该软件的安装介质。</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6、甲方“ 用户单位负责人”是指专项经费负责人；学院主管该经费、项目的院长；科研经费的经费负责人。</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甲方联系人 ：是指后续合同跟进、办理免税等工作的单位办事人员。</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7、编号由甲方职能部门编写。“□”代表选择项，选定后删掉其它项。</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8、正式协议书签字盖章前，须先将双方拟定的电子版本发给职能部门初审。</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联系人及电话: 李老师  023-68366150</w:t>
      </w: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bookmarkStart w:id="128" w:name="_Toc497729856"/>
      <w:bookmarkStart w:id="129" w:name="_Toc138929560"/>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第七篇  投标文件格式</w:t>
      </w:r>
      <w:bookmarkEnd w:id="128"/>
      <w:bookmarkEnd w:id="129"/>
    </w:p>
    <w:p>
      <w:pPr>
        <w:spacing w:line="360" w:lineRule="auto"/>
        <w:rPr>
          <w:rFonts w:asciiTheme="minorEastAsia" w:hAnsiTheme="minorEastAsia" w:eastAsiaTheme="minorEastAsia" w:cstheme="minorEastAsia"/>
          <w:color w:val="auto"/>
          <w:sz w:val="28"/>
          <w:szCs w:val="28"/>
          <w:highlight w:val="none"/>
        </w:rPr>
      </w:pPr>
    </w:p>
    <w:p>
      <w:pPr>
        <w:spacing w:line="360" w:lineRule="auto"/>
        <w:rPr>
          <w:rFonts w:asciiTheme="minorEastAsia" w:hAnsiTheme="minorEastAsia" w:eastAsiaTheme="minorEastAsia" w:cstheme="minorEastAsia"/>
          <w:color w:val="auto"/>
          <w:sz w:val="28"/>
          <w:szCs w:val="28"/>
          <w:highlight w:val="none"/>
        </w:rPr>
      </w:pP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bookmarkStart w:id="130" w:name="_Toc465269277"/>
      <w:r>
        <w:rPr>
          <w:rFonts w:hint="eastAsia" w:asciiTheme="minorEastAsia" w:hAnsiTheme="minorEastAsia" w:eastAsiaTheme="minorEastAsia" w:cstheme="minorEastAsia"/>
          <w:b w:val="0"/>
          <w:color w:val="auto"/>
          <w:highlight w:val="none"/>
        </w:rPr>
        <w:t>一、投标文件封面格式</w:t>
      </w:r>
      <w:bookmarkEnd w:id="130"/>
    </w:p>
    <w:p>
      <w:pPr>
        <w:spacing w:line="360" w:lineRule="auto"/>
        <w:jc w:val="center"/>
        <w:rPr>
          <w:rFonts w:asciiTheme="minorEastAsia" w:hAnsiTheme="minorEastAsia" w:eastAsiaTheme="minorEastAsia" w:cstheme="minorEastAsia"/>
          <w:b/>
          <w:color w:val="auto"/>
          <w:sz w:val="44"/>
          <w:szCs w:val="44"/>
          <w:highlight w:val="none"/>
        </w:rPr>
      </w:pPr>
    </w:p>
    <w:p>
      <w:pPr>
        <w:spacing w:line="360" w:lineRule="auto"/>
        <w:jc w:val="center"/>
        <w:rPr>
          <w:rFonts w:asciiTheme="minorEastAsia" w:hAnsiTheme="minorEastAsia" w:eastAsiaTheme="minorEastAsia" w:cstheme="minorEastAsia"/>
          <w:b/>
          <w:color w:val="auto"/>
          <w:sz w:val="52"/>
          <w:szCs w:val="52"/>
          <w:highlight w:val="none"/>
        </w:rPr>
      </w:pPr>
      <w:r>
        <w:rPr>
          <w:rFonts w:hint="eastAsia" w:asciiTheme="minorEastAsia" w:hAnsiTheme="minorEastAsia" w:eastAsiaTheme="minorEastAsia" w:cstheme="minorEastAsia"/>
          <w:b/>
          <w:color w:val="auto"/>
          <w:sz w:val="52"/>
          <w:szCs w:val="52"/>
          <w:highlight w:val="none"/>
        </w:rPr>
        <w:t>投 标 文 件</w:t>
      </w:r>
    </w:p>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（封面）</w:t>
      </w: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ind w:firstLine="1820" w:firstLineChars="65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 </w:t>
      </w:r>
    </w:p>
    <w:p>
      <w:pPr>
        <w:spacing w:line="360" w:lineRule="auto"/>
        <w:ind w:firstLine="1820" w:firstLineChars="650"/>
        <w:rPr>
          <w:rFonts w:asciiTheme="minorEastAsia" w:hAnsiTheme="minorEastAsia" w:eastAsiaTheme="minorEastAsia" w:cstheme="minorEastAsia"/>
          <w:color w:val="auto"/>
          <w:sz w:val="28"/>
          <w:szCs w:val="28"/>
          <w:highlight w:val="none"/>
        </w:rPr>
      </w:pPr>
    </w:p>
    <w:p>
      <w:pPr>
        <w:spacing w:line="360" w:lineRule="auto"/>
        <w:ind w:firstLine="1820" w:firstLineChars="6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招标编号：</w:t>
      </w:r>
    </w:p>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（正本/ 副本）</w:t>
      </w:r>
    </w:p>
    <w:p>
      <w:pPr>
        <w:spacing w:line="360" w:lineRule="auto"/>
        <w:jc w:val="center"/>
        <w:rPr>
          <w:rFonts w:asciiTheme="minorEastAsia" w:hAnsiTheme="minorEastAsia" w:eastAsiaTheme="minorEastAsia" w:cstheme="minorEastAsia"/>
          <w:color w:val="auto"/>
          <w:sz w:val="28"/>
          <w:szCs w:val="28"/>
          <w:highlight w:val="none"/>
        </w:rPr>
      </w:pPr>
    </w:p>
    <w:p>
      <w:pPr>
        <w:pStyle w:val="3"/>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投标人名称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法定代表人姓名：                 手机：</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                           邮编：</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                           传真：</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网址：</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电子邮箱：</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投标代表（印刷体）：                               签字：</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手机：                                  日期  ：  年  月  日</w:t>
      </w:r>
    </w:p>
    <w:p>
      <w:pPr>
        <w:spacing w:line="360" w:lineRule="auto"/>
        <w:rPr>
          <w:rFonts w:asciiTheme="minorEastAsia" w:hAnsiTheme="minorEastAsia" w:eastAsiaTheme="minorEastAsia" w:cstheme="minorEastAsia"/>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bookmarkStart w:id="131" w:name="_Toc465269278"/>
      <w:r>
        <w:rPr>
          <w:rFonts w:hint="eastAsia" w:asciiTheme="minorEastAsia" w:hAnsiTheme="minorEastAsia" w:eastAsiaTheme="minorEastAsia" w:cstheme="minorEastAsia"/>
          <w:b w:val="0"/>
          <w:color w:val="auto"/>
          <w:highlight w:val="none"/>
        </w:rPr>
        <w:t>二、投标文件目录格式</w:t>
      </w:r>
      <w:bookmarkEnd w:id="131"/>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投标文件目录</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bookmarkStart w:id="132" w:name="_Toc465269279"/>
      <w:r>
        <w:rPr>
          <w:rFonts w:hint="eastAsia" w:asciiTheme="minorEastAsia" w:hAnsiTheme="minorEastAsia" w:eastAsiaTheme="minorEastAsia" w:cstheme="minorEastAsia"/>
          <w:color w:val="auto"/>
          <w:highlight w:val="none"/>
        </w:rPr>
        <w:t>(一) 投标函………………………………………………………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 廉洁投标承诺书………………………………………………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（三）开标一览表………………………………………………页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 投标分项报价表………………………………………………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 配置清单………………………………………………………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 技术规格/要求偏离表………………………………………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(七) 商务条款偏离表………………………………………………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(八) 售后服务承诺书………………………………………………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（九）法定代表人（单位负责人）身份证明………………………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 法定代表人（单位负责人）授权书……………………………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(十一) 关于资格的声明函……………………………………………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(十二)  投标人的资格声明………………………………………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(十三) 单位营业执照等资格证明文件…………………………… 页</w:t>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(十</w:t>
      </w:r>
      <w:r>
        <w:rPr>
          <w:rFonts w:hint="eastAsia" w:asciiTheme="minorEastAsia" w:hAnsiTheme="minorEastAsia" w:eastAsiaTheme="minorEastAsia" w:cstheme="minorEastAsia"/>
          <w:color w:val="auto"/>
          <w:highlight w:val="none"/>
          <w:lang w:eastAsia="zh-CN"/>
        </w:rPr>
        <w:t>四</w:t>
      </w:r>
      <w:r>
        <w:rPr>
          <w:rFonts w:hint="eastAsia" w:asciiTheme="minorEastAsia" w:hAnsiTheme="minorEastAsia" w:eastAsiaTheme="minorEastAsia" w:cstheme="minorEastAsia"/>
          <w:color w:val="auto"/>
          <w:highlight w:val="none"/>
        </w:rPr>
        <w:t>) 制造厂商出具的授权函………………………………………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w:t>
      </w:r>
      <w:r>
        <w:rPr>
          <w:rFonts w:hint="eastAsia" w:asciiTheme="minorEastAsia" w:hAnsiTheme="minorEastAsia" w:eastAsiaTheme="minorEastAsia" w:cstheme="minorEastAsia"/>
          <w:color w:val="auto"/>
          <w:highlight w:val="none"/>
          <w:lang w:eastAsia="zh-CN"/>
        </w:rPr>
        <w:t>五</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制</w:t>
      </w:r>
      <w:r>
        <w:rPr>
          <w:rFonts w:hint="eastAsia" w:asciiTheme="minorEastAsia" w:hAnsiTheme="minorEastAsia" w:eastAsiaTheme="minorEastAsia" w:cstheme="minorEastAsia"/>
          <w:color w:val="auto"/>
          <w:highlight w:val="none"/>
        </w:rPr>
        <w:t>造商资格声明………………………………………页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w:t>
      </w:r>
      <w:r>
        <w:rPr>
          <w:rFonts w:hint="eastAsia" w:asciiTheme="minorEastAsia" w:hAnsiTheme="minorEastAsia" w:eastAsiaTheme="minorEastAsia" w:cstheme="minorEastAsia"/>
          <w:color w:val="auto"/>
          <w:highlight w:val="none"/>
          <w:lang w:eastAsia="zh-CN"/>
        </w:rPr>
        <w:t>六</w:t>
      </w:r>
      <w:r>
        <w:rPr>
          <w:rFonts w:hint="eastAsia" w:asciiTheme="minorEastAsia" w:hAnsiTheme="minorEastAsia" w:eastAsiaTheme="minorEastAsia" w:cstheme="minorEastAsia"/>
          <w:color w:val="auto"/>
          <w:highlight w:val="none"/>
        </w:rPr>
        <w:t>）小企业情况说明………………………………………页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w:t>
      </w:r>
      <w:r>
        <w:rPr>
          <w:rFonts w:hint="eastAsia" w:asciiTheme="minorEastAsia" w:hAnsiTheme="minorEastAsia" w:eastAsiaTheme="minorEastAsia" w:cstheme="minorEastAsia"/>
          <w:color w:val="auto"/>
          <w:highlight w:val="none"/>
          <w:lang w:eastAsia="zh-CN"/>
        </w:rPr>
        <w:t>七</w:t>
      </w:r>
      <w:r>
        <w:rPr>
          <w:rFonts w:hint="eastAsia" w:asciiTheme="minorEastAsia" w:hAnsiTheme="minorEastAsia" w:eastAsiaTheme="minorEastAsia" w:cstheme="minorEastAsia"/>
          <w:color w:val="auto"/>
          <w:highlight w:val="none"/>
        </w:rPr>
        <w:t>)其它材料……………………………………………………… 页</w:t>
      </w: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2"/>
        <w:spacing w:line="400" w:lineRule="exact"/>
        <w:ind w:left="0"/>
        <w:rPr>
          <w:rFonts w:asciiTheme="minorEastAsia" w:hAnsiTheme="minorEastAsia" w:eastAsiaTheme="minorEastAsia" w:cstheme="minorEastAsia"/>
          <w:b w:val="0"/>
          <w:color w:val="auto"/>
          <w:highlight w:val="none"/>
        </w:rPr>
      </w:pP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pPr>
    </w:p>
    <w:p>
      <w:pPr>
        <w:pStyle w:val="2"/>
        <w:spacing w:line="400" w:lineRule="exact"/>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三、投标函格式</w:t>
      </w:r>
      <w:bookmarkEnd w:id="132"/>
    </w:p>
    <w:p>
      <w:pPr>
        <w:spacing w:line="400" w:lineRule="exact"/>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投 标 函</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致：西南大学</w:t>
      </w:r>
    </w:p>
    <w:p>
      <w:pPr>
        <w:spacing w:line="380" w:lineRule="exact"/>
        <w:ind w:firstLine="480" w:firstLineChars="20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 xml:space="preserve">根据贵方 </w:t>
      </w:r>
      <w:r>
        <w:rPr>
          <w:rFonts w:hint="eastAsia" w:asciiTheme="minorEastAsia" w:hAnsiTheme="minorEastAsia" w:eastAsiaTheme="minorEastAsia" w:cstheme="minorEastAsia"/>
          <w:color w:val="auto"/>
          <w:highlight w:val="none"/>
          <w:u w:val="single"/>
        </w:rPr>
        <w:t>（项目名称 ）</w:t>
      </w:r>
      <w:r>
        <w:rPr>
          <w:rFonts w:hint="eastAsia" w:asciiTheme="minorEastAsia" w:hAnsiTheme="minorEastAsia" w:eastAsiaTheme="minorEastAsia" w:cstheme="minorEastAsia"/>
          <w:color w:val="auto"/>
          <w:highlight w:val="none"/>
        </w:rPr>
        <w:t xml:space="preserve">项目招标采购货物及服务的投标邀请 </w:t>
      </w:r>
      <w:r>
        <w:rPr>
          <w:rFonts w:hint="eastAsia" w:asciiTheme="minorEastAsia" w:hAnsiTheme="minorEastAsia" w:eastAsiaTheme="minorEastAsia" w:cstheme="minorEastAsia"/>
          <w:color w:val="auto"/>
          <w:highlight w:val="none"/>
          <w:u w:val="single"/>
        </w:rPr>
        <w:t>（招标编号 ）</w:t>
      </w:r>
      <w:r>
        <w:rPr>
          <w:rFonts w:hint="eastAsia" w:asciiTheme="minorEastAsia" w:hAnsiTheme="minorEastAsia" w:eastAsiaTheme="minorEastAsia" w:cstheme="minorEastAsia"/>
          <w:color w:val="auto"/>
          <w:highlight w:val="none"/>
        </w:rPr>
        <w:t>，签字代表</w:t>
      </w:r>
      <w:r>
        <w:rPr>
          <w:rFonts w:hint="eastAsia" w:asciiTheme="minorEastAsia" w:hAnsiTheme="minorEastAsia" w:eastAsiaTheme="minorEastAsia" w:cstheme="minorEastAsia"/>
          <w:color w:val="auto"/>
          <w:highlight w:val="none"/>
          <w:u w:val="single"/>
        </w:rPr>
        <w:t>（ 姓名， 职务 ）</w:t>
      </w:r>
      <w:r>
        <w:rPr>
          <w:rFonts w:hint="eastAsia" w:asciiTheme="minorEastAsia" w:hAnsiTheme="minorEastAsia" w:eastAsiaTheme="minorEastAsia" w:cstheme="minorEastAsia"/>
          <w:color w:val="auto"/>
          <w:highlight w:val="none"/>
        </w:rPr>
        <w:t>经正式授权并代表投标人</w:t>
      </w:r>
      <w:r>
        <w:rPr>
          <w:rFonts w:hint="eastAsia" w:asciiTheme="minorEastAsia" w:hAnsiTheme="minorEastAsia" w:eastAsiaTheme="minorEastAsia" w:cstheme="minorEastAsia"/>
          <w:color w:val="auto"/>
          <w:highlight w:val="none"/>
          <w:u w:val="single"/>
        </w:rPr>
        <w:t>( 投标人名称和地址)</w:t>
      </w:r>
      <w:r>
        <w:rPr>
          <w:rFonts w:hint="eastAsia" w:asciiTheme="minorEastAsia" w:hAnsiTheme="minorEastAsia" w:eastAsiaTheme="minorEastAsia" w:cstheme="minorEastAsia"/>
          <w:color w:val="auto"/>
          <w:highlight w:val="none"/>
        </w:rPr>
        <w:t>提交投标文件资格文件正本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份，副本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份；经济商务技术文件正本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份，副本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份，电子文件</w:t>
      </w:r>
      <w:r>
        <w:rPr>
          <w:rFonts w:hint="eastAsia" w:asciiTheme="minorEastAsia" w:hAnsiTheme="minorEastAsia" w:eastAsiaTheme="minorEastAsia" w:cstheme="minorEastAsia"/>
          <w:color w:val="auto"/>
          <w:highlight w:val="none"/>
          <w:u w:val="single"/>
        </w:rPr>
        <w:t xml:space="preserve">    </w:t>
      </w:r>
      <w:r>
        <w:rPr>
          <w:rFonts w:asciiTheme="minorEastAsia" w:hAnsiTheme="minorEastAsia" w:eastAsiaTheme="minorEastAsia" w:cstheme="minorEastAsia"/>
          <w:color w:val="auto"/>
          <w:highlight w:val="none"/>
          <w:u w:val="single"/>
        </w:rPr>
        <w:t xml:space="preserve">    </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份（若有）。</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签字人代表以此函申明并同意如下:</w:t>
      </w:r>
    </w:p>
    <w:p>
      <w:pPr>
        <w:spacing w:line="380" w:lineRule="exact"/>
        <w:ind w:firstLine="472" w:firstLineChars="200"/>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（1）所附投标报价表规定的应提交和交付的货物及服务的投标总价为货交采购人指定地点（包括安装调试）价格，其中国内货物总价为人民币</w:t>
      </w:r>
      <w:r>
        <w:rPr>
          <w:rFonts w:hint="eastAsia" w:asciiTheme="minorEastAsia" w:hAnsiTheme="minorEastAsia" w:eastAsiaTheme="minorEastAsia" w:cstheme="minorEastAsia"/>
          <w:color w:val="auto"/>
          <w:spacing w:val="-2"/>
          <w:highlight w:val="none"/>
          <w:u w:val="single"/>
        </w:rPr>
        <w:t xml:space="preserve">              </w:t>
      </w:r>
      <w:r>
        <w:rPr>
          <w:rFonts w:hint="eastAsia" w:asciiTheme="minorEastAsia" w:hAnsiTheme="minorEastAsia" w:eastAsiaTheme="minorEastAsia" w:cstheme="minorEastAsia"/>
          <w:color w:val="auto"/>
          <w:spacing w:val="-2"/>
          <w:highlight w:val="none"/>
        </w:rPr>
        <w:t>元（以大写和数字表示，国内货物报含税人民币价），进口货物的总价为</w:t>
      </w:r>
      <w:r>
        <w:rPr>
          <w:rFonts w:hint="eastAsia" w:asciiTheme="minorEastAsia" w:hAnsiTheme="minorEastAsia" w:eastAsiaTheme="minorEastAsia" w:cstheme="minorEastAsia"/>
          <w:color w:val="auto"/>
          <w:spacing w:val="-2"/>
          <w:highlight w:val="none"/>
          <w:u w:val="single"/>
        </w:rPr>
        <w:t xml:space="preserve">              </w:t>
      </w:r>
      <w:r>
        <w:rPr>
          <w:rFonts w:hint="eastAsia" w:asciiTheme="minorEastAsia" w:hAnsiTheme="minorEastAsia" w:eastAsiaTheme="minorEastAsia" w:cstheme="minorEastAsia"/>
          <w:color w:val="auto"/>
          <w:spacing w:val="-2"/>
          <w:highlight w:val="none"/>
        </w:rPr>
        <w:t>（以大写和数字表示，进口货物可报外币价，注明报价方式）。</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（2）投标人将按招标文件的规定履行合同责任和义务。</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（3）投标人已详细审查全部招标文件，包括第（编号、补遗书）(如果有的话)。我们完全理解并同意放弃对这方面有不明及误解的权力。</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（4）投标人之投标有效期为自开标之日起 90 个日历天。</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（5）投标人保证遵守招标文件的全部规定，所提交的材料中所含的信息均为真实、准确、完整，且不具有任何误导性，并同意提供按照采购人可能的要求的与该项目投标有关的一切数据或资料。</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我方理解贵方不一定接受最低投标报价或收到的任何报价，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（7）我方承诺，与采购人聘请的为此项目提供咨询服务的公司及任何附属机构均无关联，我方不是采购人的附属机构。</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（8）我方承诺具有所投标的物的合法供货能力，具有履行合同所必需的设备和专业技术能力以及提供设备的安装、培训和提供长期售后服务的能力并能按贵方要求提供相关证明材料；</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（9）我方承诺，不存在招标文件中规定的其他限制投标情形。</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（10）所有与本次投标有关的一切正式信函请寄：</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                                    传真:</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                                    邮政编码:</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投标人授权代表姓名、职务（印刷体）：    投标人名称：</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投标人授权代表签名：                    投标人法人公章：</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投标人授权代表移动电话：                日期：</w:t>
      </w:r>
    </w:p>
    <w:p>
      <w:pPr>
        <w:pStyle w:val="2"/>
        <w:spacing w:line="360" w:lineRule="auto"/>
        <w:ind w:left="0"/>
        <w:rPr>
          <w:rFonts w:asciiTheme="minorEastAsia" w:hAnsiTheme="minorEastAsia" w:eastAsiaTheme="minorEastAsia" w:cstheme="minorEastAsia"/>
          <w:b w:val="0"/>
          <w:color w:val="auto"/>
          <w:highlight w:val="none"/>
        </w:rPr>
      </w:pPr>
      <w:bookmarkStart w:id="133" w:name="_Toc465269280"/>
      <w:r>
        <w:rPr>
          <w:rFonts w:hint="eastAsia" w:asciiTheme="minorEastAsia" w:hAnsiTheme="minorEastAsia" w:eastAsiaTheme="minorEastAsia" w:cstheme="minorEastAsia"/>
          <w:b w:val="0"/>
          <w:color w:val="auto"/>
          <w:highlight w:val="none"/>
        </w:rPr>
        <w:t>四、廉洁投标承诺书格式</w:t>
      </w:r>
      <w:bookmarkEnd w:id="133"/>
    </w:p>
    <w:p>
      <w:pPr>
        <w:spacing w:line="420" w:lineRule="exact"/>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廉洁投标承诺书</w:t>
      </w:r>
    </w:p>
    <w:p>
      <w:pPr>
        <w:spacing w:line="4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致：西南大学</w:t>
      </w:r>
    </w:p>
    <w:p>
      <w:pPr>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为加强招标采购活动中的廉政建设，防止发生商业贿赂等违法违纪行为，保护国家、集体和当事人的合法权益，根据《中华人民共和国政府采购法》等法律、法规规定，特向贵单位承诺如下事项：</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一、参与招标采购活动时，除具备采购文件规定的资格、资质要求外，我方还将严格遵守有关法律、法规、政策以及国家、地方关于廉政建设的各项规定。</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二、遵循公开、公平、公正、诚实信用原则参加投标活动，不发生损害上述原则及各方当事人合法权益的不正当竞争行为。</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三、与采购各方当事人保持正常的业务交往，不向采购用户单位和个人、政府采购与招投标管理中心及工作人员、监督机构、评审专家及其他参与采购活动的人员提供不正当利益。</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主要有：</w:t>
      </w:r>
    </w:p>
    <w:p>
      <w:pPr>
        <w:spacing w:line="400" w:lineRule="exact"/>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1、不向上述人员赠送礼金、有价证券、贵重物品及回扣、好处费、感谢费等。</w:t>
      </w:r>
    </w:p>
    <w:p>
      <w:pPr>
        <w:spacing w:line="400" w:lineRule="exact"/>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2、不为上述人员或单位报销应由对方支付的费用。</w:t>
      </w:r>
    </w:p>
    <w:p>
      <w:pPr>
        <w:spacing w:line="400" w:lineRule="exact"/>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3、不为上述人员装修住房、婚丧嫁娶、配偶子女的工作安排以及出国(境)、旅游等提供方便。</w:t>
      </w:r>
    </w:p>
    <w:p>
      <w:pPr>
        <w:spacing w:line="400" w:lineRule="exact"/>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4、不为上述人员或单位提供可能影响采购活动的宴请、健身、娱乐等活动。</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四、如获中标，将严格执行采购合同，自觉按合同办事。在合同执行过程中，不发生本承诺书第三条中所列不良行为。</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五、发现采购活动各方当事人有违规、违纪、违法行为的，及时提醒对方，情节严重的，主动向其主管部门或纪检监察、司法等机关举报。</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六、自觉接受监管。在采购活动中出现违反本承诺书规定行为的，自觉接受采购管理部门的处罚，因违法违规行为给其他当事人造成经济损失的，按规定予以赔偿。</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七、我方自愿将本承诺书作为采购文件的必备要件。在投标、报价时，由我方法定代表人或其委托代理人签署，并随投标、报价文件一并提交，否则可视为未实质响应采购文件，自愿接受由此造成的一切后果和损失。</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八、本承诺书自签署之日起生效。</w:t>
      </w:r>
    </w:p>
    <w:p>
      <w:pPr>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投标人(全称并加盖章)：</w:t>
      </w:r>
    </w:p>
    <w:p>
      <w:pPr>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法定代表人签字：</w:t>
      </w:r>
    </w:p>
    <w:p>
      <w:pPr>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投标人代表签字：</w:t>
      </w:r>
    </w:p>
    <w:p>
      <w:pPr>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pPr>
        <w:pStyle w:val="2"/>
        <w:spacing w:line="360" w:lineRule="auto"/>
        <w:ind w:left="0"/>
        <w:rPr>
          <w:rFonts w:asciiTheme="minorEastAsia" w:hAnsiTheme="minorEastAsia" w:eastAsiaTheme="minorEastAsia" w:cstheme="minorEastAsia"/>
          <w:b w:val="0"/>
          <w:color w:val="auto"/>
          <w:highlight w:val="none"/>
        </w:rPr>
      </w:pPr>
      <w:bookmarkStart w:id="134" w:name="_Toc465269281"/>
      <w:r>
        <w:rPr>
          <w:rFonts w:hint="eastAsia" w:asciiTheme="minorEastAsia" w:hAnsiTheme="minorEastAsia" w:eastAsiaTheme="minorEastAsia" w:cstheme="minorEastAsia"/>
          <w:b w:val="0"/>
          <w:color w:val="auto"/>
          <w:highlight w:val="none"/>
        </w:rPr>
        <w:t>五、开标一览表</w:t>
      </w:r>
      <w:bookmarkEnd w:id="134"/>
    </w:p>
    <w:p>
      <w:pPr>
        <w:spacing w:line="360" w:lineRule="auto"/>
        <w:ind w:firstLine="3080" w:firstLineChars="700"/>
        <w:jc w:val="both"/>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开标一览表</w:t>
      </w: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ind w:firstLine="120" w:firstLineChars="50"/>
        <w:rPr>
          <w:rFonts w:asciiTheme="minorEastAsia" w:hAnsiTheme="minorEastAsia" w:eastAsiaTheme="minorEastAsia" w:cstheme="minorEastAsia"/>
          <w:color w:val="auto"/>
          <w:sz w:val="44"/>
          <w:szCs w:val="44"/>
          <w:highlight w:val="none"/>
          <w:u w:val="single"/>
        </w:rPr>
      </w:pPr>
      <w:r>
        <w:rPr>
          <w:rFonts w:hint="eastAsia" w:asciiTheme="minorEastAsia" w:hAnsiTheme="minorEastAsia" w:eastAsiaTheme="minorEastAsia" w:cstheme="minorEastAsia"/>
          <w:color w:val="auto"/>
          <w:highlight w:val="none"/>
        </w:rPr>
        <w:t>投标人名称：</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（公章）      国别/地区：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p>
    <w:tbl>
      <w:tblPr>
        <w:tblStyle w:val="25"/>
        <w:tblW w:w="9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
        <w:gridCol w:w="709"/>
        <w:gridCol w:w="850"/>
        <w:gridCol w:w="709"/>
        <w:gridCol w:w="1843"/>
        <w:gridCol w:w="1134"/>
        <w:gridCol w:w="708"/>
        <w:gridCol w:w="923"/>
        <w:gridCol w:w="802"/>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92"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序号</w:t>
            </w:r>
          </w:p>
        </w:tc>
        <w:tc>
          <w:tcPr>
            <w:tcW w:w="709"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货物名称</w:t>
            </w:r>
          </w:p>
        </w:tc>
        <w:tc>
          <w:tcPr>
            <w:tcW w:w="850"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型号和规格</w:t>
            </w:r>
          </w:p>
        </w:tc>
        <w:tc>
          <w:tcPr>
            <w:tcW w:w="709"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数量</w:t>
            </w:r>
          </w:p>
        </w:tc>
        <w:tc>
          <w:tcPr>
            <w:tcW w:w="1843"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制造商名称/产地</w:t>
            </w:r>
          </w:p>
        </w:tc>
        <w:tc>
          <w:tcPr>
            <w:tcW w:w="1134"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价格条件</w:t>
            </w:r>
          </w:p>
        </w:tc>
        <w:tc>
          <w:tcPr>
            <w:tcW w:w="708"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投标货币</w:t>
            </w:r>
          </w:p>
        </w:tc>
        <w:tc>
          <w:tcPr>
            <w:tcW w:w="923"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投标报价</w:t>
            </w:r>
          </w:p>
        </w:tc>
        <w:tc>
          <w:tcPr>
            <w:tcW w:w="802"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交货期</w:t>
            </w:r>
          </w:p>
        </w:tc>
        <w:tc>
          <w:tcPr>
            <w:tcW w:w="1223"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9" w:type="dxa"/>
          </w:tcPr>
          <w:p>
            <w:pPr>
              <w:pStyle w:val="11"/>
              <w:spacing w:line="360" w:lineRule="auto"/>
              <w:rPr>
                <w:rFonts w:asciiTheme="minorEastAsia" w:hAnsiTheme="minorEastAsia" w:eastAsiaTheme="minorEastAsia" w:cstheme="minorEastAsia"/>
                <w:color w:val="auto"/>
                <w:sz w:val="24"/>
                <w:szCs w:val="28"/>
                <w:highlight w:val="none"/>
              </w:rPr>
            </w:pPr>
          </w:p>
        </w:tc>
        <w:tc>
          <w:tcPr>
            <w:tcW w:w="850"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9" w:type="dxa"/>
          </w:tcPr>
          <w:p>
            <w:pPr>
              <w:pStyle w:val="11"/>
              <w:spacing w:line="360" w:lineRule="auto"/>
              <w:rPr>
                <w:rFonts w:asciiTheme="minorEastAsia" w:hAnsiTheme="minorEastAsia" w:eastAsiaTheme="minorEastAsia" w:cstheme="minorEastAsia"/>
                <w:color w:val="auto"/>
                <w:sz w:val="24"/>
                <w:szCs w:val="28"/>
                <w:highlight w:val="none"/>
              </w:rPr>
            </w:pPr>
          </w:p>
        </w:tc>
        <w:tc>
          <w:tcPr>
            <w:tcW w:w="1843" w:type="dxa"/>
          </w:tcPr>
          <w:p>
            <w:pPr>
              <w:pStyle w:val="11"/>
              <w:spacing w:line="360" w:lineRule="auto"/>
              <w:rPr>
                <w:rFonts w:asciiTheme="minorEastAsia" w:hAnsiTheme="minorEastAsia" w:eastAsiaTheme="minorEastAsia" w:cstheme="minorEastAsia"/>
                <w:color w:val="auto"/>
                <w:sz w:val="24"/>
                <w:szCs w:val="28"/>
                <w:highlight w:val="none"/>
              </w:rPr>
            </w:pPr>
          </w:p>
        </w:tc>
        <w:tc>
          <w:tcPr>
            <w:tcW w:w="1134"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8" w:type="dxa"/>
          </w:tcPr>
          <w:p>
            <w:pPr>
              <w:pStyle w:val="11"/>
              <w:spacing w:line="360" w:lineRule="auto"/>
              <w:rPr>
                <w:rFonts w:asciiTheme="minorEastAsia" w:hAnsiTheme="minorEastAsia" w:eastAsiaTheme="minorEastAsia" w:cstheme="minorEastAsia"/>
                <w:color w:val="auto"/>
                <w:sz w:val="24"/>
                <w:szCs w:val="28"/>
                <w:highlight w:val="none"/>
              </w:rPr>
            </w:pPr>
          </w:p>
        </w:tc>
        <w:tc>
          <w:tcPr>
            <w:tcW w:w="923" w:type="dxa"/>
          </w:tcPr>
          <w:p>
            <w:pPr>
              <w:pStyle w:val="11"/>
              <w:spacing w:line="360" w:lineRule="auto"/>
              <w:rPr>
                <w:rFonts w:asciiTheme="minorEastAsia" w:hAnsiTheme="minorEastAsia" w:eastAsiaTheme="minorEastAsia" w:cstheme="minorEastAsia"/>
                <w:color w:val="auto"/>
                <w:sz w:val="24"/>
                <w:szCs w:val="28"/>
                <w:highlight w:val="none"/>
              </w:rPr>
            </w:pPr>
          </w:p>
        </w:tc>
        <w:tc>
          <w:tcPr>
            <w:tcW w:w="802" w:type="dxa"/>
          </w:tcPr>
          <w:p>
            <w:pPr>
              <w:pStyle w:val="11"/>
              <w:spacing w:line="360" w:lineRule="auto"/>
              <w:rPr>
                <w:rFonts w:asciiTheme="minorEastAsia" w:hAnsiTheme="minorEastAsia" w:eastAsiaTheme="minorEastAsia" w:cstheme="minorEastAsia"/>
                <w:color w:val="auto"/>
                <w:sz w:val="24"/>
                <w:szCs w:val="28"/>
                <w:highlight w:val="none"/>
              </w:rPr>
            </w:pPr>
          </w:p>
        </w:tc>
        <w:tc>
          <w:tcPr>
            <w:tcW w:w="1223" w:type="dxa"/>
          </w:tcPr>
          <w:p>
            <w:pPr>
              <w:pStyle w:val="11"/>
              <w:spacing w:line="360" w:lineRule="auto"/>
              <w:rPr>
                <w:rFonts w:asciiTheme="minorEastAsia" w:hAnsiTheme="minorEastAsia" w:eastAsiaTheme="minorEastAsia" w:cstheme="minorEastAsi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9" w:type="dxa"/>
          </w:tcPr>
          <w:p>
            <w:pPr>
              <w:pStyle w:val="11"/>
              <w:spacing w:line="360" w:lineRule="auto"/>
              <w:rPr>
                <w:rFonts w:asciiTheme="minorEastAsia" w:hAnsiTheme="minorEastAsia" w:eastAsiaTheme="minorEastAsia" w:cstheme="minorEastAsia"/>
                <w:color w:val="auto"/>
                <w:sz w:val="24"/>
                <w:szCs w:val="28"/>
                <w:highlight w:val="none"/>
              </w:rPr>
            </w:pPr>
          </w:p>
        </w:tc>
        <w:tc>
          <w:tcPr>
            <w:tcW w:w="850"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9" w:type="dxa"/>
          </w:tcPr>
          <w:p>
            <w:pPr>
              <w:pStyle w:val="11"/>
              <w:spacing w:line="360" w:lineRule="auto"/>
              <w:rPr>
                <w:rFonts w:asciiTheme="minorEastAsia" w:hAnsiTheme="minorEastAsia" w:eastAsiaTheme="minorEastAsia" w:cstheme="minorEastAsia"/>
                <w:color w:val="auto"/>
                <w:sz w:val="24"/>
                <w:szCs w:val="28"/>
                <w:highlight w:val="none"/>
              </w:rPr>
            </w:pPr>
          </w:p>
        </w:tc>
        <w:tc>
          <w:tcPr>
            <w:tcW w:w="1843" w:type="dxa"/>
          </w:tcPr>
          <w:p>
            <w:pPr>
              <w:pStyle w:val="11"/>
              <w:spacing w:line="360" w:lineRule="auto"/>
              <w:rPr>
                <w:rFonts w:asciiTheme="minorEastAsia" w:hAnsiTheme="minorEastAsia" w:eastAsiaTheme="minorEastAsia" w:cstheme="minorEastAsia"/>
                <w:color w:val="auto"/>
                <w:sz w:val="24"/>
                <w:szCs w:val="28"/>
                <w:highlight w:val="none"/>
              </w:rPr>
            </w:pPr>
          </w:p>
        </w:tc>
        <w:tc>
          <w:tcPr>
            <w:tcW w:w="1134"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8" w:type="dxa"/>
          </w:tcPr>
          <w:p>
            <w:pPr>
              <w:pStyle w:val="11"/>
              <w:spacing w:line="360" w:lineRule="auto"/>
              <w:rPr>
                <w:rFonts w:asciiTheme="minorEastAsia" w:hAnsiTheme="minorEastAsia" w:eastAsiaTheme="minorEastAsia" w:cstheme="minorEastAsia"/>
                <w:color w:val="auto"/>
                <w:sz w:val="24"/>
                <w:szCs w:val="28"/>
                <w:highlight w:val="none"/>
              </w:rPr>
            </w:pPr>
          </w:p>
        </w:tc>
        <w:tc>
          <w:tcPr>
            <w:tcW w:w="923" w:type="dxa"/>
          </w:tcPr>
          <w:p>
            <w:pPr>
              <w:pStyle w:val="11"/>
              <w:spacing w:line="360" w:lineRule="auto"/>
              <w:rPr>
                <w:rFonts w:asciiTheme="minorEastAsia" w:hAnsiTheme="minorEastAsia" w:eastAsiaTheme="minorEastAsia" w:cstheme="minorEastAsia"/>
                <w:color w:val="auto"/>
                <w:sz w:val="24"/>
                <w:szCs w:val="28"/>
                <w:highlight w:val="none"/>
              </w:rPr>
            </w:pPr>
          </w:p>
        </w:tc>
        <w:tc>
          <w:tcPr>
            <w:tcW w:w="802" w:type="dxa"/>
          </w:tcPr>
          <w:p>
            <w:pPr>
              <w:pStyle w:val="11"/>
              <w:spacing w:line="360" w:lineRule="auto"/>
              <w:rPr>
                <w:rFonts w:asciiTheme="minorEastAsia" w:hAnsiTheme="minorEastAsia" w:eastAsiaTheme="minorEastAsia" w:cstheme="minorEastAsia"/>
                <w:color w:val="auto"/>
                <w:sz w:val="24"/>
                <w:szCs w:val="28"/>
                <w:highlight w:val="none"/>
              </w:rPr>
            </w:pPr>
          </w:p>
        </w:tc>
        <w:tc>
          <w:tcPr>
            <w:tcW w:w="1223" w:type="dxa"/>
          </w:tcPr>
          <w:p>
            <w:pPr>
              <w:pStyle w:val="11"/>
              <w:spacing w:line="360" w:lineRule="auto"/>
              <w:rPr>
                <w:rFonts w:asciiTheme="minorEastAsia" w:hAnsiTheme="minorEastAsia" w:eastAsiaTheme="minorEastAsia" w:cstheme="minorEastAsi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9" w:type="dxa"/>
          </w:tcPr>
          <w:p>
            <w:pPr>
              <w:pStyle w:val="11"/>
              <w:spacing w:line="360" w:lineRule="auto"/>
              <w:rPr>
                <w:rFonts w:asciiTheme="minorEastAsia" w:hAnsiTheme="minorEastAsia" w:eastAsiaTheme="minorEastAsia" w:cstheme="minorEastAsia"/>
                <w:color w:val="auto"/>
                <w:sz w:val="24"/>
                <w:szCs w:val="28"/>
                <w:highlight w:val="none"/>
              </w:rPr>
            </w:pPr>
          </w:p>
        </w:tc>
        <w:tc>
          <w:tcPr>
            <w:tcW w:w="850"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9" w:type="dxa"/>
          </w:tcPr>
          <w:p>
            <w:pPr>
              <w:pStyle w:val="11"/>
              <w:spacing w:line="360" w:lineRule="auto"/>
              <w:rPr>
                <w:rFonts w:asciiTheme="minorEastAsia" w:hAnsiTheme="minorEastAsia" w:eastAsiaTheme="minorEastAsia" w:cstheme="minorEastAsia"/>
                <w:color w:val="auto"/>
                <w:sz w:val="24"/>
                <w:szCs w:val="28"/>
                <w:highlight w:val="none"/>
              </w:rPr>
            </w:pPr>
          </w:p>
        </w:tc>
        <w:tc>
          <w:tcPr>
            <w:tcW w:w="1843" w:type="dxa"/>
          </w:tcPr>
          <w:p>
            <w:pPr>
              <w:pStyle w:val="11"/>
              <w:spacing w:line="360" w:lineRule="auto"/>
              <w:rPr>
                <w:rFonts w:asciiTheme="minorEastAsia" w:hAnsiTheme="minorEastAsia" w:eastAsiaTheme="minorEastAsia" w:cstheme="minorEastAsia"/>
                <w:color w:val="auto"/>
                <w:sz w:val="24"/>
                <w:szCs w:val="28"/>
                <w:highlight w:val="none"/>
              </w:rPr>
            </w:pPr>
          </w:p>
        </w:tc>
        <w:tc>
          <w:tcPr>
            <w:tcW w:w="1134"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8" w:type="dxa"/>
          </w:tcPr>
          <w:p>
            <w:pPr>
              <w:pStyle w:val="11"/>
              <w:spacing w:line="360" w:lineRule="auto"/>
              <w:rPr>
                <w:rFonts w:asciiTheme="minorEastAsia" w:hAnsiTheme="minorEastAsia" w:eastAsiaTheme="minorEastAsia" w:cstheme="minorEastAsia"/>
                <w:color w:val="auto"/>
                <w:sz w:val="24"/>
                <w:szCs w:val="28"/>
                <w:highlight w:val="none"/>
              </w:rPr>
            </w:pPr>
          </w:p>
        </w:tc>
        <w:tc>
          <w:tcPr>
            <w:tcW w:w="923" w:type="dxa"/>
          </w:tcPr>
          <w:p>
            <w:pPr>
              <w:pStyle w:val="11"/>
              <w:spacing w:line="360" w:lineRule="auto"/>
              <w:rPr>
                <w:rFonts w:asciiTheme="minorEastAsia" w:hAnsiTheme="minorEastAsia" w:eastAsiaTheme="minorEastAsia" w:cstheme="minorEastAsia"/>
                <w:color w:val="auto"/>
                <w:sz w:val="24"/>
                <w:szCs w:val="28"/>
                <w:highlight w:val="none"/>
              </w:rPr>
            </w:pPr>
          </w:p>
        </w:tc>
        <w:tc>
          <w:tcPr>
            <w:tcW w:w="802" w:type="dxa"/>
          </w:tcPr>
          <w:p>
            <w:pPr>
              <w:pStyle w:val="11"/>
              <w:spacing w:line="360" w:lineRule="auto"/>
              <w:rPr>
                <w:rFonts w:asciiTheme="minorEastAsia" w:hAnsiTheme="minorEastAsia" w:eastAsiaTheme="minorEastAsia" w:cstheme="minorEastAsia"/>
                <w:color w:val="auto"/>
                <w:sz w:val="24"/>
                <w:szCs w:val="28"/>
                <w:highlight w:val="none"/>
              </w:rPr>
            </w:pPr>
          </w:p>
        </w:tc>
        <w:tc>
          <w:tcPr>
            <w:tcW w:w="1223" w:type="dxa"/>
          </w:tcPr>
          <w:p>
            <w:pPr>
              <w:pStyle w:val="11"/>
              <w:spacing w:line="360" w:lineRule="auto"/>
              <w:rPr>
                <w:rFonts w:asciiTheme="minorEastAsia" w:hAnsiTheme="minorEastAsia" w:eastAsiaTheme="minorEastAsia" w:cstheme="minorEastAsi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2"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9" w:type="dxa"/>
          </w:tcPr>
          <w:p>
            <w:pPr>
              <w:pStyle w:val="11"/>
              <w:spacing w:line="360" w:lineRule="auto"/>
              <w:rPr>
                <w:rFonts w:asciiTheme="minorEastAsia" w:hAnsiTheme="minorEastAsia" w:eastAsiaTheme="minorEastAsia" w:cstheme="minorEastAsia"/>
                <w:color w:val="auto"/>
                <w:sz w:val="24"/>
                <w:szCs w:val="28"/>
                <w:highlight w:val="none"/>
              </w:rPr>
            </w:pPr>
          </w:p>
        </w:tc>
        <w:tc>
          <w:tcPr>
            <w:tcW w:w="850"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9" w:type="dxa"/>
          </w:tcPr>
          <w:p>
            <w:pPr>
              <w:pStyle w:val="11"/>
              <w:spacing w:line="360" w:lineRule="auto"/>
              <w:rPr>
                <w:rFonts w:asciiTheme="minorEastAsia" w:hAnsiTheme="minorEastAsia" w:eastAsiaTheme="minorEastAsia" w:cstheme="minorEastAsia"/>
                <w:color w:val="auto"/>
                <w:sz w:val="24"/>
                <w:szCs w:val="28"/>
                <w:highlight w:val="none"/>
              </w:rPr>
            </w:pPr>
          </w:p>
        </w:tc>
        <w:tc>
          <w:tcPr>
            <w:tcW w:w="1843" w:type="dxa"/>
          </w:tcPr>
          <w:p>
            <w:pPr>
              <w:pStyle w:val="11"/>
              <w:spacing w:line="360" w:lineRule="auto"/>
              <w:rPr>
                <w:rFonts w:asciiTheme="minorEastAsia" w:hAnsiTheme="minorEastAsia" w:eastAsiaTheme="minorEastAsia" w:cstheme="minorEastAsia"/>
                <w:color w:val="auto"/>
                <w:sz w:val="24"/>
                <w:szCs w:val="28"/>
                <w:highlight w:val="none"/>
              </w:rPr>
            </w:pPr>
          </w:p>
        </w:tc>
        <w:tc>
          <w:tcPr>
            <w:tcW w:w="1134" w:type="dxa"/>
          </w:tcPr>
          <w:p>
            <w:pPr>
              <w:pStyle w:val="11"/>
              <w:spacing w:line="360" w:lineRule="auto"/>
              <w:rPr>
                <w:rFonts w:asciiTheme="minorEastAsia" w:hAnsiTheme="minorEastAsia" w:eastAsiaTheme="minorEastAsia" w:cstheme="minorEastAsia"/>
                <w:color w:val="auto"/>
                <w:sz w:val="24"/>
                <w:szCs w:val="28"/>
                <w:highlight w:val="none"/>
              </w:rPr>
            </w:pPr>
          </w:p>
        </w:tc>
        <w:tc>
          <w:tcPr>
            <w:tcW w:w="708" w:type="dxa"/>
          </w:tcPr>
          <w:p>
            <w:pPr>
              <w:pStyle w:val="11"/>
              <w:spacing w:line="360" w:lineRule="auto"/>
              <w:rPr>
                <w:rFonts w:asciiTheme="minorEastAsia" w:hAnsiTheme="minorEastAsia" w:eastAsiaTheme="minorEastAsia" w:cstheme="minorEastAsia"/>
                <w:color w:val="auto"/>
                <w:sz w:val="24"/>
                <w:szCs w:val="28"/>
                <w:highlight w:val="none"/>
              </w:rPr>
            </w:pPr>
          </w:p>
        </w:tc>
        <w:tc>
          <w:tcPr>
            <w:tcW w:w="923" w:type="dxa"/>
          </w:tcPr>
          <w:p>
            <w:pPr>
              <w:pStyle w:val="11"/>
              <w:spacing w:line="360" w:lineRule="auto"/>
              <w:rPr>
                <w:rFonts w:asciiTheme="minorEastAsia" w:hAnsiTheme="minorEastAsia" w:eastAsiaTheme="minorEastAsia" w:cstheme="minorEastAsia"/>
                <w:color w:val="auto"/>
                <w:sz w:val="24"/>
                <w:szCs w:val="28"/>
                <w:highlight w:val="none"/>
              </w:rPr>
            </w:pPr>
          </w:p>
        </w:tc>
        <w:tc>
          <w:tcPr>
            <w:tcW w:w="802" w:type="dxa"/>
          </w:tcPr>
          <w:p>
            <w:pPr>
              <w:pStyle w:val="11"/>
              <w:spacing w:line="360" w:lineRule="auto"/>
              <w:rPr>
                <w:rFonts w:asciiTheme="minorEastAsia" w:hAnsiTheme="minorEastAsia" w:eastAsiaTheme="minorEastAsia" w:cstheme="minorEastAsia"/>
                <w:color w:val="auto"/>
                <w:sz w:val="24"/>
                <w:szCs w:val="28"/>
                <w:highlight w:val="none"/>
              </w:rPr>
            </w:pPr>
          </w:p>
        </w:tc>
        <w:tc>
          <w:tcPr>
            <w:tcW w:w="1223" w:type="dxa"/>
          </w:tcPr>
          <w:p>
            <w:pPr>
              <w:pStyle w:val="11"/>
              <w:spacing w:line="360" w:lineRule="auto"/>
              <w:rPr>
                <w:rFonts w:asciiTheme="minorEastAsia" w:hAnsiTheme="minorEastAsia" w:eastAsiaTheme="minorEastAsia" w:cstheme="minorEastAsi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gridSpan w:val="3"/>
            <w:vAlign w:val="center"/>
          </w:tcPr>
          <w:p>
            <w:pPr>
              <w:pStyle w:val="11"/>
              <w:spacing w:line="360" w:lineRule="auto"/>
              <w:jc w:val="center"/>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0"/>
                <w:highlight w:val="none"/>
              </w:rPr>
              <w:t>投标总价</w:t>
            </w:r>
          </w:p>
        </w:tc>
        <w:tc>
          <w:tcPr>
            <w:tcW w:w="7342" w:type="dxa"/>
            <w:gridSpan w:val="7"/>
            <w:vAlign w:val="center"/>
          </w:tcPr>
          <w:p>
            <w:pPr>
              <w:pStyle w:val="11"/>
              <w:spacing w:line="360" w:lineRule="auto"/>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0"/>
                <w:highlight w:val="none"/>
              </w:rPr>
              <w:t>小写：                         大写：</w:t>
            </w:r>
          </w:p>
        </w:tc>
      </w:tr>
    </w:tbl>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cr/>
      </w:r>
      <w:r>
        <w:rPr>
          <w:rFonts w:hint="eastAsia" w:asciiTheme="minorEastAsia" w:hAnsiTheme="minorEastAsia" w:eastAsiaTheme="minorEastAsia" w:cstheme="minorEastAsia"/>
          <w:color w:val="auto"/>
          <w:highlight w:val="none"/>
        </w:rPr>
        <w:t xml:space="preserve">投标人代表签字： </w:t>
      </w:r>
      <w:r>
        <w:rPr>
          <w:rFonts w:hint="eastAsia" w:asciiTheme="minorEastAsia" w:hAnsiTheme="minorEastAsia" w:eastAsiaTheme="minorEastAsia" w:cstheme="minorEastAsia"/>
          <w:color w:val="auto"/>
          <w:highlight w:val="none"/>
        </w:rPr>
        <w:cr/>
      </w:r>
      <w:r>
        <w:rPr>
          <w:rFonts w:hint="eastAsia" w:asciiTheme="minorEastAsia" w:hAnsiTheme="minorEastAsia" w:eastAsiaTheme="minorEastAsia" w:cstheme="minorEastAsia"/>
          <w:color w:val="auto"/>
          <w:highlight w:val="none"/>
        </w:rPr>
        <w:t>注：1、除投标文件中应有此表外，还应按投标人须知第三.(十三) 条规定密封标记并单独提交。</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2、交货期是指合同签定当日（进口设备为收到L/C的当日）至所有货物交付到用户指定地点并安装调试完毕所需要的日历天数。</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设备名称和规格型号必须使用产品生产厂家的规范全称，并与产品中文彩页及说明书完全一致（产品外文彩页及说明书须译成对应的中文版）。因投标人未按上述要求执行而引致的免税和清关工作延误及责任全部由投标人承担。</w:t>
      </w:r>
    </w:p>
    <w:p>
      <w:pPr>
        <w:spacing w:line="360" w:lineRule="auto"/>
        <w:ind w:firstLine="480" w:firstLineChars="200"/>
        <w:rPr>
          <w:rFonts w:asciiTheme="minorEastAsia" w:hAnsiTheme="minorEastAsia" w:eastAsiaTheme="minorEastAsia" w:cstheme="minorEastAsia"/>
          <w:color w:val="auto"/>
          <w:highlight w:val="none"/>
        </w:rPr>
      </w:pPr>
    </w:p>
    <w:p>
      <w:pPr>
        <w:pStyle w:val="2"/>
        <w:spacing w:line="360" w:lineRule="auto"/>
        <w:rPr>
          <w:rFonts w:asciiTheme="minorEastAsia" w:hAnsiTheme="minorEastAsia" w:eastAsiaTheme="minorEastAsia" w:cstheme="minorEastAsia"/>
          <w:b w:val="0"/>
          <w:color w:val="auto"/>
          <w:highlight w:val="none"/>
        </w:rPr>
      </w:pPr>
      <w:bookmarkStart w:id="135" w:name="_Toc465269282"/>
    </w:p>
    <w:p>
      <w:pPr>
        <w:pStyle w:val="2"/>
        <w:spacing w:line="360" w:lineRule="auto"/>
        <w:rPr>
          <w:rFonts w:asciiTheme="minorEastAsia" w:hAnsiTheme="minorEastAsia" w:eastAsiaTheme="minorEastAsia" w:cstheme="minorEastAsia"/>
          <w:b w:val="0"/>
          <w:color w:val="auto"/>
          <w:highlight w:val="none"/>
        </w:rPr>
      </w:pPr>
    </w:p>
    <w:p>
      <w:pPr>
        <w:pStyle w:val="5"/>
        <w:rPr>
          <w:rFonts w:asciiTheme="minorEastAsia" w:hAnsiTheme="minorEastAsia" w:eastAsiaTheme="minorEastAsia" w:cstheme="minorEastAsia"/>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六、投标分项报价表格式</w:t>
      </w:r>
      <w:bookmarkEnd w:id="135"/>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投标分项报价表</w:t>
      </w:r>
    </w:p>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（关境内供货的投标）</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cr/>
      </w:r>
      <w:r>
        <w:rPr>
          <w:rFonts w:hint="eastAsia" w:asciiTheme="minorEastAsia" w:hAnsiTheme="minorEastAsia" w:eastAsiaTheme="minorEastAsia" w:cstheme="minorEastAsia"/>
          <w:color w:val="auto"/>
          <w:highlight w:val="none"/>
        </w:rPr>
        <w:t xml:space="preserve">                                 </w:t>
      </w:r>
    </w:p>
    <w:p>
      <w:pPr>
        <w:adjustRightInd/>
        <w:spacing w:line="420" w:lineRule="exact"/>
        <w:jc w:val="both"/>
        <w:textAlignment w:val="auto"/>
        <w:rPr>
          <w:rFonts w:hint="eastAsia" w:ascii="宋体" w:hAnsi="宋体" w:cs="andale mono"/>
          <w:color w:val="auto"/>
          <w:kern w:val="2"/>
          <w:sz w:val="21"/>
          <w:szCs w:val="21"/>
          <w:highlight w:val="none"/>
        </w:rPr>
      </w:pPr>
      <w:r>
        <w:rPr>
          <w:rFonts w:hint="eastAsia" w:asciiTheme="minorEastAsia" w:hAnsiTheme="minorEastAsia" w:eastAsiaTheme="minorEastAsia" w:cstheme="minorEastAsia"/>
          <w:color w:val="auto"/>
          <w:highlight w:val="none"/>
        </w:rPr>
        <w:t>投标人名称:</w:t>
      </w:r>
      <w:r>
        <w:rPr>
          <w:rFonts w:hint="eastAsia" w:ascii="宋体" w:hAnsi="宋体" w:cs="andale mono"/>
          <w:color w:val="auto"/>
          <w:kern w:val="2"/>
          <w:sz w:val="21"/>
          <w:szCs w:val="21"/>
          <w:highlight w:val="none"/>
        </w:rPr>
        <w:t xml:space="preserve">                项目编号：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069"/>
        <w:gridCol w:w="1031"/>
        <w:gridCol w:w="901"/>
        <w:gridCol w:w="900"/>
        <w:gridCol w:w="1200"/>
        <w:gridCol w:w="901"/>
        <w:gridCol w:w="140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adjustRightInd/>
              <w:spacing w:line="380" w:lineRule="exact"/>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序号</w:t>
            </w:r>
          </w:p>
        </w:tc>
        <w:tc>
          <w:tcPr>
            <w:tcW w:w="2100" w:type="dxa"/>
            <w:gridSpan w:val="2"/>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产品名称</w:t>
            </w:r>
          </w:p>
        </w:tc>
        <w:tc>
          <w:tcPr>
            <w:tcW w:w="901" w:type="dxa"/>
            <w:vAlign w:val="center"/>
          </w:tcPr>
          <w:p>
            <w:pPr>
              <w:adjustRightInd/>
              <w:spacing w:line="380" w:lineRule="exact"/>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型号和规格</w:t>
            </w:r>
          </w:p>
        </w:tc>
        <w:tc>
          <w:tcPr>
            <w:tcW w:w="900" w:type="dxa"/>
            <w:vAlign w:val="center"/>
          </w:tcPr>
          <w:p>
            <w:pPr>
              <w:adjustRightInd/>
              <w:spacing w:line="380" w:lineRule="exact"/>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数量</w:t>
            </w:r>
          </w:p>
        </w:tc>
        <w:tc>
          <w:tcPr>
            <w:tcW w:w="1200" w:type="dxa"/>
            <w:vAlign w:val="center"/>
          </w:tcPr>
          <w:p>
            <w:pPr>
              <w:adjustRightInd/>
              <w:spacing w:line="380" w:lineRule="exact"/>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产地和制造商名称</w:t>
            </w:r>
          </w:p>
        </w:tc>
        <w:tc>
          <w:tcPr>
            <w:tcW w:w="901" w:type="dxa"/>
            <w:vAlign w:val="center"/>
          </w:tcPr>
          <w:p>
            <w:pPr>
              <w:adjustRightInd/>
              <w:spacing w:line="380" w:lineRule="exact"/>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执行</w:t>
            </w:r>
          </w:p>
          <w:p>
            <w:pPr>
              <w:adjustRightInd/>
              <w:spacing w:line="380" w:lineRule="exact"/>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标准</w:t>
            </w:r>
          </w:p>
        </w:tc>
        <w:tc>
          <w:tcPr>
            <w:tcW w:w="1409" w:type="dxa"/>
            <w:vAlign w:val="center"/>
          </w:tcPr>
          <w:p>
            <w:pPr>
              <w:adjustRightInd/>
              <w:spacing w:line="380" w:lineRule="exact"/>
              <w:jc w:val="center"/>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综合单价（元）</w:t>
            </w:r>
          </w:p>
        </w:tc>
        <w:tc>
          <w:tcPr>
            <w:tcW w:w="1276" w:type="dxa"/>
            <w:vAlign w:val="center"/>
          </w:tcPr>
          <w:p>
            <w:pPr>
              <w:adjustRightInd/>
              <w:spacing w:line="380" w:lineRule="exact"/>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adjustRightInd/>
              <w:spacing w:line="380" w:lineRule="exact"/>
              <w:ind w:firstLine="220" w:firstLineChars="100"/>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1</w:t>
            </w:r>
          </w:p>
        </w:tc>
        <w:tc>
          <w:tcPr>
            <w:tcW w:w="2100" w:type="dxa"/>
            <w:gridSpan w:val="2"/>
            <w:vAlign w:val="center"/>
          </w:tcPr>
          <w:p>
            <w:pPr>
              <w:adjustRightInd/>
              <w:spacing w:line="380" w:lineRule="exact"/>
              <w:jc w:val="center"/>
              <w:textAlignment w:val="auto"/>
              <w:rPr>
                <w:rFonts w:hint="eastAsia" w:ascii="宋体" w:hAnsi="宋体" w:cs="宋体"/>
                <w:color w:val="auto"/>
                <w:kern w:val="2"/>
                <w:sz w:val="22"/>
                <w:szCs w:val="16"/>
                <w:highlight w:val="none"/>
              </w:rPr>
            </w:pP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409"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76"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464" w:type="dxa"/>
            <w:gridSpan w:val="9"/>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adjustRightInd/>
              <w:spacing w:line="380" w:lineRule="exact"/>
              <w:ind w:firstLine="220" w:firstLineChars="100"/>
              <w:jc w:val="both"/>
              <w:textAlignment w:val="auto"/>
              <w:rPr>
                <w:rFonts w:hint="eastAsia" w:ascii="宋体" w:hAnsi="宋体" w:cs="宋体"/>
                <w:color w:val="auto"/>
                <w:kern w:val="2"/>
                <w:sz w:val="22"/>
                <w:szCs w:val="16"/>
                <w:highlight w:val="none"/>
              </w:rPr>
            </w:pPr>
            <w:r>
              <w:rPr>
                <w:rFonts w:ascii="宋体" w:hAnsi="宋体" w:cs="宋体"/>
                <w:color w:val="auto"/>
                <w:kern w:val="2"/>
                <w:sz w:val="22"/>
                <w:szCs w:val="16"/>
                <w:highlight w:val="none"/>
              </w:rPr>
              <w:t>1.1</w:t>
            </w:r>
          </w:p>
        </w:tc>
        <w:tc>
          <w:tcPr>
            <w:tcW w:w="2100" w:type="dxa"/>
            <w:gridSpan w:val="2"/>
            <w:vAlign w:val="center"/>
          </w:tcPr>
          <w:p>
            <w:pPr>
              <w:adjustRightInd/>
              <w:spacing w:line="380" w:lineRule="exact"/>
              <w:jc w:val="center"/>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主机和标准附件</w:t>
            </w: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409"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76"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77" w:type="dxa"/>
            <w:vAlign w:val="center"/>
          </w:tcPr>
          <w:p>
            <w:pPr>
              <w:adjustRightInd/>
              <w:spacing w:line="380" w:lineRule="exact"/>
              <w:ind w:firstLine="220" w:firstLineChars="100"/>
              <w:jc w:val="both"/>
              <w:textAlignment w:val="auto"/>
              <w:rPr>
                <w:rFonts w:hint="eastAsia" w:ascii="宋体" w:hAnsi="宋体" w:cs="宋体"/>
                <w:color w:val="auto"/>
                <w:kern w:val="2"/>
                <w:sz w:val="22"/>
                <w:szCs w:val="16"/>
                <w:highlight w:val="none"/>
              </w:rPr>
            </w:pPr>
            <w:r>
              <w:rPr>
                <w:rFonts w:ascii="宋体" w:hAnsi="宋体" w:cs="宋体"/>
                <w:color w:val="auto"/>
                <w:kern w:val="2"/>
                <w:sz w:val="22"/>
                <w:szCs w:val="16"/>
                <w:highlight w:val="none"/>
              </w:rPr>
              <w:t>1.2</w:t>
            </w:r>
          </w:p>
        </w:tc>
        <w:tc>
          <w:tcPr>
            <w:tcW w:w="2100" w:type="dxa"/>
            <w:gridSpan w:val="2"/>
            <w:vAlign w:val="center"/>
          </w:tcPr>
          <w:p>
            <w:pPr>
              <w:adjustRightInd/>
              <w:spacing w:line="380" w:lineRule="exact"/>
              <w:jc w:val="center"/>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备品备件</w:t>
            </w: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409"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76"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77" w:type="dxa"/>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w:t>
            </w:r>
          </w:p>
        </w:tc>
        <w:tc>
          <w:tcPr>
            <w:tcW w:w="2100" w:type="dxa"/>
            <w:gridSpan w:val="2"/>
            <w:vAlign w:val="center"/>
          </w:tcPr>
          <w:p>
            <w:pPr>
              <w:adjustRightInd/>
              <w:spacing w:line="380" w:lineRule="exact"/>
              <w:jc w:val="center"/>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专用工具</w:t>
            </w: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409"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76"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77" w:type="dxa"/>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2100" w:type="dxa"/>
            <w:gridSpan w:val="2"/>
            <w:vAlign w:val="center"/>
          </w:tcPr>
          <w:p>
            <w:pPr>
              <w:adjustRightInd/>
              <w:spacing w:line="380" w:lineRule="exact"/>
              <w:jc w:val="center"/>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安装、调试、</w:t>
            </w:r>
          </w:p>
          <w:p>
            <w:pPr>
              <w:adjustRightInd/>
              <w:spacing w:line="380" w:lineRule="exact"/>
              <w:jc w:val="center"/>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检验</w:t>
            </w: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409"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76"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777" w:type="dxa"/>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2100" w:type="dxa"/>
            <w:gridSpan w:val="2"/>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培训</w:t>
            </w: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409"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76"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777" w:type="dxa"/>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2100" w:type="dxa"/>
            <w:gridSpan w:val="2"/>
            <w:vAlign w:val="center"/>
          </w:tcPr>
          <w:p>
            <w:pPr>
              <w:adjustRightInd/>
              <w:spacing w:line="380" w:lineRule="exact"/>
              <w:ind w:firstLine="330" w:firstLineChars="150"/>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技术服务</w:t>
            </w: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409"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76"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77" w:type="dxa"/>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2100" w:type="dxa"/>
            <w:gridSpan w:val="2"/>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其他</w:t>
            </w: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00"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901"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409"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c>
          <w:tcPr>
            <w:tcW w:w="1276"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46" w:type="dxa"/>
            <w:gridSpan w:val="2"/>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总计</w:t>
            </w:r>
          </w:p>
        </w:tc>
        <w:tc>
          <w:tcPr>
            <w:tcW w:w="6342" w:type="dxa"/>
            <w:gridSpan w:val="6"/>
            <w:vAlign w:val="center"/>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r>
              <w:rPr>
                <w:rFonts w:hint="eastAsia" w:ascii="宋体" w:hAnsi="宋体" w:cs="宋体"/>
                <w:color w:val="auto"/>
                <w:kern w:val="2"/>
                <w:sz w:val="22"/>
                <w:szCs w:val="16"/>
                <w:highlight w:val="none"/>
              </w:rPr>
              <w:t>大写：</w:t>
            </w:r>
          </w:p>
        </w:tc>
        <w:tc>
          <w:tcPr>
            <w:tcW w:w="1276" w:type="dxa"/>
          </w:tcPr>
          <w:p>
            <w:pPr>
              <w:adjustRightInd/>
              <w:spacing w:line="380" w:lineRule="exact"/>
              <w:ind w:firstLine="440" w:firstLineChars="200"/>
              <w:jc w:val="both"/>
              <w:textAlignment w:val="auto"/>
              <w:rPr>
                <w:rFonts w:hint="eastAsia" w:ascii="宋体" w:hAnsi="宋体" w:cs="宋体"/>
                <w:color w:val="auto"/>
                <w:kern w:val="2"/>
                <w:sz w:val="22"/>
                <w:szCs w:val="16"/>
                <w:highlight w:val="none"/>
              </w:rPr>
            </w:pPr>
          </w:p>
        </w:tc>
      </w:tr>
    </w:tbl>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投标人授权代表签字：                                    日期：   年   月   日</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（投标人公章）</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特</w:t>
      </w:r>
      <w:r>
        <w:rPr>
          <w:rFonts w:hint="eastAsia" w:asciiTheme="minorEastAsia" w:hAnsiTheme="minorEastAsia" w:eastAsiaTheme="minorEastAsia" w:cstheme="minorEastAsia"/>
          <w:color w:val="auto"/>
          <w:highlight w:val="none"/>
        </w:rPr>
        <w:t>别说明：</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1.投标文件的大写金额和小写金额不一致的，以大写金额为准；总价金额与按单价汇</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总金额不一致的，以单价为准修正总价；单价金额小数点有明显错位的，以总价为准，并修改单价。分项报价明细表与开标一览表内容不一致的，以开标一览表为准。</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2.供应商未提供详细分项报价可视为没有实质性响应采购文件。</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供应商应按第二部分中的要求逐项报价(报人民币价)。报价包括与该项目有关的一切费用如安装调试费、运输、保险、服务培训费、国内货物的税金、项目验收时的试剂耗材、强制性第三方监督检验机构的验收检验费用等。投标总价应为各分项合计价格之和。</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4.设备名称、数量应符合招标文件第二篇的要求。</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5.每一分项设备必须另附其详细配置清单及货号，包括附件和配件，并注明各部分的确定生产地。成交后供应商提出产地变更的，扣付成交价5% 及以上直至取消成交资格并列入不良行为记录名单，暂停资格一年。进口货物须明确该项乙方外贸合同的签订方。</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6.执行标准是非通用标准的，应另附页详细特别说明。</w:t>
      </w:r>
    </w:p>
    <w:p>
      <w:pPr>
        <w:spacing w:line="360" w:lineRule="auto"/>
        <w:rPr>
          <w:rFonts w:asciiTheme="minorEastAsia" w:hAnsiTheme="minorEastAsia" w:eastAsiaTheme="minorEastAsia" w:cstheme="minorEastAsia"/>
          <w:color w:val="auto"/>
          <w:highlight w:val="none"/>
        </w:rPr>
      </w:pPr>
    </w:p>
    <w:p>
      <w:pPr>
        <w:spacing w:line="360" w:lineRule="auto"/>
        <w:ind w:firstLine="3520" w:firstLineChars="800"/>
        <w:rPr>
          <w:rFonts w:asciiTheme="minorEastAsia" w:hAnsiTheme="minorEastAsia" w:eastAsiaTheme="minorEastAsia" w:cstheme="minorEastAsia"/>
          <w:color w:val="auto"/>
          <w:sz w:val="44"/>
          <w:szCs w:val="44"/>
          <w:highlight w:val="none"/>
        </w:rPr>
      </w:pPr>
    </w:p>
    <w:p>
      <w:pPr>
        <w:spacing w:line="360" w:lineRule="auto"/>
        <w:ind w:firstLine="3520" w:firstLineChars="800"/>
        <w:rPr>
          <w:rFonts w:asciiTheme="minorEastAsia" w:hAnsiTheme="minorEastAsia" w:eastAsiaTheme="minorEastAsia" w:cstheme="minorEastAsia"/>
          <w:color w:val="auto"/>
          <w:sz w:val="44"/>
          <w:szCs w:val="44"/>
          <w:highlight w:val="none"/>
        </w:rPr>
      </w:pPr>
    </w:p>
    <w:p>
      <w:pPr>
        <w:spacing w:line="360" w:lineRule="auto"/>
        <w:ind w:firstLine="3520" w:firstLineChars="800"/>
        <w:rPr>
          <w:rFonts w:asciiTheme="minorEastAsia" w:hAnsiTheme="minorEastAsia" w:eastAsiaTheme="minorEastAsia" w:cstheme="minorEastAsia"/>
          <w:color w:val="auto"/>
          <w:sz w:val="44"/>
          <w:szCs w:val="44"/>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sz w:val="44"/>
          <w:szCs w:val="44"/>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sz w:val="44"/>
          <w:szCs w:val="44"/>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sz w:val="44"/>
          <w:szCs w:val="44"/>
          <w:highlight w:val="none"/>
        </w:rPr>
      </w:pPr>
    </w:p>
    <w:p>
      <w:pPr>
        <w:pStyle w:val="2"/>
        <w:rPr>
          <w:color w:val="auto"/>
          <w:highlight w:val="none"/>
        </w:rPr>
      </w:pPr>
    </w:p>
    <w:p>
      <w:pPr>
        <w:spacing w:line="360" w:lineRule="auto"/>
        <w:ind w:firstLine="3520" w:firstLineChars="800"/>
        <w:rPr>
          <w:rFonts w:asciiTheme="minorEastAsia" w:hAnsiTheme="minorEastAsia" w:eastAsiaTheme="minorEastAsia" w:cstheme="minorEastAsia"/>
          <w:color w:val="auto"/>
          <w:sz w:val="44"/>
          <w:szCs w:val="44"/>
          <w:highlight w:val="none"/>
        </w:rPr>
      </w:pPr>
    </w:p>
    <w:p>
      <w:pPr>
        <w:spacing w:line="360" w:lineRule="auto"/>
        <w:rPr>
          <w:rFonts w:asciiTheme="minorEastAsia" w:hAnsiTheme="minorEastAsia" w:eastAsiaTheme="minorEastAsia" w:cstheme="minorEastAsia"/>
          <w:color w:val="auto"/>
          <w:sz w:val="44"/>
          <w:szCs w:val="44"/>
          <w:highlight w:val="none"/>
        </w:rPr>
      </w:pPr>
    </w:p>
    <w:p>
      <w:pPr>
        <w:spacing w:line="360" w:lineRule="auto"/>
        <w:ind w:firstLine="3520" w:firstLineChars="800"/>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投标分项报价表</w:t>
      </w:r>
    </w:p>
    <w:p>
      <w:pPr>
        <w:spacing w:line="360" w:lineRule="auto"/>
        <w:ind w:firstLine="750" w:firstLineChars="250"/>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（关境外供货的投标）</w:t>
      </w:r>
    </w:p>
    <w:p>
      <w:pPr>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投标人名称：                    项目编号：                                           </w:t>
      </w:r>
    </w:p>
    <w:tbl>
      <w:tblPr>
        <w:tblStyle w:val="24"/>
        <w:tblW w:w="10915" w:type="dxa"/>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38"/>
        <w:gridCol w:w="844"/>
        <w:gridCol w:w="687"/>
        <w:gridCol w:w="1001"/>
        <w:gridCol w:w="869"/>
        <w:gridCol w:w="1965"/>
        <w:gridCol w:w="170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产品名称</w:t>
            </w:r>
          </w:p>
        </w:tc>
        <w:tc>
          <w:tcPr>
            <w:tcW w:w="844"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型号和规格</w:t>
            </w:r>
          </w:p>
        </w:tc>
        <w:tc>
          <w:tcPr>
            <w:tcW w:w="687"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数量</w:t>
            </w:r>
          </w:p>
        </w:tc>
        <w:tc>
          <w:tcPr>
            <w:tcW w:w="1001"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制造商名称和产地</w:t>
            </w:r>
          </w:p>
        </w:tc>
        <w:tc>
          <w:tcPr>
            <w:tcW w:w="869"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执行</w:t>
            </w:r>
          </w:p>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标准</w:t>
            </w:r>
          </w:p>
        </w:tc>
        <w:tc>
          <w:tcPr>
            <w:tcW w:w="1965"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CIP（西南大学项目现场）综合单价/DAP（西南大学项目现场）综合单价/DDP（西南大学项目现场）综合单价</w:t>
            </w:r>
          </w:p>
        </w:tc>
        <w:tc>
          <w:tcPr>
            <w:tcW w:w="1701"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CIP（西南大学项目现场）总价/DAP（西南大学项目现场）总价/DDP（西南大学项目现场）总价</w:t>
            </w:r>
          </w:p>
        </w:tc>
        <w:tc>
          <w:tcPr>
            <w:tcW w:w="1701"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是否免税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Align w:val="center"/>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0915" w:type="dxa"/>
            <w:gridSpan w:val="9"/>
            <w:vAlign w:val="center"/>
          </w:tcPr>
          <w:p>
            <w:pPr>
              <w:spacing w:line="4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w:t>
            </w: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主机和标准附件</w:t>
            </w: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Merge w:val="restart"/>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是否免税的填写说明： 如符合备注说明中“3.4” 的免税产品，请填写 “是”；其它 情况均请填写“否”。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w:t>
            </w: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备品备件</w:t>
            </w: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w:t>
            </w: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专用工具  </w:t>
            </w: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7" w:type="dxa"/>
            <w:gridSpan w:val="2"/>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安装、调试、检验</w:t>
            </w: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培训</w:t>
            </w: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技术服务</w:t>
            </w: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w:t>
            </w: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1438"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总计</w:t>
            </w:r>
          </w:p>
        </w:tc>
        <w:tc>
          <w:tcPr>
            <w:tcW w:w="844" w:type="dxa"/>
          </w:tcPr>
          <w:p>
            <w:pPr>
              <w:spacing w:line="420" w:lineRule="exact"/>
              <w:rPr>
                <w:rFonts w:asciiTheme="minorEastAsia" w:hAnsiTheme="minorEastAsia" w:eastAsiaTheme="minorEastAsia" w:cstheme="minorEastAsia"/>
                <w:color w:val="auto"/>
                <w:sz w:val="21"/>
                <w:szCs w:val="21"/>
                <w:highlight w:val="none"/>
              </w:rPr>
            </w:pPr>
          </w:p>
        </w:tc>
        <w:tc>
          <w:tcPr>
            <w:tcW w:w="687" w:type="dxa"/>
          </w:tcPr>
          <w:p>
            <w:pPr>
              <w:spacing w:line="420" w:lineRule="exact"/>
              <w:rPr>
                <w:rFonts w:asciiTheme="minorEastAsia" w:hAnsiTheme="minorEastAsia" w:eastAsiaTheme="minorEastAsia" w:cstheme="minorEastAsia"/>
                <w:color w:val="auto"/>
                <w:sz w:val="21"/>
                <w:szCs w:val="21"/>
                <w:highlight w:val="none"/>
              </w:rPr>
            </w:pPr>
          </w:p>
        </w:tc>
        <w:tc>
          <w:tcPr>
            <w:tcW w:w="1001" w:type="dxa"/>
          </w:tcPr>
          <w:p>
            <w:pPr>
              <w:spacing w:line="420" w:lineRule="exact"/>
              <w:rPr>
                <w:rFonts w:asciiTheme="minorEastAsia" w:hAnsiTheme="minorEastAsia" w:eastAsiaTheme="minorEastAsia" w:cstheme="minorEastAsia"/>
                <w:color w:val="auto"/>
                <w:sz w:val="21"/>
                <w:szCs w:val="21"/>
                <w:highlight w:val="none"/>
              </w:rPr>
            </w:pPr>
          </w:p>
        </w:tc>
        <w:tc>
          <w:tcPr>
            <w:tcW w:w="869" w:type="dxa"/>
          </w:tcPr>
          <w:p>
            <w:pPr>
              <w:spacing w:line="420" w:lineRule="exact"/>
              <w:rPr>
                <w:rFonts w:asciiTheme="minorEastAsia" w:hAnsiTheme="minorEastAsia" w:eastAsiaTheme="minorEastAsia" w:cstheme="minorEastAsia"/>
                <w:color w:val="auto"/>
                <w:sz w:val="21"/>
                <w:szCs w:val="21"/>
                <w:highlight w:val="none"/>
              </w:rPr>
            </w:pPr>
          </w:p>
        </w:tc>
        <w:tc>
          <w:tcPr>
            <w:tcW w:w="1965" w:type="dxa"/>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p>
        </w:tc>
        <w:tc>
          <w:tcPr>
            <w:tcW w:w="1701"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09"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w:t>
            </w:r>
          </w:p>
        </w:tc>
        <w:tc>
          <w:tcPr>
            <w:tcW w:w="143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总计金额大写</w:t>
            </w:r>
          </w:p>
        </w:tc>
        <w:tc>
          <w:tcPr>
            <w:tcW w:w="5366" w:type="dxa"/>
            <w:gridSpan w:val="5"/>
          </w:tcPr>
          <w:p>
            <w:pPr>
              <w:spacing w:line="420" w:lineRule="exact"/>
              <w:rPr>
                <w:rFonts w:asciiTheme="minorEastAsia" w:hAnsiTheme="minorEastAsia" w:eastAsiaTheme="minorEastAsia" w:cstheme="minorEastAsia"/>
                <w:color w:val="auto"/>
                <w:sz w:val="21"/>
                <w:szCs w:val="21"/>
                <w:highlight w:val="none"/>
              </w:rPr>
            </w:pPr>
          </w:p>
        </w:tc>
        <w:tc>
          <w:tcPr>
            <w:tcW w:w="1701"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注：以上三种报价方式任选其一，须注明报价方式和币种；否则，一律按[DDP（西南大学项目现场）价处理</w:t>
            </w:r>
          </w:p>
        </w:tc>
        <w:tc>
          <w:tcPr>
            <w:tcW w:w="1701" w:type="dxa"/>
          </w:tcPr>
          <w:p>
            <w:pPr>
              <w:spacing w:line="420" w:lineRule="exact"/>
              <w:rPr>
                <w:rFonts w:asciiTheme="minorEastAsia" w:hAnsiTheme="minorEastAsia" w:eastAsiaTheme="minorEastAsia" w:cstheme="minorEastAsia"/>
                <w:color w:val="auto"/>
                <w:sz w:val="21"/>
                <w:szCs w:val="21"/>
                <w:highlight w:val="none"/>
              </w:rPr>
            </w:pPr>
          </w:p>
        </w:tc>
      </w:tr>
    </w:tbl>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投标人授权代表签字：                                    日期：   年   月   日</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（投标人公章）</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特别说明：</w:t>
      </w:r>
    </w:p>
    <w:p>
      <w:pPr>
        <w:spacing w:line="360" w:lineRule="auto"/>
        <w:rPr>
          <w:rFonts w:asciiTheme="minorEastAsia" w:hAnsiTheme="minorEastAsia" w:eastAsiaTheme="minorEastAsia" w:cstheme="minorEastAsia"/>
          <w:color w:val="auto"/>
          <w:highlight w:val="none"/>
        </w:rPr>
      </w:pPr>
      <w:bookmarkStart w:id="136" w:name="_Toc465269283"/>
      <w:r>
        <w:rPr>
          <w:rFonts w:hint="eastAsia" w:asciiTheme="minorEastAsia" w:hAnsiTheme="minorEastAsia" w:eastAsiaTheme="minorEastAsia" w:cstheme="minorEastAsia"/>
          <w:color w:val="auto"/>
          <w:highlight w:val="none"/>
        </w:rPr>
        <w:t>1. 招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2.如果不提供详细分项报价将视为没有实质性响应招标文件而导致投标无效。</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3.投标人应按招标文件要求逐项报价，标总价应为各分项合计价格之和。</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3.1国产的货物及其有关服务的报价为DDP西南大学项目现场价（含装卸搬运费）。含货物送达西南大学并安装调试至指定位置所涉及的所有费用、税金以及售后服务费。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3.2从中华人民共和国关境外提供货物及服务的报价为CIP 西南大学或DAP西南大学价，包括货物从进口口岸运至最终目的地的内陆运输费、保险费等，不包括海关杂费、外贸代理费等进口清关费用；亦可报DDP西南大学（含装卸搬运费）价，包括货物送达西南大学并安装调试至指定位置所涉及的所有费用以及售后服务费。以上报价是否含进口环节税金按3.4条说明执行。</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3.3在中华人民共和国境内的海关特殊监管区域内生产或加工销往境内其他地区</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的产品，不视为政府采购项下的进口产品，但报价须按第3.2条要求执行。从境外进入海关特殊监管区域，再经办理报关手续后从海关特殊监管区进入境内其他地区的产品，为境外供货，报价按第3.2条要求执行。</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3.4特别说明：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成交人承担。</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3.5因投标人自身原因误填、错填是否免税项而选择了是否含税的报价而产生的风险由投标人承担。非免税产品填写“免税”的，所产生的税费也应由成交人承担。可以免税的产品填写“不免税”的，将先从货款里扣除进口环节税金后再将余额支付给供方。</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4.设备名称、数量应符合招标文件第二篇的要求。</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5.每一分项设备必须另附其详细配置清单及货号，包括附件和配件，并注明各部分的确定生产地。进口货物须明确该项乙方外贸合同的签订方。</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设备名称和规格型号必须使用产品生产厂家的规范全称，并与产品中文彩页及说明书完全一致（产品外文彩页及说明书须译成对应的中文版）。因投标人未按上述要求执行而引致的免税（如能享受免税政策）和清关工作延误及责任全部由投标人承担。</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7.执行标准是非通用标准的，应另附页详细特别说明。</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供应商授权代表签字：                           日期：    年  月  日</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（供应商公章）</w:t>
      </w:r>
    </w:p>
    <w:p>
      <w:pPr>
        <w:spacing w:line="360" w:lineRule="auto"/>
        <w:rPr>
          <w:rFonts w:asciiTheme="minorEastAsia" w:hAnsiTheme="minorEastAsia" w:eastAsiaTheme="minorEastAsia" w:cstheme="minorEastAsia"/>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七、配置清单格式</w:t>
      </w:r>
      <w:bookmarkEnd w:id="136"/>
    </w:p>
    <w:p>
      <w:pPr>
        <w:spacing w:line="360" w:lineRule="auto"/>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配置清单</w:t>
      </w:r>
    </w:p>
    <w:p>
      <w:pPr>
        <w:spacing w:line="360" w:lineRule="auto"/>
        <w:jc w:val="center"/>
        <w:rPr>
          <w:rFonts w:asciiTheme="minorEastAsia" w:hAnsiTheme="minorEastAsia" w:eastAsiaTheme="minorEastAsia" w:cstheme="minorEastAsia"/>
          <w:color w:val="auto"/>
          <w:sz w:val="44"/>
          <w:szCs w:val="44"/>
          <w:highlight w:val="none"/>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1391"/>
        <w:gridCol w:w="1391"/>
        <w:gridCol w:w="1391"/>
        <w:gridCol w:w="1392"/>
        <w:gridCol w:w="1392"/>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货号</w:t>
            </w:r>
          </w:p>
        </w:tc>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名称</w:t>
            </w:r>
          </w:p>
        </w:tc>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型号规格</w:t>
            </w:r>
          </w:p>
        </w:tc>
        <w:tc>
          <w:tcPr>
            <w:tcW w:w="1392"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tc>
        <w:tc>
          <w:tcPr>
            <w:tcW w:w="1392"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w:t>
            </w:r>
          </w:p>
        </w:tc>
        <w:tc>
          <w:tcPr>
            <w:tcW w:w="1392"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391" w:type="dxa"/>
          </w:tcPr>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r>
    </w:tbl>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投标人授权代表签字：                                         日期：</w:t>
      </w: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（投标人公章）</w:t>
      </w: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授权代表移动电话：</w:t>
      </w: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说明 ：配置清单可自拟格式，但上述内容不可减少。原则上应以中文书写，外文的配置清单需附中文翻译，进口设备的国内交货部分须在备注栏说明.</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bookmarkStart w:id="137" w:name="_Toc465269284"/>
    </w:p>
    <w:p>
      <w:pPr>
        <w:rPr>
          <w:rFonts w:hint="eastAsia"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八、技术规格/ 要求偏离表格式</w:t>
      </w:r>
      <w:bookmarkEnd w:id="137"/>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技术规格/要求偏离表</w:t>
      </w:r>
    </w:p>
    <w:tbl>
      <w:tblPr>
        <w:tblStyle w:val="25"/>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1417"/>
        <w:gridCol w:w="1418"/>
        <w:gridCol w:w="1275"/>
        <w:gridCol w:w="1560"/>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序号</w:t>
            </w:r>
          </w:p>
        </w:tc>
        <w:tc>
          <w:tcPr>
            <w:tcW w:w="1843"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招标规格/ 要求</w:t>
            </w:r>
          </w:p>
        </w:tc>
        <w:tc>
          <w:tcPr>
            <w:tcW w:w="1417"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投标响应的实际情况</w:t>
            </w:r>
          </w:p>
        </w:tc>
        <w:tc>
          <w:tcPr>
            <w:tcW w:w="1418"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偏离简述（正偏离/负偏离/无偏离）</w:t>
            </w:r>
          </w:p>
        </w:tc>
        <w:tc>
          <w:tcPr>
            <w:tcW w:w="1275"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差异说明</w:t>
            </w:r>
          </w:p>
        </w:tc>
        <w:tc>
          <w:tcPr>
            <w:tcW w:w="1560"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highlight w:val="none"/>
              </w:rPr>
              <w:t>相关技术证明文件在响应文件中的具体页码</w:t>
            </w:r>
          </w:p>
        </w:tc>
        <w:tc>
          <w:tcPr>
            <w:tcW w:w="1133"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59" w:type="dxa"/>
          </w:tcPr>
          <w:p>
            <w:pPr>
              <w:spacing w:line="360" w:lineRule="auto"/>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 xml:space="preserve">1   </w:t>
            </w:r>
          </w:p>
        </w:tc>
        <w:tc>
          <w:tcPr>
            <w:tcW w:w="1843" w:type="dxa"/>
          </w:tcPr>
          <w:p>
            <w:pPr>
              <w:spacing w:line="360" w:lineRule="auto"/>
              <w:rPr>
                <w:rFonts w:asciiTheme="minorEastAsia" w:hAnsiTheme="minorEastAsia" w:eastAsiaTheme="minorEastAsia" w:cstheme="minorEastAsia"/>
                <w:color w:val="auto"/>
                <w:szCs w:val="20"/>
                <w:highlight w:val="none"/>
              </w:rPr>
            </w:pPr>
          </w:p>
        </w:tc>
        <w:tc>
          <w:tcPr>
            <w:tcW w:w="1417" w:type="dxa"/>
          </w:tcPr>
          <w:p>
            <w:pPr>
              <w:spacing w:line="360" w:lineRule="auto"/>
              <w:rPr>
                <w:rFonts w:asciiTheme="minorEastAsia" w:hAnsiTheme="minorEastAsia" w:eastAsiaTheme="minorEastAsia" w:cstheme="minorEastAsia"/>
                <w:color w:val="auto"/>
                <w:szCs w:val="20"/>
                <w:highlight w:val="none"/>
              </w:rPr>
            </w:pPr>
          </w:p>
        </w:tc>
        <w:tc>
          <w:tcPr>
            <w:tcW w:w="1418" w:type="dxa"/>
          </w:tcPr>
          <w:p>
            <w:pPr>
              <w:spacing w:line="360" w:lineRule="auto"/>
              <w:rPr>
                <w:rFonts w:asciiTheme="minorEastAsia" w:hAnsiTheme="minorEastAsia" w:eastAsiaTheme="minorEastAsia" w:cstheme="minorEastAsia"/>
                <w:color w:val="auto"/>
                <w:szCs w:val="20"/>
                <w:highlight w:val="none"/>
              </w:rPr>
            </w:pPr>
          </w:p>
        </w:tc>
        <w:tc>
          <w:tcPr>
            <w:tcW w:w="1275" w:type="dxa"/>
          </w:tcPr>
          <w:p>
            <w:pPr>
              <w:spacing w:line="360" w:lineRule="auto"/>
              <w:rPr>
                <w:rFonts w:asciiTheme="minorEastAsia" w:hAnsiTheme="minorEastAsia" w:eastAsiaTheme="minorEastAsia" w:cstheme="minorEastAsia"/>
                <w:color w:val="auto"/>
                <w:szCs w:val="20"/>
                <w:highlight w:val="none"/>
              </w:rPr>
            </w:pPr>
          </w:p>
        </w:tc>
        <w:tc>
          <w:tcPr>
            <w:tcW w:w="1560" w:type="dxa"/>
          </w:tcPr>
          <w:p>
            <w:pPr>
              <w:spacing w:line="360" w:lineRule="auto"/>
              <w:rPr>
                <w:rFonts w:asciiTheme="minorEastAsia" w:hAnsiTheme="minorEastAsia" w:eastAsiaTheme="minorEastAsia" w:cstheme="minorEastAsia"/>
                <w:color w:val="auto"/>
                <w:szCs w:val="20"/>
                <w:highlight w:val="none"/>
              </w:rPr>
            </w:pPr>
          </w:p>
        </w:tc>
        <w:tc>
          <w:tcPr>
            <w:tcW w:w="1133" w:type="dxa"/>
          </w:tcPr>
          <w:p>
            <w:pPr>
              <w:spacing w:line="360" w:lineRule="auto"/>
              <w:rPr>
                <w:rFonts w:asciiTheme="minorEastAsia" w:hAnsiTheme="minorEastAsia" w:eastAsiaTheme="minorEastAsia" w:cstheme="minorEastAsia"/>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59" w:type="dxa"/>
          </w:tcPr>
          <w:p>
            <w:pPr>
              <w:spacing w:line="360" w:lineRule="auto"/>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 xml:space="preserve">2  </w:t>
            </w:r>
          </w:p>
        </w:tc>
        <w:tc>
          <w:tcPr>
            <w:tcW w:w="1843" w:type="dxa"/>
          </w:tcPr>
          <w:p>
            <w:pPr>
              <w:spacing w:line="360" w:lineRule="auto"/>
              <w:rPr>
                <w:rFonts w:asciiTheme="minorEastAsia" w:hAnsiTheme="minorEastAsia" w:eastAsiaTheme="minorEastAsia" w:cstheme="minorEastAsia"/>
                <w:color w:val="auto"/>
                <w:szCs w:val="20"/>
                <w:highlight w:val="none"/>
              </w:rPr>
            </w:pPr>
          </w:p>
        </w:tc>
        <w:tc>
          <w:tcPr>
            <w:tcW w:w="1417" w:type="dxa"/>
          </w:tcPr>
          <w:p>
            <w:pPr>
              <w:spacing w:line="360" w:lineRule="auto"/>
              <w:rPr>
                <w:rFonts w:asciiTheme="minorEastAsia" w:hAnsiTheme="minorEastAsia" w:eastAsiaTheme="minorEastAsia" w:cstheme="minorEastAsia"/>
                <w:color w:val="auto"/>
                <w:szCs w:val="20"/>
                <w:highlight w:val="none"/>
              </w:rPr>
            </w:pPr>
          </w:p>
        </w:tc>
        <w:tc>
          <w:tcPr>
            <w:tcW w:w="1418" w:type="dxa"/>
          </w:tcPr>
          <w:p>
            <w:pPr>
              <w:spacing w:line="360" w:lineRule="auto"/>
              <w:rPr>
                <w:rFonts w:asciiTheme="minorEastAsia" w:hAnsiTheme="minorEastAsia" w:eastAsiaTheme="minorEastAsia" w:cstheme="minorEastAsia"/>
                <w:color w:val="auto"/>
                <w:szCs w:val="20"/>
                <w:highlight w:val="none"/>
              </w:rPr>
            </w:pPr>
          </w:p>
        </w:tc>
        <w:tc>
          <w:tcPr>
            <w:tcW w:w="1275" w:type="dxa"/>
          </w:tcPr>
          <w:p>
            <w:pPr>
              <w:spacing w:line="360" w:lineRule="auto"/>
              <w:rPr>
                <w:rFonts w:asciiTheme="minorEastAsia" w:hAnsiTheme="minorEastAsia" w:eastAsiaTheme="minorEastAsia" w:cstheme="minorEastAsia"/>
                <w:color w:val="auto"/>
                <w:szCs w:val="20"/>
                <w:highlight w:val="none"/>
              </w:rPr>
            </w:pPr>
          </w:p>
        </w:tc>
        <w:tc>
          <w:tcPr>
            <w:tcW w:w="1560" w:type="dxa"/>
          </w:tcPr>
          <w:p>
            <w:pPr>
              <w:spacing w:line="360" w:lineRule="auto"/>
              <w:rPr>
                <w:rFonts w:asciiTheme="minorEastAsia" w:hAnsiTheme="minorEastAsia" w:eastAsiaTheme="minorEastAsia" w:cstheme="minorEastAsia"/>
                <w:color w:val="auto"/>
                <w:szCs w:val="20"/>
                <w:highlight w:val="none"/>
              </w:rPr>
            </w:pPr>
          </w:p>
        </w:tc>
        <w:tc>
          <w:tcPr>
            <w:tcW w:w="1133" w:type="dxa"/>
          </w:tcPr>
          <w:p>
            <w:pPr>
              <w:spacing w:line="360" w:lineRule="auto"/>
              <w:rPr>
                <w:rFonts w:asciiTheme="minorEastAsia" w:hAnsiTheme="minorEastAsia" w:eastAsiaTheme="minorEastAsia" w:cstheme="minorEastAsia"/>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59" w:type="dxa"/>
          </w:tcPr>
          <w:p>
            <w:pPr>
              <w:spacing w:line="360" w:lineRule="auto"/>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w:t>
            </w:r>
          </w:p>
        </w:tc>
        <w:tc>
          <w:tcPr>
            <w:tcW w:w="1843" w:type="dxa"/>
          </w:tcPr>
          <w:p>
            <w:pPr>
              <w:spacing w:line="360" w:lineRule="auto"/>
              <w:rPr>
                <w:rFonts w:asciiTheme="minorEastAsia" w:hAnsiTheme="minorEastAsia" w:eastAsiaTheme="minorEastAsia" w:cstheme="minorEastAsia"/>
                <w:color w:val="auto"/>
                <w:szCs w:val="20"/>
                <w:highlight w:val="none"/>
              </w:rPr>
            </w:pPr>
          </w:p>
        </w:tc>
        <w:tc>
          <w:tcPr>
            <w:tcW w:w="1417" w:type="dxa"/>
          </w:tcPr>
          <w:p>
            <w:pPr>
              <w:spacing w:line="360" w:lineRule="auto"/>
              <w:rPr>
                <w:rFonts w:asciiTheme="minorEastAsia" w:hAnsiTheme="minorEastAsia" w:eastAsiaTheme="minorEastAsia" w:cstheme="minorEastAsia"/>
                <w:color w:val="auto"/>
                <w:szCs w:val="20"/>
                <w:highlight w:val="none"/>
              </w:rPr>
            </w:pPr>
          </w:p>
        </w:tc>
        <w:tc>
          <w:tcPr>
            <w:tcW w:w="1418" w:type="dxa"/>
            <w:vAlign w:val="center"/>
          </w:tcPr>
          <w:p>
            <w:pPr>
              <w:spacing w:line="380" w:lineRule="exact"/>
              <w:rPr>
                <w:rFonts w:asciiTheme="minorEastAsia" w:hAnsiTheme="minorEastAsia" w:eastAsiaTheme="minorEastAsia" w:cstheme="minorEastAsia"/>
                <w:color w:val="auto"/>
                <w:highlight w:val="none"/>
              </w:rPr>
            </w:pPr>
          </w:p>
        </w:tc>
        <w:tc>
          <w:tcPr>
            <w:tcW w:w="1275" w:type="dxa"/>
            <w:vAlign w:val="center"/>
          </w:tcPr>
          <w:p>
            <w:pPr>
              <w:spacing w:line="380" w:lineRule="exact"/>
              <w:ind w:firstLine="600" w:firstLineChars="250"/>
              <w:rPr>
                <w:rFonts w:asciiTheme="minorEastAsia" w:hAnsiTheme="minorEastAsia" w:eastAsiaTheme="minorEastAsia" w:cstheme="minorEastAsia"/>
                <w:color w:val="auto"/>
                <w:highlight w:val="none"/>
              </w:rPr>
            </w:pPr>
          </w:p>
        </w:tc>
        <w:tc>
          <w:tcPr>
            <w:tcW w:w="1560" w:type="dxa"/>
          </w:tcPr>
          <w:p>
            <w:pPr>
              <w:spacing w:line="360" w:lineRule="auto"/>
              <w:rPr>
                <w:rFonts w:asciiTheme="minorEastAsia" w:hAnsiTheme="minorEastAsia" w:eastAsiaTheme="minorEastAsia" w:cstheme="minorEastAsia"/>
                <w:color w:val="auto"/>
                <w:szCs w:val="20"/>
                <w:highlight w:val="none"/>
              </w:rPr>
            </w:pPr>
          </w:p>
        </w:tc>
        <w:tc>
          <w:tcPr>
            <w:tcW w:w="1133" w:type="dxa"/>
          </w:tcPr>
          <w:p>
            <w:pPr>
              <w:spacing w:line="360" w:lineRule="auto"/>
              <w:rPr>
                <w:rFonts w:asciiTheme="minorEastAsia" w:hAnsiTheme="minorEastAsia" w:eastAsiaTheme="minorEastAsia" w:cstheme="minorEastAsia"/>
                <w:color w:val="auto"/>
                <w:szCs w:val="20"/>
                <w:highlight w:val="none"/>
              </w:rPr>
            </w:pPr>
          </w:p>
        </w:tc>
      </w:tr>
    </w:tbl>
    <w:p>
      <w:pPr>
        <w:spacing w:line="340" w:lineRule="exact"/>
        <w:rPr>
          <w:rFonts w:asciiTheme="minorEastAsia" w:hAnsiTheme="minorEastAsia" w:eastAsiaTheme="minorEastAsia" w:cstheme="minorEastAsia"/>
          <w:color w:val="auto"/>
          <w:highlight w:val="none"/>
        </w:rPr>
      </w:pPr>
    </w:p>
    <w:p>
      <w:pPr>
        <w:spacing w:line="34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投标人授权代表签字：                              日期：</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（投标人公章）</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授权代表移动电话：</w:t>
      </w:r>
    </w:p>
    <w:p>
      <w:pPr>
        <w:spacing w:line="3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w:t>
      </w:r>
    </w:p>
    <w:p>
      <w:pPr>
        <w:spacing w:line="340" w:lineRule="exact"/>
        <w:ind w:firstLine="420"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投标人须对照招标文件技术规格，将自己所投的所有货物的功能、技术性能、配置、用途等内容按照上表格式与招标要求逐条填写，说明所提供货物和服务已对招标文件的技术规格做出了实质性响应，并申明与技术规格条文的偏差和例外。若有负偏离而未如实填写的</w:t>
      </w:r>
      <w:r>
        <w:rPr>
          <w:rFonts w:hint="eastAsia" w:asciiTheme="minorEastAsia" w:hAnsiTheme="minorEastAsia" w:eastAsiaTheme="minorEastAsia" w:cstheme="minorEastAsia"/>
          <w:b/>
          <w:color w:val="auto"/>
          <w:sz w:val="21"/>
          <w:szCs w:val="21"/>
          <w:highlight w:val="none"/>
        </w:rPr>
        <w:t>可视为虚假应标；</w:t>
      </w:r>
      <w:r>
        <w:rPr>
          <w:rFonts w:hint="eastAsia" w:asciiTheme="minorEastAsia" w:hAnsiTheme="minorEastAsia" w:eastAsiaTheme="minorEastAsia" w:cstheme="minorEastAsia"/>
          <w:color w:val="auto"/>
          <w:sz w:val="21"/>
          <w:szCs w:val="21"/>
          <w:highlight w:val="none"/>
        </w:rPr>
        <w:t>若有正偏离而未如实填写的将视为没有优于招标要求；无论是正、负偏离，还是无偏离，未按以上表格式逐条填写的，</w:t>
      </w:r>
      <w:r>
        <w:rPr>
          <w:rFonts w:hint="eastAsia" w:asciiTheme="minorEastAsia" w:hAnsiTheme="minorEastAsia" w:eastAsiaTheme="minorEastAsia" w:cstheme="minorEastAsia"/>
          <w:b/>
          <w:color w:val="auto"/>
          <w:sz w:val="21"/>
          <w:szCs w:val="21"/>
          <w:highlight w:val="none"/>
        </w:rPr>
        <w:t>可视为无效投标。</w:t>
      </w:r>
    </w:p>
    <w:p>
      <w:pPr>
        <w:spacing w:line="340" w:lineRule="exact"/>
        <w:ind w:firstLine="525" w:firstLineChars="25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1.偏离简述栏中必须标明技术及配置的响应情况，整项货物及该项货物各部分响应情况须按下述规定填写，任何</w:t>
      </w:r>
      <w:r>
        <w:rPr>
          <w:rFonts w:hint="eastAsia" w:asciiTheme="minorEastAsia" w:hAnsiTheme="minorEastAsia" w:eastAsiaTheme="minorEastAsia" w:cstheme="minorEastAsia"/>
          <w:b/>
          <w:color w:val="auto"/>
          <w:sz w:val="21"/>
          <w:szCs w:val="21"/>
          <w:highlight w:val="none"/>
        </w:rPr>
        <w:t>不真实响应</w:t>
      </w:r>
      <w:r>
        <w:rPr>
          <w:rFonts w:hint="eastAsia" w:asciiTheme="minorEastAsia" w:hAnsiTheme="minorEastAsia" w:eastAsiaTheme="minorEastAsia" w:cstheme="minorEastAsia"/>
          <w:color w:val="auto"/>
          <w:sz w:val="21"/>
          <w:szCs w:val="21"/>
          <w:highlight w:val="none"/>
        </w:rPr>
        <w:t>都将导致</w:t>
      </w:r>
      <w:r>
        <w:rPr>
          <w:rFonts w:hint="eastAsia" w:asciiTheme="minorEastAsia" w:hAnsiTheme="minorEastAsia" w:eastAsiaTheme="minorEastAsia" w:cstheme="minorEastAsia"/>
          <w:b/>
          <w:color w:val="auto"/>
          <w:sz w:val="21"/>
          <w:szCs w:val="21"/>
          <w:highlight w:val="none"/>
        </w:rPr>
        <w:t>投标无效：</w:t>
      </w:r>
    </w:p>
    <w:p>
      <w:pPr>
        <w:spacing w:line="3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 对应项中的所有技术参数、性能和配置全部满足招标文件要求的才能填写“无偏离”或“符合”；</w:t>
      </w:r>
    </w:p>
    <w:p>
      <w:pPr>
        <w:spacing w:line="3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 对应项中的所有技术参数、性能和配置全部满足招标文件要求并且其中有一个或以上指标优于招标文件要求的，可填写“正偏离”；</w:t>
      </w:r>
    </w:p>
    <w:p>
      <w:pPr>
        <w:spacing w:line="3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 对应项中的所有技术参数、性能和配置中有任何一项不能达到招标文件要求的，必须填写“负偏离”；</w:t>
      </w:r>
    </w:p>
    <w:p>
      <w:pPr>
        <w:spacing w:line="3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④ “正偏离”、“负偏离”两者中偏离的情况必须在备注栏中说明对使用的影响。</w:t>
      </w:r>
    </w:p>
    <w:p>
      <w:pPr>
        <w:rPr>
          <w:rFonts w:asciiTheme="minorEastAsia" w:hAnsiTheme="minorEastAsia" w:eastAsiaTheme="minorEastAsia" w:cstheme="minorEastAsia"/>
          <w:color w:val="auto"/>
          <w:highlight w:val="none"/>
        </w:rPr>
      </w:pPr>
      <w:bookmarkStart w:id="138" w:name="_Toc465269285"/>
    </w:p>
    <w:p>
      <w:pPr>
        <w:rPr>
          <w:rFonts w:asciiTheme="minorEastAsia" w:hAnsiTheme="minorEastAsia" w:eastAsiaTheme="minorEastAsia" w:cstheme="minorEastAsia"/>
          <w:color w:val="auto"/>
          <w:highlight w:val="none"/>
        </w:rPr>
      </w:pPr>
    </w:p>
    <w:p>
      <w:pPr>
        <w:pStyle w:val="7"/>
        <w:rPr>
          <w:color w:val="auto"/>
          <w:highlight w:val="none"/>
        </w:rPr>
      </w:pP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九、商务条款偏离表格式</w:t>
      </w:r>
      <w:bookmarkEnd w:id="138"/>
    </w:p>
    <w:p>
      <w:pPr>
        <w:spacing w:line="360" w:lineRule="auto"/>
        <w:jc w:val="both"/>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商务条款偏离表</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投标人名称：                                     项目编号：</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分项（子包）号：                                 分项（子包）名称：</w:t>
      </w:r>
    </w:p>
    <w:tbl>
      <w:tblPr>
        <w:tblStyle w:val="25"/>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26"/>
        <w:gridCol w:w="1701"/>
        <w:gridCol w:w="1560"/>
        <w:gridCol w:w="198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序号</w:t>
            </w:r>
          </w:p>
        </w:tc>
        <w:tc>
          <w:tcPr>
            <w:tcW w:w="2126" w:type="dxa"/>
            <w:vAlign w:val="center"/>
          </w:tcPr>
          <w:p>
            <w:pPr>
              <w:spacing w:line="420" w:lineRule="exact"/>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招标文件</w:t>
            </w:r>
          </w:p>
          <w:p>
            <w:pPr>
              <w:spacing w:line="420" w:lineRule="exact"/>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Cs w:val="20"/>
                <w:highlight w:val="none"/>
              </w:rPr>
              <w:t>内容条目号</w:t>
            </w:r>
          </w:p>
        </w:tc>
        <w:tc>
          <w:tcPr>
            <w:tcW w:w="1701" w:type="dxa"/>
            <w:vAlign w:val="center"/>
          </w:tcPr>
          <w:p>
            <w:pPr>
              <w:spacing w:line="420" w:lineRule="exact"/>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Cs w:val="20"/>
                <w:highlight w:val="none"/>
              </w:rPr>
              <w:t>招标文件商务要求</w:t>
            </w:r>
          </w:p>
        </w:tc>
        <w:tc>
          <w:tcPr>
            <w:tcW w:w="1560" w:type="dxa"/>
            <w:vAlign w:val="center"/>
          </w:tcPr>
          <w:p>
            <w:pPr>
              <w:spacing w:line="420" w:lineRule="exact"/>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Cs w:val="20"/>
                <w:highlight w:val="none"/>
              </w:rPr>
              <w:t>投标文件商务条款</w:t>
            </w:r>
          </w:p>
        </w:tc>
        <w:tc>
          <w:tcPr>
            <w:tcW w:w="1984" w:type="dxa"/>
            <w:vAlign w:val="center"/>
          </w:tcPr>
          <w:p>
            <w:pPr>
              <w:spacing w:line="420" w:lineRule="exact"/>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偏离说明</w:t>
            </w:r>
          </w:p>
        </w:tc>
        <w:tc>
          <w:tcPr>
            <w:tcW w:w="1701" w:type="dxa"/>
            <w:vAlign w:val="center"/>
          </w:tcPr>
          <w:p>
            <w:pPr>
              <w:spacing w:line="420" w:lineRule="exact"/>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color w:val="auto"/>
                <w:sz w:val="20"/>
                <w:szCs w:val="20"/>
                <w:highlight w:val="none"/>
              </w:rPr>
            </w:pPr>
          </w:p>
        </w:tc>
        <w:tc>
          <w:tcPr>
            <w:tcW w:w="2126"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c>
          <w:tcPr>
            <w:tcW w:w="1560" w:type="dxa"/>
          </w:tcPr>
          <w:p>
            <w:pPr>
              <w:spacing w:line="360" w:lineRule="auto"/>
              <w:rPr>
                <w:rFonts w:asciiTheme="minorEastAsia" w:hAnsiTheme="minorEastAsia" w:eastAsiaTheme="minorEastAsia" w:cstheme="minorEastAsia"/>
                <w:color w:val="auto"/>
                <w:sz w:val="20"/>
                <w:szCs w:val="20"/>
                <w:highlight w:val="none"/>
              </w:rPr>
            </w:pPr>
          </w:p>
        </w:tc>
        <w:tc>
          <w:tcPr>
            <w:tcW w:w="1984"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color w:val="auto"/>
                <w:sz w:val="20"/>
                <w:szCs w:val="20"/>
                <w:highlight w:val="none"/>
              </w:rPr>
            </w:pPr>
          </w:p>
        </w:tc>
        <w:tc>
          <w:tcPr>
            <w:tcW w:w="2126"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c>
          <w:tcPr>
            <w:tcW w:w="1560" w:type="dxa"/>
          </w:tcPr>
          <w:p>
            <w:pPr>
              <w:spacing w:line="360" w:lineRule="auto"/>
              <w:rPr>
                <w:rFonts w:asciiTheme="minorEastAsia" w:hAnsiTheme="minorEastAsia" w:eastAsiaTheme="minorEastAsia" w:cstheme="minorEastAsia"/>
                <w:color w:val="auto"/>
                <w:sz w:val="20"/>
                <w:szCs w:val="20"/>
                <w:highlight w:val="none"/>
              </w:rPr>
            </w:pPr>
          </w:p>
        </w:tc>
        <w:tc>
          <w:tcPr>
            <w:tcW w:w="1984"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color w:val="auto"/>
                <w:sz w:val="20"/>
                <w:szCs w:val="20"/>
                <w:highlight w:val="none"/>
              </w:rPr>
            </w:pPr>
          </w:p>
        </w:tc>
        <w:tc>
          <w:tcPr>
            <w:tcW w:w="2126"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c>
          <w:tcPr>
            <w:tcW w:w="1560" w:type="dxa"/>
          </w:tcPr>
          <w:p>
            <w:pPr>
              <w:spacing w:line="360" w:lineRule="auto"/>
              <w:rPr>
                <w:rFonts w:asciiTheme="minorEastAsia" w:hAnsiTheme="minorEastAsia" w:eastAsiaTheme="minorEastAsia" w:cstheme="minorEastAsia"/>
                <w:color w:val="auto"/>
                <w:sz w:val="20"/>
                <w:szCs w:val="20"/>
                <w:highlight w:val="none"/>
              </w:rPr>
            </w:pPr>
          </w:p>
        </w:tc>
        <w:tc>
          <w:tcPr>
            <w:tcW w:w="1984"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color w:val="auto"/>
                <w:sz w:val="20"/>
                <w:szCs w:val="20"/>
                <w:highlight w:val="none"/>
              </w:rPr>
            </w:pPr>
          </w:p>
        </w:tc>
        <w:tc>
          <w:tcPr>
            <w:tcW w:w="2126"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c>
          <w:tcPr>
            <w:tcW w:w="1560" w:type="dxa"/>
          </w:tcPr>
          <w:p>
            <w:pPr>
              <w:spacing w:line="360" w:lineRule="auto"/>
              <w:rPr>
                <w:rFonts w:asciiTheme="minorEastAsia" w:hAnsiTheme="minorEastAsia" w:eastAsiaTheme="minorEastAsia" w:cstheme="minorEastAsia"/>
                <w:color w:val="auto"/>
                <w:sz w:val="20"/>
                <w:szCs w:val="20"/>
                <w:highlight w:val="none"/>
              </w:rPr>
            </w:pPr>
          </w:p>
        </w:tc>
        <w:tc>
          <w:tcPr>
            <w:tcW w:w="1984"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r>
    </w:tbl>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投标人授权代表签字：</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（投标人公章）</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授权代表移动电话：</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pPr>
        <w:spacing w:line="360" w:lineRule="auto"/>
        <w:rPr>
          <w:rFonts w:asciiTheme="minorEastAsia" w:hAnsiTheme="minorEastAsia" w:eastAsiaTheme="minorEastAsia" w:cstheme="minorEastAsia"/>
          <w:color w:val="auto"/>
          <w:sz w:val="21"/>
          <w:szCs w:val="21"/>
          <w:highlight w:val="none"/>
        </w:rPr>
      </w:pPr>
      <w:bookmarkStart w:id="139" w:name="_Hlk106628812"/>
      <w:r>
        <w:rPr>
          <w:rFonts w:hint="eastAsia" w:asciiTheme="minorEastAsia" w:hAnsiTheme="minorEastAsia" w:eastAsiaTheme="minorEastAsia" w:cstheme="minorEastAsia"/>
          <w:color w:val="auto"/>
          <w:sz w:val="21"/>
          <w:szCs w:val="21"/>
          <w:highlight w:val="none"/>
        </w:rPr>
        <w:t>1、供应商应对“第三篇 项目商务要求”和第六篇“合同格式”（</w:t>
      </w:r>
      <w:r>
        <w:rPr>
          <w:rFonts w:hint="eastAsia" w:asciiTheme="minorEastAsia" w:hAnsiTheme="minorEastAsia" w:eastAsiaTheme="minorEastAsia" w:cstheme="minorEastAsia"/>
          <w:b/>
          <w:color w:val="auto"/>
          <w:sz w:val="21"/>
          <w:szCs w:val="21"/>
          <w:highlight w:val="none"/>
        </w:rPr>
        <w:t>只针对第六篇合同格式里第三篇专用条款未涉及的内容</w:t>
      </w:r>
      <w:r>
        <w:rPr>
          <w:rFonts w:hint="eastAsia" w:asciiTheme="minorEastAsia" w:hAnsiTheme="minorEastAsia" w:eastAsiaTheme="minorEastAsia" w:cstheme="minorEastAsia"/>
          <w:color w:val="auto"/>
          <w:sz w:val="21"/>
          <w:szCs w:val="21"/>
          <w:highlight w:val="none"/>
        </w:rPr>
        <w:t>）中所列商务要求进行比较和响应。</w:t>
      </w:r>
    </w:p>
    <w:p>
      <w:pPr>
        <w:spacing w:line="360" w:lineRule="auto"/>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对“第三篇 项目商务要求”应逐条对比应答，如实填写，根据响应情况在“偏离说明”栏填写“正偏离”或“负偏离”，完全符合的填写“无偏离”，同时填写正偏离或负偏离的详细内容，在“备注”栏注明该条在投标文件中的页码号。</w:t>
      </w:r>
    </w:p>
    <w:p>
      <w:pPr>
        <w:spacing w:line="360" w:lineRule="auto"/>
        <w:ind w:firstLine="422"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第六篇“合同格式”内容（只针对第六篇合同格式里第三篇专用条款未涉及的内容）不要求逐条应答，</w:t>
      </w:r>
      <w:r>
        <w:rPr>
          <w:rFonts w:hint="eastAsia" w:asciiTheme="minorEastAsia" w:hAnsiTheme="minorEastAsia" w:eastAsiaTheme="minorEastAsia" w:cstheme="minorEastAsia"/>
          <w:color w:val="auto"/>
          <w:sz w:val="21"/>
          <w:szCs w:val="21"/>
          <w:highlight w:val="none"/>
        </w:rPr>
        <w:t>若有差异，应在“偏离说明”栏填写“正偏离”或“负偏离”，同时填写正偏离或负偏离的详细内容，在“备注”栏注明该条款在投标文件中的页码号；对未在本表中填写出差异的条款，则视为供应商接受该内容，且对此内容无异议。</w:t>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b/>
          <w:color w:val="auto"/>
          <w:sz w:val="21"/>
          <w:szCs w:val="21"/>
          <w:highlight w:val="none"/>
        </w:rPr>
        <w:t>招标文件第三篇“项目商务要求”和第六篇“合同格式”中标注（*）的条款为不可偏离条款</w:t>
      </w:r>
      <w:r>
        <w:rPr>
          <w:rFonts w:hint="eastAsia" w:asciiTheme="minorEastAsia" w:hAnsiTheme="minorEastAsia" w:eastAsiaTheme="minorEastAsia" w:cstheme="minorEastAsia"/>
          <w:color w:val="auto"/>
          <w:sz w:val="21"/>
          <w:szCs w:val="21"/>
          <w:highlight w:val="none"/>
        </w:rPr>
        <w:t>。</w:t>
      </w:r>
      <w:bookmarkEnd w:id="139"/>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3、该表可扩展，可横排，并逐页签字或盖章。</w:t>
      </w:r>
    </w:p>
    <w:p>
      <w:pPr>
        <w:pStyle w:val="2"/>
        <w:spacing w:line="360" w:lineRule="auto"/>
        <w:ind w:left="0"/>
        <w:rPr>
          <w:rFonts w:asciiTheme="minorEastAsia" w:hAnsiTheme="minorEastAsia" w:eastAsiaTheme="minorEastAsia" w:cstheme="minorEastAsia"/>
          <w:b w:val="0"/>
          <w:color w:val="auto"/>
          <w:highlight w:val="none"/>
        </w:rPr>
      </w:pPr>
      <w:bookmarkStart w:id="140" w:name="_Toc465269286"/>
      <w:r>
        <w:rPr>
          <w:rFonts w:hint="eastAsia" w:asciiTheme="minorEastAsia" w:hAnsiTheme="minorEastAsia" w:eastAsiaTheme="minorEastAsia" w:cstheme="minorEastAsia"/>
          <w:b w:val="0"/>
          <w:color w:val="auto"/>
          <w:highlight w:val="none"/>
        </w:rPr>
        <w:t>十、售后服务承诺书格式</w:t>
      </w:r>
      <w:bookmarkEnd w:id="140"/>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售后服务承诺书</w:t>
      </w:r>
    </w:p>
    <w:p>
      <w:pPr>
        <w:spacing w:line="360" w:lineRule="auto"/>
        <w:jc w:val="center"/>
        <w:rPr>
          <w:rFonts w:asciiTheme="minorEastAsia" w:hAnsiTheme="minorEastAsia" w:eastAsiaTheme="minorEastAsia" w:cstheme="minorEastAsia"/>
          <w:color w:val="auto"/>
          <w:sz w:val="44"/>
          <w:szCs w:val="44"/>
          <w:highlight w:val="none"/>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trPr>
        <w:tc>
          <w:tcPr>
            <w:tcW w:w="534" w:type="dxa"/>
            <w:vAlign w:val="center"/>
          </w:tcPr>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售</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后</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服</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务</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内</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容</w:t>
            </w:r>
          </w:p>
        </w:tc>
        <w:tc>
          <w:tcPr>
            <w:tcW w:w="9206" w:type="dxa"/>
          </w:tcPr>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1.免费保修年限：</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2.售后服务提供商：</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3.售后服务机构技术人员情况与体系： </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4.服务响应及到达现场服务时间与服务内容： （可另页）</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5.培训方案：（包括培训人次，培训地点等内容，可另页）</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6.本产品专用试剂的优惠供给计划：</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7.其它服务承诺： （可另页）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可</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提</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的</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优</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惠</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条</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件</w:t>
            </w:r>
          </w:p>
        </w:tc>
        <w:tc>
          <w:tcPr>
            <w:tcW w:w="9206" w:type="dxa"/>
          </w:tcPr>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1.保修期满后第一年的维保收费标准：</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2.保修期满后第二年的维保收费标准：</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3.保修期满后第三年的维保收费标准：</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4.保修期满后如不购年保，维修保养人工收费标准与计价方式：</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5.本产品的易损易耗件包括：</w:t>
            </w:r>
          </w:p>
          <w:p>
            <w:pPr>
              <w:spacing w:line="360" w:lineRule="auto"/>
              <w:ind w:firstLine="330" w:firstLineChars="15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它们的正常使用寿命分别为 ：</w:t>
            </w:r>
          </w:p>
          <w:p>
            <w:pPr>
              <w:spacing w:line="360" w:lineRule="auto"/>
              <w:ind w:firstLine="330" w:firstLineChars="15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更换时的优惠价格：</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6.制造厂商在中国大陆设置投标设备所用的备件库情况：</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7．保修期外的其它优惠：</w:t>
            </w:r>
          </w:p>
        </w:tc>
      </w:tr>
    </w:tbl>
    <w:p>
      <w:pPr>
        <w:spacing w:line="46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（注：</w:t>
      </w:r>
      <w:r>
        <w:rPr>
          <w:rFonts w:hint="eastAsia" w:asciiTheme="minorEastAsia" w:hAnsiTheme="minorEastAsia" w:eastAsiaTheme="minorEastAsia" w:cstheme="minorEastAsia"/>
          <w:b/>
          <w:color w:val="auto"/>
          <w:sz w:val="22"/>
          <w:szCs w:val="22"/>
          <w:highlight w:val="none"/>
        </w:rPr>
        <w:t>售后服务承诺书必须按照上述格式填写，厂商特定售后服务可紧附其后</w:t>
      </w:r>
      <w:r>
        <w:rPr>
          <w:rFonts w:hint="eastAsia" w:asciiTheme="minorEastAsia" w:hAnsiTheme="minorEastAsia" w:eastAsiaTheme="minorEastAsia" w:cstheme="minorEastAsia"/>
          <w:color w:val="auto"/>
          <w:sz w:val="22"/>
          <w:szCs w:val="22"/>
          <w:highlight w:val="none"/>
        </w:rPr>
        <w:t>）</w:t>
      </w:r>
    </w:p>
    <w:p>
      <w:pPr>
        <w:spacing w:line="46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投标人授权代表签字：日期：</w:t>
      </w:r>
    </w:p>
    <w:p>
      <w:pPr>
        <w:spacing w:line="46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（投标人公章）</w:t>
      </w:r>
    </w:p>
    <w:p>
      <w:pPr>
        <w:spacing w:line="46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授权代表移动电话：</w:t>
      </w:r>
    </w:p>
    <w:p>
      <w:pPr>
        <w:spacing w:line="420" w:lineRule="exact"/>
        <w:rPr>
          <w:rFonts w:asciiTheme="minorEastAsia" w:hAnsiTheme="minorEastAsia" w:eastAsiaTheme="minorEastAsia" w:cstheme="minorEastAsia"/>
          <w:color w:val="auto"/>
          <w:sz w:val="22"/>
          <w:szCs w:val="22"/>
          <w:highlight w:val="none"/>
        </w:rPr>
      </w:pPr>
    </w:p>
    <w:p>
      <w:pPr>
        <w:spacing w:line="42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color w:val="auto"/>
          <w:sz w:val="22"/>
          <w:szCs w:val="22"/>
          <w:highlight w:val="none"/>
        </w:rPr>
        <w:t>说明</w:t>
      </w:r>
      <w:r>
        <w:rPr>
          <w:rFonts w:hint="eastAsia" w:asciiTheme="minorEastAsia" w:hAnsiTheme="minorEastAsia" w:eastAsiaTheme="minorEastAsia" w:cstheme="minorEastAsia"/>
          <w:color w:val="auto"/>
          <w:sz w:val="22"/>
          <w:szCs w:val="22"/>
          <w:highlight w:val="none"/>
        </w:rPr>
        <w:t>：供应商的售后服务承诺书必须对表格内容作出相应承诺，包括但不限于以上内容。</w:t>
      </w:r>
      <w:bookmarkStart w:id="141" w:name="_Toc465269287"/>
    </w:p>
    <w:p>
      <w:pPr>
        <w:pStyle w:val="7"/>
        <w:rPr>
          <w:rFonts w:asciiTheme="minorEastAsia" w:hAnsiTheme="minorEastAsia" w:eastAsiaTheme="minorEastAsia" w:cstheme="minorEastAsia"/>
          <w:color w:val="auto"/>
          <w:sz w:val="22"/>
          <w:szCs w:val="22"/>
          <w:highlight w:val="none"/>
        </w:rPr>
      </w:pPr>
    </w:p>
    <w:p>
      <w:pPr>
        <w:rPr>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十一、法定代表人（单位负责人）身份证明格式</w:t>
      </w:r>
      <w:bookmarkEnd w:id="141"/>
    </w:p>
    <w:p>
      <w:pPr>
        <w:spacing w:line="360" w:lineRule="auto"/>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法定代表人（单位负责人）身份证明</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投标人名称：</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单位性质：</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成立时间：          年    月   日</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经营期限：</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姓名：           性别：           年龄：           职务：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系                        （投标人名称）的法定代表人（单位负责人）。</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特此证明。</w:t>
      </w:r>
    </w:p>
    <w:p>
      <w:pPr>
        <w:spacing w:line="360" w:lineRule="auto"/>
        <w:rPr>
          <w:rFonts w:asciiTheme="minorEastAsia" w:hAnsiTheme="minorEastAsia" w:eastAsiaTheme="minorEastAsia" w:cstheme="minorEastAsia"/>
          <w:color w:val="auto"/>
          <w:highlight w:val="none"/>
        </w:rPr>
      </w:pPr>
    </w:p>
    <w:p>
      <w:pPr>
        <w:spacing w:line="360" w:lineRule="auto"/>
        <w:jc w:val="righ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                 （盖单位章）</w:t>
      </w:r>
    </w:p>
    <w:p>
      <w:pPr>
        <w:spacing w:line="360" w:lineRule="auto"/>
        <w:jc w:val="right"/>
        <w:rPr>
          <w:rFonts w:asciiTheme="minorEastAsia" w:hAnsiTheme="minorEastAsia" w:eastAsiaTheme="minorEastAsia" w:cstheme="minorEastAsia"/>
          <w:color w:val="auto"/>
          <w:highlight w:val="none"/>
        </w:rPr>
      </w:pPr>
    </w:p>
    <w:p>
      <w:pPr>
        <w:spacing w:line="360" w:lineRule="auto"/>
        <w:ind w:right="560" w:firstLine="5160" w:firstLineChars="2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年    月   日</w:t>
      </w:r>
    </w:p>
    <w:p>
      <w:pPr>
        <w:spacing w:line="360" w:lineRule="auto"/>
        <w:ind w:right="560"/>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注：此处所述“法定代表人（单位负责人）”须与投标人“营业执照”上的内容一致。</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[附：法定代表人（单位负责人）身份证正反面复印件]</w:t>
      </w:r>
    </w:p>
    <w:p>
      <w:pPr>
        <w:pStyle w:val="7"/>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bookmarkStart w:id="142" w:name="_Toc465269288"/>
      <w:r>
        <w:rPr>
          <w:rFonts w:hint="eastAsia" w:asciiTheme="minorEastAsia" w:hAnsiTheme="minorEastAsia" w:eastAsiaTheme="minorEastAsia" w:cstheme="minorEastAsia"/>
          <w:b w:val="0"/>
          <w:color w:val="auto"/>
          <w:highlight w:val="none"/>
        </w:rPr>
        <w:t>十二、法定代表人（单位负责人）授权书格式</w:t>
      </w:r>
      <w:bookmarkEnd w:id="142"/>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法定代表人（单位负责人）授权书</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致：西南大学</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（投标人全称）</w:t>
      </w:r>
      <w:r>
        <w:rPr>
          <w:rFonts w:hint="eastAsia" w:asciiTheme="minorEastAsia" w:hAnsiTheme="minorEastAsia" w:eastAsiaTheme="minorEastAsia" w:cstheme="minorEastAsia"/>
          <w:color w:val="auto"/>
          <w:highlight w:val="none"/>
        </w:rPr>
        <w:t xml:space="preserve">的法定代表人（单位负责人） </w:t>
      </w:r>
      <w:r>
        <w:rPr>
          <w:rFonts w:hint="eastAsia" w:asciiTheme="minorEastAsia" w:hAnsiTheme="minorEastAsia" w:eastAsiaTheme="minorEastAsia" w:cstheme="minorEastAsia"/>
          <w:color w:val="auto"/>
          <w:highlight w:val="none"/>
          <w:u w:val="single"/>
        </w:rPr>
        <w:t>（姓名、职务）</w:t>
      </w:r>
      <w:r>
        <w:rPr>
          <w:rFonts w:hint="eastAsia" w:asciiTheme="minorEastAsia" w:hAnsiTheme="minorEastAsia" w:eastAsiaTheme="minorEastAsia" w:cstheme="minorEastAsia"/>
          <w:color w:val="auto"/>
          <w:highlight w:val="none"/>
        </w:rPr>
        <w:t>现授权本单位职工</w:t>
      </w:r>
      <w:r>
        <w:rPr>
          <w:rFonts w:hint="eastAsia" w:asciiTheme="minorEastAsia" w:hAnsiTheme="minorEastAsia" w:eastAsiaTheme="minorEastAsia" w:cstheme="minorEastAsia"/>
          <w:color w:val="auto"/>
          <w:highlight w:val="none"/>
          <w:u w:val="single"/>
        </w:rPr>
        <w:t>（投标代表姓名）</w:t>
      </w:r>
      <w:r>
        <w:rPr>
          <w:rFonts w:hint="eastAsia" w:asciiTheme="minorEastAsia" w:hAnsiTheme="minorEastAsia" w:eastAsiaTheme="minorEastAsia" w:cstheme="minorEastAsia"/>
          <w:color w:val="auto"/>
          <w:highlight w:val="none"/>
        </w:rPr>
        <w:t>为投标代表，代表本公司参加贵单位组织的</w:t>
      </w:r>
      <w:r>
        <w:rPr>
          <w:rFonts w:hint="eastAsia" w:asciiTheme="minorEastAsia" w:hAnsiTheme="minorEastAsia" w:eastAsiaTheme="minorEastAsia" w:cstheme="minorEastAsia"/>
          <w:color w:val="auto"/>
          <w:highlight w:val="none"/>
          <w:u w:val="single"/>
        </w:rPr>
        <w:t xml:space="preserve">         项</w:t>
      </w:r>
      <w:r>
        <w:rPr>
          <w:rFonts w:hint="eastAsia" w:asciiTheme="minorEastAsia" w:hAnsiTheme="minorEastAsia" w:eastAsiaTheme="minorEastAsia" w:cstheme="minorEastAsia"/>
          <w:color w:val="auto"/>
          <w:highlight w:val="none"/>
        </w:rPr>
        <w:t>目（招标编号：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特此授权！本授权书自出具之日起生效。</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（盖单位章）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法定代表人（单位负责人）姓名：</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（签字）</w:t>
      </w:r>
    </w:p>
    <w:p>
      <w:pPr>
        <w:spacing w:line="360" w:lineRule="auto"/>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法定代表人（单位负责人）身份证号码：</w:t>
      </w:r>
      <w:r>
        <w:rPr>
          <w:rFonts w:hint="eastAsia" w:asciiTheme="minorEastAsia" w:hAnsiTheme="minorEastAsia" w:eastAsiaTheme="minorEastAsia" w:cstheme="minorEastAsia"/>
          <w:color w:val="auto"/>
          <w:highlight w:val="none"/>
          <w:u w:val="single"/>
        </w:rPr>
        <w:t xml:space="preserve">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被授权人姓名：</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（签字）</w:t>
      </w:r>
    </w:p>
    <w:p>
      <w:pPr>
        <w:spacing w:line="360" w:lineRule="auto"/>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被授权人身份证号码：</w:t>
      </w:r>
      <w:r>
        <w:rPr>
          <w:rFonts w:hint="eastAsia" w:asciiTheme="minorEastAsia" w:hAnsiTheme="minorEastAsia" w:eastAsiaTheme="minorEastAsia" w:cstheme="minorEastAsia"/>
          <w:color w:val="auto"/>
          <w:highlight w:val="none"/>
          <w:u w:val="single"/>
        </w:rPr>
        <w:t xml:space="preserve">                          </w:t>
      </w:r>
    </w:p>
    <w:p>
      <w:pPr>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日</w:t>
      </w:r>
    </w:p>
    <w:p>
      <w:pPr>
        <w:spacing w:line="360" w:lineRule="auto"/>
        <w:ind w:firstLine="1200" w:firstLineChars="500"/>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附：法定代表人（单位负责人）和被授权人身份证件</w:t>
      </w: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0"/>
        <w:gridCol w:w="4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trPr>
        <w:tc>
          <w:tcPr>
            <w:tcW w:w="4870"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法定代表人（（单位负责人）</w:t>
            </w:r>
          </w:p>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身份证粘贴处</w:t>
            </w:r>
          </w:p>
        </w:tc>
        <w:tc>
          <w:tcPr>
            <w:tcW w:w="4870"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被授权人身份证件粘贴处</w:t>
            </w:r>
          </w:p>
        </w:tc>
      </w:tr>
    </w:tbl>
    <w:p>
      <w:pPr>
        <w:pStyle w:val="2"/>
        <w:spacing w:line="360" w:lineRule="auto"/>
        <w:rPr>
          <w:rFonts w:asciiTheme="minorEastAsia" w:hAnsiTheme="minorEastAsia" w:eastAsiaTheme="minorEastAsia" w:cstheme="minorEastAsia"/>
          <w:b w:val="0"/>
          <w:color w:val="auto"/>
          <w:highlight w:val="none"/>
        </w:rPr>
      </w:pPr>
      <w:bookmarkStart w:id="143" w:name="_Toc465269289"/>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十三、关于资格的声明函格式</w:t>
      </w:r>
      <w:bookmarkEnd w:id="143"/>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关于资格的声明函</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西南大学</w:t>
      </w:r>
      <w:r>
        <w:rPr>
          <w:rFonts w:hint="eastAsia" w:asciiTheme="minorEastAsia" w:hAnsiTheme="minorEastAsia" w:eastAsiaTheme="minorEastAsia" w:cstheme="minorEastAsia"/>
          <w:color w:val="auto"/>
          <w:highlight w:val="none"/>
        </w:rPr>
        <w:t>：</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关于贵方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日第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（招标编号）投标邀请，本签字人</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愿意参加投标，提供招标文件“项目技术规格、数量及质量要求”中规定的</w:t>
      </w:r>
      <w:r>
        <w:rPr>
          <w:rFonts w:hint="eastAsia" w:asciiTheme="minorEastAsia" w:hAnsiTheme="minorEastAsia" w:eastAsiaTheme="minorEastAsia" w:cstheme="minorEastAsia"/>
          <w:color w:val="auto"/>
          <w:highlight w:val="none"/>
          <w:u w:val="single"/>
        </w:rPr>
        <w:t>（货物名称）</w:t>
      </w:r>
      <w:r>
        <w:rPr>
          <w:rFonts w:hint="eastAsia" w:asciiTheme="minorEastAsia" w:hAnsiTheme="minorEastAsia" w:eastAsiaTheme="minorEastAsia" w:cstheme="minorEastAsia"/>
          <w:color w:val="auto"/>
          <w:highlight w:val="none"/>
        </w:rPr>
        <w:t>，并证明提交的下列文件和说明是准确的和真实的。</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1.本签字人确认资格文件中的说明以及投标文件中所有提交的文件和材料是真实的、准确的。</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2.我方的资格声明随投标文件一同递交。</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投标人（全称并加盖公章）：</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 址：</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 编：</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 话/传真：</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投标人代表签字：</w:t>
      </w:r>
    </w:p>
    <w:p>
      <w:pPr>
        <w:spacing w:line="360" w:lineRule="auto"/>
        <w:rPr>
          <w:rFonts w:asciiTheme="minorEastAsia" w:hAnsiTheme="minorEastAsia" w:eastAsiaTheme="minorEastAsia" w:cstheme="minorEastAsia"/>
          <w:color w:val="auto"/>
          <w:sz w:val="20"/>
          <w:szCs w:val="20"/>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sz w:val="20"/>
          <w:szCs w:val="20"/>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2"/>
        <w:spacing w:line="360" w:lineRule="auto"/>
        <w:ind w:left="0"/>
        <w:rPr>
          <w:rFonts w:asciiTheme="minorEastAsia" w:hAnsiTheme="minorEastAsia" w:eastAsiaTheme="minorEastAsia" w:cstheme="minorEastAsia"/>
          <w:b w:val="0"/>
          <w:color w:val="auto"/>
          <w:highlight w:val="none"/>
        </w:rPr>
      </w:pPr>
      <w:bookmarkStart w:id="144" w:name="_Toc465269290"/>
      <w:r>
        <w:rPr>
          <w:rFonts w:hint="eastAsia" w:asciiTheme="minorEastAsia" w:hAnsiTheme="minorEastAsia" w:eastAsiaTheme="minorEastAsia" w:cstheme="minorEastAsia"/>
          <w:b w:val="0"/>
          <w:color w:val="auto"/>
          <w:highlight w:val="none"/>
        </w:rPr>
        <w:t>十四、投标人的资格声明格式</w:t>
      </w:r>
      <w:bookmarkEnd w:id="144"/>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投标人的资格声明</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1．投标人概况：</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Ａ．投标人名称：</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Ｂ．注册地址：</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Ｃ．成立或注册日期：</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Ｄ．法定代表人： （姓名、职务）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实收资本：</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其中 国家资本： 法人资本：</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个人资本： 外商资本：</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Ｅ．最近资产负债表（到    年   月  日为止）。</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(1)固定资产合计: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(2)流动资产合计: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(3)长期负债合计: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(4)流动负债合计:</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Ｆ．最近损益表（到    年    月    日为止）。</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(1)本年（期）利润总额累计：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(2)本年（期）净利润累计：</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2．我方在此声明，我方具备并满足下列各项条款的规定。本声明如有虚假或不实之处，我方将失去合格投标人资格并愿意接受相应处理。</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（1）具有独立承担民事责任的能力；</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（2）具有良好的商业信誉和健全的财务会计制度；</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（3）具有履行合同所必需的货物和专业技术能力；</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（4）有依法缴纳税收和社会保障资金的良好记录；</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（5）近三年内，在经营活动中没有重大违法记录。</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（6）我方未列入在信用中国网站（www.creditchina.gov.cn）“失信被执行人”、“重大税收违法失信主体”中，也未列入中国政府采购网（www.ccgp.gov.cn）“政府采购严重违法失信行为记录名单”中。</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3．我方在采购项目评审（评标）环节结束后，随时接受采购人、采购组织机构、采购代理机构的检查验证，配合提供相关证明材料，证明我方符合《中华人民共和国政府采购法》规定的投标人基本资格条件。</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4．投标货物近三年以来的主要用户的情况（另见附表） </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5．法人营业执照、税务登记证和组织机构代码证见以下附件。</w:t>
      </w:r>
    </w:p>
    <w:p>
      <w:pPr>
        <w:spacing w:line="360" w:lineRule="exact"/>
        <w:ind w:firstLine="480"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rPr>
        <w:t>6．制造商或授权方出具的授权函等招标文件中要求提供的其他资格证明文件见以下附件。</w:t>
      </w: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就我方全部所知，兹证明上述声明是真实、正确的， 并已提供了全部现有资料和数据，我方同意根据贵方要求出示文件予以证实。</w:t>
      </w:r>
    </w:p>
    <w:p>
      <w:pPr>
        <w:spacing w:line="700" w:lineRule="exact"/>
        <w:rPr>
          <w:rFonts w:asciiTheme="minorEastAsia" w:hAnsiTheme="minorEastAsia" w:eastAsiaTheme="minorEastAsia" w:cstheme="minorEastAsia"/>
          <w:color w:val="auto"/>
          <w:highlight w:val="none"/>
        </w:rPr>
      </w:pPr>
    </w:p>
    <w:p>
      <w:pPr>
        <w:spacing w:line="7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投标人（全称并加盖公章）：</w:t>
      </w:r>
    </w:p>
    <w:p>
      <w:pPr>
        <w:spacing w:line="7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投标代表签字：</w:t>
      </w:r>
    </w:p>
    <w:p>
      <w:pPr>
        <w:spacing w:line="7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    年   月   日</w:t>
      </w: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bookmarkStart w:id="145" w:name="_Toc465269292"/>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十五、单位营业执照等资格证明文件格式</w:t>
      </w:r>
      <w:bookmarkEnd w:id="145"/>
    </w:p>
    <w:p>
      <w:pPr>
        <w:spacing w:line="360" w:lineRule="auto"/>
        <w:jc w:val="both"/>
        <w:rPr>
          <w:rFonts w:asciiTheme="minorEastAsia" w:hAnsiTheme="minorEastAsia" w:eastAsiaTheme="minorEastAsia" w:cstheme="minorEastAsia"/>
          <w:color w:val="auto"/>
          <w:sz w:val="40"/>
          <w:szCs w:val="40"/>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单位营业执照等资格证明文件</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致：西南大学</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 ******（签发机关名称）签发的我方法人（或其他组织）营业执照副本复印件，该执照已经年检，真实有效。</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现附上由******（签发机关名称）签发的我方税务登记证副本复印件，该证件已经年检，真实有效。</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现附上由******（签发机关名称）签发的我方组织机构代码证副本复印件，该证件已经年检，真实有效。</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现附上由******（签发机关名称）签发的我方证件副本复印件，该证件已经年检，真实有效。</w:t>
      </w:r>
    </w:p>
    <w:p>
      <w:pPr>
        <w:spacing w:line="360" w:lineRule="auto"/>
        <w:ind w:firstLine="480" w:firstLineChars="200"/>
        <w:rPr>
          <w:rFonts w:asciiTheme="minorEastAsia" w:hAnsiTheme="minorEastAsia" w:eastAsiaTheme="minorEastAsia" w:cstheme="minorEastAsia"/>
          <w:color w:val="auto"/>
          <w:highlight w:val="none"/>
        </w:rPr>
      </w:pPr>
    </w:p>
    <w:p>
      <w:pPr>
        <w:spacing w:line="4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[注：法人（或其他组织）营业执照、税务登记证、组织机构代码证等相关证明需复印包括能说明经年检合格的内容，并加盖公章，复印件必须</w:t>
      </w:r>
      <w:r>
        <w:rPr>
          <w:rFonts w:hint="eastAsia" w:asciiTheme="minorEastAsia" w:hAnsiTheme="minorEastAsia" w:eastAsiaTheme="minorEastAsia" w:cstheme="minorEastAsia"/>
          <w:b/>
          <w:color w:val="auto"/>
          <w:highlight w:val="none"/>
        </w:rPr>
        <w:t>与原件一致</w:t>
      </w:r>
      <w:r>
        <w:rPr>
          <w:rFonts w:hint="eastAsia" w:asciiTheme="minorEastAsia" w:hAnsiTheme="minorEastAsia" w:eastAsiaTheme="minorEastAsia" w:cstheme="minorEastAsia"/>
          <w:color w:val="auto"/>
          <w:highlight w:val="none"/>
        </w:rPr>
        <w:t>]。</w:t>
      </w:r>
    </w:p>
    <w:p>
      <w:pPr>
        <w:spacing w:line="360" w:lineRule="auto"/>
        <w:ind w:firstLine="480" w:firstLineChars="200"/>
        <w:rPr>
          <w:rFonts w:asciiTheme="minorEastAsia" w:hAnsiTheme="minorEastAsia" w:eastAsiaTheme="minorEastAsia" w:cstheme="minorEastAsia"/>
          <w:color w:val="auto"/>
          <w:highlight w:val="none"/>
        </w:rPr>
      </w:pPr>
    </w:p>
    <w:p>
      <w:pPr>
        <w:spacing w:line="7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 标 人（全称并加盖公章）：</w:t>
      </w:r>
    </w:p>
    <w:p>
      <w:pPr>
        <w:spacing w:line="7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投标代表签字：</w:t>
      </w:r>
    </w:p>
    <w:p>
      <w:pPr>
        <w:spacing w:line="7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pStyle w:val="7"/>
        <w:rPr>
          <w:rFonts w:asciiTheme="minorEastAsia" w:hAnsiTheme="minorEastAsia" w:eastAsiaTheme="minorEastAsia" w:cstheme="minorEastAsia"/>
          <w:color w:val="auto"/>
          <w:sz w:val="28"/>
          <w:szCs w:val="28"/>
          <w:highlight w:val="none"/>
        </w:rPr>
      </w:pPr>
    </w:p>
    <w:p>
      <w:pPr>
        <w:rPr>
          <w:rFonts w:asciiTheme="minorEastAsia" w:hAnsiTheme="minorEastAsia" w:eastAsiaTheme="minorEastAsia" w:cstheme="minorEastAsia"/>
          <w:color w:val="auto"/>
          <w:sz w:val="28"/>
          <w:szCs w:val="28"/>
          <w:highlight w:val="none"/>
        </w:rPr>
      </w:pPr>
    </w:p>
    <w:p>
      <w:pPr>
        <w:pStyle w:val="7"/>
        <w:rPr>
          <w:rFonts w:asciiTheme="minorEastAsia" w:hAnsiTheme="minorEastAsia" w:eastAsiaTheme="minorEastAsia" w:cstheme="minorEastAsia"/>
          <w:color w:val="auto"/>
          <w:sz w:val="28"/>
          <w:szCs w:val="28"/>
          <w:highlight w:val="none"/>
        </w:rPr>
      </w:pPr>
    </w:p>
    <w:p>
      <w:pPr>
        <w:rPr>
          <w:rFonts w:asciiTheme="minorEastAsia" w:hAnsiTheme="minorEastAsia" w:eastAsiaTheme="minorEastAsia" w:cstheme="minorEastAsia"/>
          <w:color w:val="auto"/>
          <w:sz w:val="28"/>
          <w:szCs w:val="28"/>
          <w:highlight w:val="none"/>
        </w:rPr>
      </w:pPr>
    </w:p>
    <w:p>
      <w:pPr>
        <w:pStyle w:val="2"/>
        <w:spacing w:line="360" w:lineRule="auto"/>
        <w:ind w:left="0"/>
        <w:rPr>
          <w:rFonts w:asciiTheme="minorEastAsia" w:hAnsiTheme="minorEastAsia" w:eastAsiaTheme="minorEastAsia" w:cstheme="minorEastAsia"/>
          <w:b w:val="0"/>
          <w:color w:val="auto"/>
          <w:highlight w:val="none"/>
        </w:rPr>
      </w:pPr>
      <w:bookmarkStart w:id="146" w:name="_Toc465269293"/>
      <w:r>
        <w:rPr>
          <w:rFonts w:hint="eastAsia" w:asciiTheme="minorEastAsia" w:hAnsiTheme="minorEastAsia" w:eastAsiaTheme="minorEastAsia" w:cstheme="minorEastAsia"/>
          <w:b w:val="0"/>
          <w:color w:val="auto"/>
          <w:highlight w:val="none"/>
        </w:rPr>
        <w:t>十</w:t>
      </w:r>
      <w:r>
        <w:rPr>
          <w:rFonts w:hint="eastAsia" w:asciiTheme="minorEastAsia" w:hAnsiTheme="minorEastAsia" w:eastAsiaTheme="minorEastAsia" w:cstheme="minorEastAsia"/>
          <w:b w:val="0"/>
          <w:color w:val="auto"/>
          <w:highlight w:val="none"/>
          <w:lang w:eastAsia="zh-CN"/>
        </w:rPr>
        <w:t>六</w:t>
      </w:r>
      <w:r>
        <w:rPr>
          <w:rFonts w:hint="eastAsia" w:asciiTheme="minorEastAsia" w:hAnsiTheme="minorEastAsia" w:eastAsiaTheme="minorEastAsia" w:cstheme="minorEastAsia"/>
          <w:b w:val="0"/>
          <w:color w:val="auto"/>
          <w:highlight w:val="none"/>
        </w:rPr>
        <w:t>、制造厂商出具的授权函格式</w:t>
      </w:r>
      <w:bookmarkEnd w:id="146"/>
    </w:p>
    <w:p>
      <w:pPr>
        <w:spacing w:line="360" w:lineRule="auto"/>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制造厂商出具的授权函</w:t>
      </w:r>
    </w:p>
    <w:p>
      <w:pPr>
        <w:spacing w:line="360" w:lineRule="auto"/>
        <w:jc w:val="center"/>
        <w:rPr>
          <w:rFonts w:asciiTheme="minorEastAsia" w:hAnsiTheme="minorEastAsia" w:eastAsiaTheme="minorEastAsia" w:cstheme="minorEastAsia"/>
          <w:color w:val="auto"/>
          <w:sz w:val="21"/>
          <w:szCs w:val="21"/>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致：西南大学</w:t>
      </w:r>
    </w:p>
    <w:p>
      <w:pPr>
        <w:spacing w:line="360" w:lineRule="auto"/>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我们</w:t>
      </w:r>
      <w:r>
        <w:rPr>
          <w:rFonts w:hint="eastAsia" w:asciiTheme="minorEastAsia" w:hAnsiTheme="minorEastAsia" w:eastAsiaTheme="minorEastAsia" w:cstheme="minorEastAsia"/>
          <w:color w:val="auto"/>
          <w:sz w:val="22"/>
          <w:szCs w:val="22"/>
          <w:highlight w:val="none"/>
          <w:u w:val="single"/>
        </w:rPr>
        <w:t>（ 制造厂商名称）</w:t>
      </w:r>
      <w:r>
        <w:rPr>
          <w:rFonts w:hint="eastAsia" w:asciiTheme="minorEastAsia" w:hAnsiTheme="minorEastAsia" w:eastAsiaTheme="minorEastAsia" w:cstheme="minorEastAsia"/>
          <w:color w:val="auto"/>
          <w:sz w:val="22"/>
          <w:szCs w:val="22"/>
          <w:highlight w:val="none"/>
        </w:rPr>
        <w:t>是按</w:t>
      </w:r>
      <w:r>
        <w:rPr>
          <w:rFonts w:hint="eastAsia" w:asciiTheme="minorEastAsia" w:hAnsiTheme="minorEastAsia" w:eastAsiaTheme="minorEastAsia" w:cstheme="minorEastAsia"/>
          <w:color w:val="auto"/>
          <w:sz w:val="22"/>
          <w:szCs w:val="22"/>
          <w:highlight w:val="none"/>
          <w:u w:val="single"/>
        </w:rPr>
        <w:t xml:space="preserve"> （ 国家名称 ）</w:t>
      </w:r>
      <w:r>
        <w:rPr>
          <w:rFonts w:hint="eastAsia" w:asciiTheme="minorEastAsia" w:hAnsiTheme="minorEastAsia" w:eastAsiaTheme="minorEastAsia" w:cstheme="minorEastAsia"/>
          <w:color w:val="auto"/>
          <w:sz w:val="22"/>
          <w:szCs w:val="22"/>
          <w:highlight w:val="none"/>
        </w:rPr>
        <w:t>法律成立的一家制造商，主要营业地点设在</w:t>
      </w:r>
      <w:r>
        <w:rPr>
          <w:rFonts w:hint="eastAsia" w:asciiTheme="minorEastAsia" w:hAnsiTheme="minorEastAsia" w:eastAsiaTheme="minorEastAsia" w:cstheme="minorEastAsia"/>
          <w:color w:val="auto"/>
          <w:sz w:val="22"/>
          <w:szCs w:val="22"/>
          <w:highlight w:val="none"/>
          <w:u w:val="single"/>
        </w:rPr>
        <w:t>（ 制造厂商地址 ）</w:t>
      </w:r>
      <w:r>
        <w:rPr>
          <w:rFonts w:hint="eastAsia" w:asciiTheme="minorEastAsia" w:hAnsiTheme="minorEastAsia" w:eastAsiaTheme="minorEastAsia" w:cstheme="minorEastAsia"/>
          <w:color w:val="auto"/>
          <w:sz w:val="22"/>
          <w:szCs w:val="22"/>
          <w:highlight w:val="none"/>
        </w:rPr>
        <w:t>。兹指派按</w:t>
      </w:r>
      <w:r>
        <w:rPr>
          <w:rFonts w:hint="eastAsia" w:asciiTheme="minorEastAsia" w:hAnsiTheme="minorEastAsia" w:eastAsiaTheme="minorEastAsia" w:cstheme="minorEastAsia"/>
          <w:color w:val="auto"/>
          <w:sz w:val="22"/>
          <w:szCs w:val="22"/>
          <w:highlight w:val="none"/>
          <w:u w:val="single"/>
        </w:rPr>
        <w:t>（国家名称）</w:t>
      </w:r>
      <w:r>
        <w:rPr>
          <w:rFonts w:hint="eastAsia" w:asciiTheme="minorEastAsia" w:hAnsiTheme="minorEastAsia" w:eastAsiaTheme="minorEastAsia" w:cstheme="minorEastAsia"/>
          <w:color w:val="auto"/>
          <w:sz w:val="22"/>
          <w:szCs w:val="22"/>
          <w:highlight w:val="none"/>
        </w:rPr>
        <w:t>的法律正式成立的，主要营业地点设在</w:t>
      </w:r>
      <w:r>
        <w:rPr>
          <w:rFonts w:hint="eastAsia" w:asciiTheme="minorEastAsia" w:hAnsiTheme="minorEastAsia" w:eastAsiaTheme="minorEastAsia" w:cstheme="minorEastAsia"/>
          <w:color w:val="auto"/>
          <w:sz w:val="22"/>
          <w:szCs w:val="22"/>
          <w:highlight w:val="none"/>
          <w:u w:val="single"/>
        </w:rPr>
        <w:t>（投标人地址）</w:t>
      </w:r>
      <w:r>
        <w:rPr>
          <w:rFonts w:hint="eastAsia" w:asciiTheme="minorEastAsia" w:hAnsiTheme="minorEastAsia" w:eastAsiaTheme="minorEastAsia" w:cstheme="minorEastAsia"/>
          <w:color w:val="auto"/>
          <w:sz w:val="22"/>
          <w:szCs w:val="22"/>
          <w:highlight w:val="none"/>
        </w:rPr>
        <w:t>的</w:t>
      </w:r>
      <w:r>
        <w:rPr>
          <w:rFonts w:hint="eastAsia" w:asciiTheme="minorEastAsia" w:hAnsiTheme="minorEastAsia" w:eastAsiaTheme="minorEastAsia" w:cstheme="minorEastAsia"/>
          <w:color w:val="auto"/>
          <w:sz w:val="22"/>
          <w:szCs w:val="22"/>
          <w:highlight w:val="none"/>
          <w:u w:val="single"/>
        </w:rPr>
        <w:t xml:space="preserve"> （投标人名称 ）</w:t>
      </w:r>
      <w:r>
        <w:rPr>
          <w:rFonts w:hint="eastAsia" w:asciiTheme="minorEastAsia" w:hAnsiTheme="minorEastAsia" w:eastAsiaTheme="minorEastAsia" w:cstheme="minorEastAsia"/>
          <w:color w:val="auto"/>
          <w:sz w:val="22"/>
          <w:szCs w:val="22"/>
          <w:highlight w:val="none"/>
        </w:rPr>
        <w:t>作为我方真正的和合法的代理人进行下列有效的活动：</w:t>
      </w:r>
    </w:p>
    <w:p>
      <w:pPr>
        <w:spacing w:line="360" w:lineRule="auto"/>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 代表我方在中华人民共和国办理贵方第</w:t>
      </w:r>
      <w:r>
        <w:rPr>
          <w:rFonts w:hint="eastAsia" w:asciiTheme="minorEastAsia" w:hAnsiTheme="minorEastAsia" w:eastAsiaTheme="minorEastAsia" w:cstheme="minorEastAsia"/>
          <w:color w:val="auto"/>
          <w:sz w:val="22"/>
          <w:szCs w:val="22"/>
          <w:highlight w:val="none"/>
          <w:u w:val="single"/>
        </w:rPr>
        <w:t xml:space="preserve"> （招标编号）</w:t>
      </w:r>
      <w:r>
        <w:rPr>
          <w:rFonts w:hint="eastAsia" w:asciiTheme="minorEastAsia" w:hAnsiTheme="minorEastAsia" w:eastAsiaTheme="minorEastAsia" w:cstheme="minorEastAsia"/>
          <w:color w:val="auto"/>
          <w:sz w:val="22"/>
          <w:szCs w:val="22"/>
          <w:highlight w:val="none"/>
        </w:rPr>
        <w:t>号投标邀请要求提供的由我方制造的货物之有关事宜，并对我方有约束力。</w:t>
      </w:r>
    </w:p>
    <w:p>
      <w:pPr>
        <w:spacing w:line="360" w:lineRule="auto"/>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 作为制造商，我方保证以投标合作者来约束自己，并对该投标共同和分别承担招标</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文件中规定的义务。</w:t>
      </w:r>
    </w:p>
    <w:p>
      <w:pPr>
        <w:spacing w:line="360" w:lineRule="auto"/>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 我方兹授予</w:t>
      </w:r>
      <w:r>
        <w:rPr>
          <w:rFonts w:hint="eastAsia" w:asciiTheme="minorEastAsia" w:hAnsiTheme="minorEastAsia" w:eastAsiaTheme="minorEastAsia" w:cstheme="minorEastAsia"/>
          <w:color w:val="auto"/>
          <w:sz w:val="22"/>
          <w:szCs w:val="22"/>
          <w:highlight w:val="none"/>
          <w:u w:val="single"/>
        </w:rPr>
        <w:t xml:space="preserve"> （投标人名称）</w:t>
      </w:r>
      <w:r>
        <w:rPr>
          <w:rFonts w:hint="eastAsia" w:asciiTheme="minorEastAsia" w:hAnsiTheme="minorEastAsia" w:eastAsiaTheme="minorEastAsia" w:cstheme="minorEastAsia"/>
          <w:color w:val="auto"/>
          <w:sz w:val="22"/>
          <w:szCs w:val="22"/>
          <w:highlight w:val="none"/>
        </w:rPr>
        <w:t xml:space="preserve"> 全权办理和履行上述我方为完成上述各点所必须的事宜，具有替换和撤销的全权。兹确认</w:t>
      </w:r>
      <w:r>
        <w:rPr>
          <w:rFonts w:hint="eastAsia" w:asciiTheme="minorEastAsia" w:hAnsiTheme="minorEastAsia" w:eastAsiaTheme="minorEastAsia" w:cstheme="minorEastAsia"/>
          <w:color w:val="auto"/>
          <w:sz w:val="22"/>
          <w:szCs w:val="22"/>
          <w:highlight w:val="none"/>
          <w:u w:val="single"/>
        </w:rPr>
        <w:t>（投标人名称）</w:t>
      </w:r>
      <w:r>
        <w:rPr>
          <w:rFonts w:hint="eastAsia" w:asciiTheme="minorEastAsia" w:hAnsiTheme="minorEastAsia" w:eastAsiaTheme="minorEastAsia" w:cstheme="minorEastAsia"/>
          <w:color w:val="auto"/>
          <w:sz w:val="22"/>
          <w:szCs w:val="22"/>
          <w:highlight w:val="none"/>
        </w:rPr>
        <w:t>或其正式授权代表依此合法地办理一切事宜。</w:t>
      </w:r>
    </w:p>
    <w:p>
      <w:pPr>
        <w:spacing w:line="360" w:lineRule="auto"/>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（4）我方于</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年</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月</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日签署本文件，</w:t>
      </w:r>
      <w:r>
        <w:rPr>
          <w:rFonts w:hint="eastAsia" w:asciiTheme="minorEastAsia" w:hAnsiTheme="minorEastAsia" w:eastAsiaTheme="minorEastAsia" w:cstheme="minorEastAsia"/>
          <w:color w:val="auto"/>
          <w:sz w:val="22"/>
          <w:szCs w:val="22"/>
          <w:highlight w:val="none"/>
          <w:u w:val="single"/>
        </w:rPr>
        <w:t>（投标人名称）</w:t>
      </w:r>
      <w:r>
        <w:rPr>
          <w:rFonts w:hint="eastAsia" w:asciiTheme="minorEastAsia" w:hAnsiTheme="minorEastAsia" w:eastAsiaTheme="minorEastAsia" w:cstheme="minorEastAsia"/>
          <w:color w:val="auto"/>
          <w:sz w:val="22"/>
          <w:szCs w:val="22"/>
          <w:highlight w:val="none"/>
        </w:rPr>
        <w:t>于</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年</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月</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日接受此件，以此为证。</w:t>
      </w:r>
    </w:p>
    <w:p>
      <w:pPr>
        <w:spacing w:line="360" w:lineRule="auto"/>
        <w:ind w:firstLine="440" w:firstLineChars="200"/>
        <w:rPr>
          <w:rFonts w:asciiTheme="minorEastAsia" w:hAnsiTheme="minorEastAsia" w:eastAsiaTheme="minorEastAsia" w:cstheme="minorEastAsia"/>
          <w:color w:val="auto"/>
          <w:sz w:val="22"/>
          <w:szCs w:val="22"/>
          <w:highlight w:val="none"/>
        </w:rPr>
      </w:pPr>
    </w:p>
    <w:p>
      <w:pPr>
        <w:spacing w:line="360" w:lineRule="auto"/>
        <w:ind w:firstLine="440" w:firstLineChars="200"/>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投标人名称：                                  出具授权书的制造厂商名称：</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（投标人印章）                                   （制造商印章）</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签字人职务和部门：                            签字人职务和部门：</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签字人姓名：                                  签字人姓名：</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移动电话：                                    移动电话：</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                                    联系电话：</w:t>
      </w:r>
    </w:p>
    <w:p>
      <w:pPr>
        <w:spacing w:line="500" w:lineRule="exact"/>
        <w:rPr>
          <w:rFonts w:asciiTheme="minorEastAsia" w:hAnsiTheme="minorEastAsia" w:eastAsiaTheme="minorEastAsia" w:cstheme="minorEastAsia"/>
          <w:color w:val="auto"/>
          <w:sz w:val="22"/>
          <w:szCs w:val="22"/>
          <w:highlight w:val="none"/>
        </w:rPr>
      </w:pPr>
    </w:p>
    <w:p>
      <w:pPr>
        <w:widowControl/>
        <w:spacing w:line="500" w:lineRule="exac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spacing w:val="-4"/>
          <w:highlight w:val="none"/>
        </w:rPr>
        <w:t>注：进口货物若非制造商参与竞标的，须提供该授权函。若由代理商对投标产品授权的，需提供代理商具有有效授权权限的相关证明文件，证明文件需能显示产品制造厂家对竞标产品授权链条的完整性。</w:t>
      </w:r>
    </w:p>
    <w:p>
      <w:pPr>
        <w:rPr>
          <w:rFonts w:asciiTheme="minorEastAsia" w:hAnsiTheme="minorEastAsia" w:eastAsiaTheme="minorEastAsia" w:cstheme="minorEastAsia"/>
          <w:color w:val="auto"/>
          <w:highlight w:val="none"/>
        </w:rPr>
      </w:pPr>
    </w:p>
    <w:p>
      <w:pPr>
        <w:pStyle w:val="2"/>
        <w:ind w:left="0"/>
        <w:rPr>
          <w:rFonts w:asciiTheme="minorEastAsia" w:hAnsiTheme="minorEastAsia" w:eastAsiaTheme="minorEastAsia" w:cstheme="minorEastAsia"/>
          <w:b w:val="0"/>
          <w:color w:val="auto"/>
          <w:highlight w:val="none"/>
        </w:rPr>
      </w:pPr>
      <w:bookmarkStart w:id="147" w:name="_Toc465269294"/>
      <w:r>
        <w:rPr>
          <w:rFonts w:hint="eastAsia" w:asciiTheme="minorEastAsia" w:hAnsiTheme="minorEastAsia" w:eastAsiaTheme="minorEastAsia" w:cstheme="minorEastAsia"/>
          <w:b w:val="0"/>
          <w:color w:val="auto"/>
          <w:highlight w:val="none"/>
        </w:rPr>
        <w:t>十</w:t>
      </w:r>
      <w:r>
        <w:rPr>
          <w:rFonts w:hint="eastAsia" w:asciiTheme="minorEastAsia" w:hAnsiTheme="minorEastAsia" w:eastAsiaTheme="minorEastAsia" w:cstheme="minorEastAsia"/>
          <w:b w:val="0"/>
          <w:color w:val="auto"/>
          <w:highlight w:val="none"/>
          <w:lang w:eastAsia="zh-CN"/>
        </w:rPr>
        <w:t>七</w:t>
      </w:r>
      <w:r>
        <w:rPr>
          <w:rFonts w:hint="eastAsia" w:asciiTheme="minorEastAsia" w:hAnsiTheme="minorEastAsia" w:eastAsiaTheme="minorEastAsia" w:cstheme="minorEastAsia"/>
          <w:b w:val="0"/>
          <w:color w:val="auto"/>
          <w:highlight w:val="none"/>
        </w:rPr>
        <w:t>、制造商资格声明</w:t>
      </w:r>
      <w:bookmarkEnd w:id="147"/>
    </w:p>
    <w:p>
      <w:pPr>
        <w:pStyle w:val="2"/>
        <w:ind w:firstLine="1200" w:firstLineChars="500"/>
        <w:jc w:val="both"/>
        <w:rPr>
          <w:rFonts w:asciiTheme="minorEastAsia" w:hAnsiTheme="minorEastAsia" w:eastAsiaTheme="minorEastAsia" w:cstheme="minorEastAsia"/>
          <w:b w:val="0"/>
          <w:color w:val="auto"/>
          <w:highlight w:val="none"/>
        </w:rPr>
      </w:pPr>
      <w:bookmarkStart w:id="148" w:name="_Toc465269295"/>
      <w:r>
        <w:rPr>
          <w:rFonts w:hint="eastAsia" w:asciiTheme="minorEastAsia" w:hAnsiTheme="minorEastAsia" w:eastAsiaTheme="minorEastAsia" w:cstheme="minorEastAsia"/>
          <w:b w:val="0"/>
          <w:color w:val="auto"/>
          <w:highlight w:val="none"/>
        </w:rPr>
        <w:t>制造商资格声明（如适用）</w:t>
      </w:r>
      <w:bookmarkEnd w:id="148"/>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1．名称及概况：</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(1)制造商名称：</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(2)总部地址：</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电传/传真/电话号码：</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(3)成立和/或注册日期：</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(4)实收资本：</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(5)近期资产负债表(到</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日止)</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①固定资产：</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②流动资产：</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③长期负债：</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④流动负债：</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⑤净值：</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(6)主要负责人姓名(可选填)：</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(7)制造商在中国的代表的姓名和地址(如有的话)：</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2．(1)关于制造投标货物的设施及其它情况</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工厂名称地址         生产的项目       年生产能力         职工人数</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u w:val="singl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(2)本制造厂不生产，而须从其它制造厂购买的主要零部件：</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制造商名称和地址                    主要零部件名称</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u w:val="singl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3．本制造商生产投标货物的经验(包括年限、项目业主、额定能力、商业运营的起始日期等)：</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4．近3年投标货物主要销售给国内、外主要客户的名称地址：</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(1)出口销售</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(名称和地址)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(销售项目)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(2)国内销售</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(名称和地址)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(销售项目)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5．近3年的年营业额：</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年份                   国内                 出口               总额</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6．易损件供应商的名称和地址：</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部件名称                   供应商</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7．最近3年直接或间接向中国提供的投标货物：</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合同编号：</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签字日期：</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项目名称：</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合同金额：</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8．有关开户银行的名称和地址：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9．制造商所属的集团公司（如有的话）：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10．其他情况：</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兹证明上述声明是真实、正确的，并提供了全部能提供的资料和数据，我们同意遵照贵方要求出示有关证明文件。</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制造商名称：</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签字人姓名和职务：</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签字人签名：</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签字日期：</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传真：</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电子邮件：</w:t>
      </w:r>
    </w:p>
    <w:p>
      <w:pPr>
        <w:pStyle w:val="2"/>
        <w:spacing w:line="360" w:lineRule="auto"/>
        <w:rPr>
          <w:rFonts w:asciiTheme="minorEastAsia" w:hAnsiTheme="minorEastAsia" w:eastAsiaTheme="minorEastAsia" w:cstheme="minorEastAsia"/>
          <w:b w:val="0"/>
          <w:color w:val="auto"/>
          <w:highlight w:val="none"/>
        </w:rPr>
      </w:pP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w:t>
      </w:r>
      <w:r>
        <w:rPr>
          <w:rFonts w:hint="eastAsia" w:asciiTheme="minorEastAsia" w:hAnsiTheme="minorEastAsia" w:eastAsiaTheme="minorEastAsia" w:cstheme="minorEastAsia"/>
          <w:color w:val="auto"/>
          <w:highlight w:val="none"/>
          <w:lang w:eastAsia="zh-CN"/>
        </w:rPr>
        <w:t>八</w:t>
      </w:r>
      <w:r>
        <w:rPr>
          <w:rFonts w:hint="eastAsia" w:asciiTheme="minorEastAsia" w:hAnsiTheme="minorEastAsia" w:eastAsiaTheme="minorEastAsia" w:cstheme="minorEastAsia"/>
          <w:color w:val="auto"/>
          <w:highlight w:val="none"/>
        </w:rPr>
        <w:t xml:space="preserve">、中小企业情况说明 </w:t>
      </w: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rPr>
        <w:t>-1中小企业声明函</w:t>
      </w:r>
    </w:p>
    <w:p>
      <w:pPr>
        <w:spacing w:line="460" w:lineRule="exact"/>
        <w:jc w:val="cente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中小企业声明函（货物）</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 xml:space="preserve"> （标的名称） </w:t>
      </w:r>
      <w:r>
        <w:rPr>
          <w:rFonts w:hint="eastAsia" w:asciiTheme="minorEastAsia" w:hAnsiTheme="minorEastAsia" w:eastAsiaTheme="minorEastAsia" w:cstheme="minorEastAsia"/>
          <w:color w:val="auto"/>
          <w:highlight w:val="none"/>
        </w:rPr>
        <w:t>，属于 （采购文件中明确的所属行业）行业 ；制造商为 （企业名称） ，从业人员____人，营业收入为____万元，资产总额为____万元，属于 （中型企业、小型企业、微型企业）____；</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（标的名称） </w:t>
      </w:r>
      <w:r>
        <w:rPr>
          <w:rFonts w:hint="eastAsia" w:asciiTheme="minorEastAsia" w:hAnsiTheme="minorEastAsia" w:eastAsiaTheme="minorEastAsia" w:cstheme="minorEastAsia"/>
          <w:color w:val="auto"/>
          <w:highlight w:val="none"/>
        </w:rPr>
        <w:t>，属于 （采购文件中明确的所属行业）行业 ；制造商为 （企业名称） ，从业人员____人，营业收入为____万元，资产总额为____万元，属于 （中型企业、小型企业、微型企业）____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企业名称（盖章）：</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bookmarkStart w:id="149" w:name="_Toc453512906"/>
      <w:bookmarkStart w:id="150" w:name="_Toc453513207"/>
      <w:bookmarkStart w:id="151" w:name="_Toc453512478"/>
      <w:bookmarkStart w:id="152" w:name="_Toc449302211"/>
      <w:r>
        <w:rPr>
          <w:rFonts w:hint="eastAsia" w:asciiTheme="minorEastAsia" w:hAnsiTheme="minorEastAsia" w:eastAsiaTheme="minorEastAsia" w:cstheme="minorEastAsia"/>
          <w:color w:val="auto"/>
          <w:highlight w:val="none"/>
        </w:rPr>
        <w:t>说明：</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1.从业人员、营业收入、资产总额填报上一年度数据，无上一年度数据的新成立企业可不填报。</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2.残疾人福利性单位（须附残疾人福利性单位声明函）、监狱企业（须附省级以上监狱管理局、戒毒管理局（含新疆生产建设兵团）出具的属于监狱企业的证明文件）视同小微企业填报本声明函。</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3.本声明函仅填写由中小微制造商（企业）提货物（标的物）的情况，如某项货物（标的物）为大型制造商（企业）提供，相关标的内容无需填写。</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投标人可根据《工业和信息化部、国家统计局、国家发展和改革委员会、财政部关于印发中小企业划型标准规定的通知》（工信部联企业[2011]300号）确定企业类型，也可通过国务院客户端或工业和信息化部网站的“中小企业规模类型自测小程序：</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http://202.106.120.146/baosong/appweb/orgScale.html”查询企业类型。</w:t>
      </w: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rPr>
        <w:t>-2、监狱企业声明函（投标文件格式）</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本企业（单位）郑重声明下列事项： </w:t>
      </w: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本企业（单位）为直接投标人提供本企业（单位）制造的货物____________。 </w:t>
      </w: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（1）本企业（单位）____ （请填写：是、不是）监狱企业。后附省级以上监狱管理局、戒毒管理局（含新疆生产建设兵团）出具的属于监狱企业的证明文件（复印件加盖公章）。 </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（2）本企业（单位）____ （请填写：是、不是）为联合体一方，提供本企业（单位）制造的货物（由本单位承担工程/提供服务）____。</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注：如不适用可注明不适用</w:t>
      </w:r>
    </w:p>
    <w:p>
      <w:pPr>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rPr>
        <w:t xml:space="preserve">-3、残疾人福利性单位声明函（投标文件格式） </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____，或者提供其他残疾人福利性单位制造的货物（不包括使用非残疾人福利性单位注册商标的货物）____。 </w:t>
      </w: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注：如不适用可注明不适用</w:t>
      </w:r>
    </w:p>
    <w:bookmarkEnd w:id="149"/>
    <w:bookmarkEnd w:id="150"/>
    <w:bookmarkEnd w:id="151"/>
    <w:bookmarkEnd w:id="152"/>
    <w:p>
      <w:pPr>
        <w:widowControl/>
        <w:tabs>
          <w:tab w:val="left" w:pos="1134"/>
        </w:tabs>
        <w:spacing w:line="400" w:lineRule="exact"/>
        <w:rPr>
          <w:rFonts w:hint="eastAsia" w:asciiTheme="minorEastAsia" w:hAnsiTheme="minorEastAsia" w:eastAsiaTheme="minorEastAsia" w:cstheme="minorEastAsia"/>
          <w:color w:val="auto"/>
          <w:highlight w:val="none"/>
          <w:lang w:eastAsia="zh-CN"/>
        </w:rPr>
      </w:pPr>
      <w:bookmarkStart w:id="153" w:name="_Toc465269296"/>
    </w:p>
    <w:p>
      <w:pPr>
        <w:widowControl/>
        <w:tabs>
          <w:tab w:val="left" w:pos="1134"/>
        </w:tabs>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十九</w:t>
      </w:r>
      <w:r>
        <w:rPr>
          <w:rFonts w:hint="eastAsia" w:asciiTheme="minorEastAsia" w:hAnsiTheme="minorEastAsia" w:eastAsiaTheme="minorEastAsia" w:cstheme="minorEastAsia"/>
          <w:color w:val="auto"/>
          <w:highlight w:val="none"/>
        </w:rPr>
        <w:t>、 其它材料</w:t>
      </w:r>
      <w:bookmarkEnd w:id="153"/>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 经营许可证或产品销售许可证复印件加盖单位印章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 安全生产许可证复印件、产品代理资格证明文件复印件加盖单位印章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 节能环保等资质证书或文件复印件加盖单位印章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 自主品牌、投标人的信誉、荣誉证书或文件复印件加盖单位印章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 投标人质量管理和环境认证体系等方面的资质证书或文件复印加盖单位印章件</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 企业信誉情况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(七) 产品出厂标准、质量检测报告及精度检测报告或数据（格式自拟）</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(八) 产品安装、调试方案（格式自拟）</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(九)  产品验收标准、方法或方案（格式自拟）</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(十)投标人认为应提交或可以证明其能力或业绩的其他材料（格式自拟）</w:t>
      </w:r>
    </w:p>
    <w:p>
      <w:pPr>
        <w:spacing w:line="360" w:lineRule="auto"/>
        <w:ind w:left="-161" w:leftChars="-6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（十一）其他与项目有关的资料[如须由业主配合的内容（自附）]。</w:t>
      </w:r>
    </w:p>
    <w:p>
      <w:pPr>
        <w:spacing w:line="360" w:lineRule="auto"/>
        <w:ind w:left="-161" w:leftChars="-67"/>
        <w:rPr>
          <w:rFonts w:asciiTheme="minorEastAsia" w:hAnsiTheme="minorEastAsia" w:eastAsiaTheme="minorEastAsia" w:cstheme="minorEastAsia"/>
          <w:color w:val="auto"/>
          <w:highlight w:val="none"/>
        </w:rPr>
      </w:pPr>
    </w:p>
    <w:p>
      <w:pPr>
        <w:spacing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（投标人公章）                               （签字或盖章）</w:t>
      </w:r>
    </w:p>
    <w:p>
      <w:pPr>
        <w:spacing w:line="500" w:lineRule="exact"/>
        <w:ind w:firstLine="6000" w:firstLineChars="25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年     月     日</w:t>
      </w:r>
    </w:p>
    <w:p>
      <w:pPr>
        <w:tabs>
          <w:tab w:val="left" w:pos="6300"/>
        </w:tabs>
        <w:snapToGrid w:val="0"/>
        <w:spacing w:line="500" w:lineRule="exact"/>
        <w:jc w:val="center"/>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注：本页材料由投标人根据项目实际情况自行选择提供，如因遗漏材料造成投标无效或影响评审得分的， 其责任由投标人自行承担。</w:t>
      </w:r>
    </w:p>
    <w:p>
      <w:pPr>
        <w:tabs>
          <w:tab w:val="left" w:pos="6300"/>
        </w:tabs>
        <w:snapToGrid w:val="0"/>
        <w:spacing w:line="500" w:lineRule="exact"/>
        <w:jc w:val="center"/>
        <w:rPr>
          <w:rFonts w:asciiTheme="minorEastAsia" w:hAnsiTheme="minorEastAsia" w:eastAsiaTheme="minorEastAsia" w:cstheme="minorEastAsia"/>
          <w:color w:val="auto"/>
          <w:highlight w:val="none"/>
        </w:rPr>
      </w:pPr>
    </w:p>
    <w:p>
      <w:pPr>
        <w:tabs>
          <w:tab w:val="left" w:pos="6300"/>
        </w:tabs>
        <w:snapToGrid w:val="0"/>
        <w:spacing w:line="500" w:lineRule="exact"/>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（结束）</w:t>
      </w:r>
    </w:p>
    <w:p>
      <w:pPr>
        <w:pStyle w:val="2"/>
        <w:spacing w:line="460" w:lineRule="exact"/>
        <w:ind w:firstLine="482"/>
        <w:rPr>
          <w:rFonts w:asciiTheme="minorEastAsia" w:hAnsiTheme="minorEastAsia" w:eastAsiaTheme="minorEastAsia" w:cstheme="minorEastAsia"/>
          <w:color w:val="auto"/>
          <w:highlight w:val="none"/>
        </w:rPr>
      </w:pPr>
    </w:p>
    <w:p>
      <w:pPr>
        <w:pStyle w:val="35"/>
        <w:spacing w:line="360" w:lineRule="auto"/>
        <w:rPr>
          <w:rFonts w:asciiTheme="minorEastAsia" w:hAnsiTheme="minorEastAsia" w:eastAsiaTheme="minorEastAsia" w:cstheme="minorEastAsia"/>
          <w:color w:val="auto"/>
          <w:highlight w:val="none"/>
        </w:rPr>
      </w:pPr>
    </w:p>
    <w:p>
      <w:pPr>
        <w:wordWrap w:val="0"/>
        <w:jc w:val="cente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sectPr>
      <w:headerReference r:id="rId18" w:type="default"/>
      <w:footerReference r:id="rId19" w:type="default"/>
      <w:pgSz w:w="11906" w:h="16838"/>
      <w:pgMar w:top="1418" w:right="1247" w:bottom="1247" w:left="1418" w:header="851" w:footer="851"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ndale mono">
    <w:altName w:val="微软雅黑"/>
    <w:panose1 w:val="00000000000000000000"/>
    <w:charset w:val="00"/>
    <w:family w:val="modern"/>
    <w:pitch w:val="default"/>
    <w:sig w:usb0="00000000" w:usb1="00000000" w:usb2="00000000" w:usb3="00000000" w:csb0="00040001" w:csb1="00000000"/>
  </w:font>
  <w:font w:name="Microsoft Sans Serif">
    <w:panose1 w:val="020B0604020202020204"/>
    <w:charset w:val="00"/>
    <w:family w:val="swiss"/>
    <w:pitch w:val="default"/>
    <w:sig w:usb0="E1002AFF" w:usb1="C0000002" w:usb2="00000008" w:usb3="00000000" w:csb0="200101FF" w:csb1="20280000"/>
  </w:font>
  <w:font w:name="Arial Black">
    <w:panose1 w:val="020B0A04020102020204"/>
    <w:charset w:val="00"/>
    <w:family w:val="swiss"/>
    <w:pitch w:val="default"/>
    <w:sig w:usb0="00000287" w:usb1="00000000" w:usb2="00000000" w:usb3="00000000" w:csb0="2000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17</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17</w:t>
                    </w:r>
                    <w:r>
                      <w:fldChar w:fldCharType="end"/>
                    </w:r>
                  </w:p>
                </w:txbxContent>
              </v:textbox>
            </v:shape>
          </w:pict>
        </mc:Fallback>
      </mc:AlternateContent>
    </w:r>
  </w:p>
  <w:p>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p>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33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33</w:t>
                    </w:r>
                    <w:r>
                      <w:fldChar w:fldCharType="end"/>
                    </w:r>
                  </w:p>
                </w:txbxContent>
              </v:textbox>
            </v:shape>
          </w:pict>
        </mc:Fallback>
      </mc:AlternateContent>
    </w:r>
  </w:p>
  <w:p>
    <w:pPr>
      <w:pStyle w:val="14"/>
      <w:ind w:firstLine="360"/>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andale mono" w:hAnsi="andale mono"/>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80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80</w:t>
                    </w:r>
                    <w:r>
                      <w:fldChar w:fldCharType="end"/>
                    </w:r>
                  </w:p>
                </w:txbxContent>
              </v:textbox>
            </v:shape>
          </w:pict>
        </mc:Fallback>
      </mc:AlternateContent>
    </w:r>
  </w:p>
  <w:p>
    <w:pPr>
      <w:pStyle w:val="14"/>
      <w:ind w:firstLine="360"/>
      <w:rPr>
        <w:rFonts w:ascii="andale mono" w:hAnsi="andale mon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object>
        <v:shape id="_x0000_i1025" o:spt="75" type="#_x0000_t75" style="height:13.6pt;width:108pt;" o:ole="t" filled="f" o:preferrelative="t" stroked="f" coordsize="21600,21600">
          <v:path/>
          <v:fill on="f" focussize="0,0"/>
          <v:stroke on="f" joinstyle="miter"/>
          <v:imagedata r:id="rId2" o:title=""/>
          <o:lock v:ext="edit" aspectratio="t"/>
          <w10:wrap type="none"/>
          <w10:anchorlock/>
        </v:shape>
        <o:OLEObject Type="Embed" ProgID="MSPhotoEd.3" ShapeID="_x0000_i1025" DrawAspect="Content" ObjectID="_1468075725" r:id="rId1">
          <o:LockedField>false</o:LockedField>
        </o:OLEObject>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001905"/>
    <w:multiLevelType w:val="singleLevel"/>
    <w:tmpl w:val="AC001905"/>
    <w:lvl w:ilvl="0" w:tentative="0">
      <w:start w:val="1"/>
      <w:numFmt w:val="decimal"/>
      <w:suff w:val="nothing"/>
      <w:lvlText w:val="（%1）"/>
      <w:lvlJc w:val="left"/>
    </w:lvl>
  </w:abstractNum>
  <w:abstractNum w:abstractNumId="1">
    <w:nsid w:val="B3C0A809"/>
    <w:multiLevelType w:val="singleLevel"/>
    <w:tmpl w:val="B3C0A809"/>
    <w:lvl w:ilvl="0" w:tentative="0">
      <w:start w:val="1"/>
      <w:numFmt w:val="decimal"/>
      <w:suff w:val="space"/>
      <w:lvlText w:val="%1."/>
      <w:lvlJc w:val="left"/>
    </w:lvl>
  </w:abstractNum>
  <w:abstractNum w:abstractNumId="2">
    <w:nsid w:val="074054F6"/>
    <w:multiLevelType w:val="multilevel"/>
    <w:tmpl w:val="074054F6"/>
    <w:lvl w:ilvl="0" w:tentative="0">
      <w:start w:val="1"/>
      <w:numFmt w:val="decimal"/>
      <w:pStyle w:val="47"/>
      <w:lvlText w:val="第%1章"/>
      <w:lvlJc w:val="left"/>
      <w:pPr>
        <w:tabs>
          <w:tab w:val="left" w:pos="574"/>
        </w:tabs>
        <w:ind w:left="574" w:hanging="432"/>
      </w:pPr>
      <w:rPr>
        <w:rFonts w:hint="eastAsia"/>
        <w:lang w:val="en-US"/>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862"/>
        </w:tabs>
        <w:ind w:left="862" w:hanging="720"/>
      </w:pPr>
      <w:rPr>
        <w:rFonts w:hint="eastAsia"/>
      </w:rPr>
    </w:lvl>
    <w:lvl w:ilvl="3" w:tentative="0">
      <w:start w:val="1"/>
      <w:numFmt w:val="decimal"/>
      <w:lvlText w:val="%1.%2.%3.%4"/>
      <w:lvlJc w:val="left"/>
      <w:pPr>
        <w:tabs>
          <w:tab w:val="left" w:pos="1006"/>
        </w:tabs>
        <w:ind w:left="1006" w:hanging="864"/>
      </w:pPr>
      <w:rPr>
        <w:rFonts w:hint="eastAsia"/>
      </w:rPr>
    </w:lvl>
    <w:lvl w:ilvl="4" w:tentative="0">
      <w:start w:val="1"/>
      <w:numFmt w:val="decimal"/>
      <w:lvlText w:val="%1.%2.%3.%4.%5"/>
      <w:lvlJc w:val="left"/>
      <w:pPr>
        <w:tabs>
          <w:tab w:val="left" w:pos="1150"/>
        </w:tabs>
        <w:ind w:left="1150" w:hanging="1008"/>
      </w:pPr>
      <w:rPr>
        <w:rFonts w:hint="eastAsia"/>
      </w:rPr>
    </w:lvl>
    <w:lvl w:ilvl="5" w:tentative="0">
      <w:start w:val="1"/>
      <w:numFmt w:val="decimal"/>
      <w:lvlText w:val="%1.%2.%3.%4.%5.%6"/>
      <w:lvlJc w:val="left"/>
      <w:pPr>
        <w:tabs>
          <w:tab w:val="left" w:pos="1294"/>
        </w:tabs>
        <w:ind w:left="1294" w:hanging="1152"/>
      </w:pPr>
      <w:rPr>
        <w:rFonts w:hint="eastAsia"/>
      </w:rPr>
    </w:lvl>
    <w:lvl w:ilvl="6" w:tentative="0">
      <w:start w:val="1"/>
      <w:numFmt w:val="decimal"/>
      <w:lvlText w:val="%1.%2.%3.%4.%5.%6.%7"/>
      <w:lvlJc w:val="left"/>
      <w:pPr>
        <w:tabs>
          <w:tab w:val="left" w:pos="1438"/>
        </w:tabs>
        <w:ind w:left="1438" w:hanging="1296"/>
      </w:pPr>
      <w:rPr>
        <w:rFonts w:hint="eastAsia"/>
      </w:rPr>
    </w:lvl>
    <w:lvl w:ilvl="7" w:tentative="0">
      <w:start w:val="1"/>
      <w:numFmt w:val="decimal"/>
      <w:lvlText w:val="%1.%2.%3.%4.%5.%6.%7.%8"/>
      <w:lvlJc w:val="left"/>
      <w:pPr>
        <w:tabs>
          <w:tab w:val="left" w:pos="1582"/>
        </w:tabs>
        <w:ind w:left="1582" w:hanging="1440"/>
      </w:pPr>
      <w:rPr>
        <w:rFonts w:hint="eastAsia"/>
      </w:rPr>
    </w:lvl>
    <w:lvl w:ilvl="8" w:tentative="0">
      <w:start w:val="1"/>
      <w:numFmt w:val="decimal"/>
      <w:lvlText w:val="%1.%2.%3.%4.%5.%6.%7.%8.%9"/>
      <w:lvlJc w:val="left"/>
      <w:pPr>
        <w:tabs>
          <w:tab w:val="left" w:pos="1726"/>
        </w:tabs>
        <w:ind w:left="1726" w:hanging="1584"/>
      </w:pPr>
      <w:rPr>
        <w:rFonts w:hint="eastAsia"/>
      </w:rPr>
    </w:lvl>
  </w:abstractNum>
  <w:abstractNum w:abstractNumId="3">
    <w:nsid w:val="4BE72B62"/>
    <w:multiLevelType w:val="multilevel"/>
    <w:tmpl w:val="4BE72B62"/>
    <w:lvl w:ilvl="0" w:tentative="0">
      <w:start w:val="3"/>
      <w:numFmt w:val="japaneseCounting"/>
      <w:lvlText w:val="（%1）"/>
      <w:lvlJc w:val="left"/>
      <w:pPr>
        <w:ind w:left="861" w:hanging="720"/>
      </w:pPr>
      <w:rPr>
        <w:rFonts w:hint="default"/>
      </w:rPr>
    </w:lvl>
    <w:lvl w:ilvl="1" w:tentative="0">
      <w:start w:val="1"/>
      <w:numFmt w:val="lowerLetter"/>
      <w:lvlText w:val="%2)"/>
      <w:lvlJc w:val="left"/>
      <w:pPr>
        <w:ind w:left="1021" w:hanging="440"/>
      </w:pPr>
    </w:lvl>
    <w:lvl w:ilvl="2" w:tentative="0">
      <w:start w:val="1"/>
      <w:numFmt w:val="lowerRoman"/>
      <w:lvlText w:val="%3."/>
      <w:lvlJc w:val="right"/>
      <w:pPr>
        <w:ind w:left="1461" w:hanging="440"/>
      </w:pPr>
    </w:lvl>
    <w:lvl w:ilvl="3" w:tentative="0">
      <w:start w:val="1"/>
      <w:numFmt w:val="decimal"/>
      <w:lvlText w:val="%4."/>
      <w:lvlJc w:val="left"/>
      <w:pPr>
        <w:ind w:left="1901" w:hanging="440"/>
      </w:pPr>
    </w:lvl>
    <w:lvl w:ilvl="4" w:tentative="0">
      <w:start w:val="1"/>
      <w:numFmt w:val="lowerLetter"/>
      <w:lvlText w:val="%5)"/>
      <w:lvlJc w:val="left"/>
      <w:pPr>
        <w:ind w:left="2341" w:hanging="440"/>
      </w:pPr>
    </w:lvl>
    <w:lvl w:ilvl="5" w:tentative="0">
      <w:start w:val="1"/>
      <w:numFmt w:val="lowerRoman"/>
      <w:lvlText w:val="%6."/>
      <w:lvlJc w:val="right"/>
      <w:pPr>
        <w:ind w:left="2781" w:hanging="440"/>
      </w:pPr>
    </w:lvl>
    <w:lvl w:ilvl="6" w:tentative="0">
      <w:start w:val="1"/>
      <w:numFmt w:val="decimal"/>
      <w:lvlText w:val="%7."/>
      <w:lvlJc w:val="left"/>
      <w:pPr>
        <w:ind w:left="3221" w:hanging="440"/>
      </w:pPr>
    </w:lvl>
    <w:lvl w:ilvl="7" w:tentative="0">
      <w:start w:val="1"/>
      <w:numFmt w:val="lowerLetter"/>
      <w:lvlText w:val="%8)"/>
      <w:lvlJc w:val="left"/>
      <w:pPr>
        <w:ind w:left="3661" w:hanging="440"/>
      </w:pPr>
    </w:lvl>
    <w:lvl w:ilvl="8" w:tentative="0">
      <w:start w:val="1"/>
      <w:numFmt w:val="lowerRoman"/>
      <w:lvlText w:val="%9."/>
      <w:lvlJc w:val="right"/>
      <w:pPr>
        <w:ind w:left="4101" w:hanging="44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ZmMmViNGFiN2IyNzM4YmE0ZDI3ZDA2YjhiMGUyMzMifQ=="/>
  </w:docVars>
  <w:rsids>
    <w:rsidRoot w:val="58162554"/>
    <w:rsid w:val="00000C84"/>
    <w:rsid w:val="00002409"/>
    <w:rsid w:val="000045D4"/>
    <w:rsid w:val="00011645"/>
    <w:rsid w:val="0001636A"/>
    <w:rsid w:val="000220F8"/>
    <w:rsid w:val="0002793C"/>
    <w:rsid w:val="0003019A"/>
    <w:rsid w:val="00035EE2"/>
    <w:rsid w:val="00046C27"/>
    <w:rsid w:val="00051D78"/>
    <w:rsid w:val="00053CAF"/>
    <w:rsid w:val="00063CD6"/>
    <w:rsid w:val="00072D85"/>
    <w:rsid w:val="00076641"/>
    <w:rsid w:val="0008109A"/>
    <w:rsid w:val="00083164"/>
    <w:rsid w:val="000841C9"/>
    <w:rsid w:val="00090512"/>
    <w:rsid w:val="00095979"/>
    <w:rsid w:val="000965C5"/>
    <w:rsid w:val="000A0CE3"/>
    <w:rsid w:val="000A7CC8"/>
    <w:rsid w:val="000B18D0"/>
    <w:rsid w:val="000B28CA"/>
    <w:rsid w:val="000D0E52"/>
    <w:rsid w:val="000D545F"/>
    <w:rsid w:val="000D6FF1"/>
    <w:rsid w:val="000E14F3"/>
    <w:rsid w:val="000E5824"/>
    <w:rsid w:val="000F1FF8"/>
    <w:rsid w:val="000F77D7"/>
    <w:rsid w:val="001038C7"/>
    <w:rsid w:val="00106FDA"/>
    <w:rsid w:val="00111847"/>
    <w:rsid w:val="00112C55"/>
    <w:rsid w:val="00116FD2"/>
    <w:rsid w:val="00117768"/>
    <w:rsid w:val="00117E8F"/>
    <w:rsid w:val="00117F98"/>
    <w:rsid w:val="0012217F"/>
    <w:rsid w:val="0012601A"/>
    <w:rsid w:val="001264CF"/>
    <w:rsid w:val="00130494"/>
    <w:rsid w:val="00140C69"/>
    <w:rsid w:val="00145650"/>
    <w:rsid w:val="0014624F"/>
    <w:rsid w:val="00160AEE"/>
    <w:rsid w:val="001614A4"/>
    <w:rsid w:val="0017153F"/>
    <w:rsid w:val="00171AE2"/>
    <w:rsid w:val="00175E96"/>
    <w:rsid w:val="001800A1"/>
    <w:rsid w:val="00182411"/>
    <w:rsid w:val="00184734"/>
    <w:rsid w:val="00185D47"/>
    <w:rsid w:val="00190A52"/>
    <w:rsid w:val="00190FA1"/>
    <w:rsid w:val="001938B0"/>
    <w:rsid w:val="00193BDC"/>
    <w:rsid w:val="00195F7B"/>
    <w:rsid w:val="001A0C75"/>
    <w:rsid w:val="001A2806"/>
    <w:rsid w:val="001A620E"/>
    <w:rsid w:val="001A66B5"/>
    <w:rsid w:val="001A6E0F"/>
    <w:rsid w:val="001A733A"/>
    <w:rsid w:val="001B1202"/>
    <w:rsid w:val="001B5025"/>
    <w:rsid w:val="001B620C"/>
    <w:rsid w:val="001B6215"/>
    <w:rsid w:val="001C0DC7"/>
    <w:rsid w:val="001C3932"/>
    <w:rsid w:val="001C5397"/>
    <w:rsid w:val="001C5866"/>
    <w:rsid w:val="001D35B0"/>
    <w:rsid w:val="001D6E22"/>
    <w:rsid w:val="001F2DCE"/>
    <w:rsid w:val="002014CD"/>
    <w:rsid w:val="00201B4D"/>
    <w:rsid w:val="0020753E"/>
    <w:rsid w:val="0021045D"/>
    <w:rsid w:val="00213247"/>
    <w:rsid w:val="002139EA"/>
    <w:rsid w:val="00223FA3"/>
    <w:rsid w:val="00225069"/>
    <w:rsid w:val="00227CA0"/>
    <w:rsid w:val="0023186B"/>
    <w:rsid w:val="00234038"/>
    <w:rsid w:val="00245EE7"/>
    <w:rsid w:val="00250406"/>
    <w:rsid w:val="00252CBF"/>
    <w:rsid w:val="00256D9E"/>
    <w:rsid w:val="00261A52"/>
    <w:rsid w:val="002764E6"/>
    <w:rsid w:val="00277B17"/>
    <w:rsid w:val="0028757F"/>
    <w:rsid w:val="002913FA"/>
    <w:rsid w:val="0029327A"/>
    <w:rsid w:val="00293299"/>
    <w:rsid w:val="002A0302"/>
    <w:rsid w:val="002A625B"/>
    <w:rsid w:val="002B618C"/>
    <w:rsid w:val="002C2FB9"/>
    <w:rsid w:val="002D7241"/>
    <w:rsid w:val="002D7F3A"/>
    <w:rsid w:val="002E2213"/>
    <w:rsid w:val="002E2676"/>
    <w:rsid w:val="002E6C42"/>
    <w:rsid w:val="002F5CDF"/>
    <w:rsid w:val="002F6C4B"/>
    <w:rsid w:val="00301C69"/>
    <w:rsid w:val="00302FED"/>
    <w:rsid w:val="00303D77"/>
    <w:rsid w:val="003052E1"/>
    <w:rsid w:val="00306099"/>
    <w:rsid w:val="003074A5"/>
    <w:rsid w:val="003221EF"/>
    <w:rsid w:val="00323477"/>
    <w:rsid w:val="0032432E"/>
    <w:rsid w:val="00324BE9"/>
    <w:rsid w:val="003356C8"/>
    <w:rsid w:val="00336CC9"/>
    <w:rsid w:val="00341265"/>
    <w:rsid w:val="00341EBB"/>
    <w:rsid w:val="00345ECC"/>
    <w:rsid w:val="0035263A"/>
    <w:rsid w:val="003546F3"/>
    <w:rsid w:val="003560AB"/>
    <w:rsid w:val="00356108"/>
    <w:rsid w:val="003649EF"/>
    <w:rsid w:val="00367478"/>
    <w:rsid w:val="0037344E"/>
    <w:rsid w:val="003747BA"/>
    <w:rsid w:val="00383817"/>
    <w:rsid w:val="003A4E49"/>
    <w:rsid w:val="003A5C41"/>
    <w:rsid w:val="003B1624"/>
    <w:rsid w:val="003B5424"/>
    <w:rsid w:val="003B6EA8"/>
    <w:rsid w:val="003B7D41"/>
    <w:rsid w:val="003C5ECB"/>
    <w:rsid w:val="003C6374"/>
    <w:rsid w:val="003D2D5B"/>
    <w:rsid w:val="003E7FCA"/>
    <w:rsid w:val="003F1DB2"/>
    <w:rsid w:val="003F309A"/>
    <w:rsid w:val="003F35E7"/>
    <w:rsid w:val="003F61FE"/>
    <w:rsid w:val="00404AED"/>
    <w:rsid w:val="00410A13"/>
    <w:rsid w:val="004117C7"/>
    <w:rsid w:val="00412DE6"/>
    <w:rsid w:val="00414158"/>
    <w:rsid w:val="00433461"/>
    <w:rsid w:val="00434B22"/>
    <w:rsid w:val="0044231C"/>
    <w:rsid w:val="00442D75"/>
    <w:rsid w:val="00444FA7"/>
    <w:rsid w:val="00446C57"/>
    <w:rsid w:val="00447875"/>
    <w:rsid w:val="00447996"/>
    <w:rsid w:val="00451FB7"/>
    <w:rsid w:val="00452E02"/>
    <w:rsid w:val="00460125"/>
    <w:rsid w:val="00461AE8"/>
    <w:rsid w:val="0046206C"/>
    <w:rsid w:val="004635EF"/>
    <w:rsid w:val="004644DD"/>
    <w:rsid w:val="00471C29"/>
    <w:rsid w:val="00484870"/>
    <w:rsid w:val="00486F45"/>
    <w:rsid w:val="00497E35"/>
    <w:rsid w:val="004A002A"/>
    <w:rsid w:val="004A0CC8"/>
    <w:rsid w:val="004A2408"/>
    <w:rsid w:val="004A29B5"/>
    <w:rsid w:val="004A73FE"/>
    <w:rsid w:val="004B017B"/>
    <w:rsid w:val="004C07FC"/>
    <w:rsid w:val="004C523E"/>
    <w:rsid w:val="004D21C1"/>
    <w:rsid w:val="004F2548"/>
    <w:rsid w:val="004F465F"/>
    <w:rsid w:val="004F5D92"/>
    <w:rsid w:val="00505103"/>
    <w:rsid w:val="00506F93"/>
    <w:rsid w:val="005231DD"/>
    <w:rsid w:val="00531C15"/>
    <w:rsid w:val="005367E3"/>
    <w:rsid w:val="00543BBC"/>
    <w:rsid w:val="005442EC"/>
    <w:rsid w:val="005503B0"/>
    <w:rsid w:val="00551410"/>
    <w:rsid w:val="00554325"/>
    <w:rsid w:val="005552C0"/>
    <w:rsid w:val="00570028"/>
    <w:rsid w:val="005835AB"/>
    <w:rsid w:val="00594DF0"/>
    <w:rsid w:val="005A196A"/>
    <w:rsid w:val="005A2F7B"/>
    <w:rsid w:val="005B4A70"/>
    <w:rsid w:val="005B6DC9"/>
    <w:rsid w:val="005B7651"/>
    <w:rsid w:val="005C1D38"/>
    <w:rsid w:val="005C33E8"/>
    <w:rsid w:val="005C6D13"/>
    <w:rsid w:val="005D067B"/>
    <w:rsid w:val="005D4D50"/>
    <w:rsid w:val="005D607F"/>
    <w:rsid w:val="005D6866"/>
    <w:rsid w:val="005E31A6"/>
    <w:rsid w:val="005F25EA"/>
    <w:rsid w:val="005F3C66"/>
    <w:rsid w:val="005F64DD"/>
    <w:rsid w:val="0060084D"/>
    <w:rsid w:val="0060793F"/>
    <w:rsid w:val="00607AD2"/>
    <w:rsid w:val="00607F24"/>
    <w:rsid w:val="00611030"/>
    <w:rsid w:val="00617169"/>
    <w:rsid w:val="00617B98"/>
    <w:rsid w:val="00621AE6"/>
    <w:rsid w:val="0064122E"/>
    <w:rsid w:val="00652133"/>
    <w:rsid w:val="0065418D"/>
    <w:rsid w:val="00654250"/>
    <w:rsid w:val="006542A8"/>
    <w:rsid w:val="00655A3A"/>
    <w:rsid w:val="006641D8"/>
    <w:rsid w:val="006653E7"/>
    <w:rsid w:val="00670F75"/>
    <w:rsid w:val="00672F3A"/>
    <w:rsid w:val="00673A36"/>
    <w:rsid w:val="0068037D"/>
    <w:rsid w:val="006825A2"/>
    <w:rsid w:val="00682AB1"/>
    <w:rsid w:val="0068374D"/>
    <w:rsid w:val="006935EB"/>
    <w:rsid w:val="006A5D86"/>
    <w:rsid w:val="006B34D9"/>
    <w:rsid w:val="006B4039"/>
    <w:rsid w:val="006C1298"/>
    <w:rsid w:val="006C4371"/>
    <w:rsid w:val="006D40C9"/>
    <w:rsid w:val="006E1266"/>
    <w:rsid w:val="006E30C7"/>
    <w:rsid w:val="006F3394"/>
    <w:rsid w:val="006F6D68"/>
    <w:rsid w:val="00702637"/>
    <w:rsid w:val="00702863"/>
    <w:rsid w:val="00704FD4"/>
    <w:rsid w:val="007172FD"/>
    <w:rsid w:val="00721F5B"/>
    <w:rsid w:val="0072511D"/>
    <w:rsid w:val="00730A67"/>
    <w:rsid w:val="00732106"/>
    <w:rsid w:val="00734570"/>
    <w:rsid w:val="0073603C"/>
    <w:rsid w:val="0073653F"/>
    <w:rsid w:val="007414D9"/>
    <w:rsid w:val="00746219"/>
    <w:rsid w:val="00752583"/>
    <w:rsid w:val="0075552C"/>
    <w:rsid w:val="007567B6"/>
    <w:rsid w:val="00764482"/>
    <w:rsid w:val="00771830"/>
    <w:rsid w:val="007731E9"/>
    <w:rsid w:val="0077330F"/>
    <w:rsid w:val="0078548C"/>
    <w:rsid w:val="00786BDF"/>
    <w:rsid w:val="0078780C"/>
    <w:rsid w:val="007907B4"/>
    <w:rsid w:val="00792127"/>
    <w:rsid w:val="00792FE8"/>
    <w:rsid w:val="00793997"/>
    <w:rsid w:val="00796B83"/>
    <w:rsid w:val="007A68B1"/>
    <w:rsid w:val="007B11AB"/>
    <w:rsid w:val="007B4F54"/>
    <w:rsid w:val="007B674C"/>
    <w:rsid w:val="007C6FE8"/>
    <w:rsid w:val="007C7104"/>
    <w:rsid w:val="007C7147"/>
    <w:rsid w:val="007D0C91"/>
    <w:rsid w:val="007D588E"/>
    <w:rsid w:val="007E4FBF"/>
    <w:rsid w:val="007E6FDC"/>
    <w:rsid w:val="007E7813"/>
    <w:rsid w:val="007F3E10"/>
    <w:rsid w:val="007F5A63"/>
    <w:rsid w:val="00803C28"/>
    <w:rsid w:val="00804A71"/>
    <w:rsid w:val="008121E7"/>
    <w:rsid w:val="008131DE"/>
    <w:rsid w:val="00816792"/>
    <w:rsid w:val="00817C57"/>
    <w:rsid w:val="008242EA"/>
    <w:rsid w:val="00825C24"/>
    <w:rsid w:val="00826C67"/>
    <w:rsid w:val="0082767D"/>
    <w:rsid w:val="00840918"/>
    <w:rsid w:val="00840B01"/>
    <w:rsid w:val="008422E2"/>
    <w:rsid w:val="0084257C"/>
    <w:rsid w:val="0084424C"/>
    <w:rsid w:val="00852F9B"/>
    <w:rsid w:val="00854503"/>
    <w:rsid w:val="00864B37"/>
    <w:rsid w:val="00870C0D"/>
    <w:rsid w:val="00877766"/>
    <w:rsid w:val="008801E1"/>
    <w:rsid w:val="00886D33"/>
    <w:rsid w:val="008908DD"/>
    <w:rsid w:val="008976C7"/>
    <w:rsid w:val="008B372F"/>
    <w:rsid w:val="008C11B3"/>
    <w:rsid w:val="008C233F"/>
    <w:rsid w:val="008C2C76"/>
    <w:rsid w:val="008C2D1E"/>
    <w:rsid w:val="008D6D14"/>
    <w:rsid w:val="008E00E1"/>
    <w:rsid w:val="008E07D1"/>
    <w:rsid w:val="008E516E"/>
    <w:rsid w:val="008F18EA"/>
    <w:rsid w:val="008F3DD4"/>
    <w:rsid w:val="008F7564"/>
    <w:rsid w:val="009016D3"/>
    <w:rsid w:val="00902A4F"/>
    <w:rsid w:val="00920F5D"/>
    <w:rsid w:val="009265EF"/>
    <w:rsid w:val="009333E1"/>
    <w:rsid w:val="00934F1B"/>
    <w:rsid w:val="009367AB"/>
    <w:rsid w:val="009466A7"/>
    <w:rsid w:val="00954ECA"/>
    <w:rsid w:val="0096377F"/>
    <w:rsid w:val="009650F3"/>
    <w:rsid w:val="009853EB"/>
    <w:rsid w:val="00991E25"/>
    <w:rsid w:val="00994BE3"/>
    <w:rsid w:val="009952BC"/>
    <w:rsid w:val="00995566"/>
    <w:rsid w:val="009A5094"/>
    <w:rsid w:val="009A6319"/>
    <w:rsid w:val="009B47A3"/>
    <w:rsid w:val="009B4DB0"/>
    <w:rsid w:val="009C1CB0"/>
    <w:rsid w:val="009D02D4"/>
    <w:rsid w:val="009D1493"/>
    <w:rsid w:val="009D5783"/>
    <w:rsid w:val="009E128B"/>
    <w:rsid w:val="009E24ED"/>
    <w:rsid w:val="009E3C11"/>
    <w:rsid w:val="009E4E14"/>
    <w:rsid w:val="009F4F22"/>
    <w:rsid w:val="00A02FC8"/>
    <w:rsid w:val="00A06B1D"/>
    <w:rsid w:val="00A16E0C"/>
    <w:rsid w:val="00A211C6"/>
    <w:rsid w:val="00A22EC4"/>
    <w:rsid w:val="00A26A71"/>
    <w:rsid w:val="00A35A05"/>
    <w:rsid w:val="00A61974"/>
    <w:rsid w:val="00A63A20"/>
    <w:rsid w:val="00A63F88"/>
    <w:rsid w:val="00A6779A"/>
    <w:rsid w:val="00A67ECA"/>
    <w:rsid w:val="00A71AA8"/>
    <w:rsid w:val="00A723C6"/>
    <w:rsid w:val="00A72EFA"/>
    <w:rsid w:val="00A72F6E"/>
    <w:rsid w:val="00A7370B"/>
    <w:rsid w:val="00A75263"/>
    <w:rsid w:val="00A7539D"/>
    <w:rsid w:val="00A870FF"/>
    <w:rsid w:val="00A905B4"/>
    <w:rsid w:val="00A96C98"/>
    <w:rsid w:val="00AA156A"/>
    <w:rsid w:val="00AA2848"/>
    <w:rsid w:val="00AA5A76"/>
    <w:rsid w:val="00AA7FB8"/>
    <w:rsid w:val="00AB198E"/>
    <w:rsid w:val="00AC00FD"/>
    <w:rsid w:val="00AC2630"/>
    <w:rsid w:val="00AC5D2B"/>
    <w:rsid w:val="00AD00F8"/>
    <w:rsid w:val="00AD2A08"/>
    <w:rsid w:val="00AD6AEF"/>
    <w:rsid w:val="00AD7665"/>
    <w:rsid w:val="00AF60C9"/>
    <w:rsid w:val="00B10463"/>
    <w:rsid w:val="00B10B33"/>
    <w:rsid w:val="00B14E97"/>
    <w:rsid w:val="00B232A6"/>
    <w:rsid w:val="00B34C5D"/>
    <w:rsid w:val="00B41004"/>
    <w:rsid w:val="00B46455"/>
    <w:rsid w:val="00B472BE"/>
    <w:rsid w:val="00B51B80"/>
    <w:rsid w:val="00B54A86"/>
    <w:rsid w:val="00B63A8C"/>
    <w:rsid w:val="00B63D40"/>
    <w:rsid w:val="00B64A7D"/>
    <w:rsid w:val="00B738FB"/>
    <w:rsid w:val="00B8005D"/>
    <w:rsid w:val="00B8218C"/>
    <w:rsid w:val="00B9301E"/>
    <w:rsid w:val="00BA0C6C"/>
    <w:rsid w:val="00BA2C18"/>
    <w:rsid w:val="00BA4BAE"/>
    <w:rsid w:val="00BA599D"/>
    <w:rsid w:val="00BB2FF3"/>
    <w:rsid w:val="00BB5DDD"/>
    <w:rsid w:val="00BB669C"/>
    <w:rsid w:val="00BC0ADC"/>
    <w:rsid w:val="00BD31E7"/>
    <w:rsid w:val="00BE1EF4"/>
    <w:rsid w:val="00BE202E"/>
    <w:rsid w:val="00BF05AB"/>
    <w:rsid w:val="00BF2F2A"/>
    <w:rsid w:val="00BF5212"/>
    <w:rsid w:val="00BF5708"/>
    <w:rsid w:val="00C0094D"/>
    <w:rsid w:val="00C00EA3"/>
    <w:rsid w:val="00C01695"/>
    <w:rsid w:val="00C020D5"/>
    <w:rsid w:val="00C04F95"/>
    <w:rsid w:val="00C166BC"/>
    <w:rsid w:val="00C213BA"/>
    <w:rsid w:val="00C2367B"/>
    <w:rsid w:val="00C24A5C"/>
    <w:rsid w:val="00C272A8"/>
    <w:rsid w:val="00C278D9"/>
    <w:rsid w:val="00C27E71"/>
    <w:rsid w:val="00C27E84"/>
    <w:rsid w:val="00C310BE"/>
    <w:rsid w:val="00C32B82"/>
    <w:rsid w:val="00C356F3"/>
    <w:rsid w:val="00C424A6"/>
    <w:rsid w:val="00C4327C"/>
    <w:rsid w:val="00C467D8"/>
    <w:rsid w:val="00C471D8"/>
    <w:rsid w:val="00C51C9F"/>
    <w:rsid w:val="00C52E05"/>
    <w:rsid w:val="00C662B9"/>
    <w:rsid w:val="00C711D1"/>
    <w:rsid w:val="00C758C6"/>
    <w:rsid w:val="00C7705A"/>
    <w:rsid w:val="00C77A65"/>
    <w:rsid w:val="00C808E5"/>
    <w:rsid w:val="00C83AA4"/>
    <w:rsid w:val="00C90438"/>
    <w:rsid w:val="00CB1B31"/>
    <w:rsid w:val="00CB239C"/>
    <w:rsid w:val="00CB276F"/>
    <w:rsid w:val="00CB79FB"/>
    <w:rsid w:val="00CC4976"/>
    <w:rsid w:val="00CC49E3"/>
    <w:rsid w:val="00CD3DD0"/>
    <w:rsid w:val="00CD60E4"/>
    <w:rsid w:val="00CD698D"/>
    <w:rsid w:val="00CD7599"/>
    <w:rsid w:val="00CE484B"/>
    <w:rsid w:val="00CE65BD"/>
    <w:rsid w:val="00CF4AA0"/>
    <w:rsid w:val="00CF5D4E"/>
    <w:rsid w:val="00D04F04"/>
    <w:rsid w:val="00D06C98"/>
    <w:rsid w:val="00D07D4F"/>
    <w:rsid w:val="00D10968"/>
    <w:rsid w:val="00D13C01"/>
    <w:rsid w:val="00D17D3D"/>
    <w:rsid w:val="00D222A8"/>
    <w:rsid w:val="00D422F5"/>
    <w:rsid w:val="00D512F2"/>
    <w:rsid w:val="00D56F58"/>
    <w:rsid w:val="00D600F6"/>
    <w:rsid w:val="00D7158D"/>
    <w:rsid w:val="00D823F6"/>
    <w:rsid w:val="00D84123"/>
    <w:rsid w:val="00D865AC"/>
    <w:rsid w:val="00D91012"/>
    <w:rsid w:val="00DA007B"/>
    <w:rsid w:val="00DA5A60"/>
    <w:rsid w:val="00DA6527"/>
    <w:rsid w:val="00DC01B7"/>
    <w:rsid w:val="00DC5F0D"/>
    <w:rsid w:val="00DE19B8"/>
    <w:rsid w:val="00DF00B2"/>
    <w:rsid w:val="00DF2525"/>
    <w:rsid w:val="00DF4C19"/>
    <w:rsid w:val="00DF62F3"/>
    <w:rsid w:val="00E07993"/>
    <w:rsid w:val="00E07DD7"/>
    <w:rsid w:val="00E106C0"/>
    <w:rsid w:val="00E11CC5"/>
    <w:rsid w:val="00E12E2E"/>
    <w:rsid w:val="00E16964"/>
    <w:rsid w:val="00E21666"/>
    <w:rsid w:val="00E2583A"/>
    <w:rsid w:val="00E2670F"/>
    <w:rsid w:val="00E31546"/>
    <w:rsid w:val="00E32B12"/>
    <w:rsid w:val="00E34DC5"/>
    <w:rsid w:val="00E360D8"/>
    <w:rsid w:val="00E439B3"/>
    <w:rsid w:val="00E446FE"/>
    <w:rsid w:val="00E5379E"/>
    <w:rsid w:val="00E61913"/>
    <w:rsid w:val="00E61D53"/>
    <w:rsid w:val="00E654F8"/>
    <w:rsid w:val="00E7486E"/>
    <w:rsid w:val="00E7575B"/>
    <w:rsid w:val="00E75CE0"/>
    <w:rsid w:val="00E75F12"/>
    <w:rsid w:val="00E75F38"/>
    <w:rsid w:val="00E87A24"/>
    <w:rsid w:val="00E910B4"/>
    <w:rsid w:val="00E968D0"/>
    <w:rsid w:val="00E96CA7"/>
    <w:rsid w:val="00EA3C36"/>
    <w:rsid w:val="00EA4C41"/>
    <w:rsid w:val="00EF0514"/>
    <w:rsid w:val="00EF06EC"/>
    <w:rsid w:val="00EF4DC5"/>
    <w:rsid w:val="00EF5FB2"/>
    <w:rsid w:val="00EF7EBF"/>
    <w:rsid w:val="00F015B3"/>
    <w:rsid w:val="00F03D1F"/>
    <w:rsid w:val="00F0599E"/>
    <w:rsid w:val="00F0776B"/>
    <w:rsid w:val="00F101F4"/>
    <w:rsid w:val="00F12C6E"/>
    <w:rsid w:val="00F17F45"/>
    <w:rsid w:val="00F215BD"/>
    <w:rsid w:val="00F23F7E"/>
    <w:rsid w:val="00F23FD5"/>
    <w:rsid w:val="00F32629"/>
    <w:rsid w:val="00F41E21"/>
    <w:rsid w:val="00F43FEB"/>
    <w:rsid w:val="00F45D82"/>
    <w:rsid w:val="00F46335"/>
    <w:rsid w:val="00F471B2"/>
    <w:rsid w:val="00F5119D"/>
    <w:rsid w:val="00F51677"/>
    <w:rsid w:val="00F53FF2"/>
    <w:rsid w:val="00F57844"/>
    <w:rsid w:val="00F62F67"/>
    <w:rsid w:val="00F72C90"/>
    <w:rsid w:val="00F80A3E"/>
    <w:rsid w:val="00F86FFE"/>
    <w:rsid w:val="00F92F51"/>
    <w:rsid w:val="00F953B5"/>
    <w:rsid w:val="00F96378"/>
    <w:rsid w:val="00FB10E8"/>
    <w:rsid w:val="00FC16B7"/>
    <w:rsid w:val="00FC4188"/>
    <w:rsid w:val="00FC4A98"/>
    <w:rsid w:val="00FC53AA"/>
    <w:rsid w:val="00FC7330"/>
    <w:rsid w:val="00FD08FE"/>
    <w:rsid w:val="00FD3848"/>
    <w:rsid w:val="00FD600D"/>
    <w:rsid w:val="00FE6F0B"/>
    <w:rsid w:val="00FF10BB"/>
    <w:rsid w:val="00FF4885"/>
    <w:rsid w:val="00FF60D6"/>
    <w:rsid w:val="01C40DDD"/>
    <w:rsid w:val="03A85635"/>
    <w:rsid w:val="040556DD"/>
    <w:rsid w:val="04826322"/>
    <w:rsid w:val="04BE5FB8"/>
    <w:rsid w:val="05112132"/>
    <w:rsid w:val="09096F55"/>
    <w:rsid w:val="09BC4A90"/>
    <w:rsid w:val="09F874B4"/>
    <w:rsid w:val="0AC459AA"/>
    <w:rsid w:val="0BCE4D3A"/>
    <w:rsid w:val="0C132FA8"/>
    <w:rsid w:val="0C9151CB"/>
    <w:rsid w:val="0CC31C91"/>
    <w:rsid w:val="0FDF5034"/>
    <w:rsid w:val="112C24FB"/>
    <w:rsid w:val="11AD7CE2"/>
    <w:rsid w:val="12850115"/>
    <w:rsid w:val="13F75067"/>
    <w:rsid w:val="14CC2FF3"/>
    <w:rsid w:val="15597743"/>
    <w:rsid w:val="16821410"/>
    <w:rsid w:val="172A3039"/>
    <w:rsid w:val="1CE96FB3"/>
    <w:rsid w:val="1E600DD1"/>
    <w:rsid w:val="1FC61D6D"/>
    <w:rsid w:val="211E69BA"/>
    <w:rsid w:val="212164CB"/>
    <w:rsid w:val="21D44D31"/>
    <w:rsid w:val="221E251A"/>
    <w:rsid w:val="22A74EB8"/>
    <w:rsid w:val="25565941"/>
    <w:rsid w:val="265A41BB"/>
    <w:rsid w:val="27791C41"/>
    <w:rsid w:val="28444E00"/>
    <w:rsid w:val="2899279E"/>
    <w:rsid w:val="28C71F3F"/>
    <w:rsid w:val="29CA6629"/>
    <w:rsid w:val="2ABC49E6"/>
    <w:rsid w:val="2B354A95"/>
    <w:rsid w:val="2B9E6E46"/>
    <w:rsid w:val="2BB1431B"/>
    <w:rsid w:val="2BE34A7A"/>
    <w:rsid w:val="2C891ED6"/>
    <w:rsid w:val="2D252387"/>
    <w:rsid w:val="2D530835"/>
    <w:rsid w:val="2E144545"/>
    <w:rsid w:val="2E4A5917"/>
    <w:rsid w:val="2E8E7EF9"/>
    <w:rsid w:val="2EC762BC"/>
    <w:rsid w:val="2F2872A3"/>
    <w:rsid w:val="3198418E"/>
    <w:rsid w:val="320209E2"/>
    <w:rsid w:val="32D723BA"/>
    <w:rsid w:val="33640C7D"/>
    <w:rsid w:val="347B4A7C"/>
    <w:rsid w:val="34A1580B"/>
    <w:rsid w:val="353337C1"/>
    <w:rsid w:val="35755627"/>
    <w:rsid w:val="35DE0994"/>
    <w:rsid w:val="3675439F"/>
    <w:rsid w:val="36BD5820"/>
    <w:rsid w:val="37B26A07"/>
    <w:rsid w:val="38B9372D"/>
    <w:rsid w:val="3CB11983"/>
    <w:rsid w:val="3D287F47"/>
    <w:rsid w:val="3EE93279"/>
    <w:rsid w:val="403269EF"/>
    <w:rsid w:val="408B5CBE"/>
    <w:rsid w:val="426F233A"/>
    <w:rsid w:val="42961B98"/>
    <w:rsid w:val="42E27DDC"/>
    <w:rsid w:val="439B47F3"/>
    <w:rsid w:val="43B6261F"/>
    <w:rsid w:val="441A71AE"/>
    <w:rsid w:val="443F631E"/>
    <w:rsid w:val="462618C5"/>
    <w:rsid w:val="46E713EF"/>
    <w:rsid w:val="47820C22"/>
    <w:rsid w:val="48F24D0E"/>
    <w:rsid w:val="49947F10"/>
    <w:rsid w:val="4AC52146"/>
    <w:rsid w:val="4AFD2046"/>
    <w:rsid w:val="4B233101"/>
    <w:rsid w:val="4CE03DF1"/>
    <w:rsid w:val="4CFE6AD7"/>
    <w:rsid w:val="4D556807"/>
    <w:rsid w:val="4D5E79A7"/>
    <w:rsid w:val="4D630E46"/>
    <w:rsid w:val="4ED850C2"/>
    <w:rsid w:val="500D64A0"/>
    <w:rsid w:val="501722F3"/>
    <w:rsid w:val="508515E4"/>
    <w:rsid w:val="509E28FC"/>
    <w:rsid w:val="50E508D5"/>
    <w:rsid w:val="51163E4F"/>
    <w:rsid w:val="519B3A54"/>
    <w:rsid w:val="5345477B"/>
    <w:rsid w:val="53713F2D"/>
    <w:rsid w:val="563C73E8"/>
    <w:rsid w:val="56B2087D"/>
    <w:rsid w:val="58162554"/>
    <w:rsid w:val="58492DB8"/>
    <w:rsid w:val="590A788F"/>
    <w:rsid w:val="5AE45C23"/>
    <w:rsid w:val="5BA109BC"/>
    <w:rsid w:val="5BBA55DA"/>
    <w:rsid w:val="5C423F4D"/>
    <w:rsid w:val="5CC36C20"/>
    <w:rsid w:val="5D430142"/>
    <w:rsid w:val="5DFC77EC"/>
    <w:rsid w:val="5E1A4E28"/>
    <w:rsid w:val="5E9E75A3"/>
    <w:rsid w:val="5F2E07B9"/>
    <w:rsid w:val="5FCF0188"/>
    <w:rsid w:val="60A630CC"/>
    <w:rsid w:val="621243C2"/>
    <w:rsid w:val="626A5FAC"/>
    <w:rsid w:val="628E6B43"/>
    <w:rsid w:val="629A0C69"/>
    <w:rsid w:val="62FA5CF6"/>
    <w:rsid w:val="63404106"/>
    <w:rsid w:val="634D4663"/>
    <w:rsid w:val="6487730D"/>
    <w:rsid w:val="64D967C9"/>
    <w:rsid w:val="655D6FF0"/>
    <w:rsid w:val="655F16CC"/>
    <w:rsid w:val="660A5ADC"/>
    <w:rsid w:val="66B925A1"/>
    <w:rsid w:val="67F85DB4"/>
    <w:rsid w:val="682C032D"/>
    <w:rsid w:val="68752FB5"/>
    <w:rsid w:val="69B95390"/>
    <w:rsid w:val="6A095754"/>
    <w:rsid w:val="6A130281"/>
    <w:rsid w:val="6AF6333E"/>
    <w:rsid w:val="6C8D3A71"/>
    <w:rsid w:val="6D061C55"/>
    <w:rsid w:val="6E4E7458"/>
    <w:rsid w:val="6FED1A1D"/>
    <w:rsid w:val="71547892"/>
    <w:rsid w:val="72196C4D"/>
    <w:rsid w:val="72F14CA3"/>
    <w:rsid w:val="73AF5D9C"/>
    <w:rsid w:val="754A3C0C"/>
    <w:rsid w:val="76911902"/>
    <w:rsid w:val="76AD2030"/>
    <w:rsid w:val="77221911"/>
    <w:rsid w:val="77A84676"/>
    <w:rsid w:val="7AE01FC6"/>
    <w:rsid w:val="7C172C63"/>
    <w:rsid w:val="7CBD74CB"/>
    <w:rsid w:val="7CF57F22"/>
    <w:rsid w:val="7D787377"/>
    <w:rsid w:val="7EE54139"/>
    <w:rsid w:val="7F5A6367"/>
    <w:rsid w:val="7FD62392"/>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szCs w:val="24"/>
      <w:lang w:val="en-US" w:eastAsia="zh-CN" w:bidi="ar-SA"/>
    </w:rPr>
  </w:style>
  <w:style w:type="paragraph" w:styleId="3">
    <w:name w:val="heading 1"/>
    <w:basedOn w:val="1"/>
    <w:next w:val="1"/>
    <w:link w:val="52"/>
    <w:qFormat/>
    <w:uiPriority w:val="99"/>
    <w:pPr>
      <w:keepNext/>
      <w:keepLines/>
      <w:spacing w:before="340" w:after="330" w:line="578" w:lineRule="atLeast"/>
      <w:ind w:left="1272" w:firstLine="288"/>
      <w:outlineLvl w:val="0"/>
    </w:pPr>
    <w:rPr>
      <w:b/>
      <w:bCs/>
      <w:kern w:val="44"/>
      <w:sz w:val="44"/>
      <w:szCs w:val="44"/>
    </w:rPr>
  </w:style>
  <w:style w:type="paragraph" w:styleId="2">
    <w:name w:val="heading 2"/>
    <w:basedOn w:val="1"/>
    <w:next w:val="1"/>
    <w:qFormat/>
    <w:uiPriority w:val="9"/>
    <w:pPr>
      <w:keepNext/>
      <w:keepLines/>
      <w:spacing w:before="260" w:after="260" w:line="416" w:lineRule="atLeast"/>
      <w:ind w:left="1814"/>
      <w:outlineLvl w:val="1"/>
    </w:pPr>
    <w:rPr>
      <w:rFonts w:ascii="Arial" w:hAnsi="Arial"/>
      <w:b/>
      <w:bCs/>
      <w:szCs w:val="32"/>
    </w:rPr>
  </w:style>
  <w:style w:type="paragraph" w:styleId="4">
    <w:name w:val="heading 3"/>
    <w:basedOn w:val="1"/>
    <w:next w:val="1"/>
    <w:qFormat/>
    <w:uiPriority w:val="99"/>
    <w:pPr>
      <w:keepNext/>
      <w:keepLines/>
      <w:spacing w:before="260" w:after="260" w:line="416" w:lineRule="auto"/>
      <w:outlineLvl w:val="2"/>
    </w:pPr>
    <w:rPr>
      <w:b/>
      <w:bCs/>
      <w:sz w:val="28"/>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snapToGrid w:val="0"/>
      <w:spacing w:line="360" w:lineRule="auto"/>
      <w:ind w:firstLine="420"/>
      <w:jc w:val="both"/>
      <w:textAlignment w:val="auto"/>
    </w:pPr>
    <w:rPr>
      <w:szCs w:val="20"/>
    </w:rPr>
  </w:style>
  <w:style w:type="paragraph" w:styleId="6">
    <w:name w:val="annotation text"/>
    <w:basedOn w:val="1"/>
    <w:link w:val="54"/>
    <w:qFormat/>
    <w:uiPriority w:val="99"/>
    <w:rPr>
      <w:sz w:val="20"/>
      <w:szCs w:val="20"/>
    </w:rPr>
  </w:style>
  <w:style w:type="paragraph" w:styleId="7">
    <w:name w:val="Body Text"/>
    <w:basedOn w:val="1"/>
    <w:next w:val="1"/>
    <w:qFormat/>
    <w:uiPriority w:val="0"/>
    <w:pPr>
      <w:spacing w:after="120"/>
    </w:pPr>
    <w:rPr>
      <w:sz w:val="20"/>
      <w:szCs w:val="20"/>
    </w:rPr>
  </w:style>
  <w:style w:type="paragraph" w:styleId="8">
    <w:name w:val="Body Text Indent"/>
    <w:basedOn w:val="1"/>
    <w:unhideWhenUsed/>
    <w:qFormat/>
    <w:uiPriority w:val="99"/>
    <w:pPr>
      <w:spacing w:after="120"/>
      <w:ind w:left="420" w:leftChars="200"/>
    </w:pPr>
  </w:style>
  <w:style w:type="paragraph" w:styleId="9">
    <w:name w:val="Block Text"/>
    <w:basedOn w:val="1"/>
    <w:qFormat/>
    <w:uiPriority w:val="0"/>
    <w:pPr>
      <w:spacing w:line="300" w:lineRule="auto"/>
      <w:ind w:left="958" w:right="-120" w:rightChars="-120"/>
    </w:pPr>
    <w:rPr>
      <w:rFonts w:ascii="宋体" w:hAnsi="宋体"/>
      <w:sz w:val="28"/>
    </w:rPr>
  </w:style>
  <w:style w:type="paragraph" w:styleId="10">
    <w:name w:val="Plain Text"/>
    <w:basedOn w:val="1"/>
    <w:link w:val="41"/>
    <w:qFormat/>
    <w:uiPriority w:val="0"/>
    <w:pPr>
      <w:snapToGrid w:val="0"/>
      <w:spacing w:line="360" w:lineRule="auto"/>
      <w:jc w:val="both"/>
      <w:textAlignment w:val="auto"/>
    </w:pPr>
    <w:rPr>
      <w:rFonts w:ascii="宋体" w:hAnsi="Courier New"/>
      <w:kern w:val="2"/>
      <w:sz w:val="21"/>
      <w:szCs w:val="21"/>
    </w:rPr>
  </w:style>
  <w:style w:type="paragraph" w:styleId="11">
    <w:name w:val="Date"/>
    <w:basedOn w:val="1"/>
    <w:next w:val="1"/>
    <w:qFormat/>
    <w:uiPriority w:val="0"/>
    <w:pPr>
      <w:adjustRightInd/>
      <w:spacing w:line="240" w:lineRule="auto"/>
      <w:jc w:val="both"/>
      <w:textAlignment w:val="auto"/>
    </w:pPr>
    <w:rPr>
      <w:sz w:val="28"/>
      <w:szCs w:val="20"/>
    </w:rPr>
  </w:style>
  <w:style w:type="paragraph" w:styleId="12">
    <w:name w:val="Body Text Indent 2"/>
    <w:basedOn w:val="1"/>
    <w:link w:val="48"/>
    <w:qFormat/>
    <w:uiPriority w:val="0"/>
    <w:pPr>
      <w:spacing w:after="120" w:line="480" w:lineRule="auto"/>
      <w:ind w:left="420" w:leftChars="200"/>
    </w:pPr>
  </w:style>
  <w:style w:type="paragraph" w:styleId="13">
    <w:name w:val="Balloon Text"/>
    <w:basedOn w:val="1"/>
    <w:link w:val="42"/>
    <w:qFormat/>
    <w:uiPriority w:val="0"/>
    <w:pPr>
      <w:spacing w:line="240" w:lineRule="auto"/>
    </w:pPr>
    <w:rPr>
      <w:sz w:val="18"/>
      <w:szCs w:val="18"/>
    </w:rPr>
  </w:style>
  <w:style w:type="paragraph" w:styleId="14">
    <w:name w:val="footer"/>
    <w:basedOn w:val="1"/>
    <w:qFormat/>
    <w:uiPriority w:val="0"/>
    <w:pPr>
      <w:tabs>
        <w:tab w:val="center" w:pos="4153"/>
        <w:tab w:val="right" w:pos="8306"/>
      </w:tabs>
      <w:spacing w:line="240" w:lineRule="atLeast"/>
    </w:pPr>
    <w:rPr>
      <w:sz w:val="18"/>
      <w:szCs w:val="18"/>
    </w:rPr>
  </w:style>
  <w:style w:type="paragraph" w:styleId="15">
    <w:name w:val="header"/>
    <w:basedOn w:val="1"/>
    <w:qFormat/>
    <w:uiPriority w:val="99"/>
    <w:pPr>
      <w:pBdr>
        <w:bottom w:val="single" w:color="auto" w:sz="6" w:space="1"/>
      </w:pBdr>
      <w:tabs>
        <w:tab w:val="center" w:pos="4153"/>
        <w:tab w:val="right" w:pos="8306"/>
      </w:tabs>
      <w:spacing w:line="240" w:lineRule="atLeast"/>
      <w:jc w:val="center"/>
    </w:pPr>
    <w:rPr>
      <w:sz w:val="20"/>
      <w:szCs w:val="20"/>
    </w:rPr>
  </w:style>
  <w:style w:type="paragraph" w:styleId="16">
    <w:name w:val="toc 1"/>
    <w:basedOn w:val="1"/>
    <w:next w:val="1"/>
    <w:qFormat/>
    <w:uiPriority w:val="39"/>
    <w:pPr>
      <w:tabs>
        <w:tab w:val="right" w:leader="dot" w:pos="8721"/>
      </w:tabs>
    </w:pPr>
    <w:rPr>
      <w:rFonts w:ascii="宋体" w:hAnsi="宋体" w:cs="宋体"/>
      <w:color w:val="FF0000"/>
      <w:sz w:val="21"/>
      <w:szCs w:val="21"/>
    </w:rPr>
  </w:style>
  <w:style w:type="paragraph" w:styleId="17">
    <w:name w:val="Body Text Indent 3"/>
    <w:basedOn w:val="1"/>
    <w:qFormat/>
    <w:uiPriority w:val="0"/>
    <w:pPr>
      <w:adjustRightInd/>
      <w:spacing w:line="360" w:lineRule="auto"/>
      <w:ind w:firstLine="632"/>
      <w:jc w:val="both"/>
      <w:textAlignment w:val="auto"/>
    </w:pPr>
    <w:rPr>
      <w:rFonts w:ascii="黑体" w:eastAsia="黑体"/>
      <w:sz w:val="28"/>
      <w:szCs w:val="20"/>
    </w:rPr>
  </w:style>
  <w:style w:type="paragraph" w:styleId="18">
    <w:name w:val="toc 2"/>
    <w:basedOn w:val="1"/>
    <w:next w:val="1"/>
    <w:qFormat/>
    <w:uiPriority w:val="39"/>
    <w:pPr>
      <w:ind w:left="210"/>
    </w:pPr>
    <w:rPr>
      <w:rFonts w:asciiTheme="minorHAnsi" w:hAnsiTheme="minorHAnsi" w:cstheme="minorHAnsi"/>
      <w:smallCaps/>
      <w:sz w:val="20"/>
      <w:szCs w:val="20"/>
    </w:rPr>
  </w:style>
  <w:style w:type="paragraph" w:styleId="19">
    <w:name w:val="Body Text 2"/>
    <w:basedOn w:val="1"/>
    <w:next w:val="7"/>
    <w:qFormat/>
    <w:uiPriority w:val="0"/>
    <w:pPr>
      <w:snapToGrid w:val="0"/>
      <w:spacing w:after="120" w:line="480" w:lineRule="auto"/>
      <w:jc w:val="both"/>
      <w:textAlignment w:val="auto"/>
    </w:pPr>
    <w:rPr>
      <w:szCs w:val="20"/>
    </w:rPr>
  </w:style>
  <w:style w:type="paragraph" w:styleId="20">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rPr>
  </w:style>
  <w:style w:type="paragraph" w:styleId="21">
    <w:name w:val="Title"/>
    <w:basedOn w:val="1"/>
    <w:qFormat/>
    <w:uiPriority w:val="0"/>
    <w:pPr>
      <w:adjustRightInd/>
      <w:spacing w:before="240" w:after="60" w:line="240" w:lineRule="auto"/>
      <w:jc w:val="center"/>
      <w:textAlignment w:val="auto"/>
      <w:outlineLvl w:val="0"/>
    </w:pPr>
    <w:rPr>
      <w:b/>
      <w:bCs/>
      <w:sz w:val="20"/>
      <w:szCs w:val="20"/>
    </w:rPr>
  </w:style>
  <w:style w:type="paragraph" w:styleId="22">
    <w:name w:val="annotation subject"/>
    <w:basedOn w:val="6"/>
    <w:next w:val="6"/>
    <w:link w:val="55"/>
    <w:qFormat/>
    <w:uiPriority w:val="0"/>
    <w:rPr>
      <w:b/>
      <w:bCs/>
      <w:sz w:val="24"/>
      <w:szCs w:val="24"/>
    </w:rPr>
  </w:style>
  <w:style w:type="paragraph" w:styleId="23">
    <w:name w:val="Body Text First Indent 2"/>
    <w:basedOn w:val="8"/>
    <w:qFormat/>
    <w:uiPriority w:val="0"/>
    <w:pPr>
      <w:adjustRightInd/>
      <w:spacing w:line="240" w:lineRule="auto"/>
      <w:ind w:firstLine="420" w:firstLineChars="200"/>
      <w:jc w:val="both"/>
      <w:textAlignment w:val="auto"/>
    </w:pPr>
    <w:rPr>
      <w:sz w:val="44"/>
      <w:szCs w:val="20"/>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style>
  <w:style w:type="character" w:styleId="28">
    <w:name w:val="FollowedHyperlink"/>
    <w:basedOn w:val="26"/>
    <w:qFormat/>
    <w:uiPriority w:val="0"/>
    <w:rPr>
      <w:color w:val="954F72" w:themeColor="followedHyperlink"/>
      <w:u w:val="single"/>
      <w14:textFill>
        <w14:solidFill>
          <w14:schemeClr w14:val="folHlink"/>
        </w14:solidFill>
      </w14:textFill>
    </w:rPr>
  </w:style>
  <w:style w:type="character" w:styleId="29">
    <w:name w:val="Hyperlink"/>
    <w:basedOn w:val="26"/>
    <w:qFormat/>
    <w:uiPriority w:val="99"/>
    <w:rPr>
      <w:color w:val="0000FF"/>
      <w:u w:val="single"/>
    </w:rPr>
  </w:style>
  <w:style w:type="character" w:styleId="30">
    <w:name w:val="annotation reference"/>
    <w:basedOn w:val="26"/>
    <w:qFormat/>
    <w:uiPriority w:val="0"/>
    <w:rPr>
      <w:sz w:val="21"/>
      <w:szCs w:val="21"/>
    </w:rPr>
  </w:style>
  <w:style w:type="paragraph" w:styleId="31">
    <w:name w:val="List Paragraph"/>
    <w:basedOn w:val="1"/>
    <w:link w:val="53"/>
    <w:qFormat/>
    <w:uiPriority w:val="99"/>
    <w:pPr>
      <w:adjustRightInd/>
      <w:spacing w:line="240" w:lineRule="auto"/>
      <w:ind w:firstLine="420" w:firstLineChars="200"/>
      <w:jc w:val="both"/>
      <w:textAlignment w:val="auto"/>
    </w:pPr>
    <w:rPr>
      <w:rFonts w:ascii="Calibri" w:hAnsi="Calibri"/>
      <w:kern w:val="2"/>
      <w:sz w:val="21"/>
      <w:szCs w:val="22"/>
    </w:rPr>
  </w:style>
  <w:style w:type="paragraph" w:customStyle="1" w:styleId="32">
    <w:name w:val="目录 11"/>
    <w:basedOn w:val="1"/>
    <w:next w:val="1"/>
    <w:qFormat/>
    <w:uiPriority w:val="39"/>
    <w:pPr>
      <w:tabs>
        <w:tab w:val="right" w:leader="dot" w:pos="8721"/>
      </w:tabs>
    </w:pPr>
    <w:rPr>
      <w:rFonts w:ascii="宋体" w:hAnsi="宋体" w:cs="宋体"/>
      <w:color w:val="FF0000"/>
      <w:sz w:val="21"/>
      <w:szCs w:val="21"/>
    </w:rPr>
  </w:style>
  <w:style w:type="paragraph" w:customStyle="1" w:styleId="33">
    <w:name w:val="样式 首行缩进:  2 字符"/>
    <w:basedOn w:val="1"/>
    <w:qFormat/>
    <w:uiPriority w:val="0"/>
    <w:pPr>
      <w:adjustRightInd/>
      <w:spacing w:line="400" w:lineRule="exact"/>
      <w:ind w:firstLine="200" w:firstLineChars="200"/>
      <w:jc w:val="both"/>
      <w:textAlignment w:val="auto"/>
    </w:pPr>
    <w:rPr>
      <w:rFonts w:cs="宋体"/>
      <w:kern w:val="2"/>
    </w:rPr>
  </w:style>
  <w:style w:type="paragraph" w:customStyle="1" w:styleId="34">
    <w:name w:val="列出段落1"/>
    <w:basedOn w:val="1"/>
    <w:qFormat/>
    <w:uiPriority w:val="0"/>
    <w:pPr>
      <w:ind w:firstLine="420" w:firstLineChars="200"/>
    </w:pPr>
  </w:style>
  <w:style w:type="paragraph" w:customStyle="1" w:styleId="3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6">
    <w:name w:val="楷体粗正文文字"/>
    <w:basedOn w:val="1"/>
    <w:next w:val="17"/>
    <w:qFormat/>
    <w:uiPriority w:val="0"/>
    <w:pPr>
      <w:snapToGrid w:val="0"/>
      <w:spacing w:line="480" w:lineRule="exact"/>
      <w:ind w:firstLine="560"/>
    </w:pPr>
    <w:rPr>
      <w:sz w:val="28"/>
    </w:rPr>
  </w:style>
  <w:style w:type="paragraph" w:customStyle="1" w:styleId="37">
    <w:name w:val="*正文"/>
    <w:basedOn w:val="1"/>
    <w:qFormat/>
    <w:uiPriority w:val="0"/>
    <w:pPr>
      <w:ind w:firstLine="200" w:firstLineChars="200"/>
    </w:pPr>
    <w:rPr>
      <w:rFonts w:ascii="宋体" w:hAnsi="宋体"/>
      <w:szCs w:val="22"/>
    </w:rPr>
  </w:style>
  <w:style w:type="character" w:customStyle="1" w:styleId="38">
    <w:name w:val="Char Char4"/>
    <w:qFormat/>
    <w:uiPriority w:val="0"/>
    <w:rPr>
      <w:rFonts w:eastAsia="宋体"/>
      <w:b/>
      <w:kern w:val="2"/>
      <w:sz w:val="21"/>
      <w:lang w:val="en-US" w:eastAsia="zh-CN"/>
    </w:rPr>
  </w:style>
  <w:style w:type="character" w:customStyle="1" w:styleId="39">
    <w:name w:val="font01"/>
    <w:basedOn w:val="26"/>
    <w:qFormat/>
    <w:uiPriority w:val="0"/>
    <w:rPr>
      <w:rFonts w:hint="eastAsia" w:ascii="宋体" w:hAnsi="宋体" w:eastAsia="宋体" w:cs="宋体"/>
      <w:b/>
      <w:bCs/>
      <w:color w:val="000000"/>
      <w:sz w:val="21"/>
      <w:szCs w:val="21"/>
      <w:u w:val="none"/>
    </w:rPr>
  </w:style>
  <w:style w:type="character" w:customStyle="1" w:styleId="40">
    <w:name w:val="font11"/>
    <w:basedOn w:val="26"/>
    <w:qFormat/>
    <w:uiPriority w:val="0"/>
    <w:rPr>
      <w:rFonts w:hint="eastAsia" w:ascii="宋体" w:hAnsi="宋体" w:eastAsia="宋体" w:cs="宋体"/>
      <w:color w:val="000000"/>
      <w:sz w:val="21"/>
      <w:szCs w:val="21"/>
      <w:u w:val="none"/>
    </w:rPr>
  </w:style>
  <w:style w:type="character" w:customStyle="1" w:styleId="41">
    <w:name w:val="纯文本 字符"/>
    <w:basedOn w:val="26"/>
    <w:link w:val="10"/>
    <w:qFormat/>
    <w:uiPriority w:val="0"/>
    <w:rPr>
      <w:rFonts w:ascii="宋体" w:hAnsi="Courier New"/>
      <w:kern w:val="2"/>
      <w:sz w:val="21"/>
      <w:szCs w:val="21"/>
    </w:rPr>
  </w:style>
  <w:style w:type="character" w:customStyle="1" w:styleId="42">
    <w:name w:val="批注框文本 字符"/>
    <w:basedOn w:val="26"/>
    <w:link w:val="13"/>
    <w:qFormat/>
    <w:uiPriority w:val="0"/>
    <w:rPr>
      <w:sz w:val="18"/>
      <w:szCs w:val="18"/>
    </w:rPr>
  </w:style>
  <w:style w:type="character" w:customStyle="1" w:styleId="43">
    <w:name w:val="纯文本 字符1"/>
    <w:qFormat/>
    <w:uiPriority w:val="0"/>
    <w:rPr>
      <w:rFonts w:ascii="andale mono" w:hAnsi="Microsoft Sans Serif"/>
      <w:kern w:val="2"/>
      <w:sz w:val="21"/>
    </w:rPr>
  </w:style>
  <w:style w:type="paragraph" w:styleId="44">
    <w:name w:val="No Spacing"/>
    <w:qFormat/>
    <w:uiPriority w:val="1"/>
    <w:pPr>
      <w:widowControl w:val="0"/>
      <w:jc w:val="both"/>
    </w:pPr>
    <w:rPr>
      <w:rFonts w:ascii="宋体" w:hAnsi="宋体" w:eastAsia="宋体" w:cs="Times New Roman"/>
      <w:kern w:val="2"/>
      <w:sz w:val="21"/>
      <w:szCs w:val="21"/>
      <w:lang w:val="en-US" w:eastAsia="zh-CN" w:bidi="ar-SA"/>
    </w:rPr>
  </w:style>
  <w:style w:type="character" w:customStyle="1" w:styleId="45">
    <w:name w:val="标题 Char"/>
    <w:qFormat/>
    <w:uiPriority w:val="0"/>
    <w:rPr>
      <w:rFonts w:ascii="Arial Black" w:hAnsi="Arial Black" w:cs="Arial"/>
      <w:b/>
      <w:bCs/>
      <w:kern w:val="2"/>
      <w:sz w:val="32"/>
      <w:szCs w:val="32"/>
    </w:rPr>
  </w:style>
  <w:style w:type="paragraph" w:customStyle="1" w:styleId="46">
    <w:name w:val="1"/>
    <w:basedOn w:val="1"/>
    <w:next w:val="10"/>
    <w:link w:val="49"/>
    <w:qFormat/>
    <w:uiPriority w:val="99"/>
    <w:rPr>
      <w:rFonts w:ascii="宋体" w:hAnsi="Courier New"/>
      <w:sz w:val="21"/>
    </w:rPr>
  </w:style>
  <w:style w:type="paragraph" w:customStyle="1" w:styleId="47">
    <w:name w:val="Style1"/>
    <w:next w:val="1"/>
    <w:qFormat/>
    <w:uiPriority w:val="0"/>
    <w:pPr>
      <w:numPr>
        <w:ilvl w:val="0"/>
        <w:numId w:val="1"/>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Times New Roman" w:hAnsi="Times New Roman" w:eastAsia="宋体" w:cs="andale mono"/>
      <w:b/>
      <w:kern w:val="24"/>
      <w:sz w:val="24"/>
      <w:lang w:val="en-GB" w:eastAsia="zh-CN" w:bidi="ar-SA"/>
    </w:rPr>
  </w:style>
  <w:style w:type="character" w:customStyle="1" w:styleId="48">
    <w:name w:val="正文文本缩进 2 字符"/>
    <w:basedOn w:val="26"/>
    <w:link w:val="12"/>
    <w:qFormat/>
    <w:uiPriority w:val="0"/>
    <w:rPr>
      <w:sz w:val="24"/>
      <w:szCs w:val="24"/>
    </w:rPr>
  </w:style>
  <w:style w:type="character" w:customStyle="1" w:styleId="49">
    <w:name w:val="1[858D7CFB-ED40-4347-BF05-701D383B685F]"/>
    <w:link w:val="46"/>
    <w:qFormat/>
    <w:uiPriority w:val="0"/>
    <w:rPr>
      <w:rFonts w:ascii="宋体" w:hAnsi="Courier New"/>
      <w:sz w:val="21"/>
      <w:szCs w:val="24"/>
    </w:rPr>
  </w:style>
  <w:style w:type="table" w:customStyle="1" w:styleId="50">
    <w:name w:val="网格型1"/>
    <w:basedOn w:val="24"/>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1">
    <w:name w:val="p"/>
    <w:basedOn w:val="1"/>
    <w:qFormat/>
    <w:uiPriority w:val="0"/>
    <w:pPr>
      <w:widowControl/>
      <w:adjustRightInd/>
      <w:spacing w:before="100" w:beforeAutospacing="1" w:after="100" w:afterAutospacing="1" w:line="240" w:lineRule="auto"/>
      <w:textAlignment w:val="auto"/>
    </w:pPr>
    <w:rPr>
      <w:rFonts w:ascii="宋体" w:hAnsi="宋体" w:cs="宋体"/>
    </w:rPr>
  </w:style>
  <w:style w:type="character" w:customStyle="1" w:styleId="52">
    <w:name w:val="标题 1 字符"/>
    <w:link w:val="3"/>
    <w:qFormat/>
    <w:uiPriority w:val="99"/>
    <w:rPr>
      <w:b/>
      <w:bCs/>
      <w:kern w:val="44"/>
      <w:sz w:val="44"/>
      <w:szCs w:val="44"/>
    </w:rPr>
  </w:style>
  <w:style w:type="character" w:customStyle="1" w:styleId="53">
    <w:name w:val="列表段落 字符"/>
    <w:link w:val="31"/>
    <w:qFormat/>
    <w:uiPriority w:val="99"/>
    <w:rPr>
      <w:rFonts w:ascii="Calibri" w:hAnsi="Calibri"/>
      <w:kern w:val="2"/>
      <w:sz w:val="21"/>
      <w:szCs w:val="22"/>
    </w:rPr>
  </w:style>
  <w:style w:type="character" w:customStyle="1" w:styleId="54">
    <w:name w:val="批注文字 字符"/>
    <w:basedOn w:val="26"/>
    <w:link w:val="6"/>
    <w:qFormat/>
    <w:uiPriority w:val="99"/>
  </w:style>
  <w:style w:type="character" w:customStyle="1" w:styleId="55">
    <w:name w:val="批注主题 字符"/>
    <w:basedOn w:val="54"/>
    <w:link w:val="22"/>
    <w:qFormat/>
    <w:uiPriority w:val="0"/>
    <w:rPr>
      <w:b/>
      <w:bCs/>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5.png"/><Relationship Id="rId23" Type="http://schemas.openxmlformats.org/officeDocument/2006/relationships/image" Target="media/image4.png"/><Relationship Id="rId22" Type="http://schemas.openxmlformats.org/officeDocument/2006/relationships/image" Target="media/image3.jpeg"/><Relationship Id="rId21" Type="http://schemas.openxmlformats.org/officeDocument/2006/relationships/image" Target="media/image2.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61C770-0F89-4CD3-8E3A-8CFD20DD45A0}">
  <ds:schemaRefs/>
</ds:datastoreItem>
</file>

<file path=docProps/app.xml><?xml version="1.0" encoding="utf-8"?>
<Properties xmlns="http://schemas.openxmlformats.org/officeDocument/2006/extended-properties" xmlns:vt="http://schemas.openxmlformats.org/officeDocument/2006/docPropsVTypes">
  <Template>Normal</Template>
  <Company>swu</Company>
  <Pages>76</Pages>
  <Words>49010</Words>
  <Characters>51655</Characters>
  <Lines>450</Lines>
  <Paragraphs>126</Paragraphs>
  <TotalTime>3</TotalTime>
  <ScaleCrop>false</ScaleCrop>
  <LinksUpToDate>false</LinksUpToDate>
  <CharactersWithSpaces>55348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2023-07-10T05:22:00Z</dcterms:created>
  <dc:creator>火焰-IT</dc:creator>
  <cp:lastModifiedBy>王琳</cp:lastModifiedBy>
  <cp:lastPrinted>2023-06-29T02:41:00Z</cp:lastPrinted>
  <dcterms:modified xsi:type="dcterms:W3CDTF">2023-08-31T01:28:34Z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BF2BFB94F2494F748F1A160A2BE3FE3B_13</vt:lpwstr>
  </property>
</Properties>
</file>