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C620E">
      <w:pPr>
        <w:adjustRightInd w:val="0"/>
        <w:snapToGrid w:val="0"/>
        <w:jc w:val="center"/>
        <w:rPr>
          <w:rFonts w:hint="eastAsia" w:ascii="宋体" w:hAnsi="宋体"/>
          <w:bCs/>
          <w:szCs w:val="32"/>
          <w:highlight w:val="none"/>
        </w:rPr>
      </w:pPr>
      <w:r>
        <w:rPr>
          <w:rFonts w:hint="eastAsia"/>
          <w:b/>
          <w:sz w:val="44"/>
          <w:highlight w:val="none"/>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9525" b="9525"/>
            <wp:wrapTight wrapText="bothSides">
              <wp:wrapPolygon>
                <wp:start x="-126" y="0"/>
                <wp:lineTo x="-126" y="21257"/>
                <wp:lineTo x="21600" y="21257"/>
                <wp:lineTo x="21600" y="0"/>
                <wp:lineTo x="-126" y="0"/>
              </wp:wrapPolygon>
            </wp:wrapTight>
            <wp:docPr id="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r>
        <w:rPr>
          <w:rFonts w:hint="eastAsia" w:ascii="宋体" w:hAnsi="宋体"/>
          <w:b/>
          <w:sz w:val="32"/>
          <w:szCs w:val="32"/>
          <w:highlight w:val="none"/>
        </w:rPr>
        <w:t xml:space="preserve">                                           </w:t>
      </w:r>
    </w:p>
    <w:p w14:paraId="02EC620F">
      <w:pPr>
        <w:ind w:right="-281"/>
        <w:jc w:val="right"/>
        <w:rPr>
          <w:rFonts w:ascii="Bookman Old Style" w:hAnsi="Bookman Old Style"/>
          <w:b/>
          <w:sz w:val="28"/>
          <w:highlight w:val="none"/>
        </w:rPr>
      </w:pPr>
    </w:p>
    <w:p w14:paraId="02EC6210">
      <w:pPr>
        <w:spacing w:after="312" w:afterLines="100" w:line="500" w:lineRule="exact"/>
        <w:jc w:val="center"/>
        <w:rPr>
          <w:b/>
          <w:sz w:val="44"/>
          <w:szCs w:val="44"/>
          <w:highlight w:val="none"/>
        </w:rPr>
      </w:pPr>
    </w:p>
    <w:p w14:paraId="02EC6211">
      <w:pPr>
        <w:spacing w:after="312" w:afterLines="100" w:line="500" w:lineRule="exact"/>
        <w:jc w:val="center"/>
        <w:rPr>
          <w:rFonts w:hint="eastAsia"/>
          <w:b/>
          <w:color w:val="auto"/>
          <w:sz w:val="52"/>
          <w:szCs w:val="52"/>
          <w:highlight w:val="none"/>
        </w:rPr>
      </w:pPr>
    </w:p>
    <w:p w14:paraId="02EC6213">
      <w:pPr>
        <w:keepNext w:val="0"/>
        <w:keepLines w:val="0"/>
        <w:pageBreakBefore w:val="0"/>
        <w:widowControl w:val="0"/>
        <w:kinsoku/>
        <w:wordWrap/>
        <w:overflowPunct/>
        <w:topLinePunct w:val="0"/>
        <w:autoSpaceDE/>
        <w:autoSpaceDN/>
        <w:bidi w:val="0"/>
        <w:adjustRightInd/>
        <w:snapToGrid/>
        <w:spacing w:after="312" w:afterLines="100" w:line="360" w:lineRule="auto"/>
        <w:jc w:val="center"/>
        <w:textAlignment w:val="auto"/>
        <w:rPr>
          <w:rFonts w:hint="eastAsia"/>
          <w:b/>
          <w:color w:val="auto"/>
          <w:sz w:val="52"/>
          <w:szCs w:val="52"/>
          <w:highlight w:val="none"/>
        </w:rPr>
      </w:pPr>
      <w:r>
        <w:rPr>
          <w:rFonts w:hint="eastAsia"/>
          <w:b/>
          <w:color w:val="auto"/>
          <w:sz w:val="52"/>
          <w:szCs w:val="52"/>
          <w:highlight w:val="none"/>
        </w:rPr>
        <w:t>中国科学院上海有机化学研究所超高效液相色谱仪及网络版软件采购项目</w:t>
      </w:r>
    </w:p>
    <w:p w14:paraId="02EC6214">
      <w:pPr>
        <w:spacing w:line="360" w:lineRule="auto"/>
        <w:jc w:val="center"/>
        <w:rPr>
          <w:b/>
          <w:sz w:val="44"/>
          <w:highlight w:val="none"/>
        </w:rPr>
      </w:pPr>
    </w:p>
    <w:p w14:paraId="02EC6215">
      <w:pPr>
        <w:spacing w:line="360" w:lineRule="auto"/>
        <w:rPr>
          <w:b/>
          <w:sz w:val="44"/>
          <w:highlight w:val="none"/>
        </w:rPr>
      </w:pPr>
    </w:p>
    <w:p w14:paraId="02EC6216">
      <w:pPr>
        <w:spacing w:line="360" w:lineRule="auto"/>
        <w:jc w:val="center"/>
        <w:rPr>
          <w:rFonts w:hint="eastAsia" w:ascii="宋体" w:hAnsi="宋体"/>
          <w:b/>
          <w:szCs w:val="21"/>
          <w:highlight w:val="none"/>
        </w:rPr>
      </w:pPr>
      <w:r>
        <w:rPr>
          <w:rFonts w:hint="eastAsia" w:ascii="宋体" w:hAnsi="宋体"/>
          <w:b/>
          <w:sz w:val="72"/>
          <w:szCs w:val="52"/>
          <w:highlight w:val="none"/>
        </w:rPr>
        <w:t>招</w:t>
      </w:r>
      <w:r>
        <w:rPr>
          <w:rFonts w:ascii="宋体" w:hAnsi="宋体"/>
          <w:b/>
          <w:sz w:val="72"/>
          <w:szCs w:val="52"/>
          <w:highlight w:val="none"/>
        </w:rPr>
        <w:t xml:space="preserve">  </w:t>
      </w:r>
      <w:r>
        <w:rPr>
          <w:rFonts w:hint="eastAsia" w:ascii="宋体" w:hAnsi="宋体"/>
          <w:b/>
          <w:sz w:val="72"/>
          <w:szCs w:val="52"/>
          <w:highlight w:val="none"/>
        </w:rPr>
        <w:t>标</w:t>
      </w:r>
      <w:r>
        <w:rPr>
          <w:rFonts w:ascii="宋体" w:hAnsi="宋体"/>
          <w:b/>
          <w:sz w:val="72"/>
          <w:szCs w:val="52"/>
          <w:highlight w:val="none"/>
        </w:rPr>
        <w:t xml:space="preserve">  </w:t>
      </w:r>
      <w:r>
        <w:rPr>
          <w:rFonts w:hint="eastAsia" w:ascii="宋体" w:hAnsi="宋体"/>
          <w:b/>
          <w:sz w:val="72"/>
          <w:szCs w:val="52"/>
          <w:highlight w:val="none"/>
        </w:rPr>
        <w:t>文</w:t>
      </w:r>
      <w:r>
        <w:rPr>
          <w:rFonts w:ascii="宋体" w:hAnsi="宋体"/>
          <w:b/>
          <w:sz w:val="72"/>
          <w:szCs w:val="52"/>
          <w:highlight w:val="none"/>
        </w:rPr>
        <w:t xml:space="preserve">  </w:t>
      </w:r>
      <w:r>
        <w:rPr>
          <w:rFonts w:hint="eastAsia" w:ascii="宋体" w:hAnsi="宋体"/>
          <w:b/>
          <w:sz w:val="72"/>
          <w:szCs w:val="52"/>
          <w:highlight w:val="none"/>
        </w:rPr>
        <w:t>件</w:t>
      </w:r>
    </w:p>
    <w:p w14:paraId="02EC6217">
      <w:pPr>
        <w:spacing w:line="360" w:lineRule="auto"/>
        <w:jc w:val="center"/>
        <w:rPr>
          <w:rFonts w:hint="eastAsia" w:ascii="宋体" w:hAnsi="宋体"/>
          <w:b/>
          <w:sz w:val="32"/>
          <w:szCs w:val="32"/>
          <w:highlight w:val="none"/>
        </w:rPr>
      </w:pPr>
    </w:p>
    <w:p w14:paraId="02EC6218">
      <w:pPr>
        <w:spacing w:line="360" w:lineRule="auto"/>
        <w:jc w:val="center"/>
        <w:rPr>
          <w:rFonts w:hint="eastAsia" w:ascii="宋体" w:hAnsi="宋体"/>
          <w:b/>
          <w:sz w:val="44"/>
          <w:szCs w:val="44"/>
          <w:highlight w:val="none"/>
        </w:rPr>
      </w:pPr>
      <w:r>
        <w:rPr>
          <w:rFonts w:hint="eastAsia" w:ascii="宋体" w:hAnsi="宋体"/>
          <w:b/>
          <w:sz w:val="44"/>
          <w:szCs w:val="44"/>
          <w:highlight w:val="none"/>
        </w:rPr>
        <w:t>第二册</w:t>
      </w:r>
    </w:p>
    <w:p w14:paraId="02EC6219">
      <w:pPr>
        <w:spacing w:line="360" w:lineRule="auto"/>
        <w:jc w:val="center"/>
        <w:rPr>
          <w:rFonts w:hint="eastAsia" w:ascii="宋体" w:hAnsi="宋体"/>
          <w:b/>
          <w:sz w:val="44"/>
          <w:szCs w:val="44"/>
          <w:highlight w:val="none"/>
        </w:rPr>
      </w:pPr>
      <w:r>
        <w:rPr>
          <w:rFonts w:hint="eastAsia" w:ascii="宋体" w:hAnsi="宋体"/>
          <w:b/>
          <w:sz w:val="44"/>
          <w:szCs w:val="44"/>
          <w:highlight w:val="none"/>
        </w:rPr>
        <w:t>（专用册）</w:t>
      </w:r>
    </w:p>
    <w:p w14:paraId="02EC621A">
      <w:pPr>
        <w:spacing w:line="360" w:lineRule="auto"/>
        <w:jc w:val="center"/>
        <w:rPr>
          <w:rFonts w:hint="eastAsia" w:ascii="宋体" w:hAnsi="宋体"/>
          <w:b/>
          <w:sz w:val="30"/>
          <w:szCs w:val="30"/>
          <w:highlight w:val="none"/>
        </w:rPr>
      </w:pPr>
    </w:p>
    <w:p w14:paraId="02EC621B">
      <w:pPr>
        <w:spacing w:line="360" w:lineRule="auto"/>
        <w:jc w:val="center"/>
        <w:rPr>
          <w:rFonts w:hint="eastAsia" w:eastAsia="宋体"/>
          <w:b/>
          <w:sz w:val="32"/>
          <w:highlight w:val="none"/>
          <w:lang w:eastAsia="zh-CN"/>
        </w:rPr>
      </w:pPr>
      <w:r>
        <w:rPr>
          <w:rFonts w:hint="eastAsia" w:ascii="宋体" w:hAnsi="宋体"/>
          <w:b/>
          <w:sz w:val="36"/>
          <w:szCs w:val="36"/>
          <w:highlight w:val="none"/>
        </w:rPr>
        <w:t>招标编号：</w:t>
      </w:r>
      <w:r>
        <w:rPr>
          <w:rFonts w:hint="eastAsia" w:ascii="宋体" w:hAnsi="宋体"/>
          <w:b/>
          <w:sz w:val="36"/>
          <w:szCs w:val="36"/>
          <w:highlight w:val="none"/>
          <w:u w:val="single"/>
          <w:lang w:eastAsia="zh-CN"/>
        </w:rPr>
        <w:t>OITC-G240300913</w:t>
      </w:r>
    </w:p>
    <w:p w14:paraId="02EC621C">
      <w:pPr>
        <w:spacing w:line="360" w:lineRule="auto"/>
        <w:jc w:val="center"/>
        <w:rPr>
          <w:b/>
          <w:sz w:val="32"/>
          <w:highlight w:val="none"/>
        </w:rPr>
      </w:pPr>
    </w:p>
    <w:p w14:paraId="02EC621D">
      <w:pPr>
        <w:adjustRightInd w:val="0"/>
        <w:snapToGrid w:val="0"/>
        <w:spacing w:before="120"/>
        <w:jc w:val="center"/>
        <w:rPr>
          <w:rFonts w:hint="eastAsia" w:ascii="宋体" w:hAnsi="宋体"/>
          <w:b/>
          <w:bCs/>
          <w:snapToGrid w:val="0"/>
          <w:spacing w:val="20"/>
          <w:sz w:val="36"/>
          <w:szCs w:val="36"/>
          <w:highlight w:val="none"/>
        </w:rPr>
      </w:pPr>
      <w:r>
        <w:rPr>
          <w:rFonts w:hint="eastAsia" w:ascii="宋体" w:hAnsi="宋体"/>
          <w:b/>
          <w:bCs/>
          <w:snapToGrid w:val="0"/>
          <w:spacing w:val="20"/>
          <w:sz w:val="36"/>
          <w:szCs w:val="36"/>
          <w:highlight w:val="none"/>
        </w:rPr>
        <w:t>东方国际招标有限责任公司</w:t>
      </w:r>
    </w:p>
    <w:p w14:paraId="02EC621E">
      <w:pPr>
        <w:adjustRightInd w:val="0"/>
        <w:snapToGrid w:val="0"/>
        <w:jc w:val="center"/>
        <w:rPr>
          <w:rFonts w:hint="eastAsia" w:ascii="宋体" w:hAnsi="宋体"/>
          <w:b/>
          <w:snapToGrid w:val="0"/>
          <w:sz w:val="36"/>
          <w:szCs w:val="36"/>
          <w:highlight w:val="none"/>
        </w:rPr>
      </w:pPr>
    </w:p>
    <w:p w14:paraId="02EC621F">
      <w:pPr>
        <w:adjustRightInd w:val="0"/>
        <w:snapToGrid w:val="0"/>
        <w:jc w:val="center"/>
        <w:rPr>
          <w:rFonts w:hint="eastAsia" w:ascii="宋体" w:hAnsi="宋体"/>
          <w:b/>
          <w:snapToGrid w:val="0"/>
          <w:sz w:val="36"/>
          <w:szCs w:val="36"/>
          <w:highlight w:val="none"/>
        </w:rPr>
      </w:pPr>
    </w:p>
    <w:p w14:paraId="02EC6220">
      <w:pPr>
        <w:adjustRightInd w:val="0"/>
        <w:snapToGrid w:val="0"/>
        <w:jc w:val="center"/>
        <w:rPr>
          <w:rFonts w:hint="eastAsia" w:ascii="宋体" w:hAnsi="宋体"/>
          <w:b/>
          <w:snapToGrid w:val="0"/>
          <w:sz w:val="36"/>
          <w:szCs w:val="36"/>
          <w:highlight w:val="none"/>
        </w:rPr>
      </w:pPr>
      <w:r>
        <w:rPr>
          <w:rFonts w:hint="eastAsia" w:ascii="宋体" w:hAnsi="宋体"/>
          <w:b/>
          <w:snapToGrid w:val="0"/>
          <w:sz w:val="36"/>
          <w:szCs w:val="36"/>
          <w:highlight w:val="none"/>
        </w:rPr>
        <w:t>中国 · 北京</w:t>
      </w:r>
    </w:p>
    <w:p w14:paraId="02EC6221">
      <w:pPr>
        <w:adjustRightInd w:val="0"/>
        <w:snapToGrid w:val="0"/>
        <w:jc w:val="center"/>
        <w:rPr>
          <w:rFonts w:hint="eastAsia" w:ascii="宋体" w:hAnsi="宋体"/>
          <w:b/>
          <w:sz w:val="32"/>
          <w:szCs w:val="32"/>
          <w:highlight w:val="none"/>
        </w:rPr>
      </w:pPr>
      <w:r>
        <w:rPr>
          <w:rFonts w:hint="eastAsia" w:ascii="宋体" w:hAnsi="宋体"/>
          <w:b/>
          <w:snapToGrid w:val="0"/>
          <w:sz w:val="36"/>
          <w:szCs w:val="36"/>
          <w:highlight w:val="none"/>
        </w:rPr>
        <w:t>2024年</w:t>
      </w:r>
      <w:r>
        <w:rPr>
          <w:rFonts w:hint="eastAsia" w:ascii="宋体" w:hAnsi="宋体"/>
          <w:b/>
          <w:snapToGrid w:val="0"/>
          <w:sz w:val="36"/>
          <w:szCs w:val="36"/>
          <w:highlight w:val="none"/>
          <w:lang w:val="en-US" w:eastAsia="zh-CN"/>
        </w:rPr>
        <w:t>9</w:t>
      </w:r>
      <w:r>
        <w:rPr>
          <w:rFonts w:hint="eastAsia" w:ascii="宋体" w:hAnsi="宋体"/>
          <w:b/>
          <w:snapToGrid w:val="0"/>
          <w:sz w:val="36"/>
          <w:szCs w:val="36"/>
          <w:highlight w:val="none"/>
        </w:rPr>
        <w:t>月</w:t>
      </w:r>
    </w:p>
    <w:p w14:paraId="02EC6222">
      <w:pPr>
        <w:pStyle w:val="2"/>
        <w:snapToGrid w:val="0"/>
        <w:spacing w:before="0" w:after="0" w:line="240" w:lineRule="auto"/>
        <w:rPr>
          <w:rFonts w:hint="eastAsia" w:hAnsi="宋体"/>
          <w:sz w:val="24"/>
          <w:szCs w:val="24"/>
          <w:highlight w:val="none"/>
        </w:rPr>
      </w:pPr>
    </w:p>
    <w:p w14:paraId="02EC6223">
      <w:pPr>
        <w:adjustRightInd w:val="0"/>
        <w:snapToGrid w:val="0"/>
        <w:rPr>
          <w:rFonts w:hint="eastAsia" w:ascii="宋体" w:hAnsi="宋体"/>
          <w:highlight w:val="none"/>
        </w:rPr>
      </w:pPr>
    </w:p>
    <w:p w14:paraId="02EC6224">
      <w:pPr>
        <w:adjustRightInd w:val="0"/>
        <w:snapToGrid w:val="0"/>
        <w:rPr>
          <w:rFonts w:hint="eastAsia" w:ascii="宋体" w:hAnsi="宋体"/>
          <w:highlight w:val="none"/>
        </w:rPr>
      </w:pPr>
    </w:p>
    <w:p w14:paraId="02EC6416">
      <w:pPr>
        <w:adjustRightInd w:val="0"/>
        <w:snapToGrid w:val="0"/>
        <w:jc w:val="center"/>
        <w:rPr>
          <w:rFonts w:hint="eastAsia" w:ascii="宋体" w:hAnsi="宋体"/>
          <w:b/>
          <w:sz w:val="24"/>
          <w:highlight w:val="none"/>
        </w:rPr>
      </w:pPr>
      <w:bookmarkStart w:id="1" w:name="_GoBack"/>
      <w:bookmarkEnd w:id="1"/>
      <w:bookmarkStart w:id="0" w:name="_Toc512937852"/>
    </w:p>
    <w:p w14:paraId="02EC6417">
      <w:pPr>
        <w:adjustRightInd w:val="0"/>
        <w:snapToGrid w:val="0"/>
        <w:jc w:val="center"/>
        <w:rPr>
          <w:rFonts w:hint="eastAsia" w:ascii="宋体" w:hAnsi="宋体"/>
          <w:b/>
          <w:sz w:val="24"/>
          <w:highlight w:val="none"/>
        </w:rPr>
      </w:pPr>
    </w:p>
    <w:p w14:paraId="02EC6418">
      <w:pPr>
        <w:adjustRightInd w:val="0"/>
        <w:snapToGrid w:val="0"/>
        <w:jc w:val="center"/>
        <w:rPr>
          <w:rFonts w:hint="eastAsia" w:ascii="宋体" w:hAnsi="宋体"/>
          <w:b/>
          <w:sz w:val="24"/>
          <w:highlight w:val="none"/>
        </w:rPr>
      </w:pPr>
    </w:p>
    <w:p w14:paraId="02EC6419">
      <w:pPr>
        <w:adjustRightInd w:val="0"/>
        <w:snapToGrid w:val="0"/>
        <w:jc w:val="center"/>
        <w:rPr>
          <w:rFonts w:hint="eastAsia" w:ascii="宋体" w:hAnsi="宋体"/>
          <w:b/>
          <w:sz w:val="24"/>
          <w:highlight w:val="none"/>
        </w:rPr>
      </w:pPr>
    </w:p>
    <w:p w14:paraId="02EC641A">
      <w:pPr>
        <w:adjustRightInd w:val="0"/>
        <w:snapToGrid w:val="0"/>
        <w:jc w:val="center"/>
        <w:rPr>
          <w:rFonts w:hint="eastAsia" w:ascii="宋体" w:hAnsi="宋体"/>
          <w:b/>
          <w:sz w:val="24"/>
          <w:highlight w:val="none"/>
        </w:rPr>
      </w:pPr>
    </w:p>
    <w:p w14:paraId="02EC641B">
      <w:pPr>
        <w:adjustRightInd w:val="0"/>
        <w:snapToGrid w:val="0"/>
        <w:jc w:val="center"/>
        <w:rPr>
          <w:rFonts w:hint="eastAsia" w:ascii="宋体" w:hAnsi="宋体"/>
          <w:b/>
          <w:sz w:val="24"/>
          <w:highlight w:val="none"/>
        </w:rPr>
      </w:pPr>
    </w:p>
    <w:p w14:paraId="02EC641C">
      <w:pPr>
        <w:adjustRightInd w:val="0"/>
        <w:snapToGrid w:val="0"/>
        <w:jc w:val="center"/>
        <w:rPr>
          <w:rFonts w:hint="eastAsia" w:ascii="宋体" w:hAnsi="宋体"/>
          <w:b/>
          <w:sz w:val="24"/>
          <w:highlight w:val="none"/>
        </w:rPr>
      </w:pPr>
    </w:p>
    <w:p w14:paraId="02EC641D">
      <w:pPr>
        <w:adjustRightInd w:val="0"/>
        <w:snapToGrid w:val="0"/>
        <w:jc w:val="center"/>
        <w:rPr>
          <w:rFonts w:hint="eastAsia" w:ascii="宋体" w:hAnsi="宋体"/>
          <w:b/>
          <w:sz w:val="24"/>
          <w:highlight w:val="none"/>
        </w:rPr>
      </w:pPr>
    </w:p>
    <w:p w14:paraId="02EC641E">
      <w:pPr>
        <w:adjustRightInd w:val="0"/>
        <w:snapToGrid w:val="0"/>
        <w:jc w:val="center"/>
        <w:rPr>
          <w:rFonts w:hint="eastAsia" w:ascii="宋体" w:hAnsi="宋体"/>
          <w:b/>
          <w:sz w:val="24"/>
          <w:highlight w:val="none"/>
        </w:rPr>
      </w:pPr>
    </w:p>
    <w:p w14:paraId="02EC641F">
      <w:pPr>
        <w:adjustRightInd w:val="0"/>
        <w:snapToGrid w:val="0"/>
        <w:jc w:val="center"/>
        <w:rPr>
          <w:rFonts w:hint="eastAsia" w:ascii="宋体" w:hAnsi="宋体"/>
          <w:b/>
          <w:sz w:val="24"/>
          <w:highlight w:val="none"/>
        </w:rPr>
      </w:pPr>
    </w:p>
    <w:p w14:paraId="02EC6420">
      <w:pPr>
        <w:adjustRightInd w:val="0"/>
        <w:snapToGrid w:val="0"/>
        <w:jc w:val="center"/>
        <w:rPr>
          <w:rFonts w:hint="eastAsia" w:ascii="宋体" w:hAnsi="宋体"/>
          <w:b/>
          <w:sz w:val="24"/>
          <w:highlight w:val="none"/>
        </w:rPr>
      </w:pPr>
    </w:p>
    <w:p w14:paraId="02EC6421">
      <w:pPr>
        <w:adjustRightInd w:val="0"/>
        <w:snapToGrid w:val="0"/>
        <w:jc w:val="center"/>
        <w:rPr>
          <w:rFonts w:hint="eastAsia" w:ascii="宋体" w:hAnsi="宋体"/>
          <w:b/>
          <w:sz w:val="24"/>
          <w:highlight w:val="none"/>
        </w:rPr>
      </w:pPr>
    </w:p>
    <w:p w14:paraId="02EC6422">
      <w:pPr>
        <w:adjustRightInd w:val="0"/>
        <w:snapToGrid w:val="0"/>
        <w:spacing w:before="936" w:beforeLines="300"/>
        <w:jc w:val="center"/>
        <w:rPr>
          <w:rFonts w:ascii="黑体" w:eastAsia="黑体"/>
          <w:b/>
          <w:kern w:val="44"/>
          <w:sz w:val="48"/>
          <w:szCs w:val="20"/>
          <w:highlight w:val="none"/>
        </w:rPr>
      </w:pPr>
      <w:r>
        <w:rPr>
          <w:rFonts w:hint="eastAsia" w:ascii="黑体" w:eastAsia="黑体"/>
          <w:b/>
          <w:kern w:val="44"/>
          <w:sz w:val="48"/>
          <w:szCs w:val="20"/>
          <w:highlight w:val="none"/>
        </w:rPr>
        <w:t>第八部分  采购需求</w:t>
      </w:r>
      <w:r>
        <w:rPr>
          <w:rFonts w:ascii="黑体" w:eastAsia="黑体"/>
          <w:b/>
          <w:kern w:val="44"/>
          <w:sz w:val="48"/>
          <w:szCs w:val="20"/>
          <w:highlight w:val="none"/>
        </w:rPr>
        <w:br w:type="page"/>
      </w:r>
    </w:p>
    <w:bookmarkEnd w:id="0"/>
    <w:p w14:paraId="02EC6423">
      <w:pPr>
        <w:adjustRightInd w:val="0"/>
        <w:snapToGrid w:val="0"/>
        <w:jc w:val="center"/>
        <w:rPr>
          <w:rFonts w:hint="eastAsia" w:ascii="宋体" w:hAnsi="宋体"/>
          <w:b/>
          <w:sz w:val="30"/>
          <w:szCs w:val="30"/>
          <w:highlight w:val="none"/>
        </w:rPr>
      </w:pPr>
      <w:r>
        <w:rPr>
          <w:rFonts w:hint="eastAsia" w:ascii="宋体" w:hAnsi="宋体"/>
          <w:b/>
          <w:sz w:val="30"/>
          <w:szCs w:val="30"/>
          <w:highlight w:val="none"/>
        </w:rPr>
        <w:t>一、货物需求一览表</w:t>
      </w:r>
    </w:p>
    <w:p w14:paraId="02EC6424">
      <w:pPr>
        <w:adjustRightInd w:val="0"/>
        <w:snapToGrid w:val="0"/>
        <w:jc w:val="center"/>
        <w:rPr>
          <w:rFonts w:hint="eastAsia" w:ascii="宋体" w:hAnsi="宋体"/>
          <w:b/>
          <w:sz w:val="30"/>
          <w:szCs w:val="30"/>
          <w:highlight w:val="none"/>
        </w:rPr>
      </w:pPr>
    </w:p>
    <w:tbl>
      <w:tblPr>
        <w:tblStyle w:val="28"/>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14:paraId="02EC6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vAlign w:val="center"/>
          </w:tcPr>
          <w:p w14:paraId="02EC6425">
            <w:pPr>
              <w:jc w:val="center"/>
              <w:rPr>
                <w:rFonts w:ascii="宋体" w:hAnsi="Bookman Old Style"/>
                <w:sz w:val="24"/>
                <w:highlight w:val="none"/>
              </w:rPr>
            </w:pPr>
            <w:r>
              <w:rPr>
                <w:rFonts w:hint="eastAsia" w:ascii="宋体" w:hAnsi="Bookman Old Style"/>
                <w:sz w:val="24"/>
                <w:highlight w:val="none"/>
              </w:rPr>
              <w:t>包号</w:t>
            </w:r>
          </w:p>
        </w:tc>
        <w:tc>
          <w:tcPr>
            <w:tcW w:w="1878" w:type="dxa"/>
            <w:vAlign w:val="center"/>
          </w:tcPr>
          <w:p w14:paraId="02EC6426">
            <w:pPr>
              <w:jc w:val="center"/>
              <w:rPr>
                <w:rFonts w:ascii="宋体" w:hAnsi="Bookman Old Style"/>
                <w:sz w:val="24"/>
                <w:highlight w:val="none"/>
              </w:rPr>
            </w:pPr>
            <w:r>
              <w:rPr>
                <w:rFonts w:hint="eastAsia" w:ascii="宋体" w:hAnsi="Bookman Old Style"/>
                <w:sz w:val="24"/>
                <w:highlight w:val="none"/>
              </w:rPr>
              <w:t>货物名称</w:t>
            </w:r>
          </w:p>
        </w:tc>
        <w:tc>
          <w:tcPr>
            <w:tcW w:w="1122" w:type="dxa"/>
            <w:vAlign w:val="center"/>
          </w:tcPr>
          <w:p w14:paraId="02EC6427">
            <w:pPr>
              <w:jc w:val="center"/>
              <w:rPr>
                <w:rFonts w:ascii="宋体" w:hAnsi="Bookman Old Style"/>
                <w:sz w:val="24"/>
                <w:highlight w:val="none"/>
              </w:rPr>
            </w:pPr>
            <w:r>
              <w:rPr>
                <w:rFonts w:hint="eastAsia" w:ascii="宋体" w:hAnsi="Bookman Old Style"/>
                <w:sz w:val="24"/>
                <w:highlight w:val="none"/>
              </w:rPr>
              <w:t>数量</w:t>
            </w:r>
          </w:p>
        </w:tc>
        <w:tc>
          <w:tcPr>
            <w:tcW w:w="1011" w:type="dxa"/>
            <w:vAlign w:val="center"/>
          </w:tcPr>
          <w:p w14:paraId="02EC6428">
            <w:pPr>
              <w:jc w:val="center"/>
              <w:rPr>
                <w:rFonts w:ascii="宋体" w:hAnsi="Bookman Old Style"/>
                <w:sz w:val="24"/>
                <w:highlight w:val="none"/>
              </w:rPr>
            </w:pPr>
            <w:r>
              <w:rPr>
                <w:rFonts w:hint="eastAsia" w:ascii="宋体" w:hAnsi="Bookman Old Style"/>
                <w:sz w:val="24"/>
                <w:highlight w:val="none"/>
              </w:rPr>
              <w:t>交货期</w:t>
            </w:r>
          </w:p>
        </w:tc>
        <w:tc>
          <w:tcPr>
            <w:tcW w:w="1567" w:type="dxa"/>
            <w:vAlign w:val="center"/>
          </w:tcPr>
          <w:p w14:paraId="02EC6429">
            <w:pPr>
              <w:jc w:val="center"/>
              <w:rPr>
                <w:rFonts w:ascii="宋体" w:hAnsi="Bookman Old Style"/>
                <w:sz w:val="24"/>
                <w:highlight w:val="none"/>
              </w:rPr>
            </w:pPr>
            <w:r>
              <w:rPr>
                <w:rFonts w:hint="eastAsia" w:ascii="宋体" w:hAnsi="Bookman Old Style"/>
                <w:sz w:val="24"/>
                <w:highlight w:val="none"/>
              </w:rPr>
              <w:t>指定到货港</w:t>
            </w:r>
          </w:p>
        </w:tc>
        <w:tc>
          <w:tcPr>
            <w:tcW w:w="2459" w:type="dxa"/>
            <w:vAlign w:val="center"/>
          </w:tcPr>
          <w:p w14:paraId="02EC642A">
            <w:pPr>
              <w:jc w:val="center"/>
              <w:rPr>
                <w:rFonts w:ascii="宋体" w:hAnsi="Bookman Old Style"/>
                <w:sz w:val="24"/>
                <w:highlight w:val="none"/>
                <w:shd w:val="pct10" w:color="auto" w:fill="FFFFFF"/>
              </w:rPr>
            </w:pPr>
            <w:r>
              <w:rPr>
                <w:rFonts w:hint="eastAsia" w:ascii="宋体" w:hAnsi="Bookman Old Style"/>
                <w:sz w:val="24"/>
                <w:highlight w:val="none"/>
              </w:rPr>
              <w:t>项目现场（交货地点）</w:t>
            </w:r>
          </w:p>
        </w:tc>
      </w:tr>
      <w:tr w14:paraId="02EC6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Align w:val="center"/>
          </w:tcPr>
          <w:p w14:paraId="02EC642C">
            <w:pPr>
              <w:jc w:val="center"/>
              <w:rPr>
                <w:rFonts w:ascii="宋体"/>
                <w:sz w:val="24"/>
                <w:highlight w:val="none"/>
              </w:rPr>
            </w:pPr>
            <w:r>
              <w:rPr>
                <w:rFonts w:hint="eastAsia" w:ascii="宋体"/>
                <w:sz w:val="24"/>
                <w:highlight w:val="none"/>
              </w:rPr>
              <w:t>1</w:t>
            </w:r>
          </w:p>
        </w:tc>
        <w:tc>
          <w:tcPr>
            <w:tcW w:w="1878" w:type="dxa"/>
            <w:vAlign w:val="center"/>
          </w:tcPr>
          <w:p w14:paraId="02EC642D">
            <w:pPr>
              <w:jc w:val="center"/>
              <w:rPr>
                <w:rFonts w:ascii="Bookman Old Style" w:hAnsi="Bookman Old Style"/>
                <w:sz w:val="24"/>
                <w:highlight w:val="none"/>
              </w:rPr>
            </w:pPr>
            <w:r>
              <w:rPr>
                <w:rFonts w:hint="eastAsia" w:ascii="宋体" w:hAnsi="宋体" w:cs="宋体"/>
                <w:kern w:val="0"/>
                <w:sz w:val="24"/>
                <w:highlight w:val="none"/>
              </w:rPr>
              <w:t>超高效液相色谱仪及网络版软件</w:t>
            </w:r>
          </w:p>
        </w:tc>
        <w:tc>
          <w:tcPr>
            <w:tcW w:w="1122" w:type="dxa"/>
            <w:vAlign w:val="center"/>
          </w:tcPr>
          <w:p w14:paraId="02EC642E">
            <w:pPr>
              <w:jc w:val="center"/>
              <w:rPr>
                <w:rFonts w:ascii="宋体" w:hAnsi="Bookman Old Style"/>
                <w:sz w:val="24"/>
                <w:highlight w:val="none"/>
              </w:rPr>
            </w:pPr>
            <w:r>
              <w:rPr>
                <w:rFonts w:hint="eastAsia" w:ascii="宋体" w:hAnsi="宋体"/>
                <w:sz w:val="24"/>
                <w:highlight w:val="none"/>
              </w:rPr>
              <w:t>4套</w:t>
            </w:r>
          </w:p>
        </w:tc>
        <w:tc>
          <w:tcPr>
            <w:tcW w:w="5037" w:type="dxa"/>
            <w:gridSpan w:val="3"/>
            <w:vAlign w:val="center"/>
          </w:tcPr>
          <w:p w14:paraId="02EC642F">
            <w:pPr>
              <w:jc w:val="center"/>
              <w:rPr>
                <w:rFonts w:ascii="宋体" w:hAnsi="Bookman Old Style"/>
                <w:sz w:val="24"/>
                <w:highlight w:val="none"/>
              </w:rPr>
            </w:pPr>
            <w:r>
              <w:rPr>
                <w:rFonts w:hint="eastAsia" w:ascii="宋体" w:hAnsi="Bookman Old Style"/>
                <w:sz w:val="24"/>
                <w:highlight w:val="none"/>
              </w:rPr>
              <w:t>详见具体技术规格</w:t>
            </w:r>
          </w:p>
        </w:tc>
      </w:tr>
    </w:tbl>
    <w:p w14:paraId="02EC6431">
      <w:pPr>
        <w:adjustRightInd w:val="0"/>
        <w:snapToGrid w:val="0"/>
        <w:jc w:val="center"/>
        <w:rPr>
          <w:rFonts w:hint="eastAsia" w:ascii="宋体" w:hAnsi="宋体"/>
          <w:b/>
          <w:sz w:val="30"/>
          <w:szCs w:val="30"/>
          <w:highlight w:val="none"/>
        </w:rPr>
      </w:pPr>
    </w:p>
    <w:p w14:paraId="02EC6432">
      <w:pPr>
        <w:adjustRightInd w:val="0"/>
        <w:snapToGrid w:val="0"/>
        <w:jc w:val="center"/>
        <w:rPr>
          <w:rFonts w:hint="eastAsia" w:ascii="宋体" w:hAnsi="宋体"/>
          <w:b/>
          <w:sz w:val="30"/>
          <w:szCs w:val="30"/>
          <w:highlight w:val="none"/>
        </w:rPr>
      </w:pPr>
    </w:p>
    <w:p w14:paraId="02EC6433">
      <w:pPr>
        <w:adjustRightInd w:val="0"/>
        <w:snapToGrid w:val="0"/>
        <w:jc w:val="center"/>
        <w:rPr>
          <w:rFonts w:hint="eastAsia" w:ascii="宋体" w:hAnsi="宋体"/>
          <w:b/>
          <w:sz w:val="30"/>
          <w:szCs w:val="30"/>
          <w:highlight w:val="none"/>
        </w:rPr>
      </w:pPr>
    </w:p>
    <w:p w14:paraId="02EC6434">
      <w:pPr>
        <w:rPr>
          <w:rFonts w:ascii="Bookman Old Style" w:hAnsi="Bookman Old Style"/>
          <w:sz w:val="24"/>
          <w:highlight w:val="none"/>
        </w:rPr>
      </w:pPr>
      <w:r>
        <w:rPr>
          <w:rFonts w:hint="eastAsia"/>
          <w:sz w:val="24"/>
          <w:highlight w:val="none"/>
        </w:rPr>
        <w:t>注：投标人须对上述投标内容中完整的一包或几包进行投标，</w:t>
      </w:r>
      <w:r>
        <w:rPr>
          <w:rFonts w:hint="eastAsia" w:ascii="Bookman Old Style" w:hAnsi="Bookman Old Style"/>
          <w:sz w:val="24"/>
          <w:highlight w:val="none"/>
        </w:rPr>
        <w:t>不完整的投标将视为非响应性投标予以拒绝。</w:t>
      </w:r>
    </w:p>
    <w:p w14:paraId="02EC6435">
      <w:pPr>
        <w:adjustRightInd w:val="0"/>
        <w:snapToGrid w:val="0"/>
        <w:rPr>
          <w:rFonts w:hint="eastAsia" w:ascii="宋体" w:hAnsi="宋体"/>
          <w:szCs w:val="21"/>
          <w:highlight w:val="none"/>
        </w:rPr>
      </w:pPr>
    </w:p>
    <w:p w14:paraId="02EC6436">
      <w:pPr>
        <w:adjustRightInd w:val="0"/>
        <w:snapToGrid w:val="0"/>
        <w:rPr>
          <w:rFonts w:hint="eastAsia" w:ascii="宋体" w:hAnsi="宋体"/>
          <w:szCs w:val="21"/>
          <w:highlight w:val="none"/>
        </w:rPr>
      </w:pPr>
    </w:p>
    <w:p w14:paraId="02EC6437">
      <w:pPr>
        <w:adjustRightInd w:val="0"/>
        <w:snapToGrid w:val="0"/>
        <w:rPr>
          <w:rFonts w:hint="eastAsia" w:ascii="宋体" w:hAnsi="宋体"/>
          <w:szCs w:val="21"/>
          <w:highlight w:val="none"/>
        </w:rPr>
      </w:pPr>
    </w:p>
    <w:p w14:paraId="02EC6438">
      <w:pPr>
        <w:adjustRightInd w:val="0"/>
        <w:snapToGrid w:val="0"/>
        <w:rPr>
          <w:rFonts w:hint="eastAsia" w:ascii="宋体" w:hAnsi="宋体"/>
          <w:szCs w:val="21"/>
          <w:highlight w:val="none"/>
        </w:rPr>
      </w:pPr>
    </w:p>
    <w:p w14:paraId="02EC6439">
      <w:pPr>
        <w:adjustRightInd w:val="0"/>
        <w:snapToGrid w:val="0"/>
        <w:rPr>
          <w:rFonts w:hint="eastAsia" w:ascii="宋体" w:hAnsi="宋体"/>
          <w:szCs w:val="21"/>
          <w:highlight w:val="none"/>
        </w:rPr>
      </w:pPr>
    </w:p>
    <w:p w14:paraId="02EC643A">
      <w:pPr>
        <w:adjustRightInd w:val="0"/>
        <w:snapToGrid w:val="0"/>
        <w:rPr>
          <w:rFonts w:hint="eastAsia" w:ascii="宋体" w:hAnsi="宋体"/>
          <w:szCs w:val="21"/>
          <w:highlight w:val="none"/>
        </w:rPr>
      </w:pPr>
    </w:p>
    <w:p w14:paraId="02EC643B">
      <w:pPr>
        <w:adjustRightInd w:val="0"/>
        <w:snapToGrid w:val="0"/>
        <w:rPr>
          <w:rFonts w:hint="eastAsia" w:ascii="宋体" w:hAnsi="宋体"/>
          <w:szCs w:val="21"/>
          <w:highlight w:val="none"/>
        </w:rPr>
      </w:pPr>
    </w:p>
    <w:p w14:paraId="02EC643C">
      <w:pPr>
        <w:adjustRightInd w:val="0"/>
        <w:snapToGrid w:val="0"/>
        <w:rPr>
          <w:rFonts w:hint="eastAsia" w:ascii="宋体" w:hAnsi="宋体"/>
          <w:szCs w:val="21"/>
          <w:highlight w:val="none"/>
        </w:rPr>
      </w:pPr>
    </w:p>
    <w:p w14:paraId="02EC643D">
      <w:pPr>
        <w:adjustRightInd w:val="0"/>
        <w:snapToGrid w:val="0"/>
        <w:rPr>
          <w:rFonts w:hint="eastAsia" w:ascii="宋体" w:hAnsi="宋体"/>
          <w:szCs w:val="21"/>
          <w:highlight w:val="none"/>
        </w:rPr>
      </w:pPr>
    </w:p>
    <w:p w14:paraId="02EC643E">
      <w:pPr>
        <w:adjustRightInd w:val="0"/>
        <w:snapToGrid w:val="0"/>
        <w:rPr>
          <w:rFonts w:hint="eastAsia" w:ascii="宋体" w:hAnsi="宋体"/>
          <w:szCs w:val="21"/>
          <w:highlight w:val="none"/>
        </w:rPr>
      </w:pPr>
    </w:p>
    <w:p w14:paraId="02EC643F">
      <w:pPr>
        <w:adjustRightInd w:val="0"/>
        <w:snapToGrid w:val="0"/>
        <w:rPr>
          <w:rFonts w:hint="eastAsia" w:ascii="宋体" w:hAnsi="宋体"/>
          <w:szCs w:val="21"/>
          <w:highlight w:val="none"/>
        </w:rPr>
      </w:pPr>
    </w:p>
    <w:p w14:paraId="02EC6440">
      <w:pPr>
        <w:adjustRightInd w:val="0"/>
        <w:snapToGrid w:val="0"/>
        <w:rPr>
          <w:rFonts w:hint="eastAsia" w:ascii="宋体" w:hAnsi="宋体"/>
          <w:szCs w:val="21"/>
          <w:highlight w:val="none"/>
        </w:rPr>
      </w:pPr>
    </w:p>
    <w:p w14:paraId="02EC6441">
      <w:pPr>
        <w:tabs>
          <w:tab w:val="left" w:pos="720"/>
        </w:tabs>
        <w:adjustRightInd w:val="0"/>
        <w:snapToGrid w:val="0"/>
        <w:jc w:val="center"/>
        <w:rPr>
          <w:rFonts w:hint="eastAsia" w:ascii="宋体" w:hAnsi="宋体"/>
          <w:b/>
          <w:sz w:val="30"/>
          <w:szCs w:val="30"/>
          <w:highlight w:val="none"/>
        </w:rPr>
      </w:pPr>
      <w:r>
        <w:rPr>
          <w:rFonts w:ascii="宋体" w:hAnsi="宋体"/>
          <w:b/>
          <w:sz w:val="30"/>
          <w:szCs w:val="30"/>
          <w:highlight w:val="none"/>
        </w:rPr>
        <w:br w:type="page"/>
      </w:r>
      <w:r>
        <w:rPr>
          <w:rFonts w:hint="eastAsia" w:ascii="宋体" w:hAnsi="宋体"/>
          <w:b/>
          <w:sz w:val="30"/>
          <w:szCs w:val="30"/>
          <w:highlight w:val="none"/>
        </w:rPr>
        <w:t>二、总则</w:t>
      </w:r>
    </w:p>
    <w:p w14:paraId="02EC6442">
      <w:pPr>
        <w:spacing w:before="156" w:beforeLines="50" w:after="156" w:afterLines="50" w:line="360" w:lineRule="auto"/>
        <w:ind w:left="601" w:hanging="601"/>
        <w:rPr>
          <w:rFonts w:hint="eastAsia" w:ascii="宋体" w:hAnsi="宋体"/>
          <w:b/>
          <w:sz w:val="28"/>
          <w:highlight w:val="none"/>
        </w:rPr>
      </w:pPr>
      <w:r>
        <w:rPr>
          <w:rFonts w:ascii="宋体" w:hAnsi="宋体"/>
          <w:b/>
          <w:sz w:val="28"/>
          <w:highlight w:val="none"/>
        </w:rPr>
        <w:t>1</w:t>
      </w:r>
      <w:r>
        <w:rPr>
          <w:rFonts w:hint="eastAsia" w:ascii="宋体" w:hAnsi="宋体"/>
          <w:b/>
          <w:sz w:val="28"/>
          <w:highlight w:val="none"/>
        </w:rPr>
        <w:t>、投标要求</w:t>
      </w:r>
    </w:p>
    <w:p w14:paraId="02EC6443">
      <w:pPr>
        <w:spacing w:line="360" w:lineRule="auto"/>
        <w:ind w:left="554" w:hanging="554" w:hangingChars="231"/>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 xml:space="preserve"> 投标人在准备投标书时，务必在所提供的商品的技术规格文件中，标明型号、商标名称、目录号。</w:t>
      </w:r>
    </w:p>
    <w:p w14:paraId="02EC6444">
      <w:pPr>
        <w:spacing w:line="360" w:lineRule="auto"/>
        <w:ind w:left="554" w:hanging="554" w:hangingChars="231"/>
        <w:rPr>
          <w:rFonts w:hint="eastAsia" w:ascii="宋体" w:hAnsi="宋体"/>
          <w:sz w:val="24"/>
          <w:highlight w:val="none"/>
        </w:rPr>
      </w:pPr>
      <w:r>
        <w:rPr>
          <w:rFonts w:hint="eastAsia" w:ascii="宋体" w:hAnsi="宋体"/>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2EC6445">
      <w:pPr>
        <w:spacing w:line="360" w:lineRule="auto"/>
        <w:ind w:left="554" w:hanging="554" w:hangingChars="231"/>
        <w:rPr>
          <w:rFonts w:ascii="宋体"/>
          <w:sz w:val="24"/>
          <w:highlight w:val="none"/>
        </w:rPr>
      </w:pPr>
      <w:r>
        <w:rPr>
          <w:rFonts w:hint="eastAsia" w:ascii="宋体" w:hAnsi="宋体"/>
          <w:sz w:val="24"/>
          <w:highlight w:val="none"/>
        </w:rPr>
        <w:t xml:space="preserve">1.3  </w:t>
      </w:r>
      <w:r>
        <w:rPr>
          <w:rFonts w:hint="eastAsia"/>
          <w:sz w:val="24"/>
          <w:highlight w:val="none"/>
        </w:rPr>
        <w:t>投标人提供的</w:t>
      </w:r>
      <w:r>
        <w:rPr>
          <w:rFonts w:hint="eastAsia" w:ascii="宋体"/>
          <w:sz w:val="24"/>
          <w:highlight w:val="none"/>
        </w:rPr>
        <w:t>产品</w:t>
      </w:r>
      <w:r>
        <w:rPr>
          <w:rFonts w:hint="eastAsia"/>
          <w:sz w:val="24"/>
          <w:highlight w:val="none"/>
        </w:rPr>
        <w:t>样本，必须是“原件”而非复印件，</w:t>
      </w:r>
      <w:r>
        <w:rPr>
          <w:rFonts w:hint="eastAsia" w:ascii="宋体"/>
          <w:sz w:val="24"/>
          <w:highlight w:val="none"/>
        </w:rPr>
        <w:t>图表、简图、电路图以及印刷电路板图等都应</w:t>
      </w:r>
      <w:r>
        <w:rPr>
          <w:rFonts w:hint="eastAsia"/>
          <w:sz w:val="24"/>
          <w:highlight w:val="none"/>
        </w:rPr>
        <w:t>清晰易读。买方有权</w:t>
      </w:r>
      <w:r>
        <w:rPr>
          <w:rFonts w:hint="eastAsia" w:ascii="宋体"/>
          <w:sz w:val="24"/>
          <w:highlight w:val="none"/>
        </w:rPr>
        <w:t>不付任何附加费用</w:t>
      </w:r>
      <w:r>
        <w:rPr>
          <w:rFonts w:hint="eastAsia"/>
          <w:sz w:val="24"/>
          <w:highlight w:val="none"/>
        </w:rPr>
        <w:t>复制这些资料</w:t>
      </w:r>
      <w:r>
        <w:rPr>
          <w:rFonts w:hint="eastAsia" w:ascii="宋体"/>
          <w:sz w:val="24"/>
          <w:highlight w:val="none"/>
        </w:rPr>
        <w:t>以供参考。</w:t>
      </w:r>
    </w:p>
    <w:p w14:paraId="02EC6446">
      <w:pPr>
        <w:spacing w:line="360" w:lineRule="auto"/>
        <w:ind w:left="554" w:hanging="554" w:hangingChars="231"/>
        <w:rPr>
          <w:rFonts w:ascii="宋体"/>
          <w:sz w:val="24"/>
          <w:highlight w:val="none"/>
        </w:rPr>
      </w:pPr>
      <w:r>
        <w:rPr>
          <w:rFonts w:hint="eastAsia" w:ascii="宋体"/>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2EC6447">
      <w:pPr>
        <w:spacing w:before="156" w:beforeLines="50" w:after="156" w:afterLines="50" w:line="360" w:lineRule="auto"/>
        <w:ind w:left="601" w:hanging="601"/>
        <w:rPr>
          <w:rFonts w:hint="eastAsia" w:ascii="宋体" w:hAnsi="宋体"/>
          <w:b/>
          <w:sz w:val="28"/>
          <w:highlight w:val="none"/>
        </w:rPr>
      </w:pPr>
      <w:r>
        <w:rPr>
          <w:rFonts w:hint="eastAsia" w:ascii="宋体" w:hAnsi="宋体"/>
          <w:b/>
          <w:sz w:val="28"/>
          <w:highlight w:val="none"/>
        </w:rPr>
        <w:t>2、评标标准</w:t>
      </w:r>
    </w:p>
    <w:p w14:paraId="02EC6448">
      <w:pPr>
        <w:spacing w:line="360" w:lineRule="auto"/>
        <w:ind w:left="554" w:hanging="554" w:hangingChars="231"/>
        <w:rPr>
          <w:rFonts w:ascii="宋体"/>
          <w:sz w:val="24"/>
          <w:highlight w:val="none"/>
        </w:rPr>
      </w:pPr>
      <w:r>
        <w:rPr>
          <w:rFonts w:ascii="宋体" w:hAnsi="宋体"/>
          <w:sz w:val="24"/>
          <w:highlight w:val="none"/>
        </w:rPr>
        <w:t>2.</w:t>
      </w:r>
      <w:r>
        <w:rPr>
          <w:rFonts w:hint="eastAsia" w:ascii="宋体" w:hAnsi="宋体"/>
          <w:sz w:val="24"/>
          <w:highlight w:val="none"/>
        </w:rPr>
        <w:t xml:space="preserve">1  </w:t>
      </w:r>
      <w:r>
        <w:rPr>
          <w:rFonts w:hint="eastAsia"/>
          <w:sz w:val="24"/>
          <w:highlight w:val="none"/>
        </w:rPr>
        <w:t>除招标文件中指定的附件和专用工具外，</w:t>
      </w:r>
      <w:r>
        <w:rPr>
          <w:rFonts w:hint="eastAsia" w:ascii="宋体"/>
          <w:sz w:val="24"/>
          <w:highlight w:val="none"/>
        </w:rPr>
        <w:t>投标人应提供仪器设备的正常运行和常规保养所需的全套标准附件、专用工具</w:t>
      </w:r>
      <w:r>
        <w:rPr>
          <w:rFonts w:hint="eastAsia"/>
          <w:sz w:val="24"/>
          <w:highlight w:val="none"/>
        </w:rPr>
        <w:t>和消耗品</w:t>
      </w:r>
      <w:r>
        <w:rPr>
          <w:rFonts w:hint="eastAsia" w:ascii="宋体"/>
          <w:sz w:val="24"/>
          <w:highlight w:val="none"/>
        </w:rPr>
        <w:t>。投标人在投标书中需列出这些附件和工具的数量和单价的清单，这些附件和工具的报价的总值需计入投标价中。</w:t>
      </w:r>
    </w:p>
    <w:p w14:paraId="02EC6449">
      <w:pPr>
        <w:spacing w:line="360" w:lineRule="auto"/>
        <w:ind w:left="554" w:hanging="554" w:hangingChars="231"/>
        <w:rPr>
          <w:sz w:val="24"/>
          <w:highlight w:val="none"/>
        </w:rPr>
      </w:pPr>
      <w:r>
        <w:rPr>
          <w:rFonts w:hint="eastAsia" w:ascii="宋体" w:hAnsi="宋体"/>
          <w:sz w:val="24"/>
          <w:highlight w:val="none"/>
        </w:rPr>
        <w:t xml:space="preserve">2.2  </w:t>
      </w:r>
      <w:r>
        <w:rPr>
          <w:rFonts w:hint="eastAsia"/>
          <w:sz w:val="24"/>
          <w:highlight w:val="none"/>
        </w:rPr>
        <w:t>对于标书</w:t>
      </w:r>
      <w:r>
        <w:rPr>
          <w:rFonts w:hint="eastAsia" w:ascii="宋体"/>
          <w:sz w:val="24"/>
          <w:highlight w:val="none"/>
        </w:rPr>
        <w:t>技术规范中已列</w:t>
      </w:r>
      <w:r>
        <w:rPr>
          <w:rFonts w:hint="eastAsia"/>
          <w:sz w:val="24"/>
          <w:highlight w:val="none"/>
        </w:rPr>
        <w:t>出的作为查询选件的附件、零配件、专用工具和消耗品，投标书中</w:t>
      </w:r>
      <w:r>
        <w:rPr>
          <w:rFonts w:hint="eastAsia" w:ascii="宋体"/>
          <w:sz w:val="24"/>
          <w:highlight w:val="none"/>
        </w:rPr>
        <w:t>应列明其数量、单价、总价供买方参考。投标人也可推荐买方没有要求的附件或专用工具作为选件，并列明其数量、单价、总价供买方参考。选件价格不计入评标价中。</w:t>
      </w:r>
    </w:p>
    <w:p w14:paraId="02EC644A">
      <w:pPr>
        <w:spacing w:line="360" w:lineRule="auto"/>
        <w:ind w:left="554" w:hanging="554" w:hangingChars="231"/>
        <w:rPr>
          <w:rFonts w:hint="eastAsia" w:ascii="宋体" w:hAnsi="宋体"/>
          <w:sz w:val="24"/>
          <w:highlight w:val="none"/>
        </w:rPr>
      </w:pPr>
      <w:r>
        <w:rPr>
          <w:rFonts w:hint="eastAsia" w:ascii="宋体" w:hAnsi="宋体"/>
          <w:sz w:val="24"/>
          <w:highlight w:val="none"/>
        </w:rPr>
        <w:t>2.3  为便于用户进行接收仪器的准备工作，卖方应在合同生效后</w:t>
      </w:r>
      <w:r>
        <w:rPr>
          <w:rFonts w:hint="eastAsia" w:ascii="宋体" w:hAnsi="宋体"/>
          <w:b/>
          <w:sz w:val="24"/>
          <w:highlight w:val="none"/>
        </w:rPr>
        <w:t>60</w:t>
      </w:r>
      <w:r>
        <w:rPr>
          <w:rFonts w:hint="eastAsia" w:ascii="宋体" w:hAnsi="宋体"/>
          <w:sz w:val="24"/>
          <w:highlight w:val="none"/>
        </w:rPr>
        <w:t>天内向用户提供一套完整的使用说明书、操作手册、维修及安装说明等文件。另一套完整上述资料应在交货时随货包装提供给用户，这些费用应计入投标价中。</w:t>
      </w:r>
    </w:p>
    <w:p w14:paraId="02EC644B">
      <w:pPr>
        <w:spacing w:line="360" w:lineRule="auto"/>
        <w:ind w:left="554" w:hanging="554" w:hangingChars="231"/>
        <w:rPr>
          <w:rFonts w:hint="eastAsia" w:ascii="宋体" w:hAnsi="宋体"/>
          <w:sz w:val="24"/>
          <w:highlight w:val="none"/>
        </w:rPr>
      </w:pPr>
      <w:r>
        <w:rPr>
          <w:rFonts w:hint="eastAsia" w:ascii="宋体" w:hAnsi="宋体"/>
          <w:sz w:val="24"/>
          <w:highlight w:val="none"/>
        </w:rPr>
        <w:t>2</w:t>
      </w:r>
      <w:r>
        <w:rPr>
          <w:rFonts w:ascii="宋体" w:hAnsi="宋体"/>
          <w:sz w:val="24"/>
          <w:highlight w:val="none"/>
        </w:rPr>
        <w:t>.</w:t>
      </w:r>
      <w:r>
        <w:rPr>
          <w:rFonts w:hint="eastAsia" w:ascii="宋体" w:hAnsi="宋体"/>
          <w:sz w:val="24"/>
          <w:highlight w:val="none"/>
        </w:rPr>
        <w:t>4</w:t>
      </w:r>
      <w:r>
        <w:rPr>
          <w:rFonts w:ascii="宋体" w:hAnsi="宋体"/>
          <w:sz w:val="24"/>
          <w:highlight w:val="none"/>
        </w:rPr>
        <w:t xml:space="preserve"> </w:t>
      </w:r>
      <w:r>
        <w:rPr>
          <w:rFonts w:hint="eastAsia" w:ascii="宋体" w:hAnsi="宋体"/>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02EC644C">
      <w:pPr>
        <w:spacing w:line="360" w:lineRule="auto"/>
        <w:ind w:left="554" w:hanging="554" w:hangingChars="231"/>
        <w:rPr>
          <w:rFonts w:hint="eastAsia" w:ascii="宋体" w:hAnsi="宋体"/>
          <w:sz w:val="24"/>
          <w:highlight w:val="none"/>
        </w:rPr>
      </w:pPr>
      <w:r>
        <w:rPr>
          <w:rFonts w:ascii="宋体" w:hAnsi="宋体"/>
          <w:sz w:val="24"/>
          <w:highlight w:val="none"/>
        </w:rPr>
        <w:t>2.</w:t>
      </w:r>
      <w:r>
        <w:rPr>
          <w:rFonts w:hint="eastAsia" w:ascii="宋体" w:hAnsi="宋体"/>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02EC644D">
      <w:pPr>
        <w:spacing w:before="156" w:beforeLines="50" w:after="156" w:afterLines="50" w:line="360" w:lineRule="auto"/>
        <w:ind w:left="601" w:hanging="601"/>
        <w:rPr>
          <w:rFonts w:hint="eastAsia" w:ascii="宋体" w:hAnsi="宋体"/>
          <w:b/>
          <w:sz w:val="28"/>
          <w:highlight w:val="none"/>
        </w:rPr>
      </w:pPr>
      <w:r>
        <w:rPr>
          <w:rFonts w:hint="eastAsia" w:ascii="宋体" w:hAnsi="宋体"/>
          <w:b/>
          <w:sz w:val="28"/>
          <w:highlight w:val="none"/>
        </w:rPr>
        <w:t>3、工作条件</w:t>
      </w:r>
    </w:p>
    <w:p w14:paraId="02EC644E">
      <w:pPr>
        <w:spacing w:after="312" w:afterLines="100" w:line="360" w:lineRule="auto"/>
        <w:rPr>
          <w:rFonts w:hint="eastAsia" w:ascii="宋体" w:hAnsi="宋体"/>
          <w:sz w:val="24"/>
          <w:highlight w:val="none"/>
        </w:rPr>
      </w:pPr>
      <w:r>
        <w:rPr>
          <w:rFonts w:hint="eastAsia" w:ascii="宋体" w:hAnsi="宋体"/>
          <w:sz w:val="24"/>
          <w:highlight w:val="none"/>
        </w:rPr>
        <w:t>除非在技术规格中另有说明，所有仪器、设备和系统都应符合下列要求：</w:t>
      </w:r>
      <w:r>
        <w:rPr>
          <w:rFonts w:ascii="宋体" w:hAnsi="宋体"/>
          <w:sz w:val="24"/>
          <w:highlight w:val="none"/>
        </w:rPr>
        <w:t xml:space="preserve"> </w:t>
      </w:r>
    </w:p>
    <w:p w14:paraId="02EC644F">
      <w:pPr>
        <w:spacing w:line="360" w:lineRule="auto"/>
        <w:ind w:left="554" w:hanging="554" w:hangingChars="231"/>
        <w:rPr>
          <w:rFonts w:hint="eastAsia" w:ascii="宋体" w:hAnsi="宋体"/>
          <w:sz w:val="24"/>
          <w:highlight w:val="none"/>
        </w:rPr>
      </w:pPr>
      <w:r>
        <w:rPr>
          <w:rFonts w:hint="eastAsia" w:ascii="宋体" w:hAnsi="宋体"/>
          <w:sz w:val="24"/>
          <w:highlight w:val="none"/>
        </w:rPr>
        <w:t>3.1  适于在气温为摄氏</w:t>
      </w:r>
      <w:r>
        <w:rPr>
          <w:rFonts w:ascii="宋体" w:hAnsi="宋体"/>
          <w:b/>
          <w:sz w:val="24"/>
          <w:highlight w:val="none"/>
        </w:rPr>
        <w:t>-40</w:t>
      </w:r>
      <w:r>
        <w:rPr>
          <w:rFonts w:hint="eastAsia" w:ascii="宋体" w:hAnsi="宋体"/>
          <w:b/>
          <w:sz w:val="24"/>
          <w:highlight w:val="none"/>
        </w:rPr>
        <w:t>℃～＋</w:t>
      </w:r>
      <w:r>
        <w:rPr>
          <w:rFonts w:ascii="宋体" w:hAnsi="宋体"/>
          <w:b/>
          <w:sz w:val="24"/>
          <w:highlight w:val="none"/>
        </w:rPr>
        <w:t>50</w:t>
      </w:r>
      <w:r>
        <w:rPr>
          <w:rFonts w:hint="eastAsia" w:ascii="宋体" w:hAnsi="宋体"/>
          <w:b/>
          <w:sz w:val="24"/>
          <w:highlight w:val="none"/>
        </w:rPr>
        <w:t>℃</w:t>
      </w:r>
      <w:r>
        <w:rPr>
          <w:rFonts w:hint="eastAsia" w:ascii="宋体" w:hAnsi="宋体"/>
          <w:sz w:val="24"/>
          <w:highlight w:val="none"/>
        </w:rPr>
        <w:t>和相对湿度为</w:t>
      </w:r>
      <w:r>
        <w:rPr>
          <w:rFonts w:ascii="宋体" w:hAnsi="宋体"/>
          <w:b/>
          <w:sz w:val="24"/>
          <w:highlight w:val="none"/>
        </w:rPr>
        <w:t>90</w:t>
      </w:r>
      <w:r>
        <w:rPr>
          <w:rFonts w:hint="eastAsia" w:ascii="宋体" w:hAnsi="宋体"/>
          <w:b/>
          <w:sz w:val="24"/>
          <w:highlight w:val="none"/>
        </w:rPr>
        <w:t>％</w:t>
      </w:r>
      <w:r>
        <w:rPr>
          <w:rFonts w:hint="eastAsia" w:ascii="宋体" w:hAnsi="宋体"/>
          <w:sz w:val="24"/>
          <w:highlight w:val="none"/>
        </w:rPr>
        <w:t>的环境条件下运输和贮存。</w:t>
      </w:r>
    </w:p>
    <w:p w14:paraId="02EC6450">
      <w:pPr>
        <w:spacing w:line="360" w:lineRule="auto"/>
        <w:ind w:left="554" w:hanging="554" w:hangingChars="231"/>
        <w:rPr>
          <w:rFonts w:hint="eastAsia" w:ascii="宋体" w:hAnsi="宋体"/>
          <w:sz w:val="24"/>
          <w:highlight w:val="none"/>
        </w:rPr>
      </w:pPr>
      <w:r>
        <w:rPr>
          <w:rFonts w:hint="eastAsia" w:ascii="宋体" w:hAnsi="宋体"/>
          <w:sz w:val="24"/>
          <w:highlight w:val="none"/>
        </w:rPr>
        <w:t>3.2  适于在电源</w:t>
      </w:r>
      <w:r>
        <w:rPr>
          <w:rFonts w:ascii="宋体" w:hAnsi="宋体"/>
          <w:b/>
          <w:sz w:val="24"/>
          <w:highlight w:val="none"/>
        </w:rPr>
        <w:t>220V</w:t>
      </w:r>
      <w:r>
        <w:rPr>
          <w:rFonts w:hint="eastAsia" w:ascii="宋体" w:hAnsi="宋体"/>
          <w:b/>
          <w:sz w:val="24"/>
          <w:highlight w:val="none"/>
        </w:rPr>
        <w:t>（</w:t>
      </w:r>
      <w:r>
        <w:rPr>
          <w:rFonts w:ascii="宋体" w:hAnsi="宋体"/>
          <w:b/>
          <w:sz w:val="24"/>
          <w:highlight w:val="none"/>
        </w:rPr>
        <w:sym w:font="Symbol" w:char="F0B1"/>
      </w:r>
      <w:r>
        <w:rPr>
          <w:rFonts w:ascii="宋体" w:hAnsi="宋体"/>
          <w:b/>
          <w:sz w:val="24"/>
          <w:highlight w:val="none"/>
        </w:rPr>
        <w:t>10</w:t>
      </w:r>
      <w:r>
        <w:rPr>
          <w:rFonts w:hint="eastAsia" w:ascii="宋体" w:hAnsi="宋体"/>
          <w:b/>
          <w:sz w:val="24"/>
          <w:highlight w:val="none"/>
        </w:rPr>
        <w:t>％）</w:t>
      </w:r>
      <w:r>
        <w:rPr>
          <w:rFonts w:ascii="宋体" w:hAnsi="宋体"/>
          <w:b/>
          <w:sz w:val="24"/>
          <w:highlight w:val="none"/>
        </w:rPr>
        <w:t>/50Hz</w:t>
      </w:r>
      <w:r>
        <w:rPr>
          <w:rFonts w:hint="eastAsia" w:ascii="宋体" w:hAnsi="宋体"/>
          <w:sz w:val="24"/>
          <w:highlight w:val="none"/>
        </w:rPr>
        <w:t>、气温摄氏</w:t>
      </w:r>
      <w:r>
        <w:rPr>
          <w:rFonts w:hint="eastAsia" w:ascii="宋体" w:hAnsi="宋体"/>
          <w:b/>
          <w:sz w:val="24"/>
          <w:highlight w:val="none"/>
        </w:rPr>
        <w:t>＋1</w:t>
      </w:r>
      <w:r>
        <w:rPr>
          <w:rFonts w:ascii="宋体" w:hAnsi="宋体"/>
          <w:b/>
          <w:sz w:val="24"/>
          <w:highlight w:val="none"/>
        </w:rPr>
        <w:t>5</w:t>
      </w:r>
      <w:r>
        <w:rPr>
          <w:rFonts w:hint="eastAsia" w:ascii="宋体" w:hAnsi="宋体"/>
          <w:b/>
          <w:sz w:val="24"/>
          <w:highlight w:val="none"/>
        </w:rPr>
        <w:t>℃～＋3</w:t>
      </w:r>
      <w:r>
        <w:rPr>
          <w:rFonts w:ascii="宋体" w:hAnsi="宋体"/>
          <w:b/>
          <w:sz w:val="24"/>
          <w:highlight w:val="none"/>
        </w:rPr>
        <w:t>0</w:t>
      </w:r>
      <w:r>
        <w:rPr>
          <w:rFonts w:hint="eastAsia" w:ascii="宋体" w:hAnsi="宋体"/>
          <w:b/>
          <w:sz w:val="24"/>
          <w:highlight w:val="none"/>
        </w:rPr>
        <w:t>℃</w:t>
      </w:r>
      <w:r>
        <w:rPr>
          <w:rFonts w:hint="eastAsia" w:ascii="宋体" w:hAnsi="宋体"/>
          <w:sz w:val="24"/>
          <w:highlight w:val="none"/>
        </w:rPr>
        <w:t>和相对湿度小于</w:t>
      </w:r>
      <w:r>
        <w:rPr>
          <w:rFonts w:ascii="宋体" w:hAnsi="宋体"/>
          <w:b/>
          <w:sz w:val="24"/>
          <w:highlight w:val="none"/>
        </w:rPr>
        <w:t>8</w:t>
      </w:r>
      <w:r>
        <w:rPr>
          <w:rFonts w:hint="eastAsia" w:ascii="宋体" w:hAnsi="宋体"/>
          <w:b/>
          <w:sz w:val="24"/>
          <w:highlight w:val="none"/>
        </w:rPr>
        <w:t>0％</w:t>
      </w:r>
      <w:r>
        <w:rPr>
          <w:rFonts w:hint="eastAsia" w:ascii="宋体" w:hAnsi="宋体"/>
          <w:sz w:val="24"/>
          <w:highlight w:val="none"/>
        </w:rPr>
        <w:t>的环境条件下运行。</w:t>
      </w:r>
      <w:r>
        <w:rPr>
          <w:rFonts w:hint="eastAsia" w:ascii="宋体" w:hAnsi="宋体"/>
          <w:b/>
          <w:sz w:val="24"/>
          <w:highlight w:val="none"/>
        </w:rPr>
        <w:t>能够连续正常工作。</w:t>
      </w:r>
    </w:p>
    <w:p w14:paraId="02EC6451">
      <w:pPr>
        <w:spacing w:line="360" w:lineRule="auto"/>
        <w:ind w:left="554" w:hanging="554" w:hangingChars="231"/>
        <w:rPr>
          <w:rFonts w:hint="eastAsia" w:ascii="宋体" w:hAnsi="宋体"/>
          <w:sz w:val="24"/>
          <w:highlight w:val="none"/>
        </w:rPr>
      </w:pPr>
      <w:r>
        <w:rPr>
          <w:rFonts w:hint="eastAsia" w:ascii="宋体" w:hAnsi="宋体"/>
          <w:sz w:val="24"/>
          <w:highlight w:val="none"/>
        </w:rPr>
        <w:t>3.3  配置符合中国有关标准要求的插头，如果没有这样的插头，则需</w:t>
      </w:r>
      <w:r>
        <w:rPr>
          <w:rFonts w:hint="eastAsia" w:ascii="宋体"/>
          <w:sz w:val="24"/>
          <w:highlight w:val="none"/>
        </w:rPr>
        <w:t>提供适当的转</w:t>
      </w:r>
      <w:r>
        <w:rPr>
          <w:rFonts w:hint="eastAsia" w:ascii="宋体" w:hAnsi="宋体"/>
          <w:sz w:val="24"/>
          <w:highlight w:val="none"/>
        </w:rPr>
        <w:t>换插座。</w:t>
      </w:r>
    </w:p>
    <w:p w14:paraId="02EC6452">
      <w:pPr>
        <w:spacing w:line="360" w:lineRule="auto"/>
        <w:ind w:left="554" w:hanging="554" w:hangingChars="231"/>
        <w:rPr>
          <w:rFonts w:hint="eastAsia" w:ascii="宋体" w:hAnsi="宋体"/>
          <w:sz w:val="24"/>
          <w:highlight w:val="none"/>
        </w:rPr>
      </w:pPr>
      <w:r>
        <w:rPr>
          <w:rFonts w:hint="eastAsia" w:ascii="宋体" w:hAnsi="宋体"/>
          <w:sz w:val="24"/>
          <w:highlight w:val="none"/>
        </w:rPr>
        <w:t>3.4  如产品达不到上述要求，投标人应注明其偏差。如仪器设备需要特殊工作条件（如水、电源、磁场强度、温度、湿度、动强度等）投标人应在投标书中加以说明。</w:t>
      </w:r>
    </w:p>
    <w:p w14:paraId="02EC6453">
      <w:pPr>
        <w:rPr>
          <w:rFonts w:eastAsia="黑体"/>
          <w:b/>
          <w:bCs/>
          <w:kern w:val="44"/>
          <w:sz w:val="24"/>
          <w:highlight w:val="none"/>
        </w:rPr>
      </w:pPr>
    </w:p>
    <w:p w14:paraId="02EC6454">
      <w:pPr>
        <w:spacing w:before="156" w:beforeLines="50" w:after="156" w:afterLines="50" w:line="360" w:lineRule="auto"/>
        <w:ind w:left="601" w:hanging="601"/>
        <w:rPr>
          <w:rFonts w:hint="eastAsia" w:ascii="宋体" w:hAnsi="宋体"/>
          <w:b/>
          <w:sz w:val="28"/>
          <w:highlight w:val="none"/>
        </w:rPr>
      </w:pPr>
      <w:r>
        <w:rPr>
          <w:rFonts w:hint="eastAsia" w:ascii="宋体" w:hAnsi="宋体"/>
          <w:b/>
          <w:sz w:val="28"/>
          <w:highlight w:val="none"/>
        </w:rPr>
        <w:t>4、验收标准</w:t>
      </w:r>
    </w:p>
    <w:p w14:paraId="02EC6455">
      <w:pPr>
        <w:spacing w:after="312" w:afterLines="100" w:line="360" w:lineRule="auto"/>
        <w:rPr>
          <w:rFonts w:hint="eastAsia" w:ascii="宋体" w:hAnsi="宋体"/>
          <w:sz w:val="24"/>
          <w:highlight w:val="none"/>
        </w:rPr>
      </w:pPr>
      <w:r>
        <w:rPr>
          <w:rFonts w:hint="eastAsia" w:ascii="宋体" w:hAnsi="宋体"/>
          <w:sz w:val="24"/>
          <w:highlight w:val="none"/>
        </w:rPr>
        <w:t>除非在技术规格中另有说明，所有仪器、设备和系统按下列要求进行验收：</w:t>
      </w:r>
      <w:r>
        <w:rPr>
          <w:rFonts w:ascii="宋体" w:hAnsi="宋体"/>
          <w:sz w:val="24"/>
          <w:highlight w:val="none"/>
        </w:rPr>
        <w:t xml:space="preserve"> </w:t>
      </w:r>
    </w:p>
    <w:p w14:paraId="02EC6456">
      <w:pPr>
        <w:spacing w:line="360" w:lineRule="auto"/>
        <w:ind w:left="554" w:hanging="554" w:hangingChars="231"/>
        <w:rPr>
          <w:rFonts w:hint="eastAsia" w:ascii="宋体" w:hAnsi="宋体"/>
          <w:sz w:val="24"/>
          <w:highlight w:val="none"/>
        </w:rPr>
      </w:pPr>
      <w:r>
        <w:rPr>
          <w:rFonts w:hint="eastAsia" w:ascii="宋体" w:hAnsi="宋体"/>
          <w:sz w:val="24"/>
          <w:highlight w:val="none"/>
        </w:rPr>
        <w:t>4.1  仪器设备运抵安装现场后，买方将与卖方共同开箱验收</w:t>
      </w:r>
      <w:r>
        <w:rPr>
          <w:rFonts w:ascii="宋体" w:hAnsi="宋体"/>
          <w:sz w:val="24"/>
          <w:highlight w:val="none"/>
        </w:rPr>
        <w:t xml:space="preserve">, </w:t>
      </w:r>
      <w:r>
        <w:rPr>
          <w:rFonts w:hint="eastAsia" w:ascii="宋体" w:hAnsi="宋体"/>
          <w:sz w:val="24"/>
          <w:highlight w:val="none"/>
        </w:rPr>
        <w:t>如卖方届时不派人来</w:t>
      </w:r>
      <w:r>
        <w:rPr>
          <w:rFonts w:ascii="宋体" w:hAnsi="宋体"/>
          <w:sz w:val="24"/>
          <w:highlight w:val="none"/>
        </w:rPr>
        <w:t xml:space="preserve">, </w:t>
      </w:r>
      <w:r>
        <w:rPr>
          <w:rFonts w:hint="eastAsia" w:ascii="宋体" w:hAnsi="宋体"/>
          <w:sz w:val="24"/>
          <w:highlight w:val="none"/>
        </w:rPr>
        <w:t>则验收结果应以买方的验收报告为最终验收结果。验收时发现短缺、破损</w:t>
      </w:r>
      <w:r>
        <w:rPr>
          <w:rFonts w:ascii="宋体" w:hAnsi="宋体"/>
          <w:sz w:val="24"/>
          <w:highlight w:val="none"/>
        </w:rPr>
        <w:t xml:space="preserve">, </w:t>
      </w:r>
      <w:r>
        <w:rPr>
          <w:rFonts w:hint="eastAsia" w:ascii="宋体" w:hAnsi="宋体"/>
          <w:sz w:val="24"/>
          <w:highlight w:val="none"/>
        </w:rPr>
        <w:t>买方有权要求卖方负责更换。</w:t>
      </w:r>
    </w:p>
    <w:p w14:paraId="02EC6457">
      <w:pPr>
        <w:spacing w:line="360" w:lineRule="auto"/>
        <w:ind w:left="554" w:hanging="554" w:hangingChars="231"/>
        <w:rPr>
          <w:rFonts w:hint="eastAsia" w:ascii="宋体" w:hAnsi="宋体"/>
          <w:sz w:val="24"/>
          <w:highlight w:val="none"/>
        </w:rPr>
      </w:pPr>
      <w:r>
        <w:rPr>
          <w:rFonts w:hint="eastAsia" w:ascii="宋体" w:hAnsi="宋体"/>
          <w:sz w:val="24"/>
          <w:highlight w:val="none"/>
        </w:rPr>
        <w:t xml:space="preserve">4.2  </w:t>
      </w:r>
      <w:r>
        <w:rPr>
          <w:rFonts w:hint="eastAsia"/>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02EC6458">
      <w:pPr>
        <w:spacing w:line="360" w:lineRule="auto"/>
        <w:ind w:left="554" w:hanging="554" w:hangingChars="231"/>
        <w:rPr>
          <w:rFonts w:hint="eastAsia" w:ascii="宋体" w:hAnsi="宋体"/>
          <w:sz w:val="24"/>
          <w:highlight w:val="none"/>
        </w:rPr>
      </w:pPr>
      <w:r>
        <w:rPr>
          <w:rFonts w:hint="eastAsia" w:ascii="宋体" w:hAnsi="宋体"/>
          <w:sz w:val="24"/>
          <w:highlight w:val="none"/>
        </w:rPr>
        <w:t xml:space="preserve">4.3  </w:t>
      </w:r>
      <w:r>
        <w:rPr>
          <w:rFonts w:ascii="宋体" w:hAnsi="宋体"/>
          <w:sz w:val="24"/>
          <w:highlight w:val="none"/>
        </w:rPr>
        <w:t>验收由采购人、中标人及相关人员依国家有关标准、合同及有关附件要求进行，验收完毕由采购人及中标人在验收报告上签名。</w:t>
      </w:r>
    </w:p>
    <w:p w14:paraId="02EC6459">
      <w:pPr>
        <w:pStyle w:val="17"/>
        <w:spacing w:line="360" w:lineRule="auto"/>
        <w:ind w:left="410" w:hanging="410" w:hangingChars="170"/>
        <w:rPr>
          <w:rFonts w:hint="eastAsia" w:hAnsi="宋体"/>
          <w:b/>
          <w:sz w:val="24"/>
          <w:szCs w:val="24"/>
          <w:highlight w:val="none"/>
        </w:rPr>
      </w:pPr>
    </w:p>
    <w:p w14:paraId="02EC645A">
      <w:pPr>
        <w:pStyle w:val="17"/>
        <w:spacing w:line="360" w:lineRule="auto"/>
        <w:ind w:left="410" w:hanging="410" w:hangingChars="170"/>
        <w:rPr>
          <w:rFonts w:hint="eastAsia" w:hAnsi="宋体"/>
          <w:b/>
          <w:sz w:val="24"/>
          <w:szCs w:val="24"/>
          <w:highlight w:val="none"/>
        </w:rPr>
      </w:pPr>
      <w:r>
        <w:rPr>
          <w:rFonts w:hint="eastAsia" w:hAnsi="宋体"/>
          <w:b/>
          <w:sz w:val="24"/>
          <w:szCs w:val="24"/>
          <w:highlight w:val="none"/>
        </w:rPr>
        <w:t>5、本技术规格书中标注“*”号的为实质性要求，不满足其投标将被拒绝。</w:t>
      </w:r>
    </w:p>
    <w:p w14:paraId="02EC645B">
      <w:pPr>
        <w:pStyle w:val="17"/>
        <w:spacing w:line="360" w:lineRule="auto"/>
        <w:rPr>
          <w:rFonts w:hint="eastAsia" w:hAnsi="宋体"/>
          <w:b/>
          <w:sz w:val="24"/>
          <w:szCs w:val="24"/>
          <w:highlight w:val="none"/>
        </w:rPr>
      </w:pPr>
      <w:r>
        <w:rPr>
          <w:rFonts w:hint="eastAsia" w:hAnsi="宋体"/>
          <w:b/>
          <w:sz w:val="24"/>
          <w:szCs w:val="24"/>
          <w:highlight w:val="none"/>
        </w:rPr>
        <w:t>6、如在具体技术规格中有本总则不一致之处，以具体技术规格中的要求为准。</w:t>
      </w:r>
    </w:p>
    <w:p w14:paraId="02EC645C">
      <w:pPr>
        <w:spacing w:line="360" w:lineRule="auto"/>
        <w:ind w:left="601" w:hanging="601"/>
        <w:rPr>
          <w:rFonts w:hint="eastAsia" w:ascii="宋体" w:hAnsi="宋体"/>
          <w:b/>
          <w:sz w:val="28"/>
          <w:highlight w:val="none"/>
        </w:rPr>
      </w:pPr>
      <w:r>
        <w:rPr>
          <w:rFonts w:hint="eastAsia" w:ascii="宋体" w:hAnsi="宋体"/>
          <w:b/>
          <w:sz w:val="28"/>
          <w:highlight w:val="none"/>
        </w:rPr>
        <w:t>三、具体技术规格</w:t>
      </w:r>
    </w:p>
    <w:p w14:paraId="02EC645D">
      <w:pPr>
        <w:spacing w:line="360" w:lineRule="auto"/>
        <w:rPr>
          <w:sz w:val="24"/>
          <w:highlight w:val="none"/>
        </w:rPr>
      </w:pPr>
    </w:p>
    <w:p w14:paraId="02EC645E">
      <w:pPr>
        <w:spacing w:line="360" w:lineRule="auto"/>
        <w:jc w:val="center"/>
        <w:rPr>
          <w:b/>
          <w:sz w:val="24"/>
          <w:highlight w:val="none"/>
        </w:rPr>
      </w:pPr>
      <w:r>
        <w:rPr>
          <w:rFonts w:hint="eastAsia"/>
          <w:b/>
          <w:sz w:val="24"/>
          <w:highlight w:val="none"/>
        </w:rPr>
        <w:t xml:space="preserve">第1包 </w:t>
      </w:r>
      <w:r>
        <w:rPr>
          <w:rFonts w:hint="eastAsia" w:ascii="宋体" w:hAnsi="宋体" w:cs="宋体"/>
          <w:b/>
          <w:bCs/>
          <w:kern w:val="0"/>
          <w:sz w:val="24"/>
          <w:highlight w:val="none"/>
        </w:rPr>
        <w:t>超高效液相色谱仪及网络版软件</w:t>
      </w:r>
    </w:p>
    <w:p w14:paraId="02EC645F">
      <w:pPr>
        <w:spacing w:line="360" w:lineRule="auto"/>
        <w:rPr>
          <w:b/>
          <w:sz w:val="24"/>
          <w:highlight w:val="none"/>
        </w:rPr>
      </w:pPr>
    </w:p>
    <w:p w14:paraId="02EC6460">
      <w:pPr>
        <w:numPr>
          <w:ilvl w:val="0"/>
          <w:numId w:val="1"/>
        </w:numPr>
        <w:spacing w:line="360" w:lineRule="auto"/>
        <w:rPr>
          <w:b/>
          <w:sz w:val="24"/>
          <w:highlight w:val="none"/>
        </w:rPr>
      </w:pPr>
      <w:r>
        <w:rPr>
          <w:rFonts w:hint="eastAsia"/>
          <w:b/>
          <w:sz w:val="24"/>
          <w:highlight w:val="none"/>
        </w:rPr>
        <w:t>技术要求：</w:t>
      </w:r>
    </w:p>
    <w:p w14:paraId="02EC6461">
      <w:pPr>
        <w:numPr>
          <w:ilvl w:val="0"/>
          <w:numId w:val="2"/>
        </w:numPr>
        <w:spacing w:line="360" w:lineRule="auto"/>
        <w:rPr>
          <w:b/>
          <w:sz w:val="24"/>
          <w:highlight w:val="none"/>
        </w:rPr>
      </w:pPr>
      <w:r>
        <w:rPr>
          <w:rFonts w:hint="eastAsia"/>
          <w:b/>
          <w:sz w:val="24"/>
          <w:highlight w:val="none"/>
        </w:rPr>
        <w:t>工作条件：</w:t>
      </w:r>
    </w:p>
    <w:p w14:paraId="32413D16">
      <w:pPr>
        <w:pStyle w:val="48"/>
        <w:numPr>
          <w:ilvl w:val="1"/>
          <w:numId w:val="3"/>
        </w:numPr>
        <w:spacing w:line="360" w:lineRule="auto"/>
        <w:ind w:firstLineChars="0"/>
        <w:rPr>
          <w:rFonts w:hint="eastAsia" w:ascii="宋体" w:hAnsi="宋体" w:cs="宋体"/>
          <w:position w:val="-20"/>
          <w:sz w:val="24"/>
          <w:highlight w:val="none"/>
        </w:rPr>
      </w:pPr>
      <w:r>
        <w:rPr>
          <w:rFonts w:hint="eastAsia" w:ascii="宋体" w:hAnsi="宋体" w:cs="宋体"/>
          <w:position w:val="-20"/>
          <w:sz w:val="24"/>
          <w:highlight w:val="none"/>
        </w:rPr>
        <w:t xml:space="preserve"> 工作电压：10-240V，±10%；</w:t>
      </w:r>
    </w:p>
    <w:p w14:paraId="0BD1489E">
      <w:pPr>
        <w:spacing w:line="360" w:lineRule="auto"/>
        <w:rPr>
          <w:rFonts w:hint="eastAsia" w:ascii="宋体" w:hAnsi="宋体" w:cs="宋体"/>
          <w:position w:val="-14"/>
          <w:sz w:val="24"/>
          <w:highlight w:val="none"/>
        </w:rPr>
      </w:pPr>
      <w:r>
        <w:rPr>
          <w:rFonts w:hint="eastAsia" w:ascii="宋体" w:hAnsi="宋体" w:cs="宋体"/>
          <w:position w:val="-20"/>
          <w:sz w:val="24"/>
          <w:highlight w:val="none"/>
        </w:rPr>
        <w:t>1.2 操作温度：</w:t>
      </w:r>
      <w:r>
        <w:rPr>
          <w:rFonts w:ascii="宋体" w:hAnsi="宋体" w:cs="宋体"/>
          <w:position w:val="-20"/>
          <w:sz w:val="24"/>
          <w:highlight w:val="none"/>
        </w:rPr>
        <w:t>4</w:t>
      </w:r>
      <w:r>
        <w:rPr>
          <w:rFonts w:hint="eastAsia" w:ascii="宋体" w:hAnsi="宋体" w:cs="宋体"/>
          <w:position w:val="-20"/>
          <w:sz w:val="24"/>
          <w:highlight w:val="none"/>
        </w:rPr>
        <w:t>-40℃；</w:t>
      </w:r>
    </w:p>
    <w:p w14:paraId="76DB7DC8">
      <w:pPr>
        <w:spacing w:line="360" w:lineRule="auto"/>
        <w:rPr>
          <w:rFonts w:hint="eastAsia" w:ascii="宋体" w:hAnsi="宋体" w:cs="宋体"/>
          <w:position w:val="-14"/>
          <w:sz w:val="24"/>
          <w:highlight w:val="none"/>
        </w:rPr>
      </w:pPr>
      <w:r>
        <w:rPr>
          <w:rFonts w:hint="eastAsia" w:ascii="宋体" w:hAnsi="宋体" w:cs="宋体"/>
          <w:position w:val="-20"/>
          <w:sz w:val="24"/>
          <w:highlight w:val="none"/>
        </w:rPr>
        <w:t>1.3 湿度：&lt;95%。</w:t>
      </w:r>
    </w:p>
    <w:p w14:paraId="02EC6463">
      <w:pPr>
        <w:spacing w:line="360" w:lineRule="auto"/>
        <w:rPr>
          <w:sz w:val="24"/>
          <w:highlight w:val="none"/>
        </w:rPr>
      </w:pPr>
    </w:p>
    <w:p w14:paraId="02EC6464">
      <w:pPr>
        <w:numPr>
          <w:ilvl w:val="0"/>
          <w:numId w:val="2"/>
        </w:numPr>
        <w:spacing w:line="360" w:lineRule="auto"/>
        <w:rPr>
          <w:b/>
          <w:sz w:val="24"/>
          <w:highlight w:val="none"/>
        </w:rPr>
      </w:pPr>
      <w:r>
        <w:rPr>
          <w:rFonts w:hint="eastAsia"/>
          <w:b/>
          <w:sz w:val="24"/>
          <w:highlight w:val="none"/>
        </w:rPr>
        <w:t>设备用途：</w:t>
      </w:r>
    </w:p>
    <w:p w14:paraId="02EC6465">
      <w:pPr>
        <w:spacing w:line="360" w:lineRule="auto"/>
        <w:ind w:firstLine="480" w:firstLineChars="200"/>
        <w:rPr>
          <w:rStyle w:val="53"/>
          <w:sz w:val="24"/>
          <w:highlight w:val="none"/>
        </w:rPr>
      </w:pPr>
      <w:r>
        <w:rPr>
          <w:rStyle w:val="53"/>
          <w:rFonts w:hint="eastAsia"/>
          <w:sz w:val="24"/>
          <w:highlight w:val="none"/>
        </w:rPr>
        <w:t>超高效液相色谱仪搭以二维液相形式，包含耐高压梯度泵、多功能自动进样器、大容量柱温箱、柱切换阀和紫外检测器等模块。经过两个极性不同的维度分离后，可对复杂有机合成反应体系中的关注组分进行快速分离和检测。同时通过网络版软件，配合自动化软件操作系统实现双向命令交互，完成数据的接受和反馈，是智能有机合成工作流的关键一环。</w:t>
      </w:r>
    </w:p>
    <w:p w14:paraId="02EC6466">
      <w:pPr>
        <w:spacing w:line="360" w:lineRule="auto"/>
        <w:rPr>
          <w:rStyle w:val="53"/>
          <w:sz w:val="24"/>
          <w:highlight w:val="none"/>
        </w:rPr>
      </w:pPr>
    </w:p>
    <w:p w14:paraId="1D53E109">
      <w:pPr>
        <w:numPr>
          <w:ilvl w:val="0"/>
          <w:numId w:val="2"/>
        </w:num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技术规格：</w:t>
      </w:r>
    </w:p>
    <w:p w14:paraId="35ECC7CC">
      <w:pP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3.1溶剂输送系统一套（含第一维和第二维）</w:t>
      </w:r>
    </w:p>
    <w:p w14:paraId="57B9B96B">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#3.1.1泵驱动方式：串联双柱塞，可变伺服冲程</w:t>
      </w:r>
    </w:p>
    <w:p w14:paraId="0B0B35AF">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#3.1.2可设置的流速范围：≥0.001-3mL/min，增量为0.001 mL/min</w:t>
      </w:r>
    </w:p>
    <w:p w14:paraId="48173F0F">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3.1.3流速精度：≤0.07 % RSD</w:t>
      </w:r>
    </w:p>
    <w:p w14:paraId="3EDAFD0A">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*3.1.4压力范围：0-1300 bar或更宽范围</w:t>
      </w:r>
    </w:p>
    <w:p w14:paraId="722A3342">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*3.1.5可支持同时混合的溶剂路数：≥3</w:t>
      </w:r>
    </w:p>
    <w:p w14:paraId="0C99F955">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*3.1.6组分准确度：≤±0.4 %</w:t>
      </w:r>
    </w:p>
    <w:p w14:paraId="57FD67E2">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#3.1.7 pH范围不窄于1-12.5</w:t>
      </w:r>
    </w:p>
    <w:p w14:paraId="2F871B26">
      <w:pP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3.2自动进样器一套（含第一维和第二维）</w:t>
      </w:r>
    </w:p>
    <w:p w14:paraId="6D2956AC">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3.2.1压力范围：0-1300 bar或更宽范围</w:t>
      </w:r>
    </w:p>
    <w:p w14:paraId="65EEE477">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3.2.2进样量范围：0.1-20 uL，以0.1 uL步进</w:t>
      </w:r>
    </w:p>
    <w:p w14:paraId="18BF9D4C">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3.2.3样品容量：≥108位2mL样品瓶；支持多孔板如96孔板、384孔板进样</w:t>
      </w:r>
    </w:p>
    <w:p w14:paraId="0A022DF3">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3.2.4进样精度：</w:t>
      </w:r>
      <w:r>
        <w:rPr>
          <w:rFonts w:asciiTheme="minorEastAsia" w:hAnsiTheme="minorEastAsia" w:eastAsiaTheme="minorEastAsia" w:cstheme="minorEastAsia"/>
          <w:sz w:val="24"/>
          <w:highlight w:val="none"/>
        </w:rPr>
        <w:t>&lt;0.25% RSD</w:t>
      </w:r>
    </w:p>
    <w:p w14:paraId="10A985BE">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3.2.5交叉污染：</w:t>
      </w:r>
      <w:r>
        <w:rPr>
          <w:rFonts w:asciiTheme="minorEastAsia" w:hAnsiTheme="minorEastAsia" w:eastAsiaTheme="minorEastAsia" w:cstheme="minorEastAsia"/>
          <w:sz w:val="24"/>
          <w:highlight w:val="none"/>
        </w:rPr>
        <w:t>&lt;0.004%</w:t>
      </w:r>
    </w:p>
    <w:p w14:paraId="527C81EB">
      <w:pP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3.3大容量柱温箱一套（含第一维和第二维）</w:t>
      </w:r>
    </w:p>
    <w:p w14:paraId="0D91018C">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*3.3.1温控单元数量：≥2，在单个设备中，不支持多个设备叠加</w:t>
      </w:r>
    </w:p>
    <w:p w14:paraId="0EF4FDED">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3.3.2半导体单元控温</w:t>
      </w:r>
    </w:p>
    <w:p w14:paraId="67BE2B10">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*3.3.3最高温度不低于110℃，且可降温</w:t>
      </w:r>
    </w:p>
    <w:p w14:paraId="0586E6F9">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*3.3.4单个柱温箱可同时容纳不少于4根30 cm长度的色谱柱，不支持多个设备叠加</w:t>
      </w:r>
    </w:p>
    <w:p w14:paraId="23578FFD">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3.3.5温度稳定性：≤±0.03℃</w:t>
      </w:r>
    </w:p>
    <w:p w14:paraId="713B92DB">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3.3.6温度准确度：≤±0.5℃</w:t>
      </w:r>
    </w:p>
    <w:p w14:paraId="157DD35F">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3.3.7内置柱切换阀，单阀条件即可实现六柱切换</w:t>
      </w:r>
    </w:p>
    <w:p w14:paraId="1722A813">
      <w:pP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3.4二极管阵列检测器一套（含第一维和第二维）</w:t>
      </w:r>
    </w:p>
    <w:p w14:paraId="27969C19">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3.4.1检测器类型：≥1024个二极管元件</w:t>
      </w:r>
    </w:p>
    <w:p w14:paraId="57EF3197">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3.4.2光源：氘灯</w:t>
      </w:r>
    </w:p>
    <w:p w14:paraId="0E4E44C7">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3.4.3信号数量：≥8</w:t>
      </w:r>
    </w:p>
    <w:p w14:paraId="6BB12E61">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3.4.4最大采样速率：≥120 Hz</w:t>
      </w:r>
    </w:p>
    <w:p w14:paraId="074D1FE6">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3.4.5波长范围：190-640 nm或更宽范围</w:t>
      </w:r>
    </w:p>
    <w:p w14:paraId="34CD7A52">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3.4.6漂移：&lt;0.5×10</w:t>
      </w:r>
      <w:r>
        <w:rPr>
          <w:rFonts w:hint="eastAsia" w:asciiTheme="minorEastAsia" w:hAnsiTheme="minorEastAsia" w:eastAsiaTheme="minorEastAsia" w:cstheme="minorEastAsia"/>
          <w:sz w:val="24"/>
          <w:highlight w:val="none"/>
          <w:vertAlign w:val="superscript"/>
        </w:rPr>
        <w:t>-3</w:t>
      </w:r>
      <w:r>
        <w:rPr>
          <w:rFonts w:hint="eastAsia" w:asciiTheme="minorEastAsia" w:hAnsiTheme="minorEastAsia" w:eastAsiaTheme="minorEastAsia" w:cstheme="minorEastAsia"/>
          <w:sz w:val="24"/>
          <w:highlight w:val="none"/>
        </w:rPr>
        <w:t xml:space="preserve"> AU/h</w:t>
      </w:r>
    </w:p>
    <w:p w14:paraId="49DA655E">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3.4.7信噪比：</w:t>
      </w:r>
      <w:r>
        <w:rPr>
          <w:rFonts w:asciiTheme="minorEastAsia" w:hAnsiTheme="minorEastAsia" w:eastAsiaTheme="minorEastAsia" w:cstheme="minorEastAsia"/>
          <w:sz w:val="24"/>
          <w:highlight w:val="none"/>
        </w:rPr>
        <w:t>&lt;±3</w:t>
      </w:r>
      <w:r>
        <w:rPr>
          <w:rFonts w:hint="eastAsia" w:asciiTheme="minorEastAsia" w:hAnsiTheme="minorEastAsia" w:eastAsiaTheme="minorEastAsia" w:cstheme="minorEastAsia"/>
          <w:sz w:val="24"/>
          <w:highlight w:val="none"/>
        </w:rPr>
        <w:t>×</w:t>
      </w:r>
      <w:r>
        <w:rPr>
          <w:rFonts w:asciiTheme="minorEastAsia" w:hAnsiTheme="minorEastAsia" w:eastAsiaTheme="minorEastAsia" w:cstheme="minorEastAsia"/>
          <w:sz w:val="24"/>
          <w:highlight w:val="none"/>
        </w:rPr>
        <w:t>10</w:t>
      </w:r>
      <w:r>
        <w:rPr>
          <w:rFonts w:asciiTheme="minorEastAsia" w:hAnsiTheme="minorEastAsia" w:eastAsiaTheme="minorEastAsia" w:cstheme="minorEastAsia"/>
          <w:sz w:val="24"/>
          <w:highlight w:val="none"/>
          <w:vertAlign w:val="superscript"/>
        </w:rPr>
        <w:t>-6</w:t>
      </w:r>
      <w:r>
        <w:rPr>
          <w:rFonts w:asciiTheme="minorEastAsia" w:hAnsiTheme="minorEastAsia" w:eastAsiaTheme="minorEastAsia" w:cstheme="minorEastAsia"/>
          <w:sz w:val="24"/>
          <w:highlight w:val="none"/>
        </w:rPr>
        <w:t xml:space="preserve"> AU</w:t>
      </w:r>
    </w:p>
    <w:p w14:paraId="5A6FAF39">
      <w:pP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3.5网络版软件一套</w:t>
      </w:r>
    </w:p>
    <w:p w14:paraId="09A20304">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3.5.1网络构架为采用C/S三层网络架构或类似架构</w:t>
      </w:r>
    </w:p>
    <w:p w14:paraId="275A53BF">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3.5.2数据库类型可兼容主流数据库，至少支持Oracle和SQL Server，PostgreSQL多种数据库</w:t>
      </w:r>
    </w:p>
    <w:p w14:paraId="4F4B8F11">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3.5.3系统属于科学数据管理系统</w:t>
      </w:r>
    </w:p>
    <w:p w14:paraId="20BC605C">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#3.5.4用户账户数量应没有限制，工作站支持同时在线使用账户不低于200个</w:t>
      </w:r>
    </w:p>
    <w:p w14:paraId="75C97373">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3.5.5网络版工作系统可提供自动化接口，与自动化控制系统进行双向命令交互，实现智能化合成工作流</w:t>
      </w:r>
    </w:p>
    <w:p w14:paraId="4C5EEE4D">
      <w:pPr>
        <w:spacing w:line="360" w:lineRule="auto"/>
        <w:rPr>
          <w:rFonts w:hint="eastAsia" w:asciiTheme="minorEastAsia" w:hAnsiTheme="minorEastAsia" w:eastAsiaTheme="minorEastAsia" w:cstheme="minorEastAsia"/>
          <w:sz w:val="24"/>
          <w:highlight w:val="none"/>
        </w:rPr>
      </w:pPr>
    </w:p>
    <w:p w14:paraId="70E8CC9F">
      <w:pPr>
        <w:numPr>
          <w:ilvl w:val="0"/>
          <w:numId w:val="2"/>
        </w:numPr>
        <w:spacing w:line="360" w:lineRule="auto"/>
        <w:ind w:left="363" w:hanging="363"/>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产品配置要求</w:t>
      </w:r>
    </w:p>
    <w:p w14:paraId="2DFEE8FF">
      <w:pPr>
        <w:tabs>
          <w:tab w:val="left" w:pos="360"/>
        </w:tabs>
        <w:spacing w:line="360" w:lineRule="auto"/>
        <w:rPr>
          <w:rFonts w:hint="eastAsia" w:asciiTheme="minorEastAsia" w:hAnsiTheme="minorEastAsia" w:eastAsiaTheme="minorEastAsia" w:cstheme="minorEastAsia"/>
          <w:iCs/>
          <w:sz w:val="24"/>
          <w:highlight w:val="none"/>
        </w:rPr>
      </w:pPr>
      <w:r>
        <w:rPr>
          <w:rFonts w:hint="eastAsia" w:asciiTheme="minorEastAsia" w:hAnsiTheme="minorEastAsia" w:eastAsiaTheme="minorEastAsia" w:cstheme="minorEastAsia"/>
          <w:iCs/>
          <w:sz w:val="24"/>
          <w:highlight w:val="none"/>
        </w:rPr>
        <w:t>4.1超高效液相色谱仪及网络版软件4套，每套的配置要求详见技术规格</w:t>
      </w:r>
    </w:p>
    <w:p w14:paraId="273D5495">
      <w:pPr>
        <w:tabs>
          <w:tab w:val="left" w:pos="360"/>
        </w:tabs>
        <w:spacing w:line="360" w:lineRule="auto"/>
        <w:rPr>
          <w:rFonts w:hint="eastAsia" w:asciiTheme="minorEastAsia" w:hAnsiTheme="minorEastAsia" w:eastAsiaTheme="minorEastAsia" w:cstheme="minorEastAsia"/>
          <w:iCs/>
          <w:sz w:val="24"/>
          <w:highlight w:val="none"/>
        </w:rPr>
      </w:pPr>
      <w:r>
        <w:rPr>
          <w:rFonts w:hint="eastAsia" w:asciiTheme="minorEastAsia" w:hAnsiTheme="minorEastAsia" w:eastAsiaTheme="minorEastAsia" w:cstheme="minorEastAsia"/>
          <w:iCs/>
          <w:sz w:val="24"/>
          <w:highlight w:val="none"/>
        </w:rPr>
        <w:t>4.2网络版软件配套的服务器1套、域控1套、SQL</w:t>
      </w:r>
      <w:r>
        <w:rPr>
          <w:rFonts w:asciiTheme="minorEastAsia" w:hAnsiTheme="minorEastAsia" w:eastAsiaTheme="minorEastAsia" w:cstheme="minorEastAsia"/>
          <w:iCs/>
          <w:sz w:val="24"/>
          <w:highlight w:val="none"/>
        </w:rPr>
        <w:t xml:space="preserve"> SERVER</w:t>
      </w:r>
      <w:r>
        <w:rPr>
          <w:rFonts w:hint="eastAsia" w:asciiTheme="minorEastAsia" w:hAnsiTheme="minorEastAsia" w:eastAsiaTheme="minorEastAsia" w:cstheme="minorEastAsia"/>
          <w:iCs/>
          <w:sz w:val="24"/>
          <w:highlight w:val="none"/>
        </w:rPr>
        <w:t>数据库1套、交换机和网线等耗材若干</w:t>
      </w:r>
    </w:p>
    <w:p w14:paraId="76E298B7">
      <w:pPr>
        <w:spacing w:line="360" w:lineRule="auto"/>
        <w:rPr>
          <w:rFonts w:hint="eastAsia" w:ascii="宋体" w:hAnsi="宋体" w:cs="宋体"/>
          <w:sz w:val="24"/>
          <w:highlight w:val="none"/>
        </w:rPr>
      </w:pPr>
      <w:r>
        <w:rPr>
          <w:rFonts w:hint="eastAsia" w:ascii="宋体" w:hAnsi="宋体" w:cs="宋体"/>
          <w:sz w:val="24"/>
          <w:szCs w:val="21"/>
          <w:highlight w:val="none"/>
        </w:rPr>
        <w:t xml:space="preserve">4.3 </w:t>
      </w:r>
      <w:r>
        <w:rPr>
          <w:rFonts w:hint="eastAsia" w:ascii="宋体" w:hAnsi="宋体" w:cs="宋体"/>
          <w:sz w:val="24"/>
          <w:highlight w:val="none"/>
        </w:rPr>
        <w:t>其它保证仪器设备的正常运行和常规保养所需的附件、专用工具和消耗品。(由投标人提供，请参考总则第2.1条)</w:t>
      </w:r>
    </w:p>
    <w:p w14:paraId="6E099459">
      <w:pPr>
        <w:tabs>
          <w:tab w:val="left" w:pos="540"/>
        </w:tabs>
        <w:spacing w:line="360" w:lineRule="auto"/>
        <w:rPr>
          <w:rFonts w:hint="eastAsia" w:asciiTheme="minorEastAsia" w:hAnsiTheme="minorEastAsia" w:eastAsiaTheme="minorEastAsia" w:cstheme="minorEastAsia"/>
          <w:sz w:val="24"/>
          <w:highlight w:val="none"/>
        </w:rPr>
      </w:pPr>
    </w:p>
    <w:p w14:paraId="008CFB85">
      <w:p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5. 选购附件、备件及消耗品</w:t>
      </w:r>
    </w:p>
    <w:p w14:paraId="3B99C10F">
      <w:pPr>
        <w:tabs>
          <w:tab w:val="left" w:pos="360"/>
        </w:tabs>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无</w:t>
      </w:r>
    </w:p>
    <w:p w14:paraId="14902895">
      <w:pPr>
        <w:tabs>
          <w:tab w:val="left" w:pos="540"/>
        </w:tabs>
        <w:spacing w:line="360" w:lineRule="auto"/>
        <w:rPr>
          <w:rFonts w:hint="eastAsia" w:asciiTheme="minorEastAsia" w:hAnsiTheme="minorEastAsia" w:eastAsiaTheme="minorEastAsia" w:cstheme="minorEastAsia"/>
          <w:bCs/>
          <w:sz w:val="24"/>
          <w:highlight w:val="none"/>
        </w:rPr>
      </w:pPr>
    </w:p>
    <w:p w14:paraId="797189AF">
      <w:pPr>
        <w:tabs>
          <w:tab w:val="left" w:pos="540"/>
        </w:tabs>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6.  技术文件：</w:t>
      </w:r>
    </w:p>
    <w:p w14:paraId="13BBE933">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 请参考总则第1.2条。</w:t>
      </w:r>
    </w:p>
    <w:p w14:paraId="2AEE0F4A">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6.2 请参考总则第2.3条。</w:t>
      </w:r>
    </w:p>
    <w:p w14:paraId="09CD417C">
      <w:pPr>
        <w:spacing w:line="360" w:lineRule="auto"/>
        <w:rPr>
          <w:rFonts w:hint="eastAsia" w:asciiTheme="minorEastAsia" w:hAnsiTheme="minorEastAsia" w:eastAsiaTheme="minorEastAsia" w:cstheme="minorEastAsia"/>
          <w:sz w:val="24"/>
          <w:highlight w:val="none"/>
        </w:rPr>
      </w:pPr>
    </w:p>
    <w:p w14:paraId="2255DCFC">
      <w:p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（二）质保及售后服务：</w:t>
      </w:r>
    </w:p>
    <w:p w14:paraId="530B6618">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1.安装验收期间，对用户进行仪器的基本操作和日常维护的现场培训，内容包括仪器原理，使用方法和维护方法等。</w:t>
      </w:r>
    </w:p>
    <w:p w14:paraId="7758898C">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2.仪器在安装、调试通过后享有1年的免费保修期。</w:t>
      </w:r>
    </w:p>
    <w:p w14:paraId="1AA1B01B">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3.正规注册的办事处、维修站及零备件保税库。供应零备件和正常的售后服务,在国内的技术服务中心（包括维修中心）或消耗品代理商应当提供所有的服务,包括备用零配件及消耗品。</w:t>
      </w:r>
    </w:p>
    <w:p w14:paraId="47EDB32E">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4.在中国境内有专门负责的经验丰富的维修工程师和在中国境内应有专门的技术应用支持工程师，在国内设有应用开发实验室。</w:t>
      </w:r>
    </w:p>
    <w:p w14:paraId="04FFCE78">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5.保修期内提供全免费保修，所有服务及配件全部免费（不包括耗材）。响应时间为接到报修后2小时以内，并在3个工作日内到设备使用现场进行维修工作。</w:t>
      </w:r>
    </w:p>
    <w:p w14:paraId="64A09481">
      <w:pPr>
        <w:spacing w:line="360" w:lineRule="auto"/>
        <w:rPr>
          <w:rFonts w:hint="eastAsia" w:asciiTheme="minorEastAsia" w:hAnsiTheme="minorEastAsia" w:eastAsiaTheme="minorEastAsia" w:cstheme="minorEastAsia"/>
          <w:sz w:val="24"/>
          <w:highlight w:val="none"/>
        </w:rPr>
      </w:pPr>
    </w:p>
    <w:p w14:paraId="7F6DFA91">
      <w:p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（三） 订货数量：</w:t>
      </w:r>
    </w:p>
    <w:p w14:paraId="3932877C">
      <w:pPr>
        <w:spacing w:line="360" w:lineRule="auto"/>
        <w:ind w:firstLine="240" w:firstLineChars="1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4套</w:t>
      </w:r>
    </w:p>
    <w:p w14:paraId="62846ECB">
      <w:pPr>
        <w:spacing w:line="360" w:lineRule="auto"/>
        <w:rPr>
          <w:rFonts w:hint="eastAsia" w:asciiTheme="minorEastAsia" w:hAnsiTheme="minorEastAsia" w:eastAsiaTheme="minorEastAsia" w:cstheme="minorEastAsia"/>
          <w:sz w:val="24"/>
          <w:highlight w:val="none"/>
        </w:rPr>
      </w:pPr>
    </w:p>
    <w:p w14:paraId="0D9B5E48">
      <w:p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（四） 交货地：</w:t>
      </w:r>
    </w:p>
    <w:p w14:paraId="1C7C9F4A">
      <w:pPr>
        <w:spacing w:line="360" w:lineRule="auto"/>
        <w:ind w:firstLine="24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rPr>
          <w:rFonts w:hint="eastAsia" w:ascii="宋体" w:hAnsi="宋体"/>
          <w:color w:val="000000"/>
          <w:sz w:val="24"/>
          <w:highlight w:val="none"/>
        </w:rPr>
        <w:t>CIP上海空港</w:t>
      </w:r>
    </w:p>
    <w:p w14:paraId="73F79705">
      <w:pPr>
        <w:spacing w:line="360" w:lineRule="auto"/>
        <w:rPr>
          <w:rFonts w:hint="eastAsia" w:asciiTheme="minorEastAsia" w:hAnsiTheme="minorEastAsia" w:eastAsiaTheme="minorEastAsia" w:cstheme="minorEastAsia"/>
          <w:sz w:val="24"/>
          <w:highlight w:val="none"/>
        </w:rPr>
      </w:pPr>
    </w:p>
    <w:p w14:paraId="7C69A368">
      <w:pPr>
        <w:numPr>
          <w:ilvl w:val="0"/>
          <w:numId w:val="4"/>
        </w:num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交货日期：</w:t>
      </w:r>
    </w:p>
    <w:p w14:paraId="7BAED213">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合同生效且免表办理好后60天内</w:t>
      </w:r>
    </w:p>
    <w:p w14:paraId="7CBE287F">
      <w:pPr>
        <w:spacing w:line="360" w:lineRule="auto"/>
        <w:rPr>
          <w:rFonts w:hint="eastAsia" w:asciiTheme="minorEastAsia" w:hAnsiTheme="minorEastAsia" w:eastAsiaTheme="minorEastAsia" w:cstheme="minorEastAsia"/>
          <w:sz w:val="24"/>
          <w:highlight w:val="none"/>
        </w:rPr>
      </w:pPr>
    </w:p>
    <w:p w14:paraId="26248B3F">
      <w:pPr>
        <w:numPr>
          <w:ilvl w:val="0"/>
          <w:numId w:val="4"/>
        </w:num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执行的相关标准：</w:t>
      </w:r>
    </w:p>
    <w:p w14:paraId="62FEB425">
      <w:pPr>
        <w:spacing w:line="360" w:lineRule="auto"/>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   产品应满足相关国家标准及行业标准。</w:t>
      </w:r>
    </w:p>
    <w:p w14:paraId="6051DB7D">
      <w:pPr>
        <w:widowControl/>
        <w:spacing w:line="360" w:lineRule="auto"/>
        <w:rPr>
          <w:rFonts w:hint="eastAsia" w:asciiTheme="minorEastAsia" w:hAnsiTheme="minorEastAsia" w:eastAsiaTheme="minorEastAsia" w:cstheme="minorEastAsia"/>
          <w:b/>
          <w:sz w:val="30"/>
          <w:szCs w:val="30"/>
          <w:highlight w:val="none"/>
        </w:rPr>
      </w:pPr>
    </w:p>
    <w:p w14:paraId="02EC6490">
      <w:pPr>
        <w:widowControl/>
        <w:spacing w:line="360" w:lineRule="auto"/>
        <w:rPr>
          <w:rFonts w:hint="eastAsia" w:asciiTheme="minorEastAsia" w:hAnsiTheme="minorEastAsia" w:eastAsiaTheme="minorEastAsia" w:cstheme="minorEastAsia"/>
          <w:b/>
          <w:sz w:val="30"/>
          <w:szCs w:val="30"/>
          <w:highlight w:val="none"/>
        </w:rPr>
      </w:pP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time of new roman">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C649A">
    <w:pPr>
      <w:pStyle w:val="21"/>
      <w:jc w:val="center"/>
    </w:pPr>
    <w:r>
      <w:fldChar w:fldCharType="begin"/>
    </w:r>
    <w:r>
      <w:instrText xml:space="preserve">PAGE   \* MERGEFORMAT</w:instrText>
    </w:r>
    <w:r>
      <w:fldChar w:fldCharType="separate"/>
    </w:r>
    <w:r>
      <w:rPr>
        <w:lang w:val="zh-CN"/>
      </w:rPr>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C649B">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C6499">
    <w:pPr>
      <w:pStyle w:val="22"/>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E494D"/>
    <w:multiLevelType w:val="singleLevel"/>
    <w:tmpl w:val="AA3E494D"/>
    <w:lvl w:ilvl="0" w:tentative="0">
      <w:start w:val="5"/>
      <w:numFmt w:val="chineseCounting"/>
      <w:suff w:val="space"/>
      <w:lvlText w:val="（%1）"/>
      <w:lvlJc w:val="left"/>
      <w:rPr>
        <w:rFonts w:hint="eastAsia"/>
      </w:r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196616A9"/>
    <w:multiLevelType w:val="multilevel"/>
    <w:tmpl w:val="196616A9"/>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3">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5NTFkMDYyZjhhYjE2OGVmNDJkNzA2YTE0NzcwODMifQ=="/>
  </w:docVars>
  <w:rsids>
    <w:rsidRoot w:val="00FA3835"/>
    <w:rsid w:val="000050A2"/>
    <w:rsid w:val="00010A53"/>
    <w:rsid w:val="00012D7B"/>
    <w:rsid w:val="000206C1"/>
    <w:rsid w:val="00023CAC"/>
    <w:rsid w:val="00027C8D"/>
    <w:rsid w:val="00033D44"/>
    <w:rsid w:val="0003528D"/>
    <w:rsid w:val="00040005"/>
    <w:rsid w:val="00042A16"/>
    <w:rsid w:val="00043C36"/>
    <w:rsid w:val="00044825"/>
    <w:rsid w:val="000543E7"/>
    <w:rsid w:val="000553A7"/>
    <w:rsid w:val="0006010D"/>
    <w:rsid w:val="000638F7"/>
    <w:rsid w:val="000668DC"/>
    <w:rsid w:val="000713AF"/>
    <w:rsid w:val="00080EE0"/>
    <w:rsid w:val="00081ADD"/>
    <w:rsid w:val="00081F6E"/>
    <w:rsid w:val="00085052"/>
    <w:rsid w:val="000922AF"/>
    <w:rsid w:val="000969BB"/>
    <w:rsid w:val="000973D2"/>
    <w:rsid w:val="000A2740"/>
    <w:rsid w:val="000B12EC"/>
    <w:rsid w:val="000B636A"/>
    <w:rsid w:val="000C1F98"/>
    <w:rsid w:val="000C325D"/>
    <w:rsid w:val="000C33C5"/>
    <w:rsid w:val="000C505C"/>
    <w:rsid w:val="000D1A3C"/>
    <w:rsid w:val="000E0B0C"/>
    <w:rsid w:val="000E17D4"/>
    <w:rsid w:val="000E4DA9"/>
    <w:rsid w:val="000E6B58"/>
    <w:rsid w:val="000F0512"/>
    <w:rsid w:val="000F4571"/>
    <w:rsid w:val="00103352"/>
    <w:rsid w:val="00105333"/>
    <w:rsid w:val="00105949"/>
    <w:rsid w:val="00107AF4"/>
    <w:rsid w:val="001140D0"/>
    <w:rsid w:val="001235CA"/>
    <w:rsid w:val="00137D93"/>
    <w:rsid w:val="00140A60"/>
    <w:rsid w:val="001437EA"/>
    <w:rsid w:val="00144505"/>
    <w:rsid w:val="00144DDA"/>
    <w:rsid w:val="0014761F"/>
    <w:rsid w:val="00153F11"/>
    <w:rsid w:val="00154B90"/>
    <w:rsid w:val="00154F47"/>
    <w:rsid w:val="00155A34"/>
    <w:rsid w:val="00164E27"/>
    <w:rsid w:val="00165CF8"/>
    <w:rsid w:val="001753B4"/>
    <w:rsid w:val="00177F8F"/>
    <w:rsid w:val="00182DC1"/>
    <w:rsid w:val="00187304"/>
    <w:rsid w:val="001921CA"/>
    <w:rsid w:val="00194900"/>
    <w:rsid w:val="00196B54"/>
    <w:rsid w:val="001A0E56"/>
    <w:rsid w:val="001A66A6"/>
    <w:rsid w:val="001A6E63"/>
    <w:rsid w:val="001B195C"/>
    <w:rsid w:val="001B5C65"/>
    <w:rsid w:val="001B62CC"/>
    <w:rsid w:val="001B66E1"/>
    <w:rsid w:val="001B6E57"/>
    <w:rsid w:val="001D062A"/>
    <w:rsid w:val="001D67C6"/>
    <w:rsid w:val="001D7301"/>
    <w:rsid w:val="001E1467"/>
    <w:rsid w:val="001E152C"/>
    <w:rsid w:val="001E2353"/>
    <w:rsid w:val="001E3480"/>
    <w:rsid w:val="001F18B7"/>
    <w:rsid w:val="001F1D2B"/>
    <w:rsid w:val="001F5FAD"/>
    <w:rsid w:val="001F79B6"/>
    <w:rsid w:val="002024C7"/>
    <w:rsid w:val="002053E6"/>
    <w:rsid w:val="00206639"/>
    <w:rsid w:val="002109E2"/>
    <w:rsid w:val="0021259E"/>
    <w:rsid w:val="00213C28"/>
    <w:rsid w:val="00216E3E"/>
    <w:rsid w:val="002208E1"/>
    <w:rsid w:val="0022398B"/>
    <w:rsid w:val="00224FE7"/>
    <w:rsid w:val="0023013E"/>
    <w:rsid w:val="00233C8A"/>
    <w:rsid w:val="0023407F"/>
    <w:rsid w:val="00240E7B"/>
    <w:rsid w:val="00241D0C"/>
    <w:rsid w:val="0024345E"/>
    <w:rsid w:val="00247ED0"/>
    <w:rsid w:val="002517B3"/>
    <w:rsid w:val="00251DB7"/>
    <w:rsid w:val="00255A0F"/>
    <w:rsid w:val="0025706F"/>
    <w:rsid w:val="00275598"/>
    <w:rsid w:val="002761A3"/>
    <w:rsid w:val="0028124D"/>
    <w:rsid w:val="00282A80"/>
    <w:rsid w:val="00282F14"/>
    <w:rsid w:val="00292E0B"/>
    <w:rsid w:val="00293D1D"/>
    <w:rsid w:val="0029644C"/>
    <w:rsid w:val="002A05BB"/>
    <w:rsid w:val="002A6FE1"/>
    <w:rsid w:val="002B20DE"/>
    <w:rsid w:val="002B44BD"/>
    <w:rsid w:val="002B450E"/>
    <w:rsid w:val="002B6E7A"/>
    <w:rsid w:val="002B7380"/>
    <w:rsid w:val="002C47C0"/>
    <w:rsid w:val="002D3173"/>
    <w:rsid w:val="002D5C47"/>
    <w:rsid w:val="002D72C4"/>
    <w:rsid w:val="002E03AA"/>
    <w:rsid w:val="002E6A76"/>
    <w:rsid w:val="002F1704"/>
    <w:rsid w:val="002F54FE"/>
    <w:rsid w:val="002F6FCA"/>
    <w:rsid w:val="002F7EF8"/>
    <w:rsid w:val="00301191"/>
    <w:rsid w:val="00313CB2"/>
    <w:rsid w:val="00314862"/>
    <w:rsid w:val="00316BEC"/>
    <w:rsid w:val="003206A8"/>
    <w:rsid w:val="00322611"/>
    <w:rsid w:val="003248D5"/>
    <w:rsid w:val="00326D72"/>
    <w:rsid w:val="0033189B"/>
    <w:rsid w:val="003442AE"/>
    <w:rsid w:val="0034443A"/>
    <w:rsid w:val="003474B8"/>
    <w:rsid w:val="00347E0C"/>
    <w:rsid w:val="00353E66"/>
    <w:rsid w:val="00357C16"/>
    <w:rsid w:val="003637C6"/>
    <w:rsid w:val="003654F9"/>
    <w:rsid w:val="00367200"/>
    <w:rsid w:val="003732CC"/>
    <w:rsid w:val="00373B63"/>
    <w:rsid w:val="00374F9A"/>
    <w:rsid w:val="003751A7"/>
    <w:rsid w:val="003752C8"/>
    <w:rsid w:val="00382C0C"/>
    <w:rsid w:val="00384D29"/>
    <w:rsid w:val="00397F24"/>
    <w:rsid w:val="003A0019"/>
    <w:rsid w:val="003A298A"/>
    <w:rsid w:val="003B212C"/>
    <w:rsid w:val="003B42E3"/>
    <w:rsid w:val="003B4F45"/>
    <w:rsid w:val="003B6193"/>
    <w:rsid w:val="003C172D"/>
    <w:rsid w:val="003C3309"/>
    <w:rsid w:val="003C7092"/>
    <w:rsid w:val="003C785A"/>
    <w:rsid w:val="003D1BC9"/>
    <w:rsid w:val="003D2B81"/>
    <w:rsid w:val="003E4199"/>
    <w:rsid w:val="003F5F7A"/>
    <w:rsid w:val="003F76EE"/>
    <w:rsid w:val="004043A2"/>
    <w:rsid w:val="00404EA5"/>
    <w:rsid w:val="00412ED9"/>
    <w:rsid w:val="00415144"/>
    <w:rsid w:val="00420D92"/>
    <w:rsid w:val="0042297A"/>
    <w:rsid w:val="0042377A"/>
    <w:rsid w:val="0043114F"/>
    <w:rsid w:val="004362C7"/>
    <w:rsid w:val="0044106E"/>
    <w:rsid w:val="00446E68"/>
    <w:rsid w:val="00447503"/>
    <w:rsid w:val="0046038A"/>
    <w:rsid w:val="0046665D"/>
    <w:rsid w:val="0046784F"/>
    <w:rsid w:val="00471176"/>
    <w:rsid w:val="00471855"/>
    <w:rsid w:val="0047517B"/>
    <w:rsid w:val="004755EE"/>
    <w:rsid w:val="00484FF8"/>
    <w:rsid w:val="004874D5"/>
    <w:rsid w:val="00491CC1"/>
    <w:rsid w:val="00494102"/>
    <w:rsid w:val="004A0EB1"/>
    <w:rsid w:val="004A3B49"/>
    <w:rsid w:val="004A4DCC"/>
    <w:rsid w:val="004A5C14"/>
    <w:rsid w:val="004B3476"/>
    <w:rsid w:val="004B36B8"/>
    <w:rsid w:val="004B422A"/>
    <w:rsid w:val="004B7C30"/>
    <w:rsid w:val="004C053E"/>
    <w:rsid w:val="004C387C"/>
    <w:rsid w:val="004C3883"/>
    <w:rsid w:val="004D0AB9"/>
    <w:rsid w:val="004D50E2"/>
    <w:rsid w:val="004E042A"/>
    <w:rsid w:val="004E4504"/>
    <w:rsid w:val="004F0FDE"/>
    <w:rsid w:val="004F3A0E"/>
    <w:rsid w:val="004F3E07"/>
    <w:rsid w:val="005038AB"/>
    <w:rsid w:val="00504FD3"/>
    <w:rsid w:val="00512882"/>
    <w:rsid w:val="005134AD"/>
    <w:rsid w:val="005143FF"/>
    <w:rsid w:val="00516FEB"/>
    <w:rsid w:val="005244F5"/>
    <w:rsid w:val="00524665"/>
    <w:rsid w:val="005300A6"/>
    <w:rsid w:val="005333F9"/>
    <w:rsid w:val="005337AE"/>
    <w:rsid w:val="00543C0A"/>
    <w:rsid w:val="0054699B"/>
    <w:rsid w:val="005515EB"/>
    <w:rsid w:val="005519B7"/>
    <w:rsid w:val="0055226E"/>
    <w:rsid w:val="00552E7C"/>
    <w:rsid w:val="00557D47"/>
    <w:rsid w:val="005601D0"/>
    <w:rsid w:val="005613B2"/>
    <w:rsid w:val="0056304A"/>
    <w:rsid w:val="005656BB"/>
    <w:rsid w:val="0057066D"/>
    <w:rsid w:val="00572671"/>
    <w:rsid w:val="00585CDD"/>
    <w:rsid w:val="00590BEF"/>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1EE6"/>
    <w:rsid w:val="00602911"/>
    <w:rsid w:val="00602A7A"/>
    <w:rsid w:val="0060509A"/>
    <w:rsid w:val="006125F5"/>
    <w:rsid w:val="00612A9B"/>
    <w:rsid w:val="00614D00"/>
    <w:rsid w:val="006225E2"/>
    <w:rsid w:val="0062676A"/>
    <w:rsid w:val="006272DF"/>
    <w:rsid w:val="00631A7E"/>
    <w:rsid w:val="0063461E"/>
    <w:rsid w:val="006371AE"/>
    <w:rsid w:val="00640DB1"/>
    <w:rsid w:val="006416E9"/>
    <w:rsid w:val="00644439"/>
    <w:rsid w:val="0064545D"/>
    <w:rsid w:val="00646C82"/>
    <w:rsid w:val="00647CD5"/>
    <w:rsid w:val="00652A6E"/>
    <w:rsid w:val="006548A6"/>
    <w:rsid w:val="00655478"/>
    <w:rsid w:val="00655B80"/>
    <w:rsid w:val="00657A53"/>
    <w:rsid w:val="00660515"/>
    <w:rsid w:val="00664D7F"/>
    <w:rsid w:val="006713CD"/>
    <w:rsid w:val="00675E1F"/>
    <w:rsid w:val="006810E3"/>
    <w:rsid w:val="00681C84"/>
    <w:rsid w:val="00684122"/>
    <w:rsid w:val="006853F7"/>
    <w:rsid w:val="006A36D5"/>
    <w:rsid w:val="006A377B"/>
    <w:rsid w:val="006A6511"/>
    <w:rsid w:val="006B0930"/>
    <w:rsid w:val="006B2502"/>
    <w:rsid w:val="006B5597"/>
    <w:rsid w:val="006B7DE4"/>
    <w:rsid w:val="006C1EC0"/>
    <w:rsid w:val="006C4384"/>
    <w:rsid w:val="006C5135"/>
    <w:rsid w:val="006C546E"/>
    <w:rsid w:val="006C749F"/>
    <w:rsid w:val="006D29F2"/>
    <w:rsid w:val="006D7733"/>
    <w:rsid w:val="006E06C1"/>
    <w:rsid w:val="006E2DE0"/>
    <w:rsid w:val="006E5A8E"/>
    <w:rsid w:val="0070081C"/>
    <w:rsid w:val="0071653B"/>
    <w:rsid w:val="00721985"/>
    <w:rsid w:val="00724C84"/>
    <w:rsid w:val="007252A8"/>
    <w:rsid w:val="00725C0A"/>
    <w:rsid w:val="00726300"/>
    <w:rsid w:val="0073119D"/>
    <w:rsid w:val="0073199C"/>
    <w:rsid w:val="007376B0"/>
    <w:rsid w:val="00740508"/>
    <w:rsid w:val="00740A78"/>
    <w:rsid w:val="00741A82"/>
    <w:rsid w:val="00742157"/>
    <w:rsid w:val="00743776"/>
    <w:rsid w:val="00751428"/>
    <w:rsid w:val="00753063"/>
    <w:rsid w:val="00753C64"/>
    <w:rsid w:val="00754FA3"/>
    <w:rsid w:val="0075674B"/>
    <w:rsid w:val="00761F2B"/>
    <w:rsid w:val="00762D39"/>
    <w:rsid w:val="00763B74"/>
    <w:rsid w:val="00764643"/>
    <w:rsid w:val="00765BDF"/>
    <w:rsid w:val="0077183E"/>
    <w:rsid w:val="007731D0"/>
    <w:rsid w:val="00775B16"/>
    <w:rsid w:val="00785A0A"/>
    <w:rsid w:val="00786491"/>
    <w:rsid w:val="00787CED"/>
    <w:rsid w:val="007905E0"/>
    <w:rsid w:val="0079112E"/>
    <w:rsid w:val="00791C1F"/>
    <w:rsid w:val="007925D6"/>
    <w:rsid w:val="00794B35"/>
    <w:rsid w:val="007967F8"/>
    <w:rsid w:val="007A3772"/>
    <w:rsid w:val="007A3CCF"/>
    <w:rsid w:val="007A4EE6"/>
    <w:rsid w:val="007B18CF"/>
    <w:rsid w:val="007B36B0"/>
    <w:rsid w:val="007B4942"/>
    <w:rsid w:val="007C2696"/>
    <w:rsid w:val="007C3177"/>
    <w:rsid w:val="007C4C31"/>
    <w:rsid w:val="007C5EA5"/>
    <w:rsid w:val="007D1F47"/>
    <w:rsid w:val="007D381E"/>
    <w:rsid w:val="007D3EE2"/>
    <w:rsid w:val="007D7F4F"/>
    <w:rsid w:val="007E03CA"/>
    <w:rsid w:val="007E6193"/>
    <w:rsid w:val="007E67CC"/>
    <w:rsid w:val="007F049B"/>
    <w:rsid w:val="007F0DD6"/>
    <w:rsid w:val="007F2F97"/>
    <w:rsid w:val="007F387D"/>
    <w:rsid w:val="007F7152"/>
    <w:rsid w:val="008203E6"/>
    <w:rsid w:val="00822633"/>
    <w:rsid w:val="00830107"/>
    <w:rsid w:val="00831353"/>
    <w:rsid w:val="00831B02"/>
    <w:rsid w:val="00833174"/>
    <w:rsid w:val="00834D30"/>
    <w:rsid w:val="00846609"/>
    <w:rsid w:val="00852958"/>
    <w:rsid w:val="00861450"/>
    <w:rsid w:val="00864F77"/>
    <w:rsid w:val="008661F8"/>
    <w:rsid w:val="00866280"/>
    <w:rsid w:val="00866C64"/>
    <w:rsid w:val="008670CB"/>
    <w:rsid w:val="00870FA2"/>
    <w:rsid w:val="008712FA"/>
    <w:rsid w:val="008752A8"/>
    <w:rsid w:val="00876AA9"/>
    <w:rsid w:val="00876EFF"/>
    <w:rsid w:val="00881ED0"/>
    <w:rsid w:val="00883AB2"/>
    <w:rsid w:val="008861B2"/>
    <w:rsid w:val="00887293"/>
    <w:rsid w:val="00890470"/>
    <w:rsid w:val="0089155D"/>
    <w:rsid w:val="00896377"/>
    <w:rsid w:val="008A09F5"/>
    <w:rsid w:val="008A0A26"/>
    <w:rsid w:val="008A4B18"/>
    <w:rsid w:val="008A738C"/>
    <w:rsid w:val="008B159F"/>
    <w:rsid w:val="008B2645"/>
    <w:rsid w:val="008C36D3"/>
    <w:rsid w:val="008C462F"/>
    <w:rsid w:val="008D0675"/>
    <w:rsid w:val="008D1425"/>
    <w:rsid w:val="008D3BC8"/>
    <w:rsid w:val="008D6F23"/>
    <w:rsid w:val="008E5EB5"/>
    <w:rsid w:val="008F04C7"/>
    <w:rsid w:val="008F21A5"/>
    <w:rsid w:val="008F2440"/>
    <w:rsid w:val="008F35FF"/>
    <w:rsid w:val="008F3889"/>
    <w:rsid w:val="008F3931"/>
    <w:rsid w:val="009114C2"/>
    <w:rsid w:val="00914619"/>
    <w:rsid w:val="009202C8"/>
    <w:rsid w:val="009246BA"/>
    <w:rsid w:val="0093012E"/>
    <w:rsid w:val="00930CDE"/>
    <w:rsid w:val="00935AA1"/>
    <w:rsid w:val="00942A30"/>
    <w:rsid w:val="00944891"/>
    <w:rsid w:val="009451DC"/>
    <w:rsid w:val="009467F2"/>
    <w:rsid w:val="00955BEB"/>
    <w:rsid w:val="0095655E"/>
    <w:rsid w:val="009718ED"/>
    <w:rsid w:val="0097297B"/>
    <w:rsid w:val="0098154C"/>
    <w:rsid w:val="0098300A"/>
    <w:rsid w:val="009844AB"/>
    <w:rsid w:val="0098549E"/>
    <w:rsid w:val="009857EF"/>
    <w:rsid w:val="009871A1"/>
    <w:rsid w:val="00990B98"/>
    <w:rsid w:val="009941D8"/>
    <w:rsid w:val="00995597"/>
    <w:rsid w:val="009A2C18"/>
    <w:rsid w:val="009A365D"/>
    <w:rsid w:val="009A47AA"/>
    <w:rsid w:val="009B0B30"/>
    <w:rsid w:val="009C0A0B"/>
    <w:rsid w:val="009C14BD"/>
    <w:rsid w:val="009C621D"/>
    <w:rsid w:val="009C6DB6"/>
    <w:rsid w:val="009D1AF8"/>
    <w:rsid w:val="009D3EBC"/>
    <w:rsid w:val="009E1C84"/>
    <w:rsid w:val="009E32D4"/>
    <w:rsid w:val="009E3A4B"/>
    <w:rsid w:val="009E4080"/>
    <w:rsid w:val="009E4B15"/>
    <w:rsid w:val="009E4DCB"/>
    <w:rsid w:val="009E580F"/>
    <w:rsid w:val="009E5FCF"/>
    <w:rsid w:val="009F5A6A"/>
    <w:rsid w:val="00A0205F"/>
    <w:rsid w:val="00A04E9D"/>
    <w:rsid w:val="00A06893"/>
    <w:rsid w:val="00A21672"/>
    <w:rsid w:val="00A21886"/>
    <w:rsid w:val="00A25682"/>
    <w:rsid w:val="00A2638C"/>
    <w:rsid w:val="00A27417"/>
    <w:rsid w:val="00A27AFD"/>
    <w:rsid w:val="00A354A8"/>
    <w:rsid w:val="00A4031E"/>
    <w:rsid w:val="00A424AA"/>
    <w:rsid w:val="00A44A2B"/>
    <w:rsid w:val="00A46F60"/>
    <w:rsid w:val="00A51826"/>
    <w:rsid w:val="00A52CAF"/>
    <w:rsid w:val="00A53234"/>
    <w:rsid w:val="00A53591"/>
    <w:rsid w:val="00A55E4D"/>
    <w:rsid w:val="00A57F47"/>
    <w:rsid w:val="00A7795F"/>
    <w:rsid w:val="00A870BB"/>
    <w:rsid w:val="00A93130"/>
    <w:rsid w:val="00A944DF"/>
    <w:rsid w:val="00A9607E"/>
    <w:rsid w:val="00A97521"/>
    <w:rsid w:val="00AA6C3D"/>
    <w:rsid w:val="00AA7A0D"/>
    <w:rsid w:val="00AB113B"/>
    <w:rsid w:val="00AB2581"/>
    <w:rsid w:val="00AB75C5"/>
    <w:rsid w:val="00AD2FD2"/>
    <w:rsid w:val="00AD41E6"/>
    <w:rsid w:val="00AD4ECF"/>
    <w:rsid w:val="00AD70C8"/>
    <w:rsid w:val="00AF1062"/>
    <w:rsid w:val="00AF1C45"/>
    <w:rsid w:val="00AF6067"/>
    <w:rsid w:val="00B015D0"/>
    <w:rsid w:val="00B0445C"/>
    <w:rsid w:val="00B060CF"/>
    <w:rsid w:val="00B07AAD"/>
    <w:rsid w:val="00B13E9B"/>
    <w:rsid w:val="00B15273"/>
    <w:rsid w:val="00B16887"/>
    <w:rsid w:val="00B17371"/>
    <w:rsid w:val="00B1746F"/>
    <w:rsid w:val="00B20AD2"/>
    <w:rsid w:val="00B22F73"/>
    <w:rsid w:val="00B27A2B"/>
    <w:rsid w:val="00B31F00"/>
    <w:rsid w:val="00B351A2"/>
    <w:rsid w:val="00B359C5"/>
    <w:rsid w:val="00B41044"/>
    <w:rsid w:val="00B41959"/>
    <w:rsid w:val="00B42C18"/>
    <w:rsid w:val="00B43CF7"/>
    <w:rsid w:val="00B44327"/>
    <w:rsid w:val="00B511D6"/>
    <w:rsid w:val="00B53944"/>
    <w:rsid w:val="00B57F56"/>
    <w:rsid w:val="00B618D6"/>
    <w:rsid w:val="00B61FDD"/>
    <w:rsid w:val="00B65873"/>
    <w:rsid w:val="00B75B80"/>
    <w:rsid w:val="00B80897"/>
    <w:rsid w:val="00B81149"/>
    <w:rsid w:val="00B8672D"/>
    <w:rsid w:val="00B94FB1"/>
    <w:rsid w:val="00B9668C"/>
    <w:rsid w:val="00B97309"/>
    <w:rsid w:val="00BA1AE2"/>
    <w:rsid w:val="00BC150B"/>
    <w:rsid w:val="00BC4B24"/>
    <w:rsid w:val="00BC7FBC"/>
    <w:rsid w:val="00BD11D6"/>
    <w:rsid w:val="00BD2A3B"/>
    <w:rsid w:val="00BD646D"/>
    <w:rsid w:val="00BD6A33"/>
    <w:rsid w:val="00BD78FF"/>
    <w:rsid w:val="00BD7ED0"/>
    <w:rsid w:val="00BE5E06"/>
    <w:rsid w:val="00BE643E"/>
    <w:rsid w:val="00BE7CED"/>
    <w:rsid w:val="00BF59BF"/>
    <w:rsid w:val="00BF6DD5"/>
    <w:rsid w:val="00C019B6"/>
    <w:rsid w:val="00C056B5"/>
    <w:rsid w:val="00C10630"/>
    <w:rsid w:val="00C12939"/>
    <w:rsid w:val="00C132FC"/>
    <w:rsid w:val="00C14E3B"/>
    <w:rsid w:val="00C23065"/>
    <w:rsid w:val="00C23BA4"/>
    <w:rsid w:val="00C241B2"/>
    <w:rsid w:val="00C2528B"/>
    <w:rsid w:val="00C3261F"/>
    <w:rsid w:val="00C34485"/>
    <w:rsid w:val="00C40AB3"/>
    <w:rsid w:val="00C43805"/>
    <w:rsid w:val="00C43E24"/>
    <w:rsid w:val="00C45235"/>
    <w:rsid w:val="00C505F4"/>
    <w:rsid w:val="00C53AAF"/>
    <w:rsid w:val="00C54350"/>
    <w:rsid w:val="00C60EF2"/>
    <w:rsid w:val="00C615B2"/>
    <w:rsid w:val="00C702F0"/>
    <w:rsid w:val="00C72836"/>
    <w:rsid w:val="00C74553"/>
    <w:rsid w:val="00C76555"/>
    <w:rsid w:val="00C8112C"/>
    <w:rsid w:val="00C82FE6"/>
    <w:rsid w:val="00C87EF4"/>
    <w:rsid w:val="00CA5332"/>
    <w:rsid w:val="00CA623E"/>
    <w:rsid w:val="00CA630F"/>
    <w:rsid w:val="00CB11DD"/>
    <w:rsid w:val="00CB36AE"/>
    <w:rsid w:val="00CB4EB2"/>
    <w:rsid w:val="00CB7A41"/>
    <w:rsid w:val="00CC2250"/>
    <w:rsid w:val="00CC7A0B"/>
    <w:rsid w:val="00CC7AA3"/>
    <w:rsid w:val="00CD64CD"/>
    <w:rsid w:val="00CE2041"/>
    <w:rsid w:val="00CE3059"/>
    <w:rsid w:val="00CE4960"/>
    <w:rsid w:val="00CE56FA"/>
    <w:rsid w:val="00CF0912"/>
    <w:rsid w:val="00D0060C"/>
    <w:rsid w:val="00D027B8"/>
    <w:rsid w:val="00D04134"/>
    <w:rsid w:val="00D0571C"/>
    <w:rsid w:val="00D0679B"/>
    <w:rsid w:val="00D11879"/>
    <w:rsid w:val="00D12547"/>
    <w:rsid w:val="00D12CC1"/>
    <w:rsid w:val="00D22D44"/>
    <w:rsid w:val="00D2575A"/>
    <w:rsid w:val="00D378BA"/>
    <w:rsid w:val="00D40668"/>
    <w:rsid w:val="00D56E99"/>
    <w:rsid w:val="00D6263A"/>
    <w:rsid w:val="00D66239"/>
    <w:rsid w:val="00D6723E"/>
    <w:rsid w:val="00D71172"/>
    <w:rsid w:val="00D75F69"/>
    <w:rsid w:val="00D778D7"/>
    <w:rsid w:val="00D80FCA"/>
    <w:rsid w:val="00D83934"/>
    <w:rsid w:val="00D861C3"/>
    <w:rsid w:val="00D86BFC"/>
    <w:rsid w:val="00D91A0C"/>
    <w:rsid w:val="00D9239C"/>
    <w:rsid w:val="00D95896"/>
    <w:rsid w:val="00D95955"/>
    <w:rsid w:val="00D96CC1"/>
    <w:rsid w:val="00D979AB"/>
    <w:rsid w:val="00DA1DF1"/>
    <w:rsid w:val="00DA5817"/>
    <w:rsid w:val="00DA590C"/>
    <w:rsid w:val="00DA703D"/>
    <w:rsid w:val="00DA78EB"/>
    <w:rsid w:val="00DB54CF"/>
    <w:rsid w:val="00DC1546"/>
    <w:rsid w:val="00DC1ACB"/>
    <w:rsid w:val="00DC33A1"/>
    <w:rsid w:val="00DC4304"/>
    <w:rsid w:val="00DD2172"/>
    <w:rsid w:val="00DD2E76"/>
    <w:rsid w:val="00DD4A09"/>
    <w:rsid w:val="00DD4C25"/>
    <w:rsid w:val="00DD6A1F"/>
    <w:rsid w:val="00DE4C00"/>
    <w:rsid w:val="00DE5C67"/>
    <w:rsid w:val="00DE5C92"/>
    <w:rsid w:val="00DF2449"/>
    <w:rsid w:val="00DF671A"/>
    <w:rsid w:val="00DF6DA6"/>
    <w:rsid w:val="00DF7ACF"/>
    <w:rsid w:val="00E004CA"/>
    <w:rsid w:val="00E03391"/>
    <w:rsid w:val="00E0373B"/>
    <w:rsid w:val="00E07308"/>
    <w:rsid w:val="00E179B5"/>
    <w:rsid w:val="00E26286"/>
    <w:rsid w:val="00E2641D"/>
    <w:rsid w:val="00E27960"/>
    <w:rsid w:val="00E30AC2"/>
    <w:rsid w:val="00E33D84"/>
    <w:rsid w:val="00E346B2"/>
    <w:rsid w:val="00E34813"/>
    <w:rsid w:val="00E356D2"/>
    <w:rsid w:val="00E401B3"/>
    <w:rsid w:val="00E41AA1"/>
    <w:rsid w:val="00E458DA"/>
    <w:rsid w:val="00E4741B"/>
    <w:rsid w:val="00E5590E"/>
    <w:rsid w:val="00E5687E"/>
    <w:rsid w:val="00E639CC"/>
    <w:rsid w:val="00E63D5B"/>
    <w:rsid w:val="00E671AD"/>
    <w:rsid w:val="00E7142B"/>
    <w:rsid w:val="00E72C11"/>
    <w:rsid w:val="00E83E40"/>
    <w:rsid w:val="00E857B8"/>
    <w:rsid w:val="00E907E5"/>
    <w:rsid w:val="00E943B8"/>
    <w:rsid w:val="00EA11F7"/>
    <w:rsid w:val="00EA20B9"/>
    <w:rsid w:val="00EA4549"/>
    <w:rsid w:val="00EB3234"/>
    <w:rsid w:val="00EB39B7"/>
    <w:rsid w:val="00EC28D8"/>
    <w:rsid w:val="00ED0B37"/>
    <w:rsid w:val="00ED22DF"/>
    <w:rsid w:val="00ED4C66"/>
    <w:rsid w:val="00ED6781"/>
    <w:rsid w:val="00EE4776"/>
    <w:rsid w:val="00EE4BD8"/>
    <w:rsid w:val="00EF0830"/>
    <w:rsid w:val="00EF383F"/>
    <w:rsid w:val="00EF5BA0"/>
    <w:rsid w:val="00EF64B8"/>
    <w:rsid w:val="00EF658F"/>
    <w:rsid w:val="00F1300D"/>
    <w:rsid w:val="00F13600"/>
    <w:rsid w:val="00F153FA"/>
    <w:rsid w:val="00F15FC0"/>
    <w:rsid w:val="00F17042"/>
    <w:rsid w:val="00F175D1"/>
    <w:rsid w:val="00F17689"/>
    <w:rsid w:val="00F21DA9"/>
    <w:rsid w:val="00F22A75"/>
    <w:rsid w:val="00F30C1E"/>
    <w:rsid w:val="00F3185D"/>
    <w:rsid w:val="00F35217"/>
    <w:rsid w:val="00F35C50"/>
    <w:rsid w:val="00F36C43"/>
    <w:rsid w:val="00F36F51"/>
    <w:rsid w:val="00F4213B"/>
    <w:rsid w:val="00F42D68"/>
    <w:rsid w:val="00F436FE"/>
    <w:rsid w:val="00F46E22"/>
    <w:rsid w:val="00F500D2"/>
    <w:rsid w:val="00F51A9D"/>
    <w:rsid w:val="00F57792"/>
    <w:rsid w:val="00F60048"/>
    <w:rsid w:val="00F6185A"/>
    <w:rsid w:val="00F65DF5"/>
    <w:rsid w:val="00F73FE2"/>
    <w:rsid w:val="00F74944"/>
    <w:rsid w:val="00F82A36"/>
    <w:rsid w:val="00F8497C"/>
    <w:rsid w:val="00F90D64"/>
    <w:rsid w:val="00F91E41"/>
    <w:rsid w:val="00F9790D"/>
    <w:rsid w:val="00FA238D"/>
    <w:rsid w:val="00FA3835"/>
    <w:rsid w:val="00FA6816"/>
    <w:rsid w:val="00FB5D79"/>
    <w:rsid w:val="00FC01D9"/>
    <w:rsid w:val="00FC1FDD"/>
    <w:rsid w:val="00FD3F53"/>
    <w:rsid w:val="00FE0837"/>
    <w:rsid w:val="00FE3D91"/>
    <w:rsid w:val="00FE55D2"/>
    <w:rsid w:val="00FF3E9D"/>
    <w:rsid w:val="00FF728E"/>
    <w:rsid w:val="011B6D03"/>
    <w:rsid w:val="012A4E2C"/>
    <w:rsid w:val="0146689C"/>
    <w:rsid w:val="016F3968"/>
    <w:rsid w:val="01B6221C"/>
    <w:rsid w:val="03822CFE"/>
    <w:rsid w:val="03B210F3"/>
    <w:rsid w:val="03B5505D"/>
    <w:rsid w:val="04B118FC"/>
    <w:rsid w:val="05121E5F"/>
    <w:rsid w:val="06BA2C89"/>
    <w:rsid w:val="06C12717"/>
    <w:rsid w:val="07002453"/>
    <w:rsid w:val="08B258EB"/>
    <w:rsid w:val="09A45050"/>
    <w:rsid w:val="09D96A1A"/>
    <w:rsid w:val="0A5B05D9"/>
    <w:rsid w:val="0AE0030A"/>
    <w:rsid w:val="0B7A056A"/>
    <w:rsid w:val="0B927CBA"/>
    <w:rsid w:val="0C681B81"/>
    <w:rsid w:val="0CC46135"/>
    <w:rsid w:val="0D4B360C"/>
    <w:rsid w:val="0D7C256C"/>
    <w:rsid w:val="0DD358E2"/>
    <w:rsid w:val="0E06452B"/>
    <w:rsid w:val="0E2B1ADA"/>
    <w:rsid w:val="0E5232CD"/>
    <w:rsid w:val="0E7C36A7"/>
    <w:rsid w:val="0E7E0566"/>
    <w:rsid w:val="0E820E5D"/>
    <w:rsid w:val="10630D41"/>
    <w:rsid w:val="10812156"/>
    <w:rsid w:val="10AD38CA"/>
    <w:rsid w:val="10E279BE"/>
    <w:rsid w:val="10FD3672"/>
    <w:rsid w:val="116F23E8"/>
    <w:rsid w:val="13B3093C"/>
    <w:rsid w:val="14BF5570"/>
    <w:rsid w:val="15431BC1"/>
    <w:rsid w:val="157E709D"/>
    <w:rsid w:val="15F35578"/>
    <w:rsid w:val="16255094"/>
    <w:rsid w:val="182757CA"/>
    <w:rsid w:val="18513720"/>
    <w:rsid w:val="18B02F9E"/>
    <w:rsid w:val="191608B9"/>
    <w:rsid w:val="19CA335A"/>
    <w:rsid w:val="1A895A2E"/>
    <w:rsid w:val="1AA41E68"/>
    <w:rsid w:val="1AD722FD"/>
    <w:rsid w:val="1B0421DB"/>
    <w:rsid w:val="1B601DCB"/>
    <w:rsid w:val="1B7F7E70"/>
    <w:rsid w:val="1B9E3D36"/>
    <w:rsid w:val="1C8F2A04"/>
    <w:rsid w:val="1CCE50AB"/>
    <w:rsid w:val="1CD468D8"/>
    <w:rsid w:val="1D091C84"/>
    <w:rsid w:val="1D3E4C23"/>
    <w:rsid w:val="1D760135"/>
    <w:rsid w:val="1D8420C2"/>
    <w:rsid w:val="1E0265AE"/>
    <w:rsid w:val="1E166652"/>
    <w:rsid w:val="1E682F46"/>
    <w:rsid w:val="1E85E130"/>
    <w:rsid w:val="1EB8717C"/>
    <w:rsid w:val="1F100D66"/>
    <w:rsid w:val="1F105F79"/>
    <w:rsid w:val="1F54565A"/>
    <w:rsid w:val="1F6F4139"/>
    <w:rsid w:val="20B41BC5"/>
    <w:rsid w:val="218B2C39"/>
    <w:rsid w:val="21D70261"/>
    <w:rsid w:val="22291A3F"/>
    <w:rsid w:val="232C78EC"/>
    <w:rsid w:val="2377224A"/>
    <w:rsid w:val="23A7419A"/>
    <w:rsid w:val="23D43367"/>
    <w:rsid w:val="243F7370"/>
    <w:rsid w:val="262B4CB4"/>
    <w:rsid w:val="2630502B"/>
    <w:rsid w:val="26B807B0"/>
    <w:rsid w:val="26C83883"/>
    <w:rsid w:val="26D25C1B"/>
    <w:rsid w:val="277B1CD6"/>
    <w:rsid w:val="288B36AB"/>
    <w:rsid w:val="294067C0"/>
    <w:rsid w:val="2A233FCE"/>
    <w:rsid w:val="2A8E004C"/>
    <w:rsid w:val="2B9E76FA"/>
    <w:rsid w:val="2BC1063F"/>
    <w:rsid w:val="2C5168F6"/>
    <w:rsid w:val="2D230ADF"/>
    <w:rsid w:val="2D5179CF"/>
    <w:rsid w:val="2DFF6B75"/>
    <w:rsid w:val="2E0E0B66"/>
    <w:rsid w:val="2EB36247"/>
    <w:rsid w:val="30183F1E"/>
    <w:rsid w:val="30292B21"/>
    <w:rsid w:val="313B2F30"/>
    <w:rsid w:val="31CC4FC0"/>
    <w:rsid w:val="327F0D3B"/>
    <w:rsid w:val="328E6C13"/>
    <w:rsid w:val="34AD3848"/>
    <w:rsid w:val="34D62889"/>
    <w:rsid w:val="35076310"/>
    <w:rsid w:val="35224842"/>
    <w:rsid w:val="35C0542C"/>
    <w:rsid w:val="36847D69"/>
    <w:rsid w:val="368C042F"/>
    <w:rsid w:val="368C11B1"/>
    <w:rsid w:val="36965A7B"/>
    <w:rsid w:val="38740160"/>
    <w:rsid w:val="39C30C0C"/>
    <w:rsid w:val="3AB412B2"/>
    <w:rsid w:val="3AF66579"/>
    <w:rsid w:val="3AFA0DF0"/>
    <w:rsid w:val="3AFF33E8"/>
    <w:rsid w:val="3B81506E"/>
    <w:rsid w:val="3C325184"/>
    <w:rsid w:val="3D476359"/>
    <w:rsid w:val="3D9A658C"/>
    <w:rsid w:val="3DE10046"/>
    <w:rsid w:val="3DEE1D80"/>
    <w:rsid w:val="3E8A3B75"/>
    <w:rsid w:val="3F4177F3"/>
    <w:rsid w:val="3F62107E"/>
    <w:rsid w:val="3FFC477B"/>
    <w:rsid w:val="408B3A19"/>
    <w:rsid w:val="40AF61D9"/>
    <w:rsid w:val="41045BF5"/>
    <w:rsid w:val="414A4154"/>
    <w:rsid w:val="436A3581"/>
    <w:rsid w:val="43AB46B3"/>
    <w:rsid w:val="43F065F7"/>
    <w:rsid w:val="442F62DC"/>
    <w:rsid w:val="44BD3991"/>
    <w:rsid w:val="45BFB8AB"/>
    <w:rsid w:val="467C4182"/>
    <w:rsid w:val="46A70641"/>
    <w:rsid w:val="46DB7A17"/>
    <w:rsid w:val="470B1A6B"/>
    <w:rsid w:val="470D6E20"/>
    <w:rsid w:val="47263210"/>
    <w:rsid w:val="477749AA"/>
    <w:rsid w:val="47C16823"/>
    <w:rsid w:val="48333FF5"/>
    <w:rsid w:val="485F1589"/>
    <w:rsid w:val="49DC2C1A"/>
    <w:rsid w:val="49FA5FEB"/>
    <w:rsid w:val="4B3E4CEE"/>
    <w:rsid w:val="4C8E043C"/>
    <w:rsid w:val="4CC31D72"/>
    <w:rsid w:val="4F8462B8"/>
    <w:rsid w:val="50913C64"/>
    <w:rsid w:val="50F33EC0"/>
    <w:rsid w:val="5157551B"/>
    <w:rsid w:val="51CD3614"/>
    <w:rsid w:val="52800E89"/>
    <w:rsid w:val="53FC6986"/>
    <w:rsid w:val="548D492E"/>
    <w:rsid w:val="55BA1450"/>
    <w:rsid w:val="56220AC4"/>
    <w:rsid w:val="56821842"/>
    <w:rsid w:val="57087F99"/>
    <w:rsid w:val="579B7ED0"/>
    <w:rsid w:val="57C9767E"/>
    <w:rsid w:val="5828649C"/>
    <w:rsid w:val="585F0652"/>
    <w:rsid w:val="5912054F"/>
    <w:rsid w:val="5BC04CC7"/>
    <w:rsid w:val="5C1D270E"/>
    <w:rsid w:val="5C8A31FF"/>
    <w:rsid w:val="5D920F8A"/>
    <w:rsid w:val="5ED12060"/>
    <w:rsid w:val="6036685D"/>
    <w:rsid w:val="60712451"/>
    <w:rsid w:val="60F313B0"/>
    <w:rsid w:val="62D25F79"/>
    <w:rsid w:val="62FE5618"/>
    <w:rsid w:val="6382320C"/>
    <w:rsid w:val="64362A83"/>
    <w:rsid w:val="653E1685"/>
    <w:rsid w:val="654A5C21"/>
    <w:rsid w:val="65A62CD8"/>
    <w:rsid w:val="662002BD"/>
    <w:rsid w:val="66524D8D"/>
    <w:rsid w:val="66730271"/>
    <w:rsid w:val="6710120C"/>
    <w:rsid w:val="67D85B6C"/>
    <w:rsid w:val="690305C1"/>
    <w:rsid w:val="690A5A3A"/>
    <w:rsid w:val="6A601F79"/>
    <w:rsid w:val="6B923E7E"/>
    <w:rsid w:val="6BC21862"/>
    <w:rsid w:val="6C5544DF"/>
    <w:rsid w:val="6C67192F"/>
    <w:rsid w:val="6C7A3290"/>
    <w:rsid w:val="6CBD4F2A"/>
    <w:rsid w:val="6D9A00E6"/>
    <w:rsid w:val="6DDA7AC0"/>
    <w:rsid w:val="6E427DDD"/>
    <w:rsid w:val="6E5D3F90"/>
    <w:rsid w:val="6EC9290D"/>
    <w:rsid w:val="6F135C55"/>
    <w:rsid w:val="70A231BB"/>
    <w:rsid w:val="71BA7C8A"/>
    <w:rsid w:val="71CC0B9C"/>
    <w:rsid w:val="720D24B0"/>
    <w:rsid w:val="72621496"/>
    <w:rsid w:val="727A5D81"/>
    <w:rsid w:val="734D446A"/>
    <w:rsid w:val="73E26E41"/>
    <w:rsid w:val="75616D9B"/>
    <w:rsid w:val="76285B0A"/>
    <w:rsid w:val="762F1382"/>
    <w:rsid w:val="764B5FBB"/>
    <w:rsid w:val="76CB14B6"/>
    <w:rsid w:val="76F123A0"/>
    <w:rsid w:val="77636978"/>
    <w:rsid w:val="78144598"/>
    <w:rsid w:val="78C830A0"/>
    <w:rsid w:val="79B25E17"/>
    <w:rsid w:val="7B356B4E"/>
    <w:rsid w:val="7BFE3341"/>
    <w:rsid w:val="7C0E12FE"/>
    <w:rsid w:val="7D9D4043"/>
    <w:rsid w:val="7DB12889"/>
    <w:rsid w:val="7E7A6107"/>
    <w:rsid w:val="7E821CDD"/>
    <w:rsid w:val="7EE30C9C"/>
    <w:rsid w:val="7EFC6D94"/>
    <w:rsid w:val="7F3E0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9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semiHidden/>
    <w:qFormat/>
    <w:uiPriority w:val="0"/>
    <w:pPr>
      <w:shd w:val="clear" w:color="auto" w:fill="000080"/>
    </w:pPr>
  </w:style>
  <w:style w:type="paragraph" w:styleId="13">
    <w:name w:val="annotation text"/>
    <w:basedOn w:val="1"/>
    <w:link w:val="36"/>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after="120"/>
      <w:ind w:left="420" w:leftChars="200"/>
    </w:pPr>
  </w:style>
  <w:style w:type="paragraph" w:styleId="17">
    <w:name w:val="Plain Text"/>
    <w:basedOn w:val="1"/>
    <w:link w:val="37"/>
    <w:qFormat/>
    <w:uiPriority w:val="0"/>
    <w:rPr>
      <w:rFonts w:ascii="宋体" w:hAnsi="Courier New"/>
      <w:szCs w:val="20"/>
    </w:rPr>
  </w:style>
  <w:style w:type="paragraph" w:styleId="18">
    <w:name w:val="Date"/>
    <w:basedOn w:val="1"/>
    <w:next w:val="1"/>
    <w:link w:val="38"/>
    <w:qFormat/>
    <w:uiPriority w:val="0"/>
    <w:rPr>
      <w:szCs w:val="20"/>
    </w:rPr>
  </w:style>
  <w:style w:type="paragraph" w:styleId="19">
    <w:name w:val="Body Text Indent 2"/>
    <w:basedOn w:val="1"/>
    <w:qFormat/>
    <w:uiPriority w:val="0"/>
    <w:pPr>
      <w:ind w:firstLine="480" w:firstLineChars="200"/>
    </w:pPr>
    <w:rPr>
      <w:rFonts w:ascii="仿宋_GB2312" w:eastAsia="仿宋_GB2312"/>
      <w:sz w:val="24"/>
    </w:rPr>
  </w:style>
  <w:style w:type="paragraph" w:styleId="20">
    <w:name w:val="Balloon Text"/>
    <w:basedOn w:val="1"/>
    <w:semiHidden/>
    <w:qFormat/>
    <w:uiPriority w:val="0"/>
    <w:rPr>
      <w:sz w:val="18"/>
      <w:szCs w:val="18"/>
    </w:rPr>
  </w:style>
  <w:style w:type="paragraph" w:styleId="21">
    <w:name w:val="footer"/>
    <w:basedOn w:val="1"/>
    <w:next w:val="1"/>
    <w:qFormat/>
    <w:uiPriority w:val="0"/>
    <w:pPr>
      <w:tabs>
        <w:tab w:val="center" w:pos="4153"/>
        <w:tab w:val="right" w:pos="8306"/>
      </w:tabs>
      <w:snapToGrid w:val="0"/>
      <w:jc w:val="left"/>
    </w:pPr>
    <w:rPr>
      <w:sz w:val="18"/>
      <w:szCs w:val="18"/>
    </w:rPr>
  </w:style>
  <w:style w:type="paragraph" w:styleId="22">
    <w:name w:val="header"/>
    <w:basedOn w:val="1"/>
    <w:next w:val="23"/>
    <w:qFormat/>
    <w:uiPriority w:val="0"/>
    <w:pPr>
      <w:pBdr>
        <w:bottom w:val="single" w:color="auto" w:sz="6" w:space="1"/>
      </w:pBdr>
      <w:tabs>
        <w:tab w:val="center" w:pos="4153"/>
        <w:tab w:val="right" w:pos="8306"/>
      </w:tabs>
      <w:snapToGrid w:val="0"/>
      <w:jc w:val="center"/>
    </w:pPr>
    <w:rPr>
      <w:sz w:val="18"/>
      <w:szCs w:val="18"/>
    </w:rPr>
  </w:style>
  <w:style w:type="paragraph" w:styleId="23">
    <w:name w:val="toc 4"/>
    <w:basedOn w:val="1"/>
    <w:next w:val="1"/>
    <w:qFormat/>
    <w:uiPriority w:val="99"/>
    <w:pPr>
      <w:ind w:left="1260" w:leftChars="600"/>
    </w:pPr>
  </w:style>
  <w:style w:type="paragraph" w:styleId="24">
    <w:name w:val="Body Text 2"/>
    <w:basedOn w:val="1"/>
    <w:qFormat/>
    <w:uiPriority w:val="0"/>
    <w:pPr>
      <w:widowControl/>
    </w:pPr>
    <w:rPr>
      <w:kern w:val="0"/>
      <w:sz w:val="20"/>
      <w:szCs w:val="20"/>
      <w:lang w:eastAsia="en-US"/>
    </w:rPr>
  </w:style>
  <w:style w:type="paragraph" w:styleId="2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6">
    <w:name w:val="Title"/>
    <w:basedOn w:val="1"/>
    <w:qFormat/>
    <w:uiPriority w:val="0"/>
    <w:pPr>
      <w:jc w:val="center"/>
    </w:pPr>
    <w:rPr>
      <w:sz w:val="30"/>
    </w:rPr>
  </w:style>
  <w:style w:type="paragraph" w:styleId="27">
    <w:name w:val="annotation subject"/>
    <w:basedOn w:val="13"/>
    <w:next w:val="13"/>
    <w:link w:val="39"/>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rPr>
      <w:b/>
      <w:bCs/>
    </w:rPr>
  </w:style>
  <w:style w:type="character" w:styleId="32">
    <w:name w:val="page number"/>
    <w:qFormat/>
    <w:uiPriority w:val="0"/>
  </w:style>
  <w:style w:type="character" w:styleId="33">
    <w:name w:val="Emphasis"/>
    <w:qFormat/>
    <w:uiPriority w:val="20"/>
    <w:rPr>
      <w:i/>
      <w:iCs/>
    </w:rPr>
  </w:style>
  <w:style w:type="character" w:styleId="34">
    <w:name w:val="Hyperlink"/>
    <w:qFormat/>
    <w:uiPriority w:val="0"/>
    <w:rPr>
      <w:color w:val="0000FF"/>
      <w:u w:val="single"/>
    </w:rPr>
  </w:style>
  <w:style w:type="character" w:styleId="35">
    <w:name w:val="annotation reference"/>
    <w:qFormat/>
    <w:uiPriority w:val="0"/>
    <w:rPr>
      <w:sz w:val="21"/>
      <w:szCs w:val="21"/>
    </w:rPr>
  </w:style>
  <w:style w:type="character" w:customStyle="1" w:styleId="36">
    <w:name w:val="批注文字 字符"/>
    <w:link w:val="13"/>
    <w:qFormat/>
    <w:uiPriority w:val="0"/>
    <w:rPr>
      <w:kern w:val="2"/>
      <w:sz w:val="21"/>
      <w:szCs w:val="24"/>
    </w:rPr>
  </w:style>
  <w:style w:type="character" w:customStyle="1" w:styleId="37">
    <w:name w:val="纯文本 字符"/>
    <w:link w:val="17"/>
    <w:qFormat/>
    <w:uiPriority w:val="0"/>
    <w:rPr>
      <w:rFonts w:ascii="宋体" w:hAnsi="Courier New"/>
      <w:kern w:val="2"/>
      <w:sz w:val="21"/>
    </w:rPr>
  </w:style>
  <w:style w:type="character" w:customStyle="1" w:styleId="38">
    <w:name w:val="日期 字符"/>
    <w:link w:val="18"/>
    <w:qFormat/>
    <w:uiPriority w:val="0"/>
    <w:rPr>
      <w:rFonts w:eastAsia="宋体"/>
      <w:kern w:val="2"/>
      <w:sz w:val="21"/>
      <w:lang w:val="en-US" w:eastAsia="zh-CN" w:bidi="ar-SA"/>
    </w:rPr>
  </w:style>
  <w:style w:type="character" w:customStyle="1" w:styleId="39">
    <w:name w:val="批注主题 字符"/>
    <w:link w:val="27"/>
    <w:qFormat/>
    <w:uiPriority w:val="0"/>
    <w:rPr>
      <w:b/>
      <w:bCs/>
      <w:kern w:val="2"/>
      <w:sz w:val="21"/>
      <w:szCs w:val="24"/>
    </w:rPr>
  </w:style>
  <w:style w:type="character" w:customStyle="1" w:styleId="40">
    <w:name w:val="Char"/>
    <w:qFormat/>
    <w:uiPriority w:val="0"/>
    <w:rPr>
      <w:rFonts w:ascii="宋体" w:hAnsi="Courier New" w:eastAsia="宋体"/>
      <w:kern w:val="2"/>
      <w:sz w:val="21"/>
      <w:lang w:val="en-US" w:eastAsia="zh-CN" w:bidi="ar-SA"/>
    </w:rPr>
  </w:style>
  <w:style w:type="paragraph" w:customStyle="1" w:styleId="41">
    <w:name w:val="Char1"/>
    <w:basedOn w:val="1"/>
    <w:qFormat/>
    <w:uiPriority w:val="0"/>
    <w:rPr>
      <w:rFonts w:ascii="Tahoma" w:hAnsi="Tahoma"/>
      <w:sz w:val="24"/>
      <w:szCs w:val="20"/>
    </w:rPr>
  </w:style>
  <w:style w:type="paragraph" w:customStyle="1" w:styleId="42">
    <w:name w:val="彩色列表 - 强调文字颜色 11"/>
    <w:basedOn w:val="1"/>
    <w:qFormat/>
    <w:uiPriority w:val="34"/>
    <w:pPr>
      <w:ind w:firstLine="420" w:firstLineChars="200"/>
    </w:pPr>
    <w:rPr>
      <w:rFonts w:ascii="Calibri" w:hAnsi="Calibri"/>
      <w:szCs w:val="22"/>
    </w:rPr>
  </w:style>
  <w:style w:type="paragraph" w:customStyle="1" w:styleId="43">
    <w:name w:val="正文文本 21"/>
    <w:basedOn w:val="1"/>
    <w:qFormat/>
    <w:uiPriority w:val="0"/>
    <w:pPr>
      <w:adjustRightInd w:val="0"/>
      <w:spacing w:before="120" w:line="360" w:lineRule="auto"/>
      <w:ind w:firstLine="480"/>
      <w:textAlignment w:val="baseline"/>
    </w:pPr>
    <w:rPr>
      <w:sz w:val="24"/>
      <w:szCs w:val="20"/>
    </w:rPr>
  </w:style>
  <w:style w:type="paragraph" w:customStyle="1" w:styleId="44">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45">
    <w:name w:val="正文文本缩进 21"/>
    <w:basedOn w:val="1"/>
    <w:qFormat/>
    <w:uiPriority w:val="0"/>
    <w:pPr>
      <w:adjustRightInd w:val="0"/>
      <w:spacing w:before="120"/>
      <w:ind w:firstLine="420"/>
      <w:textAlignment w:val="baseline"/>
    </w:pPr>
    <w:rPr>
      <w:sz w:val="24"/>
      <w:szCs w:val="20"/>
    </w:rPr>
  </w:style>
  <w:style w:type="character" w:customStyle="1" w:styleId="46">
    <w:name w:val="ng-binding"/>
    <w:qFormat/>
    <w:uiPriority w:val="0"/>
  </w:style>
  <w:style w:type="character" w:customStyle="1" w:styleId="47">
    <w:name w:val="tgt1"/>
    <w:qFormat/>
    <w:uiPriority w:val="0"/>
  </w:style>
  <w:style w:type="paragraph" w:styleId="48">
    <w:name w:val="List Paragraph"/>
    <w:basedOn w:val="1"/>
    <w:qFormat/>
    <w:uiPriority w:val="34"/>
    <w:pPr>
      <w:ind w:firstLine="420" w:firstLineChars="200"/>
    </w:pPr>
  </w:style>
  <w:style w:type="paragraph" w:customStyle="1" w:styleId="49">
    <w:name w:val="Default"/>
    <w:qFormat/>
    <w:uiPriority w:val="0"/>
    <w:pPr>
      <w:widowControl w:val="0"/>
      <w:autoSpaceDE w:val="0"/>
      <w:autoSpaceDN w:val="0"/>
      <w:adjustRightInd w:val="0"/>
    </w:pPr>
    <w:rPr>
      <w:rFonts w:ascii="Arial" w:hAnsi="Arial" w:eastAsia="宋体" w:cs="Times New Roman"/>
      <w:color w:val="000000"/>
      <w:sz w:val="24"/>
      <w:lang w:val="en-US" w:eastAsia="zh-CN" w:bidi="ar-SA"/>
    </w:rPr>
  </w:style>
  <w:style w:type="character" w:customStyle="1" w:styleId="50">
    <w:name w:val="font61"/>
    <w:basedOn w:val="30"/>
    <w:qFormat/>
    <w:uiPriority w:val="0"/>
    <w:rPr>
      <w:rFonts w:hint="eastAsia" w:ascii="宋体" w:hAnsi="宋体" w:eastAsia="宋体" w:cs="宋体"/>
      <w:color w:val="000000"/>
      <w:sz w:val="22"/>
      <w:szCs w:val="22"/>
      <w:u w:val="none"/>
    </w:rPr>
  </w:style>
  <w:style w:type="character" w:customStyle="1" w:styleId="51">
    <w:name w:val="16"/>
    <w:basedOn w:val="30"/>
    <w:qFormat/>
    <w:uiPriority w:val="0"/>
    <w:rPr>
      <w:rFonts w:hint="eastAsia" w:ascii="宋体" w:hAnsi="宋体" w:eastAsia="宋体"/>
      <w:color w:val="000000"/>
      <w:sz w:val="22"/>
      <w:szCs w:val="22"/>
    </w:rPr>
  </w:style>
  <w:style w:type="character" w:customStyle="1" w:styleId="52">
    <w:name w:val="15"/>
    <w:basedOn w:val="30"/>
    <w:qFormat/>
    <w:uiPriority w:val="0"/>
    <w:rPr>
      <w:rFonts w:hint="default" w:ascii="Arial" w:hAnsi="Arial" w:cs="Arial"/>
      <w:color w:val="000000"/>
      <w:sz w:val="22"/>
      <w:szCs w:val="22"/>
    </w:rPr>
  </w:style>
  <w:style w:type="character" w:customStyle="1" w:styleId="53">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9</Pages>
  <Words>11349</Words>
  <Characters>12467</Characters>
  <Lines>95</Lines>
  <Paragraphs>26</Paragraphs>
  <TotalTime>7</TotalTime>
  <ScaleCrop>false</ScaleCrop>
  <LinksUpToDate>false</LinksUpToDate>
  <CharactersWithSpaces>12762</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2023-09-22T03:27:00Z</dcterms:created>
  <dc:creator>caowuning</dc:creator>
  <cp:lastModifiedBy>godjiao</cp:lastModifiedBy>
  <cp:lastPrinted>2009-04-21T17:03:00Z</cp:lastPrinted>
  <dcterms:modified xsi:type="dcterms:W3CDTF">2024-09-12T07:15:59Z</dcterms:modified>
  <dc:title>北 京 市 政 府 采 购</dc:title>
  <cp:revision>230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977AE920AD874ACF92BAC925A9AB3B99_13</vt:lpwstr>
  </property>
</Properties>
</file>