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版本号：N510001202600213420260820001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2026年图书馆照明设备采购项目(二次)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N5100012026002134</w:t>
      </w:r>
    </w:p>
    <w:p>
      <w:pPr>
        <w:pStyle w:val="null3"/>
        <w:jc w:val="left"/>
        <w:outlineLvl w:val="2"/>
      </w:pPr>
      <w:r>
        <w:rPr>
          <w:rFonts w:ascii="仿宋_GB2312" w:hAnsi="仿宋_GB2312" w:cs="仿宋_GB2312" w:eastAsia="仿宋_GB2312"/>
          <w:sz w:val="28"/>
          <w:b/>
        </w:rPr>
        <w:t>成都理工大学</w:t>
      </w:r>
    </w:p>
    <w:p>
      <w:pPr>
        <w:pStyle w:val="null3"/>
        <w:jc w:val="center"/>
        <w:outlineLvl w:val="2"/>
      </w:pPr>
      <w:r>
        <w:rPr>
          <w:rFonts w:ascii="仿宋_GB2312" w:hAnsi="仿宋_GB2312" w:cs="仿宋_GB2312" w:eastAsia="仿宋_GB2312"/>
          <w:sz w:val="28"/>
          <w:b/>
        </w:rPr>
        <w:t>四川中志招标代理有限公司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四川中志招标代理有限公司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成都理工大学</w:t>
      </w:r>
      <w:r>
        <w:rPr>
          <w:rFonts w:ascii="仿宋_GB2312" w:hAnsi="仿宋_GB2312" w:cs="仿宋_GB2312" w:eastAsia="仿宋_GB2312"/>
        </w:rPr>
        <w:t xml:space="preserve"> 委托，拟对 </w:t>
      </w:r>
      <w:r>
        <w:rPr>
          <w:rFonts w:ascii="仿宋_GB2312" w:hAnsi="仿宋_GB2312" w:cs="仿宋_GB2312" w:eastAsia="仿宋_GB2312"/>
        </w:rPr>
        <w:t>2026年图书馆照明设备采购项目(二次)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N5100012026002134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2026年图书馆照明设备采购项目(二次)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东区图书馆现有阅览区LED双灯管照明亮度不足，没有达到国家标准，影响读者学习效率与用眼健康；电源插座仅在靠窗桌面下方简易设置，数量少、布局不合理、功能单一，难以满足读者电子设备常态化充电刚需。现拟对一至五楼阅览区1234张四人阅览桌及天井区域100张双人阅览桌实施改造：（1）阅览桌面加装可独立控制的护眼LED灯；（2）每个座位配备国标五孔插座；（3）照明与插座电源能够集中控制，实现闭馆后统一断电。</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成都理工大学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成都市成华区二仙桥东三路1号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610059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13678097405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四川中志招标代理有限公司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四川省成都市高新区吉泰五路88号3栋16层3号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冯亮、李奇达、陈艳</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028-87333799-602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合同签订前，中标人向采购人支付中标总金额的 5 %作为本合同履约保证金，并将相关材料加盖供应商财务鲜章交采购人采购与招标管理中心核验和管理登记，履约保证金可以以银行转账，支票/汇票/本票，保函/保险等形式缴纳。中标人向采购人交付的货物在验收合格，向采购人使用单位提出退还履约保证金申请，由采购人在20个工作日内一次性向中标人无息全额退还。若中标人违约，采购人可以先从履约保证金中扣除违约金，不足部分由中标人应另行支付，同时中标人应在3日内补足履约保证金。 </w:t>
              <w:br/>
              <w:t>履约保证金缴纳账号（缴纳信息）：</w:t>
              <w:br/>
              <w:t>收款单位：成都理工大学</w:t>
              <w:br/>
              <w:t>开户行：中国建设银行股份有限公司成都双建路支行</w:t>
              <w:br/>
              <w:t>银行账号：5100 1885 3360 5071 6993</w:t>
              <w:br/>
              <w:t>纳税人识别号：12510000450722107H</w:t>
              <w:br/>
              <w:t>或</w:t>
              <w:br/>
              <w:t>收款单位：成都理工大学</w:t>
              <w:br/>
              <w:t>开户行：工行成都沙河支行理工大学分理处；</w:t>
              <w:br/>
              <w:t>银行账号：4402 2280 0900 8800 382；</w:t>
              <w:br/>
              <w:t>纳税人识别号：12510000450722107H</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代理服务费收费标准：以中标金额作为计算基数,按差额定率累进法计算，按各档级距计算各档的收费额，中标金额（万元）100 以下 1.5%，100 -500 1.1%再下浮20%收取，不足4000元，按4000元收取。代理服务费收款账号： 开户名：四川中志招标代理有限公司 开户银行：中国建设银行股份有限公司成都高新支行 账号：5100 1406 1370 5152 6738 联行号码：105651007600</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成都理工大学</w:t>
      </w:r>
      <w:r>
        <w:rPr>
          <w:rFonts w:ascii="仿宋_GB2312" w:hAnsi="仿宋_GB2312" w:cs="仿宋_GB2312" w:eastAsia="仿宋_GB2312"/>
        </w:rPr>
        <w:t xml:space="preserve"> 和 </w:t>
      </w:r>
      <w:r>
        <w:rPr>
          <w:rFonts w:ascii="仿宋_GB2312" w:hAnsi="仿宋_GB2312" w:cs="仿宋_GB2312" w:eastAsia="仿宋_GB2312"/>
        </w:rPr>
        <w:t>四川中志招标代理有限公司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成都理工大学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四川中志招标代理有限公司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货物送达交货地点，安装调试并试运行成功后</w:t>
      </w:r>
      <w:r>
        <w:rPr>
          <w:rFonts w:ascii="仿宋_GB2312" w:hAnsi="仿宋_GB2312" w:cs="仿宋_GB2312" w:eastAsia="仿宋_GB2312"/>
        </w:rPr>
        <w:t xml:space="preserve"> ，达到验收条件起 </w:t>
      </w:r>
      <w:r>
        <w:rPr>
          <w:rFonts w:ascii="仿宋_GB2312" w:hAnsi="仿宋_GB2312" w:cs="仿宋_GB2312" w:eastAsia="仿宋_GB2312"/>
        </w:rPr>
        <w:t>60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按合同约定的技术条款进行验收。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按合同约定的商务条款进行验收。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达到合同要求。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包件的验收期为货物送达交货地点，安装调试并试运行成功后，分为开箱及技术验收和综合验收两个阶段。开箱及技术验收由甲方使用单位完成，合格后由使用单位联系甲方国资与实验室管理处组织综合验收，联系方式：84078984。</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四川中志招标代理有限公司</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四川中志招标代理有限公司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四川中志招标代理有限公司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联系人：宋老师</w:t>
      </w:r>
    </w:p>
    <w:p>
      <w:pPr>
        <w:pStyle w:val="null3"/>
        <w:jc w:val="left"/>
      </w:pPr>
      <w:r>
        <w:rPr>
          <w:rFonts w:ascii="仿宋_GB2312" w:hAnsi="仿宋_GB2312" w:cs="仿宋_GB2312" w:eastAsia="仿宋_GB2312"/>
        </w:rPr>
        <w:t>联系电话：028-84078845</w:t>
      </w:r>
    </w:p>
    <w:p>
      <w:pPr>
        <w:pStyle w:val="null3"/>
        <w:jc w:val="left"/>
      </w:pPr>
      <w:r>
        <w:rPr>
          <w:rFonts w:ascii="仿宋_GB2312" w:hAnsi="仿宋_GB2312" w:cs="仿宋_GB2312" w:eastAsia="仿宋_GB2312"/>
        </w:rPr>
        <w:t>地址：成都市成华区二仙桥东三路1号</w:t>
      </w:r>
    </w:p>
    <w:p>
      <w:pPr>
        <w:pStyle w:val="null3"/>
        <w:jc w:val="left"/>
      </w:pPr>
      <w:r>
        <w:rPr>
          <w:rFonts w:ascii="仿宋_GB2312" w:hAnsi="仿宋_GB2312" w:cs="仿宋_GB2312" w:eastAsia="仿宋_GB2312"/>
        </w:rPr>
        <w:t>邮编：610059</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联系人：冯亮、李奇达、陈艳</w:t>
      </w:r>
    </w:p>
    <w:p>
      <w:pPr>
        <w:pStyle w:val="null3"/>
        <w:jc w:val="left"/>
      </w:pPr>
      <w:r>
        <w:rPr>
          <w:rFonts w:ascii="仿宋_GB2312" w:hAnsi="仿宋_GB2312" w:cs="仿宋_GB2312" w:eastAsia="仿宋_GB2312"/>
        </w:rPr>
        <w:t>联系电话：028-87333799-602</w:t>
      </w:r>
    </w:p>
    <w:p>
      <w:pPr>
        <w:pStyle w:val="null3"/>
        <w:jc w:val="left"/>
      </w:pPr>
      <w:r>
        <w:rPr>
          <w:rFonts w:ascii="仿宋_GB2312" w:hAnsi="仿宋_GB2312" w:cs="仿宋_GB2312" w:eastAsia="仿宋_GB2312"/>
        </w:rPr>
        <w:t>地址：四川省成都市高新区吉泰五路88号3栋16层3号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1,600,000.00</w:t>
      </w:r>
    </w:p>
    <w:p>
      <w:pPr>
        <w:pStyle w:val="null3"/>
        <w:jc w:val="left"/>
      </w:pPr>
      <w:r>
        <w:rPr>
          <w:rFonts w:ascii="仿宋_GB2312" w:hAnsi="仿宋_GB2312" w:cs="仿宋_GB2312" w:eastAsia="仿宋_GB2312"/>
        </w:rPr>
        <w:t>采购包最高限价（元）: 1,600,000.00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A02061999 其他照明设备</w:t>
            </w:r>
          </w:p>
        </w:tc>
        <w:tc>
          <w:tcPr>
            <w:tcW w:type="dxa" w:w="821"/>
          </w:tcPr>
          <w:p>
            <w:pPr>
              <w:pStyle w:val="null3"/>
              <w:jc w:val="left"/>
            </w:pPr>
            <w:r>
              <w:rPr>
                <w:rFonts w:ascii="仿宋_GB2312" w:hAnsi="仿宋_GB2312" w:cs="仿宋_GB2312" w:eastAsia="仿宋_GB2312"/>
              </w:rPr>
              <w:t>四人位阅览灯架1</w:t>
            </w:r>
          </w:p>
        </w:tc>
        <w:tc>
          <w:tcPr>
            <w:tcW w:type="dxa" w:w="821"/>
          </w:tcPr>
          <w:p>
            <w:pPr>
              <w:pStyle w:val="null3"/>
              <w:jc w:val="right"/>
            </w:pPr>
            <w:r>
              <w:rPr>
                <w:rFonts w:ascii="仿宋_GB2312" w:hAnsi="仿宋_GB2312" w:cs="仿宋_GB2312" w:eastAsia="仿宋_GB2312"/>
              </w:rPr>
              <w:t>1,084.00（套）</w:t>
            </w:r>
          </w:p>
        </w:tc>
        <w:tc>
          <w:tcPr>
            <w:tcW w:type="dxa" w:w="821"/>
          </w:tcPr>
          <w:p>
            <w:pPr>
              <w:pStyle w:val="null3"/>
              <w:jc w:val="right"/>
            </w:pPr>
            <w:r>
              <w:rPr>
                <w:rFonts w:ascii="仿宋_GB2312" w:hAnsi="仿宋_GB2312" w:cs="仿宋_GB2312" w:eastAsia="仿宋_GB2312"/>
              </w:rPr>
              <w:t>1,300,800.00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A02061999 其他照明设备</w:t>
            </w:r>
          </w:p>
        </w:tc>
        <w:tc>
          <w:tcPr>
            <w:tcW w:type="dxa" w:w="821"/>
          </w:tcPr>
          <w:p>
            <w:pPr>
              <w:pStyle w:val="null3"/>
              <w:jc w:val="left"/>
            </w:pPr>
            <w:r>
              <w:rPr>
                <w:rFonts w:ascii="仿宋_GB2312" w:hAnsi="仿宋_GB2312" w:cs="仿宋_GB2312" w:eastAsia="仿宋_GB2312"/>
              </w:rPr>
              <w:t>四人位阅览灯架2</w:t>
            </w:r>
          </w:p>
        </w:tc>
        <w:tc>
          <w:tcPr>
            <w:tcW w:type="dxa" w:w="821"/>
          </w:tcPr>
          <w:p>
            <w:pPr>
              <w:pStyle w:val="null3"/>
              <w:jc w:val="right"/>
            </w:pPr>
            <w:r>
              <w:rPr>
                <w:rFonts w:ascii="仿宋_GB2312" w:hAnsi="仿宋_GB2312" w:cs="仿宋_GB2312" w:eastAsia="仿宋_GB2312"/>
              </w:rPr>
              <w:t>150.00（套）</w:t>
            </w:r>
          </w:p>
        </w:tc>
        <w:tc>
          <w:tcPr>
            <w:tcW w:type="dxa" w:w="821"/>
          </w:tcPr>
          <w:p>
            <w:pPr>
              <w:pStyle w:val="null3"/>
              <w:jc w:val="right"/>
            </w:pPr>
            <w:r>
              <w:rPr>
                <w:rFonts w:ascii="仿宋_GB2312" w:hAnsi="仿宋_GB2312" w:cs="仿宋_GB2312" w:eastAsia="仿宋_GB2312"/>
              </w:rPr>
              <w:t>180,000.00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A02061999 其他照明设备</w:t>
            </w:r>
          </w:p>
        </w:tc>
        <w:tc>
          <w:tcPr>
            <w:tcW w:type="dxa" w:w="821"/>
          </w:tcPr>
          <w:p>
            <w:pPr>
              <w:pStyle w:val="null3"/>
              <w:jc w:val="left"/>
            </w:pPr>
            <w:r>
              <w:rPr>
                <w:rFonts w:ascii="仿宋_GB2312" w:hAnsi="仿宋_GB2312" w:cs="仿宋_GB2312" w:eastAsia="仿宋_GB2312"/>
              </w:rPr>
              <w:t>双人阅览灯</w:t>
            </w:r>
          </w:p>
        </w:tc>
        <w:tc>
          <w:tcPr>
            <w:tcW w:type="dxa" w:w="821"/>
          </w:tcPr>
          <w:p>
            <w:pPr>
              <w:pStyle w:val="null3"/>
              <w:jc w:val="right"/>
            </w:pPr>
            <w:r>
              <w:rPr>
                <w:rFonts w:ascii="仿宋_GB2312" w:hAnsi="仿宋_GB2312" w:cs="仿宋_GB2312" w:eastAsia="仿宋_GB2312"/>
              </w:rPr>
              <w:t>100.00（个）</w:t>
            </w:r>
          </w:p>
        </w:tc>
        <w:tc>
          <w:tcPr>
            <w:tcW w:type="dxa" w:w="821"/>
          </w:tcPr>
          <w:p>
            <w:pPr>
              <w:pStyle w:val="null3"/>
              <w:jc w:val="right"/>
            </w:pPr>
            <w:r>
              <w:rPr>
                <w:rFonts w:ascii="仿宋_GB2312" w:hAnsi="仿宋_GB2312" w:cs="仿宋_GB2312" w:eastAsia="仿宋_GB2312"/>
              </w:rPr>
              <w:t>79,200.00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A02061999 其他照明设备</w:t>
            </w:r>
          </w:p>
        </w:tc>
        <w:tc>
          <w:tcPr>
            <w:tcW w:type="dxa" w:w="821"/>
          </w:tcPr>
          <w:p>
            <w:pPr>
              <w:pStyle w:val="null3"/>
              <w:jc w:val="left"/>
            </w:pPr>
            <w:r>
              <w:rPr>
                <w:rFonts w:ascii="仿宋_GB2312" w:hAnsi="仿宋_GB2312" w:cs="仿宋_GB2312" w:eastAsia="仿宋_GB2312"/>
              </w:rPr>
              <w:t>配电箱</w:t>
            </w:r>
          </w:p>
        </w:tc>
        <w:tc>
          <w:tcPr>
            <w:tcW w:type="dxa" w:w="821"/>
          </w:tcPr>
          <w:p>
            <w:pPr>
              <w:pStyle w:val="null3"/>
              <w:jc w:val="right"/>
            </w:pPr>
            <w:r>
              <w:rPr>
                <w:rFonts w:ascii="仿宋_GB2312" w:hAnsi="仿宋_GB2312" w:cs="仿宋_GB2312" w:eastAsia="仿宋_GB2312"/>
              </w:rPr>
              <w:t>25.00（套）</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四人位阅览灯架1</w:t>
            </w:r>
          </w:p>
        </w:tc>
        <w:tc>
          <w:tcPr>
            <w:tcW w:type="dxa" w:w="1138"/>
          </w:tcPr>
          <w:p>
            <w:pPr>
              <w:pStyle w:val="null3"/>
              <w:jc w:val="center"/>
            </w:pPr>
            <w:r>
              <w:rPr>
                <w:rFonts w:ascii="仿宋_GB2312" w:hAnsi="仿宋_GB2312" w:cs="仿宋_GB2312" w:eastAsia="仿宋_GB2312"/>
              </w:rPr>
              <w:t>1,084.00（套）</w:t>
            </w:r>
          </w:p>
        </w:tc>
        <w:tc>
          <w:tcPr>
            <w:tcW w:type="dxa" w:w="1365"/>
          </w:tcPr>
          <w:p>
            <w:pPr>
              <w:pStyle w:val="null3"/>
              <w:jc w:val="center"/>
            </w:pPr>
            <w:r>
              <w:rPr>
                <w:rFonts w:ascii="仿宋_GB2312" w:hAnsi="仿宋_GB2312" w:cs="仿宋_GB2312" w:eastAsia="仿宋_GB2312"/>
              </w:rPr>
              <w:t>1,300,800.00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四人位阅览灯架2</w:t>
            </w:r>
          </w:p>
        </w:tc>
        <w:tc>
          <w:tcPr>
            <w:tcW w:type="dxa" w:w="1138"/>
          </w:tcPr>
          <w:p>
            <w:pPr>
              <w:pStyle w:val="null3"/>
              <w:jc w:val="center"/>
            </w:pPr>
            <w:r>
              <w:rPr>
                <w:rFonts w:ascii="仿宋_GB2312" w:hAnsi="仿宋_GB2312" w:cs="仿宋_GB2312" w:eastAsia="仿宋_GB2312"/>
              </w:rPr>
              <w:t>150.00（套）</w:t>
            </w:r>
          </w:p>
        </w:tc>
        <w:tc>
          <w:tcPr>
            <w:tcW w:type="dxa" w:w="1365"/>
          </w:tcPr>
          <w:p>
            <w:pPr>
              <w:pStyle w:val="null3"/>
              <w:jc w:val="center"/>
            </w:pPr>
            <w:r>
              <w:rPr>
                <w:rFonts w:ascii="仿宋_GB2312" w:hAnsi="仿宋_GB2312" w:cs="仿宋_GB2312" w:eastAsia="仿宋_GB2312"/>
              </w:rPr>
              <w:t>180,000.00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双人阅览灯</w:t>
            </w:r>
          </w:p>
        </w:tc>
        <w:tc>
          <w:tcPr>
            <w:tcW w:type="dxa" w:w="1138"/>
          </w:tcPr>
          <w:p>
            <w:pPr>
              <w:pStyle w:val="null3"/>
              <w:jc w:val="center"/>
            </w:pPr>
            <w:r>
              <w:rPr>
                <w:rFonts w:ascii="仿宋_GB2312" w:hAnsi="仿宋_GB2312" w:cs="仿宋_GB2312" w:eastAsia="仿宋_GB2312"/>
              </w:rPr>
              <w:t>100.00（个）</w:t>
            </w:r>
          </w:p>
        </w:tc>
        <w:tc>
          <w:tcPr>
            <w:tcW w:type="dxa" w:w="1365"/>
          </w:tcPr>
          <w:p>
            <w:pPr>
              <w:pStyle w:val="null3"/>
              <w:jc w:val="center"/>
            </w:pPr>
            <w:r>
              <w:rPr>
                <w:rFonts w:ascii="仿宋_GB2312" w:hAnsi="仿宋_GB2312" w:cs="仿宋_GB2312" w:eastAsia="仿宋_GB2312"/>
              </w:rPr>
              <w:t>79,200.00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配电箱</w:t>
            </w:r>
          </w:p>
        </w:tc>
        <w:tc>
          <w:tcPr>
            <w:tcW w:type="dxa" w:w="1138"/>
          </w:tcPr>
          <w:p>
            <w:pPr>
              <w:pStyle w:val="null3"/>
              <w:jc w:val="center"/>
            </w:pPr>
            <w:r>
              <w:rPr>
                <w:rFonts w:ascii="仿宋_GB2312" w:hAnsi="仿宋_GB2312" w:cs="仿宋_GB2312" w:eastAsia="仿宋_GB2312"/>
              </w:rPr>
              <w:t>25.00（套）</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A02061999 其他照明设备</w:t>
            </w:r>
          </w:p>
        </w:tc>
        <w:tc>
          <w:tcPr>
            <w:tcW w:type="dxa" w:w="2492"/>
          </w:tcPr>
          <w:p>
            <w:pPr>
              <w:pStyle w:val="null3"/>
              <w:jc w:val="left"/>
            </w:pPr>
            <w:r>
              <w:rPr>
                <w:rFonts w:ascii="仿宋_GB2312" w:hAnsi="仿宋_GB2312" w:cs="仿宋_GB2312" w:eastAsia="仿宋_GB2312"/>
              </w:rPr>
              <w:t>四人位阅览灯架1</w:t>
            </w:r>
          </w:p>
        </w:tc>
        <w:tc>
          <w:tcPr>
            <w:tcW w:type="dxa" w:w="2492"/>
          </w:tcPr>
          <w:p>
            <w:pPr>
              <w:pStyle w:val="null3"/>
              <w:jc w:val="left"/>
            </w:pPr>
            <w:r>
              <w:rPr>
                <w:rFonts w:ascii="仿宋_GB2312" w:hAnsi="仿宋_GB2312" w:cs="仿宋_GB2312" w:eastAsia="仿宋_GB2312"/>
              </w:rPr>
              <w:t>四人位阅览灯架1</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A02061999 其他照明设备</w:t>
            </w:r>
          </w:p>
        </w:tc>
        <w:tc>
          <w:tcPr>
            <w:tcW w:type="dxa" w:w="2492"/>
          </w:tcPr>
          <w:p>
            <w:pPr>
              <w:pStyle w:val="null3"/>
              <w:jc w:val="left"/>
            </w:pPr>
            <w:r>
              <w:rPr>
                <w:rFonts w:ascii="仿宋_GB2312" w:hAnsi="仿宋_GB2312" w:cs="仿宋_GB2312" w:eastAsia="仿宋_GB2312"/>
              </w:rPr>
              <w:t>四人位阅览灯架2</w:t>
            </w:r>
          </w:p>
        </w:tc>
        <w:tc>
          <w:tcPr>
            <w:tcW w:type="dxa" w:w="2492"/>
          </w:tcPr>
          <w:p>
            <w:pPr>
              <w:pStyle w:val="null3"/>
              <w:jc w:val="left"/>
            </w:pPr>
            <w:r>
              <w:rPr>
                <w:rFonts w:ascii="仿宋_GB2312" w:hAnsi="仿宋_GB2312" w:cs="仿宋_GB2312" w:eastAsia="仿宋_GB2312"/>
              </w:rPr>
              <w:t>四人位阅览灯架2</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A02061999 其他照明设备</w:t>
            </w:r>
          </w:p>
        </w:tc>
        <w:tc>
          <w:tcPr>
            <w:tcW w:type="dxa" w:w="2492"/>
          </w:tcPr>
          <w:p>
            <w:pPr>
              <w:pStyle w:val="null3"/>
              <w:jc w:val="left"/>
            </w:pPr>
            <w:r>
              <w:rPr>
                <w:rFonts w:ascii="仿宋_GB2312" w:hAnsi="仿宋_GB2312" w:cs="仿宋_GB2312" w:eastAsia="仿宋_GB2312"/>
              </w:rPr>
              <w:t>四人位阅览灯架1</w:t>
            </w:r>
          </w:p>
        </w:tc>
        <w:tc>
          <w:tcPr>
            <w:tcW w:type="dxa" w:w="2492"/>
          </w:tcPr>
          <w:p>
            <w:pPr>
              <w:pStyle w:val="null3"/>
              <w:jc w:val="left"/>
            </w:pPr>
            <w:r>
              <w:rPr>
                <w:rFonts w:ascii="仿宋_GB2312" w:hAnsi="仿宋_GB2312" w:cs="仿宋_GB2312" w:eastAsia="仿宋_GB2312"/>
              </w:rPr>
              <w:t>led光源</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A02061999 其他照明设备</w:t>
            </w:r>
          </w:p>
        </w:tc>
        <w:tc>
          <w:tcPr>
            <w:tcW w:type="dxa" w:w="2492"/>
          </w:tcPr>
          <w:p>
            <w:pPr>
              <w:pStyle w:val="null3"/>
              <w:jc w:val="left"/>
            </w:pPr>
            <w:r>
              <w:rPr>
                <w:rFonts w:ascii="仿宋_GB2312" w:hAnsi="仿宋_GB2312" w:cs="仿宋_GB2312" w:eastAsia="仿宋_GB2312"/>
              </w:rPr>
              <w:t>四人位阅览灯架2</w:t>
            </w:r>
          </w:p>
        </w:tc>
        <w:tc>
          <w:tcPr>
            <w:tcW w:type="dxa" w:w="2492"/>
          </w:tcPr>
          <w:p>
            <w:pPr>
              <w:pStyle w:val="null3"/>
              <w:jc w:val="left"/>
            </w:pPr>
            <w:r>
              <w:rPr>
                <w:rFonts w:ascii="仿宋_GB2312" w:hAnsi="仿宋_GB2312" w:cs="仿宋_GB2312" w:eastAsia="仿宋_GB2312"/>
              </w:rPr>
              <w:t>led光源</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A02061999 其他照明设备</w:t>
            </w:r>
          </w:p>
        </w:tc>
        <w:tc>
          <w:tcPr>
            <w:tcW w:type="dxa" w:w="2492"/>
          </w:tcPr>
          <w:p>
            <w:pPr>
              <w:pStyle w:val="null3"/>
              <w:jc w:val="left"/>
            </w:pPr>
            <w:r>
              <w:rPr>
                <w:rFonts w:ascii="仿宋_GB2312" w:hAnsi="仿宋_GB2312" w:cs="仿宋_GB2312" w:eastAsia="仿宋_GB2312"/>
              </w:rPr>
              <w:t>双人阅览灯</w:t>
            </w:r>
          </w:p>
        </w:tc>
        <w:tc>
          <w:tcPr>
            <w:tcW w:type="dxa" w:w="2492"/>
          </w:tcPr>
          <w:p>
            <w:pPr>
              <w:pStyle w:val="null3"/>
              <w:jc w:val="left"/>
            </w:pPr>
            <w:r>
              <w:rPr>
                <w:rFonts w:ascii="仿宋_GB2312" w:hAnsi="仿宋_GB2312" w:cs="仿宋_GB2312" w:eastAsia="仿宋_GB2312"/>
              </w:rPr>
              <w:t>led光源</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标的名称：四人位阅览灯架1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left="15" w:right="420"/>
              <w:jc w:val="both"/>
            </w:pPr>
            <w:r>
              <w:rPr>
                <w:rFonts w:ascii="仿宋_GB2312" w:hAnsi="仿宋_GB2312" w:cs="仿宋_GB2312" w:eastAsia="仿宋_GB2312"/>
                <w:sz w:val="24"/>
                <w:shd w:fill="FFFFFF" w:val="clear"/>
              </w:rPr>
              <w:t>★1.配2—4路独立控制光源，使用者可以独立控制灯光的开关；配6—8个220V 5孔插座。</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shd w:fill="FFFFFF" w:val="clear"/>
              </w:rPr>
              <w:t>2.桌面阅读中心区域照度≥500lx；色温：4000K±200K；显色指数：Ra≥95，R9≥90；色容差≤3；无可视频闪</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达到无显著影响等级</w:t>
            </w:r>
            <w:r>
              <w:rPr>
                <w:rFonts w:ascii="仿宋_GB2312" w:hAnsi="仿宋_GB2312" w:cs="仿宋_GB2312" w:eastAsia="仿宋_GB2312"/>
                <w:sz w:val="24"/>
                <w:shd w:fill="FFFFFF" w:val="clear"/>
              </w:rPr>
              <w:t>；蓝光危害等级为</w:t>
            </w:r>
            <w:r>
              <w:rPr>
                <w:rFonts w:ascii="仿宋_GB2312" w:hAnsi="仿宋_GB2312" w:cs="仿宋_GB2312" w:eastAsia="仿宋_GB2312"/>
                <w:sz w:val="24"/>
                <w:shd w:fill="FFFFFF" w:val="clear"/>
              </w:rPr>
              <w:t>RG0。</w:t>
            </w:r>
            <w:r>
              <w:rPr>
                <w:rFonts w:ascii="仿宋_GB2312" w:hAnsi="仿宋_GB2312" w:cs="仿宋_GB2312" w:eastAsia="仿宋_GB2312"/>
                <w:sz w:val="24"/>
                <w:b/>
                <w:shd w:fill="FFFFFF" w:val="clear"/>
              </w:rPr>
              <w:t>提供国家认可第三方检测机构出具的检测报告复印件佐证，加盖投标人公章。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shd w:fill="FFFFFF" w:val="clear"/>
              </w:rPr>
              <w:t>3.绝缘等级为Ⅱ类及以上，耐压测试无击穿、闪络现象；灯体外壳需具备防触电保护，金属部件接地可靠。</w:t>
            </w:r>
          </w:p>
          <w:p>
            <w:pPr>
              <w:pStyle w:val="null3"/>
              <w:ind w:left="15" w:right="420"/>
              <w:jc w:val="both"/>
            </w:pPr>
            <w:r>
              <w:rPr>
                <w:rFonts w:ascii="仿宋_GB2312" w:hAnsi="仿宋_GB2312" w:cs="仿宋_GB2312" w:eastAsia="仿宋_GB2312"/>
                <w:sz w:val="24"/>
                <w:shd w:fill="FFFFFF" w:val="clear"/>
              </w:rPr>
              <w:t>4.全铝合金灯体，采用深色静电喷漆，厚度≥1.2mm，外观尺寸(mm)：≥L1500*W100；灯柱尺寸(mm)：≥H480*40*40mm，厚度≥2mm；</w:t>
            </w:r>
            <w:r>
              <w:br/>
            </w:r>
            <w:r>
              <w:rPr>
                <w:rFonts w:ascii="仿宋_GB2312" w:hAnsi="仿宋_GB2312" w:cs="仿宋_GB2312" w:eastAsia="仿宋_GB2312"/>
                <w:sz w:val="24"/>
                <w:shd w:fill="FFFFFF" w:val="clear"/>
              </w:rPr>
              <w:t>注：本部分中实质性要求在</w:t>
            </w:r>
            <w:r>
              <w:rPr>
                <w:rFonts w:ascii="仿宋_GB2312" w:hAnsi="仿宋_GB2312" w:cs="仿宋_GB2312" w:eastAsia="仿宋_GB2312"/>
                <w:sz w:val="24"/>
                <w:shd w:fill="FFFFFF" w:val="clear"/>
              </w:rPr>
              <w:t>“技术参数与性能指标”中以“★”标注，不在参数性质列标注。</w:t>
            </w:r>
          </w:p>
        </w:tc>
      </w:tr>
    </w:tbl>
    <w:p>
      <w:pPr>
        <w:pStyle w:val="null3"/>
        <w:jc w:val="left"/>
      </w:pPr>
      <w:r>
        <w:rPr>
          <w:rFonts w:ascii="仿宋_GB2312" w:hAnsi="仿宋_GB2312" w:cs="仿宋_GB2312" w:eastAsia="仿宋_GB2312"/>
        </w:rPr>
        <w:t>标的名称：四人位阅览灯架2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left="15" w:right="420"/>
              <w:jc w:val="left"/>
            </w:pPr>
            <w:r>
              <w:rPr>
                <w:rFonts w:ascii="仿宋_GB2312" w:hAnsi="仿宋_GB2312" w:cs="仿宋_GB2312" w:eastAsia="仿宋_GB2312"/>
                <w:sz w:val="24"/>
                <w:shd w:fill="FFFFFF" w:val="clear"/>
              </w:rPr>
              <w:t>★1.配2—4路独立控制光源，使用者可以独立控制灯光的开关；配6—8个220V 5孔插座。</w:t>
            </w:r>
          </w:p>
          <w:p>
            <w:pPr>
              <w:pStyle w:val="null3"/>
              <w:ind w:left="15" w:right="420"/>
              <w:jc w:val="left"/>
            </w:pPr>
            <w:r>
              <w:rPr>
                <w:rFonts w:ascii="仿宋_GB2312" w:hAnsi="仿宋_GB2312" w:cs="仿宋_GB2312" w:eastAsia="仿宋_GB2312"/>
                <w:sz w:val="21"/>
              </w:rPr>
              <w:t>▲</w:t>
            </w:r>
            <w:r>
              <w:rPr>
                <w:rFonts w:ascii="仿宋_GB2312" w:hAnsi="仿宋_GB2312" w:cs="仿宋_GB2312" w:eastAsia="仿宋_GB2312"/>
                <w:sz w:val="24"/>
                <w:shd w:fill="FFFFFF" w:val="clear"/>
              </w:rPr>
              <w:t>2.桌面阅读中心区域照度≥500lx；色温：4000K±200K；显色指数：Ra≥95，R9≥90；色容差≤3；无可视频闪</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达到无显著影响等级</w:t>
            </w:r>
            <w:r>
              <w:rPr>
                <w:rFonts w:ascii="仿宋_GB2312" w:hAnsi="仿宋_GB2312" w:cs="仿宋_GB2312" w:eastAsia="仿宋_GB2312"/>
                <w:sz w:val="24"/>
                <w:shd w:fill="FFFFFF" w:val="clear"/>
              </w:rPr>
              <w:t>；蓝光危害等级为</w:t>
            </w:r>
            <w:r>
              <w:rPr>
                <w:rFonts w:ascii="仿宋_GB2312" w:hAnsi="仿宋_GB2312" w:cs="仿宋_GB2312" w:eastAsia="仿宋_GB2312"/>
                <w:sz w:val="24"/>
                <w:shd w:fill="FFFFFF" w:val="clear"/>
              </w:rPr>
              <w:t>RG0。</w:t>
            </w:r>
            <w:r>
              <w:rPr>
                <w:rFonts w:ascii="仿宋_GB2312" w:hAnsi="仿宋_GB2312" w:cs="仿宋_GB2312" w:eastAsia="仿宋_GB2312"/>
                <w:sz w:val="24"/>
                <w:b/>
                <w:shd w:fill="FFFFFF" w:val="clear"/>
              </w:rPr>
              <w:t>提供国家认可第三方检测机构出具的检测报告复印件佐证，加盖投标人公章。</w:t>
            </w:r>
          </w:p>
          <w:p>
            <w:pPr>
              <w:pStyle w:val="null3"/>
              <w:ind w:left="15" w:right="420"/>
              <w:jc w:val="left"/>
            </w:pPr>
            <w:r>
              <w:rPr>
                <w:rFonts w:ascii="仿宋_GB2312" w:hAnsi="仿宋_GB2312" w:cs="仿宋_GB2312" w:eastAsia="仿宋_GB2312"/>
                <w:sz w:val="21"/>
              </w:rPr>
              <w:t>▲</w:t>
            </w:r>
            <w:r>
              <w:rPr>
                <w:rFonts w:ascii="仿宋_GB2312" w:hAnsi="仿宋_GB2312" w:cs="仿宋_GB2312" w:eastAsia="仿宋_GB2312"/>
                <w:sz w:val="24"/>
                <w:shd w:fill="FFFFFF" w:val="clear"/>
              </w:rPr>
              <w:t>3.绝缘等级为Ⅱ类及以上，耐压测试无击穿、闪络现象；灯体外壳需具备防触电保护，金属部件接地可靠。</w:t>
            </w:r>
          </w:p>
          <w:p>
            <w:pPr>
              <w:pStyle w:val="null3"/>
              <w:ind w:left="15" w:right="420"/>
              <w:jc w:val="left"/>
            </w:pPr>
            <w:r>
              <w:rPr>
                <w:rFonts w:ascii="仿宋_GB2312" w:hAnsi="仿宋_GB2312" w:cs="仿宋_GB2312" w:eastAsia="仿宋_GB2312"/>
                <w:sz w:val="24"/>
                <w:shd w:fill="FFFFFF" w:val="clear"/>
              </w:rPr>
              <w:t>4.全铝合金灯体，采用深色静电喷漆，厚度≥1.2mm，外观尺寸(mm)：≥L1800*W100；灯柱尺寸(mm)：≥H480*40*40mm，厚度≥2mm；</w:t>
            </w:r>
            <w:r>
              <w:br/>
            </w:r>
            <w:r>
              <w:rPr>
                <w:rFonts w:ascii="仿宋_GB2312" w:hAnsi="仿宋_GB2312" w:cs="仿宋_GB2312" w:eastAsia="仿宋_GB2312"/>
                <w:sz w:val="24"/>
                <w:shd w:fill="FFFFFF" w:val="clear"/>
              </w:rPr>
              <w:t>注：本部分中实质性要求在</w:t>
            </w:r>
            <w:r>
              <w:rPr>
                <w:rFonts w:ascii="仿宋_GB2312" w:hAnsi="仿宋_GB2312" w:cs="仿宋_GB2312" w:eastAsia="仿宋_GB2312"/>
                <w:sz w:val="24"/>
                <w:shd w:fill="FFFFFF" w:val="clear"/>
              </w:rPr>
              <w:t>“技术参数与性能指标”中以“★”标注，不在参数性质列标注。</w:t>
            </w:r>
          </w:p>
        </w:tc>
      </w:tr>
    </w:tbl>
    <w:p>
      <w:pPr>
        <w:pStyle w:val="null3"/>
        <w:jc w:val="left"/>
      </w:pPr>
      <w:r>
        <w:rPr>
          <w:rFonts w:ascii="仿宋_GB2312" w:hAnsi="仿宋_GB2312" w:cs="仿宋_GB2312" w:eastAsia="仿宋_GB2312"/>
        </w:rPr>
        <w:t>标的名称：双人阅览灯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left="15" w:right="420"/>
              <w:jc w:val="left"/>
            </w:pPr>
            <w:r>
              <w:rPr>
                <w:rFonts w:ascii="仿宋_GB2312" w:hAnsi="仿宋_GB2312" w:cs="仿宋_GB2312" w:eastAsia="仿宋_GB2312"/>
                <w:sz w:val="24"/>
                <w:shd w:fill="FFFFFF" w:val="clear"/>
              </w:rPr>
              <w:t>★1.灯具整体高度≥430mm，配4个220V5孔插座；采用全铝合金灯体，双灯双控设计。</w:t>
            </w:r>
          </w:p>
          <w:p>
            <w:pPr>
              <w:pStyle w:val="null3"/>
              <w:ind w:left="15" w:right="420"/>
              <w:jc w:val="left"/>
            </w:pPr>
            <w:r>
              <w:rPr>
                <w:rFonts w:ascii="仿宋_GB2312" w:hAnsi="仿宋_GB2312" w:cs="仿宋_GB2312" w:eastAsia="仿宋_GB2312"/>
                <w:sz w:val="21"/>
              </w:rPr>
              <w:t>▲</w:t>
            </w:r>
            <w:r>
              <w:rPr>
                <w:rFonts w:ascii="仿宋_GB2312" w:hAnsi="仿宋_GB2312" w:cs="仿宋_GB2312" w:eastAsia="仿宋_GB2312"/>
                <w:sz w:val="24"/>
                <w:shd w:fill="FFFFFF" w:val="clear"/>
              </w:rPr>
              <w:t>2.桌面阅读中</w:t>
            </w:r>
            <w:r>
              <w:rPr>
                <w:rFonts w:ascii="仿宋_GB2312" w:hAnsi="仿宋_GB2312" w:cs="仿宋_GB2312" w:eastAsia="仿宋_GB2312"/>
                <w:sz w:val="24"/>
                <w:shd w:fill="FFFFFF" w:val="clear"/>
              </w:rPr>
              <w:t>心区域照度</w:t>
            </w:r>
            <w:r>
              <w:rPr>
                <w:rFonts w:ascii="仿宋_GB2312" w:hAnsi="仿宋_GB2312" w:cs="仿宋_GB2312" w:eastAsia="仿宋_GB2312"/>
                <w:sz w:val="24"/>
                <w:shd w:fill="FFFFFF" w:val="clear"/>
              </w:rPr>
              <w:t>≥500lx；色温：4000K±200K；显色指数：Ra≥95，R9≥90；无可视频闪</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达到无显著影响等级</w:t>
            </w:r>
            <w:r>
              <w:rPr>
                <w:rFonts w:ascii="仿宋_GB2312" w:hAnsi="仿宋_GB2312" w:cs="仿宋_GB2312" w:eastAsia="仿宋_GB2312"/>
                <w:sz w:val="24"/>
                <w:shd w:fill="FFFFFF" w:val="clear"/>
              </w:rPr>
              <w:t>；蓝光危害等级为</w:t>
            </w:r>
            <w:r>
              <w:rPr>
                <w:rFonts w:ascii="仿宋_GB2312" w:hAnsi="仿宋_GB2312" w:cs="仿宋_GB2312" w:eastAsia="仿宋_GB2312"/>
                <w:sz w:val="24"/>
                <w:shd w:fill="FFFFFF" w:val="clear"/>
              </w:rPr>
              <w:t>RG0。</w:t>
            </w:r>
            <w:r>
              <w:rPr>
                <w:rFonts w:ascii="仿宋_GB2312" w:hAnsi="仿宋_GB2312" w:cs="仿宋_GB2312" w:eastAsia="仿宋_GB2312"/>
                <w:sz w:val="24"/>
                <w:b/>
                <w:shd w:fill="FFFFFF" w:val="clear"/>
              </w:rPr>
              <w:t>提供国家认可第三方检测机构出具的检测报告复印件佐证，加盖投标人公章。</w:t>
            </w:r>
          </w:p>
          <w:p>
            <w:pPr>
              <w:pStyle w:val="null3"/>
              <w:ind w:left="15" w:right="420"/>
              <w:jc w:val="left"/>
            </w:pPr>
            <w:r>
              <w:rPr>
                <w:rFonts w:ascii="仿宋_GB2312" w:hAnsi="仿宋_GB2312" w:cs="仿宋_GB2312" w:eastAsia="仿宋_GB2312"/>
                <w:sz w:val="21"/>
              </w:rPr>
              <w:t>▲</w:t>
            </w:r>
            <w:r>
              <w:rPr>
                <w:rFonts w:ascii="仿宋_GB2312" w:hAnsi="仿宋_GB2312" w:cs="仿宋_GB2312" w:eastAsia="仿宋_GB2312"/>
                <w:sz w:val="24"/>
                <w:shd w:fill="FFFFFF" w:val="clear"/>
              </w:rPr>
              <w:t>3.绝缘等级为Ⅱ类及以上，耐压测试无击穿、闪络现象；灯体外壳需具备防触电保护，金属部件接地可靠。</w:t>
            </w:r>
            <w:r>
              <w:br/>
            </w:r>
            <w:r>
              <w:rPr>
                <w:rFonts w:ascii="仿宋_GB2312" w:hAnsi="仿宋_GB2312" w:cs="仿宋_GB2312" w:eastAsia="仿宋_GB2312"/>
                <w:sz w:val="24"/>
                <w:shd w:fill="FFFFFF" w:val="clear"/>
              </w:rPr>
              <w:t>注：本部分中实质性要求在</w:t>
            </w:r>
            <w:r>
              <w:rPr>
                <w:rFonts w:ascii="仿宋_GB2312" w:hAnsi="仿宋_GB2312" w:cs="仿宋_GB2312" w:eastAsia="仿宋_GB2312"/>
                <w:sz w:val="24"/>
                <w:shd w:fill="FFFFFF" w:val="clear"/>
              </w:rPr>
              <w:t>“技术参数与性能指标”中以“★”标注，不在参数性质列标注。</w:t>
            </w:r>
          </w:p>
        </w:tc>
      </w:tr>
    </w:tbl>
    <w:p>
      <w:pPr>
        <w:pStyle w:val="null3"/>
        <w:jc w:val="left"/>
      </w:pPr>
      <w:r>
        <w:rPr>
          <w:rFonts w:ascii="仿宋_GB2312" w:hAnsi="仿宋_GB2312" w:cs="仿宋_GB2312" w:eastAsia="仿宋_GB2312"/>
        </w:rPr>
        <w:t>标的名称：配电箱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shd w:fill="FFFFFF" w:val="clear"/>
              </w:rPr>
              <w:t>1.具备漏电保护及过载保护功能，可定时管控设定多组时段开关机时间。</w:t>
            </w:r>
          </w:p>
          <w:p>
            <w:pPr>
              <w:pStyle w:val="null3"/>
              <w:jc w:val="both"/>
            </w:pPr>
            <w:r>
              <w:rPr>
                <w:rFonts w:ascii="仿宋_GB2312" w:hAnsi="仿宋_GB2312" w:cs="仿宋_GB2312" w:eastAsia="仿宋_GB2312"/>
                <w:sz w:val="24"/>
                <w:shd w:fill="FFFFFF" w:val="clear"/>
              </w:rPr>
              <w:t>2.进线采用380V供电，主电缆不低于YJV5*10mm²。</w:t>
            </w:r>
          </w:p>
          <w:p>
            <w:pPr>
              <w:pStyle w:val="null3"/>
              <w:jc w:val="both"/>
            </w:pPr>
            <w:r>
              <w:rPr>
                <w:rFonts w:ascii="仿宋_GB2312" w:hAnsi="仿宋_GB2312" w:cs="仿宋_GB2312" w:eastAsia="仿宋_GB2312"/>
                <w:sz w:val="24"/>
                <w:shd w:fill="FFFFFF" w:val="clear"/>
              </w:rPr>
              <w:t>3.平均每个配电箱不低于5个220V32A回路，断路器具备可视化窗口，显示工作状态。</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安装要求</w:t>
            </w:r>
          </w:p>
        </w:tc>
        <w:tc>
          <w:tcPr>
            <w:tcW w:type="dxa" w:w="5814"/>
          </w:tcPr>
          <w:p>
            <w:pPr>
              <w:pStyle w:val="null3"/>
              <w:ind w:firstLine="480"/>
              <w:jc w:val="left"/>
            </w:pPr>
            <w:r>
              <w:rPr>
                <w:rFonts w:ascii="仿宋_GB2312" w:hAnsi="仿宋_GB2312" w:cs="仿宋_GB2312" w:eastAsia="仿宋_GB2312"/>
                <w:sz w:val="24"/>
              </w:rPr>
              <w:t>1.阅读灯安装要求：</w:t>
            </w:r>
            <w:r>
              <w:rPr>
                <w:rFonts w:ascii="仿宋_GB2312" w:hAnsi="仿宋_GB2312" w:cs="仿宋_GB2312" w:eastAsia="仿宋_GB2312"/>
                <w:sz w:val="24"/>
              </w:rPr>
              <w:t>阅读灯</w:t>
            </w:r>
            <w:r>
              <w:rPr>
                <w:rFonts w:ascii="仿宋_GB2312" w:hAnsi="仿宋_GB2312" w:cs="仿宋_GB2312" w:eastAsia="仿宋_GB2312"/>
                <w:sz w:val="24"/>
                <w:shd w:fill="FFFFFF" w:val="clear"/>
              </w:rPr>
              <w:t>采用打孔</w:t>
            </w:r>
            <w:r>
              <w:rPr>
                <w:rFonts w:ascii="仿宋_GB2312" w:hAnsi="仿宋_GB2312" w:cs="仿宋_GB2312" w:eastAsia="仿宋_GB2312"/>
                <w:sz w:val="24"/>
                <w:shd w:fill="FFFFFF" w:val="clear"/>
              </w:rPr>
              <w:t>或桌面端部夹子或侧面螺丝固定</w:t>
            </w:r>
            <w:r>
              <w:rPr>
                <w:rFonts w:ascii="仿宋_GB2312" w:hAnsi="仿宋_GB2312" w:cs="仿宋_GB2312" w:eastAsia="仿宋_GB2312"/>
                <w:sz w:val="24"/>
                <w:shd w:fill="FFFFFF" w:val="clear"/>
              </w:rPr>
              <w:t>结构安装设计</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保证阅读灯的稳定性，</w:t>
            </w:r>
            <w:r>
              <w:rPr>
                <w:rFonts w:ascii="仿宋_GB2312" w:hAnsi="仿宋_GB2312" w:cs="仿宋_GB2312" w:eastAsia="仿宋_GB2312"/>
                <w:sz w:val="24"/>
              </w:rPr>
              <w:t>安装于原有阅览桌，相关强电改造、设备安装及系统调试等配套工作须同步实施</w:t>
            </w:r>
            <w:r>
              <w:rPr>
                <w:rFonts w:ascii="仿宋_GB2312" w:hAnsi="仿宋_GB2312" w:cs="仿宋_GB2312" w:eastAsia="仿宋_GB2312"/>
                <w:sz w:val="24"/>
              </w:rPr>
              <w:t>；</w:t>
            </w:r>
            <w:r>
              <w:rPr>
                <w:rFonts w:ascii="仿宋_GB2312" w:hAnsi="仿宋_GB2312" w:cs="仿宋_GB2312" w:eastAsia="仿宋_GB2312"/>
                <w:sz w:val="24"/>
                <w:shd w:fill="FFFFFF" w:val="clear"/>
              </w:rPr>
              <w:t>供电采用</w:t>
            </w:r>
            <w:r>
              <w:rPr>
                <w:rFonts w:ascii="仿宋_GB2312" w:hAnsi="仿宋_GB2312" w:cs="仿宋_GB2312" w:eastAsia="仿宋_GB2312"/>
                <w:sz w:val="24"/>
                <w:shd w:fill="FFFFFF" w:val="clear"/>
              </w:rPr>
              <w:t>BV4平方线，</w:t>
            </w:r>
            <w:r>
              <w:rPr>
                <w:rFonts w:ascii="仿宋_GB2312" w:hAnsi="仿宋_GB2312" w:cs="仿宋_GB2312" w:eastAsia="仿宋_GB2312"/>
                <w:sz w:val="24"/>
              </w:rPr>
              <w:t>每一组灯均由配电箱取电，地面、墙面、顶面均采用金属槽保护走线；每一组供电可移动，方便图书馆位置管理调整搬移。</w:t>
            </w:r>
          </w:p>
          <w:p>
            <w:pPr>
              <w:pStyle w:val="null3"/>
              <w:ind w:firstLine="480"/>
              <w:jc w:val="left"/>
            </w:pPr>
            <w:r>
              <w:rPr>
                <w:rFonts w:ascii="仿宋_GB2312" w:hAnsi="仿宋_GB2312" w:cs="仿宋_GB2312" w:eastAsia="仿宋_GB2312"/>
                <w:sz w:val="24"/>
                <w:shd w:fill="FFFFFF" w:val="clear"/>
              </w:rPr>
              <w:t>2.配电箱安装要求：输出回路配置数量根据现场实际回路确认，箱内设置合理的接线端子、接地排、零线排，布局规整，便于接线、检修；箱体、门、内部金属构件均应可靠接地，箱内张贴系统接线图、回路标识，配电箱具有相应的安全标识，应安装牢固规范。</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自合同签订之日起50日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成都理工大学东区图书馆</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1付款条件：综合验收合格后三（3）个工作日内，中标人将发票原件（原则上须为增值税专用发票）和合同复印件交采购人使用单位，采购人收到资料后，达到该付款条件起10个工作日内，支付合同总金额的100.00%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以招标文件 2.6.6.履约验收方案 为准</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（1）货物质保期：5年，质保期的起始日期为货物在最终用户现场验收合格之日起开始计算，5年包换。 （2）质保期内每年巡回保养4次；提供7*24小时故障报修，并在1小时内作出电话响应，如遇电话支持无法解决的问题，于24小时内派技术人员赶赴现场进行故障排查，并在3日内排除故障；如在3日内无法排除故障，供应商为采购人提供同类型货物，以保障采购人的正常使用；如因货物性能故障连续维修两次仍不能正常使用的，投标人应在一个月内更换相同品牌型号的全新货物给采购人，并重新计算质保期； （3）质保期外供应商继续提供服务，差旅费（包括机票、住宿、交通费等）和人工服务费包含在本次报价中，如需更换零配件、购买附件，按成本价收取费用。 （4）投标人负责上门安装调试，现场操作培训，培训包括货物的基本原理、操作及货物维护保养知识。</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双方协商解决；协商不成时，双方可向采购人所在地人民法院提起诉讼。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供应商需提供售后服务，内容包括：①提供售后人员配置安排计划(至少包括拟投入本项目的售后服务团队人员清单、各岗位人员的职责分工及联系方式2项内容）；②退换货解决方案（至少包括退换货办理流程及所需时间、退换货期间替代产品的提供方案、同一产品连续两次维修仍不能正常使用的后续处理办法3项内容）；③维保方案（至少包括质保期内维保范围说明、预防性维护计划、备品备件供应方案3项内容）。（二）供应商需具有类似项目（室内照明设备安装、更换、维修等）履约经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因系统模板原因，“1.需要投标人进行承诺的实质性要求”具体标准和要求内容无法修改，投标人响应时具体标准和要求以此项为准。</w:t>
            </w:r>
          </w:p>
        </w:tc>
        <w:tc>
          <w:tcPr>
            <w:tcW w:type="dxa" w:w="3322"/>
          </w:tcPr>
          <w:p>
            <w:pPr>
              <w:pStyle w:val="null3"/>
              <w:jc w:val="left"/>
            </w:pPr>
            <w:r>
              <w:rPr>
                <w:rFonts w:ascii="仿宋_GB2312" w:hAnsi="仿宋_GB2312" w:cs="仿宋_GB2312" w:eastAsia="仿宋_GB2312"/>
              </w:rPr>
              <w:t>投标（响应）函只适用于除第三章 技术、服务及其他要求中“★”号要求外的其他实质性条款。除“第三章 技术、服务及其他要求”中实质性要求外，其他实质性要求无需投标人单独提供材料进行响应，只需在投标(响应)函中承诺完全接受和理解本项目采购文件规定的实质性要求即可。</w:t>
            </w:r>
          </w:p>
        </w:tc>
        <w:tc>
          <w:tcPr>
            <w:tcW w:type="dxa" w:w="1661"/>
          </w:tcPr>
          <w:p>
            <w:pPr>
              <w:pStyle w:val="null3"/>
              <w:jc w:val="left"/>
            </w:pPr>
            <w:r>
              <w:rPr>
                <w:rFonts w:ascii="仿宋_GB2312" w:hAnsi="仿宋_GB2312" w:cs="仿宋_GB2312" w:eastAsia="仿宋_GB2312"/>
              </w:rPr>
              <w:t>投标（响应）函,投标人提交的相关证明材料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招标文件第三章 技术、服务及其他要求中“★”号项要求响应</w:t>
            </w:r>
          </w:p>
        </w:tc>
        <w:tc>
          <w:tcPr>
            <w:tcW w:type="dxa" w:w="3322"/>
          </w:tcPr>
          <w:p>
            <w:pPr>
              <w:pStyle w:val="null3"/>
              <w:jc w:val="left"/>
            </w:pPr>
            <w:r>
              <w:rPr>
                <w:rFonts w:ascii="仿宋_GB2312" w:hAnsi="仿宋_GB2312" w:cs="仿宋_GB2312" w:eastAsia="仿宋_GB2312"/>
              </w:rPr>
              <w:t>满足招标文件第三章 技术、服务及其他要求中“★”号项要求</w:t>
            </w:r>
          </w:p>
        </w:tc>
        <w:tc>
          <w:tcPr>
            <w:tcW w:type="dxa" w:w="1661"/>
          </w:tcPr>
          <w:p>
            <w:pPr>
              <w:pStyle w:val="null3"/>
              <w:jc w:val="left"/>
            </w:pPr>
            <w:r>
              <w:rPr>
                <w:rFonts w:ascii="仿宋_GB2312" w:hAnsi="仿宋_GB2312" w:cs="仿宋_GB2312" w:eastAsia="仿宋_GB2312"/>
              </w:rPr>
              <w:t>商务及技术偏离表,投标人提交的相关证明材料</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详细评审64.00分</w:t>
            </w:r>
          </w:p>
          <w:p>
            <w:pPr>
              <w:pStyle w:val="null3"/>
              <w:jc w:val="left"/>
            </w:pPr>
            <w:r>
              <w:rPr>
                <w:rFonts w:ascii="仿宋_GB2312" w:hAnsi="仿宋_GB2312" w:cs="仿宋_GB2312" w:eastAsia="仿宋_GB2312"/>
              </w:rPr>
              <w:t>报价得分36.00分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1、投标人针对招标文件 第三章 3.2技术要求 “技术参数与性能指标”中对应的一般技术参数（指未标注“▲”和“★”的条款）响应得分规则如下： 一般技术参数响应得分=（投标人满足一般技术参数的数量÷一般技术参数的总数量）×15分。 2、投标人针对招标文件 第三章 3.2技术要求 “技术参数与性能指标”中对应的重要参数（指标注“▲”的条款）响应得分规则如下： 重要参数响应得分=（投标人满足重要参数的数量÷重要参数的总数量）×24分。 注： ①以招标文件技术要求中一级序号数字（如 “1.”“2.”“3.”……）为一项（标题除外）； ②标注“★”参数条款为实质性要求，不纳入本项评分，共3项。 ③一般技术参数共5项，重要参数共6项。</w:t>
            </w:r>
          </w:p>
        </w:tc>
        <w:tc>
          <w:tcPr>
            <w:tcW w:type="dxa" w:w="831"/>
          </w:tcPr>
          <w:p>
            <w:pPr>
              <w:pStyle w:val="null3"/>
              <w:jc w:val="center"/>
            </w:pPr>
            <w:r>
              <w:rPr>
                <w:rFonts w:ascii="仿宋_GB2312" w:hAnsi="仿宋_GB2312" w:cs="仿宋_GB2312" w:eastAsia="仿宋_GB2312"/>
              </w:rPr>
              <w:t>39.0000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商务及技术偏离表</w:t>
            </w:r>
          </w:p>
          <w:p>
            <w:pPr>
              <w:pStyle w:val="null3"/>
              <w:jc w:val="left"/>
            </w:pPr>
            <w:r>
              <w:rPr>
                <w:rFonts w:ascii="仿宋_GB2312" w:hAnsi="仿宋_GB2312" w:cs="仿宋_GB2312" w:eastAsia="仿宋_GB2312"/>
              </w:rPr>
              <w:t>投标人提交的相关证明材料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1.业绩（8分）：投标人提供自2022年1月1日以来类似（室内照明设备安装、更换、维修等）业绩，每有1个得2分，最多得8分。 注：同时提供合同、付款证明和能证明验收合格的证明材料复印件加盖投标人公章，以合同签订之日为准。 2.提供第1项业绩中对应的用户评价（需加盖用户单位公章），评价为‘满意’或‘好’或“优秀”的，每有1个得1分，最多得3分。 注：提供用户评价证明材料复印件，加盖投标人公章。</w:t>
            </w:r>
          </w:p>
        </w:tc>
        <w:tc>
          <w:tcPr>
            <w:tcW w:type="dxa" w:w="831"/>
          </w:tcPr>
          <w:p>
            <w:pPr>
              <w:pStyle w:val="null3"/>
              <w:jc w:val="center"/>
            </w:pPr>
            <w:r>
              <w:rPr>
                <w:rFonts w:ascii="仿宋_GB2312" w:hAnsi="仿宋_GB2312" w:cs="仿宋_GB2312" w:eastAsia="仿宋_GB2312"/>
              </w:rPr>
              <w:t>11.0000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投标人类似项目业绩一览表</w:t>
            </w:r>
          </w:p>
          <w:p>
            <w:pPr>
              <w:pStyle w:val="null3"/>
              <w:jc w:val="left"/>
            </w:pPr>
            <w:r>
              <w:rPr>
                <w:rFonts w:ascii="仿宋_GB2312" w:hAnsi="仿宋_GB2312" w:cs="仿宋_GB2312" w:eastAsia="仿宋_GB2312"/>
              </w:rPr>
              <w:t>投标人提交的相关证明材料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根据投标申请人针对本项目提供的售后服务方案进行评审，包括： ①提供售后人员配置安排计划(至少包括拟投入本项目的售后服务团队人员清单、各岗位人员的职责分工及联系方式2项内容）； ②退换货解决方案（至少包括退换货办理流程及所需时间、退换货期间替代产品的提供方案、同一产品连续两次维修仍不能正常使用的后续处理办法3项内容）； ③维保方案（至少包括质保期内维保范围说明、预防性维护计划、备品备件供应方案3项内容）； 以上方案提供齐全且没有不足或缺陷得12分；每缺少一项内容扣4分；内容每有一处不足或缺陷扣2分，每项内容最多扣4分；本项12分扣完为止。 注：内容不足或缺陷是指存在以下情形之一：①方案内容与项目技术服务需求明显不吻合或不适用；或存在项目名称错误、实施地点区域错误等；②虽有响应但与方案内容要求不符，或未按采购需求针对描述，或没有具体详细的阐述；③表述不清晰、凭空编造；④套用其他项目方案；⑤方案内容不符合国家、地方、行业标准、行业惯例或项目特点，或存在不可能实现的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实施本项目的主要人员情况表</w:t>
            </w:r>
          </w:p>
          <w:p>
            <w:pPr>
              <w:pStyle w:val="null3"/>
              <w:jc w:val="left"/>
            </w:pPr>
            <w:r>
              <w:rPr>
                <w:rFonts w:ascii="仿宋_GB2312" w:hAnsi="仿宋_GB2312" w:cs="仿宋_GB2312" w:eastAsia="仿宋_GB2312"/>
              </w:rPr>
              <w:t>售后服务</w:t>
            </w:r>
          </w:p>
          <w:p>
            <w:pPr>
              <w:pStyle w:val="null3"/>
              <w:jc w:val="left"/>
            </w:pPr>
            <w:r>
              <w:rPr>
                <w:rFonts w:ascii="仿宋_GB2312" w:hAnsi="仿宋_GB2312" w:cs="仿宋_GB2312" w:eastAsia="仿宋_GB2312"/>
              </w:rPr>
              <w:t>投标人提交的相关证明材料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优先节能产品</w:t>
            </w:r>
          </w:p>
        </w:tc>
        <w:tc>
          <w:tcPr>
            <w:tcW w:type="dxa" w:w="2575"/>
          </w:tcPr>
          <w:p>
            <w:pPr>
              <w:pStyle w:val="null3"/>
              <w:jc w:val="left"/>
            </w:pPr>
            <w:r>
              <w:rPr>
                <w:rFonts w:ascii="仿宋_GB2312" w:hAnsi="仿宋_GB2312" w:cs="仿宋_GB2312" w:eastAsia="仿宋_GB2312"/>
              </w:rPr>
              <w:t>投标产品中属于政府采购优先采购范围的：每有一项为节能产品的得1分，非节能产品的不得分，最多得2分。 注：1.节能产品优先采购范围以节能产品政府采购品目清单为准。2.投标产品属于《节能产品政府采购品目清单》中优先采购的产品，提供由国家确定的认证机构出具的、处于有效期之内的节能产品认证证书的原件扫描件或“全国认证认可信息公共服务平台”（http://cx.cnca.cn）的认证信息截图，并加盖投标人电子签章。</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满足招标文件要求且报价最低的为评审基准价，价格得分=（评审基准价/报价）×36</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详见附件：商务及技术偏离表</w:t>
      </w:r>
    </w:p>
    <w:p>
      <w:pPr>
        <w:pStyle w:val="null3"/>
        <w:ind w:firstLine="960"/>
        <w:jc w:val="left"/>
      </w:pPr>
      <w:r>
        <w:rPr>
          <w:rFonts w:ascii="仿宋_GB2312" w:hAnsi="仿宋_GB2312" w:cs="仿宋_GB2312" w:eastAsia="仿宋_GB2312"/>
        </w:rPr>
        <w:t>详见附件：实施本项目的主要人员情况表</w:t>
      </w:r>
    </w:p>
    <w:p>
      <w:pPr>
        <w:pStyle w:val="null3"/>
        <w:ind w:firstLine="960"/>
        <w:jc w:val="left"/>
      </w:pPr>
      <w:r>
        <w:rPr>
          <w:rFonts w:ascii="仿宋_GB2312" w:hAnsi="仿宋_GB2312" w:cs="仿宋_GB2312" w:eastAsia="仿宋_GB2312"/>
        </w:rPr>
        <w:t>详见附件：售后服务</w:t>
      </w:r>
    </w:p>
    <w:p>
      <w:pPr>
        <w:pStyle w:val="null3"/>
        <w:ind w:firstLine="960"/>
        <w:jc w:val="left"/>
      </w:pPr>
      <w:r>
        <w:rPr>
          <w:rFonts w:ascii="仿宋_GB2312" w:hAnsi="仿宋_GB2312" w:cs="仿宋_GB2312" w:eastAsia="仿宋_GB2312"/>
        </w:rPr>
        <w:t>详见附件：投标人类似项目业绩一览表</w:t>
      </w:r>
    </w:p>
    <w:p>
      <w:pPr>
        <w:pStyle w:val="null3"/>
        <w:ind w:firstLine="960"/>
        <w:jc w:val="left"/>
      </w:pPr>
      <w:r>
        <w:rPr>
          <w:rFonts w:ascii="仿宋_GB2312" w:hAnsi="仿宋_GB2312" w:cs="仿宋_GB2312" w:eastAsia="仿宋_GB2312"/>
        </w:rPr>
        <w:t>详见附件：投标人提交的相关证明材料</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