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723"/>
        <w:jc w:val="center"/>
        <w:rPr>
          <w:rFonts w:ascii="宋体" w:hAnsi="宋体" w:cs="宋体"/>
          <w:color w:val="000000" w:themeColor="text1"/>
          <w:sz w:val="44"/>
          <w:szCs w:val="44"/>
          <w:highlight w:val="none"/>
          <w14:textFill>
            <w14:solidFill>
              <w14:schemeClr w14:val="tx1"/>
            </w14:solidFill>
          </w14:textFill>
        </w:rPr>
      </w:pPr>
      <w:bookmarkStart w:id="0" w:name="_Toc217446030"/>
      <w:bookmarkStart w:id="1" w:name="_Toc183682338"/>
      <w:r>
        <w:rPr>
          <w:rFonts w:hint="eastAsia" w:ascii="宋体" w:hAnsi="宋体" w:cs="宋体"/>
          <w:b/>
          <w:color w:val="000000" w:themeColor="text1"/>
          <w:sz w:val="36"/>
          <w:highlight w:val="none"/>
          <w14:textFill>
            <w14:solidFill>
              <w14:schemeClr w14:val="tx1"/>
            </w14:solidFill>
          </w14:textFill>
        </w:rPr>
        <w:t>项目编号：MB1A210991713838799361-2024043008</w:t>
      </w:r>
    </w:p>
    <w:p>
      <w:pPr>
        <w:spacing w:line="360" w:lineRule="auto"/>
        <w:ind w:firstLine="720"/>
        <w:rPr>
          <w:rFonts w:ascii="宋体" w:hAnsi="宋体" w:cs="宋体"/>
          <w:b/>
          <w:color w:val="000000" w:themeColor="text1"/>
          <w:sz w:val="36"/>
          <w:szCs w:val="36"/>
          <w:highlight w:val="none"/>
          <w14:textFill>
            <w14:solidFill>
              <w14:schemeClr w14:val="tx1"/>
            </w14:solidFill>
          </w14:textFill>
        </w:rPr>
      </w:pPr>
    </w:p>
    <w:p>
      <w:pPr>
        <w:spacing w:line="360" w:lineRule="auto"/>
        <w:ind w:firstLine="720"/>
        <w:rPr>
          <w:rFonts w:ascii="宋体" w:hAnsi="宋体" w:cs="宋体"/>
          <w:b/>
          <w:color w:val="000000" w:themeColor="text1"/>
          <w:sz w:val="36"/>
          <w:szCs w:val="36"/>
          <w:highlight w:val="none"/>
          <w14:textFill>
            <w14:solidFill>
              <w14:schemeClr w14:val="tx1"/>
            </w14:solidFill>
          </w14:textFill>
        </w:rPr>
      </w:pPr>
    </w:p>
    <w:p>
      <w:pPr>
        <w:spacing w:line="360" w:lineRule="auto"/>
        <w:ind w:right="-158" w:rightChars="-75"/>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pacing w:val="-20"/>
          <w:sz w:val="52"/>
          <w:szCs w:val="52"/>
          <w:highlight w:val="none"/>
          <w:lang w:bidi="en-US"/>
          <w14:textFill>
            <w14:solidFill>
              <w14:schemeClr w14:val="tx1"/>
            </w14:solidFill>
          </w14:textFill>
        </w:rPr>
        <w:t>四川省消防救援总队眉山支队“自然灾害应急能力提升工程”装备配备项目（照明、水域救援、保障及其他类）</w:t>
      </w:r>
    </w:p>
    <w:p>
      <w:pPr>
        <w:spacing w:line="360" w:lineRule="auto"/>
        <w:ind w:right="-158" w:rightChars="-75" w:firstLine="720"/>
        <w:jc w:val="center"/>
        <w:rPr>
          <w:rFonts w:ascii="宋体" w:hAnsi="宋体" w:cs="宋体"/>
          <w:b/>
          <w:color w:val="000000" w:themeColor="text1"/>
          <w:sz w:val="36"/>
          <w:highlight w:val="none"/>
          <w14:textFill>
            <w14:solidFill>
              <w14:schemeClr w14:val="tx1"/>
            </w14:solidFill>
          </w14:textFill>
        </w:rPr>
      </w:pPr>
    </w:p>
    <w:p>
      <w:pPr>
        <w:pStyle w:val="23"/>
        <w:rPr>
          <w:rFonts w:ascii="宋体" w:hAnsi="宋体" w:cs="宋体"/>
          <w:color w:val="000000" w:themeColor="text1"/>
          <w:highlight w:val="none"/>
          <w14:textFill>
            <w14:solidFill>
              <w14:schemeClr w14:val="tx1"/>
            </w14:solidFill>
          </w14:textFill>
        </w:rPr>
      </w:pPr>
    </w:p>
    <w:p>
      <w:pPr>
        <w:spacing w:line="360" w:lineRule="auto"/>
        <w:ind w:firstLine="1687"/>
        <w:jc w:val="center"/>
        <w:rPr>
          <w:rFonts w:ascii="宋体" w:hAnsi="宋体" w:cs="宋体"/>
          <w:color w:val="000000" w:themeColor="text1"/>
          <w:sz w:val="84"/>
          <w:szCs w:val="84"/>
          <w:highlight w:val="none"/>
          <w14:textFill>
            <w14:solidFill>
              <w14:schemeClr w14:val="tx1"/>
            </w14:solidFill>
          </w14:textFill>
        </w:rPr>
      </w:pPr>
      <w:bookmarkStart w:id="2" w:name="_Toc426647987"/>
      <w:bookmarkStart w:id="3" w:name="_Toc426648098"/>
      <w:bookmarkStart w:id="4" w:name="_Toc426648194"/>
      <w:r>
        <w:rPr>
          <w:rFonts w:hint="eastAsia" w:ascii="宋体" w:hAnsi="宋体" w:cs="宋体"/>
          <w:b/>
          <w:color w:val="000000" w:themeColor="text1"/>
          <w:sz w:val="84"/>
          <w:szCs w:val="84"/>
          <w:highlight w:val="none"/>
          <w14:textFill>
            <w14:solidFill>
              <w14:schemeClr w14:val="tx1"/>
            </w14:solidFill>
          </w14:textFill>
        </w:rPr>
        <w:t>招 标 文 件</w:t>
      </w:r>
      <w:bookmarkEnd w:id="2"/>
      <w:bookmarkEnd w:id="3"/>
      <w:bookmarkEnd w:id="4"/>
    </w:p>
    <w:p>
      <w:pPr>
        <w:spacing w:line="360" w:lineRule="auto"/>
        <w:ind w:firstLine="883"/>
        <w:jc w:val="center"/>
        <w:rPr>
          <w:rFonts w:ascii="宋体" w:hAnsi="宋体" w:cs="宋体"/>
          <w:color w:val="000000" w:themeColor="text1"/>
          <w:sz w:val="44"/>
          <w:szCs w:val="44"/>
          <w:highlight w:val="none"/>
          <w14:textFill>
            <w14:solidFill>
              <w14:schemeClr w14:val="tx1"/>
            </w14:solidFill>
          </w14:textFill>
        </w:rPr>
      </w:pPr>
    </w:p>
    <w:p>
      <w:pPr>
        <w:spacing w:line="360" w:lineRule="auto"/>
        <w:ind w:firstLine="883"/>
        <w:rPr>
          <w:rFonts w:ascii="宋体" w:hAnsi="宋体" w:cs="宋体"/>
          <w:color w:val="000000" w:themeColor="text1"/>
          <w:sz w:val="44"/>
          <w:szCs w:val="44"/>
          <w:highlight w:val="none"/>
          <w14:textFill>
            <w14:solidFill>
              <w14:schemeClr w14:val="tx1"/>
            </w14:solidFill>
          </w14:textFill>
        </w:rPr>
      </w:pPr>
    </w:p>
    <w:p>
      <w:pPr>
        <w:spacing w:line="360" w:lineRule="auto"/>
        <w:ind w:firstLine="883"/>
        <w:rPr>
          <w:rFonts w:ascii="宋体" w:hAnsi="宋体" w:cs="宋体"/>
          <w:color w:val="000000" w:themeColor="text1"/>
          <w:sz w:val="44"/>
          <w:szCs w:val="44"/>
          <w:highlight w:val="none"/>
          <w14:textFill>
            <w14:solidFill>
              <w14:schemeClr w14:val="tx1"/>
            </w14:solidFill>
          </w14:textFill>
        </w:rPr>
      </w:pPr>
    </w:p>
    <w:p>
      <w:pPr>
        <w:spacing w:line="360" w:lineRule="auto"/>
        <w:ind w:firstLine="723"/>
        <w:jc w:val="center"/>
        <w:rPr>
          <w:rFonts w:ascii="宋体" w:hAnsi="宋体" w:cs="宋体"/>
          <w:b/>
          <w:color w:val="000000" w:themeColor="text1"/>
          <w:sz w:val="52"/>
          <w:szCs w:val="52"/>
          <w:highlight w:val="none"/>
          <w14:textFill>
            <w14:solidFill>
              <w14:schemeClr w14:val="tx1"/>
            </w14:solidFill>
          </w14:textFill>
        </w:rPr>
      </w:pPr>
      <w:bookmarkStart w:id="5" w:name="_Hlt101843627"/>
      <w:bookmarkEnd w:id="5"/>
      <w:bookmarkStart w:id="6" w:name="_Hlt101233737"/>
      <w:bookmarkEnd w:id="6"/>
      <w:r>
        <w:rPr>
          <w:rFonts w:hint="eastAsia" w:ascii="宋体" w:hAnsi="宋体" w:cs="宋体"/>
          <w:b/>
          <w:color w:val="000000" w:themeColor="text1"/>
          <w:sz w:val="36"/>
          <w:szCs w:val="36"/>
          <w:highlight w:val="none"/>
          <w14:textFill>
            <w14:solidFill>
              <w14:schemeClr w14:val="tx1"/>
            </w14:solidFill>
          </w14:textFill>
        </w:rPr>
        <w:t>采购人：眉山市消防救援支队</w:t>
      </w:r>
    </w:p>
    <w:p>
      <w:pPr>
        <w:spacing w:line="360" w:lineRule="auto"/>
        <w:ind w:firstLine="723"/>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采购代理机构：众聚能国际建工有限公司</w:t>
      </w:r>
    </w:p>
    <w:p>
      <w:pPr>
        <w:pStyle w:val="23"/>
        <w:ind w:firstLine="723"/>
        <w:jc w:val="center"/>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共同编制</w:t>
      </w:r>
    </w:p>
    <w:p>
      <w:pPr>
        <w:spacing w:line="360" w:lineRule="auto"/>
        <w:ind w:firstLine="723"/>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2024年4月</w:t>
      </w:r>
    </w:p>
    <w:p>
      <w:pPr>
        <w:pStyle w:val="4"/>
        <w:spacing w:before="0" w:after="0" w:line="360" w:lineRule="auto"/>
        <w:ind w:firstLine="720"/>
        <w:jc w:val="center"/>
        <w:rPr>
          <w:rFonts w:ascii="宋体" w:hAnsi="宋体" w:eastAsia="宋体" w:cs="宋体"/>
          <w:bCs w:val="0"/>
          <w:color w:val="000000" w:themeColor="text1"/>
          <w:sz w:val="36"/>
          <w:highlight w:val="none"/>
          <w14:textFill>
            <w14:solidFill>
              <w14:schemeClr w14:val="tx1"/>
            </w14:solidFill>
          </w14:textFill>
        </w:rPr>
        <w:sectPr>
          <w:headerReference r:id="rId3" w:type="default"/>
          <w:footerReference r:id="rId4" w:type="default"/>
          <w:pgSz w:w="11907" w:h="16840"/>
          <w:pgMar w:top="1440" w:right="1080" w:bottom="1440" w:left="1080" w:header="471" w:footer="992" w:gutter="0"/>
          <w:cols w:space="720" w:num="1"/>
          <w:docGrid w:linePitch="312" w:charSpace="0"/>
        </w:sectPr>
      </w:pPr>
    </w:p>
    <w:p>
      <w:pPr>
        <w:ind w:firstLine="482"/>
        <w:rPr>
          <w:rFonts w:ascii="宋体" w:hAnsi="宋体" w:cs="宋体"/>
          <w:color w:val="000000" w:themeColor="text1"/>
          <w:highlight w:val="none"/>
          <w14:textFill>
            <w14:solidFill>
              <w14:schemeClr w14:val="tx1"/>
            </w14:solidFill>
          </w14:textFill>
        </w:rPr>
      </w:pPr>
    </w:p>
    <w:p>
      <w:pPr>
        <w:pStyle w:val="40"/>
        <w:tabs>
          <w:tab w:val="right" w:leader="dot" w:pos="9355"/>
        </w:tabs>
        <w:spacing w:before="0" w:after="0" w:line="360" w:lineRule="auto"/>
        <w:ind w:firstLine="720"/>
        <w:jc w:val="center"/>
        <w:rPr>
          <w:rFonts w:ascii="宋体" w:hAnsi="宋体" w:cs="宋体"/>
          <w:color w:val="000000" w:themeColor="text1"/>
          <w:sz w:val="36"/>
          <w:szCs w:val="36"/>
          <w:highlight w:val="none"/>
          <w14:textFill>
            <w14:solidFill>
              <w14:schemeClr w14:val="tx1"/>
            </w14:solidFill>
          </w14:textFill>
        </w:rPr>
      </w:pPr>
      <w:bookmarkStart w:id="7" w:name="_Toc14931"/>
      <w:bookmarkStart w:id="8" w:name="_Toc426657528"/>
      <w:bookmarkStart w:id="9" w:name="_Toc20071"/>
      <w:r>
        <w:rPr>
          <w:rFonts w:hint="eastAsia" w:ascii="宋体" w:hAnsi="宋体" w:cs="宋体"/>
          <w:color w:val="000000" w:themeColor="text1"/>
          <w:sz w:val="36"/>
          <w:szCs w:val="36"/>
          <w:highlight w:val="none"/>
          <w14:textFill>
            <w14:solidFill>
              <w14:schemeClr w14:val="tx1"/>
            </w14:solidFill>
          </w14:textFill>
        </w:rPr>
        <w:t>目录</w:t>
      </w:r>
    </w:p>
    <w:p>
      <w:pPr>
        <w:pStyle w:val="40"/>
        <w:tabs>
          <w:tab w:val="right" w:leader="dot" w:pos="9355"/>
        </w:tabs>
        <w:spacing w:before="0" w:after="0" w:line="360" w:lineRule="auto"/>
        <w:ind w:firstLine="40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TOC \o "1-1" \h \u </w:instrText>
      </w:r>
      <w:r>
        <w:rPr>
          <w:rFonts w:hint="eastAsia" w:ascii="宋体" w:hAnsi="宋体" w:cs="宋体"/>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"_Toc21261"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48"/>
          <w:highlight w:val="none"/>
          <w14:textFill>
            <w14:solidFill>
              <w14:schemeClr w14:val="tx1"/>
            </w14:solidFill>
          </w14:textFill>
        </w:rPr>
        <w:t>第一章  投标邀请</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_Toc21261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pPr>
        <w:pStyle w:val="40"/>
        <w:tabs>
          <w:tab w:val="right" w:leader="dot" w:pos="9355"/>
        </w:tabs>
        <w:spacing w:before="0" w:after="0" w:line="360" w:lineRule="auto"/>
        <w:ind w:firstLine="480"/>
        <w:jc w:val="center"/>
        <w:rPr>
          <w:rFonts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"_Toc13078"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48"/>
          <w:highlight w:val="none"/>
          <w14:textFill>
            <w14:solidFill>
              <w14:schemeClr w14:val="tx1"/>
            </w14:solidFill>
          </w14:textFill>
        </w:rPr>
        <w:t>第二章  投标人须知</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_Toc13078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pPr>
        <w:pStyle w:val="40"/>
        <w:tabs>
          <w:tab w:val="right" w:leader="dot" w:pos="9355"/>
        </w:tabs>
        <w:spacing w:before="0" w:after="0" w:line="360" w:lineRule="auto"/>
        <w:ind w:firstLine="480"/>
        <w:jc w:val="center"/>
        <w:rPr>
          <w:rFonts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"_Toc5456"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44"/>
          <w:highlight w:val="none"/>
          <w14:textFill>
            <w14:solidFill>
              <w14:schemeClr w14:val="tx1"/>
            </w14:solidFill>
          </w14:textFill>
        </w:rPr>
        <w:t>第三章  投标文件格式</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_Toc5456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27</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pPr>
        <w:pStyle w:val="40"/>
        <w:tabs>
          <w:tab w:val="right" w:leader="dot" w:pos="9355"/>
        </w:tabs>
        <w:spacing w:before="0" w:after="0" w:line="360" w:lineRule="auto"/>
        <w:ind w:firstLine="480"/>
        <w:jc w:val="center"/>
        <w:rPr>
          <w:rFonts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44"/>
          <w:highlight w:val="none"/>
          <w14:textFill>
            <w14:solidFill>
              <w14:schemeClr w14:val="tx1"/>
            </w14:solidFill>
          </w14:textFill>
        </w:rPr>
        <w:t>第四章  投标人应当提供的资格、资质性及其他类似效力要求</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_Toc210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49</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pPr>
        <w:pStyle w:val="40"/>
        <w:tabs>
          <w:tab w:val="right" w:leader="dot" w:pos="9355"/>
        </w:tabs>
        <w:spacing w:before="0" w:after="0" w:line="360" w:lineRule="auto"/>
        <w:ind w:firstLine="480"/>
        <w:jc w:val="center"/>
        <w:rPr>
          <w:rFonts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"_Toc31782"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44"/>
          <w:highlight w:val="none"/>
          <w14:textFill>
            <w14:solidFill>
              <w14:schemeClr w14:val="tx1"/>
            </w14:solidFill>
          </w14:textFill>
        </w:rPr>
        <w:t>第五章  投标人应当提供的资格、资质性及其他类似效力要求的</w:t>
      </w:r>
      <w:r>
        <w:rPr>
          <w:rFonts w:hint="eastAsia" w:ascii="宋体" w:hAnsi="宋体" w:cs="宋体"/>
          <w:color w:val="000000" w:themeColor="text1"/>
          <w:sz w:val="24"/>
          <w:szCs w:val="44"/>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"_Toc13137"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44"/>
          <w:highlight w:val="none"/>
          <w14:textFill>
            <w14:solidFill>
              <w14:schemeClr w14:val="tx1"/>
            </w14:solidFill>
          </w14:textFill>
        </w:rPr>
        <w:t>相关证明材料</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_Toc13137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50</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pPr>
        <w:pStyle w:val="40"/>
        <w:tabs>
          <w:tab w:val="right" w:leader="dot" w:pos="9355"/>
        </w:tabs>
        <w:spacing w:before="0" w:after="0" w:line="360" w:lineRule="auto"/>
        <w:ind w:firstLine="480"/>
        <w:jc w:val="center"/>
        <w:rPr>
          <w:rFonts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"_Toc26630"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44"/>
          <w:highlight w:val="none"/>
          <w14:textFill>
            <w14:solidFill>
              <w14:schemeClr w14:val="tx1"/>
            </w14:solidFill>
          </w14:textFill>
        </w:rPr>
        <w:t>第六章  招标项目技术、商务及其他要求</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_Toc26630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52</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pPr>
        <w:pStyle w:val="40"/>
        <w:tabs>
          <w:tab w:val="right" w:leader="dot" w:pos="9355"/>
        </w:tabs>
        <w:spacing w:before="0" w:after="0" w:line="360" w:lineRule="auto"/>
        <w:ind w:firstLine="480"/>
        <w:jc w:val="center"/>
        <w:rPr>
          <w:rFonts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"_Toc7747"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44"/>
          <w:highlight w:val="none"/>
          <w14:textFill>
            <w14:solidFill>
              <w14:schemeClr w14:val="tx1"/>
            </w14:solidFill>
          </w14:textFill>
        </w:rPr>
        <w:t>第七章  评标办法</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_Toc7747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91</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pPr>
        <w:pStyle w:val="40"/>
        <w:tabs>
          <w:tab w:val="right" w:leader="dot" w:pos="9355"/>
        </w:tabs>
        <w:spacing w:before="0" w:after="0" w:line="360" w:lineRule="auto"/>
        <w:ind w:firstLine="480"/>
        <w:jc w:val="center"/>
        <w:rPr>
          <w:rFonts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"_Toc23800"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48"/>
          <w:highlight w:val="none"/>
          <w14:textFill>
            <w14:solidFill>
              <w14:schemeClr w14:val="tx1"/>
            </w14:solidFill>
          </w14:textFill>
        </w:rPr>
        <w:t>第八章  政府采购合同（样例）</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_Toc23800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111</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pPr>
        <w:pStyle w:val="40"/>
        <w:tabs>
          <w:tab w:val="right" w:leader="dot" w:pos="9355"/>
        </w:tabs>
        <w:spacing w:before="0" w:after="0" w:line="360" w:lineRule="auto"/>
        <w:ind w:firstLine="48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第九章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"_Toc27959"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44"/>
          <w:highlight w:val="none"/>
          <w14:textFill>
            <w14:solidFill>
              <w14:schemeClr w14:val="tx1"/>
            </w14:solidFill>
          </w14:textFill>
        </w:rPr>
        <w:t>投标样品递交明细表</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_Toc27959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117</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pPr>
        <w:spacing w:line="360" w:lineRule="auto"/>
        <w:ind w:firstLine="482"/>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end"/>
      </w:r>
    </w:p>
    <w:p>
      <w:pPr>
        <w:pStyle w:val="3"/>
        <w:spacing w:before="0" w:after="0" w:line="360" w:lineRule="auto"/>
        <w:ind w:firstLine="720"/>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br w:type="page"/>
      </w:r>
      <w:bookmarkStart w:id="10" w:name="_Toc21261"/>
      <w:r>
        <w:rPr>
          <w:rFonts w:hint="eastAsia" w:ascii="宋体" w:hAnsi="宋体" w:cs="宋体"/>
          <w:color w:val="000000" w:themeColor="text1"/>
          <w:sz w:val="36"/>
          <w:szCs w:val="36"/>
          <w:highlight w:val="none"/>
          <w14:textFill>
            <w14:solidFill>
              <w14:schemeClr w14:val="tx1"/>
            </w14:solidFill>
          </w14:textFill>
        </w:rPr>
        <w:t>第一章  投标邀请</w:t>
      </w:r>
      <w:bookmarkEnd w:id="0"/>
      <w:bookmarkEnd w:id="1"/>
      <w:bookmarkEnd w:id="7"/>
      <w:bookmarkEnd w:id="8"/>
      <w:bookmarkEnd w:id="9"/>
      <w:bookmarkEnd w:id="10"/>
    </w:p>
    <w:p>
      <w:pPr>
        <w:spacing w:line="348"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众聚能国际建工有限公司</w:t>
      </w:r>
      <w:r>
        <w:rPr>
          <w:rFonts w:hint="eastAsia" w:ascii="宋体" w:hAnsi="宋体" w:cs="宋体"/>
          <w:color w:val="000000" w:themeColor="text1"/>
          <w:sz w:val="24"/>
          <w:szCs w:val="24"/>
          <w:highlight w:val="none"/>
          <w14:textFill>
            <w14:solidFill>
              <w14:schemeClr w14:val="tx1"/>
            </w14:solidFill>
          </w14:textFill>
        </w:rPr>
        <w:t>受</w:t>
      </w:r>
      <w:r>
        <w:rPr>
          <w:rFonts w:hint="eastAsia" w:ascii="宋体" w:hAnsi="宋体" w:cs="宋体"/>
          <w:bCs/>
          <w:color w:val="000000" w:themeColor="text1"/>
          <w:sz w:val="24"/>
          <w:szCs w:val="24"/>
          <w:highlight w:val="none"/>
          <w:u w:val="single"/>
          <w14:textFill>
            <w14:solidFill>
              <w14:schemeClr w14:val="tx1"/>
            </w14:solidFill>
          </w14:textFill>
        </w:rPr>
        <w:t>眉山市消防救援支队</w:t>
      </w:r>
      <w:r>
        <w:rPr>
          <w:rFonts w:hint="eastAsia" w:ascii="宋体" w:hAnsi="宋体" w:cs="宋体"/>
          <w:color w:val="000000" w:themeColor="text1"/>
          <w:sz w:val="24"/>
          <w:szCs w:val="24"/>
          <w:highlight w:val="none"/>
          <w14:textFill>
            <w14:solidFill>
              <w14:schemeClr w14:val="tx1"/>
            </w14:solidFill>
          </w14:textFill>
        </w:rPr>
        <w:t>委托，拟对“</w:t>
      </w:r>
      <w:r>
        <w:rPr>
          <w:rFonts w:hint="eastAsia" w:ascii="宋体" w:hAnsi="宋体" w:cs="宋体"/>
          <w:color w:val="000000" w:themeColor="text1"/>
          <w:sz w:val="24"/>
          <w:szCs w:val="24"/>
          <w:highlight w:val="none"/>
          <w:u w:val="single"/>
          <w14:textFill>
            <w14:solidFill>
              <w14:schemeClr w14:val="tx1"/>
            </w14:solidFill>
          </w14:textFill>
        </w:rPr>
        <w:t>四川省消防救援总队眉山支队“自然灾害应急能力提升工程”装备配备项目（照明、水域救援、保障及其他类）</w:t>
      </w:r>
      <w:r>
        <w:rPr>
          <w:rFonts w:hint="eastAsia" w:ascii="宋体" w:hAnsi="宋体" w:cs="宋体"/>
          <w:color w:val="000000" w:themeColor="text1"/>
          <w:sz w:val="24"/>
          <w:szCs w:val="24"/>
          <w:highlight w:val="none"/>
          <w14:textFill>
            <w14:solidFill>
              <w14:schemeClr w14:val="tx1"/>
            </w14:solidFill>
          </w14:textFill>
        </w:rPr>
        <w:t>”进行国内公开招标，兹邀请符合本次招标要求的投标人参加投标。</w:t>
      </w:r>
    </w:p>
    <w:p>
      <w:pPr>
        <w:spacing w:line="348"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一、采购编号：MB1A210991713838799361-2024043008</w:t>
      </w:r>
      <w:r>
        <w:rPr>
          <w:rFonts w:hint="eastAsia" w:ascii="宋体" w:hAnsi="宋体" w:cs="宋体"/>
          <w:bCs/>
          <w:color w:val="000000" w:themeColor="text1"/>
          <w:sz w:val="24"/>
          <w:szCs w:val="24"/>
          <w:highlight w:val="none"/>
          <w14:textFill>
            <w14:solidFill>
              <w14:schemeClr w14:val="tx1"/>
            </w14:solidFill>
          </w14:textFill>
        </w:rPr>
        <w:t xml:space="preserve"> </w:t>
      </w:r>
    </w:p>
    <w:p>
      <w:pPr>
        <w:spacing w:line="34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w:t>
      </w:r>
      <w:r>
        <w:rPr>
          <w:rFonts w:hint="eastAsia" w:ascii="宋体" w:hAnsi="宋体" w:cs="宋体"/>
          <w:b/>
          <w:color w:val="000000" w:themeColor="text1"/>
          <w:sz w:val="24"/>
          <w:highlight w:val="none"/>
          <w14:textFill>
            <w14:solidFill>
              <w14:schemeClr w14:val="tx1"/>
            </w14:solidFill>
          </w14:textFill>
        </w:rPr>
        <w:t>招标项目：</w:t>
      </w:r>
      <w:r>
        <w:rPr>
          <w:rFonts w:hint="eastAsia" w:ascii="宋体" w:hAnsi="宋体" w:cs="宋体"/>
          <w:bCs/>
          <w:color w:val="000000" w:themeColor="text1"/>
          <w:sz w:val="24"/>
          <w:highlight w:val="none"/>
          <w14:textFill>
            <w14:solidFill>
              <w14:schemeClr w14:val="tx1"/>
            </w14:solidFill>
          </w14:textFill>
        </w:rPr>
        <w:t>四川省消防救援总队眉山支队“自然灾害应急能力提升工程”装备配备项目（照明、水域救援、保障及其他类）</w:t>
      </w:r>
    </w:p>
    <w:p>
      <w:pPr>
        <w:spacing w:line="34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三、资金来源：</w:t>
      </w:r>
      <w:r>
        <w:rPr>
          <w:rFonts w:hint="eastAsia" w:ascii="宋体" w:hAnsi="宋体" w:cs="宋体"/>
          <w:color w:val="000000" w:themeColor="text1"/>
          <w:sz w:val="24"/>
          <w:szCs w:val="24"/>
          <w:highlight w:val="none"/>
          <w14:textFill>
            <w14:solidFill>
              <w14:schemeClr w14:val="tx1"/>
            </w14:solidFill>
          </w14:textFill>
        </w:rPr>
        <w:t>财政性资金，662.6万元。</w:t>
      </w:r>
    </w:p>
    <w:p>
      <w:pPr>
        <w:spacing w:line="348" w:lineRule="auto"/>
        <w:ind w:right="31" w:rightChars="15"/>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四、项目简介：</w:t>
      </w:r>
    </w:p>
    <w:p>
      <w:pPr>
        <w:spacing w:line="348" w:lineRule="auto"/>
        <w:ind w:right="31" w:rightChars="15" w:firstLine="374" w:firstLineChars="156"/>
        <w:rPr>
          <w:rFonts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highlight w:val="none"/>
          <w14:textFill>
            <w14:solidFill>
              <w14:schemeClr w14:val="tx1"/>
            </w14:solidFill>
          </w14:textFill>
        </w:rPr>
        <w:t>四川省消防救援总队眉山支队“自然灾害应急能力提升工程”装备配备项目（照明、水域救援、保障及其他类）</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2"/>
          <w:highlight w:val="none"/>
          <w14:textFill>
            <w14:solidFill>
              <w14:schemeClr w14:val="tx1"/>
            </w14:solidFill>
          </w14:textFill>
        </w:rPr>
        <w:t>具体标包明细如下：</w:t>
      </w:r>
    </w:p>
    <w:tbl>
      <w:tblPr>
        <w:tblStyle w:val="59"/>
        <w:tblW w:w="512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0"/>
        <w:gridCol w:w="2664"/>
        <w:gridCol w:w="747"/>
        <w:gridCol w:w="712"/>
        <w:gridCol w:w="1160"/>
        <w:gridCol w:w="1758"/>
        <w:gridCol w:w="1203"/>
        <w:gridCol w:w="10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470" w:type="pct"/>
            <w:tcBorders>
              <w:tl2br w:val="nil"/>
              <w:tr2bl w:val="nil"/>
            </w:tcBorders>
            <w:noWrap/>
            <w:vAlign w:val="center"/>
          </w:tcPr>
          <w:p>
            <w:pPr>
              <w:spacing w:line="360" w:lineRule="auto"/>
              <w:jc w:val="center"/>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标包号</w:t>
            </w: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名称</w:t>
            </w:r>
          </w:p>
        </w:tc>
        <w:tc>
          <w:tcPr>
            <w:tcW w:w="365" w:type="pct"/>
            <w:tcBorders>
              <w:tl2br w:val="nil"/>
              <w:tr2bl w:val="nil"/>
            </w:tcBorders>
            <w:vAlign w:val="center"/>
          </w:tcPr>
          <w:p>
            <w:pPr>
              <w:spacing w:line="360" w:lineRule="auto"/>
              <w:jc w:val="center"/>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数量</w:t>
            </w:r>
          </w:p>
        </w:tc>
        <w:tc>
          <w:tcPr>
            <w:tcW w:w="348" w:type="pct"/>
            <w:tcBorders>
              <w:tl2br w:val="nil"/>
              <w:tr2bl w:val="nil"/>
            </w:tcBorders>
            <w:vAlign w:val="center"/>
          </w:tcPr>
          <w:p>
            <w:pPr>
              <w:spacing w:line="360" w:lineRule="auto"/>
              <w:jc w:val="center"/>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单位</w:t>
            </w:r>
          </w:p>
        </w:tc>
        <w:tc>
          <w:tcPr>
            <w:tcW w:w="568" w:type="pct"/>
            <w:tcBorders>
              <w:tl2br w:val="nil"/>
              <w:tr2bl w:val="nil"/>
            </w:tcBorders>
            <w:vAlign w:val="center"/>
          </w:tcPr>
          <w:p>
            <w:pPr>
              <w:spacing w:line="360" w:lineRule="auto"/>
              <w:jc w:val="center"/>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控制价</w:t>
            </w: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br w:type="textWrapping"/>
            </w: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万</w:t>
            </w: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元）</w:t>
            </w:r>
          </w:p>
        </w:tc>
        <w:tc>
          <w:tcPr>
            <w:tcW w:w="861" w:type="pct"/>
            <w:tcBorders>
              <w:tl2br w:val="nil"/>
              <w:tr2bl w:val="nil"/>
            </w:tcBorders>
            <w:vAlign w:val="center"/>
          </w:tcPr>
          <w:p>
            <w:pPr>
              <w:spacing w:line="360" w:lineRule="auto"/>
              <w:jc w:val="center"/>
              <w:rPr>
                <w:rFonts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交货期</w:t>
            </w:r>
          </w:p>
        </w:tc>
        <w:tc>
          <w:tcPr>
            <w:tcW w:w="589" w:type="pct"/>
            <w:tcBorders>
              <w:tl2br w:val="nil"/>
              <w:tr2bl w:val="nil"/>
            </w:tcBorders>
            <w:vAlign w:val="center"/>
          </w:tcPr>
          <w:p>
            <w:pPr>
              <w:spacing w:line="360" w:lineRule="auto"/>
              <w:jc w:val="center"/>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是否提供样品</w:t>
            </w:r>
          </w:p>
        </w:tc>
        <w:tc>
          <w:tcPr>
            <w:tcW w:w="492" w:type="pct"/>
            <w:tcBorders>
              <w:tl2br w:val="nil"/>
              <w:tr2bl w:val="nil"/>
            </w:tcBorders>
            <w:vAlign w:val="center"/>
          </w:tcPr>
          <w:p>
            <w:pPr>
              <w:spacing w:line="360" w:lineRule="auto"/>
              <w:jc w:val="cente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是否允许进口</w:t>
            </w: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470" w:type="pct"/>
            <w:vMerge w:val="restar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、照明类</w:t>
            </w:r>
          </w:p>
        </w:tc>
        <w:tc>
          <w:tcPr>
            <w:tcW w:w="1304" w:type="pct"/>
            <w:tcBorders>
              <w:tl2br w:val="nil"/>
              <w:tr2bl w:val="nil"/>
            </w:tcBorders>
            <w:vAlign w:val="center"/>
          </w:tcPr>
          <w:p>
            <w:pPr>
              <w:widowControl/>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移动照明灯</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restar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kern w:val="0"/>
                <w:sz w:val="24"/>
                <w:szCs w:val="24"/>
                <w:highlight w:val="none"/>
                <w14:textFill>
                  <w14:solidFill>
                    <w14:schemeClr w14:val="tx1"/>
                  </w14:solidFill>
                </w14:textFill>
              </w:rPr>
            </w:pPr>
          </w:p>
          <w:p>
            <w:pPr>
              <w:widowControl/>
              <w:spacing w:line="360" w:lineRule="auto"/>
              <w:jc w:val="center"/>
              <w:rPr>
                <w:rFonts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w:t>
            </w:r>
          </w:p>
          <w:p>
            <w:pPr>
              <w:spacing w:line="360" w:lineRule="auto"/>
              <w:ind w:firstLine="482"/>
              <w:jc w:val="center"/>
              <w:rPr>
                <w:rFonts w:asciiTheme="minorEastAsia" w:hAnsiTheme="minorEastAsia" w:eastAsiaTheme="minorEastAsia" w:cstheme="minorEastAsia"/>
                <w:color w:val="000000" w:themeColor="text1"/>
                <w:kern w:val="0"/>
                <w:sz w:val="24"/>
                <w:szCs w:val="24"/>
                <w:highlight w:val="none"/>
                <w14:textFill>
                  <w14:solidFill>
                    <w14:schemeClr w14:val="tx1"/>
                  </w14:solidFill>
                </w14:textFill>
              </w:rPr>
            </w:pPr>
          </w:p>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restar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合同签订后60天内。若遇不可抗力或其他特殊情况，经采购人确认后可适当延迟，最多不超过合同签订后120天。</w:t>
            </w: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restar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泛光灯</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月球灯</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宋体" w:hAnsi="宋体" w:cs="宋体"/>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救生照明线</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宋体" w:hAnsi="宋体" w:cs="宋体"/>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气柱灯</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宋体" w:hAnsi="宋体" w:cs="宋体"/>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静音发电机</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宋体" w:hAnsi="宋体" w:cs="宋体"/>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大功率发电机</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宋体" w:hAnsi="宋体" w:cs="宋体"/>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移动照明灯组</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宋体" w:hAnsi="宋体" w:cs="宋体"/>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小型移动照明灯组</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trPr>
        <w:tc>
          <w:tcPr>
            <w:tcW w:w="470" w:type="pct"/>
            <w:vMerge w:val="restar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bidi="ar"/>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二</w:t>
            </w:r>
            <w:r>
              <w:rPr>
                <w:rFonts w:hint="eastAsia" w:asciiTheme="minorEastAsia" w:hAnsiTheme="minorEastAsia" w:eastAsiaTheme="minorEastAsia" w:cstheme="minorEastAsia"/>
                <w:color w:val="000000" w:themeColor="text1"/>
                <w:sz w:val="24"/>
                <w:szCs w:val="24"/>
                <w:highlight w:val="none"/>
                <w:lang w:bidi="ar"/>
                <w14:textFill>
                  <w14:solidFill>
                    <w14:schemeClr w14:val="tx1"/>
                  </w14:solidFill>
                </w14:textFill>
              </w:rPr>
              <w:t>、水域救援类</w:t>
            </w:r>
          </w:p>
        </w:tc>
        <w:tc>
          <w:tcPr>
            <w:tcW w:w="1304" w:type="pct"/>
            <w:tcBorders>
              <w:tl2br w:val="nil"/>
              <w:tr2bl w:val="nil"/>
            </w:tcBorders>
            <w:vAlign w:val="center"/>
          </w:tcPr>
          <w:p>
            <w:pPr>
              <w:widowControl/>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救生抛投器</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23</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restar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kern w:val="0"/>
                <w:sz w:val="24"/>
                <w:szCs w:val="24"/>
                <w:highlight w:val="none"/>
                <w14:textFill>
                  <w14:solidFill>
                    <w14:schemeClr w14:val="tx1"/>
                  </w14:solidFill>
                </w14:textFill>
              </w:rPr>
            </w:pPr>
          </w:p>
          <w:p>
            <w:pPr>
              <w:widowControl/>
              <w:spacing w:line="360" w:lineRule="auto"/>
              <w:jc w:val="center"/>
              <w:rPr>
                <w:rFonts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w:t>
            </w:r>
          </w:p>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充气救援艇（橡皮艇）</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艘</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硬质救援艇（冲锋舟）</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艘</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舷外机（含油箱防护罩）</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艘</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摩托艇</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艘</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水下侧扫声呐</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水下前视声呐</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便携式流速仪</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水上救生机器人</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救援桨板</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绳索救援套装</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锚固装备套装</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水面漂浮救生绳（200米）</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定位浮标</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充气式上浮系统</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7"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可漂浮救生担架</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副</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3"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救生拉杆</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滚钩</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水下摄像机</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潜水全面罩</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干式潜水衣</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件</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湿式潜水衣</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件</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3"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潜水浮力装置</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潜水气瓶</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30</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潜水调节器（含附件）</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9"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潜水电脑表</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管供式潜水装具</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水下红外夜视仪</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水下金属探测仪</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水下起吊工具组</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充气式救生浮板</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潜水装备套装</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橡皮艇</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艘</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排水机器人</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c>
          <w:tcPr>
            <w:tcW w:w="589" w:type="pct"/>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restar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、保障类</w:t>
            </w:r>
          </w:p>
        </w:tc>
        <w:tc>
          <w:tcPr>
            <w:tcW w:w="1304" w:type="pct"/>
            <w:tcBorders>
              <w:tl2br w:val="nil"/>
              <w:tr2bl w:val="nil"/>
            </w:tcBorders>
            <w:vAlign w:val="center"/>
          </w:tcPr>
          <w:p>
            <w:pPr>
              <w:widowControl/>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充气帐篷（40m</w:t>
            </w:r>
            <w:r>
              <w:rPr>
                <w:rFonts w:hint="eastAsia" w:asciiTheme="minorEastAsia" w:hAnsiTheme="minorEastAsia" w:eastAsiaTheme="minorEastAsia" w:cstheme="minorEastAsia"/>
                <w:color w:val="000000" w:themeColor="text1"/>
                <w:sz w:val="24"/>
                <w:szCs w:val="24"/>
                <w:highlight w:val="none"/>
                <w:vertAlign w:val="superscript"/>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restar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p>
            <w:pPr>
              <w:widowControl/>
              <w:spacing w:line="360" w:lineRule="auto"/>
              <w:jc w:val="center"/>
              <w:rPr>
                <w:rFonts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98</w:t>
            </w:r>
          </w:p>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充气帐篷（60m</w:t>
            </w:r>
            <w:r>
              <w:rPr>
                <w:rFonts w:hint="eastAsia" w:asciiTheme="minorEastAsia" w:hAnsiTheme="minorEastAsia" w:eastAsiaTheme="minorEastAsia" w:cstheme="minorEastAsia"/>
                <w:color w:val="000000" w:themeColor="text1"/>
                <w:sz w:val="24"/>
                <w:szCs w:val="24"/>
                <w:highlight w:val="none"/>
                <w:vertAlign w:val="superscript"/>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充气帐篷（100m</w:t>
            </w:r>
            <w:r>
              <w:rPr>
                <w:rFonts w:hint="eastAsia" w:asciiTheme="minorEastAsia" w:hAnsiTheme="minorEastAsia" w:eastAsiaTheme="minorEastAsia" w:cstheme="minorEastAsia"/>
                <w:color w:val="000000" w:themeColor="text1"/>
                <w:sz w:val="24"/>
                <w:szCs w:val="24"/>
                <w:highlight w:val="none"/>
                <w:vertAlign w:val="superscript"/>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单人洗消帐篷</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简易洗消喷淋器</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洗消帐篷</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公众洗消站</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航空运输箱</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排用炊事单元</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便携式推车</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restar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、其他类</w:t>
            </w:r>
          </w:p>
        </w:tc>
        <w:tc>
          <w:tcPr>
            <w:tcW w:w="1304" w:type="pct"/>
            <w:tcBorders>
              <w:tl2br w:val="nil"/>
              <w:tr2bl w:val="nil"/>
            </w:tcBorders>
            <w:vAlign w:val="center"/>
          </w:tcPr>
          <w:p>
            <w:pPr>
              <w:widowControl/>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轮式装载机</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restart"/>
            <w:tcBorders>
              <w:tl2br w:val="nil"/>
              <w:tr2bl w:val="nil"/>
            </w:tcBorders>
            <w:noWrap/>
            <w:vAlign w:val="center"/>
          </w:tcPr>
          <w:p>
            <w:pPr>
              <w:widowControl/>
              <w:spacing w:line="360" w:lineRule="auto"/>
              <w:jc w:val="center"/>
              <w:rPr>
                <w:rFonts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97</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77</w:t>
            </w:r>
          </w:p>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restar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restar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单兵携行包（箱）</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冰域呼吸器组件</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冰面救援滑板</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冰面行动辅助套装</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千斤顶</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牵拉器</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堵漏工具组</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p>
        </w:tc>
        <w:tc>
          <w:tcPr>
            <w:tcW w:w="712" w:type="dxa"/>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470"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04" w:type="pct"/>
            <w:tcBorders>
              <w:tl2br w:val="nil"/>
              <w:tr2bl w:val="nil"/>
            </w:tcBorders>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高压气瓶</w:t>
            </w:r>
          </w:p>
        </w:tc>
        <w:tc>
          <w:tcPr>
            <w:tcW w:w="365" w:type="pct"/>
            <w:tcBorders>
              <w:tl2br w:val="nil"/>
              <w:tr2bl w:val="nil"/>
            </w:tcBorders>
            <w:noWrap/>
            <w:vAlign w:val="center"/>
          </w:tcPr>
          <w:p>
            <w:pP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w:t>
            </w:r>
          </w:p>
        </w:tc>
        <w:tc>
          <w:tcPr>
            <w:tcW w:w="712" w:type="dxa"/>
            <w:tcBorders>
              <w:tl2br w:val="nil"/>
              <w:tr2bl w:val="nil"/>
            </w:tcBorders>
            <w:noWrap/>
            <w:vAlign w:val="top"/>
          </w:tcPr>
          <w:p>
            <w:pP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568"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61"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89" w:type="pct"/>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92" w:type="pct"/>
            <w:vMerge w:val="continue"/>
            <w:tcBorders>
              <w:tl2br w:val="nil"/>
              <w:tr2bl w:val="nil"/>
            </w:tcBorders>
            <w:noWrap/>
            <w:vAlign w:val="center"/>
          </w:tcPr>
          <w:p>
            <w:pPr>
              <w:spacing w:line="360" w:lineRule="auto"/>
              <w:ind w:firstLine="482"/>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pPr>
        <w:ind w:left="420" w:firstLine="482"/>
        <w:jc w:val="left"/>
        <w:rPr>
          <w:rFonts w:ascii="宋体" w:hAnsi="宋体" w:cs="宋体"/>
          <w:bCs/>
          <w:color w:val="000000" w:themeColor="text1"/>
          <w:sz w:val="24"/>
          <w:szCs w:val="22"/>
          <w:highlight w:val="none"/>
          <w14:textFill>
            <w14:solidFill>
              <w14:schemeClr w14:val="tx1"/>
            </w14:solidFill>
          </w14:textFill>
        </w:rPr>
      </w:pPr>
    </w:p>
    <w:p>
      <w:pPr>
        <w:spacing w:line="348" w:lineRule="auto"/>
        <w:ind w:firstLine="420" w:firstLineChars="175"/>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2、</w:t>
      </w:r>
      <w:r>
        <w:rPr>
          <w:rFonts w:hint="eastAsia" w:ascii="宋体" w:hAnsi="宋体" w:cs="宋体"/>
          <w:color w:val="000000" w:themeColor="text1"/>
          <w:kern w:val="0"/>
          <w:sz w:val="24"/>
          <w:highlight w:val="none"/>
          <w14:textFill>
            <w14:solidFill>
              <w14:schemeClr w14:val="tx1"/>
            </w14:solidFill>
          </w14:textFill>
        </w:rPr>
        <w:t>本项目采购预</w:t>
      </w:r>
      <w:r>
        <w:rPr>
          <w:rFonts w:hint="eastAsia" w:ascii="宋体" w:hAnsi="宋体" w:cs="宋体"/>
          <w:color w:val="000000" w:themeColor="text1"/>
          <w:kern w:val="0"/>
          <w:sz w:val="24"/>
          <w:szCs w:val="24"/>
          <w:highlight w:val="none"/>
          <w14:textFill>
            <w14:solidFill>
              <w14:schemeClr w14:val="tx1"/>
            </w14:solidFill>
          </w14:textFill>
        </w:rPr>
        <w:t>算：¥</w:t>
      </w:r>
      <w:r>
        <w:rPr>
          <w:rFonts w:hint="eastAsia" w:ascii="宋体" w:hAnsi="宋体" w:cs="宋体"/>
          <w:color w:val="000000" w:themeColor="text1"/>
          <w:kern w:val="0"/>
          <w:sz w:val="24"/>
          <w:highlight w:val="none"/>
          <w14:textFill>
            <w14:solidFill>
              <w14:schemeClr w14:val="tx1"/>
            </w14:solidFill>
          </w14:textFill>
        </w:rPr>
        <w:t>662.6万元（大写：陆佰陆拾贰万陆仟元整）；最高限价：¥662.6万元（大写：陆佰陆拾贰万陆仟元整）；</w:t>
      </w:r>
    </w:p>
    <w:p>
      <w:pPr>
        <w:spacing w:line="348" w:lineRule="auto"/>
        <w:ind w:firstLine="420" w:firstLineChars="175"/>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3、交货地点：采购人</w:t>
      </w:r>
      <w:r>
        <w:rPr>
          <w:rFonts w:hint="eastAsia" w:ascii="宋体" w:hAnsi="宋体" w:cs="宋体"/>
          <w:color w:val="000000" w:themeColor="text1"/>
          <w:sz w:val="24"/>
          <w:szCs w:val="24"/>
          <w:highlight w:val="none"/>
          <w14:textFill>
            <w14:solidFill>
              <w14:schemeClr w14:val="tx1"/>
            </w14:solidFill>
          </w14:textFill>
        </w:rPr>
        <w:t>指定眉山市市内地点；</w:t>
      </w:r>
    </w:p>
    <w:p>
      <w:pPr>
        <w:spacing w:line="348" w:lineRule="auto"/>
        <w:ind w:firstLine="420" w:firstLineChars="175"/>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4、保修期：不少于3年（技术参数另有要求的除外）。保修期期内提供7×24小时维修电话服务。易损配件及零件储备期不少于5年。</w:t>
      </w:r>
    </w:p>
    <w:p>
      <w:pPr>
        <w:spacing w:line="348" w:lineRule="auto"/>
        <w:ind w:firstLine="420" w:firstLineChars="175"/>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5、本项目需要落实的政府采购政策：政府采购促进中小企业发展政策、政府采购支持监狱企业发展政策、促进残疾人就业政府采购政策、</w:t>
      </w:r>
      <w:r>
        <w:rPr>
          <w:rFonts w:hint="eastAsia" w:ascii="宋体" w:hAnsi="宋体" w:cs="宋体"/>
          <w:color w:val="000000" w:themeColor="text1"/>
          <w:sz w:val="24"/>
          <w:szCs w:val="24"/>
          <w:highlight w:val="none"/>
          <w:lang w:val="zh-CN"/>
          <w14:textFill>
            <w14:solidFill>
              <w14:schemeClr w14:val="tx1"/>
            </w14:solidFill>
          </w14:textFill>
        </w:rPr>
        <w:t>扶持不发达地区和少数民族地区</w:t>
      </w:r>
      <w:r>
        <w:rPr>
          <w:rFonts w:hint="eastAsia" w:ascii="宋体" w:hAnsi="宋体" w:cs="宋体"/>
          <w:color w:val="000000" w:themeColor="text1"/>
          <w:sz w:val="24"/>
          <w:szCs w:val="24"/>
          <w:highlight w:val="none"/>
          <w14:textFill>
            <w14:solidFill>
              <w14:schemeClr w14:val="tx1"/>
            </w14:solidFill>
          </w14:textFill>
        </w:rPr>
        <w:t>政府采购政策、政府采购优先购买节能产品政策、政府采购优先购买环</w:t>
      </w:r>
      <w:bookmarkStart w:id="381" w:name="_GoBack"/>
      <w:bookmarkEnd w:id="381"/>
      <w:r>
        <w:rPr>
          <w:rFonts w:hint="eastAsia" w:ascii="宋体" w:hAnsi="宋体" w:cs="宋体"/>
          <w:color w:val="000000" w:themeColor="text1"/>
          <w:sz w:val="24"/>
          <w:szCs w:val="24"/>
          <w:highlight w:val="none"/>
          <w14:textFill>
            <w14:solidFill>
              <w14:schemeClr w14:val="tx1"/>
            </w14:solidFill>
          </w14:textFill>
        </w:rPr>
        <w:t>境标志产品政策；</w:t>
      </w:r>
    </w:p>
    <w:p>
      <w:pPr>
        <w:spacing w:line="348" w:lineRule="auto"/>
        <w:ind w:left="420" w:firstLine="482"/>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6、采购项目品目编码：A02370100消防设备；</w:t>
      </w:r>
    </w:p>
    <w:p>
      <w:pPr>
        <w:spacing w:line="348" w:lineRule="auto"/>
        <w:ind w:left="420" w:firstLine="482"/>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7、具体技术需求及要求详见招标文件第六章。</w:t>
      </w:r>
    </w:p>
    <w:p>
      <w:pPr>
        <w:spacing w:line="348" w:lineRule="auto"/>
        <w:ind w:firstLine="241" w:firstLineChars="1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szCs w:val="24"/>
          <w:highlight w:val="none"/>
          <w14:textFill>
            <w14:solidFill>
              <w14:schemeClr w14:val="tx1"/>
            </w14:solidFill>
          </w14:textFill>
        </w:rPr>
        <w:t>投标人参加本次政府采购活动应具备下列条件：</w:t>
      </w:r>
    </w:p>
    <w:p>
      <w:pPr>
        <w:tabs>
          <w:tab w:val="left" w:pos="900"/>
        </w:tabs>
        <w:snapToGrid w:val="0"/>
        <w:spacing w:line="348" w:lineRule="auto"/>
        <w:ind w:firstLine="361" w:firstLineChars="150"/>
        <w:jc w:val="left"/>
        <w:rPr>
          <w:rFonts w:ascii="宋体" w:hAnsi="宋体" w:cs="宋体"/>
          <w:b/>
          <w:color w:val="000000" w:themeColor="text1"/>
          <w:sz w:val="24"/>
          <w:szCs w:val="28"/>
          <w:highlight w:val="none"/>
          <w14:textFill>
            <w14:solidFill>
              <w14:schemeClr w14:val="tx1"/>
            </w14:solidFill>
          </w14:textFill>
        </w:rPr>
      </w:pPr>
      <w:r>
        <w:rPr>
          <w:rFonts w:hint="eastAsia" w:ascii="宋体" w:hAnsi="宋体" w:cs="宋体"/>
          <w:b/>
          <w:color w:val="000000" w:themeColor="text1"/>
          <w:sz w:val="24"/>
          <w:szCs w:val="28"/>
          <w:highlight w:val="none"/>
          <w14:textFill>
            <w14:solidFill>
              <w14:schemeClr w14:val="tx1"/>
            </w14:solidFill>
          </w14:textFill>
        </w:rPr>
        <w:t xml:space="preserve"> </w:t>
      </w:r>
      <w:r>
        <w:rPr>
          <w:rFonts w:hint="eastAsia" w:ascii="宋体" w:hAnsi="宋体" w:cs="宋体"/>
          <w:bCs/>
          <w:color w:val="000000" w:themeColor="text1"/>
          <w:sz w:val="24"/>
          <w:szCs w:val="28"/>
          <w:highlight w:val="none"/>
          <w14:textFill>
            <w14:solidFill>
              <w14:schemeClr w14:val="tx1"/>
            </w14:solidFill>
          </w14:textFill>
        </w:rPr>
        <w:t>详见招标文件第四章。</w:t>
      </w:r>
    </w:p>
    <w:p>
      <w:pPr>
        <w:tabs>
          <w:tab w:val="left" w:pos="900"/>
        </w:tabs>
        <w:snapToGrid w:val="0"/>
        <w:spacing w:line="348" w:lineRule="auto"/>
        <w:ind w:firstLine="361" w:firstLineChars="150"/>
        <w:jc w:val="left"/>
        <w:rPr>
          <w:rFonts w:ascii="宋体" w:hAnsi="宋体" w:cs="宋体"/>
          <w:b/>
          <w:color w:val="000000" w:themeColor="text1"/>
          <w:sz w:val="24"/>
          <w:szCs w:val="28"/>
          <w:highlight w:val="none"/>
          <w14:textFill>
            <w14:solidFill>
              <w14:schemeClr w14:val="tx1"/>
            </w14:solidFill>
          </w14:textFill>
        </w:rPr>
      </w:pPr>
      <w:r>
        <w:rPr>
          <w:rFonts w:hint="eastAsia" w:ascii="宋体" w:hAnsi="宋体" w:cs="宋体"/>
          <w:b/>
          <w:color w:val="000000" w:themeColor="text1"/>
          <w:sz w:val="24"/>
          <w:szCs w:val="28"/>
          <w:highlight w:val="none"/>
          <w14:textFill>
            <w14:solidFill>
              <w14:schemeClr w14:val="tx1"/>
            </w14:solidFill>
          </w14:textFill>
        </w:rPr>
        <w:t>六、禁止参加本次采购活动的投标人</w:t>
      </w:r>
    </w:p>
    <w:p>
      <w:pPr>
        <w:widowControl/>
        <w:spacing w:line="348"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根据《关于在政府采购活动中查询及使用信用记录有关问题的通知》（财库〔2016〕125号）的要求，采购代理机构将通过“信用中国”网站（www.creditchina.gov.cn）、“中国政府采购网”网站（www.ccgp.gov.cn）等渠道查询投标人在采购公告发布之日前的信用记录并保存信用记录结果网页截图，拒绝列入失信被执行人名单、重大税收违法案件当事人名单、政府采购严重违法失信行为记录名单中的投标人报名参加本项目的采购活动（以联合体形式参加本项目采购活动，联合体成员存在不良信用记录的，视同联合体存在不良信用记录）。</w:t>
      </w:r>
    </w:p>
    <w:p>
      <w:pPr>
        <w:spacing w:line="348"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为采购项目提供整体设计、规范编制或者项目管理、监理、检测等服务的投标人，不得参加本采购项目。投标人为采购人、采购代理机构在确定采购需求、编制招标文件过程中提供咨询论证，其提供的咨询论证意见成为招标文件中规定的投标人资格条件、技术服务商务要求、评审因素和标准、采购合同等实质性内容条款的，视同为采购项目提供规范编制。</w:t>
      </w:r>
    </w:p>
    <w:p>
      <w:pPr>
        <w:spacing w:line="348"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七、招标文件发售时间、地点：</w:t>
      </w:r>
    </w:p>
    <w:p>
      <w:pPr>
        <w:spacing w:line="348" w:lineRule="auto"/>
        <w:ind w:firstLine="480" w:firstLineChars="20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招标文件自</w:t>
      </w:r>
      <w:r>
        <w:rPr>
          <w:rFonts w:hint="eastAsia" w:ascii="宋体" w:hAnsi="宋体" w:cs="宋体"/>
          <w:bCs/>
          <w:color w:val="000000" w:themeColor="text1"/>
          <w:sz w:val="24"/>
          <w:highlight w:val="none"/>
          <w:u w:val="single"/>
          <w14:textFill>
            <w14:solidFill>
              <w14:schemeClr w14:val="tx1"/>
            </w14:solidFill>
          </w14:textFill>
        </w:rPr>
        <w:t>2024</w:t>
      </w:r>
      <w:r>
        <w:rPr>
          <w:rFonts w:hint="eastAsia" w:ascii="宋体" w:hAnsi="宋体" w:cs="宋体"/>
          <w:bCs/>
          <w:color w:val="000000" w:themeColor="text1"/>
          <w:sz w:val="24"/>
          <w:highlight w:val="none"/>
          <w:u w:val="single"/>
          <w:lang w:val="zh-CN"/>
          <w14:textFill>
            <w14:solidFill>
              <w14:schemeClr w14:val="tx1"/>
            </w14:solidFill>
          </w14:textFill>
        </w:rPr>
        <w:t>年</w:t>
      </w:r>
      <w:r>
        <w:rPr>
          <w:rFonts w:hint="eastAsia" w:ascii="宋体" w:hAnsi="宋体" w:cs="宋体"/>
          <w:bCs/>
          <w:color w:val="000000" w:themeColor="text1"/>
          <w:sz w:val="24"/>
          <w:highlight w:val="none"/>
          <w:u w:val="single"/>
          <w:lang w:val="en-US" w:eastAsia="zh-CN"/>
          <w14:textFill>
            <w14:solidFill>
              <w14:schemeClr w14:val="tx1"/>
            </w14:solidFill>
          </w14:textFill>
        </w:rPr>
        <w:t>5</w:t>
      </w:r>
      <w:r>
        <w:rPr>
          <w:rFonts w:hint="eastAsia" w:ascii="宋体" w:hAnsi="宋体" w:cs="宋体"/>
          <w:bCs/>
          <w:color w:val="000000" w:themeColor="text1"/>
          <w:sz w:val="24"/>
          <w:highlight w:val="none"/>
          <w:u w:val="single"/>
          <w14:textFill>
            <w14:solidFill>
              <w14:schemeClr w14:val="tx1"/>
            </w14:solidFill>
          </w14:textFill>
        </w:rPr>
        <w:t>月</w:t>
      </w:r>
      <w:r>
        <w:rPr>
          <w:rFonts w:hint="eastAsia" w:ascii="宋体" w:hAnsi="宋体" w:cs="宋体"/>
          <w:bCs/>
          <w:color w:val="000000" w:themeColor="text1"/>
          <w:sz w:val="24"/>
          <w:highlight w:val="none"/>
          <w:u w:val="single"/>
          <w:lang w:val="en-US" w:eastAsia="zh-CN"/>
          <w14:textFill>
            <w14:solidFill>
              <w14:schemeClr w14:val="tx1"/>
            </w14:solidFill>
          </w14:textFill>
        </w:rPr>
        <w:t>6</w:t>
      </w:r>
      <w:r>
        <w:rPr>
          <w:rFonts w:hint="eastAsia" w:ascii="宋体" w:hAnsi="宋体" w:cs="宋体"/>
          <w:bCs/>
          <w:color w:val="000000" w:themeColor="text1"/>
          <w:sz w:val="24"/>
          <w:highlight w:val="none"/>
          <w:u w:val="single"/>
          <w:lang w:val="zh-CN"/>
          <w14:textFill>
            <w14:solidFill>
              <w14:schemeClr w14:val="tx1"/>
            </w14:solidFill>
          </w14:textFill>
        </w:rPr>
        <w:t>日至</w:t>
      </w:r>
      <w:r>
        <w:rPr>
          <w:rFonts w:hint="eastAsia" w:ascii="宋体" w:hAnsi="宋体" w:cs="宋体"/>
          <w:bCs/>
          <w:color w:val="000000" w:themeColor="text1"/>
          <w:sz w:val="24"/>
          <w:highlight w:val="none"/>
          <w:u w:val="single"/>
          <w14:textFill>
            <w14:solidFill>
              <w14:schemeClr w14:val="tx1"/>
            </w14:solidFill>
          </w14:textFill>
        </w:rPr>
        <w:t>2024</w:t>
      </w:r>
      <w:r>
        <w:rPr>
          <w:rFonts w:hint="eastAsia" w:ascii="宋体" w:hAnsi="宋体" w:cs="宋体"/>
          <w:bCs/>
          <w:color w:val="000000" w:themeColor="text1"/>
          <w:sz w:val="24"/>
          <w:highlight w:val="none"/>
          <w:u w:val="single"/>
          <w:lang w:val="zh-CN"/>
          <w14:textFill>
            <w14:solidFill>
              <w14:schemeClr w14:val="tx1"/>
            </w14:solidFill>
          </w14:textFill>
        </w:rPr>
        <w:t>年</w:t>
      </w:r>
      <w:r>
        <w:rPr>
          <w:rFonts w:hint="eastAsia" w:ascii="宋体" w:hAnsi="宋体" w:cs="宋体"/>
          <w:bCs/>
          <w:color w:val="000000" w:themeColor="text1"/>
          <w:sz w:val="24"/>
          <w:highlight w:val="none"/>
          <w:u w:val="single"/>
          <w:lang w:val="en-US" w:eastAsia="zh-CN"/>
          <w14:textFill>
            <w14:solidFill>
              <w14:schemeClr w14:val="tx1"/>
            </w14:solidFill>
          </w14:textFill>
        </w:rPr>
        <w:t>5</w:t>
      </w:r>
      <w:r>
        <w:rPr>
          <w:rFonts w:hint="eastAsia" w:ascii="宋体" w:hAnsi="宋体" w:cs="宋体"/>
          <w:bCs/>
          <w:color w:val="000000" w:themeColor="text1"/>
          <w:sz w:val="24"/>
          <w:highlight w:val="none"/>
          <w:u w:val="single"/>
          <w14:textFill>
            <w14:solidFill>
              <w14:schemeClr w14:val="tx1"/>
            </w14:solidFill>
          </w14:textFill>
        </w:rPr>
        <w:t>月</w:t>
      </w:r>
      <w:r>
        <w:rPr>
          <w:rFonts w:hint="eastAsia" w:ascii="宋体" w:hAnsi="宋体" w:cs="宋体"/>
          <w:bCs/>
          <w:color w:val="000000" w:themeColor="text1"/>
          <w:sz w:val="24"/>
          <w:highlight w:val="none"/>
          <w:u w:val="single"/>
          <w:lang w:val="en-US" w:eastAsia="zh-CN"/>
          <w14:textFill>
            <w14:solidFill>
              <w14:schemeClr w14:val="tx1"/>
            </w14:solidFill>
          </w14:textFill>
        </w:rPr>
        <w:t>10</w:t>
      </w:r>
      <w:r>
        <w:rPr>
          <w:rFonts w:hint="eastAsia" w:ascii="宋体" w:hAnsi="宋体" w:cs="宋体"/>
          <w:bCs/>
          <w:color w:val="000000" w:themeColor="text1"/>
          <w:sz w:val="24"/>
          <w:highlight w:val="none"/>
          <w:u w:val="single"/>
          <w:lang w:val="zh-CN"/>
          <w14:textFill>
            <w14:solidFill>
              <w14:schemeClr w14:val="tx1"/>
            </w14:solidFill>
          </w14:textFill>
        </w:rPr>
        <w:t>日</w:t>
      </w:r>
      <w:r>
        <w:rPr>
          <w:rFonts w:hint="eastAsia" w:ascii="宋体" w:hAnsi="宋体" w:cs="宋体"/>
          <w:bCs/>
          <w:color w:val="000000" w:themeColor="text1"/>
          <w:sz w:val="24"/>
          <w:highlight w:val="none"/>
          <w:lang w:val="zh-CN"/>
          <w14:textFill>
            <w14:solidFill>
              <w14:schemeClr w14:val="tx1"/>
            </w14:solidFill>
          </w14:textFill>
        </w:rPr>
        <w:t>，每天</w:t>
      </w:r>
      <w:r>
        <w:rPr>
          <w:rFonts w:hint="eastAsia" w:ascii="宋体" w:hAnsi="宋体" w:cs="宋体"/>
          <w:bCs/>
          <w:color w:val="000000" w:themeColor="text1"/>
          <w:sz w:val="24"/>
          <w:highlight w:val="none"/>
          <w14:textFill>
            <w14:solidFill>
              <w14:schemeClr w14:val="tx1"/>
            </w14:solidFill>
          </w14:textFill>
        </w:rPr>
        <w:t>09:00</w:t>
      </w:r>
      <w:r>
        <w:rPr>
          <w:rFonts w:hint="eastAsia" w:ascii="宋体" w:hAnsi="宋体" w:cs="宋体"/>
          <w:bCs/>
          <w:color w:val="000000" w:themeColor="text1"/>
          <w:sz w:val="24"/>
          <w:highlight w:val="none"/>
          <w:lang w:val="zh-CN"/>
          <w14:textFill>
            <w14:solidFill>
              <w14:schemeClr w14:val="tx1"/>
            </w14:solidFill>
          </w14:textFill>
        </w:rPr>
        <w:t>～12:00；1</w:t>
      </w:r>
      <w:r>
        <w:rPr>
          <w:rFonts w:hint="eastAsia" w:ascii="宋体" w:hAnsi="宋体" w:cs="宋体"/>
          <w:bCs/>
          <w:color w:val="000000" w:themeColor="text1"/>
          <w:sz w:val="24"/>
          <w:highlight w:val="none"/>
          <w14:textFill>
            <w14:solidFill>
              <w14:schemeClr w14:val="tx1"/>
            </w14:solidFill>
          </w14:textFill>
        </w:rPr>
        <w:t>4</w:t>
      </w:r>
      <w:r>
        <w:rPr>
          <w:rFonts w:hint="eastAsia" w:ascii="宋体" w:hAnsi="宋体" w:cs="宋体"/>
          <w:bCs/>
          <w:color w:val="000000" w:themeColor="text1"/>
          <w:sz w:val="24"/>
          <w:highlight w:val="none"/>
          <w:lang w:val="zh-CN"/>
          <w14:textFill>
            <w14:solidFill>
              <w14:schemeClr w14:val="tx1"/>
            </w14:solidFill>
          </w14:textFill>
        </w:rPr>
        <w:t>:00～17:00（节假日除外）在众聚能国际建工有限公司购买（</w:t>
      </w:r>
      <w:r>
        <w:rPr>
          <w:rFonts w:hint="eastAsia" w:ascii="宋体" w:hAnsi="宋体" w:cs="宋体"/>
          <w:bCs/>
          <w:color w:val="000000" w:themeColor="text1"/>
          <w:sz w:val="24"/>
          <w:highlight w:val="none"/>
          <w14:textFill>
            <w14:solidFill>
              <w14:schemeClr w14:val="tx1"/>
            </w14:solidFill>
          </w14:textFill>
        </w:rPr>
        <w:t>或网上购买</w:t>
      </w:r>
      <w:r>
        <w:rPr>
          <w:rFonts w:hint="eastAsia" w:ascii="宋体" w:hAnsi="宋体" w:cs="宋体"/>
          <w:bCs/>
          <w:color w:val="000000" w:themeColor="text1"/>
          <w:sz w:val="24"/>
          <w:highlight w:val="none"/>
          <w:lang w:val="zh-CN"/>
          <w14:textFill>
            <w14:solidFill>
              <w14:schemeClr w14:val="tx1"/>
            </w14:solidFill>
          </w14:textFill>
        </w:rPr>
        <w:t>）。</w:t>
      </w:r>
    </w:p>
    <w:p>
      <w:pPr>
        <w:spacing w:line="348" w:lineRule="auto"/>
        <w:ind w:firstLine="480" w:firstLineChars="200"/>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招标文件售价</w:t>
      </w:r>
      <w:r>
        <w:rPr>
          <w:rFonts w:hint="eastAsia" w:ascii="宋体" w:hAnsi="宋体" w:cs="宋体"/>
          <w:bCs/>
          <w:color w:val="000000" w:themeColor="text1"/>
          <w:spacing w:val="-20"/>
          <w:sz w:val="24"/>
          <w:highlight w:val="none"/>
          <w:lang w:val="zh-CN"/>
          <w14:textFill>
            <w14:solidFill>
              <w14:schemeClr w14:val="tx1"/>
            </w14:solidFill>
          </w14:textFill>
        </w:rPr>
        <w:t>：人</w:t>
      </w:r>
      <w:r>
        <w:rPr>
          <w:rFonts w:hint="eastAsia" w:ascii="宋体" w:hAnsi="宋体" w:cs="宋体"/>
          <w:color w:val="000000" w:themeColor="text1"/>
          <w:sz w:val="24"/>
          <w:szCs w:val="24"/>
          <w:highlight w:val="none"/>
          <w:lang w:val="zh-CN"/>
          <w14:textFill>
            <w14:solidFill>
              <w14:schemeClr w14:val="tx1"/>
            </w14:solidFill>
          </w14:textFill>
        </w:rPr>
        <w:t>民币</w:t>
      </w:r>
      <w:r>
        <w:rPr>
          <w:rFonts w:hint="eastAsia" w:ascii="宋体" w:hAnsi="宋体" w:cs="宋体"/>
          <w:color w:val="000000" w:themeColor="text1"/>
          <w:sz w:val="24"/>
          <w:szCs w:val="24"/>
          <w:highlight w:val="none"/>
          <w14:textFill>
            <w14:solidFill>
              <w14:schemeClr w14:val="tx1"/>
            </w14:solidFill>
          </w14:textFill>
        </w:rPr>
        <w:t>300</w:t>
      </w:r>
      <w:r>
        <w:rPr>
          <w:rFonts w:hint="eastAsia" w:ascii="宋体" w:hAnsi="宋体" w:cs="宋体"/>
          <w:color w:val="000000" w:themeColor="text1"/>
          <w:sz w:val="24"/>
          <w:szCs w:val="24"/>
          <w:highlight w:val="none"/>
          <w:lang w:val="zh-CN"/>
          <w14:textFill>
            <w14:solidFill>
              <w14:schemeClr w14:val="tx1"/>
            </w14:solidFill>
          </w14:textFill>
        </w:rPr>
        <w:t>元/包</w:t>
      </w:r>
      <w:r>
        <w:rPr>
          <w:rFonts w:hint="eastAsia" w:ascii="宋体" w:hAnsi="宋体" w:cs="宋体"/>
          <w:bCs/>
          <w:color w:val="000000" w:themeColor="text1"/>
          <w:sz w:val="24"/>
          <w:highlight w:val="none"/>
          <w:lang w:val="zh-CN"/>
          <w14:textFill>
            <w14:solidFill>
              <w14:schemeClr w14:val="tx1"/>
            </w14:solidFill>
          </w14:textFill>
        </w:rPr>
        <w:t>（招标文件售后不退, 投标资格不能转让）。</w:t>
      </w:r>
    </w:p>
    <w:p>
      <w:pPr>
        <w:spacing w:line="348"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注：（1）选择现场方式报名的投标人购买招标文件必须携带以下资料：1、</w:t>
      </w:r>
      <w:r>
        <w:rPr>
          <w:rFonts w:hint="eastAsia" w:ascii="宋体" w:hAnsi="宋体" w:cs="宋体"/>
          <w:color w:val="000000" w:themeColor="text1"/>
          <w:sz w:val="24"/>
          <w:szCs w:val="28"/>
          <w:highlight w:val="none"/>
          <w14:textFill>
            <w14:solidFill>
              <w14:schemeClr w14:val="tx1"/>
            </w14:solidFill>
          </w14:textFill>
        </w:rPr>
        <w:t>投标人为法人或者其他组织的，只需提供单位介绍信</w:t>
      </w:r>
      <w:r>
        <w:rPr>
          <w:rFonts w:hint="eastAsia" w:ascii="宋体" w:hAnsi="宋体" w:cs="宋体"/>
          <w:color w:val="000000" w:themeColor="text1"/>
          <w:sz w:val="24"/>
          <w:szCs w:val="24"/>
          <w:highlight w:val="none"/>
          <w14:textFill>
            <w14:solidFill>
              <w14:schemeClr w14:val="tx1"/>
            </w14:solidFill>
          </w14:textFill>
        </w:rPr>
        <w:t>（需注明项目名称、项目编号及购买包号）</w:t>
      </w:r>
      <w:r>
        <w:rPr>
          <w:rFonts w:hint="eastAsia" w:ascii="宋体" w:hAnsi="宋体" w:cs="宋体"/>
          <w:color w:val="000000" w:themeColor="text1"/>
          <w:sz w:val="24"/>
          <w:szCs w:val="28"/>
          <w:highlight w:val="none"/>
          <w14:textFill>
            <w14:solidFill>
              <w14:schemeClr w14:val="tx1"/>
            </w14:solidFill>
          </w14:textFill>
        </w:rPr>
        <w:t>、经办人身份证明</w:t>
      </w:r>
      <w:r>
        <w:rPr>
          <w:rFonts w:hint="eastAsia" w:ascii="宋体" w:hAnsi="宋体" w:cs="宋体"/>
          <w:color w:val="000000" w:themeColor="text1"/>
          <w:sz w:val="24"/>
          <w:szCs w:val="24"/>
          <w:highlight w:val="none"/>
          <w14:textFill>
            <w14:solidFill>
              <w14:schemeClr w14:val="tx1"/>
            </w14:solidFill>
          </w14:textFill>
        </w:rPr>
        <w:t>；注：单位介绍信及经办人身份证复印件须加盖单位鲜章。</w:t>
      </w:r>
      <w:r>
        <w:rPr>
          <w:rFonts w:hint="eastAsia" w:ascii="宋体" w:hAnsi="宋体" w:cs="宋体"/>
          <w:color w:val="000000" w:themeColor="text1"/>
          <w:sz w:val="24"/>
          <w:highlight w:val="none"/>
          <w14:textFill>
            <w14:solidFill>
              <w14:schemeClr w14:val="tx1"/>
            </w14:solidFill>
          </w14:textFill>
        </w:rPr>
        <w:t>2、投标人为自然人的，只需提供本人身份证明；</w:t>
      </w:r>
    </w:p>
    <w:p>
      <w:pPr>
        <w:spacing w:line="348"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选择网上办理投标报名的：1、请先自行下载附件中的《供应商报名信息登记表》，并按相关要求填写信息(单位名称、经办人姓名、经办人手机号、单位座机、电子邮箱等)。2、将已填写的《供应商报名信息登记表》、《介绍信》(附经办人身份证复印件)及报名费支付成功的截图加盖投标人单位公章后的扫描件发送至电子邮箱</w:t>
      </w:r>
      <w:r>
        <w:rPr>
          <w:rFonts w:hint="eastAsia" w:ascii="宋体" w:hAnsi="宋体" w:cs="宋体"/>
          <w:color w:val="000000" w:themeColor="text1"/>
          <w:sz w:val="24"/>
          <w:szCs w:val="24"/>
          <w:highlight w:val="none"/>
          <w:lang w:val="en-US" w:eastAsia="zh-CN"/>
          <w14:textFill>
            <w14:solidFill>
              <w14:schemeClr w14:val="tx1"/>
            </w14:solidFill>
          </w14:textFill>
        </w:rPr>
        <w:t>483066641</w:t>
      </w:r>
      <w:r>
        <w:rPr>
          <w:rFonts w:hint="eastAsia" w:ascii="宋体" w:hAnsi="宋体" w:cs="宋体"/>
          <w:color w:val="000000" w:themeColor="text1"/>
          <w:sz w:val="24"/>
          <w:szCs w:val="24"/>
          <w:highlight w:val="none"/>
          <w14:textFill>
            <w14:solidFill>
              <w14:schemeClr w14:val="tx1"/>
            </w14:solidFill>
          </w14:textFill>
        </w:rPr>
        <w:t>@qq.com；报名成功后，采购代理机构将招标文件电子版发送至供应商报名信息登记表载明的电子邮箱。</w:t>
      </w:r>
    </w:p>
    <w:p>
      <w:pPr>
        <w:tabs>
          <w:tab w:val="left" w:pos="540"/>
          <w:tab w:val="left" w:pos="780"/>
          <w:tab w:val="left" w:pos="3480"/>
        </w:tabs>
        <w:snapToGrid w:val="0"/>
        <w:spacing w:line="348"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八</w:t>
      </w:r>
      <w:r>
        <w:rPr>
          <w:rFonts w:hint="eastAsia" w:ascii="宋体" w:hAnsi="宋体" w:cs="宋体"/>
          <w:b/>
          <w:color w:val="000000" w:themeColor="text1"/>
          <w:sz w:val="24"/>
          <w:szCs w:val="28"/>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投标截止时间和开标时间：</w:t>
      </w:r>
      <w:r>
        <w:rPr>
          <w:rFonts w:hint="eastAsia" w:ascii="宋体" w:hAnsi="宋体" w:cs="宋体"/>
          <w:b/>
          <w:color w:val="000000" w:themeColor="text1"/>
          <w:sz w:val="24"/>
          <w:szCs w:val="28"/>
          <w:highlight w:val="none"/>
          <w:u w:val="single"/>
          <w14:textFill>
            <w14:solidFill>
              <w14:schemeClr w14:val="tx1"/>
            </w14:solidFill>
          </w14:textFill>
        </w:rPr>
        <w:t>2024年</w:t>
      </w:r>
      <w:r>
        <w:rPr>
          <w:rFonts w:hint="eastAsia" w:ascii="宋体" w:hAnsi="宋体" w:cs="宋体"/>
          <w:b/>
          <w:color w:val="000000" w:themeColor="text1"/>
          <w:sz w:val="24"/>
          <w:szCs w:val="28"/>
          <w:highlight w:val="none"/>
          <w:u w:val="single"/>
          <w:lang w:val="en-US" w:eastAsia="zh-CN"/>
          <w14:textFill>
            <w14:solidFill>
              <w14:schemeClr w14:val="tx1"/>
            </w14:solidFill>
          </w14:textFill>
        </w:rPr>
        <w:t>6</w:t>
      </w:r>
      <w:r>
        <w:rPr>
          <w:rFonts w:hint="eastAsia" w:ascii="宋体" w:hAnsi="宋体" w:cs="宋体"/>
          <w:b/>
          <w:color w:val="000000" w:themeColor="text1"/>
          <w:sz w:val="24"/>
          <w:szCs w:val="28"/>
          <w:highlight w:val="none"/>
          <w:u w:val="single"/>
          <w14:textFill>
            <w14:solidFill>
              <w14:schemeClr w14:val="tx1"/>
            </w14:solidFill>
          </w14:textFill>
        </w:rPr>
        <w:t>月</w:t>
      </w:r>
      <w:r>
        <w:rPr>
          <w:rFonts w:hint="eastAsia" w:ascii="宋体" w:hAnsi="宋体" w:cs="宋体"/>
          <w:b/>
          <w:color w:val="000000" w:themeColor="text1"/>
          <w:sz w:val="24"/>
          <w:szCs w:val="28"/>
          <w:highlight w:val="none"/>
          <w:u w:val="single"/>
          <w:lang w:val="en-US" w:eastAsia="zh-CN"/>
          <w14:textFill>
            <w14:solidFill>
              <w14:schemeClr w14:val="tx1"/>
            </w14:solidFill>
          </w14:textFill>
        </w:rPr>
        <w:t>3</w:t>
      </w:r>
      <w:r>
        <w:rPr>
          <w:rFonts w:hint="eastAsia" w:ascii="宋体" w:hAnsi="宋体" w:cs="宋体"/>
          <w:b/>
          <w:color w:val="000000" w:themeColor="text1"/>
          <w:sz w:val="24"/>
          <w:szCs w:val="28"/>
          <w:highlight w:val="none"/>
          <w:u w:val="single"/>
          <w14:textFill>
            <w14:solidFill>
              <w14:schemeClr w14:val="tx1"/>
            </w14:solidFill>
          </w14:textFill>
        </w:rPr>
        <w:t>日</w:t>
      </w:r>
      <w:r>
        <w:rPr>
          <w:rFonts w:hint="eastAsia" w:ascii="宋体" w:hAnsi="宋体" w:cs="宋体"/>
          <w:b/>
          <w:color w:val="000000" w:themeColor="text1"/>
          <w:sz w:val="24"/>
          <w:szCs w:val="28"/>
          <w:highlight w:val="none"/>
          <w:u w:val="single"/>
          <w:lang w:val="en-US" w:eastAsia="zh-CN"/>
          <w14:textFill>
            <w14:solidFill>
              <w14:schemeClr w14:val="tx1"/>
            </w14:solidFill>
          </w14:textFill>
        </w:rPr>
        <w:t>下</w:t>
      </w:r>
      <w:r>
        <w:rPr>
          <w:rFonts w:hint="eastAsia" w:ascii="宋体" w:hAnsi="宋体" w:cs="宋体"/>
          <w:b/>
          <w:color w:val="000000" w:themeColor="text1"/>
          <w:sz w:val="24"/>
          <w:szCs w:val="28"/>
          <w:highlight w:val="none"/>
          <w:u w:val="single"/>
          <w14:textFill>
            <w14:solidFill>
              <w14:schemeClr w14:val="tx1"/>
            </w14:solidFill>
          </w14:textFill>
        </w:rPr>
        <w:t>午</w:t>
      </w:r>
      <w:r>
        <w:rPr>
          <w:rFonts w:hint="eastAsia" w:ascii="宋体" w:hAnsi="宋体" w:cs="宋体"/>
          <w:b/>
          <w:color w:val="000000" w:themeColor="text1"/>
          <w:sz w:val="24"/>
          <w:szCs w:val="28"/>
          <w:highlight w:val="none"/>
          <w:u w:val="single"/>
          <w:lang w:val="en-US" w:eastAsia="zh-CN"/>
          <w14:textFill>
            <w14:solidFill>
              <w14:schemeClr w14:val="tx1"/>
            </w14:solidFill>
          </w14:textFill>
        </w:rPr>
        <w:t>14</w:t>
      </w:r>
      <w:r>
        <w:rPr>
          <w:rFonts w:hint="eastAsia" w:ascii="宋体" w:hAnsi="宋体" w:cs="宋体"/>
          <w:b/>
          <w:color w:val="000000" w:themeColor="text1"/>
          <w:sz w:val="24"/>
          <w:szCs w:val="28"/>
          <w:highlight w:val="none"/>
          <w:u w:val="single"/>
          <w14:textFill>
            <w14:solidFill>
              <w14:schemeClr w14:val="tx1"/>
            </w14:solidFill>
          </w14:textFill>
        </w:rPr>
        <w:t>:00（北京时间）</w:t>
      </w:r>
      <w:r>
        <w:rPr>
          <w:rFonts w:hint="eastAsia" w:ascii="宋体" w:hAnsi="宋体" w:cs="宋体"/>
          <w:color w:val="000000" w:themeColor="text1"/>
          <w:sz w:val="24"/>
          <w:szCs w:val="28"/>
          <w:highlight w:val="none"/>
          <w14:textFill>
            <w14:solidFill>
              <w14:schemeClr w14:val="tx1"/>
            </w14:solidFill>
          </w14:textFill>
        </w:rPr>
        <w:t>。投标文件必须在投标截止时间前送达开标地点。逾期送达或密封和标注不符合招标文件规定的投标文件恕不接受。本次招标不接受邮寄的投标文件。</w:t>
      </w:r>
    </w:p>
    <w:p>
      <w:pPr>
        <w:spacing w:line="348"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九、开标地点：众聚能国际建工有限公司开标厅（</w:t>
      </w:r>
      <w:r>
        <w:rPr>
          <w:rFonts w:hint="eastAsia" w:ascii="宋体" w:hAnsi="宋体" w:cs="宋体"/>
          <w:b/>
          <w:color w:val="000000" w:themeColor="text1"/>
          <w:sz w:val="24"/>
          <w:szCs w:val="28"/>
          <w:highlight w:val="none"/>
          <w14:textFill>
            <w14:solidFill>
              <w14:schemeClr w14:val="tx1"/>
            </w14:solidFill>
          </w14:textFill>
        </w:rPr>
        <w:t>地址：</w:t>
      </w:r>
      <w:r>
        <w:rPr>
          <w:rFonts w:hint="eastAsia" w:ascii="宋体" w:hAnsi="宋体" w:cs="宋体"/>
          <w:color w:val="000000" w:themeColor="text1"/>
          <w:sz w:val="24"/>
          <w:szCs w:val="28"/>
          <w:highlight w:val="none"/>
          <w14:textFill>
            <w14:solidFill>
              <w14:schemeClr w14:val="tx1"/>
            </w14:solidFill>
          </w14:textFill>
        </w:rPr>
        <w:t>四川省眉山市东坡区眉山市东坡区三苏大道168号华地沃尔玛1栋1单元8层3号</w:t>
      </w:r>
      <w:r>
        <w:rPr>
          <w:rFonts w:hint="eastAsia" w:ascii="宋体" w:hAnsi="宋体" w:cs="宋体"/>
          <w:b/>
          <w:color w:val="000000" w:themeColor="text1"/>
          <w:sz w:val="24"/>
          <w:szCs w:val="28"/>
          <w:highlight w:val="none"/>
          <w14:textFill>
            <w14:solidFill>
              <w14:schemeClr w14:val="tx1"/>
            </w14:solidFill>
          </w14:textFill>
        </w:rPr>
        <w:t xml:space="preserve"> ）。</w:t>
      </w:r>
    </w:p>
    <w:p>
      <w:pPr>
        <w:spacing w:line="348" w:lineRule="auto"/>
        <w:ind w:left="472" w:hanging="472" w:hangingChars="196"/>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十、样品提交</w:t>
      </w:r>
      <w:r>
        <w:rPr>
          <w:rFonts w:hint="eastAsia" w:ascii="宋体" w:hAnsi="宋体" w:cs="宋体"/>
          <w:b/>
          <w:color w:val="000000" w:themeColor="text1"/>
          <w:sz w:val="24"/>
          <w:highlight w:val="none"/>
          <w:lang w:val="en-US" w:eastAsia="zh-CN"/>
          <w14:textFill>
            <w14:solidFill>
              <w14:schemeClr w14:val="tx1"/>
            </w14:solidFill>
          </w14:textFill>
        </w:rPr>
        <w:t>截至</w:t>
      </w:r>
      <w:r>
        <w:rPr>
          <w:rFonts w:hint="eastAsia" w:ascii="宋体" w:hAnsi="宋体" w:cs="宋体"/>
          <w:b/>
          <w:color w:val="000000" w:themeColor="text1"/>
          <w:sz w:val="24"/>
          <w:highlight w:val="none"/>
          <w14:textFill>
            <w14:solidFill>
              <w14:schemeClr w14:val="tx1"/>
            </w14:solidFill>
          </w14:textFill>
        </w:rPr>
        <w:t>时间</w:t>
      </w:r>
      <w:r>
        <w:rPr>
          <w:rFonts w:hint="eastAsia" w:ascii="宋体" w:hAnsi="宋体" w:cs="宋体"/>
          <w:b/>
          <w:color w:val="000000" w:themeColor="text1"/>
          <w:sz w:val="24"/>
          <w:highlight w:val="none"/>
          <w:lang w:val="en-US" w:eastAsia="zh-CN"/>
          <w14:textFill>
            <w14:solidFill>
              <w14:schemeClr w14:val="tx1"/>
            </w14:solidFill>
          </w14:textFill>
        </w:rPr>
        <w:t>同投标文件递交截至时间。</w:t>
      </w:r>
    </w:p>
    <w:p>
      <w:pPr>
        <w:spacing w:line="348"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十一、样品提交地点：众聚能国际建工有限公司（地址：</w:t>
      </w:r>
      <w:r>
        <w:rPr>
          <w:rFonts w:hint="eastAsia" w:ascii="宋体" w:hAnsi="宋体" w:cs="宋体"/>
          <w:color w:val="000000" w:themeColor="text1"/>
          <w:sz w:val="24"/>
          <w:szCs w:val="28"/>
          <w:highlight w:val="none"/>
          <w14:textFill>
            <w14:solidFill>
              <w14:schemeClr w14:val="tx1"/>
            </w14:solidFill>
          </w14:textFill>
        </w:rPr>
        <w:t>四川省眉山市东坡区眉山市东坡区三苏大道168号华地沃尔玛1栋1单元8层3号</w:t>
      </w:r>
      <w:r>
        <w:rPr>
          <w:rFonts w:hint="eastAsia" w:ascii="宋体" w:hAnsi="宋体" w:cs="宋体"/>
          <w:b/>
          <w:color w:val="000000" w:themeColor="text1"/>
          <w:sz w:val="24"/>
          <w:highlight w:val="none"/>
          <w14:textFill>
            <w14:solidFill>
              <w14:schemeClr w14:val="tx1"/>
            </w14:solidFill>
          </w14:textFill>
        </w:rPr>
        <w:t xml:space="preserve"> ）。</w:t>
      </w:r>
    </w:p>
    <w:p>
      <w:pPr>
        <w:spacing w:line="348"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十二、</w:t>
      </w:r>
      <w:r>
        <w:rPr>
          <w:rFonts w:hint="eastAsia" w:ascii="宋体" w:hAnsi="宋体" w:cs="宋体"/>
          <w:color w:val="000000" w:themeColor="text1"/>
          <w:sz w:val="24"/>
          <w:highlight w:val="none"/>
          <w14:textFill>
            <w14:solidFill>
              <w14:schemeClr w14:val="tx1"/>
            </w14:solidFill>
          </w14:textFill>
        </w:rPr>
        <w:t>本投标邀请在中国政府采购网（http://www.ccgp.gov.cn/）上以公告形式发布，公告期限为发布之日起5个工作日。</w:t>
      </w:r>
    </w:p>
    <w:p>
      <w:pPr>
        <w:pStyle w:val="438"/>
        <w:spacing w:line="348" w:lineRule="auto"/>
        <w:ind w:firstLine="0" w:firstLineChars="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十三、联系方式</w:t>
      </w:r>
    </w:p>
    <w:p>
      <w:pPr>
        <w:pStyle w:val="438"/>
        <w:spacing w:line="348"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采购人：眉山市消防救援支队</w:t>
      </w:r>
    </w:p>
    <w:p>
      <w:pPr>
        <w:pStyle w:val="438"/>
        <w:spacing w:line="348" w:lineRule="auto"/>
        <w:ind w:firstLine="480"/>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地    址：四川省眉山市东坡区大石桥街道彭寿路304号 </w:t>
      </w:r>
    </w:p>
    <w:p>
      <w:pPr>
        <w:pStyle w:val="438"/>
        <w:spacing w:line="348" w:lineRule="auto"/>
        <w:ind w:firstLine="480"/>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联 系 人：刘老师</w:t>
      </w:r>
    </w:p>
    <w:p>
      <w:pPr>
        <w:pStyle w:val="438"/>
        <w:spacing w:line="348" w:lineRule="auto"/>
        <w:ind w:firstLine="480"/>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联系电话：028-38269976</w:t>
      </w:r>
    </w:p>
    <w:p>
      <w:pPr>
        <w:pStyle w:val="438"/>
        <w:spacing w:line="348"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采购代理机构：众聚能国际建工有限公司</w:t>
      </w:r>
    </w:p>
    <w:p>
      <w:pPr>
        <w:pStyle w:val="438"/>
        <w:spacing w:line="348" w:lineRule="auto"/>
        <w:ind w:firstLine="480"/>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地    址： 四川省眉山市东坡区眉山市东坡区三苏大道168号华地沃尔玛1栋1单元8层3号</w:t>
      </w:r>
    </w:p>
    <w:p>
      <w:pPr>
        <w:pStyle w:val="438"/>
        <w:spacing w:line="348" w:lineRule="auto"/>
        <w:ind w:firstLine="480"/>
        <w:rPr>
          <w:rFonts w:ascii="宋体" w:hAnsi="宋体" w:cs="宋体"/>
          <w:color w:val="000000" w:themeColor="text1"/>
          <w:sz w:val="24"/>
          <w:szCs w:val="28"/>
          <w:highlight w:val="none"/>
          <w14:textFill>
            <w14:solidFill>
              <w14:schemeClr w14:val="tx1"/>
            </w14:solidFill>
          </w14:textFill>
        </w:rPr>
        <w:sectPr>
          <w:footerReference r:id="rId5" w:type="default"/>
          <w:pgSz w:w="11907" w:h="16840"/>
          <w:pgMar w:top="1440" w:right="1080" w:bottom="1440" w:left="1080" w:header="471" w:footer="992" w:gutter="0"/>
          <w:pgNumType w:start="1"/>
          <w:cols w:space="720" w:num="1"/>
          <w:docGrid w:linePitch="312" w:charSpace="0"/>
        </w:sectPr>
      </w:pPr>
      <w:r>
        <w:rPr>
          <w:rFonts w:hint="eastAsia" w:ascii="宋体" w:hAnsi="宋体" w:cs="宋体"/>
          <w:color w:val="000000" w:themeColor="text1"/>
          <w:sz w:val="24"/>
          <w:szCs w:val="28"/>
          <w:highlight w:val="none"/>
          <w14:textFill>
            <w14:solidFill>
              <w14:schemeClr w14:val="tx1"/>
            </w14:solidFill>
          </w14:textFill>
        </w:rPr>
        <w:t>联 系 人：张女士       联系电话：028-38179811</w:t>
      </w:r>
      <w:r>
        <w:rPr>
          <w:rFonts w:ascii="宋体" w:hAnsi="宋体" w:cs="宋体"/>
          <w:color w:val="000000" w:themeColor="text1"/>
          <w:sz w:val="24"/>
          <w:szCs w:val="20"/>
          <w:highlight w:val="none"/>
          <w14:textFill>
            <w14:solidFill>
              <w14:schemeClr w14:val="tx1"/>
            </w14:solidFill>
          </w14:textFill>
        </w:rPr>
        <w:t xml:space="preserve"> </w:t>
      </w:r>
    </w:p>
    <w:p>
      <w:pPr>
        <w:pStyle w:val="3"/>
        <w:spacing w:before="0" w:after="0" w:line="360" w:lineRule="auto"/>
        <w:ind w:firstLine="720"/>
        <w:jc w:val="center"/>
        <w:rPr>
          <w:rFonts w:ascii="宋体" w:hAnsi="宋体" w:cs="宋体"/>
          <w:color w:val="000000" w:themeColor="text1"/>
          <w:sz w:val="36"/>
          <w:szCs w:val="36"/>
          <w:highlight w:val="none"/>
          <w14:textFill>
            <w14:solidFill>
              <w14:schemeClr w14:val="tx1"/>
            </w14:solidFill>
          </w14:textFill>
        </w:rPr>
      </w:pPr>
      <w:bookmarkStart w:id="11" w:name="_Toc9194"/>
      <w:bookmarkStart w:id="12" w:name="_Toc213496267"/>
      <w:bookmarkStart w:id="13" w:name="_Toc3750"/>
      <w:bookmarkStart w:id="14" w:name="_Toc426657529"/>
      <w:bookmarkStart w:id="15" w:name="_Toc13078"/>
      <w:bookmarkStart w:id="16" w:name="_Toc213396945"/>
      <w:bookmarkStart w:id="17" w:name="_Toc213396759"/>
      <w:bookmarkStart w:id="18" w:name="_Toc22569"/>
      <w:bookmarkStart w:id="19" w:name="_Toc217446031"/>
      <w:bookmarkStart w:id="20" w:name="_Toc213397009"/>
      <w:bookmarkStart w:id="21" w:name="_Toc77400776"/>
      <w:bookmarkStart w:id="22" w:name="_Toc183582202"/>
      <w:bookmarkStart w:id="23" w:name="_Toc89075871"/>
      <w:bookmarkStart w:id="24" w:name="_Toc183682339"/>
      <w:r>
        <w:rPr>
          <w:rFonts w:hint="eastAsia" w:ascii="宋体" w:hAnsi="宋体" w:cs="宋体"/>
          <w:color w:val="000000" w:themeColor="text1"/>
          <w:sz w:val="36"/>
          <w:szCs w:val="36"/>
          <w:highlight w:val="none"/>
          <w14:textFill>
            <w14:solidFill>
              <w14:schemeClr w14:val="tx1"/>
            </w14:solidFill>
          </w14:textFill>
        </w:rPr>
        <w:t>第二章  投标人须知</w:t>
      </w:r>
      <w:bookmarkEnd w:id="11"/>
      <w:bookmarkEnd w:id="12"/>
      <w:bookmarkEnd w:id="13"/>
      <w:bookmarkEnd w:id="14"/>
      <w:bookmarkEnd w:id="15"/>
      <w:bookmarkEnd w:id="16"/>
      <w:bookmarkEnd w:id="17"/>
      <w:bookmarkEnd w:id="18"/>
      <w:bookmarkEnd w:id="19"/>
      <w:bookmarkEnd w:id="20"/>
      <w:bookmarkStart w:id="25" w:name="_Toc184274915"/>
      <w:bookmarkStart w:id="26" w:name="_Toc184283909"/>
    </w:p>
    <w:p>
      <w:pPr>
        <w:pStyle w:val="4"/>
        <w:spacing w:before="0" w:after="0" w:line="360" w:lineRule="auto"/>
        <w:ind w:firstLine="640"/>
        <w:jc w:val="center"/>
        <w:rPr>
          <w:rFonts w:ascii="宋体" w:hAnsi="宋体" w:eastAsia="宋体" w:cs="宋体"/>
          <w:color w:val="000000" w:themeColor="text1"/>
          <w:highlight w:val="none"/>
          <w14:textFill>
            <w14:solidFill>
              <w14:schemeClr w14:val="tx1"/>
            </w14:solidFill>
          </w14:textFill>
        </w:rPr>
      </w:pPr>
      <w:bookmarkStart w:id="27" w:name="_Toc213496268"/>
      <w:bookmarkStart w:id="28" w:name="_Toc26183"/>
      <w:bookmarkStart w:id="29" w:name="_Toc213396760"/>
      <w:bookmarkStart w:id="30" w:name="_Toc426657530"/>
      <w:bookmarkStart w:id="31" w:name="_Toc213396946"/>
      <w:bookmarkStart w:id="32" w:name="_Toc217446032"/>
      <w:bookmarkStart w:id="33" w:name="_Toc213397010"/>
      <w:bookmarkStart w:id="34" w:name="_Toc1364"/>
      <w:bookmarkStart w:id="35" w:name="_Toc189727030"/>
      <w:r>
        <w:rPr>
          <w:rFonts w:hint="eastAsia" w:ascii="宋体" w:hAnsi="宋体" w:eastAsia="宋体" w:cs="宋体"/>
          <w:color w:val="000000" w:themeColor="text1"/>
          <w:highlight w:val="none"/>
          <w14:textFill>
            <w14:solidFill>
              <w14:schemeClr w14:val="tx1"/>
            </w14:solidFill>
          </w14:textFill>
        </w:rPr>
        <w:t>一、投标人须知前附表</w:t>
      </w:r>
      <w:bookmarkEnd w:id="25"/>
      <w:bookmarkEnd w:id="26"/>
      <w:bookmarkEnd w:id="27"/>
      <w:bookmarkEnd w:id="28"/>
      <w:bookmarkEnd w:id="29"/>
      <w:bookmarkEnd w:id="30"/>
      <w:bookmarkEnd w:id="31"/>
      <w:bookmarkEnd w:id="32"/>
      <w:bookmarkEnd w:id="33"/>
      <w:bookmarkEnd w:id="34"/>
      <w:bookmarkEnd w:id="35"/>
    </w:p>
    <w:p>
      <w:pPr>
        <w:ind w:firstLine="482"/>
        <w:rPr>
          <w:rFonts w:ascii="宋体" w:hAnsi="宋体" w:cs="宋体"/>
          <w:color w:val="000000" w:themeColor="text1"/>
          <w:highlight w:val="none"/>
          <w14:textFill>
            <w14:solidFill>
              <w14:schemeClr w14:val="tx1"/>
            </w14:solidFill>
          </w14:textFill>
        </w:rPr>
      </w:pPr>
    </w:p>
    <w:tbl>
      <w:tblPr>
        <w:tblStyle w:val="59"/>
        <w:tblW w:w="11182" w:type="dxa"/>
        <w:jc w:val="center"/>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Layout w:type="autofit"/>
        <w:tblCellMar>
          <w:top w:w="0" w:type="dxa"/>
          <w:left w:w="0" w:type="dxa"/>
          <w:bottom w:w="0" w:type="dxa"/>
          <w:right w:w="0" w:type="dxa"/>
        </w:tblCellMar>
      </w:tblPr>
      <w:tblGrid>
        <w:gridCol w:w="643"/>
        <w:gridCol w:w="2107"/>
        <w:gridCol w:w="8432"/>
      </w:tblGrid>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00" w:hRule="exact"/>
          <w:tblHeader/>
          <w:jc w:val="center"/>
        </w:trPr>
        <w:tc>
          <w:tcPr>
            <w:tcW w:w="601" w:type="dxa"/>
            <w:vAlign w:val="center"/>
          </w:tcPr>
          <w:p>
            <w:pPr>
              <w:pStyle w:val="467"/>
              <w:spacing w:line="360" w:lineRule="auto"/>
              <w:jc w:val="center"/>
              <w:rPr>
                <w:rFonts w:cs="宋体"/>
                <w:b/>
                <w:color w:val="000000" w:themeColor="text1"/>
                <w:highlight w:val="none"/>
                <w:lang w:val="zh-CN"/>
                <w14:textFill>
                  <w14:solidFill>
                    <w14:schemeClr w14:val="tx1"/>
                  </w14:solidFill>
                </w14:textFill>
              </w:rPr>
            </w:pPr>
            <w:r>
              <w:rPr>
                <w:rFonts w:hint="eastAsia" w:cs="宋体"/>
                <w:b/>
                <w:color w:val="000000" w:themeColor="text1"/>
                <w:highlight w:val="none"/>
                <w:lang w:val="zh-CN"/>
                <w14:textFill>
                  <w14:solidFill>
                    <w14:schemeClr w14:val="tx1"/>
                  </w14:solidFill>
                </w14:textFill>
              </w:rPr>
              <w:t xml:space="preserve">序号 </w:t>
            </w:r>
          </w:p>
        </w:tc>
        <w:tc>
          <w:tcPr>
            <w:tcW w:w="1967" w:type="dxa"/>
            <w:vAlign w:val="center"/>
          </w:tcPr>
          <w:p>
            <w:pPr>
              <w:pStyle w:val="467"/>
              <w:spacing w:line="360" w:lineRule="auto"/>
              <w:jc w:val="center"/>
              <w:rPr>
                <w:rFonts w:cs="宋体"/>
                <w:b/>
                <w:color w:val="000000" w:themeColor="text1"/>
                <w:highlight w:val="none"/>
                <w:lang w:val="zh-CN"/>
                <w14:textFill>
                  <w14:solidFill>
                    <w14:schemeClr w14:val="tx1"/>
                  </w14:solidFill>
                </w14:textFill>
              </w:rPr>
            </w:pPr>
            <w:r>
              <w:rPr>
                <w:rFonts w:hint="eastAsia" w:cs="宋体"/>
                <w:b/>
                <w:color w:val="000000" w:themeColor="text1"/>
                <w:highlight w:val="none"/>
                <w:lang w:val="zh-CN"/>
                <w14:textFill>
                  <w14:solidFill>
                    <w14:schemeClr w14:val="tx1"/>
                  </w14:solidFill>
                </w14:textFill>
              </w:rPr>
              <w:t>条款名称</w:t>
            </w:r>
          </w:p>
        </w:tc>
        <w:tc>
          <w:tcPr>
            <w:tcW w:w="7873" w:type="dxa"/>
            <w:vAlign w:val="center"/>
          </w:tcPr>
          <w:p>
            <w:pPr>
              <w:pStyle w:val="467"/>
              <w:spacing w:line="360" w:lineRule="auto"/>
              <w:jc w:val="center"/>
              <w:rPr>
                <w:rFonts w:cs="宋体"/>
                <w:b/>
                <w:color w:val="000000" w:themeColor="text1"/>
                <w:highlight w:val="none"/>
                <w:lang w:val="zh-CN"/>
                <w14:textFill>
                  <w14:solidFill>
                    <w14:schemeClr w14:val="tx1"/>
                  </w14:solidFill>
                </w14:textFill>
              </w:rPr>
            </w:pPr>
            <w:r>
              <w:rPr>
                <w:rFonts w:hint="eastAsia" w:cs="宋体"/>
                <w:b/>
                <w:color w:val="000000" w:themeColor="text1"/>
                <w:highlight w:val="none"/>
                <w:lang w:val="zh-CN"/>
                <w14:textFill>
                  <w14:solidFill>
                    <w14:schemeClr w14:val="tx1"/>
                  </w14:solidFill>
                </w14:textFill>
              </w:rPr>
              <w:t>说明和要求</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03" w:hRule="atLeast"/>
          <w:jc w:val="center"/>
        </w:trPr>
        <w:tc>
          <w:tcPr>
            <w:tcW w:w="601"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1</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采购人</w:t>
            </w:r>
          </w:p>
        </w:tc>
        <w:tc>
          <w:tcPr>
            <w:tcW w:w="7873" w:type="dxa"/>
            <w:vAlign w:val="center"/>
          </w:tcPr>
          <w:p>
            <w:pPr>
              <w:pStyle w:val="467"/>
              <w:spacing w:line="360" w:lineRule="auto"/>
              <w:ind w:firstLine="240" w:firstLineChars="100"/>
              <w:jc w:val="both"/>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眉山市消防救援支队</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40" w:hRule="atLeast"/>
          <w:jc w:val="center"/>
        </w:trPr>
        <w:tc>
          <w:tcPr>
            <w:tcW w:w="601"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2</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招标代理机构</w:t>
            </w:r>
          </w:p>
        </w:tc>
        <w:tc>
          <w:tcPr>
            <w:tcW w:w="7873" w:type="dxa"/>
            <w:vAlign w:val="center"/>
          </w:tcPr>
          <w:p>
            <w:pPr>
              <w:pStyle w:val="467"/>
              <w:spacing w:line="360" w:lineRule="auto"/>
              <w:ind w:firstLine="240" w:firstLineChars="100"/>
              <w:jc w:val="both"/>
              <w:rPr>
                <w:rFonts w:cs="宋体"/>
                <w:color w:val="000000" w:themeColor="text1"/>
                <w:highlight w:val="none"/>
                <w:lang w:val="zh-CN"/>
                <w14:textFill>
                  <w14:solidFill>
                    <w14:schemeClr w14:val="tx1"/>
                  </w14:solidFill>
                </w14:textFill>
              </w:rPr>
            </w:pPr>
            <w:r>
              <w:rPr>
                <w:rFonts w:hint="eastAsia" w:cs="宋体"/>
                <w:color w:val="000000" w:themeColor="text1"/>
                <w:highlight w:val="none"/>
                <w14:textFill>
                  <w14:solidFill>
                    <w14:schemeClr w14:val="tx1"/>
                  </w14:solidFill>
                </w14:textFill>
              </w:rPr>
              <w:t>众聚能国际建工有限公司</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40" w:hRule="atLeast"/>
          <w:jc w:val="center"/>
        </w:trPr>
        <w:tc>
          <w:tcPr>
            <w:tcW w:w="601"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3</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采购项目名称</w:t>
            </w:r>
          </w:p>
        </w:tc>
        <w:tc>
          <w:tcPr>
            <w:tcW w:w="7873" w:type="dxa"/>
            <w:vAlign w:val="center"/>
          </w:tcPr>
          <w:p>
            <w:pPr>
              <w:spacing w:line="360" w:lineRule="auto"/>
              <w:ind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四川省消防救援总队眉山支队“自然灾害应急能力提升工程”装备配备项目（照明、水域救援、保障及其他类）</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40" w:hRule="atLeast"/>
          <w:jc w:val="center"/>
        </w:trPr>
        <w:tc>
          <w:tcPr>
            <w:tcW w:w="601"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4</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采购项目编号</w:t>
            </w:r>
          </w:p>
        </w:tc>
        <w:tc>
          <w:tcPr>
            <w:tcW w:w="7873" w:type="dxa"/>
            <w:vAlign w:val="center"/>
          </w:tcPr>
          <w:p>
            <w:pPr>
              <w:spacing w:line="360" w:lineRule="auto"/>
              <w:ind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MB1A210991713838799361-2024043008</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40" w:hRule="atLeast"/>
          <w:jc w:val="center"/>
        </w:trPr>
        <w:tc>
          <w:tcPr>
            <w:tcW w:w="601"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5</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采购方式</w:t>
            </w:r>
          </w:p>
        </w:tc>
        <w:tc>
          <w:tcPr>
            <w:tcW w:w="7873" w:type="dxa"/>
            <w:vAlign w:val="center"/>
          </w:tcPr>
          <w:p>
            <w:pPr>
              <w:pStyle w:val="467"/>
              <w:spacing w:line="360" w:lineRule="auto"/>
              <w:ind w:firstLine="240" w:firstLineChars="100"/>
              <w:jc w:val="both"/>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公开招标</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92" w:hRule="atLeast"/>
          <w:jc w:val="center"/>
        </w:trPr>
        <w:tc>
          <w:tcPr>
            <w:tcW w:w="601"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6</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评标方法</w:t>
            </w:r>
          </w:p>
        </w:tc>
        <w:tc>
          <w:tcPr>
            <w:tcW w:w="7873" w:type="dxa"/>
            <w:vAlign w:val="center"/>
          </w:tcPr>
          <w:p>
            <w:pPr>
              <w:pStyle w:val="467"/>
              <w:spacing w:line="360" w:lineRule="auto"/>
              <w:ind w:firstLine="240" w:firstLineChars="100"/>
              <w:jc w:val="both"/>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综合评分法</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01" w:type="dxa"/>
            <w:vMerge w:val="restart"/>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7</w:t>
            </w:r>
          </w:p>
        </w:tc>
        <w:tc>
          <w:tcPr>
            <w:tcW w:w="1967" w:type="dxa"/>
            <w:vAlign w:val="center"/>
          </w:tcPr>
          <w:p>
            <w:pPr>
              <w:spacing w:line="360" w:lineRule="auto"/>
              <w:ind w:firstLine="482"/>
              <w:jc w:val="center"/>
              <w:outlineLvl w:val="5"/>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采购预算</w:t>
            </w:r>
          </w:p>
        </w:tc>
        <w:tc>
          <w:tcPr>
            <w:tcW w:w="7873" w:type="dxa"/>
            <w:vAlign w:val="center"/>
          </w:tcPr>
          <w:p>
            <w:pPr>
              <w:spacing w:line="360" w:lineRule="auto"/>
              <w:ind w:firstLine="240" w:firstLineChars="100"/>
              <w:jc w:val="left"/>
              <w:outlineLvl w:val="5"/>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采购总预算：</w:t>
            </w:r>
            <w:r>
              <w:rPr>
                <w:rFonts w:hint="eastAsia" w:ascii="宋体" w:hAnsi="宋体" w:cs="宋体"/>
                <w:color w:val="000000" w:themeColor="text1"/>
                <w:kern w:val="0"/>
                <w:sz w:val="24"/>
                <w:highlight w:val="none"/>
                <w14:textFill>
                  <w14:solidFill>
                    <w14:schemeClr w14:val="tx1"/>
                  </w14:solidFill>
                </w14:textFill>
              </w:rPr>
              <w:t>662.6万元</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333" w:hRule="atLeast"/>
          <w:jc w:val="center"/>
        </w:trPr>
        <w:tc>
          <w:tcPr>
            <w:tcW w:w="601" w:type="dxa"/>
            <w:vMerge w:val="continue"/>
            <w:vAlign w:val="center"/>
          </w:tcPr>
          <w:p>
            <w:pPr>
              <w:pStyle w:val="467"/>
              <w:spacing w:line="360" w:lineRule="auto"/>
              <w:jc w:val="center"/>
              <w:rPr>
                <w:rFonts w:cs="宋体"/>
                <w:color w:val="000000" w:themeColor="text1"/>
                <w:highlight w:val="none"/>
                <w:lang w:val="zh-CN"/>
                <w14:textFill>
                  <w14:solidFill>
                    <w14:schemeClr w14:val="tx1"/>
                  </w14:solidFill>
                </w14:textFill>
              </w:rPr>
            </w:pPr>
          </w:p>
        </w:tc>
        <w:tc>
          <w:tcPr>
            <w:tcW w:w="1967" w:type="dxa"/>
            <w:vAlign w:val="center"/>
          </w:tcPr>
          <w:p>
            <w:pPr>
              <w:spacing w:line="360" w:lineRule="auto"/>
              <w:ind w:firstLine="482"/>
              <w:jc w:val="center"/>
              <w:outlineLvl w:val="5"/>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最高限价</w:t>
            </w:r>
          </w:p>
          <w:p>
            <w:pPr>
              <w:spacing w:line="360" w:lineRule="auto"/>
              <w:jc w:val="center"/>
              <w:outlineLvl w:val="5"/>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lang w:val="zh-CN"/>
                <w14:textFill>
                  <w14:solidFill>
                    <w14:schemeClr w14:val="tx1"/>
                  </w14:solidFill>
                </w14:textFill>
              </w:rPr>
              <w:t>（实质性要求）</w:t>
            </w:r>
          </w:p>
        </w:tc>
        <w:tc>
          <w:tcPr>
            <w:tcW w:w="7873" w:type="dxa"/>
          </w:tcPr>
          <w:p>
            <w:pPr>
              <w:spacing w:line="360" w:lineRule="auto"/>
              <w:ind w:firstLine="240" w:firstLineChars="100"/>
              <w:jc w:val="left"/>
              <w:outlineLvl w:val="5"/>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最高总限价：</w:t>
            </w:r>
            <w:r>
              <w:rPr>
                <w:rFonts w:hint="eastAsia" w:ascii="宋体" w:hAnsi="宋体" w:cs="宋体"/>
                <w:color w:val="000000" w:themeColor="text1"/>
                <w:kern w:val="0"/>
                <w:sz w:val="24"/>
                <w:highlight w:val="none"/>
                <w14:textFill>
                  <w14:solidFill>
                    <w14:schemeClr w14:val="tx1"/>
                  </w14:solidFill>
                </w14:textFill>
              </w:rPr>
              <w:t>662.6万元</w:t>
            </w:r>
            <w:r>
              <w:rPr>
                <w:rFonts w:hint="eastAsia" w:ascii="宋体" w:hAnsi="宋体" w:cs="宋体"/>
                <w:color w:val="000000" w:themeColor="text1"/>
                <w:sz w:val="24"/>
                <w:szCs w:val="24"/>
                <w:highlight w:val="none"/>
                <w14:textFill>
                  <w14:solidFill>
                    <w14:schemeClr w14:val="tx1"/>
                  </w14:solidFill>
                </w14:textFill>
              </w:rPr>
              <w:t>；其中各标包的限价金额如下：</w:t>
            </w:r>
          </w:p>
          <w:tbl>
            <w:tblPr>
              <w:tblStyle w:val="59"/>
              <w:tblW w:w="45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3822"/>
              <w:gridCol w:w="38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atLeast"/>
                <w:jc w:val="center"/>
              </w:trPr>
              <w:tc>
                <w:tcPr>
                  <w:tcW w:w="2499" w:type="pct"/>
                  <w:vAlign w:val="center"/>
                </w:tcPr>
                <w:p>
                  <w:pPr>
                    <w:spacing w:line="360" w:lineRule="auto"/>
                    <w:jc w:val="center"/>
                    <w:textAlignment w:val="center"/>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b/>
                      <w:color w:val="000000" w:themeColor="text1"/>
                      <w:kern w:val="0"/>
                      <w:sz w:val="24"/>
                      <w:szCs w:val="24"/>
                      <w:highlight w:val="none"/>
                      <w14:textFill>
                        <w14:solidFill>
                          <w14:schemeClr w14:val="tx1"/>
                        </w14:solidFill>
                      </w14:textFill>
                    </w:rPr>
                    <w:t>标包号</w:t>
                  </w:r>
                </w:p>
              </w:tc>
              <w:tc>
                <w:tcPr>
                  <w:tcW w:w="2500" w:type="pct"/>
                  <w:tcBorders>
                    <w:right w:val="single" w:color="auto" w:sz="4" w:space="0"/>
                  </w:tcBorders>
                  <w:vAlign w:val="center"/>
                </w:tcPr>
                <w:p>
                  <w:pPr>
                    <w:spacing w:line="360" w:lineRule="auto"/>
                    <w:jc w:val="center"/>
                    <w:textAlignment w:val="center"/>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b/>
                      <w:color w:val="000000" w:themeColor="text1"/>
                      <w:kern w:val="0"/>
                      <w:sz w:val="24"/>
                      <w:szCs w:val="24"/>
                      <w:highlight w:val="none"/>
                      <w14:textFill>
                        <w14:solidFill>
                          <w14:schemeClr w14:val="tx1"/>
                        </w14:solidFill>
                      </w14:textFill>
                    </w:rPr>
                    <w:t>限价金额（</w:t>
                  </w:r>
                  <w:r>
                    <w:rPr>
                      <w:rFonts w:hint="eastAsia" w:ascii="宋体" w:hAnsi="宋体" w:cs="宋体"/>
                      <w:b/>
                      <w:color w:val="000000" w:themeColor="text1"/>
                      <w:kern w:val="0"/>
                      <w:sz w:val="24"/>
                      <w:szCs w:val="24"/>
                      <w:highlight w:val="none"/>
                      <w:lang w:val="en-US" w:eastAsia="zh-CN"/>
                      <w14:textFill>
                        <w14:solidFill>
                          <w14:schemeClr w14:val="tx1"/>
                        </w14:solidFill>
                      </w14:textFill>
                    </w:rPr>
                    <w:t>万</w:t>
                  </w:r>
                  <w:r>
                    <w:rPr>
                      <w:rFonts w:hint="eastAsia" w:ascii="宋体" w:hAnsi="宋体" w:cs="宋体"/>
                      <w:b/>
                      <w:color w:val="000000" w:themeColor="text1"/>
                      <w:kern w:val="0"/>
                      <w:sz w:val="24"/>
                      <w:szCs w:val="24"/>
                      <w:highlight w:val="none"/>
                      <w14:textFill>
                        <w14:solidFill>
                          <w14:schemeClr w14:val="tx1"/>
                        </w14:solidFill>
                      </w14:textFill>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10" w:hRule="atLeast"/>
                <w:jc w:val="center"/>
              </w:trPr>
              <w:tc>
                <w:tcPr>
                  <w:tcW w:w="3569" w:type="dxa"/>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、照明类</w:t>
                  </w:r>
                </w:p>
              </w:tc>
              <w:tc>
                <w:tcPr>
                  <w:tcW w:w="2500" w:type="pct"/>
                  <w:tcBorders>
                    <w:right w:val="single" w:color="auto" w:sz="4" w:space="0"/>
                  </w:tcBorders>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55.25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10" w:hRule="atLeast"/>
                <w:jc w:val="center"/>
              </w:trPr>
              <w:tc>
                <w:tcPr>
                  <w:tcW w:w="3569" w:type="dxa"/>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bidi="ar"/>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二</w:t>
                  </w:r>
                  <w:r>
                    <w:rPr>
                      <w:rFonts w:hint="eastAsia" w:asciiTheme="minorEastAsia" w:hAnsiTheme="minorEastAsia" w:eastAsiaTheme="minorEastAsia" w:cstheme="minorEastAsia"/>
                      <w:color w:val="000000" w:themeColor="text1"/>
                      <w:sz w:val="24"/>
                      <w:szCs w:val="24"/>
                      <w:highlight w:val="none"/>
                      <w:lang w:bidi="ar"/>
                      <w14:textFill>
                        <w14:solidFill>
                          <w14:schemeClr w14:val="tx1"/>
                        </w14:solidFill>
                      </w14:textFill>
                    </w:rPr>
                    <w:t>、水域救援类</w:t>
                  </w:r>
                </w:p>
              </w:tc>
              <w:tc>
                <w:tcPr>
                  <w:tcW w:w="2500" w:type="pct"/>
                  <w:tcBorders>
                    <w:right w:val="single" w:color="auto" w:sz="4" w:space="0"/>
                  </w:tcBorders>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456.6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20" w:hRule="atLeast"/>
                <w:jc w:val="center"/>
              </w:trPr>
              <w:tc>
                <w:tcPr>
                  <w:tcW w:w="3569" w:type="dxa"/>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、保障类</w:t>
                  </w:r>
                </w:p>
              </w:tc>
              <w:tc>
                <w:tcPr>
                  <w:tcW w:w="2500" w:type="pct"/>
                  <w:tcBorders>
                    <w:right w:val="single" w:color="auto" w:sz="4" w:space="0"/>
                  </w:tcBorders>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52.98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20" w:hRule="atLeast"/>
                <w:jc w:val="center"/>
              </w:trPr>
              <w:tc>
                <w:tcPr>
                  <w:tcW w:w="3569" w:type="dxa"/>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、其他类</w:t>
                  </w:r>
                </w:p>
              </w:tc>
              <w:tc>
                <w:tcPr>
                  <w:tcW w:w="2500" w:type="pct"/>
                  <w:tcBorders>
                    <w:right w:val="single" w:color="auto" w:sz="4" w:space="0"/>
                  </w:tcBorders>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97.77</w:t>
                  </w:r>
                </w:p>
              </w:tc>
            </w:tr>
          </w:tbl>
          <w:p>
            <w:pPr>
              <w:spacing w:line="360" w:lineRule="auto"/>
              <w:ind w:firstLine="240" w:firstLineChars="100"/>
              <w:jc w:val="left"/>
              <w:outlineLvl w:val="5"/>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超过最高限价的报价为无效投标。</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341" w:hRule="atLeast"/>
          <w:jc w:val="center"/>
        </w:trPr>
        <w:tc>
          <w:tcPr>
            <w:tcW w:w="601"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8</w:t>
            </w:r>
          </w:p>
        </w:tc>
        <w:tc>
          <w:tcPr>
            <w:tcW w:w="1967" w:type="dxa"/>
            <w:vAlign w:val="center"/>
          </w:tcPr>
          <w:p>
            <w:pPr>
              <w:spacing w:line="360" w:lineRule="auto"/>
              <w:ind w:firstLine="482"/>
              <w:jc w:val="center"/>
              <w:outlineLvl w:val="5"/>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低于成本价不正当竞争预防措施</w:t>
            </w:r>
          </w:p>
          <w:p>
            <w:pPr>
              <w:spacing w:line="360" w:lineRule="auto"/>
              <w:jc w:val="center"/>
              <w:outlineLvl w:val="5"/>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lang w:val="zh-CN"/>
                <w14:textFill>
                  <w14:solidFill>
                    <w14:schemeClr w14:val="tx1"/>
                  </w14:solidFill>
                </w14:textFill>
              </w:rPr>
              <w:t>（实质性要求）</w:t>
            </w:r>
          </w:p>
        </w:tc>
        <w:tc>
          <w:tcPr>
            <w:tcW w:w="7873" w:type="dxa"/>
            <w:vAlign w:val="center"/>
          </w:tcPr>
          <w:p>
            <w:pPr>
              <w:spacing w:line="360" w:lineRule="auto"/>
              <w:ind w:firstLine="240" w:firstLineChars="100"/>
              <w:jc w:val="left"/>
              <w:outlineLvl w:val="5"/>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在评标过程中，评审委员认为投标人的报价明显低于其他有效投标人的报价，有可能影响产品质量或者不能诚信履约的，评标委员会应当要求其在评标现场合理的时间内提供成本构成书面说明，并提供能正常履约的书面承诺。投标人书面说明应当按照国家财务会计制度的规定要求，逐项就投标人提供的货物、工程和服务的主营业务成本（应根据投标人企业类型予以区别）、税金及附加、销售费用、管理费用、财务费用等成本构成事项详细陈述。</w:t>
            </w:r>
          </w:p>
          <w:p>
            <w:pPr>
              <w:spacing w:line="360" w:lineRule="auto"/>
              <w:ind w:firstLine="482"/>
              <w:jc w:val="left"/>
              <w:outlineLvl w:val="5"/>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投标人书面说明应当签字确认或者加盖公章，否则无效。书面说明的签字确认，投标人为法人的，由其法定代表人或者代理人签字确认；投标人为其他组织的，由其主要负责人或者代理人签字确认；投标人为自然人的，由其本人或者代理人签字确认。</w:t>
            </w:r>
          </w:p>
          <w:p>
            <w:pPr>
              <w:spacing w:line="360" w:lineRule="auto"/>
              <w:ind w:firstLine="482"/>
              <w:jc w:val="left"/>
              <w:outlineLvl w:val="5"/>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50" w:hRule="atLeast"/>
          <w:jc w:val="center"/>
        </w:trPr>
        <w:tc>
          <w:tcPr>
            <w:tcW w:w="601"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9</w:t>
            </w:r>
          </w:p>
        </w:tc>
        <w:tc>
          <w:tcPr>
            <w:tcW w:w="1967" w:type="dxa"/>
            <w:vAlign w:val="center"/>
          </w:tcPr>
          <w:p>
            <w:pPr>
              <w:pStyle w:val="467"/>
              <w:spacing w:line="360" w:lineRule="auto"/>
              <w:jc w:val="center"/>
              <w:rPr>
                <w:rFonts w:cs="宋体"/>
                <w:color w:val="000000" w:themeColor="text1"/>
                <w:kern w:val="2"/>
                <w:highlight w:val="none"/>
                <w14:textFill>
                  <w14:solidFill>
                    <w14:schemeClr w14:val="tx1"/>
                  </w14:solidFill>
                </w14:textFill>
              </w:rPr>
            </w:pPr>
            <w:r>
              <w:rPr>
                <w:rFonts w:hint="eastAsia" w:cs="宋体"/>
                <w:color w:val="000000" w:themeColor="text1"/>
                <w:kern w:val="2"/>
                <w:highlight w:val="none"/>
                <w14:textFill>
                  <w14:solidFill>
                    <w14:schemeClr w14:val="tx1"/>
                  </w14:solidFill>
                </w14:textFill>
              </w:rPr>
              <w:t>政策性奖励与惩戒</w:t>
            </w:r>
          </w:p>
        </w:tc>
        <w:tc>
          <w:tcPr>
            <w:tcW w:w="7873" w:type="dxa"/>
            <w:vAlign w:val="center"/>
          </w:tcPr>
          <w:p>
            <w:pPr>
              <w:spacing w:line="360" w:lineRule="auto"/>
              <w:ind w:right="105" w:rightChars="50"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一、小微企业（监狱企业视同小微企业）价格扣除：</w:t>
            </w:r>
          </w:p>
          <w:p>
            <w:pPr>
              <w:spacing w:line="360" w:lineRule="auto"/>
              <w:ind w:right="105" w:rightChars="50"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1、根据《政府采购促进中小企业发展管理办法》（财库[2020]46号）的规定，对小型和微型企业产品的价格给予10%的价格扣除，用扣除后的价格参与评标。</w:t>
            </w:r>
          </w:p>
          <w:p>
            <w:pPr>
              <w:spacing w:line="360" w:lineRule="auto"/>
              <w:ind w:right="105" w:rightChars="50"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%的扣除，用扣除后的价格参加评审组成联合体或者接受分包的小微企业与联合体内其他企业、分包企业之间存在直接控股、管理关系的，不享受价格扣除优惠政策。</w:t>
            </w:r>
          </w:p>
          <w:p>
            <w:pPr>
              <w:spacing w:line="360" w:lineRule="auto"/>
              <w:ind w:right="105" w:rightChars="50"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3、参加政府采购活动的中小企业应当提供《中小企业声明函》原件。</w:t>
            </w:r>
          </w:p>
          <w:p>
            <w:pPr>
              <w:pStyle w:val="3"/>
              <w:spacing w:before="0" w:after="0" w:line="360" w:lineRule="auto"/>
              <w:ind w:firstLine="240" w:firstLineChars="100"/>
              <w:rPr>
                <w:rFonts w:ascii="宋体" w:hAnsi="宋体" w:cs="宋体"/>
                <w:b w:val="0"/>
                <w:bCs w:val="0"/>
                <w:color w:val="000000" w:themeColor="text1"/>
                <w:kern w:val="2"/>
                <w:sz w:val="24"/>
                <w:szCs w:val="24"/>
                <w:highlight w:val="none"/>
                <w14:textFill>
                  <w14:solidFill>
                    <w14:schemeClr w14:val="tx1"/>
                  </w14:solidFill>
                </w14:textFill>
              </w:rPr>
            </w:pPr>
            <w:r>
              <w:rPr>
                <w:rFonts w:hint="eastAsia" w:ascii="宋体" w:hAnsi="宋体" w:cs="宋体"/>
                <w:b w:val="0"/>
                <w:bCs w:val="0"/>
                <w:color w:val="000000" w:themeColor="text1"/>
                <w:kern w:val="2"/>
                <w:sz w:val="24"/>
                <w:szCs w:val="24"/>
                <w:highlight w:val="none"/>
                <w14:textFill>
                  <w14:solidFill>
                    <w14:schemeClr w14:val="tx1"/>
                  </w14:solidFill>
                </w14:textFill>
              </w:rPr>
              <w:t>4、</w:t>
            </w:r>
            <w:r>
              <w:rPr>
                <w:rFonts w:hint="eastAsia" w:ascii="宋体" w:hAnsi="宋体" w:cs="宋体"/>
                <w:b w:val="0"/>
                <w:bCs w:val="0"/>
                <w:color w:val="000000" w:themeColor="text1"/>
                <w:kern w:val="2"/>
                <w:sz w:val="24"/>
                <w:szCs w:val="24"/>
                <w:highlight w:val="none"/>
                <w:lang w:val="zh-CN"/>
                <w14:textFill>
                  <w14:solidFill>
                    <w14:schemeClr w14:val="tx1"/>
                  </w14:solidFill>
                </w14:textFill>
              </w:rPr>
              <w:t>根据财库〔2014〕68号《财政部</w:t>
            </w:r>
            <w:r>
              <w:rPr>
                <w:rFonts w:hint="eastAsia" w:ascii="宋体" w:hAnsi="宋体" w:cs="宋体"/>
                <w:b w:val="0"/>
                <w:bCs w:val="0"/>
                <w:color w:val="000000" w:themeColor="text1"/>
                <w:kern w:val="2"/>
                <w:sz w:val="24"/>
                <w:szCs w:val="24"/>
                <w:highlight w:val="none"/>
                <w14:textFill>
                  <w14:solidFill>
                    <w14:schemeClr w14:val="tx1"/>
                  </w14:solidFill>
                </w14:textFill>
              </w:rPr>
              <w:t xml:space="preserve"> </w:t>
            </w:r>
            <w:r>
              <w:rPr>
                <w:rFonts w:hint="eastAsia" w:ascii="宋体" w:hAnsi="宋体" w:cs="宋体"/>
                <w:b w:val="0"/>
                <w:bCs w:val="0"/>
                <w:color w:val="000000" w:themeColor="text1"/>
                <w:kern w:val="2"/>
                <w:sz w:val="24"/>
                <w:szCs w:val="24"/>
                <w:highlight w:val="none"/>
                <w:lang w:val="zh-CN"/>
                <w14:textFill>
                  <w14:solidFill>
                    <w14:schemeClr w14:val="tx1"/>
                  </w14:solidFill>
                </w14:textFill>
              </w:rPr>
              <w:t>司法部关于政府采购支持监狱企业发展有关问题的通知》，监狱企业视同小微企业。监狱企业投标时，提供由省级以上监狱管理局、戒毒管理局（含新疆生产建设兵团）出具的属于监狱企业的证明文件。</w:t>
            </w:r>
          </w:p>
          <w:p>
            <w:pPr>
              <w:spacing w:line="360" w:lineRule="auto"/>
              <w:ind w:right="105" w:rightChars="50"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二、符合促进残疾人就业条件投标人的价格扣除：</w:t>
            </w:r>
          </w:p>
          <w:p>
            <w:pPr>
              <w:spacing w:line="360" w:lineRule="auto"/>
              <w:ind w:right="105" w:rightChars="50"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根据《关于促进残疾人就业政府采购政策的通知》（财库〔2017〕141号）的规定，同时满足以下条件的残疾人福利性单位可享受10%的价格扣除，用扣除后的价格参与评标：①安置的残疾人占本单位在职职工人数的比例不低于25%（含25%），并且安置的残疾人人数不少于10人（含10人）；②依法与安置的每位残疾人签订了一年以上（含一年）的劳动合同或服务协议；③为安置的每位残疾人按月足额缴纳了基本养老保险、基本医疗保险、失业保险、工伤保险和生育保险等社会保险费；④通过银行等金融机构向安置的每位残疾人，按月支付了不低于单位所在区县适用的经省级人民政府批准的月最低工资标准的工资；⑤提供本单位制造的货物、承担的工程或者服务（以下简称产品），或者提供其他残疾人福利性单位制造的货物（不包括使用非残疾人福利性单位注册商标的货物）。⑥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right="105" w:rightChars="50"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2、参加政府采购活动的残疾人福利性单位应当提供《残疾人福利性单位声明函》原件。</w:t>
            </w:r>
          </w:p>
          <w:p>
            <w:pPr>
              <w:spacing w:line="360" w:lineRule="auto"/>
              <w:ind w:right="105" w:rightChars="50"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【注】残疾人福利性单位属于小型、微型企业的，不重复享受政策。</w:t>
            </w:r>
          </w:p>
          <w:p>
            <w:pPr>
              <w:numPr>
                <w:ilvl w:val="0"/>
                <w:numId w:val="4"/>
              </w:numPr>
              <w:spacing w:line="360" w:lineRule="auto"/>
              <w:ind w:right="105" w:rightChars="50"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扶持不发达地区和少数民族地区（如涉及）：</w:t>
            </w:r>
          </w:p>
          <w:p>
            <w:pPr>
              <w:spacing w:line="360" w:lineRule="auto"/>
              <w:ind w:right="105" w:rightChars="50"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扶持不发达地区和少数民族地区政策，按现行有效政策执行。投标人符合扶持不发达地区和少数民族地区政策条件的，在同等条件下享有优先中标的机会。</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50" w:hRule="atLeas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10</w:t>
            </w:r>
          </w:p>
        </w:tc>
        <w:tc>
          <w:tcPr>
            <w:tcW w:w="1967" w:type="dxa"/>
            <w:vAlign w:val="center"/>
          </w:tcPr>
          <w:p>
            <w:pPr>
              <w:spacing w:line="360" w:lineRule="auto"/>
              <w:ind w:left="105" w:leftChars="50" w:right="105" w:rightChars="50"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评标情况公告</w:t>
            </w:r>
          </w:p>
        </w:tc>
        <w:tc>
          <w:tcPr>
            <w:tcW w:w="7873" w:type="dxa"/>
            <w:vAlign w:val="center"/>
          </w:tcPr>
          <w:p>
            <w:pPr>
              <w:widowControl/>
              <w:spacing w:line="360" w:lineRule="auto"/>
              <w:ind w:firstLine="240" w:firstLineChars="1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所有投标人投标文件资格性、符合性检查情况、采用综合评分法时的总得分情况、评标结果等将在中国政府采购网上采购结果公告栏中予以公告。</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47" w:hRule="exac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11</w:t>
            </w:r>
          </w:p>
        </w:tc>
        <w:tc>
          <w:tcPr>
            <w:tcW w:w="1967" w:type="dxa"/>
            <w:vAlign w:val="center"/>
          </w:tcPr>
          <w:p>
            <w:pPr>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联合体投标</w:t>
            </w:r>
          </w:p>
        </w:tc>
        <w:tc>
          <w:tcPr>
            <w:tcW w:w="7873" w:type="dxa"/>
            <w:vAlign w:val="center"/>
          </w:tcPr>
          <w:p>
            <w:pPr>
              <w:spacing w:line="360" w:lineRule="auto"/>
              <w:ind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50" w:hRule="atLeas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12</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考察现场、标前答</w:t>
            </w:r>
          </w:p>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疑会</w:t>
            </w:r>
          </w:p>
        </w:tc>
        <w:tc>
          <w:tcPr>
            <w:tcW w:w="7873" w:type="dxa"/>
            <w:vAlign w:val="center"/>
          </w:tcPr>
          <w:p>
            <w:pPr>
              <w:pStyle w:val="467"/>
              <w:spacing w:line="360" w:lineRule="auto"/>
              <w:ind w:firstLine="240" w:firstLineChars="100"/>
              <w:jc w:val="both"/>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招标采购单位认为有必要，另行书面通知。</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50" w:hRule="atLeas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13</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投标人对招标文件提出质疑的时间</w:t>
            </w:r>
          </w:p>
        </w:tc>
        <w:tc>
          <w:tcPr>
            <w:tcW w:w="7873" w:type="dxa"/>
            <w:vAlign w:val="center"/>
          </w:tcPr>
          <w:p>
            <w:pPr>
              <w:pStyle w:val="467"/>
              <w:spacing w:line="360" w:lineRule="auto"/>
              <w:ind w:firstLine="240" w:firstLineChars="100"/>
              <w:jc w:val="both"/>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自投标人获得招标文件之日起的七个工作日内。</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14" w:hRule="atLeas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14</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构成招标文件的其他文件</w:t>
            </w:r>
          </w:p>
        </w:tc>
        <w:tc>
          <w:tcPr>
            <w:tcW w:w="7873" w:type="dxa"/>
            <w:vAlign w:val="center"/>
          </w:tcPr>
          <w:p>
            <w:pPr>
              <w:pStyle w:val="467"/>
              <w:spacing w:line="360" w:lineRule="auto"/>
              <w:ind w:left="239" w:leftChars="114"/>
              <w:jc w:val="both"/>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招标文件的澄清</w:t>
            </w:r>
            <w:r>
              <w:rPr>
                <w:rFonts w:hint="eastAsia" w:cs="宋体"/>
                <w:color w:val="000000" w:themeColor="text1"/>
                <w:highlight w:val="none"/>
                <w14:textFill>
                  <w14:solidFill>
                    <w14:schemeClr w14:val="tx1"/>
                  </w14:solidFill>
                </w14:textFill>
              </w:rPr>
              <w:t>、修改书及有关补充通知为招标文件的有效组成部分。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94" w:hRule="exac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15</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投标有效期</w:t>
            </w:r>
          </w:p>
        </w:tc>
        <w:tc>
          <w:tcPr>
            <w:tcW w:w="7873" w:type="dxa"/>
            <w:vAlign w:val="center"/>
          </w:tcPr>
          <w:p>
            <w:pPr>
              <w:pStyle w:val="467"/>
              <w:spacing w:line="360" w:lineRule="auto"/>
              <w:ind w:firstLine="240" w:firstLineChars="100"/>
              <w:jc w:val="both"/>
              <w:rPr>
                <w:rFonts w:cs="宋体"/>
                <w:color w:val="000000" w:themeColor="text1"/>
                <w:highlight w:val="none"/>
                <w:lang w:val="zh-CN"/>
                <w14:textFill>
                  <w14:solidFill>
                    <w14:schemeClr w14:val="tx1"/>
                  </w14:solidFill>
                </w14:textFill>
              </w:rPr>
            </w:pPr>
            <w:r>
              <w:rPr>
                <w:rFonts w:hint="eastAsia" w:cs="宋体"/>
                <w:color w:val="000000" w:themeColor="text1"/>
                <w:highlight w:val="none"/>
                <w14:textFill>
                  <w14:solidFill>
                    <w14:schemeClr w14:val="tx1"/>
                  </w14:solidFill>
                </w14:textFill>
              </w:rPr>
              <w:t>投标截止时间届满后90天。</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20" w:hRule="atLeas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16</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投标保证金</w:t>
            </w:r>
          </w:p>
        </w:tc>
        <w:tc>
          <w:tcPr>
            <w:tcW w:w="7873" w:type="dxa"/>
            <w:vAlign w:val="center"/>
          </w:tcPr>
          <w:p>
            <w:pPr>
              <w:numPr>
                <w:ilvl w:val="0"/>
                <w:numId w:val="5"/>
              </w:numPr>
              <w:tabs>
                <w:tab w:val="left" w:leader="dot" w:pos="7560"/>
              </w:tabs>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各标包投标保证金金额如下：</w:t>
            </w:r>
          </w:p>
          <w:tbl>
            <w:tblPr>
              <w:tblStyle w:val="59"/>
              <w:tblW w:w="43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3684"/>
              <w:gridCol w:w="36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06" w:hRule="atLeast"/>
                <w:jc w:val="center"/>
              </w:trPr>
              <w:tc>
                <w:tcPr>
                  <w:tcW w:w="2500" w:type="pct"/>
                  <w:vAlign w:val="center"/>
                </w:tcPr>
                <w:p>
                  <w:pPr>
                    <w:spacing w:line="360" w:lineRule="auto"/>
                    <w:jc w:val="center"/>
                    <w:textAlignment w:val="center"/>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b/>
                      <w:color w:val="000000" w:themeColor="text1"/>
                      <w:kern w:val="0"/>
                      <w:sz w:val="24"/>
                      <w:szCs w:val="24"/>
                      <w:highlight w:val="none"/>
                      <w14:textFill>
                        <w14:solidFill>
                          <w14:schemeClr w14:val="tx1"/>
                        </w14:solidFill>
                      </w14:textFill>
                    </w:rPr>
                    <w:t>标包号</w:t>
                  </w:r>
                </w:p>
              </w:tc>
              <w:tc>
                <w:tcPr>
                  <w:tcW w:w="2500" w:type="pct"/>
                  <w:tcBorders>
                    <w:right w:val="single" w:color="auto" w:sz="4" w:space="0"/>
                  </w:tcBorders>
                  <w:vAlign w:val="center"/>
                </w:tcPr>
                <w:p>
                  <w:pPr>
                    <w:spacing w:line="360" w:lineRule="auto"/>
                    <w:jc w:val="center"/>
                    <w:textAlignment w:val="center"/>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b/>
                      <w:color w:val="000000" w:themeColor="text1"/>
                      <w:kern w:val="0"/>
                      <w:sz w:val="24"/>
                      <w:szCs w:val="24"/>
                      <w:highlight w:val="none"/>
                      <w14:textFill>
                        <w14:solidFill>
                          <w14:schemeClr w14:val="tx1"/>
                        </w14:solidFill>
                      </w14:textFill>
                    </w:rPr>
                    <w:t>金额（万元）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06" w:hRule="atLeast"/>
                <w:jc w:val="center"/>
              </w:trPr>
              <w:tc>
                <w:tcPr>
                  <w:tcW w:w="3439" w:type="dxa"/>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、照明类</w:t>
                  </w:r>
                </w:p>
              </w:tc>
              <w:tc>
                <w:tcPr>
                  <w:tcW w:w="2500" w:type="pct"/>
                  <w:tcBorders>
                    <w:right w:val="single" w:color="auto" w:sz="4" w:space="0"/>
                  </w:tcBorders>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06" w:hRule="atLeast"/>
                <w:jc w:val="center"/>
              </w:trPr>
              <w:tc>
                <w:tcPr>
                  <w:tcW w:w="3439" w:type="dxa"/>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bidi="ar"/>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二</w:t>
                  </w:r>
                  <w:r>
                    <w:rPr>
                      <w:rFonts w:hint="eastAsia" w:asciiTheme="minorEastAsia" w:hAnsiTheme="minorEastAsia" w:eastAsiaTheme="minorEastAsia" w:cstheme="minorEastAsia"/>
                      <w:color w:val="000000" w:themeColor="text1"/>
                      <w:sz w:val="24"/>
                      <w:szCs w:val="24"/>
                      <w:highlight w:val="none"/>
                      <w:lang w:bidi="ar"/>
                      <w14:textFill>
                        <w14:solidFill>
                          <w14:schemeClr w14:val="tx1"/>
                        </w14:solidFill>
                      </w14:textFill>
                    </w:rPr>
                    <w:t>、水域救援类</w:t>
                  </w:r>
                </w:p>
              </w:tc>
              <w:tc>
                <w:tcPr>
                  <w:tcW w:w="2500" w:type="pct"/>
                  <w:tcBorders>
                    <w:right w:val="single" w:color="auto" w:sz="4" w:space="0"/>
                  </w:tcBorders>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0.6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25" w:hRule="atLeast"/>
                <w:jc w:val="center"/>
              </w:trPr>
              <w:tc>
                <w:tcPr>
                  <w:tcW w:w="3439" w:type="dxa"/>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、保障类</w:t>
                  </w:r>
                </w:p>
              </w:tc>
              <w:tc>
                <w:tcPr>
                  <w:tcW w:w="2500" w:type="pct"/>
                  <w:tcBorders>
                    <w:right w:val="single" w:color="auto" w:sz="4" w:space="0"/>
                  </w:tcBorders>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25" w:hRule="atLeast"/>
                <w:jc w:val="center"/>
              </w:trPr>
              <w:tc>
                <w:tcPr>
                  <w:tcW w:w="3439" w:type="dxa"/>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、其他类</w:t>
                  </w:r>
                </w:p>
              </w:tc>
              <w:tc>
                <w:tcPr>
                  <w:tcW w:w="2500" w:type="pct"/>
                  <w:tcBorders>
                    <w:right w:val="single" w:color="auto" w:sz="4" w:space="0"/>
                  </w:tcBorders>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0.8</w:t>
                  </w:r>
                </w:p>
              </w:tc>
            </w:tr>
          </w:tbl>
          <w:p>
            <w:pPr>
              <w:pStyle w:val="23"/>
              <w:ind w:firstLine="482"/>
              <w:rPr>
                <w:rFonts w:ascii="宋体" w:hAnsi="宋体" w:cs="宋体"/>
                <w:color w:val="000000" w:themeColor="text1"/>
                <w:highlight w:val="none"/>
                <w14:textFill>
                  <w14:solidFill>
                    <w14:schemeClr w14:val="tx1"/>
                  </w14:solidFill>
                </w14:textFill>
              </w:rPr>
            </w:pPr>
          </w:p>
          <w:p>
            <w:pPr>
              <w:tabs>
                <w:tab w:val="left" w:leader="dot" w:pos="7560"/>
              </w:tabs>
              <w:spacing w:line="360" w:lineRule="auto"/>
              <w:ind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2、交款方式：转账、支票、汇票、本票或者保函等非现金形式提交；投标人未按照招标文件要求提交投标保证金的，投标无效。</w:t>
            </w:r>
          </w:p>
          <w:p>
            <w:pPr>
              <w:pStyle w:val="30"/>
              <w:snapToGrid w:val="0"/>
              <w:ind w:firstLine="241" w:firstLineChars="100"/>
              <w:rPr>
                <w:rFonts w:hAnsi="宋体" w:cs="宋体"/>
                <w:b/>
                <w:bCs/>
                <w:color w:val="000000" w:themeColor="text1"/>
                <w:szCs w:val="24"/>
                <w:highlight w:val="none"/>
                <w14:textFill>
                  <w14:solidFill>
                    <w14:schemeClr w14:val="tx1"/>
                  </w14:solidFill>
                </w14:textFill>
              </w:rPr>
            </w:pPr>
            <w:r>
              <w:rPr>
                <w:rFonts w:hint="eastAsia" w:hAnsi="宋体" w:cs="宋体"/>
                <w:b/>
                <w:bCs/>
                <w:color w:val="000000" w:themeColor="text1"/>
                <w:szCs w:val="24"/>
                <w:highlight w:val="none"/>
                <w14:textFill>
                  <w14:solidFill>
                    <w14:schemeClr w14:val="tx1"/>
                  </w14:solidFill>
                </w14:textFill>
              </w:rPr>
              <w:t>收款单位：众聚能国际建工有限公司</w:t>
            </w:r>
          </w:p>
          <w:p>
            <w:pPr>
              <w:tabs>
                <w:tab w:val="left" w:leader="dot" w:pos="7560"/>
              </w:tabs>
              <w:spacing w:line="360" w:lineRule="auto"/>
              <w:ind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开户行：</w:t>
            </w:r>
            <w:r>
              <w:rPr>
                <w:rFonts w:hint="eastAsia" w:ascii="宋体" w:hAnsi="宋体" w:cs="宋体"/>
                <w:color w:val="000000" w:themeColor="text1"/>
                <w:sz w:val="24"/>
                <w:szCs w:val="24"/>
                <w:highlight w:val="none"/>
                <w:lang w:val="en-US" w:eastAsia="zh-CN"/>
                <w14:textFill>
                  <w14:solidFill>
                    <w14:schemeClr w14:val="tx1"/>
                  </w14:solidFill>
                </w14:textFill>
              </w:rPr>
              <w:t>中国银行股份有限公司眉山眉州大道支行</w:t>
            </w:r>
            <w:r>
              <w:rPr>
                <w:rFonts w:hint="eastAsia" w:ascii="宋体" w:hAnsi="宋体" w:cs="宋体"/>
                <w:color w:val="000000" w:themeColor="text1"/>
                <w:sz w:val="24"/>
                <w:szCs w:val="24"/>
                <w:highlight w:val="none"/>
                <w14:textFill>
                  <w14:solidFill>
                    <w14:schemeClr w14:val="tx1"/>
                  </w14:solidFill>
                </w14:textFill>
              </w:rPr>
              <w:t xml:space="preserve"> </w:t>
            </w:r>
          </w:p>
          <w:p>
            <w:pPr>
              <w:tabs>
                <w:tab w:val="left" w:leader="dot" w:pos="7560"/>
              </w:tabs>
              <w:spacing w:line="360" w:lineRule="auto"/>
              <w:ind w:firstLine="240" w:firstLineChars="100"/>
            </w:pPr>
            <w:r>
              <w:rPr>
                <w:rFonts w:hint="eastAsia" w:ascii="宋体" w:hAnsi="宋体" w:cs="宋体"/>
                <w:color w:val="000000" w:themeColor="text1"/>
                <w:sz w:val="24"/>
                <w:szCs w:val="24"/>
                <w:highlight w:val="none"/>
                <w14:textFill>
                  <w14:solidFill>
                    <w14:schemeClr w14:val="tx1"/>
                  </w14:solidFill>
                </w14:textFill>
              </w:rPr>
              <w:t>账号：</w:t>
            </w:r>
            <w:r>
              <w:rPr>
                <w:rFonts w:hint="eastAsia" w:ascii="宋体" w:hAnsi="宋体" w:cs="宋体"/>
                <w:color w:val="000000" w:themeColor="text1"/>
                <w:sz w:val="24"/>
                <w:szCs w:val="24"/>
                <w:highlight w:val="none"/>
                <w:lang w:val="en-US" w:eastAsia="zh-CN"/>
                <w14:textFill>
                  <w14:solidFill>
                    <w14:schemeClr w14:val="tx1"/>
                  </w14:solidFill>
                </w14:textFill>
              </w:rPr>
              <w:t>128012978785</w:t>
            </w:r>
            <w:r>
              <w:rPr>
                <w:rFonts w:ascii="宋体" w:hAnsi="宋体" w:cs="宋体"/>
                <w:color w:val="000000" w:themeColor="text1"/>
                <w:sz w:val="24"/>
                <w:szCs w:val="24"/>
                <w:highlight w:val="none"/>
                <w14:textFill>
                  <w14:solidFill>
                    <w14:schemeClr w14:val="tx1"/>
                  </w14:solidFill>
                </w14:textFill>
              </w:rPr>
              <w:t xml:space="preserve"> </w:t>
            </w:r>
          </w:p>
          <w:p>
            <w:pPr>
              <w:pStyle w:val="46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3、采用保函方式提交投标保证金的，保函必须符合以下规定：</w:t>
            </w:r>
          </w:p>
          <w:p>
            <w:pPr>
              <w:pStyle w:val="46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a.保函应为担保机构出具的合法保函，且应为无条件保函，并有详细明显的验证方法；</w:t>
            </w:r>
          </w:p>
          <w:p>
            <w:pPr>
              <w:pStyle w:val="46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b.保函的受益人为</w:t>
            </w:r>
            <w:r>
              <w:rPr>
                <w:rFonts w:hint="eastAsia" w:cs="宋体"/>
                <w:color w:val="000000" w:themeColor="text1"/>
                <w:highlight w:val="none"/>
                <w14:textFill>
                  <w14:solidFill>
                    <w14:schemeClr w14:val="tx1"/>
                  </w14:solidFill>
                </w14:textFill>
              </w:rPr>
              <w:t>众聚能国际建工有限公司</w:t>
            </w:r>
            <w:r>
              <w:rPr>
                <w:rFonts w:hint="eastAsia" w:cs="宋体"/>
                <w:color w:val="000000" w:themeColor="text1"/>
                <w:highlight w:val="none"/>
                <w:lang w:bidi="ar"/>
                <w14:textFill>
                  <w14:solidFill>
                    <w14:schemeClr w14:val="tx1"/>
                  </w14:solidFill>
                </w14:textFill>
              </w:rPr>
              <w:t>；</w:t>
            </w:r>
          </w:p>
          <w:p>
            <w:pPr>
              <w:pStyle w:val="46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c.保函的内容包括但不限于投标人名称、项目名称（如有分包，载明分包号）、项目编号、投标保证金金额、保函的有效期、担保的内容（即：如因投标人原因发生法律法规或招标文件规定的投标保证金不予退还的情况，由担保机构向受益人足额支付投标保证金）；</w:t>
            </w:r>
          </w:p>
          <w:p>
            <w:pPr>
              <w:pStyle w:val="46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d.保函中的投标保证金金额不少于本项目规定的投标保证金金额；</w:t>
            </w:r>
          </w:p>
          <w:p>
            <w:pPr>
              <w:spacing w:line="360" w:lineRule="auto"/>
              <w:ind w:firstLine="480" w:firstLineChars="20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e.保函有效期应不短于投标有效期；</w:t>
            </w:r>
          </w:p>
          <w:p>
            <w:pPr>
              <w:spacing w:line="360" w:lineRule="auto"/>
              <w:ind w:firstLine="482" w:firstLineChars="200"/>
              <w:rPr>
                <w:rFonts w:ascii="宋体" w:hAnsi="宋体" w:cs="宋体"/>
                <w:b/>
                <w:bCs/>
                <w:color w:val="000000" w:themeColor="text1"/>
                <w:sz w:val="24"/>
                <w:szCs w:val="24"/>
                <w:highlight w:val="none"/>
                <w:lang w:bidi="ar"/>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f.保函原件单独密封，与投标文件一起递交；</w:t>
            </w:r>
          </w:p>
          <w:p>
            <w:pPr>
              <w:spacing w:line="360" w:lineRule="auto"/>
              <w:ind w:firstLine="482" w:firstLineChars="200"/>
              <w:rPr>
                <w:rFonts w:ascii="宋体" w:hAnsi="宋体" w:cs="宋体"/>
                <w:b/>
                <w:bCs/>
                <w:color w:val="000000" w:themeColor="text1"/>
                <w:sz w:val="24"/>
                <w:szCs w:val="24"/>
                <w:highlight w:val="none"/>
                <w:lang w:bidi="ar"/>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g.保函的彩色影印件或清晰可辨的复印件应装订在</w:t>
            </w:r>
            <w:r>
              <w:rPr>
                <w:rFonts w:hint="eastAsia" w:ascii="宋体" w:hAnsi="宋体" w:cs="宋体"/>
                <w:b/>
                <w:color w:val="000000" w:themeColor="text1"/>
                <w:sz w:val="24"/>
                <w:highlight w:val="none"/>
                <w14:textFill>
                  <w14:solidFill>
                    <w14:schemeClr w14:val="tx1"/>
                  </w14:solidFill>
                </w14:textFill>
              </w:rPr>
              <w:t>资格性投标文件</w:t>
            </w:r>
            <w:r>
              <w:rPr>
                <w:rFonts w:hint="eastAsia" w:ascii="宋体" w:hAnsi="宋体" w:cs="宋体"/>
                <w:b/>
                <w:bCs/>
                <w:color w:val="000000" w:themeColor="text1"/>
                <w:sz w:val="24"/>
                <w:szCs w:val="24"/>
                <w:highlight w:val="none"/>
                <w:lang w:bidi="ar"/>
                <w14:textFill>
                  <w14:solidFill>
                    <w14:schemeClr w14:val="tx1"/>
                  </w14:solidFill>
                </w14:textFill>
              </w:rPr>
              <w:t>正本中；</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h.投标人应确保保函真实有效，提供虚假保函的，采购人将向上级和公安机关举报，将依法承担法律责任。</w:t>
            </w:r>
            <w:r>
              <w:rPr>
                <w:rFonts w:hint="eastAsia" w:ascii="宋体" w:hAnsi="宋体" w:cs="宋体"/>
                <w:color w:val="000000" w:themeColor="text1"/>
                <w:sz w:val="24"/>
                <w:szCs w:val="24"/>
                <w:highlight w:val="none"/>
                <w:lang w:bidi="ar"/>
                <w14:textFill>
                  <w14:solidFill>
                    <w14:schemeClr w14:val="tx1"/>
                  </w14:solidFill>
                </w14:textFill>
              </w:rPr>
              <w:br w:type="textWrapping"/>
            </w:r>
            <w:r>
              <w:rPr>
                <w:rFonts w:hint="eastAsia" w:ascii="宋体" w:hAnsi="宋体" w:cs="宋体"/>
                <w:color w:val="000000" w:themeColor="text1"/>
                <w:sz w:val="24"/>
                <w:szCs w:val="24"/>
                <w:highlight w:val="none"/>
                <w:lang w:bidi="ar"/>
                <w14:textFill>
                  <w14:solidFill>
                    <w14:schemeClr w14:val="tx1"/>
                  </w14:solidFill>
                </w14:textFill>
              </w:rPr>
              <w:t xml:space="preserve">    4、投标保证金递交截止时间同投标文件递交截止时间。</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1</w:t>
            </w:r>
            <w:r>
              <w:rPr>
                <w:rFonts w:hint="eastAsia" w:cs="宋体"/>
                <w:color w:val="000000" w:themeColor="text1"/>
                <w:highlight w:val="none"/>
                <w14:textFill>
                  <w14:solidFill>
                    <w14:schemeClr w14:val="tx1"/>
                  </w14:solidFill>
                </w14:textFill>
              </w:rPr>
              <w:t>7</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履约保证金</w:t>
            </w:r>
          </w:p>
        </w:tc>
        <w:tc>
          <w:tcPr>
            <w:tcW w:w="7873" w:type="dxa"/>
            <w:vAlign w:val="center"/>
          </w:tcPr>
          <w:p>
            <w:pPr>
              <w:pStyle w:val="467"/>
              <w:adjustRightInd/>
              <w:spacing w:line="360" w:lineRule="auto"/>
              <w:ind w:left="53" w:leftChars="25" w:right="53" w:rightChars="25" w:firstLine="240" w:firstLineChars="100"/>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金    额：中标金额的</w:t>
            </w:r>
            <w:r>
              <w:rPr>
                <w:rFonts w:hint="eastAsia" w:cs="宋体"/>
                <w:color w:val="000000" w:themeColor="text1"/>
                <w:highlight w:val="none"/>
                <w14:textFill>
                  <w14:solidFill>
                    <w14:schemeClr w14:val="tx1"/>
                  </w14:solidFill>
                </w14:textFill>
              </w:rPr>
              <w:t>3</w:t>
            </w:r>
            <w:r>
              <w:rPr>
                <w:rFonts w:hint="eastAsia" w:cs="宋体"/>
                <w:color w:val="000000" w:themeColor="text1"/>
                <w:highlight w:val="none"/>
                <w:lang w:val="zh-CN"/>
                <w14:textFill>
                  <w14:solidFill>
                    <w14:schemeClr w14:val="tx1"/>
                  </w14:solidFill>
                </w14:textFill>
              </w:rPr>
              <w:t>%（建议履约保函）</w:t>
            </w:r>
          </w:p>
          <w:p>
            <w:pPr>
              <w:pStyle w:val="467"/>
              <w:adjustRightInd/>
              <w:spacing w:line="360" w:lineRule="auto"/>
              <w:ind w:left="53" w:leftChars="25" w:right="53" w:rightChars="25" w:firstLine="240" w:firstLineChars="10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以支票、汇票、本票或者担保机构出具的保函等非现金形式提交。</w:t>
            </w:r>
          </w:p>
          <w:p>
            <w:pPr>
              <w:pStyle w:val="467"/>
              <w:spacing w:line="360" w:lineRule="auto"/>
              <w:ind w:firstLine="240" w:firstLineChars="10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收款单位：眉山市消防救援支队。</w:t>
            </w:r>
          </w:p>
          <w:p>
            <w:pPr>
              <w:pStyle w:val="467"/>
              <w:spacing w:line="360" w:lineRule="auto"/>
              <w:ind w:firstLine="240" w:firstLineChars="10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开户行: 中国农业银行股份有限公司眉山分行</w:t>
            </w:r>
          </w:p>
          <w:p>
            <w:pPr>
              <w:pStyle w:val="467"/>
              <w:spacing w:line="360" w:lineRule="auto"/>
              <w:ind w:firstLine="240" w:firstLineChars="10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银行账号：22400201040000903</w:t>
            </w:r>
          </w:p>
          <w:p>
            <w:pPr>
              <w:pStyle w:val="467"/>
              <w:spacing w:line="360" w:lineRule="auto"/>
              <w:ind w:firstLine="240" w:firstLineChars="100"/>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交款时间：中标通知书发放后，政府采购合同签订前。</w:t>
            </w:r>
          </w:p>
          <w:p>
            <w:pPr>
              <w:pStyle w:val="467"/>
              <w:spacing w:line="360" w:lineRule="auto"/>
              <w:ind w:firstLine="240" w:firstLineChars="100"/>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注：提供保函的担保机构必须是依法成立的具有相关资质和偿付能力的担保机构。</w:t>
            </w:r>
          </w:p>
          <w:p>
            <w:pPr>
              <w:pStyle w:val="467"/>
              <w:spacing w:line="360" w:lineRule="auto"/>
              <w:ind w:firstLine="240" w:firstLineChars="100"/>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履约保证金退还方式：①以网银转账、电汇等方式提交的，履约保证金以网银转账、电汇等方式退至转款账户；②以保函方式提交的，退还保函原件。</w:t>
            </w:r>
          </w:p>
          <w:p>
            <w:pPr>
              <w:pStyle w:val="467"/>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履约保证金退还时间：验收合格后满18个月（考虑到交货、验收等不确定因素，采用保函形式提交履约保证金的，保函有效期应不短于2年），所投产品无质量问题，采购人根据中标人退还申请，于</w:t>
            </w:r>
            <w:r>
              <w:rPr>
                <w:rFonts w:hint="eastAsia" w:cs="宋体"/>
                <w:color w:val="000000" w:themeColor="text1"/>
                <w:highlight w:val="none"/>
                <w14:textFill>
                  <w14:solidFill>
                    <w14:schemeClr w14:val="tx1"/>
                  </w14:solidFill>
                </w14:textFill>
              </w:rPr>
              <w:t>15</w:t>
            </w:r>
            <w:r>
              <w:rPr>
                <w:rFonts w:hint="eastAsia" w:cs="宋体"/>
                <w:color w:val="000000" w:themeColor="text1"/>
                <w:highlight w:val="none"/>
                <w:lang w:val="zh-CN"/>
                <w14:textFill>
                  <w14:solidFill>
                    <w14:schemeClr w14:val="tx1"/>
                  </w14:solidFill>
                </w14:textFill>
              </w:rPr>
              <w:t>个工作日内无息退还中标人履约保证金。</w:t>
            </w:r>
          </w:p>
          <w:p>
            <w:pPr>
              <w:pStyle w:val="467"/>
              <w:spacing w:line="360" w:lineRule="auto"/>
              <w:ind w:firstLine="240" w:firstLineChars="100"/>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履约保证金不予退还情形：出现合同约定的不予退还情形。</w:t>
            </w:r>
          </w:p>
          <w:p>
            <w:pPr>
              <w:pStyle w:val="467"/>
              <w:spacing w:line="360" w:lineRule="auto"/>
              <w:ind w:firstLine="240" w:firstLineChars="100"/>
              <w:rPr>
                <w:rFonts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履约保证金不予退还的，将按照有关规定上缴国库。逾期退还履约保证金的，</w:t>
            </w:r>
            <w:r>
              <w:rPr>
                <w:rFonts w:hint="eastAsia" w:cs="宋体"/>
                <w:color w:val="000000" w:themeColor="text1"/>
                <w:highlight w:val="none"/>
                <w14:textFill>
                  <w14:solidFill>
                    <w14:schemeClr w14:val="tx1"/>
                  </w14:solidFill>
                </w14:textFill>
              </w:rPr>
              <w:t>采购人每逾期一天退还，将承担应退还金额千分之一的违约金。若遇项目单位因财务结算等原因封账而导致无法支付相应价款的，顺延至具备支付条件之日起15个工作日内，且不视为采购人违约</w:t>
            </w:r>
            <w:r>
              <w:rPr>
                <w:rFonts w:hint="eastAsia" w:cs="宋体"/>
                <w:color w:val="000000" w:themeColor="text1"/>
                <w:highlight w:val="none"/>
                <w:lang w:val="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41" w:hRule="atLeast"/>
          <w:jc w:val="center"/>
        </w:trPr>
        <w:tc>
          <w:tcPr>
            <w:tcW w:w="601"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1</w:t>
            </w:r>
            <w:r>
              <w:rPr>
                <w:rFonts w:hint="eastAsia" w:cs="宋体"/>
                <w:color w:val="000000" w:themeColor="text1"/>
                <w:highlight w:val="none"/>
                <w14:textFill>
                  <w14:solidFill>
                    <w14:schemeClr w14:val="tx1"/>
                  </w14:solidFill>
                </w14:textFill>
              </w:rPr>
              <w:t>8</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招标文件咨询、</w:t>
            </w:r>
          </w:p>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开评标工作咨询</w:t>
            </w:r>
          </w:p>
        </w:tc>
        <w:tc>
          <w:tcPr>
            <w:tcW w:w="7873" w:type="dxa"/>
            <w:vAlign w:val="center"/>
          </w:tcPr>
          <w:p>
            <w:pPr>
              <w:pStyle w:val="467"/>
              <w:spacing w:line="360" w:lineRule="auto"/>
              <w:ind w:firstLine="240" w:firstLineChars="100"/>
              <w:rPr>
                <w:rFonts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联 系 人：</w:t>
            </w:r>
            <w:r>
              <w:rPr>
                <w:rFonts w:hint="eastAsia" w:cs="宋体"/>
                <w:color w:val="000000" w:themeColor="text1"/>
                <w:highlight w:val="none"/>
                <w14:textFill>
                  <w14:solidFill>
                    <w14:schemeClr w14:val="tx1"/>
                  </w14:solidFill>
                </w14:textFill>
              </w:rPr>
              <w:t xml:space="preserve"> 张女士</w:t>
            </w:r>
          </w:p>
          <w:p>
            <w:pPr>
              <w:pStyle w:val="467"/>
              <w:spacing w:line="360" w:lineRule="auto"/>
              <w:ind w:firstLine="240" w:firstLineChars="100"/>
              <w:jc w:val="both"/>
              <w:rPr>
                <w:rFonts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联系电话：</w:t>
            </w:r>
            <w:r>
              <w:rPr>
                <w:rFonts w:hint="eastAsia" w:cs="宋体"/>
                <w:color w:val="000000" w:themeColor="text1"/>
                <w:szCs w:val="28"/>
                <w:highlight w:val="none"/>
                <w14:textFill>
                  <w14:solidFill>
                    <w14:schemeClr w14:val="tx1"/>
                  </w14:solidFill>
                </w14:textFill>
              </w:rPr>
              <w:t>028-38179811</w:t>
            </w:r>
            <w:r>
              <w:rPr>
                <w:rFonts w:cs="宋体"/>
                <w:color w:val="000000" w:themeColor="text1"/>
                <w:highlight w:val="none"/>
                <w:lang w:val="zh-CN"/>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10" w:hRule="atLeas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19</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中标通知书领取</w:t>
            </w:r>
          </w:p>
        </w:tc>
        <w:tc>
          <w:tcPr>
            <w:tcW w:w="7873" w:type="dxa"/>
            <w:vAlign w:val="center"/>
          </w:tcPr>
          <w:p>
            <w:pPr>
              <w:pStyle w:val="467"/>
              <w:spacing w:line="360" w:lineRule="auto"/>
              <w:ind w:firstLine="240" w:firstLineChars="100"/>
              <w:jc w:val="both"/>
              <w:rPr>
                <w:rFonts w:cs="宋体"/>
                <w:color w:val="000000" w:themeColor="text1"/>
                <w:highlight w:val="none"/>
                <w:u w:val="single"/>
                <w14:textFill>
                  <w14:solidFill>
                    <w14:schemeClr w14:val="tx1"/>
                  </w14:solidFill>
                </w14:textFill>
              </w:rPr>
            </w:pPr>
            <w:r>
              <w:rPr>
                <w:rFonts w:hint="eastAsia" w:cs="宋体"/>
                <w:color w:val="000000" w:themeColor="text1"/>
                <w:highlight w:val="none"/>
                <w:lang w:val="zh-CN"/>
                <w14:textFill>
                  <w14:solidFill>
                    <w14:schemeClr w14:val="tx1"/>
                  </w14:solidFill>
                </w14:textFill>
              </w:rPr>
              <w:t>中标公告在中国政府采购网上</w:t>
            </w:r>
            <w:r>
              <w:rPr>
                <w:rFonts w:hint="eastAsia" w:cs="宋体"/>
                <w:color w:val="000000" w:themeColor="text1"/>
                <w:highlight w:val="none"/>
                <w14:textFill>
                  <w14:solidFill>
                    <w14:schemeClr w14:val="tx1"/>
                  </w14:solidFill>
                </w14:textFill>
              </w:rPr>
              <w:t>发布</w:t>
            </w:r>
            <w:r>
              <w:rPr>
                <w:rFonts w:hint="eastAsia" w:cs="宋体"/>
                <w:color w:val="000000" w:themeColor="text1"/>
                <w:highlight w:val="none"/>
                <w:lang w:val="zh-CN"/>
                <w14:textFill>
                  <w14:solidFill>
                    <w14:schemeClr w14:val="tx1"/>
                  </w14:solidFill>
                </w14:textFill>
              </w:rPr>
              <w:t>后，中标人凭有效身份证明（单位介绍信和个人身份证）到采购代理机构领取中标通知书。</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43" w:hRule="atLeast"/>
          <w:jc w:val="center"/>
        </w:trPr>
        <w:tc>
          <w:tcPr>
            <w:tcW w:w="601"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2</w:t>
            </w:r>
            <w:r>
              <w:rPr>
                <w:rFonts w:hint="eastAsia" w:cs="宋体"/>
                <w:color w:val="000000" w:themeColor="text1"/>
                <w:highlight w:val="none"/>
                <w14:textFill>
                  <w14:solidFill>
                    <w14:schemeClr w14:val="tx1"/>
                  </w14:solidFill>
                </w14:textFill>
              </w:rPr>
              <w:t>0</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kern w:val="2"/>
                <w:highlight w:val="none"/>
                <w14:textFill>
                  <w14:solidFill>
                    <w14:schemeClr w14:val="tx1"/>
                  </w14:solidFill>
                </w14:textFill>
              </w:rPr>
              <w:t>投标人询问、质疑</w:t>
            </w:r>
          </w:p>
        </w:tc>
        <w:tc>
          <w:tcPr>
            <w:tcW w:w="7873" w:type="dxa"/>
            <w:vAlign w:val="center"/>
          </w:tcPr>
          <w:p>
            <w:pPr>
              <w:numPr>
                <w:ilvl w:val="0"/>
                <w:numId w:val="6"/>
              </w:numPr>
              <w:tabs>
                <w:tab w:val="left" w:pos="7665"/>
              </w:tabs>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根据委托代理协议约定，投标人询问由众聚能国际建工有限公司负责答复。</w:t>
            </w:r>
          </w:p>
          <w:p>
            <w:pPr>
              <w:pStyle w:val="467"/>
              <w:spacing w:line="360" w:lineRule="auto"/>
              <w:ind w:firstLine="480" w:firstLineChars="200"/>
              <w:rPr>
                <w:rFonts w:cs="宋体"/>
                <w:color w:val="000000" w:themeColor="text1"/>
                <w:highlight w:val="none"/>
                <w:lang w:val="zh-CN"/>
                <w14:textFill>
                  <w14:solidFill>
                    <w14:schemeClr w14:val="tx1"/>
                  </w14:solidFill>
                </w14:textFill>
              </w:rPr>
            </w:pPr>
            <w:r>
              <w:rPr>
                <w:rFonts w:hint="eastAsia" w:cs="宋体"/>
                <w:color w:val="000000" w:themeColor="text1"/>
                <w:highlight w:val="none"/>
                <w14:textFill>
                  <w14:solidFill>
                    <w14:schemeClr w14:val="tx1"/>
                  </w14:solidFill>
                </w14:textFill>
              </w:rPr>
              <w:t>2、</w:t>
            </w:r>
            <w:r>
              <w:rPr>
                <w:rFonts w:hint="eastAsia" w:cs="宋体"/>
                <w:color w:val="000000" w:themeColor="text1"/>
                <w:highlight w:val="none"/>
                <w:lang w:val="zh-CN"/>
                <w14:textFill>
                  <w14:solidFill>
                    <w14:schemeClr w14:val="tx1"/>
                  </w14:solidFill>
                </w14:textFill>
              </w:rPr>
              <w:t>根据委托代理协议约定，对招标文件除技术部分外的质疑由</w:t>
            </w:r>
            <w:r>
              <w:rPr>
                <w:rFonts w:hint="eastAsia" w:cs="宋体"/>
                <w:color w:val="000000" w:themeColor="text1"/>
                <w:highlight w:val="none"/>
                <w14:textFill>
                  <w14:solidFill>
                    <w14:schemeClr w14:val="tx1"/>
                  </w14:solidFill>
                </w14:textFill>
              </w:rPr>
              <w:t>众聚能国际建工有限公司</w:t>
            </w:r>
            <w:r>
              <w:rPr>
                <w:rFonts w:hint="eastAsia" w:cs="宋体"/>
                <w:color w:val="000000" w:themeColor="text1"/>
                <w:highlight w:val="none"/>
                <w:lang w:val="zh-CN"/>
                <w14:textFill>
                  <w14:solidFill>
                    <w14:schemeClr w14:val="tx1"/>
                  </w14:solidFill>
                </w14:textFill>
              </w:rPr>
              <w:t>负责答复；对招标文件技术部分的质疑由眉山市消防救援支队负责答复；对采购过程的质疑由</w:t>
            </w:r>
            <w:r>
              <w:rPr>
                <w:rFonts w:hint="eastAsia" w:cs="宋体"/>
                <w:color w:val="000000" w:themeColor="text1"/>
                <w:highlight w:val="none"/>
                <w14:textFill>
                  <w14:solidFill>
                    <w14:schemeClr w14:val="tx1"/>
                  </w14:solidFill>
                </w14:textFill>
              </w:rPr>
              <w:t>众聚能国际建工有限公司</w:t>
            </w:r>
            <w:r>
              <w:rPr>
                <w:rFonts w:hint="eastAsia" w:cs="宋体"/>
                <w:color w:val="000000" w:themeColor="text1"/>
                <w:highlight w:val="none"/>
                <w:lang w:val="zh-CN"/>
                <w14:textFill>
                  <w14:solidFill>
                    <w14:schemeClr w14:val="tx1"/>
                  </w14:solidFill>
                </w14:textFill>
              </w:rPr>
              <w:t>负责答复；对采购结果的质疑由</w:t>
            </w:r>
            <w:r>
              <w:rPr>
                <w:rFonts w:hint="eastAsia" w:cs="宋体"/>
                <w:color w:val="000000" w:themeColor="text1"/>
                <w:highlight w:val="none"/>
                <w14:textFill>
                  <w14:solidFill>
                    <w14:schemeClr w14:val="tx1"/>
                  </w14:solidFill>
                </w14:textFill>
              </w:rPr>
              <w:t>众聚能国际建工有限公司</w:t>
            </w:r>
            <w:r>
              <w:rPr>
                <w:rFonts w:hint="eastAsia" w:cs="宋体"/>
                <w:color w:val="000000" w:themeColor="text1"/>
                <w:highlight w:val="none"/>
                <w:lang w:val="zh-CN"/>
                <w14:textFill>
                  <w14:solidFill>
                    <w14:schemeClr w14:val="tx1"/>
                  </w14:solidFill>
                </w14:textFill>
              </w:rPr>
              <w:t>负责答复。</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投标人认为招标文件、采购过程、成交结果使自己的权益受到损害的，可以在知道或者应知权益受到损害之日起7个工作日内，提出质疑。且投标人应当在法定质疑期内一次性提出针对同一采购程序环节的质疑。</w:t>
            </w:r>
          </w:p>
          <w:p>
            <w:pPr>
              <w:tabs>
                <w:tab w:val="left" w:pos="7665"/>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1、受理质疑方式：书面方式。</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2、投标人提出质疑应当提交质疑函和必要的证明材料。质疑函应当包括下列内容：</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2.1投标人的姓名或者名称、地址、邮编、联系人及联系电话；</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2.2质疑项目的名称、编号；</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2.3具体、明确的质疑事项和与质疑事项相关的请求；</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2.4事实依据；</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2.5必要的法律依据；</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2.6提出质疑的日期。</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投标人为自然人的，质疑函应当由本人签字；投标人为法人或者其他组织的，质疑函应当由法定代表人、主要负责人，或者其授权代表签字或者盖章，并加盖公章。</w:t>
            </w:r>
          </w:p>
          <w:p>
            <w:pPr>
              <w:tabs>
                <w:tab w:val="left" w:pos="7665"/>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委托代理人递交质疑函的，应提供法定代表人授权委托书和代理人身份证复印件。授权委托书应当载明代理人的姓名、授权事项、具体权限、期限和相关事项。投标人为自然人的，授权委托书应当由本人签字；投标人为法人或者其他组织的，授权委托书应当由法定代表人、主要负责人签字或者盖章，并加盖公章。</w:t>
            </w:r>
          </w:p>
          <w:p>
            <w:pPr>
              <w:tabs>
                <w:tab w:val="left" w:pos="7665"/>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3、受理部门：众聚能国际建工有限公司项目部。</w:t>
            </w:r>
          </w:p>
          <w:p>
            <w:pPr>
              <w:tabs>
                <w:tab w:val="left" w:pos="7665"/>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4、联系人：张女士 。</w:t>
            </w:r>
          </w:p>
          <w:p>
            <w:pPr>
              <w:tabs>
                <w:tab w:val="left" w:pos="7665"/>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5、联系电话：</w:t>
            </w:r>
            <w:r>
              <w:rPr>
                <w:rFonts w:hint="eastAsia" w:ascii="宋体" w:hAnsi="宋体" w:cs="宋体"/>
                <w:color w:val="000000" w:themeColor="text1"/>
                <w:sz w:val="24"/>
                <w:szCs w:val="28"/>
                <w:highlight w:val="none"/>
                <w14:textFill>
                  <w14:solidFill>
                    <w14:schemeClr w14:val="tx1"/>
                  </w14:solidFill>
                </w14:textFill>
              </w:rPr>
              <w:t>028-38179811</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pPr>
              <w:tabs>
                <w:tab w:val="left" w:pos="7665"/>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6、地址：</w:t>
            </w:r>
            <w:r>
              <w:rPr>
                <w:rFonts w:hint="eastAsia" w:ascii="宋体" w:hAnsi="宋体" w:cs="宋体"/>
                <w:color w:val="000000" w:themeColor="text1"/>
                <w:sz w:val="24"/>
                <w:szCs w:val="28"/>
                <w:highlight w:val="none"/>
                <w14:textFill>
                  <w14:solidFill>
                    <w14:schemeClr w14:val="tx1"/>
                  </w14:solidFill>
                </w14:textFill>
              </w:rPr>
              <w:t>四川省眉山市东坡区眉山市东坡区三苏大道168号华地沃尔玛1栋1单元8层3号</w:t>
            </w:r>
            <w:r>
              <w:rPr>
                <w:rFonts w:hint="eastAsia" w:ascii="宋体" w:hAnsi="宋体" w:cs="宋体"/>
                <w:color w:val="000000" w:themeColor="text1"/>
                <w:sz w:val="24"/>
                <w:szCs w:val="24"/>
                <w:highlight w:val="none"/>
                <w14:textFill>
                  <w14:solidFill>
                    <w14:schemeClr w14:val="tx1"/>
                  </w14:solidFill>
                </w14:textFill>
              </w:rPr>
              <w:t xml:space="preserve"> 。</w:t>
            </w:r>
          </w:p>
          <w:p>
            <w:pPr>
              <w:tabs>
                <w:tab w:val="left" w:pos="7665"/>
              </w:tabs>
              <w:spacing w:line="360" w:lineRule="auto"/>
              <w:ind w:firstLine="480" w:firstLineChars="200"/>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注：根据《中华人民共和国政府采购法》的规定，投标人质疑不得超出招标文件、采购过程、采购结果的范围。</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30" w:hRule="atLeas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21</w:t>
            </w:r>
          </w:p>
        </w:tc>
        <w:tc>
          <w:tcPr>
            <w:tcW w:w="1967" w:type="dxa"/>
            <w:vAlign w:val="center"/>
          </w:tcPr>
          <w:p>
            <w:pPr>
              <w:tabs>
                <w:tab w:val="left" w:pos="7665"/>
              </w:tabs>
              <w:spacing w:line="360" w:lineRule="auto"/>
              <w:ind w:firstLine="482"/>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投标人投诉</w:t>
            </w:r>
          </w:p>
        </w:tc>
        <w:tc>
          <w:tcPr>
            <w:tcW w:w="7873" w:type="dxa"/>
            <w:vAlign w:val="center"/>
          </w:tcPr>
          <w:p>
            <w:pPr>
              <w:tabs>
                <w:tab w:val="left" w:pos="7665"/>
              </w:tabs>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投诉受理单位：本采购项目同级财政部门，即中华人民共和国财政部(国库司)。</w:t>
            </w:r>
          </w:p>
          <w:p>
            <w:pPr>
              <w:tabs>
                <w:tab w:val="left" w:pos="7665"/>
              </w:tabs>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联系电话：010-68513070、010-68519967。</w:t>
            </w:r>
          </w:p>
          <w:p>
            <w:pPr>
              <w:tabs>
                <w:tab w:val="left" w:pos="7665"/>
              </w:tabs>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地址：北京市西城区月坛北小街13号中船宾馆北楼四层8401室、8403室。</w:t>
            </w:r>
          </w:p>
          <w:p>
            <w:pPr>
              <w:tabs>
                <w:tab w:val="left" w:pos="7665"/>
              </w:tabs>
              <w:spacing w:line="360" w:lineRule="auto"/>
              <w:ind w:firstLine="482"/>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注：供应商投诉应当有明确的请求和必要的证明材料。供应商投诉的事项不得超出已质疑事项的范围，须符合《政府采购质疑和投诉办法》(财政部第94号令)规定。</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83" w:hRule="atLeas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22</w:t>
            </w:r>
          </w:p>
        </w:tc>
        <w:tc>
          <w:tcPr>
            <w:tcW w:w="1967" w:type="dxa"/>
            <w:vAlign w:val="center"/>
          </w:tcPr>
          <w:p>
            <w:pPr>
              <w:tabs>
                <w:tab w:val="left" w:pos="7665"/>
              </w:tabs>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信用信息查询</w:t>
            </w:r>
          </w:p>
        </w:tc>
        <w:tc>
          <w:tcPr>
            <w:tcW w:w="7873" w:type="dxa"/>
            <w:vAlign w:val="center"/>
          </w:tcPr>
          <w:p>
            <w:pPr>
              <w:tabs>
                <w:tab w:val="left" w:pos="7665"/>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投标人信用信息查询渠道：</w:t>
            </w:r>
            <w:r>
              <w:rPr>
                <w:rFonts w:hint="eastAsia" w:ascii="宋体" w:hAnsi="宋体" w:cs="宋体"/>
                <w:color w:val="000000" w:themeColor="text1"/>
                <w:sz w:val="24"/>
                <w:szCs w:val="24"/>
                <w:highlight w:val="none"/>
                <w14:textFill>
                  <w14:solidFill>
                    <w14:schemeClr w14:val="tx1"/>
                  </w14:solidFill>
                </w14:textFill>
              </w:rPr>
              <w:t>“信用中国”网站(www.creditchina.gov.cn)、“中国政府采购网”网站(www.ccgp.gov.cn)。</w:t>
            </w:r>
          </w:p>
          <w:p>
            <w:pPr>
              <w:tabs>
                <w:tab w:val="left" w:pos="7665"/>
              </w:tabs>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截止时点：</w:t>
            </w:r>
            <w:r>
              <w:rPr>
                <w:rFonts w:hint="eastAsia" w:ascii="宋体" w:hAnsi="宋体" w:cs="宋体"/>
                <w:color w:val="000000" w:themeColor="text1"/>
                <w:sz w:val="24"/>
                <w:szCs w:val="24"/>
                <w:highlight w:val="none"/>
                <w14:textFill>
                  <w14:solidFill>
                    <w14:schemeClr w14:val="tx1"/>
                  </w14:solidFill>
                </w14:textFill>
              </w:rPr>
              <w:t>截止至本项目投标截止时间。</w:t>
            </w:r>
          </w:p>
          <w:p>
            <w:pPr>
              <w:tabs>
                <w:tab w:val="left" w:pos="7665"/>
              </w:tabs>
              <w:spacing w:line="360" w:lineRule="auto"/>
              <w:ind w:firstLine="480" w:firstLineChars="200"/>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使用规则：列入以上任一网站</w:t>
            </w:r>
            <w:r>
              <w:rPr>
                <w:rFonts w:hint="eastAsia" w:ascii="宋体" w:hAnsi="宋体" w:cs="宋体"/>
                <w:color w:val="000000" w:themeColor="text1"/>
                <w:sz w:val="24"/>
                <w:szCs w:val="24"/>
                <w:highlight w:val="none"/>
                <w14:textFill>
                  <w14:solidFill>
                    <w14:schemeClr w14:val="tx1"/>
                  </w14:solidFill>
                </w14:textFill>
              </w:rPr>
              <w:t>的失信被执行人名单或重大税收违法案件当事人名单或政府采购严重违法失信行为记录名单</w:t>
            </w:r>
            <w:r>
              <w:rPr>
                <w:rFonts w:hint="eastAsia" w:ascii="宋体" w:hAnsi="宋体" w:cs="宋体"/>
                <w:color w:val="000000" w:themeColor="text1"/>
                <w:kern w:val="0"/>
                <w:sz w:val="24"/>
                <w:szCs w:val="24"/>
                <w:highlight w:val="none"/>
                <w14:textFill>
                  <w14:solidFill>
                    <w14:schemeClr w14:val="tx1"/>
                  </w14:solidFill>
                </w14:textFill>
              </w:rPr>
              <w:t>的投标人为无效投标人。</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30" w:hRule="atLeas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2</w:t>
            </w:r>
            <w:r>
              <w:rPr>
                <w:rFonts w:hint="eastAsia" w:cs="宋体"/>
                <w:color w:val="000000" w:themeColor="text1"/>
                <w:highlight w:val="none"/>
                <w14:textFill>
                  <w14:solidFill>
                    <w14:schemeClr w14:val="tx1"/>
                  </w14:solidFill>
                </w14:textFill>
              </w:rPr>
              <w:t>3</w:t>
            </w:r>
          </w:p>
        </w:tc>
        <w:tc>
          <w:tcPr>
            <w:tcW w:w="1967" w:type="dxa"/>
            <w:vAlign w:val="center"/>
          </w:tcPr>
          <w:p>
            <w:pPr>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强制认证产品/政府优先采购得节能、环保产品、无线局域网产品（实质性要求）</w:t>
            </w:r>
          </w:p>
        </w:tc>
        <w:tc>
          <w:tcPr>
            <w:tcW w:w="7873" w:type="dxa"/>
            <w:vAlign w:val="center"/>
          </w:tcPr>
          <w:p>
            <w:pPr>
              <w:spacing w:line="360" w:lineRule="auto"/>
              <w:ind w:firstLine="480" w:firstLineChars="200"/>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lang w:val="zh-CN"/>
                <w14:textFill>
                  <w14:solidFill>
                    <w14:schemeClr w14:val="tx1"/>
                  </w14:solidFill>
                </w14:textFill>
              </w:rPr>
              <w:t>一、节能、环保产品政府采购政策：</w:t>
            </w:r>
          </w:p>
          <w:p>
            <w:pPr>
              <w:spacing w:line="360" w:lineRule="auto"/>
              <w:ind w:firstLine="480" w:firstLineChars="200"/>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lang w:val="zh-CN"/>
                <w14:textFill>
                  <w14:solidFill>
                    <w14:schemeClr w14:val="tx1"/>
                  </w14:solidFill>
                </w14:textFill>
              </w:rPr>
              <w:t>根据《财政部 发展改革委 生态环境部 市场监管总局关于调整优化节能产品、环境标志产品政府采购执行机制的通知》（财库〔2019〕9号）相关要求，依据品目清单和认证证书实施政府优先采购和强制采购。如本项目采购的产品属于品目清单范围的，依据国家确定的认证机构出具的、处于有效期之内的节能产品、环境标志产品认证证书，对获得证书的产品实施政府优先采购。</w:t>
            </w:r>
          </w:p>
          <w:p>
            <w:pPr>
              <w:spacing w:line="360" w:lineRule="auto"/>
              <w:ind w:firstLine="480" w:firstLineChars="200"/>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lang w:val="zh-CN"/>
                <w14:textFill>
                  <w14:solidFill>
                    <w14:schemeClr w14:val="tx1"/>
                  </w14:solidFill>
                </w14:textFill>
              </w:rPr>
              <w:t>如本项目采购的产品属于品目清单范围内优先采购的，</w:t>
            </w:r>
            <w:r>
              <w:rPr>
                <w:rFonts w:hint="eastAsia" w:ascii="宋体" w:hAnsi="宋体" w:cs="宋体"/>
                <w:color w:val="000000" w:themeColor="text1"/>
                <w:kern w:val="0"/>
                <w:sz w:val="24"/>
                <w:szCs w:val="24"/>
                <w:highlight w:val="none"/>
                <w14:textFill>
                  <w14:solidFill>
                    <w14:schemeClr w14:val="tx1"/>
                  </w14:solidFill>
                </w14:textFill>
              </w:rPr>
              <w:t>投标人</w:t>
            </w:r>
            <w:r>
              <w:rPr>
                <w:rFonts w:hint="eastAsia" w:ascii="宋体" w:hAnsi="宋体" w:cs="宋体"/>
                <w:color w:val="000000" w:themeColor="text1"/>
                <w:kern w:val="0"/>
                <w:sz w:val="24"/>
                <w:szCs w:val="24"/>
                <w:highlight w:val="none"/>
                <w:lang w:val="zh-CN"/>
                <w14:textFill>
                  <w14:solidFill>
                    <w14:schemeClr w14:val="tx1"/>
                  </w14:solidFill>
                </w14:textFill>
              </w:rPr>
              <w:t>应在本项目所提供的货物中尽量提供优先采购的节能、环保产品。</w:t>
            </w:r>
          </w:p>
          <w:p>
            <w:pPr>
              <w:spacing w:line="360" w:lineRule="auto"/>
              <w:ind w:firstLine="480" w:firstLineChars="200"/>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lang w:val="zh-CN"/>
                <w14:textFill>
                  <w14:solidFill>
                    <w14:schemeClr w14:val="tx1"/>
                  </w14:solidFill>
                </w14:textFill>
              </w:rPr>
              <w:t>二、无线局域网产品政府采购政策：</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zh-CN"/>
                <w14:textFill>
                  <w14:solidFill>
                    <w14:schemeClr w14:val="tx1"/>
                  </w14:solidFill>
                </w14:textFill>
              </w:rPr>
              <w:t>如本项目采购的产品属于中国政府采购网公布的《无线局域网认证产品政府采购清单》的，投标人应在本项目所提供的货物中尽量提供优先采购的无线局域网产品。</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83" w:hRule="atLeast"/>
          <w:jc w:val="center"/>
        </w:trPr>
        <w:tc>
          <w:tcPr>
            <w:tcW w:w="601" w:type="dxa"/>
            <w:vAlign w:val="center"/>
          </w:tcPr>
          <w:p>
            <w:pPr>
              <w:pStyle w:val="467"/>
              <w:spacing w:line="360" w:lineRule="auto"/>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24</w:t>
            </w:r>
          </w:p>
        </w:tc>
        <w:tc>
          <w:tcPr>
            <w:tcW w:w="1967" w:type="dxa"/>
            <w:vAlign w:val="center"/>
          </w:tcPr>
          <w:p>
            <w:pPr>
              <w:spacing w:line="360" w:lineRule="auto"/>
              <w:ind w:firstLine="482"/>
              <w:jc w:val="center"/>
              <w:rPr>
                <w:rFonts w:ascii="宋体" w:hAnsi="宋体" w:cs="宋体"/>
                <w:color w:val="000000" w:themeColor="text1"/>
                <w:kern w:val="0"/>
                <w:sz w:val="24"/>
                <w:szCs w:val="24"/>
                <w:highlight w:val="none"/>
                <w:lang w:eastAsia="zh-Hans"/>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其他重要事项</w:t>
            </w:r>
          </w:p>
        </w:tc>
        <w:tc>
          <w:tcPr>
            <w:tcW w:w="7873" w:type="dxa"/>
            <w:vAlign w:val="center"/>
          </w:tcPr>
          <w:p>
            <w:pPr>
              <w:spacing w:line="360" w:lineRule="auto"/>
              <w:ind w:firstLine="482" w:firstLineChars="200"/>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复印、扫描、证书类要求：</w:t>
            </w:r>
            <w:r>
              <w:rPr>
                <w:rFonts w:hint="eastAsia" w:ascii="宋体" w:hAnsi="宋体" w:cs="宋体"/>
                <w:color w:val="000000" w:themeColor="text1"/>
                <w:kern w:val="0"/>
                <w:sz w:val="24"/>
                <w:szCs w:val="24"/>
                <w:highlight w:val="none"/>
                <w14:textFill>
                  <w14:solidFill>
                    <w14:schemeClr w14:val="tx1"/>
                  </w14:solidFill>
                </w14:textFill>
              </w:rPr>
              <w:t>按要求提供相关证书的标项，投标人须在投标文件电子档中提供扫描件，扫描件分辨率不得低于300dpi。投标文件中的打印稿必须是清晰、可辨认的，打印像素不低于2479×3508；投标人递交投标文件中所涉及到的所有外文资料，均须提供中文翻译文件。若因证书资料无法识别、资料未翻译等，评标委员会有权认定为无效材料。</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712" w:hRule="exact"/>
          <w:jc w:val="center"/>
        </w:trPr>
        <w:tc>
          <w:tcPr>
            <w:tcW w:w="601" w:type="dxa"/>
            <w:vAlign w:val="center"/>
          </w:tcPr>
          <w:p>
            <w:pPr>
              <w:pStyle w:val="467"/>
              <w:spacing w:line="360" w:lineRule="auto"/>
              <w:ind w:right="44" w:rightChars="21"/>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25</w:t>
            </w:r>
          </w:p>
        </w:tc>
        <w:tc>
          <w:tcPr>
            <w:tcW w:w="1967" w:type="dxa"/>
            <w:vAlign w:val="center"/>
          </w:tcPr>
          <w:p>
            <w:pPr>
              <w:spacing w:line="360" w:lineRule="auto"/>
              <w:ind w:right="105" w:rightChars="50"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国家规定的强制认证</w:t>
            </w:r>
          </w:p>
        </w:tc>
        <w:tc>
          <w:tcPr>
            <w:tcW w:w="7873" w:type="dxa"/>
            <w:vAlign w:val="center"/>
          </w:tcPr>
          <w:p>
            <w:pPr>
              <w:spacing w:line="360" w:lineRule="auto"/>
              <w:ind w:right="105" w:rightChars="50"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中所采购产品涉及国家强制CCC认证的，投标人可不在投标文件中提供认证证书。中标后，应当向采购人提供符合国家CCC认证的产品并向采购人提供相应产品的CCC认证证书，否则采购人有权拒绝验收，中标人将承担由此带来的损失。</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414" w:hRule="exact"/>
          <w:jc w:val="center"/>
        </w:trPr>
        <w:tc>
          <w:tcPr>
            <w:tcW w:w="601" w:type="dxa"/>
            <w:vAlign w:val="center"/>
          </w:tcPr>
          <w:p>
            <w:pPr>
              <w:pStyle w:val="467"/>
              <w:spacing w:line="360" w:lineRule="auto"/>
              <w:ind w:right="44" w:rightChars="21"/>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26</w:t>
            </w:r>
          </w:p>
        </w:tc>
        <w:tc>
          <w:tcPr>
            <w:tcW w:w="1967" w:type="dxa"/>
            <w:vAlign w:val="center"/>
          </w:tcPr>
          <w:p>
            <w:pPr>
              <w:spacing w:line="360" w:lineRule="auto"/>
              <w:ind w:right="105" w:rightChars="50"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电子文档</w:t>
            </w:r>
          </w:p>
        </w:tc>
        <w:tc>
          <w:tcPr>
            <w:tcW w:w="7873" w:type="dxa"/>
            <w:vAlign w:val="center"/>
          </w:tcPr>
          <w:p>
            <w:pPr>
              <w:spacing w:line="360" w:lineRule="auto"/>
              <w:ind w:right="105" w:rightChars="50"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1、应当是已签字盖章、完整的最终定稿投标文件正本扫描件。</w:t>
            </w:r>
          </w:p>
          <w:p>
            <w:pPr>
              <w:spacing w:line="360" w:lineRule="auto"/>
              <w:ind w:right="105" w:rightChars="50"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2、电子文档应当是清晰、可辨认的图片或PDF，建议PDF。</w:t>
            </w:r>
          </w:p>
          <w:p>
            <w:pPr>
              <w:spacing w:line="360" w:lineRule="auto"/>
              <w:ind w:right="105" w:rightChars="50"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3、可采用U盘保存。</w:t>
            </w: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2662" w:hRule="exact"/>
          <w:jc w:val="center"/>
        </w:trPr>
        <w:tc>
          <w:tcPr>
            <w:tcW w:w="601" w:type="dxa"/>
            <w:vAlign w:val="center"/>
          </w:tcPr>
          <w:p>
            <w:pPr>
              <w:pStyle w:val="467"/>
              <w:spacing w:line="360" w:lineRule="auto"/>
              <w:ind w:right="44" w:rightChars="21"/>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27</w:t>
            </w:r>
          </w:p>
        </w:tc>
        <w:tc>
          <w:tcPr>
            <w:tcW w:w="1967" w:type="dxa"/>
            <w:vAlign w:val="center"/>
          </w:tcPr>
          <w:p>
            <w:pPr>
              <w:pStyle w:val="467"/>
              <w:spacing w:line="360" w:lineRule="auto"/>
              <w:jc w:val="center"/>
              <w:rPr>
                <w:rFonts w:cs="宋体"/>
                <w:color w:val="000000" w:themeColor="text1"/>
                <w:highlight w:val="none"/>
                <w:lang w:val="zh-CN"/>
                <w14:textFill>
                  <w14:solidFill>
                    <w14:schemeClr w14:val="tx1"/>
                  </w14:solidFill>
                </w14:textFill>
              </w:rPr>
            </w:pPr>
            <w:r>
              <w:rPr>
                <w:rFonts w:hint="eastAsia" w:cs="宋体"/>
                <w:color w:val="000000" w:themeColor="text1"/>
                <w:highlight w:val="none"/>
                <w14:textFill>
                  <w14:solidFill>
                    <w14:schemeClr w14:val="tx1"/>
                  </w14:solidFill>
                </w14:textFill>
              </w:rPr>
              <w:t>采购</w:t>
            </w:r>
            <w:r>
              <w:rPr>
                <w:rFonts w:hint="eastAsia" w:cs="宋体"/>
                <w:color w:val="000000" w:themeColor="text1"/>
                <w:highlight w:val="none"/>
                <w:lang w:val="zh-CN"/>
                <w14:textFill>
                  <w14:solidFill>
                    <w14:schemeClr w14:val="tx1"/>
                  </w14:solidFill>
                </w14:textFill>
              </w:rPr>
              <w:t>代理服务费</w:t>
            </w:r>
          </w:p>
        </w:tc>
        <w:tc>
          <w:tcPr>
            <w:tcW w:w="7873" w:type="dxa"/>
            <w:vAlign w:val="center"/>
          </w:tcPr>
          <w:p>
            <w:pPr>
              <w:pStyle w:val="467"/>
              <w:spacing w:line="360" w:lineRule="auto"/>
              <w:ind w:firstLine="480" w:firstLineChars="200"/>
              <w:jc w:val="both"/>
              <w:rPr>
                <w:rFonts w:cs="宋体"/>
                <w:color w:val="000000" w:themeColor="text1"/>
                <w:kern w:val="2"/>
                <w:highlight w:val="none"/>
                <w14:textFill>
                  <w14:solidFill>
                    <w14:schemeClr w14:val="tx1"/>
                  </w14:solidFill>
                </w14:textFill>
              </w:rPr>
            </w:pPr>
            <w:r>
              <w:rPr>
                <w:rFonts w:hint="eastAsia" w:cs="宋体"/>
                <w:color w:val="000000" w:themeColor="text1"/>
                <w:kern w:val="2"/>
                <w:highlight w:val="none"/>
                <w14:textFill>
                  <w14:solidFill>
                    <w14:schemeClr w14:val="tx1"/>
                  </w14:solidFill>
                </w14:textFill>
              </w:rPr>
              <w:t>参照《招标代理服务收费管理暂行办法》（计价格[2002]1980号）文件规定的费率</w:t>
            </w:r>
            <w:r>
              <w:rPr>
                <w:rFonts w:hint="eastAsia" w:cs="宋体"/>
                <w:color w:val="000000" w:themeColor="text1"/>
                <w:kern w:val="2"/>
                <w:highlight w:val="none"/>
                <w:lang w:val="en-US" w:eastAsia="zh-CN"/>
                <w14:textFill>
                  <w14:solidFill>
                    <w14:schemeClr w14:val="tx1"/>
                  </w14:solidFill>
                </w14:textFill>
              </w:rPr>
              <w:t>下浮17%</w:t>
            </w:r>
            <w:r>
              <w:rPr>
                <w:rFonts w:hint="eastAsia" w:cs="宋体"/>
                <w:color w:val="000000" w:themeColor="text1"/>
                <w:kern w:val="2"/>
                <w:highlight w:val="none"/>
                <w14:textFill>
                  <w14:solidFill>
                    <w14:schemeClr w14:val="tx1"/>
                  </w14:solidFill>
                </w14:textFill>
              </w:rPr>
              <w:t>执行，由中标人支付。</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中标人在领取中标通知书前应按规定缴纳招标代理服务费：</w:t>
            </w:r>
          </w:p>
          <w:p>
            <w:pPr>
              <w:tabs>
                <w:tab w:val="left" w:leader="dot" w:pos="756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收款单位：众聚能国际建工有限公司</w:t>
            </w:r>
          </w:p>
          <w:p>
            <w:pPr>
              <w:tabs>
                <w:tab w:val="left" w:leader="dot" w:pos="7560"/>
              </w:tabs>
              <w:spacing w:line="360" w:lineRule="auto"/>
              <w:ind w:firstLine="240" w:firstLineChars="100"/>
              <w:rPr>
                <w:rFonts w:ascii="宋体" w:hAnsi="宋体" w:cs="宋体"/>
                <w:sz w:val="24"/>
                <w:szCs w:val="24"/>
                <w:highlight w:val="none"/>
              </w:rPr>
            </w:pPr>
            <w:r>
              <w:rPr>
                <w:rFonts w:hint="eastAsia" w:ascii="宋体" w:hAnsi="宋体" w:cs="宋体"/>
                <w:sz w:val="24"/>
                <w:szCs w:val="24"/>
                <w:highlight w:val="none"/>
              </w:rPr>
              <w:t>开户行：</w:t>
            </w:r>
            <w:r>
              <w:rPr>
                <w:rFonts w:hint="eastAsia" w:ascii="宋体" w:hAnsi="宋体" w:cs="宋体"/>
                <w:sz w:val="24"/>
                <w:szCs w:val="24"/>
                <w:highlight w:val="none"/>
                <w:lang w:val="en-US" w:eastAsia="zh-CN"/>
              </w:rPr>
              <w:t>中国银行股份有限公司眉山眉州大道支行</w:t>
            </w:r>
            <w:r>
              <w:rPr>
                <w:rFonts w:hint="eastAsia" w:ascii="宋体" w:hAnsi="宋体" w:cs="宋体"/>
                <w:sz w:val="24"/>
                <w:szCs w:val="24"/>
                <w:highlight w:val="none"/>
              </w:rPr>
              <w:t xml:space="preserve"> </w:t>
            </w:r>
          </w:p>
          <w:p>
            <w:pPr>
              <w:tabs>
                <w:tab w:val="left" w:leader="dot" w:pos="7560"/>
              </w:tabs>
              <w:spacing w:line="360" w:lineRule="auto"/>
              <w:ind w:firstLine="240" w:firstLineChars="100"/>
              <w:rPr>
                <w:rFonts w:ascii="宋体" w:hAnsi="宋体" w:cs="宋体"/>
                <w:b/>
                <w:bCs/>
                <w:sz w:val="24"/>
                <w:szCs w:val="24"/>
              </w:rPr>
            </w:pPr>
            <w:r>
              <w:rPr>
                <w:rFonts w:hint="eastAsia" w:ascii="宋体" w:hAnsi="宋体" w:cs="宋体"/>
                <w:sz w:val="24"/>
                <w:szCs w:val="24"/>
                <w:highlight w:val="none"/>
              </w:rPr>
              <w:t>账号：</w:t>
            </w:r>
            <w:r>
              <w:rPr>
                <w:rFonts w:hint="eastAsia" w:ascii="宋体" w:hAnsi="宋体" w:cs="宋体"/>
                <w:sz w:val="24"/>
                <w:szCs w:val="24"/>
                <w:highlight w:val="none"/>
                <w:lang w:val="en-US" w:eastAsia="zh-CN"/>
              </w:rPr>
              <w:t>128012978785</w:t>
            </w:r>
            <w:r>
              <w:rPr>
                <w:rFonts w:ascii="宋体" w:hAnsi="宋体" w:cs="宋体"/>
                <w:sz w:val="24"/>
                <w:szCs w:val="24"/>
                <w:highlight w:val="none"/>
              </w:rPr>
              <w:t xml:space="preserve"> </w:t>
            </w:r>
          </w:p>
          <w:p>
            <w:pPr>
              <w:tabs>
                <w:tab w:val="left" w:leader="dot" w:pos="756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108" w:hRule="exact"/>
          <w:jc w:val="center"/>
        </w:trPr>
        <w:tc>
          <w:tcPr>
            <w:tcW w:w="601" w:type="dxa"/>
            <w:vAlign w:val="center"/>
          </w:tcPr>
          <w:p>
            <w:pPr>
              <w:pStyle w:val="467"/>
              <w:spacing w:line="360" w:lineRule="auto"/>
              <w:ind w:right="65"/>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28</w:t>
            </w:r>
          </w:p>
        </w:tc>
        <w:tc>
          <w:tcPr>
            <w:tcW w:w="1967" w:type="dxa"/>
            <w:vAlign w:val="center"/>
          </w:tcPr>
          <w:p>
            <w:pPr>
              <w:spacing w:line="360" w:lineRule="auto"/>
              <w:jc w:val="both"/>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lang w:val="zh-CN"/>
                <w14:textFill>
                  <w14:solidFill>
                    <w14:schemeClr w14:val="tx1"/>
                  </w14:solidFill>
                </w14:textFill>
              </w:rPr>
              <w:t>本项目中小企业划分标准所属行业</w:t>
            </w:r>
          </w:p>
        </w:tc>
        <w:tc>
          <w:tcPr>
            <w:tcW w:w="7873" w:type="dxa"/>
            <w:vAlign w:val="center"/>
          </w:tcPr>
          <w:p>
            <w:pPr>
              <w:pStyle w:val="100"/>
              <w:numPr>
                <w:ilvl w:val="4"/>
                <w:numId w:val="0"/>
              </w:numPr>
              <w:spacing w:before="0" w:after="0" w:line="360" w:lineRule="auto"/>
              <w:ind w:firstLine="480" w:firstLineChars="200"/>
              <w:jc w:val="both"/>
              <w:rPr>
                <w:rFonts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b w:val="0"/>
                <w:color w:val="000000" w:themeColor="text1"/>
                <w:highlight w:val="none"/>
                <w:lang w:val="zh-CN"/>
                <w14:textFill>
                  <w14:solidFill>
                    <w14:schemeClr w14:val="tx1"/>
                  </w14:solidFill>
                </w14:textFill>
              </w:rPr>
              <w:t>工业</w:t>
            </w:r>
          </w:p>
        </w:tc>
      </w:tr>
      <w:bookmarkEnd w:id="21"/>
      <w:bookmarkEnd w:id="22"/>
      <w:bookmarkEnd w:id="23"/>
      <w:bookmarkEnd w:id="24"/>
      <w:tr>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108" w:hRule="exact"/>
          <w:jc w:val="center"/>
        </w:trPr>
        <w:tc>
          <w:tcPr>
            <w:tcW w:w="601" w:type="dxa"/>
            <w:vAlign w:val="center"/>
          </w:tcPr>
          <w:p>
            <w:pPr>
              <w:pStyle w:val="467"/>
              <w:spacing w:line="360" w:lineRule="auto"/>
              <w:ind w:right="65"/>
              <w:jc w:val="center"/>
              <w:rPr>
                <w:rFonts w:cs="宋体"/>
                <w:color w:val="000000" w:themeColor="text1"/>
                <w:highlight w:val="none"/>
                <w14:textFill>
                  <w14:solidFill>
                    <w14:schemeClr w14:val="tx1"/>
                  </w14:solidFill>
                </w14:textFill>
              </w:rPr>
            </w:pPr>
            <w:bookmarkStart w:id="36" w:name="_Toc183582204"/>
            <w:bookmarkStart w:id="37" w:name="_Toc9517"/>
            <w:bookmarkStart w:id="38" w:name="_Toc77400778"/>
            <w:bookmarkStart w:id="39" w:name="_Toc217446033"/>
            <w:bookmarkStart w:id="40" w:name="_Toc183682341"/>
            <w:bookmarkStart w:id="41" w:name="_Toc30058"/>
            <w:bookmarkStart w:id="42" w:name="_Toc89075873"/>
            <w:bookmarkStart w:id="43" w:name="_Toc426657531"/>
            <w:r>
              <w:rPr>
                <w:rFonts w:hint="eastAsia" w:cs="宋体"/>
                <w:color w:val="000000" w:themeColor="text1"/>
                <w:highlight w:val="none"/>
                <w14:textFill>
                  <w14:solidFill>
                    <w14:schemeClr w14:val="tx1"/>
                  </w14:solidFill>
                </w14:textFill>
              </w:rPr>
              <w:t>29</w:t>
            </w:r>
          </w:p>
        </w:tc>
        <w:tc>
          <w:tcPr>
            <w:tcW w:w="1967" w:type="dxa"/>
            <w:vAlign w:val="center"/>
          </w:tcPr>
          <w:p>
            <w:pPr>
              <w:spacing w:line="360" w:lineRule="auto"/>
              <w:jc w:val="center"/>
              <w:rPr>
                <w:rFonts w:ascii="宋体" w:hAnsi="宋体" w:cs="宋体"/>
                <w:color w:val="000000" w:themeColor="text1"/>
                <w:kern w:val="0"/>
                <w:sz w:val="24"/>
                <w:szCs w:val="28"/>
                <w:highlight w:val="none"/>
                <w14:textFill>
                  <w14:solidFill>
                    <w14:schemeClr w14:val="tx1"/>
                  </w14:solidFill>
                </w14:textFill>
              </w:rPr>
            </w:pPr>
            <w:r>
              <w:rPr>
                <w:rFonts w:hint="eastAsia" w:ascii="宋体" w:hAnsi="宋体" w:cs="宋体"/>
                <w:color w:val="000000" w:themeColor="text1"/>
                <w:kern w:val="0"/>
                <w:sz w:val="24"/>
                <w:szCs w:val="28"/>
                <w:highlight w:val="none"/>
                <w14:textFill>
                  <w14:solidFill>
                    <w14:schemeClr w14:val="tx1"/>
                  </w14:solidFill>
                </w14:textFill>
              </w:rPr>
              <w:t>其他要求</w:t>
            </w:r>
          </w:p>
          <w:p>
            <w:pPr>
              <w:spacing w:line="360" w:lineRule="auto"/>
              <w:jc w:val="center"/>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8"/>
                <w:highlight w:val="none"/>
                <w:lang w:val="zh-CN"/>
                <w14:textFill>
                  <w14:solidFill>
                    <w14:schemeClr w14:val="tx1"/>
                  </w14:solidFill>
                </w14:textFill>
              </w:rPr>
              <w:t>（实质性要求）</w:t>
            </w:r>
          </w:p>
        </w:tc>
        <w:tc>
          <w:tcPr>
            <w:tcW w:w="7873" w:type="dxa"/>
            <w:vAlign w:val="center"/>
          </w:tcPr>
          <w:p>
            <w:pPr>
              <w:pStyle w:val="100"/>
              <w:numPr>
                <w:ilvl w:val="4"/>
                <w:numId w:val="0"/>
              </w:numPr>
              <w:spacing w:before="0" w:after="0" w:line="360" w:lineRule="auto"/>
              <w:ind w:firstLine="480" w:firstLineChars="200"/>
              <w:jc w:val="both"/>
              <w:rPr>
                <w:rFonts w:ascii="宋体" w:hAnsi="宋体" w:eastAsia="宋体" w:cs="宋体"/>
                <w:b w:val="0"/>
                <w:color w:val="000000" w:themeColor="text1"/>
                <w:highlight w:val="none"/>
                <w:lang w:val="zh-CN"/>
                <w14:textFill>
                  <w14:solidFill>
                    <w14:schemeClr w14:val="tx1"/>
                  </w14:solidFill>
                </w14:textFill>
              </w:rPr>
            </w:pPr>
            <w:r>
              <w:rPr>
                <w:rFonts w:hint="eastAsia" w:ascii="宋体" w:hAnsi="宋体" w:eastAsia="宋体" w:cs="宋体"/>
                <w:b w:val="0"/>
                <w:color w:val="000000" w:themeColor="text1"/>
                <w:highlight w:val="none"/>
                <w:lang w:val="zh-CN"/>
                <w14:textFill>
                  <w14:solidFill>
                    <w14:schemeClr w14:val="tx1"/>
                  </w14:solidFill>
                </w14:textFill>
              </w:rPr>
              <w:t>国家或行业主管部门对采购产品的技术标准、质量标准和资格资质条件等有强制性规定的，必须符合其要求。</w:t>
            </w:r>
          </w:p>
        </w:tc>
      </w:tr>
    </w:tbl>
    <w:p>
      <w:pPr>
        <w:pStyle w:val="4"/>
        <w:spacing w:before="0" w:after="0" w:line="360" w:lineRule="auto"/>
        <w:ind w:firstLine="640"/>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二、总  则</w:t>
      </w:r>
      <w:bookmarkEnd w:id="36"/>
      <w:bookmarkEnd w:id="37"/>
      <w:bookmarkEnd w:id="38"/>
      <w:bookmarkEnd w:id="39"/>
      <w:bookmarkEnd w:id="40"/>
      <w:bookmarkEnd w:id="41"/>
      <w:bookmarkEnd w:id="42"/>
      <w:bookmarkEnd w:id="43"/>
    </w:p>
    <w:p>
      <w:pPr>
        <w:pStyle w:val="5"/>
        <w:spacing w:before="0" w:after="0" w:line="360" w:lineRule="auto"/>
        <w:ind w:firstLine="482" w:firstLineChars="200"/>
        <w:rPr>
          <w:rFonts w:ascii="宋体" w:hAnsi="宋体" w:cs="宋体"/>
          <w:color w:val="000000" w:themeColor="text1"/>
          <w:sz w:val="24"/>
          <w:highlight w:val="none"/>
          <w14:textFill>
            <w14:solidFill>
              <w14:schemeClr w14:val="tx1"/>
            </w14:solidFill>
          </w14:textFill>
        </w:rPr>
      </w:pPr>
      <w:bookmarkStart w:id="44" w:name="_Toc183682342"/>
      <w:bookmarkStart w:id="45" w:name="_Toc183582205"/>
      <w:bookmarkStart w:id="46" w:name="_Toc217446034"/>
      <w:bookmarkStart w:id="47" w:name="_Toc426648200"/>
      <w:bookmarkStart w:id="48" w:name="_Toc426657532"/>
      <w:r>
        <w:rPr>
          <w:rFonts w:hint="eastAsia" w:ascii="宋体" w:hAnsi="宋体" w:cs="宋体"/>
          <w:color w:val="000000" w:themeColor="text1"/>
          <w:sz w:val="24"/>
          <w:highlight w:val="none"/>
          <w14:textFill>
            <w14:solidFill>
              <w14:schemeClr w14:val="tx1"/>
            </w14:solidFill>
          </w14:textFill>
        </w:rPr>
        <w:t>1</w:t>
      </w:r>
      <w:bookmarkEnd w:id="44"/>
      <w:bookmarkEnd w:id="45"/>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适用范围</w:t>
      </w:r>
      <w:bookmarkEnd w:id="46"/>
      <w:bookmarkEnd w:id="47"/>
      <w:bookmarkEnd w:id="48"/>
    </w:p>
    <w:p>
      <w:pPr>
        <w:tabs>
          <w:tab w:val="left" w:pos="7665"/>
        </w:tabs>
        <w:spacing w:line="360" w:lineRule="auto"/>
        <w:ind w:firstLine="720" w:firstLine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本招标文件仅适用于本次公开招标采购项目。</w:t>
      </w:r>
    </w:p>
    <w:p>
      <w:pPr>
        <w:pStyle w:val="5"/>
        <w:spacing w:before="0" w:after="0" w:line="360" w:lineRule="auto"/>
        <w:ind w:firstLine="482" w:firstLineChars="200"/>
        <w:rPr>
          <w:rFonts w:ascii="宋体" w:hAnsi="宋体" w:cs="宋体"/>
          <w:color w:val="000000" w:themeColor="text1"/>
          <w:sz w:val="24"/>
          <w:highlight w:val="none"/>
          <w14:textFill>
            <w14:solidFill>
              <w14:schemeClr w14:val="tx1"/>
            </w14:solidFill>
          </w14:textFill>
        </w:rPr>
      </w:pPr>
      <w:bookmarkStart w:id="49" w:name="_Toc183582206"/>
      <w:bookmarkStart w:id="50" w:name="_Toc183682343"/>
      <w:bookmarkStart w:id="51" w:name="_Toc217446035"/>
      <w:bookmarkStart w:id="52" w:name="_Toc426657533"/>
      <w:bookmarkStart w:id="53" w:name="_Toc426648201"/>
      <w:r>
        <w:rPr>
          <w:rFonts w:hint="eastAsia" w:ascii="宋体" w:hAnsi="宋体" w:cs="宋体"/>
          <w:color w:val="000000" w:themeColor="text1"/>
          <w:sz w:val="24"/>
          <w:highlight w:val="none"/>
          <w14:textFill>
            <w14:solidFill>
              <w14:schemeClr w14:val="tx1"/>
            </w14:solidFill>
          </w14:textFill>
        </w:rPr>
        <w:t>2</w:t>
      </w:r>
      <w:bookmarkEnd w:id="49"/>
      <w:bookmarkEnd w:id="50"/>
      <w:r>
        <w:rPr>
          <w:rFonts w:hint="eastAsia" w:ascii="宋体" w:hAnsi="宋体" w:cs="宋体"/>
          <w:color w:val="000000" w:themeColor="text1"/>
          <w:sz w:val="24"/>
          <w:highlight w:val="none"/>
          <w14:textFill>
            <w14:solidFill>
              <w14:schemeClr w14:val="tx1"/>
            </w14:solidFill>
          </w14:textFill>
        </w:rPr>
        <w:t>．有关</w:t>
      </w:r>
      <w:r>
        <w:rPr>
          <w:rFonts w:hint="eastAsia" w:ascii="宋体" w:hAnsi="宋体" w:cs="宋体"/>
          <w:color w:val="000000" w:themeColor="text1"/>
          <w:sz w:val="24"/>
          <w:szCs w:val="24"/>
          <w:highlight w:val="none"/>
          <w14:textFill>
            <w14:solidFill>
              <w14:schemeClr w14:val="tx1"/>
            </w14:solidFill>
          </w14:textFill>
        </w:rPr>
        <w:t>定义</w:t>
      </w:r>
      <w:bookmarkEnd w:id="51"/>
      <w:bookmarkEnd w:id="52"/>
      <w:bookmarkEnd w:id="53"/>
    </w:p>
    <w:p>
      <w:pPr>
        <w:tabs>
          <w:tab w:val="left" w:pos="7665"/>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 “采购人”系指依法进行政府采购的国家机关、事业单位、团体组织。本次招标的采购人是</w:t>
      </w:r>
      <w:r>
        <w:rPr>
          <w:rFonts w:hint="eastAsia" w:ascii="宋体" w:hAnsi="宋体" w:cs="宋体"/>
          <w:color w:val="000000" w:themeColor="text1"/>
          <w:sz w:val="24"/>
          <w:szCs w:val="24"/>
          <w:highlight w:val="none"/>
          <w:u w:val="single"/>
          <w14:textFill>
            <w14:solidFill>
              <w14:schemeClr w14:val="tx1"/>
            </w14:solidFill>
          </w14:textFill>
        </w:rPr>
        <w:t>眉山市消防救援支队</w:t>
      </w:r>
      <w:r>
        <w:rPr>
          <w:rFonts w:hint="eastAsia" w:ascii="宋体" w:hAnsi="宋体" w:cs="宋体"/>
          <w:color w:val="000000" w:themeColor="text1"/>
          <w:sz w:val="24"/>
          <w:szCs w:val="24"/>
          <w:highlight w:val="none"/>
          <w14:textFill>
            <w14:solidFill>
              <w14:schemeClr w14:val="tx1"/>
            </w14:solidFill>
          </w14:textFill>
        </w:rPr>
        <w:t>。</w:t>
      </w:r>
    </w:p>
    <w:p>
      <w:pPr>
        <w:tabs>
          <w:tab w:val="left" w:pos="7665"/>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“采购代理机构” 系指根据采购人的委托依法办理招标事宜的采购机构。本次招标的采购代理机构是</w:t>
      </w:r>
      <w:r>
        <w:rPr>
          <w:rFonts w:hint="eastAsia" w:ascii="宋体" w:hAnsi="宋体" w:cs="宋体"/>
          <w:color w:val="000000" w:themeColor="text1"/>
          <w:sz w:val="24"/>
          <w:szCs w:val="24"/>
          <w:highlight w:val="none"/>
          <w:u w:val="single"/>
          <w14:textFill>
            <w14:solidFill>
              <w14:schemeClr w14:val="tx1"/>
            </w14:solidFill>
          </w14:textFill>
        </w:rPr>
        <w:t>众聚能国际建工有限公司</w:t>
      </w:r>
      <w:r>
        <w:rPr>
          <w:rFonts w:hint="eastAsia" w:ascii="宋体" w:hAnsi="宋体" w:cs="宋体"/>
          <w:color w:val="000000" w:themeColor="text1"/>
          <w:sz w:val="24"/>
          <w:szCs w:val="24"/>
          <w:highlight w:val="none"/>
          <w14:textFill>
            <w14:solidFill>
              <w14:schemeClr w14:val="tx1"/>
            </w14:solidFill>
          </w14:textFill>
        </w:rPr>
        <w:t>。</w:t>
      </w:r>
    </w:p>
    <w:p>
      <w:pPr>
        <w:tabs>
          <w:tab w:val="left" w:pos="7665"/>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 “招标采购单位”系指“采购人”和“采购代理机构”的统称。</w:t>
      </w:r>
    </w:p>
    <w:p>
      <w:pPr>
        <w:tabs>
          <w:tab w:val="left" w:pos="7665"/>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 “投标人”系指购买了招标文件拟参加投标和向采购人提供货物及相应服务的投标人。</w:t>
      </w:r>
    </w:p>
    <w:p>
      <w:pPr>
        <w:pStyle w:val="5"/>
        <w:spacing w:before="0" w:after="0" w:line="360" w:lineRule="auto"/>
        <w:ind w:firstLine="482" w:firstLineChars="200"/>
        <w:rPr>
          <w:rFonts w:ascii="宋体" w:hAnsi="宋体" w:cs="宋体"/>
          <w:color w:val="000000" w:themeColor="text1"/>
          <w:sz w:val="24"/>
          <w:highlight w:val="none"/>
          <w14:textFill>
            <w14:solidFill>
              <w14:schemeClr w14:val="tx1"/>
            </w14:solidFill>
          </w14:textFill>
        </w:rPr>
      </w:pPr>
      <w:bookmarkStart w:id="54" w:name="_Toc217390843"/>
      <w:bookmarkStart w:id="55" w:name="_Toc426657534"/>
      <w:bookmarkStart w:id="56" w:name="_Toc183582207"/>
      <w:bookmarkStart w:id="57" w:name="_Toc217446036"/>
      <w:bookmarkStart w:id="58" w:name="_Toc426648202"/>
      <w:bookmarkStart w:id="59" w:name="_Toc183682344"/>
      <w:r>
        <w:rPr>
          <w:rFonts w:hint="eastAsia" w:ascii="宋体" w:hAnsi="宋体" w:cs="宋体"/>
          <w:color w:val="000000" w:themeColor="text1"/>
          <w:sz w:val="24"/>
          <w:highlight w:val="none"/>
          <w14:textFill>
            <w14:solidFill>
              <w14:schemeClr w14:val="tx1"/>
            </w14:solidFill>
          </w14:textFill>
        </w:rPr>
        <w:t>3．合格的投标人</w:t>
      </w:r>
      <w:bookmarkEnd w:id="54"/>
      <w:bookmarkEnd w:id="55"/>
      <w:bookmarkEnd w:id="56"/>
      <w:bookmarkEnd w:id="57"/>
      <w:bookmarkEnd w:id="58"/>
      <w:bookmarkEnd w:id="59"/>
      <w:r>
        <w:rPr>
          <w:rFonts w:hint="eastAsia" w:ascii="宋体" w:hAnsi="宋体" w:cs="宋体"/>
          <w:color w:val="000000" w:themeColor="text1"/>
          <w:sz w:val="24"/>
          <w:highlight w:val="none"/>
          <w14:textFill>
            <w14:solidFill>
              <w14:schemeClr w14:val="tx1"/>
            </w14:solidFill>
          </w14:textFill>
        </w:rPr>
        <w:t>（实质性要求）</w:t>
      </w:r>
    </w:p>
    <w:p>
      <w:pPr>
        <w:tabs>
          <w:tab w:val="left" w:pos="76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合格的投标人应具备以下条件：</w:t>
      </w:r>
    </w:p>
    <w:p>
      <w:pPr>
        <w:tabs>
          <w:tab w:val="left" w:pos="7665"/>
        </w:tabs>
        <w:spacing w:line="360" w:lineRule="auto"/>
        <w:ind w:firstLine="480" w:firstLineChars="200"/>
        <w:rPr>
          <w:rFonts w:ascii="宋体" w:hAnsi="宋体" w:cs="宋体"/>
          <w:color w:val="000000" w:themeColor="text1"/>
          <w:spacing w:val="-4"/>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（1）本招标文件规定的投标人资格条件</w:t>
      </w:r>
      <w:r>
        <w:rPr>
          <w:rFonts w:hint="eastAsia" w:ascii="宋体" w:hAnsi="宋体" w:cs="宋体"/>
          <w:color w:val="000000" w:themeColor="text1"/>
          <w:spacing w:val="-4"/>
          <w:sz w:val="24"/>
          <w:highlight w:val="none"/>
          <w14:textFill>
            <w14:solidFill>
              <w14:schemeClr w14:val="tx1"/>
            </w14:solidFill>
          </w14:textFill>
        </w:rPr>
        <w:t>；</w:t>
      </w:r>
    </w:p>
    <w:p>
      <w:pPr>
        <w:tabs>
          <w:tab w:val="left" w:pos="7665"/>
        </w:tabs>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（2）向采购代理机构购买了招标文件并登记备案；</w:t>
      </w:r>
    </w:p>
    <w:p>
      <w:pPr>
        <w:tabs>
          <w:tab w:val="left" w:pos="7665"/>
        </w:tabs>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（3）遵守国家有关的法律、法规、规章和其他政策制度；</w:t>
      </w:r>
      <w:bookmarkStart w:id="60" w:name="_Toc183582208"/>
      <w:bookmarkStart w:id="61" w:name="_Toc426648203"/>
      <w:bookmarkStart w:id="62" w:name="_Toc217446037"/>
      <w:bookmarkStart w:id="63" w:name="_Toc426657535"/>
      <w:bookmarkStart w:id="64" w:name="_Toc183682345"/>
    </w:p>
    <w:p>
      <w:pPr>
        <w:pStyle w:val="5"/>
        <w:spacing w:before="0" w:after="0" w:line="360" w:lineRule="auto"/>
        <w:ind w:firstLine="482"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4．投标费用</w:t>
      </w:r>
      <w:bookmarkEnd w:id="60"/>
      <w:bookmarkEnd w:id="61"/>
      <w:bookmarkEnd w:id="62"/>
      <w:bookmarkEnd w:id="63"/>
      <w:bookmarkEnd w:id="64"/>
      <w:r>
        <w:rPr>
          <w:rFonts w:hint="eastAsia" w:ascii="宋体" w:hAnsi="宋体" w:cs="宋体"/>
          <w:color w:val="000000" w:themeColor="text1"/>
          <w:sz w:val="24"/>
          <w:highlight w:val="none"/>
          <w14:textFill>
            <w14:solidFill>
              <w14:schemeClr w14:val="tx1"/>
            </w14:solidFill>
          </w14:textFill>
        </w:rPr>
        <w:t>（实质性要求）</w:t>
      </w:r>
    </w:p>
    <w:p>
      <w:pPr>
        <w:tabs>
          <w:tab w:val="left" w:pos="7665"/>
        </w:tabs>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投标人参加投标的有关费用由投标人自行承担。</w:t>
      </w:r>
    </w:p>
    <w:p>
      <w:pPr>
        <w:pStyle w:val="5"/>
        <w:spacing w:before="0" w:after="0" w:line="360" w:lineRule="auto"/>
        <w:ind w:firstLine="482" w:firstLineChars="200"/>
        <w:rPr>
          <w:rFonts w:ascii="宋体" w:hAnsi="宋体" w:cs="宋体"/>
          <w:color w:val="000000" w:themeColor="text1"/>
          <w:sz w:val="24"/>
          <w:highlight w:val="none"/>
          <w14:textFill>
            <w14:solidFill>
              <w14:schemeClr w14:val="tx1"/>
            </w14:solidFill>
          </w14:textFill>
        </w:rPr>
      </w:pPr>
      <w:bookmarkStart w:id="65" w:name="_Toc426657536"/>
      <w:bookmarkStart w:id="66" w:name="_Toc426648204"/>
      <w:r>
        <w:rPr>
          <w:rFonts w:hint="eastAsia" w:ascii="宋体" w:hAnsi="宋体" w:cs="宋体"/>
          <w:color w:val="000000" w:themeColor="text1"/>
          <w:sz w:val="24"/>
          <w:highlight w:val="none"/>
          <w14:textFill>
            <w14:solidFill>
              <w14:schemeClr w14:val="tx1"/>
            </w14:solidFill>
          </w14:textFill>
        </w:rPr>
        <w:t>5．充分、公平竞争保障措施</w:t>
      </w:r>
      <w:bookmarkEnd w:id="65"/>
      <w:bookmarkEnd w:id="66"/>
      <w:r>
        <w:rPr>
          <w:rFonts w:hint="eastAsia" w:ascii="宋体" w:hAnsi="宋体" w:cs="宋体"/>
          <w:color w:val="000000" w:themeColor="text1"/>
          <w:sz w:val="24"/>
          <w:highlight w:val="none"/>
          <w14:textFill>
            <w14:solidFill>
              <w14:schemeClr w14:val="tx1"/>
            </w14:solidFill>
          </w14:textFill>
        </w:rPr>
        <w:t>（实质性要求）</w:t>
      </w:r>
      <w:bookmarkStart w:id="67" w:name="_Toc77400779"/>
      <w:bookmarkStart w:id="68" w:name="_Toc183682346"/>
      <w:bookmarkStart w:id="69" w:name="_Toc183582209"/>
      <w:bookmarkStart w:id="70" w:name="_Toc89075875"/>
      <w:bookmarkStart w:id="71" w:name="_Toc217446038"/>
    </w:p>
    <w:p>
      <w:pPr>
        <w:widowControl/>
        <w:autoSpaceDE w:val="0"/>
        <w:spacing w:line="360" w:lineRule="auto"/>
        <w:ind w:firstLine="48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5.1提供相同品牌产品处理</w:t>
      </w:r>
      <w:r>
        <w:rPr>
          <w:rFonts w:hint="eastAsia" w:ascii="宋体" w:hAnsi="宋体" w:cs="宋体"/>
          <w:b/>
          <w:color w:val="000000" w:themeColor="text1"/>
          <w:sz w:val="24"/>
          <w:szCs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提供相同品牌产品且通过资格性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394"/>
        <w:spacing w:line="460" w:lineRule="exact"/>
        <w:ind w:left="1" w:firstLine="480" w:firstLineChars="200"/>
        <w:rPr>
          <w:rFonts w:hAnsi="宋体" w:cs="宋体"/>
          <w:color w:val="000000" w:themeColor="text1"/>
          <w:sz w:val="24"/>
          <w:szCs w:val="22"/>
          <w:highlight w:val="none"/>
          <w14:textFill>
            <w14:solidFill>
              <w14:schemeClr w14:val="tx1"/>
            </w14:solidFill>
          </w14:textFill>
        </w:rPr>
      </w:pPr>
      <w:r>
        <w:rPr>
          <w:rFonts w:hint="eastAsia" w:hAnsi="宋体" w:cs="宋体"/>
          <w:color w:val="000000" w:themeColor="text1"/>
          <w:sz w:val="24"/>
          <w:szCs w:val="22"/>
          <w:highlight w:val="none"/>
          <w14:textFill>
            <w14:solidFill>
              <w14:schemeClr w14:val="tx1"/>
            </w14:solidFill>
          </w14:textFill>
        </w:rPr>
        <w:t>非单一产品采购项目中，多家投标人提供的部分或所有核心产品品牌相同的，视为提供相同品牌产品。</w:t>
      </w:r>
    </w:p>
    <w:p>
      <w:pPr>
        <w:pStyle w:val="394"/>
        <w:spacing w:line="460" w:lineRule="exact"/>
        <w:ind w:left="1" w:firstLine="482" w:firstLineChars="200"/>
        <w:rPr>
          <w:rFonts w:hAnsi="宋体" w:cs="宋体"/>
          <w:b/>
          <w:bCs/>
          <w:color w:val="000000" w:themeColor="text1"/>
          <w:sz w:val="24"/>
          <w:szCs w:val="22"/>
          <w:highlight w:val="none"/>
          <w14:textFill>
            <w14:solidFill>
              <w14:schemeClr w14:val="tx1"/>
            </w14:solidFill>
          </w14:textFill>
        </w:rPr>
      </w:pPr>
      <w:r>
        <w:rPr>
          <w:rFonts w:hint="eastAsia" w:hAnsi="宋体" w:cs="宋体"/>
          <w:b/>
          <w:bCs/>
          <w:color w:val="000000" w:themeColor="text1"/>
          <w:sz w:val="24"/>
          <w:szCs w:val="22"/>
          <w:highlight w:val="none"/>
          <w14:textFill>
            <w14:solidFill>
              <w14:schemeClr w14:val="tx1"/>
            </w14:solidFill>
          </w14:textFill>
        </w:rPr>
        <w:t>本采购项目核心产品为：</w:t>
      </w:r>
    </w:p>
    <w:tbl>
      <w:tblPr>
        <w:tblStyle w:val="5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4491"/>
        <w:gridCol w:w="44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67" w:hRule="atLeast"/>
          <w:jc w:val="center"/>
        </w:trPr>
        <w:tc>
          <w:tcPr>
            <w:tcW w:w="2499" w:type="pct"/>
            <w:vAlign w:val="center"/>
          </w:tcPr>
          <w:p>
            <w:pPr>
              <w:jc w:val="center"/>
              <w:textAlignment w:val="center"/>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b/>
                <w:color w:val="000000" w:themeColor="text1"/>
                <w:kern w:val="0"/>
                <w:sz w:val="24"/>
                <w:szCs w:val="24"/>
                <w:highlight w:val="none"/>
                <w14:textFill>
                  <w14:solidFill>
                    <w14:schemeClr w14:val="tx1"/>
                  </w14:solidFill>
                </w14:textFill>
              </w:rPr>
              <w:t>标包号</w:t>
            </w:r>
          </w:p>
        </w:tc>
        <w:tc>
          <w:tcPr>
            <w:tcW w:w="2500" w:type="pct"/>
            <w:tcBorders>
              <w:right w:val="single" w:color="auto" w:sz="4" w:space="0"/>
            </w:tcBorders>
            <w:vAlign w:val="center"/>
          </w:tcPr>
          <w:p>
            <w:pPr>
              <w:jc w:val="center"/>
              <w:textAlignment w:val="center"/>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b/>
                <w:color w:val="000000" w:themeColor="text1"/>
                <w:kern w:val="0"/>
                <w:sz w:val="24"/>
                <w:szCs w:val="24"/>
                <w:highlight w:val="none"/>
                <w14:textFill>
                  <w14:solidFill>
                    <w14:schemeClr w14:val="tx1"/>
                  </w14:solidFill>
                </w14:textFill>
              </w:rPr>
              <w:t>核心产品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67" w:hRule="atLeast"/>
          <w:jc w:val="center"/>
        </w:trPr>
        <w:tc>
          <w:tcPr>
            <w:tcW w:w="4491" w:type="dxa"/>
            <w:vAlign w:val="center"/>
          </w:tcPr>
          <w:p>
            <w:pPr>
              <w:spacing w:line="360" w:lineRule="auto"/>
              <w:jc w:val="center"/>
              <w:rPr>
                <w:rFonts w:ascii="宋体" w:hAnsi="宋体" w:cs="宋体"/>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、照明类</w:t>
            </w:r>
          </w:p>
        </w:tc>
        <w:tc>
          <w:tcPr>
            <w:tcW w:w="2500" w:type="pct"/>
            <w:tcBorders>
              <w:right w:val="single" w:color="auto" w:sz="4" w:space="0"/>
            </w:tcBorders>
            <w:vAlign w:val="center"/>
          </w:tcPr>
          <w:p>
            <w:pPr>
              <w:widowControl/>
              <w:jc w:val="center"/>
              <w:textAlignment w:val="center"/>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救生照明线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67" w:hRule="atLeast"/>
          <w:jc w:val="center"/>
        </w:trPr>
        <w:tc>
          <w:tcPr>
            <w:tcW w:w="4491" w:type="dxa"/>
            <w:vAlign w:val="center"/>
          </w:tcPr>
          <w:p>
            <w:pPr>
              <w:spacing w:line="360" w:lineRule="auto"/>
              <w:jc w:val="center"/>
              <w:rPr>
                <w:rFonts w:ascii="宋体" w:hAnsi="宋体" w:cs="宋体"/>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bidi="ar"/>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二</w:t>
            </w:r>
            <w:r>
              <w:rPr>
                <w:rFonts w:hint="eastAsia" w:asciiTheme="minorEastAsia" w:hAnsiTheme="minorEastAsia" w:eastAsiaTheme="minorEastAsia" w:cstheme="minorEastAsia"/>
                <w:color w:val="000000" w:themeColor="text1"/>
                <w:sz w:val="24"/>
                <w:szCs w:val="24"/>
                <w:highlight w:val="none"/>
                <w:lang w:bidi="ar"/>
                <w14:textFill>
                  <w14:solidFill>
                    <w14:schemeClr w14:val="tx1"/>
                  </w14:solidFill>
                </w14:textFill>
              </w:rPr>
              <w:t>、水域救援类</w:t>
            </w:r>
          </w:p>
        </w:tc>
        <w:tc>
          <w:tcPr>
            <w:tcW w:w="2500" w:type="pct"/>
            <w:tcBorders>
              <w:right w:val="single" w:color="auto" w:sz="4" w:space="0"/>
            </w:tcBorders>
            <w:vAlign w:val="center"/>
          </w:tcPr>
          <w:p>
            <w:pPr>
              <w:widowControl/>
              <w:jc w:val="center"/>
              <w:textAlignment w:val="center"/>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排水机器人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67" w:hRule="atLeast"/>
          <w:jc w:val="center"/>
        </w:trPr>
        <w:tc>
          <w:tcPr>
            <w:tcW w:w="4491" w:type="dxa"/>
            <w:vAlign w:val="center"/>
          </w:tcPr>
          <w:p>
            <w:pPr>
              <w:spacing w:line="360" w:lineRule="auto"/>
              <w:jc w:val="center"/>
              <w:rPr>
                <w:rFonts w:ascii="宋体" w:hAnsi="宋体" w:cs="宋体"/>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、保障类</w:t>
            </w:r>
          </w:p>
        </w:tc>
        <w:tc>
          <w:tcPr>
            <w:tcW w:w="2500" w:type="pct"/>
            <w:tcBorders>
              <w:right w:val="single" w:color="auto" w:sz="4" w:space="0"/>
            </w:tcBorders>
            <w:vAlign w:val="center"/>
          </w:tcPr>
          <w:p>
            <w:pPr>
              <w:widowControl/>
              <w:jc w:val="center"/>
              <w:textAlignment w:val="center"/>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公众洗消站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67" w:hRule="atLeast"/>
          <w:jc w:val="center"/>
        </w:trPr>
        <w:tc>
          <w:tcPr>
            <w:tcW w:w="4491" w:type="dxa"/>
            <w:tcBorders>
              <w:bottom w:val="single" w:color="auto" w:sz="4" w:space="0"/>
            </w:tcBorders>
            <w:vAlign w:val="center"/>
          </w:tcPr>
          <w:p>
            <w:pPr>
              <w:spacing w:line="360" w:lineRule="auto"/>
              <w:jc w:val="center"/>
              <w:rPr>
                <w:rFonts w:ascii="宋体" w:hAnsi="宋体" w:cs="宋体"/>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、其他类</w:t>
            </w:r>
          </w:p>
        </w:tc>
        <w:tc>
          <w:tcPr>
            <w:tcW w:w="2500" w:type="pct"/>
            <w:tcBorders>
              <w:bottom w:val="single" w:color="auto" w:sz="4" w:space="0"/>
              <w:right w:val="single" w:color="auto" w:sz="4" w:space="0"/>
            </w:tcBorders>
            <w:vAlign w:val="center"/>
          </w:tcPr>
          <w:p>
            <w:pPr>
              <w:widowControl/>
              <w:jc w:val="center"/>
              <w:textAlignment w:val="center"/>
              <w:rPr>
                <w:rFonts w:ascii="宋体" w:hAnsi="宋体" w:cs="宋体"/>
                <w:bCs/>
                <w:color w:val="000000" w:themeColor="text1"/>
                <w:kern w:val="0"/>
                <w:sz w:val="24"/>
                <w:szCs w:val="24"/>
                <w:highlight w:val="none"/>
                <w14:textFill>
                  <w14:solidFill>
                    <w14:schemeClr w14:val="tx1"/>
                  </w14:solidFill>
                </w14:textFill>
              </w:rPr>
            </w:pPr>
            <w:r>
              <w:rPr>
                <w:rFonts w:hint="eastAsia" w:asciiTheme="minorEastAsia" w:hAnsiTheme="minorEastAsia" w:cstheme="minorEastAsia"/>
                <w:color w:val="000000" w:themeColor="text1"/>
                <w:kern w:val="0"/>
                <w:sz w:val="24"/>
                <w:szCs w:val="24"/>
                <w:highlight w:val="none"/>
                <w14:textFill>
                  <w14:solidFill>
                    <w14:schemeClr w14:val="tx1"/>
                  </w14:solidFill>
                </w14:textFill>
              </w:rPr>
              <w:t>轮式装载机</w:t>
            </w:r>
          </w:p>
        </w:tc>
      </w:tr>
    </w:tbl>
    <w:p>
      <w:pPr>
        <w:pStyle w:val="394"/>
        <w:spacing w:line="240" w:lineRule="auto"/>
        <w:rPr>
          <w:rFonts w:hAnsi="宋体" w:cs="宋体"/>
          <w:b/>
          <w:bCs/>
          <w:color w:val="000000" w:themeColor="text1"/>
          <w:sz w:val="13"/>
          <w:szCs w:val="11"/>
          <w:highlight w:val="none"/>
          <w14:textFill>
            <w14:solidFill>
              <w14:schemeClr w14:val="tx1"/>
            </w14:solidFill>
          </w14:textFill>
        </w:rPr>
      </w:pPr>
    </w:p>
    <w:p>
      <w:pPr>
        <w:pStyle w:val="394"/>
        <w:spacing w:line="460" w:lineRule="exact"/>
        <w:ind w:left="1" w:firstLine="482" w:firstLineChars="200"/>
        <w:rPr>
          <w:rFonts w:hAnsi="宋体" w:cs="宋体"/>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5.2利害关系投标人处理。</w:t>
      </w:r>
      <w:r>
        <w:rPr>
          <w:rFonts w:hint="eastAsia" w:hAnsi="宋体" w:cs="宋体"/>
          <w:color w:val="000000" w:themeColor="text1"/>
          <w:sz w:val="24"/>
          <w:highlight w:val="none"/>
          <w14:textFill>
            <w14:solidFill>
              <w14:schemeClr w14:val="tx1"/>
            </w14:solidFill>
          </w14:textFill>
        </w:rPr>
        <w:t>单位负责人为同一人或者存在直接控股、管理关系的不同投标人不得参加同一合同项下的政府采购活动。采购项目实行资格预审的，单位负责人为同一人或者存在直接控股、管理关系的不同投标人可以参加资格预审，但只能由投标人确定其中一家符合条件的投标人参加后续的政府采购活动，否则，其投标文件作为无效处理。</w:t>
      </w:r>
    </w:p>
    <w:p>
      <w:pPr>
        <w:pStyle w:val="394"/>
        <w:spacing w:line="460" w:lineRule="exact"/>
        <w:ind w:left="1" w:firstLine="482" w:firstLineChars="200"/>
        <w:rPr>
          <w:rFonts w:hAnsi="宋体" w:cs="宋体"/>
          <w:color w:val="000000" w:themeColor="text1"/>
          <w:sz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5.3前期参与投标人处理。</w:t>
      </w:r>
      <w:r>
        <w:rPr>
          <w:rFonts w:hint="eastAsia" w:hAnsi="宋体" w:cs="宋体"/>
          <w:color w:val="000000" w:themeColor="text1"/>
          <w:sz w:val="24"/>
          <w:highlight w:val="none"/>
          <w14:textFill>
            <w14:solidFill>
              <w14:schemeClr w14:val="tx1"/>
            </w14:solidFill>
          </w14:textFill>
        </w:rPr>
        <w:t>为采购项目提供整体设计、规范编制或者项目管理、监理、检测等服务的投标人，不得再参加该采购项目的其他采购活动。投标人为采购人、采购代理机构在确定采购需求、编制招标文件过程中提供咨询论证，其提供的咨询论证意见成为招标文件中规定的投标人资格条件、技术服务商务要求、评标因素和标准、政府采购合同等实质性内容条款的，视同为采购项目提供规范编制。</w:t>
      </w:r>
    </w:p>
    <w:p>
      <w:pPr>
        <w:pStyle w:val="394"/>
        <w:spacing w:line="460" w:lineRule="exact"/>
        <w:ind w:left="1" w:firstLine="482" w:firstLineChars="200"/>
        <w:rPr>
          <w:rFonts w:hAnsi="宋体" w:cs="宋体"/>
          <w:color w:val="000000" w:themeColor="text1"/>
          <w:sz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5.4 利害关系代理人处理。</w:t>
      </w:r>
      <w:r>
        <w:rPr>
          <w:rFonts w:hint="eastAsia" w:hAnsi="宋体" w:cs="宋体"/>
          <w:color w:val="000000" w:themeColor="text1"/>
          <w:sz w:val="24"/>
          <w:highlight w:val="none"/>
          <w14:textFill>
            <w14:solidFill>
              <w14:schemeClr w14:val="tx1"/>
            </w14:solidFill>
          </w14:textFill>
        </w:rPr>
        <w:t>2家以上的投标人不得在同一合同项下的采购项目中，同时委托同一个自然人、同一家庭的人员、同一单位的人员作为其代理人，否则其投标文件作为无效处理。</w:t>
      </w:r>
    </w:p>
    <w:p>
      <w:pPr>
        <w:pStyle w:val="4"/>
        <w:spacing w:before="0" w:after="0" w:line="360" w:lineRule="auto"/>
        <w:ind w:firstLine="640"/>
        <w:jc w:val="center"/>
        <w:rPr>
          <w:rFonts w:ascii="宋体" w:hAnsi="宋体" w:eastAsia="宋体" w:cs="宋体"/>
          <w:color w:val="000000" w:themeColor="text1"/>
          <w:highlight w:val="none"/>
          <w14:textFill>
            <w14:solidFill>
              <w14:schemeClr w14:val="tx1"/>
            </w14:solidFill>
          </w14:textFill>
        </w:rPr>
      </w:pPr>
      <w:bookmarkStart w:id="72" w:name="_Toc19834"/>
      <w:bookmarkStart w:id="73" w:name="_Toc426657537"/>
      <w:bookmarkStart w:id="74" w:name="_Toc31620"/>
      <w:r>
        <w:rPr>
          <w:rFonts w:hint="eastAsia" w:ascii="宋体" w:hAnsi="宋体" w:eastAsia="宋体" w:cs="宋体"/>
          <w:color w:val="000000" w:themeColor="text1"/>
          <w:highlight w:val="none"/>
          <w14:textFill>
            <w14:solidFill>
              <w14:schemeClr w14:val="tx1"/>
            </w14:solidFill>
          </w14:textFill>
        </w:rPr>
        <w:t>三、招标文件</w:t>
      </w:r>
      <w:bookmarkEnd w:id="67"/>
      <w:bookmarkEnd w:id="68"/>
      <w:bookmarkEnd w:id="69"/>
      <w:bookmarkEnd w:id="70"/>
      <w:bookmarkEnd w:id="71"/>
      <w:bookmarkEnd w:id="72"/>
      <w:bookmarkEnd w:id="73"/>
      <w:bookmarkEnd w:id="74"/>
      <w:bookmarkStart w:id="75" w:name="_Toc183582210"/>
      <w:bookmarkStart w:id="76" w:name="_Toc217446039"/>
      <w:bookmarkStart w:id="77" w:name="_Toc183682347"/>
      <w:bookmarkStart w:id="78" w:name="_Toc89075878"/>
      <w:bookmarkStart w:id="79" w:name="_Toc183682368"/>
      <w:bookmarkStart w:id="80" w:name="_Toc217446056"/>
      <w:bookmarkStart w:id="81" w:name="_Toc77400782"/>
      <w:bookmarkStart w:id="82" w:name="_Toc183582231"/>
      <w:bookmarkStart w:id="83" w:name="_Toc217446081"/>
    </w:p>
    <w:p>
      <w:pPr>
        <w:pStyle w:val="5"/>
        <w:spacing w:before="0" w:after="0" w:line="400" w:lineRule="exact"/>
        <w:ind w:firstLine="482" w:firstLineChars="200"/>
        <w:rPr>
          <w:rFonts w:ascii="宋体" w:hAnsi="宋体" w:cs="宋体"/>
          <w:color w:val="000000" w:themeColor="text1"/>
          <w:sz w:val="24"/>
          <w:highlight w:val="none"/>
          <w14:textFill>
            <w14:solidFill>
              <w14:schemeClr w14:val="tx1"/>
            </w14:solidFill>
          </w14:textFill>
        </w:rPr>
      </w:pPr>
      <w:bookmarkStart w:id="84" w:name="_Toc426648206"/>
      <w:bookmarkStart w:id="85" w:name="_Toc426657538"/>
      <w:r>
        <w:rPr>
          <w:rFonts w:hint="eastAsia" w:ascii="宋体" w:hAnsi="宋体" w:cs="宋体"/>
          <w:color w:val="000000" w:themeColor="text1"/>
          <w:sz w:val="24"/>
          <w:highlight w:val="none"/>
          <w14:textFill>
            <w14:solidFill>
              <w14:schemeClr w14:val="tx1"/>
            </w14:solidFill>
          </w14:textFill>
        </w:rPr>
        <w:t>6．招标文件的构成</w:t>
      </w:r>
      <w:bookmarkEnd w:id="75"/>
      <w:bookmarkEnd w:id="76"/>
      <w:bookmarkEnd w:id="77"/>
      <w:bookmarkEnd w:id="84"/>
      <w:bookmarkEnd w:id="85"/>
    </w:p>
    <w:p>
      <w:pPr>
        <w:tabs>
          <w:tab w:val="left" w:pos="720"/>
        </w:tabs>
        <w:spacing w:line="4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 招标文件是投标人准备投标文件和参加投标的依据，同时也是评标的重要依据，具有准法律文件性质。招标文件用以阐明招标项目所需的资质、技术、服务及报价等要求、招标投标程序、有关规定和注意事项以及合同主要条款等。本招标文件包括以下内容：</w:t>
      </w:r>
    </w:p>
    <w:p>
      <w:pPr>
        <w:tabs>
          <w:tab w:val="left" w:pos="720"/>
        </w:tabs>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（一）投标邀请；</w:t>
      </w:r>
    </w:p>
    <w:p>
      <w:pPr>
        <w:tabs>
          <w:tab w:val="left" w:pos="720"/>
        </w:tabs>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（二）投标人须知；</w:t>
      </w:r>
    </w:p>
    <w:p>
      <w:pPr>
        <w:tabs>
          <w:tab w:val="left" w:pos="720"/>
        </w:tabs>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（三）投标文件格式；</w:t>
      </w:r>
    </w:p>
    <w:p>
      <w:pPr>
        <w:tabs>
          <w:tab w:val="left" w:pos="720"/>
        </w:tabs>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（四）投标人的资格、资质性及其他类似效力要求；</w:t>
      </w:r>
    </w:p>
    <w:p>
      <w:pPr>
        <w:tabs>
          <w:tab w:val="left" w:pos="720"/>
        </w:tabs>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（五）投标人应当提供的资格、资质性及其他类似效力要求的相关证明材料；</w:t>
      </w:r>
    </w:p>
    <w:p>
      <w:pPr>
        <w:tabs>
          <w:tab w:val="left" w:pos="720"/>
        </w:tabs>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（六）招标项目</w:t>
      </w:r>
      <w:r>
        <w:rPr>
          <w:rFonts w:hint="eastAsia" w:ascii="宋体" w:hAnsi="宋体" w:cs="宋体"/>
          <w:color w:val="000000" w:themeColor="text1"/>
          <w:sz w:val="24"/>
          <w:highlight w:val="none"/>
          <w:lang w:val="en-US" w:eastAsia="zh-CN"/>
          <w14:textFill>
            <w14:solidFill>
              <w14:schemeClr w14:val="tx1"/>
            </w14:solidFill>
          </w14:textFill>
        </w:rPr>
        <w:t>技术</w:t>
      </w:r>
      <w:r>
        <w:rPr>
          <w:rFonts w:hint="eastAsia" w:ascii="宋体" w:hAnsi="宋体" w:cs="宋体"/>
          <w:color w:val="000000" w:themeColor="text1"/>
          <w:sz w:val="24"/>
          <w:highlight w:val="none"/>
          <w14:textFill>
            <w14:solidFill>
              <w14:schemeClr w14:val="tx1"/>
            </w14:solidFill>
          </w14:textFill>
        </w:rPr>
        <w:t>、商务及其他要求；</w:t>
      </w:r>
    </w:p>
    <w:p>
      <w:pPr>
        <w:tabs>
          <w:tab w:val="left" w:pos="720"/>
        </w:tabs>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（七）评标办法；</w:t>
      </w:r>
    </w:p>
    <w:p>
      <w:pPr>
        <w:tabs>
          <w:tab w:val="left" w:pos="720"/>
        </w:tabs>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（八）政府采购合同（样例）；</w:t>
      </w:r>
    </w:p>
    <w:p>
      <w:pPr>
        <w:pStyle w:val="3"/>
        <w:spacing w:before="0" w:after="0" w:line="360" w:lineRule="auto"/>
        <w:ind w:firstLine="480" w:firstLineChars="200"/>
        <w:rPr>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（九）</w:t>
      </w:r>
      <w:r>
        <w:rPr>
          <w:rFonts w:hint="eastAsia" w:ascii="宋体" w:hAnsi="宋体" w:cs="宋体"/>
          <w:b w:val="0"/>
          <w:bCs w:val="0"/>
          <w:color w:val="000000" w:themeColor="text1"/>
          <w:sz w:val="24"/>
          <w:highlight w:val="none"/>
          <w14:textFill>
            <w14:solidFill>
              <w14:schemeClr w14:val="tx1"/>
            </w14:solidFill>
          </w14:textFill>
        </w:rPr>
        <w:t>投标样品递交明细表。</w:t>
      </w:r>
    </w:p>
    <w:p>
      <w:pPr>
        <w:snapToGrid w:val="0"/>
        <w:spacing w:line="360" w:lineRule="auto"/>
        <w:ind w:firstLine="480" w:firstLineChars="200"/>
        <w:outlineLvl w:val="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 投标人应认真阅读和充分理解招标文件中所有的事项、格式条款和规范要求。投标人没有对招标文件全面做出实质性响应是投标人的风险。没有按照招标文件要求作出实质性响应的投标文件将被拒绝。</w:t>
      </w:r>
    </w:p>
    <w:p>
      <w:pPr>
        <w:snapToGrid w:val="0"/>
        <w:spacing w:line="360" w:lineRule="auto"/>
        <w:ind w:firstLine="482" w:firstLineChars="200"/>
        <w:outlineLvl w:val="5"/>
        <w:rPr>
          <w:rFonts w:ascii="宋体" w:hAnsi="宋体" w:cs="宋体"/>
          <w:b/>
          <w:bCs/>
          <w:color w:val="000000" w:themeColor="text1"/>
          <w:sz w:val="24"/>
          <w:highlight w:val="none"/>
          <w14:textFill>
            <w14:solidFill>
              <w14:schemeClr w14:val="tx1"/>
            </w14:solidFill>
          </w14:textFill>
        </w:rPr>
      </w:pPr>
      <w:bookmarkStart w:id="86" w:name="_Toc183682348"/>
      <w:bookmarkStart w:id="87" w:name="_Toc183582211"/>
      <w:bookmarkStart w:id="88" w:name="_Toc426648207"/>
      <w:bookmarkStart w:id="89" w:name="_Toc426657539"/>
      <w:bookmarkStart w:id="90" w:name="_Toc217446040"/>
      <w:r>
        <w:rPr>
          <w:rFonts w:hint="eastAsia" w:ascii="宋体" w:hAnsi="宋体" w:cs="宋体"/>
          <w:b/>
          <w:bCs/>
          <w:color w:val="000000" w:themeColor="text1"/>
          <w:sz w:val="24"/>
          <w:highlight w:val="none"/>
          <w14:textFill>
            <w14:solidFill>
              <w14:schemeClr w14:val="tx1"/>
            </w14:solidFill>
          </w14:textFill>
        </w:rPr>
        <w:t>7．招标文件的澄清</w:t>
      </w:r>
      <w:bookmarkEnd w:id="86"/>
      <w:bookmarkEnd w:id="87"/>
      <w:r>
        <w:rPr>
          <w:rFonts w:hint="eastAsia" w:ascii="宋体" w:hAnsi="宋体" w:cs="宋体"/>
          <w:b/>
          <w:bCs/>
          <w:color w:val="000000" w:themeColor="text1"/>
          <w:sz w:val="24"/>
          <w:highlight w:val="none"/>
          <w14:textFill>
            <w14:solidFill>
              <w14:schemeClr w14:val="tx1"/>
            </w14:solidFill>
          </w14:textFill>
        </w:rPr>
        <w:t>和修改</w:t>
      </w:r>
      <w:bookmarkEnd w:id="88"/>
      <w:bookmarkEnd w:id="89"/>
      <w:bookmarkEnd w:id="90"/>
    </w:p>
    <w:p>
      <w:pPr>
        <w:snapToGrid w:val="0"/>
        <w:spacing w:line="360" w:lineRule="auto"/>
        <w:ind w:firstLine="480" w:firstLineChars="200"/>
        <w:outlineLvl w:val="5"/>
        <w:rPr>
          <w:rFonts w:ascii="宋体" w:hAnsi="宋体" w:cs="宋体"/>
          <w:color w:val="000000" w:themeColor="text1"/>
          <w:sz w:val="24"/>
          <w:highlight w:val="none"/>
          <w14:textFill>
            <w14:solidFill>
              <w14:schemeClr w14:val="tx1"/>
            </w14:solidFill>
          </w14:textFill>
        </w:rPr>
      </w:pPr>
      <w:bookmarkStart w:id="91" w:name="_Toc426648208"/>
      <w:bookmarkStart w:id="92" w:name="_Toc426657540"/>
      <w:bookmarkStart w:id="93" w:name="_Toc208848971"/>
      <w:bookmarkStart w:id="94" w:name="_Toc217446041"/>
      <w:r>
        <w:rPr>
          <w:rFonts w:hint="eastAsia" w:ascii="宋体" w:hAnsi="宋体" w:cs="宋体"/>
          <w:color w:val="000000" w:themeColor="text1"/>
          <w:sz w:val="24"/>
          <w:highlight w:val="none"/>
          <w14:textFill>
            <w14:solidFill>
              <w14:schemeClr w14:val="tx1"/>
            </w14:solidFill>
          </w14:textFill>
        </w:rPr>
        <w:t>7.1招标采购单位可以依法对招标文件进行澄清或者修改。</w:t>
      </w:r>
    </w:p>
    <w:p>
      <w:pPr>
        <w:snapToGrid w:val="0"/>
        <w:spacing w:line="360" w:lineRule="auto"/>
        <w:ind w:firstLine="480" w:firstLineChars="200"/>
        <w:outlineLvl w:val="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7.2招标采购单位对已发出的招标文件进行澄清或者修改，应当以书面形式将澄清或者修改的内容通知所有购买了招标文件的潜在投标人，同时在中国政府采购网上发布更正公告。该澄清或者修改的内容为招标文件的组成部分，澄清或者修改的内容可能影响投标文件、资格预审申请文件编制的，采购人或者采购代理机构发布公告并书面通知投标人的时间，应当在投标截止时间至少15日前、提交资格预审申请文件截止时间至少3日前；不足上述时间的，应当顺延提交投标文件、资格预审申请文件的截止时间。</w:t>
      </w:r>
    </w:p>
    <w:p>
      <w:pPr>
        <w:snapToGrid w:val="0"/>
        <w:spacing w:line="360" w:lineRule="auto"/>
        <w:ind w:firstLine="480" w:firstLineChars="200"/>
        <w:outlineLvl w:val="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3 投标人认为需要对招标文件进行澄清或者修改的，可以以书面形式向招标采购单位提出申请，但招标采购单位可以决定是否采纳投标人的申请事项。</w:t>
      </w:r>
    </w:p>
    <w:p>
      <w:pPr>
        <w:snapToGrid w:val="0"/>
        <w:spacing w:line="360" w:lineRule="auto"/>
        <w:ind w:firstLine="482" w:firstLineChars="200"/>
        <w:outlineLvl w:val="5"/>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8．答疑会和现场考察</w:t>
      </w:r>
      <w:bookmarkEnd w:id="91"/>
      <w:bookmarkEnd w:id="92"/>
      <w:bookmarkEnd w:id="93"/>
      <w:bookmarkEnd w:id="94"/>
    </w:p>
    <w:p>
      <w:pPr>
        <w:snapToGrid w:val="0"/>
        <w:spacing w:line="360" w:lineRule="auto"/>
        <w:ind w:firstLine="480" w:firstLineChars="200"/>
        <w:outlineLvl w:val="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8.1 根据采购项目和具体情况，招标采购单位认为有必要，可以在招标文件提供期限截止后，组织已获取招标文件的潜在投标人现场考察或者召开开标前答疑会。组织现场考察或者召开答疑会的，应当以书面形式通知所有获取招标文件的潜在投标人。</w:t>
      </w:r>
    </w:p>
    <w:p>
      <w:pPr>
        <w:snapToGrid w:val="0"/>
        <w:spacing w:line="360" w:lineRule="auto"/>
        <w:ind w:firstLine="480" w:firstLineChars="200"/>
        <w:outlineLvl w:val="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8.2 投标人考察现场所发生的一切费用由投标人自己承担。</w:t>
      </w:r>
    </w:p>
    <w:p>
      <w:pPr>
        <w:pStyle w:val="4"/>
        <w:spacing w:before="0" w:after="0" w:line="360" w:lineRule="auto"/>
        <w:ind w:firstLine="640"/>
        <w:jc w:val="center"/>
        <w:rPr>
          <w:rFonts w:ascii="宋体" w:hAnsi="宋体" w:eastAsia="宋体" w:cs="宋体"/>
          <w:color w:val="000000" w:themeColor="text1"/>
          <w:highlight w:val="none"/>
          <w14:textFill>
            <w14:solidFill>
              <w14:schemeClr w14:val="tx1"/>
            </w14:solidFill>
          </w14:textFill>
        </w:rPr>
      </w:pPr>
      <w:bookmarkStart w:id="95" w:name="_Toc183682351"/>
      <w:bookmarkStart w:id="96" w:name="_Toc183582214"/>
      <w:bookmarkStart w:id="97" w:name="_Toc426657541"/>
      <w:bookmarkStart w:id="98" w:name="_Toc217446042"/>
      <w:bookmarkStart w:id="99" w:name="_Toc16722"/>
      <w:bookmarkStart w:id="100" w:name="_Toc4874"/>
      <w:bookmarkStart w:id="101" w:name="_Toc89075876"/>
      <w:bookmarkStart w:id="102" w:name="_Toc77400780"/>
      <w:r>
        <w:rPr>
          <w:rFonts w:hint="eastAsia" w:ascii="宋体" w:hAnsi="宋体" w:eastAsia="宋体" w:cs="宋体"/>
          <w:color w:val="000000" w:themeColor="text1"/>
          <w:highlight w:val="none"/>
          <w14:textFill>
            <w14:solidFill>
              <w14:schemeClr w14:val="tx1"/>
            </w14:solidFill>
          </w14:textFill>
        </w:rPr>
        <w:t>四、投标文件</w:t>
      </w:r>
      <w:bookmarkEnd w:id="95"/>
      <w:bookmarkEnd w:id="96"/>
      <w:bookmarkEnd w:id="97"/>
      <w:bookmarkEnd w:id="98"/>
      <w:bookmarkEnd w:id="99"/>
      <w:bookmarkEnd w:id="100"/>
      <w:bookmarkEnd w:id="101"/>
      <w:bookmarkEnd w:id="102"/>
    </w:p>
    <w:p>
      <w:pPr>
        <w:pStyle w:val="5"/>
        <w:spacing w:before="0" w:after="0" w:line="360" w:lineRule="auto"/>
        <w:ind w:firstLine="482" w:firstLineChars="200"/>
        <w:rPr>
          <w:rFonts w:ascii="宋体" w:hAnsi="宋体" w:cs="宋体"/>
          <w:bCs w:val="0"/>
          <w:color w:val="000000" w:themeColor="text1"/>
          <w:sz w:val="24"/>
          <w:highlight w:val="none"/>
          <w14:textFill>
            <w14:solidFill>
              <w14:schemeClr w14:val="tx1"/>
            </w14:solidFill>
          </w14:textFill>
        </w:rPr>
      </w:pPr>
      <w:bookmarkStart w:id="103" w:name="_Toc183682352"/>
      <w:bookmarkStart w:id="104" w:name="_Toc426648210"/>
      <w:bookmarkStart w:id="105" w:name="_Toc217446043"/>
      <w:bookmarkStart w:id="106" w:name="_Toc183582215"/>
      <w:bookmarkStart w:id="107" w:name="_Toc426657542"/>
      <w:r>
        <w:rPr>
          <w:rFonts w:hint="eastAsia" w:ascii="宋体" w:hAnsi="宋体" w:cs="宋体"/>
          <w:bCs w:val="0"/>
          <w:color w:val="000000" w:themeColor="text1"/>
          <w:sz w:val="24"/>
          <w:highlight w:val="none"/>
          <w14:textFill>
            <w14:solidFill>
              <w14:schemeClr w14:val="tx1"/>
            </w14:solidFill>
          </w14:textFill>
        </w:rPr>
        <w:t>9．投标文件的语言</w:t>
      </w:r>
      <w:bookmarkEnd w:id="103"/>
      <w:bookmarkEnd w:id="104"/>
      <w:bookmarkEnd w:id="105"/>
      <w:bookmarkEnd w:id="106"/>
      <w:bookmarkEnd w:id="107"/>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9.1 投标人提交的投标文件以及投标人与招标采购单位就有关投标的所有来往书面文件均须使用中文</w:t>
      </w:r>
      <w:r>
        <w:rPr>
          <w:rFonts w:hint="eastAsia" w:ascii="宋体" w:hAnsi="宋体" w:cs="宋体"/>
          <w:b/>
          <w:color w:val="000000" w:themeColor="text1"/>
          <w:sz w:val="24"/>
          <w:highlight w:val="none"/>
          <w14:textFill>
            <w14:solidFill>
              <w14:schemeClr w14:val="tx1"/>
            </w14:solidFill>
          </w14:textFill>
        </w:rPr>
        <w:t>（实质性要求）</w:t>
      </w:r>
      <w:r>
        <w:rPr>
          <w:rFonts w:hint="eastAsia" w:ascii="宋体" w:hAnsi="宋体" w:cs="宋体"/>
          <w:color w:val="000000" w:themeColor="text1"/>
          <w:sz w:val="24"/>
          <w:highlight w:val="none"/>
          <w14:textFill>
            <w14:solidFill>
              <w14:schemeClr w14:val="tx1"/>
            </w14:solidFill>
          </w14:textFill>
        </w:rPr>
        <w:t>。</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9.2投标文件中如附有外文资料，应翻译成中文并加盖投标人公章后附在相关外文资料后面。（说明：投标人的法定代表人为外籍人士的，法定代表人的签字和护照除外。）</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9.3翻译的中文资料与外文资料如果出现差异和矛盾时，以中文为准。涉嫌虚假响应的按照相关法律法规处理。</w:t>
      </w:r>
    </w:p>
    <w:p>
      <w:pPr>
        <w:pStyle w:val="5"/>
        <w:spacing w:before="0" w:after="0" w:line="360" w:lineRule="auto"/>
        <w:ind w:firstLine="482" w:firstLineChars="200"/>
        <w:rPr>
          <w:rFonts w:ascii="宋体" w:hAnsi="宋体" w:cs="宋体"/>
          <w:color w:val="000000" w:themeColor="text1"/>
          <w:sz w:val="24"/>
          <w:highlight w:val="none"/>
          <w14:textFill>
            <w14:solidFill>
              <w14:schemeClr w14:val="tx1"/>
            </w14:solidFill>
          </w14:textFill>
        </w:rPr>
      </w:pPr>
      <w:bookmarkStart w:id="108" w:name="_Toc426657543"/>
      <w:bookmarkStart w:id="109" w:name="_Toc426648211"/>
      <w:bookmarkStart w:id="110" w:name="_Toc217446044"/>
      <w:bookmarkStart w:id="111" w:name="_Toc183682353"/>
      <w:bookmarkStart w:id="112" w:name="_Toc183582216"/>
      <w:r>
        <w:rPr>
          <w:rFonts w:hint="eastAsia" w:ascii="宋体" w:hAnsi="宋体" w:cs="宋体"/>
          <w:color w:val="000000" w:themeColor="text1"/>
          <w:sz w:val="24"/>
          <w:highlight w:val="none"/>
          <w14:textFill>
            <w14:solidFill>
              <w14:schemeClr w14:val="tx1"/>
            </w14:solidFill>
          </w14:textFill>
        </w:rPr>
        <w:t>10．计量单位</w:t>
      </w:r>
      <w:bookmarkEnd w:id="108"/>
      <w:bookmarkEnd w:id="109"/>
      <w:bookmarkEnd w:id="110"/>
      <w:bookmarkEnd w:id="111"/>
      <w:bookmarkEnd w:id="112"/>
      <w:r>
        <w:rPr>
          <w:rFonts w:hint="eastAsia" w:ascii="宋体" w:hAnsi="宋体" w:cs="宋体"/>
          <w:color w:val="000000" w:themeColor="text1"/>
          <w:sz w:val="24"/>
          <w:highlight w:val="none"/>
          <w14:textFill>
            <w14:solidFill>
              <w14:schemeClr w14:val="tx1"/>
            </w14:solidFill>
          </w14:textFill>
        </w:rPr>
        <w:t>（实质性要求）</w:t>
      </w:r>
    </w:p>
    <w:p>
      <w:pPr>
        <w:spacing w:line="360" w:lineRule="auto"/>
        <w:ind w:firstLine="470" w:firstLineChars="19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除招标文件中另有规定外，本次采购项目所有合同项下的投标均采用国家法定的计量单位。</w:t>
      </w:r>
    </w:p>
    <w:p>
      <w:pPr>
        <w:pStyle w:val="5"/>
        <w:spacing w:before="0" w:after="0" w:line="360" w:lineRule="auto"/>
        <w:ind w:firstLine="482" w:firstLineChars="200"/>
        <w:rPr>
          <w:rFonts w:ascii="宋体" w:hAnsi="宋体" w:cs="宋体"/>
          <w:color w:val="000000" w:themeColor="text1"/>
          <w:sz w:val="24"/>
          <w:highlight w:val="none"/>
          <w14:textFill>
            <w14:solidFill>
              <w14:schemeClr w14:val="tx1"/>
            </w14:solidFill>
          </w14:textFill>
        </w:rPr>
      </w:pPr>
      <w:bookmarkStart w:id="113" w:name="_Toc426648212"/>
      <w:bookmarkStart w:id="114" w:name="_Toc426657544"/>
      <w:bookmarkStart w:id="115" w:name="_Toc217446045"/>
      <w:r>
        <w:rPr>
          <w:rFonts w:hint="eastAsia" w:ascii="宋体" w:hAnsi="宋体" w:cs="宋体"/>
          <w:color w:val="000000" w:themeColor="text1"/>
          <w:sz w:val="24"/>
          <w:highlight w:val="none"/>
          <w14:textFill>
            <w14:solidFill>
              <w14:schemeClr w14:val="tx1"/>
            </w14:solidFill>
          </w14:textFill>
        </w:rPr>
        <w:t>11．投标货币</w:t>
      </w:r>
      <w:bookmarkEnd w:id="113"/>
      <w:bookmarkEnd w:id="114"/>
      <w:bookmarkEnd w:id="115"/>
      <w:r>
        <w:rPr>
          <w:rFonts w:hint="eastAsia" w:ascii="宋体" w:hAnsi="宋体" w:cs="宋体"/>
          <w:color w:val="000000" w:themeColor="text1"/>
          <w:sz w:val="24"/>
          <w:highlight w:val="none"/>
          <w14:textFill>
            <w14:solidFill>
              <w14:schemeClr w14:val="tx1"/>
            </w14:solidFill>
          </w14:textFill>
        </w:rPr>
        <w:t>（实质性要求）</w:t>
      </w:r>
    </w:p>
    <w:p>
      <w:pPr>
        <w:tabs>
          <w:tab w:val="left" w:pos="7665"/>
        </w:tabs>
        <w:spacing w:line="360" w:lineRule="auto"/>
        <w:ind w:left="13"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本次招标项目的投标均以人民币报价。</w:t>
      </w:r>
    </w:p>
    <w:p>
      <w:pPr>
        <w:pStyle w:val="5"/>
        <w:spacing w:before="0" w:after="0" w:line="360" w:lineRule="auto"/>
        <w:ind w:firstLine="482" w:firstLineChars="200"/>
        <w:rPr>
          <w:rFonts w:ascii="宋体" w:hAnsi="宋体" w:cs="宋体"/>
          <w:color w:val="000000" w:themeColor="text1"/>
          <w:sz w:val="24"/>
          <w:highlight w:val="none"/>
          <w14:textFill>
            <w14:solidFill>
              <w14:schemeClr w14:val="tx1"/>
            </w14:solidFill>
          </w14:textFill>
        </w:rPr>
      </w:pPr>
      <w:bookmarkStart w:id="116" w:name="_Toc426657545"/>
      <w:bookmarkStart w:id="117" w:name="_Toc217446046"/>
      <w:bookmarkStart w:id="118" w:name="_Toc426648213"/>
      <w:r>
        <w:rPr>
          <w:rFonts w:hint="eastAsia" w:ascii="宋体" w:hAnsi="宋体" w:cs="宋体"/>
          <w:color w:val="000000" w:themeColor="text1"/>
          <w:sz w:val="24"/>
          <w:highlight w:val="none"/>
          <w14:textFill>
            <w14:solidFill>
              <w14:schemeClr w14:val="tx1"/>
            </w14:solidFill>
          </w14:textFill>
        </w:rPr>
        <w:t>12．联合体投标</w:t>
      </w:r>
      <w:bookmarkEnd w:id="116"/>
      <w:bookmarkEnd w:id="117"/>
      <w:bookmarkEnd w:id="118"/>
      <w:r>
        <w:rPr>
          <w:rFonts w:hint="eastAsia" w:ascii="宋体" w:hAnsi="宋体" w:cs="宋体"/>
          <w:color w:val="000000" w:themeColor="text1"/>
          <w:sz w:val="24"/>
          <w:highlight w:val="none"/>
          <w14:textFill>
            <w14:solidFill>
              <w14:schemeClr w14:val="tx1"/>
            </w14:solidFill>
          </w14:textFill>
        </w:rPr>
        <w:t>（实质性要求）</w:t>
      </w:r>
    </w:p>
    <w:p>
      <w:pPr>
        <w:pStyle w:val="24"/>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本项目不接受联合体投标。</w:t>
      </w:r>
    </w:p>
    <w:p>
      <w:pPr>
        <w:pStyle w:val="5"/>
        <w:spacing w:before="0" w:after="0" w:line="360" w:lineRule="auto"/>
        <w:ind w:firstLine="482" w:firstLineChars="200"/>
        <w:rPr>
          <w:rFonts w:ascii="宋体" w:hAnsi="宋体" w:cs="宋体"/>
          <w:bCs w:val="0"/>
          <w:color w:val="000000" w:themeColor="text1"/>
          <w:sz w:val="24"/>
          <w:szCs w:val="24"/>
          <w:highlight w:val="none"/>
          <w14:textFill>
            <w14:solidFill>
              <w14:schemeClr w14:val="tx1"/>
            </w14:solidFill>
          </w14:textFill>
        </w:rPr>
      </w:pPr>
      <w:bookmarkStart w:id="119" w:name="_Toc426648214"/>
      <w:bookmarkStart w:id="120" w:name="_Toc217446047"/>
      <w:bookmarkStart w:id="121" w:name="_Toc426657546"/>
      <w:r>
        <w:rPr>
          <w:rFonts w:hint="eastAsia" w:ascii="宋体" w:hAnsi="宋体" w:cs="宋体"/>
          <w:bCs w:val="0"/>
          <w:color w:val="000000" w:themeColor="text1"/>
          <w:sz w:val="24"/>
          <w:szCs w:val="24"/>
          <w:highlight w:val="none"/>
          <w14:textFill>
            <w14:solidFill>
              <w14:schemeClr w14:val="tx1"/>
            </w14:solidFill>
          </w14:textFill>
        </w:rPr>
        <w:t>13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Cs w:val="0"/>
          <w:color w:val="000000" w:themeColor="text1"/>
          <w:sz w:val="24"/>
          <w:szCs w:val="24"/>
          <w:highlight w:val="none"/>
          <w14:textFill>
            <w14:solidFill>
              <w14:schemeClr w14:val="tx1"/>
            </w14:solidFill>
          </w14:textFill>
        </w:rPr>
        <w:t>知识产权</w:t>
      </w:r>
      <w:bookmarkEnd w:id="119"/>
      <w:bookmarkEnd w:id="120"/>
      <w:bookmarkEnd w:id="121"/>
    </w:p>
    <w:p>
      <w:pPr>
        <w:spacing w:line="360" w:lineRule="auto"/>
        <w:ind w:firstLine="460" w:firstLineChars="19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投标人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pPr>
        <w:pStyle w:val="5"/>
        <w:spacing w:before="0" w:after="0" w:line="360" w:lineRule="auto"/>
        <w:ind w:firstLine="482" w:firstLineChars="200"/>
        <w:rPr>
          <w:rFonts w:ascii="宋体" w:hAnsi="宋体" w:cs="宋体"/>
          <w:color w:val="000000" w:themeColor="text1"/>
          <w:sz w:val="24"/>
          <w:highlight w:val="none"/>
          <w14:textFill>
            <w14:solidFill>
              <w14:schemeClr w14:val="tx1"/>
            </w14:solidFill>
          </w14:textFill>
        </w:rPr>
      </w:pPr>
      <w:bookmarkStart w:id="122" w:name="_Toc217446048"/>
      <w:bookmarkStart w:id="123" w:name="_Toc426648215"/>
      <w:bookmarkStart w:id="124" w:name="_Toc183682354"/>
      <w:bookmarkStart w:id="125" w:name="_Toc426657547"/>
      <w:bookmarkStart w:id="126" w:name="_Toc183582217"/>
      <w:r>
        <w:rPr>
          <w:rFonts w:hint="eastAsia" w:ascii="宋体" w:hAnsi="宋体" w:cs="宋体"/>
          <w:color w:val="000000" w:themeColor="text1"/>
          <w:sz w:val="24"/>
          <w:highlight w:val="none"/>
          <w14:textFill>
            <w14:solidFill>
              <w14:schemeClr w14:val="tx1"/>
            </w14:solidFill>
          </w14:textFill>
        </w:rPr>
        <w:t>14．投标文件的组成</w:t>
      </w:r>
      <w:bookmarkEnd w:id="122"/>
      <w:bookmarkEnd w:id="123"/>
      <w:bookmarkEnd w:id="124"/>
      <w:bookmarkEnd w:id="125"/>
      <w:bookmarkEnd w:id="126"/>
    </w:p>
    <w:p>
      <w:pPr>
        <w:spacing w:line="360" w:lineRule="auto"/>
        <w:ind w:firstLine="411" w:firstLineChars="19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投标人应按照招标文件的规定和要求编制投标文件。投标人拟在中标后将中标项目的非主体、非关键性工作交由他人完成的，应当在投标文件中载明。投标人编写的投标文件应包括下列两部分文件：</w:t>
      </w:r>
    </w:p>
    <w:p>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32"/>
          <w:highlight w:val="none"/>
          <w14:textFill>
            <w14:solidFill>
              <w14:schemeClr w14:val="tx1"/>
            </w14:solidFill>
          </w14:textFill>
        </w:rPr>
        <w:t xml:space="preserve">14.1 </w:t>
      </w:r>
      <w:r>
        <w:rPr>
          <w:rFonts w:hint="eastAsia" w:ascii="宋体" w:hAnsi="宋体" w:cs="宋体"/>
          <w:b/>
          <w:color w:val="000000" w:themeColor="text1"/>
          <w:sz w:val="24"/>
          <w:highlight w:val="none"/>
          <w14:textFill>
            <w14:solidFill>
              <w14:schemeClr w14:val="tx1"/>
            </w14:solidFill>
          </w14:textFill>
        </w:rPr>
        <w:t>文件一：资格性投标文件（用于资格审查）（同时投多个标包应分标包编制，分标包装订）</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严格按照招标文件第四、五章要求提供相关资格、资质性及其他类似效力要求的相关证明材料。</w:t>
      </w:r>
    </w:p>
    <w:p>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32"/>
          <w:highlight w:val="none"/>
          <w14:textFill>
            <w14:solidFill>
              <w14:schemeClr w14:val="tx1"/>
            </w14:solidFill>
          </w14:textFill>
        </w:rPr>
        <w:t xml:space="preserve">14.2 </w:t>
      </w:r>
      <w:r>
        <w:rPr>
          <w:rFonts w:hint="eastAsia" w:ascii="宋体" w:hAnsi="宋体" w:cs="宋体"/>
          <w:b/>
          <w:color w:val="000000" w:themeColor="text1"/>
          <w:sz w:val="24"/>
          <w:highlight w:val="none"/>
          <w14:textFill>
            <w14:solidFill>
              <w14:schemeClr w14:val="tx1"/>
            </w14:solidFill>
          </w14:textFill>
        </w:rPr>
        <w:t>文件二：其它响应性投标文件（用于资格审查以外的评标）（同时投多个标包应分标包编制，分标包装订）</w:t>
      </w:r>
    </w:p>
    <w:p>
      <w:pPr>
        <w:spacing w:line="360" w:lineRule="auto"/>
        <w:ind w:firstLine="472" w:firstLineChars="196"/>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（一）报价部分。</w:t>
      </w:r>
      <w:r>
        <w:rPr>
          <w:rFonts w:hint="eastAsia" w:ascii="宋体" w:hAnsi="宋体" w:cs="宋体"/>
          <w:bCs/>
          <w:color w:val="000000" w:themeColor="text1"/>
          <w:sz w:val="24"/>
          <w:highlight w:val="none"/>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按照招标文件要求填写的“开标一览表”。本次招标报价要求：</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（1）投标人的报价是投标人响应招标项目要求的全部工作内容的价格体现，包括投标人完成本项目所需的一切费用。（实质性要求）</w:t>
      </w:r>
    </w:p>
    <w:p>
      <w:pPr>
        <w:spacing w:line="360" w:lineRule="auto"/>
        <w:ind w:left="2" w:firstLine="352" w:firstLineChars="147"/>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（2）投标人每种货物只允许有一个报价，并且在合同履行过程中是固定不变的，任何有选择或可调整的报价将不予接受，并按无效投标处理。（实质性要求）</w:t>
      </w:r>
    </w:p>
    <w:p>
      <w:pPr>
        <w:tabs>
          <w:tab w:val="left" w:pos="540"/>
        </w:tabs>
        <w:spacing w:line="360" w:lineRule="auto"/>
        <w:ind w:firstLine="472" w:firstLineChars="196"/>
        <w:rPr>
          <w:rFonts w:ascii="宋体" w:hAnsi="宋体" w:cs="宋体"/>
          <w:color w:val="000000" w:themeColor="text1"/>
          <w:sz w:val="24"/>
          <w:szCs w:val="22"/>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w:t>
      </w:r>
      <w:r>
        <w:rPr>
          <w:rFonts w:hint="eastAsia" w:ascii="宋体" w:hAnsi="宋体" w:cs="宋体"/>
          <w:b/>
          <w:bCs/>
          <w:color w:val="000000" w:themeColor="text1"/>
          <w:sz w:val="24"/>
          <w:highlight w:val="none"/>
          <w14:textFill>
            <w14:solidFill>
              <w14:schemeClr w14:val="tx1"/>
            </w14:solidFill>
          </w14:textFill>
        </w:rPr>
        <w:t>技术（服务）部分。</w:t>
      </w:r>
      <w:r>
        <w:rPr>
          <w:rFonts w:hint="eastAsia" w:ascii="宋体" w:hAnsi="宋体" w:cs="宋体"/>
          <w:bCs/>
          <w:color w:val="000000" w:themeColor="text1"/>
          <w:sz w:val="24"/>
          <w:highlight w:val="none"/>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按照招标文件要求做出的技术应答，主要是针对招标项目的技术（服务）指标、参数和技术（服务）要求做出的实质性响应和满足。投标人的技术（服务）应答应包括下列内容：</w:t>
      </w:r>
    </w:p>
    <w:p>
      <w:pPr>
        <w:spacing w:line="360" w:lineRule="auto"/>
        <w:ind w:firstLine="480" w:firstLineChars="200"/>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（1）技术（服务）应答表；</w:t>
      </w:r>
    </w:p>
    <w:p>
      <w:pPr>
        <w:spacing w:line="360" w:lineRule="auto"/>
        <w:ind w:firstLine="480" w:firstLineChars="200"/>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（2）投标人本项目管理、技术、服务人员情况表；</w:t>
      </w:r>
    </w:p>
    <w:p>
      <w:pPr>
        <w:spacing w:line="360" w:lineRule="auto"/>
        <w:ind w:firstLine="480" w:firstLineChars="200"/>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（3）技术培训方案；</w:t>
      </w:r>
    </w:p>
    <w:p>
      <w:pPr>
        <w:spacing w:line="360" w:lineRule="auto"/>
        <w:ind w:firstLine="480" w:firstLineChars="200"/>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（4）售后服务方案；</w:t>
      </w:r>
    </w:p>
    <w:p>
      <w:pPr>
        <w:spacing w:line="360" w:lineRule="auto"/>
        <w:ind w:firstLine="480" w:firstLineChars="200"/>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（5）投标人认为需要提供的文件和资料。</w:t>
      </w:r>
    </w:p>
    <w:p>
      <w:pPr>
        <w:spacing w:line="360" w:lineRule="auto"/>
        <w:ind w:firstLine="352" w:firstLineChars="147"/>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（三）</w:t>
      </w:r>
      <w:r>
        <w:rPr>
          <w:rFonts w:hint="eastAsia" w:ascii="宋体" w:hAnsi="宋体" w:cs="宋体"/>
          <w:b/>
          <w:bCs/>
          <w:color w:val="000000" w:themeColor="text1"/>
          <w:sz w:val="24"/>
          <w:highlight w:val="none"/>
          <w14:textFill>
            <w14:solidFill>
              <w14:schemeClr w14:val="tx1"/>
            </w14:solidFill>
          </w14:textFill>
        </w:rPr>
        <w:t>商务部分。</w:t>
      </w:r>
      <w:r>
        <w:rPr>
          <w:rFonts w:hint="eastAsia" w:ascii="宋体" w:hAnsi="宋体" w:cs="宋体"/>
          <w:bCs/>
          <w:color w:val="000000" w:themeColor="text1"/>
          <w:sz w:val="24"/>
          <w:highlight w:val="none"/>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按照招标文件要求提供的有关证明材料及优惠承诺，包括以下内容：</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（1）投标函；</w:t>
      </w:r>
    </w:p>
    <w:p>
      <w:pPr>
        <w:spacing w:line="360" w:lineRule="auto"/>
        <w:ind w:firstLine="480" w:firstLineChars="200"/>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（2）承诺函；</w:t>
      </w:r>
    </w:p>
    <w:p>
      <w:pPr>
        <w:spacing w:line="360" w:lineRule="auto"/>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（3）开标一览表；</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（4）分项报价明细表；</w:t>
      </w:r>
    </w:p>
    <w:p>
      <w:pPr>
        <w:tabs>
          <w:tab w:val="left" w:pos="540"/>
        </w:tabs>
        <w:spacing w:line="360" w:lineRule="auto"/>
        <w:ind w:left="1201" w:leftChars="229" w:hanging="720" w:hanging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（5）投标人基本情况表；</w:t>
      </w:r>
    </w:p>
    <w:p>
      <w:pPr>
        <w:tabs>
          <w:tab w:val="left" w:pos="540"/>
        </w:tabs>
        <w:spacing w:line="360" w:lineRule="auto"/>
        <w:ind w:left="1260" w:leftChars="257" w:hanging="720" w:hanging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r>
        <w:rPr>
          <w:rFonts w:hint="eastAsia" w:ascii="宋体" w:hAnsi="宋体" w:cs="宋体"/>
          <w:color w:val="000000" w:themeColor="text1"/>
          <w:sz w:val="24"/>
          <w:szCs w:val="22"/>
          <w:highlight w:val="none"/>
          <w14:textFill>
            <w14:solidFill>
              <w14:schemeClr w14:val="tx1"/>
            </w14:solidFill>
          </w14:textFill>
        </w:rPr>
        <w:t>投标人本项目管理、技术、服务人员情况表；</w:t>
      </w:r>
    </w:p>
    <w:p>
      <w:pPr>
        <w:tabs>
          <w:tab w:val="left" w:pos="540"/>
        </w:tabs>
        <w:spacing w:line="360" w:lineRule="auto"/>
        <w:ind w:left="1260" w:leftChars="257" w:hanging="720" w:hanging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（7）商务应答表；</w:t>
      </w:r>
    </w:p>
    <w:p>
      <w:pPr>
        <w:spacing w:line="360" w:lineRule="auto"/>
        <w:ind w:firstLine="480" w:firstLineChars="200"/>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（8）中小企业声明函；</w:t>
      </w:r>
    </w:p>
    <w:p>
      <w:pPr>
        <w:pStyle w:val="23"/>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    （9）监狱企业证明材料；</w:t>
      </w:r>
    </w:p>
    <w:p>
      <w:pPr>
        <w:spacing w:line="360" w:lineRule="auto"/>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（10）残疾人福利性单位声明函；</w:t>
      </w:r>
    </w:p>
    <w:p>
      <w:pPr>
        <w:tabs>
          <w:tab w:val="left" w:pos="540"/>
        </w:tabs>
        <w:spacing w:line="360" w:lineRule="auto"/>
        <w:ind w:left="585" w:leftChars="257" w:hanging="45" w:hangingChars="19"/>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投标人承诺给予招标采购单位的各种优惠条件（优惠条件事项不能包括采购项目本身所包含的采购事项。投标人不能以“赠送、赠予”等任何名义提供货物和服务以规避招标文件的约束。否则，投标人提供的投标文件将作为无效投标处</w:t>
      </w:r>
      <w:r>
        <w:rPr>
          <w:rFonts w:hint="eastAsia" w:ascii="宋体" w:hAnsi="宋体" w:cs="宋体"/>
          <w:color w:val="000000" w:themeColor="text1"/>
          <w:sz w:val="24"/>
          <w:szCs w:val="22"/>
          <w:highlight w:val="none"/>
          <w14:textFill>
            <w14:solidFill>
              <w14:schemeClr w14:val="tx1"/>
            </w14:solidFill>
          </w14:textFill>
        </w:rPr>
        <w:t>理，即使中标也将取消中标资格）（实质性要求）；</w:t>
      </w:r>
    </w:p>
    <w:p>
      <w:pPr>
        <w:tabs>
          <w:tab w:val="left" w:pos="540"/>
        </w:tabs>
        <w:spacing w:line="360" w:lineRule="auto"/>
        <w:ind w:left="1260" w:leftChars="257" w:hanging="720" w:hanging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（12）证明投标人业绩和荣誉的有关材料复印件；</w:t>
      </w:r>
    </w:p>
    <w:p>
      <w:pPr>
        <w:tabs>
          <w:tab w:val="left" w:pos="540"/>
        </w:tabs>
        <w:spacing w:line="360" w:lineRule="auto"/>
        <w:ind w:left="1260" w:leftChars="257" w:hanging="720" w:hanging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（13）其他投标人认为需要提供的文件和资料。</w:t>
      </w:r>
    </w:p>
    <w:p>
      <w:pPr>
        <w:spacing w:line="360" w:lineRule="auto"/>
        <w:ind w:firstLine="482"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w:t>
      </w:r>
      <w:r>
        <w:rPr>
          <w:rFonts w:hint="eastAsia" w:ascii="宋体" w:hAnsi="宋体" w:cs="宋体"/>
          <w:b/>
          <w:bCs/>
          <w:color w:val="000000" w:themeColor="text1"/>
          <w:sz w:val="24"/>
          <w:highlight w:val="none"/>
          <w14:textFill>
            <w14:solidFill>
              <w14:schemeClr w14:val="tx1"/>
            </w14:solidFill>
          </w14:textFill>
        </w:rPr>
        <w:t>其他部分。</w:t>
      </w:r>
      <w:r>
        <w:rPr>
          <w:rFonts w:hint="eastAsia" w:ascii="宋体" w:hAnsi="宋体" w:cs="宋体"/>
          <w:bCs/>
          <w:color w:val="000000" w:themeColor="text1"/>
          <w:sz w:val="24"/>
          <w:highlight w:val="none"/>
          <w14:textFill>
            <w14:solidFill>
              <w14:schemeClr w14:val="tx1"/>
            </w14:solidFill>
          </w14:textFill>
        </w:rPr>
        <w:t>投标人按照招标文件要求作出的其他应答和承诺。</w:t>
      </w:r>
    </w:p>
    <w:p>
      <w:pPr>
        <w:pStyle w:val="5"/>
        <w:tabs>
          <w:tab w:val="left" w:pos="3480"/>
        </w:tabs>
        <w:spacing w:before="0" w:after="0" w:line="360" w:lineRule="auto"/>
        <w:ind w:firstLine="482" w:firstLineChars="200"/>
        <w:rPr>
          <w:rFonts w:ascii="宋体" w:hAnsi="宋体" w:cs="宋体"/>
          <w:color w:val="000000" w:themeColor="text1"/>
          <w:sz w:val="24"/>
          <w:highlight w:val="none"/>
          <w14:textFill>
            <w14:solidFill>
              <w14:schemeClr w14:val="tx1"/>
            </w14:solidFill>
          </w14:textFill>
        </w:rPr>
      </w:pPr>
      <w:bookmarkStart w:id="127" w:name="_Toc217446049"/>
      <w:bookmarkStart w:id="128" w:name="_Toc426648216"/>
      <w:bookmarkStart w:id="129" w:name="_Toc426657548"/>
      <w:bookmarkStart w:id="130" w:name="_Toc183682355"/>
      <w:bookmarkStart w:id="131" w:name="_Toc183582218"/>
      <w:r>
        <w:rPr>
          <w:rFonts w:hint="eastAsia" w:ascii="宋体" w:hAnsi="宋体" w:cs="宋体"/>
          <w:color w:val="000000" w:themeColor="text1"/>
          <w:sz w:val="24"/>
          <w:highlight w:val="none"/>
          <w14:textFill>
            <w14:solidFill>
              <w14:schemeClr w14:val="tx1"/>
            </w14:solidFill>
          </w14:textFill>
        </w:rPr>
        <w:t>15．投标文件格式</w:t>
      </w:r>
      <w:bookmarkEnd w:id="127"/>
      <w:bookmarkEnd w:id="128"/>
      <w:bookmarkEnd w:id="129"/>
      <w:bookmarkEnd w:id="130"/>
      <w:bookmarkEnd w:id="131"/>
      <w:r>
        <w:rPr>
          <w:rFonts w:hint="eastAsia" w:ascii="宋体" w:hAnsi="宋体" w:cs="宋体"/>
          <w:color w:val="000000" w:themeColor="text1"/>
          <w:sz w:val="24"/>
          <w:highlight w:val="none"/>
          <w14:textFill>
            <w14:solidFill>
              <w14:schemeClr w14:val="tx1"/>
            </w14:solidFill>
          </w14:textFill>
        </w:rPr>
        <w:tab/>
      </w:r>
    </w:p>
    <w:p>
      <w:pPr>
        <w:tabs>
          <w:tab w:val="left" w:pos="7665"/>
        </w:tabs>
        <w:spacing w:line="360" w:lineRule="auto"/>
        <w:ind w:left="13" w:leftChars="6" w:firstLine="480" w:firstLineChars="200"/>
        <w:rPr>
          <w:rFonts w:ascii="宋体" w:hAnsi="宋体" w:cs="宋体"/>
          <w:color w:val="000000" w:themeColor="text1"/>
          <w:sz w:val="24"/>
          <w:highlight w:val="none"/>
          <w14:textFill>
            <w14:solidFill>
              <w14:schemeClr w14:val="tx1"/>
            </w14:solidFill>
          </w14:textFill>
        </w:rPr>
      </w:pPr>
      <w:bookmarkStart w:id="132" w:name="_Toc217446050"/>
      <w:bookmarkStart w:id="133" w:name="_Toc426657549"/>
      <w:bookmarkStart w:id="134" w:name="_Toc183582223"/>
      <w:bookmarkStart w:id="135" w:name="_Toc183682360"/>
      <w:bookmarkStart w:id="136" w:name="_Toc426648217"/>
      <w:r>
        <w:rPr>
          <w:rFonts w:hint="eastAsia" w:ascii="宋体" w:hAnsi="宋体" w:cs="宋体"/>
          <w:color w:val="000000" w:themeColor="text1"/>
          <w:sz w:val="24"/>
          <w:highlight w:val="none"/>
          <w14:textFill>
            <w14:solidFill>
              <w14:schemeClr w14:val="tx1"/>
            </w14:solidFill>
          </w14:textFill>
        </w:rPr>
        <w:t>15.1 投标人应执行招标文件第三章的规定要求。</w:t>
      </w:r>
    </w:p>
    <w:p>
      <w:pPr>
        <w:tabs>
          <w:tab w:val="left" w:pos="7665"/>
        </w:tabs>
        <w:spacing w:line="360" w:lineRule="auto"/>
        <w:ind w:left="13" w:leftChars="6"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15.2 对于没有格式要求的投标文件由投标人自行编写。</w:t>
      </w:r>
    </w:p>
    <w:p>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16．投标保证金</w:t>
      </w:r>
      <w:bookmarkEnd w:id="132"/>
      <w:bookmarkEnd w:id="133"/>
      <w:bookmarkEnd w:id="134"/>
      <w:bookmarkEnd w:id="135"/>
      <w:bookmarkEnd w:id="136"/>
      <w:r>
        <w:rPr>
          <w:rFonts w:hint="eastAsia" w:ascii="宋体" w:hAnsi="宋体" w:cs="宋体"/>
          <w:b/>
          <w:color w:val="000000" w:themeColor="text1"/>
          <w:sz w:val="24"/>
          <w:highlight w:val="none"/>
          <w14:textFill>
            <w14:solidFill>
              <w14:schemeClr w14:val="tx1"/>
            </w14:solidFill>
          </w14:textFill>
        </w:rPr>
        <w:t>：</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16.1 投标人投标时，应按招标文件规定的数额及方式提交投标保证金，并作为其投标的一部分。</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16.2 投标保证金交款方式：详见投标人须知前附表。</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16.3 未中标人的投标保证金，将在中标通知书发出后5个工作日内退还。中标人的投标保证金，在合同签订生效后5个工作日内退还（注：①因投标人自身原因造成的保证金延迟退还或者投标人和采购代理机构书面协商可以延迟退还的，采购代理机构不承担相应责任；②投标人因涉嫌违法违规，按照规定应当不予退还保证金的，有关部门处理认定违法违规行为期间不计入退还保证金时限之内）；</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16.4 发生下列情形之一的，采购代理机构将不予退还投标保证金：</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 在招标文件规定的投标截止时间后撤回投标的；</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 在采购人确定中标人以前放弃中标候选资格的；</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 中标后放弃中标、不领取或者不接收中标通知书的；</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 由于中标人的原因未能按照招标文件的规定与采购人签订合同的；</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 由于中标人的原因未能按照招标文件的规定交纳履约保证金的；</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 投标人提供虚假资料的；</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 投标有效期内，投标人在政府采购活动中有违法、违规、违纪行为</w:t>
      </w:r>
      <w:r>
        <w:rPr>
          <w:rFonts w:hint="eastAsia" w:ascii="宋体" w:hAnsi="宋体" w:cs="宋体"/>
          <w:bCs/>
          <w:color w:val="000000" w:themeColor="text1"/>
          <w:sz w:val="24"/>
          <w:highlight w:val="none"/>
          <w14:textFill>
            <w14:solidFill>
              <w14:schemeClr w14:val="tx1"/>
            </w14:solidFill>
          </w14:textFill>
        </w:rPr>
        <w:t>。</w:t>
      </w:r>
    </w:p>
    <w:p>
      <w:pPr>
        <w:pStyle w:val="5"/>
        <w:spacing w:before="0" w:after="0" w:line="360" w:lineRule="auto"/>
        <w:ind w:firstLine="482" w:firstLineChars="200"/>
        <w:rPr>
          <w:rFonts w:ascii="宋体" w:hAnsi="宋体" w:cs="宋体"/>
          <w:bCs w:val="0"/>
          <w:color w:val="000000" w:themeColor="text1"/>
          <w:sz w:val="24"/>
          <w:highlight w:val="none"/>
          <w14:textFill>
            <w14:solidFill>
              <w14:schemeClr w14:val="tx1"/>
            </w14:solidFill>
          </w14:textFill>
        </w:rPr>
      </w:pPr>
      <w:bookmarkStart w:id="137" w:name="_Toc183682361"/>
      <w:bookmarkStart w:id="138" w:name="_Toc217446051"/>
      <w:bookmarkStart w:id="139" w:name="_Toc426648218"/>
      <w:bookmarkStart w:id="140" w:name="_Toc183582224"/>
      <w:bookmarkStart w:id="141" w:name="_Toc426657550"/>
      <w:r>
        <w:rPr>
          <w:rFonts w:hint="eastAsia" w:ascii="宋体" w:hAnsi="宋体" w:cs="宋体"/>
          <w:bCs w:val="0"/>
          <w:color w:val="000000" w:themeColor="text1"/>
          <w:sz w:val="24"/>
          <w:highlight w:val="none"/>
          <w14:textFill>
            <w14:solidFill>
              <w14:schemeClr w14:val="tx1"/>
            </w14:solidFill>
          </w14:textFill>
        </w:rPr>
        <w:t>17．投标有效期</w:t>
      </w:r>
      <w:bookmarkEnd w:id="137"/>
      <w:bookmarkEnd w:id="138"/>
      <w:bookmarkEnd w:id="139"/>
      <w:bookmarkEnd w:id="140"/>
      <w:bookmarkEnd w:id="141"/>
      <w:r>
        <w:rPr>
          <w:rFonts w:hint="eastAsia" w:ascii="宋体" w:hAnsi="宋体" w:cs="宋体"/>
          <w:bCs w:val="0"/>
          <w:color w:val="000000" w:themeColor="text1"/>
          <w:sz w:val="24"/>
          <w:highlight w:val="none"/>
          <w14:textFill>
            <w14:solidFill>
              <w14:schemeClr w14:val="tx1"/>
            </w14:solidFill>
          </w14:textFill>
        </w:rPr>
        <w:t>（实质性要求）</w:t>
      </w:r>
    </w:p>
    <w:p>
      <w:pPr>
        <w:tabs>
          <w:tab w:val="left" w:pos="7665"/>
        </w:tabs>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142" w:name="_Toc217446052"/>
      <w:bookmarkStart w:id="143" w:name="_Toc183582225"/>
      <w:bookmarkStart w:id="144" w:name="_Toc426657551"/>
      <w:bookmarkStart w:id="145" w:name="_Toc183682362"/>
      <w:bookmarkStart w:id="146" w:name="_Toc426648219"/>
      <w:r>
        <w:rPr>
          <w:rFonts w:hint="eastAsia" w:ascii="宋体" w:hAnsi="宋体" w:cs="宋体"/>
          <w:color w:val="000000" w:themeColor="text1"/>
          <w:sz w:val="24"/>
          <w:highlight w:val="none"/>
          <w14:textFill>
            <w14:solidFill>
              <w14:schemeClr w14:val="tx1"/>
            </w14:solidFill>
          </w14:textFill>
        </w:rPr>
        <w:t>17.1投标有效期见投标人须知前附表。投标人投标文件中必须载明投标有效期，投标文件中载明的投标有效期可以长于招标文件规定的期限，但不得短于招标文件规定的期限。否则，其投标文件将作为无效投标处理。</w:t>
      </w:r>
    </w:p>
    <w:p>
      <w:pPr>
        <w:tabs>
          <w:tab w:val="left" w:pos="7665"/>
        </w:tabs>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 因不可抗力事件，采购人可于投标有效期届满之前与投标人协商延长投标有效期。投标人拒绝延长投标有效期的，不得再参与该项目后续采购活动，但由此给投标人造成的损失，采购人可以自主决定是否可以给予适当补偿。投标人同意延长投标有效期的，不能修改投标文件。 </w:t>
      </w:r>
    </w:p>
    <w:p>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17.3 因采购人采购需求作出必要调整，采购人可于投标有效期届满之前与投标人协商延长投标有效期。投标人拒绝延长投标有效期的，不得再参与该项目后续采购活动，但由此给投标人造成的损失，采购人应当予以赔偿或者合理补偿。投标人同意延长投标有效期的，不能修改投标文件。</w:t>
      </w:r>
    </w:p>
    <w:p>
      <w:pPr>
        <w:pStyle w:val="5"/>
        <w:spacing w:before="0" w:after="0" w:line="360" w:lineRule="auto"/>
        <w:ind w:firstLine="482" w:firstLineChars="200"/>
        <w:rPr>
          <w:rFonts w:ascii="宋体" w:hAnsi="宋体" w:cs="宋体"/>
          <w:bCs w:val="0"/>
          <w:color w:val="000000" w:themeColor="text1"/>
          <w:sz w:val="24"/>
          <w:highlight w:val="none"/>
          <w14:textFill>
            <w14:solidFill>
              <w14:schemeClr w14:val="tx1"/>
            </w14:solidFill>
          </w14:textFill>
        </w:rPr>
      </w:pPr>
      <w:r>
        <w:rPr>
          <w:rFonts w:hint="eastAsia" w:ascii="宋体" w:hAnsi="宋体" w:cs="宋体"/>
          <w:bCs w:val="0"/>
          <w:color w:val="000000" w:themeColor="text1"/>
          <w:sz w:val="24"/>
          <w:highlight w:val="none"/>
          <w14:textFill>
            <w14:solidFill>
              <w14:schemeClr w14:val="tx1"/>
            </w14:solidFill>
          </w14:textFill>
        </w:rPr>
        <w:t>18．投标文件的印制和签署</w:t>
      </w:r>
      <w:bookmarkEnd w:id="142"/>
      <w:bookmarkEnd w:id="143"/>
      <w:bookmarkEnd w:id="144"/>
      <w:bookmarkEnd w:id="145"/>
      <w:bookmarkEnd w:id="146"/>
    </w:p>
    <w:p>
      <w:pPr>
        <w:tabs>
          <w:tab w:val="left" w:pos="1080"/>
        </w:tabs>
        <w:spacing w:line="360" w:lineRule="auto"/>
        <w:ind w:firstLine="460" w:firstLineChars="19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投标人应当准备</w:t>
      </w:r>
      <w:r>
        <w:rPr>
          <w:rFonts w:hint="eastAsia" w:ascii="宋体" w:hAnsi="宋体" w:cs="宋体"/>
          <w:b/>
          <w:bCs/>
          <w:color w:val="000000" w:themeColor="text1"/>
          <w:sz w:val="24"/>
          <w:szCs w:val="24"/>
          <w:highlight w:val="none"/>
          <w14:textFill>
            <w14:solidFill>
              <w14:schemeClr w14:val="tx1"/>
            </w14:solidFill>
          </w14:textFill>
        </w:rPr>
        <w:t>资格性投标文件</w:t>
      </w:r>
      <w:r>
        <w:rPr>
          <w:rFonts w:hint="eastAsia" w:ascii="宋体" w:hAnsi="宋体" w:cs="宋体"/>
          <w:color w:val="000000" w:themeColor="text1"/>
          <w:sz w:val="24"/>
          <w:szCs w:val="24"/>
          <w:highlight w:val="none"/>
          <w14:textFill>
            <w14:solidFill>
              <w14:schemeClr w14:val="tx1"/>
            </w14:solidFill>
          </w14:textFill>
        </w:rPr>
        <w:t>正本1份、副本1份、</w:t>
      </w:r>
      <w:r>
        <w:rPr>
          <w:rFonts w:hint="eastAsia" w:ascii="宋体" w:hAnsi="宋体" w:cs="宋体"/>
          <w:b/>
          <w:bCs/>
          <w:color w:val="000000" w:themeColor="text1"/>
          <w:sz w:val="24"/>
          <w:szCs w:val="24"/>
          <w:highlight w:val="none"/>
          <w14:textFill>
            <w14:solidFill>
              <w14:schemeClr w14:val="tx1"/>
            </w14:solidFill>
          </w14:textFill>
        </w:rPr>
        <w:t>其它响应性投标文件</w:t>
      </w:r>
      <w:r>
        <w:rPr>
          <w:rFonts w:hint="eastAsia" w:ascii="宋体" w:hAnsi="宋体" w:cs="宋体"/>
          <w:color w:val="000000" w:themeColor="text1"/>
          <w:sz w:val="24"/>
          <w:szCs w:val="24"/>
          <w:highlight w:val="none"/>
          <w14:textFill>
            <w14:solidFill>
              <w14:schemeClr w14:val="tx1"/>
            </w14:solidFill>
          </w14:textFill>
        </w:rPr>
        <w:t>正本1份、副本1份和相应的</w:t>
      </w:r>
      <w:r>
        <w:rPr>
          <w:rFonts w:hint="eastAsia" w:ascii="宋体" w:hAnsi="宋体" w:cs="宋体"/>
          <w:b/>
          <w:bCs/>
          <w:color w:val="000000" w:themeColor="text1"/>
          <w:sz w:val="24"/>
          <w:szCs w:val="24"/>
          <w:highlight w:val="none"/>
          <w14:textFill>
            <w14:solidFill>
              <w14:schemeClr w14:val="tx1"/>
            </w14:solidFill>
          </w14:textFill>
        </w:rPr>
        <w:t>电子文档（U盘）</w:t>
      </w:r>
      <w:r>
        <w:rPr>
          <w:rFonts w:hint="eastAsia" w:ascii="宋体" w:hAnsi="宋体" w:cs="宋体"/>
          <w:color w:val="000000" w:themeColor="text1"/>
          <w:sz w:val="24"/>
          <w:szCs w:val="24"/>
          <w:highlight w:val="none"/>
          <w14:textFill>
            <w14:solidFill>
              <w14:schemeClr w14:val="tx1"/>
            </w14:solidFill>
          </w14:textFill>
        </w:rPr>
        <w:t>1份，以及用于开标唱标单独提交的</w:t>
      </w:r>
      <w:r>
        <w:rPr>
          <w:rFonts w:hint="eastAsia" w:ascii="宋体" w:hAnsi="宋体" w:cs="宋体"/>
          <w:b/>
          <w:bCs/>
          <w:color w:val="000000" w:themeColor="text1"/>
          <w:sz w:val="24"/>
          <w:szCs w:val="24"/>
          <w:highlight w:val="none"/>
          <w14:textFill>
            <w14:solidFill>
              <w14:schemeClr w14:val="tx1"/>
            </w14:solidFill>
          </w14:textFill>
        </w:rPr>
        <w:t>“开标一览表”</w:t>
      </w:r>
      <w:r>
        <w:rPr>
          <w:rFonts w:hint="eastAsia" w:ascii="宋体" w:hAnsi="宋体" w:cs="宋体"/>
          <w:color w:val="000000" w:themeColor="text1"/>
          <w:sz w:val="24"/>
          <w:szCs w:val="24"/>
          <w:highlight w:val="none"/>
          <w14:textFill>
            <w14:solidFill>
              <w14:schemeClr w14:val="tx1"/>
            </w14:solidFill>
          </w14:textFill>
        </w:rPr>
        <w:t>1份。投标文件的正本和副本应在其封面右上角清楚地标明“正本”或“副本”字样。若正本和副本有不一致的内容，以正本书面投标文件为准。</w:t>
      </w:r>
    </w:p>
    <w:p>
      <w:pPr>
        <w:tabs>
          <w:tab w:val="left" w:pos="1095"/>
        </w:tabs>
        <w:spacing w:line="360" w:lineRule="auto"/>
        <w:ind w:firstLine="460" w:firstLineChars="1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18.2 投标文件的正本和副本均需打印或用不褪色、不变质的墨水书写，并由投标人的法定代表人或其授权代表在规定签章处签字和盖章。投标文件副本可采用正本的复印件，电子文档采用U盘制作。用于开标唱标单独提交的“开标一览表”应为原件。</w:t>
      </w:r>
    </w:p>
    <w:p>
      <w:pPr>
        <w:tabs>
          <w:tab w:val="left" w:pos="1095"/>
        </w:tabs>
        <w:spacing w:line="360" w:lineRule="auto"/>
        <w:ind w:firstLine="460" w:firstLineChars="1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18.3 投标文件的打印和书写应清楚工整，任何行间插字、涂改或增删，必须由投标人的法定代表人或其授权代表签字或盖个人印鉴。字迹潦草、表达不清或可能导致非唯一理解的投标文件可能视为无效投标。</w:t>
      </w:r>
    </w:p>
    <w:p>
      <w:pPr>
        <w:tabs>
          <w:tab w:val="left" w:pos="1080"/>
        </w:tabs>
        <w:spacing w:line="360" w:lineRule="auto"/>
        <w:ind w:firstLine="460" w:firstLineChars="1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18.4投标文件正本和副本应当采取胶装方式装订成册，不得散装或者合页装订。</w:t>
      </w:r>
    </w:p>
    <w:p>
      <w:pPr>
        <w:tabs>
          <w:tab w:val="left" w:pos="1080"/>
        </w:tabs>
        <w:spacing w:line="360" w:lineRule="auto"/>
        <w:ind w:firstLine="460" w:firstLineChars="1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18.5 投标文件应根据招标文件的要求制作，签署、盖章和内容应完整，如有遗漏，将被视为无效投标。</w:t>
      </w:r>
    </w:p>
    <w:p>
      <w:pPr>
        <w:tabs>
          <w:tab w:val="left" w:pos="1080"/>
        </w:tabs>
        <w:spacing w:line="360" w:lineRule="auto"/>
        <w:ind w:firstLine="458" w:firstLineChars="19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18.6 投标文件统一用A4幅面纸印制。（生产厂家的白皮书、宣传资料、彩页资料等除外）</w:t>
      </w:r>
    </w:p>
    <w:p>
      <w:pPr>
        <w:pStyle w:val="5"/>
        <w:spacing w:before="0" w:after="0" w:line="360" w:lineRule="auto"/>
        <w:ind w:firstLine="482" w:firstLineChars="200"/>
        <w:rPr>
          <w:rFonts w:ascii="宋体" w:hAnsi="宋体" w:cs="宋体"/>
          <w:color w:val="000000" w:themeColor="text1"/>
          <w:sz w:val="24"/>
          <w:szCs w:val="24"/>
          <w:highlight w:val="none"/>
          <w14:textFill>
            <w14:solidFill>
              <w14:schemeClr w14:val="tx1"/>
            </w14:solidFill>
          </w14:textFill>
        </w:rPr>
      </w:pPr>
      <w:bookmarkStart w:id="147" w:name="_Toc183582226"/>
      <w:bookmarkStart w:id="148" w:name="_Toc183682363"/>
      <w:bookmarkStart w:id="149" w:name="_Toc77400781"/>
      <w:bookmarkStart w:id="150" w:name="_Toc89075877"/>
      <w:bookmarkStart w:id="151" w:name="_Toc426648220"/>
      <w:bookmarkStart w:id="152" w:name="_Toc217446053"/>
      <w:bookmarkStart w:id="153" w:name="_Toc426657552"/>
      <w:r>
        <w:rPr>
          <w:rFonts w:hint="eastAsia" w:ascii="宋体" w:hAnsi="宋体" w:cs="宋体"/>
          <w:bCs w:val="0"/>
          <w:color w:val="000000" w:themeColor="text1"/>
          <w:sz w:val="24"/>
          <w:szCs w:val="24"/>
          <w:highlight w:val="none"/>
          <w14:textFill>
            <w14:solidFill>
              <w14:schemeClr w14:val="tx1"/>
            </w14:solidFill>
          </w14:textFill>
        </w:rPr>
        <w:t xml:space="preserve">19. </w:t>
      </w:r>
      <w:r>
        <w:rPr>
          <w:rFonts w:hint="eastAsia" w:ascii="宋体" w:hAnsi="宋体" w:cs="宋体"/>
          <w:color w:val="000000" w:themeColor="text1"/>
          <w:sz w:val="24"/>
          <w:szCs w:val="24"/>
          <w:highlight w:val="none"/>
          <w14:textFill>
            <w14:solidFill>
              <w14:schemeClr w14:val="tx1"/>
            </w14:solidFill>
          </w14:textFill>
        </w:rPr>
        <w:t>投标文件的密封和标</w:t>
      </w:r>
      <w:bookmarkEnd w:id="147"/>
      <w:bookmarkEnd w:id="148"/>
      <w:bookmarkEnd w:id="149"/>
      <w:bookmarkEnd w:id="150"/>
      <w:r>
        <w:rPr>
          <w:rFonts w:hint="eastAsia" w:ascii="宋体" w:hAnsi="宋体" w:cs="宋体"/>
          <w:color w:val="000000" w:themeColor="text1"/>
          <w:sz w:val="24"/>
          <w:szCs w:val="24"/>
          <w:highlight w:val="none"/>
          <w14:textFill>
            <w14:solidFill>
              <w14:schemeClr w14:val="tx1"/>
            </w14:solidFill>
          </w14:textFill>
        </w:rPr>
        <w:t>注</w:t>
      </w:r>
      <w:bookmarkEnd w:id="151"/>
      <w:bookmarkEnd w:id="152"/>
      <w:bookmarkEnd w:id="153"/>
    </w:p>
    <w:p>
      <w:pPr>
        <w:tabs>
          <w:tab w:val="left" w:pos="1080"/>
        </w:tabs>
        <w:spacing w:line="360" w:lineRule="auto"/>
        <w:ind w:firstLine="562"/>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19.1 投标人应在投标文件正本和所有副本的封面上注明投标人名称、采购编号、项目名称。</w:t>
      </w:r>
    </w:p>
    <w:p>
      <w:pPr>
        <w:tabs>
          <w:tab w:val="left" w:pos="7665"/>
        </w:tabs>
        <w:overflowPunct w:val="0"/>
        <w:autoSpaceDE w:val="0"/>
        <w:autoSpaceDN w:val="0"/>
        <w:spacing w:line="42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19.2投标文件包括正本、副本、电子文档和用于开标唱标单独提交的“开标一览表”。投标文件应当分开密封，分为4个密封袋，其中，</w:t>
      </w:r>
      <w:r>
        <w:rPr>
          <w:rFonts w:hint="eastAsia" w:ascii="宋体" w:hAnsi="宋体" w:cs="宋体"/>
          <w:b/>
          <w:color w:val="000000" w:themeColor="text1"/>
          <w:sz w:val="24"/>
          <w:highlight w:val="none"/>
          <w14:textFill>
            <w14:solidFill>
              <w14:schemeClr w14:val="tx1"/>
            </w14:solidFill>
          </w14:textFill>
        </w:rPr>
        <w:t>资格性投标文件</w:t>
      </w:r>
      <w:r>
        <w:rPr>
          <w:rFonts w:hint="eastAsia" w:ascii="宋体" w:hAnsi="宋体" w:cs="宋体"/>
          <w:color w:val="000000" w:themeColor="text1"/>
          <w:sz w:val="24"/>
          <w:highlight w:val="none"/>
          <w14:textFill>
            <w14:solidFill>
              <w14:schemeClr w14:val="tx1"/>
            </w14:solidFill>
          </w14:textFill>
        </w:rPr>
        <w:t>正本、副本一个封装，</w:t>
      </w:r>
      <w:r>
        <w:rPr>
          <w:rFonts w:hint="eastAsia" w:ascii="宋体" w:hAnsi="宋体" w:cs="宋体"/>
          <w:b/>
          <w:color w:val="000000" w:themeColor="text1"/>
          <w:sz w:val="24"/>
          <w:highlight w:val="none"/>
          <w14:textFill>
            <w14:solidFill>
              <w14:schemeClr w14:val="tx1"/>
            </w14:solidFill>
          </w14:textFill>
        </w:rPr>
        <w:t>其它响应性投标文件</w:t>
      </w:r>
      <w:r>
        <w:rPr>
          <w:rFonts w:hint="eastAsia" w:ascii="宋体" w:hAnsi="宋体" w:cs="宋体"/>
          <w:color w:val="000000" w:themeColor="text1"/>
          <w:sz w:val="24"/>
          <w:highlight w:val="none"/>
          <w14:textFill>
            <w14:solidFill>
              <w14:schemeClr w14:val="tx1"/>
            </w14:solidFill>
          </w14:textFill>
        </w:rPr>
        <w:t>正本、副本一个封装，投标文件电子文档（包含</w:t>
      </w:r>
      <w:r>
        <w:rPr>
          <w:rFonts w:hint="eastAsia" w:ascii="宋体" w:hAnsi="宋体" w:cs="宋体"/>
          <w:b/>
          <w:color w:val="000000" w:themeColor="text1"/>
          <w:sz w:val="24"/>
          <w:highlight w:val="none"/>
          <w14:textFill>
            <w14:solidFill>
              <w14:schemeClr w14:val="tx1"/>
            </w14:solidFill>
          </w14:textFill>
        </w:rPr>
        <w:t>资格性投标文件</w:t>
      </w:r>
      <w:r>
        <w:rPr>
          <w:rFonts w:hint="eastAsia" w:ascii="宋体" w:hAnsi="宋体" w:cs="宋体"/>
          <w:color w:val="000000" w:themeColor="text1"/>
          <w:sz w:val="24"/>
          <w:highlight w:val="none"/>
          <w14:textFill>
            <w14:solidFill>
              <w14:schemeClr w14:val="tx1"/>
            </w14:solidFill>
          </w14:textFill>
        </w:rPr>
        <w:t>和</w:t>
      </w:r>
      <w:r>
        <w:rPr>
          <w:rFonts w:hint="eastAsia" w:ascii="宋体" w:hAnsi="宋体" w:cs="宋体"/>
          <w:b/>
          <w:color w:val="000000" w:themeColor="text1"/>
          <w:sz w:val="24"/>
          <w:highlight w:val="none"/>
          <w14:textFill>
            <w14:solidFill>
              <w14:schemeClr w14:val="tx1"/>
            </w14:solidFill>
          </w14:textFill>
        </w:rPr>
        <w:t>其它响应性投标文件</w:t>
      </w:r>
      <w:r>
        <w:rPr>
          <w:rFonts w:hint="eastAsia" w:ascii="宋体" w:hAnsi="宋体" w:cs="宋体"/>
          <w:color w:val="000000" w:themeColor="text1"/>
          <w:sz w:val="24"/>
          <w:highlight w:val="none"/>
          <w14:textFill>
            <w14:solidFill>
              <w14:schemeClr w14:val="tx1"/>
            </w14:solidFill>
          </w14:textFill>
        </w:rPr>
        <w:t>）一个封装、用于开标唱标单独递交的“开标一览表”一个封装。投标文件的密封袋上应当注明投标人名称、资格性审查材料（或其它材料）、招标编号、项目名称及包号。</w:t>
      </w:r>
    </w:p>
    <w:p>
      <w:pPr>
        <w:tabs>
          <w:tab w:val="left" w:pos="7665"/>
        </w:tabs>
        <w:overflowPunct w:val="0"/>
        <w:autoSpaceDE w:val="0"/>
        <w:autoSpaceDN w:val="0"/>
        <w:spacing w:line="42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19.3 所有外层密封袋的封口处应粘贴牢固，并加盖密封章（投标人印章）。</w:t>
      </w:r>
    </w:p>
    <w:p>
      <w:pPr>
        <w:pStyle w:val="5"/>
        <w:spacing w:before="0" w:after="0" w:line="360" w:lineRule="auto"/>
        <w:ind w:firstLine="482" w:firstLineChars="200"/>
        <w:rPr>
          <w:rFonts w:ascii="宋体" w:hAnsi="宋体" w:cs="宋体"/>
          <w:bCs w:val="0"/>
          <w:color w:val="000000" w:themeColor="text1"/>
          <w:sz w:val="24"/>
          <w:szCs w:val="24"/>
          <w:highlight w:val="none"/>
          <w14:textFill>
            <w14:solidFill>
              <w14:schemeClr w14:val="tx1"/>
            </w14:solidFill>
          </w14:textFill>
        </w:rPr>
      </w:pPr>
      <w:bookmarkStart w:id="154" w:name="_Toc183682364"/>
      <w:bookmarkStart w:id="155" w:name="_Toc183582227"/>
      <w:bookmarkStart w:id="156" w:name="_Toc426657553"/>
      <w:bookmarkStart w:id="157" w:name="_Toc217446054"/>
      <w:bookmarkStart w:id="158" w:name="_Toc426648221"/>
      <w:r>
        <w:rPr>
          <w:rFonts w:hint="eastAsia" w:ascii="宋体" w:hAnsi="宋体" w:cs="宋体"/>
          <w:bCs w:val="0"/>
          <w:color w:val="000000" w:themeColor="text1"/>
          <w:sz w:val="24"/>
          <w:szCs w:val="24"/>
          <w:highlight w:val="none"/>
          <w14:textFill>
            <w14:solidFill>
              <w14:schemeClr w14:val="tx1"/>
            </w14:solidFill>
          </w14:textFill>
        </w:rPr>
        <w:t>20</w:t>
      </w:r>
      <w:r>
        <w:rPr>
          <w:rFonts w:hint="eastAsia" w:ascii="宋体" w:hAnsi="宋体" w:cs="宋体"/>
          <w:bCs w:val="0"/>
          <w:color w:val="000000" w:themeColor="text1"/>
          <w:sz w:val="28"/>
          <w:szCs w:val="28"/>
          <w:highlight w:val="none"/>
          <w14:textFill>
            <w14:solidFill>
              <w14:schemeClr w14:val="tx1"/>
            </w14:solidFill>
          </w14:textFill>
        </w:rPr>
        <w:t>．</w:t>
      </w:r>
      <w:r>
        <w:rPr>
          <w:rFonts w:hint="eastAsia" w:ascii="宋体" w:hAnsi="宋体" w:cs="宋体"/>
          <w:bCs w:val="0"/>
          <w:color w:val="000000" w:themeColor="text1"/>
          <w:sz w:val="24"/>
          <w:szCs w:val="24"/>
          <w:highlight w:val="none"/>
          <w14:textFill>
            <w14:solidFill>
              <w14:schemeClr w14:val="tx1"/>
            </w14:solidFill>
          </w14:textFill>
        </w:rPr>
        <w:t>投标文件的</w:t>
      </w:r>
      <w:bookmarkEnd w:id="154"/>
      <w:bookmarkEnd w:id="155"/>
      <w:r>
        <w:rPr>
          <w:rFonts w:hint="eastAsia" w:ascii="宋体" w:hAnsi="宋体" w:cs="宋体"/>
          <w:bCs w:val="0"/>
          <w:color w:val="000000" w:themeColor="text1"/>
          <w:sz w:val="24"/>
          <w:szCs w:val="24"/>
          <w:highlight w:val="none"/>
          <w14:textFill>
            <w14:solidFill>
              <w14:schemeClr w14:val="tx1"/>
            </w14:solidFill>
          </w14:textFill>
        </w:rPr>
        <w:t>递交</w:t>
      </w:r>
      <w:bookmarkEnd w:id="156"/>
      <w:bookmarkEnd w:id="157"/>
      <w:bookmarkEnd w:id="158"/>
    </w:p>
    <w:p>
      <w:pPr>
        <w:tabs>
          <w:tab w:val="left" w:pos="1095"/>
        </w:tabs>
        <w:spacing w:line="360" w:lineRule="auto"/>
        <w:ind w:firstLine="460" w:firstLineChars="192"/>
        <w:rPr>
          <w:rFonts w:ascii="宋体" w:hAnsi="宋体" w:cs="宋体"/>
          <w:color w:val="000000" w:themeColor="text1"/>
          <w:sz w:val="24"/>
          <w:highlight w:val="none"/>
          <w14:textFill>
            <w14:solidFill>
              <w14:schemeClr w14:val="tx1"/>
            </w14:solidFill>
          </w14:textFill>
        </w:rPr>
      </w:pPr>
      <w:bookmarkStart w:id="159" w:name="_Toc183682365"/>
      <w:bookmarkStart w:id="160" w:name="_Toc183582228"/>
      <w:bookmarkStart w:id="161" w:name="_Toc217446055"/>
      <w:bookmarkStart w:id="162" w:name="_Toc426648222"/>
      <w:bookmarkStart w:id="163" w:name="_Toc426657554"/>
      <w:r>
        <w:rPr>
          <w:rFonts w:hint="eastAsia" w:ascii="宋体" w:hAnsi="宋体" w:cs="宋体"/>
          <w:color w:val="000000" w:themeColor="text1"/>
          <w:sz w:val="24"/>
          <w:highlight w:val="none"/>
          <w14:textFill>
            <w14:solidFill>
              <w14:schemeClr w14:val="tx1"/>
            </w14:solidFill>
          </w14:textFill>
        </w:rPr>
        <w:t>20.1 投标人应在招标文件规定的投标截止时间前，将投标文件按招标文件的规定密封后送达开标地点。投标截止时间以后送达的投标文件将不予接收。</w:t>
      </w:r>
    </w:p>
    <w:p>
      <w:pPr>
        <w:tabs>
          <w:tab w:val="left" w:pos="1095"/>
        </w:tabs>
        <w:spacing w:line="360" w:lineRule="auto"/>
        <w:ind w:firstLine="460" w:firstLineChars="1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20.2递交投标文件时，报名投标人名称和招标文件的编号应当与投标投标人名称和招标文件的编号一致。但是，投标文件实质内容报名投标人名称和招标文件的编号一致，只是封面文字错误的，可以在评标过程中当面予以澄清，以有效的澄清材料作为认定投标文件是否有效的依据。</w:t>
      </w:r>
    </w:p>
    <w:p>
      <w:pPr>
        <w:pStyle w:val="5"/>
        <w:spacing w:before="0" w:after="0" w:line="360" w:lineRule="auto"/>
        <w:ind w:firstLine="480" w:firstLineChars="200"/>
        <w:rPr>
          <w:rFonts w:ascii="宋体" w:hAnsi="宋体" w:cs="宋体"/>
          <w:b w:val="0"/>
          <w:color w:val="000000" w:themeColor="text1"/>
          <w:sz w:val="24"/>
          <w:highlight w:val="none"/>
          <w14:textFill>
            <w14:solidFill>
              <w14:schemeClr w14:val="tx1"/>
            </w14:solidFill>
          </w14:textFill>
        </w:rPr>
      </w:pPr>
      <w:r>
        <w:rPr>
          <w:rFonts w:hint="eastAsia" w:ascii="宋体" w:hAnsi="宋体" w:cs="宋体"/>
          <w:b w:val="0"/>
          <w:color w:val="000000" w:themeColor="text1"/>
          <w:sz w:val="24"/>
          <w:highlight w:val="none"/>
          <w14:textFill>
            <w14:solidFill>
              <w14:schemeClr w14:val="tx1"/>
            </w14:solidFill>
          </w14:textFill>
        </w:rPr>
        <w:t>20.3本次招标不接收邮寄的投标文件。</w:t>
      </w:r>
    </w:p>
    <w:p>
      <w:pPr>
        <w:pStyle w:val="5"/>
        <w:spacing w:before="0" w:after="0" w:line="360" w:lineRule="auto"/>
        <w:ind w:firstLine="482" w:firstLineChars="20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21．投标文件的修改和撤</w:t>
      </w:r>
      <w:bookmarkEnd w:id="159"/>
      <w:bookmarkEnd w:id="160"/>
      <w:r>
        <w:rPr>
          <w:rFonts w:hint="eastAsia" w:ascii="宋体" w:hAnsi="宋体" w:cs="宋体"/>
          <w:bCs w:val="0"/>
          <w:color w:val="000000" w:themeColor="text1"/>
          <w:sz w:val="24"/>
          <w:szCs w:val="24"/>
          <w:highlight w:val="none"/>
          <w14:textFill>
            <w14:solidFill>
              <w14:schemeClr w14:val="tx1"/>
            </w14:solidFill>
          </w14:textFill>
        </w:rPr>
        <w:t>回</w:t>
      </w:r>
      <w:bookmarkEnd w:id="161"/>
      <w:bookmarkEnd w:id="162"/>
      <w:bookmarkEnd w:id="163"/>
    </w:p>
    <w:p>
      <w:pPr>
        <w:spacing w:line="360" w:lineRule="auto"/>
        <w:ind w:firstLine="470" w:firstLineChars="19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21.1 投标人在递交了投标文件后，可以修改或撤回其投标文件，但必须在规定的投标截止时间前，以书面形式通知采购代理机构。</w:t>
      </w:r>
    </w:p>
    <w:p>
      <w:pPr>
        <w:spacing w:line="360" w:lineRule="auto"/>
        <w:ind w:firstLine="470" w:firstLineChars="19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21.2 投标人的修改书或撤回通知书，应由其法定代表人或授权代表签署并盖单位印章。修改书应按投标须知第19条规定进行密封和标注，并在密封袋上标注“修改”字样。</w:t>
      </w:r>
    </w:p>
    <w:p>
      <w:pPr>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21.3 在投标截止时间之后，投标人不得对其递交的投标文件做任何修改，撤回投标的，将按照有关规定进行相应处理。</w:t>
      </w:r>
    </w:p>
    <w:p>
      <w:pPr>
        <w:pStyle w:val="4"/>
        <w:spacing w:before="0" w:after="0" w:line="360" w:lineRule="auto"/>
        <w:ind w:firstLine="640"/>
        <w:jc w:val="center"/>
        <w:rPr>
          <w:rFonts w:ascii="宋体" w:hAnsi="宋体" w:eastAsia="宋体" w:cs="宋体"/>
          <w:color w:val="000000" w:themeColor="text1"/>
          <w:highlight w:val="none"/>
          <w14:textFill>
            <w14:solidFill>
              <w14:schemeClr w14:val="tx1"/>
            </w14:solidFill>
          </w14:textFill>
        </w:rPr>
      </w:pPr>
      <w:bookmarkStart w:id="164" w:name="_Toc2118"/>
      <w:bookmarkStart w:id="165" w:name="_Toc3173"/>
      <w:bookmarkStart w:id="166" w:name="_Toc426657555"/>
      <w:r>
        <w:rPr>
          <w:rFonts w:hint="eastAsia" w:ascii="宋体" w:hAnsi="宋体" w:eastAsia="宋体" w:cs="宋体"/>
          <w:color w:val="000000" w:themeColor="text1"/>
          <w:highlight w:val="none"/>
          <w14:textFill>
            <w14:solidFill>
              <w14:schemeClr w14:val="tx1"/>
            </w14:solidFill>
          </w14:textFill>
        </w:rPr>
        <w:t>五、开标、中标</w:t>
      </w:r>
      <w:bookmarkEnd w:id="78"/>
      <w:bookmarkEnd w:id="79"/>
      <w:bookmarkEnd w:id="80"/>
      <w:bookmarkEnd w:id="81"/>
      <w:bookmarkEnd w:id="82"/>
      <w:bookmarkEnd w:id="164"/>
      <w:bookmarkEnd w:id="165"/>
      <w:bookmarkEnd w:id="166"/>
    </w:p>
    <w:p>
      <w:pPr>
        <w:pStyle w:val="5"/>
        <w:spacing w:before="0" w:after="0" w:line="360" w:lineRule="auto"/>
        <w:ind w:firstLine="482" w:firstLineChars="200"/>
        <w:rPr>
          <w:rFonts w:ascii="宋体" w:hAnsi="宋体" w:cs="宋体"/>
          <w:bCs w:val="0"/>
          <w:color w:val="000000" w:themeColor="text1"/>
          <w:sz w:val="24"/>
          <w:highlight w:val="none"/>
          <w14:textFill>
            <w14:solidFill>
              <w14:schemeClr w14:val="tx1"/>
            </w14:solidFill>
          </w14:textFill>
        </w:rPr>
      </w:pPr>
      <w:bookmarkStart w:id="167" w:name="_Toc426648224"/>
      <w:bookmarkStart w:id="168" w:name="_Toc217446057"/>
      <w:bookmarkStart w:id="169" w:name="_Toc183682369"/>
      <w:bookmarkStart w:id="170" w:name="_Toc426657556"/>
      <w:bookmarkStart w:id="171" w:name="_Toc183582232"/>
      <w:r>
        <w:rPr>
          <w:rFonts w:hint="eastAsia" w:ascii="宋体" w:hAnsi="宋体" w:cs="宋体"/>
          <w:bCs w:val="0"/>
          <w:color w:val="000000" w:themeColor="text1"/>
          <w:sz w:val="24"/>
          <w:highlight w:val="none"/>
          <w14:textFill>
            <w14:solidFill>
              <w14:schemeClr w14:val="tx1"/>
            </w14:solidFill>
          </w14:textFill>
        </w:rPr>
        <w:t>22</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Cs w:val="0"/>
          <w:color w:val="000000" w:themeColor="text1"/>
          <w:sz w:val="24"/>
          <w:highlight w:val="none"/>
          <w14:textFill>
            <w14:solidFill>
              <w14:schemeClr w14:val="tx1"/>
            </w14:solidFill>
          </w14:textFill>
        </w:rPr>
        <w:t>开标</w:t>
      </w:r>
      <w:bookmarkEnd w:id="167"/>
      <w:bookmarkEnd w:id="168"/>
      <w:bookmarkEnd w:id="169"/>
      <w:bookmarkEnd w:id="170"/>
      <w:bookmarkEnd w:id="171"/>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22.1 开标在招标文件规定的时间和地点公开进行，采购人、投标人须派代表参加并签到以证明其出席。开标由采购代理机构主持，采购人、投标人代表参加。评标专家不参加开标活动。</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22.2 开标时，可能根据具体情况邀请有关监督管理部门对开标活动进行现场监督。</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22.3 开标时，由投标人或者其推选的代表先检查其自己递交的投标文件的密封情况，经确认无误后，由招标工作人员将投标人单独递交的“开标一览表”当众拆封，并由唱标人员按照招标文件规定的内容进行宣读。</w:t>
      </w:r>
    </w:p>
    <w:p>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或者其推选的代表确认投标文件情况，仅限于确认其自己递交的投标文件的密封情况，不代表对其他投标人的投标文件的密封情况确认。投标人或者其推选的代表对其他投标人的投标文件密封情况有异议的，可以当场反映开标主持人或者现场监督人员，要求开标现场记录人员予以记录，并在评标时予以认定处理，但不得干扰、阻挠开标工作的正常进行。</w:t>
      </w:r>
    </w:p>
    <w:p>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22.4 开标时，“开标一览表”中的大写金额与小写金额不一致的，以大写金额为准；总价金额与按单价计算的汇总金额不一致的，以单价计算的汇总金额为准；单价金额有明显小数点错误的，以总价为准，并修改单价。</w:t>
      </w:r>
    </w:p>
    <w:p>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22.5 投标文件中有关明细表内容与“开标一览表”不一致的，以“开标一览表”为准。对不同文字文本投标文件的解释发生异议的，以中文文本为准。</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22.6 所有投标唱标完毕，如投标人代表对宣读的“开标一览表”上的内容有异议的，应在获得开标会主持人同意后当场提出。如确实属于唱标人员宣读错了的，经现场监督人员核实后，当场予以更正。</w:t>
      </w:r>
    </w:p>
    <w:p>
      <w:pPr>
        <w:pStyle w:val="5"/>
        <w:spacing w:before="0" w:after="0" w:line="360" w:lineRule="auto"/>
        <w:ind w:firstLine="482" w:firstLineChars="200"/>
        <w:rPr>
          <w:rFonts w:ascii="宋体" w:hAnsi="宋体" w:cs="宋体"/>
          <w:bCs w:val="0"/>
          <w:color w:val="000000" w:themeColor="text1"/>
          <w:sz w:val="24"/>
          <w:highlight w:val="none"/>
          <w14:textFill>
            <w14:solidFill>
              <w14:schemeClr w14:val="tx1"/>
            </w14:solidFill>
          </w14:textFill>
        </w:rPr>
      </w:pPr>
      <w:bookmarkStart w:id="172" w:name="_Toc426657557"/>
      <w:bookmarkStart w:id="173" w:name="_Toc217446058"/>
      <w:bookmarkStart w:id="174" w:name="_Toc426648225"/>
      <w:r>
        <w:rPr>
          <w:rFonts w:hint="eastAsia" w:ascii="宋体" w:hAnsi="宋体" w:cs="宋体"/>
          <w:bCs w:val="0"/>
          <w:color w:val="000000" w:themeColor="text1"/>
          <w:sz w:val="24"/>
          <w:highlight w:val="none"/>
          <w14:textFill>
            <w14:solidFill>
              <w14:schemeClr w14:val="tx1"/>
            </w14:solidFill>
          </w14:textFill>
        </w:rPr>
        <w:t>23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Cs w:val="0"/>
          <w:color w:val="000000" w:themeColor="text1"/>
          <w:sz w:val="24"/>
          <w:highlight w:val="none"/>
          <w14:textFill>
            <w14:solidFill>
              <w14:schemeClr w14:val="tx1"/>
            </w14:solidFill>
          </w14:textFill>
        </w:rPr>
        <w:t>开标程序</w:t>
      </w:r>
      <w:bookmarkEnd w:id="172"/>
      <w:bookmarkEnd w:id="173"/>
      <w:bookmarkEnd w:id="174"/>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175" w:name="_Toc183682375"/>
      <w:bookmarkStart w:id="176" w:name="_Toc426657558"/>
      <w:bookmarkStart w:id="177" w:name="_Toc426648226"/>
      <w:bookmarkStart w:id="178" w:name="_Toc217446063"/>
      <w:bookmarkStart w:id="179" w:name="_Toc183582238"/>
      <w:r>
        <w:rPr>
          <w:rFonts w:hint="eastAsia" w:ascii="宋体" w:hAnsi="宋体" w:cs="宋体"/>
          <w:color w:val="000000" w:themeColor="text1"/>
          <w:sz w:val="24"/>
          <w:highlight w:val="none"/>
          <w14:textFill>
            <w14:solidFill>
              <w14:schemeClr w14:val="tx1"/>
            </w14:solidFill>
          </w14:textFill>
        </w:rPr>
        <w:t>开标会主持人按照招标文件规定的开标时间宣布开标，按照规定要求主持开标会。开标将按以下程序进行：</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（1）宣布开标会开始。当众宣布参加开标会主持人、唱标人、会议记录人以及根据情况邀请的现场监督人等工作人员，根据“投标人签到表”宣布参加投标的投标人名单。</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（2）宣布会场纪律和有关注意事项。</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（3）根据投标人或者其推选的代表对投标文件密封的检查结果，当众宣布投标文件的密封情况。</w:t>
      </w:r>
    </w:p>
    <w:p>
      <w:pPr>
        <w:spacing w:line="360" w:lineRule="auto"/>
        <w:ind w:firstLine="460" w:firstLineChars="1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开标唱标。主持人宣布开标后，由现场工作人员按任意顺序对投标人的“开标一览表”当众进行拆封，由唱标人员宣读投标人名称、投标价格（价格折扣）、或招标文件允许提供的备选投标方案和投标文件的其他主要内容。未宣读的投标价格（价格折扣）或招标文件允许提供的备选投标方案等实质内容，评标时不予承认。同时，做好开标记录。唱标人员在唱标过程中，如遇有字迹不清楚或有明显错误的，应即刻报告主持人，经现场核实后，主持人立即请投标人代表现场进行澄清或确认。唱标完毕后投标人或者其推选的代表需现场对开标记录进行签字确认，投标人或者其推选的代表对唱标内容有异议的，可以当场提出，并要求会议记录人在开标记录中予以记录，或者另行提供书面异议资料，不签字又不提出异议的，视同认可唱标内容和结果，且不得干扰、阻挠开（唱）标、评标工作。</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投标人代表对开标过程和开标记录有疑义，以及认为采购人、采购代理机构相关工作人员有需要回避的情形的，应当场提出询问或者回避申请。采购人、采购代理机构对投标人代表提出的询问或者回避申请应当及时处理。开标过程中未提出疑义或回避申请，事后提出的质疑将不予受理。</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宣布开标会结束。主持人宣布开标会结束。所有投标人代表应立即退场（招标文件要求有演示、介绍等的除外）。同时所有投标人应保持通讯设备的畅通，以方便在评标过程中评标委员会要求投标人对投标文件的必要澄清。评标结果投标人在中国政府采购网上查询。</w:t>
      </w:r>
    </w:p>
    <w:p>
      <w:pPr>
        <w:keepNext/>
        <w:keepLines/>
        <w:spacing w:line="360" w:lineRule="auto"/>
        <w:ind w:firstLine="352" w:firstLineChars="146"/>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投标人未参加开标的，视同认可开标结果。</w:t>
      </w:r>
    </w:p>
    <w:bookmarkEnd w:id="175"/>
    <w:bookmarkEnd w:id="176"/>
    <w:bookmarkEnd w:id="177"/>
    <w:bookmarkEnd w:id="178"/>
    <w:bookmarkEnd w:id="179"/>
    <w:p>
      <w:pPr>
        <w:pStyle w:val="5"/>
        <w:spacing w:before="0" w:after="0" w:line="360" w:lineRule="auto"/>
        <w:ind w:firstLine="482" w:firstLineChars="200"/>
        <w:rPr>
          <w:rFonts w:ascii="宋体" w:hAnsi="宋体" w:cs="宋体"/>
          <w:color w:val="000000" w:themeColor="text1"/>
          <w:sz w:val="24"/>
          <w:szCs w:val="24"/>
          <w:highlight w:val="none"/>
          <w14:textFill>
            <w14:solidFill>
              <w14:schemeClr w14:val="tx1"/>
            </w14:solidFill>
          </w14:textFill>
        </w:rPr>
      </w:pPr>
      <w:bookmarkStart w:id="180" w:name="_Toc217446065"/>
      <w:bookmarkStart w:id="181" w:name="_Toc183682377"/>
      <w:bookmarkStart w:id="182" w:name="_Toc183582240"/>
      <w:r>
        <w:rPr>
          <w:rFonts w:hint="eastAsia" w:ascii="宋体" w:hAnsi="宋体" w:cs="宋体"/>
          <w:color w:val="000000" w:themeColor="text1"/>
          <w:sz w:val="24"/>
          <w:szCs w:val="24"/>
          <w:highlight w:val="none"/>
          <w14:textFill>
            <w14:solidFill>
              <w14:schemeClr w14:val="tx1"/>
            </w14:solidFill>
          </w14:textFill>
        </w:rPr>
        <w:t>24. 开评标过程存档</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开标和评标过程进行全过程电子监控，并将电子监控资料存储介质留存归档。</w:t>
      </w:r>
    </w:p>
    <w:p>
      <w:pPr>
        <w:pStyle w:val="5"/>
        <w:spacing w:before="0" w:after="0"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评标情况公告</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所有投标人投标文件资格性、符合性检查情况、采用综合评分法时的总得分情况、评标结果等将在中国政府采购网上采购结果公告栏中予以公告。</w:t>
      </w:r>
    </w:p>
    <w:p>
      <w:pPr>
        <w:pStyle w:val="5"/>
        <w:spacing w:before="0" w:after="0"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 中标通知书</w:t>
      </w:r>
    </w:p>
    <w:p>
      <w:pPr>
        <w:tabs>
          <w:tab w:val="left" w:pos="7665"/>
        </w:tabs>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26</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 中标通知书为签订政府采购合同的依据之一，是合同的有效组成部分。</w:t>
      </w:r>
    </w:p>
    <w:p>
      <w:pPr>
        <w:tabs>
          <w:tab w:val="left" w:pos="7665"/>
        </w:tabs>
        <w:adjustRightInd w:val="0"/>
        <w:snapToGrid w:val="0"/>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26.2 中标通知书对采购人和中标人均具有法律效力。中标通知书发出后，采购人改变中标结果，或者中标人无正当理由放弃中标的，应当承担相应的法律责任。</w:t>
      </w:r>
    </w:p>
    <w:p>
      <w:pPr>
        <w:tabs>
          <w:tab w:val="left" w:pos="7665"/>
        </w:tabs>
        <w:adjustRightInd w:val="0"/>
        <w:snapToGrid w:val="0"/>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26.3中标人的投标文件本应作为无效投标处理或者有政府采购法律法规规章制度规定的中标无效情形的，招标采购单位在取得有权主体的认定以后，将宣布发出的中标通知书无效，并收回发出的中标通知书（中标人也应当缴回），依法重新确定中标人或者重新开展采购活动。</w:t>
      </w:r>
    </w:p>
    <w:p>
      <w:pPr>
        <w:tabs>
          <w:tab w:val="left" w:pos="7665"/>
        </w:tabs>
        <w:adjustRightInd w:val="0"/>
        <w:snapToGrid w:val="0"/>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26.4中标公告发出后，中标人自行领取中标通知书的，可凭有效身份证明证件（单位介绍信和个人身份证）到采购代理机构处领取中标通知书。</w:t>
      </w:r>
    </w:p>
    <w:p>
      <w:pPr>
        <w:pStyle w:val="4"/>
        <w:spacing w:before="0" w:after="0" w:line="360" w:lineRule="auto"/>
        <w:ind w:firstLine="640"/>
        <w:jc w:val="center"/>
        <w:rPr>
          <w:rFonts w:ascii="宋体" w:hAnsi="宋体" w:eastAsia="宋体" w:cs="宋体"/>
          <w:color w:val="000000" w:themeColor="text1"/>
          <w:highlight w:val="none"/>
          <w14:textFill>
            <w14:solidFill>
              <w14:schemeClr w14:val="tx1"/>
            </w14:solidFill>
          </w14:textFill>
        </w:rPr>
      </w:pPr>
      <w:bookmarkStart w:id="183" w:name="_Toc4831"/>
      <w:r>
        <w:rPr>
          <w:rFonts w:hint="eastAsia" w:ascii="宋体" w:hAnsi="宋体" w:eastAsia="宋体" w:cs="宋体"/>
          <w:color w:val="000000" w:themeColor="text1"/>
          <w:highlight w:val="none"/>
          <w14:textFill>
            <w14:solidFill>
              <w14:schemeClr w14:val="tx1"/>
            </w14:solidFill>
          </w14:textFill>
        </w:rPr>
        <w:t>六、签订及履行合同和验收</w:t>
      </w:r>
      <w:bookmarkEnd w:id="183"/>
    </w:p>
    <w:p>
      <w:pPr>
        <w:pStyle w:val="5"/>
        <w:spacing w:before="0" w:after="0" w:line="360" w:lineRule="auto"/>
        <w:ind w:firstLine="482" w:firstLineChars="200"/>
        <w:rPr>
          <w:rFonts w:ascii="宋体" w:hAnsi="宋体" w:cs="宋体"/>
          <w:bCs w:val="0"/>
          <w:color w:val="000000" w:themeColor="text1"/>
          <w:sz w:val="24"/>
          <w:highlight w:val="none"/>
          <w14:textFill>
            <w14:solidFill>
              <w14:schemeClr w14:val="tx1"/>
            </w14:solidFill>
          </w14:textFill>
        </w:rPr>
      </w:pPr>
      <w:bookmarkStart w:id="184" w:name="_Toc426657560"/>
      <w:bookmarkStart w:id="185" w:name="_Toc426648228"/>
      <w:r>
        <w:rPr>
          <w:rFonts w:hint="eastAsia" w:ascii="宋体" w:hAnsi="宋体" w:cs="宋体"/>
          <w:bCs w:val="0"/>
          <w:color w:val="000000" w:themeColor="text1"/>
          <w:sz w:val="24"/>
          <w:highlight w:val="none"/>
          <w14:textFill>
            <w14:solidFill>
              <w14:schemeClr w14:val="tx1"/>
            </w14:solidFill>
          </w14:textFill>
        </w:rPr>
        <w:t>27</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Cs w:val="0"/>
          <w:color w:val="000000" w:themeColor="text1"/>
          <w:sz w:val="24"/>
          <w:highlight w:val="none"/>
          <w14:textFill>
            <w14:solidFill>
              <w14:schemeClr w14:val="tx1"/>
            </w14:solidFill>
          </w14:textFill>
        </w:rPr>
        <w:t>签订合同</w:t>
      </w:r>
      <w:bookmarkEnd w:id="180"/>
      <w:bookmarkEnd w:id="184"/>
      <w:bookmarkEnd w:id="185"/>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27.1 中标人在收到采购代理机构发出的《中标通知书》后，应在规定的时间内与采购人政府采购合同。由于中标人的原因逾期未与采购人签订采购合同的，将视为放弃中标，取消其中标资格并将按相关规定进行处理。</w:t>
      </w:r>
    </w:p>
    <w:p>
      <w:pPr>
        <w:spacing w:line="360" w:lineRule="auto"/>
        <w:ind w:firstLine="420" w:firstLineChars="17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27.2 采购人不得向中标人提出任何不合理的要求，作为签订合同的条件，不得与中标人私下订立背离合同实质性内容的任何协议，所签订的合同不得对招标文件和中标人投标文件作实质性修改。</w:t>
      </w:r>
    </w:p>
    <w:p>
      <w:pPr>
        <w:spacing w:line="360" w:lineRule="auto"/>
        <w:ind w:firstLine="420" w:firstLineChars="17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27.3中标人拒绝或因不可抗力原因不能履行采购合同或放弃中标的，采购人可以按照评标报告推荐的中标候选人名单排序，确定下一候选人为中标人，以此类推。也可以重新开展政府采购活动。</w:t>
      </w:r>
    </w:p>
    <w:p>
      <w:pPr>
        <w:spacing w:line="360" w:lineRule="auto"/>
        <w:ind w:firstLine="420" w:firstLineChars="175"/>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27.4 中标人在合</w:t>
      </w:r>
      <w:r>
        <w:rPr>
          <w:rFonts w:hint="eastAsia" w:ascii="宋体" w:hAnsi="宋体" w:cs="宋体"/>
          <w:color w:val="000000" w:themeColor="text1"/>
          <w:sz w:val="24"/>
          <w:szCs w:val="22"/>
          <w:highlight w:val="none"/>
          <w14:textFill>
            <w14:solidFill>
              <w14:schemeClr w14:val="tx1"/>
            </w14:solidFill>
          </w14:textFill>
        </w:rPr>
        <w:t xml:space="preserve">同签订之后三个工作日内，将签订的合同（一份）送采购代理机构备案。  </w:t>
      </w:r>
    </w:p>
    <w:p>
      <w:pPr>
        <w:pStyle w:val="5"/>
        <w:spacing w:before="0" w:after="0" w:line="360" w:lineRule="auto"/>
        <w:ind w:firstLine="482" w:firstLineChars="200"/>
        <w:rPr>
          <w:rFonts w:ascii="宋体" w:hAnsi="宋体" w:cs="宋体"/>
          <w:bCs w:val="0"/>
          <w:color w:val="000000" w:themeColor="text1"/>
          <w:sz w:val="24"/>
          <w:highlight w:val="none"/>
          <w14:textFill>
            <w14:solidFill>
              <w14:schemeClr w14:val="tx1"/>
            </w14:solidFill>
          </w14:textFill>
        </w:rPr>
      </w:pPr>
      <w:bookmarkStart w:id="186" w:name="_Toc217446066"/>
      <w:bookmarkStart w:id="187" w:name="_Toc426657561"/>
      <w:bookmarkStart w:id="188" w:name="_Toc426648229"/>
      <w:r>
        <w:rPr>
          <w:rFonts w:hint="eastAsia" w:ascii="宋体" w:hAnsi="宋体" w:cs="宋体"/>
          <w:bCs w:val="0"/>
          <w:color w:val="000000" w:themeColor="text1"/>
          <w:sz w:val="24"/>
          <w:highlight w:val="none"/>
          <w14:textFill>
            <w14:solidFill>
              <w14:schemeClr w14:val="tx1"/>
            </w14:solidFill>
          </w14:textFill>
        </w:rPr>
        <w:t>28</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Cs w:val="0"/>
          <w:color w:val="000000" w:themeColor="text1"/>
          <w:sz w:val="24"/>
          <w:highlight w:val="none"/>
          <w14:textFill>
            <w14:solidFill>
              <w14:schemeClr w14:val="tx1"/>
            </w14:solidFill>
          </w14:textFill>
        </w:rPr>
        <w:t>合同分包</w:t>
      </w:r>
      <w:bookmarkEnd w:id="186"/>
      <w:bookmarkEnd w:id="187"/>
      <w:bookmarkEnd w:id="188"/>
      <w:r>
        <w:rPr>
          <w:rFonts w:hint="eastAsia" w:ascii="宋体" w:hAnsi="宋体" w:cs="宋体"/>
          <w:bCs w:val="0"/>
          <w:color w:val="000000" w:themeColor="text1"/>
          <w:sz w:val="24"/>
          <w:highlight w:val="none"/>
          <w14:textFill>
            <w14:solidFill>
              <w14:schemeClr w14:val="tx1"/>
            </w14:solidFill>
          </w14:textFill>
        </w:rPr>
        <w:t>（实质性要求）</w:t>
      </w:r>
    </w:p>
    <w:p>
      <w:pPr>
        <w:spacing w:line="360" w:lineRule="auto"/>
        <w:ind w:firstLine="571" w:firstLineChars="238"/>
        <w:rPr>
          <w:rFonts w:ascii="宋体" w:hAnsi="宋体" w:cs="宋体"/>
          <w:color w:val="000000" w:themeColor="text1"/>
          <w:sz w:val="24"/>
          <w:highlight w:val="none"/>
          <w14:textFill>
            <w14:solidFill>
              <w14:schemeClr w14:val="tx1"/>
            </w14:solidFill>
          </w14:textFill>
        </w:rPr>
      </w:pPr>
      <w:bookmarkStart w:id="189" w:name="_Toc426657562"/>
      <w:bookmarkStart w:id="190" w:name="_Toc217446067"/>
      <w:bookmarkStart w:id="191" w:name="_Toc426648230"/>
      <w:r>
        <w:rPr>
          <w:rFonts w:hint="eastAsia" w:ascii="宋体" w:hAnsi="宋体" w:cs="宋体"/>
          <w:color w:val="000000" w:themeColor="text1"/>
          <w:sz w:val="24"/>
          <w:highlight w:val="none"/>
          <w14:textFill>
            <w14:solidFill>
              <w14:schemeClr w14:val="tx1"/>
            </w14:solidFill>
          </w14:textFill>
        </w:rPr>
        <w:t>本项目不允许合同分包</w:t>
      </w:r>
    </w:p>
    <w:p>
      <w:pPr>
        <w:pStyle w:val="5"/>
        <w:spacing w:before="0" w:after="0" w:line="360" w:lineRule="auto"/>
        <w:ind w:firstLine="482" w:firstLineChars="200"/>
        <w:rPr>
          <w:rFonts w:ascii="宋体" w:hAnsi="宋体" w:cs="宋体"/>
          <w:bCs w:val="0"/>
          <w:color w:val="000000" w:themeColor="text1"/>
          <w:sz w:val="24"/>
          <w:highlight w:val="none"/>
          <w14:textFill>
            <w14:solidFill>
              <w14:schemeClr w14:val="tx1"/>
            </w14:solidFill>
          </w14:textFill>
        </w:rPr>
      </w:pPr>
      <w:r>
        <w:rPr>
          <w:rFonts w:hint="eastAsia" w:ascii="宋体" w:hAnsi="宋体" w:cs="宋体"/>
          <w:bCs w:val="0"/>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14:textFill>
            <w14:solidFill>
              <w14:schemeClr w14:val="tx1"/>
            </w14:solidFill>
          </w14:textFill>
        </w:rPr>
        <w:t>．</w:t>
      </w:r>
      <w:bookmarkEnd w:id="189"/>
      <w:bookmarkEnd w:id="190"/>
      <w:bookmarkEnd w:id="191"/>
      <w:r>
        <w:rPr>
          <w:rFonts w:hint="eastAsia" w:ascii="宋体" w:hAnsi="宋体" w:cs="宋体"/>
          <w:bCs w:val="0"/>
          <w:color w:val="000000" w:themeColor="text1"/>
          <w:sz w:val="24"/>
          <w:highlight w:val="none"/>
          <w14:textFill>
            <w14:solidFill>
              <w14:schemeClr w14:val="tx1"/>
            </w14:solidFill>
          </w14:textFill>
        </w:rPr>
        <w:t>合同转包（实质性要求）</w:t>
      </w:r>
    </w:p>
    <w:p>
      <w:pPr>
        <w:adjustRightInd w:val="0"/>
        <w:snapToGrid w:val="0"/>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采购项目严禁中标人将任何政府采购合同义务转包。本项目所称转包，是指中标人将政府采购合同义务转让给第三人，并退出现有政府采购合同当事人双方的权利义务关系，受让人（即第三人）成为政府采购合同的另一方当事人的行为。</w:t>
      </w:r>
    </w:p>
    <w:p>
      <w:pPr>
        <w:adjustRightInd w:val="0"/>
        <w:snapToGrid w:val="0"/>
        <w:spacing w:line="360" w:lineRule="auto"/>
        <w:ind w:firstLine="540" w:firstLineChars="225"/>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中标人转包的，视同拒绝履行政府采购合同义务，将依法追究法律责任。</w:t>
      </w:r>
      <w:bookmarkStart w:id="192" w:name="_Toc217446068"/>
    </w:p>
    <w:bookmarkEnd w:id="192"/>
    <w:p>
      <w:pPr>
        <w:numPr>
          <w:ilvl w:val="0"/>
          <w:numId w:val="7"/>
        </w:numPr>
        <w:adjustRightInd w:val="0"/>
        <w:snapToGrid w:val="0"/>
        <w:spacing w:line="360" w:lineRule="auto"/>
        <w:ind w:firstLine="542" w:firstLineChars="225"/>
        <w:rPr>
          <w:rFonts w:ascii="宋体" w:hAnsi="宋体" w:cs="宋体"/>
          <w:b/>
          <w:bCs/>
          <w:color w:val="000000" w:themeColor="text1"/>
          <w:sz w:val="24"/>
          <w:szCs w:val="32"/>
          <w:highlight w:val="none"/>
          <w14:textFill>
            <w14:solidFill>
              <w14:schemeClr w14:val="tx1"/>
            </w14:solidFill>
          </w14:textFill>
        </w:rPr>
      </w:pPr>
      <w:bookmarkStart w:id="193" w:name="_Toc217446069"/>
      <w:r>
        <w:rPr>
          <w:rFonts w:hint="eastAsia" w:ascii="宋体" w:hAnsi="宋体" w:cs="宋体"/>
          <w:b/>
          <w:bCs/>
          <w:color w:val="000000" w:themeColor="text1"/>
          <w:sz w:val="24"/>
          <w:szCs w:val="32"/>
          <w:highlight w:val="none"/>
          <w14:textFill>
            <w14:solidFill>
              <w14:schemeClr w14:val="tx1"/>
            </w14:solidFill>
          </w14:textFill>
        </w:rPr>
        <w:t>补充合同</w:t>
      </w:r>
      <w:bookmarkStart w:id="194" w:name="_Toc426648231"/>
      <w:bookmarkStart w:id="195" w:name="_Toc426657563"/>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合同履行过程中，采购人需要追加与合同标的相同的货物或者服务的，在不改变合同其他条款的前提下，可以与中标人协商签订补充合同，但所有补充合同的采购金额不得超过原合同采购金额的百分之十，该补充合同应当在原政府采购合同履行过程中，不得在原政府采购合同履行结束后，且采购货物、工程和服务的名称、价格、履约方式、验收标准等必须与原政府采购合同一致。</w:t>
      </w:r>
    </w:p>
    <w:bookmarkEnd w:id="193"/>
    <w:bookmarkEnd w:id="194"/>
    <w:bookmarkEnd w:id="195"/>
    <w:p>
      <w:pPr>
        <w:pStyle w:val="5"/>
        <w:numPr>
          <w:ilvl w:val="0"/>
          <w:numId w:val="8"/>
        </w:numPr>
        <w:spacing w:before="0" w:after="0" w:line="360" w:lineRule="auto"/>
        <w:ind w:firstLine="482" w:firstLineChars="200"/>
        <w:rPr>
          <w:rFonts w:ascii="宋体" w:hAnsi="宋体" w:cs="宋体"/>
          <w:bCs w:val="0"/>
          <w:color w:val="000000" w:themeColor="text1"/>
          <w:sz w:val="24"/>
          <w:highlight w:val="none"/>
          <w14:textFill>
            <w14:solidFill>
              <w14:schemeClr w14:val="tx1"/>
            </w14:solidFill>
          </w14:textFill>
        </w:rPr>
      </w:pPr>
      <w:r>
        <w:rPr>
          <w:rFonts w:hint="eastAsia" w:ascii="宋体" w:hAnsi="宋体" w:cs="宋体"/>
          <w:bCs w:val="0"/>
          <w:color w:val="000000" w:themeColor="text1"/>
          <w:sz w:val="24"/>
          <w:highlight w:val="none"/>
          <w14:textFill>
            <w14:solidFill>
              <w14:schemeClr w14:val="tx1"/>
            </w14:solidFill>
          </w14:textFill>
        </w:rPr>
        <w:t>履约保证金</w:t>
      </w:r>
    </w:p>
    <w:p>
      <w:pPr>
        <w:tabs>
          <w:tab w:val="left" w:pos="720"/>
        </w:tabs>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31.1中标人应在中标公告发布后政府采购合同签订之前向采购人缴纳履约保证金；履约保证金数额为合同总金额的3%。                           </w:t>
      </w:r>
    </w:p>
    <w:p>
      <w:pPr>
        <w:pStyle w:val="467"/>
        <w:spacing w:line="360" w:lineRule="auto"/>
        <w:ind w:firstLine="240" w:firstLineChars="1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31.2退款方式：</w:t>
      </w:r>
      <w:r>
        <w:rPr>
          <w:rFonts w:hint="eastAsia" w:cs="宋体"/>
          <w:color w:val="000000" w:themeColor="text1"/>
          <w:highlight w:val="none"/>
          <w:lang w:val="zh-CN"/>
          <w14:textFill>
            <w14:solidFill>
              <w14:schemeClr w14:val="tx1"/>
            </w14:solidFill>
          </w14:textFill>
        </w:rPr>
        <w:t>：①以网银转账、电汇等方式提交的，履约保证金以网银转账、电汇等方式退至转款账户；②以保函方式提交的，退还保函原件</w:t>
      </w:r>
      <w:r>
        <w:rPr>
          <w:rFonts w:hint="eastAsia" w:cs="宋体"/>
          <w:color w:val="000000" w:themeColor="text1"/>
          <w:highlight w:val="none"/>
          <w14:textFill>
            <w14:solidFill>
              <w14:schemeClr w14:val="tx1"/>
            </w14:solidFill>
          </w14:textFill>
        </w:rPr>
        <w:t>。</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31.3中标人提供的</w:t>
      </w:r>
      <w:r>
        <w:rPr>
          <w:rFonts w:hint="eastAsia" w:cs="宋体"/>
          <w:color w:val="000000" w:themeColor="text1"/>
          <w:highlight w:val="none"/>
          <w:lang w:val="en-US" w:eastAsia="zh-CN"/>
          <w14:textFill>
            <w14:solidFill>
              <w14:schemeClr w14:val="tx1"/>
            </w14:solidFill>
          </w14:textFill>
        </w:rPr>
        <w:t>产品</w:t>
      </w:r>
      <w:r>
        <w:rPr>
          <w:rFonts w:hint="eastAsia" w:cs="宋体"/>
          <w:color w:val="000000" w:themeColor="text1"/>
          <w:highlight w:val="none"/>
          <w14:textFill>
            <w14:solidFill>
              <w14:schemeClr w14:val="tx1"/>
            </w14:solidFill>
          </w14:textFill>
        </w:rPr>
        <w:t>质量验收不合格或未按照规定履行合同，采购人不予退还履约保证金，中标人将承担相应的违约责任。</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31.4采购人每逾期一天退还，将承担应退还金额千分之一的违约金。若遇项目单位因财务结算等原因封账而导致无法支付相应价款的，顺延至具备支付条件之日起15个工作日内，且不视为采购人违约。</w:t>
      </w:r>
    </w:p>
    <w:p>
      <w:pPr>
        <w:pStyle w:val="5"/>
        <w:spacing w:before="0" w:after="0" w:line="360" w:lineRule="auto"/>
        <w:ind w:firstLine="480"/>
        <w:rPr>
          <w:rFonts w:ascii="宋体" w:hAnsi="宋体" w:cs="宋体"/>
          <w:color w:val="000000" w:themeColor="text1"/>
          <w:sz w:val="24"/>
          <w:szCs w:val="24"/>
          <w:highlight w:val="none"/>
          <w14:textFill>
            <w14:solidFill>
              <w14:schemeClr w14:val="tx1"/>
            </w14:solidFill>
          </w14:textFill>
        </w:rPr>
      </w:pPr>
      <w:bookmarkStart w:id="196" w:name="_Toc217446071"/>
      <w:r>
        <w:rPr>
          <w:rFonts w:hint="eastAsia" w:ascii="宋体" w:hAnsi="宋体" w:cs="宋体"/>
          <w:color w:val="000000" w:themeColor="text1"/>
          <w:sz w:val="24"/>
          <w:szCs w:val="24"/>
          <w:highlight w:val="none"/>
          <w14:textFill>
            <w14:solidFill>
              <w14:schemeClr w14:val="tx1"/>
            </w14:solidFill>
          </w14:textFill>
        </w:rPr>
        <w:t>32. 履行合同</w:t>
      </w:r>
    </w:p>
    <w:p>
      <w:pPr>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32.1 中标人与采购人签订合同后，合同双方应严格执行合同条款，履行合同规定的义务，保证合同的顺利完成。</w:t>
      </w:r>
    </w:p>
    <w:p>
      <w:pPr>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32.2 在合同履行过程中，如发生合同纠纷，合同双方应按照《中华人民共和国</w:t>
      </w:r>
      <w:r>
        <w:rPr>
          <w:rFonts w:hint="eastAsia" w:ascii="宋体" w:hAnsi="宋体" w:cs="宋体"/>
          <w:color w:val="000000" w:themeColor="text1"/>
          <w:sz w:val="24"/>
          <w:highlight w:val="none"/>
          <w:lang w:eastAsia="zh-Hans"/>
          <w14:textFill>
            <w14:solidFill>
              <w14:schemeClr w14:val="tx1"/>
            </w14:solidFill>
          </w14:textFill>
        </w:rPr>
        <w:t>民法典</w:t>
      </w:r>
      <w:r>
        <w:rPr>
          <w:rFonts w:hint="eastAsia" w:ascii="宋体" w:hAnsi="宋体" w:cs="宋体"/>
          <w:color w:val="000000" w:themeColor="text1"/>
          <w:sz w:val="24"/>
          <w:highlight w:val="none"/>
          <w14:textFill>
            <w14:solidFill>
              <w14:schemeClr w14:val="tx1"/>
            </w14:solidFill>
          </w14:textFill>
        </w:rPr>
        <w:t>》的有关规定进行处理。</w:t>
      </w:r>
    </w:p>
    <w:p>
      <w:pPr>
        <w:pStyle w:val="5"/>
        <w:spacing w:before="0" w:after="0" w:line="360" w:lineRule="auto"/>
        <w:ind w:firstLine="480"/>
        <w:rPr>
          <w:rFonts w:ascii="宋体" w:hAnsi="宋体" w:cs="宋体"/>
          <w:color w:val="000000" w:themeColor="text1"/>
          <w:sz w:val="24"/>
          <w:szCs w:val="24"/>
          <w:highlight w:val="none"/>
          <w14:textFill>
            <w14:solidFill>
              <w14:schemeClr w14:val="tx1"/>
            </w14:solidFill>
          </w14:textFill>
        </w:rPr>
      </w:pPr>
      <w:bookmarkStart w:id="197" w:name="_Toc308164814"/>
      <w:r>
        <w:rPr>
          <w:rFonts w:hint="eastAsia" w:ascii="宋体" w:hAnsi="宋体" w:cs="宋体"/>
          <w:color w:val="000000" w:themeColor="text1"/>
          <w:sz w:val="24"/>
          <w:szCs w:val="24"/>
          <w:highlight w:val="none"/>
          <w14:textFill>
            <w14:solidFill>
              <w14:schemeClr w14:val="tx1"/>
            </w14:solidFill>
          </w14:textFill>
        </w:rPr>
        <w:t>33. 验收</w:t>
      </w:r>
      <w:bookmarkEnd w:id="197"/>
    </w:p>
    <w:p>
      <w:pPr>
        <w:tabs>
          <w:tab w:val="left" w:pos="7665"/>
        </w:tabs>
        <w:spacing w:line="42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33.1按照本项目招标文件、中标单位投标文件、《财政部关于进一步加强政府采购需求和履约验收管理的指导意见》（财库〔2016〕205号）以及国家相关规定进行验收；</w:t>
      </w:r>
    </w:p>
    <w:p>
      <w:pPr>
        <w:tabs>
          <w:tab w:val="left" w:pos="7665"/>
        </w:tabs>
        <w:spacing w:line="42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33.2双方如对质量要求和技术指标的约定标准有相互抵触或异议的事项，由采购人在招标与投标文件中按质量要求和技术指标较优的原则确定该项的约定标准进行验收。</w:t>
      </w:r>
    </w:p>
    <w:bookmarkEnd w:id="181"/>
    <w:bookmarkEnd w:id="182"/>
    <w:bookmarkEnd w:id="196"/>
    <w:p>
      <w:pPr>
        <w:pStyle w:val="4"/>
        <w:spacing w:before="0" w:after="0" w:line="360" w:lineRule="auto"/>
        <w:ind w:firstLine="640"/>
        <w:jc w:val="center"/>
        <w:rPr>
          <w:rFonts w:ascii="宋体" w:hAnsi="宋体" w:eastAsia="宋体" w:cs="宋体"/>
          <w:color w:val="000000" w:themeColor="text1"/>
          <w:highlight w:val="none"/>
          <w14:textFill>
            <w14:solidFill>
              <w14:schemeClr w14:val="tx1"/>
            </w14:solidFill>
          </w14:textFill>
        </w:rPr>
      </w:pPr>
      <w:bookmarkStart w:id="198" w:name="_Toc426657565"/>
      <w:bookmarkStart w:id="199" w:name="_Toc6940"/>
      <w:bookmarkStart w:id="200" w:name="_Toc217446074"/>
      <w:bookmarkStart w:id="201" w:name="_Toc10058"/>
      <w:bookmarkStart w:id="202" w:name="_Toc183582243"/>
      <w:bookmarkStart w:id="203" w:name="_Toc183682380"/>
      <w:r>
        <w:rPr>
          <w:rFonts w:hint="eastAsia" w:ascii="宋体" w:hAnsi="宋体" w:eastAsia="宋体" w:cs="宋体"/>
          <w:color w:val="000000" w:themeColor="text1"/>
          <w:highlight w:val="none"/>
          <w14:textFill>
            <w14:solidFill>
              <w14:schemeClr w14:val="tx1"/>
            </w14:solidFill>
          </w14:textFill>
        </w:rPr>
        <w:t>七、投标纪律要求</w:t>
      </w:r>
      <w:bookmarkEnd w:id="198"/>
      <w:bookmarkEnd w:id="199"/>
      <w:bookmarkEnd w:id="200"/>
      <w:bookmarkEnd w:id="201"/>
    </w:p>
    <w:p>
      <w:pPr>
        <w:pStyle w:val="5"/>
        <w:spacing w:before="0" w:after="0" w:line="360" w:lineRule="auto"/>
        <w:ind w:firstLine="482" w:firstLineChars="200"/>
        <w:rPr>
          <w:rFonts w:ascii="宋体" w:hAnsi="宋体" w:cs="宋体"/>
          <w:bCs w:val="0"/>
          <w:color w:val="000000" w:themeColor="text1"/>
          <w:sz w:val="24"/>
          <w:szCs w:val="24"/>
          <w:highlight w:val="none"/>
          <w14:textFill>
            <w14:solidFill>
              <w14:schemeClr w14:val="tx1"/>
            </w14:solidFill>
          </w14:textFill>
        </w:rPr>
      </w:pPr>
      <w:bookmarkStart w:id="204" w:name="_Toc426648234"/>
      <w:bookmarkStart w:id="205" w:name="_Toc426657566"/>
      <w:bookmarkStart w:id="206" w:name="_Toc217446075"/>
      <w:r>
        <w:rPr>
          <w:rFonts w:hint="eastAsia" w:ascii="宋体" w:hAnsi="宋体" w:cs="宋体"/>
          <w:color w:val="000000" w:themeColor="text1"/>
          <w:sz w:val="24"/>
          <w:highlight w:val="none"/>
          <w14:textFill>
            <w14:solidFill>
              <w14:schemeClr w14:val="tx1"/>
            </w14:solidFill>
          </w14:textFill>
        </w:rPr>
        <w:t>34．</w:t>
      </w:r>
      <w:r>
        <w:rPr>
          <w:rFonts w:hint="eastAsia" w:ascii="宋体" w:hAnsi="宋体" w:cs="宋体"/>
          <w:bCs w:val="0"/>
          <w:color w:val="000000" w:themeColor="text1"/>
          <w:sz w:val="24"/>
          <w:szCs w:val="24"/>
          <w:highlight w:val="none"/>
          <w14:textFill>
            <w14:solidFill>
              <w14:schemeClr w14:val="tx1"/>
            </w14:solidFill>
          </w14:textFill>
        </w:rPr>
        <w:t>投标人不得具有的情形</w:t>
      </w:r>
      <w:bookmarkEnd w:id="204"/>
      <w:bookmarkEnd w:id="205"/>
      <w:bookmarkEnd w:id="206"/>
    </w:p>
    <w:p>
      <w:pPr>
        <w:spacing w:line="360" w:lineRule="auto"/>
        <w:ind w:firstLine="460" w:firstLineChars="192"/>
        <w:rPr>
          <w:rFonts w:ascii="宋体" w:hAnsi="宋体" w:cs="宋体"/>
          <w:color w:val="000000" w:themeColor="text1"/>
          <w:sz w:val="24"/>
          <w:highlight w:val="none"/>
          <w14:textFill>
            <w14:solidFill>
              <w14:schemeClr w14:val="tx1"/>
            </w14:solidFill>
          </w14:textFill>
        </w:rPr>
      </w:pPr>
      <w:bookmarkStart w:id="207" w:name="_Toc426657567"/>
      <w:bookmarkStart w:id="208" w:name="_Toc21103"/>
      <w:bookmarkStart w:id="209" w:name="_Toc217446076"/>
      <w:r>
        <w:rPr>
          <w:rFonts w:hint="eastAsia" w:ascii="宋体" w:hAnsi="宋体" w:cs="宋体"/>
          <w:color w:val="000000" w:themeColor="text1"/>
          <w:sz w:val="24"/>
          <w:highlight w:val="none"/>
          <w14:textFill>
            <w14:solidFill>
              <w14:schemeClr w14:val="tx1"/>
            </w14:solidFill>
          </w14:textFill>
        </w:rPr>
        <w:t>（1）提供虚假材料谋取中标；</w:t>
      </w:r>
    </w:p>
    <w:p>
      <w:pPr>
        <w:spacing w:line="360" w:lineRule="auto"/>
        <w:ind w:firstLine="460" w:firstLineChars="1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（2）采取不正当手段诋毁、排挤其他投标人；</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（3）与招标采购单位、其他投标人恶意串通；</w:t>
      </w:r>
    </w:p>
    <w:p>
      <w:pPr>
        <w:spacing w:line="360" w:lineRule="auto"/>
        <w:ind w:left="489" w:leftChars="233"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（4）向招标采购单位、评标委员会成员行贿或者提供其他不正当利益；</w:t>
      </w:r>
    </w:p>
    <w:p>
      <w:pPr>
        <w:spacing w:line="360" w:lineRule="auto"/>
        <w:ind w:firstLine="460" w:firstLineChars="1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（5）在招标过程中与招标采购单位进行协商谈判；</w:t>
      </w:r>
    </w:p>
    <w:p>
      <w:pPr>
        <w:spacing w:line="360" w:lineRule="auto"/>
        <w:ind w:firstLine="460" w:firstLineChars="1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（6）中标后无正当理由拒不与采购人签订政府采购合同；</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（7）未按照招标（采购）文件确定的事项签订政府采购合同；</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（8）将政府采购合同转包或者违规分包；</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（9）提供假冒伪劣产品；</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（10）擅自变更、中止或者终止政府采购合同；</w:t>
      </w:r>
    </w:p>
    <w:p>
      <w:pPr>
        <w:spacing w:line="360" w:lineRule="auto"/>
        <w:ind w:firstLine="460" w:firstLineChars="1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（11）拒绝有关部门的监督检查或者向监督检查部门提供虚假情况；</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（12）法律法规规定的其他情形。</w:t>
      </w:r>
    </w:p>
    <w:p>
      <w:pPr>
        <w:pStyle w:val="4"/>
        <w:spacing w:before="0" w:after="0" w:line="360" w:lineRule="auto"/>
        <w:ind w:firstLine="600" w:firstLineChars="250"/>
        <w:jc w:val="left"/>
        <w:rPr>
          <w:rFonts w:ascii="宋体" w:hAnsi="宋体" w:eastAsia="宋体" w:cs="宋体"/>
          <w:b w:val="0"/>
          <w:color w:val="000000" w:themeColor="text1"/>
          <w:sz w:val="24"/>
          <w:highlight w:val="none"/>
          <w14:textFill>
            <w14:solidFill>
              <w14:schemeClr w14:val="tx1"/>
            </w14:solidFill>
          </w14:textFill>
        </w:rPr>
      </w:pPr>
      <w:bookmarkStart w:id="210" w:name="_Toc5499"/>
      <w:r>
        <w:rPr>
          <w:rFonts w:hint="eastAsia" w:ascii="宋体" w:hAnsi="宋体" w:eastAsia="宋体" w:cs="宋体"/>
          <w:b w:val="0"/>
          <w:color w:val="000000" w:themeColor="text1"/>
          <w:sz w:val="24"/>
          <w:highlight w:val="none"/>
          <w14:textFill>
            <w14:solidFill>
              <w14:schemeClr w14:val="tx1"/>
            </w14:solidFill>
          </w14:textFill>
        </w:rPr>
        <w:t>投标人有上述情形的，按照规定追究法律责任，具备（1）-（12）条情形之一的，同时将取消中标资格或者认定中标无效。</w:t>
      </w:r>
      <w:bookmarkEnd w:id="210"/>
    </w:p>
    <w:p>
      <w:pPr>
        <w:pStyle w:val="4"/>
        <w:spacing w:before="0" w:after="0" w:line="360" w:lineRule="auto"/>
        <w:ind w:firstLine="640"/>
        <w:jc w:val="center"/>
        <w:rPr>
          <w:rFonts w:ascii="宋体" w:hAnsi="宋体" w:eastAsia="宋体" w:cs="宋体"/>
          <w:color w:val="000000" w:themeColor="text1"/>
          <w:highlight w:val="none"/>
          <w14:textFill>
            <w14:solidFill>
              <w14:schemeClr w14:val="tx1"/>
            </w14:solidFill>
          </w14:textFill>
        </w:rPr>
      </w:pPr>
      <w:bookmarkStart w:id="211" w:name="_Toc2959"/>
      <w:r>
        <w:rPr>
          <w:rFonts w:hint="eastAsia" w:ascii="宋体" w:hAnsi="宋体" w:eastAsia="宋体" w:cs="宋体"/>
          <w:color w:val="000000" w:themeColor="text1"/>
          <w:highlight w:val="none"/>
          <w14:textFill>
            <w14:solidFill>
              <w14:schemeClr w14:val="tx1"/>
            </w14:solidFill>
          </w14:textFill>
        </w:rPr>
        <w:t>八、</w:t>
      </w:r>
      <w:bookmarkEnd w:id="207"/>
      <w:bookmarkEnd w:id="208"/>
      <w:bookmarkEnd w:id="209"/>
      <w:r>
        <w:rPr>
          <w:rFonts w:hint="eastAsia" w:ascii="宋体" w:hAnsi="宋体" w:eastAsia="宋体" w:cs="宋体"/>
          <w:color w:val="000000" w:themeColor="text1"/>
          <w:highlight w:val="none"/>
          <w14:textFill>
            <w14:solidFill>
              <w14:schemeClr w14:val="tx1"/>
            </w14:solidFill>
          </w14:textFill>
        </w:rPr>
        <w:t>质疑和投诉</w:t>
      </w:r>
      <w:bookmarkEnd w:id="211"/>
    </w:p>
    <w:p>
      <w:pPr>
        <w:adjustRightInd w:val="0"/>
        <w:snapToGrid w:val="0"/>
        <w:spacing w:line="360" w:lineRule="auto"/>
        <w:ind w:firstLine="366" w:firstLineChars="152"/>
        <w:rPr>
          <w:rFonts w:ascii="宋体" w:hAnsi="宋体" w:cs="宋体"/>
          <w:color w:val="000000" w:themeColor="text1"/>
          <w:sz w:val="24"/>
          <w:szCs w:val="24"/>
          <w:highlight w:val="none"/>
          <w14:textFill>
            <w14:solidFill>
              <w14:schemeClr w14:val="tx1"/>
            </w14:solidFill>
          </w14:textFill>
        </w:rPr>
      </w:pPr>
      <w:bookmarkStart w:id="212" w:name="_Toc217446077"/>
      <w:r>
        <w:rPr>
          <w:rFonts w:hint="eastAsia" w:ascii="宋体" w:hAnsi="宋体" w:cs="宋体"/>
          <w:b/>
          <w:color w:val="000000" w:themeColor="text1"/>
          <w:sz w:val="24"/>
          <w:szCs w:val="24"/>
          <w:highlight w:val="none"/>
          <w14:textFill>
            <w14:solidFill>
              <w14:schemeClr w14:val="tx1"/>
            </w14:solidFill>
          </w14:textFill>
        </w:rPr>
        <w:t xml:space="preserve"> 35. </w:t>
      </w:r>
      <w:r>
        <w:rPr>
          <w:rFonts w:hint="eastAsia" w:ascii="宋体" w:hAnsi="宋体" w:cs="宋体"/>
          <w:color w:val="000000" w:themeColor="text1"/>
          <w:sz w:val="24"/>
          <w:highlight w:val="none"/>
          <w14:textFill>
            <w14:solidFill>
              <w14:schemeClr w14:val="tx1"/>
            </w14:solidFill>
          </w14:textFill>
        </w:rPr>
        <w:t>询问、质疑、投诉的接收和处理严格按照《中华人民共和国政府采购法》、《中华人民共和国政府采购法实施条例》、《政府采购货物和服务招标投标管理办法》、《政府采购质疑和投诉办法》的规定办理（详细规定请在中国政府采购网政策法规模块查询）</w:t>
      </w:r>
      <w:r>
        <w:rPr>
          <w:rFonts w:hint="eastAsia" w:ascii="宋体" w:hAnsi="宋体" w:cs="宋体"/>
          <w:color w:val="000000" w:themeColor="text1"/>
          <w:sz w:val="24"/>
          <w:szCs w:val="24"/>
          <w:highlight w:val="none"/>
          <w14:textFill>
            <w14:solidFill>
              <w14:schemeClr w14:val="tx1"/>
            </w14:solidFill>
          </w14:textFill>
        </w:rPr>
        <w:t>。</w:t>
      </w:r>
    </w:p>
    <w:p>
      <w:pPr>
        <w:pStyle w:val="4"/>
        <w:spacing w:before="0" w:after="0" w:line="360" w:lineRule="auto"/>
        <w:ind w:firstLine="640"/>
        <w:jc w:val="center"/>
        <w:rPr>
          <w:rFonts w:ascii="宋体" w:hAnsi="宋体" w:eastAsia="宋体" w:cs="宋体"/>
          <w:color w:val="000000" w:themeColor="text1"/>
          <w:highlight w:val="none"/>
          <w14:textFill>
            <w14:solidFill>
              <w14:schemeClr w14:val="tx1"/>
            </w14:solidFill>
          </w14:textFill>
        </w:rPr>
      </w:pPr>
      <w:bookmarkStart w:id="213" w:name="_Toc19697"/>
      <w:bookmarkStart w:id="214" w:name="_Toc426657568"/>
      <w:bookmarkStart w:id="215" w:name="_Toc24173"/>
      <w:r>
        <w:rPr>
          <w:rFonts w:hint="eastAsia" w:ascii="宋体" w:hAnsi="宋体" w:eastAsia="宋体" w:cs="宋体"/>
          <w:color w:val="000000" w:themeColor="text1"/>
          <w:highlight w:val="none"/>
          <w14:textFill>
            <w14:solidFill>
              <w14:schemeClr w14:val="tx1"/>
            </w14:solidFill>
          </w14:textFill>
        </w:rPr>
        <w:t>九、</w:t>
      </w:r>
      <w:bookmarkEnd w:id="213"/>
      <w:bookmarkEnd w:id="214"/>
      <w:r>
        <w:rPr>
          <w:rFonts w:hint="eastAsia" w:ascii="宋体" w:hAnsi="宋体" w:eastAsia="宋体" w:cs="宋体"/>
          <w:color w:val="000000" w:themeColor="text1"/>
          <w:highlight w:val="none"/>
          <w14:textFill>
            <w14:solidFill>
              <w14:schemeClr w14:val="tx1"/>
            </w14:solidFill>
          </w14:textFill>
        </w:rPr>
        <w:t>其他</w:t>
      </w:r>
      <w:bookmarkEnd w:id="215"/>
    </w:p>
    <w:bookmarkEnd w:id="212"/>
    <w:p>
      <w:pPr>
        <w:pStyle w:val="34"/>
        <w:spacing w:line="360" w:lineRule="auto"/>
        <w:ind w:leftChars="50" w:firstLine="241" w:firstLineChars="100"/>
        <w:rPr>
          <w:rFonts w:ascii="宋体" w:hAnsi="宋体" w:cs="宋体"/>
          <w:color w:val="000000" w:themeColor="text1"/>
          <w:sz w:val="24"/>
          <w:szCs w:val="16"/>
          <w:highlight w:val="none"/>
          <w14:textFill>
            <w14:solidFill>
              <w14:schemeClr w14:val="tx1"/>
            </w14:solidFill>
          </w14:textFill>
        </w:rPr>
      </w:pPr>
      <w:bookmarkStart w:id="216" w:name="_Toc217446079"/>
      <w:r>
        <w:rPr>
          <w:rFonts w:hint="eastAsia" w:ascii="宋体" w:hAnsi="宋体" w:cs="宋体"/>
          <w:b/>
          <w:bCs/>
          <w:color w:val="000000" w:themeColor="text1"/>
          <w:sz w:val="24"/>
          <w:szCs w:val="16"/>
          <w:highlight w:val="none"/>
          <w14:textFill>
            <w14:solidFill>
              <w14:schemeClr w14:val="tx1"/>
            </w14:solidFill>
          </w14:textFill>
        </w:rPr>
        <w:t>3</w:t>
      </w:r>
      <w:bookmarkEnd w:id="216"/>
      <w:r>
        <w:rPr>
          <w:rFonts w:hint="eastAsia" w:ascii="宋体" w:hAnsi="宋体" w:cs="宋体"/>
          <w:b/>
          <w:bCs/>
          <w:color w:val="000000" w:themeColor="text1"/>
          <w:sz w:val="24"/>
          <w:szCs w:val="16"/>
          <w:highlight w:val="none"/>
          <w14:textFill>
            <w14:solidFill>
              <w14:schemeClr w14:val="tx1"/>
            </w14:solidFill>
          </w14:textFill>
        </w:rPr>
        <w:t>6．</w:t>
      </w:r>
      <w:bookmarkEnd w:id="202"/>
      <w:bookmarkEnd w:id="203"/>
      <w:r>
        <w:rPr>
          <w:rFonts w:hint="eastAsia" w:ascii="宋体" w:hAnsi="宋体" w:cs="宋体"/>
          <w:color w:val="000000" w:themeColor="text1"/>
          <w:sz w:val="24"/>
          <w:szCs w:val="16"/>
          <w:highlight w:val="none"/>
          <w14:textFill>
            <w14:solidFill>
              <w14:schemeClr w14:val="tx1"/>
            </w14:solidFill>
          </w14:textFill>
        </w:rPr>
        <w:t>本招标文件中所引相关法律制度规定，在政府采购中有变化的，按照变化后的相关法律制度规定执行。本章和第七章中“1.总则、2.评标方法、3.评标程序”规定的内容条款，在本项目投标截止时间届满后，因相关法律制度规定的变化导致不符合相关法律制度规定的，直接按照变化后的相关法律制度规定执行，本招标文件不再作调整。</w:t>
      </w:r>
    </w:p>
    <w:p>
      <w:pPr>
        <w:pStyle w:val="34"/>
        <w:spacing w:line="360" w:lineRule="auto"/>
        <w:ind w:leftChars="50" w:firstLine="240" w:firstLineChars="100"/>
        <w:rPr>
          <w:rFonts w:ascii="宋体" w:hAnsi="宋体" w:cs="宋体"/>
          <w:color w:val="000000" w:themeColor="text1"/>
          <w:sz w:val="24"/>
          <w:szCs w:val="16"/>
          <w:highlight w:val="none"/>
          <w14:textFill>
            <w14:solidFill>
              <w14:schemeClr w14:val="tx1"/>
            </w14:solidFill>
          </w14:textFill>
        </w:rPr>
        <w:sectPr>
          <w:footerReference r:id="rId6" w:type="default"/>
          <w:pgSz w:w="11907" w:h="16840"/>
          <w:pgMar w:top="1440" w:right="1474" w:bottom="1440" w:left="1474" w:header="851" w:footer="992" w:gutter="0"/>
          <w:cols w:space="720" w:num="1"/>
          <w:docGrid w:linePitch="312" w:charSpace="0"/>
        </w:sectPr>
      </w:pPr>
      <w:r>
        <w:rPr>
          <w:rFonts w:hint="eastAsia" w:ascii="宋体" w:hAnsi="宋体" w:cs="宋体"/>
          <w:color w:val="000000" w:themeColor="text1"/>
          <w:sz w:val="24"/>
          <w:szCs w:val="16"/>
          <w:highlight w:val="none"/>
          <w14:textFill>
            <w14:solidFill>
              <w14:schemeClr w14:val="tx1"/>
            </w14:solidFill>
          </w14:textFill>
        </w:rPr>
        <w:t>37、（实质性要求）国家或行业主管部门对采购产品的技术标准、质量标准和资格资质条件等有强制性规定的，必须符合其要求。</w:t>
      </w:r>
    </w:p>
    <w:p>
      <w:pPr>
        <w:pStyle w:val="34"/>
        <w:spacing w:line="360" w:lineRule="auto"/>
        <w:ind w:left="0" w:firstLine="643" w:firstLineChars="200"/>
        <w:jc w:val="center"/>
        <w:outlineLvl w:val="0"/>
        <w:rPr>
          <w:rStyle w:val="72"/>
          <w:rFonts w:ascii="宋体" w:hAnsi="宋体" w:cs="宋体"/>
          <w:color w:val="000000" w:themeColor="text1"/>
          <w:sz w:val="32"/>
          <w:szCs w:val="32"/>
          <w:highlight w:val="none"/>
          <w14:textFill>
            <w14:solidFill>
              <w14:schemeClr w14:val="tx1"/>
            </w14:solidFill>
          </w14:textFill>
        </w:rPr>
      </w:pPr>
      <w:bookmarkStart w:id="217" w:name="_Toc22641"/>
      <w:bookmarkStart w:id="218" w:name="_Toc26089"/>
      <w:bookmarkStart w:id="219" w:name="_Toc5456"/>
      <w:bookmarkStart w:id="220" w:name="_Toc426657569"/>
      <w:bookmarkStart w:id="221" w:name="_Toc87"/>
      <w:r>
        <w:rPr>
          <w:rStyle w:val="72"/>
          <w:rFonts w:hint="eastAsia" w:ascii="宋体" w:hAnsi="宋体" w:cs="宋体"/>
          <w:color w:val="000000" w:themeColor="text1"/>
          <w:sz w:val="32"/>
          <w:szCs w:val="32"/>
          <w:highlight w:val="none"/>
          <w14:textFill>
            <w14:solidFill>
              <w14:schemeClr w14:val="tx1"/>
            </w14:solidFill>
          </w14:textFill>
        </w:rPr>
        <w:t>第三章 投标文件格式</w:t>
      </w:r>
      <w:bookmarkEnd w:id="83"/>
      <w:bookmarkEnd w:id="217"/>
      <w:bookmarkEnd w:id="218"/>
      <w:bookmarkEnd w:id="219"/>
      <w:bookmarkEnd w:id="220"/>
      <w:bookmarkEnd w:id="221"/>
    </w:p>
    <w:p>
      <w:pPr>
        <w:widowControl/>
        <w:spacing w:line="360" w:lineRule="auto"/>
        <w:ind w:firstLine="470" w:firstLineChars="19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一、本章所制投标文件格式，除格式中明确将该格式作为实质性要求的，一律不具有强制性。</w:t>
      </w:r>
    </w:p>
    <w:p>
      <w:pPr>
        <w:widowControl/>
        <w:spacing w:line="360" w:lineRule="auto"/>
        <w:ind w:firstLine="470" w:firstLineChars="19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二、本章所制投标文件格式有关表格中的备注栏，由投标人根据自身投标情况作解释性说明，不作为必填项。</w:t>
      </w:r>
    </w:p>
    <w:p>
      <w:pPr>
        <w:widowControl/>
        <w:spacing w:line="360" w:lineRule="auto"/>
        <w:ind w:firstLine="470" w:firstLineChars="19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三、本章所制投标文件格式中需要填写的相关内容事项，可能会与本采购项目无关，在不改变投标文件原义、不影响本项目采购需求的情况下，投标人可以不予填写，但应当注明。</w:t>
      </w: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tabs>
          <w:tab w:val="left" w:pos="900"/>
        </w:tabs>
        <w:spacing w:line="360" w:lineRule="auto"/>
        <w:ind w:firstLine="643"/>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第一部分     “资格性投标文件”格式</w:t>
      </w:r>
    </w:p>
    <w:p>
      <w:pPr>
        <w:spacing w:line="360" w:lineRule="auto"/>
        <w:ind w:firstLine="640"/>
        <w:rPr>
          <w:rFonts w:ascii="宋体" w:hAnsi="宋体" w:cs="宋体"/>
          <w:b/>
          <w:color w:val="000000" w:themeColor="text1"/>
          <w:sz w:val="32"/>
          <w:szCs w:val="32"/>
          <w:highlight w:val="none"/>
          <w14:textFill>
            <w14:solidFill>
              <w14:schemeClr w14:val="tx1"/>
            </w14:solidFill>
          </w14:textFill>
        </w:rPr>
      </w:pPr>
    </w:p>
    <w:p>
      <w:pPr>
        <w:spacing w:line="360" w:lineRule="auto"/>
        <w:ind w:firstLine="643"/>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封面：</w:t>
      </w:r>
    </w:p>
    <w:p>
      <w:pPr>
        <w:spacing w:line="360" w:lineRule="auto"/>
        <w:ind w:firstLine="723"/>
        <w:jc w:val="right"/>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（正本/副本）</w:t>
      </w:r>
    </w:p>
    <w:p>
      <w:pPr>
        <w:spacing w:line="360" w:lineRule="auto"/>
        <w:ind w:firstLine="640"/>
        <w:rPr>
          <w:rFonts w:ascii="宋体" w:hAnsi="宋体" w:cs="宋体"/>
          <w:b/>
          <w:color w:val="000000" w:themeColor="text1"/>
          <w:sz w:val="32"/>
          <w:szCs w:val="32"/>
          <w:highlight w:val="none"/>
          <w14:textFill>
            <w14:solidFill>
              <w14:schemeClr w14:val="tx1"/>
            </w14:solidFill>
          </w14:textFill>
        </w:rPr>
      </w:pPr>
    </w:p>
    <w:p>
      <w:pPr>
        <w:spacing w:line="360" w:lineRule="auto"/>
        <w:ind w:firstLine="640"/>
        <w:rPr>
          <w:rFonts w:ascii="宋体" w:hAnsi="宋体" w:cs="宋体"/>
          <w:b/>
          <w:color w:val="000000" w:themeColor="text1"/>
          <w:sz w:val="32"/>
          <w:szCs w:val="32"/>
          <w:highlight w:val="none"/>
          <w14:textFill>
            <w14:solidFill>
              <w14:schemeClr w14:val="tx1"/>
            </w14:solidFill>
          </w14:textFill>
        </w:rPr>
      </w:pPr>
    </w:p>
    <w:p>
      <w:pPr>
        <w:spacing w:line="360" w:lineRule="auto"/>
        <w:ind w:firstLine="803"/>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40"/>
          <w:szCs w:val="48"/>
          <w:highlight w:val="none"/>
          <w14:textFill>
            <w14:solidFill>
              <w14:schemeClr w14:val="tx1"/>
            </w14:solidFill>
          </w14:textFill>
        </w:rPr>
        <w:t xml:space="preserve">                      项目</w:t>
      </w:r>
    </w:p>
    <w:p>
      <w:pPr>
        <w:spacing w:line="360" w:lineRule="auto"/>
        <w:ind w:firstLine="1040"/>
        <w:rPr>
          <w:rFonts w:ascii="宋体" w:hAnsi="宋体" w:cs="宋体"/>
          <w:b/>
          <w:color w:val="000000" w:themeColor="text1"/>
          <w:sz w:val="52"/>
          <w:szCs w:val="52"/>
          <w:highlight w:val="none"/>
          <w14:textFill>
            <w14:solidFill>
              <w14:schemeClr w14:val="tx1"/>
            </w14:solidFill>
          </w14:textFill>
        </w:rPr>
      </w:pPr>
    </w:p>
    <w:p>
      <w:pPr>
        <w:spacing w:line="360" w:lineRule="auto"/>
        <w:ind w:firstLine="1044"/>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资格性投标文件</w:t>
      </w:r>
    </w:p>
    <w:p>
      <w:pPr>
        <w:pStyle w:val="23"/>
        <w:ind w:firstLine="2891" w:firstLineChars="900"/>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   </w:t>
      </w:r>
    </w:p>
    <w:p>
      <w:pPr>
        <w:spacing w:line="360" w:lineRule="auto"/>
        <w:ind w:firstLine="720"/>
        <w:rPr>
          <w:rFonts w:ascii="宋体" w:hAnsi="宋体" w:cs="宋体"/>
          <w:b/>
          <w:color w:val="000000" w:themeColor="text1"/>
          <w:sz w:val="36"/>
          <w:highlight w:val="none"/>
          <w14:textFill>
            <w14:solidFill>
              <w14:schemeClr w14:val="tx1"/>
            </w14:solidFill>
          </w14:textFill>
        </w:rPr>
      </w:pPr>
    </w:p>
    <w:p>
      <w:pPr>
        <w:spacing w:line="360" w:lineRule="auto"/>
        <w:ind w:firstLine="720"/>
        <w:rPr>
          <w:rFonts w:ascii="宋体" w:hAnsi="宋体" w:cs="宋体"/>
          <w:b/>
          <w:color w:val="000000" w:themeColor="text1"/>
          <w:sz w:val="36"/>
          <w:highlight w:val="none"/>
          <w14:textFill>
            <w14:solidFill>
              <w14:schemeClr w14:val="tx1"/>
            </w14:solidFill>
          </w14:textFill>
        </w:rPr>
      </w:pPr>
    </w:p>
    <w:p>
      <w:pPr>
        <w:spacing w:line="360" w:lineRule="auto"/>
        <w:ind w:firstLine="643"/>
        <w:jc w:val="left"/>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投标人名称：                                 </w:t>
      </w:r>
    </w:p>
    <w:p>
      <w:pPr>
        <w:spacing w:line="360" w:lineRule="auto"/>
        <w:ind w:firstLine="643"/>
        <w:jc w:val="left"/>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采购编号：</w:t>
      </w:r>
    </w:p>
    <w:p>
      <w:pPr>
        <w:spacing w:line="360" w:lineRule="auto"/>
        <w:ind w:firstLine="643"/>
        <w:jc w:val="left"/>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标包号：                                                                     </w:t>
      </w:r>
    </w:p>
    <w:p>
      <w:pPr>
        <w:spacing w:line="360" w:lineRule="auto"/>
        <w:ind w:firstLine="643"/>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日期：</w:t>
      </w: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spacing w:line="360" w:lineRule="auto"/>
        <w:ind w:firstLine="643"/>
        <w:jc w:val="center"/>
        <w:rPr>
          <w:rFonts w:ascii="宋体" w:hAnsi="宋体" w:cs="宋体"/>
          <w:b/>
          <w:color w:val="000000" w:themeColor="text1"/>
          <w:sz w:val="32"/>
          <w:szCs w:val="32"/>
          <w:highlight w:val="none"/>
          <w14:textFill>
            <w14:solidFill>
              <w14:schemeClr w14:val="tx1"/>
            </w14:solidFill>
          </w14:textFill>
        </w:rPr>
      </w:pPr>
      <w:bookmarkStart w:id="222" w:name="_Toc426657570"/>
      <w:bookmarkStart w:id="223" w:name="_Toc8596"/>
      <w:bookmarkStart w:id="224" w:name="_Toc217446082"/>
      <w:r>
        <w:rPr>
          <w:rFonts w:hint="eastAsia" w:ascii="宋体" w:hAnsi="宋体" w:cs="宋体"/>
          <w:b/>
          <w:color w:val="000000" w:themeColor="text1"/>
          <w:sz w:val="32"/>
          <w:szCs w:val="32"/>
          <w:highlight w:val="none"/>
          <w14:textFill>
            <w14:solidFill>
              <w14:schemeClr w14:val="tx1"/>
            </w14:solidFill>
          </w14:textFill>
        </w:rPr>
        <w:t>一、法定代表人/单位负责人身份证明书</w:t>
      </w:r>
    </w:p>
    <w:p>
      <w:pPr>
        <w:widowControl/>
        <w:snapToGrid w:val="0"/>
        <w:spacing w:line="360" w:lineRule="auto"/>
        <w:ind w:firstLine="482"/>
        <w:jc w:val="left"/>
        <w:rPr>
          <w:rFonts w:ascii="宋体" w:hAnsi="宋体" w:cs="宋体"/>
          <w:color w:val="000000" w:themeColor="text1"/>
          <w:sz w:val="24"/>
          <w:highlight w:val="none"/>
          <w14:textFill>
            <w14:solidFill>
              <w14:schemeClr w14:val="tx1"/>
            </w14:solidFill>
          </w14:textFill>
        </w:rPr>
      </w:pPr>
    </w:p>
    <w:p>
      <w:pPr>
        <w:pStyle w:val="2"/>
        <w:spacing w:line="360" w:lineRule="auto"/>
        <w:ind w:firstLine="199" w:firstLineChars="8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XXXXXXXX（采购代理机构名称）：</w:t>
      </w:r>
    </w:p>
    <w:p>
      <w:pPr>
        <w:pStyle w:val="186"/>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本人</w:t>
      </w:r>
      <w:r>
        <w:rPr>
          <w:rFonts w:hint="eastAsia" w:ascii="宋体" w:hAnsi="宋体" w:eastAsia="宋体" w:cs="宋体"/>
          <w:color w:val="000000" w:themeColor="text1"/>
          <w:highlight w:val="none"/>
          <w:u w:val="single"/>
          <w14:textFill>
            <w14:solidFill>
              <w14:schemeClr w14:val="tx1"/>
            </w14:solidFill>
          </w14:textFill>
        </w:rPr>
        <w:t>XXXXXX</w:t>
      </w:r>
      <w:r>
        <w:rPr>
          <w:rFonts w:hint="eastAsia" w:ascii="宋体" w:hAnsi="宋体" w:eastAsia="宋体" w:cs="宋体"/>
          <w:color w:val="000000" w:themeColor="text1"/>
          <w:highlight w:val="none"/>
          <w14:textFill>
            <w14:solidFill>
              <w14:schemeClr w14:val="tx1"/>
            </w14:solidFill>
          </w14:textFill>
        </w:rPr>
        <w:t>（法定责任人姓名）系</w:t>
      </w:r>
      <w:r>
        <w:rPr>
          <w:rFonts w:hint="eastAsia" w:ascii="宋体" w:hAnsi="宋体" w:eastAsia="宋体" w:cs="宋体"/>
          <w:color w:val="000000" w:themeColor="text1"/>
          <w:highlight w:val="none"/>
          <w:u w:val="single"/>
          <w14:textFill>
            <w14:solidFill>
              <w14:schemeClr w14:val="tx1"/>
            </w14:solidFill>
          </w14:textFill>
        </w:rPr>
        <w:t>XXXXXXXXX</w:t>
      </w:r>
      <w:r>
        <w:rPr>
          <w:rFonts w:hint="eastAsia" w:ascii="宋体" w:hAnsi="宋体" w:eastAsia="宋体" w:cs="宋体"/>
          <w:color w:val="000000" w:themeColor="text1"/>
          <w:highlight w:val="none"/>
          <w14:textFill>
            <w14:solidFill>
              <w14:schemeClr w14:val="tx1"/>
            </w14:solidFill>
          </w14:textFill>
        </w:rPr>
        <w:t>（投标人全称）的</w:t>
      </w:r>
      <w:r>
        <w:rPr>
          <w:rFonts w:hint="eastAsia" w:ascii="宋体" w:hAnsi="宋体" w:eastAsia="宋体" w:cs="宋体"/>
          <w:color w:val="000000" w:themeColor="text1"/>
          <w:highlight w:val="none"/>
          <w:u w:val="single"/>
          <w14:textFill>
            <w14:solidFill>
              <w14:schemeClr w14:val="tx1"/>
            </w14:solidFill>
          </w14:textFill>
        </w:rPr>
        <w:t>XXXXXX</w:t>
      </w:r>
      <w:r>
        <w:rPr>
          <w:rFonts w:hint="eastAsia" w:ascii="宋体" w:hAnsi="宋体" w:eastAsia="宋体" w:cs="宋体"/>
          <w:color w:val="000000" w:themeColor="text1"/>
          <w:highlight w:val="none"/>
          <w14:textFill>
            <w14:solidFill>
              <w14:schemeClr w14:val="tx1"/>
            </w14:solidFill>
          </w14:textFill>
        </w:rPr>
        <w:t>（职务：如企业法定代表人/事业单位及非企业专业服务机构负责人/个体工商户经营者或自然人本人等）。</w:t>
      </w:r>
    </w:p>
    <w:p>
      <w:pPr>
        <w:pStyle w:val="186"/>
        <w:ind w:firstLine="480"/>
        <w:rPr>
          <w:rFonts w:ascii="宋体" w:hAnsi="宋体" w:eastAsia="宋体" w:cs="宋体"/>
          <w:color w:val="000000" w:themeColor="text1"/>
          <w:highlight w:val="none"/>
          <w14:textFill>
            <w14:solidFill>
              <w14:schemeClr w14:val="tx1"/>
            </w14:solidFill>
          </w14:textFill>
        </w:rPr>
      </w:pPr>
    </w:p>
    <w:p>
      <w:pPr>
        <w:pStyle w:val="186"/>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特此证明。</w:t>
      </w:r>
    </w:p>
    <w:p>
      <w:pPr>
        <w:pStyle w:val="186"/>
        <w:ind w:firstLine="480"/>
        <w:rPr>
          <w:rFonts w:ascii="宋体" w:hAnsi="宋体" w:eastAsia="宋体" w:cs="宋体"/>
          <w:color w:val="000000" w:themeColor="text1"/>
          <w:highlight w:val="none"/>
          <w14:textFill>
            <w14:solidFill>
              <w14:schemeClr w14:val="tx1"/>
            </w14:solidFill>
          </w14:textFill>
        </w:rPr>
      </w:pPr>
    </w:p>
    <w:p>
      <w:pPr>
        <w:pStyle w:val="186"/>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投标人名称：</w:t>
      </w:r>
      <w:r>
        <w:rPr>
          <w:rFonts w:hint="eastAsia" w:ascii="宋体" w:hAnsi="宋体" w:eastAsia="宋体" w:cs="宋体"/>
          <w:color w:val="000000" w:themeColor="text1"/>
          <w:highlight w:val="none"/>
          <w:u w:val="single"/>
          <w14:textFill>
            <w14:solidFill>
              <w14:schemeClr w14:val="tx1"/>
            </w14:solidFill>
          </w14:textFill>
        </w:rPr>
        <w:t>XXX</w:t>
      </w:r>
      <w:r>
        <w:rPr>
          <w:rFonts w:hint="eastAsia" w:ascii="宋体" w:hAnsi="宋体" w:eastAsia="宋体" w:cs="宋体"/>
          <w:color w:val="000000" w:themeColor="text1"/>
          <w:highlight w:val="none"/>
          <w14:textFill>
            <w14:solidFill>
              <w14:schemeClr w14:val="tx1"/>
            </w14:solidFill>
          </w14:textFill>
        </w:rPr>
        <w:t>（盖单位公章）</w:t>
      </w:r>
    </w:p>
    <w:p>
      <w:pPr>
        <w:pStyle w:val="186"/>
        <w:ind w:firstLine="480"/>
        <w:rPr>
          <w:rFonts w:ascii="宋体" w:hAnsi="宋体" w:eastAsia="宋体" w:cs="宋体"/>
          <w:color w:val="000000" w:themeColor="text1"/>
          <w:highlight w:val="none"/>
          <w14:textFill>
            <w14:solidFill>
              <w14:schemeClr w14:val="tx1"/>
            </w14:solidFill>
          </w14:textFill>
        </w:rPr>
      </w:pPr>
    </w:p>
    <w:p>
      <w:pPr>
        <w:pStyle w:val="186"/>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日期：</w:t>
      </w:r>
      <w:r>
        <w:rPr>
          <w:rFonts w:hint="eastAsia" w:ascii="宋体" w:hAnsi="宋体" w:eastAsia="宋体" w:cs="宋体"/>
          <w:color w:val="000000" w:themeColor="text1"/>
          <w:highlight w:val="none"/>
          <w:u w:val="single"/>
          <w14:textFill>
            <w14:solidFill>
              <w14:schemeClr w14:val="tx1"/>
            </w14:solidFill>
          </w14:textFill>
        </w:rPr>
        <w:t>XXX</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XXX</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u w:val="single"/>
          <w14:textFill>
            <w14:solidFill>
              <w14:schemeClr w14:val="tx1"/>
            </w14:solidFill>
          </w14:textFill>
        </w:rPr>
        <w:t>XXX</w:t>
      </w:r>
      <w:r>
        <w:rPr>
          <w:rFonts w:hint="eastAsia" w:ascii="宋体" w:hAnsi="宋体" w:eastAsia="宋体" w:cs="宋体"/>
          <w:color w:val="000000" w:themeColor="text1"/>
          <w:highlight w:val="none"/>
          <w14:textFill>
            <w14:solidFill>
              <w14:schemeClr w14:val="tx1"/>
            </w14:solidFill>
          </w14:textFill>
        </w:rPr>
        <w:t>日</w:t>
      </w:r>
    </w:p>
    <w:p>
      <w:pPr>
        <w:pStyle w:val="186"/>
        <w:ind w:firstLine="480"/>
        <w:rPr>
          <w:rFonts w:ascii="宋体" w:hAnsi="宋体" w:eastAsia="宋体" w:cs="宋体"/>
          <w:color w:val="000000" w:themeColor="text1"/>
          <w:highlight w:val="none"/>
          <w14:textFill>
            <w14:solidFill>
              <w14:schemeClr w14:val="tx1"/>
            </w14:solidFill>
          </w14:textFill>
        </w:rPr>
      </w:pPr>
    </w:p>
    <w:p>
      <w:pPr>
        <w:spacing w:line="360" w:lineRule="auto"/>
        <w:ind w:firstLine="482"/>
        <w:jc w:val="left"/>
        <w:rPr>
          <w:rFonts w:ascii="宋体" w:hAnsi="宋体" w:cs="宋体"/>
          <w:color w:val="000000" w:themeColor="text1"/>
          <w:sz w:val="24"/>
          <w:highlight w:val="none"/>
          <w14:textFill>
            <w14:solidFill>
              <w14:schemeClr w14:val="tx1"/>
            </w14:solidFill>
          </w14:textFill>
        </w:rPr>
      </w:pPr>
    </w:p>
    <w:p>
      <w:pPr>
        <w:spacing w:line="360" w:lineRule="auto"/>
        <w:ind w:firstLine="482"/>
        <w:jc w:val="left"/>
        <w:rPr>
          <w:rFonts w:ascii="宋体" w:hAnsi="宋体" w:cs="宋体"/>
          <w:color w:val="000000" w:themeColor="text1"/>
          <w:sz w:val="24"/>
          <w:highlight w:val="none"/>
          <w14:textFill>
            <w14:solidFill>
              <w14:schemeClr w14:val="tx1"/>
            </w14:solidFill>
          </w14:textFill>
        </w:rPr>
      </w:pPr>
    </w:p>
    <w:p>
      <w:pPr>
        <w:spacing w:line="360" w:lineRule="auto"/>
        <w:ind w:firstLine="482"/>
        <w:jc w:val="left"/>
        <w:rPr>
          <w:rFonts w:ascii="宋体" w:hAnsi="宋体" w:cs="宋体"/>
          <w:color w:val="000000" w:themeColor="text1"/>
          <w:sz w:val="24"/>
          <w:highlight w:val="none"/>
          <w14:textFill>
            <w14:solidFill>
              <w14:schemeClr w14:val="tx1"/>
            </w14:solidFill>
          </w14:textFill>
        </w:rPr>
      </w:pPr>
    </w:p>
    <w:p>
      <w:pPr>
        <w:spacing w:line="360" w:lineRule="auto"/>
        <w:ind w:firstLine="482"/>
        <w:jc w:val="left"/>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1、附：法定代表人/单位负责人身份证件复印件（均为双面复印）。</w:t>
      </w:r>
    </w:p>
    <w:p>
      <w:pPr>
        <w:pStyle w:val="2"/>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2、投标人为法人单位时提供“法定代表人身份证明书”，投标人为其他组织时提供“单位负责人身份证明书”，投标人为自然人时提供“自然人身份证明材料”。</w:t>
      </w:r>
    </w:p>
    <w:p>
      <w:pPr>
        <w:spacing w:line="360" w:lineRule="auto"/>
        <w:ind w:firstLine="482"/>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r>
        <w:rPr>
          <w:rFonts w:hint="eastAsia" w:ascii="宋体" w:hAnsi="宋体" w:cs="宋体"/>
          <w:b/>
          <w:color w:val="000000" w:themeColor="text1"/>
          <w:sz w:val="32"/>
          <w:szCs w:val="32"/>
          <w:highlight w:val="none"/>
          <w14:textFill>
            <w14:solidFill>
              <w14:schemeClr w14:val="tx1"/>
            </w14:solidFill>
          </w14:textFill>
        </w:rPr>
        <w:t>二、法定代表人/单位负责人授权书</w:t>
      </w:r>
    </w:p>
    <w:p>
      <w:pPr>
        <w:pStyle w:val="2"/>
        <w:spacing w:line="360" w:lineRule="auto"/>
        <w:ind w:firstLine="199" w:firstLineChars="83"/>
        <w:rPr>
          <w:rFonts w:ascii="宋体" w:hAnsi="宋体" w:cs="宋体"/>
          <w:color w:val="000000" w:themeColor="text1"/>
          <w:sz w:val="24"/>
          <w:highlight w:val="none"/>
          <w14:textFill>
            <w14:solidFill>
              <w14:schemeClr w14:val="tx1"/>
            </w14:solidFill>
          </w14:textFill>
        </w:rPr>
      </w:pPr>
    </w:p>
    <w:p>
      <w:pPr>
        <w:pStyle w:val="2"/>
        <w:spacing w:line="360" w:lineRule="auto"/>
        <w:ind w:firstLine="199" w:firstLineChars="8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XXXXXXXX（采购代理机构名称）：</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本授权声明：XXXX XXXX（投标人名称）XXXX（法定代表人/单位负责人姓名、职务）授权XXXX（被授权人姓名、职务）为我方 “XXXXXXXX” 项目（采购编号：XXXX）投标活动的合法代表，以我方名义全权处理该项目有关投标、签订合同以及执行合同等一切事宜。</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特此声明。</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法定代表人/单位负责人（委托人）签字或者加盖个人名章：XXXX。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授权代表（被授权人）签字：XXXX。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投标人名称：XXXX（单位盖章）。</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42"/>
        <w:rPr>
          <w:rFonts w:ascii="宋体" w:hAnsi="宋体" w:cs="宋体"/>
          <w:color w:val="000000" w:themeColor="text1"/>
          <w:sz w:val="22"/>
          <w:szCs w:val="18"/>
          <w:highlight w:val="none"/>
          <w14:textFill>
            <w14:solidFill>
              <w14:schemeClr w14:val="tx1"/>
            </w14:solidFill>
          </w14:textFill>
        </w:rPr>
      </w:pPr>
      <w:r>
        <w:rPr>
          <w:rFonts w:hint="eastAsia" w:ascii="宋体" w:hAnsi="宋体" w:cs="宋体"/>
          <w:color w:val="000000" w:themeColor="text1"/>
          <w:sz w:val="22"/>
          <w:szCs w:val="18"/>
          <w:highlight w:val="none"/>
          <w14:textFill>
            <w14:solidFill>
              <w14:schemeClr w14:val="tx1"/>
            </w14:solidFill>
          </w14:textFill>
        </w:rPr>
        <w:t>注：</w:t>
      </w:r>
    </w:p>
    <w:p>
      <w:pPr>
        <w:pStyle w:val="2"/>
        <w:spacing w:line="360" w:lineRule="auto"/>
        <w:ind w:firstLine="442"/>
        <w:rPr>
          <w:rFonts w:ascii="宋体" w:hAnsi="宋体" w:cs="宋体"/>
          <w:color w:val="000000" w:themeColor="text1"/>
          <w:sz w:val="22"/>
          <w:szCs w:val="18"/>
          <w:highlight w:val="none"/>
          <w14:textFill>
            <w14:solidFill>
              <w14:schemeClr w14:val="tx1"/>
            </w14:solidFill>
          </w14:textFill>
        </w:rPr>
      </w:pPr>
      <w:r>
        <w:rPr>
          <w:rFonts w:hint="eastAsia" w:ascii="宋体" w:hAnsi="宋体" w:cs="宋体"/>
          <w:color w:val="000000" w:themeColor="text1"/>
          <w:sz w:val="22"/>
          <w:szCs w:val="18"/>
          <w:highlight w:val="none"/>
          <w14:textFill>
            <w14:solidFill>
              <w14:schemeClr w14:val="tx1"/>
            </w14:solidFill>
          </w14:textFill>
        </w:rPr>
        <w:t>1、投标人为法人单位时提供“法定代表人授权书”，投标人为其他组织时提供“单位负责人授权书”，投标人为自然人时提供“自然人身份证明材料”。</w:t>
      </w:r>
    </w:p>
    <w:p>
      <w:pPr>
        <w:pStyle w:val="2"/>
        <w:spacing w:line="360" w:lineRule="auto"/>
        <w:ind w:firstLine="442"/>
        <w:rPr>
          <w:rFonts w:ascii="宋体" w:hAnsi="宋体" w:cs="宋体"/>
          <w:color w:val="000000" w:themeColor="text1"/>
          <w:sz w:val="22"/>
          <w:szCs w:val="18"/>
          <w:highlight w:val="none"/>
          <w14:textFill>
            <w14:solidFill>
              <w14:schemeClr w14:val="tx1"/>
            </w14:solidFill>
          </w14:textFill>
        </w:rPr>
      </w:pPr>
      <w:r>
        <w:rPr>
          <w:rFonts w:hint="eastAsia" w:ascii="宋体" w:hAnsi="宋体" w:cs="宋体"/>
          <w:color w:val="000000" w:themeColor="text1"/>
          <w:sz w:val="22"/>
          <w:szCs w:val="18"/>
          <w:highlight w:val="none"/>
          <w14:textFill>
            <w14:solidFill>
              <w14:schemeClr w14:val="tx1"/>
            </w14:solidFill>
          </w14:textFill>
        </w:rPr>
        <w:t>2、应附法定代表人/单位负责人身份证明材料复印件和授权代表身份证明材料复印件。</w:t>
      </w:r>
    </w:p>
    <w:p>
      <w:pPr>
        <w:pStyle w:val="2"/>
        <w:spacing w:line="360" w:lineRule="auto"/>
        <w:ind w:firstLine="442"/>
        <w:rPr>
          <w:rFonts w:ascii="宋体" w:hAnsi="宋体" w:cs="宋体"/>
          <w:color w:val="000000" w:themeColor="text1"/>
          <w:sz w:val="22"/>
          <w:szCs w:val="18"/>
          <w:highlight w:val="none"/>
          <w14:textFill>
            <w14:solidFill>
              <w14:schemeClr w14:val="tx1"/>
            </w14:solidFill>
          </w14:textFill>
        </w:rPr>
      </w:pPr>
      <w:r>
        <w:rPr>
          <w:rFonts w:hint="eastAsia" w:ascii="宋体" w:hAnsi="宋体" w:cs="宋体"/>
          <w:color w:val="000000" w:themeColor="text1"/>
          <w:sz w:val="22"/>
          <w:szCs w:val="18"/>
          <w:highlight w:val="none"/>
          <w14:textFill>
            <w14:solidFill>
              <w14:schemeClr w14:val="tx1"/>
            </w14:solidFill>
          </w14:textFill>
        </w:rPr>
        <w:t>3、身份证明材料包括居民身份证或户口本或军官证或护照等。</w:t>
      </w:r>
    </w:p>
    <w:p>
      <w:pPr>
        <w:pStyle w:val="2"/>
        <w:spacing w:line="360" w:lineRule="auto"/>
        <w:ind w:firstLine="44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2"/>
          <w:szCs w:val="18"/>
          <w:highlight w:val="none"/>
          <w14:textFill>
            <w14:solidFill>
              <w14:schemeClr w14:val="tx1"/>
            </w14:solidFill>
          </w14:textFill>
        </w:rPr>
        <w:t>4、身份证明材料应同时提供其在有效期的材料，如居民身份证正、反面复印件。</w:t>
      </w:r>
    </w:p>
    <w:p>
      <w:pPr>
        <w:spacing w:line="360" w:lineRule="auto"/>
        <w:ind w:firstLine="640"/>
        <w:rPr>
          <w:rFonts w:ascii="宋体" w:hAnsi="宋体" w:cs="宋体"/>
          <w:b/>
          <w:color w:val="000000" w:themeColor="text1"/>
          <w:sz w:val="32"/>
          <w:szCs w:val="32"/>
          <w:highlight w:val="none"/>
          <w14:textFill>
            <w14:solidFill>
              <w14:schemeClr w14:val="tx1"/>
            </w14:solidFill>
          </w14:textFill>
        </w:rPr>
      </w:pPr>
    </w:p>
    <w:p>
      <w:pPr>
        <w:pStyle w:val="186"/>
        <w:ind w:firstLine="44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【说明】</w:t>
      </w:r>
    </w:p>
    <w:p>
      <w:pPr>
        <w:pStyle w:val="186"/>
        <w:ind w:firstLine="44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“法定代表人/单位负责人身份证明书”与“法定代表人/单位负责人授权委托书”由投标人按以下规则选择其一填报：</w:t>
      </w:r>
    </w:p>
    <w:p>
      <w:pPr>
        <w:pStyle w:val="186"/>
        <w:ind w:firstLine="44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1、法定代表人/单位负责人参与投标时，请填报“法定代表人/单位负责人身份证明书”；</w:t>
      </w:r>
    </w:p>
    <w:p>
      <w:pPr>
        <w:pStyle w:val="186"/>
        <w:ind w:firstLine="440"/>
        <w:rPr>
          <w:rFonts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2、法定代表人/单位负责人委托他人参与投标时，请填报“法定代表人/单位负责人授权委托书”。</w:t>
      </w:r>
    </w:p>
    <w:p>
      <w:pPr>
        <w:pStyle w:val="23"/>
        <w:rPr>
          <w:rFonts w:ascii="宋体" w:hAnsi="宋体" w:cs="宋体"/>
          <w:color w:val="000000" w:themeColor="text1"/>
          <w:highlight w:val="none"/>
          <w14:textFill>
            <w14:solidFill>
              <w14:schemeClr w14:val="tx1"/>
            </w14:solidFill>
          </w14:textFill>
        </w:rPr>
      </w:pPr>
    </w:p>
    <w:p>
      <w:pPr>
        <w:spacing w:line="360" w:lineRule="auto"/>
        <w:ind w:firstLine="643"/>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r>
      <w:r>
        <w:rPr>
          <w:rFonts w:hint="eastAsia" w:ascii="宋体" w:hAnsi="宋体" w:cs="宋体"/>
          <w:b/>
          <w:color w:val="000000" w:themeColor="text1"/>
          <w:sz w:val="32"/>
          <w:szCs w:val="32"/>
          <w:highlight w:val="none"/>
          <w14:textFill>
            <w14:solidFill>
              <w14:schemeClr w14:val="tx1"/>
            </w14:solidFill>
          </w14:textFill>
        </w:rPr>
        <w:t>三、承诺函</w:t>
      </w:r>
    </w:p>
    <w:p>
      <w:pPr>
        <w:pStyle w:val="2"/>
        <w:spacing w:line="360" w:lineRule="auto"/>
        <w:ind w:firstLine="199" w:firstLineChars="83"/>
        <w:rPr>
          <w:rFonts w:ascii="宋体" w:hAnsi="宋体" w:cs="宋体"/>
          <w:color w:val="000000" w:themeColor="text1"/>
          <w:sz w:val="24"/>
          <w:highlight w:val="none"/>
          <w14:textFill>
            <w14:solidFill>
              <w14:schemeClr w14:val="tx1"/>
            </w14:solidFill>
          </w14:textFill>
        </w:rPr>
      </w:pPr>
    </w:p>
    <w:p>
      <w:pPr>
        <w:pStyle w:val="2"/>
        <w:spacing w:line="360" w:lineRule="auto"/>
        <w:ind w:firstLine="199" w:firstLineChars="8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XXXX（采购代理机构名称）：</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我单位作为本次采购项目的投标人，根据招标文件要求，现郑重承诺如下：</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一、具备《中华人民共和国政府采购法》第二十二条第一款和本项目规定的条件：</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（一）具有独立承担民事责任的能力；</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（二）具有良好的商业信誉和健全的财务会计制度；</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（三）具有履行合同所必需的设备和专业技术能力；</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（四）有依法缴纳税收和社会保障资金的良好记录；</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（五）参加政府采购活动前三年内，在经营活动中没有重大违法记录；</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（六）法律、行政法规规定的其他条件；</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（七）参加本次招标采购活动，不存在与单位负责人为同一人或者存在直接控股、管理关系的其他投标人参与同一合同项下的政府采购活动的行为。</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（八）参加本次招标采购活动，未为采购项目提供整体设计、规范编制或者项目管理、监理、检测等服务。</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（九）参加本次招标采购活动，不存在和其他投标人在同一合同项下的采购项目中，同时委托同一个自然人、同一家庭的人员、同一单位的人员作为代理人的行为。</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（十）未被列入失信被执行人、重大税收违法案件当事人名单、政府采购严重违法失信行为记录名单。</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本单位对上述承诺的内容事项真实性负责。如经查实上述承诺的内容事项存在虚假，我单位愿意接受以提供虚假材料谋取中标追究法律责任。</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投标人名称：XXXX（单位公章）。</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法定代表人/单位负责人或授权代表（签字或加盖个人名章）：XXXX。</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期：XXXX。</w:t>
      </w:r>
    </w:p>
    <w:p>
      <w:pPr>
        <w:spacing w:line="360" w:lineRule="auto"/>
        <w:ind w:firstLine="643" w:firstLineChars="200"/>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r>
      <w:r>
        <w:rPr>
          <w:rFonts w:hint="eastAsia" w:ascii="宋体" w:hAnsi="宋体" w:cs="宋体"/>
          <w:b/>
          <w:color w:val="000000" w:themeColor="text1"/>
          <w:sz w:val="32"/>
          <w:szCs w:val="32"/>
          <w:highlight w:val="none"/>
          <w14:textFill>
            <w14:solidFill>
              <w14:schemeClr w14:val="tx1"/>
            </w14:solidFill>
          </w14:textFill>
        </w:rPr>
        <w:t>四、投标人及其现任法定代表人和主要负责人不得具有行贿犯罪记录的承诺函</w:t>
      </w:r>
    </w:p>
    <w:p>
      <w:pPr>
        <w:pStyle w:val="2"/>
        <w:spacing w:line="360" w:lineRule="auto"/>
        <w:ind w:firstLine="199" w:firstLineChars="8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XXXX（采购代理机构名称）：</w:t>
      </w:r>
    </w:p>
    <w:p>
      <w:pPr>
        <w:spacing w:line="360" w:lineRule="auto"/>
        <w:ind w:firstLine="600" w:firstLineChars="2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我公司作为本次采购项目的投标人，根据招标文件的要求，在此郑重承诺：</w:t>
      </w:r>
    </w:p>
    <w:p>
      <w:pPr>
        <w:spacing w:line="360" w:lineRule="auto"/>
        <w:ind w:firstLine="600" w:firstLineChars="2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我公司</w:t>
      </w:r>
      <w:r>
        <w:rPr>
          <w:rFonts w:hint="eastAsia" w:ascii="宋体" w:hAnsi="宋体" w:cs="宋体"/>
          <w:bCs/>
          <w:color w:val="000000" w:themeColor="text1"/>
          <w:sz w:val="24"/>
          <w:highlight w:val="none"/>
          <w:u w:val="single"/>
          <w14:textFill>
            <w14:solidFill>
              <w14:schemeClr w14:val="tx1"/>
            </w14:solidFill>
          </w14:textFill>
        </w:rPr>
        <w:t xml:space="preserve">   （公司名称）      </w:t>
      </w:r>
      <w:r>
        <w:rPr>
          <w:rFonts w:hint="eastAsia" w:ascii="宋体" w:hAnsi="宋体" w:cs="宋体"/>
          <w:bCs/>
          <w:color w:val="000000" w:themeColor="text1"/>
          <w:sz w:val="24"/>
          <w:highlight w:val="none"/>
          <w14:textFill>
            <w14:solidFill>
              <w14:schemeClr w14:val="tx1"/>
            </w14:solidFill>
          </w14:textFill>
        </w:rPr>
        <w:t>及我公司现任法定代表人</w:t>
      </w:r>
      <w:r>
        <w:rPr>
          <w:rFonts w:hint="eastAsia" w:ascii="宋体" w:hAnsi="宋体" w:cs="宋体"/>
          <w:bCs/>
          <w:color w:val="000000" w:themeColor="text1"/>
          <w:sz w:val="24"/>
          <w:highlight w:val="none"/>
          <w:u w:val="single"/>
          <w14:textFill>
            <w14:solidFill>
              <w14:schemeClr w14:val="tx1"/>
            </w14:solidFill>
          </w14:textFill>
        </w:rPr>
        <w:t xml:space="preserve">    （姓名）    </w:t>
      </w:r>
      <w:r>
        <w:rPr>
          <w:rFonts w:hint="eastAsia" w:ascii="宋体" w:hAnsi="宋体" w:cs="宋体"/>
          <w:bCs/>
          <w:color w:val="000000" w:themeColor="text1"/>
          <w:sz w:val="24"/>
          <w:highlight w:val="none"/>
          <w14:textFill>
            <w14:solidFill>
              <w14:schemeClr w14:val="tx1"/>
            </w14:solidFill>
          </w14:textFill>
        </w:rPr>
        <w:t>和主要负责人</w:t>
      </w:r>
      <w:r>
        <w:rPr>
          <w:rFonts w:hint="eastAsia" w:ascii="宋体" w:hAnsi="宋体" w:cs="宋体"/>
          <w:bCs/>
          <w:color w:val="000000" w:themeColor="text1"/>
          <w:sz w:val="24"/>
          <w:highlight w:val="none"/>
          <w:u w:val="single"/>
          <w14:textFill>
            <w14:solidFill>
              <w14:schemeClr w14:val="tx1"/>
            </w14:solidFill>
          </w14:textFill>
        </w:rPr>
        <w:t xml:space="preserve">    （姓名）    </w:t>
      </w:r>
      <w:r>
        <w:rPr>
          <w:rFonts w:hint="eastAsia" w:ascii="宋体" w:hAnsi="宋体" w:cs="宋体"/>
          <w:bCs/>
          <w:color w:val="000000" w:themeColor="text1"/>
          <w:sz w:val="24"/>
          <w:highlight w:val="none"/>
          <w14:textFill>
            <w14:solidFill>
              <w14:schemeClr w14:val="tx1"/>
            </w14:solidFill>
          </w14:textFill>
        </w:rPr>
        <w:t>不具有行贿犯罪记录。</w:t>
      </w:r>
    </w:p>
    <w:p>
      <w:pPr>
        <w:spacing w:line="360" w:lineRule="auto"/>
        <w:ind w:firstLine="482"/>
        <w:rPr>
          <w:rFonts w:ascii="宋体" w:hAnsi="宋体" w:cs="宋体"/>
          <w:bCs/>
          <w:color w:val="000000" w:themeColor="text1"/>
          <w:sz w:val="24"/>
          <w:highlight w:val="none"/>
          <w14:textFill>
            <w14:solidFill>
              <w14:schemeClr w14:val="tx1"/>
            </w14:solidFill>
          </w14:textFill>
        </w:rPr>
      </w:pPr>
    </w:p>
    <w:p>
      <w:pPr>
        <w:spacing w:line="360" w:lineRule="auto"/>
        <w:ind w:firstLine="600" w:firstLineChars="2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如违反以上承诺，本公司愿承担一切法律责任。</w:t>
      </w:r>
    </w:p>
    <w:p>
      <w:pPr>
        <w:spacing w:line="360" w:lineRule="auto"/>
        <w:ind w:firstLine="482"/>
        <w:rPr>
          <w:rFonts w:ascii="宋体" w:hAnsi="宋体" w:cs="宋体"/>
          <w:bCs/>
          <w:color w:val="000000" w:themeColor="text1"/>
          <w:sz w:val="24"/>
          <w:highlight w:val="none"/>
          <w14:textFill>
            <w14:solidFill>
              <w14:schemeClr w14:val="tx1"/>
            </w14:solidFill>
          </w14:textFill>
        </w:rPr>
      </w:pPr>
    </w:p>
    <w:p>
      <w:pPr>
        <w:spacing w:line="360" w:lineRule="auto"/>
        <w:ind w:firstLine="482"/>
        <w:rPr>
          <w:rFonts w:ascii="宋体" w:hAnsi="宋体" w:cs="宋体"/>
          <w:bCs/>
          <w:color w:val="000000" w:themeColor="text1"/>
          <w:sz w:val="24"/>
          <w:highlight w:val="none"/>
          <w14:textFill>
            <w14:solidFill>
              <w14:schemeClr w14:val="tx1"/>
            </w14:solidFill>
          </w14:textFill>
        </w:rPr>
      </w:pPr>
    </w:p>
    <w:p>
      <w:pPr>
        <w:spacing w:line="360" w:lineRule="auto"/>
        <w:ind w:firstLine="482"/>
        <w:rPr>
          <w:rFonts w:ascii="宋体" w:hAnsi="宋体" w:cs="宋体"/>
          <w:bCs/>
          <w:color w:val="000000" w:themeColor="text1"/>
          <w:sz w:val="24"/>
          <w:highlight w:val="none"/>
          <w14:textFill>
            <w14:solidFill>
              <w14:schemeClr w14:val="tx1"/>
            </w14:solidFill>
          </w14:textFill>
        </w:rPr>
      </w:pPr>
    </w:p>
    <w:p>
      <w:pPr>
        <w:pStyle w:val="2"/>
        <w:spacing w:line="360" w:lineRule="auto"/>
        <w:ind w:firstLine="48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投标人名称：XXXX（单位公章）。</w:t>
      </w:r>
    </w:p>
    <w:p>
      <w:pPr>
        <w:pStyle w:val="2"/>
        <w:spacing w:line="360" w:lineRule="auto"/>
        <w:ind w:firstLine="48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法定代表人/单位负责人或授权代表（签字或加盖个人名章）：XXXX。</w:t>
      </w:r>
    </w:p>
    <w:p>
      <w:pPr>
        <w:pStyle w:val="2"/>
        <w:spacing w:line="360" w:lineRule="auto"/>
        <w:ind w:firstLine="48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期：XXXX。</w:t>
      </w: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spacing w:line="360" w:lineRule="auto"/>
        <w:ind w:firstLine="643"/>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r>
      <w:r>
        <w:rPr>
          <w:rFonts w:hint="eastAsia" w:ascii="宋体" w:hAnsi="宋体" w:cs="宋体"/>
          <w:b/>
          <w:color w:val="000000" w:themeColor="text1"/>
          <w:sz w:val="32"/>
          <w:szCs w:val="32"/>
          <w:highlight w:val="none"/>
          <w14:textFill>
            <w14:solidFill>
              <w14:schemeClr w14:val="tx1"/>
            </w14:solidFill>
          </w14:textFill>
        </w:rPr>
        <w:t>五、参加政府采购活动前三年内，在经营活动中无重大违法记录的承诺函</w:t>
      </w:r>
    </w:p>
    <w:p>
      <w:pPr>
        <w:pStyle w:val="2"/>
        <w:spacing w:line="360" w:lineRule="auto"/>
        <w:ind w:firstLine="199" w:firstLineChars="8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XXXX（采购代理机构名称）：</w:t>
      </w:r>
    </w:p>
    <w:p>
      <w:pPr>
        <w:spacing w:line="360" w:lineRule="auto"/>
        <w:ind w:firstLine="600" w:firstLineChars="2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我公司作为本次采购项目的投标人，根据招标文件的要求，在此郑重承诺：</w:t>
      </w:r>
    </w:p>
    <w:p>
      <w:pPr>
        <w:spacing w:line="360" w:lineRule="auto"/>
        <w:ind w:firstLine="600" w:firstLineChars="2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我公司参加政府采购活动前三年内（成立不足三年的，从成立之日起算），在经营活动中无重大违法记录。（指因违法经营受到刑事处罚或责令停产停业、吊销许可证或者执照、较大数额罚款等行政处罚）</w:t>
      </w:r>
    </w:p>
    <w:p>
      <w:pPr>
        <w:pStyle w:val="23"/>
        <w:spacing w:line="360" w:lineRule="auto"/>
        <w:rPr>
          <w:rFonts w:ascii="宋体" w:hAnsi="宋体" w:cs="宋体"/>
          <w:color w:val="000000" w:themeColor="text1"/>
          <w:highlight w:val="none"/>
          <w14:textFill>
            <w14:solidFill>
              <w14:schemeClr w14:val="tx1"/>
            </w14:solidFill>
          </w14:textFill>
        </w:rPr>
      </w:pPr>
    </w:p>
    <w:p>
      <w:pPr>
        <w:spacing w:line="360" w:lineRule="auto"/>
        <w:ind w:firstLine="482"/>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如违反以上承诺，本公司愿承担一切法律责任。</w:t>
      </w:r>
    </w:p>
    <w:p>
      <w:pPr>
        <w:spacing w:line="360" w:lineRule="auto"/>
        <w:ind w:firstLine="482"/>
        <w:rPr>
          <w:rFonts w:ascii="宋体" w:hAnsi="宋体" w:cs="宋体"/>
          <w:bCs/>
          <w:color w:val="000000" w:themeColor="text1"/>
          <w:sz w:val="24"/>
          <w:highlight w:val="none"/>
          <w14:textFill>
            <w14:solidFill>
              <w14:schemeClr w14:val="tx1"/>
            </w14:solidFill>
          </w14:textFill>
        </w:rPr>
      </w:pPr>
    </w:p>
    <w:p>
      <w:pPr>
        <w:spacing w:line="360" w:lineRule="auto"/>
        <w:ind w:firstLine="482"/>
        <w:rPr>
          <w:rFonts w:ascii="宋体" w:hAnsi="宋体" w:cs="宋体"/>
          <w:bCs/>
          <w:color w:val="000000" w:themeColor="text1"/>
          <w:sz w:val="24"/>
          <w:highlight w:val="none"/>
          <w14:textFill>
            <w14:solidFill>
              <w14:schemeClr w14:val="tx1"/>
            </w14:solidFill>
          </w14:textFill>
        </w:rPr>
      </w:pPr>
    </w:p>
    <w:p>
      <w:pPr>
        <w:pStyle w:val="2"/>
        <w:spacing w:line="360" w:lineRule="auto"/>
        <w:ind w:firstLine="48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投标人名称：XXXX（单位公章）。</w:t>
      </w:r>
    </w:p>
    <w:p>
      <w:pPr>
        <w:pStyle w:val="2"/>
        <w:spacing w:line="360" w:lineRule="auto"/>
        <w:ind w:firstLine="48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法定代表人/单位负责人或授权代表（签字或加盖个人名章）：XXXX。</w:t>
      </w:r>
    </w:p>
    <w:p>
      <w:pPr>
        <w:pStyle w:val="2"/>
        <w:spacing w:line="360" w:lineRule="auto"/>
        <w:ind w:firstLine="48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期：XXXX。</w:t>
      </w: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spacing w:after="194" w:afterLines="81" w:line="360" w:lineRule="auto"/>
        <w:ind w:firstLine="643"/>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r>
      <w:r>
        <w:rPr>
          <w:rFonts w:hint="eastAsia" w:ascii="宋体" w:hAnsi="宋体" w:cs="宋体"/>
          <w:b/>
          <w:color w:val="000000" w:themeColor="text1"/>
          <w:sz w:val="32"/>
          <w:szCs w:val="32"/>
          <w:highlight w:val="none"/>
          <w14:textFill>
            <w14:solidFill>
              <w14:schemeClr w14:val="tx1"/>
            </w14:solidFill>
          </w14:textFill>
        </w:rPr>
        <w:t>六、知识产权承诺函</w:t>
      </w: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我单位现就招标文件中，关于“知识产权”规定作出如下承诺：</w:t>
      </w: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我单位保证在本项目使用的任何产品和服务（包括部分使用）时，不会产生因第三方提出侵犯其专利权、商标权或其它知识产权而引起的法律和经济纠纷，如因专利权、商标权或其它知识产权而引起法律和经济纠纷，由我单位承担所有相关责任。</w:t>
      </w: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2、采购人享有本项目实施过程中产生的知识成果及知识产权。</w:t>
      </w: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3、我单位在本项目实施过程中</w:t>
      </w:r>
      <w:r>
        <w:rPr>
          <w:rFonts w:hint="eastAsia" w:ascii="宋体" w:hAnsi="宋体" w:cs="宋体"/>
          <w:bCs/>
          <w:color w:val="000000" w:themeColor="text1"/>
          <w:sz w:val="24"/>
          <w:highlight w:val="none"/>
          <w14:textFill>
            <w14:solidFill>
              <w14:schemeClr w14:val="tx1"/>
            </w14:solidFill>
          </w14:textFill>
        </w:rPr>
        <w:t>没有</w:t>
      </w:r>
      <w:r>
        <w:rPr>
          <w:rFonts w:hint="eastAsia" w:ascii="宋体" w:hAnsi="宋体" w:cs="宋体"/>
          <w:color w:val="000000" w:themeColor="text1"/>
          <w:sz w:val="24"/>
          <w:highlight w:val="none"/>
          <w14:textFill>
            <w14:solidFill>
              <w14:schemeClr w14:val="tx1"/>
            </w14:solidFill>
          </w14:textFill>
        </w:rPr>
        <w:t>采用自有知识成果。</w:t>
      </w: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4、如采用的知识产权不是我单位所拥有的，则我单位投标报价已经包括合法获取该知识产权的相关费用。</w:t>
      </w: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特此承诺。</w:t>
      </w: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投标人名称：（盖章）</w:t>
      </w: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法定代表人或授权代表（签字或加盖个人名章）：</w:t>
      </w: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p>
    <w:p>
      <w:pPr>
        <w:widowControl/>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    年  月  日</w:t>
      </w:r>
    </w:p>
    <w:p>
      <w:pPr>
        <w:spacing w:line="360" w:lineRule="auto"/>
        <w:ind w:firstLine="590" w:firstLineChars="246"/>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p>
    <w:p>
      <w:pPr>
        <w:spacing w:line="360" w:lineRule="auto"/>
        <w:ind w:firstLine="790" w:firstLineChars="246"/>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七、投标人和投标产品其他资格、资质性及其他类似效力要求的相关证明材料</w:t>
      </w:r>
    </w:p>
    <w:p>
      <w:pPr>
        <w:spacing w:line="360" w:lineRule="auto"/>
        <w:ind w:firstLine="790" w:firstLineChars="246"/>
        <w:jc w:val="center"/>
        <w:rPr>
          <w:rFonts w:ascii="宋体" w:hAnsi="宋体" w:cs="宋体"/>
          <w:b/>
          <w:color w:val="000000" w:themeColor="text1"/>
          <w:sz w:val="32"/>
          <w:szCs w:val="32"/>
          <w:highlight w:val="none"/>
          <w14:textFill>
            <w14:solidFill>
              <w14:schemeClr w14:val="tx1"/>
            </w14:solidFill>
          </w14:textFill>
        </w:rPr>
      </w:pPr>
    </w:p>
    <w:p>
      <w:pPr>
        <w:spacing w:line="360" w:lineRule="auto"/>
        <w:ind w:firstLine="482"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注：投标人应按招标文件第五章相关要求提供佐证材料，有格式要求的从其要求，无格式要求的格式自拟。</w:t>
      </w: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pPr>
        <w:ind w:firstLine="482"/>
        <w:rPr>
          <w:rFonts w:ascii="宋体" w:hAnsi="宋体" w:cs="宋体"/>
          <w:color w:val="000000" w:themeColor="text1"/>
          <w:highlight w:val="none"/>
          <w14:textFill>
            <w14:solidFill>
              <w14:schemeClr w14:val="tx1"/>
            </w14:solidFill>
          </w14:textFill>
        </w:rPr>
      </w:pPr>
    </w:p>
    <w:p>
      <w:pPr>
        <w:tabs>
          <w:tab w:val="left" w:pos="900"/>
        </w:tabs>
        <w:spacing w:line="360" w:lineRule="auto"/>
        <w:ind w:firstLine="643"/>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第二部分     “其他响应性投标文件”格式</w:t>
      </w:r>
    </w:p>
    <w:p>
      <w:pPr>
        <w:spacing w:line="360" w:lineRule="auto"/>
        <w:ind w:firstLine="640"/>
        <w:rPr>
          <w:rFonts w:ascii="宋体" w:hAnsi="宋体" w:cs="宋体"/>
          <w:b/>
          <w:color w:val="000000" w:themeColor="text1"/>
          <w:sz w:val="32"/>
          <w:szCs w:val="32"/>
          <w:highlight w:val="none"/>
          <w14:textFill>
            <w14:solidFill>
              <w14:schemeClr w14:val="tx1"/>
            </w14:solidFill>
          </w14:textFill>
        </w:rPr>
      </w:pPr>
    </w:p>
    <w:p>
      <w:pPr>
        <w:spacing w:line="360" w:lineRule="auto"/>
        <w:ind w:firstLine="643"/>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封面：</w:t>
      </w:r>
    </w:p>
    <w:p>
      <w:pPr>
        <w:spacing w:line="360" w:lineRule="auto"/>
        <w:ind w:firstLine="723"/>
        <w:jc w:val="right"/>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（正本/副本）</w:t>
      </w:r>
    </w:p>
    <w:p>
      <w:pPr>
        <w:spacing w:line="360" w:lineRule="auto"/>
        <w:ind w:firstLine="640"/>
        <w:rPr>
          <w:rFonts w:ascii="宋体" w:hAnsi="宋体" w:cs="宋体"/>
          <w:b/>
          <w:color w:val="000000" w:themeColor="text1"/>
          <w:sz w:val="32"/>
          <w:szCs w:val="32"/>
          <w:highlight w:val="none"/>
          <w14:textFill>
            <w14:solidFill>
              <w14:schemeClr w14:val="tx1"/>
            </w14:solidFill>
          </w14:textFill>
        </w:rPr>
      </w:pPr>
    </w:p>
    <w:p>
      <w:pPr>
        <w:spacing w:line="360" w:lineRule="auto"/>
        <w:ind w:firstLine="640"/>
        <w:rPr>
          <w:rFonts w:ascii="宋体" w:hAnsi="宋体" w:cs="宋体"/>
          <w:b/>
          <w:color w:val="000000" w:themeColor="text1"/>
          <w:sz w:val="32"/>
          <w:szCs w:val="32"/>
          <w:highlight w:val="none"/>
          <w14:textFill>
            <w14:solidFill>
              <w14:schemeClr w14:val="tx1"/>
            </w14:solidFill>
          </w14:textFill>
        </w:rPr>
      </w:pPr>
    </w:p>
    <w:p>
      <w:pPr>
        <w:spacing w:line="360" w:lineRule="auto"/>
        <w:ind w:firstLine="803"/>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40"/>
          <w:szCs w:val="48"/>
          <w:highlight w:val="none"/>
          <w14:textFill>
            <w14:solidFill>
              <w14:schemeClr w14:val="tx1"/>
            </w14:solidFill>
          </w14:textFill>
        </w:rPr>
        <w:t xml:space="preserve">                      项目</w:t>
      </w:r>
    </w:p>
    <w:p>
      <w:pPr>
        <w:spacing w:line="360" w:lineRule="auto"/>
        <w:ind w:firstLine="1040"/>
        <w:rPr>
          <w:rFonts w:ascii="宋体" w:hAnsi="宋体" w:cs="宋体"/>
          <w:b/>
          <w:color w:val="000000" w:themeColor="text1"/>
          <w:sz w:val="52"/>
          <w:szCs w:val="52"/>
          <w:highlight w:val="none"/>
          <w14:textFill>
            <w14:solidFill>
              <w14:schemeClr w14:val="tx1"/>
            </w14:solidFill>
          </w14:textFill>
        </w:rPr>
      </w:pPr>
    </w:p>
    <w:p>
      <w:pPr>
        <w:spacing w:line="360" w:lineRule="auto"/>
        <w:ind w:firstLine="1044"/>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其他响应性投标文件</w:t>
      </w:r>
    </w:p>
    <w:p>
      <w:pPr>
        <w:pStyle w:val="23"/>
        <w:ind w:firstLine="2891" w:firstLineChars="900"/>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     </w:t>
      </w:r>
    </w:p>
    <w:p>
      <w:pPr>
        <w:spacing w:line="360" w:lineRule="auto"/>
        <w:ind w:firstLine="720"/>
        <w:rPr>
          <w:rFonts w:ascii="宋体" w:hAnsi="宋体" w:cs="宋体"/>
          <w:b/>
          <w:color w:val="000000" w:themeColor="text1"/>
          <w:sz w:val="36"/>
          <w:highlight w:val="none"/>
          <w14:textFill>
            <w14:solidFill>
              <w14:schemeClr w14:val="tx1"/>
            </w14:solidFill>
          </w14:textFill>
        </w:rPr>
      </w:pPr>
    </w:p>
    <w:p>
      <w:pPr>
        <w:spacing w:line="360" w:lineRule="auto"/>
        <w:ind w:firstLine="720"/>
        <w:rPr>
          <w:rFonts w:ascii="宋体" w:hAnsi="宋体" w:cs="宋体"/>
          <w:b/>
          <w:color w:val="000000" w:themeColor="text1"/>
          <w:sz w:val="36"/>
          <w:highlight w:val="none"/>
          <w14:textFill>
            <w14:solidFill>
              <w14:schemeClr w14:val="tx1"/>
            </w14:solidFill>
          </w14:textFill>
        </w:rPr>
      </w:pPr>
    </w:p>
    <w:p>
      <w:pPr>
        <w:spacing w:line="360" w:lineRule="auto"/>
        <w:ind w:firstLine="643"/>
        <w:jc w:val="left"/>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投标人名称：                                 </w:t>
      </w:r>
    </w:p>
    <w:p>
      <w:pPr>
        <w:spacing w:line="360" w:lineRule="auto"/>
        <w:ind w:firstLine="643"/>
        <w:jc w:val="left"/>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采购编号： </w:t>
      </w:r>
    </w:p>
    <w:p>
      <w:pPr>
        <w:spacing w:line="360" w:lineRule="auto"/>
        <w:ind w:firstLine="643"/>
        <w:jc w:val="left"/>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标包号： </w:t>
      </w:r>
    </w:p>
    <w:p>
      <w:pPr>
        <w:spacing w:line="360" w:lineRule="auto"/>
        <w:ind w:firstLine="643"/>
        <w:jc w:val="left"/>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日期：</w:t>
      </w:r>
    </w:p>
    <w:p>
      <w:pPr>
        <w:pStyle w:val="23"/>
        <w:rPr>
          <w:rFonts w:ascii="宋体" w:hAnsi="宋体" w:cs="宋体"/>
          <w:color w:val="000000" w:themeColor="text1"/>
          <w:highlight w:val="none"/>
          <w14:textFill>
            <w14:solidFill>
              <w14:schemeClr w14:val="tx1"/>
            </w14:solidFill>
          </w14:textFill>
        </w:rPr>
      </w:pPr>
    </w:p>
    <w:p>
      <w:pPr>
        <w:ind w:firstLine="640"/>
        <w:rPr>
          <w:rFonts w:ascii="宋体" w:hAnsi="宋体" w:cs="宋体"/>
          <w:b/>
          <w:color w:val="000000" w:themeColor="text1"/>
          <w:sz w:val="32"/>
          <w:highlight w:val="none"/>
          <w14:textFill>
            <w14:solidFill>
              <w14:schemeClr w14:val="tx1"/>
            </w14:solidFill>
          </w14:textFill>
        </w:rPr>
      </w:pPr>
    </w:p>
    <w:p>
      <w:pPr>
        <w:ind w:firstLine="640"/>
        <w:rPr>
          <w:rFonts w:ascii="宋体" w:hAnsi="宋体" w:cs="宋体"/>
          <w:b/>
          <w:color w:val="000000" w:themeColor="text1"/>
          <w:sz w:val="32"/>
          <w:highlight w:val="none"/>
          <w14:textFill>
            <w14:solidFill>
              <w14:schemeClr w14:val="tx1"/>
            </w14:solidFill>
          </w14:textFill>
        </w:rPr>
      </w:pPr>
    </w:p>
    <w:p>
      <w:pPr>
        <w:ind w:firstLine="640"/>
        <w:rPr>
          <w:rFonts w:ascii="宋体" w:hAnsi="宋体" w:cs="宋体"/>
          <w:b/>
          <w:color w:val="000000" w:themeColor="text1"/>
          <w:sz w:val="32"/>
          <w:highlight w:val="none"/>
          <w14:textFill>
            <w14:solidFill>
              <w14:schemeClr w14:val="tx1"/>
            </w14:solidFill>
          </w14:textFill>
        </w:rPr>
      </w:pPr>
    </w:p>
    <w:p>
      <w:pPr>
        <w:ind w:firstLine="640"/>
        <w:rPr>
          <w:rFonts w:ascii="宋体" w:hAnsi="宋体" w:cs="宋体"/>
          <w:b/>
          <w:color w:val="000000" w:themeColor="text1"/>
          <w:sz w:val="32"/>
          <w:highlight w:val="none"/>
          <w14:textFill>
            <w14:solidFill>
              <w14:schemeClr w14:val="tx1"/>
            </w14:solidFill>
          </w14:textFill>
        </w:rPr>
      </w:pPr>
    </w:p>
    <w:bookmarkEnd w:id="222"/>
    <w:bookmarkEnd w:id="223"/>
    <w:bookmarkEnd w:id="224"/>
    <w:p>
      <w:pPr>
        <w:pStyle w:val="4"/>
        <w:spacing w:before="0" w:after="0" w:line="360" w:lineRule="auto"/>
        <w:ind w:firstLine="640"/>
        <w:jc w:val="center"/>
        <w:rPr>
          <w:rFonts w:ascii="宋体" w:hAnsi="宋体" w:eastAsia="宋体" w:cs="宋体"/>
          <w:color w:val="000000" w:themeColor="text1"/>
          <w:sz w:val="24"/>
          <w:highlight w:val="none"/>
          <w14:textFill>
            <w14:solidFill>
              <w14:schemeClr w14:val="tx1"/>
            </w14:solidFill>
          </w14:textFill>
        </w:rPr>
      </w:pPr>
      <w:bookmarkStart w:id="225" w:name="_Toc217446083"/>
      <w:r>
        <w:rPr>
          <w:rFonts w:hint="eastAsia" w:ascii="宋体" w:hAnsi="宋体" w:eastAsia="宋体" w:cs="宋体"/>
          <w:b w:val="0"/>
          <w:color w:val="000000" w:themeColor="text1"/>
          <w:highlight w:val="none"/>
          <w14:textFill>
            <w14:solidFill>
              <w14:schemeClr w14:val="tx1"/>
            </w14:solidFill>
          </w14:textFill>
        </w:rPr>
        <w:br w:type="page"/>
      </w:r>
      <w:bookmarkStart w:id="226" w:name="_Toc7358"/>
      <w:r>
        <w:rPr>
          <w:rFonts w:hint="eastAsia" w:ascii="宋体" w:hAnsi="宋体" w:eastAsia="宋体" w:cs="宋体"/>
          <w:color w:val="000000" w:themeColor="text1"/>
          <w:highlight w:val="none"/>
          <w14:textFill>
            <w14:solidFill>
              <w14:schemeClr w14:val="tx1"/>
            </w14:solidFill>
          </w14:textFill>
        </w:rPr>
        <w:t>一、投 标 函</w:t>
      </w:r>
      <w:bookmarkEnd w:id="226"/>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XXXX（采购代理机构名称）：</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我方全面研究了“XXXXXXXX”项目（采购编号：XXXX）招标文件，决定参加贵单位组织的本项目投标。我方授权XXXX（姓名、职务）代表我方XXXXXXXX（投标单位的名称）全权处理本项目投标的有关事宜。</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一、我方自愿按照招标文件规定的各项要求向采购人提供所需货物/服务，投标报价以《开标一览表》为准。</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二、一旦我方中标，我方将严格履行政府采购合同规定的责任和义务。</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三、我方同意本次招标的投标有效期为投标截止时间届满后90天。</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四、我方愿意提供贵单位可能另外要求的，与投标有关的文件资料，并保证我方已提供和将要提供的文件资料是真实、准确的，并对此承担一切法律后果。</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五、我方承诺一旦我公司成为本项目中标人，将按照招标文件的规定缴纳代理服务费。</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投标人名称：XXXX（单位公章）。</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法定代表人/单位负责人或授权代表（签字或加盖个人名章）：XXXX。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通讯地址：XXXX。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邮政编码：XXXX。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    真：XXXX。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期：XXXX年XXXX月XXXX日。</w:t>
      </w:r>
    </w:p>
    <w:p>
      <w:pPr>
        <w:pStyle w:val="34"/>
        <w:spacing w:line="360" w:lineRule="auto"/>
        <w:ind w:left="0" w:firstLine="482"/>
        <w:rPr>
          <w:rFonts w:ascii="宋体" w:hAnsi="宋体" w:cs="宋体"/>
          <w:bCs/>
          <w:color w:val="000000" w:themeColor="text1"/>
          <w:sz w:val="24"/>
          <w:highlight w:val="none"/>
          <w14:textFill>
            <w14:solidFill>
              <w14:schemeClr w14:val="tx1"/>
            </w14:solidFill>
          </w14:textFill>
        </w:rPr>
      </w:pPr>
    </w:p>
    <w:p>
      <w:pPr>
        <w:pStyle w:val="34"/>
        <w:spacing w:line="360" w:lineRule="auto"/>
        <w:ind w:left="0" w:firstLine="482"/>
        <w:rPr>
          <w:rFonts w:ascii="宋体" w:hAnsi="宋体" w:cs="宋体"/>
          <w:bCs/>
          <w:color w:val="000000" w:themeColor="text1"/>
          <w:sz w:val="24"/>
          <w:highlight w:val="none"/>
          <w14:textFill>
            <w14:solidFill>
              <w14:schemeClr w14:val="tx1"/>
            </w14:solidFill>
          </w14:textFill>
        </w:rPr>
      </w:pPr>
    </w:p>
    <w:p>
      <w:pPr>
        <w:pStyle w:val="34"/>
        <w:spacing w:line="360" w:lineRule="auto"/>
        <w:ind w:left="0" w:firstLine="482"/>
        <w:rPr>
          <w:rFonts w:ascii="宋体" w:hAnsi="宋体" w:cs="宋体"/>
          <w:bCs/>
          <w:color w:val="000000" w:themeColor="text1"/>
          <w:sz w:val="24"/>
          <w:highlight w:val="none"/>
          <w14:textFill>
            <w14:solidFill>
              <w14:schemeClr w14:val="tx1"/>
            </w14:solidFill>
          </w14:textFill>
        </w:rPr>
      </w:pPr>
    </w:p>
    <w:bookmarkEnd w:id="225"/>
    <w:p>
      <w:pPr>
        <w:pStyle w:val="4"/>
        <w:spacing w:before="0" w:after="0" w:line="360" w:lineRule="auto"/>
        <w:ind w:firstLine="640"/>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br w:type="page"/>
      </w:r>
      <w:bookmarkStart w:id="227" w:name="_Toc23098"/>
      <w:r>
        <w:rPr>
          <w:rFonts w:hint="eastAsia" w:ascii="宋体" w:hAnsi="宋体" w:eastAsia="宋体" w:cs="宋体"/>
          <w:color w:val="000000" w:themeColor="text1"/>
          <w:highlight w:val="none"/>
          <w14:textFill>
            <w14:solidFill>
              <w14:schemeClr w14:val="tx1"/>
            </w14:solidFill>
          </w14:textFill>
        </w:rPr>
        <w:t>二、承诺函</w:t>
      </w:r>
      <w:bookmarkEnd w:id="227"/>
    </w:p>
    <w:p>
      <w:pPr>
        <w:pStyle w:val="2"/>
        <w:spacing w:line="360" w:lineRule="auto"/>
        <w:ind w:firstLine="199" w:firstLineChars="8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XXXX（采购代理机构名称）：</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我单位作为本次采购项目的投标人，根据招标文件要求，现郑重承诺如下：</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一、完全接受和满足本项目招标文件中规定的实质性要求，如对招标文件有异议，已依法进行维权救济，不存在对招标文件有异议的同时又参加投标以求侥幸中标或者为实现其他非法目的的行为。</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二、投标文件中提供的能够给予我单位带来优惠、好处的任何材料资料和技术、服务、商务、响应产品等响应承诺情况都是真实的、有效的、合法的。</w:t>
      </w:r>
    </w:p>
    <w:p>
      <w:pPr>
        <w:pStyle w:val="2"/>
        <w:spacing w:line="360" w:lineRule="auto"/>
        <w:ind w:firstLine="482"/>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三、如投标产品有属于CCC认证范围而我单位未在投标文件中提供认证证书的，我单位承诺在签订政府采购合同前将CCC认证证书（复印件）提供至采购人处，并保证投标时CCC认证证书在有效期内。</w:t>
      </w:r>
    </w:p>
    <w:p>
      <w:pPr>
        <w:pStyle w:val="2"/>
        <w:spacing w:line="360" w:lineRule="auto"/>
        <w:ind w:firstLine="482"/>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四、本单位承诺给予招标采购单位的各种优惠条件，优惠条件事项中没有包括采购项目本身所包含的采购事项。</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本单位对上述承诺的内容事项真实性负责。如经查实上述承诺的内容事项存在虚假，我单位愿意接受以提供虚假材料谋取中标追究法律责任。</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投标人名称：XXXX（单位公章）。</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法定代表人/单位负责人或授权代表（签字或加盖个人名章）：XXXX。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期：XXXX。</w:t>
      </w:r>
    </w:p>
    <w:p>
      <w:pPr>
        <w:pStyle w:val="4"/>
        <w:spacing w:before="0" w:after="0" w:line="360" w:lineRule="auto"/>
        <w:ind w:firstLine="640"/>
        <w:jc w:val="center"/>
        <w:rPr>
          <w:rFonts w:ascii="宋体" w:hAnsi="宋体" w:eastAsia="宋体" w:cs="宋体"/>
          <w:color w:val="000000" w:themeColor="text1"/>
          <w:sz w:val="24"/>
          <w:szCs w:val="24"/>
          <w:highlight w:val="none"/>
          <w:u w:val="single"/>
          <w14:textFill>
            <w14:solidFill>
              <w14:schemeClr w14:val="tx1"/>
            </w14:solidFill>
          </w14:textFill>
        </w:rPr>
      </w:pPr>
      <w:bookmarkStart w:id="228" w:name="_Toc12762"/>
      <w:bookmarkStart w:id="229" w:name="_Toc426657572"/>
      <w:r>
        <w:rPr>
          <w:rFonts w:hint="eastAsia" w:ascii="宋体" w:hAnsi="宋体" w:eastAsia="宋体" w:cs="宋体"/>
          <w:color w:val="000000" w:themeColor="text1"/>
          <w:highlight w:val="none"/>
          <w14:textFill>
            <w14:solidFill>
              <w14:schemeClr w14:val="tx1"/>
            </w14:solidFill>
          </w14:textFill>
        </w:rPr>
        <w:br w:type="page"/>
      </w:r>
      <w:bookmarkEnd w:id="228"/>
      <w:bookmarkEnd w:id="229"/>
      <w:bookmarkStart w:id="230" w:name="_Toc24140"/>
      <w:bookmarkStart w:id="231" w:name="_Toc217446088"/>
      <w:r>
        <w:rPr>
          <w:rFonts w:hint="eastAsia" w:ascii="宋体" w:hAnsi="宋体" w:eastAsia="宋体" w:cs="宋体"/>
          <w:color w:val="000000" w:themeColor="text1"/>
          <w:highlight w:val="none"/>
          <w14:textFill>
            <w14:solidFill>
              <w14:schemeClr w14:val="tx1"/>
            </w14:solidFill>
          </w14:textFill>
        </w:rPr>
        <w:t>三、开标一览表</w:t>
      </w:r>
      <w:bookmarkEnd w:id="230"/>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tbl>
      <w:tblPr>
        <w:tblStyle w:val="59"/>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2683"/>
        <w:gridCol w:w="1586"/>
        <w:gridCol w:w="1586"/>
        <w:gridCol w:w="1586"/>
        <w:gridCol w:w="1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787" w:type="dxa"/>
            <w:vAlign w:val="center"/>
          </w:tcPr>
          <w:p>
            <w:pPr>
              <w:spacing w:line="400" w:lineRule="exact"/>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序号</w:t>
            </w:r>
          </w:p>
        </w:tc>
        <w:tc>
          <w:tcPr>
            <w:tcW w:w="2683" w:type="dxa"/>
            <w:vAlign w:val="center"/>
          </w:tcPr>
          <w:p>
            <w:pPr>
              <w:spacing w:line="400" w:lineRule="exact"/>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项目名称</w:t>
            </w:r>
          </w:p>
        </w:tc>
        <w:tc>
          <w:tcPr>
            <w:tcW w:w="1586" w:type="dxa"/>
            <w:vAlign w:val="center"/>
          </w:tcPr>
          <w:p>
            <w:pPr>
              <w:spacing w:line="400" w:lineRule="exact"/>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标包号</w:t>
            </w:r>
          </w:p>
        </w:tc>
        <w:tc>
          <w:tcPr>
            <w:tcW w:w="1586" w:type="dxa"/>
            <w:vAlign w:val="center"/>
          </w:tcPr>
          <w:p>
            <w:pPr>
              <w:spacing w:line="400" w:lineRule="exact"/>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投标总价</w:t>
            </w:r>
          </w:p>
          <w:p>
            <w:pPr>
              <w:spacing w:line="400" w:lineRule="exact"/>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（万元）</w:t>
            </w:r>
          </w:p>
        </w:tc>
        <w:tc>
          <w:tcPr>
            <w:tcW w:w="1586" w:type="dxa"/>
            <w:vAlign w:val="center"/>
          </w:tcPr>
          <w:p>
            <w:pPr>
              <w:spacing w:line="400" w:lineRule="exact"/>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交货时间</w:t>
            </w:r>
          </w:p>
        </w:tc>
        <w:tc>
          <w:tcPr>
            <w:tcW w:w="1588" w:type="dxa"/>
            <w:vAlign w:val="center"/>
          </w:tcPr>
          <w:p>
            <w:pPr>
              <w:spacing w:line="400" w:lineRule="exact"/>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787" w:type="dxa"/>
            <w:vAlign w:val="center"/>
          </w:tcPr>
          <w:p>
            <w:pPr>
              <w:spacing w:line="400" w:lineRule="exact"/>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83" w:type="dxa"/>
            <w:vAlign w:val="center"/>
          </w:tcPr>
          <w:p>
            <w:pPr>
              <w:spacing w:line="400" w:lineRule="exact"/>
              <w:ind w:firstLine="482"/>
              <w:jc w:val="left"/>
              <w:rPr>
                <w:rFonts w:ascii="宋体" w:hAnsi="宋体" w:cs="宋体"/>
                <w:color w:val="000000" w:themeColor="text1"/>
                <w:sz w:val="24"/>
                <w:szCs w:val="24"/>
                <w:highlight w:val="none"/>
                <w14:textFill>
                  <w14:solidFill>
                    <w14:schemeClr w14:val="tx1"/>
                  </w14:solidFill>
                </w14:textFill>
              </w:rPr>
            </w:pPr>
          </w:p>
        </w:tc>
        <w:tc>
          <w:tcPr>
            <w:tcW w:w="1586" w:type="dxa"/>
            <w:vAlign w:val="center"/>
          </w:tcPr>
          <w:p>
            <w:pPr>
              <w:spacing w:line="400" w:lineRule="exact"/>
              <w:ind w:firstLine="482"/>
              <w:jc w:val="left"/>
              <w:rPr>
                <w:rFonts w:ascii="宋体" w:hAnsi="宋体" w:cs="宋体"/>
                <w:color w:val="000000" w:themeColor="text1"/>
                <w:sz w:val="24"/>
                <w:szCs w:val="24"/>
                <w:highlight w:val="none"/>
                <w14:textFill>
                  <w14:solidFill>
                    <w14:schemeClr w14:val="tx1"/>
                  </w14:solidFill>
                </w14:textFill>
              </w:rPr>
            </w:pPr>
          </w:p>
        </w:tc>
        <w:tc>
          <w:tcPr>
            <w:tcW w:w="1586" w:type="dxa"/>
            <w:vAlign w:val="center"/>
          </w:tcPr>
          <w:p>
            <w:pPr>
              <w:spacing w:line="400" w:lineRule="exact"/>
              <w:ind w:firstLine="482"/>
              <w:jc w:val="center"/>
              <w:rPr>
                <w:rFonts w:ascii="宋体" w:hAnsi="宋体" w:cs="宋体"/>
                <w:color w:val="000000" w:themeColor="text1"/>
                <w:sz w:val="24"/>
                <w:szCs w:val="24"/>
                <w:highlight w:val="none"/>
                <w14:textFill>
                  <w14:solidFill>
                    <w14:schemeClr w14:val="tx1"/>
                  </w14:solidFill>
                </w14:textFill>
              </w:rPr>
            </w:pPr>
          </w:p>
        </w:tc>
        <w:tc>
          <w:tcPr>
            <w:tcW w:w="1586" w:type="dxa"/>
            <w:vAlign w:val="center"/>
          </w:tcPr>
          <w:p>
            <w:pPr>
              <w:spacing w:line="400" w:lineRule="exact"/>
              <w:ind w:firstLine="482"/>
              <w:jc w:val="center"/>
              <w:rPr>
                <w:rFonts w:ascii="宋体" w:hAnsi="宋体" w:cs="宋体"/>
                <w:color w:val="000000" w:themeColor="text1"/>
                <w:sz w:val="24"/>
                <w:szCs w:val="24"/>
                <w:highlight w:val="none"/>
                <w14:textFill>
                  <w14:solidFill>
                    <w14:schemeClr w14:val="tx1"/>
                  </w14:solidFill>
                </w14:textFill>
              </w:rPr>
            </w:pPr>
          </w:p>
        </w:tc>
        <w:tc>
          <w:tcPr>
            <w:tcW w:w="1588" w:type="dxa"/>
            <w:vAlign w:val="center"/>
          </w:tcPr>
          <w:p>
            <w:pPr>
              <w:spacing w:line="400" w:lineRule="exact"/>
              <w:ind w:firstLine="482"/>
              <w:jc w:val="center"/>
              <w:rPr>
                <w:rFonts w:ascii="宋体" w:hAnsi="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816" w:type="dxa"/>
            <w:gridSpan w:val="6"/>
          </w:tcPr>
          <w:p>
            <w:pPr>
              <w:spacing w:line="400" w:lineRule="exact"/>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投标总价（万元）：             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816" w:type="dxa"/>
            <w:gridSpan w:val="6"/>
          </w:tcPr>
          <w:p>
            <w:pPr>
              <w:spacing w:line="400" w:lineRule="exact"/>
              <w:rPr>
                <w:rFonts w:ascii="宋体" w:hAnsi="宋体" w:cs="宋体"/>
                <w:b/>
                <w:bCs/>
                <w:color w:val="000000" w:themeColor="text1"/>
                <w:sz w:val="24"/>
                <w:szCs w:val="24"/>
                <w:highlight w:val="none"/>
                <w:lang w:eastAsia="zh-Hans"/>
                <w14:textFill>
                  <w14:solidFill>
                    <w14:schemeClr w14:val="tx1"/>
                  </w14:solidFill>
                </w14:textFill>
              </w:rPr>
            </w:pPr>
            <w:r>
              <w:rPr>
                <w:rFonts w:hint="eastAsia" w:ascii="宋体" w:hAnsi="宋体" w:cs="宋体"/>
                <w:b/>
                <w:bCs/>
                <w:color w:val="000000" w:themeColor="text1"/>
                <w:sz w:val="24"/>
                <w:szCs w:val="24"/>
                <w:highlight w:val="none"/>
                <w:lang w:eastAsia="zh-Hans"/>
                <w14:textFill>
                  <w14:solidFill>
                    <w14:schemeClr w14:val="tx1"/>
                  </w14:solidFill>
                </w14:textFill>
              </w:rPr>
              <w:t>备注：</w:t>
            </w:r>
          </w:p>
        </w:tc>
      </w:tr>
    </w:tbl>
    <w:p>
      <w:pPr>
        <w:ind w:firstLine="482"/>
        <w:rPr>
          <w:rFonts w:ascii="宋体" w:hAnsi="宋体" w:cs="宋体"/>
          <w:color w:val="000000" w:themeColor="text1"/>
          <w:highlight w:val="none"/>
          <w14:textFill>
            <w14:solidFill>
              <w14:schemeClr w14:val="tx1"/>
            </w14:solidFill>
          </w14:textFill>
        </w:rPr>
      </w:pPr>
    </w:p>
    <w:p>
      <w:pPr>
        <w:pStyle w:val="23"/>
        <w:rPr>
          <w:rFonts w:ascii="宋体" w:hAnsi="宋体" w:cs="宋体"/>
          <w:color w:val="000000" w:themeColor="text1"/>
          <w:highlight w:val="none"/>
          <w14:textFill>
            <w14:solidFill>
              <w14:schemeClr w14:val="tx1"/>
            </w14:solidFill>
          </w14:textFill>
        </w:rPr>
      </w:pPr>
    </w:p>
    <w:p>
      <w:pPr>
        <w:spacing w:line="400" w:lineRule="exact"/>
        <w:ind w:left="840" w:hanging="840" w:hangingChars="350"/>
        <w:jc w:val="left"/>
        <w:rPr>
          <w:rFonts w:ascii="宋体" w:hAnsi="宋体" w:cs="宋体"/>
          <w:color w:val="000000" w:themeColor="text1"/>
          <w:sz w:val="24"/>
          <w:highlight w:val="none"/>
          <w14:textFill>
            <w14:solidFill>
              <w14:schemeClr w14:val="tx1"/>
            </w14:solidFill>
          </w14:textFill>
        </w:rPr>
      </w:pPr>
      <w:bookmarkStart w:id="232" w:name="_Toc217446085"/>
      <w:r>
        <w:rPr>
          <w:rFonts w:hint="eastAsia" w:ascii="宋体" w:hAnsi="宋体" w:cs="宋体"/>
          <w:color w:val="000000" w:themeColor="text1"/>
          <w:sz w:val="24"/>
          <w:highlight w:val="none"/>
          <w14:textFill>
            <w14:solidFill>
              <w14:schemeClr w14:val="tx1"/>
            </w14:solidFill>
          </w14:textFill>
        </w:rPr>
        <w:t>注：1. 报价应是最终用户验收合格后的总价，</w:t>
      </w:r>
      <w:r>
        <w:rPr>
          <w:rFonts w:hint="eastAsia" w:ascii="宋体" w:hAnsi="宋体" w:cs="宋体"/>
          <w:color w:val="000000" w:themeColor="text1"/>
          <w:sz w:val="24"/>
          <w:szCs w:val="24"/>
          <w:highlight w:val="none"/>
          <w14:textFill>
            <w14:solidFill>
              <w14:schemeClr w14:val="tx1"/>
            </w14:solidFill>
          </w14:textFill>
        </w:rPr>
        <w:t>括货物（设备）成本、运输、装卸、安装、调试、维护、税费、利润及</w:t>
      </w:r>
      <w:r>
        <w:rPr>
          <w:rFonts w:hint="eastAsia" w:ascii="宋体" w:hAnsi="宋体" w:cs="宋体"/>
          <w:color w:val="000000" w:themeColor="text1"/>
          <w:sz w:val="24"/>
          <w:highlight w:val="none"/>
          <w14:textFill>
            <w14:solidFill>
              <w14:schemeClr w14:val="tx1"/>
            </w14:solidFill>
          </w14:textFill>
        </w:rPr>
        <w:t xml:space="preserve">招标文件规定的其它费用。 </w:t>
      </w:r>
    </w:p>
    <w:p>
      <w:pPr>
        <w:spacing w:line="400" w:lineRule="exact"/>
        <w:ind w:left="807" w:leftChars="213" w:hanging="360" w:hangingChars="1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2.“开标一览表”为多页的，每页均需由法定代表人或授权代表签字并盖投标人印章。</w:t>
      </w:r>
    </w:p>
    <w:p>
      <w:pPr>
        <w:adjustRightInd w:val="0"/>
        <w:spacing w:line="312"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3.若同时投多个标包，应分标包填写。</w:t>
      </w:r>
    </w:p>
    <w:p>
      <w:pPr>
        <w:adjustRightInd w:val="0"/>
        <w:spacing w:line="312" w:lineRule="auto"/>
        <w:ind w:firstLine="480" w:firstLineChars="200"/>
        <w:jc w:val="left"/>
        <w:rPr>
          <w:rFonts w:ascii="宋体" w:hAnsi="宋体" w:cs="宋体"/>
          <w:color w:val="000000" w:themeColor="text1"/>
          <w:sz w:val="24"/>
          <w:szCs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投标人名称：XXXX（单位公章）。</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法定代表人/单位负责人或授权代表（签字或加盖个人名章）：XXXX。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sectPr>
          <w:pgSz w:w="11907" w:h="16840"/>
          <w:pgMar w:top="1440" w:right="1474" w:bottom="1440" w:left="1474" w:header="851" w:footer="992" w:gutter="0"/>
          <w:cols w:space="720" w:num="1"/>
          <w:docGrid w:linePitch="312" w:charSpace="0"/>
        </w:sectPr>
      </w:pPr>
      <w:r>
        <w:rPr>
          <w:rFonts w:hint="eastAsia" w:ascii="宋体" w:hAnsi="宋体" w:cs="宋体"/>
          <w:color w:val="000000" w:themeColor="text1"/>
          <w:sz w:val="24"/>
          <w:highlight w:val="none"/>
          <w14:textFill>
            <w14:solidFill>
              <w14:schemeClr w14:val="tx1"/>
            </w14:solidFill>
          </w14:textFill>
        </w:rPr>
        <w:t>日期：XXXX</w:t>
      </w:r>
    </w:p>
    <w:p>
      <w:pPr>
        <w:pStyle w:val="4"/>
        <w:numPr>
          <w:ilvl w:val="0"/>
          <w:numId w:val="9"/>
        </w:numPr>
        <w:spacing w:before="0" w:after="0" w:line="360" w:lineRule="auto"/>
        <w:ind w:firstLine="640"/>
        <w:jc w:val="center"/>
        <w:rPr>
          <w:rFonts w:ascii="宋体" w:hAnsi="宋体" w:eastAsia="宋体" w:cs="宋体"/>
          <w:color w:val="000000" w:themeColor="text1"/>
          <w:highlight w:val="none"/>
          <w:u w:val="single"/>
          <w14:textFill>
            <w14:solidFill>
              <w14:schemeClr w14:val="tx1"/>
            </w14:solidFill>
          </w14:textFill>
        </w:rPr>
      </w:pPr>
      <w:bookmarkStart w:id="233" w:name="_Toc18802"/>
      <w:r>
        <w:rPr>
          <w:rFonts w:hint="eastAsia" w:ascii="宋体" w:hAnsi="宋体" w:eastAsia="宋体" w:cs="宋体"/>
          <w:color w:val="000000" w:themeColor="text1"/>
          <w:highlight w:val="none"/>
          <w14:textFill>
            <w14:solidFill>
              <w14:schemeClr w14:val="tx1"/>
            </w14:solidFill>
          </w14:textFill>
        </w:rPr>
        <w:t>分项报价明细表</w:t>
      </w:r>
      <w:bookmarkEnd w:id="233"/>
      <w:r>
        <w:rPr>
          <w:rFonts w:hint="eastAsia" w:ascii="宋体" w:hAnsi="宋体" w:eastAsia="宋体" w:cs="宋体"/>
          <w:color w:val="000000" w:themeColor="text1"/>
          <w:sz w:val="24"/>
          <w:szCs w:val="22"/>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p>
    <w:p>
      <w:pPr>
        <w:pStyle w:val="4"/>
        <w:spacing w:before="0" w:after="0" w:line="360" w:lineRule="auto"/>
        <w:ind w:firstLine="640"/>
        <w:jc w:val="center"/>
        <w:rPr>
          <w:rFonts w:ascii="宋体" w:hAnsi="宋体" w:eastAsia="宋体" w:cs="宋体"/>
          <w:color w:val="000000" w:themeColor="text1"/>
          <w:highlight w:val="none"/>
          <w14:textFill>
            <w14:solidFill>
              <w14:schemeClr w14:val="tx1"/>
            </w14:solidFill>
          </w14:textFill>
        </w:rPr>
      </w:pP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2280"/>
        <w:gridCol w:w="759"/>
        <w:gridCol w:w="521"/>
        <w:gridCol w:w="560"/>
        <w:gridCol w:w="573"/>
        <w:gridCol w:w="1212"/>
        <w:gridCol w:w="1313"/>
        <w:gridCol w:w="980"/>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656" w:type="dxa"/>
            <w:noWrap w:val="0"/>
            <w:vAlign w:val="center"/>
          </w:tcPr>
          <w:p>
            <w:pPr>
              <w:pStyle w:val="3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2280" w:type="dxa"/>
            <w:noWrap w:val="0"/>
            <w:vAlign w:val="center"/>
          </w:tcPr>
          <w:p>
            <w:pPr>
              <w:pStyle w:val="3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产品名称</w:t>
            </w:r>
          </w:p>
        </w:tc>
        <w:tc>
          <w:tcPr>
            <w:tcW w:w="759" w:type="dxa"/>
            <w:noWrap w:val="0"/>
            <w:vAlign w:val="center"/>
          </w:tcPr>
          <w:p>
            <w:pPr>
              <w:pStyle w:val="3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规格型号</w:t>
            </w:r>
          </w:p>
        </w:tc>
        <w:tc>
          <w:tcPr>
            <w:tcW w:w="521" w:type="dxa"/>
            <w:noWrap w:val="0"/>
            <w:vAlign w:val="center"/>
          </w:tcPr>
          <w:p>
            <w:pPr>
              <w:pStyle w:val="3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品牌</w:t>
            </w:r>
          </w:p>
        </w:tc>
        <w:tc>
          <w:tcPr>
            <w:tcW w:w="560" w:type="dxa"/>
            <w:noWrap w:val="0"/>
            <w:vAlign w:val="center"/>
          </w:tcPr>
          <w:p>
            <w:pPr>
              <w:pStyle w:val="3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单位</w:t>
            </w:r>
          </w:p>
        </w:tc>
        <w:tc>
          <w:tcPr>
            <w:tcW w:w="573" w:type="dxa"/>
            <w:noWrap w:val="0"/>
            <w:vAlign w:val="center"/>
          </w:tcPr>
          <w:p>
            <w:pPr>
              <w:pStyle w:val="3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数量</w:t>
            </w:r>
          </w:p>
        </w:tc>
        <w:tc>
          <w:tcPr>
            <w:tcW w:w="1212" w:type="dxa"/>
            <w:noWrap w:val="0"/>
            <w:vAlign w:val="center"/>
          </w:tcPr>
          <w:p>
            <w:pPr>
              <w:pStyle w:val="3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单价</w:t>
            </w:r>
          </w:p>
          <w:p>
            <w:pPr>
              <w:pStyle w:val="3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（万元）</w:t>
            </w:r>
          </w:p>
        </w:tc>
        <w:tc>
          <w:tcPr>
            <w:tcW w:w="1313" w:type="dxa"/>
            <w:noWrap w:val="0"/>
            <w:vAlign w:val="center"/>
          </w:tcPr>
          <w:p>
            <w:pPr>
              <w:pStyle w:val="3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合计金额</w:t>
            </w:r>
          </w:p>
          <w:p>
            <w:pPr>
              <w:pStyle w:val="3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（万元）</w:t>
            </w:r>
          </w:p>
        </w:tc>
        <w:tc>
          <w:tcPr>
            <w:tcW w:w="980" w:type="dxa"/>
            <w:noWrap w:val="0"/>
            <w:vAlign w:val="center"/>
          </w:tcPr>
          <w:p>
            <w:pPr>
              <w:pStyle w:val="3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是否属于进口产品</w:t>
            </w:r>
          </w:p>
        </w:tc>
        <w:tc>
          <w:tcPr>
            <w:tcW w:w="980" w:type="dxa"/>
            <w:noWrap w:val="0"/>
            <w:vAlign w:val="center"/>
          </w:tcPr>
          <w:p>
            <w:pPr>
              <w:pStyle w:val="3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656" w:type="dxa"/>
            <w:noWrap w:val="0"/>
            <w:vAlign w:val="center"/>
          </w:tcPr>
          <w:p>
            <w:pPr>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28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59"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21"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6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73"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12"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13"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8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8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656" w:type="dxa"/>
            <w:noWrap w:val="0"/>
            <w:vAlign w:val="center"/>
          </w:tcPr>
          <w:p>
            <w:pPr>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228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59"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21"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6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73"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12"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13"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8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8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656" w:type="dxa"/>
            <w:noWrap w:val="0"/>
            <w:vAlign w:val="center"/>
          </w:tcPr>
          <w:p>
            <w:pPr>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228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59"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21"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6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573"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12"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13"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8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80" w:type="dxa"/>
            <w:noWrap w:val="0"/>
            <w:vAlign w:val="center"/>
          </w:tcPr>
          <w:p>
            <w:pPr>
              <w:pStyle w:val="30"/>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9834" w:type="dxa"/>
            <w:gridSpan w:val="10"/>
            <w:noWrap w:val="0"/>
            <w:vAlign w:val="center"/>
          </w:tcPr>
          <w:p>
            <w:pPr>
              <w:pStyle w:val="3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报价合计（万元）：                 大写：</w:t>
            </w:r>
          </w:p>
        </w:tc>
      </w:tr>
    </w:tbl>
    <w:p>
      <w:pPr>
        <w:spacing w:line="360" w:lineRule="auto"/>
        <w:ind w:firstLine="482"/>
        <w:rPr>
          <w:rFonts w:ascii="宋体" w:hAnsi="宋体" w:cs="宋体"/>
          <w:color w:val="000000" w:themeColor="text1"/>
          <w:sz w:val="24"/>
          <w:szCs w:val="24"/>
          <w:highlight w:val="none"/>
          <w14:textFill>
            <w14:solidFill>
              <w14:schemeClr w14:val="tx1"/>
            </w14:solidFill>
          </w14:textFill>
        </w:rPr>
      </w:pPr>
    </w:p>
    <w:p>
      <w:pPr>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注：1.投标人须详细报出投标总价的各个组成部分的报价。 </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2.“分项报价明细表”各分项报价合计应当与“开标一览表”报价合计相等。</w:t>
      </w:r>
    </w:p>
    <w:p>
      <w:pPr>
        <w:adjustRightInd w:val="0"/>
        <w:spacing w:line="312"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3、若同时投多个标包，应分标包填写。</w:t>
      </w:r>
    </w:p>
    <w:p>
      <w:pPr>
        <w:spacing w:line="360" w:lineRule="auto"/>
        <w:ind w:firstLine="482"/>
        <w:rPr>
          <w:rFonts w:ascii="宋体" w:hAnsi="宋体" w:cs="宋体"/>
          <w:bCs/>
          <w:color w:val="000000" w:themeColor="text1"/>
          <w:sz w:val="24"/>
          <w:szCs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投标人名称：XXXX（单位盖章）。</w:t>
      </w:r>
    </w:p>
    <w:p>
      <w:pPr>
        <w:pStyle w:val="2"/>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法定代表人/单位负责人或授权代表（签字或加盖个人名章）：XXXX。</w:t>
      </w:r>
    </w:p>
    <w:p>
      <w:pPr>
        <w:pStyle w:val="2"/>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日期: XXXX。</w:t>
      </w:r>
    </w:p>
    <w:p>
      <w:pPr>
        <w:spacing w:line="360" w:lineRule="auto"/>
        <w:ind w:firstLine="640"/>
        <w:rPr>
          <w:rFonts w:ascii="宋体" w:hAnsi="宋体" w:cs="宋体"/>
          <w:b/>
          <w:color w:val="000000" w:themeColor="text1"/>
          <w:sz w:val="32"/>
          <w:szCs w:val="32"/>
          <w:highlight w:val="none"/>
          <w14:textFill>
            <w14:solidFill>
              <w14:schemeClr w14:val="tx1"/>
            </w14:solidFill>
          </w14:textFill>
        </w:rPr>
      </w:pPr>
    </w:p>
    <w:p>
      <w:pPr>
        <w:pStyle w:val="23"/>
        <w:ind w:firstLine="640"/>
        <w:rPr>
          <w:rFonts w:ascii="宋体" w:hAnsi="宋体" w:cs="宋体"/>
          <w:b/>
          <w:color w:val="000000" w:themeColor="text1"/>
          <w:sz w:val="32"/>
          <w:szCs w:val="32"/>
          <w:highlight w:val="none"/>
          <w14:textFill>
            <w14:solidFill>
              <w14:schemeClr w14:val="tx1"/>
            </w14:solidFill>
          </w14:textFill>
        </w:rPr>
      </w:pPr>
    </w:p>
    <w:p>
      <w:pPr>
        <w:widowControl/>
        <w:spacing w:line="360" w:lineRule="auto"/>
        <w:ind w:firstLine="643"/>
        <w:jc w:val="center"/>
        <w:outlineLvl w:val="1"/>
        <w:rPr>
          <w:rFonts w:ascii="宋体" w:hAnsi="宋体" w:cs="宋体"/>
          <w:color w:val="000000" w:themeColor="text1"/>
          <w:highlight w:val="none"/>
          <w:u w:val="singl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r>
      <w:bookmarkStart w:id="234" w:name="_Toc23323"/>
      <w:r>
        <w:rPr>
          <w:rFonts w:hint="eastAsia" w:ascii="宋体" w:hAnsi="宋体" w:cs="宋体"/>
          <w:b/>
          <w:color w:val="000000" w:themeColor="text1"/>
          <w:sz w:val="32"/>
          <w:szCs w:val="32"/>
          <w:highlight w:val="none"/>
          <w14:textFill>
            <w14:solidFill>
              <w14:schemeClr w14:val="tx1"/>
            </w14:solidFill>
          </w14:textFill>
        </w:rPr>
        <w:t>五、商务应答表</w:t>
      </w:r>
      <w:bookmarkEnd w:id="234"/>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2835"/>
        <w:gridCol w:w="311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76" w:type="dxa"/>
            <w:vAlign w:val="center"/>
          </w:tcPr>
          <w:p>
            <w:pPr>
              <w:pStyle w:val="2"/>
              <w:ind w:firstLine="480"/>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序号</w:t>
            </w:r>
          </w:p>
        </w:tc>
        <w:tc>
          <w:tcPr>
            <w:tcW w:w="2835" w:type="dxa"/>
            <w:vAlign w:val="center"/>
          </w:tcPr>
          <w:p>
            <w:pPr>
              <w:pStyle w:val="2"/>
              <w:ind w:firstLine="480"/>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招标文件要求</w:t>
            </w:r>
          </w:p>
        </w:tc>
        <w:tc>
          <w:tcPr>
            <w:tcW w:w="3119" w:type="dxa"/>
            <w:vAlign w:val="center"/>
          </w:tcPr>
          <w:p>
            <w:pPr>
              <w:pStyle w:val="2"/>
              <w:ind w:firstLine="663" w:firstLineChars="275"/>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投标文件应答</w:t>
            </w:r>
          </w:p>
        </w:tc>
        <w:tc>
          <w:tcPr>
            <w:tcW w:w="1984" w:type="dxa"/>
            <w:vAlign w:val="center"/>
          </w:tcPr>
          <w:p>
            <w:pPr>
              <w:pStyle w:val="2"/>
              <w:ind w:left="0" w:leftChars="0" w:firstLine="0" w:firstLineChars="0"/>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正/负/无偏离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276" w:type="dxa"/>
          </w:tcPr>
          <w:p>
            <w:pPr>
              <w:pStyle w:val="2"/>
              <w:ind w:firstLine="482"/>
              <w:rPr>
                <w:rFonts w:ascii="宋体" w:hAnsi="宋体" w:cs="宋体"/>
                <w:color w:val="000000" w:themeColor="text1"/>
                <w:sz w:val="24"/>
                <w:highlight w:val="none"/>
                <w14:textFill>
                  <w14:solidFill>
                    <w14:schemeClr w14:val="tx1"/>
                  </w14:solidFill>
                </w14:textFill>
              </w:rPr>
            </w:pPr>
          </w:p>
        </w:tc>
        <w:tc>
          <w:tcPr>
            <w:tcW w:w="2835" w:type="dxa"/>
          </w:tcPr>
          <w:p>
            <w:pPr>
              <w:pStyle w:val="2"/>
              <w:ind w:firstLine="482"/>
              <w:rPr>
                <w:rFonts w:ascii="宋体" w:hAnsi="宋体" w:cs="宋体"/>
                <w:color w:val="000000" w:themeColor="text1"/>
                <w:sz w:val="24"/>
                <w:highlight w:val="none"/>
                <w14:textFill>
                  <w14:solidFill>
                    <w14:schemeClr w14:val="tx1"/>
                  </w14:solidFill>
                </w14:textFill>
              </w:rPr>
            </w:pPr>
          </w:p>
        </w:tc>
        <w:tc>
          <w:tcPr>
            <w:tcW w:w="3119" w:type="dxa"/>
          </w:tcPr>
          <w:p>
            <w:pPr>
              <w:pStyle w:val="2"/>
              <w:ind w:firstLine="482"/>
              <w:rPr>
                <w:rFonts w:ascii="宋体" w:hAnsi="宋体" w:cs="宋体"/>
                <w:color w:val="000000" w:themeColor="text1"/>
                <w:sz w:val="24"/>
                <w:highlight w:val="none"/>
                <w14:textFill>
                  <w14:solidFill>
                    <w14:schemeClr w14:val="tx1"/>
                  </w14:solidFill>
                </w14:textFill>
              </w:rPr>
            </w:pPr>
          </w:p>
        </w:tc>
        <w:tc>
          <w:tcPr>
            <w:tcW w:w="1984" w:type="dxa"/>
          </w:tcPr>
          <w:p>
            <w:pPr>
              <w:pStyle w:val="2"/>
              <w:ind w:firstLine="482"/>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276" w:type="dxa"/>
          </w:tcPr>
          <w:p>
            <w:pPr>
              <w:pStyle w:val="2"/>
              <w:ind w:firstLine="482"/>
              <w:rPr>
                <w:rFonts w:ascii="宋体" w:hAnsi="宋体" w:cs="宋体"/>
                <w:color w:val="000000" w:themeColor="text1"/>
                <w:sz w:val="24"/>
                <w:highlight w:val="none"/>
                <w14:textFill>
                  <w14:solidFill>
                    <w14:schemeClr w14:val="tx1"/>
                  </w14:solidFill>
                </w14:textFill>
              </w:rPr>
            </w:pPr>
          </w:p>
        </w:tc>
        <w:tc>
          <w:tcPr>
            <w:tcW w:w="2835" w:type="dxa"/>
          </w:tcPr>
          <w:p>
            <w:pPr>
              <w:pStyle w:val="2"/>
              <w:ind w:firstLine="482"/>
              <w:rPr>
                <w:rFonts w:ascii="宋体" w:hAnsi="宋体" w:cs="宋体"/>
                <w:color w:val="000000" w:themeColor="text1"/>
                <w:sz w:val="24"/>
                <w:highlight w:val="none"/>
                <w14:textFill>
                  <w14:solidFill>
                    <w14:schemeClr w14:val="tx1"/>
                  </w14:solidFill>
                </w14:textFill>
              </w:rPr>
            </w:pPr>
          </w:p>
        </w:tc>
        <w:tc>
          <w:tcPr>
            <w:tcW w:w="3119" w:type="dxa"/>
          </w:tcPr>
          <w:p>
            <w:pPr>
              <w:pStyle w:val="2"/>
              <w:ind w:firstLine="482"/>
              <w:rPr>
                <w:rFonts w:ascii="宋体" w:hAnsi="宋体" w:cs="宋体"/>
                <w:color w:val="000000" w:themeColor="text1"/>
                <w:sz w:val="24"/>
                <w:highlight w:val="none"/>
                <w14:textFill>
                  <w14:solidFill>
                    <w14:schemeClr w14:val="tx1"/>
                  </w14:solidFill>
                </w14:textFill>
              </w:rPr>
            </w:pPr>
          </w:p>
        </w:tc>
        <w:tc>
          <w:tcPr>
            <w:tcW w:w="1984" w:type="dxa"/>
          </w:tcPr>
          <w:p>
            <w:pPr>
              <w:pStyle w:val="2"/>
              <w:ind w:firstLine="482"/>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276" w:type="dxa"/>
          </w:tcPr>
          <w:p>
            <w:pPr>
              <w:pStyle w:val="2"/>
              <w:ind w:firstLine="482"/>
              <w:rPr>
                <w:rFonts w:ascii="宋体" w:hAnsi="宋体" w:cs="宋体"/>
                <w:color w:val="000000" w:themeColor="text1"/>
                <w:sz w:val="24"/>
                <w:highlight w:val="none"/>
                <w14:textFill>
                  <w14:solidFill>
                    <w14:schemeClr w14:val="tx1"/>
                  </w14:solidFill>
                </w14:textFill>
              </w:rPr>
            </w:pPr>
          </w:p>
        </w:tc>
        <w:tc>
          <w:tcPr>
            <w:tcW w:w="2835" w:type="dxa"/>
          </w:tcPr>
          <w:p>
            <w:pPr>
              <w:pStyle w:val="2"/>
              <w:ind w:firstLine="482"/>
              <w:rPr>
                <w:rFonts w:ascii="宋体" w:hAnsi="宋体" w:cs="宋体"/>
                <w:color w:val="000000" w:themeColor="text1"/>
                <w:sz w:val="24"/>
                <w:highlight w:val="none"/>
                <w14:textFill>
                  <w14:solidFill>
                    <w14:schemeClr w14:val="tx1"/>
                  </w14:solidFill>
                </w14:textFill>
              </w:rPr>
            </w:pPr>
          </w:p>
        </w:tc>
        <w:tc>
          <w:tcPr>
            <w:tcW w:w="3119" w:type="dxa"/>
          </w:tcPr>
          <w:p>
            <w:pPr>
              <w:pStyle w:val="2"/>
              <w:ind w:firstLine="482"/>
              <w:rPr>
                <w:rFonts w:ascii="宋体" w:hAnsi="宋体" w:cs="宋体"/>
                <w:color w:val="000000" w:themeColor="text1"/>
                <w:sz w:val="24"/>
                <w:highlight w:val="none"/>
                <w14:textFill>
                  <w14:solidFill>
                    <w14:schemeClr w14:val="tx1"/>
                  </w14:solidFill>
                </w14:textFill>
              </w:rPr>
            </w:pPr>
          </w:p>
        </w:tc>
        <w:tc>
          <w:tcPr>
            <w:tcW w:w="1984" w:type="dxa"/>
          </w:tcPr>
          <w:p>
            <w:pPr>
              <w:pStyle w:val="2"/>
              <w:ind w:firstLine="482"/>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276" w:type="dxa"/>
          </w:tcPr>
          <w:p>
            <w:pPr>
              <w:pStyle w:val="2"/>
              <w:ind w:firstLine="482"/>
              <w:rPr>
                <w:rFonts w:ascii="宋体" w:hAnsi="宋体" w:cs="宋体"/>
                <w:color w:val="000000" w:themeColor="text1"/>
                <w:sz w:val="24"/>
                <w:highlight w:val="none"/>
                <w14:textFill>
                  <w14:solidFill>
                    <w14:schemeClr w14:val="tx1"/>
                  </w14:solidFill>
                </w14:textFill>
              </w:rPr>
            </w:pPr>
          </w:p>
        </w:tc>
        <w:tc>
          <w:tcPr>
            <w:tcW w:w="2835" w:type="dxa"/>
          </w:tcPr>
          <w:p>
            <w:pPr>
              <w:pStyle w:val="2"/>
              <w:ind w:firstLine="482"/>
              <w:rPr>
                <w:rFonts w:ascii="宋体" w:hAnsi="宋体" w:cs="宋体"/>
                <w:color w:val="000000" w:themeColor="text1"/>
                <w:sz w:val="24"/>
                <w:highlight w:val="none"/>
                <w14:textFill>
                  <w14:solidFill>
                    <w14:schemeClr w14:val="tx1"/>
                  </w14:solidFill>
                </w14:textFill>
              </w:rPr>
            </w:pPr>
          </w:p>
        </w:tc>
        <w:tc>
          <w:tcPr>
            <w:tcW w:w="3119" w:type="dxa"/>
          </w:tcPr>
          <w:p>
            <w:pPr>
              <w:pStyle w:val="2"/>
              <w:ind w:firstLine="482"/>
              <w:rPr>
                <w:rFonts w:ascii="宋体" w:hAnsi="宋体" w:cs="宋体"/>
                <w:color w:val="000000" w:themeColor="text1"/>
                <w:sz w:val="24"/>
                <w:highlight w:val="none"/>
                <w14:textFill>
                  <w14:solidFill>
                    <w14:schemeClr w14:val="tx1"/>
                  </w14:solidFill>
                </w14:textFill>
              </w:rPr>
            </w:pPr>
          </w:p>
        </w:tc>
        <w:tc>
          <w:tcPr>
            <w:tcW w:w="1984" w:type="dxa"/>
          </w:tcPr>
          <w:p>
            <w:pPr>
              <w:pStyle w:val="2"/>
              <w:ind w:firstLine="482"/>
              <w:rPr>
                <w:rFonts w:ascii="宋体" w:hAnsi="宋体" w:cs="宋体"/>
                <w:color w:val="000000" w:themeColor="text1"/>
                <w:sz w:val="24"/>
                <w:highlight w:val="none"/>
                <w14:textFill>
                  <w14:solidFill>
                    <w14:schemeClr w14:val="tx1"/>
                  </w14:solidFill>
                </w14:textFill>
              </w:rPr>
            </w:pPr>
          </w:p>
        </w:tc>
      </w:tr>
    </w:tbl>
    <w:p>
      <w:pPr>
        <w:pStyle w:val="2"/>
        <w:spacing w:line="312" w:lineRule="auto"/>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注：投标人必须根据招标文件第六章本项目的商务要求据实填写，不得虚假应答，否则将取消其投标或中标资格。</w:t>
      </w:r>
    </w:p>
    <w:p>
      <w:pPr>
        <w:pStyle w:val="2"/>
        <w:spacing w:line="312" w:lineRule="auto"/>
        <w:ind w:firstLine="482"/>
        <w:rPr>
          <w:rFonts w:ascii="宋体" w:hAnsi="宋体" w:cs="宋体"/>
          <w:color w:val="000000" w:themeColor="text1"/>
          <w:sz w:val="24"/>
          <w:highlight w:val="none"/>
          <w14:textFill>
            <w14:solidFill>
              <w14:schemeClr w14:val="tx1"/>
            </w14:solidFill>
          </w14:textFill>
        </w:rPr>
      </w:pPr>
    </w:p>
    <w:p>
      <w:pPr>
        <w:pStyle w:val="2"/>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投标人名称：XXXX（单位盖章）。</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法定代表人/单位负责人或授权代表（签字或加盖个人名章）：XXXX。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 XXXX。</w:t>
      </w:r>
    </w:p>
    <w:p>
      <w:pPr>
        <w:adjustRightInd w:val="0"/>
        <w:spacing w:line="360" w:lineRule="auto"/>
        <w:ind w:firstLine="480" w:firstLineChars="200"/>
        <w:jc w:val="left"/>
        <w:rPr>
          <w:rFonts w:ascii="宋体" w:hAnsi="宋体" w:cs="宋体"/>
          <w:vanish/>
          <w:color w:val="000000" w:themeColor="text1"/>
          <w:sz w:val="24"/>
          <w:szCs w:val="24"/>
          <w:highlight w:val="none"/>
          <w14:textFill>
            <w14:solidFill>
              <w14:schemeClr w14:val="tx1"/>
            </w14:solidFill>
          </w14:textFill>
        </w:rPr>
      </w:pPr>
    </w:p>
    <w:bookmarkEnd w:id="232"/>
    <w:p>
      <w:pPr>
        <w:widowControl/>
        <w:spacing w:line="360" w:lineRule="auto"/>
        <w:jc w:val="center"/>
        <w:outlineLvl w:val="1"/>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br w:type="page"/>
      </w:r>
      <w:bookmarkStart w:id="235" w:name="_Toc16706"/>
      <w:bookmarkStart w:id="236" w:name="_Toc426657574"/>
      <w:bookmarkStart w:id="237" w:name="_Toc217446087"/>
      <w:bookmarkStart w:id="238" w:name="_Toc18843"/>
      <w:r>
        <w:rPr>
          <w:rFonts w:hint="eastAsia" w:ascii="宋体" w:hAnsi="宋体" w:cs="宋体"/>
          <w:b/>
          <w:color w:val="000000" w:themeColor="text1"/>
          <w:sz w:val="32"/>
          <w:szCs w:val="32"/>
          <w:highlight w:val="none"/>
          <w14:textFill>
            <w14:solidFill>
              <w14:schemeClr w14:val="tx1"/>
            </w14:solidFill>
          </w14:textFill>
        </w:rPr>
        <w:t>六、投标人基本情况表</w:t>
      </w:r>
      <w:bookmarkEnd w:id="235"/>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68"/>
        <w:gridCol w:w="992"/>
        <w:gridCol w:w="1058"/>
        <w:gridCol w:w="1247"/>
        <w:gridCol w:w="1380"/>
        <w:gridCol w:w="284"/>
        <w:gridCol w:w="567"/>
        <w:gridCol w:w="101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39" w:name="_Toc16410"/>
            <w:r>
              <w:rPr>
                <w:rFonts w:hint="eastAsia" w:ascii="宋体" w:hAnsi="宋体" w:eastAsia="宋体" w:cs="宋体"/>
                <w:color w:val="000000" w:themeColor="text1"/>
                <w:sz w:val="24"/>
                <w:highlight w:val="none"/>
                <w14:textFill>
                  <w14:solidFill>
                    <w14:schemeClr w14:val="tx1"/>
                  </w14:solidFill>
                </w14:textFill>
              </w:rPr>
              <w:t>投标人名称</w:t>
            </w:r>
            <w:bookmarkEnd w:id="239"/>
          </w:p>
        </w:tc>
        <w:tc>
          <w:tcPr>
            <w:tcW w:w="6547" w:type="dxa"/>
            <w:gridSpan w:val="7"/>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40" w:name="_Toc26522"/>
            <w:r>
              <w:rPr>
                <w:rFonts w:hint="eastAsia" w:ascii="宋体" w:hAnsi="宋体" w:eastAsia="宋体" w:cs="宋体"/>
                <w:color w:val="000000" w:themeColor="text1"/>
                <w:sz w:val="24"/>
                <w:highlight w:val="none"/>
                <w14:textFill>
                  <w14:solidFill>
                    <w14:schemeClr w14:val="tx1"/>
                  </w14:solidFill>
                </w14:textFill>
              </w:rPr>
              <w:t>注册地址</w:t>
            </w:r>
            <w:bookmarkEnd w:id="240"/>
          </w:p>
        </w:tc>
        <w:tc>
          <w:tcPr>
            <w:tcW w:w="3297" w:type="dxa"/>
            <w:gridSpan w:val="3"/>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1380" w:type="dxa"/>
            <w:noWrap w:val="0"/>
            <w:vAlign w:val="center"/>
          </w:tcPr>
          <w:p>
            <w:pPr>
              <w:widowControl/>
              <w:spacing w:line="360" w:lineRule="auto"/>
              <w:jc w:val="left"/>
              <w:outlineLvl w:val="1"/>
              <w:rPr>
                <w:rFonts w:hint="eastAsia" w:ascii="宋体" w:hAnsi="宋体" w:eastAsia="宋体" w:cs="宋体"/>
                <w:color w:val="000000" w:themeColor="text1"/>
                <w:sz w:val="24"/>
                <w:highlight w:val="none"/>
                <w14:textFill>
                  <w14:solidFill>
                    <w14:schemeClr w14:val="tx1"/>
                  </w14:solidFill>
                </w14:textFill>
              </w:rPr>
            </w:pPr>
            <w:bookmarkStart w:id="241" w:name="_Toc7472"/>
            <w:r>
              <w:rPr>
                <w:rFonts w:hint="eastAsia" w:ascii="宋体" w:hAnsi="宋体" w:eastAsia="宋体" w:cs="宋体"/>
                <w:color w:val="000000" w:themeColor="text1"/>
                <w:sz w:val="24"/>
                <w:highlight w:val="none"/>
                <w14:textFill>
                  <w14:solidFill>
                    <w14:schemeClr w14:val="tx1"/>
                  </w14:solidFill>
                </w14:textFill>
              </w:rPr>
              <w:t>邮政编码</w:t>
            </w:r>
            <w:bookmarkEnd w:id="241"/>
          </w:p>
        </w:tc>
        <w:tc>
          <w:tcPr>
            <w:tcW w:w="1870" w:type="dxa"/>
            <w:gridSpan w:val="3"/>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1668" w:type="dxa"/>
            <w:vMerge w:val="restart"/>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42" w:name="_Toc28570"/>
            <w:r>
              <w:rPr>
                <w:rFonts w:hint="eastAsia" w:ascii="宋体" w:hAnsi="宋体" w:eastAsia="宋体" w:cs="宋体"/>
                <w:color w:val="000000" w:themeColor="text1"/>
                <w:sz w:val="24"/>
                <w:highlight w:val="none"/>
                <w14:textFill>
                  <w14:solidFill>
                    <w14:schemeClr w14:val="tx1"/>
                  </w14:solidFill>
                </w14:textFill>
              </w:rPr>
              <w:t>联系方式</w:t>
            </w:r>
            <w:bookmarkEnd w:id="242"/>
          </w:p>
        </w:tc>
        <w:tc>
          <w:tcPr>
            <w:tcW w:w="992" w:type="dxa"/>
            <w:noWrap w:val="0"/>
            <w:vAlign w:val="center"/>
          </w:tcPr>
          <w:p>
            <w:pPr>
              <w:widowControl/>
              <w:spacing w:line="360" w:lineRule="auto"/>
              <w:jc w:val="left"/>
              <w:outlineLvl w:val="1"/>
              <w:rPr>
                <w:rFonts w:hint="eastAsia" w:ascii="宋体" w:hAnsi="宋体" w:eastAsia="宋体" w:cs="宋体"/>
                <w:color w:val="000000" w:themeColor="text1"/>
                <w:sz w:val="24"/>
                <w:highlight w:val="none"/>
                <w14:textFill>
                  <w14:solidFill>
                    <w14:schemeClr w14:val="tx1"/>
                  </w14:solidFill>
                </w14:textFill>
              </w:rPr>
            </w:pPr>
            <w:bookmarkStart w:id="243" w:name="_Toc30860"/>
            <w:r>
              <w:rPr>
                <w:rFonts w:hint="eastAsia" w:ascii="宋体" w:hAnsi="宋体" w:eastAsia="宋体" w:cs="宋体"/>
                <w:color w:val="000000" w:themeColor="text1"/>
                <w:sz w:val="24"/>
                <w:highlight w:val="none"/>
                <w14:textFill>
                  <w14:solidFill>
                    <w14:schemeClr w14:val="tx1"/>
                  </w14:solidFill>
                </w14:textFill>
              </w:rPr>
              <w:t>联系人</w:t>
            </w:r>
            <w:bookmarkEnd w:id="243"/>
          </w:p>
        </w:tc>
        <w:tc>
          <w:tcPr>
            <w:tcW w:w="2305"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1380" w:type="dxa"/>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bookmarkStart w:id="244" w:name="_Toc4118"/>
            <w:r>
              <w:rPr>
                <w:rFonts w:hint="eastAsia" w:ascii="宋体" w:hAnsi="宋体" w:eastAsia="宋体" w:cs="宋体"/>
                <w:color w:val="000000" w:themeColor="text1"/>
                <w:sz w:val="24"/>
                <w:highlight w:val="none"/>
                <w14:textFill>
                  <w14:solidFill>
                    <w14:schemeClr w14:val="tx1"/>
                  </w14:solidFill>
                </w14:textFill>
              </w:rPr>
              <w:t>电话</w:t>
            </w:r>
            <w:bookmarkEnd w:id="244"/>
          </w:p>
        </w:tc>
        <w:tc>
          <w:tcPr>
            <w:tcW w:w="1870" w:type="dxa"/>
            <w:gridSpan w:val="3"/>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8" w:hRule="atLeast"/>
          <w:jc w:val="center"/>
        </w:trPr>
        <w:tc>
          <w:tcPr>
            <w:tcW w:w="1668" w:type="dxa"/>
            <w:vMerge w:val="continue"/>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992" w:type="dxa"/>
            <w:noWrap w:val="0"/>
            <w:vAlign w:val="center"/>
          </w:tcPr>
          <w:p>
            <w:pPr>
              <w:widowControl/>
              <w:spacing w:line="360" w:lineRule="auto"/>
              <w:jc w:val="left"/>
              <w:outlineLvl w:val="1"/>
              <w:rPr>
                <w:rFonts w:hint="eastAsia" w:ascii="宋体" w:hAnsi="宋体" w:eastAsia="宋体" w:cs="宋体"/>
                <w:color w:val="000000" w:themeColor="text1"/>
                <w:sz w:val="24"/>
                <w:highlight w:val="none"/>
                <w14:textFill>
                  <w14:solidFill>
                    <w14:schemeClr w14:val="tx1"/>
                  </w14:solidFill>
                </w14:textFill>
              </w:rPr>
            </w:pPr>
            <w:bookmarkStart w:id="245" w:name="_Toc22921"/>
            <w:r>
              <w:rPr>
                <w:rFonts w:hint="eastAsia" w:ascii="宋体" w:hAnsi="宋体" w:eastAsia="宋体" w:cs="宋体"/>
                <w:color w:val="000000" w:themeColor="text1"/>
                <w:sz w:val="24"/>
                <w:highlight w:val="none"/>
                <w14:textFill>
                  <w14:solidFill>
                    <w14:schemeClr w14:val="tx1"/>
                  </w14:solidFill>
                </w14:textFill>
              </w:rPr>
              <w:t>传真</w:t>
            </w:r>
            <w:bookmarkEnd w:id="245"/>
          </w:p>
        </w:tc>
        <w:tc>
          <w:tcPr>
            <w:tcW w:w="2305"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1380" w:type="dxa"/>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bookmarkStart w:id="246" w:name="_Toc6000"/>
            <w:r>
              <w:rPr>
                <w:rFonts w:hint="eastAsia" w:ascii="宋体" w:hAnsi="宋体" w:eastAsia="宋体" w:cs="宋体"/>
                <w:color w:val="000000" w:themeColor="text1"/>
                <w:sz w:val="24"/>
                <w:highlight w:val="none"/>
                <w14:textFill>
                  <w14:solidFill>
                    <w14:schemeClr w14:val="tx1"/>
                  </w14:solidFill>
                </w14:textFill>
              </w:rPr>
              <w:t>网址</w:t>
            </w:r>
            <w:bookmarkEnd w:id="246"/>
          </w:p>
        </w:tc>
        <w:tc>
          <w:tcPr>
            <w:tcW w:w="1870" w:type="dxa"/>
            <w:gridSpan w:val="3"/>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47" w:name="_Toc28584"/>
            <w:r>
              <w:rPr>
                <w:rFonts w:hint="eastAsia" w:ascii="宋体" w:hAnsi="宋体" w:eastAsia="宋体" w:cs="宋体"/>
                <w:color w:val="000000" w:themeColor="text1"/>
                <w:sz w:val="24"/>
                <w:highlight w:val="none"/>
                <w14:textFill>
                  <w14:solidFill>
                    <w14:schemeClr w14:val="tx1"/>
                  </w14:solidFill>
                </w14:textFill>
              </w:rPr>
              <w:t>组织结构</w:t>
            </w:r>
            <w:bookmarkEnd w:id="247"/>
          </w:p>
        </w:tc>
        <w:tc>
          <w:tcPr>
            <w:tcW w:w="6547" w:type="dxa"/>
            <w:gridSpan w:val="7"/>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48" w:name="_Toc20262"/>
            <w:r>
              <w:rPr>
                <w:rFonts w:hint="eastAsia" w:ascii="宋体" w:hAnsi="宋体" w:eastAsia="宋体" w:cs="宋体"/>
                <w:color w:val="000000" w:themeColor="text1"/>
                <w:sz w:val="24"/>
                <w:highlight w:val="none"/>
                <w14:textFill>
                  <w14:solidFill>
                    <w14:schemeClr w14:val="tx1"/>
                  </w14:solidFill>
                </w14:textFill>
              </w:rPr>
              <w:t>法定代表人/单位负责人</w:t>
            </w:r>
            <w:bookmarkEnd w:id="248"/>
          </w:p>
        </w:tc>
        <w:tc>
          <w:tcPr>
            <w:tcW w:w="992" w:type="dxa"/>
            <w:noWrap w:val="0"/>
            <w:vAlign w:val="center"/>
          </w:tcPr>
          <w:p>
            <w:pPr>
              <w:widowControl/>
              <w:spacing w:line="360" w:lineRule="auto"/>
              <w:jc w:val="left"/>
              <w:outlineLvl w:val="1"/>
              <w:rPr>
                <w:rFonts w:hint="eastAsia" w:ascii="宋体" w:hAnsi="宋体" w:eastAsia="宋体" w:cs="宋体"/>
                <w:color w:val="000000" w:themeColor="text1"/>
                <w:sz w:val="24"/>
                <w:highlight w:val="none"/>
                <w14:textFill>
                  <w14:solidFill>
                    <w14:schemeClr w14:val="tx1"/>
                  </w14:solidFill>
                </w14:textFill>
              </w:rPr>
            </w:pPr>
            <w:bookmarkStart w:id="249" w:name="_Toc24176"/>
            <w:r>
              <w:rPr>
                <w:rFonts w:hint="eastAsia" w:ascii="宋体" w:hAnsi="宋体" w:eastAsia="宋体" w:cs="宋体"/>
                <w:color w:val="000000" w:themeColor="text1"/>
                <w:sz w:val="24"/>
                <w:highlight w:val="none"/>
                <w14:textFill>
                  <w14:solidFill>
                    <w14:schemeClr w14:val="tx1"/>
                  </w14:solidFill>
                </w14:textFill>
              </w:rPr>
              <w:t>姓名</w:t>
            </w:r>
            <w:bookmarkEnd w:id="249"/>
          </w:p>
        </w:tc>
        <w:tc>
          <w:tcPr>
            <w:tcW w:w="1058" w:type="dxa"/>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1247" w:type="dxa"/>
            <w:noWrap w:val="0"/>
            <w:vAlign w:val="center"/>
          </w:tcPr>
          <w:p>
            <w:pPr>
              <w:widowControl/>
              <w:spacing w:line="360" w:lineRule="auto"/>
              <w:jc w:val="left"/>
              <w:outlineLvl w:val="1"/>
              <w:rPr>
                <w:rFonts w:hint="eastAsia" w:ascii="宋体" w:hAnsi="宋体" w:eastAsia="宋体" w:cs="宋体"/>
                <w:color w:val="000000" w:themeColor="text1"/>
                <w:sz w:val="24"/>
                <w:highlight w:val="none"/>
                <w14:textFill>
                  <w14:solidFill>
                    <w14:schemeClr w14:val="tx1"/>
                  </w14:solidFill>
                </w14:textFill>
              </w:rPr>
            </w:pPr>
            <w:bookmarkStart w:id="250" w:name="_Toc13491"/>
            <w:r>
              <w:rPr>
                <w:rFonts w:hint="eastAsia" w:ascii="宋体" w:hAnsi="宋体" w:eastAsia="宋体" w:cs="宋体"/>
                <w:color w:val="000000" w:themeColor="text1"/>
                <w:sz w:val="24"/>
                <w:highlight w:val="none"/>
                <w14:textFill>
                  <w14:solidFill>
                    <w14:schemeClr w14:val="tx1"/>
                  </w14:solidFill>
                </w14:textFill>
              </w:rPr>
              <w:t>技术职称</w:t>
            </w:r>
            <w:bookmarkEnd w:id="250"/>
          </w:p>
        </w:tc>
        <w:tc>
          <w:tcPr>
            <w:tcW w:w="1380" w:type="dxa"/>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851" w:type="dxa"/>
            <w:gridSpan w:val="2"/>
            <w:noWrap w:val="0"/>
            <w:vAlign w:val="center"/>
          </w:tcPr>
          <w:p>
            <w:pPr>
              <w:widowControl/>
              <w:spacing w:line="360" w:lineRule="auto"/>
              <w:jc w:val="left"/>
              <w:outlineLvl w:val="1"/>
              <w:rPr>
                <w:rFonts w:hint="eastAsia" w:ascii="宋体" w:hAnsi="宋体" w:eastAsia="宋体" w:cs="宋体"/>
                <w:color w:val="000000" w:themeColor="text1"/>
                <w:sz w:val="24"/>
                <w:highlight w:val="none"/>
                <w14:textFill>
                  <w14:solidFill>
                    <w14:schemeClr w14:val="tx1"/>
                  </w14:solidFill>
                </w14:textFill>
              </w:rPr>
            </w:pPr>
            <w:bookmarkStart w:id="251" w:name="_Toc15668"/>
            <w:r>
              <w:rPr>
                <w:rFonts w:hint="eastAsia" w:ascii="宋体" w:hAnsi="宋体" w:eastAsia="宋体" w:cs="宋体"/>
                <w:color w:val="000000" w:themeColor="text1"/>
                <w:sz w:val="24"/>
                <w:highlight w:val="none"/>
                <w14:textFill>
                  <w14:solidFill>
                    <w14:schemeClr w14:val="tx1"/>
                  </w14:solidFill>
                </w14:textFill>
              </w:rPr>
              <w:t>电话</w:t>
            </w:r>
            <w:bookmarkEnd w:id="251"/>
          </w:p>
        </w:tc>
        <w:tc>
          <w:tcPr>
            <w:tcW w:w="1019" w:type="dxa"/>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52" w:name="_Toc31429"/>
            <w:r>
              <w:rPr>
                <w:rFonts w:hint="eastAsia" w:ascii="宋体" w:hAnsi="宋体" w:eastAsia="宋体" w:cs="宋体"/>
                <w:color w:val="000000" w:themeColor="text1"/>
                <w:sz w:val="24"/>
                <w:highlight w:val="none"/>
                <w14:textFill>
                  <w14:solidFill>
                    <w14:schemeClr w14:val="tx1"/>
                  </w14:solidFill>
                </w14:textFill>
              </w:rPr>
              <w:t>技术负责人</w:t>
            </w:r>
            <w:bookmarkEnd w:id="252"/>
          </w:p>
        </w:tc>
        <w:tc>
          <w:tcPr>
            <w:tcW w:w="992" w:type="dxa"/>
            <w:noWrap w:val="0"/>
            <w:vAlign w:val="center"/>
          </w:tcPr>
          <w:p>
            <w:pPr>
              <w:widowControl/>
              <w:spacing w:line="360" w:lineRule="auto"/>
              <w:jc w:val="left"/>
              <w:outlineLvl w:val="1"/>
              <w:rPr>
                <w:rFonts w:hint="eastAsia" w:ascii="宋体" w:hAnsi="宋体" w:eastAsia="宋体" w:cs="宋体"/>
                <w:color w:val="000000" w:themeColor="text1"/>
                <w:sz w:val="24"/>
                <w:highlight w:val="none"/>
                <w14:textFill>
                  <w14:solidFill>
                    <w14:schemeClr w14:val="tx1"/>
                  </w14:solidFill>
                </w14:textFill>
              </w:rPr>
            </w:pPr>
            <w:bookmarkStart w:id="253" w:name="_Toc4614"/>
            <w:r>
              <w:rPr>
                <w:rFonts w:hint="eastAsia" w:ascii="宋体" w:hAnsi="宋体" w:eastAsia="宋体" w:cs="宋体"/>
                <w:color w:val="000000" w:themeColor="text1"/>
                <w:sz w:val="24"/>
                <w:highlight w:val="none"/>
                <w14:textFill>
                  <w14:solidFill>
                    <w14:schemeClr w14:val="tx1"/>
                  </w14:solidFill>
                </w14:textFill>
              </w:rPr>
              <w:t>姓名</w:t>
            </w:r>
            <w:bookmarkEnd w:id="253"/>
          </w:p>
        </w:tc>
        <w:tc>
          <w:tcPr>
            <w:tcW w:w="1058" w:type="dxa"/>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1247" w:type="dxa"/>
            <w:noWrap w:val="0"/>
            <w:vAlign w:val="center"/>
          </w:tcPr>
          <w:p>
            <w:pPr>
              <w:widowControl/>
              <w:spacing w:line="360" w:lineRule="auto"/>
              <w:jc w:val="left"/>
              <w:outlineLvl w:val="1"/>
              <w:rPr>
                <w:rFonts w:hint="eastAsia" w:ascii="宋体" w:hAnsi="宋体" w:eastAsia="宋体" w:cs="宋体"/>
                <w:color w:val="000000" w:themeColor="text1"/>
                <w:sz w:val="24"/>
                <w:highlight w:val="none"/>
                <w14:textFill>
                  <w14:solidFill>
                    <w14:schemeClr w14:val="tx1"/>
                  </w14:solidFill>
                </w14:textFill>
              </w:rPr>
            </w:pPr>
            <w:bookmarkStart w:id="254" w:name="_Toc7379"/>
            <w:r>
              <w:rPr>
                <w:rFonts w:hint="eastAsia" w:ascii="宋体" w:hAnsi="宋体" w:eastAsia="宋体" w:cs="宋体"/>
                <w:color w:val="000000" w:themeColor="text1"/>
                <w:sz w:val="24"/>
                <w:highlight w:val="none"/>
                <w14:textFill>
                  <w14:solidFill>
                    <w14:schemeClr w14:val="tx1"/>
                  </w14:solidFill>
                </w14:textFill>
              </w:rPr>
              <w:t>技术职称</w:t>
            </w:r>
            <w:bookmarkEnd w:id="254"/>
          </w:p>
        </w:tc>
        <w:tc>
          <w:tcPr>
            <w:tcW w:w="1380" w:type="dxa"/>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851" w:type="dxa"/>
            <w:gridSpan w:val="2"/>
            <w:noWrap w:val="0"/>
            <w:vAlign w:val="center"/>
          </w:tcPr>
          <w:p>
            <w:pPr>
              <w:widowControl/>
              <w:spacing w:line="360" w:lineRule="auto"/>
              <w:jc w:val="left"/>
              <w:outlineLvl w:val="1"/>
              <w:rPr>
                <w:rFonts w:hint="eastAsia" w:ascii="宋体" w:hAnsi="宋体" w:eastAsia="宋体" w:cs="宋体"/>
                <w:color w:val="000000" w:themeColor="text1"/>
                <w:sz w:val="24"/>
                <w:highlight w:val="none"/>
                <w14:textFill>
                  <w14:solidFill>
                    <w14:schemeClr w14:val="tx1"/>
                  </w14:solidFill>
                </w14:textFill>
              </w:rPr>
            </w:pPr>
            <w:bookmarkStart w:id="255" w:name="_Toc2414"/>
            <w:r>
              <w:rPr>
                <w:rFonts w:hint="eastAsia" w:ascii="宋体" w:hAnsi="宋体" w:eastAsia="宋体" w:cs="宋体"/>
                <w:color w:val="000000" w:themeColor="text1"/>
                <w:sz w:val="24"/>
                <w:highlight w:val="none"/>
                <w14:textFill>
                  <w14:solidFill>
                    <w14:schemeClr w14:val="tx1"/>
                  </w14:solidFill>
                </w14:textFill>
              </w:rPr>
              <w:t>电话</w:t>
            </w:r>
            <w:bookmarkEnd w:id="255"/>
          </w:p>
        </w:tc>
        <w:tc>
          <w:tcPr>
            <w:tcW w:w="1019" w:type="dxa"/>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56" w:name="_Toc24716"/>
            <w:r>
              <w:rPr>
                <w:rFonts w:hint="eastAsia" w:ascii="宋体" w:hAnsi="宋体" w:eastAsia="宋体" w:cs="宋体"/>
                <w:color w:val="000000" w:themeColor="text1"/>
                <w:sz w:val="24"/>
                <w:highlight w:val="none"/>
                <w14:textFill>
                  <w14:solidFill>
                    <w14:schemeClr w14:val="tx1"/>
                  </w14:solidFill>
                </w14:textFill>
              </w:rPr>
              <w:t>成立时间</w:t>
            </w:r>
            <w:bookmarkEnd w:id="256"/>
          </w:p>
        </w:tc>
        <w:tc>
          <w:tcPr>
            <w:tcW w:w="2050"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4497" w:type="dxa"/>
            <w:gridSpan w:val="5"/>
            <w:noWrap w:val="0"/>
            <w:vAlign w:val="center"/>
          </w:tcPr>
          <w:p>
            <w:pPr>
              <w:widowControl/>
              <w:spacing w:line="360" w:lineRule="auto"/>
              <w:jc w:val="left"/>
              <w:outlineLvl w:val="1"/>
              <w:rPr>
                <w:rFonts w:hint="eastAsia" w:ascii="宋体" w:hAnsi="宋体" w:eastAsia="宋体" w:cs="宋体"/>
                <w:color w:val="000000" w:themeColor="text1"/>
                <w:sz w:val="24"/>
                <w:highlight w:val="none"/>
                <w14:textFill>
                  <w14:solidFill>
                    <w14:schemeClr w14:val="tx1"/>
                  </w14:solidFill>
                </w14:textFill>
              </w:rPr>
            </w:pPr>
            <w:bookmarkStart w:id="257" w:name="_Toc30867"/>
            <w:r>
              <w:rPr>
                <w:rFonts w:hint="eastAsia" w:ascii="宋体" w:hAnsi="宋体" w:eastAsia="宋体" w:cs="宋体"/>
                <w:color w:val="000000" w:themeColor="text1"/>
                <w:sz w:val="24"/>
                <w:highlight w:val="none"/>
                <w14:textFill>
                  <w14:solidFill>
                    <w14:schemeClr w14:val="tx1"/>
                  </w14:solidFill>
                </w14:textFill>
              </w:rPr>
              <w:t>员工总人数：</w:t>
            </w:r>
            <w:bookmarkEnd w:id="257"/>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58" w:name="_Toc15304"/>
            <w:r>
              <w:rPr>
                <w:rFonts w:hint="eastAsia" w:ascii="宋体" w:hAnsi="宋体" w:eastAsia="宋体" w:cs="宋体"/>
                <w:color w:val="000000" w:themeColor="text1"/>
                <w:sz w:val="24"/>
                <w:highlight w:val="none"/>
                <w14:textFill>
                  <w14:solidFill>
                    <w14:schemeClr w14:val="tx1"/>
                  </w14:solidFill>
                </w14:textFill>
              </w:rPr>
              <w:t>企业资质等级</w:t>
            </w:r>
            <w:bookmarkEnd w:id="258"/>
          </w:p>
        </w:tc>
        <w:tc>
          <w:tcPr>
            <w:tcW w:w="2050"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1247" w:type="dxa"/>
            <w:vMerge w:val="restart"/>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59" w:name="_Toc26109"/>
            <w:r>
              <w:rPr>
                <w:rFonts w:hint="eastAsia" w:ascii="宋体" w:hAnsi="宋体" w:eastAsia="宋体" w:cs="宋体"/>
                <w:color w:val="000000" w:themeColor="text1"/>
                <w:sz w:val="24"/>
                <w:highlight w:val="none"/>
                <w14:textFill>
                  <w14:solidFill>
                    <w14:schemeClr w14:val="tx1"/>
                  </w14:solidFill>
                </w14:textFill>
              </w:rPr>
              <w:t>其中</w:t>
            </w:r>
            <w:bookmarkEnd w:id="259"/>
          </w:p>
        </w:tc>
        <w:tc>
          <w:tcPr>
            <w:tcW w:w="1664" w:type="dxa"/>
            <w:gridSpan w:val="2"/>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60" w:name="_Toc2772"/>
            <w:r>
              <w:rPr>
                <w:rFonts w:hint="eastAsia" w:ascii="宋体" w:hAnsi="宋体" w:eastAsia="宋体" w:cs="宋体"/>
                <w:color w:val="000000" w:themeColor="text1"/>
                <w:sz w:val="24"/>
                <w:highlight w:val="none"/>
                <w14:textFill>
                  <w14:solidFill>
                    <w14:schemeClr w14:val="tx1"/>
                  </w14:solidFill>
                </w14:textFill>
              </w:rPr>
              <w:t>项目经理</w:t>
            </w:r>
            <w:bookmarkEnd w:id="260"/>
          </w:p>
        </w:tc>
        <w:tc>
          <w:tcPr>
            <w:tcW w:w="1586"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61" w:name="_Toc29979"/>
            <w:r>
              <w:rPr>
                <w:rFonts w:hint="eastAsia" w:ascii="宋体" w:hAnsi="宋体" w:eastAsia="宋体" w:cs="宋体"/>
                <w:color w:val="000000" w:themeColor="text1"/>
                <w:sz w:val="24"/>
                <w:highlight w:val="none"/>
                <w14:textFill>
                  <w14:solidFill>
                    <w14:schemeClr w14:val="tx1"/>
                  </w14:solidFill>
                </w14:textFill>
              </w:rPr>
              <w:t>营业执照号</w:t>
            </w:r>
            <w:bookmarkEnd w:id="261"/>
          </w:p>
        </w:tc>
        <w:tc>
          <w:tcPr>
            <w:tcW w:w="2050"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1247" w:type="dxa"/>
            <w:vMerge w:val="continue"/>
            <w:noWrap w:val="0"/>
            <w:vAlign w:val="center"/>
          </w:tcPr>
          <w:p>
            <w:pPr>
              <w:spacing w:line="360" w:lineRule="auto"/>
              <w:rPr>
                <w:rFonts w:hint="eastAsia" w:ascii="宋体" w:hAnsi="宋体" w:eastAsia="宋体" w:cs="宋体"/>
                <w:color w:val="000000" w:themeColor="text1"/>
                <w:highlight w:val="none"/>
                <w14:textFill>
                  <w14:solidFill>
                    <w14:schemeClr w14:val="tx1"/>
                  </w14:solidFill>
                </w14:textFill>
              </w:rPr>
            </w:pPr>
          </w:p>
        </w:tc>
        <w:tc>
          <w:tcPr>
            <w:tcW w:w="1664" w:type="dxa"/>
            <w:gridSpan w:val="2"/>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62" w:name="_Toc8789"/>
            <w:r>
              <w:rPr>
                <w:rFonts w:hint="eastAsia" w:ascii="宋体" w:hAnsi="宋体" w:eastAsia="宋体" w:cs="宋体"/>
                <w:color w:val="000000" w:themeColor="text1"/>
                <w:sz w:val="24"/>
                <w:highlight w:val="none"/>
                <w14:textFill>
                  <w14:solidFill>
                    <w14:schemeClr w14:val="tx1"/>
                  </w14:solidFill>
                </w14:textFill>
              </w:rPr>
              <w:t>高级职称人员</w:t>
            </w:r>
            <w:bookmarkEnd w:id="262"/>
          </w:p>
        </w:tc>
        <w:tc>
          <w:tcPr>
            <w:tcW w:w="1586"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63" w:name="_Toc13096"/>
            <w:r>
              <w:rPr>
                <w:rFonts w:hint="eastAsia" w:ascii="宋体" w:hAnsi="宋体" w:eastAsia="宋体" w:cs="宋体"/>
                <w:color w:val="000000" w:themeColor="text1"/>
                <w:sz w:val="24"/>
                <w:highlight w:val="none"/>
                <w14:textFill>
                  <w14:solidFill>
                    <w14:schemeClr w14:val="tx1"/>
                  </w14:solidFill>
                </w14:textFill>
              </w:rPr>
              <w:t>注册资金</w:t>
            </w:r>
            <w:bookmarkEnd w:id="263"/>
          </w:p>
        </w:tc>
        <w:tc>
          <w:tcPr>
            <w:tcW w:w="2050"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1247" w:type="dxa"/>
            <w:vMerge w:val="continue"/>
            <w:noWrap w:val="0"/>
            <w:vAlign w:val="center"/>
          </w:tcPr>
          <w:p>
            <w:pPr>
              <w:spacing w:line="360" w:lineRule="auto"/>
              <w:rPr>
                <w:rFonts w:hint="eastAsia" w:ascii="宋体" w:hAnsi="宋体" w:eastAsia="宋体" w:cs="宋体"/>
                <w:color w:val="000000" w:themeColor="text1"/>
                <w:highlight w:val="none"/>
                <w14:textFill>
                  <w14:solidFill>
                    <w14:schemeClr w14:val="tx1"/>
                  </w14:solidFill>
                </w14:textFill>
              </w:rPr>
            </w:pPr>
          </w:p>
        </w:tc>
        <w:tc>
          <w:tcPr>
            <w:tcW w:w="1664" w:type="dxa"/>
            <w:gridSpan w:val="2"/>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64" w:name="_Toc24859"/>
            <w:r>
              <w:rPr>
                <w:rFonts w:hint="eastAsia" w:ascii="宋体" w:hAnsi="宋体" w:eastAsia="宋体" w:cs="宋体"/>
                <w:color w:val="000000" w:themeColor="text1"/>
                <w:sz w:val="24"/>
                <w:highlight w:val="none"/>
                <w14:textFill>
                  <w14:solidFill>
                    <w14:schemeClr w14:val="tx1"/>
                  </w14:solidFill>
                </w14:textFill>
              </w:rPr>
              <w:t>中级职称人员</w:t>
            </w:r>
            <w:bookmarkEnd w:id="264"/>
          </w:p>
        </w:tc>
        <w:tc>
          <w:tcPr>
            <w:tcW w:w="1586"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65" w:name="_Toc30770"/>
            <w:r>
              <w:rPr>
                <w:rFonts w:hint="eastAsia" w:ascii="宋体" w:hAnsi="宋体" w:eastAsia="宋体" w:cs="宋体"/>
                <w:color w:val="000000" w:themeColor="text1"/>
                <w:sz w:val="24"/>
                <w:highlight w:val="none"/>
                <w14:textFill>
                  <w14:solidFill>
                    <w14:schemeClr w14:val="tx1"/>
                  </w14:solidFill>
                </w14:textFill>
              </w:rPr>
              <w:t>开户银行</w:t>
            </w:r>
            <w:bookmarkEnd w:id="265"/>
          </w:p>
        </w:tc>
        <w:tc>
          <w:tcPr>
            <w:tcW w:w="2050"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1247" w:type="dxa"/>
            <w:vMerge w:val="continue"/>
            <w:noWrap w:val="0"/>
            <w:vAlign w:val="center"/>
          </w:tcPr>
          <w:p>
            <w:pPr>
              <w:spacing w:line="360" w:lineRule="auto"/>
              <w:rPr>
                <w:rFonts w:hint="eastAsia" w:ascii="宋体" w:hAnsi="宋体" w:eastAsia="宋体" w:cs="宋体"/>
                <w:color w:val="000000" w:themeColor="text1"/>
                <w:highlight w:val="none"/>
                <w14:textFill>
                  <w14:solidFill>
                    <w14:schemeClr w14:val="tx1"/>
                  </w14:solidFill>
                </w14:textFill>
              </w:rPr>
            </w:pPr>
          </w:p>
        </w:tc>
        <w:tc>
          <w:tcPr>
            <w:tcW w:w="1664" w:type="dxa"/>
            <w:gridSpan w:val="2"/>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66" w:name="_Toc18830"/>
            <w:r>
              <w:rPr>
                <w:rFonts w:hint="eastAsia" w:ascii="宋体" w:hAnsi="宋体" w:eastAsia="宋体" w:cs="宋体"/>
                <w:color w:val="000000" w:themeColor="text1"/>
                <w:sz w:val="24"/>
                <w:highlight w:val="none"/>
                <w14:textFill>
                  <w14:solidFill>
                    <w14:schemeClr w14:val="tx1"/>
                  </w14:solidFill>
                </w14:textFill>
              </w:rPr>
              <w:t>初级职称人员</w:t>
            </w:r>
            <w:bookmarkEnd w:id="266"/>
          </w:p>
        </w:tc>
        <w:tc>
          <w:tcPr>
            <w:tcW w:w="1586"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1668" w:type="dxa"/>
            <w:noWrap w:val="0"/>
            <w:vAlign w:val="center"/>
          </w:tcPr>
          <w:p>
            <w:pPr>
              <w:widowControl/>
              <w:spacing w:line="360" w:lineRule="auto"/>
              <w:ind w:firstLine="470" w:firstLineChars="196"/>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67" w:name="_Toc25926"/>
            <w:r>
              <w:rPr>
                <w:rFonts w:hint="eastAsia" w:ascii="宋体" w:hAnsi="宋体" w:eastAsia="宋体" w:cs="宋体"/>
                <w:color w:val="000000" w:themeColor="text1"/>
                <w:sz w:val="24"/>
                <w:highlight w:val="none"/>
                <w14:textFill>
                  <w14:solidFill>
                    <w14:schemeClr w14:val="tx1"/>
                  </w14:solidFill>
                </w14:textFill>
              </w:rPr>
              <w:t>账号</w:t>
            </w:r>
            <w:bookmarkEnd w:id="267"/>
          </w:p>
        </w:tc>
        <w:tc>
          <w:tcPr>
            <w:tcW w:w="2050"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1247" w:type="dxa"/>
            <w:vMerge w:val="continue"/>
            <w:noWrap w:val="0"/>
            <w:vAlign w:val="center"/>
          </w:tcPr>
          <w:p>
            <w:pPr>
              <w:spacing w:line="360" w:lineRule="auto"/>
              <w:rPr>
                <w:rFonts w:hint="eastAsia" w:ascii="宋体" w:hAnsi="宋体" w:eastAsia="宋体" w:cs="宋体"/>
                <w:color w:val="000000" w:themeColor="text1"/>
                <w:highlight w:val="none"/>
                <w14:textFill>
                  <w14:solidFill>
                    <w14:schemeClr w14:val="tx1"/>
                  </w14:solidFill>
                </w14:textFill>
              </w:rPr>
            </w:pPr>
          </w:p>
        </w:tc>
        <w:tc>
          <w:tcPr>
            <w:tcW w:w="1664" w:type="dxa"/>
            <w:gridSpan w:val="2"/>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68" w:name="_Toc10153"/>
            <w:r>
              <w:rPr>
                <w:rFonts w:hint="eastAsia" w:ascii="宋体" w:hAnsi="宋体" w:eastAsia="宋体" w:cs="宋体"/>
                <w:color w:val="000000" w:themeColor="text1"/>
                <w:sz w:val="24"/>
                <w:highlight w:val="none"/>
                <w14:textFill>
                  <w14:solidFill>
                    <w14:schemeClr w14:val="tx1"/>
                  </w14:solidFill>
                </w14:textFill>
              </w:rPr>
              <w:t>技工</w:t>
            </w:r>
            <w:bookmarkEnd w:id="268"/>
          </w:p>
        </w:tc>
        <w:tc>
          <w:tcPr>
            <w:tcW w:w="1586" w:type="dxa"/>
            <w:gridSpan w:val="2"/>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986"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69" w:name="_Toc4368"/>
            <w:r>
              <w:rPr>
                <w:rFonts w:hint="eastAsia" w:ascii="宋体" w:hAnsi="宋体" w:eastAsia="宋体" w:cs="宋体"/>
                <w:color w:val="000000" w:themeColor="text1"/>
                <w:sz w:val="24"/>
                <w:highlight w:val="none"/>
                <w14:textFill>
                  <w14:solidFill>
                    <w14:schemeClr w14:val="tx1"/>
                  </w14:solidFill>
                </w14:textFill>
              </w:rPr>
              <w:t>经营范围</w:t>
            </w:r>
            <w:bookmarkEnd w:id="269"/>
          </w:p>
        </w:tc>
        <w:tc>
          <w:tcPr>
            <w:tcW w:w="6547" w:type="dxa"/>
            <w:gridSpan w:val="7"/>
            <w:noWrap w:val="0"/>
            <w:vAlign w:val="center"/>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72" w:hRule="atLeast"/>
          <w:jc w:val="center"/>
        </w:trPr>
        <w:tc>
          <w:tcPr>
            <w:tcW w:w="1668" w:type="dxa"/>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70" w:name="_Toc12184"/>
            <w:r>
              <w:rPr>
                <w:rFonts w:hint="eastAsia" w:ascii="宋体" w:hAnsi="宋体" w:eastAsia="宋体" w:cs="宋体"/>
                <w:color w:val="000000" w:themeColor="text1"/>
                <w:sz w:val="24"/>
                <w:highlight w:val="none"/>
                <w14:textFill>
                  <w14:solidFill>
                    <w14:schemeClr w14:val="tx1"/>
                  </w14:solidFill>
                </w14:textFill>
              </w:rPr>
              <w:t>备注</w:t>
            </w:r>
            <w:bookmarkEnd w:id="270"/>
          </w:p>
        </w:tc>
        <w:tc>
          <w:tcPr>
            <w:tcW w:w="6547" w:type="dxa"/>
            <w:gridSpan w:val="7"/>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bl>
    <w:p>
      <w:pPr>
        <w:pStyle w:val="2"/>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投标人名称：XXXX（单位盖章）。</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法定代表人/单位负责人或授权代表（签字或加盖个人名章）：XXXX。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日期：XXXX。</w:t>
      </w:r>
    </w:p>
    <w:p>
      <w:pPr>
        <w:adjustRightInd w:val="0"/>
        <w:spacing w:line="360" w:lineRule="auto"/>
        <w:ind w:firstLine="560" w:firstLineChars="200"/>
        <w:jc w:val="left"/>
        <w:rPr>
          <w:rFonts w:ascii="宋体" w:hAnsi="宋体" w:cs="宋体"/>
          <w:color w:val="000000" w:themeColor="text1"/>
          <w:sz w:val="28"/>
          <w:highlight w:val="none"/>
          <w14:textFill>
            <w14:solidFill>
              <w14:schemeClr w14:val="tx1"/>
            </w14:solidFill>
          </w14:textFill>
        </w:rPr>
        <w:sectPr>
          <w:pgSz w:w="11907" w:h="16840"/>
          <w:pgMar w:top="851" w:right="1134" w:bottom="851" w:left="1418" w:header="851" w:footer="992" w:gutter="0"/>
          <w:cols w:space="720" w:num="1"/>
          <w:docGrid w:linePitch="312" w:charSpace="0"/>
        </w:sectPr>
      </w:pPr>
    </w:p>
    <w:p>
      <w:pPr>
        <w:widowControl/>
        <w:spacing w:line="360" w:lineRule="auto"/>
        <w:ind w:firstLine="643"/>
        <w:jc w:val="center"/>
        <w:outlineLvl w:val="1"/>
        <w:rPr>
          <w:rFonts w:ascii="宋体" w:hAnsi="宋体" w:cs="宋体"/>
          <w:color w:val="000000" w:themeColor="text1"/>
          <w:highlight w:val="none"/>
          <w:u w:val="single"/>
          <w14:textFill>
            <w14:solidFill>
              <w14:schemeClr w14:val="tx1"/>
            </w14:solidFill>
          </w14:textFill>
        </w:rPr>
      </w:pPr>
      <w:bookmarkStart w:id="271" w:name="_Toc15989"/>
      <w:r>
        <w:rPr>
          <w:rFonts w:hint="eastAsia" w:ascii="宋体" w:hAnsi="宋体" w:cs="宋体"/>
          <w:b/>
          <w:color w:val="000000" w:themeColor="text1"/>
          <w:sz w:val="32"/>
          <w:szCs w:val="32"/>
          <w:highlight w:val="none"/>
          <w14:textFill>
            <w14:solidFill>
              <w14:schemeClr w14:val="tx1"/>
            </w14:solidFill>
          </w14:textFill>
        </w:rPr>
        <w:t>七、技术（服务）应答表</w:t>
      </w:r>
      <w:bookmarkEnd w:id="271"/>
      <w:r>
        <w:rPr>
          <w:rFonts w:hint="eastAsia" w:ascii="宋体" w:hAnsi="宋体" w:cs="宋体"/>
          <w:color w:val="000000" w:themeColor="text1"/>
          <w:sz w:val="24"/>
          <w:szCs w:val="22"/>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678"/>
        <w:gridCol w:w="1426"/>
        <w:gridCol w:w="1495"/>
        <w:gridCol w:w="1630"/>
        <w:gridCol w:w="1251"/>
        <w:gridCol w:w="11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pPr>
              <w:pStyle w:val="2"/>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1678" w:type="dxa"/>
            <w:tcBorders>
              <w:top w:val="single" w:color="auto" w:sz="4" w:space="0"/>
              <w:left w:val="single" w:color="auto" w:sz="4" w:space="0"/>
              <w:bottom w:val="single" w:color="auto" w:sz="4" w:space="0"/>
              <w:right w:val="single" w:color="auto" w:sz="4" w:space="0"/>
            </w:tcBorders>
            <w:noWrap w:val="0"/>
            <w:vAlign w:val="center"/>
          </w:tcPr>
          <w:p>
            <w:pPr>
              <w:pStyle w:val="2"/>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产品名称</w:t>
            </w:r>
          </w:p>
        </w:tc>
        <w:tc>
          <w:tcPr>
            <w:tcW w:w="1426" w:type="dxa"/>
            <w:tcBorders>
              <w:top w:val="single" w:color="auto" w:sz="4" w:space="0"/>
              <w:left w:val="single" w:color="auto" w:sz="4" w:space="0"/>
              <w:bottom w:val="single" w:color="auto" w:sz="4" w:space="0"/>
              <w:right w:val="single" w:color="auto" w:sz="4" w:space="0"/>
            </w:tcBorders>
            <w:noWrap w:val="0"/>
            <w:vAlign w:val="center"/>
          </w:tcPr>
          <w:p>
            <w:pPr>
              <w:pStyle w:val="2"/>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招标文件</w:t>
            </w:r>
          </w:p>
          <w:p>
            <w:pPr>
              <w:pStyle w:val="2"/>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要求</w:t>
            </w:r>
          </w:p>
        </w:tc>
        <w:tc>
          <w:tcPr>
            <w:tcW w:w="1495" w:type="dxa"/>
            <w:tcBorders>
              <w:top w:val="single" w:color="auto" w:sz="4" w:space="0"/>
              <w:left w:val="single" w:color="auto" w:sz="4" w:space="0"/>
              <w:bottom w:val="single" w:color="auto" w:sz="4" w:space="0"/>
              <w:right w:val="single" w:color="auto" w:sz="4" w:space="0"/>
            </w:tcBorders>
            <w:noWrap w:val="0"/>
            <w:vAlign w:val="center"/>
          </w:tcPr>
          <w:p>
            <w:pPr>
              <w:pStyle w:val="2"/>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响应产品品牌、型号</w:t>
            </w:r>
          </w:p>
        </w:tc>
        <w:tc>
          <w:tcPr>
            <w:tcW w:w="1630" w:type="dxa"/>
            <w:tcBorders>
              <w:top w:val="single" w:color="auto" w:sz="4" w:space="0"/>
              <w:left w:val="single" w:color="auto" w:sz="4" w:space="0"/>
              <w:bottom w:val="single" w:color="auto" w:sz="4" w:space="0"/>
              <w:right w:val="single" w:color="auto" w:sz="4" w:space="0"/>
            </w:tcBorders>
            <w:noWrap w:val="0"/>
            <w:vAlign w:val="center"/>
          </w:tcPr>
          <w:p>
            <w:pPr>
              <w:pStyle w:val="2"/>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响应产品</w:t>
            </w:r>
          </w:p>
          <w:p>
            <w:pPr>
              <w:pStyle w:val="2"/>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技术参数</w:t>
            </w:r>
          </w:p>
        </w:tc>
        <w:tc>
          <w:tcPr>
            <w:tcW w:w="1251" w:type="dxa"/>
            <w:tcBorders>
              <w:top w:val="single" w:color="auto" w:sz="4" w:space="0"/>
              <w:left w:val="single" w:color="auto" w:sz="4" w:space="0"/>
              <w:bottom w:val="single" w:color="auto" w:sz="4" w:space="0"/>
              <w:right w:val="single" w:color="auto" w:sz="4" w:space="0"/>
            </w:tcBorders>
            <w:noWrap w:val="0"/>
            <w:vAlign w:val="center"/>
          </w:tcPr>
          <w:p>
            <w:pPr>
              <w:pStyle w:val="2"/>
              <w:ind w:firstLine="0"/>
              <w:jc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正/负</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/无</w:t>
            </w:r>
          </w:p>
          <w:p>
            <w:pPr>
              <w:pStyle w:val="2"/>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偏离</w:t>
            </w:r>
          </w:p>
        </w:tc>
        <w:tc>
          <w:tcPr>
            <w:tcW w:w="1194" w:type="dxa"/>
            <w:tcBorders>
              <w:top w:val="single" w:color="auto" w:sz="4" w:space="0"/>
              <w:left w:val="single" w:color="auto" w:sz="4" w:space="0"/>
              <w:bottom w:val="single" w:color="auto" w:sz="4" w:space="0"/>
              <w:right w:val="single" w:color="auto" w:sz="4" w:space="0"/>
            </w:tcBorders>
            <w:noWrap w:val="0"/>
            <w:vAlign w:val="center"/>
          </w:tcPr>
          <w:p>
            <w:pPr>
              <w:pStyle w:val="2"/>
              <w:ind w:left="0" w:leftChars="0" w:firstLine="0" w:firstLineChars="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pPr>
              <w:pStyle w:val="2"/>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678"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426"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51"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194"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pPr>
              <w:pStyle w:val="2"/>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1678"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426"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630"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51"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194"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22" w:type="dxa"/>
            <w:tcBorders>
              <w:top w:val="single" w:color="auto" w:sz="4" w:space="0"/>
              <w:left w:val="single" w:color="auto" w:sz="4" w:space="0"/>
              <w:bottom w:val="single" w:color="auto" w:sz="4" w:space="0"/>
              <w:right w:val="single" w:color="auto" w:sz="4" w:space="0"/>
            </w:tcBorders>
            <w:noWrap w:val="0"/>
            <w:vAlign w:val="center"/>
          </w:tcPr>
          <w:p>
            <w:pPr>
              <w:pStyle w:val="2"/>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167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142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149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163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12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119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r>
    </w:tbl>
    <w:p>
      <w:pPr>
        <w:pStyle w:val="2"/>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注：投标人必须根据招标文件第六章本项目的技术、服务要求据实填写，不得虚假应答，否则将取消其投标或中标资格。</w:t>
      </w:r>
    </w:p>
    <w:p>
      <w:pPr>
        <w:pStyle w:val="2"/>
        <w:ind w:firstLine="482"/>
        <w:rPr>
          <w:rFonts w:ascii="宋体" w:hAnsi="宋体" w:cs="宋体"/>
          <w:color w:val="000000" w:themeColor="text1"/>
          <w:sz w:val="24"/>
          <w:highlight w:val="none"/>
          <w14:textFill>
            <w14:solidFill>
              <w14:schemeClr w14:val="tx1"/>
            </w14:solidFill>
          </w14:textFill>
        </w:rPr>
      </w:pPr>
    </w:p>
    <w:p>
      <w:pPr>
        <w:pStyle w:val="2"/>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投标人名称：XXXX（单位盖章）。</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法定代表人/单位负责人或授权代表（签字或加盖个人名章）：XXXX。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日期：XXXX。</w:t>
      </w:r>
    </w:p>
    <w:bookmarkEnd w:id="236"/>
    <w:bookmarkEnd w:id="237"/>
    <w:bookmarkEnd w:id="238"/>
    <w:p>
      <w:pPr>
        <w:adjustRightInd w:val="0"/>
        <w:spacing w:line="400" w:lineRule="exact"/>
        <w:ind w:firstLine="640"/>
        <w:jc w:val="left"/>
        <w:rPr>
          <w:rFonts w:ascii="宋体" w:hAnsi="宋体" w:cs="宋体"/>
          <w:b/>
          <w:color w:val="000000" w:themeColor="text1"/>
          <w:sz w:val="32"/>
          <w:szCs w:val="28"/>
          <w:highlight w:val="none"/>
          <w14:textFill>
            <w14:solidFill>
              <w14:schemeClr w14:val="tx1"/>
            </w14:solidFill>
          </w14:textFill>
        </w:rPr>
      </w:pPr>
    </w:p>
    <w:p>
      <w:pPr>
        <w:adjustRightInd w:val="0"/>
        <w:spacing w:line="400" w:lineRule="exact"/>
        <w:ind w:firstLine="560"/>
        <w:jc w:val="left"/>
        <w:rPr>
          <w:rFonts w:ascii="宋体" w:hAnsi="宋体" w:cs="宋体"/>
          <w:b/>
          <w:color w:val="000000" w:themeColor="text1"/>
          <w:sz w:val="28"/>
          <w:szCs w:val="28"/>
          <w:highlight w:val="none"/>
          <w14:textFill>
            <w14:solidFill>
              <w14:schemeClr w14:val="tx1"/>
            </w14:solidFill>
          </w14:textFill>
        </w:rPr>
      </w:pPr>
    </w:p>
    <w:p>
      <w:pPr>
        <w:widowControl/>
        <w:spacing w:line="360" w:lineRule="auto"/>
        <w:ind w:firstLine="643"/>
        <w:jc w:val="center"/>
        <w:outlineLvl w:val="1"/>
        <w:rPr>
          <w:rFonts w:ascii="宋体" w:hAnsi="宋体" w:cs="宋体"/>
          <w:color w:val="000000" w:themeColor="text1"/>
          <w:highlight w:val="none"/>
          <w:u w:val="singl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r>
      <w:bookmarkStart w:id="272" w:name="_Toc8818"/>
      <w:r>
        <w:rPr>
          <w:rFonts w:hint="eastAsia" w:ascii="宋体" w:hAnsi="宋体" w:cs="宋体"/>
          <w:b/>
          <w:color w:val="000000" w:themeColor="text1"/>
          <w:sz w:val="32"/>
          <w:szCs w:val="32"/>
          <w:highlight w:val="none"/>
          <w14:textFill>
            <w14:solidFill>
              <w14:schemeClr w14:val="tx1"/>
            </w14:solidFill>
          </w14:textFill>
        </w:rPr>
        <w:t>八、投标人本项目管理、技术、服务人员情况表</w:t>
      </w:r>
      <w:bookmarkEnd w:id="272"/>
      <w:r>
        <w:rPr>
          <w:rFonts w:hint="eastAsia" w:ascii="宋体" w:hAnsi="宋体" w:cs="宋体"/>
          <w:color w:val="000000" w:themeColor="text1"/>
          <w:sz w:val="24"/>
          <w:szCs w:val="22"/>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tbl>
      <w:tblPr>
        <w:tblStyle w:val="59"/>
        <w:tblW w:w="50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3"/>
        <w:gridCol w:w="1019"/>
        <w:gridCol w:w="1019"/>
        <w:gridCol w:w="1019"/>
        <w:gridCol w:w="1019"/>
        <w:gridCol w:w="1075"/>
        <w:gridCol w:w="1215"/>
        <w:gridCol w:w="1070"/>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jc w:val="center"/>
        </w:trPr>
        <w:tc>
          <w:tcPr>
            <w:tcW w:w="628" w:type="pct"/>
            <w:vMerge w:val="restart"/>
            <w:noWrap w:val="0"/>
            <w:vAlign w:val="center"/>
          </w:tcPr>
          <w:p>
            <w:pPr>
              <w:widowControl/>
              <w:spacing w:line="360" w:lineRule="auto"/>
              <w:jc w:val="center"/>
              <w:outlineLvl w:val="1"/>
              <w:rPr>
                <w:rFonts w:hint="eastAsia" w:ascii="宋体" w:hAnsi="宋体" w:eastAsia="宋体" w:cs="宋体"/>
                <w:b/>
                <w:bCs/>
                <w:color w:val="000000" w:themeColor="text1"/>
                <w:sz w:val="24"/>
                <w:highlight w:val="none"/>
                <w14:textFill>
                  <w14:solidFill>
                    <w14:schemeClr w14:val="tx1"/>
                  </w14:solidFill>
                </w14:textFill>
              </w:rPr>
            </w:pPr>
            <w:bookmarkStart w:id="273" w:name="_Toc5352"/>
            <w:r>
              <w:rPr>
                <w:rFonts w:hint="eastAsia" w:ascii="宋体" w:hAnsi="宋体" w:eastAsia="宋体" w:cs="宋体"/>
                <w:b/>
                <w:bCs/>
                <w:color w:val="000000" w:themeColor="text1"/>
                <w:sz w:val="24"/>
                <w:highlight w:val="none"/>
                <w14:textFill>
                  <w14:solidFill>
                    <w14:schemeClr w14:val="tx1"/>
                  </w14:solidFill>
                </w14:textFill>
              </w:rPr>
              <w:t>类别</w:t>
            </w:r>
            <w:bookmarkEnd w:id="273"/>
          </w:p>
        </w:tc>
        <w:tc>
          <w:tcPr>
            <w:tcW w:w="532" w:type="pct"/>
            <w:vMerge w:val="restart"/>
            <w:noWrap w:val="0"/>
            <w:vAlign w:val="center"/>
          </w:tcPr>
          <w:p>
            <w:pPr>
              <w:widowControl/>
              <w:spacing w:line="360" w:lineRule="auto"/>
              <w:jc w:val="center"/>
              <w:outlineLvl w:val="1"/>
              <w:rPr>
                <w:rFonts w:hint="eastAsia" w:ascii="宋体" w:hAnsi="宋体" w:eastAsia="宋体" w:cs="宋体"/>
                <w:b/>
                <w:bCs/>
                <w:color w:val="000000" w:themeColor="text1"/>
                <w:sz w:val="24"/>
                <w:highlight w:val="none"/>
                <w14:textFill>
                  <w14:solidFill>
                    <w14:schemeClr w14:val="tx1"/>
                  </w14:solidFill>
                </w14:textFill>
              </w:rPr>
            </w:pPr>
            <w:bookmarkStart w:id="274" w:name="_Toc12720"/>
            <w:r>
              <w:rPr>
                <w:rFonts w:hint="eastAsia" w:ascii="宋体" w:hAnsi="宋体" w:eastAsia="宋体" w:cs="宋体"/>
                <w:b/>
                <w:bCs/>
                <w:color w:val="000000" w:themeColor="text1"/>
                <w:sz w:val="24"/>
                <w:highlight w:val="none"/>
                <w14:textFill>
                  <w14:solidFill>
                    <w14:schemeClr w14:val="tx1"/>
                  </w14:solidFill>
                </w14:textFill>
              </w:rPr>
              <w:t>职务</w:t>
            </w:r>
            <w:bookmarkEnd w:id="274"/>
          </w:p>
        </w:tc>
        <w:tc>
          <w:tcPr>
            <w:tcW w:w="532" w:type="pct"/>
            <w:vMerge w:val="restart"/>
            <w:noWrap w:val="0"/>
            <w:vAlign w:val="center"/>
          </w:tcPr>
          <w:p>
            <w:pPr>
              <w:widowControl/>
              <w:spacing w:line="360" w:lineRule="auto"/>
              <w:jc w:val="center"/>
              <w:outlineLvl w:val="1"/>
              <w:rPr>
                <w:rFonts w:hint="eastAsia" w:ascii="宋体" w:hAnsi="宋体" w:eastAsia="宋体" w:cs="宋体"/>
                <w:b/>
                <w:bCs/>
                <w:color w:val="000000" w:themeColor="text1"/>
                <w:sz w:val="24"/>
                <w:highlight w:val="none"/>
                <w14:textFill>
                  <w14:solidFill>
                    <w14:schemeClr w14:val="tx1"/>
                  </w14:solidFill>
                </w14:textFill>
              </w:rPr>
            </w:pPr>
            <w:bookmarkStart w:id="275" w:name="_Toc20623"/>
            <w:r>
              <w:rPr>
                <w:rFonts w:hint="eastAsia" w:ascii="宋体" w:hAnsi="宋体" w:eastAsia="宋体" w:cs="宋体"/>
                <w:b/>
                <w:bCs/>
                <w:color w:val="000000" w:themeColor="text1"/>
                <w:sz w:val="24"/>
                <w:highlight w:val="none"/>
                <w14:textFill>
                  <w14:solidFill>
                    <w14:schemeClr w14:val="tx1"/>
                  </w14:solidFill>
                </w14:textFill>
              </w:rPr>
              <w:t>姓名</w:t>
            </w:r>
            <w:bookmarkEnd w:id="275"/>
          </w:p>
        </w:tc>
        <w:tc>
          <w:tcPr>
            <w:tcW w:w="532" w:type="pct"/>
            <w:vMerge w:val="restart"/>
            <w:noWrap w:val="0"/>
            <w:vAlign w:val="center"/>
          </w:tcPr>
          <w:p>
            <w:pPr>
              <w:widowControl/>
              <w:spacing w:line="360" w:lineRule="auto"/>
              <w:jc w:val="center"/>
              <w:outlineLvl w:val="1"/>
              <w:rPr>
                <w:rFonts w:hint="eastAsia" w:ascii="宋体" w:hAnsi="宋体" w:eastAsia="宋体" w:cs="宋体"/>
                <w:b/>
                <w:bCs/>
                <w:color w:val="000000" w:themeColor="text1"/>
                <w:sz w:val="24"/>
                <w:highlight w:val="none"/>
                <w14:textFill>
                  <w14:solidFill>
                    <w14:schemeClr w14:val="tx1"/>
                  </w14:solidFill>
                </w14:textFill>
              </w:rPr>
            </w:pPr>
            <w:bookmarkStart w:id="276" w:name="_Toc24383"/>
            <w:r>
              <w:rPr>
                <w:rFonts w:hint="eastAsia" w:ascii="宋体" w:hAnsi="宋体" w:eastAsia="宋体" w:cs="宋体"/>
                <w:b/>
                <w:bCs/>
                <w:color w:val="000000" w:themeColor="text1"/>
                <w:sz w:val="24"/>
                <w:highlight w:val="none"/>
                <w14:textFill>
                  <w14:solidFill>
                    <w14:schemeClr w14:val="tx1"/>
                  </w14:solidFill>
                </w14:textFill>
              </w:rPr>
              <w:t>职称</w:t>
            </w:r>
            <w:bookmarkEnd w:id="276"/>
          </w:p>
        </w:tc>
        <w:tc>
          <w:tcPr>
            <w:tcW w:w="532" w:type="pct"/>
            <w:vMerge w:val="restart"/>
            <w:noWrap w:val="0"/>
            <w:vAlign w:val="center"/>
          </w:tcPr>
          <w:p>
            <w:pPr>
              <w:widowControl/>
              <w:spacing w:line="360" w:lineRule="auto"/>
              <w:jc w:val="center"/>
              <w:outlineLvl w:val="1"/>
              <w:rPr>
                <w:rFonts w:hint="eastAsia" w:ascii="宋体" w:hAnsi="宋体" w:eastAsia="宋体" w:cs="宋体"/>
                <w:b/>
                <w:bCs/>
                <w:color w:val="000000" w:themeColor="text1"/>
                <w:sz w:val="24"/>
                <w:highlight w:val="none"/>
                <w14:textFill>
                  <w14:solidFill>
                    <w14:schemeClr w14:val="tx1"/>
                  </w14:solidFill>
                </w14:textFill>
              </w:rPr>
            </w:pPr>
            <w:bookmarkStart w:id="277" w:name="_Toc20598"/>
            <w:r>
              <w:rPr>
                <w:rFonts w:hint="eastAsia" w:ascii="宋体" w:hAnsi="宋体" w:eastAsia="宋体" w:cs="宋体"/>
                <w:b/>
                <w:bCs/>
                <w:color w:val="000000" w:themeColor="text1"/>
                <w:sz w:val="24"/>
                <w:highlight w:val="none"/>
                <w14:textFill>
                  <w14:solidFill>
                    <w14:schemeClr w14:val="tx1"/>
                  </w14:solidFill>
                </w14:textFill>
              </w:rPr>
              <w:t>常住地</w:t>
            </w:r>
            <w:bookmarkEnd w:id="277"/>
          </w:p>
        </w:tc>
        <w:tc>
          <w:tcPr>
            <w:tcW w:w="2241" w:type="pct"/>
            <w:gridSpan w:val="4"/>
            <w:noWrap w:val="0"/>
            <w:vAlign w:val="center"/>
          </w:tcPr>
          <w:p>
            <w:pPr>
              <w:widowControl/>
              <w:spacing w:line="360" w:lineRule="auto"/>
              <w:ind w:firstLine="472" w:firstLineChars="196"/>
              <w:jc w:val="center"/>
              <w:outlineLvl w:val="1"/>
              <w:rPr>
                <w:rFonts w:hint="eastAsia" w:ascii="宋体" w:hAnsi="宋体" w:eastAsia="宋体" w:cs="宋体"/>
                <w:b/>
                <w:bCs/>
                <w:color w:val="000000" w:themeColor="text1"/>
                <w:sz w:val="24"/>
                <w:highlight w:val="none"/>
                <w14:textFill>
                  <w14:solidFill>
                    <w14:schemeClr w14:val="tx1"/>
                  </w14:solidFill>
                </w14:textFill>
              </w:rPr>
            </w:pPr>
            <w:bookmarkStart w:id="278" w:name="_Toc18286"/>
            <w:r>
              <w:rPr>
                <w:rFonts w:hint="eastAsia" w:ascii="宋体" w:hAnsi="宋体" w:eastAsia="宋体" w:cs="宋体"/>
                <w:b/>
                <w:bCs/>
                <w:color w:val="000000" w:themeColor="text1"/>
                <w:sz w:val="24"/>
                <w:highlight w:val="none"/>
                <w14:textFill>
                  <w14:solidFill>
                    <w14:schemeClr w14:val="tx1"/>
                  </w14:solidFill>
                </w14:textFill>
              </w:rPr>
              <w:t>资格证明（附复印件）</w:t>
            </w:r>
            <w:bookmarkEnd w:id="2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6" w:hRule="atLeast"/>
          <w:jc w:val="center"/>
        </w:trPr>
        <w:tc>
          <w:tcPr>
            <w:tcW w:w="628" w:type="pct"/>
            <w:vMerge w:val="continue"/>
            <w:noWrap w:val="0"/>
            <w:vAlign w:val="center"/>
          </w:tcPr>
          <w:p>
            <w:pPr>
              <w:spacing w:line="360" w:lineRule="auto"/>
              <w:jc w:val="center"/>
              <w:rPr>
                <w:rFonts w:hint="eastAsia" w:ascii="宋体" w:hAnsi="宋体" w:eastAsia="宋体" w:cs="宋体"/>
                <w:b/>
                <w:bCs/>
                <w:color w:val="000000" w:themeColor="text1"/>
                <w:highlight w:val="none"/>
                <w14:textFill>
                  <w14:solidFill>
                    <w14:schemeClr w14:val="tx1"/>
                  </w14:solidFill>
                </w14:textFill>
              </w:rPr>
            </w:pPr>
          </w:p>
        </w:tc>
        <w:tc>
          <w:tcPr>
            <w:tcW w:w="532" w:type="pct"/>
            <w:vMerge w:val="continue"/>
            <w:noWrap w:val="0"/>
            <w:vAlign w:val="center"/>
          </w:tcPr>
          <w:p>
            <w:pPr>
              <w:spacing w:line="360" w:lineRule="auto"/>
              <w:jc w:val="center"/>
              <w:rPr>
                <w:rFonts w:hint="eastAsia" w:ascii="宋体" w:hAnsi="宋体" w:eastAsia="宋体" w:cs="宋体"/>
                <w:b/>
                <w:bCs/>
                <w:color w:val="000000" w:themeColor="text1"/>
                <w:highlight w:val="none"/>
                <w14:textFill>
                  <w14:solidFill>
                    <w14:schemeClr w14:val="tx1"/>
                  </w14:solidFill>
                </w14:textFill>
              </w:rPr>
            </w:pPr>
          </w:p>
        </w:tc>
        <w:tc>
          <w:tcPr>
            <w:tcW w:w="532" w:type="pct"/>
            <w:vMerge w:val="continue"/>
            <w:noWrap w:val="0"/>
            <w:vAlign w:val="center"/>
          </w:tcPr>
          <w:p>
            <w:pPr>
              <w:spacing w:line="360" w:lineRule="auto"/>
              <w:jc w:val="center"/>
              <w:rPr>
                <w:rFonts w:hint="eastAsia" w:ascii="宋体" w:hAnsi="宋体" w:eastAsia="宋体" w:cs="宋体"/>
                <w:b/>
                <w:bCs/>
                <w:color w:val="000000" w:themeColor="text1"/>
                <w:highlight w:val="none"/>
                <w14:textFill>
                  <w14:solidFill>
                    <w14:schemeClr w14:val="tx1"/>
                  </w14:solidFill>
                </w14:textFill>
              </w:rPr>
            </w:pPr>
          </w:p>
        </w:tc>
        <w:tc>
          <w:tcPr>
            <w:tcW w:w="532" w:type="pct"/>
            <w:vMerge w:val="continue"/>
            <w:noWrap w:val="0"/>
            <w:vAlign w:val="center"/>
          </w:tcPr>
          <w:p>
            <w:pPr>
              <w:spacing w:line="360" w:lineRule="auto"/>
              <w:jc w:val="center"/>
              <w:rPr>
                <w:rFonts w:hint="eastAsia" w:ascii="宋体" w:hAnsi="宋体" w:eastAsia="宋体" w:cs="宋体"/>
                <w:b/>
                <w:bCs/>
                <w:color w:val="000000" w:themeColor="text1"/>
                <w:highlight w:val="none"/>
                <w14:textFill>
                  <w14:solidFill>
                    <w14:schemeClr w14:val="tx1"/>
                  </w14:solidFill>
                </w14:textFill>
              </w:rPr>
            </w:pPr>
          </w:p>
        </w:tc>
        <w:tc>
          <w:tcPr>
            <w:tcW w:w="532" w:type="pct"/>
            <w:vMerge w:val="continue"/>
            <w:noWrap w:val="0"/>
            <w:vAlign w:val="center"/>
          </w:tcPr>
          <w:p>
            <w:pPr>
              <w:spacing w:line="360" w:lineRule="auto"/>
              <w:jc w:val="center"/>
              <w:rPr>
                <w:rFonts w:hint="eastAsia" w:ascii="宋体" w:hAnsi="宋体" w:eastAsia="宋体" w:cs="宋体"/>
                <w:b/>
                <w:bCs/>
                <w:color w:val="000000" w:themeColor="text1"/>
                <w:highlight w:val="none"/>
                <w14:textFill>
                  <w14:solidFill>
                    <w14:schemeClr w14:val="tx1"/>
                  </w14:solidFill>
                </w14:textFill>
              </w:rPr>
            </w:pPr>
          </w:p>
        </w:tc>
        <w:tc>
          <w:tcPr>
            <w:tcW w:w="561" w:type="pct"/>
            <w:noWrap w:val="0"/>
            <w:vAlign w:val="center"/>
          </w:tcPr>
          <w:p>
            <w:pPr>
              <w:widowControl/>
              <w:spacing w:line="360" w:lineRule="auto"/>
              <w:jc w:val="center"/>
              <w:outlineLvl w:val="1"/>
              <w:rPr>
                <w:rFonts w:hint="eastAsia" w:ascii="宋体" w:hAnsi="宋体" w:eastAsia="宋体" w:cs="宋体"/>
                <w:b/>
                <w:bCs/>
                <w:color w:val="000000" w:themeColor="text1"/>
                <w:sz w:val="24"/>
                <w:highlight w:val="none"/>
                <w14:textFill>
                  <w14:solidFill>
                    <w14:schemeClr w14:val="tx1"/>
                  </w14:solidFill>
                </w14:textFill>
              </w:rPr>
            </w:pPr>
            <w:bookmarkStart w:id="279" w:name="_Toc23386"/>
            <w:r>
              <w:rPr>
                <w:rFonts w:hint="eastAsia" w:ascii="宋体" w:hAnsi="宋体" w:eastAsia="宋体" w:cs="宋体"/>
                <w:b/>
                <w:bCs/>
                <w:color w:val="000000" w:themeColor="text1"/>
                <w:sz w:val="24"/>
                <w:highlight w:val="none"/>
                <w14:textFill>
                  <w14:solidFill>
                    <w14:schemeClr w14:val="tx1"/>
                  </w14:solidFill>
                </w14:textFill>
              </w:rPr>
              <w:t>证书</w:t>
            </w:r>
            <w:bookmarkEnd w:id="279"/>
            <w:bookmarkStart w:id="280" w:name="_Toc27401"/>
          </w:p>
          <w:p>
            <w:pPr>
              <w:widowControl/>
              <w:spacing w:line="360" w:lineRule="auto"/>
              <w:jc w:val="center"/>
              <w:outlineLvl w:val="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名称</w:t>
            </w:r>
            <w:bookmarkEnd w:id="280"/>
          </w:p>
        </w:tc>
        <w:tc>
          <w:tcPr>
            <w:tcW w:w="634" w:type="pct"/>
            <w:noWrap w:val="0"/>
            <w:vAlign w:val="center"/>
          </w:tcPr>
          <w:p>
            <w:pPr>
              <w:widowControl/>
              <w:spacing w:line="360" w:lineRule="auto"/>
              <w:jc w:val="center"/>
              <w:outlineLvl w:val="1"/>
              <w:rPr>
                <w:rFonts w:hint="eastAsia" w:ascii="宋体" w:hAnsi="宋体" w:eastAsia="宋体" w:cs="宋体"/>
                <w:b/>
                <w:bCs/>
                <w:color w:val="000000" w:themeColor="text1"/>
                <w:sz w:val="24"/>
                <w:highlight w:val="none"/>
                <w14:textFill>
                  <w14:solidFill>
                    <w14:schemeClr w14:val="tx1"/>
                  </w14:solidFill>
                </w14:textFill>
              </w:rPr>
            </w:pPr>
            <w:bookmarkStart w:id="281" w:name="_Toc30680"/>
            <w:r>
              <w:rPr>
                <w:rFonts w:hint="eastAsia" w:ascii="宋体" w:hAnsi="宋体" w:eastAsia="宋体" w:cs="宋体"/>
                <w:b/>
                <w:bCs/>
                <w:color w:val="000000" w:themeColor="text1"/>
                <w:sz w:val="24"/>
                <w:highlight w:val="none"/>
                <w14:textFill>
                  <w14:solidFill>
                    <w14:schemeClr w14:val="tx1"/>
                  </w14:solidFill>
                </w14:textFill>
              </w:rPr>
              <w:t>级别</w:t>
            </w:r>
            <w:bookmarkEnd w:id="281"/>
          </w:p>
        </w:tc>
        <w:tc>
          <w:tcPr>
            <w:tcW w:w="558" w:type="pct"/>
            <w:noWrap w:val="0"/>
            <w:vAlign w:val="center"/>
          </w:tcPr>
          <w:p>
            <w:pPr>
              <w:widowControl/>
              <w:spacing w:line="360" w:lineRule="auto"/>
              <w:jc w:val="center"/>
              <w:outlineLvl w:val="1"/>
              <w:rPr>
                <w:rFonts w:hint="eastAsia" w:ascii="宋体" w:hAnsi="宋体" w:eastAsia="宋体" w:cs="宋体"/>
                <w:b/>
                <w:bCs/>
                <w:color w:val="000000" w:themeColor="text1"/>
                <w:sz w:val="24"/>
                <w:highlight w:val="none"/>
                <w14:textFill>
                  <w14:solidFill>
                    <w14:schemeClr w14:val="tx1"/>
                  </w14:solidFill>
                </w14:textFill>
              </w:rPr>
            </w:pPr>
            <w:bookmarkStart w:id="282" w:name="_Toc843"/>
            <w:r>
              <w:rPr>
                <w:rFonts w:hint="eastAsia" w:ascii="宋体" w:hAnsi="宋体" w:eastAsia="宋体" w:cs="宋体"/>
                <w:b/>
                <w:bCs/>
                <w:color w:val="000000" w:themeColor="text1"/>
                <w:sz w:val="24"/>
                <w:highlight w:val="none"/>
                <w14:textFill>
                  <w14:solidFill>
                    <w14:schemeClr w14:val="tx1"/>
                  </w14:solidFill>
                </w14:textFill>
              </w:rPr>
              <w:t>证号</w:t>
            </w:r>
            <w:bookmarkEnd w:id="282"/>
          </w:p>
        </w:tc>
        <w:tc>
          <w:tcPr>
            <w:tcW w:w="487" w:type="pct"/>
            <w:noWrap w:val="0"/>
            <w:vAlign w:val="center"/>
          </w:tcPr>
          <w:p>
            <w:pPr>
              <w:widowControl/>
              <w:spacing w:line="360" w:lineRule="auto"/>
              <w:jc w:val="center"/>
              <w:outlineLvl w:val="1"/>
              <w:rPr>
                <w:rFonts w:hint="eastAsia" w:ascii="宋体" w:hAnsi="宋体" w:eastAsia="宋体" w:cs="宋体"/>
                <w:b/>
                <w:bCs/>
                <w:color w:val="000000" w:themeColor="text1"/>
                <w:sz w:val="24"/>
                <w:highlight w:val="none"/>
                <w14:textFill>
                  <w14:solidFill>
                    <w14:schemeClr w14:val="tx1"/>
                  </w14:solidFill>
                </w14:textFill>
              </w:rPr>
            </w:pPr>
            <w:bookmarkStart w:id="283" w:name="_Toc23295"/>
            <w:r>
              <w:rPr>
                <w:rFonts w:hint="eastAsia" w:ascii="宋体" w:hAnsi="宋体" w:eastAsia="宋体" w:cs="宋体"/>
                <w:b/>
                <w:bCs/>
                <w:color w:val="000000" w:themeColor="text1"/>
                <w:sz w:val="24"/>
                <w:highlight w:val="none"/>
                <w14:textFill>
                  <w14:solidFill>
                    <w14:schemeClr w14:val="tx1"/>
                  </w14:solidFill>
                </w14:textFill>
              </w:rPr>
              <w:t>专业</w:t>
            </w:r>
            <w:bookmarkEnd w:id="2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28" w:type="pct"/>
            <w:vMerge w:val="restart"/>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84" w:name="_Toc30373"/>
            <w:r>
              <w:rPr>
                <w:rFonts w:hint="eastAsia" w:ascii="宋体" w:hAnsi="宋体" w:eastAsia="宋体" w:cs="宋体"/>
                <w:color w:val="000000" w:themeColor="text1"/>
                <w:sz w:val="24"/>
                <w:highlight w:val="none"/>
                <w14:textFill>
                  <w14:solidFill>
                    <w14:schemeClr w14:val="tx1"/>
                  </w14:solidFill>
                </w14:textFill>
              </w:rPr>
              <w:t>管理</w:t>
            </w:r>
            <w:bookmarkEnd w:id="284"/>
          </w:p>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85" w:name="_Toc18590"/>
            <w:r>
              <w:rPr>
                <w:rFonts w:hint="eastAsia" w:ascii="宋体" w:hAnsi="宋体" w:eastAsia="宋体" w:cs="宋体"/>
                <w:color w:val="000000" w:themeColor="text1"/>
                <w:sz w:val="24"/>
                <w:highlight w:val="none"/>
                <w14:textFill>
                  <w14:solidFill>
                    <w14:schemeClr w14:val="tx1"/>
                  </w14:solidFill>
                </w14:textFill>
              </w:rPr>
              <w:t>人员</w:t>
            </w:r>
            <w:bookmarkEnd w:id="285"/>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61"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634"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58"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487"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jc w:val="center"/>
        </w:trPr>
        <w:tc>
          <w:tcPr>
            <w:tcW w:w="628" w:type="pct"/>
            <w:vMerge w:val="continue"/>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61"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634"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58"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487"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28" w:type="pct"/>
            <w:vMerge w:val="continue"/>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61"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634"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58"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487"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jc w:val="center"/>
        </w:trPr>
        <w:tc>
          <w:tcPr>
            <w:tcW w:w="628" w:type="pct"/>
            <w:vMerge w:val="restart"/>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86" w:name="_Toc31842"/>
            <w:r>
              <w:rPr>
                <w:rFonts w:hint="eastAsia" w:ascii="宋体" w:hAnsi="宋体" w:eastAsia="宋体" w:cs="宋体"/>
                <w:color w:val="000000" w:themeColor="text1"/>
                <w:sz w:val="24"/>
                <w:highlight w:val="none"/>
                <w14:textFill>
                  <w14:solidFill>
                    <w14:schemeClr w14:val="tx1"/>
                  </w14:solidFill>
                </w14:textFill>
              </w:rPr>
              <w:t>技术</w:t>
            </w:r>
            <w:bookmarkEnd w:id="286"/>
          </w:p>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87" w:name="_Toc23230"/>
            <w:r>
              <w:rPr>
                <w:rFonts w:hint="eastAsia" w:ascii="宋体" w:hAnsi="宋体" w:eastAsia="宋体" w:cs="宋体"/>
                <w:color w:val="000000" w:themeColor="text1"/>
                <w:sz w:val="24"/>
                <w:highlight w:val="none"/>
                <w14:textFill>
                  <w14:solidFill>
                    <w14:schemeClr w14:val="tx1"/>
                  </w14:solidFill>
                </w14:textFill>
              </w:rPr>
              <w:t>人员</w:t>
            </w:r>
            <w:bookmarkEnd w:id="287"/>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61"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634"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58"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487"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28" w:type="pct"/>
            <w:vMerge w:val="continue"/>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61"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634"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58"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487"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jc w:val="center"/>
        </w:trPr>
        <w:tc>
          <w:tcPr>
            <w:tcW w:w="628" w:type="pct"/>
            <w:vMerge w:val="continue"/>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61"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634"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58"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487"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28" w:type="pct"/>
            <w:vMerge w:val="restart"/>
            <w:noWrap w:val="0"/>
            <w:vAlign w:val="center"/>
          </w:tcPr>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bookmarkStart w:id="288" w:name="_Toc11943"/>
            <w:r>
              <w:rPr>
                <w:rFonts w:hint="eastAsia" w:ascii="宋体" w:hAnsi="宋体" w:eastAsia="宋体" w:cs="宋体"/>
                <w:color w:val="000000" w:themeColor="text1"/>
                <w:sz w:val="24"/>
                <w:highlight w:val="none"/>
                <w14:textFill>
                  <w14:solidFill>
                    <w14:schemeClr w14:val="tx1"/>
                  </w14:solidFill>
                </w14:textFill>
              </w:rPr>
              <w:t>服务</w:t>
            </w:r>
          </w:p>
          <w:p>
            <w:pPr>
              <w:widowControl/>
              <w:spacing w:line="360" w:lineRule="auto"/>
              <w:jc w:val="center"/>
              <w:outlineLvl w:val="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人员</w:t>
            </w:r>
            <w:bookmarkEnd w:id="288"/>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61"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634"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58"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487"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628" w:type="pct"/>
            <w:vMerge w:val="continue"/>
            <w:tcBorders>
              <w:bottom w:val="single" w:color="auto" w:sz="4" w:space="0"/>
            </w:tcBorders>
            <w:noWrap w:val="0"/>
            <w:vAlign w:val="top"/>
          </w:tcPr>
          <w:p>
            <w:pPr>
              <w:spacing w:line="360" w:lineRule="auto"/>
              <w:rPr>
                <w:rFonts w:hint="eastAsia" w:ascii="宋体" w:hAnsi="宋体" w:eastAsia="宋体" w:cs="宋体"/>
                <w:color w:val="000000" w:themeColor="text1"/>
                <w:highlight w:val="none"/>
                <w14:textFill>
                  <w14:solidFill>
                    <w14:schemeClr w14:val="tx1"/>
                  </w14:solidFill>
                </w14:textFill>
              </w:rPr>
            </w:pPr>
          </w:p>
        </w:tc>
        <w:tc>
          <w:tcPr>
            <w:tcW w:w="532" w:type="pct"/>
            <w:tcBorders>
              <w:bottom w:val="single" w:color="auto" w:sz="4" w:space="0"/>
            </w:tcBorders>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32"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61"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634"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558"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c>
          <w:tcPr>
            <w:tcW w:w="487" w:type="pct"/>
            <w:noWrap w:val="0"/>
            <w:vAlign w:val="top"/>
          </w:tcPr>
          <w:p>
            <w:pPr>
              <w:widowControl/>
              <w:spacing w:line="360" w:lineRule="auto"/>
              <w:ind w:firstLine="470" w:firstLineChars="196"/>
              <w:jc w:val="left"/>
              <w:outlineLvl w:val="1"/>
              <w:rPr>
                <w:rFonts w:hint="eastAsia" w:ascii="宋体" w:hAnsi="宋体" w:eastAsia="宋体" w:cs="宋体"/>
                <w:color w:val="000000" w:themeColor="text1"/>
                <w:sz w:val="24"/>
                <w:highlight w:val="none"/>
                <w14:textFill>
                  <w14:solidFill>
                    <w14:schemeClr w14:val="tx1"/>
                  </w14:solidFill>
                </w14:textFill>
              </w:rPr>
            </w:pPr>
          </w:p>
        </w:tc>
      </w:tr>
    </w:tbl>
    <w:p>
      <w:pPr>
        <w:pStyle w:val="2"/>
        <w:ind w:firstLine="482"/>
        <w:rPr>
          <w:rFonts w:ascii="宋体" w:hAnsi="宋体" w:cs="宋体"/>
          <w:color w:val="000000" w:themeColor="text1"/>
          <w:sz w:val="24"/>
          <w:highlight w:val="none"/>
          <w14:textFill>
            <w14:solidFill>
              <w14:schemeClr w14:val="tx1"/>
            </w14:solidFill>
          </w14:textFill>
        </w:rPr>
      </w:pPr>
    </w:p>
    <w:p>
      <w:pPr>
        <w:pStyle w:val="2"/>
        <w:ind w:firstLine="482"/>
        <w:rPr>
          <w:rFonts w:ascii="宋体" w:hAnsi="宋体" w:cs="宋体"/>
          <w:color w:val="000000" w:themeColor="text1"/>
          <w:sz w:val="24"/>
          <w:highlight w:val="none"/>
          <w14:textFill>
            <w14:solidFill>
              <w14:schemeClr w14:val="tx1"/>
            </w14:solidFill>
          </w14:textFill>
        </w:rPr>
      </w:pP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投标人名称：XXXX（单位盖章）。</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法定代表人/单位负责人或授权代表（签字或加盖个人名章）：XXXX。</w:t>
      </w:r>
    </w:p>
    <w:p>
      <w:pPr>
        <w:pStyle w:val="2"/>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日期：XXXX。</w:t>
      </w:r>
    </w:p>
    <w:p>
      <w:pPr>
        <w:adjustRightInd w:val="0"/>
        <w:spacing w:line="360" w:lineRule="auto"/>
        <w:ind w:firstLine="560"/>
        <w:jc w:val="left"/>
        <w:rPr>
          <w:rFonts w:ascii="宋体" w:hAnsi="宋体" w:cs="宋体"/>
          <w:b/>
          <w:color w:val="000000" w:themeColor="text1"/>
          <w:sz w:val="28"/>
          <w:szCs w:val="28"/>
          <w:highlight w:val="none"/>
          <w14:textFill>
            <w14:solidFill>
              <w14:schemeClr w14:val="tx1"/>
            </w14:solidFill>
          </w14:textFill>
        </w:rPr>
      </w:pPr>
    </w:p>
    <w:p>
      <w:pPr>
        <w:adjustRightInd w:val="0"/>
        <w:spacing w:line="400" w:lineRule="exact"/>
        <w:ind w:firstLine="560"/>
        <w:jc w:val="left"/>
        <w:rPr>
          <w:rFonts w:ascii="宋体" w:hAnsi="宋体" w:cs="宋体"/>
          <w:b/>
          <w:color w:val="000000" w:themeColor="text1"/>
          <w:sz w:val="28"/>
          <w:szCs w:val="28"/>
          <w:highlight w:val="none"/>
          <w14:textFill>
            <w14:solidFill>
              <w14:schemeClr w14:val="tx1"/>
            </w14:solidFill>
          </w14:textFill>
        </w:rPr>
      </w:pPr>
    </w:p>
    <w:p>
      <w:pPr>
        <w:adjustRightInd w:val="0"/>
        <w:spacing w:line="400" w:lineRule="exact"/>
        <w:ind w:firstLine="560"/>
        <w:jc w:val="left"/>
        <w:rPr>
          <w:rFonts w:ascii="宋体" w:hAnsi="宋体" w:cs="宋体"/>
          <w:b/>
          <w:color w:val="000000" w:themeColor="text1"/>
          <w:sz w:val="28"/>
          <w:szCs w:val="28"/>
          <w:highlight w:val="none"/>
          <w14:textFill>
            <w14:solidFill>
              <w14:schemeClr w14:val="tx1"/>
            </w14:solidFill>
          </w14:textFill>
        </w:rPr>
      </w:pPr>
    </w:p>
    <w:p>
      <w:pPr>
        <w:adjustRightInd w:val="0"/>
        <w:spacing w:line="400" w:lineRule="exact"/>
        <w:ind w:firstLine="560"/>
        <w:jc w:val="left"/>
        <w:rPr>
          <w:rFonts w:ascii="宋体" w:hAnsi="宋体" w:cs="宋体"/>
          <w:b/>
          <w:color w:val="000000" w:themeColor="text1"/>
          <w:sz w:val="28"/>
          <w:szCs w:val="28"/>
          <w:highlight w:val="none"/>
          <w14:textFill>
            <w14:solidFill>
              <w14:schemeClr w14:val="tx1"/>
            </w14:solidFill>
          </w14:textFill>
        </w:rPr>
      </w:pPr>
    </w:p>
    <w:p>
      <w:pPr>
        <w:adjustRightInd w:val="0"/>
        <w:spacing w:line="400" w:lineRule="exact"/>
        <w:ind w:firstLine="560"/>
        <w:jc w:val="left"/>
        <w:rPr>
          <w:rFonts w:ascii="宋体" w:hAnsi="宋体" w:cs="宋体"/>
          <w:b/>
          <w:color w:val="000000" w:themeColor="text1"/>
          <w:sz w:val="28"/>
          <w:szCs w:val="28"/>
          <w:highlight w:val="none"/>
          <w14:textFill>
            <w14:solidFill>
              <w14:schemeClr w14:val="tx1"/>
            </w14:solidFill>
          </w14:textFill>
        </w:rPr>
      </w:pPr>
    </w:p>
    <w:p>
      <w:pPr>
        <w:adjustRightInd w:val="0"/>
        <w:spacing w:line="400" w:lineRule="exact"/>
        <w:ind w:firstLine="560"/>
        <w:jc w:val="left"/>
        <w:rPr>
          <w:rFonts w:ascii="宋体" w:hAnsi="宋体" w:cs="宋体"/>
          <w:b/>
          <w:color w:val="000000" w:themeColor="text1"/>
          <w:sz w:val="28"/>
          <w:szCs w:val="28"/>
          <w:highlight w:val="none"/>
          <w14:textFill>
            <w14:solidFill>
              <w14:schemeClr w14:val="tx1"/>
            </w14:solidFill>
          </w14:textFill>
        </w:rPr>
      </w:pPr>
    </w:p>
    <w:p>
      <w:pPr>
        <w:adjustRightInd w:val="0"/>
        <w:spacing w:line="400" w:lineRule="exact"/>
        <w:ind w:firstLine="560"/>
        <w:jc w:val="left"/>
        <w:rPr>
          <w:rFonts w:ascii="宋体" w:hAnsi="宋体" w:cs="宋体"/>
          <w:b/>
          <w:color w:val="000000" w:themeColor="text1"/>
          <w:sz w:val="28"/>
          <w:szCs w:val="28"/>
          <w:highlight w:val="none"/>
          <w14:textFill>
            <w14:solidFill>
              <w14:schemeClr w14:val="tx1"/>
            </w14:solidFill>
          </w14:textFill>
        </w:rPr>
      </w:pPr>
    </w:p>
    <w:p>
      <w:pPr>
        <w:adjustRightInd w:val="0"/>
        <w:spacing w:line="400" w:lineRule="exact"/>
        <w:ind w:firstLine="560"/>
        <w:jc w:val="left"/>
        <w:rPr>
          <w:rFonts w:ascii="宋体" w:hAnsi="宋体" w:cs="宋体"/>
          <w:b/>
          <w:color w:val="000000" w:themeColor="text1"/>
          <w:sz w:val="28"/>
          <w:szCs w:val="28"/>
          <w:highlight w:val="none"/>
          <w14:textFill>
            <w14:solidFill>
              <w14:schemeClr w14:val="tx1"/>
            </w14:solidFill>
          </w14:textFill>
        </w:rPr>
      </w:pPr>
    </w:p>
    <w:p>
      <w:pPr>
        <w:adjustRightInd w:val="0"/>
        <w:spacing w:line="400" w:lineRule="exact"/>
        <w:ind w:firstLine="560"/>
        <w:jc w:val="left"/>
        <w:rPr>
          <w:rFonts w:ascii="宋体" w:hAnsi="宋体" w:cs="宋体"/>
          <w:b/>
          <w:color w:val="000000" w:themeColor="text1"/>
          <w:sz w:val="28"/>
          <w:szCs w:val="28"/>
          <w:highlight w:val="none"/>
          <w14:textFill>
            <w14:solidFill>
              <w14:schemeClr w14:val="tx1"/>
            </w14:solidFill>
          </w14:textFill>
        </w:rPr>
      </w:pPr>
    </w:p>
    <w:p>
      <w:pPr>
        <w:adjustRightInd w:val="0"/>
        <w:spacing w:line="400" w:lineRule="exact"/>
        <w:ind w:firstLine="560"/>
        <w:jc w:val="left"/>
        <w:rPr>
          <w:rFonts w:ascii="宋体" w:hAnsi="宋体" w:cs="宋体"/>
          <w:b/>
          <w:color w:val="000000" w:themeColor="text1"/>
          <w:sz w:val="28"/>
          <w:szCs w:val="28"/>
          <w:highlight w:val="none"/>
          <w14:textFill>
            <w14:solidFill>
              <w14:schemeClr w14:val="tx1"/>
            </w14:solidFill>
          </w14:textFill>
        </w:rPr>
      </w:pPr>
    </w:p>
    <w:p>
      <w:pPr>
        <w:widowControl/>
        <w:spacing w:line="360" w:lineRule="auto"/>
        <w:ind w:firstLine="643"/>
        <w:jc w:val="center"/>
        <w:outlineLvl w:val="1"/>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r>
    </w:p>
    <w:bookmarkEnd w:id="231"/>
    <w:p>
      <w:pPr>
        <w:widowControl/>
        <w:spacing w:line="360" w:lineRule="auto"/>
        <w:ind w:firstLine="643"/>
        <w:jc w:val="center"/>
        <w:outlineLvl w:val="1"/>
        <w:rPr>
          <w:rFonts w:ascii="宋体" w:hAnsi="宋体" w:cs="宋体"/>
          <w:b/>
          <w:color w:val="000000" w:themeColor="text1"/>
          <w:sz w:val="32"/>
          <w:szCs w:val="32"/>
          <w:highlight w:val="none"/>
          <w14:textFill>
            <w14:solidFill>
              <w14:schemeClr w14:val="tx1"/>
            </w14:solidFill>
          </w14:textFill>
        </w:rPr>
      </w:pPr>
      <w:bookmarkStart w:id="289" w:name="_Toc1395"/>
      <w:bookmarkStart w:id="290" w:name="_Toc19072"/>
      <w:bookmarkStart w:id="291" w:name="_Toc217446092"/>
      <w:r>
        <w:rPr>
          <w:rFonts w:hint="eastAsia" w:ascii="宋体" w:hAnsi="宋体" w:cs="宋体"/>
          <w:b/>
          <w:color w:val="000000" w:themeColor="text1"/>
          <w:sz w:val="32"/>
          <w:szCs w:val="32"/>
          <w:highlight w:val="none"/>
          <w14:textFill>
            <w14:solidFill>
              <w14:schemeClr w14:val="tx1"/>
            </w14:solidFill>
          </w14:textFill>
        </w:rPr>
        <w:t>九、中小企业声明函</w:t>
      </w:r>
      <w:bookmarkEnd w:id="289"/>
    </w:p>
    <w:p>
      <w:pPr>
        <w:spacing w:line="348"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本公司（联合体）郑重声明，根据《政府采购促进中小企业发展管理办法》（财库﹝2020﹞46 号）的规定，本公司参加</w:t>
      </w:r>
      <w:r>
        <w:rPr>
          <w:rFonts w:hint="eastAsia" w:ascii="宋体" w:hAnsi="宋体" w:cs="宋体"/>
          <w:color w:val="000000" w:themeColor="text1"/>
          <w:sz w:val="24"/>
          <w:szCs w:val="24"/>
          <w:highlight w:val="none"/>
          <w:u w:val="single"/>
          <w14:textFill>
            <w14:solidFill>
              <w14:schemeClr w14:val="tx1"/>
            </w14:solidFill>
          </w14:textFill>
        </w:rPr>
        <w:t>（单位名称）</w:t>
      </w:r>
      <w:r>
        <w:rPr>
          <w:rFonts w:hint="eastAsia" w:ascii="宋体" w:hAnsi="宋体" w:cs="宋体"/>
          <w:color w:val="000000" w:themeColor="text1"/>
          <w:sz w:val="24"/>
          <w:szCs w:val="24"/>
          <w:highlight w:val="none"/>
          <w14:textFill>
            <w14:solidFill>
              <w14:schemeClr w14:val="tx1"/>
            </w14:solidFill>
          </w14:textFill>
        </w:rPr>
        <w:t>的</w:t>
      </w:r>
      <w:r>
        <w:rPr>
          <w:rFonts w:hint="eastAsia" w:ascii="宋体" w:hAnsi="宋体" w:cs="宋体"/>
          <w:color w:val="000000" w:themeColor="text1"/>
          <w:sz w:val="24"/>
          <w:szCs w:val="24"/>
          <w:highlight w:val="none"/>
          <w:u w:val="single"/>
          <w14:textFill>
            <w14:solidFill>
              <w14:schemeClr w14:val="tx1"/>
            </w14:solidFill>
          </w14:textFill>
        </w:rPr>
        <w:t>（项目名称+包件号）</w:t>
      </w:r>
      <w:r>
        <w:rPr>
          <w:rFonts w:hint="eastAsia" w:ascii="宋体" w:hAnsi="宋体" w:cs="宋体"/>
          <w:color w:val="000000" w:themeColor="text1"/>
          <w:sz w:val="24"/>
          <w:szCs w:val="24"/>
          <w:highlight w:val="none"/>
          <w14:textFill>
            <w14:solidFill>
              <w14:schemeClr w14:val="tx1"/>
            </w14:solidFill>
          </w14:textFill>
        </w:rPr>
        <w:t>采购活动，提供的货物全部由符合政策要求的中小企业制造。相关企业（含联合体中的中小企业、签订分包意向协议的中小企业） 的具体情况如下：</w:t>
      </w:r>
      <w:r>
        <w:rPr>
          <w:rFonts w:hint="eastAsia" w:ascii="宋体" w:hAnsi="宋体" w:cs="宋体"/>
          <w:color w:val="000000" w:themeColor="text1"/>
          <w:sz w:val="24"/>
          <w:highlight w:val="none"/>
          <w14:textFill>
            <w14:solidFill>
              <w14:schemeClr w14:val="tx1"/>
            </w14:solidFill>
          </w14:textFill>
        </w:rPr>
        <w:br w:type="textWrapping"/>
      </w:r>
      <w:r>
        <w:rPr>
          <w:rFonts w:hint="eastAsia" w:ascii="宋体" w:hAnsi="宋体" w:cs="宋体"/>
          <w:color w:val="000000" w:themeColor="text1"/>
          <w:sz w:val="24"/>
          <w:highlight w:val="none"/>
          <w14:textFill>
            <w14:solidFill>
              <w14:schemeClr w14:val="tx1"/>
            </w14:solidFill>
          </w14:textFill>
        </w:rPr>
        <w:t>　  1.</w:t>
      </w:r>
      <w:r>
        <w:rPr>
          <w:rFonts w:hint="eastAsia" w:ascii="宋体" w:hAnsi="宋体" w:cs="宋体"/>
          <w:color w:val="000000" w:themeColor="text1"/>
          <w:sz w:val="24"/>
          <w:szCs w:val="24"/>
          <w:highlight w:val="none"/>
          <w:u w:val="single"/>
          <w14:textFill>
            <w14:solidFill>
              <w14:schemeClr w14:val="tx1"/>
            </w14:solidFill>
          </w14:textFill>
        </w:rPr>
        <w:t>（标的名称）</w:t>
      </w:r>
      <w:r>
        <w:rPr>
          <w:rFonts w:hint="eastAsia" w:ascii="宋体" w:hAnsi="宋体" w:cs="宋体"/>
          <w:color w:val="000000" w:themeColor="text1"/>
          <w:sz w:val="24"/>
          <w:szCs w:val="24"/>
          <w:highlight w:val="none"/>
          <w14:textFill>
            <w14:solidFill>
              <w14:schemeClr w14:val="tx1"/>
            </w14:solidFill>
          </w14:textFill>
        </w:rPr>
        <w:t>，属于</w:t>
      </w:r>
      <w:r>
        <w:rPr>
          <w:rFonts w:hint="eastAsia" w:ascii="宋体" w:hAnsi="宋体" w:cs="宋体"/>
          <w:color w:val="000000" w:themeColor="text1"/>
          <w:sz w:val="24"/>
          <w:szCs w:val="24"/>
          <w:highlight w:val="none"/>
          <w:u w:val="single"/>
          <w14:textFill>
            <w14:solidFill>
              <w14:schemeClr w14:val="tx1"/>
            </w14:solidFill>
          </w14:textFill>
        </w:rPr>
        <w:t>（招标文件中明确的所属行业）</w:t>
      </w:r>
      <w:r>
        <w:rPr>
          <w:rFonts w:hint="eastAsia" w:ascii="宋体" w:hAnsi="宋体" w:cs="宋体"/>
          <w:color w:val="000000" w:themeColor="text1"/>
          <w:sz w:val="24"/>
          <w:szCs w:val="24"/>
          <w:highlight w:val="none"/>
          <w14:textFill>
            <w14:solidFill>
              <w14:schemeClr w14:val="tx1"/>
            </w14:solidFill>
          </w14:textFill>
        </w:rPr>
        <w:t>行业；制造商为</w:t>
      </w:r>
      <w:r>
        <w:rPr>
          <w:rFonts w:hint="eastAsia" w:ascii="宋体" w:hAnsi="宋体" w:cs="宋体"/>
          <w:color w:val="000000" w:themeColor="text1"/>
          <w:sz w:val="24"/>
          <w:szCs w:val="24"/>
          <w:highlight w:val="none"/>
          <w:u w:val="single"/>
          <w14:textFill>
            <w14:solidFill>
              <w14:schemeClr w14:val="tx1"/>
            </w14:solidFill>
          </w14:textFill>
        </w:rPr>
        <w:t>（企业名称）</w:t>
      </w:r>
      <w:r>
        <w:rPr>
          <w:rFonts w:hint="eastAsia" w:ascii="宋体" w:hAnsi="宋体" w:cs="宋体"/>
          <w:color w:val="000000" w:themeColor="text1"/>
          <w:sz w:val="24"/>
          <w:szCs w:val="24"/>
          <w:highlight w:val="none"/>
          <w14:textFill>
            <w14:solidFill>
              <w14:schemeClr w14:val="tx1"/>
            </w14:solidFill>
          </w14:textFill>
        </w:rPr>
        <w:t>，从业人员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万元，属于</w:t>
      </w:r>
      <w:r>
        <w:rPr>
          <w:rFonts w:hint="eastAsia" w:ascii="宋体" w:hAnsi="宋体" w:cs="宋体"/>
          <w:color w:val="000000" w:themeColor="text1"/>
          <w:sz w:val="24"/>
          <w:szCs w:val="24"/>
          <w:highlight w:val="none"/>
          <w:u w:val="single"/>
          <w14:textFill>
            <w14:solidFill>
              <w14:schemeClr w14:val="tx1"/>
            </w14:solidFill>
          </w14:textFill>
        </w:rPr>
        <w:t>（中型企业、小型企业、微型企业）</w:t>
      </w:r>
      <w:r>
        <w:rPr>
          <w:rFonts w:hint="eastAsia" w:ascii="宋体" w:hAnsi="宋体" w:cs="宋体"/>
          <w:color w:val="000000" w:themeColor="text1"/>
          <w:sz w:val="24"/>
          <w:szCs w:val="24"/>
          <w:highlight w:val="none"/>
          <w14:textFill>
            <w14:solidFill>
              <w14:schemeClr w14:val="tx1"/>
            </w14:solidFill>
          </w14:textFill>
        </w:rPr>
        <w:t xml:space="preserve">； </w:t>
      </w:r>
    </w:p>
    <w:p>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（标的名称）</w:t>
      </w:r>
      <w:r>
        <w:rPr>
          <w:rFonts w:hint="eastAsia" w:ascii="宋体" w:hAnsi="宋体" w:cs="宋体"/>
          <w:color w:val="000000" w:themeColor="text1"/>
          <w:sz w:val="24"/>
          <w:szCs w:val="24"/>
          <w:highlight w:val="none"/>
          <w14:textFill>
            <w14:solidFill>
              <w14:schemeClr w14:val="tx1"/>
            </w14:solidFill>
          </w14:textFill>
        </w:rPr>
        <w:t>，属于</w:t>
      </w:r>
      <w:r>
        <w:rPr>
          <w:rFonts w:hint="eastAsia" w:ascii="宋体" w:hAnsi="宋体" w:cs="宋体"/>
          <w:color w:val="000000" w:themeColor="text1"/>
          <w:sz w:val="24"/>
          <w:szCs w:val="24"/>
          <w:highlight w:val="none"/>
          <w:u w:val="single"/>
          <w14:textFill>
            <w14:solidFill>
              <w14:schemeClr w14:val="tx1"/>
            </w14:solidFill>
          </w14:textFill>
        </w:rPr>
        <w:t>（招标文件中明确的所属行业）</w:t>
      </w:r>
      <w:r>
        <w:rPr>
          <w:rFonts w:hint="eastAsia" w:ascii="宋体" w:hAnsi="宋体" w:cs="宋体"/>
          <w:color w:val="000000" w:themeColor="text1"/>
          <w:sz w:val="24"/>
          <w:szCs w:val="24"/>
          <w:highlight w:val="none"/>
          <w14:textFill>
            <w14:solidFill>
              <w14:schemeClr w14:val="tx1"/>
            </w14:solidFill>
          </w14:textFill>
        </w:rPr>
        <w:t>行业；制造商为</w:t>
      </w:r>
      <w:r>
        <w:rPr>
          <w:rFonts w:hint="eastAsia" w:ascii="宋体" w:hAnsi="宋体" w:cs="宋体"/>
          <w:color w:val="000000" w:themeColor="text1"/>
          <w:sz w:val="24"/>
          <w:szCs w:val="24"/>
          <w:highlight w:val="none"/>
          <w:u w:val="single"/>
          <w14:textFill>
            <w14:solidFill>
              <w14:schemeClr w14:val="tx1"/>
            </w14:solidFill>
          </w14:textFill>
        </w:rPr>
        <w:t>（企业名称）</w:t>
      </w:r>
      <w:r>
        <w:rPr>
          <w:rFonts w:hint="eastAsia" w:ascii="宋体" w:hAnsi="宋体" w:cs="宋体"/>
          <w:color w:val="000000" w:themeColor="text1"/>
          <w:sz w:val="24"/>
          <w:szCs w:val="24"/>
          <w:highlight w:val="none"/>
          <w14:textFill>
            <w14:solidFill>
              <w14:schemeClr w14:val="tx1"/>
            </w14:solidFill>
          </w14:textFill>
        </w:rPr>
        <w:t>，从业人员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万元，属于</w:t>
      </w:r>
      <w:r>
        <w:rPr>
          <w:rFonts w:hint="eastAsia" w:ascii="宋体" w:hAnsi="宋体" w:cs="宋体"/>
          <w:color w:val="000000" w:themeColor="text1"/>
          <w:sz w:val="24"/>
          <w:szCs w:val="24"/>
          <w:highlight w:val="none"/>
          <w:u w:val="single"/>
          <w14:textFill>
            <w14:solidFill>
              <w14:schemeClr w14:val="tx1"/>
            </w14:solidFill>
          </w14:textFill>
        </w:rPr>
        <w:t>（中型企业、小型企业、微型企业）</w:t>
      </w:r>
      <w:r>
        <w:rPr>
          <w:rFonts w:hint="eastAsia" w:ascii="宋体" w:hAnsi="宋体" w:cs="宋体"/>
          <w:color w:val="000000" w:themeColor="text1"/>
          <w:sz w:val="24"/>
          <w:szCs w:val="24"/>
          <w:highlight w:val="none"/>
          <w14:textFill>
            <w14:solidFill>
              <w14:schemeClr w14:val="tx1"/>
            </w14:solidFill>
          </w14:textFill>
        </w:rPr>
        <w:t>；</w:t>
      </w:r>
    </w:p>
    <w:p>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p>
    <w:p>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p>
    <w:p>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本企业对上述声明内容的真实性负责。如有虚假，将依法承担相应责任。</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p>
    <w:p>
      <w:pPr>
        <w:spacing w:line="360" w:lineRule="auto"/>
        <w:ind w:firstLine="48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企业名称（盖章）：</w:t>
      </w:r>
    </w:p>
    <w:p>
      <w:pPr>
        <w:spacing w:line="360" w:lineRule="auto"/>
        <w:ind w:firstLine="48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p>
    <w:p>
      <w:pPr>
        <w:spacing w:line="360" w:lineRule="auto"/>
        <w:ind w:firstLine="442" w:firstLineChars="200"/>
        <w:rPr>
          <w:rFonts w:ascii="宋体" w:hAnsi="宋体" w:cs="宋体"/>
          <w:b/>
          <w:color w:val="000000" w:themeColor="text1"/>
          <w:sz w:val="22"/>
          <w:szCs w:val="22"/>
          <w:highlight w:val="none"/>
          <w14:textFill>
            <w14:solidFill>
              <w14:schemeClr w14:val="tx1"/>
            </w14:solidFill>
          </w14:textFill>
        </w:rPr>
      </w:pPr>
    </w:p>
    <w:p>
      <w:pPr>
        <w:spacing w:line="360" w:lineRule="auto"/>
        <w:ind w:firstLine="44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注：从业人员、营业收入、资产总额填报上一年度数据，无上一年度数据的新成立企业可不填报。</w:t>
      </w:r>
    </w:p>
    <w:p>
      <w:pPr>
        <w:spacing w:line="360" w:lineRule="auto"/>
        <w:ind w:firstLine="482"/>
        <w:rPr>
          <w:rFonts w:ascii="宋体" w:hAnsi="宋体" w:cs="宋体"/>
          <w:color w:val="000000" w:themeColor="text1"/>
          <w:sz w:val="24"/>
          <w:highlight w:val="none"/>
          <w14:textFill>
            <w14:solidFill>
              <w14:schemeClr w14:val="tx1"/>
            </w14:solidFill>
          </w14:textFill>
        </w:rPr>
      </w:pPr>
    </w:p>
    <w:p>
      <w:pPr>
        <w:snapToGrid w:val="0"/>
        <w:spacing w:line="360" w:lineRule="auto"/>
        <w:ind w:left="540" w:firstLine="600"/>
        <w:jc w:val="center"/>
        <w:rPr>
          <w:rFonts w:ascii="宋体" w:hAnsi="宋体" w:cs="宋体"/>
          <w:b/>
          <w:color w:val="000000" w:themeColor="text1"/>
          <w:sz w:val="30"/>
          <w:szCs w:val="30"/>
          <w:highlight w:val="none"/>
          <w14:textFill>
            <w14:solidFill>
              <w14:schemeClr w14:val="tx1"/>
            </w14:solidFill>
          </w14:textFill>
        </w:rPr>
      </w:pPr>
    </w:p>
    <w:p>
      <w:pPr>
        <w:snapToGrid w:val="0"/>
        <w:spacing w:line="360" w:lineRule="auto"/>
        <w:ind w:left="540" w:firstLine="600"/>
        <w:jc w:val="center"/>
        <w:rPr>
          <w:rFonts w:ascii="宋体" w:hAnsi="宋体" w:cs="宋体"/>
          <w:b/>
          <w:color w:val="000000" w:themeColor="text1"/>
          <w:sz w:val="30"/>
          <w:szCs w:val="30"/>
          <w:highlight w:val="none"/>
          <w14:textFill>
            <w14:solidFill>
              <w14:schemeClr w14:val="tx1"/>
            </w14:solidFill>
          </w14:textFill>
        </w:rPr>
      </w:pPr>
    </w:p>
    <w:p>
      <w:pPr>
        <w:spacing w:line="360" w:lineRule="auto"/>
        <w:ind w:firstLine="643"/>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r>
      <w:bookmarkStart w:id="292" w:name="_Toc24543"/>
      <w:r>
        <w:rPr>
          <w:rFonts w:hint="eastAsia" w:ascii="宋体" w:hAnsi="宋体" w:cs="宋体"/>
          <w:b/>
          <w:color w:val="000000" w:themeColor="text1"/>
          <w:sz w:val="32"/>
          <w:szCs w:val="32"/>
          <w:highlight w:val="none"/>
          <w14:textFill>
            <w14:solidFill>
              <w14:schemeClr w14:val="tx1"/>
            </w14:solidFill>
          </w14:textFill>
        </w:rPr>
        <w:t>十、监狱企业证明材料</w:t>
      </w:r>
    </w:p>
    <w:p>
      <w:pPr>
        <w:adjustRightInd w:val="0"/>
        <w:spacing w:line="360" w:lineRule="auto"/>
        <w:ind w:firstLine="540" w:firstLineChars="22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参加政府采购活动的监狱企业应当提供省级以上监狱管理局、戒毒管理局（含新疆生产建设兵团）出具的属于监狱企业的证明文件复印件加盖申请人公章。</w:t>
      </w:r>
    </w:p>
    <w:p>
      <w:pPr>
        <w:adjustRightInd w:val="0"/>
        <w:spacing w:line="360" w:lineRule="auto"/>
        <w:ind w:firstLine="540" w:firstLineChars="225"/>
        <w:jc w:val="left"/>
        <w:rPr>
          <w:rFonts w:ascii="宋体" w:hAnsi="宋体" w:cs="宋体"/>
          <w:color w:val="000000" w:themeColor="text1"/>
          <w:sz w:val="24"/>
          <w:highlight w:val="none"/>
          <w14:textFill>
            <w14:solidFill>
              <w14:schemeClr w14:val="tx1"/>
            </w14:solidFill>
          </w14:textFill>
        </w:rPr>
      </w:pPr>
    </w:p>
    <w:p>
      <w:pPr>
        <w:adjustRightInd w:val="0"/>
        <w:spacing w:line="360" w:lineRule="auto"/>
        <w:ind w:firstLine="542" w:firstLineChars="225"/>
        <w:jc w:val="left"/>
        <w:rPr>
          <w:rFonts w:ascii="宋体" w:hAnsi="宋体" w:cs="宋体"/>
          <w:b/>
          <w:bCs/>
          <w:color w:val="000000" w:themeColor="text1"/>
          <w:sz w:val="24"/>
          <w:highlight w:val="none"/>
          <w14:textFill>
            <w14:solidFill>
              <w14:schemeClr w14:val="tx1"/>
            </w14:solidFill>
          </w14:textFill>
        </w:rPr>
      </w:pPr>
    </w:p>
    <w:p>
      <w:pPr>
        <w:pStyle w:val="23"/>
        <w:rPr>
          <w:rFonts w:ascii="宋体" w:hAnsi="宋体" w:cs="宋体"/>
          <w:color w:val="000000" w:themeColor="text1"/>
          <w:highlight w:val="none"/>
          <w14:textFill>
            <w14:solidFill>
              <w14:schemeClr w14:val="tx1"/>
            </w14:solidFill>
          </w14:textFill>
        </w:rPr>
      </w:pPr>
    </w:p>
    <w:p>
      <w:pPr>
        <w:adjustRightInd w:val="0"/>
        <w:spacing w:line="360" w:lineRule="auto"/>
        <w:ind w:firstLine="540" w:firstLineChars="22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w:t>
      </w:r>
    </w:p>
    <w:p>
      <w:pPr>
        <w:adjustRightInd w:val="0"/>
        <w:spacing w:line="360" w:lineRule="auto"/>
        <w:ind w:firstLine="540" w:firstLineChars="22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1.监狱企业视同小型、微型企业，享受预留份额、评审中价格扣除等促进中小企业发展的政府采购政策。</w:t>
      </w:r>
    </w:p>
    <w:p>
      <w:pPr>
        <w:widowControl/>
        <w:spacing w:line="360" w:lineRule="auto"/>
        <w:ind w:firstLine="480" w:firstLineChars="200"/>
        <w:outlineLvl w:val="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2.申请人为非监狱企业的，不得提供此声明，提供此声明的，声明无效。</w:t>
      </w:r>
    </w:p>
    <w:p>
      <w:pPr>
        <w:pStyle w:val="23"/>
        <w:rPr>
          <w:rFonts w:ascii="宋体" w:hAnsi="宋体" w:cs="宋体"/>
          <w:color w:val="000000" w:themeColor="text1"/>
          <w:sz w:val="24"/>
          <w:highlight w:val="none"/>
          <w14:textFill>
            <w14:solidFill>
              <w14:schemeClr w14:val="tx1"/>
            </w14:solidFill>
          </w14:textFill>
        </w:rPr>
      </w:pPr>
    </w:p>
    <w:p>
      <w:pPr>
        <w:ind w:firstLine="482"/>
        <w:rPr>
          <w:rFonts w:ascii="宋体" w:hAnsi="宋体" w:cs="宋体"/>
          <w:color w:val="000000" w:themeColor="text1"/>
          <w:sz w:val="24"/>
          <w:highlight w:val="none"/>
          <w14:textFill>
            <w14:solidFill>
              <w14:schemeClr w14:val="tx1"/>
            </w14:solidFill>
          </w14:textFill>
        </w:rPr>
      </w:pPr>
    </w:p>
    <w:p>
      <w:pPr>
        <w:pStyle w:val="23"/>
        <w:rPr>
          <w:rFonts w:ascii="宋体" w:hAnsi="宋体" w:cs="宋体"/>
          <w:color w:val="000000" w:themeColor="text1"/>
          <w:sz w:val="24"/>
          <w:highlight w:val="none"/>
          <w14:textFill>
            <w14:solidFill>
              <w14:schemeClr w14:val="tx1"/>
            </w14:solidFill>
          </w14:textFill>
        </w:rPr>
      </w:pPr>
    </w:p>
    <w:p>
      <w:pPr>
        <w:ind w:firstLine="482"/>
        <w:rPr>
          <w:rFonts w:ascii="宋体" w:hAnsi="宋体" w:cs="宋体"/>
          <w:color w:val="000000" w:themeColor="text1"/>
          <w:sz w:val="24"/>
          <w:highlight w:val="none"/>
          <w14:textFill>
            <w14:solidFill>
              <w14:schemeClr w14:val="tx1"/>
            </w14:solidFill>
          </w14:textFill>
        </w:rPr>
      </w:pPr>
    </w:p>
    <w:p>
      <w:pPr>
        <w:pStyle w:val="23"/>
        <w:rPr>
          <w:rFonts w:ascii="宋体" w:hAnsi="宋体" w:cs="宋体"/>
          <w:color w:val="000000" w:themeColor="text1"/>
          <w:sz w:val="24"/>
          <w:highlight w:val="none"/>
          <w14:textFill>
            <w14:solidFill>
              <w14:schemeClr w14:val="tx1"/>
            </w14:solidFill>
          </w14:textFill>
        </w:rPr>
      </w:pPr>
    </w:p>
    <w:p>
      <w:pPr>
        <w:ind w:firstLine="482"/>
        <w:rPr>
          <w:rFonts w:ascii="宋体" w:hAnsi="宋体" w:cs="宋体"/>
          <w:color w:val="000000" w:themeColor="text1"/>
          <w:sz w:val="24"/>
          <w:highlight w:val="none"/>
          <w14:textFill>
            <w14:solidFill>
              <w14:schemeClr w14:val="tx1"/>
            </w14:solidFill>
          </w14:textFill>
        </w:rPr>
      </w:pPr>
    </w:p>
    <w:p>
      <w:pPr>
        <w:pStyle w:val="23"/>
        <w:rPr>
          <w:rFonts w:ascii="宋体" w:hAnsi="宋体" w:cs="宋体"/>
          <w:color w:val="000000" w:themeColor="text1"/>
          <w:sz w:val="24"/>
          <w:highlight w:val="none"/>
          <w14:textFill>
            <w14:solidFill>
              <w14:schemeClr w14:val="tx1"/>
            </w14:solidFill>
          </w14:textFill>
        </w:rPr>
      </w:pPr>
    </w:p>
    <w:p>
      <w:pPr>
        <w:ind w:firstLine="482"/>
        <w:rPr>
          <w:rFonts w:ascii="宋体" w:hAnsi="宋体" w:cs="宋体"/>
          <w:color w:val="000000" w:themeColor="text1"/>
          <w:sz w:val="24"/>
          <w:highlight w:val="none"/>
          <w14:textFill>
            <w14:solidFill>
              <w14:schemeClr w14:val="tx1"/>
            </w14:solidFill>
          </w14:textFill>
        </w:rPr>
      </w:pPr>
    </w:p>
    <w:p>
      <w:pPr>
        <w:pStyle w:val="23"/>
        <w:rPr>
          <w:rFonts w:ascii="宋体" w:hAnsi="宋体" w:cs="宋体"/>
          <w:color w:val="000000" w:themeColor="text1"/>
          <w:sz w:val="24"/>
          <w:highlight w:val="none"/>
          <w14:textFill>
            <w14:solidFill>
              <w14:schemeClr w14:val="tx1"/>
            </w14:solidFill>
          </w14:textFill>
        </w:rPr>
      </w:pPr>
    </w:p>
    <w:p>
      <w:pPr>
        <w:ind w:firstLine="482"/>
        <w:rPr>
          <w:rFonts w:ascii="宋体" w:hAnsi="宋体" w:cs="宋体"/>
          <w:color w:val="000000" w:themeColor="text1"/>
          <w:sz w:val="24"/>
          <w:highlight w:val="none"/>
          <w14:textFill>
            <w14:solidFill>
              <w14:schemeClr w14:val="tx1"/>
            </w14:solidFill>
          </w14:textFill>
        </w:rPr>
      </w:pPr>
    </w:p>
    <w:p>
      <w:pPr>
        <w:pStyle w:val="23"/>
        <w:rPr>
          <w:rFonts w:ascii="宋体" w:hAnsi="宋体" w:cs="宋体"/>
          <w:color w:val="000000" w:themeColor="text1"/>
          <w:sz w:val="24"/>
          <w:highlight w:val="none"/>
          <w14:textFill>
            <w14:solidFill>
              <w14:schemeClr w14:val="tx1"/>
            </w14:solidFill>
          </w14:textFill>
        </w:rPr>
      </w:pPr>
    </w:p>
    <w:p>
      <w:pPr>
        <w:ind w:firstLine="482"/>
        <w:rPr>
          <w:rFonts w:ascii="宋体" w:hAnsi="宋体" w:cs="宋体"/>
          <w:color w:val="000000" w:themeColor="text1"/>
          <w:sz w:val="24"/>
          <w:highlight w:val="none"/>
          <w14:textFill>
            <w14:solidFill>
              <w14:schemeClr w14:val="tx1"/>
            </w14:solidFill>
          </w14:textFill>
        </w:rPr>
      </w:pPr>
    </w:p>
    <w:p>
      <w:pPr>
        <w:pStyle w:val="23"/>
        <w:rPr>
          <w:rFonts w:ascii="宋体" w:hAnsi="宋体" w:cs="宋体"/>
          <w:color w:val="000000" w:themeColor="text1"/>
          <w:sz w:val="24"/>
          <w:highlight w:val="none"/>
          <w14:textFill>
            <w14:solidFill>
              <w14:schemeClr w14:val="tx1"/>
            </w14:solidFill>
          </w14:textFill>
        </w:rPr>
      </w:pPr>
    </w:p>
    <w:p>
      <w:pPr>
        <w:ind w:firstLine="482"/>
        <w:rPr>
          <w:rFonts w:ascii="宋体" w:hAnsi="宋体" w:cs="宋体"/>
          <w:color w:val="000000" w:themeColor="text1"/>
          <w:sz w:val="24"/>
          <w:highlight w:val="none"/>
          <w14:textFill>
            <w14:solidFill>
              <w14:schemeClr w14:val="tx1"/>
            </w14:solidFill>
          </w14:textFill>
        </w:rPr>
      </w:pPr>
    </w:p>
    <w:p>
      <w:pPr>
        <w:pStyle w:val="23"/>
        <w:rPr>
          <w:rFonts w:ascii="宋体" w:hAnsi="宋体" w:cs="宋体"/>
          <w:color w:val="000000" w:themeColor="text1"/>
          <w:sz w:val="24"/>
          <w:highlight w:val="none"/>
          <w14:textFill>
            <w14:solidFill>
              <w14:schemeClr w14:val="tx1"/>
            </w14:solidFill>
          </w14:textFill>
        </w:rPr>
      </w:pPr>
    </w:p>
    <w:p>
      <w:pPr>
        <w:ind w:firstLine="482"/>
        <w:rPr>
          <w:rFonts w:ascii="宋体" w:hAnsi="宋体" w:cs="宋体"/>
          <w:color w:val="000000" w:themeColor="text1"/>
          <w:sz w:val="24"/>
          <w:highlight w:val="none"/>
          <w14:textFill>
            <w14:solidFill>
              <w14:schemeClr w14:val="tx1"/>
            </w14:solidFill>
          </w14:textFill>
        </w:rPr>
      </w:pPr>
    </w:p>
    <w:p>
      <w:pPr>
        <w:pStyle w:val="23"/>
        <w:rPr>
          <w:rFonts w:ascii="宋体" w:hAnsi="宋体" w:cs="宋体"/>
          <w:color w:val="000000" w:themeColor="text1"/>
          <w:sz w:val="24"/>
          <w:highlight w:val="none"/>
          <w14:textFill>
            <w14:solidFill>
              <w14:schemeClr w14:val="tx1"/>
            </w14:solidFill>
          </w14:textFill>
        </w:rPr>
      </w:pPr>
    </w:p>
    <w:p>
      <w:pPr>
        <w:ind w:firstLine="482"/>
        <w:rPr>
          <w:rFonts w:ascii="宋体" w:hAnsi="宋体" w:cs="宋体"/>
          <w:color w:val="000000" w:themeColor="text1"/>
          <w:sz w:val="24"/>
          <w:highlight w:val="none"/>
          <w14:textFill>
            <w14:solidFill>
              <w14:schemeClr w14:val="tx1"/>
            </w14:solidFill>
          </w14:textFill>
        </w:rPr>
      </w:pPr>
    </w:p>
    <w:p>
      <w:pPr>
        <w:pStyle w:val="23"/>
        <w:rPr>
          <w:rFonts w:ascii="宋体" w:hAnsi="宋体" w:cs="宋体"/>
          <w:color w:val="000000" w:themeColor="text1"/>
          <w:sz w:val="24"/>
          <w:highlight w:val="none"/>
          <w14:textFill>
            <w14:solidFill>
              <w14:schemeClr w14:val="tx1"/>
            </w14:solidFill>
          </w14:textFill>
        </w:rPr>
      </w:pPr>
    </w:p>
    <w:p>
      <w:pPr>
        <w:ind w:firstLine="482"/>
        <w:rPr>
          <w:rFonts w:ascii="宋体" w:hAnsi="宋体" w:cs="宋体"/>
          <w:color w:val="000000" w:themeColor="text1"/>
          <w:sz w:val="24"/>
          <w:highlight w:val="none"/>
          <w14:textFill>
            <w14:solidFill>
              <w14:schemeClr w14:val="tx1"/>
            </w14:solidFill>
          </w14:textFill>
        </w:rPr>
      </w:pPr>
    </w:p>
    <w:p>
      <w:pPr>
        <w:pStyle w:val="23"/>
        <w:rPr>
          <w:rFonts w:ascii="宋体" w:hAnsi="宋体" w:cs="宋体"/>
          <w:color w:val="000000" w:themeColor="text1"/>
          <w:sz w:val="24"/>
          <w:highlight w:val="none"/>
          <w14:textFill>
            <w14:solidFill>
              <w14:schemeClr w14:val="tx1"/>
            </w14:solidFill>
          </w14:textFill>
        </w:rPr>
      </w:pPr>
    </w:p>
    <w:p>
      <w:pPr>
        <w:ind w:firstLine="482"/>
        <w:rPr>
          <w:rFonts w:ascii="宋体" w:hAnsi="宋体" w:cs="宋体"/>
          <w:color w:val="000000" w:themeColor="text1"/>
          <w:sz w:val="24"/>
          <w:highlight w:val="none"/>
          <w14:textFill>
            <w14:solidFill>
              <w14:schemeClr w14:val="tx1"/>
            </w14:solidFill>
          </w14:textFill>
        </w:rPr>
      </w:pPr>
    </w:p>
    <w:p>
      <w:pPr>
        <w:pStyle w:val="23"/>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pStyle w:val="23"/>
        <w:rPr>
          <w:rFonts w:ascii="宋体" w:hAnsi="宋体" w:cs="宋体"/>
          <w:color w:val="000000" w:themeColor="text1"/>
          <w:highlight w:val="none"/>
          <w14:textFill>
            <w14:solidFill>
              <w14:schemeClr w14:val="tx1"/>
            </w14:solidFill>
          </w14:textFill>
        </w:rPr>
      </w:pPr>
    </w:p>
    <w:p>
      <w:pPr>
        <w:pStyle w:val="23"/>
        <w:rPr>
          <w:rFonts w:ascii="宋体" w:hAnsi="宋体" w:cs="宋体"/>
          <w:color w:val="000000" w:themeColor="text1"/>
          <w:sz w:val="24"/>
          <w:highlight w:val="none"/>
          <w14:textFill>
            <w14:solidFill>
              <w14:schemeClr w14:val="tx1"/>
            </w14:solidFill>
          </w14:textFill>
        </w:rPr>
      </w:pPr>
    </w:p>
    <w:p>
      <w:pPr>
        <w:widowControl/>
        <w:spacing w:line="360" w:lineRule="auto"/>
        <w:ind w:firstLine="643"/>
        <w:jc w:val="center"/>
        <w:outlineLvl w:val="1"/>
        <w:rPr>
          <w:rFonts w:ascii="宋体" w:hAnsi="宋体" w:cs="宋体"/>
          <w:b/>
          <w:color w:val="000000" w:themeColor="text1"/>
          <w:spacing w:val="6"/>
          <w:sz w:val="24"/>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十一、</w:t>
      </w:r>
      <w:bookmarkStart w:id="293" w:name="OLE_LINK13"/>
      <w:r>
        <w:rPr>
          <w:rFonts w:hint="eastAsia" w:ascii="宋体" w:hAnsi="宋体" w:cs="宋体"/>
          <w:b/>
          <w:color w:val="000000" w:themeColor="text1"/>
          <w:sz w:val="32"/>
          <w:szCs w:val="32"/>
          <w:highlight w:val="none"/>
          <w14:textFill>
            <w14:solidFill>
              <w14:schemeClr w14:val="tx1"/>
            </w14:solidFill>
          </w14:textFill>
        </w:rPr>
        <w:t>残疾人福利性单位声明函</w:t>
      </w:r>
      <w:bookmarkEnd w:id="292"/>
      <w:bookmarkEnd w:id="293"/>
    </w:p>
    <w:p>
      <w:pPr>
        <w:spacing w:line="360" w:lineRule="auto"/>
        <w:ind w:firstLine="504" w:firstLineChars="200"/>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〔2017〕141</w:t>
      </w:r>
      <w:r>
        <w:rPr>
          <w:rFonts w:hint="eastAsia" w:ascii="宋体" w:hAnsi="宋体" w:cs="宋体"/>
          <w:color w:val="000000" w:themeColor="text1"/>
          <w:spacing w:val="6"/>
          <w:sz w:val="24"/>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504" w:firstLineChars="200"/>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本单位对上述声明的真实性负责。如有虚假，将依法承担相应责任。</w:t>
      </w:r>
    </w:p>
    <w:p>
      <w:pPr>
        <w:spacing w:line="360" w:lineRule="auto"/>
        <w:ind w:firstLine="506"/>
        <w:rPr>
          <w:rFonts w:ascii="宋体" w:hAnsi="宋体" w:cs="宋体"/>
          <w:color w:val="000000" w:themeColor="text1"/>
          <w:spacing w:val="6"/>
          <w:sz w:val="24"/>
          <w:highlight w:val="none"/>
          <w14:textFill>
            <w14:solidFill>
              <w14:schemeClr w14:val="tx1"/>
            </w14:solidFill>
          </w14:textFill>
        </w:rPr>
      </w:pPr>
    </w:p>
    <w:p>
      <w:pPr>
        <w:spacing w:line="360" w:lineRule="auto"/>
        <w:ind w:firstLine="506"/>
        <w:rPr>
          <w:rFonts w:ascii="宋体" w:hAnsi="宋体" w:cs="宋体"/>
          <w:color w:val="000000" w:themeColor="text1"/>
          <w:spacing w:val="6"/>
          <w:sz w:val="24"/>
          <w:highlight w:val="none"/>
          <w14:textFill>
            <w14:solidFill>
              <w14:schemeClr w14:val="tx1"/>
            </w14:solidFill>
          </w14:textFill>
        </w:rPr>
      </w:pPr>
    </w:p>
    <w:p>
      <w:pPr>
        <w:tabs>
          <w:tab w:val="left" w:pos="4860"/>
        </w:tabs>
        <w:spacing w:line="360" w:lineRule="auto"/>
        <w:ind w:right="1560" w:firstLine="506"/>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单位名称（盖章）：</w:t>
      </w:r>
    </w:p>
    <w:p>
      <w:pPr>
        <w:spacing w:line="360" w:lineRule="auto"/>
        <w:ind w:firstLine="506"/>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日  期：</w:t>
      </w:r>
    </w:p>
    <w:p>
      <w:pPr>
        <w:spacing w:line="360" w:lineRule="auto"/>
        <w:ind w:firstLine="482"/>
        <w:rPr>
          <w:rFonts w:ascii="宋体" w:hAnsi="宋体" w:cs="宋体"/>
          <w:color w:val="000000" w:themeColor="text1"/>
          <w:sz w:val="24"/>
          <w:highlight w:val="none"/>
          <w14:textFill>
            <w14:solidFill>
              <w14:schemeClr w14:val="tx1"/>
            </w14:solidFill>
          </w14:textFill>
        </w:rPr>
      </w:pPr>
    </w:p>
    <w:p>
      <w:pPr>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w:t>
      </w:r>
    </w:p>
    <w:p>
      <w:pPr>
        <w:numPr>
          <w:ilvl w:val="0"/>
          <w:numId w:val="10"/>
        </w:numPr>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残疾人福利性单位视同小型、微型企业，享受预留份额、评审中价格扣除等促进中小企业发展的政府采购政策。残疾人福利性单位属于小型、微型企业的，不重复享受政策。</w:t>
      </w:r>
    </w:p>
    <w:p>
      <w:pPr>
        <w:numPr>
          <w:ilvl w:val="0"/>
          <w:numId w:val="10"/>
        </w:numPr>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投标人为非残疾人福利性单位的，可不提供此声明。</w:t>
      </w:r>
    </w:p>
    <w:p>
      <w:pPr>
        <w:pStyle w:val="4"/>
        <w:spacing w:before="0" w:after="0" w:line="360" w:lineRule="auto"/>
        <w:ind w:firstLine="640"/>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r>
        <w:rPr>
          <w:rFonts w:hint="eastAsia" w:ascii="宋体" w:hAnsi="宋体" w:eastAsia="宋体" w:cs="宋体"/>
          <w:color w:val="000000" w:themeColor="text1"/>
          <w:highlight w:val="none"/>
          <w14:textFill>
            <w14:solidFill>
              <w14:schemeClr w14:val="tx1"/>
            </w14:solidFill>
          </w14:textFill>
        </w:rPr>
        <w:t>十二、综合评分所需其他资料</w:t>
      </w:r>
      <w:bookmarkEnd w:id="290"/>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投标人参加本次投标请根据综合评分明细表，提供打分所需的其他资料（在投标文件其他部分有描述或已提供的，不必重复）。</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p>
      <w:pPr>
        <w:spacing w:line="360" w:lineRule="auto"/>
        <w:ind w:firstLine="480"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p>
      <w:pPr>
        <w:spacing w:line="360" w:lineRule="auto"/>
        <w:ind w:firstLine="640"/>
        <w:jc w:val="center"/>
        <w:rPr>
          <w:rFonts w:ascii="宋体" w:hAnsi="宋体" w:cs="宋体"/>
          <w:b/>
          <w:color w:val="000000" w:themeColor="text1"/>
          <w:sz w:val="32"/>
          <w:szCs w:val="32"/>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adjustRightInd w:val="0"/>
        <w:snapToGrid w:val="0"/>
        <w:spacing w:line="360" w:lineRule="auto"/>
        <w:ind w:firstLine="600"/>
        <w:rPr>
          <w:rFonts w:ascii="宋体" w:hAnsi="宋体" w:cs="宋体"/>
          <w:b/>
          <w:color w:val="000000" w:themeColor="text1"/>
          <w:kern w:val="0"/>
          <w:sz w:val="30"/>
          <w:szCs w:val="30"/>
          <w:highlight w:val="none"/>
          <w14:textFill>
            <w14:solidFill>
              <w14:schemeClr w14:val="tx1"/>
            </w14:solidFill>
          </w14:textFill>
        </w:rPr>
      </w:pPr>
    </w:p>
    <w:p>
      <w:pPr>
        <w:adjustRightInd w:val="0"/>
        <w:snapToGrid w:val="0"/>
        <w:spacing w:line="360" w:lineRule="auto"/>
        <w:ind w:firstLine="600"/>
        <w:rPr>
          <w:rFonts w:ascii="宋体" w:hAnsi="宋体" w:cs="宋体"/>
          <w:b/>
          <w:color w:val="000000" w:themeColor="text1"/>
          <w:kern w:val="0"/>
          <w:sz w:val="30"/>
          <w:szCs w:val="30"/>
          <w:highlight w:val="none"/>
          <w14:textFill>
            <w14:solidFill>
              <w14:schemeClr w14:val="tx1"/>
            </w14:solidFill>
          </w14:textFill>
        </w:rPr>
      </w:pPr>
    </w:p>
    <w:p>
      <w:pPr>
        <w:adjustRightInd w:val="0"/>
        <w:snapToGrid w:val="0"/>
        <w:spacing w:line="360" w:lineRule="auto"/>
        <w:ind w:firstLine="600"/>
        <w:rPr>
          <w:rFonts w:ascii="宋体" w:hAnsi="宋体" w:cs="宋体"/>
          <w:b/>
          <w:color w:val="000000" w:themeColor="text1"/>
          <w:kern w:val="0"/>
          <w:sz w:val="30"/>
          <w:szCs w:val="30"/>
          <w:highlight w:val="none"/>
          <w14:textFill>
            <w14:solidFill>
              <w14:schemeClr w14:val="tx1"/>
            </w14:solidFill>
          </w14:textFill>
        </w:rPr>
      </w:pPr>
    </w:p>
    <w:p>
      <w:pPr>
        <w:adjustRightInd w:val="0"/>
        <w:snapToGrid w:val="0"/>
        <w:spacing w:line="360" w:lineRule="auto"/>
        <w:ind w:firstLine="600"/>
        <w:rPr>
          <w:rFonts w:ascii="宋体" w:hAnsi="宋体" w:cs="宋体"/>
          <w:b/>
          <w:color w:val="000000" w:themeColor="text1"/>
          <w:kern w:val="0"/>
          <w:sz w:val="30"/>
          <w:szCs w:val="30"/>
          <w:highlight w:val="none"/>
          <w14:textFill>
            <w14:solidFill>
              <w14:schemeClr w14:val="tx1"/>
            </w14:solidFill>
          </w14:textFill>
        </w:rPr>
      </w:pPr>
    </w:p>
    <w:p>
      <w:pPr>
        <w:adjustRightInd w:val="0"/>
        <w:snapToGrid w:val="0"/>
        <w:spacing w:line="360" w:lineRule="auto"/>
        <w:ind w:firstLine="600"/>
        <w:rPr>
          <w:rFonts w:ascii="宋体" w:hAnsi="宋体" w:cs="宋体"/>
          <w:b/>
          <w:color w:val="000000" w:themeColor="text1"/>
          <w:kern w:val="0"/>
          <w:sz w:val="30"/>
          <w:szCs w:val="30"/>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p>
    <w:p>
      <w:pPr>
        <w:pStyle w:val="3"/>
        <w:numPr>
          <w:ilvl w:val="0"/>
          <w:numId w:val="0"/>
        </w:numPr>
        <w:spacing w:before="0" w:after="0" w:line="360" w:lineRule="auto"/>
        <w:jc w:val="center"/>
        <w:rPr>
          <w:rFonts w:ascii="宋体" w:hAnsi="宋体" w:cs="宋体"/>
          <w:color w:val="000000" w:themeColor="text1"/>
          <w:sz w:val="32"/>
          <w:szCs w:val="32"/>
          <w:highlight w:val="none"/>
          <w14:textFill>
            <w14:solidFill>
              <w14:schemeClr w14:val="tx1"/>
            </w14:solidFill>
          </w14:textFill>
        </w:rPr>
      </w:pPr>
      <w:bookmarkStart w:id="294" w:name="_Toc426657583"/>
      <w:bookmarkStart w:id="295" w:name="_Toc1168"/>
      <w:bookmarkStart w:id="296" w:name="_Toc12536"/>
      <w:bookmarkStart w:id="297" w:name="_Toc210"/>
      <w:bookmarkStart w:id="298" w:name="_Toc6176"/>
      <w:r>
        <w:rPr>
          <w:rFonts w:hint="eastAsia" w:ascii="宋体" w:hAnsi="宋体" w:cs="宋体"/>
          <w:color w:val="000000" w:themeColor="text1"/>
          <w:sz w:val="32"/>
          <w:szCs w:val="32"/>
          <w:highlight w:val="none"/>
          <w:lang w:val="en-US" w:eastAsia="zh-CN"/>
          <w14:textFill>
            <w14:solidFill>
              <w14:schemeClr w14:val="tx1"/>
            </w14:solidFill>
          </w14:textFill>
        </w:rPr>
        <w:t>第四章、</w:t>
      </w:r>
      <w:r>
        <w:rPr>
          <w:rFonts w:hint="eastAsia" w:ascii="宋体" w:hAnsi="宋体" w:cs="宋体"/>
          <w:color w:val="000000" w:themeColor="text1"/>
          <w:sz w:val="32"/>
          <w:szCs w:val="32"/>
          <w:highlight w:val="none"/>
          <w14:textFill>
            <w14:solidFill>
              <w14:schemeClr w14:val="tx1"/>
            </w14:solidFill>
          </w14:textFill>
        </w:rPr>
        <w:t>投标人应当提供的资格、资质性</w:t>
      </w:r>
      <w:bookmarkEnd w:id="294"/>
      <w:bookmarkStart w:id="299" w:name="_Toc426663461"/>
      <w:bookmarkStart w:id="300" w:name="_Toc15266"/>
      <w:bookmarkStart w:id="301" w:name="_Toc426663660"/>
      <w:bookmarkStart w:id="302" w:name="_Toc426648252"/>
      <w:bookmarkStart w:id="303" w:name="_Toc426657584"/>
      <w:bookmarkStart w:id="304" w:name="_Toc23399"/>
      <w:r>
        <w:rPr>
          <w:rFonts w:hint="eastAsia" w:ascii="宋体" w:hAnsi="宋体" w:cs="宋体"/>
          <w:color w:val="000000" w:themeColor="text1"/>
          <w:sz w:val="32"/>
          <w:szCs w:val="32"/>
          <w:highlight w:val="none"/>
          <w14:textFill>
            <w14:solidFill>
              <w14:schemeClr w14:val="tx1"/>
            </w14:solidFill>
          </w14:textFill>
        </w:rPr>
        <w:t>及其他类似效力要求</w:t>
      </w:r>
      <w:bookmarkEnd w:id="295"/>
      <w:bookmarkEnd w:id="296"/>
      <w:bookmarkEnd w:id="297"/>
      <w:bookmarkEnd w:id="298"/>
      <w:bookmarkEnd w:id="299"/>
      <w:bookmarkEnd w:id="300"/>
      <w:bookmarkEnd w:id="301"/>
      <w:bookmarkEnd w:id="302"/>
      <w:bookmarkEnd w:id="303"/>
      <w:bookmarkEnd w:id="304"/>
    </w:p>
    <w:p>
      <w:pPr>
        <w:pStyle w:val="4"/>
        <w:numPr>
          <w:ilvl w:val="0"/>
          <w:numId w:val="0"/>
        </w:numPr>
        <w:spacing w:before="0" w:after="0" w:line="360" w:lineRule="auto"/>
        <w:rPr>
          <w:rFonts w:ascii="宋体" w:hAnsi="宋体" w:eastAsia="宋体" w:cs="宋体"/>
          <w:color w:val="000000" w:themeColor="text1"/>
          <w:sz w:val="24"/>
          <w:szCs w:val="24"/>
          <w:highlight w:val="none"/>
          <w14:textFill>
            <w14:solidFill>
              <w14:schemeClr w14:val="tx1"/>
            </w14:solidFill>
          </w14:textFill>
        </w:rPr>
      </w:pPr>
      <w:bookmarkStart w:id="305" w:name="_Toc426657585"/>
      <w:bookmarkStart w:id="306" w:name="_Toc21805"/>
      <w:bookmarkStart w:id="307" w:name="_Toc2895"/>
      <w:r>
        <w:rPr>
          <w:rFonts w:hint="eastAsia" w:ascii="宋体" w:hAnsi="宋体" w:eastAsia="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投标人资格、资质性及其他类似效力要求</w:t>
      </w:r>
      <w:bookmarkEnd w:id="305"/>
      <w:bookmarkEnd w:id="306"/>
      <w:bookmarkEnd w:id="307"/>
    </w:p>
    <w:p>
      <w:pPr>
        <w:tabs>
          <w:tab w:val="left" w:pos="780"/>
          <w:tab w:val="left" w:pos="3480"/>
        </w:tabs>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（一）资格要求：</w:t>
      </w:r>
    </w:p>
    <w:p>
      <w:pPr>
        <w:tabs>
          <w:tab w:val="left" w:pos="900"/>
        </w:tabs>
        <w:snapToGrid w:val="0"/>
        <w:spacing w:line="360" w:lineRule="auto"/>
        <w:ind w:firstLine="360" w:firstLineChars="15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1、具有独立承担民事责任的能力</w:t>
      </w:r>
      <w:r>
        <w:rPr>
          <w:rFonts w:hint="eastAsia" w:ascii="宋体" w:hAnsi="宋体" w:cs="宋体"/>
          <w:color w:val="000000" w:themeColor="text1"/>
          <w:sz w:val="24"/>
          <w:szCs w:val="24"/>
          <w:highlight w:val="none"/>
          <w14:textFill>
            <w14:solidFill>
              <w14:schemeClr w14:val="tx1"/>
            </w14:solidFill>
          </w14:textFill>
        </w:rPr>
        <w:t>；</w:t>
      </w:r>
    </w:p>
    <w:p>
      <w:pPr>
        <w:tabs>
          <w:tab w:val="left" w:pos="900"/>
        </w:tabs>
        <w:snapToGrid w:val="0"/>
        <w:spacing w:line="360" w:lineRule="auto"/>
        <w:ind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2、具有良好的商业信誉和健全的财务会计制度；</w:t>
      </w:r>
    </w:p>
    <w:p>
      <w:pPr>
        <w:tabs>
          <w:tab w:val="left" w:pos="900"/>
        </w:tabs>
        <w:snapToGrid w:val="0"/>
        <w:spacing w:line="360" w:lineRule="auto"/>
        <w:ind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3、具有履行合同所必需的设备和专业技术能力；</w:t>
      </w:r>
    </w:p>
    <w:p>
      <w:pPr>
        <w:tabs>
          <w:tab w:val="left" w:pos="900"/>
        </w:tabs>
        <w:snapToGrid w:val="0"/>
        <w:spacing w:line="360" w:lineRule="auto"/>
        <w:ind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4、有依法缴纳税收和社会保障资金的良好记录；</w:t>
      </w:r>
    </w:p>
    <w:p>
      <w:pPr>
        <w:tabs>
          <w:tab w:val="left" w:pos="900"/>
        </w:tabs>
        <w:snapToGrid w:val="0"/>
        <w:spacing w:line="360" w:lineRule="auto"/>
        <w:ind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  参加本次招标活动前三年内，在经营活动中没有重大违法记录；</w:t>
      </w:r>
    </w:p>
    <w:p>
      <w:pPr>
        <w:widowControl/>
        <w:spacing w:line="360" w:lineRule="auto"/>
        <w:ind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6、法律、行政法规规定的其他条件；</w:t>
      </w:r>
    </w:p>
    <w:p>
      <w:pPr>
        <w:tabs>
          <w:tab w:val="left" w:pos="900"/>
        </w:tabs>
        <w:snapToGrid w:val="0"/>
        <w:spacing w:line="360" w:lineRule="auto"/>
        <w:ind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 根据采购项目提出的特殊条件：</w:t>
      </w:r>
    </w:p>
    <w:p>
      <w:pPr>
        <w:tabs>
          <w:tab w:val="left" w:pos="900"/>
        </w:tabs>
        <w:snapToGrid w:val="0"/>
        <w:spacing w:line="360" w:lineRule="auto"/>
        <w:ind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r>
        <w:rPr>
          <w:rFonts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投标人及其现任法定代表人（非法人机构则为主要负责人）不得具有行贿犯罪记录；</w:t>
      </w:r>
    </w:p>
    <w:p>
      <w:pPr>
        <w:tabs>
          <w:tab w:val="left" w:pos="900"/>
        </w:tabs>
        <w:wordWrap w:val="0"/>
        <w:snapToGrid w:val="0"/>
        <w:spacing w:line="360" w:lineRule="auto"/>
        <w:ind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w:t>
      </w:r>
      <w:r>
        <w:rPr>
          <w:rFonts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 xml:space="preserve"> 投标人截止至本项目投标截止时间未被列入“信用中国”网站(www.creditchina.gov.cn)、“中国政府采购网”网站(www.ccgp.gov.cn) 中任一网站的失信被执行人名单或重大税收违法案件当事人名单或政府采购严重违法失信行为记录名单；</w:t>
      </w:r>
    </w:p>
    <w:p>
      <w:pPr>
        <w:tabs>
          <w:tab w:val="left" w:pos="900"/>
        </w:tabs>
        <w:snapToGrid w:val="0"/>
        <w:spacing w:line="360" w:lineRule="auto"/>
        <w:ind w:firstLine="360" w:firstLineChars="15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本项目不接受联合体投标。</w:t>
      </w:r>
    </w:p>
    <w:p>
      <w:pPr>
        <w:tabs>
          <w:tab w:val="left" w:pos="780"/>
          <w:tab w:val="left" w:pos="3480"/>
        </w:tabs>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（二）资质性要求：无</w:t>
      </w:r>
    </w:p>
    <w:p>
      <w:pPr>
        <w:spacing w:line="360" w:lineRule="auto"/>
        <w:ind w:left="0" w:leftChars="0" w:firstLine="0" w:firstLineChars="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（三）其他类似效力要求：</w:t>
      </w:r>
      <w:r>
        <w:rPr>
          <w:rFonts w:hint="eastAsia" w:ascii="宋体" w:hAnsi="宋体" w:cs="宋体"/>
          <w:color w:val="000000" w:themeColor="text1"/>
          <w:sz w:val="24"/>
          <w:highlight w:val="none"/>
          <w14:textFill>
            <w14:solidFill>
              <w14:schemeClr w14:val="tx1"/>
            </w14:solidFill>
          </w14:textFill>
        </w:rPr>
        <w:t>按本招标文件要求缴纳投标保证金；</w:t>
      </w:r>
      <w:r>
        <w:rPr>
          <w:rFonts w:hint="eastAsia" w:ascii="宋体" w:hAnsi="宋体" w:cs="宋体"/>
          <w:color w:val="000000" w:themeColor="text1"/>
          <w:sz w:val="24"/>
          <w:szCs w:val="24"/>
          <w:highlight w:val="none"/>
          <w14:textFill>
            <w14:solidFill>
              <w14:schemeClr w14:val="tx1"/>
            </w14:solidFill>
          </w14:textFill>
        </w:rPr>
        <w:t>参加本次投标活动的合法代表由投标人法定代表人</w:t>
      </w:r>
      <w:r>
        <w:rPr>
          <w:rFonts w:hint="eastAsia" w:ascii="宋体" w:hAnsi="宋体" w:cs="宋体"/>
          <w:color w:val="000000" w:themeColor="text1"/>
          <w:sz w:val="24"/>
          <w:highlight w:val="none"/>
          <w14:textFill>
            <w14:solidFill>
              <w14:schemeClr w14:val="tx1"/>
            </w14:solidFill>
          </w14:textFill>
        </w:rPr>
        <w:t>/单位负责人</w:t>
      </w:r>
      <w:r>
        <w:rPr>
          <w:rFonts w:hint="eastAsia" w:ascii="宋体" w:hAnsi="宋体" w:cs="宋体"/>
          <w:color w:val="000000" w:themeColor="text1"/>
          <w:sz w:val="24"/>
          <w:szCs w:val="24"/>
          <w:highlight w:val="none"/>
          <w14:textFill>
            <w14:solidFill>
              <w14:schemeClr w14:val="tx1"/>
            </w14:solidFill>
          </w14:textFill>
        </w:rPr>
        <w:t>授权。</w:t>
      </w:r>
    </w:p>
    <w:p>
      <w:pPr>
        <w:pStyle w:val="4"/>
        <w:numPr>
          <w:ilvl w:val="0"/>
          <w:numId w:val="0"/>
        </w:numPr>
        <w:spacing w:before="0" w:after="0" w:line="360" w:lineRule="auto"/>
        <w:rPr>
          <w:rFonts w:ascii="宋体" w:hAnsi="宋体" w:eastAsia="宋体" w:cs="宋体"/>
          <w:color w:val="000000" w:themeColor="text1"/>
          <w:sz w:val="24"/>
          <w:szCs w:val="24"/>
          <w:highlight w:val="none"/>
          <w14:textFill>
            <w14:solidFill>
              <w14:schemeClr w14:val="tx1"/>
            </w14:solidFill>
          </w14:textFill>
        </w:rPr>
      </w:pPr>
      <w:bookmarkStart w:id="308" w:name="_Toc426657586"/>
      <w:bookmarkStart w:id="309" w:name="_Toc236"/>
      <w:bookmarkStart w:id="310" w:name="_Toc22070"/>
      <w:r>
        <w:rPr>
          <w:rFonts w:hint="eastAsia" w:ascii="宋体" w:hAnsi="宋体" w:eastAsia="宋体" w:cs="宋体"/>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投标产品的资格、资质性及其他类似效力要求</w:t>
      </w:r>
      <w:bookmarkEnd w:id="308"/>
      <w:bookmarkEnd w:id="309"/>
      <w:bookmarkEnd w:id="310"/>
    </w:p>
    <w:p>
      <w:pPr>
        <w:tabs>
          <w:tab w:val="left" w:pos="780"/>
          <w:tab w:val="left" w:pos="3480"/>
        </w:tabs>
        <w:snapToGrid w:val="0"/>
        <w:spacing w:line="360" w:lineRule="auto"/>
        <w:ind w:left="720" w:hanging="720" w:hangingChars="3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（一）资格要求：无</w:t>
      </w:r>
    </w:p>
    <w:p>
      <w:pPr>
        <w:tabs>
          <w:tab w:val="left" w:pos="780"/>
          <w:tab w:val="left" w:pos="3480"/>
        </w:tabs>
        <w:snapToGrid w:val="0"/>
        <w:spacing w:line="360" w:lineRule="auto"/>
        <w:ind w:left="720" w:hanging="720" w:hanging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（二）资质性要求：无</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（三）其他类似效力要求：无</w:t>
      </w:r>
      <w:bookmarkEnd w:id="291"/>
    </w:p>
    <w:p>
      <w:pPr>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注：1、本项目确定投标人重大违法记录中较大数额罚款的金额标准为：</w:t>
      </w:r>
      <w:r>
        <w:rPr>
          <w:rFonts w:hint="eastAsia" w:ascii="宋体" w:hAnsi="宋体" w:cs="宋体"/>
          <w:color w:val="000000" w:themeColor="text1"/>
          <w:sz w:val="24"/>
          <w:highlight w:val="none"/>
          <w14:textFill>
            <w14:solidFill>
              <w14:schemeClr w14:val="tx1"/>
            </w14:solidFill>
          </w14:textFill>
        </w:rPr>
        <w:t>200万元以上的罚款；若法律、行政法规以及国务院有关部门明确规定相关领域“较大数额罚款”标准高于200万元的，从其规定。</w:t>
      </w:r>
    </w:p>
    <w:p>
      <w:pPr>
        <w:numPr>
          <w:ilvl w:val="0"/>
          <w:numId w:val="10"/>
        </w:numPr>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在参加政府采购活动前，被纳入法院、工商行政管理部门、税务部门、银行认定的失信名单且在有效期内，或者在前三年政府采购合同履约过程中及其他经营活动履约过程中未依法履约被有关行政部门处罚（处理）的，本项目不认定其具有良好的商业信誉。</w:t>
      </w:r>
    </w:p>
    <w:p>
      <w:pPr>
        <w:pStyle w:val="2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pPr>
        <w:pStyle w:val="3"/>
        <w:pageBreakBefore w:val="0"/>
        <w:widowControl w:val="0"/>
        <w:numPr>
          <w:ilvl w:val="0"/>
          <w:numId w:val="0"/>
        </w:numPr>
        <w:kinsoku/>
        <w:wordWrap/>
        <w:overflowPunct/>
        <w:topLinePunct w:val="0"/>
        <w:bidi w:val="0"/>
        <w:spacing w:before="0" w:after="0" w:line="348" w:lineRule="auto"/>
        <w:jc w:val="center"/>
        <w:textAlignment w:val="auto"/>
        <w:rPr>
          <w:rFonts w:ascii="宋体" w:hAnsi="宋体" w:cs="宋体"/>
          <w:color w:val="000000" w:themeColor="text1"/>
          <w:sz w:val="32"/>
          <w:szCs w:val="32"/>
          <w:highlight w:val="none"/>
          <w14:textFill>
            <w14:solidFill>
              <w14:schemeClr w14:val="tx1"/>
            </w14:solidFill>
          </w14:textFill>
        </w:rPr>
      </w:pPr>
      <w:bookmarkStart w:id="311" w:name="_Toc5865"/>
      <w:bookmarkStart w:id="312" w:name="_Toc22755"/>
      <w:bookmarkStart w:id="313" w:name="_Toc31782"/>
      <w:bookmarkStart w:id="314" w:name="_Toc13373"/>
      <w:r>
        <w:rPr>
          <w:rFonts w:hint="eastAsia" w:ascii="宋体" w:hAnsi="宋体" w:cs="宋体"/>
          <w:color w:val="000000" w:themeColor="text1"/>
          <w:sz w:val="32"/>
          <w:szCs w:val="32"/>
          <w:highlight w:val="none"/>
          <w:lang w:val="en-US" w:eastAsia="zh-CN"/>
          <w14:textFill>
            <w14:solidFill>
              <w14:schemeClr w14:val="tx1"/>
            </w14:solidFill>
          </w14:textFill>
        </w:rPr>
        <w:t>第五章、</w:t>
      </w:r>
      <w:r>
        <w:rPr>
          <w:rFonts w:hint="eastAsia" w:ascii="宋体" w:hAnsi="宋体" w:cs="宋体"/>
          <w:color w:val="000000" w:themeColor="text1"/>
          <w:sz w:val="32"/>
          <w:szCs w:val="32"/>
          <w:highlight w:val="none"/>
          <w14:textFill>
            <w14:solidFill>
              <w14:schemeClr w14:val="tx1"/>
            </w14:solidFill>
          </w14:textFill>
        </w:rPr>
        <w:t>投标人应当提供的资格、资质性及其他类似效力要求的</w:t>
      </w:r>
      <w:bookmarkEnd w:id="311"/>
      <w:bookmarkEnd w:id="312"/>
      <w:bookmarkEnd w:id="313"/>
      <w:bookmarkEnd w:id="314"/>
    </w:p>
    <w:p>
      <w:pPr>
        <w:pStyle w:val="3"/>
        <w:pageBreakBefore w:val="0"/>
        <w:widowControl w:val="0"/>
        <w:kinsoku/>
        <w:wordWrap/>
        <w:overflowPunct/>
        <w:topLinePunct w:val="0"/>
        <w:bidi w:val="0"/>
        <w:spacing w:before="0" w:after="0" w:line="348" w:lineRule="auto"/>
        <w:ind w:firstLine="640"/>
        <w:jc w:val="center"/>
        <w:textAlignment w:val="auto"/>
        <w:rPr>
          <w:rFonts w:ascii="宋体" w:hAnsi="宋体" w:cs="宋体"/>
          <w:color w:val="000000" w:themeColor="text1"/>
          <w:sz w:val="32"/>
          <w:szCs w:val="32"/>
          <w:highlight w:val="none"/>
          <w14:textFill>
            <w14:solidFill>
              <w14:schemeClr w14:val="tx1"/>
            </w14:solidFill>
          </w14:textFill>
        </w:rPr>
      </w:pPr>
      <w:bookmarkStart w:id="315" w:name="_Toc25349"/>
      <w:bookmarkStart w:id="316" w:name="_Toc4841"/>
      <w:bookmarkStart w:id="317" w:name="_Toc2955"/>
      <w:bookmarkStart w:id="318" w:name="_Toc887"/>
      <w:bookmarkStart w:id="319" w:name="_Toc31799"/>
      <w:bookmarkStart w:id="320" w:name="_Toc13137"/>
      <w:r>
        <w:rPr>
          <w:rFonts w:hint="eastAsia" w:ascii="宋体" w:hAnsi="宋体" w:cs="宋体"/>
          <w:color w:val="000000" w:themeColor="text1"/>
          <w:sz w:val="32"/>
          <w:szCs w:val="32"/>
          <w:highlight w:val="none"/>
          <w14:textFill>
            <w14:solidFill>
              <w14:schemeClr w14:val="tx1"/>
            </w14:solidFill>
          </w14:textFill>
        </w:rPr>
        <w:t>相关证明材料</w:t>
      </w:r>
      <w:bookmarkEnd w:id="315"/>
      <w:bookmarkEnd w:id="316"/>
      <w:bookmarkEnd w:id="317"/>
      <w:bookmarkEnd w:id="318"/>
      <w:bookmarkEnd w:id="319"/>
      <w:bookmarkEnd w:id="320"/>
      <w:bookmarkStart w:id="321" w:name="_Toc25795"/>
    </w:p>
    <w:p>
      <w:pPr>
        <w:pStyle w:val="3"/>
        <w:pageBreakBefore w:val="0"/>
        <w:widowControl w:val="0"/>
        <w:kinsoku/>
        <w:wordWrap/>
        <w:overflowPunct/>
        <w:topLinePunct w:val="0"/>
        <w:bidi w:val="0"/>
        <w:spacing w:before="0" w:after="0" w:line="348" w:lineRule="auto"/>
        <w:textAlignment w:val="auto"/>
        <w:rPr>
          <w:rFonts w:ascii="宋体" w:hAnsi="宋体" w:cs="宋体"/>
          <w:bCs w:val="0"/>
          <w:color w:val="000000" w:themeColor="text1"/>
          <w:sz w:val="24"/>
          <w:szCs w:val="24"/>
          <w:highlight w:val="none"/>
          <w14:textFill>
            <w14:solidFill>
              <w14:schemeClr w14:val="tx1"/>
            </w14:solidFill>
          </w14:textFill>
        </w:rPr>
      </w:pPr>
      <w:bookmarkStart w:id="322" w:name="_Toc941"/>
      <w:bookmarkStart w:id="323" w:name="_Toc14844"/>
      <w:bookmarkStart w:id="324" w:name="_Toc29174"/>
      <w:bookmarkStart w:id="325" w:name="_Toc207"/>
      <w:bookmarkStart w:id="326" w:name="_Toc10830"/>
      <w:r>
        <w:rPr>
          <w:rFonts w:hint="eastAsia" w:ascii="宋体" w:hAnsi="宋体" w:cs="宋体"/>
          <w:bCs w:val="0"/>
          <w:color w:val="000000" w:themeColor="text1"/>
          <w:sz w:val="24"/>
          <w:szCs w:val="24"/>
          <w:highlight w:val="none"/>
          <w14:textFill>
            <w14:solidFill>
              <w14:schemeClr w14:val="tx1"/>
            </w14:solidFill>
          </w14:textFill>
        </w:rPr>
        <w:t>一、投标人应当提供的资格、资质性文件及其他类似效力的要求的相关证明材料：</w:t>
      </w:r>
      <w:bookmarkEnd w:id="321"/>
      <w:bookmarkEnd w:id="322"/>
      <w:bookmarkEnd w:id="323"/>
      <w:bookmarkEnd w:id="324"/>
      <w:bookmarkEnd w:id="325"/>
      <w:bookmarkEnd w:id="326"/>
    </w:p>
    <w:p>
      <w:pPr>
        <w:pStyle w:val="419"/>
        <w:pageBreakBefore w:val="0"/>
        <w:widowControl w:val="0"/>
        <w:kinsoku/>
        <w:wordWrap/>
        <w:overflowPunct/>
        <w:topLinePunct w:val="0"/>
        <w:bidi w:val="0"/>
        <w:spacing w:line="348" w:lineRule="auto"/>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（一）资格要求相关证明材料：</w:t>
      </w:r>
    </w:p>
    <w:p>
      <w:pPr>
        <w:pageBreakBefore w:val="0"/>
        <w:widowControl w:val="0"/>
        <w:kinsoku/>
        <w:wordWrap/>
        <w:overflowPunct/>
        <w:topLinePunct w:val="0"/>
        <w:bidi w:val="0"/>
        <w:spacing w:line="348" w:lineRule="auto"/>
        <w:ind w:firstLine="166" w:firstLineChars="69"/>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1、具有独立承担民事责任的能力证明材料：</w:t>
      </w:r>
    </w:p>
    <w:p>
      <w:pPr>
        <w:pageBreakBefore w:val="0"/>
        <w:widowControl w:val="0"/>
        <w:kinsoku/>
        <w:wordWrap/>
        <w:overflowPunct/>
        <w:topLinePunct w:val="0"/>
        <w:bidi w:val="0"/>
        <w:snapToGrid w:val="0"/>
        <w:spacing w:line="348" w:lineRule="auto"/>
        <w:ind w:firstLine="240" w:firstLineChars="100"/>
        <w:textAlignment w:val="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（1）投标人若为企业法人：提供“统一社会信用代码营业执照”；未换证的提供“营业执照、税务登记证、组织机构代码证或三证合一的营业执照”；</w:t>
      </w:r>
    </w:p>
    <w:p>
      <w:pPr>
        <w:pageBreakBefore w:val="0"/>
        <w:widowControl w:val="0"/>
        <w:kinsoku/>
        <w:wordWrap/>
        <w:overflowPunct/>
        <w:topLinePunct w:val="0"/>
        <w:bidi w:val="0"/>
        <w:snapToGrid w:val="0"/>
        <w:spacing w:line="348" w:lineRule="auto"/>
        <w:ind w:firstLine="240" w:firstLineChars="100"/>
        <w:textAlignment w:val="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（2）若为事业法人：提供“统一社会信用代码法人登记证书”；未换证的提交“事业法人登记证书、组织机构代码证”；</w:t>
      </w:r>
    </w:p>
    <w:p>
      <w:pPr>
        <w:pageBreakBefore w:val="0"/>
        <w:widowControl w:val="0"/>
        <w:kinsoku/>
        <w:wordWrap/>
        <w:overflowPunct/>
        <w:topLinePunct w:val="0"/>
        <w:bidi w:val="0"/>
        <w:snapToGrid w:val="0"/>
        <w:spacing w:line="348" w:lineRule="auto"/>
        <w:ind w:firstLine="240" w:firstLineChars="100"/>
        <w:textAlignment w:val="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（3）若为其他组织：提供“对应主管部门颁发的准许执业证明文件或营业执照”；</w:t>
      </w:r>
    </w:p>
    <w:p>
      <w:pPr>
        <w:pageBreakBefore w:val="0"/>
        <w:widowControl w:val="0"/>
        <w:kinsoku/>
        <w:wordWrap/>
        <w:overflowPunct/>
        <w:topLinePunct w:val="0"/>
        <w:bidi w:val="0"/>
        <w:snapToGrid w:val="0"/>
        <w:spacing w:line="348" w:lineRule="auto"/>
        <w:ind w:firstLine="240" w:firstLineChars="100"/>
        <w:textAlignment w:val="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（4）若为自然人：提供“身份证明材料”。</w:t>
      </w:r>
    </w:p>
    <w:p>
      <w:pPr>
        <w:pageBreakBefore w:val="0"/>
        <w:widowControl w:val="0"/>
        <w:kinsoku/>
        <w:wordWrap/>
        <w:overflowPunct/>
        <w:topLinePunct w:val="0"/>
        <w:bidi w:val="0"/>
        <w:spacing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2、具有良好的商业信誉和健全的财务会计制度证明材料：</w:t>
      </w:r>
    </w:p>
    <w:p>
      <w:pPr>
        <w:pStyle w:val="23"/>
        <w:pageBreakBefore w:val="0"/>
        <w:widowControl w:val="0"/>
        <w:kinsoku/>
        <w:wordWrap/>
        <w:overflowPunct/>
        <w:topLinePunct w:val="0"/>
        <w:bidi w:val="0"/>
        <w:snapToGrid w:val="0"/>
        <w:spacing w:after="0" w:line="348" w:lineRule="auto"/>
        <w:ind w:right="152" w:firstLine="240" w:firstLineChars="100"/>
        <w:textAlignment w:val="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（1）投标人提供具有良好的商业信誉的承诺函。</w:t>
      </w:r>
    </w:p>
    <w:p>
      <w:pPr>
        <w:pStyle w:val="23"/>
        <w:pageBreakBefore w:val="0"/>
        <w:widowControl w:val="0"/>
        <w:kinsoku/>
        <w:wordWrap/>
        <w:overflowPunct/>
        <w:topLinePunct w:val="0"/>
        <w:bidi w:val="0"/>
        <w:snapToGrid w:val="0"/>
        <w:spacing w:after="0" w:line="348" w:lineRule="auto"/>
        <w:ind w:right="152" w:firstLine="240" w:firstLineChars="1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投标人提供健全的财务会计制度的证明材料。注：①可提供2021或2022年度经审计的财务报告复印件（包含审计报告和审计报告中所涉及的财务报表、报表附注和出具报告机构、人员的证照），②也可提供2021或2022年度投标人内部的财务报表复印件（至少包含资产负债表），③也可提供距文件递交截止日一年内银行出具的资信证明（复印件），④投标人注册时间至文件递交截止日不足一年的，也可提供在工商备案的公司章程（复印件）。</w:t>
      </w:r>
    </w:p>
    <w:p>
      <w:pPr>
        <w:pageBreakBefore w:val="0"/>
        <w:widowControl w:val="0"/>
        <w:kinsoku/>
        <w:wordWrap/>
        <w:overflowPunct/>
        <w:topLinePunct w:val="0"/>
        <w:bidi w:val="0"/>
        <w:spacing w:line="348" w:lineRule="auto"/>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3.具有履行合同所必需的设备和专业技术能力证明材料：</w:t>
      </w:r>
    </w:p>
    <w:p>
      <w:pPr>
        <w:pageBreakBefore w:val="0"/>
        <w:widowControl w:val="0"/>
        <w:kinsoku/>
        <w:wordWrap/>
        <w:overflowPunct/>
        <w:topLinePunct w:val="0"/>
        <w:bidi w:val="0"/>
        <w:spacing w:line="348" w:lineRule="auto"/>
        <w:ind w:firstLine="240" w:firstLineChars="1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投标人自行提供相关证明材料或承诺函。</w:t>
      </w:r>
    </w:p>
    <w:p>
      <w:pPr>
        <w:pageBreakBefore w:val="0"/>
        <w:widowControl w:val="0"/>
        <w:kinsoku/>
        <w:wordWrap/>
        <w:overflowPunct/>
        <w:topLinePunct w:val="0"/>
        <w:bidi w:val="0"/>
        <w:spacing w:line="348" w:lineRule="auto"/>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4、有依法缴纳税收和社会保障资金的良好记录证明材料：</w:t>
      </w:r>
    </w:p>
    <w:p>
      <w:pPr>
        <w:pageBreakBefore w:val="0"/>
        <w:widowControl w:val="0"/>
        <w:kinsoku/>
        <w:wordWrap/>
        <w:overflowPunct/>
        <w:topLinePunct w:val="0"/>
        <w:bidi w:val="0"/>
        <w:spacing w:line="348" w:lineRule="auto"/>
        <w:ind w:firstLine="482"/>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（1）缴纳税收证明材料：</w:t>
      </w:r>
    </w:p>
    <w:p>
      <w:pPr>
        <w:pageBreakBefore w:val="0"/>
        <w:widowControl w:val="0"/>
        <w:kinsoku/>
        <w:wordWrap/>
        <w:overflowPunct/>
        <w:topLinePunct w:val="0"/>
        <w:bidi w:val="0"/>
        <w:spacing w:line="348" w:lineRule="auto"/>
        <w:ind w:firstLine="482"/>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投标人提供2023年至今任意1个月的缴纳税收证明材料（银行电子回单或者税务部门出具的纳税证明或完税证明，新成立公司按实际应缴纳情况提供，事业单位除外）或依法缴纳税收的承诺函。</w:t>
      </w:r>
    </w:p>
    <w:p>
      <w:pPr>
        <w:pageBreakBefore w:val="0"/>
        <w:widowControl w:val="0"/>
        <w:kinsoku/>
        <w:wordWrap/>
        <w:overflowPunct/>
        <w:topLinePunct w:val="0"/>
        <w:bidi w:val="0"/>
        <w:spacing w:line="348" w:lineRule="auto"/>
        <w:ind w:firstLine="482"/>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（2）缴纳社会保障资金：</w:t>
      </w:r>
    </w:p>
    <w:p>
      <w:pPr>
        <w:pageBreakBefore w:val="0"/>
        <w:widowControl w:val="0"/>
        <w:kinsoku/>
        <w:wordWrap/>
        <w:overflowPunct/>
        <w:topLinePunct w:val="0"/>
        <w:bidi w:val="0"/>
        <w:spacing w:line="348" w:lineRule="auto"/>
        <w:ind w:firstLine="240" w:firstLineChars="1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投标人提供社保部门出具的2023年至今任意1个月社保缴纳的证明材料（以缴纳的银行电子回单或以社保部门出具的为准）或依法缴纳社会保障资金的承诺函。</w:t>
      </w:r>
    </w:p>
    <w:p>
      <w:pPr>
        <w:pageBreakBefore w:val="0"/>
        <w:widowControl w:val="0"/>
        <w:kinsoku/>
        <w:wordWrap/>
        <w:overflowPunct/>
        <w:topLinePunct w:val="0"/>
        <w:bidi w:val="0"/>
        <w:spacing w:line="348" w:lineRule="auto"/>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5、参加政府采购活动前三年内，在经营活动中没有重大违法记录证明材料：</w:t>
      </w:r>
    </w:p>
    <w:p>
      <w:pPr>
        <w:pageBreakBefore w:val="0"/>
        <w:widowControl w:val="0"/>
        <w:kinsoku/>
        <w:wordWrap/>
        <w:overflowPunct/>
        <w:topLinePunct w:val="0"/>
        <w:bidi w:val="0"/>
        <w:snapToGrid w:val="0"/>
        <w:spacing w:line="348" w:lineRule="auto"/>
        <w:ind w:firstLine="240" w:firstLineChars="1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14:textFill>
            <w14:solidFill>
              <w14:schemeClr w14:val="tx1"/>
            </w14:solidFill>
          </w14:textFill>
        </w:rPr>
        <w:t>投标人</w:t>
      </w:r>
      <w:r>
        <w:rPr>
          <w:rFonts w:hint="eastAsia" w:ascii="宋体" w:hAnsi="宋体" w:cs="宋体"/>
          <w:color w:val="000000" w:themeColor="text1"/>
          <w:sz w:val="24"/>
          <w:szCs w:val="24"/>
          <w:highlight w:val="none"/>
          <w14:textFill>
            <w14:solidFill>
              <w14:schemeClr w14:val="tx1"/>
            </w14:solidFill>
          </w14:textFill>
        </w:rPr>
        <w:t>提供承诺函。</w:t>
      </w:r>
    </w:p>
    <w:p>
      <w:pPr>
        <w:pageBreakBefore w:val="0"/>
        <w:widowControl w:val="0"/>
        <w:kinsoku/>
        <w:wordWrap/>
        <w:overflowPunct/>
        <w:topLinePunct w:val="0"/>
        <w:bidi w:val="0"/>
        <w:snapToGrid w:val="0"/>
        <w:spacing w:line="348" w:lineRule="auto"/>
        <w:ind w:firstLine="240" w:firstLineChars="1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（2）投标人单位及其法定代表人、主要负责人不得具有行贿犯罪记录。（投标人自行提供承诺函，若发现虚假承诺，作无效投标处理）。</w:t>
      </w:r>
    </w:p>
    <w:p>
      <w:pPr>
        <w:pStyle w:val="23"/>
        <w:pageBreakBefore w:val="0"/>
        <w:widowControl w:val="0"/>
        <w:kinsoku/>
        <w:wordWrap/>
        <w:overflowPunct/>
        <w:topLinePunct w:val="0"/>
        <w:bidi w:val="0"/>
        <w:snapToGrid w:val="0"/>
        <w:spacing w:after="0" w:line="348" w:lineRule="auto"/>
        <w:ind w:right="84"/>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6、法律、行政法规规定的其他条件证明材料：</w:t>
      </w:r>
    </w:p>
    <w:p>
      <w:pPr>
        <w:pageBreakBefore w:val="0"/>
        <w:widowControl w:val="0"/>
        <w:kinsoku/>
        <w:wordWrap/>
        <w:overflowPunct/>
        <w:topLinePunct w:val="0"/>
        <w:bidi w:val="0"/>
        <w:snapToGrid w:val="0"/>
        <w:spacing w:line="348" w:lineRule="auto"/>
        <w:ind w:firstLine="482"/>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（1）投标人与其他投标人之间，单位负责人不为同一人而且不存在直接控股、管理关系。（提供承诺函）</w:t>
      </w:r>
    </w:p>
    <w:p>
      <w:pPr>
        <w:pageBreakBefore w:val="0"/>
        <w:widowControl w:val="0"/>
        <w:kinsoku/>
        <w:wordWrap/>
        <w:overflowPunct/>
        <w:topLinePunct w:val="0"/>
        <w:bidi w:val="0"/>
        <w:snapToGrid w:val="0"/>
        <w:spacing w:line="348" w:lineRule="auto"/>
        <w:ind w:firstLine="482"/>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（2）投标人未对本次采购项目提供过整体设计、规范编制或者项目管理、监理、检测等服务。（提供承诺函）</w:t>
      </w:r>
    </w:p>
    <w:p>
      <w:pPr>
        <w:pStyle w:val="23"/>
        <w:pageBreakBefore w:val="0"/>
        <w:widowControl w:val="0"/>
        <w:kinsoku/>
        <w:wordWrap/>
        <w:overflowPunct/>
        <w:topLinePunct w:val="0"/>
        <w:bidi w:val="0"/>
        <w:snapToGrid w:val="0"/>
        <w:spacing w:after="0" w:line="348" w:lineRule="auto"/>
        <w:ind w:right="84"/>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7、未被列入失信被执行人、重大税收违法案件当事人名单、政府采购严重违法失信行为</w:t>
      </w:r>
      <w:r>
        <w:rPr>
          <w:rFonts w:hint="eastAsia" w:ascii="宋体" w:hAnsi="宋体" w:cs="宋体"/>
          <w:b/>
          <w:color w:val="000000" w:themeColor="text1"/>
          <w:sz w:val="24"/>
          <w:szCs w:val="24"/>
          <w:highlight w:val="none"/>
          <w14:textFill>
            <w14:solidFill>
              <w14:schemeClr w14:val="tx1"/>
            </w14:solidFill>
          </w14:textFill>
        </w:rPr>
        <w:t xml:space="preserve">记录名单证明材料：                                                                                          </w:t>
      </w:r>
    </w:p>
    <w:p>
      <w:pPr>
        <w:pStyle w:val="23"/>
        <w:pageBreakBefore w:val="0"/>
        <w:widowControl w:val="0"/>
        <w:kinsoku/>
        <w:wordWrap/>
        <w:overflowPunct/>
        <w:topLinePunct w:val="0"/>
        <w:bidi w:val="0"/>
        <w:spacing w:after="0" w:line="348"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提供信用中国网站、中国政府采购网网站渠道查询网页截图或承诺函（加盖投标人公章）。</w:t>
      </w:r>
    </w:p>
    <w:p>
      <w:pPr>
        <w:pStyle w:val="23"/>
        <w:pageBreakBefore w:val="0"/>
        <w:widowControl w:val="0"/>
        <w:kinsoku/>
        <w:wordWrap/>
        <w:overflowPunct/>
        <w:topLinePunct w:val="0"/>
        <w:bidi w:val="0"/>
        <w:spacing w:after="0" w:line="348"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采购代理机构将于本项目响应截止日在信用中国网站、中国政府采购网网站等渠道对投标人进行信用记录查询，并将查询记录存档。凡被列入失信被执行人、重大税收违法案件当事人名单、政府采购严重违法失信行为记录名单的，视为存在不良信用记录，参与本项目的将被拒绝。</w:t>
      </w:r>
    </w:p>
    <w:p>
      <w:pPr>
        <w:pStyle w:val="99"/>
        <w:pageBreakBefore w:val="0"/>
        <w:widowControl w:val="0"/>
        <w:kinsoku/>
        <w:wordWrap/>
        <w:overflowPunct/>
        <w:topLinePunct w:val="0"/>
        <w:bidi w:val="0"/>
        <w:spacing w:line="348" w:lineRule="auto"/>
        <w:ind w:firstLine="480" w:firstLineChars="200"/>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投标人自行提供相关证明材料。</w:t>
      </w:r>
    </w:p>
    <w:p>
      <w:pPr>
        <w:pageBreakBefore w:val="0"/>
        <w:widowControl w:val="0"/>
        <w:kinsoku/>
        <w:wordWrap/>
        <w:overflowPunct/>
        <w:topLinePunct w:val="0"/>
        <w:bidi w:val="0"/>
        <w:spacing w:line="348" w:lineRule="auto"/>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（二）资质性要求相关证明材料：</w:t>
      </w:r>
      <w:r>
        <w:rPr>
          <w:rFonts w:hint="eastAsia" w:ascii="宋体" w:hAnsi="宋体" w:cs="宋体"/>
          <w:bCs/>
          <w:color w:val="000000" w:themeColor="text1"/>
          <w:sz w:val="24"/>
          <w:szCs w:val="24"/>
          <w:highlight w:val="none"/>
          <w14:textFill>
            <w14:solidFill>
              <w14:schemeClr w14:val="tx1"/>
            </w14:solidFill>
          </w14:textFill>
        </w:rPr>
        <w:t>无。</w:t>
      </w:r>
    </w:p>
    <w:p>
      <w:pPr>
        <w:pageBreakBefore w:val="0"/>
        <w:widowControl w:val="0"/>
        <w:kinsoku/>
        <w:wordWrap/>
        <w:overflowPunct/>
        <w:topLinePunct w:val="0"/>
        <w:bidi w:val="0"/>
        <w:spacing w:line="348" w:lineRule="auto"/>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（三）其他类似效力要求相关证明材料：</w:t>
      </w:r>
    </w:p>
    <w:p>
      <w:pPr>
        <w:pageBreakBefore w:val="0"/>
        <w:widowControl w:val="0"/>
        <w:kinsoku/>
        <w:wordWrap/>
        <w:overflowPunct/>
        <w:topLinePunct w:val="0"/>
        <w:bidi w:val="0"/>
        <w:spacing w:line="348" w:lineRule="auto"/>
        <w:ind w:firstLine="482"/>
        <w:textAlignment w:val="auto"/>
        <w:rPr>
          <w:rFonts w:ascii="宋体" w:hAnsi="宋体" w:cs="宋体"/>
          <w:color w:val="000000" w:themeColor="text1"/>
          <w:sz w:val="24"/>
          <w:szCs w:val="24"/>
          <w:highlight w:val="none"/>
          <w14:textFill>
            <w14:solidFill>
              <w14:schemeClr w14:val="tx1"/>
            </w14:solidFill>
          </w14:textFill>
        </w:rPr>
      </w:pPr>
      <w:bookmarkStart w:id="327" w:name="_Toc15179"/>
      <w:bookmarkStart w:id="328" w:name="_Toc426657587"/>
      <w:r>
        <w:rPr>
          <w:rFonts w:hint="eastAsia" w:ascii="宋体" w:hAnsi="宋体" w:cs="宋体"/>
          <w:color w:val="000000" w:themeColor="text1"/>
          <w:sz w:val="24"/>
          <w:szCs w:val="24"/>
          <w:highlight w:val="none"/>
          <w14:textFill>
            <w14:solidFill>
              <w14:schemeClr w14:val="tx1"/>
            </w14:solidFill>
          </w14:textFill>
        </w:rPr>
        <w:t>1、 法定代表人/单位负责人身份证明书（注：如投标人为授权代表参加投标活动的，则可不提供）。</w:t>
      </w:r>
    </w:p>
    <w:p>
      <w:pPr>
        <w:pageBreakBefore w:val="0"/>
        <w:widowControl w:val="0"/>
        <w:kinsoku/>
        <w:wordWrap/>
        <w:overflowPunct/>
        <w:topLinePunct w:val="0"/>
        <w:bidi w:val="0"/>
        <w:spacing w:line="348" w:lineRule="auto"/>
        <w:ind w:firstLine="482"/>
        <w:jc w:val="left"/>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2、法定代表人/单位负责人授权委托书（注：如投标人法定代表人/主要负责人参加投标活动的，则可不提供）。</w:t>
      </w:r>
    </w:p>
    <w:p>
      <w:pPr>
        <w:pageBreakBefore w:val="0"/>
        <w:widowControl w:val="0"/>
        <w:kinsoku/>
        <w:wordWrap/>
        <w:overflowPunct/>
        <w:topLinePunct w:val="0"/>
        <w:bidi w:val="0"/>
        <w:snapToGrid w:val="0"/>
        <w:spacing w:line="348" w:lineRule="auto"/>
        <w:ind w:firstLine="566" w:firstLineChars="236"/>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法定代表人/单位负责人身份证复印件（注：复印件加盖公章）。</w:t>
      </w:r>
      <w:r>
        <w:rPr>
          <w:rFonts w:hint="eastAsia" w:ascii="宋体" w:hAnsi="宋体" w:cs="宋体"/>
          <w:color w:val="000000" w:themeColor="text1"/>
          <w:sz w:val="24"/>
          <w:highlight w:val="none"/>
          <w14:textFill>
            <w14:solidFill>
              <w14:schemeClr w14:val="tx1"/>
            </w14:solidFill>
          </w14:textFill>
        </w:rPr>
        <w:t>［注：①身份证复印件（在有效期内、两面均应复印）或护照复印件（法定代表人</w:t>
      </w:r>
      <w:r>
        <w:rPr>
          <w:rFonts w:hint="eastAsia" w:ascii="宋体" w:hAnsi="宋体" w:cs="宋体"/>
          <w:color w:val="000000" w:themeColor="text1"/>
          <w:sz w:val="24"/>
          <w:szCs w:val="24"/>
          <w:highlight w:val="none"/>
          <w14:textFill>
            <w14:solidFill>
              <w14:schemeClr w14:val="tx1"/>
            </w14:solidFill>
          </w14:textFill>
        </w:rPr>
        <w:t>/单位负责人</w:t>
      </w:r>
      <w:r>
        <w:rPr>
          <w:rFonts w:hint="eastAsia" w:ascii="宋体" w:hAnsi="宋体" w:cs="宋体"/>
          <w:color w:val="000000" w:themeColor="text1"/>
          <w:sz w:val="24"/>
          <w:highlight w:val="none"/>
          <w14:textFill>
            <w14:solidFill>
              <w14:schemeClr w14:val="tx1"/>
            </w14:solidFill>
          </w14:textFill>
        </w:rPr>
        <w:t>为外籍人士的，按此提供）；②复印件加盖公章。</w:t>
      </w:r>
    </w:p>
    <w:p>
      <w:pPr>
        <w:pageBreakBefore w:val="0"/>
        <w:widowControl w:val="0"/>
        <w:kinsoku/>
        <w:wordWrap/>
        <w:overflowPunct/>
        <w:topLinePunct w:val="0"/>
        <w:bidi w:val="0"/>
        <w:snapToGrid w:val="0"/>
        <w:spacing w:line="348" w:lineRule="auto"/>
        <w:ind w:firstLine="566" w:firstLineChars="236"/>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授权代表人身份证复印件</w:t>
      </w:r>
      <w:r>
        <w:rPr>
          <w:rFonts w:hint="eastAsia" w:ascii="宋体" w:hAnsi="宋体" w:cs="宋体"/>
          <w:color w:val="000000" w:themeColor="text1"/>
          <w:sz w:val="24"/>
          <w:highlight w:val="none"/>
          <w14:textFill>
            <w14:solidFill>
              <w14:schemeClr w14:val="tx1"/>
            </w14:solidFill>
          </w14:textFill>
        </w:rPr>
        <w:t>（身份证两面均应复印）（注：①在有效期内；②复印件加盖公章；③由投标人法定代表人签署所有响应文件并参加投标活动的，则可不提供）。</w:t>
      </w:r>
    </w:p>
    <w:p>
      <w:pPr>
        <w:pageBreakBefore w:val="0"/>
        <w:widowControl w:val="0"/>
        <w:kinsoku/>
        <w:wordWrap/>
        <w:overflowPunct/>
        <w:topLinePunct w:val="0"/>
        <w:bidi w:val="0"/>
        <w:spacing w:line="348" w:lineRule="auto"/>
        <w:ind w:firstLine="482"/>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5、投标保证金交纳凭证复印件。</w:t>
      </w:r>
    </w:p>
    <w:p>
      <w:pPr>
        <w:pageBreakBefore w:val="0"/>
        <w:widowControl w:val="0"/>
        <w:kinsoku/>
        <w:wordWrap/>
        <w:overflowPunct/>
        <w:topLinePunct w:val="0"/>
        <w:bidi w:val="0"/>
        <w:spacing w:line="348" w:lineRule="auto"/>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二、应当提供的投标产品的资格、资质性及其他类似效力要求的相关证明材料</w:t>
      </w:r>
      <w:bookmarkEnd w:id="327"/>
      <w:bookmarkEnd w:id="328"/>
      <w:r>
        <w:rPr>
          <w:rFonts w:hint="eastAsia" w:ascii="宋体" w:hAnsi="宋体" w:cs="宋体"/>
          <w:b/>
          <w:color w:val="000000" w:themeColor="text1"/>
          <w:sz w:val="24"/>
          <w:szCs w:val="24"/>
          <w:highlight w:val="none"/>
          <w14:textFill>
            <w14:solidFill>
              <w14:schemeClr w14:val="tx1"/>
            </w14:solidFill>
          </w14:textFill>
        </w:rPr>
        <w:t>：</w:t>
      </w:r>
    </w:p>
    <w:p>
      <w:pPr>
        <w:pageBreakBefore w:val="0"/>
        <w:widowControl w:val="0"/>
        <w:tabs>
          <w:tab w:val="left" w:pos="780"/>
          <w:tab w:val="left" w:pos="3480"/>
        </w:tabs>
        <w:kinsoku/>
        <w:wordWrap/>
        <w:overflowPunct/>
        <w:topLinePunct w:val="0"/>
        <w:bidi w:val="0"/>
        <w:snapToGrid w:val="0"/>
        <w:spacing w:line="348" w:lineRule="auto"/>
        <w:ind w:left="723" w:hanging="723" w:hangingChars="300"/>
        <w:textAlignment w:val="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（一）资格、资质性要求相关证明材料：</w:t>
      </w:r>
      <w:r>
        <w:rPr>
          <w:rFonts w:hint="eastAsia" w:ascii="宋体" w:hAnsi="宋体" w:cs="宋体"/>
          <w:color w:val="000000" w:themeColor="text1"/>
          <w:sz w:val="24"/>
          <w:szCs w:val="24"/>
          <w:highlight w:val="none"/>
          <w14:textFill>
            <w14:solidFill>
              <w14:schemeClr w14:val="tx1"/>
            </w14:solidFill>
          </w14:textFill>
        </w:rPr>
        <w:t>无</w:t>
      </w:r>
    </w:p>
    <w:p>
      <w:pPr>
        <w:pageBreakBefore w:val="0"/>
        <w:widowControl w:val="0"/>
        <w:tabs>
          <w:tab w:val="left" w:pos="780"/>
        </w:tabs>
        <w:kinsoku/>
        <w:wordWrap/>
        <w:overflowPunct/>
        <w:topLinePunct w:val="0"/>
        <w:bidi w:val="0"/>
        <w:snapToGrid w:val="0"/>
        <w:spacing w:line="348" w:lineRule="auto"/>
        <w:ind w:left="723" w:hanging="723" w:hangingChars="3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（二）其他类似效力要求相关证明材料：</w:t>
      </w:r>
      <w:r>
        <w:rPr>
          <w:rFonts w:hint="eastAsia" w:ascii="宋体" w:hAnsi="宋体" w:cs="宋体"/>
          <w:color w:val="000000" w:themeColor="text1"/>
          <w:sz w:val="24"/>
          <w:szCs w:val="24"/>
          <w:highlight w:val="none"/>
          <w14:textFill>
            <w14:solidFill>
              <w14:schemeClr w14:val="tx1"/>
            </w14:solidFill>
          </w14:textFill>
        </w:rPr>
        <w:t>无</w:t>
      </w:r>
    </w:p>
    <w:p>
      <w:pPr>
        <w:pStyle w:val="3"/>
        <w:pageBreakBefore w:val="0"/>
        <w:widowControl w:val="0"/>
        <w:numPr>
          <w:ilvl w:val="0"/>
          <w:numId w:val="0"/>
        </w:numPr>
        <w:tabs>
          <w:tab w:val="left" w:pos="425"/>
        </w:tabs>
        <w:kinsoku/>
        <w:wordWrap/>
        <w:overflowPunct/>
        <w:topLinePunct w:val="0"/>
        <w:bidi w:val="0"/>
        <w:spacing w:after="0" w:line="348" w:lineRule="auto"/>
        <w:ind w:leftChars="0"/>
        <w:jc w:val="center"/>
        <w:textAlignment w:val="auto"/>
        <w:rPr>
          <w:rFonts w:ascii="宋体" w:hAnsi="宋体" w:cs="宋体"/>
          <w:color w:val="000000" w:themeColor="text1"/>
          <w:sz w:val="32"/>
          <w:szCs w:val="32"/>
          <w:highlight w:val="none"/>
          <w14:textFill>
            <w14:solidFill>
              <w14:schemeClr w14:val="tx1"/>
            </w14:solidFill>
          </w14:textFill>
        </w:rPr>
      </w:pPr>
      <w:bookmarkStart w:id="329" w:name="_Toc25833"/>
      <w:bookmarkStart w:id="330" w:name="_Toc26630"/>
      <w:bookmarkStart w:id="331" w:name="_Toc1573"/>
      <w:bookmarkStart w:id="332" w:name="_Toc426657588"/>
      <w:bookmarkStart w:id="333" w:name="_Toc32029"/>
      <w:bookmarkStart w:id="334" w:name="_Toc379036446"/>
      <w:bookmarkStart w:id="335" w:name="_Toc381358288"/>
      <w:bookmarkStart w:id="336" w:name="_Toc381358763"/>
      <w:bookmarkStart w:id="337" w:name="_Toc380775764"/>
      <w:bookmarkStart w:id="338" w:name="_Toc382903493"/>
      <w:bookmarkStart w:id="339" w:name="_Toc382946275"/>
      <w:bookmarkStart w:id="340" w:name="_Toc382903300"/>
      <w:bookmarkStart w:id="341" w:name="_Toc381358465"/>
      <w:bookmarkStart w:id="342" w:name="_Toc380780197"/>
      <w:bookmarkStart w:id="343" w:name="_Toc382296874"/>
      <w:bookmarkStart w:id="344" w:name="_Toc381261768"/>
      <w:bookmarkStart w:id="345" w:name="_Toc217446096"/>
      <w:bookmarkStart w:id="346" w:name="_Toc376549337"/>
      <w:r>
        <w:rPr>
          <w:rFonts w:hint="eastAsia" w:ascii="宋体" w:hAnsi="宋体" w:cs="宋体"/>
          <w:color w:val="000000" w:themeColor="text1"/>
          <w:sz w:val="32"/>
          <w:szCs w:val="32"/>
          <w:highlight w:val="none"/>
          <w:lang w:val="en-US" w:eastAsia="zh-CN"/>
          <w14:textFill>
            <w14:solidFill>
              <w14:schemeClr w14:val="tx1"/>
            </w14:solidFill>
          </w14:textFill>
        </w:rPr>
        <w:t xml:space="preserve">第六章 </w:t>
      </w:r>
      <w:r>
        <w:rPr>
          <w:rFonts w:hint="eastAsia" w:ascii="宋体" w:hAnsi="宋体" w:cs="宋体"/>
          <w:color w:val="000000" w:themeColor="text1"/>
          <w:sz w:val="32"/>
          <w:szCs w:val="32"/>
          <w:highlight w:val="none"/>
          <w14:textFill>
            <w14:solidFill>
              <w14:schemeClr w14:val="tx1"/>
            </w14:solidFill>
          </w14:textFill>
        </w:rPr>
        <w:t>招标项目技术、商务及其他要求</w:t>
      </w:r>
      <w:bookmarkEnd w:id="329"/>
      <w:bookmarkEnd w:id="330"/>
      <w:bookmarkEnd w:id="331"/>
      <w:bookmarkEnd w:id="332"/>
      <w:bookmarkEnd w:id="333"/>
    </w:p>
    <w:p>
      <w:pPr>
        <w:ind w:firstLine="480"/>
        <w:rPr>
          <w:rFonts w:ascii="宋体" w:hAnsi="宋体" w:cs="宋体"/>
          <w:b/>
          <w:bCs/>
          <w:color w:val="000000" w:themeColor="text1"/>
          <w:sz w:val="24"/>
          <w:szCs w:val="24"/>
          <w:highlight w:val="none"/>
          <w14:textFill>
            <w14:solidFill>
              <w14:schemeClr w14:val="tx1"/>
            </w14:solidFill>
          </w14:textFill>
        </w:rPr>
      </w:pPr>
    </w:p>
    <w:p>
      <w:pPr>
        <w:spacing w:line="360" w:lineRule="auto"/>
        <w:rPr>
          <w:rStyle w:val="636"/>
          <w:rFonts w:ascii="宋体" w:hAnsi="宋体" w:cs="宋体"/>
          <w:b/>
          <w:bCs/>
          <w:color w:val="000000" w:themeColor="text1"/>
          <w:kern w:val="0"/>
          <w:sz w:val="24"/>
          <w:highlight w:val="none"/>
          <w:lang w:eastAsia="zh-TW"/>
          <w14:textFill>
            <w14:solidFill>
              <w14:schemeClr w14:val="tx1"/>
            </w14:solidFill>
          </w14:textFill>
        </w:rPr>
      </w:pPr>
      <w:r>
        <w:rPr>
          <w:rStyle w:val="636"/>
          <w:rFonts w:hint="eastAsia" w:ascii="宋体" w:hAnsi="宋体" w:cs="宋体"/>
          <w:bCs/>
          <w:color w:val="000000" w:themeColor="text1"/>
          <w:sz w:val="24"/>
          <w:highlight w:val="none"/>
          <w14:textFill>
            <w14:solidFill>
              <w14:schemeClr w14:val="tx1"/>
            </w14:solidFill>
          </w14:textFill>
        </w:rPr>
        <w:t>一、</w:t>
      </w:r>
      <w:r>
        <w:rPr>
          <w:rStyle w:val="636"/>
          <w:rFonts w:hint="eastAsia" w:ascii="宋体" w:hAnsi="宋体" w:cs="宋体"/>
          <w:b/>
          <w:bCs/>
          <w:color w:val="000000" w:themeColor="text1"/>
          <w:kern w:val="0"/>
          <w:sz w:val="24"/>
          <w:highlight w:val="none"/>
          <w:lang w:eastAsia="zh-TW"/>
          <w14:textFill>
            <w14:solidFill>
              <w14:schemeClr w14:val="tx1"/>
            </w14:solidFill>
          </w14:textFill>
        </w:rPr>
        <w:t>特别说明：</w:t>
      </w:r>
    </w:p>
    <w:p>
      <w:pPr>
        <w:spacing w:line="360" w:lineRule="auto"/>
        <w:ind w:firstLine="482" w:firstLineChars="200"/>
        <w:rPr>
          <w:rStyle w:val="636"/>
          <w:rFonts w:ascii="宋体" w:hAnsi="宋体" w:cs="宋体"/>
          <w:b/>
          <w:bCs/>
          <w:color w:val="000000" w:themeColor="text1"/>
          <w:kern w:val="0"/>
          <w:sz w:val="24"/>
          <w:highlight w:val="none"/>
          <w:lang w:eastAsia="zh-TW"/>
          <w14:textFill>
            <w14:solidFill>
              <w14:schemeClr w14:val="tx1"/>
            </w14:solidFill>
          </w14:textFill>
        </w:rPr>
      </w:pPr>
      <w:r>
        <w:rPr>
          <w:rStyle w:val="636"/>
          <w:rFonts w:hint="eastAsia" w:ascii="宋体" w:hAnsi="宋体" w:cs="宋体"/>
          <w:b/>
          <w:bCs/>
          <w:color w:val="000000" w:themeColor="text1"/>
          <w:kern w:val="0"/>
          <w:sz w:val="24"/>
          <w:highlight w:val="none"/>
          <w:lang w:eastAsia="zh-TW"/>
          <w14:textFill>
            <w14:solidFill>
              <w14:schemeClr w14:val="tx1"/>
            </w14:solidFill>
          </w14:textFill>
        </w:rPr>
        <w:t xml:space="preserve">1、2020年8月25日，中华人民共和国应急管理部《关于消防救援领域行业标准以“XF”代号重新编号发布的公告》（2020年 第5号）明确，消防救援领域165项现行行业标准类别由公安安全行业标准调整为消防救援行业标准，代号由“GA”调整为“XF”，顺序号和内容保持不变。 </w:t>
      </w:r>
    </w:p>
    <w:p>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Style w:val="636"/>
          <w:rFonts w:hint="eastAsia" w:ascii="宋体" w:hAnsi="宋体" w:cs="宋体"/>
          <w:b/>
          <w:bCs/>
          <w:color w:val="000000" w:themeColor="text1"/>
          <w:kern w:val="0"/>
          <w:sz w:val="24"/>
          <w:highlight w:val="none"/>
          <w:lang w:eastAsia="zh-TW"/>
          <w14:textFill>
            <w14:solidFill>
              <w14:schemeClr w14:val="tx1"/>
            </w14:solidFill>
          </w14:textFill>
        </w:rPr>
        <w:t>2、为了落实公告要求，采购人将技术参数中的标准代号调整为XF。目前，参考资料、检测报告等相关资料，在实际投标中，使用代号GA标准仍有效。</w:t>
      </w:r>
    </w:p>
    <w:p>
      <w:pPr>
        <w:pStyle w:val="7"/>
        <w:spacing w:before="0" w:after="0" w:line="360" w:lineRule="auto"/>
        <w:rPr>
          <w:rFonts w:ascii="宋体" w:hAnsi="宋体" w:cs="宋体"/>
          <w:color w:val="000000" w:themeColor="text1"/>
          <w:sz w:val="24"/>
          <w:highlight w:val="none"/>
          <w14:textFill>
            <w14:solidFill>
              <w14:schemeClr w14:val="tx1"/>
            </w14:solidFill>
          </w14:textFill>
        </w:rPr>
      </w:pPr>
      <w:r>
        <w:rPr>
          <w:rStyle w:val="636"/>
          <w:rFonts w:hint="eastAsia" w:ascii="宋体" w:hAnsi="宋体" w:cs="宋体"/>
          <w:bCs/>
          <w:color w:val="000000" w:themeColor="text1"/>
          <w:sz w:val="24"/>
          <w:highlight w:val="none"/>
          <w14:textFill>
            <w14:solidFill>
              <w14:schemeClr w14:val="tx1"/>
            </w14:solidFill>
          </w14:textFill>
        </w:rPr>
        <w:t>二、</w:t>
      </w:r>
      <w:r>
        <w:rPr>
          <w:rFonts w:hint="eastAsia" w:ascii="宋体" w:hAnsi="宋体" w:cs="宋体"/>
          <w:color w:val="000000" w:themeColor="text1"/>
          <w:sz w:val="24"/>
          <w:highlight w:val="none"/>
          <w14:textFill>
            <w14:solidFill>
              <w14:schemeClr w14:val="tx1"/>
            </w14:solidFill>
          </w14:textFill>
        </w:rPr>
        <w:t>样品要求：</w:t>
      </w:r>
    </w:p>
    <w:p>
      <w:pPr>
        <w:pStyle w:val="2"/>
        <w:rPr>
          <w:rFonts w:hint="default" w:ascii="宋体" w:hAnsi="宋体" w:eastAsia="宋体" w:cs="宋体"/>
          <w:color w:val="000000" w:themeColor="text1"/>
          <w:kern w:val="2"/>
          <w:sz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highlight w:val="none"/>
          <w:lang w:val="en-US" w:eastAsia="zh-CN" w:bidi="ar-SA"/>
          <w14:textFill>
            <w14:solidFill>
              <w14:schemeClr w14:val="tx1"/>
            </w14:solidFill>
          </w14:textFill>
        </w:rPr>
        <w:t>1、投标人按照以下要求提供样品：</w:t>
      </w:r>
    </w:p>
    <w:tbl>
      <w:tblPr>
        <w:tblStyle w:val="59"/>
        <w:tblW w:w="47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9"/>
        <w:gridCol w:w="1508"/>
        <w:gridCol w:w="985"/>
        <w:gridCol w:w="3592"/>
        <w:gridCol w:w="19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1" w:hRule="atLeast"/>
        </w:trPr>
        <w:tc>
          <w:tcPr>
            <w:tcW w:w="560" w:type="pct"/>
            <w:tcBorders>
              <w:tl2br w:val="nil"/>
              <w:tr2bl w:val="nil"/>
            </w:tcBorders>
            <w:noWrap/>
            <w:vAlign w:val="center"/>
          </w:tcPr>
          <w:p>
            <w:pPr>
              <w:widowControl/>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标</w:t>
            </w:r>
            <w:r>
              <w:rPr>
                <w:rFonts w:hint="eastAsia" w:ascii="宋体" w:hAnsi="宋体" w:eastAsia="宋体" w:cs="宋体"/>
                <w:b/>
                <w:bCs/>
                <w:color w:val="000000" w:themeColor="text1"/>
                <w:kern w:val="0"/>
                <w:sz w:val="24"/>
                <w:szCs w:val="24"/>
                <w:highlight w:val="none"/>
                <w:lang w:bidi="ar"/>
                <w14:textFill>
                  <w14:solidFill>
                    <w14:schemeClr w14:val="tx1"/>
                  </w14:solidFill>
                </w14:textFill>
              </w:rPr>
              <w:t>包号</w:t>
            </w:r>
          </w:p>
        </w:tc>
        <w:tc>
          <w:tcPr>
            <w:tcW w:w="838" w:type="pct"/>
            <w:tcBorders>
              <w:tl2br w:val="nil"/>
              <w:tr2bl w:val="nil"/>
            </w:tcBorders>
            <w:noWrap w:val="0"/>
            <w:vAlign w:val="center"/>
          </w:tcPr>
          <w:p>
            <w:pPr>
              <w:widowControl/>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样品</w:t>
            </w:r>
            <w:r>
              <w:rPr>
                <w:rFonts w:hint="eastAsia" w:ascii="宋体" w:hAnsi="宋体" w:eastAsia="宋体" w:cs="宋体"/>
                <w:b/>
                <w:bCs/>
                <w:color w:val="000000" w:themeColor="text1"/>
                <w:kern w:val="0"/>
                <w:sz w:val="24"/>
                <w:szCs w:val="24"/>
                <w:highlight w:val="none"/>
                <w:lang w:bidi="ar"/>
                <w14:textFill>
                  <w14:solidFill>
                    <w14:schemeClr w14:val="tx1"/>
                  </w14:solidFill>
                </w14:textFill>
              </w:rPr>
              <w:t>名称</w:t>
            </w:r>
          </w:p>
        </w:tc>
        <w:tc>
          <w:tcPr>
            <w:tcW w:w="547" w:type="pct"/>
            <w:tcBorders>
              <w:tl2br w:val="nil"/>
              <w:tr2bl w:val="nil"/>
            </w:tcBorders>
            <w:noWrap w:val="0"/>
            <w:vAlign w:val="center"/>
          </w:tcPr>
          <w:p>
            <w:pPr>
              <w:widowControl/>
              <w:jc w:val="center"/>
              <w:textAlignment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数量</w:t>
            </w:r>
          </w:p>
        </w:tc>
        <w:tc>
          <w:tcPr>
            <w:tcW w:w="1996" w:type="pct"/>
            <w:tcBorders>
              <w:tl2br w:val="nil"/>
              <w:tr2bl w:val="nil"/>
            </w:tcBorders>
            <w:noWrap w:val="0"/>
            <w:vAlign w:val="center"/>
          </w:tcPr>
          <w:p>
            <w:pPr>
              <w:widowControl/>
              <w:jc w:val="center"/>
              <w:textAlignment w:val="cente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样品要求</w:t>
            </w:r>
          </w:p>
        </w:tc>
        <w:tc>
          <w:tcPr>
            <w:tcW w:w="1057" w:type="pct"/>
            <w:tcBorders>
              <w:tl2br w:val="nil"/>
              <w:tr2bl w:val="nil"/>
            </w:tcBorders>
            <w:noWrap w:val="0"/>
            <w:vAlign w:val="center"/>
          </w:tcPr>
          <w:p>
            <w:pPr>
              <w:widowControl/>
              <w:jc w:val="center"/>
              <w:textAlignment w:val="center"/>
              <w:rPr>
                <w:rFonts w:hint="default" w:ascii="宋体" w:hAnsi="宋体" w:eastAsia="宋体" w:cs="宋体"/>
                <w:b/>
                <w:bCs/>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是否随样品提供检测报告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560" w:type="pct"/>
            <w:vMerge w:val="restart"/>
            <w:tcBorders>
              <w:tl2br w:val="nil"/>
              <w:tr2bl w:val="nil"/>
            </w:tcBorders>
            <w:noWrap/>
            <w:vAlign w:val="center"/>
          </w:tcPr>
          <w:p>
            <w:pPr>
              <w:widowControl/>
              <w:spacing w:line="348" w:lineRule="auto"/>
              <w:jc w:val="center"/>
              <w:textAlignment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、照明类</w:t>
            </w:r>
          </w:p>
        </w:tc>
        <w:tc>
          <w:tcPr>
            <w:tcW w:w="838" w:type="pct"/>
            <w:tcBorders>
              <w:tl2br w:val="nil"/>
              <w:tr2bl w:val="nil"/>
            </w:tcBorders>
            <w:noWrap w:val="0"/>
            <w:vAlign w:val="center"/>
          </w:tcPr>
          <w:p>
            <w:pPr>
              <w:widowControl/>
              <w:spacing w:line="360" w:lineRule="auto"/>
              <w:jc w:val="center"/>
              <w:textAlignment w:val="cente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泛光灯</w:t>
            </w:r>
          </w:p>
        </w:tc>
        <w:tc>
          <w:tcPr>
            <w:tcW w:w="547" w:type="pct"/>
            <w:tcBorders>
              <w:tl2br w:val="nil"/>
              <w:tr2bl w:val="nil"/>
            </w:tcBorders>
            <w:noWrap w:val="0"/>
            <w:vAlign w:val="center"/>
          </w:tcPr>
          <w:p>
            <w:pPr>
              <w:widowControl/>
              <w:jc w:val="center"/>
              <w:textAlignment w:val="center"/>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1</w:t>
            </w:r>
          </w:p>
        </w:tc>
        <w:tc>
          <w:tcPr>
            <w:tcW w:w="1996"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详见第六章“</w:t>
            </w:r>
            <w:r>
              <w:rPr>
                <w:rFonts w:hint="eastAsia" w:ascii="宋体" w:hAnsi="宋体" w:eastAsia="宋体" w:cs="宋体"/>
                <w:color w:val="000000" w:themeColor="text1"/>
                <w:kern w:val="0"/>
                <w:sz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highlight w:val="none"/>
                <w:lang w:val="zh-CN"/>
                <w14:textFill>
                  <w14:solidFill>
                    <w14:schemeClr w14:val="tx1"/>
                  </w14:solidFill>
                </w14:textFill>
              </w:rPr>
              <w:t>、技术参数要求”以及第七章</w:t>
            </w:r>
            <w:r>
              <w:rPr>
                <w:rFonts w:hint="eastAsia" w:ascii="宋体" w:hAnsi="宋体" w:cs="宋体"/>
                <w:color w:val="000000" w:themeColor="text1"/>
                <w:kern w:val="0"/>
                <w:sz w:val="24"/>
                <w:highlight w:val="none"/>
                <w:lang w:val="en-US" w:eastAsia="zh-CN"/>
                <w14:textFill>
                  <w14:solidFill>
                    <w14:schemeClr w14:val="tx1"/>
                  </w14:solidFill>
                </w14:textFill>
              </w:rPr>
              <w:t>本</w:t>
            </w:r>
            <w:r>
              <w:rPr>
                <w:rFonts w:hint="eastAsia" w:ascii="宋体" w:hAnsi="宋体" w:eastAsia="宋体" w:cs="宋体"/>
                <w:color w:val="000000" w:themeColor="text1"/>
                <w:kern w:val="0"/>
                <w:sz w:val="24"/>
                <w:highlight w:val="none"/>
                <w:lang w:val="zh-CN"/>
                <w14:textFill>
                  <w14:solidFill>
                    <w14:schemeClr w14:val="tx1"/>
                  </w14:solidFill>
                </w14:textFill>
              </w:rPr>
              <w:t>包综合评分明细表“样品”评分标准要求制作。</w:t>
            </w:r>
          </w:p>
        </w:tc>
        <w:tc>
          <w:tcPr>
            <w:tcW w:w="1057" w:type="pct"/>
            <w:tcBorders>
              <w:tl2br w:val="nil"/>
              <w:tr2bl w:val="nil"/>
            </w:tcBorders>
            <w:noWrap w:val="0"/>
            <w:vAlign w:val="center"/>
          </w:tcPr>
          <w:p>
            <w:pPr>
              <w:widowControl/>
              <w:jc w:val="center"/>
              <w:textAlignment w:val="center"/>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9" w:hRule="atLeast"/>
        </w:trPr>
        <w:tc>
          <w:tcPr>
            <w:tcW w:w="560" w:type="pct"/>
            <w:vMerge w:val="continue"/>
            <w:tcBorders>
              <w:tl2br w:val="nil"/>
              <w:tr2bl w:val="nil"/>
            </w:tcBorders>
            <w:noWrap/>
            <w:vAlign w:val="center"/>
          </w:tcPr>
          <w:p>
            <w:pPr>
              <w:widowControl/>
              <w:spacing w:line="348" w:lineRule="auto"/>
              <w:jc w:val="center"/>
              <w:textAlignment w:val="center"/>
              <w:rPr>
                <w:rFonts w:hint="eastAsia" w:ascii="宋体" w:hAnsi="宋体" w:eastAsia="宋体" w:cs="宋体"/>
                <w:color w:val="000000" w:themeColor="text1"/>
                <w:kern w:val="0"/>
                <w:sz w:val="24"/>
                <w:szCs w:val="24"/>
                <w:highlight w:val="none"/>
                <w:lang w:bidi="ar"/>
                <w14:textFill>
                  <w14:solidFill>
                    <w14:schemeClr w14:val="tx1"/>
                  </w14:solidFill>
                </w14:textFill>
              </w:rPr>
            </w:pPr>
          </w:p>
        </w:tc>
        <w:tc>
          <w:tcPr>
            <w:tcW w:w="838" w:type="pct"/>
            <w:tcBorders>
              <w:tl2br w:val="nil"/>
              <w:tr2bl w:val="nil"/>
            </w:tcBorders>
            <w:noWrap w:val="0"/>
            <w:vAlign w:val="center"/>
          </w:tcPr>
          <w:p>
            <w:pPr>
              <w:widowControl/>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小型移动照明灯组</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 </w:t>
            </w:r>
          </w:p>
        </w:tc>
        <w:tc>
          <w:tcPr>
            <w:tcW w:w="547"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1</w:t>
            </w:r>
          </w:p>
        </w:tc>
        <w:tc>
          <w:tcPr>
            <w:tcW w:w="1996"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详见第六章“</w:t>
            </w:r>
            <w:r>
              <w:rPr>
                <w:rFonts w:hint="eastAsia" w:ascii="宋体" w:hAnsi="宋体" w:eastAsia="宋体" w:cs="宋体"/>
                <w:color w:val="000000" w:themeColor="text1"/>
                <w:kern w:val="0"/>
                <w:sz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highlight w:val="none"/>
                <w:lang w:val="zh-CN"/>
                <w14:textFill>
                  <w14:solidFill>
                    <w14:schemeClr w14:val="tx1"/>
                  </w14:solidFill>
                </w14:textFill>
              </w:rPr>
              <w:t>、技术参数要求”以及第七章</w:t>
            </w:r>
            <w:r>
              <w:rPr>
                <w:rFonts w:hint="eastAsia" w:ascii="宋体" w:hAnsi="宋体" w:cs="宋体"/>
                <w:color w:val="000000" w:themeColor="text1"/>
                <w:kern w:val="0"/>
                <w:sz w:val="24"/>
                <w:highlight w:val="none"/>
                <w:lang w:val="en-US" w:eastAsia="zh-CN"/>
                <w14:textFill>
                  <w14:solidFill>
                    <w14:schemeClr w14:val="tx1"/>
                  </w14:solidFill>
                </w14:textFill>
              </w:rPr>
              <w:t>本</w:t>
            </w:r>
            <w:r>
              <w:rPr>
                <w:rFonts w:hint="eastAsia" w:ascii="宋体" w:hAnsi="宋体" w:eastAsia="宋体" w:cs="宋体"/>
                <w:color w:val="000000" w:themeColor="text1"/>
                <w:kern w:val="0"/>
                <w:sz w:val="24"/>
                <w:highlight w:val="none"/>
                <w:lang w:val="zh-CN"/>
                <w14:textFill>
                  <w14:solidFill>
                    <w14:schemeClr w14:val="tx1"/>
                  </w14:solidFill>
                </w14:textFill>
              </w:rPr>
              <w:t>包综合评分明细表“样品”评分标准要求制作。</w:t>
            </w:r>
          </w:p>
        </w:tc>
        <w:tc>
          <w:tcPr>
            <w:tcW w:w="1057"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4" w:hRule="atLeast"/>
        </w:trPr>
        <w:tc>
          <w:tcPr>
            <w:tcW w:w="560" w:type="pct"/>
            <w:tcBorders>
              <w:tl2br w:val="nil"/>
              <w:tr2bl w:val="nil"/>
            </w:tcBorders>
            <w:noWrap/>
            <w:vAlign w:val="center"/>
          </w:tcPr>
          <w:p>
            <w:pPr>
              <w:spacing w:line="36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bidi="ar"/>
                <w14:textFill>
                  <w14:solidFill>
                    <w14:schemeClr w14:val="tx1"/>
                  </w14:solidFill>
                </w14:textFill>
              </w:rPr>
              <w:t>包</w:t>
            </w:r>
            <w:r>
              <w:rPr>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二</w:t>
            </w:r>
            <w:r>
              <w:rPr>
                <w:rFonts w:hint="eastAsia" w:asciiTheme="minorEastAsia" w:hAnsiTheme="minorEastAsia" w:eastAsiaTheme="minorEastAsia" w:cstheme="minorEastAsia"/>
                <w:color w:val="000000" w:themeColor="text1"/>
                <w:sz w:val="24"/>
                <w:szCs w:val="24"/>
                <w:highlight w:val="none"/>
                <w:lang w:bidi="ar"/>
                <w14:textFill>
                  <w14:solidFill>
                    <w14:schemeClr w14:val="tx1"/>
                  </w14:solidFill>
                </w14:textFill>
              </w:rPr>
              <w:t>、水域救援类</w:t>
            </w:r>
          </w:p>
        </w:tc>
        <w:tc>
          <w:tcPr>
            <w:tcW w:w="838"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pacing w:line="348"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eastAsia="宋体" w:asciiTheme="minorEastAsia" w:hAnsi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救生抛投器</w:t>
            </w:r>
          </w:p>
        </w:tc>
        <w:tc>
          <w:tcPr>
            <w:tcW w:w="547" w:type="pct"/>
            <w:tcBorders>
              <w:tl2br w:val="nil"/>
              <w:tr2bl w:val="nil"/>
            </w:tcBorders>
            <w:noWrap w:val="0"/>
            <w:vAlign w:val="center"/>
          </w:tcPr>
          <w:p>
            <w:pPr>
              <w:widowControl/>
              <w:jc w:val="center"/>
              <w:textAlignment w:val="center"/>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1</w:t>
            </w:r>
          </w:p>
        </w:tc>
        <w:tc>
          <w:tcPr>
            <w:tcW w:w="1996"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详见第六章“</w:t>
            </w:r>
            <w:r>
              <w:rPr>
                <w:rFonts w:hint="eastAsia" w:ascii="宋体" w:hAnsi="宋体" w:eastAsia="宋体" w:cs="宋体"/>
                <w:color w:val="000000" w:themeColor="text1"/>
                <w:kern w:val="0"/>
                <w:sz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highlight w:val="none"/>
                <w:lang w:val="zh-CN"/>
                <w14:textFill>
                  <w14:solidFill>
                    <w14:schemeClr w14:val="tx1"/>
                  </w14:solidFill>
                </w14:textFill>
              </w:rPr>
              <w:t>、技术参数要求”以及第七章</w:t>
            </w:r>
            <w:r>
              <w:rPr>
                <w:rFonts w:hint="eastAsia" w:ascii="宋体" w:hAnsi="宋体" w:eastAsia="宋体" w:cs="宋体"/>
                <w:color w:val="000000" w:themeColor="text1"/>
                <w:kern w:val="0"/>
                <w:sz w:val="24"/>
                <w:highlight w:val="none"/>
                <w:lang w:val="en-US" w:eastAsia="zh-CN"/>
                <w14:textFill>
                  <w14:solidFill>
                    <w14:schemeClr w14:val="tx1"/>
                  </w14:solidFill>
                </w14:textFill>
              </w:rPr>
              <w:t>本</w:t>
            </w:r>
            <w:r>
              <w:rPr>
                <w:rFonts w:hint="eastAsia" w:ascii="宋体" w:hAnsi="宋体" w:eastAsia="宋体" w:cs="宋体"/>
                <w:color w:val="000000" w:themeColor="text1"/>
                <w:kern w:val="0"/>
                <w:sz w:val="24"/>
                <w:highlight w:val="none"/>
                <w:lang w:val="zh-CN"/>
                <w14:textFill>
                  <w14:solidFill>
                    <w14:schemeClr w14:val="tx1"/>
                  </w14:solidFill>
                </w14:textFill>
              </w:rPr>
              <w:t>包综合评分明细表“样品”评分标准要求制作。</w:t>
            </w:r>
          </w:p>
        </w:tc>
        <w:tc>
          <w:tcPr>
            <w:tcW w:w="1057"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 xml:space="preserve">否 </w:t>
            </w:r>
          </w:p>
        </w:tc>
      </w:tr>
    </w:tbl>
    <w:p>
      <w:pPr>
        <w:pStyle w:val="2"/>
        <w:rPr>
          <w:rFonts w:hint="eastAsia"/>
          <w:color w:val="000000" w:themeColor="text1"/>
          <w:highlight w:val="none"/>
          <w14:textFill>
            <w14:solidFill>
              <w14:schemeClr w14:val="tx1"/>
            </w14:solidFill>
          </w14:textFill>
        </w:rPr>
      </w:pPr>
    </w:p>
    <w:p>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.投标人须按照技术参数要求提供样品。</w:t>
      </w:r>
    </w:p>
    <w:p>
      <w:pPr>
        <w:tabs>
          <w:tab w:val="left" w:pos="312"/>
        </w:tabs>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.投标人的样品制作、搬运、损耗等相关费用由投标人承担。</w:t>
      </w:r>
    </w:p>
    <w:p>
      <w:pPr>
        <w:pStyle w:val="23"/>
        <w:spacing w:after="0"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.样品递交截止时间详见招标文件约定的递交截止时间，否则不予接收。</w:t>
      </w:r>
    </w:p>
    <w:p>
      <w:pPr>
        <w:spacing w:line="360" w:lineRule="auto"/>
        <w:ind w:firstLine="482"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.投标人递交样品时，需随投标样品提供样品清单（详见第九章附件），需写明样品明细，包括样品所属包号、样品名称，注明投标人名称。</w:t>
      </w:r>
    </w:p>
    <w:p>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color w:val="000000" w:themeColor="text1"/>
          <w:sz w:val="24"/>
          <w:szCs w:val="24"/>
          <w:highlight w:val="none"/>
          <w14:textFill>
            <w14:solidFill>
              <w14:schemeClr w14:val="tx1"/>
            </w14:solidFill>
          </w14:textFill>
        </w:rPr>
        <w:t>.本项目样品评审采用“盲样”，即投标样品中不能出现生产厂商的文字、logo、图文等信息，必须由投标人自行进行粘贴覆盖。</w:t>
      </w:r>
    </w:p>
    <w:p>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.未中标人提供的样品在项目质疑投诉期结束，并接到代理机构工作人员通知后可自行处理封样样品。</w:t>
      </w:r>
    </w:p>
    <w:p>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14:textFill>
            <w14:solidFill>
              <w14:schemeClr w14:val="tx1"/>
            </w14:solidFill>
          </w14:textFill>
        </w:rPr>
        <w:t>.中标人提供的样品由采购人保管，在验收完成后退还。</w:t>
      </w:r>
    </w:p>
    <w:p>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.样品移交、退还时，投标人按代理机构工作人员指定的时间、地点办理退还，因样品逾期未撤离而产生的废品处置费，由投标人承担。</w:t>
      </w:r>
    </w:p>
    <w:p>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中标人提供的样品由采购人保管，作为履约验收依据，在</w:t>
      </w:r>
      <w:r>
        <w:rPr>
          <w:rFonts w:hint="eastAsia" w:ascii="宋体" w:hAnsi="宋体" w:cs="宋体"/>
          <w:color w:val="000000" w:themeColor="text1"/>
          <w:sz w:val="24"/>
          <w:highlight w:val="none"/>
          <w:lang w:eastAsia="zh-Hans"/>
          <w14:textFill>
            <w14:solidFill>
              <w14:schemeClr w14:val="tx1"/>
            </w14:solidFill>
          </w14:textFill>
        </w:rPr>
        <w:t>履约</w:t>
      </w:r>
      <w:r>
        <w:rPr>
          <w:rFonts w:hint="eastAsia" w:ascii="宋体" w:hAnsi="宋体" w:cs="宋体"/>
          <w:color w:val="000000" w:themeColor="text1"/>
          <w:sz w:val="24"/>
          <w:highlight w:val="none"/>
          <w14:textFill>
            <w14:solidFill>
              <w14:schemeClr w14:val="tx1"/>
            </w14:solidFill>
          </w14:textFill>
        </w:rPr>
        <w:t>验收完成后退还。中标人最终提供的货物外观质量、制作工艺等不得低于样品的相关标准,且应完全满足合同对货物的要求和标准的约定</w:t>
      </w:r>
      <w:r>
        <w:rPr>
          <w:rFonts w:hint="eastAsia" w:ascii="宋体" w:hAnsi="宋体" w:eastAsia="宋体" w:cs="宋体"/>
          <w:bCs/>
          <w:color w:val="000000" w:themeColor="text1"/>
          <w:sz w:val="24"/>
          <w:szCs w:val="24"/>
          <w:highlight w:val="none"/>
          <w14:textFill>
            <w14:solidFill>
              <w14:schemeClr w14:val="tx1"/>
            </w14:solidFill>
          </w14:textFill>
        </w:rPr>
        <w:t>。</w:t>
      </w:r>
    </w:p>
    <w:p>
      <w:pPr>
        <w:pStyle w:val="179"/>
        <w:numPr>
          <w:ilvl w:val="0"/>
          <w:numId w:val="0"/>
        </w:numPr>
        <w:spacing w:line="360" w:lineRule="auto"/>
        <w:ind w:leftChars="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三、</w:t>
      </w:r>
      <w:r>
        <w:rPr>
          <w:rFonts w:hint="eastAsia" w:ascii="宋体" w:hAnsi="宋体" w:cs="宋体"/>
          <w:b/>
          <w:bCs/>
          <w:color w:val="000000" w:themeColor="text1"/>
          <w:sz w:val="24"/>
          <w:szCs w:val="24"/>
          <w:highlight w:val="none"/>
          <w14:textFill>
            <w14:solidFill>
              <w14:schemeClr w14:val="tx1"/>
            </w14:solidFill>
          </w14:textFill>
        </w:rPr>
        <w:t>技术参数及要求</w:t>
      </w:r>
      <w:bookmarkStart w:id="347" w:name="_Hlt101846155"/>
      <w:bookmarkEnd w:id="347"/>
    </w:p>
    <w:p>
      <w:pPr>
        <w:pStyle w:val="179"/>
        <w:numPr>
          <w:ilvl w:val="0"/>
          <w:numId w:val="0"/>
        </w:numPr>
        <w:spacing w:line="360" w:lineRule="auto"/>
        <w:ind w:leftChars="0"/>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包一、照明类</w:t>
      </w:r>
    </w:p>
    <w:tbl>
      <w:tblPr>
        <w:tblStyle w:val="59"/>
        <w:tblW w:w="5003" w:type="pct"/>
        <w:jc w:val="center"/>
        <w:tblLayout w:type="fixed"/>
        <w:tblCellMar>
          <w:top w:w="0" w:type="dxa"/>
          <w:left w:w="108" w:type="dxa"/>
          <w:bottom w:w="0" w:type="dxa"/>
          <w:right w:w="108" w:type="dxa"/>
        </w:tblCellMar>
      </w:tblPr>
      <w:tblGrid>
        <w:gridCol w:w="818"/>
        <w:gridCol w:w="815"/>
        <w:gridCol w:w="819"/>
        <w:gridCol w:w="817"/>
        <w:gridCol w:w="6308"/>
      </w:tblGrid>
      <w:tr>
        <w:tblPrEx>
          <w:tblCellMar>
            <w:top w:w="0" w:type="dxa"/>
            <w:left w:w="108" w:type="dxa"/>
            <w:bottom w:w="0" w:type="dxa"/>
            <w:right w:w="108" w:type="dxa"/>
          </w:tblCellMar>
        </w:tblPrEx>
        <w:trPr>
          <w:trHeight w:val="23" w:hRule="atLeast"/>
          <w:jc w:val="center"/>
        </w:trPr>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货物名称</w:t>
            </w:r>
          </w:p>
        </w:tc>
        <w:tc>
          <w:tcPr>
            <w:tcW w:w="427"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数量</w:t>
            </w:r>
          </w:p>
        </w:tc>
        <w:tc>
          <w:tcPr>
            <w:tcW w:w="426"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单位</w:t>
            </w:r>
          </w:p>
        </w:tc>
        <w:tc>
          <w:tcPr>
            <w:tcW w:w="329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技术参数</w:t>
            </w:r>
          </w:p>
        </w:tc>
      </w:tr>
      <w:tr>
        <w:tblPrEx>
          <w:tblCellMar>
            <w:top w:w="0" w:type="dxa"/>
            <w:left w:w="108" w:type="dxa"/>
            <w:bottom w:w="0" w:type="dxa"/>
            <w:right w:w="108" w:type="dxa"/>
          </w:tblCellMar>
        </w:tblPrEx>
        <w:trPr>
          <w:trHeight w:val="23" w:hRule="atLeast"/>
          <w:jc w:val="center"/>
        </w:trPr>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移动照明灯</w:t>
            </w:r>
          </w:p>
        </w:tc>
        <w:tc>
          <w:tcPr>
            <w:tcW w:w="427"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426"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29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★符合GB26755-2011《消防移动照明装置》标准。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▲1、防爆标志不低于Ex de ib mb IICT6 Gb。（提供防爆合格证复印件）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2、具有多段式电量，可随时直观查询剩余电量，额定电压：≥DC22V，电池容量≥10Ah，灯头额定功率≥50W。</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3、防护等级≥IP66。</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4、具备聚光、泛光及红/蓝信号警示功能聚泛光强弱可调节功能，应能在垂直0-100°，水平0-360°范围内调节照射角度。</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▲5、强光聚光放电时间应≥10h、强光泛光放电时间应≥10h；工作光聚光放电时间应≥16h、工作光泛光放电时间应≥16h。</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6、满足手提、落地、肩挎的携带方式。</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7、灯头最大升起高度：≥1.2m。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8、最高表面温度：≤52℃。</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▲9、2米处照度≥12000lx，5米处照度：≥1900lx，10米处照度≥470lx。</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▲10、LED防爆信号灯可视距离≥200m。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11、外形尺寸≤520mm×180mm×150mm。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12、重量≤6.5kg。</w:t>
            </w:r>
          </w:p>
        </w:tc>
      </w:tr>
      <w:tr>
        <w:tblPrEx>
          <w:tblCellMar>
            <w:top w:w="0" w:type="dxa"/>
            <w:left w:w="108" w:type="dxa"/>
            <w:bottom w:w="0" w:type="dxa"/>
            <w:right w:w="108" w:type="dxa"/>
          </w:tblCellMar>
        </w:tblPrEx>
        <w:trPr>
          <w:trHeight w:val="23" w:hRule="atLeast"/>
          <w:jc w:val="center"/>
        </w:trPr>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泛光灯</w:t>
            </w:r>
          </w:p>
        </w:tc>
        <w:tc>
          <w:tcPr>
            <w:tcW w:w="427"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426"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29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★符合GB26755-2011《消防移动式照明装置》标准要求。设备由LED灯头、红黄蓝警示灯、升降杆、锂电池、线路板、遥控器、充电器等组成。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1、设备伸缩管采用超轻碳纤维材质</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，采用三角支撑结构，支撑腿可快速折叠和展开，照明装置采用多节旋转式升降固定伸缩杆作为升降调节方式，照明高度可任意调节，最大升降高度≥3.5m。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2、设备的光源额定功率≥3*60</w:t>
            </w:r>
            <w:r>
              <w:rPr>
                <w:rFonts w:hint="eastAsia" w:ascii="宋体" w:hAnsi="宋体" w:cs="宋体"/>
                <w:color w:val="000000" w:themeColor="text1"/>
                <w:sz w:val="24"/>
                <w:szCs w:val="24"/>
                <w:highlight w:val="none"/>
                <w:lang w:val="en-US" w:eastAsia="zh-CN"/>
                <w14:textFill>
                  <w14:solidFill>
                    <w14:schemeClr w14:val="tx1"/>
                  </w14:solidFill>
                </w14:textFill>
              </w:rPr>
              <w:t>W</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▲3、光通量≥18000Im,工作灯在1m处的光照强度应≥6000Lx，在2m处的光照强度应≥1800Lx，在5m处的光照强度应≥360Lx，在10m处的光照强度应≥100Lx，在15m处的光照强度应≥48Lx，在20m处的光照强度应≥20Lx。</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4、放电时间（工作时间）：强光≥6h，中光≥9h，弱光≥16h。</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5、设备在夜间环境下,当设备开启警示灯及强光后,应能在距离设备1000m处看到设备警示。</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6、设备应具备USB输出端口。</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7、设备电源开关，可切换强光，中光，弱光，频闪四档光源。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▲8、备有遥控器，遥控距离应≥30m，可通过遥控器开启或关闭强光、中光、弱光和警示灯。</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9、防护等级：≥IP66。</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10、使用环境温度：-25℃~+55℃。</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11、重 量：≤10kg。</w:t>
            </w:r>
          </w:p>
        </w:tc>
      </w:tr>
      <w:tr>
        <w:tblPrEx>
          <w:tblCellMar>
            <w:top w:w="0" w:type="dxa"/>
            <w:left w:w="108" w:type="dxa"/>
            <w:bottom w:w="0" w:type="dxa"/>
            <w:right w:w="108" w:type="dxa"/>
          </w:tblCellMar>
        </w:tblPrEx>
        <w:trPr>
          <w:trHeight w:val="23" w:hRule="atLeast"/>
          <w:jc w:val="center"/>
        </w:trPr>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月球灯</w:t>
            </w:r>
          </w:p>
        </w:tc>
        <w:tc>
          <w:tcPr>
            <w:tcW w:w="427"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426"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29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★符合GB26755-2011《消防移动照明装置》标准。由灯头、气动升降杆、发电机（含可移动底盘、控制面板）组成。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1、灯头采用金卤灯或同等质量光源，灯头的额定功率≥1000W。</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2、灯组具有应急电源功能，可随时通过配备的电能输出适配器给小型电器充电。</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3、灯杆采用航空铝材</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，表面静电喷涂处理。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4、自动升降灯杆升降高度为≥4.5m。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5、配备输出功率≥2.5kW 的汽油发电机，油箱容量≥15L，当油箱注满油时连续工作时间≥13h，也可提供220V市电长期照明。</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6、灯头可实现大范围360度照明，灯光覆盖半径≥100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▲7、遥控距离≥50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▲8、自动升降月球灯的移动装置由定向轮和万向轮组成,万向轮有刹车装置。</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9、附件手提灯≥10</w:t>
            </w:r>
            <w:r>
              <w:rPr>
                <w:rFonts w:hint="eastAsia" w:ascii="宋体" w:hAnsi="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s="宋体"/>
                <w:color w:val="000000" w:themeColor="text1"/>
                <w:sz w:val="24"/>
                <w:szCs w:val="24"/>
                <w:highlight w:val="none"/>
                <w14:textFill>
                  <w14:solidFill>
                    <w14:schemeClr w14:val="tx1"/>
                  </w14:solidFill>
                </w14:textFill>
              </w:rPr>
              <w:t>强光照明，具有磁力吸附，灯头可上下调节，电量显示功能。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10、限位性能：照明灯在升到最高点后,2h内的下滑应≤3cm。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11、照明灯的升降气杆底部具有手动的紧急气压泄放装置。</w:t>
            </w:r>
          </w:p>
        </w:tc>
      </w:tr>
      <w:tr>
        <w:tblPrEx>
          <w:tblCellMar>
            <w:top w:w="0" w:type="dxa"/>
            <w:left w:w="108" w:type="dxa"/>
            <w:bottom w:w="0" w:type="dxa"/>
            <w:right w:w="108" w:type="dxa"/>
          </w:tblCellMar>
        </w:tblPrEx>
        <w:trPr>
          <w:trHeight w:val="23" w:hRule="atLeast"/>
          <w:jc w:val="center"/>
        </w:trPr>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救生照明线</w:t>
            </w:r>
          </w:p>
        </w:tc>
        <w:tc>
          <w:tcPr>
            <w:tcW w:w="427"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426"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29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★符合GB26783-2011《消防救生照明线》的标准要求。</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▲1、最高表面温度：≤30℃，绝缘电阻：≥550MΩ。</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2、连续工作时间：常亮型：＞8h，闪烁型：＞16h。</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3、工作电压：≥12V、最大工作电流：≥4.5A，电池容量≥80Ah。</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4、发光亮度：＞10cd/㎡。</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5、线体长度：≥200m。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▲6、质量：≤8.5kg。</w:t>
            </w:r>
          </w:p>
        </w:tc>
      </w:tr>
      <w:tr>
        <w:tblPrEx>
          <w:tblCellMar>
            <w:top w:w="0" w:type="dxa"/>
            <w:left w:w="108" w:type="dxa"/>
            <w:bottom w:w="0" w:type="dxa"/>
            <w:right w:w="108" w:type="dxa"/>
          </w:tblCellMar>
        </w:tblPrEx>
        <w:trPr>
          <w:trHeight w:val="23" w:hRule="atLeast"/>
          <w:jc w:val="center"/>
        </w:trPr>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气柱灯</w:t>
            </w:r>
          </w:p>
        </w:tc>
        <w:tc>
          <w:tcPr>
            <w:tcW w:w="427"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426"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29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★气柱灯应由灯头、灯罩、发电机组、底盘、升降杆、控制面板等组成。符合GB26755-2011《消防移动照明装置》标准。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1、控制面板应固定于充气灯柱底盘上。</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2、灯头采用金属卤素灯或同等质量光源≥1000W，平均使用寿命≥10000h，光通量≥150000lm。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3、气柱灯最高升起高度≥5m。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4、外壳防护等级≥IP65。</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5、灯柱外罩选用高强度阻燃纤维材料，可以360度全方位立体照明。</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6、灯柱设有开关互锁与自锁功能。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7、整灯控制系统设有安全过压保护、欠压保护、过电流、漏电保护功能。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8、灯柱底部配四个可调节辅助支撑杆。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9、配备发电机组供电，发电机功率≥2000W，一次注满燃油，连续工作时间可达≥6h，也可提供220V市电长时间照明。</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10、绝缘电阻：≥550MΩ。</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▲11、抗电强度：气柱灯带电端子和外壳之间能承受2kV≥60s的抗电强度。</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12、质量≤50kg。</w:t>
            </w:r>
          </w:p>
        </w:tc>
      </w:tr>
      <w:tr>
        <w:tblPrEx>
          <w:tblCellMar>
            <w:top w:w="0" w:type="dxa"/>
            <w:left w:w="108" w:type="dxa"/>
            <w:bottom w:w="0" w:type="dxa"/>
            <w:right w:w="108" w:type="dxa"/>
          </w:tblCellMar>
        </w:tblPrEx>
        <w:trPr>
          <w:trHeight w:val="23" w:hRule="atLeast"/>
          <w:jc w:val="center"/>
        </w:trPr>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静音发电机</w:t>
            </w:r>
          </w:p>
        </w:tc>
        <w:tc>
          <w:tcPr>
            <w:tcW w:w="427"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426"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29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1、频率：≥50Hz</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2、额定功率：≥3500W</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3、最大功率：≥4000W</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4、压缩比：8.5:1</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5、直流输出：≥8.3A/12V</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额定功率连续运行时间：≥5h</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7、50%额定功率连续运行时间：≥8.5h</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8、油箱容量(L)：≥12L</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9、噪音：≤60db</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10、净重(kg)：≤40kg。</w:t>
            </w:r>
          </w:p>
        </w:tc>
      </w:tr>
      <w:tr>
        <w:tblPrEx>
          <w:tblCellMar>
            <w:top w:w="0" w:type="dxa"/>
            <w:left w:w="108" w:type="dxa"/>
            <w:bottom w:w="0" w:type="dxa"/>
            <w:right w:w="108" w:type="dxa"/>
          </w:tblCellMar>
        </w:tblPrEx>
        <w:trPr>
          <w:trHeight w:val="23" w:hRule="atLeast"/>
          <w:jc w:val="center"/>
        </w:trPr>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大功率发电机</w:t>
            </w:r>
          </w:p>
        </w:tc>
        <w:tc>
          <w:tcPr>
            <w:tcW w:w="427"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426"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29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额定功率：≥30</w:t>
            </w:r>
            <w:r>
              <w:rPr>
                <w:rFonts w:hint="eastAsia" w:ascii="宋体" w:hAnsi="宋体" w:cs="宋体"/>
                <w:color w:val="000000" w:themeColor="text1"/>
                <w:sz w:val="24"/>
                <w:szCs w:val="24"/>
                <w:highlight w:val="none"/>
                <w:lang w:val="en-US" w:eastAsia="zh-CN"/>
                <w14:textFill>
                  <w14:solidFill>
                    <w14:schemeClr w14:val="tx1"/>
                  </w14:solidFill>
                </w14:textFill>
              </w:rPr>
              <w:t>kW</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2、输出电流：≥54A</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3、输出电压：400v/230v</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4、额定频率：≥50Hz</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5、启动方式：电启动</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6、气缸数：≥4</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7、调速方式：机械</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8、燃油消耗率：≤200g/k</w:t>
            </w:r>
            <w:r>
              <w:rPr>
                <w:rFonts w:hint="eastAsia" w:ascii="宋体" w:hAnsi="宋体" w:cs="宋体"/>
                <w:color w:val="000000" w:themeColor="text1"/>
                <w:sz w:val="24"/>
                <w:szCs w:val="24"/>
                <w:highlight w:val="none"/>
                <w:lang w:val="en-US" w:eastAsia="zh-CN"/>
                <w14:textFill>
                  <w14:solidFill>
                    <w14:schemeClr w14:val="tx1"/>
                  </w14:solidFill>
                </w14:textFill>
              </w:rPr>
              <w:t>W</w:t>
            </w:r>
            <w:r>
              <w:rPr>
                <w:rFonts w:hint="eastAsia" w:ascii="宋体" w:hAnsi="宋体" w:eastAsia="宋体" w:cs="宋体"/>
                <w:color w:val="000000" w:themeColor="text1"/>
                <w:sz w:val="24"/>
                <w:szCs w:val="24"/>
                <w:highlight w:val="none"/>
                <w14:textFill>
                  <w14:solidFill>
                    <w14:schemeClr w14:val="tx1"/>
                  </w14:solidFill>
                </w14:textFill>
              </w:rPr>
              <w:t>·h</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9、接线方式：三相四线、Y型接法。</w:t>
            </w:r>
          </w:p>
        </w:tc>
      </w:tr>
      <w:tr>
        <w:tblPrEx>
          <w:tblCellMar>
            <w:top w:w="0" w:type="dxa"/>
            <w:left w:w="108" w:type="dxa"/>
            <w:bottom w:w="0" w:type="dxa"/>
            <w:right w:w="108" w:type="dxa"/>
          </w:tblCellMar>
        </w:tblPrEx>
        <w:trPr>
          <w:trHeight w:val="23" w:hRule="atLeast"/>
          <w:jc w:val="center"/>
        </w:trPr>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移动照明灯组</w:t>
            </w:r>
          </w:p>
        </w:tc>
        <w:tc>
          <w:tcPr>
            <w:tcW w:w="427"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426"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29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★符合GB26755-2011《消防移动式照明装置》标准要求。</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1、设备至少有4个灯头，全功率运行时，每个灯头功率大于等于500W灯头可0～180°范围内上下旋转以及0～360°内左右旋转</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▲2、设备具备红蓝闪烁的警示灯，警示灯在夜间非雨雾天气下可视距离≥120m</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▲3、配备输出功率≥2.8kW的汽油发电机，油箱容量≥15L，满油时设备连续工作时间≥13.5h</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4、可通过手动开关和无线遥控控制升降,最大升起高度≥4500mm，可在任意高度停止</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5、对外供电：可以通过USB输出口给小型电子设备充电。</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▲6、照射距离≥70m，遥控距离≥55m</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7、限位性能：升降杆在达到最大高度后，1h内升降杆下滑应不超过5cm</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8、防护等级≥IP65</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9、重量≤70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g。</w:t>
            </w:r>
          </w:p>
        </w:tc>
      </w:tr>
      <w:tr>
        <w:tblPrEx>
          <w:tblCellMar>
            <w:top w:w="0" w:type="dxa"/>
            <w:left w:w="108" w:type="dxa"/>
            <w:bottom w:w="0" w:type="dxa"/>
            <w:right w:w="108" w:type="dxa"/>
          </w:tblCellMar>
        </w:tblPrEx>
        <w:trPr>
          <w:trHeight w:val="23" w:hRule="atLeast"/>
          <w:jc w:val="center"/>
        </w:trPr>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42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小型移动照明灯组</w:t>
            </w:r>
          </w:p>
        </w:tc>
        <w:tc>
          <w:tcPr>
            <w:tcW w:w="427"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26"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29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★符合GB26755-2011《消防移动式照明装置》标准要求。</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1、灯头采用LED光源，有聚光、泛光模式，亮度均可手动实现10%—100%无极调光，配红蓝双色交替闪烁警示灯，可视距离≥1000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▲2、设备应支持手机蓝牙链接，连接距离≥30m。设备应内置麦克风，并可通过无线方式连接话筒实现录音、录音回放、喊话、扩音功能等</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▲3、采用多节伸缩杆作为升降调节方式，可根据照明高度要求手动操作迅速升降灯头，最大升起高度≥2m,收缩高度≤0.7m；每个灯头可360°水平旋转，可俯仰0°-180°</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4、设备升降杆在达到最大高度后，1h内下滑距离不超过2cm</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▲5、2m处照度≥20000 Lx；5m处照度≥7100Lx；10m处照度≥2000Lx；15m处照度≥330Lx；20m处照度≥250Lx</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6、设备应设置有多段式电量显示，可以查看电量使用情况</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7、设备设有反光纸，给来往车辆和工作人员给予警示作用。</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8、设备具备USB输出功能，可为手机等数码产品充电</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9、头灯数量：≥2个</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10、工作时间：聚光泛光同时开启≥8h</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11、防护等级≥IP66</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12、绝缘电阻：≥550MΩ</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▲13、抗电强度：外部带电端子和外壳裸露金属部件之间，能承受2kV交流电压≥1min的抗电强度</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14、重量：≤20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g。</w:t>
            </w:r>
          </w:p>
        </w:tc>
      </w:tr>
    </w:tbl>
    <w:p>
      <w:pPr>
        <w:spacing w:line="360" w:lineRule="auto"/>
        <w:ind w:firstLine="480"/>
        <w:rPr>
          <w:rFonts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包</w:t>
      </w:r>
      <w:r>
        <w:rPr>
          <w:rFonts w:hint="eastAsia" w:ascii="宋体" w:hAnsi="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14:textFill>
            <w14:solidFill>
              <w14:schemeClr w14:val="tx1"/>
            </w14:solidFill>
          </w14:textFill>
        </w:rPr>
        <w:t>、水域救援类</w:t>
      </w:r>
    </w:p>
    <w:tbl>
      <w:tblPr>
        <w:tblStyle w:val="59"/>
        <w:tblW w:w="5003" w:type="pct"/>
        <w:jc w:val="center"/>
        <w:tblLayout w:type="fixed"/>
        <w:tblCellMar>
          <w:top w:w="0" w:type="dxa"/>
          <w:left w:w="108" w:type="dxa"/>
          <w:bottom w:w="0" w:type="dxa"/>
          <w:right w:w="108" w:type="dxa"/>
        </w:tblCellMar>
      </w:tblPr>
      <w:tblGrid>
        <w:gridCol w:w="636"/>
        <w:gridCol w:w="810"/>
        <w:gridCol w:w="726"/>
        <w:gridCol w:w="727"/>
        <w:gridCol w:w="6678"/>
      </w:tblGrid>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货物名称</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数量</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单位</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技术参数</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救生抛投器</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★产品符合GB/T 27906-2011《救生抛投器》标准要求。包含：发射枪1支、充气瓶（含接口）1个、回收线盘轮1个、枪体延长管1根、抛绳弹4支（其中2个陆用抛绳弹2个水用抛绳弹）、气动收绳装置1套、随机配件1套、便携式背包一个</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1、使用压缩空气，工作压力：≤8M</w:t>
            </w:r>
            <w:r>
              <w:rPr>
                <w:rFonts w:hint="eastAsia" w:ascii="宋体" w:hAnsi="宋体" w:cs="宋体"/>
                <w:color w:val="000000" w:themeColor="text1"/>
                <w:sz w:val="24"/>
                <w:szCs w:val="24"/>
                <w:highlight w:val="none"/>
                <w:lang w:val="en-US" w:eastAsia="zh-CN"/>
                <w14:textFill>
                  <w14:solidFill>
                    <w14:schemeClr w14:val="tx1"/>
                  </w14:solidFill>
                </w14:textFill>
              </w:rPr>
              <w:t>p</w:t>
            </w:r>
            <w:r>
              <w:rPr>
                <w:rFonts w:hint="eastAsia" w:ascii="宋体" w:hAnsi="宋体" w:eastAsia="宋体" w:cs="宋体"/>
                <w:color w:val="000000" w:themeColor="text1"/>
                <w:sz w:val="24"/>
                <w:szCs w:val="24"/>
                <w:highlight w:val="none"/>
                <w14:textFill>
                  <w14:solidFill>
                    <w14:schemeClr w14:val="tx1"/>
                  </w14:solidFill>
                </w14:textFill>
              </w:rPr>
              <w:t>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▲2、陆用抛射距离最远：≥250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。水用抛射距离最远：≥100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；可连续发射5次以上；抛绳拉力≥2</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3、水用救援弹里的水用浮具入水5</w:t>
            </w:r>
            <w:r>
              <w:rPr>
                <w:rFonts w:hint="eastAsia" w:ascii="宋体" w:hAnsi="宋体" w:cs="宋体"/>
                <w:color w:val="000000" w:themeColor="text1"/>
                <w:sz w:val="24"/>
                <w:szCs w:val="24"/>
                <w:highlight w:val="none"/>
                <w:lang w:val="en-US" w:eastAsia="zh-CN"/>
                <w14:textFill>
                  <w14:solidFill>
                    <w14:schemeClr w14:val="tx1"/>
                  </w14:solidFill>
                </w14:textFill>
              </w:rPr>
              <w:t>s</w:t>
            </w:r>
            <w:r>
              <w:rPr>
                <w:rFonts w:hint="eastAsia" w:ascii="宋体" w:hAnsi="宋体" w:eastAsia="宋体" w:cs="宋体"/>
                <w:color w:val="000000" w:themeColor="text1"/>
                <w:sz w:val="24"/>
                <w:szCs w:val="24"/>
                <w:highlight w:val="none"/>
                <w14:textFill>
                  <w14:solidFill>
                    <w14:schemeClr w14:val="tx1"/>
                  </w14:solidFill>
                </w14:textFill>
              </w:rPr>
              <w:t>内自动充气成为救生圈，产生≥8kg浮力；救援弹内置铝合金骨架。救援绳及水用保护套 可反复使用；</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4、枪身重量：≤6kg</w:t>
            </w:r>
            <w:r>
              <w:rPr>
                <w:rFonts w:hint="eastAsia" w:ascii="宋体" w:hAnsi="宋体" w:cs="宋体"/>
                <w:color w:val="000000" w:themeColor="text1"/>
                <w:sz w:val="24"/>
                <w:szCs w:val="24"/>
                <w:highlight w:val="none"/>
                <w:lang w:eastAsia="zh-CN"/>
                <w14:textFill>
                  <w14:solidFill>
                    <w14:schemeClr w14:val="tx1"/>
                  </w14:solidFill>
                </w14:textFill>
              </w:rPr>
              <w:t>；</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充气救援艇（橡皮艇）</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艘</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1.尺寸：420x190x45cm±10cm</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2.艇身材质：采用加强PVC夹网材质</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，厚度≥0.9mm，适配动力≥30HP</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3.气囊数≥8个，M型艇底。艇净重≤101KG，承载重量≥980KG，船体结构：底板为一体式三气室拉丝底板，底部设有2处稳定浮筒</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4.承载人数≥10人</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5.水密试验:将艇充气至工作压力(≥39kPa),在水面静置30min，放气后气囊内无水渍，试验合格；</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6.气密试验:≥3+1个独立气室充气至≥39kPa，静置5min，无压力泄漏试验合格；</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7.载重试验:增加载重量至最大安全载重，放置水面静置≥29min，艇身完好，试验合格；</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8.划桨试验:在艇轻载状态和满载状态下使用手划桨划行≥290m，试验合格；</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9.基本参数：安全阀门1个，抬船把手8个，操舟者安全把手2个，辅助D型环数量10个，船首拖拽装置数量1套，艉板高度390mm。自救辅助绳包2个</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10.艇身配置：艇艏安装挡水片1处，艉板安装快速双排水孔2处，艇身安装油箱、油管稳定扣，划桨2支，高压充气泵1个，船包1个，维修工具1套（专用胶水1支、气阀扳手1个、维修材料3张），油桶及油管各1个</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11.舷外机：启动方式：手动及电动；重量：≥70kg；发动机类型：2冲程2缸；排量：≥700cc；缸径x冲程：80x70mm；输出功率：≥29kw；转速：≥5000rpm；油箱容量：≥25L；点火系统：P.E.I；操作方式：手柄操作。</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硬质救援艇（冲锋舟）</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艘</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1、性能要求：拉伸强度≥400M</w:t>
            </w:r>
            <w:r>
              <w:rPr>
                <w:rFonts w:hint="eastAsia" w:ascii="宋体" w:hAnsi="宋体" w:cs="宋体"/>
                <w:color w:val="000000" w:themeColor="text1"/>
                <w:sz w:val="24"/>
                <w:szCs w:val="24"/>
                <w:highlight w:val="none"/>
                <w:lang w:val="en-US" w:eastAsia="zh-CN"/>
                <w14:textFill>
                  <w14:solidFill>
                    <w14:schemeClr w14:val="tx1"/>
                  </w14:solidFill>
                </w14:textFill>
              </w:rPr>
              <w:t>p</w:t>
            </w:r>
            <w:r>
              <w:rPr>
                <w:rFonts w:hint="eastAsia" w:ascii="宋体" w:hAnsi="宋体" w:eastAsia="宋体" w:cs="宋体"/>
                <w:color w:val="000000" w:themeColor="text1"/>
                <w:sz w:val="24"/>
                <w:szCs w:val="24"/>
                <w:highlight w:val="none"/>
                <w14:textFill>
                  <w14:solidFill>
                    <w14:schemeClr w14:val="tx1"/>
                  </w14:solidFill>
                </w14:textFill>
              </w:rPr>
              <w:t>a，弯曲强度≥200M</w:t>
            </w:r>
            <w:r>
              <w:rPr>
                <w:rFonts w:hint="eastAsia" w:ascii="宋体" w:hAnsi="宋体" w:cs="宋体"/>
                <w:color w:val="000000" w:themeColor="text1"/>
                <w:sz w:val="24"/>
                <w:szCs w:val="24"/>
                <w:highlight w:val="none"/>
                <w:lang w:val="en-US" w:eastAsia="zh-CN"/>
                <w14:textFill>
                  <w14:solidFill>
                    <w14:schemeClr w14:val="tx1"/>
                  </w14:solidFill>
                </w14:textFill>
              </w:rPr>
              <w:t>p</w:t>
            </w:r>
            <w:r>
              <w:rPr>
                <w:rFonts w:hint="eastAsia" w:ascii="宋体" w:hAnsi="宋体" w:eastAsia="宋体" w:cs="宋体"/>
                <w:color w:val="000000" w:themeColor="text1"/>
                <w:sz w:val="24"/>
                <w:szCs w:val="24"/>
                <w:highlight w:val="none"/>
                <w14:textFill>
                  <w14:solidFill>
                    <w14:schemeClr w14:val="tx1"/>
                  </w14:solidFill>
                </w14:textFill>
              </w:rPr>
              <w:t>a，冲击强度≥185</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J/m2，玻璃纤维或其它同等材质含量≥65%；</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2、冲锋舟材质主要包括无碱布、中碱布、表面毡、短切毡；胶衣树脂：船用耐水型聚酯树脂；储备浮力材料：闭孔聚氨酯泡沫；</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3、金属件：金属件应为钢制或其它同等材质，表面热镀锌或镀铬；</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4、承载人数≥12人</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5、螺旋桨式，铝合金材质</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6、外挂发动机≥60马力；</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7、发动机类型：2缸2冲程水冷；</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8、启动系统：手动启动；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9、操舵系统：前、后操舵；</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10、润滑系统：预混机油和汽油；</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11、燃油进气系统：化油器</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12、提供配套冲锋舟拖车。</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舷外机（含油箱防护罩）</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艘</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1.动力:≥40HP</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2.功率≥29kW</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3.转速≥5500rpm</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4.冲程：二冲程</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5.缸体：双缸</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6.重量：≤80kg</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7.排气量：≥700CC</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8.满舵角度：左≥40°，右≥40°</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9.起翘角度：≤70°</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10.档位：前进-空挡-倒挡</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11.冷却系统：水冷</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12.启动系统：手动</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13.操控系统：操舵</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14.润滑系统：预混机油和汽油</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15.机身材质：铝质</w:t>
            </w:r>
            <w:r>
              <w:rPr>
                <w:rFonts w:hint="eastAsia" w:ascii="宋体" w:hAnsi="宋体" w:cs="宋体"/>
                <w:color w:val="000000" w:themeColor="text1"/>
                <w:sz w:val="24"/>
                <w:szCs w:val="24"/>
                <w:highlight w:val="none"/>
                <w:lang w:eastAsia="zh-CN"/>
                <w14:textFill>
                  <w14:solidFill>
                    <w14:schemeClr w14:val="tx1"/>
                  </w14:solidFill>
                </w14:textFill>
              </w:rPr>
              <w:t>或同等质量材质；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16.标准配置油箱：≥20L。</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摩托艇</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艘</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1、尺寸：长≥3m、宽≥1m、高≥1m</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2、乘员人数≥2人</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3、水上载重≥240</w:t>
            </w:r>
            <w:r>
              <w:rPr>
                <w:rFonts w:hint="eastAsia" w:ascii="宋体" w:hAnsi="宋体" w:cs="宋体"/>
                <w:color w:val="000000" w:themeColor="text1"/>
                <w:sz w:val="24"/>
                <w:szCs w:val="24"/>
                <w:highlight w:val="none"/>
                <w:lang w:val="en-US" w:eastAsia="zh-CN"/>
                <w14:textFill>
                  <w14:solidFill>
                    <w14:schemeClr w14:val="tx1"/>
                  </w14:solidFill>
                </w14:textFill>
              </w:rPr>
              <w:t>kg；</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4、燃油容积≥25L</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5、功率≥50kw，排量≥1200CC</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6、发动机类型：4 缸4冲程</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7、机油容量≥3L</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8、最大时速≥50km/h</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9、总质量≥300kg、配备1台拖车有吊装固定环</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10、其他配置：加装警灯、喊话警报、照明灯各1个，配备大容量尾箱可储存救援物资，根据采购人要求进行颜色涂装喷字。</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水下侧扫声呐</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★产品配置声呐主机、声呐探头、声呐搜救系统、水下视频系统、电源、及其他配件组成。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1、液晶屏尺寸：≥9英寸 ；分辨率≥1280x 720；显示屏具备面多点触屏+按键式、可任意设置组合界面功能。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2、防水等级≥IPX7，声呐探头工作水深：≥300m。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3、内置卫星定位天线，具备水下声呐导航定位和、卫星定位警报功能、应内置全球简易海图。                                                                                4、支持150-240kHz变频功能；/83/200kHz和455/800kHz。</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5、声呐侧扫最大量程≥180m，下扫距离最大量程≥90m。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6、可视角度：80°上/下；80°左/右。</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7、数据输出/输入RS422：1 个；数据接口：1 个 。</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▲8、支架和手持探杆功能：主机和声呐探头应具备可安装可拆卸支架，可快速在冲锋舟上安装使用以及应具备≥1米手持探杆，可调节声呐探头深浅。</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▲9、主机：屏幕尺寸≥7寸，按键和触摸结合双控制；画面有≥6倍放大和缩小功能。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▲10、主机连续工作时间≥9</w:t>
            </w:r>
            <w:r>
              <w:rPr>
                <w:rFonts w:hint="eastAsia" w:ascii="宋体" w:hAnsi="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s="宋体"/>
                <w:color w:val="000000" w:themeColor="text1"/>
                <w:sz w:val="24"/>
                <w:szCs w:val="24"/>
                <w:highlight w:val="none"/>
                <w14:textFill>
                  <w14:solidFill>
                    <w14:schemeClr w14:val="tx1"/>
                  </w14:solidFill>
                </w14:textFill>
              </w:rPr>
              <w:t>；具备直接存储，一键录像，一键拍照，一键放大缩小等功能；内存≥128G。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11、文件标记：可将视频或图片标注为重要文件且不可删除，删除需先取消重要文件标注。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12、格式化本地文件时须输入密码才能操作。</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13、水下电动探头：探头直径≤78mm；防护等级≥IP67；视场角≥120°电动旋转角度≥360°；具有≥18颗白光灯 ；配线缆≥20米。</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14、配置防尘、防水防护箱。</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水下前视声呐</w:t>
            </w:r>
          </w:p>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1、高清彩色LCD液晶屏尺寸：≥12英寸 ；分辨率≥1280Hx 800W ；亮度≥1200cd/㎡；具备多点触屏+按键式，可任意设置组合界面功能，防水等级≥IPX7 ;具备中文操作界面。</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2、主机具有≥8颗报警灯；具有定位异常报警、浅水报警、偏航报警和低电量报警灯功能。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3、声呐探头工作水深≥300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4、具有三种以上扫描方式；具有下扫/侧扫和3D成像等功能。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5、工作频率：≥455/800Khz；≥2种频率可调。</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6、探测距离：最大测深结构下扫 ≥90 米；最大测深结构侧扫≥180 米。</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7、可视角度： ≥±80°。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▲8、内置全球简易海图；具有海图设置、修正功能。航点存储数量≥5000个，航线储存数量≥100条，内置GPS天线，具备水下声呐导航定位功能。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9、支持无线传输蓝牙、自动舵、雷达、3G、4G、船舶自动识别、温度显示等功能。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10、具有视频录像和回放功能；内存≥32G。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11、主机内置≥30A容量电池；可显示电池电量；工作时间≥8h；具有≥2个USB快充口和无线充电功能，可以直接电子设备充电；有≥2个充电指示灯，具有电量显示功能。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▲12、主机和声呐探头应具备可安装可拆卸支架；应具备≥1米手持探杆。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▲13、配置水下旋转视频探头直径≤78mm；视场角≥120°；旋转角度左右≥360°；防护等级≥IP67；配置≥20米线缆。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14、主机面板具有旋转开关，可控制水下旋转视频探头左右旋转和灯关调节功能。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15、配置镁发电多功能应急灯；产品内含锂电池一个，总放电时长≥20小时；配备注液发电电池一个：注液剂量≤8g/ml；注液发电照明工作时长≥70h；加入水、酒、茶水都可发电。</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16、配置应急照明灯；具有黄光、白光和警报灯三种（或以上）模式；具有弱、中、强和超亮4种调节方式；有电池电量显示；配置≥180°可旋转支架；可固定在声呐主机上，用于夜间救援照明。</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便携式流速仪</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1、旋桨回转直径≥Φ125mm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2、旋桨水力螺距b≥200mm（理论值）</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3、起转速度≥0.03m/s</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4、临界速度≥0.13m/s</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5、测速范围≥0.05m/s～15m/s</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6、输出信号：磁激式开关接点通断信号</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7、信号数/转子转数：2/1（每1 转2个信号）</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8、开关接点容量：DC U≤24V，I≤120mA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9、接点工作次数≥1×107</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10、全线相对均方差m：|m|≤1.5%</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水上救生机器人</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1、尺寸要求：长度≥1.8</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、宽度≥1.2</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▲2、浮筒的浮力≥200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▲3、整机重量≥50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▲4、机械臂抓手数量≥2个；</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▲5、机械抓手规格：可左右横向移动，抓手可调节角度≥180°；机械抓手打开并和闭合时间≤15秒；抓手控制负载重量≥150公斤；</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▲6、电机总功率≥5</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W</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▲7、水上向前推力≥100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▲8、水上拖拽拉力≥1500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9、空载速度≥30</w:t>
            </w:r>
            <w:r>
              <w:rPr>
                <w:rFonts w:hint="eastAsia" w:ascii="宋体" w:hAnsi="宋体" w:cs="宋体"/>
                <w:color w:val="000000" w:themeColor="text1"/>
                <w:sz w:val="24"/>
                <w:szCs w:val="24"/>
                <w:highlight w:val="none"/>
                <w:lang w:val="en-US" w:eastAsia="zh-CN"/>
                <w14:textFill>
                  <w14:solidFill>
                    <w14:schemeClr w14:val="tx1"/>
                  </w14:solidFill>
                </w14:textFill>
              </w:rPr>
              <w:t>km</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s="宋体"/>
                <w:color w:val="000000" w:themeColor="text1"/>
                <w:sz w:val="24"/>
                <w:szCs w:val="24"/>
                <w:highlight w:val="none"/>
                <w14:textFill>
                  <w14:solidFill>
                    <w14:schemeClr w14:val="tx1"/>
                  </w14:solidFill>
                </w14:textFill>
              </w:rPr>
              <w:t>，负载75公斤速度≥20</w:t>
            </w:r>
            <w:r>
              <w:rPr>
                <w:rFonts w:hint="eastAsia" w:ascii="宋体" w:hAnsi="宋体" w:cs="宋体"/>
                <w:color w:val="000000" w:themeColor="text1"/>
                <w:sz w:val="24"/>
                <w:szCs w:val="24"/>
                <w:highlight w:val="none"/>
                <w:lang w:val="en-US" w:eastAsia="zh-CN"/>
                <w14:textFill>
                  <w14:solidFill>
                    <w14:schemeClr w14:val="tx1"/>
                  </w14:solidFill>
                </w14:textFill>
              </w:rPr>
              <w:t>km</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10、电池规格和续航时间：直流电压48V容量≥1000wh、充电电流≥8A；充电时间≤3</w:t>
            </w:r>
            <w:r>
              <w:rPr>
                <w:rFonts w:hint="eastAsia" w:ascii="宋体" w:hAnsi="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11、续航时间里程：匀速续航时间≥80</w:t>
            </w:r>
            <w:r>
              <w:rPr>
                <w:rFonts w:hint="eastAsia" w:ascii="宋体" w:hAnsi="宋体" w:cs="宋体"/>
                <w:color w:val="000000" w:themeColor="text1"/>
                <w:sz w:val="24"/>
                <w:szCs w:val="24"/>
                <w:highlight w:val="none"/>
                <w:lang w:val="en-US" w:eastAsia="zh-CN"/>
                <w14:textFill>
                  <w14:solidFill>
                    <w14:schemeClr w14:val="tx1"/>
                  </w14:solidFill>
                </w14:textFill>
              </w:rPr>
              <w:t>min</w:t>
            </w:r>
            <w:r>
              <w:rPr>
                <w:rFonts w:hint="eastAsia" w:ascii="宋体" w:hAnsi="宋体" w:eastAsia="宋体" w:cs="宋体"/>
                <w:color w:val="000000" w:themeColor="text1"/>
                <w:sz w:val="24"/>
                <w:szCs w:val="24"/>
                <w:highlight w:val="none"/>
                <w14:textFill>
                  <w14:solidFill>
                    <w14:schemeClr w14:val="tx1"/>
                  </w14:solidFill>
                </w14:textFill>
              </w:rPr>
              <w:t>，续航里程≥20</w:t>
            </w:r>
            <w:r>
              <w:rPr>
                <w:rFonts w:hint="eastAsia" w:ascii="宋体" w:hAnsi="宋体" w:cs="宋体"/>
                <w:color w:val="000000" w:themeColor="text1"/>
                <w:sz w:val="24"/>
                <w:szCs w:val="24"/>
                <w:highlight w:val="none"/>
                <w:lang w:val="en-US" w:eastAsia="zh-CN"/>
                <w14:textFill>
                  <w14:solidFill>
                    <w14:schemeClr w14:val="tx1"/>
                  </w14:solidFill>
                </w14:textFill>
              </w:rPr>
              <w:t>km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12、遥控距离≥1500</w:t>
            </w:r>
            <w:r>
              <w:rPr>
                <w:rFonts w:hint="eastAsia" w:ascii="宋体" w:hAnsi="宋体" w:cs="宋体"/>
                <w:color w:val="000000" w:themeColor="text1"/>
                <w:sz w:val="24"/>
                <w:szCs w:val="24"/>
                <w:highlight w:val="none"/>
                <w:lang w:val="en-US" w:eastAsia="zh-CN"/>
                <w14:textFill>
                  <w14:solidFill>
                    <w14:schemeClr w14:val="tx1"/>
                  </w14:solidFill>
                </w14:textFill>
              </w:rPr>
              <w:t>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13、遥控器上可以控制机器人加速和转弯与倒退功能，同时可以单独控制机械臂抓手的开合功能，遥控器需配置专用防雨罩。</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14、遥控器具备一键返航、失联返航等功能，卫星定位精度≤2</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15、双向语音对讲，手机APP随时浏览视频和通话，监控录像拍照功能，视频距离≥1500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16、无线操作关闭电池工作。</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17、防护等级≥IP67；</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18、工作最高水域流速：≥8m/s</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救援桨板</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▲1、最大充气压力≤0.15 Mpa。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▲2、桨板材料为 PVC防水布料</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，表面有EVA防滑垫。</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▲3、桨板长度≥300cm，宽度≥75cm，厚度≥15cm。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▲4、水上漂浮载重≥130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5、主体颜色为消防显目红色，四周有反光标识条，需阻燃、防紫外线。</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6、桨板配置有提手，脚链挂扣，安全气阀；背包、修理包、脚绳 、气筒各一个；插入式鱼鳍1套，划桨2支。</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配语音对讲定位仪（2台）和后台调度管理软件系统U盘≥256GB（1个）。办公室电脑（或指挥中心）可安装此专用调度管理软件系统，来调度指挥前方多条救援桨板，实时浏览桨板轨迹或与前方人员语音对讲，并定位监控人员位置。信号覆盖下的对讲机之间，以及和后方调度管理中心之间通话和定位都没有距离限制。后台有群组通话设置功能，可以自由设置群组人员的数量与成员，单呼与群呼。后台语音圆形按键一键操作，可和前方人员实时语音对讲。（提供承诺函）</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绳索救援套装</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★套装包含≥100米静力绳、辅绳≥50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中分力板、小分力板、大单滑轮、纵排双滑轮、抓绳器、下降器、救援八字环、双耳救援八字环、绳索保护套、装备打理包、地垫、小滑轮、双滑轮、扁带60cm、扁带120cm、D形自动锁5个、手动0型锁5个、100米漂浮救生绳。符合XF494-2004《消防用防坠落装备》标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▲1.静力绳（直径 10.5mm）：破断强度：≥30kN，每米重量≤81g，静力延展率≤5%。</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2.辅绳：直径≥8mm，破断强度：≥10kN，每米重量≤40g。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3.中分力板：材质：高强铝合金</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，孔数：≥8，拉力：≥60kN，尺寸：≤17</w:t>
            </w:r>
            <w:r>
              <w:rPr>
                <w:rFonts w:hint="eastAsia" w:ascii="宋体" w:hAnsi="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，重量：≤170g.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4.小分力板：材质：高强铝合金</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，孔数：≥4，拉力：≥50kN，重量：≤60g.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5.大单滑轮：主体材质：铝合金</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；适用绳索直径：8-16mm；工作负荷≥5kN，极限负荷≥22kN；重量≤400</w:t>
            </w:r>
            <w:r>
              <w:rPr>
                <w:rFonts w:hint="eastAsia" w:ascii="宋体" w:hAnsi="宋体" w:cs="宋体"/>
                <w:color w:val="000000" w:themeColor="text1"/>
                <w:sz w:val="24"/>
                <w:szCs w:val="24"/>
                <w:highlight w:val="none"/>
                <w:lang w:val="en-US" w:eastAsia="zh-CN"/>
                <w14:textFill>
                  <w14:solidFill>
                    <w14:schemeClr w14:val="tx1"/>
                  </w14:solidFill>
                </w14:textFill>
              </w:rPr>
              <w:t>g</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6.纵排双滑轮：铝合金</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，不锈钢（内置滚珠轴承），适用绳索直径：8-13mm，工作负荷：≥30kN，重量：≤300g.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7.抓绳器：具有内置锁定功能，无需辅助操作即可在绳索上下自由移动，发生坠落时可以立即锁止。铝合金外壳，可兼容8-13mm直径绳索，工作负荷：≥11kN。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8.下降器：铝合金外壳，精密不锈钢凸轮，破断拉力≥26kN。重量≤450g。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9.救援八字环：高强度铝合金，绳索兼容性：大孔内径≥ 50mm，小孔内径≥26mm，适用绳索直径：8-13mm，重量：≤120g；断裂负荷：≥40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10.双耳救援八字环：高强度铝合金</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，绳索兼容性：大孔内径≥65mm，小孔内径≥36mm；适用绳索直径：8-13mm，重量：≤300g；断裂负荷：≥50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▲11.绳索保护套：材质涤纶</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，长度≥50cm。在≥9k</w:t>
            </w:r>
            <w:r>
              <w:rPr>
                <w:rFonts w:hint="eastAsia" w:ascii="宋体" w:hAnsi="宋体" w:cs="宋体"/>
                <w:color w:val="000000" w:themeColor="text1"/>
                <w:sz w:val="24"/>
                <w:szCs w:val="24"/>
                <w:highlight w:val="none"/>
                <w:lang w:val="en-US" w:eastAsia="zh-CN"/>
                <w14:textFill>
                  <w14:solidFill>
                    <w14:schemeClr w14:val="tx1"/>
                  </w14:solidFill>
                </w14:textFill>
              </w:rPr>
              <w:t>p</w:t>
            </w:r>
            <w:r>
              <w:rPr>
                <w:rFonts w:hint="eastAsia" w:ascii="宋体" w:hAnsi="宋体" w:eastAsia="宋体" w:cs="宋体"/>
                <w:color w:val="000000" w:themeColor="text1"/>
                <w:sz w:val="24"/>
                <w:szCs w:val="24"/>
                <w:highlight w:val="none"/>
                <w14:textFill>
                  <w14:solidFill>
                    <w14:schemeClr w14:val="tx1"/>
                  </w14:solidFill>
                </w14:textFill>
              </w:rPr>
              <w:t>a压力下,经≥100次循环摩擦后未破损。</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▲12.装备打理包:材质：PVC 1000D夹网布</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，容量：≥30L，≥110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10.5mm绳。在≥9kPa压力下,经≥2000次循环摩擦后未破损。</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▲13.地垫：耐干摩擦色牢度≥4，断裂强力：经向≥3500N,纬向≥2000N，撕破强力经向≥1200N,纬向≥400N。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14.小滑轮：铝合金材质</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（内置滚珠轴承），适用绳索直径：8-13mm，工作负荷：≥20kN，重量：≤100g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15.双滑轮：主体材质：铝合金</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；适用绳索直径：8-16mm；工作负荷≥5kN，极限负荷≥22kN；500g≤重量≤800g.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16.扁带：宽度≥16mm，破断拉力≥28</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17.D形自动锁：铝合金</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，长轴方向（开口闭合状态）破断强度≥30kN。长轴方向（开口打开状态）破断强度≥10kN。短轴方向破断强度≥10kN。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18.手动0型锁：合金钢</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，破断拉力≥30kN。开口≥18mm。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19.100米漂浮救生绳：救生绳直径要求 ≥9.5mm；最小破断强度≥40KN；经48h的飘浮性试验，救生绳能始终漂浮在水面上，无明显下沉；标识明显有反光处理；延伸率：承重达到最小破断强度的10%时救生绳救生绳延伸率≤2%；重量≤45g/m。</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锚固装备套装</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color w:val="000000" w:themeColor="text1"/>
                <w:sz w:val="24"/>
                <w:szCs w:val="24"/>
                <w:highlight w:val="none"/>
                <w14:textFill>
                  <w14:solidFill>
                    <w14:schemeClr w14:val="tx1"/>
                  </w14:solidFill>
                </w14:textFill>
              </w:rPr>
              <w:t>便携式金属锚点3根：</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1.便携式固定锚桩（即滩涂固定器）为钎杆式设计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2.尖头，可插入地下</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3.带有2个通过可拆卸螺栓固定的U型连接环作为2个连接点，连接环可以随意转向</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4.可以多根配合使用，斜插入地面约20度角后即刻作为锚点使用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5.单根可承受≥1500kg的拉力;</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6.搭建多根共同设立的情况下，单根可承受超过≥3000kg的拉力</w:t>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color w:val="000000" w:themeColor="text1"/>
                <w:sz w:val="24"/>
                <w:szCs w:val="24"/>
                <w:highlight w:val="none"/>
                <w14:textFill>
                  <w14:solidFill>
                    <w14:schemeClr w14:val="tx1"/>
                  </w14:solidFill>
                </w14:textFill>
              </w:rPr>
              <w:t>激流救援滑轮3个：</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 重量（≥230g）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 适用绳索直径（8-16mm）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 规格大小（≥8cm*12cm）          </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 主体材质（铝合金</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 xml:space="preserve">）     </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滚轮材质（316不锈钢</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）（内置滚珠轴承）</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 最大拉力（≥34kN）             </w:t>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color w:val="000000" w:themeColor="text1"/>
                <w:sz w:val="24"/>
                <w:szCs w:val="24"/>
                <w:highlight w:val="none"/>
                <w14:textFill>
                  <w14:solidFill>
                    <w14:schemeClr w14:val="tx1"/>
                  </w14:solidFill>
                </w14:textFill>
              </w:rPr>
              <w:t>铝合金手动D型锁10个：</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▲13重量：≤85g、开口：≥2.2CM、材质：7075铝合金、规格大小：≥6</w:t>
            </w:r>
            <w:r>
              <w:rPr>
                <w:rFonts w:hint="eastAsia" w:ascii="宋体" w:hAnsi="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 xml:space="preserve"> 、纵向拉力：≥30kN、横向拉力：≥10kN、开门拉力：≥10kN；抓绳器1个：重量：≤200g、绳索兼容10-13mm。</w:t>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直径12mm静力绳100米1根：</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▲14尼龙66</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材质，直径：12mm，断裂强度：≥40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N，8字结强度：≥25</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N，冲击力(系数0.3)：5.7</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N，冲坠次数：≥13次，静力延展率：≤5%，绳皮占有率：≤41%，线轴数：48，重量：≤110</w:t>
            </w:r>
            <w:r>
              <w:rPr>
                <w:rFonts w:hint="eastAsia" w:ascii="宋体" w:hAnsi="宋体" w:cs="宋体"/>
                <w:color w:val="000000" w:themeColor="text1"/>
                <w:sz w:val="24"/>
                <w:szCs w:val="24"/>
                <w:highlight w:val="none"/>
                <w:lang w:val="en-US" w:eastAsia="zh-CN"/>
                <w14:textFill>
                  <w14:solidFill>
                    <w14:schemeClr w14:val="tx1"/>
                  </w14:solidFill>
                </w14:textFill>
              </w:rPr>
              <w:t>g</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普鲁士结辅绳1.8m（3条）：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15、绳索直径（8mm）、材质（涤纶高强丝）、拉力（≥16kN）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16.配备可拖拽防护收纳箱。</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水面漂浮救生绳（200米）</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1.采用超强合成纤维材料或同等材料；</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2.救生绳直径要求≥9.5mm,长度200m；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▲3.最小破断强度≥40KN；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4.经48h的飘浮性试验，救生绳能始终漂浮在水面上，无明显下沉；</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5.标识明显有反光处理；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▲6.延伸率：承重达到最小破断强度的10%时救生绳救生绳延伸率≤1.8%；</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▲7.重量≤45g/m；</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定位浮标</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1、由频闪灯、底部铅块等组成。可快速在水面或水底抛掷。</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2、频闪灯配≥6个LED灯珠，持续照亮时间≥7天</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3、浮标带有线轴，线长≥50m，采用聚丙稀纤维绳。</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4、浮标装≥500g重铅块。</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充气式上浮系统</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★包含：1个浮力为500kg的枕形浮力袋、1个浮力为1T的枕形浮力袋、1个浮力为1T的降落伞形浮力袋、1个浮力为2T的降落伞形浮力袋、2根潜水气瓶用快插接头充气管。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▲1.浮力袋由高强度PVC涂层布</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制成，强度≥5000N/5</w:t>
            </w:r>
            <w:r>
              <w:rPr>
                <w:rFonts w:hint="eastAsia" w:ascii="宋体" w:hAnsi="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▲2.总浮力≥4T。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3.工作环境：可用于海水、淡水。</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4.浮力袋的吊带、卸扣、吊环等有工作强度标志。</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▲5.浮力袋配有过压防爆安全阀，安全阀打开压力为16-24Kpa，同时也可以手拉排气。</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6.浮力袋安全系数应至少为工作负荷的5:1。</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7.枕形浮力袋充气口为3/4"螺纹不锈钢球阀和气瓶快接充气两种方式，降落伞形浮力袋配置3/4"螺纹不锈钢球阀充气口。</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▲8.枕形浮力袋的袋体须集成12L潜水气瓶包。</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可漂浮救生担架</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副</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▲1、外形尺寸：≥L190×W70×H20cm；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2、两边是气柱，中间是气垫，采用高强材料热合成型，可配备脚踏泵或储气钢瓶进行充气；</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3、充气担架为软体便携式；</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4、充气方式分钢瓶充气与充气泵充气两种；</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5、材料采用TPU双面涂层布</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6、充气担架设有把手及可调节紧固带；</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▲7、漂浮性能：在担架上放置≥160kg的砝码，保持≥5min，不会出现下沉。</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▲8、担架重量：≤2.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9、充气时间：≤180s；</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10、材料：210D-TPU高强复合气密布（充气式气瓶至少含二氧化碳气体 300g)。</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救生拉杆</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★组成：由1根水域救援伸缩杆、5件可拆装救援工具头（包括:弧形套索、浮球、单钩、三爪钩、浮力圈等）和1个水域救援抛绳包组成。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▲1、水域救援伸缩杆：水域救援伸缩杆由碳纤维材料</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制成，可伸缩中空杆体结构，顶部能与配套的可拆装救援工具头连接。弧形套索：弧长度≥800mm，长度≥500mm，宽度≥400mm；质量≤600g。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2、浮球：直径≥220mm，高度≥280mm；浮力≥63N；质量≤1kg。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▲3、单钩：钩口宽度≥140mm；钩体长度≥300mm；质量≤550g。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4、三抓钩：半径≥120mm，中轴长度≥300mm，钩爪间距≥230mm；质量≤600g。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5、浮力圈：外径≥510mm，内径≥400mm；浮力≥35N；质量≤500g。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6、水域救援抛绳包：绳索直径 8mm；绳索长度 30m；破断力≥22</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N。</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滚钩</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★救生滚钩由三角拉杆，不锈钢锁链，三爪锚钩不少于20个，搭扣连接器2个，防滑防穿刺手套10双，不小于40m双层尼龙编织绳2根组成。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1、产品可折叠。</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▲2.断裂强力（绳）≥4</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▲3.破断力（链）≥5</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▲4.断裂强度（抓钩）≥4</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s="宋体"/>
                <w:color w:val="000000" w:themeColor="text1"/>
                <w:sz w:val="24"/>
                <w:szCs w:val="24"/>
                <w:highlight w:val="none"/>
                <w14:textFill>
                  <w14:solidFill>
                    <w14:schemeClr w14:val="tx1"/>
                  </w14:solidFill>
                </w14:textFill>
              </w:rPr>
              <w:t>N.</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水下摄像机</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水下摄像系统：</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1、材质：塑料和铝合金，表面硬质氧化；</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▲2、水下摄像机分辨率：≥200万像素，≥1080P高清摄像头；</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▲3、具有水下透雾和浅水绿光抑制等图像增强功能；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▲4、LED灯：亮度≥1500</w:t>
            </w:r>
            <w:r>
              <w:rPr>
                <w:rFonts w:hint="eastAsia" w:ascii="宋体" w:hAnsi="宋体" w:cs="宋体"/>
                <w:color w:val="000000" w:themeColor="text1"/>
                <w:sz w:val="24"/>
                <w:szCs w:val="24"/>
                <w:highlight w:val="none"/>
                <w:lang w:val="en-US" w:eastAsia="zh-CN"/>
                <w14:textFill>
                  <w14:solidFill>
                    <w14:schemeClr w14:val="tx1"/>
                  </w14:solidFill>
                </w14:textFill>
              </w:rPr>
              <w:t>lm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控制盒：</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5、内含硬盘录像机，容量≥1T。录像、显示和存储一体化功能。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6、ABS箱体，机身铝和黑色氧化面板壳；</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▲7、彩色显示屏≥7.2英寸；</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▲8、DC5.0V供电，功率≥15W。</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▲9、潜水深度≥100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潜水全面罩</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1、单片镜，聚碳酸酯材质，可见光透过率≥90%，面镜内部表面涂有树脂硅等有机材料。</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▲2、平衡调节集成调节器。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PU调节器保护罩硅胶导流板，以吸收强烈水流冲击，避免水下二级调节器的不断漏气现象，可快速拆装，方便快速维修和更换。口鼻袋腔室，单向空气循环系统，防止潜水员二氧化碳呼吸沉积，杜绝面镜视窗起雾。</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▲4、3D耳压平衡调节系统，配备水面呼吸阀，</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5、六点式头带固定。</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▲6、EXTENDER延展边框，预留水下通讯组件端口。</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干式潜水衣</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件</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1、防护服面料的耐磨性能：循环摩擦≥4000次，试样未被磨穿，在关节活动部位及裆部增加耐磨材料，拉链具有防夹防脱耐腐蚀等功能（配备拉链润滑剂）。</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2、断裂强力：径向≥800N，纬向≥800N；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 、表面抗湿性能：沾水等级≥4级；</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4、耐静水压性能：≥20kPa；#1.1.5 透湿率≥4000g/（㎡·24h）。</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5、整体防渗漏性能：经过抗渗漏试验后，进入防护服内水的质量不应超过 200g；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▲6、质量：≤3</w:t>
            </w:r>
            <w:r>
              <w:rPr>
                <w:rFonts w:hint="eastAsia" w:ascii="宋体" w:hAnsi="宋体" w:cs="宋体"/>
                <w:color w:val="000000" w:themeColor="text1"/>
                <w:sz w:val="24"/>
                <w:szCs w:val="24"/>
                <w:highlight w:val="none"/>
                <w:lang w:val="en-US" w:eastAsia="zh-CN"/>
                <w14:textFill>
                  <w14:solidFill>
                    <w14:schemeClr w14:val="tx1"/>
                  </w14:solidFill>
                </w14:textFill>
              </w:rPr>
              <w:t>kg</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7、采用PTFE涂层防水透气复合面料或其他同等材质。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8、连体式干式设计，斜拉链主入口防水拉链，方便穿脱。</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9、整体红黑色，领口和袖口采用乳胶密封材料；手臂和小腿处有反光条。</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湿式潜水衣</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件</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1、连体设计 。</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2、关节屈伸部位增加厚弹性垫片，减少磨损(膝部内侧)。</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3、3mm弹性氯丁橡胶面料，内层采用抓绒面料或其他同等材质。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4、所有拉链末端设计有氯丁橡胶保护垫片，避免任何撕裂的风险。</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潜水浮力装置</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1、大浮力控制系统，可通过调节器中压管充气;</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2、口袋材料: 1680D尼龙+PU涂层;气囊材料: 840D 尼龙+TPU涂层</w:t>
            </w:r>
            <w:r>
              <w:rPr>
                <w:rFonts w:hint="eastAsia" w:ascii="宋体" w:hAnsi="宋体" w:cs="宋体"/>
                <w:color w:val="000000" w:themeColor="text1"/>
                <w:sz w:val="24"/>
                <w:szCs w:val="24"/>
                <w:highlight w:val="none"/>
                <w:lang w:eastAsia="zh-CN"/>
                <w14:textFill>
                  <w14:solidFill>
                    <w14:schemeClr w14:val="tx1"/>
                  </w14:solidFill>
                </w14:textFill>
              </w:rPr>
              <w:t>或同等质量材质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3、可调节的肩带和腰封;PP+矿物增加背板;</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4、标识明显易于操作的充排气阀设置;16寸圆形橡胶蛇纹充气管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5、设有两个快速泄气阀，不同程度上的浮力控制。</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潜水气瓶</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1、容量≥12L容量；设计壁厚：≥12.2mm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2、气瓶工作压力≥20M</w:t>
            </w:r>
            <w:r>
              <w:rPr>
                <w:rFonts w:hint="eastAsia" w:ascii="宋体" w:hAnsi="宋体" w:cs="宋体"/>
                <w:color w:val="000000" w:themeColor="text1"/>
                <w:sz w:val="24"/>
                <w:szCs w:val="24"/>
                <w:highlight w:val="none"/>
                <w:lang w:val="en-US" w:eastAsia="zh-CN"/>
                <w14:textFill>
                  <w14:solidFill>
                    <w14:schemeClr w14:val="tx1"/>
                  </w14:solidFill>
                </w14:textFill>
              </w:rPr>
              <w:t>pa</w:t>
            </w:r>
            <w:r>
              <w:rPr>
                <w:rFonts w:hint="eastAsia" w:ascii="宋体" w:hAnsi="宋体" w:eastAsia="宋体" w:cs="宋体"/>
                <w:color w:val="000000" w:themeColor="text1"/>
                <w:sz w:val="24"/>
                <w:szCs w:val="24"/>
                <w:highlight w:val="none"/>
                <w14:textFill>
                  <w14:solidFill>
                    <w14:schemeClr w14:val="tx1"/>
                  </w14:solidFill>
                </w14:textFill>
              </w:rPr>
              <w:t>，水下试验压力≥30M</w:t>
            </w:r>
            <w:r>
              <w:rPr>
                <w:rFonts w:hint="eastAsia" w:ascii="宋体" w:hAnsi="宋体" w:cs="宋体"/>
                <w:color w:val="000000" w:themeColor="text1"/>
                <w:sz w:val="24"/>
                <w:szCs w:val="24"/>
                <w:highlight w:val="none"/>
                <w:lang w:val="en-US" w:eastAsia="zh-CN"/>
                <w14:textFill>
                  <w14:solidFill>
                    <w14:schemeClr w14:val="tx1"/>
                  </w14:solidFill>
                </w14:textFill>
              </w:rPr>
              <w:t>pa</w:t>
            </w:r>
            <w:r>
              <w:rPr>
                <w:rFonts w:hint="eastAsia" w:ascii="宋体" w:hAnsi="宋体" w:eastAsia="宋体" w:cs="宋体"/>
                <w:color w:val="000000" w:themeColor="text1"/>
                <w:sz w:val="24"/>
                <w:szCs w:val="24"/>
                <w:highlight w:val="none"/>
                <w14:textFill>
                  <w14:solidFill>
                    <w14:schemeClr w14:val="tx1"/>
                  </w14:solidFill>
                </w14:textFill>
              </w:rPr>
              <w:t>，爆破压力≥48M</w:t>
            </w:r>
            <w:r>
              <w:rPr>
                <w:rFonts w:hint="eastAsia" w:ascii="宋体" w:hAnsi="宋体" w:cs="宋体"/>
                <w:color w:val="000000" w:themeColor="text1"/>
                <w:sz w:val="24"/>
                <w:szCs w:val="24"/>
                <w:highlight w:val="none"/>
                <w:lang w:val="en-US" w:eastAsia="zh-CN"/>
                <w14:textFill>
                  <w14:solidFill>
                    <w14:schemeClr w14:val="tx1"/>
                  </w14:solidFill>
                </w14:textFill>
              </w:rPr>
              <w:t>pa</w:t>
            </w:r>
            <w:r>
              <w:rPr>
                <w:rFonts w:hint="eastAsia" w:ascii="宋体" w:hAnsi="宋体" w:eastAsia="宋体" w:cs="宋体"/>
                <w:color w:val="000000" w:themeColor="text1"/>
                <w:sz w:val="24"/>
                <w:szCs w:val="24"/>
                <w:highlight w:val="none"/>
                <w14:textFill>
                  <w14:solidFill>
                    <w14:schemeClr w14:val="tx1"/>
                  </w14:solidFill>
                </w14:textFill>
              </w:rPr>
              <w:t>，气密性试验压力≥20M</w:t>
            </w:r>
            <w:r>
              <w:rPr>
                <w:rFonts w:hint="eastAsia" w:ascii="宋体" w:hAnsi="宋体" w:cs="宋体"/>
                <w:color w:val="000000" w:themeColor="text1"/>
                <w:sz w:val="24"/>
                <w:szCs w:val="24"/>
                <w:highlight w:val="none"/>
                <w:lang w:val="en-US" w:eastAsia="zh-CN"/>
                <w14:textFill>
                  <w14:solidFill>
                    <w14:schemeClr w14:val="tx1"/>
                  </w14:solidFill>
                </w14:textFill>
              </w:rPr>
              <w:t>pa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3、气瓶头进气口螺纹:3/4-14NPSM 出气口螺纹：CAG850(DIN/YOKE)</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4、配防爆安全阀，可配合背架背负装置 ；</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潜水调节器（含附件）</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1、一级头：活塞式调节器,1个高压出口,4个中压出口，AISI 316耐用活塞,不锈钢弹簧,流速:≥2100</w:t>
            </w:r>
            <w:r>
              <w:rPr>
                <w:rFonts w:hint="eastAsia" w:ascii="宋体" w:hAnsi="宋体" w:cs="宋体"/>
                <w:color w:val="000000" w:themeColor="text1"/>
                <w:sz w:val="24"/>
                <w:szCs w:val="24"/>
                <w:highlight w:val="none"/>
                <w:lang w:val="en-US" w:eastAsia="zh-CN"/>
                <w14:textFill>
                  <w14:solidFill>
                    <w14:schemeClr w14:val="tx1"/>
                  </w14:solidFill>
                </w14:textFill>
              </w:rPr>
              <w:t>L</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min</w:t>
            </w:r>
            <w:r>
              <w:rPr>
                <w:rFonts w:hint="eastAsia" w:ascii="宋体" w:hAnsi="宋体" w:eastAsia="宋体" w:cs="宋体"/>
                <w:color w:val="000000" w:themeColor="text1"/>
                <w:sz w:val="24"/>
                <w:szCs w:val="24"/>
                <w:highlight w:val="none"/>
                <w14:textFill>
                  <w14:solidFill>
                    <w14:schemeClr w14:val="tx1"/>
                  </w14:solidFill>
                </w14:textFill>
              </w:rPr>
              <w:t>,高氧气体适用:最高至40%高氧空气,DIN型重量:≤500</w:t>
            </w:r>
            <w:r>
              <w:rPr>
                <w:rFonts w:hint="eastAsia" w:ascii="宋体" w:hAnsi="宋体" w:cs="宋体"/>
                <w:color w:val="000000" w:themeColor="text1"/>
                <w:sz w:val="24"/>
                <w:szCs w:val="24"/>
                <w:highlight w:val="none"/>
                <w:lang w:val="en-US" w:eastAsia="zh-CN"/>
                <w14:textFill>
                  <w14:solidFill>
                    <w14:schemeClr w14:val="tx1"/>
                  </w14:solidFill>
                </w14:textFill>
              </w:rPr>
              <w:t>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2、二级头：平衡式备用二级头，测试呼吸阻抗1.2-1.4水柱/英寸，带黄色100</w:t>
            </w:r>
            <w:r>
              <w:rPr>
                <w:rFonts w:hint="eastAsia" w:ascii="宋体" w:hAnsi="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夹套软管，高氧适用:最高可搭配使用40%高氧空气,二级头重量:≤400</w:t>
            </w:r>
            <w:r>
              <w:rPr>
                <w:rFonts w:hint="eastAsia" w:ascii="宋体" w:hAnsi="宋体" w:cs="宋体"/>
                <w:color w:val="000000" w:themeColor="text1"/>
                <w:sz w:val="24"/>
                <w:szCs w:val="24"/>
                <w:highlight w:val="none"/>
                <w:lang w:val="en-US" w:eastAsia="zh-CN"/>
                <w14:textFill>
                  <w14:solidFill>
                    <w14:schemeClr w14:val="tx1"/>
                  </w14:solidFill>
                </w14:textFill>
              </w:rPr>
              <w:t>g</w:t>
            </w:r>
            <w:r>
              <w:rPr>
                <w:rFonts w:hint="eastAsia" w:ascii="宋体" w:hAnsi="宋体" w:eastAsia="宋体" w:cs="宋体"/>
                <w:color w:val="000000" w:themeColor="text1"/>
                <w:sz w:val="24"/>
                <w:szCs w:val="24"/>
                <w:highlight w:val="none"/>
                <w14:textFill>
                  <w14:solidFill>
                    <w14:schemeClr w14:val="tx1"/>
                  </w14:solidFill>
                </w14:textFill>
              </w:rPr>
              <w:t xml:space="preserve"> ，测试呼吸阻抗1.2-1.4水柱/英寸；吐气阻抗: ≤1.1 CIW；流量: 30+S CFM(空气供给: 3000 PSI)</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潜水电脑表</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1、中文界面、蓝牙传输、支持多种手机系统连接；</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2、LED显示屏、快速充电；</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3、支持深度≥100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、重量≤95</w:t>
            </w:r>
            <w:r>
              <w:rPr>
                <w:rFonts w:hint="eastAsia" w:ascii="宋体" w:hAnsi="宋体" w:cs="宋体"/>
                <w:color w:val="000000" w:themeColor="text1"/>
                <w:sz w:val="24"/>
                <w:szCs w:val="24"/>
                <w:highlight w:val="none"/>
                <w:lang w:val="en-US" w:eastAsia="zh-CN"/>
                <w14:textFill>
                  <w14:solidFill>
                    <w14:schemeClr w14:val="tx1"/>
                  </w14:solidFill>
                </w14:textFill>
              </w:rPr>
              <w:t>g</w:t>
            </w:r>
            <w:r>
              <w:rPr>
                <w:rFonts w:hint="eastAsia" w:ascii="宋体" w:hAnsi="宋体" w:eastAsia="宋体" w:cs="宋体"/>
                <w:color w:val="000000" w:themeColor="text1"/>
                <w:sz w:val="24"/>
                <w:szCs w:val="24"/>
                <w:highlight w:val="none"/>
                <w14:textFill>
                  <w14:solidFill>
                    <w14:schemeClr w14:val="tx1"/>
                  </w14:solidFill>
                </w14:textFill>
              </w:rPr>
              <w:t>，支持水肺、自由潜水、高氧(21-56%)、仪表四种模式；能检测心肺功能、测量潜水深度；</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4、高电池容量（潜水模式背光开启可达25次/待机模式可达3个月）；</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5、潜水日志存储</w:t>
            </w:r>
            <w:r>
              <w:rPr>
                <w:rFonts w:hint="eastAsia" w:ascii="宋体" w:hAnsi="宋体" w:cs="宋体"/>
                <w:color w:val="000000" w:themeColor="text1"/>
                <w:sz w:val="24"/>
                <w:szCs w:val="24"/>
                <w:highlight w:val="none"/>
                <w:lang w:val="en-US" w:eastAsia="zh-CN"/>
                <w14:textFill>
                  <w14:solidFill>
                    <w14:schemeClr w14:val="tx1"/>
                  </w14:solidFill>
                </w14:textFill>
              </w:rPr>
              <w:t>可</w:t>
            </w:r>
            <w:r>
              <w:rPr>
                <w:rFonts w:hint="eastAsia" w:ascii="宋体" w:hAnsi="宋体" w:eastAsia="宋体" w:cs="宋体"/>
                <w:color w:val="000000" w:themeColor="text1"/>
                <w:sz w:val="24"/>
                <w:szCs w:val="24"/>
                <w:highlight w:val="none"/>
                <w14:textFill>
                  <w14:solidFill>
                    <w14:schemeClr w14:val="tx1"/>
                  </w14:solidFill>
                </w14:textFill>
              </w:rPr>
              <w:t>达200+，316不锈钢金属件，防水耐锈蚀；</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6、K1强化玻璃表荧幕、耐磨、抗过敏硅胶表带材质；</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管供式潜水装具</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管供式潜水装备，潜水面罩2套，潜水控制面板1台，潜水电话1台，潜水录像机1台，脐带2套，干式潜水服2件，潜水手套2副，应急气瓶2个，配重系统2套，潜水脚蹼2对，水下安全带2套、气瓶测压表2只、应急气瓶单表2只、应急减压器2个、中压充气泵1台、过滤器1套、复合材料气瓶1个、高压气泵1台等组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潜水面罩</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1、采用玻璃纤维材质</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框架，黄色壳体，壳体为绝缘材料。最大使用深度：≥300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。供气阀采用316L不锈钢材质为主体的方形结构，供气阀流量：≥500</w:t>
            </w:r>
            <w:r>
              <w:rPr>
                <w:rFonts w:hint="eastAsia" w:ascii="宋体" w:hAnsi="宋体" w:cs="宋体"/>
                <w:color w:val="000000" w:themeColor="text1"/>
                <w:sz w:val="24"/>
                <w:szCs w:val="24"/>
                <w:highlight w:val="none"/>
                <w:lang w:val="en-US" w:eastAsia="zh-CN"/>
                <w14:textFill>
                  <w14:solidFill>
                    <w14:schemeClr w14:val="tx1"/>
                  </w14:solidFill>
                </w14:textFill>
              </w:rPr>
              <w:t>L</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min</w:t>
            </w:r>
            <w:r>
              <w:rPr>
                <w:rFonts w:hint="eastAsia" w:ascii="宋体" w:hAnsi="宋体" w:eastAsia="宋体" w:cs="宋体"/>
                <w:color w:val="000000" w:themeColor="text1"/>
                <w:sz w:val="24"/>
                <w:szCs w:val="24"/>
                <w:highlight w:val="none"/>
                <w14:textFill>
                  <w14:solidFill>
                    <w14:schemeClr w14:val="tx1"/>
                  </w14:solidFill>
                </w14:textFill>
              </w:rPr>
              <w:t>，供气余压：0.85～1.05M</w:t>
            </w:r>
            <w:r>
              <w:rPr>
                <w:rFonts w:hint="eastAsia" w:ascii="宋体" w:hAnsi="宋体" w:cs="宋体"/>
                <w:color w:val="000000" w:themeColor="text1"/>
                <w:sz w:val="24"/>
                <w:szCs w:val="24"/>
                <w:highlight w:val="none"/>
                <w:lang w:val="en-US" w:eastAsia="zh-CN"/>
                <w14:textFill>
                  <w14:solidFill>
                    <w14:schemeClr w14:val="tx1"/>
                  </w14:solidFill>
                </w14:textFill>
              </w:rPr>
              <w:t>pa</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潜水控制面板</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▲2、潜水控制面板内置的过滤器精度&lt;50 微米;</w:t>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3、高压空气最大输入压力≥20Mpa（YOKE接头）、31Mpa（DIN接头）；调压输出压力：0-20Bar  ；高压调压阀性能，最大输入压力：40Mpa  ；中压最大输入压力：20Bar，带止回阀；气动压力表：镜面刻度，4-1/2 英寸，双刻度0-250 FSW/0-76米，测量精度为0.25%；配有双人潜水通话系统，陆地送话系统，可实现三方通话；总重：≤30</w:t>
            </w:r>
            <w:r>
              <w:rPr>
                <w:rFonts w:hint="eastAsia" w:ascii="宋体" w:hAnsi="宋体" w:cs="宋体"/>
                <w:color w:val="000000" w:themeColor="text1"/>
                <w:sz w:val="24"/>
                <w:szCs w:val="24"/>
                <w:highlight w:val="none"/>
                <w:lang w:val="en-US" w:eastAsia="zh-CN"/>
                <w14:textFill>
                  <w14:solidFill>
                    <w14:schemeClr w14:val="tx1"/>
                  </w14:solidFill>
                </w14:textFill>
              </w:rPr>
              <w:t>kg</w:t>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潜水电话</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4、潜水电话：内置可充电电池，外置220V充电线。可以连接水下电视音频输入口，便于将潜水通话记录录入到水下录像上。全水密防护外壳。防反接充电，梯形接口。</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潜水录像机</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5、配有2套100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线缆、摄像头、灯等配件，能够满足2名潜水员执行水下录像检查任务。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6.录像主机采用防水外壳,监控器彩色屏分辨率1920*1080，亮度1000cd/m²</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7.录像主机采用高清录制，分辨率达到1920*1080P。录像电缆线缆直径为8.5mm，长度150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；整体电缆抗拉≥300</w:t>
            </w:r>
            <w:r>
              <w:rPr>
                <w:rFonts w:hint="eastAsia" w:ascii="宋体" w:hAnsi="宋体" w:cs="宋体"/>
                <w:color w:val="000000" w:themeColor="text1"/>
                <w:sz w:val="24"/>
                <w:szCs w:val="24"/>
                <w:highlight w:val="none"/>
                <w:lang w:val="en-US" w:eastAsia="zh-CN"/>
                <w14:textFill>
                  <w14:solidFill>
                    <w14:schemeClr w14:val="tx1"/>
                  </w14:solidFill>
                </w14:textFill>
              </w:rPr>
              <w:t>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8.摄像头部分：摄像头采用聚合材料，耐压耐腐蚀。视频输出像素为1920*1080P，同轴传输无延迟 </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9.▲整体摄像头耐压≥300</w:t>
            </w:r>
            <w:r>
              <w:rPr>
                <w:rFonts w:hint="eastAsia" w:ascii="宋体" w:hAnsi="宋体" w:cs="宋体"/>
                <w:color w:val="000000" w:themeColor="text1"/>
                <w:sz w:val="24"/>
                <w:szCs w:val="24"/>
                <w:highlight w:val="none"/>
                <w:lang w:val="en-US" w:eastAsia="zh-CN"/>
                <w14:textFill>
                  <w14:solidFill>
                    <w14:schemeClr w14:val="tx1"/>
                  </w14:solidFill>
                </w14:textFill>
              </w:rPr>
              <w:t>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10.水下LED照明灯部分：采用硬质氧化铝为材料，防摔防磕碰，具有良好的散热性能。LED灯功率亮度无级调节，功率0-30W，色温≥3000K，</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11.▲整体LED灯耐压≥300</w:t>
            </w:r>
            <w:r>
              <w:rPr>
                <w:rFonts w:hint="eastAsia" w:ascii="宋体" w:hAnsi="宋体" w:cs="宋体"/>
                <w:color w:val="000000" w:themeColor="text1"/>
                <w:sz w:val="24"/>
                <w:szCs w:val="24"/>
                <w:highlight w:val="none"/>
                <w:lang w:val="en-US" w:eastAsia="zh-CN"/>
                <w14:textFill>
                  <w14:solidFill>
                    <w14:schemeClr w14:val="tx1"/>
                  </w14:solidFill>
                </w14:textFill>
              </w:rPr>
              <w:t>m</w:t>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潜水脐带</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12、长度≥100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干式潜水服</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13、由高密度压缩氯丁橡胶材料制成，厚度≥6mm，胸口配有可旋转充气阀配有一体式潜水靴，在体侧分别有2个口袋。每件干衣单独配备一个装备袋，干衣充气管。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潜水手套</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14、超强弹力材料，厚度≥3</w:t>
            </w:r>
            <w:r>
              <w:rPr>
                <w:rFonts w:hint="eastAsia" w:ascii="宋体" w:hAnsi="宋体" w:cs="宋体"/>
                <w:color w:val="000000" w:themeColor="text1"/>
                <w:sz w:val="24"/>
                <w:szCs w:val="24"/>
                <w:highlight w:val="none"/>
                <w:lang w:val="en-US" w:eastAsia="zh-CN"/>
                <w14:textFill>
                  <w14:solidFill>
                    <w14:schemeClr w14:val="tx1"/>
                  </w14:solidFill>
                </w14:textFill>
              </w:rPr>
              <w:t>mm</w:t>
            </w:r>
            <w:r>
              <w:rPr>
                <w:rFonts w:hint="eastAsia" w:ascii="宋体" w:hAnsi="宋体" w:eastAsia="宋体" w:cs="宋体"/>
                <w:color w:val="000000" w:themeColor="text1"/>
                <w:sz w:val="24"/>
                <w:szCs w:val="24"/>
                <w:highlight w:val="none"/>
                <w14:textFill>
                  <w14:solidFill>
                    <w14:schemeClr w14:val="tx1"/>
                  </w14:solidFill>
                </w14:textFill>
              </w:rPr>
              <w:t>，三层复合氯丁橡胶材质，手掌和手指处采用大面积防弹耐磨材料。</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应急气瓶</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15、瓶体材质：铝合金；工作压力：≥20Mpa；容积：≥12L；配备气瓶背架。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配</w:t>
            </w:r>
            <w:r>
              <w:rPr>
                <w:rFonts w:hint="eastAsia" w:ascii="宋体" w:hAnsi="宋体" w:eastAsia="宋体" w:cs="宋体"/>
                <w:b/>
                <w:color w:val="000000" w:themeColor="text1"/>
                <w:sz w:val="24"/>
                <w:szCs w:val="24"/>
                <w:highlight w:val="none"/>
                <w14:textFill>
                  <w14:solidFill>
                    <w14:schemeClr w14:val="tx1"/>
                  </w14:solidFill>
                </w14:textFill>
              </w:rPr>
              <w:t>重系统</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16、由压铅和压铅带构成，压铅为搪塑工艺制造，耐腐蚀，含3kg压铅8块。</w:t>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脚蹼</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17、橡胶材质，不锈钢弹簧钢带。 </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水下安全带</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▲18、高强度尼龙织带，长度可根据潜水员身型调节；背带金属部件由海事级316L不锈钢制成，配置重型D型环，拉断力≥900</w:t>
            </w:r>
            <w:r>
              <w:rPr>
                <w:rFonts w:hint="eastAsia" w:ascii="宋体" w:hAnsi="宋体" w:cs="宋体"/>
                <w:color w:val="000000" w:themeColor="text1"/>
                <w:sz w:val="24"/>
                <w:szCs w:val="24"/>
                <w:highlight w:val="none"/>
                <w:lang w:val="en-US" w:eastAsia="zh-CN"/>
                <w14:textFill>
                  <w14:solidFill>
                    <w14:schemeClr w14:val="tx1"/>
                  </w14:solidFill>
                </w14:textFill>
              </w:rPr>
              <w:t>kg</w:t>
            </w:r>
            <w:r>
              <w:rPr>
                <w:rFonts w:hint="eastAsia" w:ascii="宋体" w:hAnsi="宋体" w:eastAsia="宋体" w:cs="宋体"/>
                <w:color w:val="000000" w:themeColor="text1"/>
                <w:sz w:val="24"/>
                <w:szCs w:val="24"/>
                <w:highlight w:val="none"/>
                <w14:textFill>
                  <w14:solidFill>
                    <w14:schemeClr w14:val="tx1"/>
                  </w14:solidFill>
                </w14:textFill>
              </w:rPr>
              <w:t>，背带拉断力≥900</w:t>
            </w:r>
            <w:r>
              <w:rPr>
                <w:rFonts w:hint="eastAsia" w:ascii="宋体" w:hAnsi="宋体" w:cs="宋体"/>
                <w:color w:val="000000" w:themeColor="text1"/>
                <w:sz w:val="24"/>
                <w:szCs w:val="24"/>
                <w:highlight w:val="none"/>
                <w:lang w:val="en-US" w:eastAsia="zh-CN"/>
                <w14:textFill>
                  <w14:solidFill>
                    <w14:schemeClr w14:val="tx1"/>
                  </w14:solidFill>
                </w14:textFill>
              </w:rPr>
              <w:t>kg</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气瓶测压表</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19、气瓶专用测压表，双刻度表盘0-5500PSI和0-400BAR双显示，DIN和Yoke接口两用。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应急气瓶单表</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20、压力表指针量程≥350</w:t>
            </w:r>
            <w:r>
              <w:rPr>
                <w:rFonts w:hint="eastAsia" w:ascii="宋体" w:hAnsi="宋体" w:cs="宋体"/>
                <w:color w:val="000000" w:themeColor="text1"/>
                <w:sz w:val="24"/>
                <w:szCs w:val="24"/>
                <w:highlight w:val="none"/>
                <w:lang w:val="en-US" w:eastAsia="zh-CN"/>
                <w14:textFill>
                  <w14:solidFill>
                    <w14:schemeClr w14:val="tx1"/>
                  </w14:solidFill>
                </w14:textFill>
              </w:rPr>
              <w:t>bar</w:t>
            </w:r>
            <w:r>
              <w:rPr>
                <w:rFonts w:hint="eastAsia" w:ascii="宋体" w:hAnsi="宋体" w:eastAsia="宋体" w:cs="宋体"/>
                <w:color w:val="000000" w:themeColor="text1"/>
                <w:sz w:val="24"/>
                <w:szCs w:val="24"/>
                <w:highlight w:val="none"/>
                <w14:textFill>
                  <w14:solidFill>
                    <w14:schemeClr w14:val="tx1"/>
                  </w14:solidFill>
                </w14:textFill>
              </w:rPr>
              <w:t>，夜光设计。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应急减压器</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21、活塞式设计，配置≥2个高压端口、≥5个中压端口，主体黄铜化学镀镍，连接应急气瓶，在脐带供气出现状况时为潜水面罩供气。</w:t>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中压充气泵</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22、全无油压缩缸技术，有三个压缩缸，柴油机采用钥匙启动；也可使用抽绳式启动；储罐容积：≥180L；额定排气压力：≥1.6mpa；排气量：≥950L/min；直接供应两名潜水员同时在60米水深内持续作业</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过滤器</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23、不锈钢材质，两级过滤，具有除油、除尘、除水功能，除尘精度≥0.01μm，除油精度≥0.03PPM，重量≤2</w:t>
            </w:r>
            <w:r>
              <w:rPr>
                <w:rFonts w:hint="eastAsia" w:ascii="宋体" w:hAnsi="宋体" w:cs="宋体"/>
                <w:color w:val="000000" w:themeColor="text1"/>
                <w:sz w:val="24"/>
                <w:szCs w:val="24"/>
                <w:highlight w:val="none"/>
                <w:lang w:val="en-US" w:eastAsia="zh-CN"/>
                <w14:textFill>
                  <w14:solidFill>
                    <w14:schemeClr w14:val="tx1"/>
                  </w14:solidFill>
                </w14:textFill>
              </w:rPr>
              <w:t>kg</w:t>
            </w:r>
            <w:r>
              <w:rPr>
                <w:rFonts w:hint="eastAsia" w:ascii="宋体" w:hAnsi="宋体" w:eastAsia="宋体" w:cs="宋体"/>
                <w:color w:val="000000" w:themeColor="text1"/>
                <w:sz w:val="24"/>
                <w:szCs w:val="24"/>
                <w:highlight w:val="none"/>
                <w14:textFill>
                  <w14:solidFill>
                    <w14:schemeClr w14:val="tx1"/>
                  </w14:solidFill>
                </w14:textFill>
              </w:rPr>
              <w:t>，设计最大进气压力20</w:t>
            </w:r>
            <w:r>
              <w:rPr>
                <w:rFonts w:hint="eastAsia" w:ascii="宋体" w:hAnsi="宋体" w:cs="宋体"/>
                <w:color w:val="000000" w:themeColor="text1"/>
                <w:sz w:val="24"/>
                <w:szCs w:val="24"/>
                <w:highlight w:val="none"/>
                <w:lang w:val="en-US" w:eastAsia="zh-CN"/>
                <w14:textFill>
                  <w14:solidFill>
                    <w14:schemeClr w14:val="tx1"/>
                  </w14:solidFill>
                </w14:textFill>
              </w:rPr>
              <w:t>bar</w:t>
            </w:r>
            <w:r>
              <w:rPr>
                <w:rFonts w:hint="eastAsia" w:ascii="宋体" w:hAnsi="宋体" w:eastAsia="宋体" w:cs="宋体"/>
                <w:color w:val="000000" w:themeColor="text1"/>
                <w:sz w:val="24"/>
                <w:szCs w:val="24"/>
                <w:highlight w:val="none"/>
                <w14:textFill>
                  <w14:solidFill>
                    <w14:schemeClr w14:val="tx1"/>
                  </w14:solidFill>
                </w14:textFill>
              </w:rPr>
              <w:t>，每秒钟处理气体量≥50L。</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复合材料气瓶</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24、内胆为铝合金材质，外部缠绕碳纤维。容积≥50L，工作压力≥30mpa.瓶口采用潜水通用Yoke接口，配有方形可拆卸304不锈钢框架，。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高压气泵</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25、驱动马达:变频三相电动机马达，一台机器可同时满足380-480伏以及50-60赫兹用电需要，电机功率≥5</w:t>
            </w:r>
            <w:r>
              <w:rPr>
                <w:rFonts w:hint="eastAsia" w:ascii="宋体" w:hAnsi="宋体" w:cs="宋体"/>
                <w:color w:val="000000" w:themeColor="text1"/>
                <w:sz w:val="24"/>
                <w:szCs w:val="24"/>
                <w:highlight w:val="none"/>
                <w:lang w:val="en-US" w:eastAsia="zh-CN"/>
                <w14:textFill>
                  <w14:solidFill>
                    <w14:schemeClr w14:val="tx1"/>
                  </w14:solidFill>
                </w14:textFill>
              </w:rPr>
              <w:t>kW</w:t>
            </w:r>
            <w:r>
              <w:rPr>
                <w:rFonts w:hint="eastAsia" w:ascii="宋体" w:hAnsi="宋体" w:eastAsia="宋体" w:cs="宋体"/>
                <w:color w:val="000000" w:themeColor="text1"/>
                <w:sz w:val="24"/>
                <w:szCs w:val="24"/>
                <w:highlight w:val="none"/>
                <w14:textFill>
                  <w14:solidFill>
                    <w14:schemeClr w14:val="tx1"/>
                  </w14:solidFill>
                </w14:textFill>
              </w:rPr>
              <w:t>，压缩机排量≥300L/min，缸体</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水下红外夜视仪</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1、可头戴也可手持，左右镜筒可上下独立翻转；</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2、重量：≤500g（不含电池）；</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3、尺寸：≤120mm（长）×130mm（宽）×100mm（高）</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4、物镜视场：≥30°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5、使用时间：机身内部电池使用时间≥10h；外接电池盒使用时间≥30h；</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6、防护等级：≥IP68；</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7、报警功能：当电池电量低时，有指示灯闪烁提示报警；</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8、工作温度：≥-30℃~50℃、储存温度：≥-50℃~60℃；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9放大倍率：≥1.0x；</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水下金属探测仪</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1.工作原理：脉冲感应；</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2.防水深度：≥20m；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3.无线模块：内置；</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4.检测方式：音频、振动、音频+振动；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5.灵敏度：5级可调节；</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6.电池：≥1650mAh；充电时长：≤2</w:t>
            </w:r>
            <w:r>
              <w:rPr>
                <w:rFonts w:hint="eastAsia" w:ascii="宋体" w:hAnsi="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s="宋体"/>
                <w:color w:val="000000" w:themeColor="text1"/>
                <w:sz w:val="24"/>
                <w:szCs w:val="24"/>
                <w:highlight w:val="none"/>
                <w14:textFill>
                  <w14:solidFill>
                    <w14:schemeClr w14:val="tx1"/>
                  </w14:solidFill>
                </w14:textFill>
              </w:rPr>
              <w:t>。</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水下起吊工具组</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★每套内主要包含：2个浮力≥2000kg的浮力袋、2个浮力≥4000kg的浮力袋。</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1.浮力袋由高强度PVC涂层布制成</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，强度≥5000N/5</w:t>
            </w:r>
            <w:r>
              <w:rPr>
                <w:rFonts w:hint="eastAsia" w:ascii="宋体" w:hAnsi="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2.浮力袋数量4个，总浮力≥12000kg。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3.工作环境：可用于海水、淡水。</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4.浮力袋的吊带、卸扣、吊环等必须有工作强度标志。</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5.浮力袋必须配有过压防爆安全阀，安全阀打开压力为16-24Kpa，同时也可以手拉排气。</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6.浮力袋安全系数应至少为工作负荷的5:1。</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7.枕形浮力袋充气口为3/4"螺纹不锈钢球阀和气瓶快接充气两种方式，降落伞形浮力袋配置3/4"螺纹不锈钢球阀充气口。</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8.浮力袋四角设有塑料材质的防漏气保护装置。</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9.配备≥20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空压机充气用充气管4根。</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充气式救生浮板</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1.材质使用≥15mm厚的拉丝板，表面粘贴防滑垫，颜色可选择；</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2.漂浮板尺寸：≥160cm*90cm*15cm；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3.带有6个环，分别在顶端、侧面和背面</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4.漂浮板设置≥12个把手</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▲5.撕破强力≥450N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▲6.浮板承重：≥150kg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7.配件: 电动、手动打气筒各1个，包，维修筒。</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潜水装备套装</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★由头套、主灯、脚蹼、手电、潜水刀、配重及配重带组成。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1、头套：氯丁橡胶</w:t>
            </w:r>
            <w:r>
              <w:rPr>
                <w:rFonts w:hint="eastAsia" w:ascii="宋体" w:hAnsi="宋体" w:cs="宋体"/>
                <w:color w:val="000000" w:themeColor="text1"/>
                <w:sz w:val="24"/>
                <w:szCs w:val="24"/>
                <w:highlight w:val="none"/>
                <w:lang w:val="en-US" w:eastAsia="zh-CN"/>
                <w14:textFill>
                  <w14:solidFill>
                    <w14:schemeClr w14:val="tx1"/>
                  </w14:solidFill>
                </w14:textFill>
              </w:rPr>
              <w:t>或同等质量</w:t>
            </w:r>
            <w:r>
              <w:rPr>
                <w:rFonts w:hint="eastAsia" w:ascii="宋体" w:hAnsi="宋体" w:eastAsia="宋体" w:cs="宋体"/>
                <w:color w:val="000000" w:themeColor="text1"/>
                <w:sz w:val="24"/>
                <w:szCs w:val="24"/>
                <w:highlight w:val="none"/>
                <w14:textFill>
                  <w14:solidFill>
                    <w14:schemeClr w14:val="tx1"/>
                  </w14:solidFill>
                </w14:textFill>
              </w:rPr>
              <w:t>材质，厚度≥3</w:t>
            </w:r>
            <w:r>
              <w:rPr>
                <w:rFonts w:hint="eastAsia" w:ascii="宋体" w:hAnsi="宋体" w:cs="宋体"/>
                <w:color w:val="000000" w:themeColor="text1"/>
                <w:sz w:val="24"/>
                <w:szCs w:val="24"/>
                <w:highlight w:val="none"/>
                <w:lang w:val="en-US" w:eastAsia="zh-CN"/>
                <w14:textFill>
                  <w14:solidFill>
                    <w14:schemeClr w14:val="tx1"/>
                  </w14:solidFill>
                </w14:textFill>
              </w:rPr>
              <w:t>mm</w:t>
            </w:r>
            <w:r>
              <w:rPr>
                <w:rFonts w:hint="eastAsia" w:ascii="宋体" w:hAnsi="宋体" w:eastAsia="宋体" w:cs="宋体"/>
                <w:color w:val="000000" w:themeColor="text1"/>
                <w:sz w:val="24"/>
                <w:szCs w:val="24"/>
                <w:highlight w:val="none"/>
                <w14:textFill>
                  <w14:solidFill>
                    <w14:schemeClr w14:val="tx1"/>
                  </w14:solidFill>
                </w14:textFill>
              </w:rPr>
              <w:t>，橡胶光皮内里，盲缝缝制，头顶设有排气孔，加长连肩款设计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2、脚蹼：蹼片采用聚丙烯</w:t>
            </w:r>
            <w:r>
              <w:rPr>
                <w:rFonts w:hint="eastAsia" w:ascii="宋体" w:hAnsi="宋体" w:cs="宋体"/>
                <w:color w:val="000000" w:themeColor="text1"/>
                <w:sz w:val="24"/>
                <w:szCs w:val="24"/>
                <w:highlight w:val="none"/>
                <w:lang w:val="en-US" w:eastAsia="zh-CN"/>
                <w14:textFill>
                  <w14:solidFill>
                    <w14:schemeClr w14:val="tx1"/>
                  </w14:solidFill>
                </w14:textFill>
              </w:rPr>
              <w:t>或同等质量</w:t>
            </w:r>
            <w:r>
              <w:rPr>
                <w:rFonts w:hint="eastAsia" w:ascii="宋体" w:hAnsi="宋体" w:eastAsia="宋体" w:cs="宋体"/>
                <w:color w:val="000000" w:themeColor="text1"/>
                <w:sz w:val="24"/>
                <w:szCs w:val="24"/>
                <w:highlight w:val="none"/>
                <w14:textFill>
                  <w14:solidFill>
                    <w14:schemeClr w14:val="tx1"/>
                  </w14:solidFill>
                </w14:textFill>
              </w:rPr>
              <w:t>材质，四个导流槽，配备弹簧脚蹼带.</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3、主灯：铝合金壳体，配备可调节式握把，最高亮度≥1800</w:t>
            </w:r>
            <w:r>
              <w:rPr>
                <w:rFonts w:hint="eastAsia" w:ascii="宋体" w:hAnsi="宋体" w:cs="宋体"/>
                <w:color w:val="000000" w:themeColor="text1"/>
                <w:sz w:val="24"/>
                <w:szCs w:val="24"/>
                <w:highlight w:val="none"/>
                <w:lang w:val="en-US" w:eastAsia="zh-CN"/>
                <w14:textFill>
                  <w14:solidFill>
                    <w14:schemeClr w14:val="tx1"/>
                  </w14:solidFill>
                </w14:textFill>
              </w:rPr>
              <w:t>lm</w:t>
            </w:r>
            <w:r>
              <w:rPr>
                <w:rFonts w:hint="eastAsia" w:ascii="宋体" w:hAnsi="宋体" w:eastAsia="宋体" w:cs="宋体"/>
                <w:color w:val="000000" w:themeColor="text1"/>
                <w:sz w:val="24"/>
                <w:szCs w:val="24"/>
                <w:highlight w:val="none"/>
                <w14:textFill>
                  <w14:solidFill>
                    <w14:schemeClr w14:val="tx1"/>
                  </w14:solidFill>
                </w14:textFill>
              </w:rPr>
              <w:t>，6度聚光角高亮输出，4级亮度调节，带有电量指示功能，最高亮度续航时间≥2</w:t>
            </w:r>
            <w:r>
              <w:rPr>
                <w:rFonts w:hint="eastAsia" w:ascii="宋体" w:hAnsi="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s="宋体"/>
                <w:color w:val="000000" w:themeColor="text1"/>
                <w:sz w:val="24"/>
                <w:szCs w:val="24"/>
                <w:highlight w:val="none"/>
                <w14:textFill>
                  <w14:solidFill>
                    <w14:schemeClr w14:val="tx1"/>
                  </w14:solidFill>
                </w14:textFill>
              </w:rPr>
              <w:t>，重量≤550</w:t>
            </w:r>
            <w:r>
              <w:rPr>
                <w:rFonts w:hint="eastAsia" w:ascii="宋体" w:hAnsi="宋体" w:cs="宋体"/>
                <w:color w:val="000000" w:themeColor="text1"/>
                <w:sz w:val="24"/>
                <w:szCs w:val="24"/>
                <w:highlight w:val="none"/>
                <w:lang w:val="en-US" w:eastAsia="zh-CN"/>
                <w14:textFill>
                  <w14:solidFill>
                    <w14:schemeClr w14:val="tx1"/>
                  </w14:solidFill>
                </w14:textFill>
              </w:rPr>
              <w:t>g</w:t>
            </w:r>
            <w:r>
              <w:rPr>
                <w:rFonts w:hint="eastAsia" w:ascii="宋体" w:hAnsi="宋体" w:eastAsia="宋体" w:cs="宋体"/>
                <w:color w:val="000000" w:themeColor="text1"/>
                <w:sz w:val="24"/>
                <w:szCs w:val="24"/>
                <w:highlight w:val="none"/>
                <w14:textFill>
                  <w14:solidFill>
                    <w14:schemeClr w14:val="tx1"/>
                  </w14:solidFill>
                </w14:textFill>
              </w:rPr>
              <w:t>，防水深度≥200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4、潜水刀：不锈钢潜水刀，正面开刃，刀背锯齿，刀体带刻度；配有2根硅胶绑带，刃长≥11</w:t>
            </w:r>
            <w:r>
              <w:rPr>
                <w:rFonts w:hint="eastAsia" w:ascii="宋体" w:hAnsi="宋体" w:cs="宋体"/>
                <w:color w:val="000000" w:themeColor="text1"/>
                <w:sz w:val="24"/>
                <w:szCs w:val="24"/>
                <w:highlight w:val="none"/>
                <w:lang w:val="en-US" w:eastAsia="zh-CN"/>
                <w14:textFill>
                  <w14:solidFill>
                    <w14:schemeClr w14:val="tx1"/>
                  </w14:solidFill>
                </w14:textFill>
              </w:rPr>
              <w:t>mm</w:t>
            </w:r>
            <w:r>
              <w:rPr>
                <w:rFonts w:hint="eastAsia" w:ascii="宋体" w:hAnsi="宋体" w:eastAsia="宋体" w:cs="宋体"/>
                <w:color w:val="000000" w:themeColor="text1"/>
                <w:sz w:val="24"/>
                <w:szCs w:val="24"/>
                <w:highlight w:val="none"/>
                <w14:textFill>
                  <w14:solidFill>
                    <w14:schemeClr w14:val="tx1"/>
                  </w14:solidFill>
                </w14:textFill>
              </w:rPr>
              <w:t>，刃厚≥4</w:t>
            </w:r>
            <w:r>
              <w:rPr>
                <w:rFonts w:hint="eastAsia" w:ascii="宋体" w:hAnsi="宋体" w:cs="宋体"/>
                <w:color w:val="000000" w:themeColor="text1"/>
                <w:sz w:val="24"/>
                <w:szCs w:val="24"/>
                <w:highlight w:val="none"/>
                <w:lang w:val="en-US" w:eastAsia="zh-CN"/>
                <w14:textFill>
                  <w14:solidFill>
                    <w14:schemeClr w14:val="tx1"/>
                  </w14:solidFill>
                </w14:textFill>
              </w:rPr>
              <w:t>mm</w:t>
            </w:r>
            <w:r>
              <w:rPr>
                <w:rFonts w:hint="eastAsia" w:ascii="宋体" w:hAnsi="宋体" w:eastAsia="宋体" w:cs="宋体"/>
                <w:color w:val="000000" w:themeColor="text1"/>
                <w:sz w:val="24"/>
                <w:szCs w:val="24"/>
                <w:highlight w:val="none"/>
                <w14:textFill>
                  <w14:solidFill>
                    <w14:schemeClr w14:val="tx1"/>
                  </w14:solidFill>
                </w14:textFill>
              </w:rPr>
              <w:t>，展开长度≥22</w:t>
            </w:r>
            <w:r>
              <w:rPr>
                <w:rFonts w:hint="eastAsia" w:ascii="宋体" w:hAnsi="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5、手电：铝合金壳体，最高亮度≥1250</w:t>
            </w:r>
            <w:r>
              <w:rPr>
                <w:rFonts w:hint="eastAsia" w:ascii="宋体" w:hAnsi="宋体" w:cs="宋体"/>
                <w:color w:val="000000" w:themeColor="text1"/>
                <w:sz w:val="24"/>
                <w:szCs w:val="24"/>
                <w:highlight w:val="none"/>
                <w:lang w:val="en-US" w:eastAsia="zh-CN"/>
                <w14:textFill>
                  <w14:solidFill>
                    <w14:schemeClr w14:val="tx1"/>
                  </w14:solidFill>
                </w14:textFill>
              </w:rPr>
              <w:t>lm</w:t>
            </w:r>
            <w:r>
              <w:rPr>
                <w:rFonts w:hint="eastAsia" w:ascii="宋体" w:hAnsi="宋体" w:eastAsia="宋体" w:cs="宋体"/>
                <w:color w:val="000000" w:themeColor="text1"/>
                <w:sz w:val="24"/>
                <w:szCs w:val="24"/>
                <w:highlight w:val="none"/>
                <w14:textFill>
                  <w14:solidFill>
                    <w14:schemeClr w14:val="tx1"/>
                  </w14:solidFill>
                </w14:textFill>
              </w:rPr>
              <w:t>，4级亮度调节，带有电量指示功能，最高亮度续航时间≥1.5</w:t>
            </w:r>
            <w:r>
              <w:rPr>
                <w:rFonts w:hint="eastAsia" w:ascii="宋体" w:hAnsi="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s="宋体"/>
                <w:color w:val="000000" w:themeColor="text1"/>
                <w:sz w:val="24"/>
                <w:szCs w:val="24"/>
                <w:highlight w:val="none"/>
                <w14:textFill>
                  <w14:solidFill>
                    <w14:schemeClr w14:val="tx1"/>
                  </w14:solidFill>
                </w14:textFill>
              </w:rPr>
              <w:t>，防水深度≥200</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6、配重及配重带：配重铅块环保包塑，每套配备重量≥6</w:t>
            </w:r>
            <w:r>
              <w:rPr>
                <w:rFonts w:hint="eastAsia" w:ascii="宋体" w:hAnsi="宋体" w:cs="宋体"/>
                <w:color w:val="000000" w:themeColor="text1"/>
                <w:sz w:val="24"/>
                <w:szCs w:val="24"/>
                <w:highlight w:val="none"/>
                <w:lang w:val="en-US" w:eastAsia="zh-CN"/>
                <w14:textFill>
                  <w14:solidFill>
                    <w14:schemeClr w14:val="tx1"/>
                  </w14:solidFill>
                </w14:textFill>
              </w:rPr>
              <w:t>kg</w:t>
            </w:r>
            <w:r>
              <w:rPr>
                <w:rFonts w:hint="eastAsia" w:ascii="宋体" w:hAnsi="宋体" w:eastAsia="宋体" w:cs="宋体"/>
                <w:color w:val="000000" w:themeColor="text1"/>
                <w:sz w:val="24"/>
                <w:szCs w:val="24"/>
                <w:highlight w:val="none"/>
                <w14:textFill>
                  <w14:solidFill>
                    <w14:schemeClr w14:val="tx1"/>
                  </w14:solidFill>
                </w14:textFill>
              </w:rPr>
              <w:t>，配重带采用不锈钢扣具，高强度尼龙织带，长度≥1.4</w:t>
            </w:r>
            <w:r>
              <w:rPr>
                <w:rFonts w:hint="eastAsia" w:ascii="宋体" w:hAnsi="宋体" w:cs="宋体"/>
                <w:color w:val="000000" w:themeColor="text1"/>
                <w:sz w:val="24"/>
                <w:szCs w:val="24"/>
                <w:highlight w:val="none"/>
                <w:lang w:val="en-US" w:eastAsia="zh-CN"/>
                <w14:textFill>
                  <w14:solidFill>
                    <w14:schemeClr w14:val="tx1"/>
                  </w14:solidFill>
                </w14:textFill>
              </w:rPr>
              <w:t>m</w:t>
            </w:r>
            <w:r>
              <w:rPr>
                <w:rFonts w:hint="eastAsia" w:ascii="宋体" w:hAnsi="宋体" w:eastAsia="宋体" w:cs="宋体"/>
                <w:color w:val="000000" w:themeColor="text1"/>
                <w:sz w:val="24"/>
                <w:szCs w:val="24"/>
                <w:highlight w:val="none"/>
                <w14:textFill>
                  <w14:solidFill>
                    <w14:schemeClr w14:val="tx1"/>
                  </w14:solidFill>
                </w14:textFill>
              </w:rPr>
              <w:t>。</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橡皮艇</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艘</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1.尺寸：420x190x45cm±10cm。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2.艇身材质：采用加强PVC夹网材质，厚度0.9mm，适配动力≥30HP。</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3.气囊数≥8个，M型艇底。艇净重≤101KG，承载重量≥980</w:t>
            </w:r>
            <w:r>
              <w:rPr>
                <w:rFonts w:hint="eastAsia" w:ascii="宋体" w:hAnsi="宋体" w:cs="宋体"/>
                <w:color w:val="000000" w:themeColor="text1"/>
                <w:sz w:val="24"/>
                <w:szCs w:val="24"/>
                <w:highlight w:val="none"/>
                <w:lang w:val="en-US" w:eastAsia="zh-CN"/>
                <w14:textFill>
                  <w14:solidFill>
                    <w14:schemeClr w14:val="tx1"/>
                  </w14:solidFill>
                </w14:textFill>
              </w:rPr>
              <w:t>kg</w:t>
            </w:r>
            <w:r>
              <w:rPr>
                <w:rFonts w:hint="eastAsia" w:ascii="宋体" w:hAnsi="宋体" w:eastAsia="宋体" w:cs="宋体"/>
                <w:color w:val="000000" w:themeColor="text1"/>
                <w:sz w:val="24"/>
                <w:szCs w:val="24"/>
                <w:highlight w:val="none"/>
                <w14:textFill>
                  <w14:solidFill>
                    <w14:schemeClr w14:val="tx1"/>
                  </w14:solidFill>
                </w14:textFill>
              </w:rPr>
              <w:t>，船体结构：底板为一体式三气室拉丝底板，底部设有2处稳定浮筒。</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4.承载人数≥10人。</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5.水密试验:将艇充气至工作压力(≥39kPa),在水面静置30min，放气后气囊内无水渍;</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6.气密试验:≥ 3+1个独立气室充气至≥39kPa，静置5min，无压力泄漏;</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7.载重试验:增加载重量至最大安全载重，放置水面静置≥29min，艇身完好;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8.划桨试验:在艇轻载状态和满载状态下使用手划桨划行距离≥290m;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9.基本参数：安全阀门1个，抬船把手8个，操舟者安全把手2个，辅助D型环数量10个，船首拖拽装置数量1套，艉板高度390mm。自救辅助绳包2个。</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10.艇身配置：艇艏安装挡水片1处，艉板安装快速双排水孔2处，艇身安装油箱、油管稳定扣，划桨2支，高压充气泵1个，船包1个，维修工具1套（专用胶水1支、气阀扳手1个、维修材料3张），油桶及油管各1个。</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11、舷外机：启动方式：手动及电动；重量：≥70kg；发动机类型：2冲程2缸；排量：≥700cc；缸径x冲程：80x70mm；输出功率：≥29kw；转速：≥5000rpm；油箱容量：25L；点火系统：P.E.I；操作方式：手柄操作。</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排水机器人</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▲1、消防机器人技术性能符合 XF892.1-2010《消防机器人 第1部分：通用技术条件》国家标准相关要求；</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2、外形尺寸：≤长*宽*高2100mm×1400mm×1300mm；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3、整机质量：≤850kg；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4、爬坡能力：≥60°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5、最大越障高度:≥240mm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▲6、遥控距离：≥600m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7、直行速度（m/s）：≥1.5</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8、直线跑偏量（%）：≤1.5</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9、制动距离(m)：≤0.3</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▲10、最大排水量（L/S）：≥200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▲11、侧倾稳定角（°）＞30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12、牵引力（kn）≥4.9</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▲13、最小离地间隙≥170mm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14、行走方式：独立行走，无需外接动力，水陆两栖，全地形四轮胎驱动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15、具备水上行驶功能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16、进出水口设置：水泵数量2个，DN200双进水口（内径≥180mm）、DN200双出水口（内径≥180mm）进水口可遥控升降,最低吸水位≤150mm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17、具备液压输出功能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18、配置前面两个照明灯、侧面四个示廓灯、后端1个照明灯</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▲19、遥控器配备液晶显示屏，可实时接收油量及发动机转速显示等运行状态数据</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20、排水机器人额定功率≥27kW</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▲21、牵引功能：安装有电动绞盘，具有牵引功能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22、绞盘拉力（kN）：≥10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23、燃油油箱容积(L)≥50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24、转弯直径（mm）：左转、右转≤2400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▲25、舱底排水功能：具有舱底排水功能</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▲26、车体后面板上配备≥4寸的高清显示屏，可以控制发动机的开启、水泵的的动作指令，照明灯的开启及报警灯等功能，可以实时显示车体的信息转速、油箱油量等参数</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▲27、吃水深度（mm）：≥700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▲28、配备大口径水带自动收卷推车一套、（搭载DN200水带≥150m）、水带扳手、机器人防护套、保养机油泵</w:t>
            </w:r>
          </w:p>
        </w:tc>
      </w:tr>
    </w:tbl>
    <w:p>
      <w:pPr>
        <w:spacing w:line="360" w:lineRule="auto"/>
        <w:ind w:firstLine="482" w:firstLineChars="20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包</w:t>
      </w:r>
      <w:r>
        <w:rPr>
          <w:rFonts w:hint="eastAsia" w:ascii="宋体" w:hAnsi="宋体" w:cs="宋体"/>
          <w:b/>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szCs w:val="24"/>
          <w:highlight w:val="none"/>
          <w14:textFill>
            <w14:solidFill>
              <w14:schemeClr w14:val="tx1"/>
            </w14:solidFill>
          </w14:textFill>
        </w:rPr>
        <w:t>、保障类</w:t>
      </w:r>
    </w:p>
    <w:tbl>
      <w:tblPr>
        <w:tblStyle w:val="59"/>
        <w:tblW w:w="5003" w:type="pct"/>
        <w:jc w:val="center"/>
        <w:tblLayout w:type="fixed"/>
        <w:tblCellMar>
          <w:top w:w="0" w:type="dxa"/>
          <w:left w:w="108" w:type="dxa"/>
          <w:bottom w:w="0" w:type="dxa"/>
          <w:right w:w="108" w:type="dxa"/>
        </w:tblCellMar>
      </w:tblPr>
      <w:tblGrid>
        <w:gridCol w:w="636"/>
        <w:gridCol w:w="810"/>
        <w:gridCol w:w="726"/>
        <w:gridCol w:w="727"/>
        <w:gridCol w:w="6678"/>
      </w:tblGrid>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货物名称</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数量</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单位</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技术参数</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充气帐篷（40m2）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1、总体尺寸：8*5*3 m（±0.05m）；肩高2m（±0.05m），总体投影面积：≥40㎡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2、外披：600Dpvc涂层牛津布(遮光布、颜色和外观喷绘根据采购人要求定制生产)</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3、内衬：210d白色牛津布</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4、支撑气柱：厚度≥0.7mm，灰色PVC，克重≥850g/㎡；耐压≥25KPa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断裂强力经向：≥2600N /5cm；纬向：≥2300N/5cm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撕裂强力经向：≥340N；纬向：≥300N；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5、地布：≥0.45mm灰色 PVC双面涂层，克重≥420g/㎡，防水、防潮、耐磨。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6、门：1.2m（宽）*1.9m（高），软质布帘门，前后各1扇；</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7、窗户：750mm*600mm，共 8扇；</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8、阀门口：设置帐篷阀门包含充气阀、排气阀各2个、1个安全阀。</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9、主体结构使用高频热合热封工艺制作。</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▲10、充气时间：≤6min。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▲11、气压保持：≥10天不倒伏</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▲12、雪载：≥25kg/㎡（25cm/㎡）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▲13、防风等级：≥10级风</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▲14、淋雨：≥350mm/24小时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15、使用温度：-50—+70°C</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16、配置 ：（1） 充排气装置：充气泵功率≥1500W；（2）配件：地钉10根，防风拉绳10个，4P铁锤1把，维修包1个：包含维修胶水1支，维修片6片（面积≥25c㎡）</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充气帐篷（60m2）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总体尺寸：10*6*3.5 m（±0.05m）；肩高2.2m（±0.05m），总体投影面积≥60㎡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外披：600Dpvc涂层牛津布（遮光布、颜色和外观喷绘可根据需求而定）</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内衬：210d白色牛津布。</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支撑气柱：0.7mmPVC双面涂层夹网布，克重≥850g/㎡，材料具有良好的防穿刺能力；采用热熔工艺加工而成，一次充气成型，气密性好，耐压≥25KPa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断裂强力经向：≥2600N /5cm；纬向：≥2300N/5cm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撕裂强度（经/纬）：≥ 340N /300N；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5、底布：0.45mm灰色 PVC双面涂层，克重≥420g/㎡，防水、防潮、耐磨。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6、门：1.5m（宽）*1.9m（高），软质布帘门，前后各1扇；门下端设气柱（与立柱直径保持一致）（可根据采购人需求而定）外披布和内衬门窗位置、尺寸一致；根据采购人需要预留电器照明接口等；</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7、窗户：750mm*600mm，共8扇。</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8、阀门口：阀门一组（帐篷专用充气、放气阀门各4个，安全阀1个）；</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9、通风口：在帐篷四角分别设置圆形通风口各1个，直径48cm（±1cm）。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10、工艺：主体结构使用高频热合热封工艺制作。</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▲11、充气时间：≤10min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▲12、淋雨：≥350mm/24小时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▲13、风载：≥10级（26m/s）</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▲14、气压保持：≥10天不倒伏</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▲15、雪载：≥25kg/㎡（25cm/㎡）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16使用温度：-50—+70°C</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17、配置 ：（1） 充排气装置：充气泵功率≥2KW；（2）配件：地钉10根，防风拉绳10个，4P铁锤1把，维修包1个：包含维修胶水1支，维修片6片（面积≥25c㎡）</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充气帐篷（100m2）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1、总体尺寸：12.5m*8m*4.1m（±0.05m）；外肩高2.3m（±0.05m），投影面积：≥100㎡ ；</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2、外篷：600Dpvc涂层牛津布（遮光布、颜色和外观喷绘根据采购人要求定制生产），图案标识：根据要求定制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3、内衬：210d白色牛津布。</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4、支撑气柱：0.7mm灰色PVC，克重≥850g/㎡，材料具有良好的防穿刺能力；采用热熔工艺加工而成，一次充气成型，气密性好，耐压≥18KPa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断裂强力经向：≥2600N /5cm；纬向：≥2300N/5cm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撕裂强度（经/纬）：≥ 340N /300N；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5、地布：0.45mm灰色 PVC双面涂层，克重≥420g/㎡，防水、防潮、耐磨。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6、帐篷门：前后门各1扇，1.9m（宽）*1.9m（高），软质布帘门，共2扇。</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7、窗户：750mm*600mm(10扇)，窗户含纱窗和防水帘，采用魔术贴粘合（配防雨条）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8、阀门口：在帐篷斜对角各设置帐篷阀门1组、共2组（每组各2个专用阀门、1个安全阀）。</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9、通风口：在帐篷四角分别设置通风口各1个，直径48cm（±1cm）。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10、工艺：主体结构使用高频热合热封工艺制作。</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▲11、充气时间：≤12min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▲12、气压保持：≥10天不倒伏</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▲13、淋雨：≥350mm/24小时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▲14、风载：≥10级（26m/s）</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15、使用温度：-50—+70°C</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16、配置 ：（1） 充排气装置：充气泵功率≥2KW台；（2）配件：地钉12根，防风拉绳12个，4P铁锤1把，维修包1个：包含维修胶水1支，维修片6片（面积≥25c㎡）。</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单人洗消帐篷</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★洗消帐篷由充气帐篷(含气柱、蓬布)、风浪绳、充排气泵、喷淋装置等组成。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1.配有空气呼吸器充气接口、电动充气泵、排气泵、照明灯、喷淋、供水管路（与消防车管路尺寸相匹配）、洗消排污泵，洗消废水回收袋等配件。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2.气柱的橡胶布厚度：0.65~0.7 mm，气柱的橡胶布经、纬向拉抻强度 ≥2200N；气柱的工作压力：10~25kpa；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3.充气架设时间≤5 min；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4.篷布材质：PVC涂层气密布；篷布厚度：≥0.2mm；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5.篷布胶布经、纬向拉伸强度≥900N；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6.外形尺寸：长×宽×高≥2m×2m×2.3m；单人充气帐篷的重量：≤30kg。</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简易洗消喷淋器</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★由多头喷淋装置、底座、进水口、喷头、不锈钢支架等部件组成；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1.四面喷头，喷嘴≥16个，配有不易破损软管支角，遇压呈刚性；配备高压软管，有与消防车出水口相匹配的接口，喷淋头、底座，配备手动加压装置；</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2.水流量：≥20L/min；展开高度：2~2.2m；装箱后质量：≤25kg；有与地面固定设施；。</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洗消帐篷</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★洗消帐篷由充气帐篷(含气柱、蓬布)、风浪绳、充排气泵、喷淋装置等组成。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1.配有空气呼吸器充气接口、电动充气泵、排气泵、照明灯、喷淋、供水管路（与消防车管路尺寸相匹配）、洗消排污泵，洗消废水回收袋等配件。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2.气柱的橡胶布厚度：0.65~0.7 mm，气柱的橡胶布经、纬向拉抻强度 ≥2200N；气柱的工作压力：10~25kpa；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3.充气架设时间≤5 min；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4.篷布材质：PVC涂层气密布；篷布厚度：≥0.2mm；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5.篷布胶布经、纬向拉伸强度≥900N；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6.外形尺寸：长×宽×高≥2m×2m×2.3m；单人充气帐篷的重量：≤30kg。</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公众洗消站</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组成：密闭式公众洗消帐篷，电动充、排气泵、洗消供水泵、洗消排污泵、洗消水加热器（带均混装置）、暖风发生器（带温控）、温控仪、洗消喷淋器、洗消粉（不少于20kg）。洗消液均混罐、洗消喷枪、移动式高压洗消泵（含喷枪）、供排水管路、防腐蚀洗消废水回收袋、防污密封桶等。</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1、帐篷：阴影面积≥30㎡，设更衣区、洗消喷淋区、烘干区，工作压力15-20kPa，带有窗户可以通风；内挂复合防水帘, 充气自动成形，充气框架安有过压保护阀，确保过量充气不遭损害；</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2、不少于两路热水洗消，移动式高压洗消泵3种喷射方式可供选择；</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3、电压≥220V；功率：充、排气泵≥1500W, 供水泵≥850W,排污泵≥400W；供热量≥800M³/h；</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4、充气时间：≤10min。</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航空运输箱</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箱体尺寸：1200*800*600mm（允差±10mm），箱组为上开盖结构，体盖皆为滚塑工艺一体成型，不锈钢合页（≥4个）、不锈钢搭扣（≥8个）；箱体两侧配备两根限位绳；箱体外侧安装自动平衡阀，自动平衡箱体内外气压差；整箱防水、抗压、防震、防腐蚀、耐盐水、耐高低温性能良好，整箱可空投；盖子上有凸条，箱底有对应的凹槽和凹点。箱体两侧安装折叠式不锈钢提手（左右各2个），箱体内部采用发泡PE制作内饰，箱盖粘贴波峰海绵（厚度50mm）；箱盖内部四周凹槽有密封圈，在箱子闭合时，与箱体四周凸槽密合。配备隐藏式助力轮，箱体外部可根据采购人要求进行文字和标识喷涂。</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2、材质：线性聚乙烯LLDPE</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3、箱体壁厚：4.5-5mm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4、箱体总重量30kg（±1kg）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5、箱体顶部承重载荷≥250 kg，内部载重≥100kg。</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排用炊事单元</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1、采用箱体式、模块化盛装方式。每套设备至少配备2个单元箱，用于盛放相应炊事工具，在适当的位置设置适合人工搬运的提手。</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2、配备2套不低于30L的行军锅（行军锅背架、给养携行包、燃油炉背架各1付）、6个直径不低于32cm的铝菜盆，不低于7.5</w:t>
            </w:r>
            <w:r>
              <w:rPr>
                <w:rFonts w:hint="eastAsia" w:ascii="宋体" w:hAnsi="宋体" w:cs="宋体"/>
                <w:color w:val="000000" w:themeColor="text1"/>
                <w:sz w:val="24"/>
                <w:szCs w:val="24"/>
                <w:highlight w:val="none"/>
                <w:lang w:val="en-US" w:eastAsia="zh-CN"/>
                <w14:textFill>
                  <w14:solidFill>
                    <w14:schemeClr w14:val="tx1"/>
                  </w14:solidFill>
                </w14:textFill>
              </w:rPr>
              <w:t>kg</w:t>
            </w:r>
            <w:r>
              <w:rPr>
                <w:rFonts w:hint="eastAsia" w:ascii="宋体" w:hAnsi="宋体" w:eastAsia="宋体" w:cs="宋体"/>
                <w:color w:val="000000" w:themeColor="text1"/>
                <w:sz w:val="24"/>
                <w:szCs w:val="24"/>
                <w:highlight w:val="none"/>
                <w14:textFill>
                  <w14:solidFill>
                    <w14:schemeClr w14:val="tx1"/>
                  </w14:solidFill>
                </w14:textFill>
              </w:rPr>
              <w:t>软体油桶、不低于20L送饭袋等。</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3、配备1套野战燃油炉灶（内含高压储油罐、燃烧器等）、2 根输油管、1 个打气筒；2个折叠式支架。</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便携式推车</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1、材质：平板整体为钢结构；</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2、平板尺寸：≥120*70cm；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3、电机功率：≥800w；</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4、续航时间：≥20h；</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5、行驶距离：≥15km；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6、爬坡角度：≥30°；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7、升降高度：≥100cm；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8、升降载重：≥300kg；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9、平地载重：≥500kg；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10、配有电动行走、升降系统。</w:t>
            </w:r>
          </w:p>
        </w:tc>
      </w:tr>
    </w:tbl>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r>
        <w:rPr>
          <w:rFonts w:hint="eastAsia" w:ascii="宋体" w:hAnsi="宋体" w:eastAsia="宋体" w:cs="宋体"/>
          <w:b/>
          <w:bCs/>
          <w:color w:val="000000" w:themeColor="text1"/>
          <w:sz w:val="24"/>
          <w:szCs w:val="24"/>
          <w:highlight w:val="none"/>
          <w14:textFill>
            <w14:solidFill>
              <w14:schemeClr w14:val="tx1"/>
            </w14:solidFill>
          </w14:textFill>
        </w:rPr>
        <w:t>包</w:t>
      </w:r>
      <w:r>
        <w:rPr>
          <w:rFonts w:hint="eastAsia" w:ascii="宋体" w:hAnsi="宋体" w:cs="宋体"/>
          <w:b/>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szCs w:val="24"/>
          <w:highlight w:val="none"/>
          <w14:textFill>
            <w14:solidFill>
              <w14:schemeClr w14:val="tx1"/>
            </w14:solidFill>
          </w14:textFill>
        </w:rPr>
        <w:t>、其他类</w:t>
      </w:r>
    </w:p>
    <w:tbl>
      <w:tblPr>
        <w:tblStyle w:val="59"/>
        <w:tblW w:w="5003" w:type="pct"/>
        <w:jc w:val="center"/>
        <w:tblLayout w:type="fixed"/>
        <w:tblCellMar>
          <w:top w:w="0" w:type="dxa"/>
          <w:left w:w="108" w:type="dxa"/>
          <w:bottom w:w="0" w:type="dxa"/>
          <w:right w:w="108" w:type="dxa"/>
        </w:tblCellMar>
      </w:tblPr>
      <w:tblGrid>
        <w:gridCol w:w="636"/>
        <w:gridCol w:w="810"/>
        <w:gridCol w:w="726"/>
        <w:gridCol w:w="727"/>
        <w:gridCol w:w="6678"/>
      </w:tblGrid>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货物名称</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数量</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单位</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技术参数</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轮式装载机</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1动力形式：柴油动力</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2传动方式：液力传动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3驱动形式：4轮驱动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4额定起重量：≥5000KG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5工作质量：≥16000KG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6铲斗标准斗容：≥3m³</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7最大牵引力：≥170KN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8最大掘地力:≥170KN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9最小转弯半径(前轮中心):≤6900mm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10最大卸载高度：≥3200mm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11卸载距离：≥1000mm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12最小离地间隙：≥400mm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13轴距：≥3000mm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14最大爬坡能力：≥30°</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15发动机额定功率：≥170KW</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16外形尺寸：≤8200mm≤2800mm≤3600mm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17前进速度：≥35km/h</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18后退速度：≥15km/h</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19行车制动方式：单管路气顶油四轮盘式制动</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单兵携行包（箱）</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兵携行包（箱）包含：单兵携行包、军用指南针、防潮垫、睡袋、单兵帐篷、急救包、军用水壶、饭盒(含刀叉)、简易洗漱用品、七合一口哨、防爆强光手电、分体式雨衣、水质净化片1瓶、高能量自热即食食品、蚊虫药。</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1.容积：≥80L+20L（可扩充）。</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2.重量：≤3KG。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3.尺寸：长*宽*高≥（35*25*85cm）。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4.面料：1000D和500D加密尼龙牛津布，涂层PU面料。</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5.里料：210D锦纶加密材料，涂UL优丽胶面料。</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6.背囊分区域设计。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7.卡扣：ABS塑胶材质，胸带插件带电子警示红蓝方位灯系统和指南针，可以连续工作≥12H。</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8.肩带和背部：透气散热的网布肩带。SBS级金属拉链。</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9.配备≥3L饮水袋，配有容积≥8升腿包。</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10、军用指南针：规格≥85*63*30mm，牛津布防潮袋包装。</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11、防潮垫：.面料：190T涤丝纺复合涂层PVC，内置发泡海绵，带气枕可拼接，塑料气嘴，尺寸：≥185*85*2.5cm，重量：≤1300g。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12、睡袋：面料:400T尼丝纺+防水抗撕裂涂层；里料:320T亲肤春亚纺</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；填充:≥ 90%羽绒，尺寸:≥2100mm*850mm*500mm。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13、单兵帐篷：自动支架；双门双窗通风，具有防水功能。尺寸：折叠≤65×15cm，展开≥200×145×100cm。面料：外帐和内账均采用210T防撕裂涤纶格子布，底帐采用150D牛津布。</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14、急救包：规格≥200mm*150mm*80mm ；材质900D牛津布。配备：电子体温计、.冷敷冰袋、晕车贴、创口贴、别针、碘伏棒、退热贴、酒精消毒片、医用胶布、消毒湿巾、一次性口对口呼吸膜、一次性医用手套、三角巾、镊子、弹力绷带、医用纱布、头部包扎网套、止血带、呼救哨、反光急救毯1件、.一次性口罩、不锈钢医用剪刀、产品清单、种产品清单、紧急联系卡。</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15、军用水壶：材质：铝制，容量：≥1.0升。规格：≥200mm*145mm*85mm。外观：螺旋口；涤纶背带，军绿色。</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16、饭盒(含刀叉)：净重≤200g，容量≥1L。配备不锈钢手柄、折叠勺叉，保温护套。</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17、简易洗漱用品：规格≥135mm*105mm*65mm。内含：PE透明牙杯、洗头膏、沐浴露、牙膏、剃须刀、剃须膏、压缩毛巾、折叠牙刷、梳子、香皂。</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18、七合一口哨：规格：长度≥110mm*45mm。结构：七合一（哨、灯、温度计、指南针、反光镜、放大镜、密封舱）。材质：ABS工程塑料、耐磨绳。功能：高频口哨声音≥80dB</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19、防爆强光手电：尺寸：≥156*38*25mm。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20、分体式雨衣：抗渗透≥48小时无渗漏。</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21、高能量自热即食食品：材质:炒饭+饮料重量:≥690g，保质期180天。</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22、蚊虫药：瓶装，重量≤30G；使用方法涂抹型；环保不伤皮肤；味道持久≥5小时。</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冰域呼吸器组件</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★冰域呼吸器组件由呼吸调节器、三联表、潜水气瓶、浮力调整背心组成。</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1.潜水调节器：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隔膜式设计，一级头的金属机械组件与冷水完全隔离，可用于≤10度冷水环境。</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一级头：2个高压端口、5个中压端口，旋转塔台，供气流量≥3500 L/MIN；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二级头：配备与主用二级头同规格备用二级。</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2.三联表：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压力表、深度计及指北针一体式，冰域白色环境下醒目易判读。</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压力表最大量程≥450bar，深度计最大量程≥80米。</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3.潜水气瓶：</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容积≥12L，潜水专用气瓶，含瓶头阀，配备冰域专用一体式护套（非底座）；</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瓶体材料：铝制气瓶；重量≤14.5KG；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工作压力：≥20MPA，每只气瓶带独立的出厂合格证；气瓶有中国特种设备制造许可证。</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4.浮力调整背心：</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≥7个金属D型环，≥3个快泄排气阀，后背气瓶绑带设计有配重袋，整合式快卸配重系统，冰域着装适应系统，不锈钢气瓶绑带。</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冰面救援滑板</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1.采用双层PVC材料</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eastAsia="宋体" w:cs="宋体"/>
                <w:color w:val="000000" w:themeColor="text1"/>
                <w:sz w:val="24"/>
                <w:szCs w:val="24"/>
                <w:highlight w:val="none"/>
                <w14:textFill>
                  <w14:solidFill>
                    <w14:schemeClr w14:val="tx1"/>
                  </w14:solidFill>
                </w14:textFill>
              </w:rPr>
              <w: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2.充气压强≥5PSI；</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3.救援板尺寸：≥1600mm×900mm×150mm；可折叠存放。</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4.正面中部斜纹凹槽处理，救援板四周配有挂点和抓手绳；</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5.配有划桨一支，安全绳一条，装备包一个，修补材料一份，打气筒一个，高强拉丝气垫。</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6.整体重量≤20kg；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7.浮板承重：≥150kg。</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冰面行动辅助套装</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★整套包含冰爪1副、爬行辅助器（冰锥）1对、冰镐1把、冰锚1副。</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1.冰爪：带阻雪板，光滑且具有弹性，不粘冰雪，防滑；重量：≤1300g；产品规格：十四齿；尺码调节范围：36-46码；可在-50℃的环境中正常使用。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2.爬行辅助器（冰锥）：主体由两个可压弹出金属冰锥头的把手和反光连接线组成。塑料把手长度≥10厘米，硬度≥70HA；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3.冰镐：手柄使用铝合金材质制作，镐尖采用铬钼钢制作；冰镐为T型冰镐，以适应冰攀和混攀；镐头中背面为镐铲或镐锤，尾部留有尖端，镐柄带有仿脱手卡位器；长度≥50cm，重量≤650g；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4.冰锚：采用航空铝材质框架，自身带有孔洞，可以连接钢缆使用。产品重量:≤350g；尺寸：长≥250mm，宽≥150mm。</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千斤顶</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1.操作手柄180度旋转，</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2.额定载荷：≥20T</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3.重量：≤24kg</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4.最低位置：≥20mm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5.扬高：≥200mm</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牵拉器</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1.结构:双齿双钩结构</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2.钢丝绳长度:≥3m，牵引有效行程≥2.5m</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3.额定载荷≥1.5T，正向手扳力≥400N；</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4、钢丝绳直径≥4mm，最大移动载荷≥2T。</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堵漏工具组</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★可堵介质：油、水、燃气、蒸汽、浓酸、碱、苯等强腐蚀类和各类化学品；包含电磁式、捆绑式、注入式、木质、下水道阻流袋、金属堵漏套管、阀门堵漏套、内封式等堵漏工具；</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电磁式堵漏工具：用于罐体和管道表面点状、线状泄漏的作业。适用压力：≤0.8MPa，适用温度：≤80℃。磁压式堵漏工具吸附力≥300kg；具体配置：磁压堵漏主体1只；磁压式堵漏器极靴4块；专用胶带1卷；快速堵漏胶2盒；铝合金箱1个。</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2、注入式堵漏工具：快速密封油罐车、储存罐、液柜车裂缝的堵漏设备。可将楔形或圆锥形密封袋插入在直径15～55mm的裂缝中或30～90mm的泄漏孔内。适用压力：≥0.2MPa ，适用温度：-30℃～＋60℃；无火花材料，配备手动液压泵、注入式堵漏胶1箱；</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3、捆绑式堵漏气袋：应用在金属、塑料、玻璃钢材质的各类管道、罐车、容器罐的砂眼、焊缝等腐蚀穿孔跑、冒、滴、漏类泄漏。封堵范围≥Ф1Cm-Ф30Cm，环境温度-50℃～+180℃，工作压力≥1.0MPa；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4、阀门堵漏套：可堵介质包括液化气、石油、水、化学试剂等。使用范围直径100～250mm，温度：-50（±5）℃—+170（±5）℃，压 力：-1.0 （±0.1）— +1.2（±0.1）MPa；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5、下水道阻流袋：用于阻止有害液体。材质：聚乙烯膜，耐矿物油，化学物质。还可用于收集受污染的液体；</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6、金属堵漏套管：用于管道处置，适用管道直径：12～100mm。10种不同的套管的尺寸（分别为：12，19，25，32，38，51，64，76，89，100mm），最大封堵压力≥1.6Mpa；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7、木质堵漏工具：用于各类孔、洞、裂缝等压力较低的堵漏作业。圆锥形、方楔形和棱台形三类木楔共计≥28件木楔、1把木锤，温度范围-70℃～100℃，压力-1.0Mpa～0.8Mpa。</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8、内封式堵漏：适用于圆形容器或管道的堵漏作业，共有≥4种规格，适用于100mm～800mm内径的管道，气袋均配有快速充气接口，大型气袋安装两个充气接口，充气软管≥2m，配脚踏泵。</w:t>
            </w:r>
          </w:p>
        </w:tc>
      </w:tr>
      <w:tr>
        <w:tblPrEx>
          <w:tblCellMar>
            <w:top w:w="0" w:type="dxa"/>
            <w:left w:w="108" w:type="dxa"/>
            <w:bottom w:w="0" w:type="dxa"/>
            <w:right w:w="108" w:type="dxa"/>
          </w:tblCellMar>
        </w:tblPrEx>
        <w:trPr>
          <w:trHeight w:val="23" w:hRule="atLeast"/>
          <w:jc w:val="center"/>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高压气瓶</w:t>
            </w:r>
          </w:p>
        </w:tc>
        <w:tc>
          <w:tcPr>
            <w:tcW w:w="379" w:type="pct"/>
            <w:tcBorders>
              <w:top w:val="single" w:color="000000" w:sz="4" w:space="0"/>
              <w:left w:val="single" w:color="000000" w:sz="4" w:space="0"/>
              <w:bottom w:val="single" w:color="000000" w:sz="4" w:space="0"/>
              <w:right w:val="single" w:color="000000" w:sz="4" w:space="0"/>
            </w:tcBorders>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379" w:type="pct"/>
            <w:tcBorders>
              <w:top w:val="single" w:color="000000" w:sz="4" w:space="0"/>
              <w:left w:val="single" w:color="000000" w:sz="4" w:space="0"/>
              <w:bottom w:val="single" w:color="000000" w:sz="4" w:space="0"/>
              <w:right w:val="single" w:color="000000" w:sz="4" w:space="0"/>
            </w:tcBorders>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c>
          <w:tcPr>
            <w:tcW w:w="3486" w:type="pct"/>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气瓶容积≥9L,瓶体带荧光标识，公称工作压力≥30MPa。瓶体内层缠绕环形标识，气瓶上应标有“压缩空气、气瓶唯一编号、水压试验压力、公称工作压力、公称容积、重量、生产日期、检验周期、使用年限、产品执行标准号”等标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2、气瓶瓶身采用耐高压、抗撕裂碳纤维轻质材质。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3.内胆材质：采用≥6061铝合金材料。</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4.内胆设计：肩部与底部应采用凸形结构；瓶口螺纹贯穿口部，螺纹长度≥6个螺距。</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5.内胆制造：不进行焊接处理。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6.气瓶的使用寿命≥15年。</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气瓶瓶阀：气瓶瓶阀上应设置安全膜片，其爆破压力为37～42MPa。带有自锁结构右手侧开的气瓶阀，采用三角形整体按压式设计，配备限流保护安全型气瓶阀；手轮采用大三角形整体按压式结构。气瓶阀配备限流装置。</w:t>
            </w:r>
          </w:p>
        </w:tc>
      </w:tr>
    </w:tbl>
    <w:p>
      <w:pPr>
        <w:pStyle w:val="2"/>
        <w:rPr>
          <w:rFonts w:hint="eastAsia"/>
        </w:rPr>
      </w:pPr>
    </w:p>
    <w:p>
      <w:pPr>
        <w:pStyle w:val="2"/>
        <w:rPr>
          <w:rFonts w:hint="eastAsia"/>
        </w:rPr>
      </w:pPr>
    </w:p>
    <w:p>
      <w:pPr>
        <w:spacing w:line="360" w:lineRule="auto"/>
        <w:ind w:firstLine="482" w:firstLineChars="200"/>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备注：技术参数中要求提供的产品第三方检测机构出具证书（检测、认证、测试等），除在投标文件中一并提供外，投标人还需提供在线查询途径。</w:t>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b/>
          <w:bCs/>
          <w:color w:val="000000" w:themeColor="text1"/>
          <w:sz w:val="24"/>
          <w:szCs w:val="24"/>
          <w:highlight w:val="none"/>
          <w14:textFill>
            <w14:solidFill>
              <w14:schemeClr w14:val="tx1"/>
            </w14:solidFill>
          </w14:textFill>
        </w:rPr>
        <w:t>四</w:t>
      </w:r>
      <w:r>
        <w:rPr>
          <w:rFonts w:hint="eastAsia" w:ascii="宋体" w:hAnsi="宋体" w:cs="宋体"/>
          <w:b/>
          <w:color w:val="000000" w:themeColor="text1"/>
          <w:sz w:val="24"/>
          <w:szCs w:val="24"/>
          <w:highlight w:val="none"/>
          <w14:textFill>
            <w14:solidFill>
              <w14:schemeClr w14:val="tx1"/>
            </w14:solidFill>
          </w14:textFill>
        </w:rPr>
        <w:t>、商务要求</w:t>
      </w:r>
    </w:p>
    <w:p>
      <w:pPr>
        <w:numPr>
          <w:ilvl w:val="0"/>
          <w:numId w:val="11"/>
        </w:numPr>
        <w:spacing w:line="360" w:lineRule="auto"/>
        <w:rPr>
          <w:rFonts w:ascii="宋体" w:hAnsi="宋体" w:cs="宋体"/>
          <w:color w:val="000000" w:themeColor="text1"/>
          <w:kern w:val="0"/>
          <w:sz w:val="24"/>
          <w:szCs w:val="24"/>
          <w:highlight w:val="none"/>
          <w:lang w:eastAsia="zh-Hans" w:bidi="ar"/>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交货时间：</w:t>
      </w:r>
      <w:r>
        <w:rPr>
          <w:rFonts w:hint="eastAsia" w:ascii="宋体" w:hAnsi="宋体" w:cs="宋体"/>
          <w:bCs/>
          <w:color w:val="000000" w:themeColor="text1"/>
          <w:kern w:val="0"/>
          <w:sz w:val="24"/>
          <w:highlight w:val="none"/>
          <w14:textFill>
            <w14:solidFill>
              <w14:schemeClr w14:val="tx1"/>
            </w14:solidFill>
          </w14:textFill>
        </w:rPr>
        <w:t>合同签订后60天内。若遇不可抗力或其他特殊情况，经采购人确认后可适当延迟，最多不超过合同签订后120天。装备交货时需提供由国家消防救援局“消防装备物资信息采集系统”统一发行的装备物资二维码（或RFID，进行永久标识或相对固定标识）</w:t>
      </w:r>
    </w:p>
    <w:p>
      <w:pPr>
        <w:numPr>
          <w:ilvl w:val="0"/>
          <w:numId w:val="11"/>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交货地点：</w:t>
      </w:r>
      <w:r>
        <w:rPr>
          <w:rFonts w:hint="eastAsia" w:ascii="宋体" w:hAnsi="宋体" w:cs="宋体"/>
          <w:color w:val="000000" w:themeColor="text1"/>
          <w:kern w:val="0"/>
          <w:sz w:val="24"/>
          <w:highlight w:val="none"/>
          <w14:textFill>
            <w14:solidFill>
              <w14:schemeClr w14:val="tx1"/>
            </w14:solidFill>
          </w14:textFill>
        </w:rPr>
        <w:t>采购人</w:t>
      </w:r>
      <w:r>
        <w:rPr>
          <w:rFonts w:hint="eastAsia" w:ascii="宋体" w:hAnsi="宋体" w:cs="宋体"/>
          <w:color w:val="000000" w:themeColor="text1"/>
          <w:sz w:val="24"/>
          <w:highlight w:val="none"/>
          <w14:textFill>
            <w14:solidFill>
              <w14:schemeClr w14:val="tx1"/>
            </w14:solidFill>
          </w14:textFill>
        </w:rPr>
        <w:t>指定眉山市市内地点。</w:t>
      </w:r>
    </w:p>
    <w:p>
      <w:pPr>
        <w:numPr>
          <w:ilvl w:val="0"/>
          <w:numId w:val="11"/>
        </w:num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交货资料:投标时提供的佐证材料复印件和其他投标文件要求的材料。</w:t>
      </w:r>
    </w:p>
    <w:p>
      <w:pPr>
        <w:pStyle w:val="467"/>
        <w:spacing w:line="360" w:lineRule="auto"/>
        <w:jc w:val="both"/>
        <w:rPr>
          <w:rFonts w:cs="宋体"/>
          <w:bCs/>
          <w:color w:val="000000" w:themeColor="text1"/>
          <w:kern w:val="2"/>
          <w:highlight w:val="none"/>
          <w:lang w:val="zh-CN"/>
          <w14:textFill>
            <w14:solidFill>
              <w14:schemeClr w14:val="tx1"/>
            </w14:solidFill>
          </w14:textFill>
        </w:rPr>
      </w:pPr>
      <w:r>
        <w:rPr>
          <w:rFonts w:hint="eastAsia" w:cs="宋体"/>
          <w:b/>
          <w:color w:val="000000" w:themeColor="text1"/>
          <w:kern w:val="2"/>
          <w:highlight w:val="none"/>
          <w14:textFill>
            <w14:solidFill>
              <w14:schemeClr w14:val="tx1"/>
            </w14:solidFill>
          </w14:textFill>
        </w:rPr>
        <w:t>（四）履约保证金：</w:t>
      </w:r>
      <w:r>
        <w:rPr>
          <w:rFonts w:hint="eastAsia" w:cs="宋体"/>
          <w:bCs/>
          <w:color w:val="000000" w:themeColor="text1"/>
          <w:kern w:val="2"/>
          <w:highlight w:val="none"/>
          <w:lang w:val="zh-CN"/>
          <w14:textFill>
            <w14:solidFill>
              <w14:schemeClr w14:val="tx1"/>
            </w14:solidFill>
          </w14:textFill>
        </w:rPr>
        <w:t>金额：采购合同总金额的</w:t>
      </w:r>
      <w:r>
        <w:rPr>
          <w:rFonts w:hint="eastAsia" w:cs="宋体"/>
          <w:bCs/>
          <w:color w:val="000000" w:themeColor="text1"/>
          <w:kern w:val="2"/>
          <w:highlight w:val="none"/>
          <w14:textFill>
            <w14:solidFill>
              <w14:schemeClr w14:val="tx1"/>
            </w14:solidFill>
          </w14:textFill>
        </w:rPr>
        <w:t>3</w:t>
      </w:r>
      <w:r>
        <w:rPr>
          <w:rFonts w:hint="eastAsia" w:cs="宋体"/>
          <w:bCs/>
          <w:color w:val="000000" w:themeColor="text1"/>
          <w:kern w:val="2"/>
          <w:highlight w:val="none"/>
          <w:lang w:val="zh-CN"/>
          <w14:textFill>
            <w14:solidFill>
              <w14:schemeClr w14:val="tx1"/>
            </w14:solidFill>
          </w14:textFill>
        </w:rPr>
        <w:t>%。</w:t>
      </w:r>
    </w:p>
    <w:p>
      <w:pPr>
        <w:pStyle w:val="467"/>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交款方式：履约保证金可以以支票、汇票、本票或者</w:t>
      </w:r>
      <w:r>
        <w:rPr>
          <w:rFonts w:hint="eastAsia" w:cs="宋体"/>
          <w:color w:val="000000" w:themeColor="text1"/>
          <w:highlight w:val="none"/>
          <w:lang w:bidi="ar"/>
          <w14:textFill>
            <w14:solidFill>
              <w14:schemeClr w14:val="tx1"/>
            </w14:solidFill>
          </w14:textFill>
        </w:rPr>
        <w:t>担保机构</w:t>
      </w:r>
      <w:r>
        <w:rPr>
          <w:rFonts w:hint="eastAsia" w:cs="宋体"/>
          <w:bCs/>
          <w:color w:val="000000" w:themeColor="text1"/>
          <w:kern w:val="2"/>
          <w:highlight w:val="none"/>
          <w:lang w:val="zh-CN"/>
          <w14:textFill>
            <w14:solidFill>
              <w14:schemeClr w14:val="tx1"/>
            </w14:solidFill>
          </w14:textFill>
        </w:rPr>
        <w:t>出具的保函等非现金形式提交（包括网银转账，电汇等方式）。</w:t>
      </w:r>
    </w:p>
    <w:p>
      <w:pPr>
        <w:pStyle w:val="467"/>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收款单位：眉山市消防救援支队。</w:t>
      </w:r>
    </w:p>
    <w:p>
      <w:pPr>
        <w:pStyle w:val="467"/>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交款时间：中标通知书发放后，</w:t>
      </w:r>
      <w:r>
        <w:rPr>
          <w:rFonts w:hint="eastAsia" w:cs="宋体"/>
          <w:bCs/>
          <w:color w:val="000000" w:themeColor="text1"/>
          <w:kern w:val="2"/>
          <w:highlight w:val="none"/>
          <w14:textFill>
            <w14:solidFill>
              <w14:schemeClr w14:val="tx1"/>
            </w14:solidFill>
          </w14:textFill>
        </w:rPr>
        <w:t>政府采购</w:t>
      </w:r>
      <w:r>
        <w:rPr>
          <w:rFonts w:hint="eastAsia" w:cs="宋体"/>
          <w:bCs/>
          <w:color w:val="000000" w:themeColor="text1"/>
          <w:kern w:val="2"/>
          <w:highlight w:val="none"/>
          <w:lang w:val="zh-CN"/>
          <w14:textFill>
            <w14:solidFill>
              <w14:schemeClr w14:val="tx1"/>
            </w14:solidFill>
          </w14:textFill>
        </w:rPr>
        <w:t>合同签订前。</w:t>
      </w:r>
    </w:p>
    <w:p>
      <w:pPr>
        <w:pStyle w:val="46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采用担保机构出具的保函方式提交履约保证金的，保函必须符合以下规定：</w:t>
      </w:r>
    </w:p>
    <w:p>
      <w:pPr>
        <w:pStyle w:val="46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a.保函应为担保机构出具的合法保函，且应为无条件保函，并有详细明显的验证方法；</w:t>
      </w:r>
    </w:p>
    <w:p>
      <w:pPr>
        <w:pStyle w:val="46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b.保函的受益人为</w:t>
      </w:r>
      <w:r>
        <w:rPr>
          <w:rFonts w:hint="eastAsia" w:cs="宋体"/>
          <w:bCs/>
          <w:color w:val="000000" w:themeColor="text1"/>
          <w:kern w:val="2"/>
          <w:highlight w:val="none"/>
          <w:lang w:val="zh-CN"/>
          <w14:textFill>
            <w14:solidFill>
              <w14:schemeClr w14:val="tx1"/>
            </w14:solidFill>
          </w14:textFill>
        </w:rPr>
        <w:t>眉山市消防救援支队</w:t>
      </w:r>
      <w:r>
        <w:rPr>
          <w:rFonts w:hint="eastAsia" w:cs="宋体"/>
          <w:color w:val="000000" w:themeColor="text1"/>
          <w:highlight w:val="none"/>
          <w:lang w:bidi="ar"/>
          <w14:textFill>
            <w14:solidFill>
              <w14:schemeClr w14:val="tx1"/>
            </w14:solidFill>
          </w14:textFill>
        </w:rPr>
        <w:t>；</w:t>
      </w:r>
    </w:p>
    <w:p>
      <w:pPr>
        <w:pStyle w:val="467"/>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c.保函的内容包括但不限于投标人名称、项目名称（如有分包，载明分包号）、项目编号、履约金额、保函的有效期</w:t>
      </w:r>
      <w:r>
        <w:rPr>
          <w:rFonts w:hint="eastAsia" w:cs="宋体"/>
          <w:color w:val="000000" w:themeColor="text1"/>
          <w:highlight w:val="none"/>
          <w:lang w:val="zh-CN"/>
          <w14:textFill>
            <w14:solidFill>
              <w14:schemeClr w14:val="tx1"/>
            </w14:solidFill>
          </w14:textFill>
        </w:rPr>
        <w:t>（考虑到交货、验收等不确定因素，采用保函形式提交履约保证金的，保函有效期应不短于2年）</w:t>
      </w:r>
      <w:r>
        <w:rPr>
          <w:rFonts w:hint="eastAsia" w:cs="宋体"/>
          <w:color w:val="000000" w:themeColor="text1"/>
          <w:highlight w:val="none"/>
          <w:lang w:bidi="ar"/>
          <w14:textFill>
            <w14:solidFill>
              <w14:schemeClr w14:val="tx1"/>
            </w14:solidFill>
          </w14:textFill>
        </w:rPr>
        <w:t>、担保的内容（即：如因投标人原因发生法律法规或合同规定的</w:t>
      </w:r>
      <w:r>
        <w:rPr>
          <w:rFonts w:hint="eastAsia" w:cs="宋体"/>
          <w:bCs/>
          <w:color w:val="000000" w:themeColor="text1"/>
          <w:kern w:val="2"/>
          <w:highlight w:val="none"/>
          <w14:textFill>
            <w14:solidFill>
              <w14:schemeClr w14:val="tx1"/>
            </w14:solidFill>
          </w14:textFill>
        </w:rPr>
        <w:t>履约</w:t>
      </w:r>
      <w:r>
        <w:rPr>
          <w:rFonts w:hint="eastAsia" w:cs="宋体"/>
          <w:color w:val="000000" w:themeColor="text1"/>
          <w:highlight w:val="none"/>
          <w:lang w:bidi="ar"/>
          <w14:textFill>
            <w14:solidFill>
              <w14:schemeClr w14:val="tx1"/>
            </w14:solidFill>
          </w14:textFill>
        </w:rPr>
        <w:t>保证金不予退还或扣除的情况，由担保机构向受益人足额支付履约保证金）；</w:t>
      </w:r>
    </w:p>
    <w:p>
      <w:pPr>
        <w:pStyle w:val="467"/>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履约保证金退还方式：①以网银转账、电汇等方式提交的，履约保证金以网银转账、电汇等方式退至转款账户；②以保函方式提交的，退还保函原件。</w:t>
      </w:r>
    </w:p>
    <w:p>
      <w:pPr>
        <w:pStyle w:val="467"/>
        <w:spacing w:line="360" w:lineRule="auto"/>
        <w:ind w:firstLine="480" w:firstLineChars="200"/>
        <w:jc w:val="both"/>
        <w:rPr>
          <w:rFonts w:cs="宋体"/>
          <w:bCs/>
          <w:color w:val="000000" w:themeColor="text1"/>
          <w:kern w:val="2"/>
          <w:highlight w:val="none"/>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履约保证金退还时间：验收合格后</w:t>
      </w:r>
      <w:r>
        <w:rPr>
          <w:rFonts w:hint="eastAsia" w:cs="宋体"/>
          <w:bCs/>
          <w:color w:val="000000" w:themeColor="text1"/>
          <w:kern w:val="2"/>
          <w:highlight w:val="none"/>
          <w14:textFill>
            <w14:solidFill>
              <w14:schemeClr w14:val="tx1"/>
            </w14:solidFill>
          </w14:textFill>
        </w:rPr>
        <w:t>18个月</w:t>
      </w:r>
      <w:r>
        <w:rPr>
          <w:rFonts w:hint="eastAsia" w:cs="宋体"/>
          <w:bCs/>
          <w:color w:val="000000" w:themeColor="text1"/>
          <w:kern w:val="2"/>
          <w:highlight w:val="none"/>
          <w:lang w:val="zh-CN"/>
          <w14:textFill>
            <w14:solidFill>
              <w14:schemeClr w14:val="tx1"/>
            </w14:solidFill>
          </w14:textFill>
        </w:rPr>
        <w:t>，</w:t>
      </w:r>
      <w:r>
        <w:rPr>
          <w:rFonts w:hint="eastAsia" w:cs="宋体"/>
          <w:bCs/>
          <w:color w:val="000000" w:themeColor="text1"/>
          <w:kern w:val="2"/>
          <w:highlight w:val="none"/>
          <w14:textFill>
            <w14:solidFill>
              <w14:schemeClr w14:val="tx1"/>
            </w14:solidFill>
          </w14:textFill>
        </w:rPr>
        <w:t>乙方提出退款申请之日起</w:t>
      </w:r>
      <w:r>
        <w:rPr>
          <w:rFonts w:hint="eastAsia" w:cs="宋体"/>
          <w:bCs/>
          <w:color w:val="000000" w:themeColor="text1"/>
          <w:kern w:val="2"/>
          <w:highlight w:val="none"/>
          <w:lang w:val="zh-CN"/>
          <w14:textFill>
            <w14:solidFill>
              <w14:schemeClr w14:val="tx1"/>
            </w14:solidFill>
          </w14:textFill>
        </w:rPr>
        <w:t>，</w:t>
      </w:r>
      <w:r>
        <w:rPr>
          <w:rFonts w:hint="eastAsia" w:cs="宋体"/>
          <w:bCs/>
          <w:color w:val="000000" w:themeColor="text1"/>
          <w:kern w:val="2"/>
          <w:highlight w:val="none"/>
          <w14:textFill>
            <w14:solidFill>
              <w14:schemeClr w14:val="tx1"/>
            </w14:solidFill>
          </w14:textFill>
        </w:rPr>
        <w:t>15</w:t>
      </w:r>
      <w:r>
        <w:rPr>
          <w:rFonts w:hint="eastAsia" w:cs="宋体"/>
          <w:bCs/>
          <w:color w:val="000000" w:themeColor="text1"/>
          <w:kern w:val="2"/>
          <w:highlight w:val="none"/>
          <w:lang w:val="zh-CN"/>
          <w14:textFill>
            <w14:solidFill>
              <w14:schemeClr w14:val="tx1"/>
            </w14:solidFill>
          </w14:textFill>
        </w:rPr>
        <w:t>个工作日内无息退还。采购人逾期退还</w:t>
      </w:r>
      <w:r>
        <w:rPr>
          <w:rFonts w:hint="eastAsia" w:cs="宋体"/>
          <w:bCs/>
          <w:color w:val="000000" w:themeColor="text1"/>
          <w:kern w:val="2"/>
          <w:highlight w:val="none"/>
          <w14:textFill>
            <w14:solidFill>
              <w14:schemeClr w14:val="tx1"/>
            </w14:solidFill>
          </w14:textFill>
        </w:rPr>
        <w:t>的</w:t>
      </w:r>
      <w:r>
        <w:rPr>
          <w:rFonts w:hint="eastAsia" w:cs="宋体"/>
          <w:bCs/>
          <w:color w:val="000000" w:themeColor="text1"/>
          <w:kern w:val="2"/>
          <w:highlight w:val="none"/>
          <w:lang w:val="zh-CN"/>
          <w14:textFill>
            <w14:solidFill>
              <w14:schemeClr w14:val="tx1"/>
            </w14:solidFill>
          </w14:textFill>
        </w:rPr>
        <w:t>，将承担应退还金额</w:t>
      </w:r>
      <w:r>
        <w:rPr>
          <w:rFonts w:hint="eastAsia" w:cs="宋体"/>
          <w:bCs/>
          <w:color w:val="000000" w:themeColor="text1"/>
          <w:kern w:val="2"/>
          <w:highlight w:val="none"/>
          <w14:textFill>
            <w14:solidFill>
              <w14:schemeClr w14:val="tx1"/>
            </w14:solidFill>
          </w14:textFill>
        </w:rPr>
        <w:t>万</w:t>
      </w:r>
      <w:r>
        <w:rPr>
          <w:rFonts w:hint="eastAsia" w:cs="宋体"/>
          <w:bCs/>
          <w:color w:val="000000" w:themeColor="text1"/>
          <w:kern w:val="2"/>
          <w:highlight w:val="none"/>
          <w:lang w:val="zh-CN"/>
          <w14:textFill>
            <w14:solidFill>
              <w14:schemeClr w14:val="tx1"/>
            </w14:solidFill>
          </w14:textFill>
        </w:rPr>
        <w:t>分之一每天的违约金。</w:t>
      </w:r>
      <w:r>
        <w:rPr>
          <w:rFonts w:hint="eastAsia" w:cs="宋体"/>
          <w:bCs/>
          <w:color w:val="000000" w:themeColor="text1"/>
          <w:highlight w:val="none"/>
          <w14:textFill>
            <w14:solidFill>
              <w14:schemeClr w14:val="tx1"/>
            </w14:solidFill>
          </w14:textFill>
        </w:rPr>
        <w:t>若遇项目单位因财务结算等原因封账而导致无法支付相应价款的，顺延至具备支付条件</w:t>
      </w:r>
      <w:r>
        <w:rPr>
          <w:rFonts w:hint="eastAsia" w:cs="宋体"/>
          <w:color w:val="000000" w:themeColor="text1"/>
          <w:highlight w:val="none"/>
          <w14:textFill>
            <w14:solidFill>
              <w14:schemeClr w14:val="tx1"/>
            </w14:solidFill>
          </w14:textFill>
        </w:rPr>
        <w:t>之日起15个工作日内</w:t>
      </w:r>
      <w:r>
        <w:rPr>
          <w:rFonts w:hint="eastAsia" w:cs="宋体"/>
          <w:bCs/>
          <w:color w:val="000000" w:themeColor="text1"/>
          <w:highlight w:val="none"/>
          <w14:textFill>
            <w14:solidFill>
              <w14:schemeClr w14:val="tx1"/>
            </w14:solidFill>
          </w14:textFill>
        </w:rPr>
        <w:t>，且不视为采购人违约。</w:t>
      </w:r>
    </w:p>
    <w:p>
      <w:pPr>
        <w:pStyle w:val="467"/>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履约保证金不予退还情形：出现合同约定的不予退还情形。</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履约保证金不予退还的，将按照有关规定上缴国库。逾期退还履约保证金的，将依法</w:t>
      </w:r>
      <w:r>
        <w:rPr>
          <w:rFonts w:hint="eastAsia" w:ascii="宋体" w:hAnsi="宋体" w:cs="宋体"/>
          <w:color w:val="000000" w:themeColor="text1"/>
          <w:sz w:val="24"/>
          <w:szCs w:val="24"/>
          <w:highlight w:val="none"/>
          <w:lang w:val="zh-CN"/>
          <w14:textFill>
            <w14:solidFill>
              <w14:schemeClr w14:val="tx1"/>
            </w14:solidFill>
          </w14:textFill>
        </w:rPr>
        <w:t>承担法律责任，并赔偿投标人损失。</w:t>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（五）付款方式及时间：</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1、合同签订前，中标人向采购人支付合同总额3%的履约保证金；</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生效后15个工作日内，采购人在收到中标人提供的合法合规发票及相关凭证资料后，以银行转账方式支付合同总金额的30%合同款（以合同约定为准）；在货物验收合格后15个工作日内，采购人在收到中标人提供的合法合规发票及相关凭证资料后，以银行转账方式支付至合同总金额的100%合同款（以合同约定为准）。</w:t>
      </w:r>
    </w:p>
    <w:p>
      <w:pPr>
        <w:spacing w:line="360" w:lineRule="auto"/>
        <w:ind w:firstLine="48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（六）售后服务</w:t>
      </w:r>
    </w:p>
    <w:p>
      <w:pPr>
        <w:pStyle w:val="23"/>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1、保修期：不少于3年（技术参数另有要求的除外）。保修期期内提供7×24小时维修电话服务。易损配件及零件储备期不少于5年。</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2、支持重大故障或特殊故障的紧急远程或现场抢修。一般故障，30分钟响应、4小时内到场、24小时内维修完毕；重大故障或特殊故障，30分钟响应、4小时内到场、72小时维修完毕。</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3、未经采购人同意，维修维护使用的备品备件及易损件，不得为非原厂件。</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4、中标人需建立相应的售后维护档案，每次故障维修提交报告，并提出预防性维护措施，记录每次故障响应服务和预防性维护的详细情况。</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5、中标人需建立专门的回访制度，设立专职服务人员，为采购人提供至少每季度一次的回访、技术咨询和技术培训等服务。</w:t>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（七）验收要求</w:t>
      </w:r>
    </w:p>
    <w:p>
      <w:pPr>
        <w:ind w:firstLine="480" w:firstLineChars="200"/>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在合同约定内容全部履行完毕后，采购人按验收标准进行验收。</w:t>
      </w:r>
    </w:p>
    <w:p>
      <w:pPr>
        <w:pStyle w:val="23"/>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验收内容如下：</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1.履约验收主体：眉山市消防救援支队</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2.履约验收时间：合同履约完成后15个工作日内。</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3.验收组织方式：自行验收</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4.履约验收程序：一次性验收</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5.服务履约验收内容：按照本项目招标文件中“技术参数要求”及中标人投标文件等进行验收。</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6.商务履约验收内容：按照本项目招标文件中“商务要求”及中标人投标文件进行验收。</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7.履约验收标准：按照《财政部关于进一步加强政府采购需求和履约验收管理的指导意见》（财库〔2016〕205号）等政府采购相关法律法规的要求进行。</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8、</w:t>
      </w:r>
      <w:r>
        <w:rPr>
          <w:rFonts w:hint="eastAsia" w:ascii="宋体" w:hAnsi="宋体" w:cs="宋体"/>
          <w:bCs/>
          <w:color w:val="000000" w:themeColor="text1"/>
          <w:sz w:val="24"/>
          <w:szCs w:val="24"/>
          <w:highlight w:val="none"/>
          <w14:textFill>
            <w14:solidFill>
              <w14:schemeClr w14:val="tx1"/>
            </w14:solidFill>
          </w14:textFill>
        </w:rPr>
        <w:t>中标人在验收前应制定详细验收方案报采购单位审核同意后，派出工作人员，对产品中各项参数尽可能采取非破坏性或其他方式严格验证，确保产品质量。相关费用包含于投标报价中。</w:t>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（八）其他要求</w:t>
      </w:r>
    </w:p>
    <w:p>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pPr>
        <w:spacing w:line="360" w:lineRule="auto"/>
        <w:ind w:firstLine="482" w:firstLineChars="200"/>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2、政府采购合同签订前，中标人须将投标文件中关于技术参数的佐证材料原件交于采购人复核，若未在规定时间内提供的，采购人将以投标人涉嫌虚假响应报告财政部门。</w:t>
      </w:r>
    </w:p>
    <w:bookmarkEnd w:id="334"/>
    <w:bookmarkEnd w:id="335"/>
    <w:bookmarkEnd w:id="336"/>
    <w:bookmarkEnd w:id="337"/>
    <w:bookmarkEnd w:id="338"/>
    <w:bookmarkEnd w:id="339"/>
    <w:bookmarkEnd w:id="340"/>
    <w:bookmarkEnd w:id="341"/>
    <w:bookmarkEnd w:id="342"/>
    <w:bookmarkEnd w:id="343"/>
    <w:bookmarkEnd w:id="344"/>
    <w:bookmarkEnd w:id="345"/>
    <w:bookmarkEnd w:id="346"/>
    <w:p>
      <w:pPr>
        <w:pStyle w:val="23"/>
        <w:spacing w:after="0" w:line="360" w:lineRule="auto"/>
        <w:ind w:firstLine="482" w:firstLineChars="200"/>
        <w:rPr>
          <w:rFonts w:hint="eastAsia" w:ascii="宋体" w:hAnsi="宋体" w:cs="宋体"/>
          <w:b/>
          <w:bCs/>
          <w:color w:val="000000" w:themeColor="text1"/>
          <w:sz w:val="24"/>
          <w:szCs w:val="24"/>
          <w:highlight w:val="none"/>
          <w14:textFill>
            <w14:solidFill>
              <w14:schemeClr w14:val="tx1"/>
            </w14:solidFill>
          </w14:textFill>
        </w:rPr>
      </w:pPr>
      <w:bookmarkStart w:id="348" w:name="_Toc7747"/>
      <w:bookmarkStart w:id="349" w:name="_Toc426657604"/>
      <w:bookmarkStart w:id="350" w:name="_Toc3231"/>
      <w:bookmarkStart w:id="351" w:name="_Toc27529"/>
      <w:bookmarkStart w:id="352" w:name="_Toc32645"/>
      <w:bookmarkStart w:id="353" w:name="_Toc208849007"/>
      <w:bookmarkStart w:id="354" w:name="_Toc183682415"/>
      <w:bookmarkStart w:id="355" w:name="_Toc183582280"/>
      <w:bookmarkStart w:id="356" w:name="_Toc217446097"/>
    </w:p>
    <w:p>
      <w:pPr>
        <w:pStyle w:val="23"/>
        <w:spacing w:after="0" w:line="360" w:lineRule="auto"/>
        <w:ind w:firstLine="482" w:firstLineChars="20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注：1、★项为实质性要求，不允许负偏离</w:t>
      </w:r>
      <w:r>
        <w:rPr>
          <w:rFonts w:ascii="仿宋" w:hAnsi="仿宋" w:eastAsia="仿宋" w:cs="仿宋"/>
          <w:spacing w:val="-4"/>
          <w:sz w:val="24"/>
          <w:szCs w:val="24"/>
        </w:rPr>
        <w:t>，</w:t>
      </w:r>
      <w:r>
        <w:rPr>
          <w:rFonts w:hint="eastAsia" w:ascii="宋体" w:hAnsi="宋体" w:cs="宋体"/>
          <w:b/>
          <w:bCs/>
          <w:color w:val="000000" w:themeColor="text1"/>
          <w:sz w:val="24"/>
          <w:szCs w:val="24"/>
          <w:highlight w:val="none"/>
          <w14:textFill>
            <w14:solidFill>
              <w14:schemeClr w14:val="tx1"/>
            </w14:solidFill>
          </w14:textFill>
        </w:rPr>
        <w:t>招标文件已要求提供证明材料的，按照要求提供；未要求提供证明材料的，投标人可以以应答或承诺方式响应，也可提供证明材料佐证。</w:t>
      </w:r>
    </w:p>
    <w:p>
      <w:pPr>
        <w:pStyle w:val="23"/>
        <w:spacing w:after="0"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2、</w:t>
      </w:r>
      <w:r>
        <w:rPr>
          <w:rFonts w:hint="eastAsia" w:ascii="宋体" w:hAnsi="宋体" w:cs="宋体"/>
          <w:b/>
          <w:bCs/>
          <w:color w:val="000000" w:themeColor="text1"/>
          <w:sz w:val="24"/>
          <w:szCs w:val="24"/>
          <w:highlight w:val="none"/>
          <w14:textFill>
            <w14:solidFill>
              <w14:schemeClr w14:val="tx1"/>
            </w14:solidFill>
          </w14:textFill>
        </w:rPr>
        <w:t>▲项为重要参数，无标记项为一般参数（技术参数中有要求提供证明材料的，还应按要求提供证明材料），若为负偏离将作不同分值的扣分(详见各标包评分明细表)。</w:t>
      </w:r>
    </w:p>
    <w:p>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、带有“▲”标志的技术参数指标，需提供国家认可的具备相关资质的第三方检测机构出具的检测检验报告佐证（技术参数中另有要求提供其它证明材料的除外），所提供的检测（检验）报告应完整有效。</w:t>
      </w:r>
    </w:p>
    <w:p>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cs="宋体"/>
          <w:b/>
          <w:bCs/>
          <w:color w:val="000000" w:themeColor="text1"/>
          <w:sz w:val="24"/>
          <w:szCs w:val="24"/>
          <w:highlight w:val="none"/>
          <w14:textFill>
            <w14:solidFill>
              <w14:schemeClr w14:val="tx1"/>
            </w14:solidFill>
          </w14:textFill>
        </w:rPr>
        <w:t>、响应内容与所提供检测报告不一致的内容，以检测报告为准。</w:t>
      </w:r>
    </w:p>
    <w:p>
      <w:pPr>
        <w:pStyle w:val="3"/>
        <w:spacing w:before="0" w:after="0" w:line="360" w:lineRule="auto"/>
        <w:ind w:firstLine="640"/>
        <w:jc w:val="cente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r>
      <w:r>
        <w:rPr>
          <w:rFonts w:hint="eastAsia" w:ascii="宋体" w:hAnsi="宋体" w:cs="宋体"/>
          <w:color w:val="000000" w:themeColor="text1"/>
          <w:sz w:val="32"/>
          <w:szCs w:val="32"/>
          <w:highlight w:val="none"/>
          <w14:textFill>
            <w14:solidFill>
              <w14:schemeClr w14:val="tx1"/>
            </w14:solidFill>
          </w14:textFill>
        </w:rPr>
        <w:t>第七章  评标办法</w:t>
      </w:r>
      <w:bookmarkEnd w:id="348"/>
      <w:bookmarkEnd w:id="349"/>
      <w:bookmarkEnd w:id="350"/>
      <w:bookmarkEnd w:id="351"/>
      <w:bookmarkEnd w:id="352"/>
    </w:p>
    <w:p>
      <w:pPr>
        <w:pStyle w:val="4"/>
        <w:spacing w:before="0" w:after="0" w:line="360" w:lineRule="auto"/>
        <w:ind w:firstLine="480"/>
        <w:rPr>
          <w:rFonts w:ascii="宋体" w:hAnsi="宋体" w:eastAsia="宋体" w:cs="宋体"/>
          <w:bCs w:val="0"/>
          <w:color w:val="000000" w:themeColor="text1"/>
          <w:sz w:val="24"/>
          <w:szCs w:val="24"/>
          <w:highlight w:val="none"/>
          <w14:textFill>
            <w14:solidFill>
              <w14:schemeClr w14:val="tx1"/>
            </w14:solidFill>
          </w14:textFill>
        </w:rPr>
      </w:pPr>
      <w:bookmarkStart w:id="357" w:name="_Toc426648272"/>
      <w:bookmarkStart w:id="358" w:name="_Toc15353"/>
      <w:bookmarkStart w:id="359" w:name="_Toc21845"/>
      <w:bookmarkStart w:id="360" w:name="_Toc426657605"/>
      <w:bookmarkStart w:id="361" w:name="_Toc217446060"/>
      <w:r>
        <w:rPr>
          <w:rFonts w:hint="eastAsia" w:ascii="宋体" w:hAnsi="宋体" w:eastAsia="宋体" w:cs="宋体"/>
          <w:color w:val="000000" w:themeColor="text1"/>
          <w:sz w:val="24"/>
          <w:szCs w:val="24"/>
          <w:highlight w:val="none"/>
          <w14:textFill>
            <w14:solidFill>
              <w14:schemeClr w14:val="tx1"/>
            </w14:solidFill>
          </w14:textFill>
        </w:rPr>
        <w:t>1. 总则</w:t>
      </w:r>
      <w:bookmarkEnd w:id="357"/>
      <w:bookmarkEnd w:id="358"/>
      <w:bookmarkEnd w:id="359"/>
      <w:bookmarkEnd w:id="360"/>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362" w:name="_Toc217446098"/>
      <w:r>
        <w:rPr>
          <w:rFonts w:hint="eastAsia" w:ascii="宋体" w:hAnsi="宋体" w:cs="宋体"/>
          <w:color w:val="000000" w:themeColor="text1"/>
          <w:sz w:val="24"/>
          <w:szCs w:val="24"/>
          <w:highlight w:val="none"/>
          <w14:textFill>
            <w14:solidFill>
              <w14:schemeClr w14:val="tx1"/>
            </w14:solidFill>
          </w14:textFill>
        </w:rPr>
        <w:t>1.1 根据《中华人民共和国政府采购法》、《中华人民共和国政府采购法实施条例》、《政府采购货物和服务招标投标管理办法》等法律制度，结合采购项目特点制定本评标办法。</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 </w:t>
      </w:r>
      <w:r>
        <w:rPr>
          <w:rFonts w:hint="eastAsia" w:ascii="宋体" w:hAnsi="宋体" w:cs="宋体"/>
          <w:bCs/>
          <w:color w:val="000000" w:themeColor="text1"/>
          <w:sz w:val="24"/>
          <w:szCs w:val="24"/>
          <w:highlight w:val="none"/>
          <w14:textFill>
            <w14:solidFill>
              <w14:schemeClr w14:val="tx1"/>
            </w14:solidFill>
          </w14:textFill>
        </w:rPr>
        <w:t>评标工作由采购代理机构负责组织，具体评标事务由采购代理机构依法组建的评标委员会负责。评标委员会由采购人代表和有关技术、经济、法律等方面的专家组成。</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 评标工作应遵循公平、公正、科学及择优的原则，并以相同的评标程序和标准对待所有的投标人。</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评标委员会按照招标文件规定的评标方法和标准进行评标，并独立履行下列职责：</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（一）熟悉和理解招标文件；</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（二）审查投标人投标文件等是否满足招标文件要求，并作出评价；</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（三）根据需要要求招标采购单位对招标文件作出解释；根据需要要求投标人对投标文件有关事项作出澄清、说明或者补正；</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（四）推荐中标候选人；</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（五）起草评标报告并进行签署；</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（六）向招标采购单位、财政部门或者其他监督部门报告非法干预评标工作的行为；</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（七）法律、法规和规章规定的其他职责。</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 评标过程独立、保密。投标人非法干预评标过程的行为将导致其投标文件作为无效处理。</w:t>
      </w:r>
    </w:p>
    <w:p>
      <w:pPr>
        <w:spacing w:line="360" w:lineRule="auto"/>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1.6评标委员会评价投标文件的响应性，对于投标人而言，除评标委员会要求其澄清、说明或者补正而提供的资料外，仅依据投标文件本身的内容，不寻求其他外部证据。</w:t>
      </w:r>
    </w:p>
    <w:bookmarkEnd w:id="362"/>
    <w:p>
      <w:pPr>
        <w:pStyle w:val="5"/>
        <w:spacing w:before="0" w:after="0" w:line="360" w:lineRule="auto"/>
        <w:ind w:firstLine="480"/>
        <w:rPr>
          <w:rFonts w:ascii="宋体" w:hAnsi="宋体" w:cs="宋体"/>
          <w:color w:val="000000" w:themeColor="text1"/>
          <w:sz w:val="24"/>
          <w:szCs w:val="24"/>
          <w:highlight w:val="none"/>
          <w14:textFill>
            <w14:solidFill>
              <w14:schemeClr w14:val="tx1"/>
            </w14:solidFill>
          </w14:textFill>
        </w:rPr>
      </w:pPr>
      <w:bookmarkStart w:id="363" w:name="_Toc426648276"/>
      <w:bookmarkStart w:id="364" w:name="_Toc426657610"/>
      <w:bookmarkStart w:id="365" w:name="_Toc12304"/>
      <w:r>
        <w:rPr>
          <w:rFonts w:hint="eastAsia" w:ascii="宋体" w:hAnsi="宋体" w:cs="宋体"/>
          <w:color w:val="000000" w:themeColor="text1"/>
          <w:sz w:val="24"/>
          <w:szCs w:val="24"/>
          <w:highlight w:val="none"/>
          <w14:textFill>
            <w14:solidFill>
              <w14:schemeClr w14:val="tx1"/>
            </w14:solidFill>
          </w14:textFill>
        </w:rPr>
        <w:t>2、评标方法</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本项目评标方法为：综合评分法。</w:t>
      </w:r>
    </w:p>
    <w:p>
      <w:pPr>
        <w:pStyle w:val="5"/>
        <w:spacing w:before="0" w:after="0" w:line="360" w:lineRule="auto"/>
        <w:ind w:firstLine="480"/>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3、评标程序</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366" w:name="_Toc217446103"/>
      <w:r>
        <w:rPr>
          <w:rFonts w:hint="eastAsia" w:ascii="宋体" w:hAnsi="宋体" w:cs="宋体"/>
          <w:color w:val="000000" w:themeColor="text1"/>
          <w:sz w:val="24"/>
          <w:szCs w:val="24"/>
          <w:highlight w:val="none"/>
          <w14:textFill>
            <w14:solidFill>
              <w14:schemeClr w14:val="tx1"/>
            </w14:solidFill>
          </w14:textFill>
        </w:rPr>
        <w:t>3.1熟悉和理解招标文件和停止评标。</w:t>
      </w:r>
    </w:p>
    <w:p>
      <w:pPr>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3.1.1评标委员会正式评标前，应当对招标文件进行熟悉和理解，内容主要包括招标文件中投标人的采购项目技术、服务和商务要求、评标方法和标准以及可能涉及签订政府采购合同的内容等。</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3.1.2评标委员会熟悉和理解招标文件以及评标过程中，发现本招标文件有下列情形之一的，评标委员会应当停止评标：</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（1）招标文件的规定存在歧义、重大缺陷的；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（2）招标文件明显以不合理条件对投标人实行差别待遇或者歧视待遇的；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（3）采购项目属于国家规定的优先、强制采购范围，但是招标文件未依法体现优先、强制采购相关规定的；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（4）采购项目属于政府采购促进中小企业发展的范围，但是招标文件未依法体现促进中小企业发展相关规定的；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（5）招标文件规定的评标方法是综合评分法之外的评标方法，或者虽然名称为综合评分法，但实际上不符合国家规定；</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（6）招标文件将投标人的资格条件列为评分因素的；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（7）招标文件有违反国家其他有关强制性规定的情形。</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3.1.3出现本条3.1.2规定应当停止评标情形的，评标委员会成员应当向招标采购单位书面说明情况。除本条规定和评标委员会无法依法组建的情形外，评标委员会成员不得以任何方式和理由停止评标。</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3.2资格性检查。</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采购人或者采购代理机构应依据法律法规和本招标文件的规定，对投标文件是否按照规定要求提供资格性证明材料、是否属于禁止参加投标的投标人等进行审查，以确定投标人是否具备投标资格。</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3.3符合性检查。</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评标委员会依据本招标文件的实质性要求，对符合资格的投标文件进行审查，以确定其是否满足本招标文件的实质性要求。本项目符合性审查事项仅限于本招标文件的明确规定。投标文件是否满足招标文件的实质性要求，必须以本招标文件的明确规定作为依据，否则，不能对投标文件作为无效处理，评标委员会不得臆测符合性审查事项。</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3.3.2投标文件（包括单独递交的开标一览表）有下列情形的，本项目不作为实质性要求进行规定，即不作为符合性审查事项，不得作为无效投标处理：</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（一）正副本数量齐全、密封完好，只是未按照招标文件要求进行分装或者统装的；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（二）存在个别地方（不超过2个）没有法定代表人签字，但有法定代表人的私人印章或者有效授权代理人签字的；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（三）除招标文件明确要求加盖单位(法人)公章的以外，其他地方以相关专用章加盖的；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（四）以骑缝章的形式代替投标文件内容逐页盖章的（但是骑缝章模糊不清，印章名称无法辨认的除外）；</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（五）其他不影响采购项目实质性要求的情形。</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3.3.3除政府采购法律制度规定的情形外，本项目投标人或者其投标文件有下列情形之一的，作为无效投标处理：</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（一）投标文件正副本数量不足的或无单独递交的“开标一览表”和投标文件电子文档的。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（二）投标文件组成明显不符合招标文件的规定要求，影响评标委员会评判的；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（三）投标文件的格式、语言、计量单位、报价货币、知识产权、投标有效期等不符合招标文件的规定，影响评标委员会评判的；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（四）投标报价不符合招标文件规定的价格标底和其他报价规定的；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技术应答内容完全或者绝大部分复制招标文件规定要求，且无相关证明材料的（主要适用于专用设备和电子信息化建设采购项目，政府采购工程、政府采购协议供货或定点供应商采购、政府采购的货物属于规格标准统一或者订制产品及服务项目的除外）；</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（六）技术、服务应答内容没有完全响应招标文件的实质性要求的；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（七）招标文件有明确要求，但投标文件未载明或者载明的采购项目履约时间、方式、数量与招标文件要求不一致的。</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3.4比较与评价。按招标文件中规定的评标方法和标准，对未作无效投标处理的投标文件进行技术、服务、商务等方面评估，综合比较与评价。</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3.5复核。评分汇总结束后，评标委员会应当进行复核，特别要对拟推荐为中标候选人的、报价最低的、投标文件被认定为无效的进行重点复核。</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推荐3家及以上中标候选人。中标候选人应当排序。评标结果按评审后得分由高到低顺序排列；在得分相同时，按投标报价由低到高顺序排列；得分且投标报价相同的并列，投标文件满足招标文件全部实质性要求且按照评审因素的量化指标评审得分最高的投标人为中标候选人；报价相同且满足招标文件全部实质性要求且按照评审因素的量化指标评审得分也相同的，若存在不发达地区或少数民族地区投标人，优先选择该投标人，若不存在，则并列,由采购人自主采取公平、择优的方式选择中标人。</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标委员会可推荐的中标候选人数量不能满足招标文件规定的数量的，只有在获得采购人书面同意后，可以根据实际情况推荐中标候选人。未获得采购人的书面同意,评标委员会不得在招标文件规定之外推荐中标候选人，否则，采购人可不予认可。</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3.7出具评标报告。评标委员会推荐中标候选人后，应当向招标采购单位出具评标报告。评标报告应当包括下列内容：</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（一）招标公告刊登的媒体名称、开标日期和地点；</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（二）获取招标文件的投标人名单和评标委员会成员名单；</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（三）评标方法和标准；</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（四）开标记录和评标情况及说明，包括无效投标人名单及原因；</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（五）评标结果和中标候选人排序表；</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（六）评标委员会授标建议；</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（七）报价最高的投标人为中标候选人的，评标委员会应当对其报价的合理性予以特别说明。</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3.8评标争议处理规则。评标委员会在评审过程中，对于符合性审查、对投标人投标文件做无效投标处理及其他需要共同认定的事项存在争议的，应当以少数服从多数的原则做出结论，但不得违背法律法规和招标文件规定。有不同意见的评标委员会成员认为认定过程和结果不符合法律法规或者招标文件规定的，应当及时向招标采购单位书面反映。招标采购单位收到书面反映后，应当书面报告采购项目同级财政部门依法处理。</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3.9投标人应当书面澄清、说明或者补正。</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3.9.1在评标过程中，对于投标文件中含义不明确、同类问题表述不一致或者有明显文字和计算错误的内容，评标委员会应当以书面形式要求投标人作出必要的澄清、说明或者补正。</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3.9.2投标人应当书面澄清、说明或者补正，并加盖公章或签字确认（投标人为法人的，应当由其法定代表人或者代理人签字确认；投标人为其他组织的，应当由其主要负责人或者代理人签字确认；投标人为自然人的，应当由其本人或者代理人签字确认），否则无效。澄清、说明或者补正不影响投标文件的效力，有效的澄清、说明或者补正材料，是投标文件的组成部分。</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3.9.3评标委员会要求投标人澄清、说明或者补正，不得超出招标文件的范围，不得以此让投标人实质改变投标文件的内容，不得影响投标人公平竞争。本项目下列内容不得澄清：</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（一）按财政部规定应当在评标时不予承认的投标文件内容事项；</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（二）投标文件中已经明确的内容事项；</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（三）投标文件未提供的材料。</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3.9.4 本项目采购过程中，投标文件出现下列情况的，不需要投标人澄清、说明或者补正，按照以下原则处理：</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（一）投标文件的大写金额和小写金额不一致的，以大写金额为准，但大写金额出现文字错误，导致金额无法判断的除外；</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（二）总价金额与按单价汇总金额不一致的，以单价汇总金额计算结果为准，但是单价金额出现计算错误、明显人为工作失误的除外；</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（三）单价金额小数点有明显错位的，应以总价为准，并修改单价；</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（四）对不同语言文本投标文件的解释发生异议的，以中文文本为准。</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本条第（二）项规定情形，单价汇总金额比总价金额高，且超过政府采购预算或者本项目最高限价的，投标人投标文件应作为无效投标处理；单价汇总金额比总价金额高，但未超过政府采购预算或者本项目最高限价的，应以单价汇总金额作为价格评分依据。</w:t>
      </w:r>
    </w:p>
    <w:p>
      <w:pPr>
        <w:spacing w:line="360" w:lineRule="auto"/>
        <w:ind w:firstLine="482"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注：评标委员会当积极履行澄清、说明或者补正的职责，不得滥用权力。投标人的投标文件可以要求澄清、说明或者补正的，不得未经澄清、说明或者补正而直接作无效投标处理。</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3.10 低于成本价投标处理。在评标过程中，</w:t>
      </w:r>
      <w:r>
        <w:rPr>
          <w:rFonts w:hint="eastAsia" w:cs="宋体"/>
          <w:color w:val="000000" w:themeColor="text1"/>
          <w:highlight w:val="none"/>
          <w:lang w:val="zh-CN"/>
          <w14:textFill>
            <w14:solidFill>
              <w14:schemeClr w14:val="tx1"/>
            </w14:solidFill>
          </w14:textFill>
        </w:rPr>
        <w:t>评审委员会认为投标人的报价明显低于成本价或其他</w:t>
      </w:r>
      <w:r>
        <w:rPr>
          <w:rFonts w:hint="eastAsia" w:cs="宋体"/>
          <w:color w:val="000000" w:themeColor="text1"/>
          <w:highlight w:val="none"/>
          <w14:textFill>
            <w14:solidFill>
              <w14:schemeClr w14:val="tx1"/>
            </w14:solidFill>
          </w14:textFill>
        </w:rPr>
        <w:t>投标人报价，有可能影响产品质量或者不能诚信履约的，评标委员会应当要求其在评标现场合理的时间内提供成本构成书面说明，并提交相关证明材料。投标人书面说明应当按照国家财务会计制度的规定要求，逐项就投标人提供的货物、工程和服务的主营业务成本（应根据投标人企业类型予以区别）、税金及附加、销售费用、管理费用、财务费用等成本构成事项详细陈述。</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投标人书面说明应当签字确认或者加盖公章，否则无效。书面说明的签字确认，投标人为法人的，由其法定代表人或者代理人签字确认；投标人为其他组织的，由其主要负责人或者代理人签字确认；投标人为自然人的，由其本人或者代理人签字确认。</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3.11 招标采购单位现场复核评标结果。</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3.11.1评标结果汇总完成后，评标委员会拟出具评标报告前，招标采购单位应当组织2名以上的本单位工作人员，在采购现场监督人员的监督之下，依据有关的法律制度和招标文件对评标结果进行复核，出具复核报告。存在下列情形之一的，招标采购单位应当根据情况书面建议评标委员会现场修改评标结果或者重新评标：</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（一）符合性审查认定错误的；</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（二）分值汇总计算错误的；</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（三）分项评分超出评分标准范围的；</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（四）客观评分不一致的。</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存在本条上述规定情形的，由评标委员会自主决定是否采纳招标采购单位的书面建议，并承担独立评审责任。评标委员会采纳招标采购单位书面建议的，应当按照规定现场修改评标结果或者重新评标，并在评标报告中详细记载有关事宜；不采纳招标采购单位书面建议的，应当书面说明理由。招标采购单位书面建议未被评标委员会采纳的，应当按照规定程序要求继续组织实施采购活动，不得擅自中止采购活动。招标采购单位认为评标委员会评标结果不合法的，应当书面报告采购项目同级财政部门依法处理。</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3.11.2有下列情形之一的，不得修改评标结果或者重新评标：</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（一）评标委员会已经出具评标报告并且离开评标现场的；</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（二）招标采购单位现场复核时，复核工作人员数量不足的；</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（三）招标采购单位现场复核时，没有采购监督人员现场监督的；</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（四）招标采购单位现场复核内容超出规定范围的；</w:t>
      </w:r>
    </w:p>
    <w:p>
      <w:pPr>
        <w:pStyle w:val="467"/>
        <w:spacing w:line="360" w:lineRule="auto"/>
        <w:ind w:firstLine="480" w:firstLineChars="20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（五）招标采购单位未提供书面建议的。</w:t>
      </w:r>
    </w:p>
    <w:p>
      <w:pPr>
        <w:pStyle w:val="5"/>
        <w:spacing w:before="0" w:after="0"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4、评标细则及标准</w:t>
      </w:r>
      <w:bookmarkEnd w:id="366"/>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4.1本次综合评分的因素是：详见综合评分明细表。</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4.2综合评分明细表</w:t>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标包</w:t>
      </w:r>
      <w:r>
        <w:rPr>
          <w:rFonts w:hint="eastAsia" w:ascii="宋体" w:hAnsi="宋体" w:cs="宋体"/>
          <w:b/>
          <w:bCs/>
          <w:color w:val="000000" w:themeColor="text1"/>
          <w:sz w:val="24"/>
          <w:highlight w:val="none"/>
          <w:lang w:val="en-US" w:eastAsia="zh-CN"/>
          <w14:textFill>
            <w14:solidFill>
              <w14:schemeClr w14:val="tx1"/>
            </w14:solidFill>
          </w14:textFill>
        </w:rPr>
        <w:t>一、</w:t>
      </w:r>
      <w:r>
        <w:rPr>
          <w:rFonts w:hint="eastAsia" w:ascii="宋体" w:hAnsi="宋体" w:cs="宋体"/>
          <w:b/>
          <w:bCs/>
          <w:color w:val="000000" w:themeColor="text1"/>
          <w:sz w:val="24"/>
          <w:szCs w:val="24"/>
          <w:highlight w:val="none"/>
          <w14:textFill>
            <w14:solidFill>
              <w14:schemeClr w14:val="tx1"/>
            </w14:solidFill>
          </w14:textFill>
        </w:rPr>
        <w:t>照明类</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w:t>
      </w:r>
    </w:p>
    <w:tbl>
      <w:tblPr>
        <w:tblStyle w:val="5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3"/>
        <w:gridCol w:w="1517"/>
        <w:gridCol w:w="874"/>
        <w:gridCol w:w="61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序号</w:t>
            </w:r>
          </w:p>
        </w:tc>
        <w:tc>
          <w:tcPr>
            <w:tcW w:w="793"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评分因素及权重</w:t>
            </w:r>
          </w:p>
        </w:tc>
        <w:tc>
          <w:tcPr>
            <w:tcW w:w="457"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分值</w:t>
            </w:r>
          </w:p>
        </w:tc>
        <w:tc>
          <w:tcPr>
            <w:tcW w:w="3213"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793"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报价</w:t>
            </w:r>
          </w:p>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w:t>
            </w:r>
          </w:p>
          <w:p>
            <w:pPr>
              <w:pStyle w:val="23"/>
              <w:spacing w:line="360" w:lineRule="auto"/>
              <w:jc w:val="center"/>
              <w:rPr>
                <w:rFonts w:ascii="宋体" w:hAnsi="宋体" w:cs="宋体"/>
                <w:color w:val="000000" w:themeColor="text1"/>
                <w:sz w:val="24"/>
                <w:szCs w:val="24"/>
                <w:highlight w:val="none"/>
                <w14:textFill>
                  <w14:solidFill>
                    <w14:schemeClr w14:val="tx1"/>
                  </w14:solidFill>
                </w14:textFill>
              </w:rPr>
            </w:pPr>
          </w:p>
        </w:tc>
        <w:tc>
          <w:tcPr>
            <w:tcW w:w="457"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30分</w:t>
            </w:r>
          </w:p>
        </w:tc>
        <w:tc>
          <w:tcPr>
            <w:tcW w:w="3213" w:type="pct"/>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满足招标文件要求且投标价格最低的报价为基准价，其价格分为满分。其他投标人的价格分统一按照下列公式计算：报价得分=(基准价／报价)* 30%*100</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注：对小型和微型企业、监狱企业、残疾人福利性单位</w:t>
            </w:r>
            <w:r>
              <w:rPr>
                <w:rFonts w:hint="eastAsia" w:hAnsi="宋体" w:cs="宋体"/>
                <w:color w:val="000000" w:themeColor="text1"/>
                <w:sz w:val="24"/>
                <w:szCs w:val="24"/>
                <w:highlight w:val="none"/>
                <w14:textFill>
                  <w14:solidFill>
                    <w14:schemeClr w14:val="tx1"/>
                  </w14:solidFill>
                </w14:textFill>
              </w:rPr>
              <w:t>提供</w:t>
            </w:r>
            <w:r>
              <w:rPr>
                <w:rFonts w:hint="eastAsia" w:hAnsi="宋体" w:cs="宋体"/>
                <w:color w:val="000000" w:themeColor="text1"/>
                <w:sz w:val="24"/>
                <w:szCs w:val="24"/>
                <w:highlight w:val="none"/>
                <w:lang w:val="en-US" w:eastAsia="zh-CN"/>
                <w14:textFill>
                  <w14:solidFill>
                    <w14:schemeClr w14:val="tx1"/>
                  </w14:solidFill>
                </w14:textFill>
              </w:rPr>
              <w:t>产品</w:t>
            </w:r>
            <w:r>
              <w:rPr>
                <w:rFonts w:hint="eastAsia" w:ascii="宋体" w:hAnsi="宋体" w:cs="宋体"/>
                <w:color w:val="000000" w:themeColor="text1"/>
                <w:sz w:val="24"/>
                <w:szCs w:val="24"/>
                <w:highlight w:val="none"/>
                <w14:textFill>
                  <w14:solidFill>
                    <w14:schemeClr w14:val="tx1"/>
                  </w14:solidFill>
                </w14:textFill>
              </w:rPr>
              <w:t>的价格给予10%的扣除，用扣除后的价格参与评审【须提供中小企业、残疾人福利性单位声明函、监狱企业相关证明材料】。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793"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技术</w:t>
            </w:r>
          </w:p>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40%</w:t>
            </w:r>
          </w:p>
        </w:tc>
        <w:tc>
          <w:tcPr>
            <w:tcW w:w="457"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40分</w:t>
            </w:r>
          </w:p>
        </w:tc>
        <w:tc>
          <w:tcPr>
            <w:tcW w:w="3213" w:type="pct"/>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投标人针对招标文件技术参数条款的响应得分规则如下：</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【①技术条款以序号1、2、3……为单位；②序号中未标注“</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”的条款，视为一般技术参数条款；③序号中标注“</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 xml:space="preserve">”的条款，视为重要技术参数条款。】 </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1、投标人针对招标文件一般技术参数条款的响应得分规则如下：</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满足或优于该指标得0.1分，不满足不得分，共计76项，共计7.6分。</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2、投标人针对招标文件“</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”技术参数条款的响应得分规则如下：</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满足或优于该指标得1.8分，不满足不得分，共计18项，共计32.4分。</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若技术要求中需要提供相关证明材料，未提供视为未响应。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793"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样品10%</w:t>
            </w:r>
          </w:p>
        </w:tc>
        <w:tc>
          <w:tcPr>
            <w:tcW w:w="457"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10分</w:t>
            </w:r>
          </w:p>
        </w:tc>
        <w:tc>
          <w:tcPr>
            <w:tcW w:w="3213" w:type="pct"/>
            <w:vAlign w:val="center"/>
          </w:tcPr>
          <w:p>
            <w:pPr>
              <w:pStyle w:val="23"/>
              <w:spacing w:after="0"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评标委员会通过感官、触摸、测试、破坏、试用、对比等方式，考评投标产品的①材质；②制作工艺水平；③结构合理、操作便利；④有无操作安全隐患。样品各项性能完备的得 5 分，样品每有一项或一处存在缺陷的，扣1.25 分，扣完为止。</w:t>
            </w:r>
          </w:p>
          <w:p>
            <w:pPr>
              <w:pStyle w:val="23"/>
              <w:spacing w:after="0" w:line="360" w:lineRule="auto"/>
              <w:rPr>
                <w:rFonts w:hint="eastAsia"/>
                <w:color w:val="000000" w:themeColor="text1"/>
                <w:highlight w:val="none"/>
                <w:lang w:val="en-US"/>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每个样品本项最高得5分，本项共2个样品，最高得分为10分。</w:t>
            </w:r>
          </w:p>
          <w:p>
            <w:pPr>
              <w:pStyle w:val="23"/>
              <w:spacing w:after="0" w:line="360" w:lineRule="auto"/>
              <w:rPr>
                <w:rFonts w:hint="eastAsia"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缺陷是指存在下述任意一种情形：①材质不符合技术参数要求。②表面有污点或毛刺。③未体现产品的技术实现路径或体现的技术实现路径非产品本身直接实现，如需外接设备实现或通过其他方式转换实现等情形。④存在操作安全隐患。⑤功能不满足技术参数中所列功能要求。⑥有刺鼻异味。⑦颜色不均匀，有色差。⑧表面有刮花或瑕疵。</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\o\ac(○,9)</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产品开关把手或配件等安装连接时操作不顺畅、卡顿等</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\o\ac(○,10)</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接口连接不平滑或有损伤或有结疤或裂痕。</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注：投标人须按要求送样，凡样品出现下列任一情况的该样品得分均为</w:t>
            </w:r>
            <w:r>
              <w:rPr>
                <w:rFonts w:hint="default"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cs="宋体"/>
                <w:color w:val="000000" w:themeColor="text1"/>
                <w:sz w:val="24"/>
                <w:szCs w:val="24"/>
                <w:highlight w:val="none"/>
                <w:lang w:val="en-US" w:eastAsia="zh-CN"/>
                <w14:textFill>
                  <w14:solidFill>
                    <w14:schemeClr w14:val="tx1"/>
                  </w14:solidFill>
                </w14:textFill>
              </w:rPr>
              <w:t>分：①少送样品的；②错送样品的；③样品不符合招标文件送样要求的。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793" w:type="pct"/>
            <w:vAlign w:val="center"/>
          </w:tcPr>
          <w:p>
            <w:pPr>
              <w:pStyle w:val="23"/>
              <w:spacing w:after="0" w:line="360" w:lineRule="auto"/>
              <w:jc w:val="center"/>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技术培训</w:t>
            </w:r>
          </w:p>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w:t>
            </w:r>
            <w:r>
              <w:rPr>
                <w:rFonts w:hint="eastAsia" w:ascii="宋体" w:hAnsi="宋体" w:cs="宋体"/>
                <w:color w:val="000000" w:themeColor="text1"/>
                <w:sz w:val="24"/>
                <w:szCs w:val="24"/>
                <w:highlight w:val="none"/>
                <w:lang w:val="zh-TW" w:eastAsia="zh-TW"/>
                <w14:textFill>
                  <w14:solidFill>
                    <w14:schemeClr w14:val="tx1"/>
                  </w14:solidFill>
                </w14:textFill>
              </w:rPr>
              <w:t>%</w:t>
            </w:r>
          </w:p>
        </w:tc>
        <w:tc>
          <w:tcPr>
            <w:tcW w:w="457"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8分</w:t>
            </w:r>
          </w:p>
        </w:tc>
        <w:tc>
          <w:tcPr>
            <w:tcW w:w="3213" w:type="pct"/>
            <w:vAlign w:val="center"/>
          </w:tcPr>
          <w:p>
            <w:pPr>
              <w:pStyle w:val="23"/>
              <w:spacing w:after="0" w:line="360" w:lineRule="auto"/>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w:t>
            </w:r>
            <w:r>
              <w:rPr>
                <w:rFonts w:hint="eastAsia" w:ascii="宋体" w:hAnsi="宋体" w:cs="宋体"/>
                <w:color w:val="000000" w:themeColor="text1"/>
                <w:sz w:val="24"/>
                <w:szCs w:val="24"/>
                <w:highlight w:val="none"/>
                <w:lang w:val="zh-TW" w:eastAsia="zh-TW"/>
                <w14:textFill>
                  <w14:solidFill>
                    <w14:schemeClr w14:val="tx1"/>
                  </w14:solidFill>
                </w14:textFill>
              </w:rPr>
              <w:t>投标人针对本项目的技术培训方案进行评分，方案内容至少</w:t>
            </w:r>
            <w:r>
              <w:rPr>
                <w:rFonts w:hint="eastAsia" w:ascii="宋体" w:hAnsi="宋体" w:cs="宋体"/>
                <w:color w:val="000000" w:themeColor="text1"/>
                <w:sz w:val="24"/>
                <w:szCs w:val="24"/>
                <w:highlight w:val="none"/>
                <w14:textFill>
                  <w14:solidFill>
                    <w14:schemeClr w14:val="tx1"/>
                  </w14:solidFill>
                </w14:textFill>
              </w:rPr>
              <w:t>包括</w:t>
            </w:r>
            <w:r>
              <w:rPr>
                <w:rFonts w:hint="eastAsia" w:ascii="宋体" w:hAnsi="宋体" w:cs="宋体"/>
                <w:color w:val="000000" w:themeColor="text1"/>
                <w:sz w:val="24"/>
                <w:szCs w:val="24"/>
                <w:highlight w:val="none"/>
                <w:lang w:val="zh-TW" w:eastAsia="zh-TW"/>
                <w14:textFill>
                  <w14:solidFill>
                    <w14:schemeClr w14:val="tx1"/>
                  </w14:solidFill>
                </w14:textFill>
              </w:rPr>
              <w:t>①培训内容，②培训方式，③培训计划，④培训团队配备等。</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提供完整培训方案内容齐全，描述细致且完全满足本项目需求的得8分；每缺少一项扣2分；每有一处存在缺陷的扣1分，扣完为止。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793"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售后服务8%</w:t>
            </w:r>
          </w:p>
        </w:tc>
        <w:tc>
          <w:tcPr>
            <w:tcW w:w="457"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8分</w:t>
            </w:r>
          </w:p>
        </w:tc>
        <w:tc>
          <w:tcPr>
            <w:tcW w:w="3213" w:type="pct"/>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根据投标人针对本项目的售后服务方案进行评分，方案内容至少包括①服务承诺及响应方案，②备件（易耗品）供应方案，③服务人员配备及应急措施，④质保外服务措施等售后服务。</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提供完整售后服务方案且完全满足本项目需求的得8分；每缺少一项扣2分；每有一处存在缺陷的扣1分，扣完为止。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793" w:type="pct"/>
            <w:vAlign w:val="center"/>
          </w:tcPr>
          <w:p>
            <w:pPr>
              <w:pStyle w:val="23"/>
              <w:spacing w:after="0" w:line="360" w:lineRule="auto"/>
              <w:jc w:val="center"/>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类似业绩</w:t>
            </w:r>
          </w:p>
          <w:p>
            <w:pPr>
              <w:pStyle w:val="23"/>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zh-TW" w:eastAsia="zh-TW"/>
                <w14:textFill>
                  <w14:solidFill>
                    <w14:schemeClr w14:val="tx1"/>
                  </w14:solidFill>
                </w14:textFill>
              </w:rPr>
              <w:t>%</w:t>
            </w:r>
          </w:p>
        </w:tc>
        <w:tc>
          <w:tcPr>
            <w:tcW w:w="457"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3分</w:t>
            </w:r>
          </w:p>
        </w:tc>
        <w:tc>
          <w:tcPr>
            <w:tcW w:w="3213" w:type="pct"/>
            <w:vAlign w:val="center"/>
          </w:tcPr>
          <w:p>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投标人自</w:t>
            </w:r>
            <w:r>
              <w:rPr>
                <w:rFonts w:hint="eastAsia" w:ascii="宋体" w:hAnsi="宋体" w:cs="宋体"/>
                <w:color w:val="000000" w:themeColor="text1"/>
                <w:sz w:val="24"/>
                <w:szCs w:val="24"/>
                <w:highlight w:val="none"/>
                <w:lang w:val="zh-TW"/>
                <w14:textFill>
                  <w14:solidFill>
                    <w14:schemeClr w14:val="tx1"/>
                  </w14:solidFill>
                </w14:textFill>
              </w:rPr>
              <w:t>2021年1月1日（含）至今</w:t>
            </w:r>
            <w:r>
              <w:rPr>
                <w:rFonts w:hint="eastAsia" w:ascii="宋体" w:hAnsi="宋体" w:cs="宋体"/>
                <w:color w:val="000000" w:themeColor="text1"/>
                <w:sz w:val="24"/>
                <w:szCs w:val="24"/>
                <w:highlight w:val="none"/>
                <w:lang w:val="zh-TW" w:eastAsia="zh-TW"/>
                <w14:textFill>
                  <w14:solidFill>
                    <w14:schemeClr w14:val="tx1"/>
                  </w14:solidFill>
                </w14:textFill>
              </w:rPr>
              <w:t>，有1个</w:t>
            </w:r>
            <w:r>
              <w:rPr>
                <w:rFonts w:hint="eastAsia" w:ascii="宋体" w:hAnsi="宋体" w:cs="宋体"/>
                <w:color w:val="000000" w:themeColor="text1"/>
                <w:sz w:val="24"/>
                <w:szCs w:val="24"/>
                <w:highlight w:val="none"/>
                <w:lang w:val="en-US" w:eastAsia="zh-CN"/>
                <w14:textFill>
                  <w14:solidFill>
                    <w14:schemeClr w14:val="tx1"/>
                  </w14:solidFill>
                </w14:textFill>
              </w:rPr>
              <w:t>同类项目</w:t>
            </w:r>
            <w:r>
              <w:rPr>
                <w:rFonts w:hint="eastAsia" w:ascii="宋体" w:hAnsi="宋体" w:cs="宋体"/>
                <w:color w:val="000000" w:themeColor="text1"/>
                <w:sz w:val="24"/>
                <w:szCs w:val="24"/>
                <w:highlight w:val="none"/>
                <w:lang w:val="zh-TW" w:eastAsia="zh-TW"/>
                <w14:textFill>
                  <w14:solidFill>
                    <w14:schemeClr w14:val="tx1"/>
                  </w14:solidFill>
                </w14:textFill>
              </w:rPr>
              <w:t>供货业绩的得</w:t>
            </w:r>
            <w:r>
              <w:rPr>
                <w:rFonts w:hint="eastAsia" w:ascii="宋体" w:hAnsi="宋体" w:cs="宋体"/>
                <w:color w:val="000000" w:themeColor="text1"/>
                <w:sz w:val="24"/>
                <w:szCs w:val="24"/>
                <w:highlight w:val="none"/>
                <w14:textFill>
                  <w14:solidFill>
                    <w14:schemeClr w14:val="tx1"/>
                  </w14:solidFill>
                </w14:textFill>
              </w:rPr>
              <w:t>1.5</w:t>
            </w:r>
            <w:r>
              <w:rPr>
                <w:rFonts w:hint="eastAsia" w:ascii="宋体" w:hAnsi="宋体" w:cs="宋体"/>
                <w:color w:val="000000" w:themeColor="text1"/>
                <w:sz w:val="24"/>
                <w:szCs w:val="24"/>
                <w:highlight w:val="none"/>
                <w:lang w:val="zh-TW" w:eastAsia="zh-TW"/>
                <w14:textFill>
                  <w14:solidFill>
                    <w14:schemeClr w14:val="tx1"/>
                  </w14:solidFill>
                </w14:textFill>
              </w:rPr>
              <w:t>分，最高</w:t>
            </w: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zh-TW" w:eastAsia="zh-TW"/>
                <w14:textFill>
                  <w14:solidFill>
                    <w14:schemeClr w14:val="tx1"/>
                  </w14:solidFill>
                </w14:textFill>
              </w:rPr>
              <w:t>分。</w:t>
            </w:r>
          </w:p>
          <w:p>
            <w:pPr>
              <w:pStyle w:val="23"/>
              <w:spacing w:after="0" w:line="360" w:lineRule="auto"/>
              <w:rPr>
                <w:rFonts w:hint="eastAsia" w:ascii="宋体" w:hAnsi="宋体" w:cs="宋体"/>
                <w:color w:val="000000" w:themeColor="text1"/>
                <w:sz w:val="24"/>
                <w:szCs w:val="24"/>
                <w:highlight w:val="none"/>
                <w:lang w:val="zh-TW" w:eastAsia="zh-CN"/>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注：</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zh-TW" w:eastAsia="zh-TW"/>
                <w14:textFill>
                  <w14:solidFill>
                    <w14:schemeClr w14:val="tx1"/>
                  </w14:solidFill>
                </w14:textFill>
              </w:rPr>
              <w:t>提供每个业绩的合同复印件以及投标人与合同需求方</w:t>
            </w:r>
            <w:r>
              <w:rPr>
                <w:rFonts w:hint="eastAsia" w:ascii="宋体" w:hAnsi="宋体" w:cs="宋体"/>
                <w:color w:val="000000" w:themeColor="text1"/>
                <w:sz w:val="24"/>
                <w:szCs w:val="24"/>
                <w:highlight w:val="none"/>
                <w:lang w:val="en-US" w:eastAsia="zh-CN"/>
                <w14:textFill>
                  <w14:solidFill>
                    <w14:schemeClr w14:val="tx1"/>
                  </w14:solidFill>
                </w14:textFill>
              </w:rPr>
              <w:t>至少一次的</w:t>
            </w:r>
            <w:r>
              <w:rPr>
                <w:rFonts w:hint="eastAsia" w:ascii="宋体" w:hAnsi="宋体" w:cs="宋体"/>
                <w:color w:val="000000" w:themeColor="text1"/>
                <w:sz w:val="24"/>
                <w:szCs w:val="24"/>
                <w:highlight w:val="none"/>
                <w:lang w:val="zh-TW" w:eastAsia="zh-TW"/>
                <w14:textFill>
                  <w14:solidFill>
                    <w14:schemeClr w14:val="tx1"/>
                  </w14:solidFill>
                </w14:textFill>
              </w:rPr>
              <w:t>转账凭证复印件（或对应发票复印件）</w:t>
            </w:r>
            <w:r>
              <w:rPr>
                <w:rFonts w:hint="eastAsia" w:ascii="宋体" w:hAnsi="宋体" w:cs="宋体"/>
                <w:color w:val="000000" w:themeColor="text1"/>
                <w:sz w:val="24"/>
                <w:szCs w:val="24"/>
                <w:highlight w:val="none"/>
                <w:lang w:val="zh-TW" w:eastAsia="zh-CN"/>
                <w14:textFill>
                  <w14:solidFill>
                    <w14:schemeClr w14:val="tx1"/>
                  </w14:solidFill>
                </w14:textFill>
              </w:rPr>
              <w:t>。</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2、同类项目供货业绩是指：至少包含本标包1个及以上产品的供货业绩。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p>
        </w:tc>
        <w:tc>
          <w:tcPr>
            <w:tcW w:w="793"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节能环保1%</w:t>
            </w:r>
          </w:p>
        </w:tc>
        <w:tc>
          <w:tcPr>
            <w:tcW w:w="457"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1分</w:t>
            </w:r>
          </w:p>
        </w:tc>
        <w:tc>
          <w:tcPr>
            <w:tcW w:w="3213" w:type="pct"/>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国家强制采购产品除外，认定为政府采购节能产品或者政府采购环境标志产品或者无线局域网产品的1个得0.5分，最多得1 分。非政府采购节能、环境标志产品的、无线局域网产品的不得分。</w:t>
            </w:r>
          </w:p>
          <w:p>
            <w:pPr>
              <w:pStyle w:val="23"/>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注：以财政部会同国务院有关部门机构颁发的最新文件为准（提供满足环境标志产品政府采购品目清单规定或节能产品政府采购品目清单规定的相关认证证明材料）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4"/>
            <w:vAlign w:val="center"/>
          </w:tcPr>
          <w:p>
            <w:pPr>
              <w:pStyle w:val="23"/>
              <w:spacing w:after="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1、方案中存在“缺陷”是指存在下列情形之一：①项目名称、实施时间地点与本项目要求不一致；②方案内容前后矛盾或交叉混乱；③存在与本项目无关的其他行业、其他区域地点或明显无关的文字内容；④方案或具体措施针对性与项目实际情况不匹配；⑤引用的法规、标准失效或错误。</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2、评分的取值按四舍五入法，保留小数点后两位。</w:t>
            </w:r>
          </w:p>
        </w:tc>
      </w:tr>
    </w:tbl>
    <w:p>
      <w:pPr>
        <w:spacing w:line="360" w:lineRule="auto"/>
        <w:ind w:firstLine="480"/>
        <w:rPr>
          <w:rFonts w:ascii="宋体" w:hAnsi="宋体" w:cs="宋体"/>
          <w:b/>
          <w:bCs/>
          <w:color w:val="000000" w:themeColor="text1"/>
          <w:sz w:val="24"/>
          <w:highlight w:val="none"/>
          <w14:textFill>
            <w14:solidFill>
              <w14:schemeClr w14:val="tx1"/>
            </w14:solidFill>
          </w14:textFill>
        </w:rPr>
      </w:pPr>
    </w:p>
    <w:p>
      <w:pPr>
        <w:ind w:firstLine="48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pPr>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标包</w:t>
      </w:r>
      <w:r>
        <w:rPr>
          <w:rFonts w:hint="eastAsia" w:ascii="宋体" w:hAnsi="宋体" w:cs="宋体"/>
          <w:b/>
          <w:bCs/>
          <w:color w:val="000000" w:themeColor="text1"/>
          <w:sz w:val="24"/>
          <w:szCs w:val="22"/>
          <w:highlight w:val="none"/>
          <w:lang w:val="en-US" w:eastAsia="zh-CN"/>
          <w14:textFill>
            <w14:solidFill>
              <w14:schemeClr w14:val="tx1"/>
            </w14:solidFill>
          </w14:textFill>
        </w:rPr>
        <w:t>二、</w:t>
      </w:r>
      <w:r>
        <w:rPr>
          <w:rFonts w:hint="eastAsia" w:ascii="宋体" w:hAnsi="宋体" w:cs="宋体"/>
          <w:b/>
          <w:bCs/>
          <w:color w:val="000000" w:themeColor="text1"/>
          <w:sz w:val="24"/>
          <w:szCs w:val="24"/>
          <w:highlight w:val="none"/>
          <w14:textFill>
            <w14:solidFill>
              <w14:schemeClr w14:val="tx1"/>
            </w14:solidFill>
          </w14:textFill>
        </w:rPr>
        <w:t>水域救援类</w:t>
      </w:r>
      <w:r>
        <w:rPr>
          <w:rFonts w:hint="eastAsia" w:ascii="宋体" w:hAnsi="宋体" w:cs="宋体"/>
          <w:b/>
          <w:bCs/>
          <w:color w:val="000000" w:themeColor="text1"/>
          <w:sz w:val="24"/>
          <w:szCs w:val="22"/>
          <w:highlight w:val="none"/>
          <w14:textFill>
            <w14:solidFill>
              <w14:schemeClr w14:val="tx1"/>
            </w14:solidFill>
          </w14:textFill>
        </w:rPr>
        <w:t>：</w:t>
      </w:r>
    </w:p>
    <w:tbl>
      <w:tblPr>
        <w:tblStyle w:val="5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3"/>
        <w:gridCol w:w="1150"/>
        <w:gridCol w:w="1016"/>
        <w:gridCol w:w="6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序号</w:t>
            </w:r>
          </w:p>
        </w:tc>
        <w:tc>
          <w:tcPr>
            <w:tcW w:w="60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评分因素及权重</w:t>
            </w:r>
          </w:p>
        </w:tc>
        <w:tc>
          <w:tcPr>
            <w:tcW w:w="53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分值</w:t>
            </w:r>
          </w:p>
        </w:tc>
        <w:tc>
          <w:tcPr>
            <w:tcW w:w="3333"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keepNext w:val="0"/>
              <w:keepLines w:val="0"/>
              <w:pageBreakBefore w:val="0"/>
              <w:widowControl w:val="0"/>
              <w:kinsoku/>
              <w:wordWrap/>
              <w:overflowPunct/>
              <w:topLinePunct w:val="0"/>
              <w:autoSpaceDE/>
              <w:autoSpaceDN/>
              <w:bidi w:val="0"/>
              <w:adjustRightInd/>
              <w:snapToGrid/>
              <w:spacing w:line="348" w:lineRule="auto"/>
              <w:ind w:firstLine="482"/>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60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报价</w:t>
            </w:r>
          </w:p>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w:t>
            </w:r>
          </w:p>
          <w:p>
            <w:pPr>
              <w:pStyle w:val="23"/>
              <w:keepNext w:val="0"/>
              <w:keepLines w:val="0"/>
              <w:pageBreakBefore w:val="0"/>
              <w:widowControl w:val="0"/>
              <w:kinsoku/>
              <w:wordWrap/>
              <w:overflowPunct/>
              <w:topLinePunct w:val="0"/>
              <w:autoSpaceDE/>
              <w:autoSpaceDN/>
              <w:bidi w:val="0"/>
              <w:adjustRightInd/>
              <w:snapToGrid/>
              <w:spacing w:line="348" w:lineRule="auto"/>
              <w:jc w:val="center"/>
              <w:textAlignment w:val="auto"/>
              <w:rPr>
                <w:rFonts w:ascii="宋体" w:hAnsi="宋体" w:cs="宋体"/>
                <w:color w:val="000000" w:themeColor="text1"/>
                <w:sz w:val="24"/>
                <w:szCs w:val="24"/>
                <w:highlight w:val="none"/>
                <w14:textFill>
                  <w14:solidFill>
                    <w14:schemeClr w14:val="tx1"/>
                  </w14:solidFill>
                </w14:textFill>
              </w:rPr>
            </w:pPr>
          </w:p>
        </w:tc>
        <w:tc>
          <w:tcPr>
            <w:tcW w:w="53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30分</w:t>
            </w:r>
          </w:p>
        </w:tc>
        <w:tc>
          <w:tcPr>
            <w:tcW w:w="3333"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满足招标文件要求且投标价格最低的报价为基准价，其价格分为满分。其他投标人的价格分统一按照下列公式计算：报价得分=(基准价／报价)* 30%*100</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注：对小型和微型企业、监狱企业、残疾人福利性单位</w:t>
            </w:r>
            <w:r>
              <w:rPr>
                <w:rFonts w:hint="eastAsia" w:hAnsi="宋体" w:cs="宋体"/>
                <w:color w:val="000000" w:themeColor="text1"/>
                <w:sz w:val="24"/>
                <w:szCs w:val="24"/>
                <w:highlight w:val="none"/>
                <w14:textFill>
                  <w14:solidFill>
                    <w14:schemeClr w14:val="tx1"/>
                  </w14:solidFill>
                </w14:textFill>
              </w:rPr>
              <w:t>提供服务</w:t>
            </w:r>
            <w:r>
              <w:rPr>
                <w:rFonts w:hint="eastAsia" w:ascii="宋体" w:hAnsi="宋体" w:cs="宋体"/>
                <w:color w:val="000000" w:themeColor="text1"/>
                <w:sz w:val="24"/>
                <w:szCs w:val="24"/>
                <w:highlight w:val="none"/>
                <w14:textFill>
                  <w14:solidFill>
                    <w14:schemeClr w14:val="tx1"/>
                  </w14:solidFill>
                </w14:textFill>
              </w:rPr>
              <w:t>的价格给予10%的扣除，用扣除后的价格参与评审【须提供中小企业、残疾人福利性单位声明函、监狱企业相关证明材料】。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keepNext w:val="0"/>
              <w:keepLines w:val="0"/>
              <w:pageBreakBefore w:val="0"/>
              <w:widowControl w:val="0"/>
              <w:kinsoku/>
              <w:wordWrap/>
              <w:overflowPunct/>
              <w:topLinePunct w:val="0"/>
              <w:autoSpaceDE/>
              <w:autoSpaceDN/>
              <w:bidi w:val="0"/>
              <w:adjustRightInd/>
              <w:snapToGrid/>
              <w:spacing w:line="348" w:lineRule="auto"/>
              <w:ind w:firstLine="482"/>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60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技术</w:t>
            </w:r>
          </w:p>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40%</w:t>
            </w:r>
          </w:p>
        </w:tc>
        <w:tc>
          <w:tcPr>
            <w:tcW w:w="53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40分</w:t>
            </w:r>
          </w:p>
        </w:tc>
        <w:tc>
          <w:tcPr>
            <w:tcW w:w="3333"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投标人针对招标文件技术参数条款的响应得分规则如下：</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【①技术条款以序号1、2、3……为单位；②序号中未标注“</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”的条款，视为一般技术参数条款；③序号中标注“</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 xml:space="preserve">”的条款，视为重要技术参数条款。】 </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1、投标人针对招标文件一般技术参数条款的响应得分规则如下：</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满足或优于该指标得0.06分，不满足不得分，共计270项，共计16.2分。</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2、投标人针对招标文件“</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”技术参数条款的响应得分规则如下：</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满足或优于该指标得0.35分，不满足不得分，共计68项，共计23.8分。</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若技术要求中需要提供相关证明材料，未提供视为未响应。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keepNext w:val="0"/>
              <w:keepLines w:val="0"/>
              <w:pageBreakBefore w:val="0"/>
              <w:widowControl w:val="0"/>
              <w:kinsoku/>
              <w:wordWrap/>
              <w:overflowPunct/>
              <w:topLinePunct w:val="0"/>
              <w:autoSpaceDE/>
              <w:autoSpaceDN/>
              <w:bidi w:val="0"/>
              <w:adjustRightInd/>
              <w:snapToGrid/>
              <w:spacing w:line="348" w:lineRule="auto"/>
              <w:ind w:firstLine="482"/>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60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样品10%</w:t>
            </w:r>
          </w:p>
        </w:tc>
        <w:tc>
          <w:tcPr>
            <w:tcW w:w="53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10分</w:t>
            </w:r>
          </w:p>
        </w:tc>
        <w:tc>
          <w:tcPr>
            <w:tcW w:w="3333"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hint="eastAsia"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评标委员会通过感官、触摸、测试、破坏、试用、对比等方式，考评投标产品的①材质；②制作工艺水平；③结构合理、操作便利；④有无操作安全隐患。样品各项性能完备的得</w:t>
            </w:r>
            <w:r>
              <w:rPr>
                <w:rFonts w:hint="default" w:ascii="宋体" w:hAnsi="宋体" w:cs="宋体"/>
                <w:color w:val="000000" w:themeColor="text1"/>
                <w:sz w:val="24"/>
                <w:szCs w:val="24"/>
                <w:highlight w:val="none"/>
                <w:lang w:val="en-US" w:eastAsia="zh-CN"/>
                <w14:textFill>
                  <w14:solidFill>
                    <w14:schemeClr w14:val="tx1"/>
                  </w14:solidFill>
                </w14:textFill>
              </w:rPr>
              <w:t xml:space="preserve"> 10 </w:t>
            </w:r>
            <w:r>
              <w:rPr>
                <w:rFonts w:hint="eastAsia" w:ascii="宋体" w:hAnsi="宋体" w:cs="宋体"/>
                <w:color w:val="000000" w:themeColor="text1"/>
                <w:sz w:val="24"/>
                <w:szCs w:val="24"/>
                <w:highlight w:val="none"/>
                <w:lang w:val="en-US" w:eastAsia="zh-CN"/>
                <w14:textFill>
                  <w14:solidFill>
                    <w14:schemeClr w14:val="tx1"/>
                  </w14:solidFill>
                </w14:textFill>
              </w:rPr>
              <w:t>分，样品每有一项或一处存在缺陷的，扣</w:t>
            </w:r>
            <w:r>
              <w:rPr>
                <w:rFonts w:hint="default"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2.5</w:t>
            </w:r>
            <w:r>
              <w:rPr>
                <w:rFonts w:hint="default"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分，扣完为止。</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hint="default"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缺陷是指存在下述任意一种情形：①材质不符合技术参数要求。②表面有污点或毛刺。③未体现产品的技术实现路径或体现的技术实现路径非产品本身直接实现，如需外接设备实现或通过其他方式转换实现等情形。④存在操作安全隐患。⑤功能不满足技术参数中所列功能要求。⑥有刺鼻异味。⑦颜色不均匀，有色差。⑧表面有刮花或瑕疵。</w:t>
            </w:r>
            <w:r>
              <w:rPr>
                <w:rFonts w:hint="default" w:ascii="宋体" w:hAnsi="宋体" w:cs="宋体"/>
                <w:color w:val="000000" w:themeColor="text1"/>
                <w:sz w:val="24"/>
                <w:szCs w:val="24"/>
                <w:highlight w:val="none"/>
                <w:lang w:val="en-US" w:eastAsia="zh-CN"/>
                <w14:textFill>
                  <w14:solidFill>
                    <w14:schemeClr w14:val="tx1"/>
                  </w14:solidFill>
                </w14:textFill>
              </w:rPr>
              <w:fldChar w:fldCharType="begin"/>
            </w:r>
            <w:r>
              <w:rPr>
                <w:rFonts w:hint="default"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w:instrText>
            </w:r>
            <w:r>
              <w:rPr>
                <w:rFonts w:hint="default" w:ascii="宋体" w:hAnsi="宋体" w:cs="宋体"/>
                <w:color w:val="000000" w:themeColor="text1"/>
                <w:sz w:val="24"/>
                <w:szCs w:val="24"/>
                <w:highlight w:val="none"/>
                <w:lang w:val="en-US" w:eastAsia="zh-CN"/>
                <w14:textFill>
                  <w14:solidFill>
                    <w14:schemeClr w14:val="tx1"/>
                  </w14:solidFill>
                </w14:textFill>
              </w:rPr>
              <w:instrText xml:space="preserve">,9)</w:instrText>
            </w:r>
            <w:r>
              <w:rPr>
                <w:rFonts w:hint="default"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产品开关把手或配件等安装连接时操作不顺畅、卡顿等</w:t>
            </w:r>
            <w:r>
              <w:rPr>
                <w:rFonts w:hint="default" w:ascii="宋体" w:hAnsi="宋体" w:cs="宋体"/>
                <w:color w:val="000000" w:themeColor="text1"/>
                <w:sz w:val="24"/>
                <w:szCs w:val="24"/>
                <w:highlight w:val="none"/>
                <w:lang w:val="en-US" w:eastAsia="zh-CN"/>
                <w14:textFill>
                  <w14:solidFill>
                    <w14:schemeClr w14:val="tx1"/>
                  </w14:solidFill>
                </w14:textFill>
              </w:rPr>
              <w:fldChar w:fldCharType="begin"/>
            </w:r>
            <w:r>
              <w:rPr>
                <w:rFonts w:hint="default"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w:instrText>
            </w:r>
            <w:r>
              <w:rPr>
                <w:rFonts w:hint="default" w:ascii="宋体" w:hAnsi="宋体" w:cs="宋体"/>
                <w:color w:val="000000" w:themeColor="text1"/>
                <w:sz w:val="24"/>
                <w:szCs w:val="24"/>
                <w:highlight w:val="none"/>
                <w:lang w:val="en-US" w:eastAsia="zh-CN"/>
                <w14:textFill>
                  <w14:solidFill>
                    <w14:schemeClr w14:val="tx1"/>
                  </w14:solidFill>
                </w14:textFill>
              </w:rPr>
              <w:instrText xml:space="preserve">,10)</w:instrText>
            </w:r>
            <w:r>
              <w:rPr>
                <w:rFonts w:hint="default"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接口连接不平滑或有损伤或有结疤或裂痕。</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注：投标人须按要求送样，凡样品出现下列任一情况的该样品得分均为</w:t>
            </w:r>
            <w:r>
              <w:rPr>
                <w:rFonts w:hint="default"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cs="宋体"/>
                <w:color w:val="000000" w:themeColor="text1"/>
                <w:sz w:val="24"/>
                <w:szCs w:val="24"/>
                <w:highlight w:val="none"/>
                <w:lang w:val="en-US" w:eastAsia="zh-CN"/>
                <w14:textFill>
                  <w14:solidFill>
                    <w14:schemeClr w14:val="tx1"/>
                  </w14:solidFill>
                </w14:textFill>
              </w:rPr>
              <w:t>分：①少送样品的；②错送样品的；③样品不符合招标文件送样要求的。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keepNext w:val="0"/>
              <w:keepLines w:val="0"/>
              <w:pageBreakBefore w:val="0"/>
              <w:widowControl w:val="0"/>
              <w:kinsoku/>
              <w:wordWrap/>
              <w:overflowPunct/>
              <w:topLinePunct w:val="0"/>
              <w:autoSpaceDE/>
              <w:autoSpaceDN/>
              <w:bidi w:val="0"/>
              <w:adjustRightInd/>
              <w:snapToGrid/>
              <w:spacing w:line="348" w:lineRule="auto"/>
              <w:ind w:firstLine="482"/>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60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技术培训</w:t>
            </w:r>
          </w:p>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w:t>
            </w:r>
            <w:r>
              <w:rPr>
                <w:rFonts w:hint="eastAsia" w:ascii="宋体" w:hAnsi="宋体" w:cs="宋体"/>
                <w:color w:val="000000" w:themeColor="text1"/>
                <w:sz w:val="24"/>
                <w:szCs w:val="24"/>
                <w:highlight w:val="none"/>
                <w:lang w:val="zh-TW" w:eastAsia="zh-TW"/>
                <w14:textFill>
                  <w14:solidFill>
                    <w14:schemeClr w14:val="tx1"/>
                  </w14:solidFill>
                </w14:textFill>
              </w:rPr>
              <w:t>%</w:t>
            </w:r>
          </w:p>
        </w:tc>
        <w:tc>
          <w:tcPr>
            <w:tcW w:w="53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8分</w:t>
            </w:r>
          </w:p>
        </w:tc>
        <w:tc>
          <w:tcPr>
            <w:tcW w:w="3333"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w:t>
            </w:r>
            <w:r>
              <w:rPr>
                <w:rFonts w:hint="eastAsia" w:ascii="宋体" w:hAnsi="宋体" w:cs="宋体"/>
                <w:color w:val="000000" w:themeColor="text1"/>
                <w:sz w:val="24"/>
                <w:szCs w:val="24"/>
                <w:highlight w:val="none"/>
                <w:lang w:val="zh-TW" w:eastAsia="zh-TW"/>
                <w14:textFill>
                  <w14:solidFill>
                    <w14:schemeClr w14:val="tx1"/>
                  </w14:solidFill>
                </w14:textFill>
              </w:rPr>
              <w:t>投标人针对本项目的技术培训方案进行评分，方案内容至少</w:t>
            </w:r>
            <w:r>
              <w:rPr>
                <w:rFonts w:hint="eastAsia" w:ascii="宋体" w:hAnsi="宋体" w:cs="宋体"/>
                <w:color w:val="000000" w:themeColor="text1"/>
                <w:sz w:val="24"/>
                <w:szCs w:val="24"/>
                <w:highlight w:val="none"/>
                <w14:textFill>
                  <w14:solidFill>
                    <w14:schemeClr w14:val="tx1"/>
                  </w14:solidFill>
                </w14:textFill>
              </w:rPr>
              <w:t>包括</w:t>
            </w:r>
            <w:r>
              <w:rPr>
                <w:rFonts w:hint="eastAsia" w:ascii="宋体" w:hAnsi="宋体" w:cs="宋体"/>
                <w:color w:val="000000" w:themeColor="text1"/>
                <w:sz w:val="24"/>
                <w:szCs w:val="24"/>
                <w:highlight w:val="none"/>
                <w:lang w:val="zh-TW" w:eastAsia="zh-TW"/>
                <w14:textFill>
                  <w14:solidFill>
                    <w14:schemeClr w14:val="tx1"/>
                  </w14:solidFill>
                </w14:textFill>
              </w:rPr>
              <w:t>①培训内容，②培训方式，③培训计划，④培训团队配备等。</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提供完整培训方案内容齐全，描述细致且完全满足本项目需求的得8分；每缺少一项扣2分；每有一处存在缺陷的扣1分，扣完为止。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keepNext w:val="0"/>
              <w:keepLines w:val="0"/>
              <w:pageBreakBefore w:val="0"/>
              <w:widowControl w:val="0"/>
              <w:kinsoku/>
              <w:wordWrap/>
              <w:overflowPunct/>
              <w:topLinePunct w:val="0"/>
              <w:autoSpaceDE/>
              <w:autoSpaceDN/>
              <w:bidi w:val="0"/>
              <w:adjustRightInd/>
              <w:snapToGrid/>
              <w:spacing w:line="348" w:lineRule="auto"/>
              <w:ind w:firstLine="482"/>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60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售后服务8%</w:t>
            </w:r>
          </w:p>
        </w:tc>
        <w:tc>
          <w:tcPr>
            <w:tcW w:w="53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8分</w:t>
            </w:r>
          </w:p>
        </w:tc>
        <w:tc>
          <w:tcPr>
            <w:tcW w:w="3333"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根据投标人针对本项目的售后服务方案进行评分，方案内容至少包括①服务承诺及响应方案，②备件（易耗品）供应方案，③服务人员配备及应急措施，④质保外服务措施等售后服务。</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提供完整售后服务方案且完全满足本项目需求的得8分；每缺少一项扣2分；每有一处存在缺陷的扣1分，扣完为止。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keepNext w:val="0"/>
              <w:keepLines w:val="0"/>
              <w:pageBreakBefore w:val="0"/>
              <w:widowControl w:val="0"/>
              <w:kinsoku/>
              <w:wordWrap/>
              <w:overflowPunct/>
              <w:topLinePunct w:val="0"/>
              <w:autoSpaceDE/>
              <w:autoSpaceDN/>
              <w:bidi w:val="0"/>
              <w:adjustRightInd/>
              <w:snapToGrid/>
              <w:spacing w:line="348" w:lineRule="auto"/>
              <w:ind w:firstLine="482"/>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60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类似业绩</w:t>
            </w:r>
          </w:p>
          <w:p>
            <w:pPr>
              <w:pStyle w:val="23"/>
              <w:keepNext w:val="0"/>
              <w:keepLines w:val="0"/>
              <w:pageBreakBefore w:val="0"/>
              <w:widowControl w:val="0"/>
              <w:kinsoku/>
              <w:wordWrap/>
              <w:overflowPunct/>
              <w:topLinePunct w:val="0"/>
              <w:autoSpaceDE/>
              <w:autoSpaceDN/>
              <w:bidi w:val="0"/>
              <w:adjustRightInd/>
              <w:snapToGrid/>
              <w:spacing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zh-TW" w:eastAsia="zh-TW"/>
                <w14:textFill>
                  <w14:solidFill>
                    <w14:schemeClr w14:val="tx1"/>
                  </w14:solidFill>
                </w14:textFill>
              </w:rPr>
              <w:t>%</w:t>
            </w:r>
          </w:p>
        </w:tc>
        <w:tc>
          <w:tcPr>
            <w:tcW w:w="53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3分</w:t>
            </w:r>
          </w:p>
        </w:tc>
        <w:tc>
          <w:tcPr>
            <w:tcW w:w="3333" w:type="pct"/>
            <w:vAlign w:val="center"/>
          </w:tcPr>
          <w:p>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投标人自</w:t>
            </w:r>
            <w:r>
              <w:rPr>
                <w:rFonts w:hint="eastAsia" w:ascii="宋体" w:hAnsi="宋体" w:cs="宋体"/>
                <w:color w:val="000000" w:themeColor="text1"/>
                <w:sz w:val="24"/>
                <w:szCs w:val="24"/>
                <w:highlight w:val="none"/>
                <w:lang w:val="zh-TW"/>
                <w14:textFill>
                  <w14:solidFill>
                    <w14:schemeClr w14:val="tx1"/>
                  </w14:solidFill>
                </w14:textFill>
              </w:rPr>
              <w:t>2021年1月1日（含）至今</w:t>
            </w:r>
            <w:r>
              <w:rPr>
                <w:rFonts w:hint="eastAsia" w:ascii="宋体" w:hAnsi="宋体" w:cs="宋体"/>
                <w:color w:val="000000" w:themeColor="text1"/>
                <w:sz w:val="24"/>
                <w:szCs w:val="24"/>
                <w:highlight w:val="none"/>
                <w:lang w:val="zh-TW" w:eastAsia="zh-TW"/>
                <w14:textFill>
                  <w14:solidFill>
                    <w14:schemeClr w14:val="tx1"/>
                  </w14:solidFill>
                </w14:textFill>
              </w:rPr>
              <w:t>，有1个</w:t>
            </w:r>
            <w:r>
              <w:rPr>
                <w:rFonts w:hint="eastAsia" w:ascii="宋体" w:hAnsi="宋体" w:cs="宋体"/>
                <w:color w:val="000000" w:themeColor="text1"/>
                <w:sz w:val="24"/>
                <w:szCs w:val="24"/>
                <w:highlight w:val="none"/>
                <w:lang w:val="en-US" w:eastAsia="zh-CN"/>
                <w14:textFill>
                  <w14:solidFill>
                    <w14:schemeClr w14:val="tx1"/>
                  </w14:solidFill>
                </w14:textFill>
              </w:rPr>
              <w:t>同类项目</w:t>
            </w:r>
            <w:r>
              <w:rPr>
                <w:rFonts w:hint="eastAsia" w:ascii="宋体" w:hAnsi="宋体" w:cs="宋体"/>
                <w:color w:val="000000" w:themeColor="text1"/>
                <w:sz w:val="24"/>
                <w:szCs w:val="24"/>
                <w:highlight w:val="none"/>
                <w:lang w:val="zh-TW" w:eastAsia="zh-TW"/>
                <w14:textFill>
                  <w14:solidFill>
                    <w14:schemeClr w14:val="tx1"/>
                  </w14:solidFill>
                </w14:textFill>
              </w:rPr>
              <w:t>供货业绩的得</w:t>
            </w:r>
            <w:r>
              <w:rPr>
                <w:rFonts w:hint="eastAsia" w:ascii="宋体" w:hAnsi="宋体" w:cs="宋体"/>
                <w:color w:val="000000" w:themeColor="text1"/>
                <w:sz w:val="24"/>
                <w:szCs w:val="24"/>
                <w:highlight w:val="none"/>
                <w14:textFill>
                  <w14:solidFill>
                    <w14:schemeClr w14:val="tx1"/>
                  </w14:solidFill>
                </w14:textFill>
              </w:rPr>
              <w:t>1.5</w:t>
            </w:r>
            <w:r>
              <w:rPr>
                <w:rFonts w:hint="eastAsia" w:ascii="宋体" w:hAnsi="宋体" w:cs="宋体"/>
                <w:color w:val="000000" w:themeColor="text1"/>
                <w:sz w:val="24"/>
                <w:szCs w:val="24"/>
                <w:highlight w:val="none"/>
                <w:lang w:val="zh-TW" w:eastAsia="zh-TW"/>
                <w14:textFill>
                  <w14:solidFill>
                    <w14:schemeClr w14:val="tx1"/>
                  </w14:solidFill>
                </w14:textFill>
              </w:rPr>
              <w:t>分，最高</w:t>
            </w: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zh-TW" w:eastAsia="zh-TW"/>
                <w14:textFill>
                  <w14:solidFill>
                    <w14:schemeClr w14:val="tx1"/>
                  </w14:solidFill>
                </w14:textFill>
              </w:rPr>
              <w:t>分。</w:t>
            </w:r>
          </w:p>
          <w:p>
            <w:pPr>
              <w:pStyle w:val="23"/>
              <w:spacing w:after="0" w:line="360" w:lineRule="auto"/>
              <w:rPr>
                <w:rFonts w:hint="eastAsia" w:ascii="宋体" w:hAnsi="宋体" w:cs="宋体"/>
                <w:color w:val="000000" w:themeColor="text1"/>
                <w:sz w:val="24"/>
                <w:szCs w:val="24"/>
                <w:highlight w:val="none"/>
                <w:lang w:val="zh-TW" w:eastAsia="zh-CN"/>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注：</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zh-TW" w:eastAsia="zh-TW"/>
                <w14:textFill>
                  <w14:solidFill>
                    <w14:schemeClr w14:val="tx1"/>
                  </w14:solidFill>
                </w14:textFill>
              </w:rPr>
              <w:t>提供每个业绩的合同复印件以及投标人与合同需求方</w:t>
            </w:r>
            <w:r>
              <w:rPr>
                <w:rFonts w:hint="eastAsia" w:ascii="宋体" w:hAnsi="宋体" w:cs="宋体"/>
                <w:color w:val="000000" w:themeColor="text1"/>
                <w:sz w:val="24"/>
                <w:szCs w:val="24"/>
                <w:highlight w:val="none"/>
                <w:lang w:val="en-US" w:eastAsia="zh-CN"/>
                <w14:textFill>
                  <w14:solidFill>
                    <w14:schemeClr w14:val="tx1"/>
                  </w14:solidFill>
                </w14:textFill>
              </w:rPr>
              <w:t>至少一次的</w:t>
            </w:r>
            <w:r>
              <w:rPr>
                <w:rFonts w:hint="eastAsia" w:ascii="宋体" w:hAnsi="宋体" w:cs="宋体"/>
                <w:color w:val="000000" w:themeColor="text1"/>
                <w:sz w:val="24"/>
                <w:szCs w:val="24"/>
                <w:highlight w:val="none"/>
                <w:lang w:val="zh-TW" w:eastAsia="zh-TW"/>
                <w14:textFill>
                  <w14:solidFill>
                    <w14:schemeClr w14:val="tx1"/>
                  </w14:solidFill>
                </w14:textFill>
              </w:rPr>
              <w:t>转账凭证复印件（或对应发票复印件）</w:t>
            </w:r>
            <w:r>
              <w:rPr>
                <w:rFonts w:hint="eastAsia" w:ascii="宋体" w:hAnsi="宋体" w:cs="宋体"/>
                <w:color w:val="000000" w:themeColor="text1"/>
                <w:sz w:val="24"/>
                <w:szCs w:val="24"/>
                <w:highlight w:val="none"/>
                <w:lang w:val="zh-TW" w:eastAsia="zh-CN"/>
                <w14:textFill>
                  <w14:solidFill>
                    <w14:schemeClr w14:val="tx1"/>
                  </w14:solidFill>
                </w14:textFill>
              </w:rPr>
              <w:t>。</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2、同类项目供货业绩是指：至少包含本标包1个及以上产品的供货业绩。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keepNext w:val="0"/>
              <w:keepLines w:val="0"/>
              <w:pageBreakBefore w:val="0"/>
              <w:widowControl w:val="0"/>
              <w:kinsoku/>
              <w:wordWrap/>
              <w:overflowPunct/>
              <w:topLinePunct w:val="0"/>
              <w:autoSpaceDE/>
              <w:autoSpaceDN/>
              <w:bidi w:val="0"/>
              <w:adjustRightInd/>
              <w:snapToGrid/>
              <w:spacing w:line="348" w:lineRule="auto"/>
              <w:ind w:firstLine="482"/>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p>
        </w:tc>
        <w:tc>
          <w:tcPr>
            <w:tcW w:w="60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节能环保1%</w:t>
            </w:r>
          </w:p>
        </w:tc>
        <w:tc>
          <w:tcPr>
            <w:tcW w:w="531"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1分</w:t>
            </w:r>
          </w:p>
        </w:tc>
        <w:tc>
          <w:tcPr>
            <w:tcW w:w="3333" w:type="pct"/>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国家强制采购产品除外，认定为政府采购节能产品或者政府采购环境标志产品或者无线局域网产品的1个得0.5分，最多得1 分。非政府采购节能、环境标志产品的、无线局域网产品的不得分。</w:t>
            </w:r>
          </w:p>
          <w:p>
            <w:pPr>
              <w:pStyle w:val="23"/>
              <w:keepNext w:val="0"/>
              <w:keepLines w:val="0"/>
              <w:pageBreakBefore w:val="0"/>
              <w:widowControl w:val="0"/>
              <w:kinsoku/>
              <w:wordWrap/>
              <w:overflowPunct/>
              <w:topLinePunct w:val="0"/>
              <w:autoSpaceDE/>
              <w:autoSpaceDN/>
              <w:bidi w:val="0"/>
              <w:adjustRightInd/>
              <w:snapToGrid/>
              <w:spacing w:after="0" w:line="348"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注：以财政部会同国务院有关部门机构颁发的最新文件为准（提供满足环境标志产品政府采购品目清单规定或节能产品政府采购品目清单规定的相关认证证明材料）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4"/>
            <w:vAlign w:val="center"/>
          </w:tcPr>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1、方案中存在“缺陷”是指存在下列情形之一：①项目名称、实施时间地点与本项目要求不一致；②方案内容前后矛盾或交叉混乱；③存在与本项目无关的其他行业、其他区域地点或明显无关的文字内容；④方案或具体措施针对性与项目实际情况不匹配；⑤引用的法规、标准失效或错误。</w:t>
            </w:r>
          </w:p>
          <w:p>
            <w:pPr>
              <w:pStyle w:val="23"/>
              <w:keepNext w:val="0"/>
              <w:keepLines w:val="0"/>
              <w:pageBreakBefore w:val="0"/>
              <w:widowControl w:val="0"/>
              <w:kinsoku/>
              <w:wordWrap/>
              <w:overflowPunct/>
              <w:topLinePunct w:val="0"/>
              <w:autoSpaceDE/>
              <w:autoSpaceDN/>
              <w:bidi w:val="0"/>
              <w:adjustRightInd/>
              <w:snapToGrid/>
              <w:spacing w:after="0" w:line="348" w:lineRule="auto"/>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2、评分的取值按四舍五入法，保留小数点后两位。</w:t>
            </w:r>
          </w:p>
        </w:tc>
      </w:tr>
    </w:tbl>
    <w:p>
      <w:pPr>
        <w:rPr>
          <w:rFonts w:ascii="宋体" w:hAnsi="宋体" w:cs="宋体"/>
          <w:b/>
          <w:bCs/>
          <w:color w:val="000000" w:themeColor="text1"/>
          <w:sz w:val="24"/>
          <w:szCs w:val="22"/>
          <w:highlight w:val="none"/>
          <w14:textFill>
            <w14:solidFill>
              <w14:schemeClr w14:val="tx1"/>
            </w14:solidFill>
          </w14:textFill>
        </w:rPr>
      </w:pPr>
      <w:r>
        <w:rPr>
          <w:rFonts w:ascii="宋体" w:hAnsi="宋体" w:cs="宋体"/>
          <w:b/>
          <w:bCs/>
          <w:color w:val="000000" w:themeColor="text1"/>
          <w:sz w:val="24"/>
          <w:szCs w:val="22"/>
          <w:highlight w:val="none"/>
          <w14:textFill>
            <w14:solidFill>
              <w14:schemeClr w14:val="tx1"/>
            </w14:solidFill>
          </w14:textFill>
        </w:rPr>
        <w:br w:type="page"/>
      </w:r>
    </w:p>
    <w:p>
      <w:pPr>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标包</w:t>
      </w:r>
      <w:r>
        <w:rPr>
          <w:rFonts w:hint="eastAsia" w:ascii="宋体" w:hAnsi="宋体" w:cs="宋体"/>
          <w:b/>
          <w:bCs/>
          <w:color w:val="000000" w:themeColor="text1"/>
          <w:sz w:val="24"/>
          <w:szCs w:val="22"/>
          <w:highlight w:val="none"/>
          <w:lang w:val="en-US" w:eastAsia="zh-CN"/>
          <w14:textFill>
            <w14:solidFill>
              <w14:schemeClr w14:val="tx1"/>
            </w14:solidFill>
          </w14:textFill>
        </w:rPr>
        <w:t>三、</w:t>
      </w:r>
      <w:r>
        <w:rPr>
          <w:rFonts w:hint="eastAsia" w:ascii="宋体" w:hAnsi="宋体" w:cs="宋体"/>
          <w:b/>
          <w:bCs/>
          <w:color w:val="000000" w:themeColor="text1"/>
          <w:sz w:val="24"/>
          <w:szCs w:val="24"/>
          <w:highlight w:val="none"/>
          <w14:textFill>
            <w14:solidFill>
              <w14:schemeClr w14:val="tx1"/>
            </w14:solidFill>
          </w14:textFill>
        </w:rPr>
        <w:t>保障类</w:t>
      </w:r>
      <w:r>
        <w:rPr>
          <w:rFonts w:hint="eastAsia" w:ascii="宋体" w:hAnsi="宋体" w:cs="宋体"/>
          <w:b/>
          <w:bCs/>
          <w:color w:val="000000" w:themeColor="text1"/>
          <w:sz w:val="24"/>
          <w:szCs w:val="22"/>
          <w:highlight w:val="none"/>
          <w14:textFill>
            <w14:solidFill>
              <w14:schemeClr w14:val="tx1"/>
            </w14:solidFill>
          </w14:textFill>
        </w:rPr>
        <w:t>：</w:t>
      </w:r>
    </w:p>
    <w:tbl>
      <w:tblPr>
        <w:tblStyle w:val="5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3"/>
        <w:gridCol w:w="1521"/>
        <w:gridCol w:w="876"/>
        <w:gridCol w:w="6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序号</w:t>
            </w:r>
          </w:p>
        </w:tc>
        <w:tc>
          <w:tcPr>
            <w:tcW w:w="795"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评分因素及权重</w:t>
            </w:r>
          </w:p>
        </w:tc>
        <w:tc>
          <w:tcPr>
            <w:tcW w:w="458"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分值</w:t>
            </w:r>
          </w:p>
        </w:tc>
        <w:tc>
          <w:tcPr>
            <w:tcW w:w="3210"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795"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报价</w:t>
            </w:r>
          </w:p>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w:t>
            </w:r>
          </w:p>
          <w:p>
            <w:pPr>
              <w:pStyle w:val="23"/>
              <w:spacing w:line="360" w:lineRule="auto"/>
              <w:jc w:val="center"/>
              <w:rPr>
                <w:rFonts w:ascii="宋体" w:hAnsi="宋体" w:cs="宋体"/>
                <w:color w:val="000000" w:themeColor="text1"/>
                <w:sz w:val="24"/>
                <w:szCs w:val="24"/>
                <w:highlight w:val="none"/>
                <w14:textFill>
                  <w14:solidFill>
                    <w14:schemeClr w14:val="tx1"/>
                  </w14:solidFill>
                </w14:textFill>
              </w:rPr>
            </w:pPr>
          </w:p>
        </w:tc>
        <w:tc>
          <w:tcPr>
            <w:tcW w:w="458"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30分</w:t>
            </w:r>
          </w:p>
        </w:tc>
        <w:tc>
          <w:tcPr>
            <w:tcW w:w="3210" w:type="pct"/>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满足招标文件要求且投标价格最低的报价为基准价，其价格分为满分。其他投标人的价格分统一按照下列公式计算：报价得分=(基准价／报价)* 30%*100</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注：对小型和微型企业、监狱企业、残疾人福利性单位</w:t>
            </w:r>
            <w:r>
              <w:rPr>
                <w:rFonts w:hint="eastAsia" w:hAnsi="宋体" w:cs="宋体"/>
                <w:color w:val="000000" w:themeColor="text1"/>
                <w:sz w:val="24"/>
                <w:szCs w:val="24"/>
                <w:highlight w:val="none"/>
                <w14:textFill>
                  <w14:solidFill>
                    <w14:schemeClr w14:val="tx1"/>
                  </w14:solidFill>
                </w14:textFill>
              </w:rPr>
              <w:t>提供服务</w:t>
            </w:r>
            <w:r>
              <w:rPr>
                <w:rFonts w:hint="eastAsia" w:ascii="宋体" w:hAnsi="宋体" w:cs="宋体"/>
                <w:color w:val="000000" w:themeColor="text1"/>
                <w:sz w:val="24"/>
                <w:szCs w:val="24"/>
                <w:highlight w:val="none"/>
                <w14:textFill>
                  <w14:solidFill>
                    <w14:schemeClr w14:val="tx1"/>
                  </w14:solidFill>
                </w14:textFill>
              </w:rPr>
              <w:t>的价格给予10%的扣除，用扣除后的价格参与评审【须提供中小企业、残疾人福利性单位声明函、监狱企业相关证明材料】。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795"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技术</w:t>
            </w:r>
          </w:p>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w:t>
            </w:r>
          </w:p>
        </w:tc>
        <w:tc>
          <w:tcPr>
            <w:tcW w:w="458"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42分</w:t>
            </w:r>
          </w:p>
        </w:tc>
        <w:tc>
          <w:tcPr>
            <w:tcW w:w="3210" w:type="pct"/>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投标人针对招标文件技术参数条款的响应得分规则如下：</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【①技术条款以序号1、2、3……为单位；②序号中未标注“</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”的条款，视为一般技术参数条款；③序号中标注“</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 xml:space="preserve">”的条款，视为重要技术参数条款。】 </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1、投标人针对招标文件一般技术参数条款的响应得分规则如下：</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满足或优于该指标得0.2</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分，不满足不得分，共计7</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项，共计</w:t>
            </w:r>
            <w:r>
              <w:rPr>
                <w:rFonts w:hint="eastAsia" w:ascii="宋体" w:hAnsi="宋体" w:cs="宋体"/>
                <w:color w:val="000000" w:themeColor="text1"/>
                <w:sz w:val="24"/>
                <w:szCs w:val="24"/>
                <w:highlight w:val="none"/>
                <w:lang w:val="en-US" w:eastAsia="zh-CN"/>
                <w14:textFill>
                  <w14:solidFill>
                    <w14:schemeClr w14:val="tx1"/>
                  </w14:solidFill>
                </w14:textFill>
              </w:rPr>
              <w:t>19</w:t>
            </w:r>
            <w:r>
              <w:rPr>
                <w:rFonts w:hint="eastAsia" w:ascii="宋体" w:hAnsi="宋体" w:cs="宋体"/>
                <w:color w:val="000000" w:themeColor="text1"/>
                <w:sz w:val="24"/>
                <w:szCs w:val="24"/>
                <w:highlight w:val="none"/>
                <w14:textFill>
                  <w14:solidFill>
                    <w14:schemeClr w14:val="tx1"/>
                  </w14:solidFill>
                </w14:textFill>
              </w:rPr>
              <w:t>.8</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分。</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2、投标人针对招标文件“</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”技术参数条款的响应得分规则如下：</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满足或优于该指标得1.</w:t>
            </w:r>
            <w:r>
              <w:rPr>
                <w:rFonts w:hint="eastAsia" w:ascii="宋体" w:hAnsi="宋体" w:cs="宋体"/>
                <w:color w:val="000000" w:themeColor="text1"/>
                <w:sz w:val="24"/>
                <w:szCs w:val="24"/>
                <w:highlight w:val="none"/>
                <w:lang w:val="en-US" w:eastAsia="zh-CN"/>
                <w14:textFill>
                  <w14:solidFill>
                    <w14:schemeClr w14:val="tx1"/>
                  </w14:solidFill>
                </w14:textFill>
              </w:rPr>
              <w:t>58</w:t>
            </w:r>
            <w:r>
              <w:rPr>
                <w:rFonts w:hint="eastAsia" w:ascii="宋体" w:hAnsi="宋体" w:cs="宋体"/>
                <w:color w:val="000000" w:themeColor="text1"/>
                <w:sz w:val="24"/>
                <w:szCs w:val="24"/>
                <w:highlight w:val="none"/>
                <w14:textFill>
                  <w14:solidFill>
                    <w14:schemeClr w14:val="tx1"/>
                  </w14:solidFill>
                </w14:textFill>
              </w:rPr>
              <w:t>分，不满足不得分，共计14项，共计</w:t>
            </w:r>
            <w:r>
              <w:rPr>
                <w:rFonts w:hint="eastAsia" w:ascii="宋体" w:hAnsi="宋体" w:cs="宋体"/>
                <w:color w:val="000000" w:themeColor="text1"/>
                <w:sz w:val="24"/>
                <w:szCs w:val="24"/>
                <w:highlight w:val="none"/>
                <w:lang w:val="en-US" w:eastAsia="zh-CN"/>
                <w14:textFill>
                  <w14:solidFill>
                    <w14:schemeClr w14:val="tx1"/>
                  </w14:solidFill>
                </w14:textFill>
              </w:rPr>
              <w:t>22.12</w:t>
            </w:r>
            <w:r>
              <w:rPr>
                <w:rFonts w:hint="eastAsia" w:ascii="宋体" w:hAnsi="宋体" w:cs="宋体"/>
                <w:color w:val="000000" w:themeColor="text1"/>
                <w:sz w:val="24"/>
                <w:szCs w:val="24"/>
                <w:highlight w:val="none"/>
                <w14:textFill>
                  <w14:solidFill>
                    <w14:schemeClr w14:val="tx1"/>
                  </w14:solidFill>
                </w14:textFill>
              </w:rPr>
              <w:t>分。</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若技术要求中需要提供相关证明材料，未提供视为未响应。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1521" w:type="dxa"/>
            <w:vAlign w:val="center"/>
          </w:tcPr>
          <w:p>
            <w:pPr>
              <w:pStyle w:val="23"/>
              <w:spacing w:after="0" w:line="360" w:lineRule="auto"/>
              <w:jc w:val="center"/>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技术培训</w:t>
            </w:r>
          </w:p>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w:t>
            </w:r>
            <w:r>
              <w:rPr>
                <w:rFonts w:hint="eastAsia" w:ascii="宋体" w:hAnsi="宋体" w:cs="宋体"/>
                <w:color w:val="000000" w:themeColor="text1"/>
                <w:sz w:val="24"/>
                <w:szCs w:val="24"/>
                <w:highlight w:val="none"/>
                <w:lang w:val="zh-TW" w:eastAsia="zh-TW"/>
                <w14:textFill>
                  <w14:solidFill>
                    <w14:schemeClr w14:val="tx1"/>
                  </w14:solidFill>
                </w14:textFill>
              </w:rPr>
              <w:t>%</w:t>
            </w:r>
          </w:p>
        </w:tc>
        <w:tc>
          <w:tcPr>
            <w:tcW w:w="878" w:type="dxa"/>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12分</w:t>
            </w:r>
          </w:p>
        </w:tc>
        <w:tc>
          <w:tcPr>
            <w:tcW w:w="6141" w:type="dxa"/>
            <w:vAlign w:val="center"/>
          </w:tcPr>
          <w:p>
            <w:pPr>
              <w:pStyle w:val="23"/>
              <w:spacing w:after="0" w:line="360" w:lineRule="auto"/>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w:t>
            </w:r>
            <w:r>
              <w:rPr>
                <w:rFonts w:hint="eastAsia" w:ascii="宋体" w:hAnsi="宋体" w:cs="宋体"/>
                <w:color w:val="000000" w:themeColor="text1"/>
                <w:sz w:val="24"/>
                <w:szCs w:val="24"/>
                <w:highlight w:val="none"/>
                <w:lang w:val="zh-TW" w:eastAsia="zh-TW"/>
                <w14:textFill>
                  <w14:solidFill>
                    <w14:schemeClr w14:val="tx1"/>
                  </w14:solidFill>
                </w14:textFill>
              </w:rPr>
              <w:t>投标人针对本项目的技术培训方案进行评分，方案内容至少</w:t>
            </w:r>
            <w:r>
              <w:rPr>
                <w:rFonts w:hint="eastAsia" w:ascii="宋体" w:hAnsi="宋体" w:cs="宋体"/>
                <w:color w:val="000000" w:themeColor="text1"/>
                <w:sz w:val="24"/>
                <w:szCs w:val="24"/>
                <w:highlight w:val="none"/>
                <w14:textFill>
                  <w14:solidFill>
                    <w14:schemeClr w14:val="tx1"/>
                  </w14:solidFill>
                </w14:textFill>
              </w:rPr>
              <w:t>包括</w:t>
            </w:r>
            <w:r>
              <w:rPr>
                <w:rFonts w:hint="eastAsia" w:ascii="宋体" w:hAnsi="宋体" w:cs="宋体"/>
                <w:color w:val="000000" w:themeColor="text1"/>
                <w:sz w:val="24"/>
                <w:szCs w:val="24"/>
                <w:highlight w:val="none"/>
                <w:lang w:val="zh-TW" w:eastAsia="zh-TW"/>
                <w14:textFill>
                  <w14:solidFill>
                    <w14:schemeClr w14:val="tx1"/>
                  </w14:solidFill>
                </w14:textFill>
              </w:rPr>
              <w:t>①培训内容，②培训方式，③培训计划，④培训团队配备等。</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提供完整培训方案内容齐全，描述细致且完全满足本项目需求的得12分；每缺少一项扣3分；每有一处存在缺陷的扣1.5分，扣完为止。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1521" w:type="dxa"/>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售后服务12%</w:t>
            </w:r>
          </w:p>
        </w:tc>
        <w:tc>
          <w:tcPr>
            <w:tcW w:w="878" w:type="dxa"/>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12分</w:t>
            </w:r>
          </w:p>
        </w:tc>
        <w:tc>
          <w:tcPr>
            <w:tcW w:w="6141" w:type="dxa"/>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根据投标人针对本项目的售后服务方案进行评分，方案内容至少包括①服务承诺及响应方案，②备件（易耗品）供应方案，③服务人员配备及应急措施，④质保外服务措施等售后服务。</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提供完整售后服务方案且完全满足本项目需求的得12分；每缺少一项扣3分；每有一处存在缺陷的扣1.5分，扣完为止。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795" w:type="pct"/>
            <w:vAlign w:val="center"/>
          </w:tcPr>
          <w:p>
            <w:pPr>
              <w:pStyle w:val="23"/>
              <w:spacing w:after="0" w:line="360" w:lineRule="auto"/>
              <w:jc w:val="center"/>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类似业绩</w:t>
            </w:r>
          </w:p>
          <w:p>
            <w:pPr>
              <w:pStyle w:val="23"/>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zh-TW" w:eastAsia="zh-TW"/>
                <w14:textFill>
                  <w14:solidFill>
                    <w14:schemeClr w14:val="tx1"/>
                  </w14:solidFill>
                </w14:textFill>
              </w:rPr>
              <w:t>%</w:t>
            </w:r>
          </w:p>
        </w:tc>
        <w:tc>
          <w:tcPr>
            <w:tcW w:w="458"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3分</w:t>
            </w:r>
          </w:p>
        </w:tc>
        <w:tc>
          <w:tcPr>
            <w:tcW w:w="3210" w:type="pct"/>
            <w:vAlign w:val="center"/>
          </w:tcPr>
          <w:p>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投标人自</w:t>
            </w:r>
            <w:r>
              <w:rPr>
                <w:rFonts w:hint="eastAsia" w:ascii="宋体" w:hAnsi="宋体" w:cs="宋体"/>
                <w:color w:val="000000" w:themeColor="text1"/>
                <w:sz w:val="24"/>
                <w:szCs w:val="24"/>
                <w:highlight w:val="none"/>
                <w:lang w:val="zh-TW"/>
                <w14:textFill>
                  <w14:solidFill>
                    <w14:schemeClr w14:val="tx1"/>
                  </w14:solidFill>
                </w14:textFill>
              </w:rPr>
              <w:t>2021年1月1日（含）至今</w:t>
            </w:r>
            <w:r>
              <w:rPr>
                <w:rFonts w:hint="eastAsia" w:ascii="宋体" w:hAnsi="宋体" w:cs="宋体"/>
                <w:color w:val="000000" w:themeColor="text1"/>
                <w:sz w:val="24"/>
                <w:szCs w:val="24"/>
                <w:highlight w:val="none"/>
                <w:lang w:val="zh-TW" w:eastAsia="zh-TW"/>
                <w14:textFill>
                  <w14:solidFill>
                    <w14:schemeClr w14:val="tx1"/>
                  </w14:solidFill>
                </w14:textFill>
              </w:rPr>
              <w:t>，有1个</w:t>
            </w:r>
            <w:r>
              <w:rPr>
                <w:rFonts w:hint="eastAsia" w:ascii="宋体" w:hAnsi="宋体" w:cs="宋体"/>
                <w:color w:val="000000" w:themeColor="text1"/>
                <w:sz w:val="24"/>
                <w:szCs w:val="24"/>
                <w:highlight w:val="none"/>
                <w:lang w:val="en-US" w:eastAsia="zh-CN"/>
                <w14:textFill>
                  <w14:solidFill>
                    <w14:schemeClr w14:val="tx1"/>
                  </w14:solidFill>
                </w14:textFill>
              </w:rPr>
              <w:t>同类项目</w:t>
            </w:r>
            <w:r>
              <w:rPr>
                <w:rFonts w:hint="eastAsia" w:ascii="宋体" w:hAnsi="宋体" w:cs="宋体"/>
                <w:color w:val="000000" w:themeColor="text1"/>
                <w:sz w:val="24"/>
                <w:szCs w:val="24"/>
                <w:highlight w:val="none"/>
                <w:lang w:val="zh-TW" w:eastAsia="zh-TW"/>
                <w14:textFill>
                  <w14:solidFill>
                    <w14:schemeClr w14:val="tx1"/>
                  </w14:solidFill>
                </w14:textFill>
              </w:rPr>
              <w:t>供货业绩的得</w:t>
            </w:r>
            <w:r>
              <w:rPr>
                <w:rFonts w:hint="eastAsia" w:ascii="宋体" w:hAnsi="宋体" w:cs="宋体"/>
                <w:color w:val="000000" w:themeColor="text1"/>
                <w:sz w:val="24"/>
                <w:szCs w:val="24"/>
                <w:highlight w:val="none"/>
                <w14:textFill>
                  <w14:solidFill>
                    <w14:schemeClr w14:val="tx1"/>
                  </w14:solidFill>
                </w14:textFill>
              </w:rPr>
              <w:t>1.5</w:t>
            </w:r>
            <w:r>
              <w:rPr>
                <w:rFonts w:hint="eastAsia" w:ascii="宋体" w:hAnsi="宋体" w:cs="宋体"/>
                <w:color w:val="000000" w:themeColor="text1"/>
                <w:sz w:val="24"/>
                <w:szCs w:val="24"/>
                <w:highlight w:val="none"/>
                <w:lang w:val="zh-TW" w:eastAsia="zh-TW"/>
                <w14:textFill>
                  <w14:solidFill>
                    <w14:schemeClr w14:val="tx1"/>
                  </w14:solidFill>
                </w14:textFill>
              </w:rPr>
              <w:t>分，最高</w:t>
            </w: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zh-TW" w:eastAsia="zh-TW"/>
                <w14:textFill>
                  <w14:solidFill>
                    <w14:schemeClr w14:val="tx1"/>
                  </w14:solidFill>
                </w14:textFill>
              </w:rPr>
              <w:t>分。</w:t>
            </w:r>
          </w:p>
          <w:p>
            <w:pPr>
              <w:pStyle w:val="23"/>
              <w:spacing w:after="0" w:line="360" w:lineRule="auto"/>
              <w:rPr>
                <w:rFonts w:hint="eastAsia" w:ascii="宋体" w:hAnsi="宋体" w:cs="宋体"/>
                <w:color w:val="000000" w:themeColor="text1"/>
                <w:sz w:val="24"/>
                <w:szCs w:val="24"/>
                <w:highlight w:val="none"/>
                <w:lang w:val="zh-TW" w:eastAsia="zh-CN"/>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注：</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zh-TW" w:eastAsia="zh-TW"/>
                <w14:textFill>
                  <w14:solidFill>
                    <w14:schemeClr w14:val="tx1"/>
                  </w14:solidFill>
                </w14:textFill>
              </w:rPr>
              <w:t>提供每个业绩的合同复印件以及投标人与合同需求方</w:t>
            </w:r>
            <w:r>
              <w:rPr>
                <w:rFonts w:hint="eastAsia" w:ascii="宋体" w:hAnsi="宋体" w:cs="宋体"/>
                <w:color w:val="000000" w:themeColor="text1"/>
                <w:sz w:val="24"/>
                <w:szCs w:val="24"/>
                <w:highlight w:val="none"/>
                <w:lang w:val="en-US" w:eastAsia="zh-CN"/>
                <w14:textFill>
                  <w14:solidFill>
                    <w14:schemeClr w14:val="tx1"/>
                  </w14:solidFill>
                </w14:textFill>
              </w:rPr>
              <w:t>至少一次的</w:t>
            </w:r>
            <w:r>
              <w:rPr>
                <w:rFonts w:hint="eastAsia" w:ascii="宋体" w:hAnsi="宋体" w:cs="宋体"/>
                <w:color w:val="000000" w:themeColor="text1"/>
                <w:sz w:val="24"/>
                <w:szCs w:val="24"/>
                <w:highlight w:val="none"/>
                <w:lang w:val="zh-TW" w:eastAsia="zh-TW"/>
                <w14:textFill>
                  <w14:solidFill>
                    <w14:schemeClr w14:val="tx1"/>
                  </w14:solidFill>
                </w14:textFill>
              </w:rPr>
              <w:t>转账凭证复印件（或对应发票复印件）</w:t>
            </w:r>
            <w:r>
              <w:rPr>
                <w:rFonts w:hint="eastAsia" w:ascii="宋体" w:hAnsi="宋体" w:cs="宋体"/>
                <w:color w:val="000000" w:themeColor="text1"/>
                <w:sz w:val="24"/>
                <w:szCs w:val="24"/>
                <w:highlight w:val="none"/>
                <w:lang w:val="zh-TW" w:eastAsia="zh-CN"/>
                <w14:textFill>
                  <w14:solidFill>
                    <w14:schemeClr w14:val="tx1"/>
                  </w14:solidFill>
                </w14:textFill>
              </w:rPr>
              <w:t>。</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2、同类项目供货业绩是指：至少包含本标包1个及以上产品的供货业绩。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795"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节能环保1%</w:t>
            </w:r>
          </w:p>
        </w:tc>
        <w:tc>
          <w:tcPr>
            <w:tcW w:w="458"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1分</w:t>
            </w:r>
          </w:p>
        </w:tc>
        <w:tc>
          <w:tcPr>
            <w:tcW w:w="3210" w:type="pct"/>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国家强制采购产品除外，认定为政府采购节能产品或者政府采购环境标志产品或者无线局域网产品的1个得0.5分，最多得1 分。非政府采购节能、环境标志产品的、无线局域网产品的不得分。</w:t>
            </w:r>
          </w:p>
          <w:p>
            <w:pPr>
              <w:pStyle w:val="23"/>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注：以财政部会同国务院有关部门机构颁发的最新文件为准（提供满足环境标志产品政府采购品目清单规定或节能产品政府采购品目清单规定的相关认证证明材料）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4"/>
            <w:vAlign w:val="center"/>
          </w:tcPr>
          <w:p>
            <w:pPr>
              <w:pStyle w:val="23"/>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方案中存在“缺陷”是指存在下列情形之一：①项目名称、实施时间地点与本项目要求不一致；②方案内容前后矛盾或交叉混乱；③存在与本项目无关的其他行业、其他区域地点或明显无关的文字内容；④方案或具体措施针对性与项目实际情况不匹配；⑤引用的法规、标准失效或错误。</w:t>
            </w:r>
          </w:p>
        </w:tc>
      </w:tr>
    </w:tbl>
    <w:p>
      <w:pPr>
        <w:ind w:firstLine="480"/>
        <w:rPr>
          <w:rFonts w:ascii="宋体" w:hAnsi="宋体" w:cs="宋体"/>
          <w:b/>
          <w:bCs/>
          <w:color w:val="000000" w:themeColor="text1"/>
          <w:sz w:val="24"/>
          <w:szCs w:val="22"/>
          <w:highlight w:val="none"/>
          <w14:textFill>
            <w14:solidFill>
              <w14:schemeClr w14:val="tx1"/>
            </w14:solidFill>
          </w14:textFill>
        </w:rPr>
      </w:pPr>
    </w:p>
    <w:p>
      <w:pPr>
        <w:ind w:firstLine="40"/>
        <w:rPr>
          <w:rFonts w:ascii="宋体" w:hAnsi="宋体" w:cs="宋体"/>
          <w:color w:val="000000" w:themeColor="text1"/>
          <w:sz w:val="2"/>
          <w:szCs w:val="2"/>
          <w:highlight w:val="none"/>
          <w14:textFill>
            <w14:solidFill>
              <w14:schemeClr w14:val="tx1"/>
            </w14:solidFill>
          </w14:textFill>
        </w:rPr>
      </w:pPr>
    </w:p>
    <w:p>
      <w:pPr>
        <w:pStyle w:val="23"/>
        <w:ind w:firstLine="40"/>
        <w:rPr>
          <w:rFonts w:ascii="宋体" w:hAnsi="宋体" w:cs="宋体"/>
          <w:color w:val="000000" w:themeColor="text1"/>
          <w:sz w:val="2"/>
          <w:szCs w:val="2"/>
          <w:highlight w:val="none"/>
          <w14:textFill>
            <w14:solidFill>
              <w14:schemeClr w14:val="tx1"/>
            </w14:solidFill>
          </w14:textFill>
        </w:rPr>
      </w:pPr>
    </w:p>
    <w:bookmarkEnd w:id="361"/>
    <w:bookmarkEnd w:id="363"/>
    <w:bookmarkEnd w:id="364"/>
    <w:bookmarkEnd w:id="365"/>
    <w:p>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br w:type="page"/>
      </w:r>
    </w:p>
    <w:p>
      <w:pPr>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标包</w:t>
      </w:r>
      <w:r>
        <w:rPr>
          <w:rFonts w:hint="eastAsia" w:ascii="宋体" w:hAnsi="宋体" w:cs="宋体"/>
          <w:b/>
          <w:bCs/>
          <w:color w:val="000000" w:themeColor="text1"/>
          <w:sz w:val="24"/>
          <w:szCs w:val="22"/>
          <w:highlight w:val="none"/>
          <w:lang w:val="en-US" w:eastAsia="zh-CN"/>
          <w14:textFill>
            <w14:solidFill>
              <w14:schemeClr w14:val="tx1"/>
            </w14:solidFill>
          </w14:textFill>
        </w:rPr>
        <w:t>四、</w:t>
      </w:r>
      <w:r>
        <w:rPr>
          <w:rFonts w:hint="eastAsia" w:ascii="宋体" w:hAnsi="宋体" w:cs="宋体"/>
          <w:b/>
          <w:bCs/>
          <w:color w:val="000000" w:themeColor="text1"/>
          <w:sz w:val="24"/>
          <w:szCs w:val="22"/>
          <w:highlight w:val="none"/>
          <w14:textFill>
            <w14:solidFill>
              <w14:schemeClr w14:val="tx1"/>
            </w14:solidFill>
          </w14:textFill>
        </w:rPr>
        <w:t>其他类：</w:t>
      </w:r>
    </w:p>
    <w:tbl>
      <w:tblPr>
        <w:tblStyle w:val="5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3"/>
        <w:gridCol w:w="1521"/>
        <w:gridCol w:w="876"/>
        <w:gridCol w:w="6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5"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序号</w:t>
            </w:r>
          </w:p>
        </w:tc>
        <w:tc>
          <w:tcPr>
            <w:tcW w:w="795"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评分因素及权重</w:t>
            </w:r>
          </w:p>
        </w:tc>
        <w:tc>
          <w:tcPr>
            <w:tcW w:w="458"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分值</w:t>
            </w:r>
          </w:p>
        </w:tc>
        <w:tc>
          <w:tcPr>
            <w:tcW w:w="3210" w:type="pct"/>
            <w:vAlign w:val="center"/>
          </w:tcPr>
          <w:p>
            <w:pPr>
              <w:pStyle w:val="23"/>
              <w:spacing w:after="0"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25" w:type="dxa"/>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795"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报价</w:t>
            </w:r>
          </w:p>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w:t>
            </w:r>
          </w:p>
          <w:p>
            <w:pPr>
              <w:pStyle w:val="23"/>
              <w:spacing w:line="360" w:lineRule="auto"/>
              <w:jc w:val="center"/>
              <w:rPr>
                <w:rFonts w:ascii="宋体" w:hAnsi="宋体" w:cs="宋体"/>
                <w:color w:val="000000" w:themeColor="text1"/>
                <w:sz w:val="24"/>
                <w:szCs w:val="24"/>
                <w:highlight w:val="none"/>
                <w14:textFill>
                  <w14:solidFill>
                    <w14:schemeClr w14:val="tx1"/>
                  </w14:solidFill>
                </w14:textFill>
              </w:rPr>
            </w:pPr>
          </w:p>
        </w:tc>
        <w:tc>
          <w:tcPr>
            <w:tcW w:w="458"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30分</w:t>
            </w:r>
          </w:p>
        </w:tc>
        <w:tc>
          <w:tcPr>
            <w:tcW w:w="3210" w:type="pct"/>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满足招标文件要求且投标价格最低的报价为基准价，其价格分为满分。其他投标人的价格分统一按照下列公式计算：报价得分=(基准价／报价)* 30%*100</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注：对小型和微型企业、监狱企业、残疾人福利性单位</w:t>
            </w:r>
            <w:r>
              <w:rPr>
                <w:rFonts w:hint="eastAsia" w:hAnsi="宋体" w:cs="宋体"/>
                <w:color w:val="000000" w:themeColor="text1"/>
                <w:sz w:val="24"/>
                <w:szCs w:val="24"/>
                <w:highlight w:val="none"/>
                <w14:textFill>
                  <w14:solidFill>
                    <w14:schemeClr w14:val="tx1"/>
                  </w14:solidFill>
                </w14:textFill>
              </w:rPr>
              <w:t>提供服务</w:t>
            </w:r>
            <w:r>
              <w:rPr>
                <w:rFonts w:hint="eastAsia" w:ascii="宋体" w:hAnsi="宋体" w:cs="宋体"/>
                <w:color w:val="000000" w:themeColor="text1"/>
                <w:sz w:val="24"/>
                <w:szCs w:val="24"/>
                <w:highlight w:val="none"/>
                <w14:textFill>
                  <w14:solidFill>
                    <w14:schemeClr w14:val="tx1"/>
                  </w14:solidFill>
                </w14:textFill>
              </w:rPr>
              <w:t>的价格给予10%的扣除，用扣除后的价格参与评审【须提供中小企业、残疾人福利性单位声明函、监狱企业相关证明材料】。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25" w:type="dxa"/>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795"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技术</w:t>
            </w:r>
          </w:p>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w:t>
            </w:r>
          </w:p>
        </w:tc>
        <w:tc>
          <w:tcPr>
            <w:tcW w:w="458"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44</w:t>
            </w:r>
            <w:r>
              <w:rPr>
                <w:rFonts w:hint="eastAsia" w:ascii="宋体" w:hAnsi="宋体" w:cs="宋体"/>
                <w:color w:val="000000" w:themeColor="text1"/>
                <w:sz w:val="24"/>
                <w:szCs w:val="24"/>
                <w:highlight w:val="none"/>
                <w14:textFill>
                  <w14:solidFill>
                    <w14:schemeClr w14:val="tx1"/>
                  </w14:solidFill>
                </w14:textFill>
              </w:rPr>
              <w:t>分</w:t>
            </w:r>
          </w:p>
        </w:tc>
        <w:tc>
          <w:tcPr>
            <w:tcW w:w="3210" w:type="pct"/>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投标人针对招标文件技术参数条款的响应得分规则如下：</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【①技术条款以序号1、2、3……为单位；②序号中未标注“</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”的条款，视为一般技术参数条款；③序号中标注“</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 xml:space="preserve">”的条款，视为重要技术参数条款。】 </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1、投标人针对招标文件一般技术参数条款的响应得分规则如下：</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满足或优于该指标得0.5</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分，不满足不得分，共计80项，共计4</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分。</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2、投标人针对招标文件“</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”技术参数条款的响应得分规则如下：</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满足或优于该指标得0分，不满足不得分，共计0项，共计0分。</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若技术要求中需要提供相关证明材料，未提供视为未响应。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25" w:type="dxa"/>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1521" w:type="dxa"/>
            <w:vAlign w:val="center"/>
          </w:tcPr>
          <w:p>
            <w:pPr>
              <w:pStyle w:val="23"/>
              <w:spacing w:after="0" w:line="360" w:lineRule="auto"/>
              <w:jc w:val="center"/>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技术培训</w:t>
            </w:r>
          </w:p>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lang w:val="zh-TW" w:eastAsia="zh-TW"/>
                <w14:textFill>
                  <w14:solidFill>
                    <w14:schemeClr w14:val="tx1"/>
                  </w14:solidFill>
                </w14:textFill>
              </w:rPr>
              <w:t>%</w:t>
            </w:r>
          </w:p>
        </w:tc>
        <w:tc>
          <w:tcPr>
            <w:tcW w:w="878" w:type="dxa"/>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分</w:t>
            </w:r>
          </w:p>
        </w:tc>
        <w:tc>
          <w:tcPr>
            <w:tcW w:w="6141" w:type="dxa"/>
            <w:vAlign w:val="center"/>
          </w:tcPr>
          <w:p>
            <w:pPr>
              <w:pStyle w:val="23"/>
              <w:spacing w:after="0" w:line="360" w:lineRule="auto"/>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w:t>
            </w:r>
            <w:r>
              <w:rPr>
                <w:rFonts w:hint="eastAsia" w:ascii="宋体" w:hAnsi="宋体" w:cs="宋体"/>
                <w:color w:val="000000" w:themeColor="text1"/>
                <w:sz w:val="24"/>
                <w:szCs w:val="24"/>
                <w:highlight w:val="none"/>
                <w:lang w:val="zh-TW" w:eastAsia="zh-TW"/>
                <w14:textFill>
                  <w14:solidFill>
                    <w14:schemeClr w14:val="tx1"/>
                  </w14:solidFill>
                </w14:textFill>
              </w:rPr>
              <w:t>投标人针对本项目的技术培训方案进行评分，方案内容至少</w:t>
            </w:r>
            <w:r>
              <w:rPr>
                <w:rFonts w:hint="eastAsia" w:ascii="宋体" w:hAnsi="宋体" w:cs="宋体"/>
                <w:color w:val="000000" w:themeColor="text1"/>
                <w:sz w:val="24"/>
                <w:szCs w:val="24"/>
                <w:highlight w:val="none"/>
                <w14:textFill>
                  <w14:solidFill>
                    <w14:schemeClr w14:val="tx1"/>
                  </w14:solidFill>
                </w14:textFill>
              </w:rPr>
              <w:t>包括</w:t>
            </w:r>
            <w:r>
              <w:rPr>
                <w:rFonts w:hint="eastAsia" w:ascii="宋体" w:hAnsi="宋体" w:cs="宋体"/>
                <w:color w:val="000000" w:themeColor="text1"/>
                <w:sz w:val="24"/>
                <w:szCs w:val="24"/>
                <w:highlight w:val="none"/>
                <w:lang w:val="zh-TW" w:eastAsia="zh-TW"/>
                <w14:textFill>
                  <w14:solidFill>
                    <w14:schemeClr w14:val="tx1"/>
                  </w14:solidFill>
                </w14:textFill>
              </w:rPr>
              <w:t>①培训内容，②培训方式，③培训计划，④培训团队配备等。</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提供完整培训方案内容齐全，描述细致且完全满足本项目需求的得</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分；每缺少一项扣</w:t>
            </w:r>
            <w:r>
              <w:rPr>
                <w:rFonts w:hint="eastAsia" w:ascii="宋体" w:hAnsi="宋体" w:cs="宋体"/>
                <w:color w:val="000000" w:themeColor="text1"/>
                <w:sz w:val="24"/>
                <w:szCs w:val="24"/>
                <w:highlight w:val="none"/>
                <w:lang w:val="en-US" w:eastAsia="zh-CN"/>
                <w14:textFill>
                  <w14:solidFill>
                    <w14:schemeClr w14:val="tx1"/>
                  </w14:solidFill>
                </w14:textFill>
              </w:rPr>
              <w:t>2.5</w:t>
            </w:r>
            <w:r>
              <w:rPr>
                <w:rFonts w:hint="eastAsia" w:ascii="宋体" w:hAnsi="宋体" w:cs="宋体"/>
                <w:color w:val="000000" w:themeColor="text1"/>
                <w:sz w:val="24"/>
                <w:szCs w:val="24"/>
                <w:highlight w:val="none"/>
                <w14:textFill>
                  <w14:solidFill>
                    <w14:schemeClr w14:val="tx1"/>
                  </w14:solidFill>
                </w14:textFill>
              </w:rPr>
              <w:t>分；每有一处存在缺陷的扣1.</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25" w:type="dxa"/>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1521" w:type="dxa"/>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售后服务12%</w:t>
            </w:r>
          </w:p>
        </w:tc>
        <w:tc>
          <w:tcPr>
            <w:tcW w:w="878" w:type="dxa"/>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12分</w:t>
            </w:r>
          </w:p>
        </w:tc>
        <w:tc>
          <w:tcPr>
            <w:tcW w:w="6141" w:type="dxa"/>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根据投标人针对本项目的售后服务方案进行评分，方案内容至少包括①服务承诺及响应方案，②备件（易耗品）供应方案，③服务人员配备及应急措施，④质保外服务措施等售后服务。</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提供完整售后服务方案且完全满足本项目需求的得12分；每缺少一项扣3分；每有一处存在缺陷的扣1.5分，扣完为止。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25" w:type="dxa"/>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795" w:type="pct"/>
            <w:vAlign w:val="center"/>
          </w:tcPr>
          <w:p>
            <w:pPr>
              <w:pStyle w:val="23"/>
              <w:spacing w:after="0" w:line="360" w:lineRule="auto"/>
              <w:jc w:val="center"/>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类似业绩</w:t>
            </w:r>
          </w:p>
          <w:p>
            <w:pPr>
              <w:pStyle w:val="23"/>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lang w:val="zh-TW" w:eastAsia="zh-TW"/>
                <w14:textFill>
                  <w14:solidFill>
                    <w14:schemeClr w14:val="tx1"/>
                  </w14:solidFill>
                </w14:textFill>
              </w:rPr>
              <w:t>%</w:t>
            </w:r>
          </w:p>
        </w:tc>
        <w:tc>
          <w:tcPr>
            <w:tcW w:w="458"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分</w:t>
            </w:r>
          </w:p>
        </w:tc>
        <w:tc>
          <w:tcPr>
            <w:tcW w:w="3210" w:type="pct"/>
            <w:vAlign w:val="center"/>
          </w:tcPr>
          <w:p>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cs="宋体"/>
                <w:color w:val="000000" w:themeColor="text1"/>
                <w:sz w:val="24"/>
                <w:szCs w:val="24"/>
                <w:highlight w:val="none"/>
                <w:lang w:val="zh-TW" w:eastAsia="zh-TW"/>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投标人自</w:t>
            </w:r>
            <w:r>
              <w:rPr>
                <w:rFonts w:hint="eastAsia" w:ascii="宋体" w:hAnsi="宋体" w:cs="宋体"/>
                <w:color w:val="000000" w:themeColor="text1"/>
                <w:sz w:val="24"/>
                <w:szCs w:val="24"/>
                <w:highlight w:val="none"/>
                <w:lang w:val="zh-TW"/>
                <w14:textFill>
                  <w14:solidFill>
                    <w14:schemeClr w14:val="tx1"/>
                  </w14:solidFill>
                </w14:textFill>
              </w:rPr>
              <w:t>2021年1月1日（含）至今</w:t>
            </w:r>
            <w:r>
              <w:rPr>
                <w:rFonts w:hint="eastAsia" w:ascii="宋体" w:hAnsi="宋体" w:cs="宋体"/>
                <w:color w:val="000000" w:themeColor="text1"/>
                <w:sz w:val="24"/>
                <w:szCs w:val="24"/>
                <w:highlight w:val="none"/>
                <w:lang w:val="zh-TW" w:eastAsia="zh-TW"/>
                <w14:textFill>
                  <w14:solidFill>
                    <w14:schemeClr w14:val="tx1"/>
                  </w14:solidFill>
                </w14:textFill>
              </w:rPr>
              <w:t>，有1个</w:t>
            </w:r>
            <w:r>
              <w:rPr>
                <w:rFonts w:hint="eastAsia" w:ascii="宋体" w:hAnsi="宋体" w:cs="宋体"/>
                <w:color w:val="000000" w:themeColor="text1"/>
                <w:sz w:val="24"/>
                <w:szCs w:val="24"/>
                <w:highlight w:val="none"/>
                <w:lang w:val="en-US" w:eastAsia="zh-CN"/>
                <w14:textFill>
                  <w14:solidFill>
                    <w14:schemeClr w14:val="tx1"/>
                  </w14:solidFill>
                </w14:textFill>
              </w:rPr>
              <w:t>同类项目</w:t>
            </w:r>
            <w:r>
              <w:rPr>
                <w:rFonts w:hint="eastAsia" w:ascii="宋体" w:hAnsi="宋体" w:cs="宋体"/>
                <w:color w:val="000000" w:themeColor="text1"/>
                <w:sz w:val="24"/>
                <w:szCs w:val="24"/>
                <w:highlight w:val="none"/>
                <w:lang w:val="zh-TW" w:eastAsia="zh-TW"/>
                <w14:textFill>
                  <w14:solidFill>
                    <w14:schemeClr w14:val="tx1"/>
                  </w14:solidFill>
                </w14:textFill>
              </w:rPr>
              <w:t>供货业绩的得</w:t>
            </w:r>
            <w:r>
              <w:rPr>
                <w:rFonts w:hint="eastAsia" w:ascii="宋体" w:hAnsi="宋体" w:cs="宋体"/>
                <w:color w:val="000000" w:themeColor="text1"/>
                <w:sz w:val="24"/>
                <w:szCs w:val="24"/>
                <w:highlight w:val="none"/>
                <w14:textFill>
                  <w14:solidFill>
                    <w14:schemeClr w14:val="tx1"/>
                  </w14:solidFill>
                </w14:textFill>
              </w:rPr>
              <w:t>1.5</w:t>
            </w:r>
            <w:r>
              <w:rPr>
                <w:rFonts w:hint="eastAsia" w:ascii="宋体" w:hAnsi="宋体" w:cs="宋体"/>
                <w:color w:val="000000" w:themeColor="text1"/>
                <w:sz w:val="24"/>
                <w:szCs w:val="24"/>
                <w:highlight w:val="none"/>
                <w:lang w:val="zh-TW" w:eastAsia="zh-TW"/>
                <w14:textFill>
                  <w14:solidFill>
                    <w14:schemeClr w14:val="tx1"/>
                  </w14:solidFill>
                </w14:textFill>
              </w:rPr>
              <w:t>分，最高</w:t>
            </w: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zh-TW" w:eastAsia="zh-TW"/>
                <w14:textFill>
                  <w14:solidFill>
                    <w14:schemeClr w14:val="tx1"/>
                  </w14:solidFill>
                </w14:textFill>
              </w:rPr>
              <w:t>分。</w:t>
            </w:r>
          </w:p>
          <w:p>
            <w:pPr>
              <w:pStyle w:val="23"/>
              <w:spacing w:after="0" w:line="360" w:lineRule="auto"/>
              <w:rPr>
                <w:rFonts w:hint="eastAsia" w:ascii="宋体" w:hAnsi="宋体" w:cs="宋体"/>
                <w:color w:val="000000" w:themeColor="text1"/>
                <w:sz w:val="24"/>
                <w:szCs w:val="24"/>
                <w:highlight w:val="none"/>
                <w:lang w:val="zh-TW" w:eastAsia="zh-CN"/>
                <w14:textFill>
                  <w14:solidFill>
                    <w14:schemeClr w14:val="tx1"/>
                  </w14:solidFill>
                </w14:textFill>
              </w:rPr>
            </w:pPr>
            <w:r>
              <w:rPr>
                <w:rFonts w:hint="eastAsia" w:ascii="宋体" w:hAnsi="宋体" w:cs="宋体"/>
                <w:color w:val="000000" w:themeColor="text1"/>
                <w:sz w:val="24"/>
                <w:szCs w:val="24"/>
                <w:highlight w:val="none"/>
                <w:lang w:val="zh-TW" w:eastAsia="zh-TW"/>
                <w14:textFill>
                  <w14:solidFill>
                    <w14:schemeClr w14:val="tx1"/>
                  </w14:solidFill>
                </w14:textFill>
              </w:rPr>
              <w:t>注：</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zh-TW" w:eastAsia="zh-TW"/>
                <w14:textFill>
                  <w14:solidFill>
                    <w14:schemeClr w14:val="tx1"/>
                  </w14:solidFill>
                </w14:textFill>
              </w:rPr>
              <w:t>提供每个业绩的合同复印件以及投标人与合同需求方</w:t>
            </w:r>
            <w:r>
              <w:rPr>
                <w:rFonts w:hint="eastAsia" w:ascii="宋体" w:hAnsi="宋体" w:cs="宋体"/>
                <w:color w:val="000000" w:themeColor="text1"/>
                <w:sz w:val="24"/>
                <w:szCs w:val="24"/>
                <w:highlight w:val="none"/>
                <w:lang w:val="en-US" w:eastAsia="zh-CN"/>
                <w14:textFill>
                  <w14:solidFill>
                    <w14:schemeClr w14:val="tx1"/>
                  </w14:solidFill>
                </w14:textFill>
              </w:rPr>
              <w:t>至少一次的</w:t>
            </w:r>
            <w:r>
              <w:rPr>
                <w:rFonts w:hint="eastAsia" w:ascii="宋体" w:hAnsi="宋体" w:cs="宋体"/>
                <w:color w:val="000000" w:themeColor="text1"/>
                <w:sz w:val="24"/>
                <w:szCs w:val="24"/>
                <w:highlight w:val="none"/>
                <w:lang w:val="zh-TW" w:eastAsia="zh-TW"/>
                <w14:textFill>
                  <w14:solidFill>
                    <w14:schemeClr w14:val="tx1"/>
                  </w14:solidFill>
                </w14:textFill>
              </w:rPr>
              <w:t>转账凭证复印件（或对应发票复印件）</w:t>
            </w:r>
            <w:r>
              <w:rPr>
                <w:rFonts w:hint="eastAsia" w:ascii="宋体" w:hAnsi="宋体" w:cs="宋体"/>
                <w:color w:val="000000" w:themeColor="text1"/>
                <w:sz w:val="24"/>
                <w:szCs w:val="24"/>
                <w:highlight w:val="none"/>
                <w:lang w:val="zh-TW" w:eastAsia="zh-CN"/>
                <w14:textFill>
                  <w14:solidFill>
                    <w14:schemeClr w14:val="tx1"/>
                  </w14:solidFill>
                </w14:textFill>
              </w:rPr>
              <w:t>。</w:t>
            </w:r>
          </w:p>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2、同类项目供货业绩是指：至少包含本标包1个及以上产品的供货业绩。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25" w:type="dxa"/>
            <w:vAlign w:val="center"/>
          </w:tcPr>
          <w:p>
            <w:pPr>
              <w:pStyle w:val="23"/>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795"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节能环保1%</w:t>
            </w:r>
          </w:p>
        </w:tc>
        <w:tc>
          <w:tcPr>
            <w:tcW w:w="458" w:type="pct"/>
            <w:vAlign w:val="center"/>
          </w:tcPr>
          <w:p>
            <w:pPr>
              <w:pStyle w:val="23"/>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1分</w:t>
            </w:r>
          </w:p>
        </w:tc>
        <w:tc>
          <w:tcPr>
            <w:tcW w:w="3210" w:type="pct"/>
            <w:vAlign w:val="center"/>
          </w:tcPr>
          <w:p>
            <w:pPr>
              <w:pStyle w:val="23"/>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国家强制采购产品除外，认定为政府采购节能产品或者政府采购环境标志产品或者无线局域网产品的1个得0.5分，最多得1 分。非政府采购节能、环境标志产品的、无线局域网产品的不得分。</w:t>
            </w:r>
          </w:p>
          <w:p>
            <w:pPr>
              <w:pStyle w:val="23"/>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注：以财政部会同国务院有关部门机构颁发的最新文件为准（提供满足环境标志产品政府采购品目清单规定或节能产品政府采购品目清单规定的相关认证证明材料）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4"/>
            <w:vAlign w:val="center"/>
          </w:tcPr>
          <w:p>
            <w:pPr>
              <w:pStyle w:val="23"/>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方案中存在“缺陷”是指存在下列情形之一：①项目名称、实施时间地点与本项目要求不一致；②方案内容前后矛盾或交叉混乱；③存在与本项目无关的其他行业、其他区域地点或明显无关的文字内容；④方案或具体措施针对性与项目实际情况不匹配；⑤引用的法规、标准失效或错误。</w:t>
            </w:r>
          </w:p>
        </w:tc>
      </w:tr>
    </w:tbl>
    <w:p>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p>
    <w:p>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5、废 标</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5.1本次政府采购活动中，出现下列情形之一的，予以废标：</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（1）各标包符合专业条件的投标人或者对招标文件作实质响应的投标人不足三家的；</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（2）出现影响采购公正的违法、违规行为的；</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（3）投标人的报价均超过了采购预算，采购人不能支付的；</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（4）因重大变故，采购任务取消的。</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废标后，采购代理机构应在中国政府采购网上公告，并公告废标的情形。投标人需要知晓导致废标情形的具体原因和理由的，可以通过书面形式询问招标采购单位。</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5.2对于评标过程中废标的采购项目，评标委员会应当对招标文件是否存在倾向性和歧视性、是否存在不合理条款进行论证，并出具书面论证意见。</w:t>
      </w:r>
    </w:p>
    <w:p>
      <w:pPr>
        <w:pStyle w:val="5"/>
        <w:spacing w:before="0" w:after="0"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6、定标</w:t>
      </w:r>
      <w:bookmarkStart w:id="367" w:name="_Toc217446061"/>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 定标原则</w:t>
      </w:r>
      <w:bookmarkEnd w:id="367"/>
      <w:r>
        <w:rPr>
          <w:rFonts w:hint="eastAsia" w:ascii="宋体" w:hAnsi="宋体" w:cs="宋体"/>
          <w:color w:val="000000" w:themeColor="text1"/>
          <w:sz w:val="24"/>
          <w:highlight w:val="none"/>
          <w14:textFill>
            <w14:solidFill>
              <w14:schemeClr w14:val="tx1"/>
            </w14:solidFill>
          </w14:textFill>
        </w:rPr>
        <w:t>：本项目根据评标委员会推荐的中标候选人名单，按顺序确定中标人。</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368" w:name="_Toc217446062"/>
      <w:r>
        <w:rPr>
          <w:rFonts w:hint="eastAsia" w:ascii="宋体" w:hAnsi="宋体" w:cs="宋体"/>
          <w:color w:val="000000" w:themeColor="text1"/>
          <w:sz w:val="24"/>
          <w:highlight w:val="none"/>
          <w14:textFill>
            <w14:solidFill>
              <w14:schemeClr w14:val="tx1"/>
            </w14:solidFill>
          </w14:textFill>
        </w:rPr>
        <w:t>6.2. 定标程序</w:t>
      </w:r>
      <w:bookmarkEnd w:id="368"/>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6.2.1 评标委员会将评标情况写出书面报告，推荐中标候选人。</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6.2.2 采购代理机构在评标结束后2个工作日内将评标报告送采购人。</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6.2.3 采购人在收到评标报告后5个工作日内，按照评标报告中推荐的中标候选人顺序确定中标人。</w:t>
      </w:r>
      <w:r>
        <w:rPr>
          <w:rFonts w:hint="eastAsia" w:ascii="宋体" w:hAnsi="宋体" w:cs="宋体"/>
          <w:color w:val="000000" w:themeColor="text1"/>
          <w:sz w:val="24"/>
          <w:szCs w:val="24"/>
          <w:highlight w:val="none"/>
          <w14:textFill>
            <w14:solidFill>
              <w14:schemeClr w14:val="tx1"/>
            </w14:solidFill>
          </w14:textFill>
        </w:rPr>
        <w:t>评标结果按评审后得分由高到低顺序排列；在得分相同时,按投标报价由低到高顺序排列；得分且投标报价相同的并列，投标文件满足招标文件全部实质性要求且按照评审因素的量化指标评审得分最高的投标人为中标候选人；报价相同且满足招标文件全部实质性要求且按照评审因素的量化指标评审得分也相同的，若存在不发达地区或少数民族地区投标人，优先选择该投标人，若不存在，则并列,由采购人自主采取公平、择优的方式选择中标人。</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6.2.4 根据采购人确定的中标人，采购代理机构在中国政府采购网上发布中标公告，并自采购人确定中标之日起2个工作日内向中标人发出中标通知书。</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6.2.5 招标采购单位不退回投标人投标文件和其他投标资料。</w:t>
      </w:r>
    </w:p>
    <w:p>
      <w:pPr>
        <w:pStyle w:val="5"/>
        <w:spacing w:before="0" w:after="0" w:line="360" w:lineRule="auto"/>
        <w:ind w:firstLine="480"/>
        <w:rPr>
          <w:rFonts w:ascii="宋体" w:hAnsi="宋体" w:cs="宋体"/>
          <w:color w:val="000000" w:themeColor="text1"/>
          <w:sz w:val="24"/>
          <w:szCs w:val="24"/>
          <w:highlight w:val="none"/>
          <w14:textFill>
            <w14:solidFill>
              <w14:schemeClr w14:val="tx1"/>
            </w14:solidFill>
          </w14:textFill>
        </w:rPr>
      </w:pPr>
      <w:bookmarkStart w:id="369" w:name="_Toc183682432"/>
      <w:bookmarkStart w:id="370" w:name="_Toc217446105"/>
      <w:bookmarkStart w:id="371" w:name="_Toc208849022"/>
      <w:bookmarkStart w:id="372" w:name="_Toc183582297"/>
      <w:r>
        <w:rPr>
          <w:rFonts w:hint="eastAsia" w:ascii="宋体" w:hAnsi="宋体" w:cs="宋体"/>
          <w:color w:val="000000" w:themeColor="text1"/>
          <w:sz w:val="24"/>
          <w:szCs w:val="24"/>
          <w:highlight w:val="none"/>
          <w14:textFill>
            <w14:solidFill>
              <w14:schemeClr w14:val="tx1"/>
            </w14:solidFill>
          </w14:textFill>
        </w:rPr>
        <w:t xml:space="preserve">7. </w:t>
      </w:r>
      <w:bookmarkEnd w:id="369"/>
      <w:bookmarkEnd w:id="370"/>
      <w:bookmarkEnd w:id="371"/>
      <w:bookmarkEnd w:id="372"/>
      <w:r>
        <w:rPr>
          <w:rFonts w:hint="eastAsia" w:ascii="宋体" w:hAnsi="宋体" w:cs="宋体"/>
          <w:color w:val="000000" w:themeColor="text1"/>
          <w:sz w:val="24"/>
          <w:szCs w:val="24"/>
          <w:highlight w:val="none"/>
          <w14:textFill>
            <w14:solidFill>
              <w14:schemeClr w14:val="tx1"/>
            </w14:solidFill>
          </w14:textFill>
        </w:rPr>
        <w:t>评标专家在政府采购活动中承担以下义务：</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（一）遵守评审工作纪律； </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（二）按照客观、公正、审慎的原则，根据招标文件规定的评审程序、评审方法和评审标准进行独立评审；</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（三）不得泄露评审文件、评审情况和在评审过程中获悉的商业秘密；</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（四）及时向监督部门报告评审过程中采购组织单位向评审专家做倾向性、误导性的解释或者说明，投标人行贿、提供虚假材料或者串通、受到的非法干预情况等违法违规行为；</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（五）发现招标文件内容违反国家有关强制性规定或者存在歧义、重大缺陷导致评审工作无法进行时，停止评审并向采购组织单位书面说明情况；</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（六）配合答复处理投标人的询问、质疑和投诉等事项；</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（七）法律、法规和规章规定的其他义务。</w:t>
      </w:r>
    </w:p>
    <w:p>
      <w:pPr>
        <w:pStyle w:val="5"/>
        <w:spacing w:before="0" w:after="0"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8.评标专家在政府采购活动中应当遵守以下工作纪律：</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（一）遵行《政府采购法》第十二条和《政府采购法实施条例》第九条及财政部关于回避的规定。</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（二）评标前，应当将通讯工具或者相关电子设备交由招标采购单位统一保管。</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（三）评标过程中，不得与外界联系，因发生不可预见情况，确实需要与外界联系的，应当在监督人员监督之下办理。</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评标过程中，不得干预或者影响正常评标工作，不得发表倾向性、引导性意见，不得修改或细化招标文件确定的评标程序、评标方法、评标因素和评标标准，不得接受投标人主动提出的澄清和解释，不得征询采购人代表的意见，不得协商评分，不得违反规定的评标格式评分和撰写评标意见，不得拒绝对自己的评标意见签字确认。</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（五）在评标过程中和评标结束后，不得记录、复制或带走任何评标资料，除因规定的义务外，不得向外界透露评标内容。</w:t>
      </w:r>
    </w:p>
    <w:p>
      <w:pPr>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（六）服从评标现场招标采购单位的现场秩序管理，接受评标现场监督人员的合法监督。</w:t>
      </w:r>
    </w:p>
    <w:p>
      <w:pPr>
        <w:pStyle w:val="467"/>
        <w:spacing w:line="480" w:lineRule="exact"/>
        <w:ind w:firstLine="480" w:firstLineChars="200"/>
        <w:outlineLvl w:val="0"/>
        <w:rPr>
          <w:rFonts w:cs="宋体"/>
          <w:color w:val="000000" w:themeColor="text1"/>
          <w:highlight w:val="none"/>
          <w14:textFill>
            <w14:solidFill>
              <w14:schemeClr w14:val="tx1"/>
            </w14:solidFill>
          </w14:textFill>
        </w:rPr>
        <w:sectPr>
          <w:pgSz w:w="11907" w:h="16840"/>
          <w:pgMar w:top="851" w:right="1134" w:bottom="851" w:left="1418" w:header="851" w:footer="992" w:gutter="0"/>
          <w:cols w:space="720" w:num="1"/>
          <w:docGrid w:linePitch="326" w:charSpace="0"/>
        </w:sectPr>
      </w:pPr>
      <w:bookmarkStart w:id="373" w:name="_Toc26388"/>
      <w:bookmarkStart w:id="374" w:name="_Toc5685"/>
      <w:r>
        <w:rPr>
          <w:rFonts w:hint="eastAsia" w:cs="宋体"/>
          <w:color w:val="000000" w:themeColor="text1"/>
          <w:highlight w:val="none"/>
          <w14:textFill>
            <w14:solidFill>
              <w14:schemeClr w14:val="tx1"/>
            </w14:solidFill>
          </w14:textFill>
        </w:rPr>
        <w:t>（七）遵守有关廉洁自律规定，不得私下接触投标人，不得收受投标人及有关业务单位和个人的财物或好处，不得接受采购组织单位的请托。</w:t>
      </w:r>
      <w:bookmarkEnd w:id="353"/>
      <w:bookmarkEnd w:id="354"/>
      <w:bookmarkEnd w:id="355"/>
      <w:bookmarkEnd w:id="356"/>
      <w:bookmarkEnd w:id="373"/>
      <w:bookmarkEnd w:id="374"/>
      <w:bookmarkStart w:id="375" w:name="_Toc426657613"/>
    </w:p>
    <w:p>
      <w:pPr>
        <w:pStyle w:val="467"/>
        <w:spacing w:line="480" w:lineRule="exact"/>
        <w:ind w:firstLine="723" w:firstLineChars="200"/>
        <w:jc w:val="center"/>
        <w:outlineLvl w:val="0"/>
        <w:rPr>
          <w:rStyle w:val="72"/>
          <w:rFonts w:cs="宋体"/>
          <w:color w:val="000000" w:themeColor="text1"/>
          <w:sz w:val="36"/>
          <w:szCs w:val="36"/>
          <w:highlight w:val="none"/>
          <w14:textFill>
            <w14:solidFill>
              <w14:schemeClr w14:val="tx1"/>
            </w14:solidFill>
          </w14:textFill>
        </w:rPr>
      </w:pPr>
      <w:bookmarkStart w:id="376" w:name="_Toc23800"/>
      <w:bookmarkStart w:id="377" w:name="_Toc322"/>
      <w:r>
        <w:rPr>
          <w:rStyle w:val="72"/>
          <w:rFonts w:hint="eastAsia" w:cs="宋体"/>
          <w:color w:val="000000" w:themeColor="text1"/>
          <w:sz w:val="36"/>
          <w:szCs w:val="36"/>
          <w:highlight w:val="none"/>
          <w14:textFill>
            <w14:solidFill>
              <w14:schemeClr w14:val="tx1"/>
            </w14:solidFill>
          </w14:textFill>
        </w:rPr>
        <w:t>第八章  政府采购合同</w:t>
      </w:r>
      <w:bookmarkEnd w:id="375"/>
      <w:r>
        <w:rPr>
          <w:rStyle w:val="72"/>
          <w:rFonts w:hint="eastAsia" w:cs="宋体"/>
          <w:color w:val="000000" w:themeColor="text1"/>
          <w:sz w:val="36"/>
          <w:szCs w:val="36"/>
          <w:highlight w:val="none"/>
          <w14:textFill>
            <w14:solidFill>
              <w14:schemeClr w14:val="tx1"/>
            </w14:solidFill>
          </w14:textFill>
        </w:rPr>
        <w:t>（样例）</w:t>
      </w:r>
      <w:bookmarkEnd w:id="376"/>
      <w:bookmarkEnd w:id="377"/>
    </w:p>
    <w:p>
      <w:pPr>
        <w:pStyle w:val="23"/>
        <w:spacing w:after="0"/>
        <w:rPr>
          <w:rFonts w:ascii="宋体" w:hAnsi="宋体" w:cs="宋体"/>
          <w:color w:val="000000" w:themeColor="text1"/>
          <w:highlight w:val="none"/>
          <w14:textFill>
            <w14:solidFill>
              <w14:schemeClr w14:val="tx1"/>
            </w14:solidFill>
          </w14:textFill>
        </w:rPr>
      </w:pPr>
    </w:p>
    <w:p>
      <w:pPr>
        <w:ind w:firstLine="643"/>
        <w:jc w:val="center"/>
        <w:rPr>
          <w:rFonts w:ascii="宋体" w:hAnsi="宋体" w:cs="宋体"/>
          <w:b/>
          <w:bCs/>
          <w:color w:val="000000" w:themeColor="text1"/>
          <w:sz w:val="32"/>
          <w:szCs w:val="40"/>
          <w:highlight w:val="none"/>
          <w14:textFill>
            <w14:solidFill>
              <w14:schemeClr w14:val="tx1"/>
            </w14:solidFill>
          </w14:textFill>
        </w:rPr>
      </w:pPr>
      <w:bookmarkStart w:id="378" w:name="_Toc29624"/>
      <w:bookmarkStart w:id="379" w:name="_Toc31330"/>
      <w:r>
        <w:rPr>
          <w:rFonts w:hint="eastAsia" w:ascii="宋体" w:hAnsi="宋体" w:cs="宋体"/>
          <w:b/>
          <w:bCs/>
          <w:color w:val="000000" w:themeColor="text1"/>
          <w:sz w:val="32"/>
          <w:szCs w:val="40"/>
          <w:highlight w:val="none"/>
          <w14:textFill>
            <w14:solidFill>
              <w14:schemeClr w14:val="tx1"/>
            </w14:solidFill>
          </w14:textFill>
        </w:rPr>
        <w:t>（通用模板，部分条款以签订为准）</w:t>
      </w:r>
    </w:p>
    <w:p>
      <w:pPr>
        <w:adjustRightInd w:val="0"/>
        <w:snapToGrid w:val="0"/>
        <w:spacing w:line="480" w:lineRule="atLeas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甲方（需方）：                合同编号：xxxx-xx（必填）</w:t>
      </w:r>
    </w:p>
    <w:p>
      <w:pPr>
        <w:adjustRightInd w:val="0"/>
        <w:snapToGrid w:val="0"/>
        <w:spacing w:line="480" w:lineRule="atLeas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乙方（供方）：                签约地点：（必填）</w:t>
      </w:r>
    </w:p>
    <w:p>
      <w:pPr>
        <w:adjustRightInd w:val="0"/>
        <w:snapToGrid w:val="0"/>
        <w:spacing w:line="480" w:lineRule="atLeas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中华人民共和国政府采购法》《中华人民共和国民法典》及xxxxx项目《招标文件》乙方的《投标文件》及《中标通知书》，甲、乙双方同意签订本合同。详细技术说明及其他有关合同项目的特定信息由合同附件予以说明，合同附件及本项目的招标文件、投标文件、《中标通知书》等均为本合同不可分割的部分。双方同意共同遵守如下条款：</w:t>
      </w:r>
    </w:p>
    <w:p>
      <w:pPr>
        <w:adjustRightInd w:val="0"/>
        <w:snapToGrid w:val="0"/>
        <w:spacing w:line="440" w:lineRule="atLeas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1. 合同项目</w:t>
      </w:r>
    </w:p>
    <w:tbl>
      <w:tblPr>
        <w:tblStyle w:val="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933"/>
        <w:gridCol w:w="933"/>
        <w:gridCol w:w="933"/>
        <w:gridCol w:w="933"/>
        <w:gridCol w:w="1172"/>
        <w:gridCol w:w="933"/>
        <w:gridCol w:w="933"/>
        <w:gridCol w:w="934"/>
        <w:gridCol w:w="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258" w:type="pct"/>
            <w:vAlign w:val="center"/>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629" w:type="pct"/>
            <w:vAlign w:val="center"/>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品名</w:t>
            </w:r>
          </w:p>
        </w:tc>
        <w:tc>
          <w:tcPr>
            <w:tcW w:w="579" w:type="pct"/>
            <w:vAlign w:val="center"/>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规格型号</w:t>
            </w:r>
          </w:p>
        </w:tc>
        <w:tc>
          <w:tcPr>
            <w:tcW w:w="416" w:type="pct"/>
            <w:vAlign w:val="center"/>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产地</w:t>
            </w:r>
          </w:p>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厂家</w:t>
            </w:r>
          </w:p>
        </w:tc>
        <w:tc>
          <w:tcPr>
            <w:tcW w:w="374" w:type="pct"/>
            <w:vAlign w:val="center"/>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计量</w:t>
            </w:r>
          </w:p>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w:t>
            </w:r>
          </w:p>
        </w:tc>
        <w:tc>
          <w:tcPr>
            <w:tcW w:w="347" w:type="pct"/>
            <w:vAlign w:val="center"/>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单价</w:t>
            </w:r>
          </w:p>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(元)</w:t>
            </w:r>
          </w:p>
        </w:tc>
        <w:tc>
          <w:tcPr>
            <w:tcW w:w="376" w:type="pct"/>
            <w:vAlign w:val="center"/>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数量</w:t>
            </w:r>
          </w:p>
        </w:tc>
        <w:tc>
          <w:tcPr>
            <w:tcW w:w="455" w:type="pct"/>
            <w:vAlign w:val="center"/>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金额</w:t>
            </w:r>
          </w:p>
        </w:tc>
        <w:tc>
          <w:tcPr>
            <w:tcW w:w="782" w:type="pct"/>
            <w:vAlign w:val="center"/>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交货</w:t>
            </w:r>
          </w:p>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地点</w:t>
            </w:r>
          </w:p>
        </w:tc>
        <w:tc>
          <w:tcPr>
            <w:tcW w:w="779" w:type="pct"/>
            <w:vAlign w:val="center"/>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交货</w:t>
            </w:r>
          </w:p>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58"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62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57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416"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74"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47"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76"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455"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782" w:type="pct"/>
            <w:vMerge w:val="restart"/>
            <w:vAlign w:val="center"/>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见附件：需求明细表</w:t>
            </w:r>
          </w:p>
        </w:tc>
        <w:tc>
          <w:tcPr>
            <w:tcW w:w="77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58"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62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57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416"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74"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47"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76"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455"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782" w:type="pct"/>
            <w:vMerge w:val="continue"/>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77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58"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62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57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416"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74"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47"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76"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455"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782" w:type="pct"/>
            <w:vMerge w:val="continue"/>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77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58"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p>
        </w:tc>
        <w:tc>
          <w:tcPr>
            <w:tcW w:w="62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57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416"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74"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47"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76"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455"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782" w:type="pct"/>
            <w:vMerge w:val="continue"/>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77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58"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62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57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416"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74"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47"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376"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455"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782" w:type="pct"/>
            <w:vMerge w:val="continue"/>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c>
          <w:tcPr>
            <w:tcW w:w="779" w:type="pct"/>
          </w:tcPr>
          <w:p>
            <w:pPr>
              <w:adjustRightInd w:val="0"/>
              <w:snapToGrid w:val="0"/>
              <w:spacing w:before="48" w:beforeLines="20" w:after="48" w:afterLines="20" w:line="240" w:lineRule="atLeast"/>
              <w:ind w:firstLine="482"/>
              <w:jc w:val="center"/>
              <w:rPr>
                <w:rFonts w:ascii="宋体" w:hAnsi="宋体" w:cs="宋体"/>
                <w:color w:val="000000" w:themeColor="text1"/>
                <w:sz w:val="24"/>
                <w:highlight w:val="none"/>
                <w14:textFill>
                  <w14:solidFill>
                    <w14:schemeClr w14:val="tx1"/>
                  </w14:solidFill>
                </w14:textFill>
              </w:rPr>
            </w:pPr>
          </w:p>
        </w:tc>
      </w:tr>
    </w:tbl>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2. 货物价</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合同总价（人民币）：￥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元，大写：</w:t>
      </w:r>
      <w:r>
        <w:rPr>
          <w:rFonts w:hint="eastAsia" w:ascii="宋体" w:hAnsi="宋体" w:cs="宋体"/>
          <w:color w:val="000000" w:themeColor="text1"/>
          <w:sz w:val="24"/>
          <w:highlight w:val="none"/>
          <w:u w:val="single"/>
          <w14:textFill>
            <w14:solidFill>
              <w14:schemeClr w14:val="tx1"/>
            </w14:solidFill>
          </w14:textFill>
        </w:rPr>
        <w:t xml:space="preserve">人民币                 </w:t>
      </w:r>
      <w:r>
        <w:rPr>
          <w:rFonts w:hint="eastAsia" w:ascii="宋体" w:hAnsi="宋体" w:cs="宋体"/>
          <w:color w:val="000000" w:themeColor="text1"/>
          <w:sz w:val="24"/>
          <w:highlight w:val="none"/>
          <w14:textFill>
            <w14:solidFill>
              <w14:schemeClr w14:val="tx1"/>
            </w14:solidFill>
          </w14:textFill>
        </w:rPr>
        <w:t xml:space="preserve"> 。 该合同价格是货物本身的费用、加工费、包装费、运输费、运输过程保险费、保险、代理、安装调试、培训、税费、保修费、备品备件费和完成本合同的一切费用。</w:t>
      </w:r>
    </w:p>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3. 合同组成</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详细价格、技术说明、施工方案及其它有关合同设备的特定信息由合同附件说明。所有附件及本项目的招投标文件、会议纪要、协议等均为本合同不可分割之一部分。</w:t>
      </w:r>
    </w:p>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4.技术要求</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乙方所提供货物，必须符合国家有关规范和环保要求及甲方的技术要求，并提供货物的厂家测试报告。进口货物必须有中文使用说明书。所有货物、工程及服务不得侵犯第三方版权、专利、税费等。</w:t>
      </w:r>
    </w:p>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5.合同货物包装、交货、安装、调试及验收</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5.1.合同货物的包装</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货物的包装均应有良好的防湿、防锈、防潮、防雨、防腐及防磁撞的措施。凡由于包装不良造成的损失和由此产生的费用均由乙方承担。</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5.2.交货期和地点：</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5.2.1.交货（完工）期限：合同签订之日起xx天，包含货物安装、调试等所需时间。</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5.2.2.交货地点：甲方指定四川省省内地点。</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5.3.合同货物的安装调试</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5.3.1.乙方负责合同项下的安装调试，一切费用由乙方负责。</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5.3.2.乙方安装时须对各安装场地内的其他设备、设施有良好保护措施。</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5.4.验收。</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5.4.1.按照本项目招标文件、乙方投标文件、《财政部关于进一步加强政府采购需求和履约验收管理的指导意见》（财库〔2016〕205号）以及国家相关规定进行验收。</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5.4.2.双方如对质量要求和技术指标的约定标准有相互抵触或异议的事项，由采购人在招标与投标文件中按质量要求和技术指标较优的原则确定该项的约定标准进行验收。</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5.4.3.货物由总队集中验收，验收合格后出具验收报告，并交付使用单位试用，试用期一个月，届满后由使用单位出具复验报告，完成交付。</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5.4.4.验收按国家有关的规定、规范进行。验收时如发现所交付的货物有短装、次品、损坏或其它不符合本合同规定之情形者，甲方应做出详尽的现场记录，或由甲乙双方签署备忘录。此现场记录或备忘录可用作补充、缺失和更换损坏部件的有效证据。由此产生的有关费用由乙方承担，验收期限相应后延。</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5.4.5.如果合同货物运输和安装调试过程中因事故造成货物短缺、损坏，乙方应及时安排换装，以保证合同货物安装调试的成功完成。换货的相关费用由乙方承担。</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5.5.乙方保证合同项下提供的货物不侵犯任何第三方的专利、商标或版权。否则，乙方须承担对第三方的专利或版权的侵权责任并承后因此而发生的所有费用。</w:t>
      </w:r>
    </w:p>
    <w:p>
      <w:pPr>
        <w:adjustRightInd w:val="0"/>
        <w:snapToGrid w:val="0"/>
        <w:spacing w:line="480" w:lineRule="exact"/>
        <w:ind w:firstLine="562"/>
        <w:rPr>
          <w:rFonts w:ascii="宋体" w:hAnsi="宋体" w:cs="宋体"/>
          <w:color w:val="000000" w:themeColor="text1"/>
          <w:sz w:val="30"/>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6. 质量保证及售后服务</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6.1.乙方保证合同货物是通过合法渠道进货的、全新的、未曾使用过的，其质量、规格及技术特征符合合同附件的要求。</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6.2.以书面形式提供货物原厂家承诺的质量保证。</w:t>
      </w:r>
    </w:p>
    <w:p>
      <w:pPr>
        <w:adjustRightInd w:val="0"/>
        <w:snapToGrid w:val="0"/>
        <w:spacing w:line="480" w:lineRule="exact"/>
        <w:ind w:firstLine="48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保修期按生产厂家的标准或投标单位的承诺期限执行，但不得少于三年（用户单位验收之日起计算），本项目质保期为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保修期内非甲方的人为原因而出现产品质量及安装问题，由乙方负责包修、包换或包退，并承担因此产生的一切费用。乙方应在收到甲方通知后即派员到现场维修。</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下列情况乙方不负责免费保修：</w:t>
      </w:r>
    </w:p>
    <w:p>
      <w:pPr>
        <w:numPr>
          <w:ilvl w:val="0"/>
          <w:numId w:val="12"/>
        </w:num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甲方不按照乙方提供的正确使用方法而引致货物故障损失；</w:t>
      </w:r>
    </w:p>
    <w:p>
      <w:pPr>
        <w:numPr>
          <w:ilvl w:val="0"/>
          <w:numId w:val="12"/>
        </w:num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擅自改装货物；</w:t>
      </w:r>
    </w:p>
    <w:p>
      <w:pPr>
        <w:numPr>
          <w:ilvl w:val="0"/>
          <w:numId w:val="12"/>
        </w:num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各种人为因素或非抗力因素造成的损坏。</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6.3.系统交付使用后以书面形式承诺维修服务，实行终身维护：</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在保修期内，</w:t>
      </w:r>
      <w:r>
        <w:rPr>
          <w:rFonts w:hint="eastAsia" w:ascii="宋体" w:hAnsi="宋体" w:cs="宋体"/>
          <w:color w:val="000000" w:themeColor="text1"/>
          <w:sz w:val="24"/>
          <w:highlight w:val="none"/>
          <w:u w:val="single"/>
          <w14:textFill>
            <w14:solidFill>
              <w14:schemeClr w14:val="tx1"/>
            </w14:solidFill>
          </w14:textFill>
        </w:rPr>
        <w:t>一般</w:t>
      </w:r>
      <w:r>
        <w:rPr>
          <w:rFonts w:hint="eastAsia" w:ascii="宋体" w:hAnsi="宋体" w:cs="宋体"/>
          <w:color w:val="000000" w:themeColor="text1"/>
          <w:sz w:val="24"/>
          <w:highlight w:val="none"/>
          <w14:textFill>
            <w14:solidFill>
              <w14:schemeClr w14:val="tx1"/>
            </w14:solidFill>
          </w14:textFill>
        </w:rPr>
        <w:t>故障响应时间不超过</w:t>
      </w:r>
      <w:r>
        <w:rPr>
          <w:rFonts w:hint="eastAsia" w:ascii="宋体" w:hAnsi="宋体" w:cs="宋体"/>
          <w:color w:val="000000" w:themeColor="text1"/>
          <w:sz w:val="24"/>
          <w:highlight w:val="none"/>
          <w:u w:val="singl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小时，到达现场时间不超过</w:t>
      </w:r>
      <w:r>
        <w:rPr>
          <w:rFonts w:hint="eastAsia" w:ascii="宋体" w:hAnsi="宋体" w:cs="宋体"/>
          <w:color w:val="000000" w:themeColor="text1"/>
          <w:sz w:val="24"/>
          <w:highlight w:val="none"/>
          <w:u w:val="single"/>
          <w14:textFill>
            <w14:solidFill>
              <w14:schemeClr w14:val="tx1"/>
            </w14:solidFill>
          </w14:textFill>
        </w:rPr>
        <w:t>48</w:t>
      </w:r>
      <w:r>
        <w:rPr>
          <w:rFonts w:hint="eastAsia" w:ascii="宋体" w:hAnsi="宋体" w:cs="宋体"/>
          <w:color w:val="000000" w:themeColor="text1"/>
          <w:sz w:val="24"/>
          <w:highlight w:val="none"/>
          <w14:textFill>
            <w14:solidFill>
              <w14:schemeClr w14:val="tx1"/>
            </w14:solidFill>
          </w14:textFill>
        </w:rPr>
        <w:t>小时。</w:t>
      </w:r>
      <w:r>
        <w:rPr>
          <w:rFonts w:hint="eastAsia" w:ascii="宋体" w:hAnsi="宋体" w:cs="宋体"/>
          <w:color w:val="000000" w:themeColor="text1"/>
          <w:sz w:val="24"/>
          <w:highlight w:val="none"/>
          <w:u w:val="single"/>
          <w14:textFill>
            <w14:solidFill>
              <w14:schemeClr w14:val="tx1"/>
            </w14:solidFill>
          </w14:textFill>
        </w:rPr>
        <w:t>紧急</w:t>
      </w:r>
      <w:r>
        <w:rPr>
          <w:rFonts w:hint="eastAsia" w:ascii="宋体" w:hAnsi="宋体" w:cs="宋体"/>
          <w:color w:val="000000" w:themeColor="text1"/>
          <w:sz w:val="24"/>
          <w:highlight w:val="none"/>
          <w14:textFill>
            <w14:solidFill>
              <w14:schemeClr w14:val="tx1"/>
            </w14:solidFill>
          </w14:textFill>
        </w:rPr>
        <w:t>故障响应时间不超过</w:t>
      </w:r>
      <w:r>
        <w:rPr>
          <w:rFonts w:hint="eastAsia" w:ascii="宋体" w:hAnsi="宋体" w:cs="宋体"/>
          <w:color w:val="000000" w:themeColor="text1"/>
          <w:sz w:val="24"/>
          <w:highlight w:val="none"/>
          <w:u w:val="singl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小时，到达现场时间不超过</w:t>
      </w:r>
      <w:r>
        <w:rPr>
          <w:rFonts w:hint="eastAsia" w:ascii="宋体" w:hAnsi="宋体" w:cs="宋体"/>
          <w:color w:val="000000" w:themeColor="text1"/>
          <w:sz w:val="24"/>
          <w:highlight w:val="none"/>
          <w:u w:val="single"/>
          <w14:textFill>
            <w14:solidFill>
              <w14:schemeClr w14:val="tx1"/>
            </w14:solidFill>
          </w14:textFill>
        </w:rPr>
        <w:t>24</w:t>
      </w:r>
      <w:r>
        <w:rPr>
          <w:rFonts w:hint="eastAsia" w:ascii="宋体" w:hAnsi="宋体" w:cs="宋体"/>
          <w:color w:val="000000" w:themeColor="text1"/>
          <w:sz w:val="24"/>
          <w:highlight w:val="none"/>
          <w14:textFill>
            <w14:solidFill>
              <w14:schemeClr w14:val="tx1"/>
            </w14:solidFill>
          </w14:textFill>
        </w:rPr>
        <w:t>小时。</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6.3.1.保修期内，乙方负责地其提供的系统及全部货物进行维修和软件维护、升级，不再向甲方收取费用，但人为因素、自然因素（如火灾、雷击等）造成的故障除外。</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6.3.2.如果货物故障在检修8工作小时后仍无法排除，乙方应在12小时内提供不低于故障设备规格型号档次、价格相当的备用货物供使用，直至故障货物修复。</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6.3.3.所有设备和软件保修服务方式均为乙方上门保修，即由乙方派员到甲方设备使用现场维修，由此产生的一切费用均由乙方承担。乙方应负责设备运行的稳定性。负责免费更换硬件故障部件。若乙方承担的软硬件系统在功能上和性能上达不到设计要求的，甲方有权要求乙方进行及时、完善的修改。</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6.3.4.乙方应于验收后向使用方提供项目各项技术文件的归纳、整理、提交，并提供完整的软、硬件技术资料。</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6.3.5.技术文件：包括验收报告、技术文档、完整的软、硬件技术资料（含纸介质和光电介质）。</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6.4.建立质量跟踪档案，对甲方进行每月一次的定期回访（电话或现场），以保证设备的正常高效运行；</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6.5.因货物的质量问题而发生争议，由有关质检部门进行质量鉴定。货物符合本合同质量标准的，鉴定费用由甲方承担；货物不符合本合同质量标准的，鉴定费用由乙方承担。</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6.6.乙方为甲方提供操作及维护培训，主要内容为设备的基本结构、性能、主要部件的构造及原理，日常使用操作、保养与管理，常见故障的排除，紧急情况的处理等，并保证培训质量和效果，培训地点主要在设备安装现场或按甲乙双方协商安排。</w:t>
      </w:r>
    </w:p>
    <w:p>
      <w:pPr>
        <w:adjustRightInd w:val="0"/>
        <w:snapToGrid w:val="0"/>
        <w:spacing w:line="480" w:lineRule="exact"/>
        <w:ind w:left="482" w:hanging="482" w:hanging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6.7.易耗部位备件备品。</w:t>
      </w:r>
    </w:p>
    <w:p>
      <w:pPr>
        <w:adjustRightInd w:val="0"/>
        <w:snapToGrid w:val="0"/>
        <w:spacing w:line="480" w:lineRule="exact"/>
        <w:ind w:left="479" w:leftChars="228"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根据招标文件、投标文件要求对关键部位的易损易耗部件进行备份。</w:t>
      </w:r>
    </w:p>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7.支付条款</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7.1支付方式。</w:t>
      </w:r>
      <w:r>
        <w:rPr>
          <w:rFonts w:hint="eastAsia" w:ascii="宋体" w:hAnsi="宋体" w:cs="宋体"/>
          <w:color w:val="000000" w:themeColor="text1"/>
          <w:sz w:val="24"/>
          <w:highlight w:val="none"/>
          <w14:textFill>
            <w14:solidFill>
              <w14:schemeClr w14:val="tx1"/>
            </w14:solidFill>
          </w14:textFill>
        </w:rPr>
        <w:t>本合同的每笔款项以人民币进行结算，通过转帐支票或汇款方式支付。合同货物到甲方指定地点安装调试交付并完成最终验收后，凭以下资料：</w:t>
      </w:r>
    </w:p>
    <w:p>
      <w:pPr>
        <w:numPr>
          <w:ilvl w:val="0"/>
          <w:numId w:val="13"/>
        </w:num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w:t>
      </w:r>
    </w:p>
    <w:p>
      <w:pPr>
        <w:numPr>
          <w:ilvl w:val="0"/>
          <w:numId w:val="13"/>
        </w:num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乙方开具的正式发票（含发票真伪查询记录）；</w:t>
      </w:r>
    </w:p>
    <w:p>
      <w:pPr>
        <w:numPr>
          <w:ilvl w:val="0"/>
          <w:numId w:val="13"/>
        </w:num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验收调试报告书（加盖公章）</w:t>
      </w:r>
    </w:p>
    <w:p>
      <w:pPr>
        <w:adjustRightInd w:val="0"/>
        <w:snapToGrid w:val="0"/>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7.2支付时间及金额。</w:t>
      </w:r>
    </w:p>
    <w:p>
      <w:pPr>
        <w:pStyle w:val="509"/>
        <w:ind w:firstLine="48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1、甲方在本合同签订之日起15个工作日内支付合同金额百分之</w:t>
      </w:r>
      <w:r>
        <w:rPr>
          <w:rFonts w:hint="eastAsia" w:ascii="宋体" w:hAnsi="宋体"/>
          <w:color w:val="000000" w:themeColor="text1"/>
          <w:highlight w:val="none"/>
          <w:u w:val="single"/>
          <w14:textFill>
            <w14:solidFill>
              <w14:schemeClr w14:val="tx1"/>
            </w14:solidFill>
          </w14:textFill>
        </w:rPr>
        <w:t xml:space="preserve"> 三十 </w:t>
      </w:r>
      <w:r>
        <w:rPr>
          <w:rFonts w:hint="eastAsia" w:ascii="宋体" w:hAnsi="宋体"/>
          <w:color w:val="000000" w:themeColor="text1"/>
          <w:highlight w:val="none"/>
          <w14:textFill>
            <w14:solidFill>
              <w14:schemeClr w14:val="tx1"/>
            </w14:solidFill>
          </w14:textFill>
        </w:rPr>
        <w:t>的价款作为预付款；</w:t>
      </w:r>
    </w:p>
    <w:p>
      <w:pPr>
        <w:pStyle w:val="509"/>
        <w:ind w:firstLine="48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2、货物经使用单位复验合格，乙方提出付款申请之日起15个工作日内支付合同总金额的百分之</w:t>
      </w:r>
      <w:r>
        <w:rPr>
          <w:rFonts w:hint="eastAsia" w:ascii="宋体" w:hAnsi="宋体"/>
          <w:color w:val="000000" w:themeColor="text1"/>
          <w:highlight w:val="none"/>
          <w:u w:val="single"/>
          <w14:textFill>
            <w14:solidFill>
              <w14:schemeClr w14:val="tx1"/>
            </w14:solidFill>
          </w14:textFill>
        </w:rPr>
        <w:t>七十</w:t>
      </w:r>
      <w:r>
        <w:rPr>
          <w:rFonts w:hint="eastAsia" w:ascii="宋体" w:hAnsi="宋体"/>
          <w:color w:val="000000" w:themeColor="text1"/>
          <w:highlight w:val="none"/>
          <w14:textFill>
            <w14:solidFill>
              <w14:schemeClr w14:val="tx1"/>
            </w14:solidFill>
          </w14:textFill>
        </w:rPr>
        <w:t>款项：￥</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元，人民币大写</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元整</w:t>
      </w:r>
      <w:r>
        <w:rPr>
          <w:rFonts w:hint="eastAsia" w:ascii="宋体" w:hAnsi="宋体"/>
          <w:b/>
          <w:bCs/>
          <w:color w:val="000000" w:themeColor="text1"/>
          <w:highlight w:val="none"/>
          <w14:textFill>
            <w14:solidFill>
              <w14:schemeClr w14:val="tx1"/>
            </w14:solidFill>
          </w14:textFill>
        </w:rPr>
        <w:t>。</w:t>
      </w:r>
    </w:p>
    <w:p>
      <w:pPr>
        <w:pStyle w:val="509"/>
        <w:ind w:firstLine="48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3.甲方逾期支付的，将承担应支付金额万分之一每天的违约金。</w:t>
      </w:r>
    </w:p>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8.技术服务</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8.1.乙方应派员到甲方指定地点配合工作。</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8.2.乙方按甲方提供的合同执行进度计划，再配合甲方及有关单位，以此做好合同执行进度上的配合工作。</w:t>
      </w:r>
    </w:p>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9.不可抗力</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9.1.不可抗力指战争、严重火灾、洪水、台风、地震等或其它双方认定的不可抗力事件。</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9.2.签约双方中任何一方由于不可抗力影响合同执行时，发生不可抗力一方应尽快将事故通知另一方。在此情况下，乙方仍然有责任采取必要的措施加速供货，双方应通过友好协商尽快解决本合同的执行问题。</w:t>
      </w:r>
    </w:p>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10.索赔</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10.1.验收不合格，甲方有权根据有关政府部门的检验结果向乙方提出索赔。</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10.2.在合同执行期间，如果乙方对甲方提出的索赔和差异负有责任，乙方应按照甲方同意的下列一种或多种方式解决索赔事宜：</w:t>
      </w:r>
    </w:p>
    <w:p>
      <w:pPr>
        <w:numPr>
          <w:ilvl w:val="0"/>
          <w:numId w:val="14"/>
        </w:num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乙方同意退货，并按合同规定的同种货币将货款退还给甲方，并承担由此发生的一切损失和费用。</w:t>
      </w:r>
    </w:p>
    <w:p>
      <w:pPr>
        <w:numPr>
          <w:ilvl w:val="0"/>
          <w:numId w:val="14"/>
        </w:num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根据货物低劣程度、损坏程度以及甲方所遭受损失的数额甲乙双方商定降低货物的价格。</w:t>
      </w:r>
    </w:p>
    <w:p>
      <w:pPr>
        <w:numPr>
          <w:ilvl w:val="0"/>
          <w:numId w:val="14"/>
        </w:num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用符合规格、质量和性能要求的新零件、部件或货物来更换有缺陷的部分或修补缺陷的部分，乙方应承担一切费用和风险并负担甲方所发生的一切直接费用。同时，相应延长质量保证期。</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10.3.如果在甲方发出索赔通知后30天内，乙方未作答复，上述索赔应视为已被乙方接受。甲方将从合同款项中扣回索赔金额。如果这些金额不足以补偿索赔金额，甲方有权向乙方提出不足部分的补偿。</w:t>
      </w:r>
    </w:p>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11.违约与处罚</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11.1.甲方应依合同规定时间内，向乙方支付货款，每拖延一天乙方可向甲方加收合同金额的3‰的违约金。</w:t>
      </w:r>
      <w:r>
        <w:rPr>
          <w:rFonts w:hint="eastAsia" w:ascii="宋体" w:hAnsi="宋体" w:cs="宋体"/>
          <w:b/>
          <w:bCs/>
          <w:color w:val="000000" w:themeColor="text1"/>
          <w:sz w:val="24"/>
          <w:highlight w:val="none"/>
          <w14:textFill>
            <w14:solidFill>
              <w14:schemeClr w14:val="tx1"/>
            </w14:solidFill>
          </w14:textFill>
        </w:rPr>
        <w:t>违约金总额不超出合同总金额的5%。</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11.2.乙方</w:t>
      </w:r>
      <w:r>
        <w:rPr>
          <w:rFonts w:hint="eastAsia" w:ascii="宋体" w:hAnsi="宋体" w:cs="宋体"/>
          <w:b/>
          <w:bCs/>
          <w:color w:val="000000" w:themeColor="text1"/>
          <w:sz w:val="24"/>
          <w:highlight w:val="none"/>
          <w14:textFill>
            <w14:solidFill>
              <w14:schemeClr w14:val="tx1"/>
            </w14:solidFill>
          </w14:textFill>
        </w:rPr>
        <w:t>无正当理由</w:t>
      </w:r>
      <w:r>
        <w:rPr>
          <w:rFonts w:hint="eastAsia" w:ascii="宋体" w:hAnsi="宋体" w:cs="宋体"/>
          <w:color w:val="000000" w:themeColor="text1"/>
          <w:sz w:val="24"/>
          <w:highlight w:val="none"/>
          <w14:textFill>
            <w14:solidFill>
              <w14:schemeClr w14:val="tx1"/>
            </w14:solidFill>
          </w14:textFill>
        </w:rPr>
        <w:t>未能按时交清全部货物，每拖延一天，须向甲方支付合同金额的3‰的违约金。</w:t>
      </w:r>
      <w:r>
        <w:rPr>
          <w:rFonts w:hint="eastAsia" w:ascii="宋体" w:hAnsi="宋体" w:cs="宋体"/>
          <w:b/>
          <w:bCs/>
          <w:color w:val="000000" w:themeColor="text1"/>
          <w:sz w:val="24"/>
          <w:highlight w:val="none"/>
          <w14:textFill>
            <w14:solidFill>
              <w14:schemeClr w14:val="tx1"/>
            </w14:solidFill>
          </w14:textFill>
        </w:rPr>
        <w:t>违约金总额不超出合同总金额的5%。</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11.3. 非甲方原因，出现以下几种情况时，甲方有权拒收，乙方向甲方支付合同金额的5%的违约金：</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（1）乙方交付的货物不符合招标文件需求：</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（2）乙方交付的货物与投标文件不一致；</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（3）乙方交付的货物不符合合同约定条款；</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（4）乙方交付的货物以次充好或存在明显质量问题。</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11.4.甲方无正当理由拒收货物的，甲方向乙方支付合同金额的5%的违约金。</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11.5.乙方未能交付货物，则向甲方支付合同金额的7.5%的违约金。</w:t>
      </w:r>
    </w:p>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12.合同变更与终止</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1甲乙双方协商一致，可以变更合同。如果一方严重违反合同，并在收到对方违约通知书后在30天内仍未能改正违约的，另一方可立即终止本合同。</w:t>
      </w:r>
    </w:p>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13.法律诉讼</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约双方在履约中发生争执和分歧，双方应通过友好协商解决，若经协商不能达成协议时，提交合同签订所在地仲裁机构仲裁（有多个的共同协商确定）或依法向合同签订所在地人民法院提起诉讼（仲裁或诉讼任选一种）。受理期间，双方应继续执行合同其余部分。</w:t>
      </w:r>
    </w:p>
    <w:p>
      <w:pPr>
        <w:adjustRightInd w:val="0"/>
        <w:snapToGrid w:val="0"/>
        <w:spacing w:line="480" w:lineRule="exact"/>
        <w:ind w:firstLine="562"/>
        <w:rPr>
          <w:rFonts w:ascii="宋体" w:hAnsi="宋体" w:cs="宋体"/>
          <w:b/>
          <w:bCs/>
          <w:color w:val="000000" w:themeColor="text1"/>
          <w:sz w:val="28"/>
          <w:szCs w:val="18"/>
          <w:highlight w:val="none"/>
          <w14:textFill>
            <w14:solidFill>
              <w14:schemeClr w14:val="tx1"/>
            </w14:solidFill>
          </w14:textFill>
        </w:rPr>
      </w:pPr>
      <w:r>
        <w:rPr>
          <w:rFonts w:hint="eastAsia" w:ascii="宋体" w:hAnsi="宋体" w:cs="宋体"/>
          <w:b/>
          <w:bCs/>
          <w:color w:val="000000" w:themeColor="text1"/>
          <w:sz w:val="28"/>
          <w:szCs w:val="18"/>
          <w:highlight w:val="none"/>
          <w14:textFill>
            <w14:solidFill>
              <w14:schemeClr w14:val="tx1"/>
            </w14:solidFill>
          </w14:textFill>
        </w:rPr>
        <w:t>14.其他</w:t>
      </w:r>
    </w:p>
    <w:p>
      <w:pPr>
        <w:adjustRightInd w:val="0"/>
        <w:snapToGrid w:val="0"/>
        <w:spacing w:line="480" w:lineRule="exact"/>
        <w:ind w:left="480" w:hanging="480" w:hanging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14.1.本合同肆份，具备同等法律效力，甲方执贰份、乙方执贰份，合同自签字之日起即时生效。</w:t>
      </w:r>
    </w:p>
    <w:p>
      <w:pPr>
        <w:adjustRightInd w:val="0"/>
        <w:snapToGrid w:val="0"/>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14.2.本合同未尽事宜，由双方协商处理。</w:t>
      </w:r>
    </w:p>
    <w:tbl>
      <w:tblPr>
        <w:tblStyle w:val="59"/>
        <w:tblW w:w="9759" w:type="dxa"/>
        <w:jc w:val="center"/>
        <w:tblLayout w:type="fixed"/>
        <w:tblCellMar>
          <w:top w:w="0" w:type="dxa"/>
          <w:left w:w="108" w:type="dxa"/>
          <w:bottom w:w="0" w:type="dxa"/>
          <w:right w:w="108" w:type="dxa"/>
        </w:tblCellMar>
      </w:tblPr>
      <w:tblGrid>
        <w:gridCol w:w="4833"/>
        <w:gridCol w:w="4926"/>
      </w:tblGrid>
      <w:tr>
        <w:tblPrEx>
          <w:tblCellMar>
            <w:top w:w="0" w:type="dxa"/>
            <w:left w:w="108" w:type="dxa"/>
            <w:bottom w:w="0" w:type="dxa"/>
            <w:right w:w="108" w:type="dxa"/>
          </w:tblCellMar>
        </w:tblPrEx>
        <w:trPr>
          <w:trHeight w:val="1143" w:hRule="atLeast"/>
          <w:jc w:val="center"/>
        </w:trPr>
        <w:tc>
          <w:tcPr>
            <w:tcW w:w="4833" w:type="dxa"/>
          </w:tcPr>
          <w:p>
            <w:pPr>
              <w:adjustRightInd w:val="0"/>
              <w:snapToGrid w:val="0"/>
              <w:spacing w:line="440" w:lineRule="atLeast"/>
              <w:ind w:left="2160" w:hanging="2160" w:hangingChars="900"/>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left="2160" w:hanging="2160" w:hangingChars="900"/>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left="2160" w:hanging="2160" w:hangingChars="9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甲方：眉山市消防救援支队（加盖公章）</w:t>
            </w:r>
          </w:p>
        </w:tc>
        <w:tc>
          <w:tcPr>
            <w:tcW w:w="4926"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乙方：XXXX公司（加盖公章）</w:t>
            </w:r>
          </w:p>
        </w:tc>
      </w:tr>
      <w:tr>
        <w:tblPrEx>
          <w:tblCellMar>
            <w:top w:w="0" w:type="dxa"/>
            <w:left w:w="108" w:type="dxa"/>
            <w:bottom w:w="0" w:type="dxa"/>
            <w:right w:w="108" w:type="dxa"/>
          </w:tblCellMar>
        </w:tblPrEx>
        <w:trPr>
          <w:trHeight w:val="1829" w:hRule="atLeast"/>
          <w:jc w:val="center"/>
        </w:trPr>
        <w:tc>
          <w:tcPr>
            <w:tcW w:w="4833"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w:t>
            </w: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或授权代表：                                                               </w:t>
            </w:r>
          </w:p>
        </w:tc>
        <w:tc>
          <w:tcPr>
            <w:tcW w:w="4926"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w:t>
            </w: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或授权代表：</w:t>
            </w:r>
          </w:p>
        </w:tc>
      </w:tr>
      <w:tr>
        <w:tblPrEx>
          <w:tblCellMar>
            <w:top w:w="0" w:type="dxa"/>
            <w:left w:w="108" w:type="dxa"/>
            <w:bottom w:w="0" w:type="dxa"/>
            <w:right w:w="108" w:type="dxa"/>
          </w:tblCellMar>
        </w:tblPrEx>
        <w:trPr>
          <w:trHeight w:val="949" w:hRule="atLeast"/>
          <w:jc w:val="center"/>
        </w:trPr>
        <w:tc>
          <w:tcPr>
            <w:tcW w:w="4833"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w:t>
            </w:r>
          </w:p>
        </w:tc>
        <w:tc>
          <w:tcPr>
            <w:tcW w:w="4926"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w:t>
            </w:r>
          </w:p>
        </w:tc>
      </w:tr>
      <w:tr>
        <w:tblPrEx>
          <w:tblCellMar>
            <w:top w:w="0" w:type="dxa"/>
            <w:left w:w="108" w:type="dxa"/>
            <w:bottom w:w="0" w:type="dxa"/>
            <w:right w:w="108" w:type="dxa"/>
          </w:tblCellMar>
        </w:tblPrEx>
        <w:trPr>
          <w:trHeight w:val="914" w:hRule="atLeast"/>
          <w:jc w:val="center"/>
        </w:trPr>
        <w:tc>
          <w:tcPr>
            <w:tcW w:w="4833"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 </w:t>
            </w:r>
          </w:p>
        </w:tc>
        <w:tc>
          <w:tcPr>
            <w:tcW w:w="4926"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w:t>
            </w:r>
          </w:p>
        </w:tc>
      </w:tr>
      <w:tr>
        <w:tblPrEx>
          <w:tblCellMar>
            <w:top w:w="0" w:type="dxa"/>
            <w:left w:w="108" w:type="dxa"/>
            <w:bottom w:w="0" w:type="dxa"/>
            <w:right w:w="108" w:type="dxa"/>
          </w:tblCellMar>
        </w:tblPrEx>
        <w:trPr>
          <w:trHeight w:val="914" w:hRule="atLeast"/>
          <w:jc w:val="center"/>
        </w:trPr>
        <w:tc>
          <w:tcPr>
            <w:tcW w:w="4833"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    真：</w:t>
            </w:r>
          </w:p>
        </w:tc>
        <w:tc>
          <w:tcPr>
            <w:tcW w:w="4926"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    真：</w:t>
            </w:r>
          </w:p>
        </w:tc>
      </w:tr>
      <w:tr>
        <w:tblPrEx>
          <w:tblCellMar>
            <w:top w:w="0" w:type="dxa"/>
            <w:left w:w="108" w:type="dxa"/>
            <w:bottom w:w="0" w:type="dxa"/>
            <w:right w:w="108" w:type="dxa"/>
          </w:tblCellMar>
        </w:tblPrEx>
        <w:trPr>
          <w:trHeight w:val="914" w:hRule="atLeast"/>
          <w:jc w:val="center"/>
        </w:trPr>
        <w:tc>
          <w:tcPr>
            <w:tcW w:w="4833"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签约日期：      年     月     日</w:t>
            </w:r>
          </w:p>
        </w:tc>
        <w:tc>
          <w:tcPr>
            <w:tcW w:w="4926"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签约日期：      年     月     日</w:t>
            </w:r>
          </w:p>
        </w:tc>
      </w:tr>
      <w:tr>
        <w:tblPrEx>
          <w:tblCellMar>
            <w:top w:w="0" w:type="dxa"/>
            <w:left w:w="108" w:type="dxa"/>
            <w:bottom w:w="0" w:type="dxa"/>
            <w:right w:w="108" w:type="dxa"/>
          </w:tblCellMar>
        </w:tblPrEx>
        <w:trPr>
          <w:trHeight w:val="706" w:hRule="atLeast"/>
          <w:jc w:val="center"/>
        </w:trPr>
        <w:tc>
          <w:tcPr>
            <w:tcW w:w="4833"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开户银行：</w:t>
            </w:r>
          </w:p>
        </w:tc>
        <w:tc>
          <w:tcPr>
            <w:tcW w:w="4926"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开户银行：</w:t>
            </w:r>
          </w:p>
        </w:tc>
      </w:tr>
      <w:tr>
        <w:tblPrEx>
          <w:tblCellMar>
            <w:top w:w="0" w:type="dxa"/>
            <w:left w:w="108" w:type="dxa"/>
            <w:bottom w:w="0" w:type="dxa"/>
            <w:right w:w="108" w:type="dxa"/>
          </w:tblCellMar>
        </w:tblPrEx>
        <w:trPr>
          <w:trHeight w:val="786" w:hRule="atLeast"/>
          <w:jc w:val="center"/>
        </w:trPr>
        <w:tc>
          <w:tcPr>
            <w:tcW w:w="4833"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账    户：</w:t>
            </w:r>
          </w:p>
        </w:tc>
        <w:tc>
          <w:tcPr>
            <w:tcW w:w="4926" w:type="dxa"/>
          </w:tcPr>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p>
          <w:p>
            <w:pPr>
              <w:adjustRightInd w:val="0"/>
              <w:snapToGrid w:val="0"/>
              <w:spacing w:line="440" w:lineRule="atLeas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账    户：</w:t>
            </w:r>
          </w:p>
        </w:tc>
      </w:tr>
    </w:tbl>
    <w:p>
      <w:pPr>
        <w:pStyle w:val="3"/>
        <w:numPr>
          <w:ilvl w:val="0"/>
          <w:numId w:val="15"/>
        </w:numPr>
        <w:spacing w:before="0" w:after="0" w:line="360" w:lineRule="auto"/>
        <w:ind w:firstLine="880"/>
        <w:jc w:val="center"/>
        <w:rPr>
          <w:rStyle w:val="72"/>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bookmarkStart w:id="380" w:name="_Toc27959"/>
      <w:r>
        <w:rPr>
          <w:rStyle w:val="72"/>
          <w:rFonts w:hint="eastAsia" w:ascii="宋体" w:hAnsi="宋体" w:cs="宋体"/>
          <w:b/>
          <w:bCs/>
          <w:color w:val="000000" w:themeColor="text1"/>
          <w:sz w:val="32"/>
          <w:szCs w:val="32"/>
          <w:highlight w:val="none"/>
          <w14:textFill>
            <w14:solidFill>
              <w14:schemeClr w14:val="tx1"/>
            </w14:solidFill>
          </w14:textFill>
        </w:rPr>
        <w:t>四川省消防救援总队眉山支队“自然灾害应急能力提升工程”装备配备项目（照明、水域救援、保障及其他类）</w:t>
      </w:r>
    </w:p>
    <w:p>
      <w:pPr>
        <w:pStyle w:val="3"/>
        <w:spacing w:before="0" w:after="0" w:line="360" w:lineRule="auto"/>
        <w:ind w:left="179" w:firstLine="643"/>
        <w:jc w:val="center"/>
        <w:rPr>
          <w:rFonts w:ascii="宋体" w:hAnsi="宋体" w:cs="宋体"/>
          <w:color w:val="000000" w:themeColor="text1"/>
          <w:sz w:val="24"/>
          <w:highlight w:val="none"/>
          <w14:textFill>
            <w14:solidFill>
              <w14:schemeClr w14:val="tx1"/>
            </w14:solidFill>
          </w14:textFill>
        </w:rPr>
      </w:pPr>
      <w:r>
        <w:rPr>
          <w:rStyle w:val="72"/>
          <w:rFonts w:hint="eastAsia" w:ascii="宋体" w:hAnsi="宋体" w:cs="宋体"/>
          <w:b/>
          <w:bCs/>
          <w:color w:val="000000" w:themeColor="text1"/>
          <w:sz w:val="32"/>
          <w:szCs w:val="32"/>
          <w:highlight w:val="none"/>
          <w14:textFill>
            <w14:solidFill>
              <w14:schemeClr w14:val="tx1"/>
            </w14:solidFill>
          </w14:textFill>
        </w:rPr>
        <w:t>投标样品递交明细表</w:t>
      </w:r>
      <w:bookmarkEnd w:id="380"/>
    </w:p>
    <w:tbl>
      <w:tblPr>
        <w:tblStyle w:val="59"/>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9540" w:type="dxa"/>
          </w:tcPr>
          <w:p>
            <w:pPr>
              <w:tabs>
                <w:tab w:val="center" w:pos="7507"/>
                <w:tab w:val="left" w:pos="8640"/>
              </w:tabs>
              <w:spacing w:line="360" w:lineRule="auto"/>
              <w:ind w:firstLine="562"/>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标包号：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2" w:hRule="atLeast"/>
          <w:jc w:val="center"/>
        </w:trPr>
        <w:tc>
          <w:tcPr>
            <w:tcW w:w="9540" w:type="dxa"/>
          </w:tcPr>
          <w:p>
            <w:pPr>
              <w:tabs>
                <w:tab w:val="center" w:pos="7507"/>
                <w:tab w:val="left" w:pos="8640"/>
              </w:tabs>
              <w:spacing w:line="360" w:lineRule="auto"/>
              <w:ind w:firstLine="560"/>
              <w:jc w:val="left"/>
              <w:rPr>
                <w:rFonts w:ascii="宋体" w:hAnsi="宋体" w:cs="宋体"/>
                <w:b/>
                <w:color w:val="000000" w:themeColor="text1"/>
                <w:sz w:val="28"/>
                <w:szCs w:val="2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9540" w:type="dxa"/>
          </w:tcPr>
          <w:p>
            <w:pPr>
              <w:tabs>
                <w:tab w:val="center" w:pos="7507"/>
                <w:tab w:val="left" w:pos="8640"/>
              </w:tabs>
              <w:spacing w:line="360" w:lineRule="auto"/>
              <w:ind w:firstLine="562"/>
              <w:jc w:val="lef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标包号：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3" w:hRule="atLeast"/>
          <w:jc w:val="center"/>
        </w:trPr>
        <w:tc>
          <w:tcPr>
            <w:tcW w:w="9540" w:type="dxa"/>
          </w:tcPr>
          <w:p>
            <w:pPr>
              <w:tabs>
                <w:tab w:val="center" w:pos="7507"/>
                <w:tab w:val="left" w:pos="8640"/>
              </w:tabs>
              <w:spacing w:line="360" w:lineRule="auto"/>
              <w:ind w:firstLine="560"/>
              <w:jc w:val="left"/>
              <w:rPr>
                <w:rFonts w:ascii="宋体" w:hAnsi="宋体" w:cs="宋体"/>
                <w:b/>
                <w:color w:val="000000" w:themeColor="text1"/>
                <w:sz w:val="28"/>
                <w:szCs w:val="28"/>
                <w:highlight w:val="none"/>
                <w14:textFill>
                  <w14:solidFill>
                    <w14:schemeClr w14:val="tx1"/>
                  </w14:solidFill>
                </w14:textFill>
              </w:rPr>
            </w:pPr>
          </w:p>
        </w:tc>
      </w:tr>
    </w:tbl>
    <w:p>
      <w:pPr>
        <w:tabs>
          <w:tab w:val="center" w:pos="7507"/>
          <w:tab w:val="left" w:pos="8640"/>
        </w:tabs>
        <w:spacing w:line="360" w:lineRule="auto"/>
        <w:ind w:firstLine="480"/>
        <w:jc w:val="left"/>
        <w:rPr>
          <w:rFonts w:ascii="宋体" w:hAnsi="宋体" w:cs="宋体"/>
          <w:b/>
          <w:color w:val="000000" w:themeColor="text1"/>
          <w:sz w:val="24"/>
          <w:highlight w:val="none"/>
          <w14:textFill>
            <w14:solidFill>
              <w14:schemeClr w14:val="tx1"/>
            </w14:solidFill>
          </w14:textFill>
        </w:rPr>
      </w:pPr>
    </w:p>
    <w:p>
      <w:pPr>
        <w:tabs>
          <w:tab w:val="center" w:pos="7507"/>
          <w:tab w:val="left" w:pos="8640"/>
        </w:tabs>
        <w:wordWrap w:val="0"/>
        <w:spacing w:line="360" w:lineRule="auto"/>
        <w:ind w:firstLine="562"/>
        <w:jc w:val="right"/>
        <w:rPr>
          <w:rFonts w:ascii="宋体" w:hAnsi="宋体" w:cs="宋体"/>
          <w:color w:val="000000" w:themeColor="text1"/>
          <w:sz w:val="28"/>
          <w:szCs w:val="36"/>
          <w:highlight w:val="none"/>
          <w14:textFill>
            <w14:solidFill>
              <w14:schemeClr w14:val="tx1"/>
            </w14:solidFill>
          </w14:textFill>
        </w:rPr>
      </w:pPr>
      <w:r>
        <w:rPr>
          <w:rFonts w:hint="eastAsia" w:ascii="宋体" w:hAnsi="宋体" w:cs="宋体"/>
          <w:color w:val="000000" w:themeColor="text1"/>
          <w:sz w:val="28"/>
          <w:szCs w:val="36"/>
          <w:highlight w:val="none"/>
          <w14:textFill>
            <w14:solidFill>
              <w14:schemeClr w14:val="tx1"/>
            </w14:solidFill>
          </w14:textFill>
        </w:rPr>
        <w:t xml:space="preserve">                           投标人名称：</w:t>
      </w:r>
      <w:r>
        <w:rPr>
          <w:rFonts w:hint="eastAsia" w:ascii="宋体" w:hAnsi="宋体" w:cs="宋体"/>
          <w:color w:val="000000" w:themeColor="text1"/>
          <w:sz w:val="28"/>
          <w:szCs w:val="36"/>
          <w:highlight w:val="none"/>
          <w:u w:val="single"/>
          <w14:textFill>
            <w14:solidFill>
              <w14:schemeClr w14:val="tx1"/>
            </w14:solidFill>
          </w14:textFill>
        </w:rPr>
        <w:t xml:space="preserve">                  </w:t>
      </w:r>
    </w:p>
    <w:p>
      <w:pPr>
        <w:pStyle w:val="23"/>
        <w:ind w:firstLine="562"/>
        <w:jc w:val="center"/>
        <w:rPr>
          <w:rFonts w:ascii="宋体" w:hAnsi="宋体" w:cs="宋体"/>
          <w:color w:val="000000" w:themeColor="text1"/>
          <w:sz w:val="28"/>
          <w:szCs w:val="36"/>
          <w:highlight w:val="none"/>
          <w14:textFill>
            <w14:solidFill>
              <w14:schemeClr w14:val="tx1"/>
            </w14:solidFill>
          </w14:textFill>
        </w:rPr>
      </w:pPr>
      <w:r>
        <w:rPr>
          <w:rFonts w:hint="eastAsia" w:ascii="宋体" w:hAnsi="宋体" w:cs="宋体"/>
          <w:color w:val="000000" w:themeColor="text1"/>
          <w:sz w:val="28"/>
          <w:szCs w:val="36"/>
          <w:highlight w:val="none"/>
          <w14:textFill>
            <w14:solidFill>
              <w14:schemeClr w14:val="tx1"/>
            </w14:solidFill>
          </w14:textFill>
        </w:rPr>
        <w:t xml:space="preserve">                                    递交人签字：_________________</w:t>
      </w:r>
      <w:r>
        <w:rPr>
          <w:rFonts w:hint="eastAsia" w:ascii="宋体" w:hAnsi="宋体" w:cs="宋体"/>
          <w:color w:val="000000" w:themeColor="text1"/>
          <w:sz w:val="28"/>
          <w:szCs w:val="36"/>
          <w:highlight w:val="none"/>
          <w:u w:val="single"/>
          <w14:textFill>
            <w14:solidFill>
              <w14:schemeClr w14:val="tx1"/>
            </w14:solidFill>
          </w14:textFill>
        </w:rPr>
        <w:t xml:space="preserve">                        </w:t>
      </w:r>
    </w:p>
    <w:p>
      <w:pPr>
        <w:pStyle w:val="23"/>
        <w:spacing w:line="360" w:lineRule="auto"/>
        <w:ind w:firstLine="562"/>
        <w:jc w:val="righ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2024年 月 日</w:t>
      </w:r>
      <w:bookmarkEnd w:id="378"/>
      <w:bookmarkEnd w:id="379"/>
    </w:p>
    <w:sectPr>
      <w:pgSz w:w="11907" w:h="16840"/>
      <w:pgMar w:top="851" w:right="1134" w:bottom="851" w:left="1418" w:header="851" w:footer="992"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创艺简行楷">
    <w:altName w:val="宋体"/>
    <w:panose1 w:val="00000000000000000000"/>
    <w:charset w:val="86"/>
    <w:family w:val="auto"/>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Syntax">
    <w:altName w:val="Sitka Text"/>
    <w:panose1 w:val="00000000000000000000"/>
    <w:charset w:val="00"/>
    <w:family w:val="swiss"/>
    <w:pitch w:val="default"/>
    <w:sig w:usb0="00000000" w:usb1="00000000" w:usb2="00000000" w:usb3="00000000" w:csb0="00000001" w:csb1="00000000"/>
  </w:font>
  <w:font w:name="楷体_GB2312">
    <w:altName w:val="楷体"/>
    <w:panose1 w:val="00000000000000000000"/>
    <w:charset w:val="86"/>
    <w:family w:val="roman"/>
    <w:pitch w:val="default"/>
    <w:sig w:usb0="00000000" w:usb1="00000000" w:usb2="00000000" w:usb3="00000000" w:csb0="00040000" w:csb1="00000000"/>
  </w:font>
  <w:font w:name="方正小标宋简体">
    <w:altName w:val="微软雅黑"/>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Book Antiqua">
    <w:panose1 w:val="02040602050305030304"/>
    <w:charset w:val="00"/>
    <w:family w:val="roman"/>
    <w:pitch w:val="default"/>
    <w:sig w:usb0="00000287" w:usb1="00000000" w:usb2="00000000" w:usb3="00000000" w:csb0="2000009F" w:csb1="DFD70000"/>
  </w:font>
  <w:font w:name="_x001A_">
    <w:altName w:val="微软雅黑"/>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firstLine="361"/>
      <w:jc w:val="cente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firstLine="36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7320" cy="179070"/>
              <wp:effectExtent l="0" t="0" r="0" b="0"/>
              <wp:wrapNone/>
              <wp:docPr id="1" name="文本框 6"/>
              <wp:cNvGraphicFramePr/>
              <a:graphic xmlns:a="http://schemas.openxmlformats.org/drawingml/2006/main">
                <a:graphicData uri="http://schemas.microsoft.com/office/word/2010/wordprocessingShape">
                  <wps:wsp>
                    <wps:cNvSpPr txBox="1"/>
                    <wps:spPr>
                      <a:xfrm>
                        <a:off x="0" y="0"/>
                        <a:ext cx="147320" cy="179070"/>
                      </a:xfrm>
                      <a:prstGeom prst="rect">
                        <a:avLst/>
                      </a:prstGeom>
                      <a:noFill/>
                      <a:ln w="15875">
                        <a:noFill/>
                      </a:ln>
                    </wps:spPr>
                    <wps:txbx>
                      <w:txbxContent>
                        <w:p>
                          <w:pPr>
                            <w:pStyle w:val="37"/>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vert="horz" wrap="square" lIns="0" tIns="0" rIns="0" bIns="0" anchor="t" anchorCtr="0">
                      <a:noAutofit/>
                    </wps:bodyPr>
                  </wps:wsp>
                </a:graphicData>
              </a:graphic>
            </wp:anchor>
          </w:drawing>
        </mc:Choice>
        <mc:Fallback>
          <w:pict>
            <v:shape id="文本框 6" o:spid="_x0000_s1026" o:spt="202" type="#_x0000_t202" style="position:absolute;left:0pt;margin-top:0pt;height:14.1pt;width:11.6pt;mso-position-horizontal:center;mso-position-horizontal-relative:margin;z-index:251659264;mso-width-relative:page;mso-height-relative:page;" filled="f" stroked="f" coordsize="21600,21600" o:gfxdata="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Vut9DdMAAAADAQAA&#10;DwAAAAAAAAABACAAAAAiAAAAZHJzL2Rvd25yZXYueG1sUEsBAhQAFAAAAAgAh07iQDKW+5/lAQAA&#10;vAMAAA4AAAAAAAAAAQAgAAAAIgEAAGRycy9lMm9Eb2MueG1sUEsFBgAAAAAGAAYAWQEAAHkFAAAA&#10;AA==&#10;">
              <v:fill on="f" focussize="0,0"/>
              <v:stroke on="f" weight="1.25pt"/>
              <v:imagedata o:title=""/>
              <o:lock v:ext="edit" aspectratio="f"/>
              <v:textbox inset="0mm,0mm,0mm,0mm">
                <w:txbxContent>
                  <w:p>
                    <w:pPr>
                      <w:pStyle w:val="37"/>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p>
  <w:p>
    <w:pPr>
      <w:pStyle w:val="3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firstLine="361"/>
      <w:jc w:val="center"/>
    </w:pPr>
    <w:r>
      <mc:AlternateContent>
        <mc:Choice Requires="wps">
          <w:drawing>
            <wp:anchor distT="0" distB="0" distL="114300" distR="114300" simplePos="0" relativeHeight="251660288" behindDoc="0" locked="0" layoutInCell="1" allowOverlap="1">
              <wp:simplePos x="0" y="0"/>
              <wp:positionH relativeFrom="margin">
                <wp:posOffset>2779395</wp:posOffset>
              </wp:positionH>
              <wp:positionV relativeFrom="paragraph">
                <wp:posOffset>0</wp:posOffset>
              </wp:positionV>
              <wp:extent cx="171450" cy="168275"/>
              <wp:effectExtent l="0" t="0" r="0" b="0"/>
              <wp:wrapNone/>
              <wp:docPr id="2" name="文本框 7"/>
              <wp:cNvGraphicFramePr/>
              <a:graphic xmlns:a="http://schemas.openxmlformats.org/drawingml/2006/main">
                <a:graphicData uri="http://schemas.microsoft.com/office/word/2010/wordprocessingShape">
                  <wps:wsp>
                    <wps:cNvSpPr txBox="1"/>
                    <wps:spPr>
                      <a:xfrm>
                        <a:off x="0" y="0"/>
                        <a:ext cx="171450" cy="168275"/>
                      </a:xfrm>
                      <a:prstGeom prst="rect">
                        <a:avLst/>
                      </a:prstGeom>
                      <a:noFill/>
                      <a:ln w="15875">
                        <a:noFill/>
                      </a:ln>
                    </wps:spPr>
                    <wps:txbx>
                      <w:txbxContent>
                        <w:p>
                          <w:pPr>
                            <w:pStyle w:val="37"/>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wps:txbx>
                    <wps:bodyPr vert="horz" wrap="square" lIns="0" tIns="0" rIns="0" bIns="0" anchor="t" anchorCtr="0">
                      <a:noAutofit/>
                    </wps:bodyPr>
                  </wps:wsp>
                </a:graphicData>
              </a:graphic>
            </wp:anchor>
          </w:drawing>
        </mc:Choice>
        <mc:Fallback>
          <w:pict>
            <v:shape id="文本框 7" o:spid="_x0000_s1026" o:spt="202" type="#_x0000_t202" style="position:absolute;left:0pt;margin-left:218.85pt;margin-top:0pt;height:13.25pt;width:13.5pt;mso-position-horizontal-relative:margin;z-index:251660288;mso-width-relative:page;mso-height-relative:page;" filled="f" stroked="f" coordsize="21600,21600" o:gfxdata="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ElKvztYAAAAHAQAA&#10;DwAAAAAAAAABACAAAAAiAAAAZHJzL2Rvd25yZXYueG1sUEsBAhQAFAAAAAgAh07iQOIY5bXiAQAA&#10;vAMAAA4AAAAAAAAAAQAgAAAAJQEAAGRycy9lMm9Eb2MueG1sUEsFBgAAAAAGAAYAWQEAAHkFAAAA&#10;AA==&#10;">
              <v:fill on="f" focussize="0,0"/>
              <v:stroke on="f" weight="1.25pt"/>
              <v:imagedata o:title=""/>
              <o:lock v:ext="edit" aspectratio="f"/>
              <v:textbox inset="0mm,0mm,0mm,0mm">
                <w:txbxContent>
                  <w:p>
                    <w:pPr>
                      <w:pStyle w:val="37"/>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v:textbox>
            </v:shape>
          </w:pict>
        </mc:Fallback>
      </mc:AlternateContent>
    </w:r>
  </w:p>
  <w:p>
    <w:pPr>
      <w:pStyle w:val="37"/>
      <w:tabs>
        <w:tab w:val="center" w:pos="4479"/>
        <w:tab w:val="clear" w:pos="4153"/>
        <w:tab w:val="clear" w:pos="8306"/>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0"/>
      </w:pBdr>
      <w:spacing w:line="240" w:lineRule="auto"/>
      <w:jc w:val="both"/>
      <w:rPr>
        <w:rFonts w:ascii="仿宋" w:hAnsi="仿宋" w:eastAsia="仿宋" w:cs="仿宋_GB2312"/>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C053E4"/>
    <w:multiLevelType w:val="singleLevel"/>
    <w:tmpl w:val="97C053E4"/>
    <w:lvl w:ilvl="0" w:tentative="0">
      <w:start w:val="31"/>
      <w:numFmt w:val="decimal"/>
      <w:suff w:val="nothing"/>
      <w:lvlText w:val="%1．"/>
      <w:lvlJc w:val="left"/>
    </w:lvl>
  </w:abstractNum>
  <w:abstractNum w:abstractNumId="1">
    <w:nsid w:val="A56B72F1"/>
    <w:multiLevelType w:val="singleLevel"/>
    <w:tmpl w:val="A56B72F1"/>
    <w:lvl w:ilvl="0" w:tentative="0">
      <w:start w:val="1"/>
      <w:numFmt w:val="decimal"/>
      <w:suff w:val="nothing"/>
      <w:lvlText w:val="%1、"/>
      <w:lvlJc w:val="left"/>
      <w:pPr>
        <w:ind w:left="-60"/>
      </w:pPr>
    </w:lvl>
  </w:abstractNum>
  <w:abstractNum w:abstractNumId="2">
    <w:nsid w:val="B1AC5C1A"/>
    <w:multiLevelType w:val="singleLevel"/>
    <w:tmpl w:val="B1AC5C1A"/>
    <w:lvl w:ilvl="0" w:tentative="0">
      <w:start w:val="3"/>
      <w:numFmt w:val="chineseCounting"/>
      <w:suff w:val="nothing"/>
      <w:lvlText w:val="%1、"/>
      <w:lvlJc w:val="left"/>
      <w:rPr>
        <w:rFonts w:hint="eastAsia"/>
      </w:rPr>
    </w:lvl>
  </w:abstractNum>
  <w:abstractNum w:abstractNumId="3">
    <w:nsid w:val="B79CCA78"/>
    <w:multiLevelType w:val="singleLevel"/>
    <w:tmpl w:val="B79CCA78"/>
    <w:lvl w:ilvl="0" w:tentative="0">
      <w:start w:val="4"/>
      <w:numFmt w:val="chineseCounting"/>
      <w:suff w:val="nothing"/>
      <w:lvlText w:val="%1、"/>
      <w:lvlJc w:val="left"/>
      <w:rPr>
        <w:rFonts w:hint="eastAsia"/>
      </w:rPr>
    </w:lvl>
  </w:abstractNum>
  <w:abstractNum w:abstractNumId="4">
    <w:nsid w:val="C7F53590"/>
    <w:multiLevelType w:val="multilevel"/>
    <w:tmpl w:val="C7F53590"/>
    <w:lvl w:ilvl="0" w:tentative="0">
      <w:start w:val="1"/>
      <w:numFmt w:val="decimal"/>
      <w:pStyle w:val="559"/>
      <w:suff w:val="nothing"/>
      <w:lvlText w:val="%1."/>
      <w:lvlJc w:val="left"/>
      <w:pPr>
        <w:tabs>
          <w:tab w:val="left" w:pos="420"/>
        </w:tabs>
        <w:ind w:left="0" w:firstLine="0"/>
      </w:pPr>
      <w:rPr>
        <w:rFonts w:hint="default" w:ascii="宋体" w:hAnsi="宋体" w:eastAsia="宋体" w:cs="宋体"/>
      </w:rPr>
    </w:lvl>
    <w:lvl w:ilvl="1" w:tentative="0">
      <w:start w:val="1"/>
      <w:numFmt w:val="decimal"/>
      <w:suff w:val="nothing"/>
      <w:lvlText w:val="%1.%2"/>
      <w:lvlJc w:val="left"/>
      <w:pPr>
        <w:tabs>
          <w:tab w:val="left" w:pos="420"/>
        </w:tabs>
        <w:ind w:left="0" w:firstLine="0"/>
      </w:pPr>
      <w:rPr>
        <w:rFonts w:hint="default" w:ascii="宋体" w:hAnsi="宋体" w:eastAsia="宋体" w:cs="宋体"/>
      </w:rPr>
    </w:lvl>
    <w:lvl w:ilvl="2" w:tentative="0">
      <w:start w:val="1"/>
      <w:numFmt w:val="decimal"/>
      <w:suff w:val="nothing"/>
      <w:lvlText w:val="%1.%2.%3"/>
      <w:lvlJc w:val="left"/>
      <w:pPr>
        <w:tabs>
          <w:tab w:val="left" w:pos="420"/>
        </w:tabs>
        <w:ind w:left="0" w:firstLine="0"/>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5">
    <w:nsid w:val="CA3E7E1B"/>
    <w:multiLevelType w:val="singleLevel"/>
    <w:tmpl w:val="CA3E7E1B"/>
    <w:lvl w:ilvl="0" w:tentative="0">
      <w:start w:val="30"/>
      <w:numFmt w:val="decimal"/>
      <w:suff w:val="nothing"/>
      <w:lvlText w:val="%1．"/>
      <w:lvlJc w:val="left"/>
    </w:lvl>
  </w:abstractNum>
  <w:abstractNum w:abstractNumId="6">
    <w:nsid w:val="00000001"/>
    <w:multiLevelType w:val="multilevel"/>
    <w:tmpl w:val="00000001"/>
    <w:lvl w:ilvl="0" w:tentative="0">
      <w:start w:val="1"/>
      <w:numFmt w:val="chineseCountingThousand"/>
      <w:pStyle w:val="157"/>
      <w:lvlText w:val="%1、"/>
      <w:lvlJc w:val="left"/>
      <w:pPr>
        <w:ind w:left="705" w:hanging="420"/>
      </w:pPr>
    </w:lvl>
    <w:lvl w:ilvl="1" w:tentative="0">
      <w:start w:val="1"/>
      <w:numFmt w:val="lowerLetter"/>
      <w:lvlText w:val="%2)"/>
      <w:lvlJc w:val="left"/>
      <w:pPr>
        <w:ind w:left="1125" w:hanging="420"/>
      </w:pPr>
    </w:lvl>
    <w:lvl w:ilvl="2" w:tentative="0">
      <w:start w:val="1"/>
      <w:numFmt w:val="lowerRoman"/>
      <w:lvlText w:val="%3."/>
      <w:lvlJc w:val="right"/>
      <w:pPr>
        <w:ind w:left="1545" w:hanging="420"/>
      </w:pPr>
    </w:lvl>
    <w:lvl w:ilvl="3" w:tentative="0">
      <w:start w:val="1"/>
      <w:numFmt w:val="decimal"/>
      <w:lvlText w:val="%4."/>
      <w:lvlJc w:val="left"/>
      <w:pPr>
        <w:ind w:left="1965" w:hanging="420"/>
      </w:pPr>
    </w:lvl>
    <w:lvl w:ilvl="4" w:tentative="0">
      <w:start w:val="1"/>
      <w:numFmt w:val="lowerLetter"/>
      <w:lvlText w:val="%5)"/>
      <w:lvlJc w:val="left"/>
      <w:pPr>
        <w:ind w:left="2385" w:hanging="420"/>
      </w:pPr>
    </w:lvl>
    <w:lvl w:ilvl="5" w:tentative="0">
      <w:start w:val="1"/>
      <w:numFmt w:val="lowerRoman"/>
      <w:lvlText w:val="%6."/>
      <w:lvlJc w:val="right"/>
      <w:pPr>
        <w:ind w:left="2805" w:hanging="420"/>
      </w:pPr>
    </w:lvl>
    <w:lvl w:ilvl="6" w:tentative="0">
      <w:start w:val="1"/>
      <w:numFmt w:val="decimal"/>
      <w:lvlText w:val="%7."/>
      <w:lvlJc w:val="left"/>
      <w:pPr>
        <w:ind w:left="3225" w:hanging="420"/>
      </w:pPr>
    </w:lvl>
    <w:lvl w:ilvl="7" w:tentative="0">
      <w:start w:val="1"/>
      <w:numFmt w:val="lowerLetter"/>
      <w:lvlText w:val="%8)"/>
      <w:lvlJc w:val="left"/>
      <w:pPr>
        <w:ind w:left="3645" w:hanging="420"/>
      </w:pPr>
    </w:lvl>
    <w:lvl w:ilvl="8" w:tentative="0">
      <w:start w:val="1"/>
      <w:numFmt w:val="lowerRoman"/>
      <w:lvlText w:val="%9."/>
      <w:lvlJc w:val="right"/>
      <w:pPr>
        <w:ind w:left="4065" w:hanging="420"/>
      </w:pPr>
    </w:lvl>
  </w:abstractNum>
  <w:abstractNum w:abstractNumId="7">
    <w:nsid w:val="08FF5FCE"/>
    <w:multiLevelType w:val="multilevel"/>
    <w:tmpl w:val="08FF5FCE"/>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8">
    <w:nsid w:val="0A366049"/>
    <w:multiLevelType w:val="multilevel"/>
    <w:tmpl w:val="0A366049"/>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197B3805"/>
    <w:multiLevelType w:val="multilevel"/>
    <w:tmpl w:val="197B3805"/>
    <w:lvl w:ilvl="0" w:tentative="0">
      <w:start w:val="1"/>
      <w:numFmt w:val="decimal"/>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39AF7A38"/>
    <w:multiLevelType w:val="singleLevel"/>
    <w:tmpl w:val="39AF7A38"/>
    <w:lvl w:ilvl="0" w:tentative="0">
      <w:start w:val="1"/>
      <w:numFmt w:val="chineseCounting"/>
      <w:suff w:val="nothing"/>
      <w:lvlText w:val="（%1）"/>
      <w:lvlJc w:val="left"/>
      <w:rPr>
        <w:rFonts w:hint="eastAsia"/>
        <w:b/>
        <w:bCs/>
      </w:rPr>
    </w:lvl>
  </w:abstractNum>
  <w:abstractNum w:abstractNumId="1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0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2">
    <w:nsid w:val="45D839EE"/>
    <w:multiLevelType w:val="singleLevel"/>
    <w:tmpl w:val="45D839EE"/>
    <w:lvl w:ilvl="0" w:tentative="0">
      <w:start w:val="9"/>
      <w:numFmt w:val="chineseCounting"/>
      <w:suff w:val="space"/>
      <w:lvlText w:val="第%1章"/>
      <w:lvlJc w:val="left"/>
      <w:pPr>
        <w:ind w:left="179" w:firstLine="0"/>
      </w:pPr>
      <w:rPr>
        <w:rFonts w:hint="eastAsia"/>
      </w:rPr>
    </w:lvl>
  </w:abstractNum>
  <w:abstractNum w:abstractNumId="13">
    <w:nsid w:val="59C07086"/>
    <w:multiLevelType w:val="singleLevel"/>
    <w:tmpl w:val="59C07086"/>
    <w:lvl w:ilvl="0" w:tentative="0">
      <w:start w:val="1"/>
      <w:numFmt w:val="decimal"/>
      <w:suff w:val="nothing"/>
      <w:lvlText w:val="%1、"/>
      <w:lvlJc w:val="left"/>
    </w:lvl>
  </w:abstractNum>
  <w:abstractNum w:abstractNumId="14">
    <w:nsid w:val="63220D3A"/>
    <w:multiLevelType w:val="singleLevel"/>
    <w:tmpl w:val="63220D3A"/>
    <w:lvl w:ilvl="0" w:tentative="0">
      <w:start w:val="1"/>
      <w:numFmt w:val="decimal"/>
      <w:suff w:val="nothing"/>
      <w:lvlText w:val="%1、"/>
      <w:lvlJc w:val="left"/>
      <w:pPr>
        <w:ind w:left="-30"/>
      </w:pPr>
    </w:lvl>
  </w:abstractNum>
  <w:num w:numId="1">
    <w:abstractNumId w:val="11"/>
  </w:num>
  <w:num w:numId="2">
    <w:abstractNumId w:val="6"/>
  </w:num>
  <w:num w:numId="3">
    <w:abstractNumId w:val="4"/>
  </w:num>
  <w:num w:numId="4">
    <w:abstractNumId w:val="2"/>
  </w:num>
  <w:num w:numId="5">
    <w:abstractNumId w:val="14"/>
  </w:num>
  <w:num w:numId="6">
    <w:abstractNumId w:val="1"/>
  </w:num>
  <w:num w:numId="7">
    <w:abstractNumId w:val="5"/>
  </w:num>
  <w:num w:numId="8">
    <w:abstractNumId w:val="0"/>
  </w:num>
  <w:num w:numId="9">
    <w:abstractNumId w:val="3"/>
  </w:num>
  <w:num w:numId="10">
    <w:abstractNumId w:val="13"/>
  </w:num>
  <w:num w:numId="11">
    <w:abstractNumId w:val="10"/>
  </w:num>
  <w:num w:numId="12">
    <w:abstractNumId w:val="8"/>
  </w:num>
  <w:num w:numId="13">
    <w:abstractNumId w:val="7"/>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21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3YzM1YmVjMTM0NzhmNzM1MzgzZDU2M2ViOTAyOTIifQ=="/>
  </w:docVars>
  <w:rsids>
    <w:rsidRoot w:val="00172A27"/>
    <w:rsid w:val="000007EC"/>
    <w:rsid w:val="00002FE6"/>
    <w:rsid w:val="00003658"/>
    <w:rsid w:val="00004342"/>
    <w:rsid w:val="00004787"/>
    <w:rsid w:val="00005E13"/>
    <w:rsid w:val="000069E4"/>
    <w:rsid w:val="0001026B"/>
    <w:rsid w:val="0001193E"/>
    <w:rsid w:val="00012E50"/>
    <w:rsid w:val="0001638E"/>
    <w:rsid w:val="00017541"/>
    <w:rsid w:val="00022AFB"/>
    <w:rsid w:val="00022C41"/>
    <w:rsid w:val="00023BFA"/>
    <w:rsid w:val="0002653E"/>
    <w:rsid w:val="00026FD3"/>
    <w:rsid w:val="00027076"/>
    <w:rsid w:val="00030B17"/>
    <w:rsid w:val="000311BC"/>
    <w:rsid w:val="000320E0"/>
    <w:rsid w:val="00032BC9"/>
    <w:rsid w:val="00033687"/>
    <w:rsid w:val="000363D3"/>
    <w:rsid w:val="00036893"/>
    <w:rsid w:val="00041750"/>
    <w:rsid w:val="000427B1"/>
    <w:rsid w:val="0004323F"/>
    <w:rsid w:val="00046030"/>
    <w:rsid w:val="000506B2"/>
    <w:rsid w:val="00051BBE"/>
    <w:rsid w:val="00053954"/>
    <w:rsid w:val="000539F6"/>
    <w:rsid w:val="00056FA4"/>
    <w:rsid w:val="000572A1"/>
    <w:rsid w:val="00060E33"/>
    <w:rsid w:val="00060E62"/>
    <w:rsid w:val="000621F9"/>
    <w:rsid w:val="00062E8B"/>
    <w:rsid w:val="00062EB1"/>
    <w:rsid w:val="00064A83"/>
    <w:rsid w:val="000700CA"/>
    <w:rsid w:val="000712CB"/>
    <w:rsid w:val="00071A4E"/>
    <w:rsid w:val="00072989"/>
    <w:rsid w:val="00073177"/>
    <w:rsid w:val="00074581"/>
    <w:rsid w:val="00074C12"/>
    <w:rsid w:val="0007522B"/>
    <w:rsid w:val="00076C79"/>
    <w:rsid w:val="000777E8"/>
    <w:rsid w:val="00080C24"/>
    <w:rsid w:val="00081F3E"/>
    <w:rsid w:val="00082094"/>
    <w:rsid w:val="000824B0"/>
    <w:rsid w:val="00082C6D"/>
    <w:rsid w:val="00083482"/>
    <w:rsid w:val="00083834"/>
    <w:rsid w:val="00084424"/>
    <w:rsid w:val="000846F4"/>
    <w:rsid w:val="00085DCD"/>
    <w:rsid w:val="00087F9E"/>
    <w:rsid w:val="0009362D"/>
    <w:rsid w:val="00094ED5"/>
    <w:rsid w:val="000A2482"/>
    <w:rsid w:val="000A24B4"/>
    <w:rsid w:val="000A6A4B"/>
    <w:rsid w:val="000A6B72"/>
    <w:rsid w:val="000A7630"/>
    <w:rsid w:val="000B05A8"/>
    <w:rsid w:val="000B24AF"/>
    <w:rsid w:val="000B2C85"/>
    <w:rsid w:val="000B4340"/>
    <w:rsid w:val="000B4F95"/>
    <w:rsid w:val="000B504E"/>
    <w:rsid w:val="000B573E"/>
    <w:rsid w:val="000B73D2"/>
    <w:rsid w:val="000B7CAE"/>
    <w:rsid w:val="000B7D2B"/>
    <w:rsid w:val="000C0A42"/>
    <w:rsid w:val="000C0B4D"/>
    <w:rsid w:val="000C2355"/>
    <w:rsid w:val="000C2483"/>
    <w:rsid w:val="000C2548"/>
    <w:rsid w:val="000C3C22"/>
    <w:rsid w:val="000C4068"/>
    <w:rsid w:val="000C6338"/>
    <w:rsid w:val="000C6386"/>
    <w:rsid w:val="000C65DD"/>
    <w:rsid w:val="000D33FF"/>
    <w:rsid w:val="000D3D31"/>
    <w:rsid w:val="000D5C21"/>
    <w:rsid w:val="000E0008"/>
    <w:rsid w:val="000E4819"/>
    <w:rsid w:val="000E526A"/>
    <w:rsid w:val="000E60B9"/>
    <w:rsid w:val="000F0DAC"/>
    <w:rsid w:val="000F224B"/>
    <w:rsid w:val="000F508F"/>
    <w:rsid w:val="000F5ED1"/>
    <w:rsid w:val="000F7E4A"/>
    <w:rsid w:val="00100C1F"/>
    <w:rsid w:val="0010273D"/>
    <w:rsid w:val="0010488B"/>
    <w:rsid w:val="001104F5"/>
    <w:rsid w:val="00111384"/>
    <w:rsid w:val="00113253"/>
    <w:rsid w:val="001179F5"/>
    <w:rsid w:val="00117E61"/>
    <w:rsid w:val="001219E6"/>
    <w:rsid w:val="001225FC"/>
    <w:rsid w:val="001234EF"/>
    <w:rsid w:val="001249D5"/>
    <w:rsid w:val="001308C2"/>
    <w:rsid w:val="001314D1"/>
    <w:rsid w:val="0013166B"/>
    <w:rsid w:val="00133C4E"/>
    <w:rsid w:val="00134107"/>
    <w:rsid w:val="00134638"/>
    <w:rsid w:val="001360B3"/>
    <w:rsid w:val="00136590"/>
    <w:rsid w:val="0013678E"/>
    <w:rsid w:val="00141F0F"/>
    <w:rsid w:val="001432A7"/>
    <w:rsid w:val="00143E31"/>
    <w:rsid w:val="00144367"/>
    <w:rsid w:val="00145959"/>
    <w:rsid w:val="00145AA2"/>
    <w:rsid w:val="00145DDF"/>
    <w:rsid w:val="00146771"/>
    <w:rsid w:val="001477A0"/>
    <w:rsid w:val="00147955"/>
    <w:rsid w:val="00150A07"/>
    <w:rsid w:val="0015245A"/>
    <w:rsid w:val="00152938"/>
    <w:rsid w:val="001533D6"/>
    <w:rsid w:val="00155508"/>
    <w:rsid w:val="00155887"/>
    <w:rsid w:val="00160736"/>
    <w:rsid w:val="00160956"/>
    <w:rsid w:val="00162F5A"/>
    <w:rsid w:val="00163E5D"/>
    <w:rsid w:val="001649A0"/>
    <w:rsid w:val="0016645F"/>
    <w:rsid w:val="00167CA8"/>
    <w:rsid w:val="00167D06"/>
    <w:rsid w:val="001711D1"/>
    <w:rsid w:val="00171266"/>
    <w:rsid w:val="00172A27"/>
    <w:rsid w:val="00175F9A"/>
    <w:rsid w:val="00177AD9"/>
    <w:rsid w:val="001804AB"/>
    <w:rsid w:val="00182B41"/>
    <w:rsid w:val="00182CD9"/>
    <w:rsid w:val="00183531"/>
    <w:rsid w:val="0018388A"/>
    <w:rsid w:val="00183EC9"/>
    <w:rsid w:val="00190899"/>
    <w:rsid w:val="001915E5"/>
    <w:rsid w:val="0019280C"/>
    <w:rsid w:val="00197035"/>
    <w:rsid w:val="00197B79"/>
    <w:rsid w:val="001A0707"/>
    <w:rsid w:val="001A0830"/>
    <w:rsid w:val="001A1AF2"/>
    <w:rsid w:val="001A2140"/>
    <w:rsid w:val="001A2573"/>
    <w:rsid w:val="001A270A"/>
    <w:rsid w:val="001A2991"/>
    <w:rsid w:val="001A361D"/>
    <w:rsid w:val="001A7BCC"/>
    <w:rsid w:val="001A7DA1"/>
    <w:rsid w:val="001B054C"/>
    <w:rsid w:val="001B0C1C"/>
    <w:rsid w:val="001B1104"/>
    <w:rsid w:val="001B4013"/>
    <w:rsid w:val="001B42D9"/>
    <w:rsid w:val="001B6122"/>
    <w:rsid w:val="001B651B"/>
    <w:rsid w:val="001C139B"/>
    <w:rsid w:val="001C15EC"/>
    <w:rsid w:val="001C1D27"/>
    <w:rsid w:val="001C221D"/>
    <w:rsid w:val="001C5F38"/>
    <w:rsid w:val="001C683D"/>
    <w:rsid w:val="001D072C"/>
    <w:rsid w:val="001D0C88"/>
    <w:rsid w:val="001D4546"/>
    <w:rsid w:val="001D47D9"/>
    <w:rsid w:val="001D752A"/>
    <w:rsid w:val="001E481C"/>
    <w:rsid w:val="001E4973"/>
    <w:rsid w:val="001F09B8"/>
    <w:rsid w:val="001F189C"/>
    <w:rsid w:val="001F1A7B"/>
    <w:rsid w:val="001F1BD2"/>
    <w:rsid w:val="001F2871"/>
    <w:rsid w:val="001F669D"/>
    <w:rsid w:val="001F66E0"/>
    <w:rsid w:val="001F6AD1"/>
    <w:rsid w:val="001F6E66"/>
    <w:rsid w:val="001F70A1"/>
    <w:rsid w:val="001F732F"/>
    <w:rsid w:val="001F735D"/>
    <w:rsid w:val="002000F0"/>
    <w:rsid w:val="00202DC7"/>
    <w:rsid w:val="00203E68"/>
    <w:rsid w:val="00204509"/>
    <w:rsid w:val="002114EA"/>
    <w:rsid w:val="002132A6"/>
    <w:rsid w:val="002166C5"/>
    <w:rsid w:val="0021670C"/>
    <w:rsid w:val="00216AC1"/>
    <w:rsid w:val="00216E0D"/>
    <w:rsid w:val="00217760"/>
    <w:rsid w:val="00217F46"/>
    <w:rsid w:val="0022048C"/>
    <w:rsid w:val="002239FE"/>
    <w:rsid w:val="00223E98"/>
    <w:rsid w:val="00224B38"/>
    <w:rsid w:val="0022610E"/>
    <w:rsid w:val="00227954"/>
    <w:rsid w:val="00232A91"/>
    <w:rsid w:val="00234323"/>
    <w:rsid w:val="00235FC1"/>
    <w:rsid w:val="00240191"/>
    <w:rsid w:val="00240A0B"/>
    <w:rsid w:val="0024220A"/>
    <w:rsid w:val="00244392"/>
    <w:rsid w:val="00245DA9"/>
    <w:rsid w:val="00250125"/>
    <w:rsid w:val="00254B9C"/>
    <w:rsid w:val="00257182"/>
    <w:rsid w:val="00257D69"/>
    <w:rsid w:val="00260A91"/>
    <w:rsid w:val="0026483B"/>
    <w:rsid w:val="00266B6D"/>
    <w:rsid w:val="00270DB4"/>
    <w:rsid w:val="0027108D"/>
    <w:rsid w:val="002712DB"/>
    <w:rsid w:val="002723CF"/>
    <w:rsid w:val="00272D68"/>
    <w:rsid w:val="0027301C"/>
    <w:rsid w:val="00274DD5"/>
    <w:rsid w:val="00274FA3"/>
    <w:rsid w:val="00275D6E"/>
    <w:rsid w:val="00276128"/>
    <w:rsid w:val="00280830"/>
    <w:rsid w:val="0028369E"/>
    <w:rsid w:val="00286B83"/>
    <w:rsid w:val="00287623"/>
    <w:rsid w:val="002908C9"/>
    <w:rsid w:val="00293F9A"/>
    <w:rsid w:val="0029724D"/>
    <w:rsid w:val="00297794"/>
    <w:rsid w:val="00297992"/>
    <w:rsid w:val="002A0053"/>
    <w:rsid w:val="002A0CF8"/>
    <w:rsid w:val="002A1830"/>
    <w:rsid w:val="002A2074"/>
    <w:rsid w:val="002A2249"/>
    <w:rsid w:val="002A28F7"/>
    <w:rsid w:val="002A3F45"/>
    <w:rsid w:val="002A5936"/>
    <w:rsid w:val="002A687E"/>
    <w:rsid w:val="002A7269"/>
    <w:rsid w:val="002A7808"/>
    <w:rsid w:val="002B138C"/>
    <w:rsid w:val="002B2542"/>
    <w:rsid w:val="002B348E"/>
    <w:rsid w:val="002B3932"/>
    <w:rsid w:val="002B4A7B"/>
    <w:rsid w:val="002B5D21"/>
    <w:rsid w:val="002C1C15"/>
    <w:rsid w:val="002C2227"/>
    <w:rsid w:val="002C3027"/>
    <w:rsid w:val="002C4B28"/>
    <w:rsid w:val="002C75EF"/>
    <w:rsid w:val="002D02C0"/>
    <w:rsid w:val="002D02FA"/>
    <w:rsid w:val="002D06AA"/>
    <w:rsid w:val="002D0E36"/>
    <w:rsid w:val="002D0EA5"/>
    <w:rsid w:val="002D108C"/>
    <w:rsid w:val="002D13EA"/>
    <w:rsid w:val="002D4615"/>
    <w:rsid w:val="002D6704"/>
    <w:rsid w:val="002E0A2A"/>
    <w:rsid w:val="002E113B"/>
    <w:rsid w:val="002E1441"/>
    <w:rsid w:val="002E1FF5"/>
    <w:rsid w:val="002E585E"/>
    <w:rsid w:val="002E633B"/>
    <w:rsid w:val="002E6E67"/>
    <w:rsid w:val="002E7A01"/>
    <w:rsid w:val="002E7D71"/>
    <w:rsid w:val="002F1535"/>
    <w:rsid w:val="002F18DB"/>
    <w:rsid w:val="002F2A73"/>
    <w:rsid w:val="002F4602"/>
    <w:rsid w:val="002F5047"/>
    <w:rsid w:val="002F5510"/>
    <w:rsid w:val="002F6481"/>
    <w:rsid w:val="00300D24"/>
    <w:rsid w:val="00302129"/>
    <w:rsid w:val="003027EB"/>
    <w:rsid w:val="00303D92"/>
    <w:rsid w:val="00305366"/>
    <w:rsid w:val="003058E2"/>
    <w:rsid w:val="0030700B"/>
    <w:rsid w:val="003107FA"/>
    <w:rsid w:val="00315916"/>
    <w:rsid w:val="00315990"/>
    <w:rsid w:val="00315A22"/>
    <w:rsid w:val="00315C63"/>
    <w:rsid w:val="00315CE4"/>
    <w:rsid w:val="00320BD9"/>
    <w:rsid w:val="003220E4"/>
    <w:rsid w:val="00322D7A"/>
    <w:rsid w:val="00323FAE"/>
    <w:rsid w:val="00324DD7"/>
    <w:rsid w:val="00324DDA"/>
    <w:rsid w:val="00325B91"/>
    <w:rsid w:val="003260E0"/>
    <w:rsid w:val="0032692A"/>
    <w:rsid w:val="00326FE2"/>
    <w:rsid w:val="003276E8"/>
    <w:rsid w:val="00327F64"/>
    <w:rsid w:val="00332465"/>
    <w:rsid w:val="003328A2"/>
    <w:rsid w:val="00336F2A"/>
    <w:rsid w:val="003402EF"/>
    <w:rsid w:val="00340624"/>
    <w:rsid w:val="003428D8"/>
    <w:rsid w:val="003446FC"/>
    <w:rsid w:val="003451B1"/>
    <w:rsid w:val="00345D57"/>
    <w:rsid w:val="00346595"/>
    <w:rsid w:val="00351125"/>
    <w:rsid w:val="0035383B"/>
    <w:rsid w:val="00354B42"/>
    <w:rsid w:val="00356DF5"/>
    <w:rsid w:val="0036195C"/>
    <w:rsid w:val="00365B44"/>
    <w:rsid w:val="00367EFB"/>
    <w:rsid w:val="00367F09"/>
    <w:rsid w:val="00367FDD"/>
    <w:rsid w:val="00370722"/>
    <w:rsid w:val="00370CAB"/>
    <w:rsid w:val="00370E23"/>
    <w:rsid w:val="00374199"/>
    <w:rsid w:val="0037514A"/>
    <w:rsid w:val="00375567"/>
    <w:rsid w:val="003854D9"/>
    <w:rsid w:val="00386F6D"/>
    <w:rsid w:val="0038781F"/>
    <w:rsid w:val="003878BB"/>
    <w:rsid w:val="00387DF8"/>
    <w:rsid w:val="0039188E"/>
    <w:rsid w:val="00391DEE"/>
    <w:rsid w:val="00392EEB"/>
    <w:rsid w:val="003933D5"/>
    <w:rsid w:val="00393E32"/>
    <w:rsid w:val="0039440E"/>
    <w:rsid w:val="00395106"/>
    <w:rsid w:val="0039673A"/>
    <w:rsid w:val="0039699C"/>
    <w:rsid w:val="003969E9"/>
    <w:rsid w:val="00396AD3"/>
    <w:rsid w:val="00397BF7"/>
    <w:rsid w:val="003A05E4"/>
    <w:rsid w:val="003A4FA1"/>
    <w:rsid w:val="003A5897"/>
    <w:rsid w:val="003A60FE"/>
    <w:rsid w:val="003A625A"/>
    <w:rsid w:val="003A6281"/>
    <w:rsid w:val="003A7587"/>
    <w:rsid w:val="003B327E"/>
    <w:rsid w:val="003B375F"/>
    <w:rsid w:val="003B4480"/>
    <w:rsid w:val="003B698F"/>
    <w:rsid w:val="003C0DA3"/>
    <w:rsid w:val="003C4034"/>
    <w:rsid w:val="003C6A8D"/>
    <w:rsid w:val="003C7894"/>
    <w:rsid w:val="003D3B02"/>
    <w:rsid w:val="003D4101"/>
    <w:rsid w:val="003D4538"/>
    <w:rsid w:val="003E100D"/>
    <w:rsid w:val="003E2A76"/>
    <w:rsid w:val="003E3F5B"/>
    <w:rsid w:val="003E50F1"/>
    <w:rsid w:val="003F19E5"/>
    <w:rsid w:val="003F21CD"/>
    <w:rsid w:val="003F6962"/>
    <w:rsid w:val="003F7E00"/>
    <w:rsid w:val="004009F5"/>
    <w:rsid w:val="004012D9"/>
    <w:rsid w:val="00406977"/>
    <w:rsid w:val="00406AA6"/>
    <w:rsid w:val="00413614"/>
    <w:rsid w:val="00413C38"/>
    <w:rsid w:val="00414824"/>
    <w:rsid w:val="004176DB"/>
    <w:rsid w:val="00420B2E"/>
    <w:rsid w:val="0042417C"/>
    <w:rsid w:val="004241FC"/>
    <w:rsid w:val="004244FD"/>
    <w:rsid w:val="00425489"/>
    <w:rsid w:val="00425E47"/>
    <w:rsid w:val="00427DA5"/>
    <w:rsid w:val="00432142"/>
    <w:rsid w:val="004328AE"/>
    <w:rsid w:val="00434758"/>
    <w:rsid w:val="00434CCD"/>
    <w:rsid w:val="0043643F"/>
    <w:rsid w:val="00437DFE"/>
    <w:rsid w:val="00440DBB"/>
    <w:rsid w:val="00441A30"/>
    <w:rsid w:val="00444D1D"/>
    <w:rsid w:val="00444DE8"/>
    <w:rsid w:val="004466F2"/>
    <w:rsid w:val="00446F0F"/>
    <w:rsid w:val="00452846"/>
    <w:rsid w:val="0045312B"/>
    <w:rsid w:val="00453D94"/>
    <w:rsid w:val="00456C16"/>
    <w:rsid w:val="00457E2D"/>
    <w:rsid w:val="004606CF"/>
    <w:rsid w:val="004628C2"/>
    <w:rsid w:val="00463719"/>
    <w:rsid w:val="004650DC"/>
    <w:rsid w:val="00466A6E"/>
    <w:rsid w:val="004673C9"/>
    <w:rsid w:val="00470A7A"/>
    <w:rsid w:val="00471D2F"/>
    <w:rsid w:val="00473C8D"/>
    <w:rsid w:val="00475ABD"/>
    <w:rsid w:val="00480966"/>
    <w:rsid w:val="004847F3"/>
    <w:rsid w:val="00490730"/>
    <w:rsid w:val="00493C8E"/>
    <w:rsid w:val="00495065"/>
    <w:rsid w:val="0049578C"/>
    <w:rsid w:val="00496206"/>
    <w:rsid w:val="004964DA"/>
    <w:rsid w:val="00497189"/>
    <w:rsid w:val="0049724C"/>
    <w:rsid w:val="004A0DFB"/>
    <w:rsid w:val="004A1474"/>
    <w:rsid w:val="004A1BFA"/>
    <w:rsid w:val="004A652A"/>
    <w:rsid w:val="004B0BF2"/>
    <w:rsid w:val="004B3971"/>
    <w:rsid w:val="004B39CB"/>
    <w:rsid w:val="004B3A00"/>
    <w:rsid w:val="004B461A"/>
    <w:rsid w:val="004B6410"/>
    <w:rsid w:val="004C16CC"/>
    <w:rsid w:val="004C1DD4"/>
    <w:rsid w:val="004C1FB9"/>
    <w:rsid w:val="004C1FC6"/>
    <w:rsid w:val="004C39B5"/>
    <w:rsid w:val="004C5A9F"/>
    <w:rsid w:val="004C6448"/>
    <w:rsid w:val="004C686D"/>
    <w:rsid w:val="004C6BDD"/>
    <w:rsid w:val="004C6CA9"/>
    <w:rsid w:val="004D1748"/>
    <w:rsid w:val="004D1D41"/>
    <w:rsid w:val="004D2648"/>
    <w:rsid w:val="004D6DB5"/>
    <w:rsid w:val="004D7877"/>
    <w:rsid w:val="004D7BB5"/>
    <w:rsid w:val="004E1116"/>
    <w:rsid w:val="004E1680"/>
    <w:rsid w:val="004E2D8C"/>
    <w:rsid w:val="004E3E6B"/>
    <w:rsid w:val="004E3F4C"/>
    <w:rsid w:val="004E47FE"/>
    <w:rsid w:val="004E486B"/>
    <w:rsid w:val="004E5CD1"/>
    <w:rsid w:val="004E66FB"/>
    <w:rsid w:val="004F0529"/>
    <w:rsid w:val="004F1249"/>
    <w:rsid w:val="004F3A27"/>
    <w:rsid w:val="004F5310"/>
    <w:rsid w:val="004F54A7"/>
    <w:rsid w:val="004F5932"/>
    <w:rsid w:val="004F62D4"/>
    <w:rsid w:val="00502E7D"/>
    <w:rsid w:val="005036DD"/>
    <w:rsid w:val="00503C99"/>
    <w:rsid w:val="0050487F"/>
    <w:rsid w:val="00506855"/>
    <w:rsid w:val="00506D33"/>
    <w:rsid w:val="005079AC"/>
    <w:rsid w:val="00507B67"/>
    <w:rsid w:val="005104DE"/>
    <w:rsid w:val="00512F30"/>
    <w:rsid w:val="00513AF2"/>
    <w:rsid w:val="00513DA5"/>
    <w:rsid w:val="00514F1E"/>
    <w:rsid w:val="00520B24"/>
    <w:rsid w:val="00521F54"/>
    <w:rsid w:val="00526983"/>
    <w:rsid w:val="00534C6D"/>
    <w:rsid w:val="00534EB5"/>
    <w:rsid w:val="00536930"/>
    <w:rsid w:val="005372BB"/>
    <w:rsid w:val="00541424"/>
    <w:rsid w:val="00543ABF"/>
    <w:rsid w:val="0054404A"/>
    <w:rsid w:val="00544367"/>
    <w:rsid w:val="00544650"/>
    <w:rsid w:val="00552CC7"/>
    <w:rsid w:val="00552F7C"/>
    <w:rsid w:val="005541F3"/>
    <w:rsid w:val="00556839"/>
    <w:rsid w:val="005604ED"/>
    <w:rsid w:val="00560B6A"/>
    <w:rsid w:val="00564A88"/>
    <w:rsid w:val="00566967"/>
    <w:rsid w:val="00567145"/>
    <w:rsid w:val="0056752B"/>
    <w:rsid w:val="00570344"/>
    <w:rsid w:val="00572C0C"/>
    <w:rsid w:val="00572C32"/>
    <w:rsid w:val="00573AEB"/>
    <w:rsid w:val="00575497"/>
    <w:rsid w:val="00576521"/>
    <w:rsid w:val="00577AF5"/>
    <w:rsid w:val="00580B1D"/>
    <w:rsid w:val="005811C9"/>
    <w:rsid w:val="00581800"/>
    <w:rsid w:val="00581F2D"/>
    <w:rsid w:val="00582238"/>
    <w:rsid w:val="00582CD4"/>
    <w:rsid w:val="00583461"/>
    <w:rsid w:val="00583659"/>
    <w:rsid w:val="00583A20"/>
    <w:rsid w:val="005853CD"/>
    <w:rsid w:val="00585A1A"/>
    <w:rsid w:val="00585ABC"/>
    <w:rsid w:val="00591D44"/>
    <w:rsid w:val="00591DFB"/>
    <w:rsid w:val="00592474"/>
    <w:rsid w:val="005943D3"/>
    <w:rsid w:val="00594680"/>
    <w:rsid w:val="00594932"/>
    <w:rsid w:val="00595B8B"/>
    <w:rsid w:val="00595ED5"/>
    <w:rsid w:val="00596A41"/>
    <w:rsid w:val="00597963"/>
    <w:rsid w:val="00597B84"/>
    <w:rsid w:val="005A1FED"/>
    <w:rsid w:val="005A6150"/>
    <w:rsid w:val="005A6881"/>
    <w:rsid w:val="005A763E"/>
    <w:rsid w:val="005B2CF2"/>
    <w:rsid w:val="005B3262"/>
    <w:rsid w:val="005B572A"/>
    <w:rsid w:val="005B588F"/>
    <w:rsid w:val="005C08D4"/>
    <w:rsid w:val="005C118E"/>
    <w:rsid w:val="005C504B"/>
    <w:rsid w:val="005C5C65"/>
    <w:rsid w:val="005C6C39"/>
    <w:rsid w:val="005C7490"/>
    <w:rsid w:val="005C7ECA"/>
    <w:rsid w:val="005D2B4A"/>
    <w:rsid w:val="005D3593"/>
    <w:rsid w:val="005D3E2A"/>
    <w:rsid w:val="005D6221"/>
    <w:rsid w:val="005D7C31"/>
    <w:rsid w:val="005E040B"/>
    <w:rsid w:val="005E36DE"/>
    <w:rsid w:val="005E5529"/>
    <w:rsid w:val="005E7B8B"/>
    <w:rsid w:val="005F0351"/>
    <w:rsid w:val="005F0A60"/>
    <w:rsid w:val="005F3403"/>
    <w:rsid w:val="005F3FB3"/>
    <w:rsid w:val="005F419F"/>
    <w:rsid w:val="005F56E0"/>
    <w:rsid w:val="005F5C6D"/>
    <w:rsid w:val="005F78D0"/>
    <w:rsid w:val="005F7989"/>
    <w:rsid w:val="005F79E2"/>
    <w:rsid w:val="00600B0F"/>
    <w:rsid w:val="00600B4D"/>
    <w:rsid w:val="00602317"/>
    <w:rsid w:val="00602916"/>
    <w:rsid w:val="0060359B"/>
    <w:rsid w:val="00603D79"/>
    <w:rsid w:val="00604A98"/>
    <w:rsid w:val="00610BD4"/>
    <w:rsid w:val="00610DF5"/>
    <w:rsid w:val="00614169"/>
    <w:rsid w:val="00616E86"/>
    <w:rsid w:val="00617C64"/>
    <w:rsid w:val="00620382"/>
    <w:rsid w:val="00622146"/>
    <w:rsid w:val="00622EEE"/>
    <w:rsid w:val="00627B35"/>
    <w:rsid w:val="00627DF3"/>
    <w:rsid w:val="00631CDF"/>
    <w:rsid w:val="006340CE"/>
    <w:rsid w:val="0063426A"/>
    <w:rsid w:val="006354B3"/>
    <w:rsid w:val="00641CFE"/>
    <w:rsid w:val="00643D03"/>
    <w:rsid w:val="006441A7"/>
    <w:rsid w:val="00645F4F"/>
    <w:rsid w:val="00646965"/>
    <w:rsid w:val="00646A10"/>
    <w:rsid w:val="006476CA"/>
    <w:rsid w:val="00651F83"/>
    <w:rsid w:val="00652318"/>
    <w:rsid w:val="00654EAF"/>
    <w:rsid w:val="00655927"/>
    <w:rsid w:val="00656514"/>
    <w:rsid w:val="00656FA2"/>
    <w:rsid w:val="006570D9"/>
    <w:rsid w:val="006578A4"/>
    <w:rsid w:val="00660297"/>
    <w:rsid w:val="00660CF9"/>
    <w:rsid w:val="00661B43"/>
    <w:rsid w:val="006628ED"/>
    <w:rsid w:val="006632CC"/>
    <w:rsid w:val="006643B7"/>
    <w:rsid w:val="00665B33"/>
    <w:rsid w:val="00667C9D"/>
    <w:rsid w:val="00667D13"/>
    <w:rsid w:val="00671C2A"/>
    <w:rsid w:val="00671CEC"/>
    <w:rsid w:val="00672354"/>
    <w:rsid w:val="006771DE"/>
    <w:rsid w:val="006869A4"/>
    <w:rsid w:val="0069152B"/>
    <w:rsid w:val="00692278"/>
    <w:rsid w:val="00694186"/>
    <w:rsid w:val="0069562A"/>
    <w:rsid w:val="00695B11"/>
    <w:rsid w:val="00697584"/>
    <w:rsid w:val="006A0127"/>
    <w:rsid w:val="006A23AB"/>
    <w:rsid w:val="006A3B53"/>
    <w:rsid w:val="006A6DEC"/>
    <w:rsid w:val="006A7E13"/>
    <w:rsid w:val="006B2EFA"/>
    <w:rsid w:val="006B43AA"/>
    <w:rsid w:val="006B4FCF"/>
    <w:rsid w:val="006B62B3"/>
    <w:rsid w:val="006C5A49"/>
    <w:rsid w:val="006C5E1E"/>
    <w:rsid w:val="006C7136"/>
    <w:rsid w:val="006C746A"/>
    <w:rsid w:val="006C7EDD"/>
    <w:rsid w:val="006D0BDA"/>
    <w:rsid w:val="006D0D58"/>
    <w:rsid w:val="006D0F0D"/>
    <w:rsid w:val="006D1A86"/>
    <w:rsid w:val="006D3498"/>
    <w:rsid w:val="006D57FE"/>
    <w:rsid w:val="006D632E"/>
    <w:rsid w:val="006E23E1"/>
    <w:rsid w:val="006E2985"/>
    <w:rsid w:val="006E2FC1"/>
    <w:rsid w:val="006E4E2B"/>
    <w:rsid w:val="006E6105"/>
    <w:rsid w:val="006E671E"/>
    <w:rsid w:val="006E7AF1"/>
    <w:rsid w:val="006F03E0"/>
    <w:rsid w:val="006F0503"/>
    <w:rsid w:val="006F53AE"/>
    <w:rsid w:val="006F6940"/>
    <w:rsid w:val="006F769A"/>
    <w:rsid w:val="00701D33"/>
    <w:rsid w:val="00702378"/>
    <w:rsid w:val="007048B5"/>
    <w:rsid w:val="00706B3E"/>
    <w:rsid w:val="00707CE4"/>
    <w:rsid w:val="0071073A"/>
    <w:rsid w:val="00711A1F"/>
    <w:rsid w:val="00711B92"/>
    <w:rsid w:val="00713BF8"/>
    <w:rsid w:val="0071475C"/>
    <w:rsid w:val="00715791"/>
    <w:rsid w:val="00715FFC"/>
    <w:rsid w:val="00720269"/>
    <w:rsid w:val="00720D1F"/>
    <w:rsid w:val="00722474"/>
    <w:rsid w:val="00722872"/>
    <w:rsid w:val="0072315E"/>
    <w:rsid w:val="0072346B"/>
    <w:rsid w:val="00723E32"/>
    <w:rsid w:val="00727F79"/>
    <w:rsid w:val="007321CD"/>
    <w:rsid w:val="00733E65"/>
    <w:rsid w:val="00734F6F"/>
    <w:rsid w:val="00735140"/>
    <w:rsid w:val="00736003"/>
    <w:rsid w:val="00737F8D"/>
    <w:rsid w:val="00743758"/>
    <w:rsid w:val="00744540"/>
    <w:rsid w:val="00744B1F"/>
    <w:rsid w:val="00745D07"/>
    <w:rsid w:val="00746C1D"/>
    <w:rsid w:val="007470D7"/>
    <w:rsid w:val="00750072"/>
    <w:rsid w:val="007503A7"/>
    <w:rsid w:val="00750661"/>
    <w:rsid w:val="0075208F"/>
    <w:rsid w:val="007568B4"/>
    <w:rsid w:val="00757184"/>
    <w:rsid w:val="00760BB7"/>
    <w:rsid w:val="007615B8"/>
    <w:rsid w:val="00762B65"/>
    <w:rsid w:val="00762FF6"/>
    <w:rsid w:val="00765B02"/>
    <w:rsid w:val="00766357"/>
    <w:rsid w:val="007673D7"/>
    <w:rsid w:val="007674DE"/>
    <w:rsid w:val="007674EB"/>
    <w:rsid w:val="00767C27"/>
    <w:rsid w:val="007713F5"/>
    <w:rsid w:val="007716C0"/>
    <w:rsid w:val="007749F2"/>
    <w:rsid w:val="00775BBF"/>
    <w:rsid w:val="0077652B"/>
    <w:rsid w:val="007777AA"/>
    <w:rsid w:val="007804CC"/>
    <w:rsid w:val="00780671"/>
    <w:rsid w:val="007821BD"/>
    <w:rsid w:val="007838F3"/>
    <w:rsid w:val="007845B1"/>
    <w:rsid w:val="00785BF3"/>
    <w:rsid w:val="00786B8E"/>
    <w:rsid w:val="0078762F"/>
    <w:rsid w:val="00787B98"/>
    <w:rsid w:val="00790A2A"/>
    <w:rsid w:val="00793DD7"/>
    <w:rsid w:val="00795160"/>
    <w:rsid w:val="00795F5D"/>
    <w:rsid w:val="00796580"/>
    <w:rsid w:val="00796BCB"/>
    <w:rsid w:val="00796D82"/>
    <w:rsid w:val="007A41A4"/>
    <w:rsid w:val="007A4E7B"/>
    <w:rsid w:val="007A619E"/>
    <w:rsid w:val="007A637C"/>
    <w:rsid w:val="007A6ECA"/>
    <w:rsid w:val="007B2DC0"/>
    <w:rsid w:val="007B3C40"/>
    <w:rsid w:val="007B5EB8"/>
    <w:rsid w:val="007B6247"/>
    <w:rsid w:val="007C03B6"/>
    <w:rsid w:val="007C0757"/>
    <w:rsid w:val="007C0F73"/>
    <w:rsid w:val="007C367B"/>
    <w:rsid w:val="007C4EF8"/>
    <w:rsid w:val="007C6D67"/>
    <w:rsid w:val="007C715B"/>
    <w:rsid w:val="007C734C"/>
    <w:rsid w:val="007D014A"/>
    <w:rsid w:val="007D06B8"/>
    <w:rsid w:val="007D0D27"/>
    <w:rsid w:val="007D2D68"/>
    <w:rsid w:val="007D69F5"/>
    <w:rsid w:val="007D74B0"/>
    <w:rsid w:val="007D7574"/>
    <w:rsid w:val="007E0E0A"/>
    <w:rsid w:val="007E1E43"/>
    <w:rsid w:val="007E318E"/>
    <w:rsid w:val="007E31E3"/>
    <w:rsid w:val="007E4355"/>
    <w:rsid w:val="007E53B5"/>
    <w:rsid w:val="007E625C"/>
    <w:rsid w:val="007E6D54"/>
    <w:rsid w:val="007F1A71"/>
    <w:rsid w:val="007F24B3"/>
    <w:rsid w:val="007F5C19"/>
    <w:rsid w:val="007F7CFA"/>
    <w:rsid w:val="008026F6"/>
    <w:rsid w:val="00805948"/>
    <w:rsid w:val="00806689"/>
    <w:rsid w:val="0080743F"/>
    <w:rsid w:val="0081095C"/>
    <w:rsid w:val="0081187C"/>
    <w:rsid w:val="00812440"/>
    <w:rsid w:val="00812CB4"/>
    <w:rsid w:val="008144AE"/>
    <w:rsid w:val="00814605"/>
    <w:rsid w:val="00815DDA"/>
    <w:rsid w:val="00816124"/>
    <w:rsid w:val="00816A06"/>
    <w:rsid w:val="008204C6"/>
    <w:rsid w:val="008223FD"/>
    <w:rsid w:val="00822546"/>
    <w:rsid w:val="008230A6"/>
    <w:rsid w:val="00824BC3"/>
    <w:rsid w:val="00824C15"/>
    <w:rsid w:val="00824E16"/>
    <w:rsid w:val="00825490"/>
    <w:rsid w:val="008272E6"/>
    <w:rsid w:val="00830266"/>
    <w:rsid w:val="00830863"/>
    <w:rsid w:val="008312D2"/>
    <w:rsid w:val="008350AA"/>
    <w:rsid w:val="00837AF0"/>
    <w:rsid w:val="00841BBD"/>
    <w:rsid w:val="00841E57"/>
    <w:rsid w:val="00842218"/>
    <w:rsid w:val="00842F2C"/>
    <w:rsid w:val="00846AF7"/>
    <w:rsid w:val="00850378"/>
    <w:rsid w:val="008507B3"/>
    <w:rsid w:val="008533BC"/>
    <w:rsid w:val="00853859"/>
    <w:rsid w:val="008569CA"/>
    <w:rsid w:val="0086001D"/>
    <w:rsid w:val="0086137B"/>
    <w:rsid w:val="008613C0"/>
    <w:rsid w:val="00862426"/>
    <w:rsid w:val="008625A0"/>
    <w:rsid w:val="008630A4"/>
    <w:rsid w:val="00863471"/>
    <w:rsid w:val="00870143"/>
    <w:rsid w:val="008704D1"/>
    <w:rsid w:val="00871987"/>
    <w:rsid w:val="00874C17"/>
    <w:rsid w:val="00876693"/>
    <w:rsid w:val="0087686E"/>
    <w:rsid w:val="00876878"/>
    <w:rsid w:val="008773D6"/>
    <w:rsid w:val="008775E4"/>
    <w:rsid w:val="008803B6"/>
    <w:rsid w:val="00880969"/>
    <w:rsid w:val="008838EA"/>
    <w:rsid w:val="008848A7"/>
    <w:rsid w:val="008856C2"/>
    <w:rsid w:val="00885CF6"/>
    <w:rsid w:val="008866E3"/>
    <w:rsid w:val="0088741C"/>
    <w:rsid w:val="00887A0E"/>
    <w:rsid w:val="0089049A"/>
    <w:rsid w:val="00891C7C"/>
    <w:rsid w:val="00892863"/>
    <w:rsid w:val="00892D50"/>
    <w:rsid w:val="0089336E"/>
    <w:rsid w:val="00893B4D"/>
    <w:rsid w:val="00893E4F"/>
    <w:rsid w:val="008940F7"/>
    <w:rsid w:val="008A0A2E"/>
    <w:rsid w:val="008A0C17"/>
    <w:rsid w:val="008A1467"/>
    <w:rsid w:val="008A54DB"/>
    <w:rsid w:val="008A61B1"/>
    <w:rsid w:val="008A75FA"/>
    <w:rsid w:val="008A76D8"/>
    <w:rsid w:val="008B293D"/>
    <w:rsid w:val="008B4DF8"/>
    <w:rsid w:val="008B541C"/>
    <w:rsid w:val="008B6D5D"/>
    <w:rsid w:val="008C1DA1"/>
    <w:rsid w:val="008C2EC4"/>
    <w:rsid w:val="008C3313"/>
    <w:rsid w:val="008C7CAF"/>
    <w:rsid w:val="008C7E4B"/>
    <w:rsid w:val="008D0C8A"/>
    <w:rsid w:val="008D2CCD"/>
    <w:rsid w:val="008D2EA3"/>
    <w:rsid w:val="008D5874"/>
    <w:rsid w:val="008D5880"/>
    <w:rsid w:val="008E5DC3"/>
    <w:rsid w:val="008E5E46"/>
    <w:rsid w:val="008E6186"/>
    <w:rsid w:val="008E6499"/>
    <w:rsid w:val="008F02E5"/>
    <w:rsid w:val="008F484D"/>
    <w:rsid w:val="008F5118"/>
    <w:rsid w:val="008F621A"/>
    <w:rsid w:val="009007B4"/>
    <w:rsid w:val="00903A3D"/>
    <w:rsid w:val="00906734"/>
    <w:rsid w:val="00906D01"/>
    <w:rsid w:val="0091325A"/>
    <w:rsid w:val="00914D05"/>
    <w:rsid w:val="00917D3A"/>
    <w:rsid w:val="009205D8"/>
    <w:rsid w:val="00921491"/>
    <w:rsid w:val="00923062"/>
    <w:rsid w:val="009247DD"/>
    <w:rsid w:val="00925E82"/>
    <w:rsid w:val="009302D4"/>
    <w:rsid w:val="009305D7"/>
    <w:rsid w:val="0093081F"/>
    <w:rsid w:val="00932AD3"/>
    <w:rsid w:val="00933A89"/>
    <w:rsid w:val="00933DC3"/>
    <w:rsid w:val="009352A8"/>
    <w:rsid w:val="00936C59"/>
    <w:rsid w:val="0093702F"/>
    <w:rsid w:val="00937561"/>
    <w:rsid w:val="00940260"/>
    <w:rsid w:val="00940648"/>
    <w:rsid w:val="0094126C"/>
    <w:rsid w:val="00941335"/>
    <w:rsid w:val="00941ECE"/>
    <w:rsid w:val="009427A2"/>
    <w:rsid w:val="0094449E"/>
    <w:rsid w:val="009449E6"/>
    <w:rsid w:val="00945602"/>
    <w:rsid w:val="009472F2"/>
    <w:rsid w:val="00952817"/>
    <w:rsid w:val="00952AE7"/>
    <w:rsid w:val="009573F2"/>
    <w:rsid w:val="00960939"/>
    <w:rsid w:val="009610EA"/>
    <w:rsid w:val="0096147A"/>
    <w:rsid w:val="00961990"/>
    <w:rsid w:val="00961EC0"/>
    <w:rsid w:val="00961FE4"/>
    <w:rsid w:val="00962237"/>
    <w:rsid w:val="0096376D"/>
    <w:rsid w:val="00963FC6"/>
    <w:rsid w:val="009640BC"/>
    <w:rsid w:val="00965801"/>
    <w:rsid w:val="00970EA1"/>
    <w:rsid w:val="00973AEF"/>
    <w:rsid w:val="009744C8"/>
    <w:rsid w:val="009750F9"/>
    <w:rsid w:val="00976A3F"/>
    <w:rsid w:val="00977777"/>
    <w:rsid w:val="00980DC0"/>
    <w:rsid w:val="00980E6A"/>
    <w:rsid w:val="00981A4B"/>
    <w:rsid w:val="00981BC8"/>
    <w:rsid w:val="00981F54"/>
    <w:rsid w:val="00982832"/>
    <w:rsid w:val="0098298A"/>
    <w:rsid w:val="009839A7"/>
    <w:rsid w:val="00984714"/>
    <w:rsid w:val="00984F31"/>
    <w:rsid w:val="0098596F"/>
    <w:rsid w:val="00986782"/>
    <w:rsid w:val="00987B2A"/>
    <w:rsid w:val="00987CA0"/>
    <w:rsid w:val="00990521"/>
    <w:rsid w:val="009909E2"/>
    <w:rsid w:val="00991657"/>
    <w:rsid w:val="009923E1"/>
    <w:rsid w:val="00992650"/>
    <w:rsid w:val="00992AA9"/>
    <w:rsid w:val="00993877"/>
    <w:rsid w:val="009954CC"/>
    <w:rsid w:val="009958E7"/>
    <w:rsid w:val="00996591"/>
    <w:rsid w:val="00996BC9"/>
    <w:rsid w:val="00997E16"/>
    <w:rsid w:val="009A229C"/>
    <w:rsid w:val="009A24E4"/>
    <w:rsid w:val="009A370E"/>
    <w:rsid w:val="009A3910"/>
    <w:rsid w:val="009A4BD8"/>
    <w:rsid w:val="009A4CE9"/>
    <w:rsid w:val="009A79EB"/>
    <w:rsid w:val="009B0068"/>
    <w:rsid w:val="009B0D49"/>
    <w:rsid w:val="009B0E56"/>
    <w:rsid w:val="009B119F"/>
    <w:rsid w:val="009B2876"/>
    <w:rsid w:val="009B37DD"/>
    <w:rsid w:val="009B4B67"/>
    <w:rsid w:val="009B4D11"/>
    <w:rsid w:val="009C01AA"/>
    <w:rsid w:val="009C0C5E"/>
    <w:rsid w:val="009C15D9"/>
    <w:rsid w:val="009C2179"/>
    <w:rsid w:val="009C4052"/>
    <w:rsid w:val="009C4838"/>
    <w:rsid w:val="009C68F6"/>
    <w:rsid w:val="009C6E18"/>
    <w:rsid w:val="009D0C5E"/>
    <w:rsid w:val="009D117A"/>
    <w:rsid w:val="009D1381"/>
    <w:rsid w:val="009D36AE"/>
    <w:rsid w:val="009D39FD"/>
    <w:rsid w:val="009D52F1"/>
    <w:rsid w:val="009D52FB"/>
    <w:rsid w:val="009D54A2"/>
    <w:rsid w:val="009D59E9"/>
    <w:rsid w:val="009D69B8"/>
    <w:rsid w:val="009D7BBA"/>
    <w:rsid w:val="009E1DB4"/>
    <w:rsid w:val="009E312C"/>
    <w:rsid w:val="009E356E"/>
    <w:rsid w:val="009E3C18"/>
    <w:rsid w:val="009E4ECD"/>
    <w:rsid w:val="009E50DE"/>
    <w:rsid w:val="009E7019"/>
    <w:rsid w:val="009F0E96"/>
    <w:rsid w:val="009F1032"/>
    <w:rsid w:val="009F1785"/>
    <w:rsid w:val="009F3641"/>
    <w:rsid w:val="009F504B"/>
    <w:rsid w:val="009F644B"/>
    <w:rsid w:val="009F78AC"/>
    <w:rsid w:val="00A0134B"/>
    <w:rsid w:val="00A02BC3"/>
    <w:rsid w:val="00A02C70"/>
    <w:rsid w:val="00A0330F"/>
    <w:rsid w:val="00A03813"/>
    <w:rsid w:val="00A0385C"/>
    <w:rsid w:val="00A075B1"/>
    <w:rsid w:val="00A078E9"/>
    <w:rsid w:val="00A14115"/>
    <w:rsid w:val="00A14715"/>
    <w:rsid w:val="00A163E5"/>
    <w:rsid w:val="00A17E44"/>
    <w:rsid w:val="00A21157"/>
    <w:rsid w:val="00A22F3D"/>
    <w:rsid w:val="00A249E1"/>
    <w:rsid w:val="00A2513C"/>
    <w:rsid w:val="00A30296"/>
    <w:rsid w:val="00A3146E"/>
    <w:rsid w:val="00A319C5"/>
    <w:rsid w:val="00A32093"/>
    <w:rsid w:val="00A32351"/>
    <w:rsid w:val="00A32965"/>
    <w:rsid w:val="00A339A4"/>
    <w:rsid w:val="00A339D6"/>
    <w:rsid w:val="00A35E03"/>
    <w:rsid w:val="00A37423"/>
    <w:rsid w:val="00A44CC3"/>
    <w:rsid w:val="00A462E0"/>
    <w:rsid w:val="00A466AF"/>
    <w:rsid w:val="00A46FCF"/>
    <w:rsid w:val="00A47BA0"/>
    <w:rsid w:val="00A47BB7"/>
    <w:rsid w:val="00A50EC5"/>
    <w:rsid w:val="00A51B5A"/>
    <w:rsid w:val="00A52657"/>
    <w:rsid w:val="00A5504B"/>
    <w:rsid w:val="00A5612E"/>
    <w:rsid w:val="00A56DF5"/>
    <w:rsid w:val="00A56E3B"/>
    <w:rsid w:val="00A6389C"/>
    <w:rsid w:val="00A64FB8"/>
    <w:rsid w:val="00A6506E"/>
    <w:rsid w:val="00A664CC"/>
    <w:rsid w:val="00A70226"/>
    <w:rsid w:val="00A71345"/>
    <w:rsid w:val="00A71790"/>
    <w:rsid w:val="00A7235E"/>
    <w:rsid w:val="00A72731"/>
    <w:rsid w:val="00A73959"/>
    <w:rsid w:val="00A75B2C"/>
    <w:rsid w:val="00A76B77"/>
    <w:rsid w:val="00A77893"/>
    <w:rsid w:val="00A803B1"/>
    <w:rsid w:val="00A80F63"/>
    <w:rsid w:val="00A82051"/>
    <w:rsid w:val="00A8236F"/>
    <w:rsid w:val="00A82A51"/>
    <w:rsid w:val="00A833DA"/>
    <w:rsid w:val="00A87152"/>
    <w:rsid w:val="00A87E43"/>
    <w:rsid w:val="00A90BED"/>
    <w:rsid w:val="00A90BF2"/>
    <w:rsid w:val="00A912B4"/>
    <w:rsid w:val="00A91FB1"/>
    <w:rsid w:val="00A9407A"/>
    <w:rsid w:val="00A97024"/>
    <w:rsid w:val="00AA380A"/>
    <w:rsid w:val="00AA5F94"/>
    <w:rsid w:val="00AA6B1F"/>
    <w:rsid w:val="00AA75DD"/>
    <w:rsid w:val="00AA7834"/>
    <w:rsid w:val="00AB04E7"/>
    <w:rsid w:val="00AB11E2"/>
    <w:rsid w:val="00AB55A6"/>
    <w:rsid w:val="00AB5905"/>
    <w:rsid w:val="00AB6320"/>
    <w:rsid w:val="00AB6B24"/>
    <w:rsid w:val="00AB7904"/>
    <w:rsid w:val="00AC32E2"/>
    <w:rsid w:val="00AC42E1"/>
    <w:rsid w:val="00AC44E7"/>
    <w:rsid w:val="00AC55EC"/>
    <w:rsid w:val="00AC578F"/>
    <w:rsid w:val="00AD26E6"/>
    <w:rsid w:val="00AD2F0C"/>
    <w:rsid w:val="00AD5387"/>
    <w:rsid w:val="00AE245B"/>
    <w:rsid w:val="00AE3803"/>
    <w:rsid w:val="00AE508B"/>
    <w:rsid w:val="00AE5DBD"/>
    <w:rsid w:val="00AF0B23"/>
    <w:rsid w:val="00AF0D7A"/>
    <w:rsid w:val="00AF1D19"/>
    <w:rsid w:val="00AF36CA"/>
    <w:rsid w:val="00AF4341"/>
    <w:rsid w:val="00AF4972"/>
    <w:rsid w:val="00AF5219"/>
    <w:rsid w:val="00B002A6"/>
    <w:rsid w:val="00B01601"/>
    <w:rsid w:val="00B01C35"/>
    <w:rsid w:val="00B02B78"/>
    <w:rsid w:val="00B03052"/>
    <w:rsid w:val="00B035C6"/>
    <w:rsid w:val="00B0387E"/>
    <w:rsid w:val="00B057A7"/>
    <w:rsid w:val="00B122C7"/>
    <w:rsid w:val="00B124F7"/>
    <w:rsid w:val="00B13BED"/>
    <w:rsid w:val="00B1457A"/>
    <w:rsid w:val="00B15894"/>
    <w:rsid w:val="00B17413"/>
    <w:rsid w:val="00B17F22"/>
    <w:rsid w:val="00B21449"/>
    <w:rsid w:val="00B215EE"/>
    <w:rsid w:val="00B227EC"/>
    <w:rsid w:val="00B22B5C"/>
    <w:rsid w:val="00B23F39"/>
    <w:rsid w:val="00B26B56"/>
    <w:rsid w:val="00B2768D"/>
    <w:rsid w:val="00B279D7"/>
    <w:rsid w:val="00B309AD"/>
    <w:rsid w:val="00B315F9"/>
    <w:rsid w:val="00B32452"/>
    <w:rsid w:val="00B32EEF"/>
    <w:rsid w:val="00B3345C"/>
    <w:rsid w:val="00B34C91"/>
    <w:rsid w:val="00B35AC2"/>
    <w:rsid w:val="00B364A0"/>
    <w:rsid w:val="00B40D6D"/>
    <w:rsid w:val="00B41165"/>
    <w:rsid w:val="00B42812"/>
    <w:rsid w:val="00B43D42"/>
    <w:rsid w:val="00B44E42"/>
    <w:rsid w:val="00B4610F"/>
    <w:rsid w:val="00B46E73"/>
    <w:rsid w:val="00B515E3"/>
    <w:rsid w:val="00B51AB2"/>
    <w:rsid w:val="00B51BF8"/>
    <w:rsid w:val="00B548D2"/>
    <w:rsid w:val="00B54C64"/>
    <w:rsid w:val="00B54DF0"/>
    <w:rsid w:val="00B57474"/>
    <w:rsid w:val="00B57DF5"/>
    <w:rsid w:val="00B60895"/>
    <w:rsid w:val="00B6384C"/>
    <w:rsid w:val="00B64684"/>
    <w:rsid w:val="00B66A9A"/>
    <w:rsid w:val="00B70558"/>
    <w:rsid w:val="00B70766"/>
    <w:rsid w:val="00B70DF4"/>
    <w:rsid w:val="00B714E4"/>
    <w:rsid w:val="00B71676"/>
    <w:rsid w:val="00B716B8"/>
    <w:rsid w:val="00B75B54"/>
    <w:rsid w:val="00B809E1"/>
    <w:rsid w:val="00B80DAB"/>
    <w:rsid w:val="00B83521"/>
    <w:rsid w:val="00B8549E"/>
    <w:rsid w:val="00B864F9"/>
    <w:rsid w:val="00B91264"/>
    <w:rsid w:val="00B928AD"/>
    <w:rsid w:val="00B930C2"/>
    <w:rsid w:val="00B9501A"/>
    <w:rsid w:val="00BA1729"/>
    <w:rsid w:val="00BA2791"/>
    <w:rsid w:val="00BA3FD6"/>
    <w:rsid w:val="00BA4677"/>
    <w:rsid w:val="00BA7628"/>
    <w:rsid w:val="00BA7762"/>
    <w:rsid w:val="00BB09C5"/>
    <w:rsid w:val="00BB479A"/>
    <w:rsid w:val="00BB5545"/>
    <w:rsid w:val="00BB781E"/>
    <w:rsid w:val="00BC0EE1"/>
    <w:rsid w:val="00BC1126"/>
    <w:rsid w:val="00BC1728"/>
    <w:rsid w:val="00BC17F7"/>
    <w:rsid w:val="00BC2567"/>
    <w:rsid w:val="00BC2CBD"/>
    <w:rsid w:val="00BC2DAD"/>
    <w:rsid w:val="00BC39C4"/>
    <w:rsid w:val="00BC3BC5"/>
    <w:rsid w:val="00BC432D"/>
    <w:rsid w:val="00BC5C41"/>
    <w:rsid w:val="00BC6032"/>
    <w:rsid w:val="00BC65DD"/>
    <w:rsid w:val="00BD1CFB"/>
    <w:rsid w:val="00BD4BDC"/>
    <w:rsid w:val="00BD5655"/>
    <w:rsid w:val="00BD6818"/>
    <w:rsid w:val="00BD6B81"/>
    <w:rsid w:val="00BD7F3B"/>
    <w:rsid w:val="00BE3370"/>
    <w:rsid w:val="00BE337C"/>
    <w:rsid w:val="00BE3881"/>
    <w:rsid w:val="00BE4DE3"/>
    <w:rsid w:val="00BE75E3"/>
    <w:rsid w:val="00BF79D0"/>
    <w:rsid w:val="00C008CF"/>
    <w:rsid w:val="00C0153D"/>
    <w:rsid w:val="00C03CF7"/>
    <w:rsid w:val="00C03D42"/>
    <w:rsid w:val="00C04B64"/>
    <w:rsid w:val="00C101A7"/>
    <w:rsid w:val="00C11148"/>
    <w:rsid w:val="00C1373F"/>
    <w:rsid w:val="00C1396C"/>
    <w:rsid w:val="00C1500F"/>
    <w:rsid w:val="00C16FAD"/>
    <w:rsid w:val="00C178F4"/>
    <w:rsid w:val="00C22E07"/>
    <w:rsid w:val="00C2381F"/>
    <w:rsid w:val="00C23EF8"/>
    <w:rsid w:val="00C2515E"/>
    <w:rsid w:val="00C26E90"/>
    <w:rsid w:val="00C31426"/>
    <w:rsid w:val="00C315BB"/>
    <w:rsid w:val="00C327DE"/>
    <w:rsid w:val="00C33717"/>
    <w:rsid w:val="00C34C2E"/>
    <w:rsid w:val="00C36439"/>
    <w:rsid w:val="00C3758E"/>
    <w:rsid w:val="00C378C2"/>
    <w:rsid w:val="00C37EA2"/>
    <w:rsid w:val="00C40242"/>
    <w:rsid w:val="00C405BC"/>
    <w:rsid w:val="00C41C54"/>
    <w:rsid w:val="00C511F8"/>
    <w:rsid w:val="00C51913"/>
    <w:rsid w:val="00C51A7D"/>
    <w:rsid w:val="00C55E33"/>
    <w:rsid w:val="00C55FD9"/>
    <w:rsid w:val="00C6085B"/>
    <w:rsid w:val="00C6210D"/>
    <w:rsid w:val="00C62110"/>
    <w:rsid w:val="00C62AC0"/>
    <w:rsid w:val="00C62D8D"/>
    <w:rsid w:val="00C6463B"/>
    <w:rsid w:val="00C66EEC"/>
    <w:rsid w:val="00C67224"/>
    <w:rsid w:val="00C71693"/>
    <w:rsid w:val="00C733E5"/>
    <w:rsid w:val="00C7743A"/>
    <w:rsid w:val="00C80B7A"/>
    <w:rsid w:val="00C8127E"/>
    <w:rsid w:val="00C814ED"/>
    <w:rsid w:val="00C8249B"/>
    <w:rsid w:val="00C82B36"/>
    <w:rsid w:val="00C8346D"/>
    <w:rsid w:val="00C8379C"/>
    <w:rsid w:val="00C8553A"/>
    <w:rsid w:val="00C86012"/>
    <w:rsid w:val="00C86D14"/>
    <w:rsid w:val="00C91EA4"/>
    <w:rsid w:val="00C92F34"/>
    <w:rsid w:val="00C94C36"/>
    <w:rsid w:val="00CA018B"/>
    <w:rsid w:val="00CA0CB2"/>
    <w:rsid w:val="00CA1868"/>
    <w:rsid w:val="00CA217C"/>
    <w:rsid w:val="00CA356A"/>
    <w:rsid w:val="00CA50E8"/>
    <w:rsid w:val="00CA74A3"/>
    <w:rsid w:val="00CB2E6F"/>
    <w:rsid w:val="00CB2F8D"/>
    <w:rsid w:val="00CB3E96"/>
    <w:rsid w:val="00CB5009"/>
    <w:rsid w:val="00CB580B"/>
    <w:rsid w:val="00CC0F1F"/>
    <w:rsid w:val="00CC205F"/>
    <w:rsid w:val="00CC3C1B"/>
    <w:rsid w:val="00CC5EE3"/>
    <w:rsid w:val="00CC6BE6"/>
    <w:rsid w:val="00CC6D04"/>
    <w:rsid w:val="00CC7563"/>
    <w:rsid w:val="00CD25F5"/>
    <w:rsid w:val="00CD26A3"/>
    <w:rsid w:val="00CD3E46"/>
    <w:rsid w:val="00CD3EE2"/>
    <w:rsid w:val="00CD679C"/>
    <w:rsid w:val="00CE13AB"/>
    <w:rsid w:val="00CE35A1"/>
    <w:rsid w:val="00CE4342"/>
    <w:rsid w:val="00CE6717"/>
    <w:rsid w:val="00CE7390"/>
    <w:rsid w:val="00CE7CF6"/>
    <w:rsid w:val="00CF050C"/>
    <w:rsid w:val="00CF0FAB"/>
    <w:rsid w:val="00CF146F"/>
    <w:rsid w:val="00CF14C2"/>
    <w:rsid w:val="00CF151A"/>
    <w:rsid w:val="00CF1C1A"/>
    <w:rsid w:val="00CF28FB"/>
    <w:rsid w:val="00CF3623"/>
    <w:rsid w:val="00CF42CE"/>
    <w:rsid w:val="00CF4C37"/>
    <w:rsid w:val="00CF7CAA"/>
    <w:rsid w:val="00D00F9D"/>
    <w:rsid w:val="00D01447"/>
    <w:rsid w:val="00D02780"/>
    <w:rsid w:val="00D048AD"/>
    <w:rsid w:val="00D05534"/>
    <w:rsid w:val="00D06126"/>
    <w:rsid w:val="00D06924"/>
    <w:rsid w:val="00D11262"/>
    <w:rsid w:val="00D119DE"/>
    <w:rsid w:val="00D11E51"/>
    <w:rsid w:val="00D1262A"/>
    <w:rsid w:val="00D126E6"/>
    <w:rsid w:val="00D12A24"/>
    <w:rsid w:val="00D13EDB"/>
    <w:rsid w:val="00D16AFF"/>
    <w:rsid w:val="00D1792E"/>
    <w:rsid w:val="00D21342"/>
    <w:rsid w:val="00D2317A"/>
    <w:rsid w:val="00D23869"/>
    <w:rsid w:val="00D248E2"/>
    <w:rsid w:val="00D25D08"/>
    <w:rsid w:val="00D31341"/>
    <w:rsid w:val="00D320EF"/>
    <w:rsid w:val="00D32A9E"/>
    <w:rsid w:val="00D32E09"/>
    <w:rsid w:val="00D330E4"/>
    <w:rsid w:val="00D415A1"/>
    <w:rsid w:val="00D436E4"/>
    <w:rsid w:val="00D44964"/>
    <w:rsid w:val="00D46D81"/>
    <w:rsid w:val="00D46F19"/>
    <w:rsid w:val="00D47F12"/>
    <w:rsid w:val="00D51DAF"/>
    <w:rsid w:val="00D52003"/>
    <w:rsid w:val="00D53E6F"/>
    <w:rsid w:val="00D56A23"/>
    <w:rsid w:val="00D57626"/>
    <w:rsid w:val="00D60988"/>
    <w:rsid w:val="00D62993"/>
    <w:rsid w:val="00D63B8D"/>
    <w:rsid w:val="00D63D7F"/>
    <w:rsid w:val="00D669C6"/>
    <w:rsid w:val="00D703B9"/>
    <w:rsid w:val="00D71BCB"/>
    <w:rsid w:val="00D71EEF"/>
    <w:rsid w:val="00D721F9"/>
    <w:rsid w:val="00D75FC0"/>
    <w:rsid w:val="00D761E7"/>
    <w:rsid w:val="00D8145F"/>
    <w:rsid w:val="00D824A8"/>
    <w:rsid w:val="00D845E8"/>
    <w:rsid w:val="00D85AEE"/>
    <w:rsid w:val="00D9009A"/>
    <w:rsid w:val="00D9068E"/>
    <w:rsid w:val="00D9314B"/>
    <w:rsid w:val="00D93C44"/>
    <w:rsid w:val="00D96016"/>
    <w:rsid w:val="00DA0229"/>
    <w:rsid w:val="00DA0B8A"/>
    <w:rsid w:val="00DA2821"/>
    <w:rsid w:val="00DA2C84"/>
    <w:rsid w:val="00DA3CAA"/>
    <w:rsid w:val="00DA3E0D"/>
    <w:rsid w:val="00DA417F"/>
    <w:rsid w:val="00DA4C56"/>
    <w:rsid w:val="00DA5776"/>
    <w:rsid w:val="00DA7A63"/>
    <w:rsid w:val="00DB0B25"/>
    <w:rsid w:val="00DB0F1E"/>
    <w:rsid w:val="00DB4D07"/>
    <w:rsid w:val="00DB576D"/>
    <w:rsid w:val="00DB5D6F"/>
    <w:rsid w:val="00DB5F37"/>
    <w:rsid w:val="00DC0A58"/>
    <w:rsid w:val="00DC0FD5"/>
    <w:rsid w:val="00DC2030"/>
    <w:rsid w:val="00DC4371"/>
    <w:rsid w:val="00DC73D6"/>
    <w:rsid w:val="00DD03DE"/>
    <w:rsid w:val="00DD063C"/>
    <w:rsid w:val="00DD1375"/>
    <w:rsid w:val="00DD1554"/>
    <w:rsid w:val="00DD4888"/>
    <w:rsid w:val="00DD5559"/>
    <w:rsid w:val="00DD6393"/>
    <w:rsid w:val="00DE16A1"/>
    <w:rsid w:val="00DE1D5D"/>
    <w:rsid w:val="00DE35CD"/>
    <w:rsid w:val="00DE443F"/>
    <w:rsid w:val="00DE603C"/>
    <w:rsid w:val="00DE7F96"/>
    <w:rsid w:val="00DF0591"/>
    <w:rsid w:val="00DF1F19"/>
    <w:rsid w:val="00DF313C"/>
    <w:rsid w:val="00DF3C39"/>
    <w:rsid w:val="00DF43FC"/>
    <w:rsid w:val="00E00A8C"/>
    <w:rsid w:val="00E00DD0"/>
    <w:rsid w:val="00E01596"/>
    <w:rsid w:val="00E03B58"/>
    <w:rsid w:val="00E04AC9"/>
    <w:rsid w:val="00E072CA"/>
    <w:rsid w:val="00E1073C"/>
    <w:rsid w:val="00E11320"/>
    <w:rsid w:val="00E120BA"/>
    <w:rsid w:val="00E1330F"/>
    <w:rsid w:val="00E134F0"/>
    <w:rsid w:val="00E13690"/>
    <w:rsid w:val="00E1447B"/>
    <w:rsid w:val="00E155B6"/>
    <w:rsid w:val="00E15625"/>
    <w:rsid w:val="00E161C1"/>
    <w:rsid w:val="00E17FBD"/>
    <w:rsid w:val="00E20A8C"/>
    <w:rsid w:val="00E21383"/>
    <w:rsid w:val="00E2242A"/>
    <w:rsid w:val="00E259B1"/>
    <w:rsid w:val="00E309BD"/>
    <w:rsid w:val="00E30E83"/>
    <w:rsid w:val="00E34CD1"/>
    <w:rsid w:val="00E360D6"/>
    <w:rsid w:val="00E37F4E"/>
    <w:rsid w:val="00E40C30"/>
    <w:rsid w:val="00E4126E"/>
    <w:rsid w:val="00E41CB2"/>
    <w:rsid w:val="00E41F45"/>
    <w:rsid w:val="00E43684"/>
    <w:rsid w:val="00E441E9"/>
    <w:rsid w:val="00E45842"/>
    <w:rsid w:val="00E46005"/>
    <w:rsid w:val="00E46736"/>
    <w:rsid w:val="00E508CF"/>
    <w:rsid w:val="00E5499F"/>
    <w:rsid w:val="00E54D7B"/>
    <w:rsid w:val="00E559A2"/>
    <w:rsid w:val="00E5725D"/>
    <w:rsid w:val="00E5736E"/>
    <w:rsid w:val="00E57FD0"/>
    <w:rsid w:val="00E6017E"/>
    <w:rsid w:val="00E60271"/>
    <w:rsid w:val="00E61A1E"/>
    <w:rsid w:val="00E629A9"/>
    <w:rsid w:val="00E63E94"/>
    <w:rsid w:val="00E64B44"/>
    <w:rsid w:val="00E6500F"/>
    <w:rsid w:val="00E65DFF"/>
    <w:rsid w:val="00E6605D"/>
    <w:rsid w:val="00E66AEC"/>
    <w:rsid w:val="00E710D0"/>
    <w:rsid w:val="00E716EE"/>
    <w:rsid w:val="00E77420"/>
    <w:rsid w:val="00E77A90"/>
    <w:rsid w:val="00E82AFA"/>
    <w:rsid w:val="00E82B4D"/>
    <w:rsid w:val="00E83FF1"/>
    <w:rsid w:val="00E85CC3"/>
    <w:rsid w:val="00E91478"/>
    <w:rsid w:val="00E91EB5"/>
    <w:rsid w:val="00E92779"/>
    <w:rsid w:val="00E94F96"/>
    <w:rsid w:val="00E959C0"/>
    <w:rsid w:val="00EA7A4A"/>
    <w:rsid w:val="00EA7B7E"/>
    <w:rsid w:val="00EB011C"/>
    <w:rsid w:val="00EB2A99"/>
    <w:rsid w:val="00EB39EC"/>
    <w:rsid w:val="00EB40FC"/>
    <w:rsid w:val="00EB4ACF"/>
    <w:rsid w:val="00EB6E10"/>
    <w:rsid w:val="00EC2619"/>
    <w:rsid w:val="00EC3D31"/>
    <w:rsid w:val="00EC4021"/>
    <w:rsid w:val="00EC4512"/>
    <w:rsid w:val="00EC4615"/>
    <w:rsid w:val="00ED2C6C"/>
    <w:rsid w:val="00ED3481"/>
    <w:rsid w:val="00ED3CB6"/>
    <w:rsid w:val="00ED5018"/>
    <w:rsid w:val="00ED763A"/>
    <w:rsid w:val="00ED77F2"/>
    <w:rsid w:val="00EE0F72"/>
    <w:rsid w:val="00EE18C3"/>
    <w:rsid w:val="00EE1D8D"/>
    <w:rsid w:val="00EE21AA"/>
    <w:rsid w:val="00EE23DA"/>
    <w:rsid w:val="00EE5683"/>
    <w:rsid w:val="00EE6862"/>
    <w:rsid w:val="00EE69FF"/>
    <w:rsid w:val="00EF3CDE"/>
    <w:rsid w:val="00EF5725"/>
    <w:rsid w:val="00F04EC3"/>
    <w:rsid w:val="00F10361"/>
    <w:rsid w:val="00F10A85"/>
    <w:rsid w:val="00F10E91"/>
    <w:rsid w:val="00F110AF"/>
    <w:rsid w:val="00F127FF"/>
    <w:rsid w:val="00F12DF8"/>
    <w:rsid w:val="00F1309D"/>
    <w:rsid w:val="00F1346C"/>
    <w:rsid w:val="00F15461"/>
    <w:rsid w:val="00F15FB9"/>
    <w:rsid w:val="00F16A77"/>
    <w:rsid w:val="00F206FE"/>
    <w:rsid w:val="00F21B0F"/>
    <w:rsid w:val="00F22C47"/>
    <w:rsid w:val="00F231B9"/>
    <w:rsid w:val="00F25325"/>
    <w:rsid w:val="00F2603A"/>
    <w:rsid w:val="00F26924"/>
    <w:rsid w:val="00F30893"/>
    <w:rsid w:val="00F30B70"/>
    <w:rsid w:val="00F310A9"/>
    <w:rsid w:val="00F32BFA"/>
    <w:rsid w:val="00F32DA3"/>
    <w:rsid w:val="00F33181"/>
    <w:rsid w:val="00F332AC"/>
    <w:rsid w:val="00F350C3"/>
    <w:rsid w:val="00F36405"/>
    <w:rsid w:val="00F36F41"/>
    <w:rsid w:val="00F45185"/>
    <w:rsid w:val="00F464F1"/>
    <w:rsid w:val="00F47730"/>
    <w:rsid w:val="00F51B07"/>
    <w:rsid w:val="00F51C3E"/>
    <w:rsid w:val="00F521DD"/>
    <w:rsid w:val="00F53735"/>
    <w:rsid w:val="00F53F8B"/>
    <w:rsid w:val="00F54844"/>
    <w:rsid w:val="00F54AAB"/>
    <w:rsid w:val="00F5529C"/>
    <w:rsid w:val="00F567BE"/>
    <w:rsid w:val="00F57C87"/>
    <w:rsid w:val="00F623CD"/>
    <w:rsid w:val="00F63E66"/>
    <w:rsid w:val="00F647EF"/>
    <w:rsid w:val="00F654AD"/>
    <w:rsid w:val="00F678E8"/>
    <w:rsid w:val="00F67B80"/>
    <w:rsid w:val="00F67DDA"/>
    <w:rsid w:val="00F702DD"/>
    <w:rsid w:val="00F715FC"/>
    <w:rsid w:val="00F71BC2"/>
    <w:rsid w:val="00F7395F"/>
    <w:rsid w:val="00F73EED"/>
    <w:rsid w:val="00F75F22"/>
    <w:rsid w:val="00F7756D"/>
    <w:rsid w:val="00F77EB6"/>
    <w:rsid w:val="00F77F48"/>
    <w:rsid w:val="00F8016A"/>
    <w:rsid w:val="00F81804"/>
    <w:rsid w:val="00F823F5"/>
    <w:rsid w:val="00F8298B"/>
    <w:rsid w:val="00F82B58"/>
    <w:rsid w:val="00F902D3"/>
    <w:rsid w:val="00F947AA"/>
    <w:rsid w:val="00F94A72"/>
    <w:rsid w:val="00F966CE"/>
    <w:rsid w:val="00F96E35"/>
    <w:rsid w:val="00F9788B"/>
    <w:rsid w:val="00F97E24"/>
    <w:rsid w:val="00FA2CEC"/>
    <w:rsid w:val="00FA555C"/>
    <w:rsid w:val="00FA56B7"/>
    <w:rsid w:val="00FA6A83"/>
    <w:rsid w:val="00FA74CA"/>
    <w:rsid w:val="00FA7839"/>
    <w:rsid w:val="00FB00D0"/>
    <w:rsid w:val="00FB0B57"/>
    <w:rsid w:val="00FB0B5B"/>
    <w:rsid w:val="00FB1F46"/>
    <w:rsid w:val="00FB2127"/>
    <w:rsid w:val="00FB77BA"/>
    <w:rsid w:val="00FC0189"/>
    <w:rsid w:val="00FC048E"/>
    <w:rsid w:val="00FC45BF"/>
    <w:rsid w:val="00FC709B"/>
    <w:rsid w:val="00FC7D79"/>
    <w:rsid w:val="00FD5221"/>
    <w:rsid w:val="00FD55A5"/>
    <w:rsid w:val="00FD5CD6"/>
    <w:rsid w:val="00FE0601"/>
    <w:rsid w:val="00FE1EBC"/>
    <w:rsid w:val="00FE318F"/>
    <w:rsid w:val="00FE4430"/>
    <w:rsid w:val="00FE6D41"/>
    <w:rsid w:val="00FE7250"/>
    <w:rsid w:val="00FE77AA"/>
    <w:rsid w:val="00FF006B"/>
    <w:rsid w:val="00FF2A48"/>
    <w:rsid w:val="00FF4E4B"/>
    <w:rsid w:val="00FF50DD"/>
    <w:rsid w:val="00FF7105"/>
    <w:rsid w:val="010813FB"/>
    <w:rsid w:val="01091341"/>
    <w:rsid w:val="010C284B"/>
    <w:rsid w:val="01234692"/>
    <w:rsid w:val="01332C47"/>
    <w:rsid w:val="01572F42"/>
    <w:rsid w:val="018E7997"/>
    <w:rsid w:val="01DE0F64"/>
    <w:rsid w:val="01DF21D8"/>
    <w:rsid w:val="022E0B45"/>
    <w:rsid w:val="02381D72"/>
    <w:rsid w:val="02402C85"/>
    <w:rsid w:val="024964CA"/>
    <w:rsid w:val="02D3305D"/>
    <w:rsid w:val="03130862"/>
    <w:rsid w:val="03175F8B"/>
    <w:rsid w:val="03211DD9"/>
    <w:rsid w:val="03455237"/>
    <w:rsid w:val="036A1AEE"/>
    <w:rsid w:val="038622B0"/>
    <w:rsid w:val="03B16D18"/>
    <w:rsid w:val="04066E9A"/>
    <w:rsid w:val="040B4407"/>
    <w:rsid w:val="041E6E26"/>
    <w:rsid w:val="044E6C8E"/>
    <w:rsid w:val="047D4335"/>
    <w:rsid w:val="04F3263B"/>
    <w:rsid w:val="052218AE"/>
    <w:rsid w:val="054375DB"/>
    <w:rsid w:val="05585AD7"/>
    <w:rsid w:val="057A09C4"/>
    <w:rsid w:val="05CA3A89"/>
    <w:rsid w:val="064F074F"/>
    <w:rsid w:val="06BF3895"/>
    <w:rsid w:val="07210405"/>
    <w:rsid w:val="076721D2"/>
    <w:rsid w:val="076C4995"/>
    <w:rsid w:val="078733FF"/>
    <w:rsid w:val="078F6539"/>
    <w:rsid w:val="079C23D2"/>
    <w:rsid w:val="079E0097"/>
    <w:rsid w:val="07AF7608"/>
    <w:rsid w:val="07C7536D"/>
    <w:rsid w:val="07D06C51"/>
    <w:rsid w:val="08226AF7"/>
    <w:rsid w:val="08536D29"/>
    <w:rsid w:val="086E4843"/>
    <w:rsid w:val="089D49A5"/>
    <w:rsid w:val="08C15C01"/>
    <w:rsid w:val="08CD2F09"/>
    <w:rsid w:val="08E64447"/>
    <w:rsid w:val="08EA5AD9"/>
    <w:rsid w:val="09023CF4"/>
    <w:rsid w:val="09146ABB"/>
    <w:rsid w:val="0962150F"/>
    <w:rsid w:val="096824DD"/>
    <w:rsid w:val="09E903CE"/>
    <w:rsid w:val="0A137247"/>
    <w:rsid w:val="0A3C632D"/>
    <w:rsid w:val="0AA5317B"/>
    <w:rsid w:val="0AAE4052"/>
    <w:rsid w:val="0B5749D4"/>
    <w:rsid w:val="0B7A4561"/>
    <w:rsid w:val="0B7D6656"/>
    <w:rsid w:val="0BBAD0A1"/>
    <w:rsid w:val="0BC20D8D"/>
    <w:rsid w:val="0BEA2D03"/>
    <w:rsid w:val="0C24482E"/>
    <w:rsid w:val="0CA16C68"/>
    <w:rsid w:val="0D3760BE"/>
    <w:rsid w:val="0D471B1F"/>
    <w:rsid w:val="0DA535DA"/>
    <w:rsid w:val="0E2F2213"/>
    <w:rsid w:val="0E4A2FAB"/>
    <w:rsid w:val="0E7766CE"/>
    <w:rsid w:val="0E870458"/>
    <w:rsid w:val="0E9D655A"/>
    <w:rsid w:val="0EA83610"/>
    <w:rsid w:val="0F3D5D2B"/>
    <w:rsid w:val="0FCC3E72"/>
    <w:rsid w:val="0FD828CA"/>
    <w:rsid w:val="0FDFDBB0"/>
    <w:rsid w:val="0FFB39D2"/>
    <w:rsid w:val="1047647D"/>
    <w:rsid w:val="109E4C8E"/>
    <w:rsid w:val="10A25388"/>
    <w:rsid w:val="10D779F1"/>
    <w:rsid w:val="1137712E"/>
    <w:rsid w:val="117503B8"/>
    <w:rsid w:val="11861452"/>
    <w:rsid w:val="11922ABE"/>
    <w:rsid w:val="119560BC"/>
    <w:rsid w:val="11B76E51"/>
    <w:rsid w:val="11CD3843"/>
    <w:rsid w:val="11D9558B"/>
    <w:rsid w:val="12323524"/>
    <w:rsid w:val="12531BCB"/>
    <w:rsid w:val="12A52E4B"/>
    <w:rsid w:val="12B8024A"/>
    <w:rsid w:val="13237CBC"/>
    <w:rsid w:val="134E4E61"/>
    <w:rsid w:val="1360622A"/>
    <w:rsid w:val="137F34A1"/>
    <w:rsid w:val="13AE3A6C"/>
    <w:rsid w:val="13D3304A"/>
    <w:rsid w:val="140915A6"/>
    <w:rsid w:val="142D7245"/>
    <w:rsid w:val="1448266D"/>
    <w:rsid w:val="145C31FE"/>
    <w:rsid w:val="14832299"/>
    <w:rsid w:val="14982BF0"/>
    <w:rsid w:val="14A746BF"/>
    <w:rsid w:val="14C17548"/>
    <w:rsid w:val="150E34BC"/>
    <w:rsid w:val="15185B77"/>
    <w:rsid w:val="15433673"/>
    <w:rsid w:val="156713E8"/>
    <w:rsid w:val="15694138"/>
    <w:rsid w:val="1580331B"/>
    <w:rsid w:val="159A611E"/>
    <w:rsid w:val="15AC20B7"/>
    <w:rsid w:val="15B81C44"/>
    <w:rsid w:val="15B920A3"/>
    <w:rsid w:val="15C33362"/>
    <w:rsid w:val="15CE3D91"/>
    <w:rsid w:val="16171BB7"/>
    <w:rsid w:val="16514467"/>
    <w:rsid w:val="16751D79"/>
    <w:rsid w:val="168A4ED0"/>
    <w:rsid w:val="169553D1"/>
    <w:rsid w:val="16F976DC"/>
    <w:rsid w:val="17051FC1"/>
    <w:rsid w:val="170766C5"/>
    <w:rsid w:val="1714380E"/>
    <w:rsid w:val="173846BB"/>
    <w:rsid w:val="174733A3"/>
    <w:rsid w:val="174E72B9"/>
    <w:rsid w:val="175064B5"/>
    <w:rsid w:val="178243DD"/>
    <w:rsid w:val="179A673D"/>
    <w:rsid w:val="17AC2C7D"/>
    <w:rsid w:val="17C65DAD"/>
    <w:rsid w:val="17EC1FE5"/>
    <w:rsid w:val="18746E86"/>
    <w:rsid w:val="18A92888"/>
    <w:rsid w:val="18B367AB"/>
    <w:rsid w:val="18BD27A0"/>
    <w:rsid w:val="19045A0A"/>
    <w:rsid w:val="19555451"/>
    <w:rsid w:val="197C9014"/>
    <w:rsid w:val="19B06559"/>
    <w:rsid w:val="19BE4985"/>
    <w:rsid w:val="19C643CF"/>
    <w:rsid w:val="1A0B0422"/>
    <w:rsid w:val="1A4F3326"/>
    <w:rsid w:val="1A605819"/>
    <w:rsid w:val="1A6263FC"/>
    <w:rsid w:val="1A715372"/>
    <w:rsid w:val="1ABE02A2"/>
    <w:rsid w:val="1AE02006"/>
    <w:rsid w:val="1B302276"/>
    <w:rsid w:val="1B601F1C"/>
    <w:rsid w:val="1B666FF5"/>
    <w:rsid w:val="1B806D7B"/>
    <w:rsid w:val="1BB811B8"/>
    <w:rsid w:val="1BCF1BE0"/>
    <w:rsid w:val="1BDB75C2"/>
    <w:rsid w:val="1CC51E2A"/>
    <w:rsid w:val="1D110938"/>
    <w:rsid w:val="1D692A1D"/>
    <w:rsid w:val="1D846619"/>
    <w:rsid w:val="1DAA25BE"/>
    <w:rsid w:val="1DB18CC6"/>
    <w:rsid w:val="1DB554F8"/>
    <w:rsid w:val="1DB7314C"/>
    <w:rsid w:val="1DCB630C"/>
    <w:rsid w:val="1DF2968D"/>
    <w:rsid w:val="1DF9BE14"/>
    <w:rsid w:val="1E0D1C21"/>
    <w:rsid w:val="1E6D1446"/>
    <w:rsid w:val="1E70171B"/>
    <w:rsid w:val="1EC12D4F"/>
    <w:rsid w:val="1EC8781C"/>
    <w:rsid w:val="1F0D0F63"/>
    <w:rsid w:val="1F3E9EB3"/>
    <w:rsid w:val="1F6F7A21"/>
    <w:rsid w:val="1F8E68D0"/>
    <w:rsid w:val="1F9C03E6"/>
    <w:rsid w:val="1F9F0D5D"/>
    <w:rsid w:val="1FA721F7"/>
    <w:rsid w:val="1FC258A2"/>
    <w:rsid w:val="1FDFE6E6"/>
    <w:rsid w:val="1FF521C5"/>
    <w:rsid w:val="20366C9E"/>
    <w:rsid w:val="2044458E"/>
    <w:rsid w:val="20A647D8"/>
    <w:rsid w:val="20B26248"/>
    <w:rsid w:val="20D6191A"/>
    <w:rsid w:val="20E37A5A"/>
    <w:rsid w:val="21033D9E"/>
    <w:rsid w:val="211100D8"/>
    <w:rsid w:val="215732F2"/>
    <w:rsid w:val="21860CEB"/>
    <w:rsid w:val="2198567F"/>
    <w:rsid w:val="219A130D"/>
    <w:rsid w:val="21F51473"/>
    <w:rsid w:val="225C297E"/>
    <w:rsid w:val="226378D3"/>
    <w:rsid w:val="229E2ED3"/>
    <w:rsid w:val="22AB6FED"/>
    <w:rsid w:val="22AC7D46"/>
    <w:rsid w:val="22EA249C"/>
    <w:rsid w:val="22EFAB50"/>
    <w:rsid w:val="22FD1F29"/>
    <w:rsid w:val="23160F8B"/>
    <w:rsid w:val="233C2CB3"/>
    <w:rsid w:val="23422333"/>
    <w:rsid w:val="234922DA"/>
    <w:rsid w:val="234C23C0"/>
    <w:rsid w:val="239C6798"/>
    <w:rsid w:val="23D56C4D"/>
    <w:rsid w:val="23FB6088"/>
    <w:rsid w:val="24082678"/>
    <w:rsid w:val="242433E2"/>
    <w:rsid w:val="24295242"/>
    <w:rsid w:val="242D23AA"/>
    <w:rsid w:val="243A3C00"/>
    <w:rsid w:val="244101A8"/>
    <w:rsid w:val="246D4B04"/>
    <w:rsid w:val="24B06F26"/>
    <w:rsid w:val="24E867B1"/>
    <w:rsid w:val="250623EC"/>
    <w:rsid w:val="25301EBF"/>
    <w:rsid w:val="25B54638"/>
    <w:rsid w:val="25B861E9"/>
    <w:rsid w:val="25CD30C9"/>
    <w:rsid w:val="25DDA5C1"/>
    <w:rsid w:val="25EB78AE"/>
    <w:rsid w:val="25F85F47"/>
    <w:rsid w:val="260B7D5E"/>
    <w:rsid w:val="26133DF7"/>
    <w:rsid w:val="26133E5F"/>
    <w:rsid w:val="263217B3"/>
    <w:rsid w:val="26334645"/>
    <w:rsid w:val="26896168"/>
    <w:rsid w:val="26BF3159"/>
    <w:rsid w:val="272014F9"/>
    <w:rsid w:val="273157F8"/>
    <w:rsid w:val="273DE47E"/>
    <w:rsid w:val="27606A2B"/>
    <w:rsid w:val="27763F3C"/>
    <w:rsid w:val="27841C57"/>
    <w:rsid w:val="279E5CE0"/>
    <w:rsid w:val="27C9244C"/>
    <w:rsid w:val="27CC7918"/>
    <w:rsid w:val="27D8385A"/>
    <w:rsid w:val="27EB4EC7"/>
    <w:rsid w:val="28167C36"/>
    <w:rsid w:val="285F1EE2"/>
    <w:rsid w:val="28994FBD"/>
    <w:rsid w:val="290D503A"/>
    <w:rsid w:val="291B1181"/>
    <w:rsid w:val="29316496"/>
    <w:rsid w:val="29321D36"/>
    <w:rsid w:val="29738194"/>
    <w:rsid w:val="299840D5"/>
    <w:rsid w:val="29C37C8C"/>
    <w:rsid w:val="29DB94DC"/>
    <w:rsid w:val="29DF4FEA"/>
    <w:rsid w:val="29F214A0"/>
    <w:rsid w:val="29F39066"/>
    <w:rsid w:val="2A63541A"/>
    <w:rsid w:val="2ACA6EC1"/>
    <w:rsid w:val="2AD8726B"/>
    <w:rsid w:val="2AF64CFB"/>
    <w:rsid w:val="2B751CC6"/>
    <w:rsid w:val="2B7C5FFA"/>
    <w:rsid w:val="2B7F645D"/>
    <w:rsid w:val="2B810B9C"/>
    <w:rsid w:val="2BAA5AC3"/>
    <w:rsid w:val="2BB71F26"/>
    <w:rsid w:val="2BDC1C90"/>
    <w:rsid w:val="2BF63112"/>
    <w:rsid w:val="2BF79A45"/>
    <w:rsid w:val="2C634A92"/>
    <w:rsid w:val="2C7C616B"/>
    <w:rsid w:val="2CB9685F"/>
    <w:rsid w:val="2CDB4F3A"/>
    <w:rsid w:val="2D006A6A"/>
    <w:rsid w:val="2D1F2D77"/>
    <w:rsid w:val="2D206FB5"/>
    <w:rsid w:val="2D2C2965"/>
    <w:rsid w:val="2D2C2F3F"/>
    <w:rsid w:val="2D706A78"/>
    <w:rsid w:val="2D710AA6"/>
    <w:rsid w:val="2DE50C66"/>
    <w:rsid w:val="2DF154F3"/>
    <w:rsid w:val="2DFF2BD6"/>
    <w:rsid w:val="2E01110F"/>
    <w:rsid w:val="2E193946"/>
    <w:rsid w:val="2E940EFF"/>
    <w:rsid w:val="2EBD0675"/>
    <w:rsid w:val="2EBF554C"/>
    <w:rsid w:val="2ECE6BCF"/>
    <w:rsid w:val="2EED06DB"/>
    <w:rsid w:val="2F9F6024"/>
    <w:rsid w:val="2FDE9601"/>
    <w:rsid w:val="2FE00E16"/>
    <w:rsid w:val="300F3F23"/>
    <w:rsid w:val="304F6341"/>
    <w:rsid w:val="309B2CBB"/>
    <w:rsid w:val="30B41186"/>
    <w:rsid w:val="30CA6AC1"/>
    <w:rsid w:val="30EE6664"/>
    <w:rsid w:val="30F11FDC"/>
    <w:rsid w:val="30F12A7A"/>
    <w:rsid w:val="31117FF9"/>
    <w:rsid w:val="31397213"/>
    <w:rsid w:val="3153763E"/>
    <w:rsid w:val="31981BBC"/>
    <w:rsid w:val="321F4948"/>
    <w:rsid w:val="322C6205"/>
    <w:rsid w:val="322F30D9"/>
    <w:rsid w:val="323B356C"/>
    <w:rsid w:val="32A719D4"/>
    <w:rsid w:val="32C20CEB"/>
    <w:rsid w:val="331C2322"/>
    <w:rsid w:val="33365018"/>
    <w:rsid w:val="333FCC42"/>
    <w:rsid w:val="3356384F"/>
    <w:rsid w:val="335B72DE"/>
    <w:rsid w:val="33C634BE"/>
    <w:rsid w:val="33C94103"/>
    <w:rsid w:val="340E578C"/>
    <w:rsid w:val="342B482F"/>
    <w:rsid w:val="34303700"/>
    <w:rsid w:val="343F3F45"/>
    <w:rsid w:val="34467AF4"/>
    <w:rsid w:val="3448372D"/>
    <w:rsid w:val="34807535"/>
    <w:rsid w:val="34A21DEE"/>
    <w:rsid w:val="34B5111A"/>
    <w:rsid w:val="34B92E23"/>
    <w:rsid w:val="34E82382"/>
    <w:rsid w:val="350F0111"/>
    <w:rsid w:val="354A0A40"/>
    <w:rsid w:val="354A5089"/>
    <w:rsid w:val="35A44E14"/>
    <w:rsid w:val="35FA0AEA"/>
    <w:rsid w:val="363744A7"/>
    <w:rsid w:val="36E055EF"/>
    <w:rsid w:val="373D1FC8"/>
    <w:rsid w:val="373F9CD0"/>
    <w:rsid w:val="374E6D33"/>
    <w:rsid w:val="378EF4D6"/>
    <w:rsid w:val="37FFECDB"/>
    <w:rsid w:val="38075306"/>
    <w:rsid w:val="380E48F9"/>
    <w:rsid w:val="38160C6C"/>
    <w:rsid w:val="38353D13"/>
    <w:rsid w:val="38736218"/>
    <w:rsid w:val="38965A8D"/>
    <w:rsid w:val="38C84AD7"/>
    <w:rsid w:val="39246576"/>
    <w:rsid w:val="39552D1F"/>
    <w:rsid w:val="395B30EF"/>
    <w:rsid w:val="396F7BD3"/>
    <w:rsid w:val="39926D43"/>
    <w:rsid w:val="39B03442"/>
    <w:rsid w:val="39C974D5"/>
    <w:rsid w:val="39DE65D5"/>
    <w:rsid w:val="3A5A6701"/>
    <w:rsid w:val="3A922A98"/>
    <w:rsid w:val="3A9431C9"/>
    <w:rsid w:val="3A9BD62C"/>
    <w:rsid w:val="3AAE5C6E"/>
    <w:rsid w:val="3AC21987"/>
    <w:rsid w:val="3AD794AA"/>
    <w:rsid w:val="3AF31854"/>
    <w:rsid w:val="3B0556CA"/>
    <w:rsid w:val="3B285FF9"/>
    <w:rsid w:val="3B3DF58A"/>
    <w:rsid w:val="3B7A2527"/>
    <w:rsid w:val="3B7E0284"/>
    <w:rsid w:val="3BAF2E73"/>
    <w:rsid w:val="3BEBF509"/>
    <w:rsid w:val="3BEF78AB"/>
    <w:rsid w:val="3BF34ECC"/>
    <w:rsid w:val="3BF6CE74"/>
    <w:rsid w:val="3BF7C1A0"/>
    <w:rsid w:val="3BFA4FC9"/>
    <w:rsid w:val="3C2C532B"/>
    <w:rsid w:val="3C3D2EBC"/>
    <w:rsid w:val="3C4A4007"/>
    <w:rsid w:val="3C9B4FE4"/>
    <w:rsid w:val="3CCF080C"/>
    <w:rsid w:val="3CFD28D6"/>
    <w:rsid w:val="3D091EC8"/>
    <w:rsid w:val="3D490D7F"/>
    <w:rsid w:val="3D75B7D5"/>
    <w:rsid w:val="3D97BEE7"/>
    <w:rsid w:val="3DAFDE82"/>
    <w:rsid w:val="3DBE2B5E"/>
    <w:rsid w:val="3DEDA2EB"/>
    <w:rsid w:val="3DF6AD85"/>
    <w:rsid w:val="3E090AB6"/>
    <w:rsid w:val="3E58962C"/>
    <w:rsid w:val="3E855F30"/>
    <w:rsid w:val="3E8C4642"/>
    <w:rsid w:val="3EF80C8C"/>
    <w:rsid w:val="3EFE3DA9"/>
    <w:rsid w:val="3EFE4391"/>
    <w:rsid w:val="3EFF9B3A"/>
    <w:rsid w:val="3F134064"/>
    <w:rsid w:val="3F3046F9"/>
    <w:rsid w:val="3F3E2E50"/>
    <w:rsid w:val="3F5FF668"/>
    <w:rsid w:val="3F720EEB"/>
    <w:rsid w:val="3F7B639E"/>
    <w:rsid w:val="3F827F2E"/>
    <w:rsid w:val="3FAC8828"/>
    <w:rsid w:val="3FBF4AAF"/>
    <w:rsid w:val="3FFE0874"/>
    <w:rsid w:val="3FFE19CE"/>
    <w:rsid w:val="3FFF62EF"/>
    <w:rsid w:val="406262DF"/>
    <w:rsid w:val="40E37632"/>
    <w:rsid w:val="415F3676"/>
    <w:rsid w:val="416E713A"/>
    <w:rsid w:val="419379BA"/>
    <w:rsid w:val="41B265D4"/>
    <w:rsid w:val="4212017E"/>
    <w:rsid w:val="42240F99"/>
    <w:rsid w:val="422E7B90"/>
    <w:rsid w:val="424045AF"/>
    <w:rsid w:val="42411900"/>
    <w:rsid w:val="427220D1"/>
    <w:rsid w:val="428037CD"/>
    <w:rsid w:val="42E32953"/>
    <w:rsid w:val="42F43530"/>
    <w:rsid w:val="43290D35"/>
    <w:rsid w:val="435541FC"/>
    <w:rsid w:val="4386254D"/>
    <w:rsid w:val="439A5D93"/>
    <w:rsid w:val="43D86C34"/>
    <w:rsid w:val="43F2331D"/>
    <w:rsid w:val="440031D9"/>
    <w:rsid w:val="44050BFB"/>
    <w:rsid w:val="44725D6D"/>
    <w:rsid w:val="449947F9"/>
    <w:rsid w:val="44A97F5B"/>
    <w:rsid w:val="44FE503F"/>
    <w:rsid w:val="45424C1F"/>
    <w:rsid w:val="45955907"/>
    <w:rsid w:val="45CD6A55"/>
    <w:rsid w:val="45D57D0E"/>
    <w:rsid w:val="45E56C19"/>
    <w:rsid w:val="461E170B"/>
    <w:rsid w:val="46706697"/>
    <w:rsid w:val="46771A75"/>
    <w:rsid w:val="4679389A"/>
    <w:rsid w:val="46B16F82"/>
    <w:rsid w:val="470D2A5F"/>
    <w:rsid w:val="47245F19"/>
    <w:rsid w:val="472636DF"/>
    <w:rsid w:val="477A27AF"/>
    <w:rsid w:val="47834926"/>
    <w:rsid w:val="47F56879"/>
    <w:rsid w:val="48075609"/>
    <w:rsid w:val="482500FD"/>
    <w:rsid w:val="485538F6"/>
    <w:rsid w:val="48C35794"/>
    <w:rsid w:val="48DC700C"/>
    <w:rsid w:val="48DF21BE"/>
    <w:rsid w:val="48F01773"/>
    <w:rsid w:val="491D6A88"/>
    <w:rsid w:val="498E47E6"/>
    <w:rsid w:val="49B961E0"/>
    <w:rsid w:val="49D655F0"/>
    <w:rsid w:val="49F7C3F2"/>
    <w:rsid w:val="4A0155A5"/>
    <w:rsid w:val="4AA333B9"/>
    <w:rsid w:val="4AA507A5"/>
    <w:rsid w:val="4ADFEA6F"/>
    <w:rsid w:val="4AF4129E"/>
    <w:rsid w:val="4B00744D"/>
    <w:rsid w:val="4B0B0A95"/>
    <w:rsid w:val="4B7055C4"/>
    <w:rsid w:val="4BA87917"/>
    <w:rsid w:val="4BAB3C98"/>
    <w:rsid w:val="4BF33E7C"/>
    <w:rsid w:val="4BF345A5"/>
    <w:rsid w:val="4C1812C2"/>
    <w:rsid w:val="4C31321C"/>
    <w:rsid w:val="4C703177"/>
    <w:rsid w:val="4CBB70AD"/>
    <w:rsid w:val="4CE05735"/>
    <w:rsid w:val="4CE43609"/>
    <w:rsid w:val="4CED054A"/>
    <w:rsid w:val="4D0C0DAF"/>
    <w:rsid w:val="4D124EFD"/>
    <w:rsid w:val="4D254DAB"/>
    <w:rsid w:val="4D410F11"/>
    <w:rsid w:val="4D772ED2"/>
    <w:rsid w:val="4D8C37DA"/>
    <w:rsid w:val="4DAF45D0"/>
    <w:rsid w:val="4DAF69D2"/>
    <w:rsid w:val="4DBE1E2F"/>
    <w:rsid w:val="4E2A0357"/>
    <w:rsid w:val="4E772ADC"/>
    <w:rsid w:val="4E8A1DB7"/>
    <w:rsid w:val="4EA45140"/>
    <w:rsid w:val="4EB87316"/>
    <w:rsid w:val="4ED40BE9"/>
    <w:rsid w:val="4EFA79B8"/>
    <w:rsid w:val="4F1B59D8"/>
    <w:rsid w:val="4F1DF96C"/>
    <w:rsid w:val="4F60689E"/>
    <w:rsid w:val="4F7914CE"/>
    <w:rsid w:val="4FAF89B3"/>
    <w:rsid w:val="4FB66F0D"/>
    <w:rsid w:val="4FBE17FB"/>
    <w:rsid w:val="4FC66ABB"/>
    <w:rsid w:val="4FD78A47"/>
    <w:rsid w:val="4FDF93A9"/>
    <w:rsid w:val="500E258C"/>
    <w:rsid w:val="50200CB2"/>
    <w:rsid w:val="503C68ED"/>
    <w:rsid w:val="505E7930"/>
    <w:rsid w:val="506E47EC"/>
    <w:rsid w:val="50756F86"/>
    <w:rsid w:val="509363D8"/>
    <w:rsid w:val="50A439F5"/>
    <w:rsid w:val="50B27620"/>
    <w:rsid w:val="50D16903"/>
    <w:rsid w:val="50EC71AB"/>
    <w:rsid w:val="515B5700"/>
    <w:rsid w:val="515C0139"/>
    <w:rsid w:val="51D93611"/>
    <w:rsid w:val="51FE684E"/>
    <w:rsid w:val="526C04A1"/>
    <w:rsid w:val="52734A88"/>
    <w:rsid w:val="528B38BA"/>
    <w:rsid w:val="52FA6CF2"/>
    <w:rsid w:val="533374E9"/>
    <w:rsid w:val="536465E8"/>
    <w:rsid w:val="538F53F2"/>
    <w:rsid w:val="53EC75C9"/>
    <w:rsid w:val="53F61998"/>
    <w:rsid w:val="54182FD7"/>
    <w:rsid w:val="54222EF3"/>
    <w:rsid w:val="547554F8"/>
    <w:rsid w:val="54C772CE"/>
    <w:rsid w:val="54E92087"/>
    <w:rsid w:val="54FF663C"/>
    <w:rsid w:val="550857CB"/>
    <w:rsid w:val="552E09D5"/>
    <w:rsid w:val="55485895"/>
    <w:rsid w:val="554D6598"/>
    <w:rsid w:val="558464E5"/>
    <w:rsid w:val="559713E6"/>
    <w:rsid w:val="559A4A85"/>
    <w:rsid w:val="55AC240B"/>
    <w:rsid w:val="55D4733D"/>
    <w:rsid w:val="55FB3298"/>
    <w:rsid w:val="561417FE"/>
    <w:rsid w:val="562619FA"/>
    <w:rsid w:val="563E0904"/>
    <w:rsid w:val="567BC434"/>
    <w:rsid w:val="56AF4E6B"/>
    <w:rsid w:val="56BD1837"/>
    <w:rsid w:val="56DB4498"/>
    <w:rsid w:val="56DE99A0"/>
    <w:rsid w:val="56DF7F0D"/>
    <w:rsid w:val="56FC2621"/>
    <w:rsid w:val="57287475"/>
    <w:rsid w:val="5743775E"/>
    <w:rsid w:val="57571A12"/>
    <w:rsid w:val="57902501"/>
    <w:rsid w:val="57AC5CA0"/>
    <w:rsid w:val="57AD6374"/>
    <w:rsid w:val="57AF0E49"/>
    <w:rsid w:val="57BF3C04"/>
    <w:rsid w:val="57DD6424"/>
    <w:rsid w:val="57DEF363"/>
    <w:rsid w:val="57DF6BAC"/>
    <w:rsid w:val="57F51AB9"/>
    <w:rsid w:val="58031FAC"/>
    <w:rsid w:val="58260C56"/>
    <w:rsid w:val="586567B3"/>
    <w:rsid w:val="586C533C"/>
    <w:rsid w:val="58844B5D"/>
    <w:rsid w:val="58FB15AD"/>
    <w:rsid w:val="58FFC444"/>
    <w:rsid w:val="595A6CF8"/>
    <w:rsid w:val="596B06BD"/>
    <w:rsid w:val="597610D9"/>
    <w:rsid w:val="59822E59"/>
    <w:rsid w:val="59A6273D"/>
    <w:rsid w:val="59BD8710"/>
    <w:rsid w:val="59EEF632"/>
    <w:rsid w:val="59FE371D"/>
    <w:rsid w:val="5A182DAC"/>
    <w:rsid w:val="5AB55C3C"/>
    <w:rsid w:val="5ABD3249"/>
    <w:rsid w:val="5B3F4694"/>
    <w:rsid w:val="5B501A84"/>
    <w:rsid w:val="5B75350E"/>
    <w:rsid w:val="5BA23C6C"/>
    <w:rsid w:val="5BD322EB"/>
    <w:rsid w:val="5BE83F83"/>
    <w:rsid w:val="5BEBCC9B"/>
    <w:rsid w:val="5BFC8481"/>
    <w:rsid w:val="5C21474A"/>
    <w:rsid w:val="5C332256"/>
    <w:rsid w:val="5C5D60B2"/>
    <w:rsid w:val="5CC53E91"/>
    <w:rsid w:val="5CF52C08"/>
    <w:rsid w:val="5D4F60A9"/>
    <w:rsid w:val="5D7DA084"/>
    <w:rsid w:val="5D871464"/>
    <w:rsid w:val="5D9AB2E7"/>
    <w:rsid w:val="5DDB040C"/>
    <w:rsid w:val="5DEA742C"/>
    <w:rsid w:val="5DFAFD0F"/>
    <w:rsid w:val="5E7EDC26"/>
    <w:rsid w:val="5EB71550"/>
    <w:rsid w:val="5EE9EE61"/>
    <w:rsid w:val="5EF1667C"/>
    <w:rsid w:val="5F1C3C4D"/>
    <w:rsid w:val="5F3565D4"/>
    <w:rsid w:val="5F63648F"/>
    <w:rsid w:val="5F6DCC28"/>
    <w:rsid w:val="5F7F7BBA"/>
    <w:rsid w:val="5F890762"/>
    <w:rsid w:val="5FA27282"/>
    <w:rsid w:val="5FA62A19"/>
    <w:rsid w:val="5FB975BF"/>
    <w:rsid w:val="5FC36992"/>
    <w:rsid w:val="5FCF69A9"/>
    <w:rsid w:val="5FE62FFC"/>
    <w:rsid w:val="5FFB0112"/>
    <w:rsid w:val="5FFBCDDF"/>
    <w:rsid w:val="5FFCF6AE"/>
    <w:rsid w:val="5FFF3730"/>
    <w:rsid w:val="60543F94"/>
    <w:rsid w:val="605D28BF"/>
    <w:rsid w:val="605E72F6"/>
    <w:rsid w:val="60977FEF"/>
    <w:rsid w:val="610044EC"/>
    <w:rsid w:val="611F168A"/>
    <w:rsid w:val="619A98A0"/>
    <w:rsid w:val="61A44D8D"/>
    <w:rsid w:val="61B5586E"/>
    <w:rsid w:val="61BFBCB5"/>
    <w:rsid w:val="61C60AA8"/>
    <w:rsid w:val="61ED2047"/>
    <w:rsid w:val="61EE5BC3"/>
    <w:rsid w:val="622264B8"/>
    <w:rsid w:val="62392EB4"/>
    <w:rsid w:val="6250223C"/>
    <w:rsid w:val="62C1519F"/>
    <w:rsid w:val="63047DA7"/>
    <w:rsid w:val="63186E15"/>
    <w:rsid w:val="63501F40"/>
    <w:rsid w:val="63A8700B"/>
    <w:rsid w:val="63D62E42"/>
    <w:rsid w:val="63FD1892"/>
    <w:rsid w:val="644B712D"/>
    <w:rsid w:val="64522052"/>
    <w:rsid w:val="64821340"/>
    <w:rsid w:val="64C40B12"/>
    <w:rsid w:val="64D918C4"/>
    <w:rsid w:val="6551710A"/>
    <w:rsid w:val="658A3D3E"/>
    <w:rsid w:val="659506B8"/>
    <w:rsid w:val="65AD2BFD"/>
    <w:rsid w:val="65C25ABA"/>
    <w:rsid w:val="65DF0F18"/>
    <w:rsid w:val="65EE6523"/>
    <w:rsid w:val="6618401C"/>
    <w:rsid w:val="6668394D"/>
    <w:rsid w:val="6679774A"/>
    <w:rsid w:val="66870158"/>
    <w:rsid w:val="66A26282"/>
    <w:rsid w:val="66B77B0D"/>
    <w:rsid w:val="66C44601"/>
    <w:rsid w:val="66E47027"/>
    <w:rsid w:val="670C48CB"/>
    <w:rsid w:val="6723246F"/>
    <w:rsid w:val="67515255"/>
    <w:rsid w:val="675F65FE"/>
    <w:rsid w:val="676CDE15"/>
    <w:rsid w:val="676F93D4"/>
    <w:rsid w:val="677EA5C9"/>
    <w:rsid w:val="67AE4C39"/>
    <w:rsid w:val="67B700A8"/>
    <w:rsid w:val="67C16BE0"/>
    <w:rsid w:val="67EFC245"/>
    <w:rsid w:val="67F737E2"/>
    <w:rsid w:val="68D27ABF"/>
    <w:rsid w:val="68D769FC"/>
    <w:rsid w:val="68DD7E65"/>
    <w:rsid w:val="68DE09B3"/>
    <w:rsid w:val="68EDDB56"/>
    <w:rsid w:val="690C559D"/>
    <w:rsid w:val="690D2ED6"/>
    <w:rsid w:val="692A6859"/>
    <w:rsid w:val="696F6EE4"/>
    <w:rsid w:val="69AF90B5"/>
    <w:rsid w:val="69EF1FC8"/>
    <w:rsid w:val="69F071EF"/>
    <w:rsid w:val="69F7CE83"/>
    <w:rsid w:val="6A077A29"/>
    <w:rsid w:val="6A29306A"/>
    <w:rsid w:val="6A3B1C56"/>
    <w:rsid w:val="6A434D16"/>
    <w:rsid w:val="6A474920"/>
    <w:rsid w:val="6A8C0AA4"/>
    <w:rsid w:val="6AC05827"/>
    <w:rsid w:val="6AC83EDA"/>
    <w:rsid w:val="6ADBB22E"/>
    <w:rsid w:val="6B5F3809"/>
    <w:rsid w:val="6B8476AE"/>
    <w:rsid w:val="6B8A7C03"/>
    <w:rsid w:val="6BBF9CEE"/>
    <w:rsid w:val="6BDF08EA"/>
    <w:rsid w:val="6BEDC57E"/>
    <w:rsid w:val="6BFBE1F3"/>
    <w:rsid w:val="6BFD41C6"/>
    <w:rsid w:val="6BFED42F"/>
    <w:rsid w:val="6BFF13F1"/>
    <w:rsid w:val="6C325739"/>
    <w:rsid w:val="6C8675C4"/>
    <w:rsid w:val="6C8D7BAB"/>
    <w:rsid w:val="6CB03C2C"/>
    <w:rsid w:val="6CBA56AD"/>
    <w:rsid w:val="6CF2255F"/>
    <w:rsid w:val="6CF46579"/>
    <w:rsid w:val="6D0379F3"/>
    <w:rsid w:val="6D0914F3"/>
    <w:rsid w:val="6D146C28"/>
    <w:rsid w:val="6D2F0971"/>
    <w:rsid w:val="6D3E6717"/>
    <w:rsid w:val="6D516E67"/>
    <w:rsid w:val="6D727D77"/>
    <w:rsid w:val="6D761491"/>
    <w:rsid w:val="6D77AE96"/>
    <w:rsid w:val="6D7E9140"/>
    <w:rsid w:val="6D956885"/>
    <w:rsid w:val="6DAB810C"/>
    <w:rsid w:val="6DC863B5"/>
    <w:rsid w:val="6DFF30DA"/>
    <w:rsid w:val="6E2B6C65"/>
    <w:rsid w:val="6E2D2E16"/>
    <w:rsid w:val="6E967E9D"/>
    <w:rsid w:val="6EC074B7"/>
    <w:rsid w:val="6EC8F03D"/>
    <w:rsid w:val="6EDF517F"/>
    <w:rsid w:val="6EE94621"/>
    <w:rsid w:val="6EEF6AF9"/>
    <w:rsid w:val="6F080F76"/>
    <w:rsid w:val="6F113760"/>
    <w:rsid w:val="6F345962"/>
    <w:rsid w:val="6F3521B0"/>
    <w:rsid w:val="6F3F3776"/>
    <w:rsid w:val="6F3F896D"/>
    <w:rsid w:val="6F3FF29A"/>
    <w:rsid w:val="6F6717A8"/>
    <w:rsid w:val="6F7E829C"/>
    <w:rsid w:val="6F8A073A"/>
    <w:rsid w:val="6F912CDE"/>
    <w:rsid w:val="6F9B3733"/>
    <w:rsid w:val="6FAF2E70"/>
    <w:rsid w:val="6FBB1705"/>
    <w:rsid w:val="6FBF44C7"/>
    <w:rsid w:val="6FD7ABED"/>
    <w:rsid w:val="6FDECD4C"/>
    <w:rsid w:val="6FDEF019"/>
    <w:rsid w:val="6FEAA4C3"/>
    <w:rsid w:val="6FEAF498"/>
    <w:rsid w:val="6FF91BB6"/>
    <w:rsid w:val="6FFE8B2D"/>
    <w:rsid w:val="700852D9"/>
    <w:rsid w:val="70294579"/>
    <w:rsid w:val="706142A8"/>
    <w:rsid w:val="7062645F"/>
    <w:rsid w:val="70683E71"/>
    <w:rsid w:val="7072498A"/>
    <w:rsid w:val="707A1AF6"/>
    <w:rsid w:val="707DAFBC"/>
    <w:rsid w:val="70AE286C"/>
    <w:rsid w:val="70C86437"/>
    <w:rsid w:val="71572548"/>
    <w:rsid w:val="71DCAA89"/>
    <w:rsid w:val="72524598"/>
    <w:rsid w:val="728A10F6"/>
    <w:rsid w:val="728F76FD"/>
    <w:rsid w:val="72BF72F9"/>
    <w:rsid w:val="72BF8CF6"/>
    <w:rsid w:val="72F114B7"/>
    <w:rsid w:val="73174470"/>
    <w:rsid w:val="73619A07"/>
    <w:rsid w:val="737FE254"/>
    <w:rsid w:val="739F107A"/>
    <w:rsid w:val="73A05AD5"/>
    <w:rsid w:val="73AE252F"/>
    <w:rsid w:val="73FD65CF"/>
    <w:rsid w:val="74172662"/>
    <w:rsid w:val="741C5EE5"/>
    <w:rsid w:val="74325E14"/>
    <w:rsid w:val="749311C2"/>
    <w:rsid w:val="74B22FB5"/>
    <w:rsid w:val="751A0ABB"/>
    <w:rsid w:val="752D1759"/>
    <w:rsid w:val="75301A18"/>
    <w:rsid w:val="75313214"/>
    <w:rsid w:val="75346E0E"/>
    <w:rsid w:val="7557DF77"/>
    <w:rsid w:val="75BE4E98"/>
    <w:rsid w:val="75C92316"/>
    <w:rsid w:val="75D43C26"/>
    <w:rsid w:val="75DF7FB9"/>
    <w:rsid w:val="75F72B90"/>
    <w:rsid w:val="75FF5C79"/>
    <w:rsid w:val="7614004D"/>
    <w:rsid w:val="76360768"/>
    <w:rsid w:val="76392F76"/>
    <w:rsid w:val="76450B92"/>
    <w:rsid w:val="765F7B54"/>
    <w:rsid w:val="76763F31"/>
    <w:rsid w:val="767FEFC0"/>
    <w:rsid w:val="76B25540"/>
    <w:rsid w:val="76D0564C"/>
    <w:rsid w:val="76F160E0"/>
    <w:rsid w:val="76FD7F6D"/>
    <w:rsid w:val="770D0572"/>
    <w:rsid w:val="77107BA2"/>
    <w:rsid w:val="7719BC14"/>
    <w:rsid w:val="773C5F46"/>
    <w:rsid w:val="77539086"/>
    <w:rsid w:val="77774C5B"/>
    <w:rsid w:val="777F0816"/>
    <w:rsid w:val="777F747B"/>
    <w:rsid w:val="77A94411"/>
    <w:rsid w:val="77C10CEC"/>
    <w:rsid w:val="77D650AC"/>
    <w:rsid w:val="77DF147E"/>
    <w:rsid w:val="77E83C10"/>
    <w:rsid w:val="77EDA36D"/>
    <w:rsid w:val="77F699C0"/>
    <w:rsid w:val="77FCE800"/>
    <w:rsid w:val="78176674"/>
    <w:rsid w:val="7858605D"/>
    <w:rsid w:val="786A3A8A"/>
    <w:rsid w:val="78743C36"/>
    <w:rsid w:val="7875066F"/>
    <w:rsid w:val="7895303C"/>
    <w:rsid w:val="789572AF"/>
    <w:rsid w:val="78A4CDD5"/>
    <w:rsid w:val="78B85B90"/>
    <w:rsid w:val="78F146F4"/>
    <w:rsid w:val="78F26166"/>
    <w:rsid w:val="78F263BE"/>
    <w:rsid w:val="78FBF5E4"/>
    <w:rsid w:val="78FD799D"/>
    <w:rsid w:val="79171DE3"/>
    <w:rsid w:val="793B2190"/>
    <w:rsid w:val="79474316"/>
    <w:rsid w:val="79496EDD"/>
    <w:rsid w:val="795241E6"/>
    <w:rsid w:val="7954681C"/>
    <w:rsid w:val="795C0942"/>
    <w:rsid w:val="796A5259"/>
    <w:rsid w:val="798443E6"/>
    <w:rsid w:val="799F4018"/>
    <w:rsid w:val="79AD2E42"/>
    <w:rsid w:val="79BCE5F0"/>
    <w:rsid w:val="79E51BC3"/>
    <w:rsid w:val="79F85634"/>
    <w:rsid w:val="7A2D52B7"/>
    <w:rsid w:val="7A3B3F59"/>
    <w:rsid w:val="7A4C6ABF"/>
    <w:rsid w:val="7A75DF49"/>
    <w:rsid w:val="7A97230B"/>
    <w:rsid w:val="7AB8376A"/>
    <w:rsid w:val="7AFACB0E"/>
    <w:rsid w:val="7AFF7C66"/>
    <w:rsid w:val="7B3CAD89"/>
    <w:rsid w:val="7B400B6A"/>
    <w:rsid w:val="7B6F6C4D"/>
    <w:rsid w:val="7B79B1B7"/>
    <w:rsid w:val="7B7AF248"/>
    <w:rsid w:val="7B925766"/>
    <w:rsid w:val="7B979A77"/>
    <w:rsid w:val="7BA57818"/>
    <w:rsid w:val="7BB7BC91"/>
    <w:rsid w:val="7BDB6DDE"/>
    <w:rsid w:val="7BFD334D"/>
    <w:rsid w:val="7BFEAB16"/>
    <w:rsid w:val="7C552676"/>
    <w:rsid w:val="7C57AB30"/>
    <w:rsid w:val="7C5E3677"/>
    <w:rsid w:val="7C694FD5"/>
    <w:rsid w:val="7C744F76"/>
    <w:rsid w:val="7C787C33"/>
    <w:rsid w:val="7CAF3AC9"/>
    <w:rsid w:val="7CB81D95"/>
    <w:rsid w:val="7CC74184"/>
    <w:rsid w:val="7CEF7EF2"/>
    <w:rsid w:val="7D021E86"/>
    <w:rsid w:val="7D1326DE"/>
    <w:rsid w:val="7D2D7759"/>
    <w:rsid w:val="7D3DCEE6"/>
    <w:rsid w:val="7D4007EF"/>
    <w:rsid w:val="7D5E708E"/>
    <w:rsid w:val="7D61717A"/>
    <w:rsid w:val="7D907BAF"/>
    <w:rsid w:val="7DC7D73B"/>
    <w:rsid w:val="7DED0F71"/>
    <w:rsid w:val="7DEE270A"/>
    <w:rsid w:val="7DFE4146"/>
    <w:rsid w:val="7DFEAE1D"/>
    <w:rsid w:val="7E3A5CDE"/>
    <w:rsid w:val="7E3FBD1A"/>
    <w:rsid w:val="7E5925F9"/>
    <w:rsid w:val="7EAB105D"/>
    <w:rsid w:val="7EB52209"/>
    <w:rsid w:val="7EBD7454"/>
    <w:rsid w:val="7EEE7D0F"/>
    <w:rsid w:val="7EF1B192"/>
    <w:rsid w:val="7EF3AF10"/>
    <w:rsid w:val="7EFEF0E7"/>
    <w:rsid w:val="7EFF0DF9"/>
    <w:rsid w:val="7F2F7D28"/>
    <w:rsid w:val="7F3D3216"/>
    <w:rsid w:val="7F3F0856"/>
    <w:rsid w:val="7F45D968"/>
    <w:rsid w:val="7F5931D0"/>
    <w:rsid w:val="7F5FDB8D"/>
    <w:rsid w:val="7F6AAD8A"/>
    <w:rsid w:val="7F6B95E6"/>
    <w:rsid w:val="7F77E42B"/>
    <w:rsid w:val="7F7F919D"/>
    <w:rsid w:val="7F7FA63F"/>
    <w:rsid w:val="7F8F0944"/>
    <w:rsid w:val="7F9B5A8D"/>
    <w:rsid w:val="7F9BAC36"/>
    <w:rsid w:val="7FA2131A"/>
    <w:rsid w:val="7FAD365A"/>
    <w:rsid w:val="7FBFCBCE"/>
    <w:rsid w:val="7FC5CF67"/>
    <w:rsid w:val="7FC62155"/>
    <w:rsid w:val="7FDDDD72"/>
    <w:rsid w:val="7FE59C3C"/>
    <w:rsid w:val="7FE818B7"/>
    <w:rsid w:val="7FE96A6D"/>
    <w:rsid w:val="7FF1A495"/>
    <w:rsid w:val="7FF502E1"/>
    <w:rsid w:val="7FF52F22"/>
    <w:rsid w:val="7FF5E7F0"/>
    <w:rsid w:val="7FF716D1"/>
    <w:rsid w:val="7FFB54D3"/>
    <w:rsid w:val="7FFB7EDD"/>
    <w:rsid w:val="7FFD6A2F"/>
    <w:rsid w:val="7FFD935F"/>
    <w:rsid w:val="7FFDAAF8"/>
    <w:rsid w:val="7FFF083A"/>
    <w:rsid w:val="7FFF0A90"/>
    <w:rsid w:val="7FFF323C"/>
    <w:rsid w:val="7FFF4427"/>
    <w:rsid w:val="7FFF5207"/>
    <w:rsid w:val="7FFF5A31"/>
    <w:rsid w:val="7FFFB90A"/>
    <w:rsid w:val="7FFFDEDB"/>
    <w:rsid w:val="837ECFE4"/>
    <w:rsid w:val="83B334CD"/>
    <w:rsid w:val="8499D250"/>
    <w:rsid w:val="89EF7E5B"/>
    <w:rsid w:val="92EDEB99"/>
    <w:rsid w:val="96F12035"/>
    <w:rsid w:val="98FEFC66"/>
    <w:rsid w:val="99E3474B"/>
    <w:rsid w:val="9AFFE470"/>
    <w:rsid w:val="9D3D2D18"/>
    <w:rsid w:val="9D3F5533"/>
    <w:rsid w:val="9DFE78C0"/>
    <w:rsid w:val="9F572D91"/>
    <w:rsid w:val="9F6FD47E"/>
    <w:rsid w:val="9F890687"/>
    <w:rsid w:val="9FF6A590"/>
    <w:rsid w:val="9FFE6069"/>
    <w:rsid w:val="A6A3E805"/>
    <w:rsid w:val="A77DE05B"/>
    <w:rsid w:val="A8EA072B"/>
    <w:rsid w:val="AA6DB084"/>
    <w:rsid w:val="AB9792B8"/>
    <w:rsid w:val="ABFF2F46"/>
    <w:rsid w:val="AFFCE7DE"/>
    <w:rsid w:val="B1C75B85"/>
    <w:rsid w:val="B3B50C45"/>
    <w:rsid w:val="B3E7D627"/>
    <w:rsid w:val="B3FE17F8"/>
    <w:rsid w:val="B51FECA6"/>
    <w:rsid w:val="B6CF5916"/>
    <w:rsid w:val="B6DB56F8"/>
    <w:rsid w:val="B77EFC99"/>
    <w:rsid w:val="B797A695"/>
    <w:rsid w:val="B7F9CB43"/>
    <w:rsid w:val="B99F9C1F"/>
    <w:rsid w:val="B9DF90E9"/>
    <w:rsid w:val="BAF9FA54"/>
    <w:rsid w:val="BAFBD00B"/>
    <w:rsid w:val="BAFFE58D"/>
    <w:rsid w:val="BB4A8D5C"/>
    <w:rsid w:val="BB4B8268"/>
    <w:rsid w:val="BB7DD2EC"/>
    <w:rsid w:val="BBED493E"/>
    <w:rsid w:val="BCC60DC3"/>
    <w:rsid w:val="BCDF99D6"/>
    <w:rsid w:val="BDCFACC1"/>
    <w:rsid w:val="BDE9229D"/>
    <w:rsid w:val="BEB96207"/>
    <w:rsid w:val="BEF9EF26"/>
    <w:rsid w:val="BEFB26DA"/>
    <w:rsid w:val="BF4BA50F"/>
    <w:rsid w:val="BF96FF7A"/>
    <w:rsid w:val="BFBEC001"/>
    <w:rsid w:val="BFCD4F71"/>
    <w:rsid w:val="BFF5B8D1"/>
    <w:rsid w:val="BFFE9E44"/>
    <w:rsid w:val="BFFE9F71"/>
    <w:rsid w:val="BFFFE4DA"/>
    <w:rsid w:val="C6F9A6F7"/>
    <w:rsid w:val="C9EFDA43"/>
    <w:rsid w:val="CA7F57C3"/>
    <w:rsid w:val="CBA6298C"/>
    <w:rsid w:val="CBF787A1"/>
    <w:rsid w:val="CFAC2EED"/>
    <w:rsid w:val="CFBFA4ED"/>
    <w:rsid w:val="CFFB299C"/>
    <w:rsid w:val="D0FBF25D"/>
    <w:rsid w:val="D3A74B55"/>
    <w:rsid w:val="D5AF881B"/>
    <w:rsid w:val="D5F75357"/>
    <w:rsid w:val="D7A27D53"/>
    <w:rsid w:val="D7B5307A"/>
    <w:rsid w:val="D7F9AAF5"/>
    <w:rsid w:val="D9737041"/>
    <w:rsid w:val="DAFEC58C"/>
    <w:rsid w:val="DAFF4A31"/>
    <w:rsid w:val="DCCED819"/>
    <w:rsid w:val="DDAF2D98"/>
    <w:rsid w:val="DEF5CD23"/>
    <w:rsid w:val="DEFDA518"/>
    <w:rsid w:val="DEFFD3E2"/>
    <w:rsid w:val="DF337EE7"/>
    <w:rsid w:val="DF4FB6FC"/>
    <w:rsid w:val="DF5A84B2"/>
    <w:rsid w:val="DF73BDD4"/>
    <w:rsid w:val="DF7DDCCF"/>
    <w:rsid w:val="DFBEF624"/>
    <w:rsid w:val="DFBF3755"/>
    <w:rsid w:val="DFDFC0D7"/>
    <w:rsid w:val="DFEF3D52"/>
    <w:rsid w:val="DFF70D8D"/>
    <w:rsid w:val="DFFEA69E"/>
    <w:rsid w:val="DFFF87C6"/>
    <w:rsid w:val="DFFFAE34"/>
    <w:rsid w:val="E17778BC"/>
    <w:rsid w:val="E3D4F7D4"/>
    <w:rsid w:val="E3F9A696"/>
    <w:rsid w:val="E4FB0BC5"/>
    <w:rsid w:val="E6729BE3"/>
    <w:rsid w:val="E6F1664B"/>
    <w:rsid w:val="E7B14E32"/>
    <w:rsid w:val="E7BD5C3A"/>
    <w:rsid w:val="E7BD709D"/>
    <w:rsid w:val="E7BF4DCF"/>
    <w:rsid w:val="E7BF845B"/>
    <w:rsid w:val="E7CF2B64"/>
    <w:rsid w:val="E7FC56AA"/>
    <w:rsid w:val="E8FF567F"/>
    <w:rsid w:val="EAFE4534"/>
    <w:rsid w:val="EAFF6DF3"/>
    <w:rsid w:val="EB3EAA0B"/>
    <w:rsid w:val="EBEFBCA7"/>
    <w:rsid w:val="EBFB5746"/>
    <w:rsid w:val="EBFDAC3B"/>
    <w:rsid w:val="ECFBDDFC"/>
    <w:rsid w:val="ED3F53D0"/>
    <w:rsid w:val="ED65A347"/>
    <w:rsid w:val="EDEDA7AA"/>
    <w:rsid w:val="EDF79B6B"/>
    <w:rsid w:val="EE7BAC29"/>
    <w:rsid w:val="EEBF5A4A"/>
    <w:rsid w:val="EEDF650E"/>
    <w:rsid w:val="EEE7901B"/>
    <w:rsid w:val="EF4B4BC6"/>
    <w:rsid w:val="EF65AFC2"/>
    <w:rsid w:val="EF6BDE75"/>
    <w:rsid w:val="EFD78FF3"/>
    <w:rsid w:val="EFEB2D75"/>
    <w:rsid w:val="EFF59491"/>
    <w:rsid w:val="EFFB7ADA"/>
    <w:rsid w:val="EFFC124A"/>
    <w:rsid w:val="EFFC776E"/>
    <w:rsid w:val="F1D4D332"/>
    <w:rsid w:val="F1FD80BC"/>
    <w:rsid w:val="F1FD8FC0"/>
    <w:rsid w:val="F1FFB822"/>
    <w:rsid w:val="F39FC035"/>
    <w:rsid w:val="F3ED5093"/>
    <w:rsid w:val="F3EFD13B"/>
    <w:rsid w:val="F405B69F"/>
    <w:rsid w:val="F45FC30D"/>
    <w:rsid w:val="F5576DB2"/>
    <w:rsid w:val="F5DD3B04"/>
    <w:rsid w:val="F5EB37A7"/>
    <w:rsid w:val="F5EF618A"/>
    <w:rsid w:val="F5F74C3F"/>
    <w:rsid w:val="F676FD80"/>
    <w:rsid w:val="F67791D7"/>
    <w:rsid w:val="F6B78653"/>
    <w:rsid w:val="F6DC4C4B"/>
    <w:rsid w:val="F7A9A350"/>
    <w:rsid w:val="F7BAC818"/>
    <w:rsid w:val="F7CEF3A5"/>
    <w:rsid w:val="F7DBF8BB"/>
    <w:rsid w:val="F7EBF75F"/>
    <w:rsid w:val="F7F6024A"/>
    <w:rsid w:val="F7F64E16"/>
    <w:rsid w:val="F7F7E25B"/>
    <w:rsid w:val="F7F93BD0"/>
    <w:rsid w:val="F7FF17E1"/>
    <w:rsid w:val="F83B4D52"/>
    <w:rsid w:val="F8F61754"/>
    <w:rsid w:val="F9368C6A"/>
    <w:rsid w:val="F937380C"/>
    <w:rsid w:val="F9FD2FAC"/>
    <w:rsid w:val="F9FD94F2"/>
    <w:rsid w:val="FA7FA85A"/>
    <w:rsid w:val="FADB9E8F"/>
    <w:rsid w:val="FADFA024"/>
    <w:rsid w:val="FAEDA901"/>
    <w:rsid w:val="FAEE5932"/>
    <w:rsid w:val="FB17B89E"/>
    <w:rsid w:val="FB3C6440"/>
    <w:rsid w:val="FBA76E80"/>
    <w:rsid w:val="FBB71992"/>
    <w:rsid w:val="FBB928FD"/>
    <w:rsid w:val="FBBFC571"/>
    <w:rsid w:val="FBBFEF1B"/>
    <w:rsid w:val="FBDDFB33"/>
    <w:rsid w:val="FBE8179B"/>
    <w:rsid w:val="FBFB3F80"/>
    <w:rsid w:val="FBFFC0A5"/>
    <w:rsid w:val="FBFFDF69"/>
    <w:rsid w:val="FC7BCD2E"/>
    <w:rsid w:val="FCAE6D96"/>
    <w:rsid w:val="FCAF003D"/>
    <w:rsid w:val="FD014C3F"/>
    <w:rsid w:val="FD171468"/>
    <w:rsid w:val="FD2BD4C7"/>
    <w:rsid w:val="FD6737CB"/>
    <w:rsid w:val="FD7F4320"/>
    <w:rsid w:val="FDBB5833"/>
    <w:rsid w:val="FDBF1579"/>
    <w:rsid w:val="FDC63677"/>
    <w:rsid w:val="FDCCAE90"/>
    <w:rsid w:val="FDF6C59C"/>
    <w:rsid w:val="FDF7F3CC"/>
    <w:rsid w:val="FDFFB105"/>
    <w:rsid w:val="FE7FEAB3"/>
    <w:rsid w:val="FEAE82A4"/>
    <w:rsid w:val="FEAE90B6"/>
    <w:rsid w:val="FEC63E09"/>
    <w:rsid w:val="FED7442D"/>
    <w:rsid w:val="FEEE2806"/>
    <w:rsid w:val="FEF67600"/>
    <w:rsid w:val="FEFC315D"/>
    <w:rsid w:val="FF777E0A"/>
    <w:rsid w:val="FF791EA5"/>
    <w:rsid w:val="FF7B317C"/>
    <w:rsid w:val="FF8FB551"/>
    <w:rsid w:val="FF996725"/>
    <w:rsid w:val="FF99A077"/>
    <w:rsid w:val="FF9F9FA4"/>
    <w:rsid w:val="FFAD9BFF"/>
    <w:rsid w:val="FFC7FE64"/>
    <w:rsid w:val="FFCE5B0D"/>
    <w:rsid w:val="FFD27BBC"/>
    <w:rsid w:val="FFD798A6"/>
    <w:rsid w:val="FFDB53DD"/>
    <w:rsid w:val="FFDB833B"/>
    <w:rsid w:val="FFDDCC26"/>
    <w:rsid w:val="FFDF343A"/>
    <w:rsid w:val="FFDFA639"/>
    <w:rsid w:val="FFE5742B"/>
    <w:rsid w:val="FFE986EE"/>
    <w:rsid w:val="FFEB7B57"/>
    <w:rsid w:val="FFEE23C6"/>
    <w:rsid w:val="FFEFA391"/>
    <w:rsid w:val="FFF33F2C"/>
    <w:rsid w:val="FFF71902"/>
    <w:rsid w:val="FFF72544"/>
    <w:rsid w:val="FFF98210"/>
    <w:rsid w:val="FFFC1148"/>
    <w:rsid w:val="FFFD88C0"/>
    <w:rsid w:val="FFFE9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qFormat="1"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72"/>
    <w:autoRedefine/>
    <w:qFormat/>
    <w:uiPriority w:val="9"/>
    <w:pPr>
      <w:keepNext/>
      <w:keepLines/>
      <w:spacing w:before="340" w:after="330" w:line="576" w:lineRule="auto"/>
      <w:outlineLvl w:val="0"/>
    </w:pPr>
    <w:rPr>
      <w:b/>
      <w:bCs/>
      <w:kern w:val="44"/>
      <w:sz w:val="44"/>
      <w:szCs w:val="44"/>
    </w:rPr>
  </w:style>
  <w:style w:type="paragraph" w:styleId="4">
    <w:name w:val="heading 2"/>
    <w:basedOn w:val="1"/>
    <w:next w:val="1"/>
    <w:link w:val="73"/>
    <w:autoRedefine/>
    <w:qFormat/>
    <w:uiPriority w:val="9"/>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74"/>
    <w:autoRedefine/>
    <w:qFormat/>
    <w:uiPriority w:val="0"/>
    <w:pPr>
      <w:keepNext/>
      <w:keepLines/>
      <w:spacing w:before="260" w:after="260" w:line="413" w:lineRule="auto"/>
      <w:outlineLvl w:val="2"/>
    </w:pPr>
    <w:rPr>
      <w:b/>
      <w:bCs/>
      <w:sz w:val="32"/>
      <w:szCs w:val="32"/>
    </w:rPr>
  </w:style>
  <w:style w:type="paragraph" w:styleId="6">
    <w:name w:val="heading 4"/>
    <w:basedOn w:val="1"/>
    <w:next w:val="1"/>
    <w:link w:val="75"/>
    <w:autoRedefine/>
    <w:qFormat/>
    <w:uiPriority w:val="0"/>
    <w:pPr>
      <w:keepNext/>
      <w:keepLines/>
      <w:adjustRightInd w:val="0"/>
      <w:spacing w:before="280" w:after="290" w:line="376" w:lineRule="atLeast"/>
      <w:textAlignment w:val="baseline"/>
      <w:outlineLvl w:val="3"/>
    </w:pPr>
    <w:rPr>
      <w:rFonts w:ascii="Arial" w:hAnsi="Arial" w:eastAsia="黑体"/>
      <w:b/>
      <w:kern w:val="0"/>
      <w:sz w:val="28"/>
    </w:rPr>
  </w:style>
  <w:style w:type="paragraph" w:styleId="7">
    <w:name w:val="heading 5"/>
    <w:basedOn w:val="1"/>
    <w:next w:val="1"/>
    <w:link w:val="76"/>
    <w:autoRedefine/>
    <w:qFormat/>
    <w:uiPriority w:val="0"/>
    <w:pPr>
      <w:keepNext/>
      <w:keepLines/>
      <w:adjustRightInd w:val="0"/>
      <w:spacing w:before="280" w:after="290" w:line="376" w:lineRule="atLeast"/>
      <w:textAlignment w:val="baseline"/>
      <w:outlineLvl w:val="4"/>
    </w:pPr>
    <w:rPr>
      <w:b/>
      <w:kern w:val="0"/>
      <w:sz w:val="28"/>
    </w:rPr>
  </w:style>
  <w:style w:type="paragraph" w:styleId="8">
    <w:name w:val="heading 6"/>
    <w:basedOn w:val="1"/>
    <w:next w:val="1"/>
    <w:link w:val="77"/>
    <w:autoRedefine/>
    <w:qFormat/>
    <w:uiPriority w:val="0"/>
    <w:pPr>
      <w:keepNext/>
      <w:keepLines/>
      <w:adjustRightInd w:val="0"/>
      <w:spacing w:before="240" w:after="64" w:line="320" w:lineRule="atLeast"/>
      <w:textAlignment w:val="baseline"/>
      <w:outlineLvl w:val="5"/>
    </w:pPr>
    <w:rPr>
      <w:rFonts w:ascii="Arial" w:hAnsi="Arial" w:eastAsia="黑体"/>
      <w:b/>
      <w:kern w:val="0"/>
      <w:sz w:val="24"/>
    </w:rPr>
  </w:style>
  <w:style w:type="paragraph" w:styleId="9">
    <w:name w:val="heading 7"/>
    <w:basedOn w:val="1"/>
    <w:next w:val="1"/>
    <w:link w:val="78"/>
    <w:autoRedefine/>
    <w:qFormat/>
    <w:uiPriority w:val="0"/>
    <w:pPr>
      <w:keepNext/>
      <w:keepLines/>
      <w:adjustRightInd w:val="0"/>
      <w:spacing w:before="240" w:after="64" w:line="320" w:lineRule="atLeast"/>
      <w:textAlignment w:val="baseline"/>
      <w:outlineLvl w:val="6"/>
    </w:pPr>
    <w:rPr>
      <w:b/>
      <w:kern w:val="0"/>
      <w:sz w:val="24"/>
    </w:rPr>
  </w:style>
  <w:style w:type="paragraph" w:styleId="10">
    <w:name w:val="heading 8"/>
    <w:basedOn w:val="1"/>
    <w:next w:val="1"/>
    <w:link w:val="79"/>
    <w:autoRedefine/>
    <w:qFormat/>
    <w:uiPriority w:val="0"/>
    <w:pPr>
      <w:keepNext/>
      <w:keepLines/>
      <w:adjustRightInd w:val="0"/>
      <w:spacing w:before="240" w:after="64" w:line="320" w:lineRule="atLeast"/>
      <w:textAlignment w:val="baseline"/>
      <w:outlineLvl w:val="7"/>
    </w:pPr>
    <w:rPr>
      <w:rFonts w:ascii="Arial" w:hAnsi="Arial" w:eastAsia="黑体"/>
      <w:kern w:val="0"/>
      <w:sz w:val="24"/>
    </w:rPr>
  </w:style>
  <w:style w:type="paragraph" w:styleId="11">
    <w:name w:val="heading 9"/>
    <w:basedOn w:val="1"/>
    <w:next w:val="1"/>
    <w:link w:val="80"/>
    <w:autoRedefine/>
    <w:qFormat/>
    <w:uiPriority w:val="0"/>
    <w:pPr>
      <w:keepNext/>
      <w:keepLines/>
      <w:adjustRightInd w:val="0"/>
      <w:spacing w:before="240" w:after="64" w:line="320" w:lineRule="atLeast"/>
      <w:textAlignment w:val="baseline"/>
      <w:outlineLvl w:val="8"/>
    </w:pPr>
    <w:rPr>
      <w:rFonts w:ascii="Arial" w:hAnsi="Arial" w:eastAsia="黑体"/>
      <w:kern w:val="0"/>
    </w:rPr>
  </w:style>
  <w:style w:type="character" w:default="1" w:styleId="61">
    <w:name w:val="Default Paragraph Font"/>
    <w:autoRedefine/>
    <w:semiHidden/>
    <w:unhideWhenUsed/>
    <w:qFormat/>
    <w:uiPriority w:val="1"/>
  </w:style>
  <w:style w:type="table" w:default="1" w:styleId="59">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next w:val="1"/>
    <w:link w:val="82"/>
    <w:autoRedefine/>
    <w:qFormat/>
    <w:uiPriority w:val="0"/>
    <w:pPr>
      <w:ind w:firstLine="420"/>
    </w:pPr>
  </w:style>
  <w:style w:type="paragraph" w:styleId="12">
    <w:name w:val="toc 7"/>
    <w:basedOn w:val="1"/>
    <w:next w:val="1"/>
    <w:autoRedefine/>
    <w:qFormat/>
    <w:uiPriority w:val="0"/>
    <w:pPr>
      <w:ind w:left="1260"/>
      <w:jc w:val="left"/>
    </w:pPr>
    <w:rPr>
      <w:sz w:val="18"/>
      <w:szCs w:val="18"/>
    </w:rPr>
  </w:style>
  <w:style w:type="paragraph" w:styleId="13">
    <w:name w:val="Note Heading"/>
    <w:basedOn w:val="1"/>
    <w:next w:val="1"/>
    <w:link w:val="81"/>
    <w:autoRedefine/>
    <w:qFormat/>
    <w:uiPriority w:val="0"/>
    <w:pPr>
      <w:jc w:val="center"/>
    </w:pPr>
    <w:rPr>
      <w:sz w:val="18"/>
      <w:szCs w:val="18"/>
    </w:rPr>
  </w:style>
  <w:style w:type="paragraph" w:styleId="14">
    <w:name w:val="E-mail Signature"/>
    <w:basedOn w:val="1"/>
    <w:autoRedefine/>
    <w:qFormat/>
    <w:uiPriority w:val="0"/>
    <w:rPr>
      <w:rFonts w:ascii="Calibri" w:hAnsi="Calibri"/>
      <w:szCs w:val="22"/>
    </w:rPr>
  </w:style>
  <w:style w:type="paragraph" w:styleId="15">
    <w:name w:val="caption"/>
    <w:basedOn w:val="1"/>
    <w:next w:val="1"/>
    <w:link w:val="83"/>
    <w:autoRedefine/>
    <w:qFormat/>
    <w:uiPriority w:val="0"/>
    <w:rPr>
      <w:rFonts w:ascii="Arial" w:hAnsi="Arial" w:eastAsia="黑体"/>
      <w:sz w:val="20"/>
    </w:rPr>
  </w:style>
  <w:style w:type="paragraph" w:styleId="16">
    <w:name w:val="List Bullet"/>
    <w:basedOn w:val="1"/>
    <w:autoRedefine/>
    <w:qFormat/>
    <w:uiPriority w:val="0"/>
    <w:pPr>
      <w:tabs>
        <w:tab w:val="left" w:pos="420"/>
      </w:tabs>
      <w:ind w:left="420" w:hanging="425"/>
    </w:pPr>
  </w:style>
  <w:style w:type="paragraph" w:styleId="17">
    <w:name w:val="Document Map"/>
    <w:basedOn w:val="1"/>
    <w:autoRedefine/>
    <w:qFormat/>
    <w:uiPriority w:val="0"/>
    <w:rPr>
      <w:rFonts w:ascii="宋体"/>
      <w:sz w:val="18"/>
      <w:szCs w:val="18"/>
    </w:rPr>
  </w:style>
  <w:style w:type="paragraph" w:styleId="18">
    <w:name w:val="annotation text"/>
    <w:basedOn w:val="1"/>
    <w:link w:val="84"/>
    <w:autoRedefine/>
    <w:qFormat/>
    <w:uiPriority w:val="0"/>
    <w:pPr>
      <w:adjustRightInd w:val="0"/>
      <w:spacing w:line="315" w:lineRule="atLeast"/>
      <w:jc w:val="left"/>
      <w:textAlignment w:val="baseline"/>
    </w:pPr>
    <w:rPr>
      <w:rFonts w:ascii="宋体"/>
      <w:kern w:val="0"/>
    </w:rPr>
  </w:style>
  <w:style w:type="paragraph" w:styleId="19">
    <w:name w:val="Salutation"/>
    <w:basedOn w:val="1"/>
    <w:next w:val="1"/>
    <w:autoRedefine/>
    <w:qFormat/>
    <w:uiPriority w:val="0"/>
    <w:rPr>
      <w:rFonts w:ascii="宋体" w:hAnsi="宋体" w:cs="宋体"/>
      <w:color w:val="000000"/>
      <w:kern w:val="0"/>
      <w:sz w:val="28"/>
      <w:szCs w:val="28"/>
    </w:rPr>
  </w:style>
  <w:style w:type="paragraph" w:styleId="20">
    <w:name w:val="Body Text 3"/>
    <w:basedOn w:val="1"/>
    <w:autoRedefine/>
    <w:qFormat/>
    <w:uiPriority w:val="0"/>
    <w:pPr>
      <w:spacing w:line="500" w:lineRule="exact"/>
    </w:pPr>
    <w:rPr>
      <w:b/>
      <w:bCs/>
      <w:sz w:val="24"/>
      <w:szCs w:val="24"/>
    </w:rPr>
  </w:style>
  <w:style w:type="paragraph" w:styleId="21">
    <w:name w:val="Closing"/>
    <w:basedOn w:val="1"/>
    <w:autoRedefine/>
    <w:qFormat/>
    <w:uiPriority w:val="0"/>
    <w:pPr>
      <w:ind w:left="100" w:leftChars="2100"/>
    </w:pPr>
    <w:rPr>
      <w:rFonts w:ascii="宋体" w:hAnsi="宋体" w:cs="宋体"/>
      <w:color w:val="000000"/>
      <w:kern w:val="0"/>
      <w:sz w:val="28"/>
      <w:szCs w:val="28"/>
    </w:rPr>
  </w:style>
  <w:style w:type="paragraph" w:styleId="22">
    <w:name w:val="List Bullet 3"/>
    <w:basedOn w:val="1"/>
    <w:autoRedefine/>
    <w:qFormat/>
    <w:uiPriority w:val="0"/>
    <w:pPr>
      <w:tabs>
        <w:tab w:val="left" w:pos="1620"/>
      </w:tabs>
      <w:ind w:left="1620" w:hanging="360"/>
    </w:pPr>
    <w:rPr>
      <w:szCs w:val="24"/>
    </w:rPr>
  </w:style>
  <w:style w:type="paragraph" w:styleId="23">
    <w:name w:val="Body Text"/>
    <w:basedOn w:val="1"/>
    <w:next w:val="1"/>
    <w:link w:val="85"/>
    <w:autoRedefine/>
    <w:qFormat/>
    <w:uiPriority w:val="0"/>
    <w:pPr>
      <w:spacing w:after="120"/>
    </w:pPr>
  </w:style>
  <w:style w:type="paragraph" w:styleId="24">
    <w:name w:val="Body Text Indent"/>
    <w:basedOn w:val="1"/>
    <w:link w:val="86"/>
    <w:autoRedefine/>
    <w:qFormat/>
    <w:uiPriority w:val="0"/>
    <w:pPr>
      <w:ind w:firstLine="795"/>
    </w:pPr>
    <w:rPr>
      <w:sz w:val="32"/>
    </w:rPr>
  </w:style>
  <w:style w:type="paragraph" w:styleId="25">
    <w:name w:val="Block Text"/>
    <w:basedOn w:val="1"/>
    <w:autoRedefine/>
    <w:qFormat/>
    <w:uiPriority w:val="0"/>
    <w:pPr>
      <w:spacing w:line="400" w:lineRule="exact"/>
      <w:ind w:left="-359" w:leftChars="-171" w:right="-687" w:rightChars="-327" w:firstLine="720"/>
    </w:pPr>
    <w:rPr>
      <w:rFonts w:ascii="宋体" w:hAnsi="宋体"/>
      <w:sz w:val="28"/>
      <w:szCs w:val="24"/>
    </w:rPr>
  </w:style>
  <w:style w:type="paragraph" w:styleId="26">
    <w:name w:val="List Bullet 2"/>
    <w:basedOn w:val="1"/>
    <w:autoRedefine/>
    <w:qFormat/>
    <w:uiPriority w:val="0"/>
    <w:pPr>
      <w:tabs>
        <w:tab w:val="left" w:pos="1500"/>
      </w:tabs>
      <w:ind w:left="1500" w:hanging="960"/>
    </w:pPr>
    <w:rPr>
      <w:szCs w:val="24"/>
    </w:rPr>
  </w:style>
  <w:style w:type="paragraph" w:styleId="27">
    <w:name w:val="HTML Address"/>
    <w:basedOn w:val="1"/>
    <w:link w:val="87"/>
    <w:autoRedefine/>
    <w:qFormat/>
    <w:uiPriority w:val="0"/>
    <w:rPr>
      <w:sz w:val="18"/>
      <w:szCs w:val="18"/>
    </w:rPr>
  </w:style>
  <w:style w:type="paragraph" w:styleId="28">
    <w:name w:val="toc 5"/>
    <w:basedOn w:val="1"/>
    <w:next w:val="1"/>
    <w:autoRedefine/>
    <w:qFormat/>
    <w:uiPriority w:val="0"/>
    <w:pPr>
      <w:ind w:left="840"/>
      <w:jc w:val="left"/>
    </w:pPr>
    <w:rPr>
      <w:sz w:val="18"/>
      <w:szCs w:val="18"/>
    </w:rPr>
  </w:style>
  <w:style w:type="paragraph" w:styleId="29">
    <w:name w:val="toc 3"/>
    <w:basedOn w:val="1"/>
    <w:next w:val="1"/>
    <w:autoRedefine/>
    <w:qFormat/>
    <w:uiPriority w:val="0"/>
    <w:pPr>
      <w:ind w:left="420"/>
      <w:jc w:val="left"/>
    </w:pPr>
    <w:rPr>
      <w:i/>
      <w:iCs/>
      <w:sz w:val="20"/>
    </w:rPr>
  </w:style>
  <w:style w:type="paragraph" w:styleId="30">
    <w:name w:val="Plain Text"/>
    <w:basedOn w:val="1"/>
    <w:next w:val="1"/>
    <w:link w:val="88"/>
    <w:autoRedefine/>
    <w:qFormat/>
    <w:uiPriority w:val="0"/>
    <w:pPr>
      <w:spacing w:line="360" w:lineRule="auto"/>
    </w:pPr>
    <w:rPr>
      <w:rFonts w:ascii="宋体" w:hAnsi="Courier New"/>
      <w:sz w:val="24"/>
    </w:rPr>
  </w:style>
  <w:style w:type="paragraph" w:styleId="31">
    <w:name w:val="List Bullet 5"/>
    <w:basedOn w:val="1"/>
    <w:autoRedefine/>
    <w:qFormat/>
    <w:uiPriority w:val="0"/>
    <w:pPr>
      <w:tabs>
        <w:tab w:val="left" w:pos="720"/>
        <w:tab w:val="left" w:pos="2040"/>
      </w:tabs>
      <w:spacing w:after="120" w:line="240" w:lineRule="atLeast"/>
      <w:ind w:left="720" w:hanging="360"/>
    </w:pPr>
    <w:rPr>
      <w:rFonts w:ascii="宋体" w:hAnsi="宋体"/>
      <w:kern w:val="0"/>
      <w:sz w:val="24"/>
    </w:rPr>
  </w:style>
  <w:style w:type="paragraph" w:styleId="32">
    <w:name w:val="toc 8"/>
    <w:basedOn w:val="1"/>
    <w:next w:val="1"/>
    <w:autoRedefine/>
    <w:qFormat/>
    <w:uiPriority w:val="0"/>
    <w:pPr>
      <w:ind w:left="1470"/>
      <w:jc w:val="left"/>
    </w:pPr>
    <w:rPr>
      <w:sz w:val="18"/>
      <w:szCs w:val="18"/>
    </w:rPr>
  </w:style>
  <w:style w:type="paragraph" w:styleId="33">
    <w:name w:val="Date"/>
    <w:basedOn w:val="1"/>
    <w:next w:val="1"/>
    <w:link w:val="89"/>
    <w:autoRedefine/>
    <w:qFormat/>
    <w:uiPriority w:val="0"/>
    <w:rPr>
      <w:rFonts w:eastAsia="楷体"/>
      <w:sz w:val="32"/>
    </w:rPr>
  </w:style>
  <w:style w:type="paragraph" w:styleId="34">
    <w:name w:val="Body Text Indent 2"/>
    <w:basedOn w:val="1"/>
    <w:autoRedefine/>
    <w:qFormat/>
    <w:uiPriority w:val="0"/>
    <w:pPr>
      <w:ind w:left="105" w:firstLine="690"/>
    </w:pPr>
    <w:rPr>
      <w:sz w:val="32"/>
    </w:rPr>
  </w:style>
  <w:style w:type="paragraph" w:styleId="35">
    <w:name w:val="endnote text"/>
    <w:basedOn w:val="1"/>
    <w:autoRedefine/>
    <w:qFormat/>
    <w:uiPriority w:val="0"/>
    <w:pPr>
      <w:snapToGrid w:val="0"/>
      <w:jc w:val="left"/>
    </w:pPr>
    <w:rPr>
      <w:szCs w:val="24"/>
    </w:rPr>
  </w:style>
  <w:style w:type="paragraph" w:styleId="36">
    <w:name w:val="Balloon Text"/>
    <w:basedOn w:val="1"/>
    <w:link w:val="90"/>
    <w:autoRedefine/>
    <w:qFormat/>
    <w:uiPriority w:val="0"/>
    <w:rPr>
      <w:sz w:val="18"/>
      <w:szCs w:val="18"/>
    </w:rPr>
  </w:style>
  <w:style w:type="paragraph" w:styleId="37">
    <w:name w:val="footer"/>
    <w:basedOn w:val="1"/>
    <w:next w:val="1"/>
    <w:link w:val="91"/>
    <w:autoRedefine/>
    <w:qFormat/>
    <w:uiPriority w:val="0"/>
    <w:pPr>
      <w:tabs>
        <w:tab w:val="center" w:pos="4153"/>
        <w:tab w:val="right" w:pos="8306"/>
      </w:tabs>
      <w:adjustRightInd w:val="0"/>
      <w:spacing w:line="240" w:lineRule="atLeast"/>
      <w:jc w:val="left"/>
      <w:textAlignment w:val="baseline"/>
    </w:pPr>
    <w:rPr>
      <w:kern w:val="0"/>
      <w:sz w:val="18"/>
    </w:rPr>
  </w:style>
  <w:style w:type="paragraph" w:styleId="38">
    <w:name w:val="header"/>
    <w:basedOn w:val="1"/>
    <w:link w:val="92"/>
    <w:autoRedefine/>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rPr>
  </w:style>
  <w:style w:type="paragraph" w:styleId="39">
    <w:name w:val="Signature"/>
    <w:basedOn w:val="1"/>
    <w:link w:val="93"/>
    <w:autoRedefine/>
    <w:qFormat/>
    <w:uiPriority w:val="0"/>
    <w:pPr>
      <w:ind w:left="100" w:leftChars="2100"/>
    </w:pPr>
    <w:rPr>
      <w:sz w:val="18"/>
      <w:szCs w:val="18"/>
    </w:rPr>
  </w:style>
  <w:style w:type="paragraph" w:styleId="40">
    <w:name w:val="toc 1"/>
    <w:basedOn w:val="1"/>
    <w:next w:val="1"/>
    <w:autoRedefine/>
    <w:qFormat/>
    <w:uiPriority w:val="39"/>
    <w:pPr>
      <w:spacing w:before="120" w:after="120"/>
      <w:jc w:val="left"/>
    </w:pPr>
    <w:rPr>
      <w:b/>
      <w:bCs/>
      <w:caps/>
      <w:sz w:val="20"/>
    </w:rPr>
  </w:style>
  <w:style w:type="paragraph" w:styleId="41">
    <w:name w:val="toc 4"/>
    <w:basedOn w:val="1"/>
    <w:next w:val="1"/>
    <w:autoRedefine/>
    <w:qFormat/>
    <w:uiPriority w:val="0"/>
    <w:pPr>
      <w:ind w:left="630"/>
      <w:jc w:val="left"/>
    </w:pPr>
    <w:rPr>
      <w:sz w:val="18"/>
      <w:szCs w:val="18"/>
    </w:rPr>
  </w:style>
  <w:style w:type="paragraph" w:styleId="42">
    <w:name w:val="Subtitle"/>
    <w:basedOn w:val="1"/>
    <w:link w:val="94"/>
    <w:autoRedefine/>
    <w:qFormat/>
    <w:uiPriority w:val="0"/>
    <w:pPr>
      <w:spacing w:before="240" w:after="60" w:line="312" w:lineRule="auto"/>
      <w:jc w:val="center"/>
      <w:outlineLvl w:val="1"/>
    </w:pPr>
    <w:rPr>
      <w:rFonts w:ascii="Arial" w:hAnsi="Arial"/>
      <w:b/>
      <w:bCs/>
      <w:kern w:val="28"/>
      <w:sz w:val="32"/>
      <w:szCs w:val="32"/>
    </w:rPr>
  </w:style>
  <w:style w:type="paragraph" w:styleId="43">
    <w:name w:val="List"/>
    <w:basedOn w:val="1"/>
    <w:autoRedefine/>
    <w:qFormat/>
    <w:uiPriority w:val="0"/>
    <w:pPr>
      <w:spacing w:line="360" w:lineRule="auto"/>
      <w:ind w:left="420" w:hanging="420"/>
    </w:pPr>
    <w:rPr>
      <w:rFonts w:eastAsia="仿宋_GB2312"/>
      <w:sz w:val="24"/>
    </w:rPr>
  </w:style>
  <w:style w:type="paragraph" w:styleId="44">
    <w:name w:val="footnote text"/>
    <w:basedOn w:val="1"/>
    <w:link w:val="95"/>
    <w:autoRedefine/>
    <w:qFormat/>
    <w:uiPriority w:val="0"/>
    <w:pPr>
      <w:snapToGrid w:val="0"/>
      <w:spacing w:line="360" w:lineRule="auto"/>
      <w:ind w:firstLine="480" w:firstLineChars="200"/>
      <w:jc w:val="left"/>
    </w:pPr>
    <w:rPr>
      <w:rFonts w:ascii="宋体" w:hAnsi="Courier New"/>
      <w:kern w:val="0"/>
      <w:sz w:val="20"/>
      <w:szCs w:val="21"/>
    </w:rPr>
  </w:style>
  <w:style w:type="paragraph" w:styleId="45">
    <w:name w:val="toc 6"/>
    <w:basedOn w:val="1"/>
    <w:next w:val="1"/>
    <w:autoRedefine/>
    <w:qFormat/>
    <w:uiPriority w:val="0"/>
    <w:pPr>
      <w:ind w:left="1050"/>
      <w:jc w:val="left"/>
    </w:pPr>
    <w:rPr>
      <w:sz w:val="18"/>
      <w:szCs w:val="18"/>
    </w:rPr>
  </w:style>
  <w:style w:type="paragraph" w:styleId="46">
    <w:name w:val="Body Text Indent 3"/>
    <w:basedOn w:val="1"/>
    <w:autoRedefine/>
    <w:qFormat/>
    <w:uiPriority w:val="0"/>
    <w:pPr>
      <w:adjustRightInd w:val="0"/>
      <w:spacing w:line="360" w:lineRule="auto"/>
      <w:ind w:left="960"/>
      <w:jc w:val="left"/>
      <w:textAlignment w:val="baseline"/>
    </w:pPr>
    <w:rPr>
      <w:rFonts w:eastAsia="楷体"/>
      <w:kern w:val="0"/>
      <w:sz w:val="24"/>
    </w:rPr>
  </w:style>
  <w:style w:type="paragraph" w:styleId="47">
    <w:name w:val="toc 2"/>
    <w:basedOn w:val="1"/>
    <w:next w:val="1"/>
    <w:autoRedefine/>
    <w:qFormat/>
    <w:uiPriority w:val="39"/>
    <w:pPr>
      <w:ind w:left="210"/>
      <w:jc w:val="left"/>
    </w:pPr>
    <w:rPr>
      <w:smallCaps/>
      <w:sz w:val="20"/>
    </w:rPr>
  </w:style>
  <w:style w:type="paragraph" w:styleId="48">
    <w:name w:val="toc 9"/>
    <w:basedOn w:val="1"/>
    <w:next w:val="1"/>
    <w:autoRedefine/>
    <w:qFormat/>
    <w:uiPriority w:val="0"/>
    <w:pPr>
      <w:ind w:left="1680"/>
      <w:jc w:val="left"/>
    </w:pPr>
    <w:rPr>
      <w:sz w:val="18"/>
      <w:szCs w:val="18"/>
    </w:rPr>
  </w:style>
  <w:style w:type="paragraph" w:styleId="49">
    <w:name w:val="Body Text 2"/>
    <w:basedOn w:val="1"/>
    <w:autoRedefine/>
    <w:qFormat/>
    <w:uiPriority w:val="0"/>
    <w:pPr>
      <w:spacing w:after="120" w:line="480" w:lineRule="auto"/>
    </w:pPr>
    <w:rPr>
      <w:szCs w:val="24"/>
    </w:rPr>
  </w:style>
  <w:style w:type="paragraph" w:styleId="50">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szCs w:val="24"/>
      <w:shd w:val="pct20" w:color="auto" w:fill="auto"/>
    </w:rPr>
  </w:style>
  <w:style w:type="paragraph" w:styleId="51">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pPr>
    <w:rPr>
      <w:rFonts w:ascii="黑体" w:hAnsi="Courier New" w:eastAsia="黑体"/>
      <w:kern w:val="0"/>
      <w:sz w:val="20"/>
    </w:rPr>
  </w:style>
  <w:style w:type="paragraph" w:styleId="52">
    <w:name w:val="Normal (Web)"/>
    <w:basedOn w:val="1"/>
    <w:autoRedefine/>
    <w:qFormat/>
    <w:uiPriority w:val="0"/>
    <w:pPr>
      <w:widowControl/>
      <w:spacing w:before="100" w:beforeAutospacing="1" w:after="100" w:afterAutospacing="1" w:line="408" w:lineRule="auto"/>
      <w:jc w:val="left"/>
    </w:pPr>
    <w:rPr>
      <w:rFonts w:ascii="Arial" w:hAnsi="Arial" w:cs="Arial"/>
      <w:kern w:val="0"/>
      <w:sz w:val="18"/>
      <w:szCs w:val="18"/>
    </w:rPr>
  </w:style>
  <w:style w:type="paragraph" w:styleId="53">
    <w:name w:val="List Continue 3"/>
    <w:basedOn w:val="1"/>
    <w:autoRedefine/>
    <w:qFormat/>
    <w:uiPriority w:val="0"/>
    <w:pPr>
      <w:tabs>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napToGrid w:val="0"/>
      <w:spacing w:before="100" w:after="60" w:line="360" w:lineRule="auto"/>
      <w:jc w:val="left"/>
    </w:pPr>
    <w:rPr>
      <w:rFonts w:ascii="宋体" w:hAnsi="宋体"/>
      <w:b/>
      <w:color w:val="000000"/>
      <w:kern w:val="0"/>
      <w:sz w:val="28"/>
      <w:szCs w:val="21"/>
    </w:rPr>
  </w:style>
  <w:style w:type="paragraph" w:styleId="54">
    <w:name w:val="index 1"/>
    <w:basedOn w:val="1"/>
    <w:next w:val="1"/>
    <w:autoRedefine/>
    <w:qFormat/>
    <w:uiPriority w:val="0"/>
    <w:pPr>
      <w:spacing w:line="360" w:lineRule="auto"/>
    </w:pPr>
  </w:style>
  <w:style w:type="paragraph" w:styleId="55">
    <w:name w:val="Title"/>
    <w:basedOn w:val="1"/>
    <w:link w:val="96"/>
    <w:autoRedefine/>
    <w:qFormat/>
    <w:uiPriority w:val="0"/>
    <w:pPr>
      <w:jc w:val="center"/>
    </w:pPr>
    <w:rPr>
      <w:sz w:val="30"/>
      <w:szCs w:val="24"/>
    </w:rPr>
  </w:style>
  <w:style w:type="paragraph" w:styleId="56">
    <w:name w:val="annotation subject"/>
    <w:basedOn w:val="18"/>
    <w:next w:val="18"/>
    <w:link w:val="97"/>
    <w:autoRedefine/>
    <w:qFormat/>
    <w:uiPriority w:val="99"/>
    <w:pPr>
      <w:adjustRightInd/>
      <w:spacing w:line="240" w:lineRule="auto"/>
      <w:textAlignment w:val="auto"/>
    </w:pPr>
    <w:rPr>
      <w:kern w:val="2"/>
      <w:sz w:val="18"/>
      <w:szCs w:val="18"/>
    </w:rPr>
  </w:style>
  <w:style w:type="paragraph" w:styleId="57">
    <w:name w:val="Body Text First Indent"/>
    <w:basedOn w:val="23"/>
    <w:link w:val="98"/>
    <w:autoRedefine/>
    <w:qFormat/>
    <w:uiPriority w:val="0"/>
    <w:pPr>
      <w:ind w:firstLine="420" w:firstLineChars="100"/>
    </w:pPr>
  </w:style>
  <w:style w:type="paragraph" w:styleId="58">
    <w:name w:val="Body Text First Indent 2"/>
    <w:basedOn w:val="24"/>
    <w:autoRedefine/>
    <w:qFormat/>
    <w:uiPriority w:val="0"/>
    <w:pPr>
      <w:spacing w:after="120"/>
      <w:ind w:left="420" w:leftChars="200" w:firstLine="420" w:firstLineChars="200"/>
    </w:pPr>
    <w:rPr>
      <w:sz w:val="24"/>
      <w:szCs w:val="24"/>
    </w:rPr>
  </w:style>
  <w:style w:type="table" w:styleId="60">
    <w:name w:val="Table Grid"/>
    <w:basedOn w:val="59"/>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autoRedefine/>
    <w:qFormat/>
    <w:uiPriority w:val="0"/>
    <w:rPr>
      <w:b/>
      <w:bCs/>
    </w:rPr>
  </w:style>
  <w:style w:type="character" w:styleId="63">
    <w:name w:val="page number"/>
    <w:basedOn w:val="61"/>
    <w:autoRedefine/>
    <w:qFormat/>
    <w:uiPriority w:val="0"/>
  </w:style>
  <w:style w:type="character" w:styleId="64">
    <w:name w:val="FollowedHyperlink"/>
    <w:autoRedefine/>
    <w:qFormat/>
    <w:uiPriority w:val="0"/>
    <w:rPr>
      <w:color w:val="3D3D3D"/>
      <w:u w:val="none"/>
    </w:rPr>
  </w:style>
  <w:style w:type="character" w:styleId="65">
    <w:name w:val="Emphasis"/>
    <w:autoRedefine/>
    <w:qFormat/>
    <w:uiPriority w:val="20"/>
    <w:rPr>
      <w:color w:val="CC0000"/>
    </w:rPr>
  </w:style>
  <w:style w:type="character" w:styleId="66">
    <w:name w:val="HTML Definition"/>
    <w:autoRedefine/>
    <w:qFormat/>
    <w:uiPriority w:val="0"/>
  </w:style>
  <w:style w:type="character" w:styleId="67">
    <w:name w:val="HTML Variable"/>
    <w:autoRedefine/>
    <w:qFormat/>
    <w:uiPriority w:val="0"/>
  </w:style>
  <w:style w:type="character" w:styleId="68">
    <w:name w:val="Hyperlink"/>
    <w:autoRedefine/>
    <w:qFormat/>
    <w:uiPriority w:val="0"/>
    <w:rPr>
      <w:color w:val="3D3D3D"/>
      <w:u w:val="none"/>
    </w:rPr>
  </w:style>
  <w:style w:type="character" w:styleId="69">
    <w:name w:val="HTML Code"/>
    <w:autoRedefine/>
    <w:qFormat/>
    <w:uiPriority w:val="0"/>
    <w:rPr>
      <w:rFonts w:ascii="Courier New" w:hAnsi="Courier New"/>
      <w:sz w:val="20"/>
    </w:rPr>
  </w:style>
  <w:style w:type="character" w:styleId="70">
    <w:name w:val="annotation reference"/>
    <w:autoRedefine/>
    <w:qFormat/>
    <w:uiPriority w:val="99"/>
    <w:rPr>
      <w:sz w:val="21"/>
    </w:rPr>
  </w:style>
  <w:style w:type="character" w:styleId="71">
    <w:name w:val="HTML Cite"/>
    <w:autoRedefine/>
    <w:qFormat/>
    <w:uiPriority w:val="0"/>
  </w:style>
  <w:style w:type="character" w:customStyle="1" w:styleId="72">
    <w:name w:val="标题 1 Char"/>
    <w:link w:val="3"/>
    <w:autoRedefine/>
    <w:qFormat/>
    <w:uiPriority w:val="9"/>
    <w:rPr>
      <w:rFonts w:eastAsia="宋体"/>
      <w:b/>
      <w:bCs/>
      <w:kern w:val="44"/>
      <w:sz w:val="44"/>
      <w:szCs w:val="44"/>
      <w:lang w:val="en-US" w:eastAsia="zh-CN" w:bidi="ar-SA"/>
    </w:rPr>
  </w:style>
  <w:style w:type="character" w:customStyle="1" w:styleId="73">
    <w:name w:val="标题 2 Char"/>
    <w:link w:val="4"/>
    <w:autoRedefine/>
    <w:qFormat/>
    <w:uiPriority w:val="9"/>
    <w:rPr>
      <w:rFonts w:ascii="Arial" w:hAnsi="Arial" w:eastAsia="黑体"/>
      <w:b/>
      <w:bCs/>
      <w:kern w:val="2"/>
      <w:sz w:val="32"/>
      <w:szCs w:val="32"/>
      <w:lang w:val="en-US" w:eastAsia="zh-CN" w:bidi="ar-SA"/>
    </w:rPr>
  </w:style>
  <w:style w:type="character" w:customStyle="1" w:styleId="74">
    <w:name w:val="标题 3 Char"/>
    <w:link w:val="5"/>
    <w:autoRedefine/>
    <w:qFormat/>
    <w:uiPriority w:val="0"/>
    <w:rPr>
      <w:rFonts w:eastAsia="宋体"/>
      <w:b/>
      <w:bCs/>
      <w:kern w:val="2"/>
      <w:sz w:val="32"/>
      <w:szCs w:val="32"/>
      <w:lang w:val="en-US" w:eastAsia="zh-CN" w:bidi="ar-SA"/>
    </w:rPr>
  </w:style>
  <w:style w:type="character" w:customStyle="1" w:styleId="75">
    <w:name w:val="标题 4 Char"/>
    <w:link w:val="6"/>
    <w:autoRedefine/>
    <w:qFormat/>
    <w:uiPriority w:val="0"/>
    <w:rPr>
      <w:rFonts w:ascii="Arial" w:hAnsi="Arial" w:eastAsia="黑体"/>
      <w:b/>
      <w:sz w:val="28"/>
      <w:lang w:val="en-US" w:eastAsia="zh-CN" w:bidi="ar-SA"/>
    </w:rPr>
  </w:style>
  <w:style w:type="character" w:customStyle="1" w:styleId="76">
    <w:name w:val="标题 5 Char1"/>
    <w:link w:val="7"/>
    <w:autoRedefine/>
    <w:qFormat/>
    <w:uiPriority w:val="0"/>
    <w:rPr>
      <w:rFonts w:eastAsia="宋体"/>
      <w:b/>
      <w:sz w:val="28"/>
      <w:lang w:val="en-US" w:eastAsia="zh-CN" w:bidi="ar-SA"/>
    </w:rPr>
  </w:style>
  <w:style w:type="character" w:customStyle="1" w:styleId="77">
    <w:name w:val="标题 6 Char"/>
    <w:link w:val="8"/>
    <w:autoRedefine/>
    <w:qFormat/>
    <w:uiPriority w:val="0"/>
    <w:rPr>
      <w:rFonts w:ascii="Arial" w:hAnsi="Arial" w:eastAsia="黑体"/>
      <w:b/>
      <w:sz w:val="24"/>
      <w:lang w:val="en-US" w:eastAsia="zh-CN" w:bidi="ar-SA"/>
    </w:rPr>
  </w:style>
  <w:style w:type="character" w:customStyle="1" w:styleId="78">
    <w:name w:val="标题 7 Char"/>
    <w:link w:val="9"/>
    <w:autoRedefine/>
    <w:qFormat/>
    <w:uiPriority w:val="0"/>
    <w:rPr>
      <w:rFonts w:eastAsia="宋体"/>
      <w:b/>
      <w:sz w:val="24"/>
      <w:lang w:val="en-US" w:eastAsia="zh-CN" w:bidi="ar-SA"/>
    </w:rPr>
  </w:style>
  <w:style w:type="character" w:customStyle="1" w:styleId="79">
    <w:name w:val="标题 8 Char"/>
    <w:link w:val="10"/>
    <w:autoRedefine/>
    <w:qFormat/>
    <w:uiPriority w:val="0"/>
    <w:rPr>
      <w:rFonts w:ascii="Arial" w:hAnsi="Arial" w:eastAsia="黑体"/>
      <w:sz w:val="24"/>
      <w:lang w:val="en-US" w:eastAsia="zh-CN" w:bidi="ar-SA"/>
    </w:rPr>
  </w:style>
  <w:style w:type="character" w:customStyle="1" w:styleId="80">
    <w:name w:val="标题 9 Char"/>
    <w:link w:val="11"/>
    <w:autoRedefine/>
    <w:qFormat/>
    <w:uiPriority w:val="0"/>
    <w:rPr>
      <w:rFonts w:ascii="Arial" w:hAnsi="Arial" w:eastAsia="黑体"/>
      <w:sz w:val="21"/>
      <w:lang w:val="en-US" w:eastAsia="zh-CN" w:bidi="ar-SA"/>
    </w:rPr>
  </w:style>
  <w:style w:type="character" w:customStyle="1" w:styleId="81">
    <w:name w:val="注释标题 Char"/>
    <w:link w:val="13"/>
    <w:autoRedefine/>
    <w:qFormat/>
    <w:uiPriority w:val="0"/>
    <w:rPr>
      <w:kern w:val="2"/>
      <w:sz w:val="18"/>
      <w:szCs w:val="18"/>
    </w:rPr>
  </w:style>
  <w:style w:type="character" w:customStyle="1" w:styleId="82">
    <w:name w:val="正文缩进 Char"/>
    <w:link w:val="2"/>
    <w:autoRedefine/>
    <w:qFormat/>
    <w:uiPriority w:val="0"/>
    <w:rPr>
      <w:rFonts w:eastAsia="宋体"/>
      <w:kern w:val="2"/>
      <w:sz w:val="21"/>
      <w:lang w:val="en-US" w:eastAsia="zh-CN" w:bidi="ar-SA"/>
    </w:rPr>
  </w:style>
  <w:style w:type="character" w:customStyle="1" w:styleId="83">
    <w:name w:val="题注 Char"/>
    <w:link w:val="15"/>
    <w:autoRedefine/>
    <w:qFormat/>
    <w:uiPriority w:val="0"/>
    <w:rPr>
      <w:rFonts w:ascii="Arial" w:hAnsi="Arial" w:eastAsia="黑体"/>
      <w:kern w:val="2"/>
    </w:rPr>
  </w:style>
  <w:style w:type="character" w:customStyle="1" w:styleId="84">
    <w:name w:val="批注文字 Char"/>
    <w:link w:val="18"/>
    <w:autoRedefine/>
    <w:qFormat/>
    <w:uiPriority w:val="0"/>
    <w:rPr>
      <w:rFonts w:ascii="宋体"/>
      <w:sz w:val="21"/>
    </w:rPr>
  </w:style>
  <w:style w:type="character" w:customStyle="1" w:styleId="85">
    <w:name w:val="正文文本 Char"/>
    <w:link w:val="23"/>
    <w:autoRedefine/>
    <w:qFormat/>
    <w:uiPriority w:val="0"/>
    <w:rPr>
      <w:rFonts w:eastAsia="宋体"/>
      <w:kern w:val="2"/>
      <w:sz w:val="21"/>
      <w:lang w:val="en-US" w:eastAsia="zh-CN" w:bidi="ar-SA"/>
    </w:rPr>
  </w:style>
  <w:style w:type="character" w:customStyle="1" w:styleId="86">
    <w:name w:val="正文文本缩进 Char"/>
    <w:link w:val="24"/>
    <w:autoRedefine/>
    <w:qFormat/>
    <w:uiPriority w:val="0"/>
    <w:rPr>
      <w:rFonts w:eastAsia="宋体"/>
      <w:kern w:val="2"/>
      <w:sz w:val="32"/>
      <w:lang w:val="en-US" w:eastAsia="zh-CN" w:bidi="ar-SA"/>
    </w:rPr>
  </w:style>
  <w:style w:type="character" w:customStyle="1" w:styleId="87">
    <w:name w:val="HTML 地址 Char"/>
    <w:link w:val="27"/>
    <w:autoRedefine/>
    <w:qFormat/>
    <w:uiPriority w:val="0"/>
    <w:rPr>
      <w:kern w:val="2"/>
      <w:sz w:val="18"/>
      <w:szCs w:val="18"/>
    </w:rPr>
  </w:style>
  <w:style w:type="character" w:customStyle="1" w:styleId="88">
    <w:name w:val="纯文本 Char"/>
    <w:link w:val="30"/>
    <w:autoRedefine/>
    <w:qFormat/>
    <w:uiPriority w:val="0"/>
    <w:rPr>
      <w:rFonts w:ascii="宋体" w:hAnsi="Courier New" w:eastAsia="宋体"/>
      <w:kern w:val="2"/>
      <w:sz w:val="24"/>
      <w:lang w:val="en-US" w:eastAsia="zh-CN" w:bidi="ar-SA"/>
    </w:rPr>
  </w:style>
  <w:style w:type="character" w:customStyle="1" w:styleId="89">
    <w:name w:val="日期 Char"/>
    <w:link w:val="33"/>
    <w:autoRedefine/>
    <w:qFormat/>
    <w:uiPriority w:val="0"/>
    <w:rPr>
      <w:rFonts w:eastAsia="楷体"/>
      <w:kern w:val="2"/>
      <w:sz w:val="32"/>
      <w:lang w:val="en-US" w:eastAsia="zh-CN" w:bidi="ar-SA"/>
    </w:rPr>
  </w:style>
  <w:style w:type="character" w:customStyle="1" w:styleId="90">
    <w:name w:val="批注框文本 Char"/>
    <w:basedOn w:val="61"/>
    <w:link w:val="36"/>
    <w:autoRedefine/>
    <w:qFormat/>
    <w:uiPriority w:val="0"/>
    <w:rPr>
      <w:kern w:val="2"/>
      <w:sz w:val="18"/>
      <w:szCs w:val="18"/>
    </w:rPr>
  </w:style>
  <w:style w:type="character" w:customStyle="1" w:styleId="91">
    <w:name w:val="页脚 Char"/>
    <w:link w:val="37"/>
    <w:autoRedefine/>
    <w:qFormat/>
    <w:uiPriority w:val="0"/>
    <w:rPr>
      <w:sz w:val="18"/>
      <w:lang w:bidi="ar-SA"/>
    </w:rPr>
  </w:style>
  <w:style w:type="character" w:customStyle="1" w:styleId="92">
    <w:name w:val="页眉 Char"/>
    <w:link w:val="38"/>
    <w:autoRedefine/>
    <w:qFormat/>
    <w:uiPriority w:val="0"/>
    <w:rPr>
      <w:sz w:val="18"/>
      <w:lang w:bidi="ar-SA"/>
    </w:rPr>
  </w:style>
  <w:style w:type="character" w:customStyle="1" w:styleId="93">
    <w:name w:val="签名 Char"/>
    <w:link w:val="39"/>
    <w:autoRedefine/>
    <w:qFormat/>
    <w:uiPriority w:val="0"/>
    <w:rPr>
      <w:kern w:val="2"/>
      <w:sz w:val="18"/>
      <w:szCs w:val="18"/>
    </w:rPr>
  </w:style>
  <w:style w:type="character" w:customStyle="1" w:styleId="94">
    <w:name w:val="副标题 Char"/>
    <w:basedOn w:val="61"/>
    <w:link w:val="42"/>
    <w:autoRedefine/>
    <w:qFormat/>
    <w:uiPriority w:val="0"/>
    <w:rPr>
      <w:rFonts w:ascii="Arial" w:hAnsi="Arial"/>
      <w:b/>
      <w:bCs/>
      <w:kern w:val="28"/>
      <w:sz w:val="32"/>
      <w:szCs w:val="32"/>
    </w:rPr>
  </w:style>
  <w:style w:type="character" w:customStyle="1" w:styleId="95">
    <w:name w:val="脚注文本 Char"/>
    <w:link w:val="44"/>
    <w:autoRedefine/>
    <w:qFormat/>
    <w:uiPriority w:val="0"/>
    <w:rPr>
      <w:rFonts w:ascii="宋体" w:hAnsi="Courier New" w:eastAsia="宋体" w:cs="Courier New"/>
      <w:szCs w:val="21"/>
    </w:rPr>
  </w:style>
  <w:style w:type="character" w:customStyle="1" w:styleId="96">
    <w:name w:val="标题 Char"/>
    <w:link w:val="55"/>
    <w:autoRedefine/>
    <w:qFormat/>
    <w:uiPriority w:val="0"/>
    <w:rPr>
      <w:rFonts w:eastAsia="宋体"/>
      <w:kern w:val="2"/>
      <w:sz w:val="30"/>
      <w:szCs w:val="24"/>
      <w:lang w:val="en-US" w:eastAsia="zh-CN" w:bidi="ar-SA"/>
    </w:rPr>
  </w:style>
  <w:style w:type="character" w:customStyle="1" w:styleId="97">
    <w:name w:val="批注主题 Char"/>
    <w:link w:val="56"/>
    <w:autoRedefine/>
    <w:qFormat/>
    <w:uiPriority w:val="99"/>
    <w:rPr>
      <w:rFonts w:ascii="宋体"/>
      <w:kern w:val="2"/>
      <w:sz w:val="18"/>
      <w:szCs w:val="18"/>
    </w:rPr>
  </w:style>
  <w:style w:type="character" w:customStyle="1" w:styleId="98">
    <w:name w:val="正文首行缩进 Char"/>
    <w:basedOn w:val="85"/>
    <w:link w:val="57"/>
    <w:autoRedefine/>
    <w:qFormat/>
    <w:uiPriority w:val="0"/>
    <w:rPr>
      <w:rFonts w:eastAsia="宋体"/>
      <w:kern w:val="2"/>
      <w:sz w:val="21"/>
      <w:lang w:val="en-US" w:eastAsia="zh-CN" w:bidi="ar-SA"/>
    </w:rPr>
  </w:style>
  <w:style w:type="paragraph" w:customStyle="1" w:styleId="99">
    <w:name w:val="首行缩进"/>
    <w:basedOn w:val="1"/>
    <w:autoRedefine/>
    <w:qFormat/>
    <w:uiPriority w:val="0"/>
    <w:pPr>
      <w:autoSpaceDE w:val="0"/>
      <w:autoSpaceDN w:val="0"/>
      <w:adjustRightInd w:val="0"/>
      <w:spacing w:line="360" w:lineRule="auto"/>
      <w:ind w:firstLine="720"/>
    </w:pPr>
    <w:rPr>
      <w:kern w:val="0"/>
      <w:szCs w:val="21"/>
    </w:rPr>
  </w:style>
  <w:style w:type="paragraph" w:customStyle="1" w:styleId="100">
    <w:name w:val="标题 5（有编号）（绿盟科技）"/>
    <w:basedOn w:val="1"/>
    <w:next w:val="101"/>
    <w:autoRedefine/>
    <w:qFormat/>
    <w:uiPriority w:val="0"/>
    <w:pPr>
      <w:keepNext/>
      <w:keepLines/>
      <w:numPr>
        <w:ilvl w:val="4"/>
        <w:numId w:val="1"/>
      </w:numPr>
      <w:tabs>
        <w:tab w:val="left" w:pos="0"/>
      </w:tabs>
      <w:spacing w:before="280" w:after="156" w:line="377" w:lineRule="auto"/>
      <w:jc w:val="left"/>
      <w:outlineLvl w:val="4"/>
    </w:pPr>
    <w:rPr>
      <w:rFonts w:ascii="Arial" w:hAnsi="Arial" w:eastAsia="黑体"/>
      <w:b/>
      <w:kern w:val="0"/>
      <w:sz w:val="24"/>
      <w:szCs w:val="28"/>
    </w:rPr>
  </w:style>
  <w:style w:type="paragraph" w:customStyle="1" w:styleId="101">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102">
    <w:name w:val="UP标题3 Char Char"/>
    <w:link w:val="103"/>
    <w:autoRedefine/>
    <w:qFormat/>
    <w:uiPriority w:val="0"/>
    <w:rPr>
      <w:rFonts w:ascii="黑体" w:eastAsia="黑体"/>
      <w:sz w:val="28"/>
      <w:szCs w:val="28"/>
      <w:lang w:bidi="ar-SA"/>
    </w:rPr>
  </w:style>
  <w:style w:type="paragraph" w:customStyle="1" w:styleId="103">
    <w:name w:val="UP标题3"/>
    <w:basedOn w:val="1"/>
    <w:link w:val="102"/>
    <w:autoRedefine/>
    <w:qFormat/>
    <w:uiPriority w:val="0"/>
    <w:pPr>
      <w:spacing w:line="360" w:lineRule="auto"/>
      <w:ind w:firstLine="149" w:firstLineChars="149"/>
    </w:pPr>
    <w:rPr>
      <w:rFonts w:ascii="黑体" w:eastAsia="黑体"/>
      <w:kern w:val="0"/>
      <w:sz w:val="28"/>
      <w:szCs w:val="28"/>
    </w:rPr>
  </w:style>
  <w:style w:type="character" w:customStyle="1" w:styleId="104">
    <w:name w:val="cu-b Char Char"/>
    <w:link w:val="105"/>
    <w:autoRedefine/>
    <w:qFormat/>
    <w:uiPriority w:val="0"/>
    <w:rPr>
      <w:rFonts w:ascii="Arial" w:hAnsi="Arial"/>
      <w:sz w:val="24"/>
      <w:lang w:bidi="ar-SA"/>
    </w:rPr>
  </w:style>
  <w:style w:type="paragraph" w:customStyle="1" w:styleId="105">
    <w:name w:val="cu-b"/>
    <w:basedOn w:val="106"/>
    <w:link w:val="104"/>
    <w:autoRedefine/>
    <w:qFormat/>
    <w:uiPriority w:val="0"/>
    <w:pPr>
      <w:tabs>
        <w:tab w:val="left" w:pos="720"/>
      </w:tabs>
      <w:spacing w:line="360" w:lineRule="auto"/>
    </w:pPr>
  </w:style>
  <w:style w:type="paragraph" w:customStyle="1" w:styleId="106">
    <w:name w:val="CU-bullentine--small"/>
    <w:basedOn w:val="1"/>
    <w:autoRedefine/>
    <w:qFormat/>
    <w:uiPriority w:val="0"/>
    <w:pPr>
      <w:widowControl/>
      <w:tabs>
        <w:tab w:val="left" w:pos="720"/>
      </w:tabs>
      <w:ind w:left="900" w:hanging="420"/>
      <w:jc w:val="left"/>
    </w:pPr>
    <w:rPr>
      <w:rFonts w:ascii="Arial" w:hAnsi="Arial"/>
      <w:kern w:val="0"/>
      <w:sz w:val="24"/>
    </w:rPr>
  </w:style>
  <w:style w:type="character" w:customStyle="1" w:styleId="107">
    <w:name w:val="普通正文 Char Char"/>
    <w:link w:val="108"/>
    <w:autoRedefine/>
    <w:qFormat/>
    <w:uiPriority w:val="0"/>
    <w:rPr>
      <w:rFonts w:ascii="仿宋_GB2312" w:eastAsia="仿宋_GB2312"/>
      <w:kern w:val="2"/>
      <w:sz w:val="28"/>
      <w:lang w:bidi="ar-SA"/>
    </w:rPr>
  </w:style>
  <w:style w:type="paragraph" w:customStyle="1" w:styleId="108">
    <w:name w:val="普通正文"/>
    <w:basedOn w:val="1"/>
    <w:link w:val="107"/>
    <w:autoRedefine/>
    <w:qFormat/>
    <w:uiPriority w:val="0"/>
    <w:pPr>
      <w:spacing w:line="440" w:lineRule="exact"/>
      <w:ind w:firstLine="560" w:firstLineChars="200"/>
    </w:pPr>
    <w:rPr>
      <w:rFonts w:ascii="仿宋_GB2312" w:eastAsia="仿宋_GB2312"/>
      <w:sz w:val="28"/>
    </w:rPr>
  </w:style>
  <w:style w:type="character" w:customStyle="1" w:styleId="109">
    <w:name w:val="Char Char28"/>
    <w:autoRedefine/>
    <w:qFormat/>
    <w:uiPriority w:val="0"/>
    <w:rPr>
      <w:rFonts w:ascii="Arial" w:hAnsi="Arial" w:eastAsia="黑体"/>
      <w:kern w:val="2"/>
      <w:sz w:val="21"/>
      <w:szCs w:val="21"/>
      <w:lang w:val="en-US" w:eastAsia="zh-CN" w:bidi="ar-SA"/>
    </w:rPr>
  </w:style>
  <w:style w:type="character" w:customStyle="1" w:styleId="110">
    <w:name w:val="maywed421"/>
    <w:autoRedefine/>
    <w:qFormat/>
    <w:uiPriority w:val="0"/>
    <w:rPr>
      <w:color w:val="366FB6"/>
      <w:u w:val="none"/>
    </w:rPr>
  </w:style>
  <w:style w:type="character" w:customStyle="1" w:styleId="111">
    <w:name w:val="方案正文 Char Char"/>
    <w:link w:val="112"/>
    <w:autoRedefine/>
    <w:qFormat/>
    <w:uiPriority w:val="0"/>
    <w:rPr>
      <w:rFonts w:ascii="宋体" w:hAnsi="宋体"/>
      <w:kern w:val="2"/>
      <w:sz w:val="28"/>
      <w:szCs w:val="28"/>
      <w:lang w:bidi="ar-SA"/>
    </w:rPr>
  </w:style>
  <w:style w:type="paragraph" w:customStyle="1" w:styleId="112">
    <w:name w:val="方案正文"/>
    <w:basedOn w:val="1"/>
    <w:link w:val="111"/>
    <w:autoRedefine/>
    <w:qFormat/>
    <w:uiPriority w:val="0"/>
    <w:pPr>
      <w:spacing w:line="360" w:lineRule="auto"/>
      <w:ind w:firstLine="538" w:firstLineChars="192"/>
    </w:pPr>
    <w:rPr>
      <w:rFonts w:ascii="宋体" w:hAnsi="宋体"/>
      <w:sz w:val="28"/>
      <w:szCs w:val="28"/>
    </w:rPr>
  </w:style>
  <w:style w:type="character" w:customStyle="1" w:styleId="113">
    <w:name w:val="style91"/>
    <w:autoRedefine/>
    <w:qFormat/>
    <w:uiPriority w:val="0"/>
    <w:rPr>
      <w:sz w:val="24"/>
      <w:szCs w:val="24"/>
    </w:rPr>
  </w:style>
  <w:style w:type="character" w:customStyle="1" w:styleId="114">
    <w:name w:val="font01"/>
    <w:autoRedefine/>
    <w:qFormat/>
    <w:uiPriority w:val="0"/>
    <w:rPr>
      <w:rFonts w:hint="eastAsia" w:ascii="宋体" w:hAnsi="宋体" w:eastAsia="宋体"/>
      <w:color w:val="000000"/>
      <w:sz w:val="20"/>
      <w:szCs w:val="20"/>
      <w:u w:val="none"/>
    </w:rPr>
  </w:style>
  <w:style w:type="character" w:customStyle="1" w:styleId="115">
    <w:name w:val="正文文字首行缩进 Char1"/>
    <w:autoRedefine/>
    <w:qFormat/>
    <w:uiPriority w:val="0"/>
    <w:rPr>
      <w:rFonts w:eastAsia="宋体"/>
      <w:kern w:val="2"/>
      <w:sz w:val="32"/>
      <w:lang w:val="en-US" w:eastAsia="zh-CN" w:bidi="ar-SA"/>
    </w:rPr>
  </w:style>
  <w:style w:type="character" w:customStyle="1" w:styleId="116">
    <w:name w:val="size121"/>
    <w:autoRedefine/>
    <w:qFormat/>
    <w:uiPriority w:val="0"/>
    <w:rPr>
      <w:color w:val="333333"/>
      <w:sz w:val="18"/>
      <w:szCs w:val="18"/>
    </w:rPr>
  </w:style>
  <w:style w:type="character" w:customStyle="1" w:styleId="117">
    <w:name w:val="标题 5 Char"/>
    <w:autoRedefine/>
    <w:qFormat/>
    <w:uiPriority w:val="0"/>
    <w:rPr>
      <w:rFonts w:ascii="Arial" w:hAnsi="Arial" w:eastAsia="宋体"/>
      <w:b/>
      <w:bCs/>
      <w:kern w:val="2"/>
      <w:sz w:val="28"/>
      <w:szCs w:val="28"/>
      <w:lang w:val="en-US" w:eastAsia="zh-CN" w:bidi="ar-SA"/>
    </w:rPr>
  </w:style>
  <w:style w:type="character" w:customStyle="1" w:styleId="118">
    <w:name w:val="Table Text Char1"/>
    <w:link w:val="119"/>
    <w:autoRedefine/>
    <w:qFormat/>
    <w:uiPriority w:val="0"/>
    <w:rPr>
      <w:rFonts w:eastAsia="宋体"/>
      <w:sz w:val="21"/>
      <w:szCs w:val="24"/>
      <w:lang w:val="en-US" w:eastAsia="zh-CN" w:bidi="ar-SA"/>
    </w:rPr>
  </w:style>
  <w:style w:type="paragraph" w:customStyle="1" w:styleId="119">
    <w:name w:val="Table Text"/>
    <w:basedOn w:val="1"/>
    <w:link w:val="118"/>
    <w:autoRedefine/>
    <w:qFormat/>
    <w:uiPriority w:val="0"/>
    <w:pPr>
      <w:widowControl/>
      <w:spacing w:before="60" w:after="60"/>
      <w:jc w:val="left"/>
    </w:pPr>
    <w:rPr>
      <w:kern w:val="0"/>
      <w:szCs w:val="24"/>
    </w:rPr>
  </w:style>
  <w:style w:type="character" w:customStyle="1" w:styleId="120">
    <w:name w:val="标题 3 Char Char Char"/>
    <w:autoRedefine/>
    <w:qFormat/>
    <w:uiPriority w:val="0"/>
    <w:rPr>
      <w:rFonts w:eastAsia="宋体"/>
      <w:b/>
      <w:kern w:val="2"/>
      <w:sz w:val="32"/>
      <w:lang w:val="en-US" w:eastAsia="zh-CN" w:bidi="ar-SA"/>
    </w:rPr>
  </w:style>
  <w:style w:type="character" w:customStyle="1" w:styleId="121">
    <w:name w:val="！标题2 Char Char"/>
    <w:link w:val="122"/>
    <w:autoRedefine/>
    <w:qFormat/>
    <w:uiPriority w:val="0"/>
    <w:rPr>
      <w:rFonts w:ascii="Arial" w:hAnsi="Arial"/>
      <w:b/>
      <w:bCs/>
      <w:color w:val="000000"/>
      <w:kern w:val="2"/>
      <w:sz w:val="28"/>
      <w:szCs w:val="32"/>
      <w:lang w:bidi="ar-SA"/>
    </w:rPr>
  </w:style>
  <w:style w:type="paragraph" w:customStyle="1" w:styleId="122">
    <w:name w:val="！标题2"/>
    <w:basedOn w:val="4"/>
    <w:link w:val="121"/>
    <w:autoRedefine/>
    <w:qFormat/>
    <w:uiPriority w:val="0"/>
    <w:pPr>
      <w:keepLines w:val="0"/>
      <w:tabs>
        <w:tab w:val="left" w:pos="993"/>
        <w:tab w:val="left" w:pos="1200"/>
        <w:tab w:val="left" w:pos="2007"/>
      </w:tabs>
      <w:spacing w:line="415" w:lineRule="auto"/>
      <w:ind w:left="1200" w:leftChars="400" w:hanging="360" w:hangingChars="200"/>
    </w:pPr>
    <w:rPr>
      <w:rFonts w:eastAsia="宋体"/>
      <w:color w:val="000000"/>
      <w:sz w:val="28"/>
    </w:rPr>
  </w:style>
  <w:style w:type="character" w:customStyle="1" w:styleId="123">
    <w:name w:val="文档正文 Char Char"/>
    <w:link w:val="124"/>
    <w:autoRedefine/>
    <w:qFormat/>
    <w:uiPriority w:val="0"/>
    <w:rPr>
      <w:sz w:val="28"/>
    </w:rPr>
  </w:style>
  <w:style w:type="paragraph" w:customStyle="1" w:styleId="124">
    <w:name w:val="文档正文"/>
    <w:basedOn w:val="1"/>
    <w:link w:val="123"/>
    <w:autoRedefine/>
    <w:qFormat/>
    <w:uiPriority w:val="0"/>
    <w:pPr>
      <w:adjustRightInd w:val="0"/>
      <w:spacing w:line="360" w:lineRule="auto"/>
      <w:ind w:firstLine="512" w:firstLineChars="200"/>
      <w:textAlignment w:val="baseline"/>
    </w:pPr>
    <w:rPr>
      <w:kern w:val="0"/>
      <w:sz w:val="28"/>
    </w:rPr>
  </w:style>
  <w:style w:type="character" w:customStyle="1" w:styleId="125">
    <w:name w:val="F正文 Char Char"/>
    <w:link w:val="126"/>
    <w:autoRedefine/>
    <w:qFormat/>
    <w:uiPriority w:val="0"/>
    <w:rPr>
      <w:rFonts w:ascii="宋体" w:hAnsi="宋体"/>
      <w:kern w:val="2"/>
      <w:sz w:val="28"/>
      <w:szCs w:val="28"/>
      <w:lang w:bidi="ar-SA"/>
    </w:rPr>
  </w:style>
  <w:style w:type="paragraph" w:customStyle="1" w:styleId="126">
    <w:name w:val="F正文"/>
    <w:basedOn w:val="1"/>
    <w:link w:val="125"/>
    <w:autoRedefine/>
    <w:qFormat/>
    <w:uiPriority w:val="0"/>
    <w:pPr>
      <w:spacing w:before="60" w:after="60" w:line="264" w:lineRule="auto"/>
      <w:ind w:right="323" w:rightChars="154" w:firstLine="560" w:firstLineChars="200"/>
    </w:pPr>
    <w:rPr>
      <w:rFonts w:ascii="宋体" w:hAnsi="宋体"/>
      <w:sz w:val="28"/>
      <w:szCs w:val="28"/>
    </w:rPr>
  </w:style>
  <w:style w:type="character" w:customStyle="1" w:styleId="127">
    <w:name w:val="kleintab"/>
    <w:basedOn w:val="61"/>
    <w:autoRedefine/>
    <w:qFormat/>
    <w:uiPriority w:val="0"/>
  </w:style>
  <w:style w:type="character" w:customStyle="1" w:styleId="128">
    <w:name w:val="long_text1"/>
    <w:autoRedefine/>
    <w:qFormat/>
    <w:uiPriority w:val="0"/>
    <w:rPr>
      <w:sz w:val="20"/>
      <w:szCs w:val="20"/>
    </w:rPr>
  </w:style>
  <w:style w:type="character" w:customStyle="1" w:styleId="129">
    <w:name w:val="point_normal"/>
    <w:basedOn w:val="61"/>
    <w:autoRedefine/>
    <w:qFormat/>
    <w:uiPriority w:val="0"/>
  </w:style>
  <w:style w:type="character" w:customStyle="1" w:styleId="130">
    <w:name w:val="para"/>
    <w:basedOn w:val="61"/>
    <w:autoRedefine/>
    <w:qFormat/>
    <w:uiPriority w:val="0"/>
  </w:style>
  <w:style w:type="character" w:customStyle="1" w:styleId="131">
    <w:name w:val="55555 Char Char"/>
    <w:link w:val="132"/>
    <w:autoRedefine/>
    <w:qFormat/>
    <w:uiPriority w:val="0"/>
    <w:rPr>
      <w:rFonts w:eastAsia="仿宋_GB2312"/>
      <w:kern w:val="2"/>
      <w:sz w:val="30"/>
      <w:szCs w:val="30"/>
      <w:lang w:bidi="ar-SA"/>
    </w:rPr>
  </w:style>
  <w:style w:type="paragraph" w:customStyle="1" w:styleId="132">
    <w:name w:val="55555"/>
    <w:basedOn w:val="2"/>
    <w:link w:val="131"/>
    <w:autoRedefine/>
    <w:qFormat/>
    <w:uiPriority w:val="0"/>
    <w:pPr>
      <w:tabs>
        <w:tab w:val="left" w:pos="900"/>
        <w:tab w:val="left" w:pos="1800"/>
      </w:tabs>
      <w:spacing w:line="360" w:lineRule="auto"/>
      <w:ind w:left="1800" w:hanging="420"/>
    </w:pPr>
    <w:rPr>
      <w:rFonts w:eastAsia="仿宋_GB2312"/>
      <w:sz w:val="30"/>
      <w:szCs w:val="30"/>
    </w:rPr>
  </w:style>
  <w:style w:type="character" w:customStyle="1" w:styleId="133">
    <w:name w:val="CU-sub Char Char"/>
    <w:link w:val="134"/>
    <w:autoRedefine/>
    <w:qFormat/>
    <w:uiPriority w:val="0"/>
    <w:rPr>
      <w:rFonts w:ascii="Arial" w:hAnsi="Arial"/>
      <w:kern w:val="2"/>
      <w:sz w:val="24"/>
      <w:szCs w:val="24"/>
      <w:lang w:bidi="ar-SA"/>
    </w:rPr>
  </w:style>
  <w:style w:type="paragraph" w:customStyle="1" w:styleId="134">
    <w:name w:val="CU-sub"/>
    <w:basedOn w:val="1"/>
    <w:link w:val="133"/>
    <w:autoRedefine/>
    <w:qFormat/>
    <w:uiPriority w:val="0"/>
    <w:pPr>
      <w:widowControl/>
      <w:tabs>
        <w:tab w:val="left" w:pos="1440"/>
      </w:tabs>
      <w:spacing w:line="360" w:lineRule="auto"/>
      <w:ind w:left="1400" w:hanging="420"/>
      <w:jc w:val="left"/>
    </w:pPr>
    <w:rPr>
      <w:rFonts w:ascii="Arial" w:hAnsi="Arial"/>
      <w:sz w:val="24"/>
      <w:szCs w:val="24"/>
    </w:rPr>
  </w:style>
  <w:style w:type="character" w:customStyle="1" w:styleId="135">
    <w:name w:val="unnamed31"/>
    <w:autoRedefine/>
    <w:qFormat/>
    <w:uiPriority w:val="0"/>
    <w:rPr>
      <w:sz w:val="22"/>
      <w:szCs w:val="22"/>
    </w:rPr>
  </w:style>
  <w:style w:type="character" w:customStyle="1" w:styleId="136">
    <w:name w:val="中等深浅网格 1 - 着色 2 字符"/>
    <w:link w:val="137"/>
    <w:autoRedefine/>
    <w:qFormat/>
    <w:uiPriority w:val="34"/>
    <w:rPr>
      <w:rFonts w:ascii="Calibri" w:hAnsi="Calibri"/>
      <w:kern w:val="2"/>
      <w:sz w:val="21"/>
      <w:szCs w:val="22"/>
    </w:rPr>
  </w:style>
  <w:style w:type="paragraph" w:customStyle="1" w:styleId="137">
    <w:name w:val="中等深浅网格 1 - 着色 21"/>
    <w:basedOn w:val="1"/>
    <w:link w:val="136"/>
    <w:autoRedefine/>
    <w:qFormat/>
    <w:uiPriority w:val="34"/>
    <w:pPr>
      <w:ind w:firstLine="420" w:firstLineChars="200"/>
    </w:pPr>
    <w:rPr>
      <w:rFonts w:ascii="Calibri" w:hAnsi="Calibri"/>
      <w:szCs w:val="22"/>
    </w:rPr>
  </w:style>
  <w:style w:type="character" w:customStyle="1" w:styleId="138">
    <w:name w:val="Body text + Spacing -1 pt"/>
    <w:autoRedefine/>
    <w:qFormat/>
    <w:uiPriority w:val="0"/>
    <w:rPr>
      <w:rFonts w:ascii="宋体" w:eastAsia="宋体" w:cs="宋体"/>
      <w:spacing w:val="-30"/>
      <w:sz w:val="27"/>
      <w:szCs w:val="27"/>
      <w:u w:val="none"/>
      <w:lang w:bidi="ar-SA"/>
    </w:rPr>
  </w:style>
  <w:style w:type="character" w:customStyle="1" w:styleId="139">
    <w:name w:val="text1"/>
    <w:basedOn w:val="61"/>
    <w:autoRedefine/>
    <w:qFormat/>
    <w:uiPriority w:val="0"/>
  </w:style>
  <w:style w:type="character" w:customStyle="1" w:styleId="140">
    <w:name w:val="Heading 2 Hidden Char"/>
    <w:autoRedefine/>
    <w:qFormat/>
    <w:uiPriority w:val="0"/>
    <w:rPr>
      <w:rFonts w:ascii="Arial" w:hAnsi="Arial" w:eastAsia="黑体"/>
      <w:b/>
      <w:bCs/>
      <w:kern w:val="2"/>
      <w:sz w:val="32"/>
      <w:szCs w:val="32"/>
      <w:lang w:val="en-US" w:eastAsia="zh-CN" w:bidi="ar-SA"/>
    </w:rPr>
  </w:style>
  <w:style w:type="character" w:customStyle="1" w:styleId="141">
    <w:name w:val="样式 正文new + 首行缩进:  2 字符 Char Char"/>
    <w:autoRedefine/>
    <w:qFormat/>
    <w:uiPriority w:val="0"/>
    <w:rPr>
      <w:rFonts w:ascii="宋体" w:hAnsi="宋体" w:eastAsia="宋体" w:cs="宋体"/>
      <w:color w:val="000000"/>
      <w:kern w:val="2"/>
      <w:sz w:val="21"/>
      <w:szCs w:val="28"/>
      <w:lang w:val="en-US" w:eastAsia="zh-CN" w:bidi="ar-SA"/>
    </w:rPr>
  </w:style>
  <w:style w:type="character" w:customStyle="1" w:styleId="142">
    <w:name w:val="表内 Char Char"/>
    <w:link w:val="143"/>
    <w:autoRedefine/>
    <w:qFormat/>
    <w:uiPriority w:val="0"/>
    <w:rPr>
      <w:rFonts w:eastAsia="Times New Roman" w:cs="宋体"/>
      <w:lang w:val="en-US" w:eastAsia="zh-CN" w:bidi="ar-SA"/>
    </w:rPr>
  </w:style>
  <w:style w:type="paragraph" w:customStyle="1" w:styleId="143">
    <w:name w:val="表内"/>
    <w:next w:val="144"/>
    <w:link w:val="142"/>
    <w:autoRedefine/>
    <w:qFormat/>
    <w:uiPriority w:val="0"/>
    <w:pPr>
      <w:jc w:val="center"/>
    </w:pPr>
    <w:rPr>
      <w:rFonts w:ascii="Times New Roman" w:hAnsi="Times New Roman" w:eastAsia="Times New Roman" w:cs="宋体"/>
      <w:lang w:val="en-US" w:eastAsia="zh-CN" w:bidi="ar-SA"/>
    </w:rPr>
  </w:style>
  <w:style w:type="paragraph" w:customStyle="1" w:styleId="144">
    <w:name w:val="表后"/>
    <w:next w:val="57"/>
    <w:link w:val="145"/>
    <w:autoRedefine/>
    <w:qFormat/>
    <w:uiPriority w:val="0"/>
    <w:rPr>
      <w:rFonts w:ascii="宋体" w:hAnsi="宋体" w:eastAsia="宋体" w:cs="Times New Roman"/>
      <w:color w:val="000000"/>
      <w:kern w:val="2"/>
      <w:sz w:val="21"/>
      <w:szCs w:val="24"/>
      <w:lang w:val="en-US" w:eastAsia="zh-CN" w:bidi="ar-SA"/>
    </w:rPr>
  </w:style>
  <w:style w:type="character" w:customStyle="1" w:styleId="145">
    <w:name w:val="表后 Char Char"/>
    <w:link w:val="144"/>
    <w:autoRedefine/>
    <w:qFormat/>
    <w:uiPriority w:val="0"/>
    <w:rPr>
      <w:rFonts w:ascii="宋体" w:hAnsi="宋体"/>
      <w:color w:val="000000"/>
      <w:kern w:val="2"/>
      <w:sz w:val="21"/>
      <w:szCs w:val="24"/>
      <w:lang w:val="en-US" w:eastAsia="zh-CN" w:bidi="ar-SA"/>
    </w:rPr>
  </w:style>
  <w:style w:type="character" w:customStyle="1" w:styleId="146">
    <w:name w:val="short_text"/>
    <w:autoRedefine/>
    <w:qFormat/>
    <w:uiPriority w:val="0"/>
    <w:rPr>
      <w:rFonts w:ascii="宋体" w:hAnsi="宋体" w:eastAsia="宋体"/>
      <w:kern w:val="2"/>
      <w:sz w:val="30"/>
      <w:szCs w:val="30"/>
      <w:lang w:val="en-US" w:eastAsia="zh-CN" w:bidi="ar-SA"/>
    </w:rPr>
  </w:style>
  <w:style w:type="character" w:customStyle="1" w:styleId="147">
    <w:name w:val="my正文 Char Char"/>
    <w:link w:val="148"/>
    <w:autoRedefine/>
    <w:qFormat/>
    <w:uiPriority w:val="0"/>
    <w:rPr>
      <w:kern w:val="2"/>
      <w:sz w:val="24"/>
      <w:szCs w:val="24"/>
      <w:lang w:bidi="ar-SA"/>
    </w:rPr>
  </w:style>
  <w:style w:type="paragraph" w:customStyle="1" w:styleId="148">
    <w:name w:val="my正文"/>
    <w:basedOn w:val="1"/>
    <w:link w:val="147"/>
    <w:autoRedefine/>
    <w:qFormat/>
    <w:uiPriority w:val="0"/>
    <w:pPr>
      <w:spacing w:line="360" w:lineRule="auto"/>
      <w:ind w:firstLine="480" w:firstLineChars="200"/>
    </w:pPr>
    <w:rPr>
      <w:sz w:val="24"/>
      <w:szCs w:val="24"/>
    </w:rPr>
  </w:style>
  <w:style w:type="character" w:customStyle="1" w:styleId="149">
    <w:name w:val="tw4winTerm"/>
    <w:autoRedefine/>
    <w:qFormat/>
    <w:uiPriority w:val="0"/>
    <w:rPr>
      <w:color w:val="0000FF"/>
    </w:rPr>
  </w:style>
  <w:style w:type="character" w:customStyle="1" w:styleId="150">
    <w:name w:val="文档正文 Char Char Char"/>
    <w:autoRedefine/>
    <w:qFormat/>
    <w:uiPriority w:val="0"/>
    <w:rPr>
      <w:sz w:val="28"/>
    </w:rPr>
  </w:style>
  <w:style w:type="character" w:customStyle="1" w:styleId="151">
    <w:name w:val="表格正文 Char Char"/>
    <w:link w:val="152"/>
    <w:autoRedefine/>
    <w:qFormat/>
    <w:uiPriority w:val="0"/>
    <w:rPr>
      <w:rFonts w:eastAsia="宋体"/>
      <w:kern w:val="2"/>
      <w:sz w:val="18"/>
      <w:lang w:val="en-US" w:eastAsia="zh-CN" w:bidi="ar-SA"/>
    </w:rPr>
  </w:style>
  <w:style w:type="paragraph" w:customStyle="1" w:styleId="152">
    <w:name w:val="表格正文"/>
    <w:basedOn w:val="1"/>
    <w:link w:val="151"/>
    <w:autoRedefine/>
    <w:qFormat/>
    <w:uiPriority w:val="0"/>
    <w:pPr>
      <w:spacing w:before="60" w:after="60"/>
    </w:pPr>
    <w:rPr>
      <w:sz w:val="18"/>
    </w:rPr>
  </w:style>
  <w:style w:type="character" w:customStyle="1" w:styleId="153">
    <w:name w:val="样式 样式 列表接续 3title new 3 + 小三 + 小三 Char Char"/>
    <w:basedOn w:val="154"/>
    <w:autoRedefine/>
    <w:qFormat/>
    <w:uiPriority w:val="0"/>
    <w:rPr>
      <w:rFonts w:ascii="宋体" w:hAnsi="宋体" w:eastAsia="宋体"/>
      <w:color w:val="000000"/>
      <w:sz w:val="28"/>
      <w:szCs w:val="21"/>
      <w:lang w:val="en-US" w:eastAsia="zh-CN" w:bidi="ar-SA"/>
    </w:rPr>
  </w:style>
  <w:style w:type="character" w:customStyle="1" w:styleId="154">
    <w:name w:val="样式 列表接续 3title new 3 + 小三 Char Char"/>
    <w:autoRedefine/>
    <w:qFormat/>
    <w:uiPriority w:val="0"/>
    <w:rPr>
      <w:rFonts w:ascii="宋体" w:hAnsi="宋体" w:eastAsia="宋体"/>
      <w:b/>
      <w:bCs/>
      <w:color w:val="000000"/>
      <w:sz w:val="28"/>
      <w:szCs w:val="21"/>
      <w:lang w:val="en-US" w:eastAsia="zh-CN" w:bidi="ar-SA"/>
    </w:rPr>
  </w:style>
  <w:style w:type="character" w:customStyle="1" w:styleId="155">
    <w:name w:val="f1441"/>
    <w:autoRedefine/>
    <w:qFormat/>
    <w:uiPriority w:val="0"/>
    <w:rPr>
      <w:sz w:val="21"/>
      <w:szCs w:val="21"/>
    </w:rPr>
  </w:style>
  <w:style w:type="character" w:customStyle="1" w:styleId="156">
    <w:name w:val="标题二 Char Char"/>
    <w:link w:val="157"/>
    <w:autoRedefine/>
    <w:qFormat/>
    <w:uiPriority w:val="0"/>
    <w:rPr>
      <w:rFonts w:ascii="宋体" w:hAnsi="宋体" w:eastAsia="宋体"/>
      <w:b/>
      <w:bCs/>
      <w:sz w:val="30"/>
      <w:szCs w:val="30"/>
      <w:lang w:val="en-US" w:eastAsia="en-US" w:bidi="en-US"/>
    </w:rPr>
  </w:style>
  <w:style w:type="paragraph" w:customStyle="1" w:styleId="157">
    <w:name w:val="标题二"/>
    <w:basedOn w:val="4"/>
    <w:link w:val="156"/>
    <w:autoRedefine/>
    <w:qFormat/>
    <w:uiPriority w:val="0"/>
    <w:pPr>
      <w:widowControl/>
      <w:numPr>
        <w:ilvl w:val="0"/>
        <w:numId w:val="2"/>
      </w:numPr>
      <w:spacing w:before="200" w:after="0" w:line="276" w:lineRule="auto"/>
      <w:jc w:val="left"/>
    </w:pPr>
    <w:rPr>
      <w:rFonts w:ascii="宋体" w:hAnsi="宋体" w:eastAsia="宋体"/>
      <w:kern w:val="0"/>
      <w:sz w:val="30"/>
      <w:szCs w:val="30"/>
      <w:lang w:eastAsia="en-US" w:bidi="en-US"/>
    </w:rPr>
  </w:style>
  <w:style w:type="character" w:customStyle="1" w:styleId="158">
    <w:name w:val="样式 纯文本普通文字普通文字 Char Char Char Char Char Char普通文字 Char Char Ch... Char Char Char"/>
    <w:autoRedefine/>
    <w:qFormat/>
    <w:uiPriority w:val="0"/>
    <w:rPr>
      <w:rFonts w:ascii="仿宋_GB2312" w:hAnsi="仿宋_GB2312" w:eastAsia="仿宋_GB2312"/>
      <w:kern w:val="2"/>
      <w:sz w:val="28"/>
    </w:rPr>
  </w:style>
  <w:style w:type="character" w:customStyle="1" w:styleId="159">
    <w:name w:val="项目样式 Char Char"/>
    <w:link w:val="160"/>
    <w:autoRedefine/>
    <w:qFormat/>
    <w:uiPriority w:val="0"/>
    <w:rPr>
      <w:rFonts w:ascii="宋体" w:hAnsi="宋体"/>
      <w:b/>
      <w:sz w:val="24"/>
      <w:szCs w:val="24"/>
      <w:lang w:bidi="ar-SA"/>
    </w:rPr>
  </w:style>
  <w:style w:type="paragraph" w:customStyle="1" w:styleId="160">
    <w:name w:val="项目样式"/>
    <w:basedOn w:val="161"/>
    <w:link w:val="159"/>
    <w:autoRedefine/>
    <w:qFormat/>
    <w:uiPriority w:val="0"/>
    <w:pPr>
      <w:tabs>
        <w:tab w:val="left" w:pos="1500"/>
      </w:tabs>
      <w:ind w:left="1500" w:hanging="960" w:firstLineChars="0"/>
    </w:pPr>
    <w:rPr>
      <w:b/>
    </w:rPr>
  </w:style>
  <w:style w:type="paragraph" w:customStyle="1" w:styleId="161">
    <w:name w:val="正常正文样式"/>
    <w:basedOn w:val="1"/>
    <w:link w:val="162"/>
    <w:autoRedefine/>
    <w:qFormat/>
    <w:uiPriority w:val="0"/>
    <w:pPr>
      <w:autoSpaceDE w:val="0"/>
      <w:autoSpaceDN w:val="0"/>
      <w:adjustRightInd w:val="0"/>
      <w:spacing w:line="360" w:lineRule="auto"/>
      <w:ind w:firstLine="480" w:firstLineChars="200"/>
      <w:jc w:val="left"/>
    </w:pPr>
    <w:rPr>
      <w:rFonts w:ascii="宋体" w:hAnsi="宋体"/>
      <w:kern w:val="0"/>
      <w:sz w:val="24"/>
      <w:szCs w:val="24"/>
    </w:rPr>
  </w:style>
  <w:style w:type="character" w:customStyle="1" w:styleId="162">
    <w:name w:val="正常正文样式 Char Char"/>
    <w:link w:val="161"/>
    <w:autoRedefine/>
    <w:qFormat/>
    <w:uiPriority w:val="0"/>
    <w:rPr>
      <w:rFonts w:ascii="宋体" w:hAnsi="宋体"/>
      <w:sz w:val="24"/>
      <w:szCs w:val="24"/>
      <w:lang w:bidi="ar-SA"/>
    </w:rPr>
  </w:style>
  <w:style w:type="character" w:customStyle="1" w:styleId="163">
    <w:name w:val="text"/>
    <w:basedOn w:val="61"/>
    <w:autoRedefine/>
    <w:qFormat/>
    <w:uiPriority w:val="0"/>
  </w:style>
  <w:style w:type="character" w:customStyle="1" w:styleId="164">
    <w:name w:val="11-a-a"/>
    <w:basedOn w:val="61"/>
    <w:autoRedefine/>
    <w:qFormat/>
    <w:uiPriority w:val="0"/>
  </w:style>
  <w:style w:type="character" w:customStyle="1" w:styleId="165">
    <w:name w:val="style181"/>
    <w:autoRedefine/>
    <w:qFormat/>
    <w:uiPriority w:val="0"/>
    <w:rPr>
      <w:sz w:val="18"/>
      <w:szCs w:val="18"/>
    </w:rPr>
  </w:style>
  <w:style w:type="character" w:customStyle="1" w:styleId="166">
    <w:name w:val="22222 Char Char"/>
    <w:link w:val="167"/>
    <w:autoRedefine/>
    <w:qFormat/>
    <w:uiPriority w:val="0"/>
    <w:rPr>
      <w:rFonts w:ascii="宋体" w:hAnsi="宋体"/>
      <w:kern w:val="2"/>
      <w:sz w:val="30"/>
      <w:szCs w:val="30"/>
      <w:lang w:bidi="ar-SA"/>
    </w:rPr>
  </w:style>
  <w:style w:type="paragraph" w:customStyle="1" w:styleId="167">
    <w:name w:val="22222"/>
    <w:basedOn w:val="1"/>
    <w:link w:val="166"/>
    <w:autoRedefine/>
    <w:qFormat/>
    <w:uiPriority w:val="0"/>
    <w:pPr>
      <w:tabs>
        <w:tab w:val="left" w:pos="420"/>
      </w:tabs>
      <w:adjustRightInd w:val="0"/>
      <w:snapToGrid w:val="0"/>
      <w:spacing w:line="360" w:lineRule="auto"/>
      <w:ind w:left="420" w:right="31" w:rightChars="17" w:hanging="420"/>
    </w:pPr>
    <w:rPr>
      <w:rFonts w:ascii="宋体" w:hAnsi="宋体"/>
      <w:sz w:val="30"/>
      <w:szCs w:val="30"/>
    </w:rPr>
  </w:style>
  <w:style w:type="character" w:customStyle="1" w:styleId="168">
    <w:name w:val="Para head"/>
    <w:autoRedefine/>
    <w:qFormat/>
    <w:uiPriority w:val="0"/>
    <w:rPr>
      <w:rFonts w:ascii="Arial" w:hAnsi="Arial" w:eastAsia="Times New Roman"/>
      <w:sz w:val="20"/>
    </w:rPr>
  </w:style>
  <w:style w:type="character" w:customStyle="1" w:styleId="169">
    <w:name w:val="纯文本 Char1"/>
    <w:autoRedefine/>
    <w:qFormat/>
    <w:uiPriority w:val="0"/>
    <w:rPr>
      <w:rFonts w:ascii="宋体" w:hAnsi="Courier New"/>
      <w:kern w:val="2"/>
      <w:sz w:val="21"/>
    </w:rPr>
  </w:style>
  <w:style w:type="character" w:customStyle="1" w:styleId="170">
    <w:name w:val="title new 3 Char Char"/>
    <w:autoRedefine/>
    <w:qFormat/>
    <w:uiPriority w:val="0"/>
    <w:rPr>
      <w:rFonts w:ascii="宋体" w:hAnsi="宋体" w:eastAsia="宋体"/>
      <w:b/>
      <w:color w:val="000000"/>
      <w:sz w:val="28"/>
      <w:szCs w:val="21"/>
      <w:lang w:val="en-US" w:eastAsia="zh-CN" w:bidi="ar-SA"/>
    </w:rPr>
  </w:style>
  <w:style w:type="character" w:customStyle="1" w:styleId="171">
    <w:name w:val="img"/>
    <w:basedOn w:val="61"/>
    <w:autoRedefine/>
    <w:qFormat/>
    <w:uiPriority w:val="0"/>
  </w:style>
  <w:style w:type="character" w:customStyle="1" w:styleId="172">
    <w:name w:val="(符号)五标题1.1.1 Char Char"/>
    <w:link w:val="173"/>
    <w:autoRedefine/>
    <w:qFormat/>
    <w:uiPriority w:val="0"/>
    <w:rPr>
      <w:rFonts w:ascii="宋体" w:hAnsi="宋体" w:eastAsia="宋体" w:cs="宋体"/>
      <w:color w:val="000000"/>
      <w:kern w:val="2"/>
      <w:sz w:val="24"/>
      <w:lang w:val="en-US" w:eastAsia="zh-CN" w:bidi="ar-SA"/>
    </w:rPr>
  </w:style>
  <w:style w:type="paragraph" w:customStyle="1" w:styleId="173">
    <w:name w:val="(符号)五标题1.1.1"/>
    <w:basedOn w:val="1"/>
    <w:link w:val="172"/>
    <w:autoRedefine/>
    <w:qFormat/>
    <w:uiPriority w:val="0"/>
    <w:pPr>
      <w:tabs>
        <w:tab w:val="left" w:pos="1000"/>
      </w:tabs>
      <w:spacing w:line="500" w:lineRule="exact"/>
      <w:ind w:left="1000" w:hanging="1000"/>
    </w:pPr>
    <w:rPr>
      <w:rFonts w:ascii="宋体" w:hAnsi="宋体" w:cs="宋体"/>
      <w:color w:val="000000"/>
      <w:sz w:val="24"/>
    </w:rPr>
  </w:style>
  <w:style w:type="character" w:customStyle="1" w:styleId="174">
    <w:name w:val="图文 Char Char"/>
    <w:link w:val="175"/>
    <w:autoRedefine/>
    <w:qFormat/>
    <w:uiPriority w:val="0"/>
    <w:rPr>
      <w:kern w:val="2"/>
      <w:sz w:val="21"/>
      <w:lang w:bidi="ar-SA"/>
    </w:rPr>
  </w:style>
  <w:style w:type="paragraph" w:customStyle="1" w:styleId="175">
    <w:name w:val="图文"/>
    <w:basedOn w:val="1"/>
    <w:link w:val="174"/>
    <w:autoRedefine/>
    <w:qFormat/>
    <w:uiPriority w:val="0"/>
    <w:pPr>
      <w:jc w:val="center"/>
    </w:pPr>
  </w:style>
  <w:style w:type="character" w:customStyle="1" w:styleId="176">
    <w:name w:val="Heading #4 (2) + 15 pt"/>
    <w:autoRedefine/>
    <w:qFormat/>
    <w:uiPriority w:val="0"/>
    <w:rPr>
      <w:rFonts w:ascii="宋体" w:eastAsia="宋体"/>
      <w:b/>
      <w:bCs/>
      <w:spacing w:val="0"/>
      <w:sz w:val="30"/>
      <w:szCs w:val="30"/>
      <w:lang w:bidi="ar-SA"/>
    </w:rPr>
  </w:style>
  <w:style w:type="character" w:customStyle="1" w:styleId="177">
    <w:name w:val="Char Char30"/>
    <w:autoRedefine/>
    <w:qFormat/>
    <w:uiPriority w:val="0"/>
    <w:rPr>
      <w:rFonts w:eastAsia="宋体"/>
      <w:b/>
      <w:bCs/>
      <w:kern w:val="2"/>
      <w:sz w:val="24"/>
      <w:szCs w:val="24"/>
      <w:lang w:val="en-US" w:eastAsia="zh-CN" w:bidi="ar-SA"/>
    </w:rPr>
  </w:style>
  <w:style w:type="character" w:customStyle="1" w:styleId="178">
    <w:name w:val="列出段落 Char"/>
    <w:link w:val="179"/>
    <w:autoRedefine/>
    <w:qFormat/>
    <w:uiPriority w:val="34"/>
    <w:rPr>
      <w:rFonts w:ascii="Calibri" w:hAnsi="Calibri" w:eastAsia="宋体"/>
      <w:kern w:val="2"/>
      <w:sz w:val="21"/>
      <w:szCs w:val="22"/>
      <w:lang w:val="en-US" w:eastAsia="zh-CN" w:bidi="ar-SA"/>
    </w:rPr>
  </w:style>
  <w:style w:type="paragraph" w:styleId="179">
    <w:name w:val="List Paragraph"/>
    <w:basedOn w:val="1"/>
    <w:link w:val="178"/>
    <w:autoRedefine/>
    <w:qFormat/>
    <w:uiPriority w:val="99"/>
    <w:pPr>
      <w:ind w:firstLine="420" w:firstLineChars="200"/>
    </w:pPr>
    <w:rPr>
      <w:rFonts w:ascii="Calibri" w:hAnsi="Calibri"/>
      <w:szCs w:val="22"/>
    </w:rPr>
  </w:style>
  <w:style w:type="character" w:customStyle="1" w:styleId="180">
    <w:name w:val="MM Topic 3 Char Char"/>
    <w:link w:val="181"/>
    <w:autoRedefine/>
    <w:qFormat/>
    <w:uiPriority w:val="0"/>
    <w:rPr>
      <w:b/>
      <w:bCs/>
      <w:kern w:val="2"/>
      <w:sz w:val="32"/>
      <w:szCs w:val="32"/>
      <w:lang w:bidi="ar-SA"/>
    </w:rPr>
  </w:style>
  <w:style w:type="paragraph" w:customStyle="1" w:styleId="181">
    <w:name w:val="MM Topic 3"/>
    <w:basedOn w:val="5"/>
    <w:link w:val="180"/>
    <w:autoRedefine/>
    <w:qFormat/>
    <w:uiPriority w:val="0"/>
    <w:pPr>
      <w:tabs>
        <w:tab w:val="left" w:pos="1418"/>
      </w:tabs>
      <w:spacing w:line="416" w:lineRule="auto"/>
    </w:pPr>
  </w:style>
  <w:style w:type="character" w:customStyle="1" w:styleId="182">
    <w:name w:val="样式 首行缩进:  2 字符1 Char Char"/>
    <w:link w:val="183"/>
    <w:autoRedefine/>
    <w:qFormat/>
    <w:uiPriority w:val="0"/>
    <w:rPr>
      <w:sz w:val="24"/>
      <w:lang w:bidi="ar-SA"/>
    </w:rPr>
  </w:style>
  <w:style w:type="paragraph" w:customStyle="1" w:styleId="183">
    <w:name w:val="样式 首行缩进:  2 字符1"/>
    <w:basedOn w:val="1"/>
    <w:link w:val="182"/>
    <w:autoRedefine/>
    <w:qFormat/>
    <w:uiPriority w:val="0"/>
    <w:pPr>
      <w:spacing w:line="360" w:lineRule="auto"/>
      <w:ind w:firstLine="480" w:firstLineChars="200"/>
    </w:pPr>
    <w:rPr>
      <w:kern w:val="0"/>
      <w:sz w:val="24"/>
    </w:rPr>
  </w:style>
  <w:style w:type="character" w:customStyle="1" w:styleId="184">
    <w:name w:val="无缩进正文 Char Char"/>
    <w:autoRedefine/>
    <w:qFormat/>
    <w:uiPriority w:val="0"/>
    <w:rPr>
      <w:rFonts w:ascii="Arial" w:hAnsi="Arial" w:eastAsia="宋体"/>
      <w:kern w:val="2"/>
      <w:sz w:val="24"/>
      <w:szCs w:val="24"/>
      <w:lang w:val="en-US" w:eastAsia="zh-CN" w:bidi="ar-SA"/>
    </w:rPr>
  </w:style>
  <w:style w:type="character" w:customStyle="1" w:styleId="185">
    <w:name w:val="GW-正文 Char Char"/>
    <w:link w:val="186"/>
    <w:autoRedefine/>
    <w:qFormat/>
    <w:uiPriority w:val="0"/>
    <w:rPr>
      <w:rFonts w:eastAsia="仿宋_GB2312"/>
      <w:sz w:val="24"/>
      <w:szCs w:val="24"/>
      <w:lang w:bidi="ar-SA"/>
    </w:rPr>
  </w:style>
  <w:style w:type="paragraph" w:customStyle="1" w:styleId="186">
    <w:name w:val="GW-正文"/>
    <w:basedOn w:val="1"/>
    <w:link w:val="185"/>
    <w:autoRedefine/>
    <w:qFormat/>
    <w:uiPriority w:val="0"/>
    <w:pPr>
      <w:spacing w:line="360" w:lineRule="auto"/>
      <w:ind w:firstLine="200" w:firstLineChars="200"/>
    </w:pPr>
    <w:rPr>
      <w:rFonts w:eastAsia="仿宋_GB2312"/>
      <w:kern w:val="0"/>
      <w:sz w:val="24"/>
      <w:szCs w:val="24"/>
    </w:rPr>
  </w:style>
  <w:style w:type="character" w:customStyle="1" w:styleId="187">
    <w:name w:val="标题 3 Char Char"/>
    <w:autoRedefine/>
    <w:qFormat/>
    <w:uiPriority w:val="0"/>
    <w:rPr>
      <w:rFonts w:eastAsia="宋体"/>
      <w:b/>
      <w:bCs/>
      <w:kern w:val="2"/>
      <w:sz w:val="32"/>
      <w:szCs w:val="32"/>
      <w:lang w:val="en-US" w:eastAsia="zh-CN" w:bidi="ar-SA"/>
    </w:rPr>
  </w:style>
  <w:style w:type="character" w:customStyle="1" w:styleId="188">
    <w:name w:val="正文缩进(ALT+Z) Char Char Char"/>
    <w:autoRedefine/>
    <w:qFormat/>
    <w:uiPriority w:val="0"/>
    <w:rPr>
      <w:rFonts w:ascii="宋体" w:hAnsi="宋体"/>
      <w:kern w:val="2"/>
      <w:sz w:val="24"/>
      <w:szCs w:val="24"/>
    </w:rPr>
  </w:style>
  <w:style w:type="character" w:customStyle="1" w:styleId="189">
    <w:name w:val="图 Char Char"/>
    <w:link w:val="190"/>
    <w:autoRedefine/>
    <w:qFormat/>
    <w:uiPriority w:val="0"/>
    <w:rPr>
      <w:rFonts w:eastAsia="Times New Roman"/>
      <w:color w:val="000000"/>
      <w:kern w:val="2"/>
      <w:sz w:val="21"/>
      <w:szCs w:val="24"/>
      <w:lang w:val="en-US" w:eastAsia="zh-CN" w:bidi="ar-SA"/>
    </w:rPr>
  </w:style>
  <w:style w:type="paragraph" w:customStyle="1" w:styleId="190">
    <w:name w:val="图"/>
    <w:next w:val="1"/>
    <w:link w:val="189"/>
    <w:autoRedefine/>
    <w:qFormat/>
    <w:uiPriority w:val="0"/>
    <w:pPr>
      <w:spacing w:line="240" w:lineRule="atLeast"/>
      <w:jc w:val="center"/>
    </w:pPr>
    <w:rPr>
      <w:rFonts w:ascii="Times New Roman" w:hAnsi="Times New Roman" w:eastAsia="Times New Roman" w:cs="Times New Roman"/>
      <w:color w:val="000000"/>
      <w:kern w:val="2"/>
      <w:sz w:val="21"/>
      <w:szCs w:val="24"/>
      <w:lang w:val="en-US" w:eastAsia="zh-CN" w:bidi="ar-SA"/>
    </w:rPr>
  </w:style>
  <w:style w:type="character" w:customStyle="1" w:styleId="191">
    <w:name w:val="h Char"/>
    <w:autoRedefine/>
    <w:qFormat/>
    <w:uiPriority w:val="0"/>
    <w:rPr>
      <w:sz w:val="18"/>
    </w:rPr>
  </w:style>
  <w:style w:type="character" w:customStyle="1" w:styleId="192">
    <w:name w:val="Char Char35"/>
    <w:autoRedefine/>
    <w:qFormat/>
    <w:uiPriority w:val="0"/>
    <w:rPr>
      <w:rFonts w:ascii="Arial" w:hAnsi="Arial" w:eastAsia="黑体"/>
      <w:b/>
      <w:bCs/>
      <w:kern w:val="2"/>
      <w:sz w:val="32"/>
      <w:szCs w:val="32"/>
      <w:lang w:val="en-US" w:eastAsia="zh-CN" w:bidi="ar-SA"/>
    </w:rPr>
  </w:style>
  <w:style w:type="character" w:customStyle="1" w:styleId="193">
    <w:name w:val="样式0 Char Char"/>
    <w:link w:val="194"/>
    <w:autoRedefine/>
    <w:qFormat/>
    <w:uiPriority w:val="0"/>
    <w:rPr>
      <w:rFonts w:ascii="Arial" w:hAnsi="Arial" w:eastAsia="黑体"/>
      <w:sz w:val="44"/>
      <w:szCs w:val="32"/>
      <w:lang w:bidi="ar-SA"/>
    </w:rPr>
  </w:style>
  <w:style w:type="paragraph" w:customStyle="1" w:styleId="194">
    <w:name w:val="样式0"/>
    <w:basedOn w:val="55"/>
    <w:link w:val="193"/>
    <w:autoRedefine/>
    <w:qFormat/>
    <w:uiPriority w:val="0"/>
    <w:pPr>
      <w:keepNext/>
      <w:keepLines/>
      <w:spacing w:before="240" w:after="60" w:line="416" w:lineRule="auto"/>
      <w:ind w:left="420" w:hanging="420"/>
      <w:outlineLvl w:val="0"/>
    </w:pPr>
    <w:rPr>
      <w:rFonts w:ascii="Arial" w:hAnsi="Arial" w:eastAsia="黑体"/>
      <w:kern w:val="0"/>
      <w:sz w:val="44"/>
      <w:szCs w:val="32"/>
    </w:rPr>
  </w:style>
  <w:style w:type="character" w:customStyle="1" w:styleId="195">
    <w:name w:val="fontstyle01"/>
    <w:autoRedefine/>
    <w:qFormat/>
    <w:uiPriority w:val="0"/>
    <w:rPr>
      <w:rFonts w:hint="eastAsia" w:ascii="宋体" w:hAnsi="宋体" w:eastAsia="宋体"/>
      <w:color w:val="000000"/>
      <w:sz w:val="24"/>
      <w:szCs w:val="24"/>
    </w:rPr>
  </w:style>
  <w:style w:type="character" w:customStyle="1" w:styleId="196">
    <w:name w:val="宋小4粗行距22"/>
    <w:autoRedefine/>
    <w:qFormat/>
    <w:uiPriority w:val="0"/>
    <w:rPr>
      <w:rFonts w:eastAsia="宋体"/>
      <w:b/>
      <w:color w:val="000000"/>
      <w:sz w:val="24"/>
      <w:vertAlign w:val="baseline"/>
    </w:rPr>
  </w:style>
  <w:style w:type="character" w:customStyle="1" w:styleId="197">
    <w:name w:val="Char Char31"/>
    <w:autoRedefine/>
    <w:qFormat/>
    <w:uiPriority w:val="0"/>
    <w:rPr>
      <w:rFonts w:ascii="Arial" w:hAnsi="Arial" w:eastAsia="黑体"/>
      <w:b/>
      <w:bCs/>
      <w:kern w:val="2"/>
      <w:sz w:val="24"/>
      <w:szCs w:val="24"/>
      <w:lang w:val="en-US" w:eastAsia="zh-CN" w:bidi="ar-SA"/>
    </w:rPr>
  </w:style>
  <w:style w:type="character" w:customStyle="1" w:styleId="198">
    <w:name w:val="样式 样式 正文new + 首行缩进:  2 字符 + 加粗 Char Char"/>
    <w:autoRedefine/>
    <w:qFormat/>
    <w:uiPriority w:val="0"/>
    <w:rPr>
      <w:rFonts w:ascii="宋体" w:hAnsi="宋体" w:eastAsia="宋体" w:cs="宋体"/>
      <w:b/>
      <w:bCs/>
      <w:color w:val="000000"/>
      <w:kern w:val="2"/>
      <w:sz w:val="21"/>
      <w:szCs w:val="28"/>
      <w:lang w:val="en-US" w:eastAsia="zh-CN" w:bidi="ar-SA"/>
    </w:rPr>
  </w:style>
  <w:style w:type="character" w:customStyle="1" w:styleId="199">
    <w:name w:val="text1 Char Char"/>
    <w:autoRedefine/>
    <w:qFormat/>
    <w:uiPriority w:val="0"/>
    <w:rPr>
      <w:rFonts w:cs="宋体"/>
      <w:sz w:val="24"/>
    </w:rPr>
  </w:style>
  <w:style w:type="character" w:customStyle="1" w:styleId="200">
    <w:name w:val="Body text_"/>
    <w:link w:val="201"/>
    <w:autoRedefine/>
    <w:qFormat/>
    <w:uiPriority w:val="0"/>
    <w:rPr>
      <w:rFonts w:ascii="宋体"/>
      <w:sz w:val="27"/>
      <w:szCs w:val="27"/>
      <w:lang w:bidi="ar-SA"/>
    </w:rPr>
  </w:style>
  <w:style w:type="paragraph" w:customStyle="1" w:styleId="201">
    <w:name w:val="正文文本1"/>
    <w:basedOn w:val="1"/>
    <w:link w:val="200"/>
    <w:autoRedefine/>
    <w:qFormat/>
    <w:uiPriority w:val="0"/>
    <w:pPr>
      <w:shd w:val="clear" w:color="auto" w:fill="FFFFFF"/>
      <w:spacing w:after="180" w:line="240" w:lineRule="atLeast"/>
      <w:ind w:hanging="800"/>
      <w:jc w:val="left"/>
    </w:pPr>
    <w:rPr>
      <w:rFonts w:ascii="宋体"/>
      <w:kern w:val="0"/>
      <w:sz w:val="27"/>
      <w:szCs w:val="27"/>
    </w:rPr>
  </w:style>
  <w:style w:type="character" w:customStyle="1" w:styleId="202">
    <w:name w:val="红色 居中 Char Char"/>
    <w:link w:val="203"/>
    <w:autoRedefine/>
    <w:qFormat/>
    <w:uiPriority w:val="0"/>
    <w:rPr>
      <w:rFonts w:eastAsia="宋体" w:cs="宋体"/>
      <w:b/>
      <w:color w:val="FF0000"/>
      <w:kern w:val="2"/>
      <w:sz w:val="24"/>
      <w:lang w:val="en-US" w:eastAsia="zh-CN" w:bidi="ar-SA"/>
    </w:rPr>
  </w:style>
  <w:style w:type="paragraph" w:customStyle="1" w:styleId="203">
    <w:name w:val="红色 居中"/>
    <w:basedOn w:val="1"/>
    <w:link w:val="202"/>
    <w:autoRedefine/>
    <w:qFormat/>
    <w:uiPriority w:val="0"/>
    <w:pPr>
      <w:spacing w:line="360" w:lineRule="auto"/>
      <w:jc w:val="center"/>
    </w:pPr>
    <w:rPr>
      <w:rFonts w:cs="宋体"/>
      <w:b/>
      <w:color w:val="FF0000"/>
      <w:sz w:val="24"/>
    </w:rPr>
  </w:style>
  <w:style w:type="character" w:customStyle="1" w:styleId="204">
    <w:name w:val="title_marcom"/>
    <w:basedOn w:val="61"/>
    <w:autoRedefine/>
    <w:qFormat/>
    <w:uiPriority w:val="0"/>
  </w:style>
  <w:style w:type="character" w:customStyle="1" w:styleId="205">
    <w:name w:val="c_right2"/>
    <w:autoRedefine/>
    <w:qFormat/>
    <w:uiPriority w:val="0"/>
    <w:rPr>
      <w:sz w:val="21"/>
      <w:szCs w:val="21"/>
    </w:rPr>
  </w:style>
  <w:style w:type="character" w:customStyle="1" w:styleId="206">
    <w:name w:val="ca-111"/>
    <w:autoRedefine/>
    <w:qFormat/>
    <w:uiPriority w:val="0"/>
    <w:rPr>
      <w:rFonts w:hint="eastAsia" w:ascii="宋体" w:hAnsi="宋体" w:eastAsia="宋体"/>
      <w:color w:val="000000"/>
      <w:sz w:val="24"/>
      <w:szCs w:val="24"/>
    </w:rPr>
  </w:style>
  <w:style w:type="character" w:customStyle="1" w:styleId="207">
    <w:name w:val="一级条标题 Char Char"/>
    <w:link w:val="208"/>
    <w:autoRedefine/>
    <w:qFormat/>
    <w:uiPriority w:val="0"/>
    <w:rPr>
      <w:rFonts w:ascii="黑体" w:eastAsia="黑体"/>
      <w:sz w:val="21"/>
      <w:lang w:val="en-US" w:eastAsia="zh-CN" w:bidi="ar-SA"/>
    </w:rPr>
  </w:style>
  <w:style w:type="paragraph" w:customStyle="1" w:styleId="208">
    <w:name w:val="一级条标题"/>
    <w:basedOn w:val="209"/>
    <w:next w:val="6"/>
    <w:link w:val="207"/>
    <w:autoRedefine/>
    <w:qFormat/>
    <w:uiPriority w:val="0"/>
    <w:pPr>
      <w:tabs>
        <w:tab w:val="left" w:pos="1440"/>
        <w:tab w:val="left" w:pos="2880"/>
      </w:tabs>
      <w:spacing w:before="0" w:beforeLines="0"/>
      <w:ind w:left="2880"/>
      <w:outlineLvl w:val="2"/>
    </w:pPr>
  </w:style>
  <w:style w:type="paragraph" w:customStyle="1" w:styleId="209">
    <w:name w:val="章标题"/>
    <w:next w:val="6"/>
    <w:autoRedefine/>
    <w:qFormat/>
    <w:uiPriority w:val="0"/>
    <w:pPr>
      <w:tabs>
        <w:tab w:val="left" w:pos="1440"/>
      </w:tabs>
      <w:spacing w:before="156" w:beforeLines="50" w:after="156" w:afterLines="50"/>
      <w:ind w:left="1440" w:hanging="360"/>
      <w:jc w:val="both"/>
      <w:outlineLvl w:val="1"/>
    </w:pPr>
    <w:rPr>
      <w:rFonts w:ascii="黑体" w:hAnsi="Times New Roman" w:eastAsia="黑体" w:cs="Times New Roman"/>
      <w:sz w:val="21"/>
      <w:lang w:val="en-US" w:eastAsia="zh-CN" w:bidi="ar-SA"/>
    </w:rPr>
  </w:style>
  <w:style w:type="character" w:customStyle="1" w:styleId="210">
    <w:name w:val="Char Char33"/>
    <w:autoRedefine/>
    <w:qFormat/>
    <w:uiPriority w:val="0"/>
    <w:rPr>
      <w:rFonts w:ascii="Arial" w:hAnsi="Arial" w:eastAsia="黑体"/>
      <w:b/>
      <w:bCs/>
      <w:kern w:val="2"/>
      <w:sz w:val="28"/>
      <w:szCs w:val="28"/>
      <w:lang w:val="en-US" w:eastAsia="zh-CN" w:bidi="ar-SA"/>
    </w:rPr>
  </w:style>
  <w:style w:type="character" w:customStyle="1" w:styleId="211">
    <w:name w:val="文档正文 Char Char Char Char"/>
    <w:autoRedefine/>
    <w:qFormat/>
    <w:uiPriority w:val="0"/>
    <w:rPr>
      <w:sz w:val="28"/>
    </w:rPr>
  </w:style>
  <w:style w:type="character" w:customStyle="1" w:styleId="212">
    <w:name w:val="图例 Char Char"/>
    <w:link w:val="213"/>
    <w:autoRedefine/>
    <w:qFormat/>
    <w:uiPriority w:val="0"/>
    <w:rPr>
      <w:rFonts w:ascii="仿宋_GB2312" w:eastAsia="仿宋_GB2312"/>
      <w:kern w:val="2"/>
      <w:sz w:val="24"/>
      <w:szCs w:val="24"/>
      <w:lang w:bidi="ar-SA"/>
    </w:rPr>
  </w:style>
  <w:style w:type="paragraph" w:customStyle="1" w:styleId="213">
    <w:name w:val="图例"/>
    <w:basedOn w:val="1"/>
    <w:link w:val="212"/>
    <w:autoRedefine/>
    <w:qFormat/>
    <w:uiPriority w:val="0"/>
    <w:pPr>
      <w:spacing w:line="360" w:lineRule="auto"/>
      <w:jc w:val="center"/>
    </w:pPr>
    <w:rPr>
      <w:rFonts w:ascii="仿宋_GB2312" w:eastAsia="仿宋_GB2312"/>
      <w:sz w:val="24"/>
      <w:szCs w:val="24"/>
    </w:rPr>
  </w:style>
  <w:style w:type="character" w:customStyle="1" w:styleId="214">
    <w:name w:val="Item List Char Char"/>
    <w:link w:val="215"/>
    <w:autoRedefine/>
    <w:qFormat/>
    <w:uiPriority w:val="0"/>
    <w:rPr>
      <w:rFonts w:eastAsia="Times New Roman"/>
      <w:kern w:val="2"/>
      <w:sz w:val="24"/>
      <w:lang w:val="en-US" w:eastAsia="zh-CN" w:bidi="ar-SA"/>
    </w:rPr>
  </w:style>
  <w:style w:type="paragraph" w:customStyle="1" w:styleId="215">
    <w:name w:val="Item List"/>
    <w:link w:val="214"/>
    <w:autoRedefine/>
    <w:qFormat/>
    <w:uiPriority w:val="0"/>
    <w:pPr>
      <w:widowControl w:val="0"/>
      <w:adjustRightInd w:val="0"/>
      <w:spacing w:line="360" w:lineRule="auto"/>
      <w:jc w:val="both"/>
      <w:textAlignment w:val="baseline"/>
    </w:pPr>
    <w:rPr>
      <w:rFonts w:ascii="Times New Roman" w:hAnsi="Times New Roman" w:eastAsia="Times New Roman" w:cs="Times New Roman"/>
      <w:kern w:val="2"/>
      <w:sz w:val="24"/>
      <w:lang w:val="en-US" w:eastAsia="zh-CN" w:bidi="ar-SA"/>
    </w:rPr>
  </w:style>
  <w:style w:type="character" w:customStyle="1" w:styleId="216">
    <w:name w:val="title_emph"/>
    <w:basedOn w:val="61"/>
    <w:autoRedefine/>
    <w:qFormat/>
    <w:uiPriority w:val="0"/>
  </w:style>
  <w:style w:type="character" w:customStyle="1" w:styleId="217">
    <w:name w:val="Char Char32"/>
    <w:autoRedefine/>
    <w:qFormat/>
    <w:uiPriority w:val="0"/>
    <w:rPr>
      <w:rFonts w:eastAsia="宋体"/>
      <w:b/>
      <w:bCs/>
      <w:kern w:val="2"/>
      <w:sz w:val="28"/>
      <w:szCs w:val="28"/>
      <w:lang w:val="en-US" w:eastAsia="zh-CN" w:bidi="ar-SA"/>
    </w:rPr>
  </w:style>
  <w:style w:type="character" w:customStyle="1" w:styleId="218">
    <w:name w:val="（符号）三标题1.1 Char Char"/>
    <w:link w:val="219"/>
    <w:autoRedefine/>
    <w:qFormat/>
    <w:uiPriority w:val="0"/>
    <w:rPr>
      <w:rFonts w:ascii="宋体" w:hAnsi="宋体"/>
      <w:kern w:val="2"/>
      <w:sz w:val="24"/>
      <w:szCs w:val="22"/>
      <w:lang w:bidi="ar-SA"/>
    </w:rPr>
  </w:style>
  <w:style w:type="paragraph" w:customStyle="1" w:styleId="219">
    <w:name w:val="（符号）三标题1.1"/>
    <w:basedOn w:val="1"/>
    <w:link w:val="218"/>
    <w:autoRedefine/>
    <w:qFormat/>
    <w:uiPriority w:val="0"/>
    <w:pPr>
      <w:tabs>
        <w:tab w:val="left" w:pos="700"/>
        <w:tab w:val="left" w:pos="1380"/>
      </w:tabs>
      <w:spacing w:line="500" w:lineRule="exact"/>
      <w:ind w:left="1380" w:hanging="420"/>
    </w:pPr>
    <w:rPr>
      <w:rFonts w:ascii="宋体" w:hAnsi="宋体"/>
      <w:sz w:val="24"/>
      <w:szCs w:val="22"/>
    </w:rPr>
  </w:style>
  <w:style w:type="character" w:customStyle="1" w:styleId="220">
    <w:name w:val="样式 样式 样式 标题 3Sectionh3H3level_3PIM 3Level 3 HeadHeading 3 - old....1 Char Char"/>
    <w:link w:val="221"/>
    <w:autoRedefine/>
    <w:qFormat/>
    <w:uiPriority w:val="0"/>
    <w:rPr>
      <w:rFonts w:ascii="Arial" w:hAnsi="Arial" w:eastAsia="黑体"/>
      <w:b/>
      <w:bCs/>
      <w:sz w:val="30"/>
      <w:szCs w:val="28"/>
      <w:lang w:bidi="ar-SA"/>
    </w:rPr>
  </w:style>
  <w:style w:type="paragraph" w:customStyle="1" w:styleId="221">
    <w:name w:val="样式 样式 样式 标题 3Sectionh3H3level_3PIM 3Level 3 HeadHeading 3 - old....1"/>
    <w:basedOn w:val="1"/>
    <w:link w:val="220"/>
    <w:autoRedefine/>
    <w:qFormat/>
    <w:uiPriority w:val="0"/>
    <w:pPr>
      <w:keepNext/>
      <w:keepLines/>
      <w:tabs>
        <w:tab w:val="left" w:pos="315"/>
        <w:tab w:val="left" w:pos="1800"/>
      </w:tabs>
      <w:spacing w:before="40" w:after="40" w:line="300" w:lineRule="auto"/>
      <w:ind w:left="1800" w:hanging="420"/>
      <w:outlineLvl w:val="2"/>
    </w:pPr>
    <w:rPr>
      <w:rFonts w:ascii="Arial" w:hAnsi="Arial" w:eastAsia="黑体"/>
      <w:b/>
      <w:bCs/>
      <w:kern w:val="0"/>
      <w:sz w:val="30"/>
      <w:szCs w:val="28"/>
    </w:rPr>
  </w:style>
  <w:style w:type="character" w:customStyle="1" w:styleId="222">
    <w:name w:val="正文首行缩进两字符 Char Char"/>
    <w:autoRedefine/>
    <w:qFormat/>
    <w:uiPriority w:val="0"/>
    <w:rPr>
      <w:rFonts w:eastAsia="宋体"/>
      <w:kern w:val="2"/>
      <w:sz w:val="21"/>
      <w:szCs w:val="24"/>
      <w:lang w:val="en-US" w:eastAsia="zh-CN" w:bidi="ar-SA"/>
    </w:rPr>
  </w:style>
  <w:style w:type="character" w:customStyle="1" w:styleId="223">
    <w:name w:val="五粮液-正文 Char Char"/>
    <w:link w:val="224"/>
    <w:autoRedefine/>
    <w:qFormat/>
    <w:uiPriority w:val="0"/>
    <w:rPr>
      <w:kern w:val="2"/>
      <w:sz w:val="24"/>
      <w:szCs w:val="24"/>
      <w:lang w:bidi="ar-SA"/>
    </w:rPr>
  </w:style>
  <w:style w:type="paragraph" w:customStyle="1" w:styleId="224">
    <w:name w:val="五粮液-正文"/>
    <w:basedOn w:val="1"/>
    <w:link w:val="223"/>
    <w:autoRedefine/>
    <w:qFormat/>
    <w:uiPriority w:val="0"/>
    <w:pPr>
      <w:spacing w:line="360" w:lineRule="auto"/>
      <w:ind w:firstLine="200" w:firstLineChars="200"/>
      <w:jc w:val="left"/>
    </w:pPr>
    <w:rPr>
      <w:sz w:val="24"/>
      <w:szCs w:val="24"/>
    </w:rPr>
  </w:style>
  <w:style w:type="character" w:customStyle="1" w:styleId="225">
    <w:name w:val="2char"/>
    <w:basedOn w:val="61"/>
    <w:autoRedefine/>
    <w:qFormat/>
    <w:uiPriority w:val="0"/>
  </w:style>
  <w:style w:type="character" w:customStyle="1" w:styleId="226">
    <w:name w:val="正文格式 Char Char"/>
    <w:link w:val="227"/>
    <w:autoRedefine/>
    <w:qFormat/>
    <w:uiPriority w:val="0"/>
    <w:rPr>
      <w:rFonts w:ascii="宋体" w:hAnsi="宋体"/>
      <w:bCs/>
      <w:color w:val="000000"/>
      <w:sz w:val="24"/>
      <w:szCs w:val="24"/>
      <w:lang w:bidi="ar-SA"/>
    </w:rPr>
  </w:style>
  <w:style w:type="paragraph" w:customStyle="1" w:styleId="227">
    <w:name w:val="正文格式"/>
    <w:basedOn w:val="1"/>
    <w:link w:val="226"/>
    <w:autoRedefine/>
    <w:qFormat/>
    <w:uiPriority w:val="0"/>
    <w:pPr>
      <w:widowControl/>
      <w:adjustRightInd w:val="0"/>
      <w:snapToGrid w:val="0"/>
      <w:spacing w:before="100" w:beforeLines="25" w:beforeAutospacing="1" w:after="100" w:afterAutospacing="1" w:line="440" w:lineRule="exact"/>
      <w:textAlignment w:val="baseline"/>
    </w:pPr>
    <w:rPr>
      <w:rFonts w:ascii="宋体" w:hAnsi="宋体"/>
      <w:bCs/>
      <w:color w:val="000000"/>
      <w:kern w:val="0"/>
      <w:sz w:val="24"/>
      <w:szCs w:val="24"/>
    </w:rPr>
  </w:style>
  <w:style w:type="character" w:customStyle="1" w:styleId="228">
    <w:name w:val="1.1.1.1.1 Char Char"/>
    <w:link w:val="229"/>
    <w:autoRedefine/>
    <w:qFormat/>
    <w:uiPriority w:val="0"/>
    <w:rPr>
      <w:rFonts w:ascii="Arial" w:hAnsi="Arial"/>
      <w:b/>
      <w:bCs/>
      <w:kern w:val="10"/>
      <w:sz w:val="28"/>
      <w:szCs w:val="28"/>
      <w:lang w:bidi="ar-SA"/>
    </w:rPr>
  </w:style>
  <w:style w:type="paragraph" w:customStyle="1" w:styleId="229">
    <w:name w:val="1.1.1.1.1"/>
    <w:basedOn w:val="6"/>
    <w:link w:val="228"/>
    <w:autoRedefine/>
    <w:qFormat/>
    <w:uiPriority w:val="0"/>
    <w:pPr>
      <w:tabs>
        <w:tab w:val="left" w:pos="851"/>
        <w:tab w:val="left" w:pos="1211"/>
        <w:tab w:val="left" w:pos="2310"/>
      </w:tabs>
      <w:adjustRightInd/>
      <w:spacing w:line="377" w:lineRule="auto"/>
      <w:ind w:left="1211" w:hanging="1211"/>
      <w:textAlignment w:val="auto"/>
    </w:pPr>
    <w:rPr>
      <w:rFonts w:eastAsia="宋体"/>
      <w:bCs/>
      <w:kern w:val="10"/>
      <w:szCs w:val="28"/>
    </w:rPr>
  </w:style>
  <w:style w:type="character" w:customStyle="1" w:styleId="230">
    <w:name w:val="Body text (5)_"/>
    <w:link w:val="231"/>
    <w:autoRedefine/>
    <w:qFormat/>
    <w:uiPriority w:val="0"/>
    <w:rPr>
      <w:rFonts w:ascii="宋体"/>
      <w:b/>
      <w:bCs/>
      <w:sz w:val="30"/>
      <w:szCs w:val="30"/>
      <w:lang w:bidi="ar-SA"/>
    </w:rPr>
  </w:style>
  <w:style w:type="paragraph" w:customStyle="1" w:styleId="231">
    <w:name w:val="Body text (5)"/>
    <w:basedOn w:val="1"/>
    <w:link w:val="230"/>
    <w:autoRedefine/>
    <w:qFormat/>
    <w:uiPriority w:val="0"/>
    <w:pPr>
      <w:shd w:val="clear" w:color="auto" w:fill="FFFFFF"/>
      <w:spacing w:before="240" w:after="600" w:line="240" w:lineRule="atLeast"/>
      <w:jc w:val="left"/>
    </w:pPr>
    <w:rPr>
      <w:rFonts w:ascii="宋体"/>
      <w:b/>
      <w:bCs/>
      <w:kern w:val="0"/>
      <w:sz w:val="30"/>
      <w:szCs w:val="30"/>
    </w:rPr>
  </w:style>
  <w:style w:type="character" w:customStyle="1" w:styleId="232">
    <w:name w:val="*正文 Char Char"/>
    <w:link w:val="233"/>
    <w:autoRedefine/>
    <w:qFormat/>
    <w:uiPriority w:val="0"/>
    <w:rPr>
      <w:rFonts w:ascii="宋体" w:hAnsi="宋体"/>
      <w:kern w:val="2"/>
      <w:sz w:val="22"/>
      <w:szCs w:val="24"/>
      <w:lang w:bidi="ar-SA"/>
    </w:rPr>
  </w:style>
  <w:style w:type="paragraph" w:customStyle="1" w:styleId="233">
    <w:name w:val="*正文"/>
    <w:basedOn w:val="1"/>
    <w:link w:val="232"/>
    <w:autoRedefine/>
    <w:qFormat/>
    <w:uiPriority w:val="0"/>
    <w:pPr>
      <w:spacing w:line="360" w:lineRule="auto"/>
      <w:ind w:firstLine="200" w:firstLineChars="200"/>
    </w:pPr>
    <w:rPr>
      <w:rFonts w:ascii="宋体" w:hAnsi="宋体"/>
      <w:sz w:val="22"/>
      <w:szCs w:val="24"/>
    </w:rPr>
  </w:style>
  <w:style w:type="character" w:customStyle="1" w:styleId="234">
    <w:name w:val="正文new Char Char"/>
    <w:autoRedefine/>
    <w:qFormat/>
    <w:uiPriority w:val="0"/>
    <w:rPr>
      <w:rFonts w:ascii="宋体" w:hAnsi="宋体" w:eastAsia="宋体"/>
      <w:color w:val="000000"/>
      <w:kern w:val="2"/>
      <w:sz w:val="21"/>
      <w:szCs w:val="28"/>
      <w:lang w:val="en-US" w:eastAsia="zh-CN" w:bidi="ar-SA"/>
    </w:rPr>
  </w:style>
  <w:style w:type="character" w:customStyle="1" w:styleId="235">
    <w:name w:val="k正文 Char Char"/>
    <w:link w:val="236"/>
    <w:autoRedefine/>
    <w:qFormat/>
    <w:uiPriority w:val="0"/>
    <w:rPr>
      <w:sz w:val="24"/>
      <w:lang w:bidi="ar-SA"/>
    </w:rPr>
  </w:style>
  <w:style w:type="paragraph" w:customStyle="1" w:styleId="236">
    <w:name w:val="k正文"/>
    <w:basedOn w:val="1"/>
    <w:link w:val="235"/>
    <w:autoRedefine/>
    <w:qFormat/>
    <w:uiPriority w:val="0"/>
    <w:pPr>
      <w:spacing w:after="156" w:afterLines="50" w:line="360" w:lineRule="auto"/>
      <w:ind w:firstLine="480" w:firstLineChars="200"/>
    </w:pPr>
    <w:rPr>
      <w:kern w:val="0"/>
      <w:sz w:val="24"/>
    </w:rPr>
  </w:style>
  <w:style w:type="character" w:customStyle="1" w:styleId="237">
    <w:name w:val="正文缩进(ALT+Z) Char Char"/>
    <w:link w:val="238"/>
    <w:autoRedefine/>
    <w:qFormat/>
    <w:uiPriority w:val="0"/>
    <w:rPr>
      <w:rFonts w:ascii="宋体"/>
      <w:kern w:val="2"/>
      <w:sz w:val="24"/>
      <w:szCs w:val="24"/>
      <w:lang w:bidi="ar-SA"/>
    </w:rPr>
  </w:style>
  <w:style w:type="paragraph" w:customStyle="1" w:styleId="238">
    <w:name w:val="正文缩进(ALT+Z)"/>
    <w:basedOn w:val="1"/>
    <w:link w:val="237"/>
    <w:autoRedefine/>
    <w:qFormat/>
    <w:uiPriority w:val="0"/>
    <w:pPr>
      <w:spacing w:line="360" w:lineRule="auto"/>
      <w:ind w:firstLine="200" w:firstLineChars="200"/>
    </w:pPr>
    <w:rPr>
      <w:rFonts w:ascii="宋体"/>
      <w:sz w:val="24"/>
      <w:szCs w:val="24"/>
    </w:rPr>
  </w:style>
  <w:style w:type="character" w:customStyle="1" w:styleId="239">
    <w:name w:val="content1"/>
    <w:basedOn w:val="61"/>
    <w:autoRedefine/>
    <w:qFormat/>
    <w:uiPriority w:val="0"/>
  </w:style>
  <w:style w:type="character" w:customStyle="1" w:styleId="240">
    <w:name w:val="样式 标题 2标题 2 Char + 非加粗 Char Char"/>
    <w:basedOn w:val="241"/>
    <w:autoRedefine/>
    <w:qFormat/>
    <w:uiPriority w:val="0"/>
    <w:rPr>
      <w:rFonts w:ascii="Arial" w:hAnsi="Arial" w:eastAsia="黑体"/>
      <w:kern w:val="2"/>
      <w:sz w:val="32"/>
      <w:szCs w:val="32"/>
      <w:lang w:val="en-US" w:eastAsia="zh-CN" w:bidi="ar-SA"/>
    </w:rPr>
  </w:style>
  <w:style w:type="character" w:customStyle="1" w:styleId="241">
    <w:name w:val="、图表 Char Char"/>
    <w:autoRedefine/>
    <w:qFormat/>
    <w:uiPriority w:val="0"/>
    <w:rPr>
      <w:rFonts w:ascii="Arial" w:hAnsi="Arial" w:eastAsia="黑体"/>
      <w:b/>
      <w:bCs/>
      <w:kern w:val="2"/>
      <w:sz w:val="32"/>
      <w:szCs w:val="32"/>
      <w:lang w:val="en-US" w:eastAsia="zh-CN" w:bidi="ar-SA"/>
    </w:rPr>
  </w:style>
  <w:style w:type="character" w:customStyle="1" w:styleId="242">
    <w:name w:val="样式 纯文本普通文字普通文字 Char Char Char Char Char Char普通文字 Char Char Ch... Char Char"/>
    <w:link w:val="243"/>
    <w:autoRedefine/>
    <w:qFormat/>
    <w:uiPriority w:val="0"/>
    <w:rPr>
      <w:rFonts w:ascii="仿宋_GB2312" w:hAnsi="仿宋_GB2312" w:eastAsia="仿宋_GB2312"/>
      <w:kern w:val="2"/>
      <w:sz w:val="28"/>
      <w:lang w:bidi="ar-SA"/>
    </w:rPr>
  </w:style>
  <w:style w:type="paragraph" w:customStyle="1" w:styleId="243">
    <w:name w:val="样式 纯文本普通文字普通文字 Char Char Char Char Char Char普通文字 Char Char Ch..."/>
    <w:basedOn w:val="244"/>
    <w:link w:val="242"/>
    <w:autoRedefine/>
    <w:qFormat/>
    <w:uiPriority w:val="0"/>
    <w:pPr>
      <w:ind w:firstLine="200" w:firstLineChars="200"/>
    </w:pPr>
    <w:rPr>
      <w:rFonts w:ascii="仿宋_GB2312" w:hAnsi="仿宋_GB2312" w:eastAsia="仿宋_GB2312"/>
      <w:sz w:val="28"/>
    </w:rPr>
  </w:style>
  <w:style w:type="paragraph" w:customStyle="1" w:styleId="244">
    <w:name w:val="纯文本1"/>
    <w:basedOn w:val="1"/>
    <w:autoRedefine/>
    <w:qFormat/>
    <w:uiPriority w:val="0"/>
    <w:rPr>
      <w:rFonts w:ascii="宋体" w:hAnsi="Courier New"/>
    </w:rPr>
  </w:style>
  <w:style w:type="character" w:customStyle="1" w:styleId="245">
    <w:name w:val="无间隔 Char"/>
    <w:link w:val="246"/>
    <w:autoRedefine/>
    <w:qFormat/>
    <w:uiPriority w:val="0"/>
    <w:rPr>
      <w:rFonts w:ascii="Calibri" w:hAnsi="Calibri" w:eastAsia="Times New Roman"/>
      <w:sz w:val="22"/>
      <w:szCs w:val="22"/>
      <w:lang w:val="en-US" w:eastAsia="zh-CN" w:bidi="ar-SA"/>
    </w:rPr>
  </w:style>
  <w:style w:type="paragraph" w:customStyle="1" w:styleId="246">
    <w:name w:val="无间隔1"/>
    <w:link w:val="245"/>
    <w:autoRedefine/>
    <w:qFormat/>
    <w:uiPriority w:val="0"/>
    <w:rPr>
      <w:rFonts w:ascii="Calibri" w:hAnsi="Calibri" w:eastAsia="Times New Roman" w:cs="Times New Roman"/>
      <w:sz w:val="22"/>
      <w:szCs w:val="22"/>
      <w:lang w:val="en-US" w:eastAsia="zh-CN" w:bidi="ar-SA"/>
    </w:rPr>
  </w:style>
  <w:style w:type="character" w:customStyle="1" w:styleId="247">
    <w:name w:val="样式2 Char Char"/>
    <w:link w:val="248"/>
    <w:autoRedefine/>
    <w:qFormat/>
    <w:uiPriority w:val="0"/>
    <w:rPr>
      <w:rFonts w:eastAsia="宋体"/>
      <w:sz w:val="24"/>
      <w:lang w:val="en-US" w:eastAsia="zh-CN" w:bidi="ar-SA"/>
    </w:rPr>
  </w:style>
  <w:style w:type="paragraph" w:customStyle="1" w:styleId="248">
    <w:name w:val="样式2"/>
    <w:basedOn w:val="1"/>
    <w:link w:val="247"/>
    <w:autoRedefine/>
    <w:qFormat/>
    <w:uiPriority w:val="0"/>
    <w:pPr>
      <w:adjustRightInd w:val="0"/>
      <w:spacing w:line="410" w:lineRule="atLeast"/>
      <w:textAlignment w:val="baseline"/>
    </w:pPr>
    <w:rPr>
      <w:kern w:val="0"/>
      <w:sz w:val="24"/>
    </w:rPr>
  </w:style>
  <w:style w:type="character" w:customStyle="1" w:styleId="249">
    <w:name w:val="样式 正文首行缩进 + 首行缩进:  2 字符 Char Char1"/>
    <w:link w:val="250"/>
    <w:autoRedefine/>
    <w:qFormat/>
    <w:uiPriority w:val="0"/>
    <w:rPr>
      <w:kern w:val="2"/>
      <w:sz w:val="21"/>
      <w:lang w:bidi="ar-SA"/>
    </w:rPr>
  </w:style>
  <w:style w:type="paragraph" w:customStyle="1" w:styleId="250">
    <w:name w:val="样式 正文首行缩进 + 首行缩进:  2 字符 Char"/>
    <w:basedOn w:val="57"/>
    <w:link w:val="249"/>
    <w:autoRedefine/>
    <w:qFormat/>
    <w:uiPriority w:val="0"/>
    <w:pPr>
      <w:spacing w:line="300" w:lineRule="auto"/>
      <w:ind w:firstLine="200" w:firstLineChars="200"/>
    </w:pPr>
  </w:style>
  <w:style w:type="character" w:customStyle="1" w:styleId="251">
    <w:name w:val="Char Char27"/>
    <w:autoRedefine/>
    <w:qFormat/>
    <w:uiPriority w:val="0"/>
    <w:rPr>
      <w:b/>
      <w:bCs/>
      <w:kern w:val="44"/>
      <w:sz w:val="44"/>
      <w:szCs w:val="44"/>
    </w:rPr>
  </w:style>
  <w:style w:type="character" w:customStyle="1" w:styleId="252">
    <w:name w:val="abcde1"/>
    <w:basedOn w:val="61"/>
    <w:autoRedefine/>
    <w:qFormat/>
    <w:uiPriority w:val="0"/>
  </w:style>
  <w:style w:type="character" w:customStyle="1" w:styleId="253">
    <w:name w:val="Char Char34"/>
    <w:autoRedefine/>
    <w:qFormat/>
    <w:uiPriority w:val="0"/>
    <w:rPr>
      <w:rFonts w:eastAsia="宋体"/>
      <w:b/>
      <w:bCs/>
      <w:kern w:val="2"/>
      <w:sz w:val="32"/>
      <w:szCs w:val="32"/>
      <w:lang w:val="en-US" w:eastAsia="zh-CN" w:bidi="ar-SA"/>
    </w:rPr>
  </w:style>
  <w:style w:type="character" w:customStyle="1" w:styleId="254">
    <w:name w:val="文字字体 Char Char"/>
    <w:link w:val="255"/>
    <w:autoRedefine/>
    <w:qFormat/>
    <w:uiPriority w:val="0"/>
    <w:rPr>
      <w:rFonts w:ascii="宋体" w:hAnsi="宋体"/>
      <w:kern w:val="2"/>
      <w:sz w:val="24"/>
      <w:szCs w:val="24"/>
      <w:lang w:bidi="ar-SA"/>
    </w:rPr>
  </w:style>
  <w:style w:type="paragraph" w:customStyle="1" w:styleId="255">
    <w:name w:val="文字字体"/>
    <w:basedOn w:val="1"/>
    <w:next w:val="1"/>
    <w:link w:val="254"/>
    <w:autoRedefine/>
    <w:qFormat/>
    <w:uiPriority w:val="0"/>
    <w:pPr>
      <w:spacing w:line="360" w:lineRule="auto"/>
      <w:ind w:firstLine="480" w:firstLineChars="200"/>
    </w:pPr>
    <w:rPr>
      <w:rFonts w:ascii="宋体" w:hAnsi="宋体"/>
      <w:sz w:val="24"/>
      <w:szCs w:val="24"/>
    </w:rPr>
  </w:style>
  <w:style w:type="character" w:customStyle="1" w:styleId="256">
    <w:name w:val="缩进(ALT+Z) Char1"/>
    <w:link w:val="257"/>
    <w:autoRedefine/>
    <w:qFormat/>
    <w:uiPriority w:val="0"/>
    <w:rPr>
      <w:rFonts w:ascii="宋体"/>
      <w:kern w:val="2"/>
      <w:sz w:val="24"/>
      <w:lang w:bidi="ar-SA"/>
    </w:rPr>
  </w:style>
  <w:style w:type="paragraph" w:customStyle="1" w:styleId="257">
    <w:name w:val="缩进(ALT+Z)"/>
    <w:basedOn w:val="1"/>
    <w:link w:val="256"/>
    <w:autoRedefine/>
    <w:qFormat/>
    <w:uiPriority w:val="0"/>
    <w:pPr>
      <w:spacing w:line="360" w:lineRule="auto"/>
      <w:ind w:firstLine="200" w:firstLineChars="200"/>
    </w:pPr>
    <w:rPr>
      <w:rFonts w:ascii="宋体"/>
      <w:sz w:val="24"/>
    </w:rPr>
  </w:style>
  <w:style w:type="character" w:customStyle="1" w:styleId="258">
    <w:name w:val="Char Char"/>
    <w:autoRedefine/>
    <w:qFormat/>
    <w:uiPriority w:val="0"/>
    <w:rPr>
      <w:kern w:val="2"/>
      <w:sz w:val="18"/>
      <w:szCs w:val="18"/>
    </w:rPr>
  </w:style>
  <w:style w:type="character" w:customStyle="1" w:styleId="259">
    <w:name w:val="文档正文 Char Char Char Char Char"/>
    <w:autoRedefine/>
    <w:qFormat/>
    <w:uiPriority w:val="0"/>
    <w:rPr>
      <w:spacing w:val="8"/>
      <w:sz w:val="24"/>
    </w:rPr>
  </w:style>
  <w:style w:type="character" w:customStyle="1" w:styleId="260">
    <w:name w:val="正文文本缩进 Char Char"/>
    <w:autoRedefine/>
    <w:qFormat/>
    <w:uiPriority w:val="0"/>
    <w:rPr>
      <w:kern w:val="2"/>
      <w:sz w:val="28"/>
    </w:rPr>
  </w:style>
  <w:style w:type="character" w:customStyle="1" w:styleId="261">
    <w:name w:val="font51"/>
    <w:basedOn w:val="61"/>
    <w:autoRedefine/>
    <w:qFormat/>
    <w:uiPriority w:val="0"/>
    <w:rPr>
      <w:rFonts w:hint="eastAsia" w:ascii="微软雅黑" w:hAnsi="微软雅黑" w:eastAsia="微软雅黑" w:cs="微软雅黑"/>
      <w:color w:val="000000"/>
      <w:sz w:val="16"/>
      <w:szCs w:val="16"/>
      <w:u w:val="none"/>
    </w:rPr>
  </w:style>
  <w:style w:type="character" w:customStyle="1" w:styleId="262">
    <w:name w:val="工可正文 Char"/>
    <w:link w:val="263"/>
    <w:autoRedefine/>
    <w:qFormat/>
    <w:uiPriority w:val="0"/>
    <w:rPr>
      <w:kern w:val="2"/>
      <w:sz w:val="28"/>
      <w:szCs w:val="24"/>
    </w:rPr>
  </w:style>
  <w:style w:type="paragraph" w:customStyle="1" w:styleId="263">
    <w:name w:val="工可正文"/>
    <w:basedOn w:val="30"/>
    <w:link w:val="262"/>
    <w:autoRedefine/>
    <w:qFormat/>
    <w:uiPriority w:val="0"/>
    <w:pPr>
      <w:adjustRightInd w:val="0"/>
      <w:snapToGrid w:val="0"/>
      <w:ind w:firstLine="560" w:firstLineChars="200"/>
    </w:pPr>
    <w:rPr>
      <w:rFonts w:ascii="Times New Roman" w:hAnsi="Times New Roman"/>
      <w:sz w:val="28"/>
      <w:szCs w:val="24"/>
    </w:rPr>
  </w:style>
  <w:style w:type="character" w:customStyle="1" w:styleId="264">
    <w:name w:val="插图说明 Char Char"/>
    <w:link w:val="265"/>
    <w:autoRedefine/>
    <w:qFormat/>
    <w:uiPriority w:val="0"/>
    <w:rPr>
      <w:rFonts w:eastAsia="黑体"/>
      <w:sz w:val="24"/>
      <w:lang w:bidi="ar-SA"/>
    </w:rPr>
  </w:style>
  <w:style w:type="paragraph" w:customStyle="1" w:styleId="265">
    <w:name w:val="插图说明"/>
    <w:basedOn w:val="1"/>
    <w:link w:val="264"/>
    <w:autoRedefine/>
    <w:qFormat/>
    <w:uiPriority w:val="0"/>
    <w:pPr>
      <w:adjustRightInd w:val="0"/>
      <w:spacing w:after="240"/>
      <w:ind w:firstLine="200" w:firstLineChars="200"/>
      <w:jc w:val="center"/>
      <w:textAlignment w:val="baseline"/>
    </w:pPr>
    <w:rPr>
      <w:rFonts w:eastAsia="黑体"/>
      <w:kern w:val="0"/>
      <w:sz w:val="24"/>
    </w:rPr>
  </w:style>
  <w:style w:type="character" w:customStyle="1" w:styleId="266">
    <w:name w:val="question-title"/>
    <w:autoRedefine/>
    <w:qFormat/>
    <w:uiPriority w:val="0"/>
  </w:style>
  <w:style w:type="character" w:customStyle="1" w:styleId="267">
    <w:name w:val="img1"/>
    <w:basedOn w:val="61"/>
    <w:autoRedefine/>
    <w:qFormat/>
    <w:uiPriority w:val="0"/>
  </w:style>
  <w:style w:type="character" w:customStyle="1" w:styleId="268">
    <w:name w:val="标题 4_1 Char Char"/>
    <w:link w:val="269"/>
    <w:autoRedefine/>
    <w:qFormat/>
    <w:uiPriority w:val="0"/>
    <w:rPr>
      <w:rFonts w:ascii="Cambria" w:hAnsi="Cambria"/>
      <w:b/>
      <w:bCs/>
      <w:sz w:val="28"/>
      <w:szCs w:val="28"/>
      <w:lang w:bidi="ar-SA"/>
    </w:rPr>
  </w:style>
  <w:style w:type="paragraph" w:customStyle="1" w:styleId="269">
    <w:name w:val="标题 4_1"/>
    <w:basedOn w:val="6"/>
    <w:next w:val="2"/>
    <w:link w:val="268"/>
    <w:autoRedefine/>
    <w:qFormat/>
    <w:uiPriority w:val="0"/>
    <w:pPr>
      <w:keepNext w:val="0"/>
      <w:keepLines w:val="0"/>
      <w:tabs>
        <w:tab w:val="left" w:pos="751"/>
      </w:tabs>
      <w:adjustRightInd/>
      <w:spacing w:line="377" w:lineRule="auto"/>
      <w:ind w:left="751" w:hanging="144"/>
      <w:textAlignment w:val="auto"/>
    </w:pPr>
    <w:rPr>
      <w:rFonts w:ascii="Cambria" w:hAnsi="Cambria" w:eastAsia="宋体"/>
      <w:bCs/>
      <w:szCs w:val="28"/>
    </w:rPr>
  </w:style>
  <w:style w:type="character" w:customStyle="1" w:styleId="270">
    <w:name w:val="特点 Char"/>
    <w:autoRedefine/>
    <w:qFormat/>
    <w:uiPriority w:val="0"/>
    <w:rPr>
      <w:rFonts w:ascii="Arial" w:hAnsi="Arial" w:eastAsia="宋体" w:cs="Arial"/>
      <w:snapToGrid/>
      <w:kern w:val="2"/>
      <w:sz w:val="24"/>
      <w:szCs w:val="24"/>
      <w:lang w:val="en-US" w:eastAsia="zh-CN" w:bidi="ar-SA"/>
    </w:rPr>
  </w:style>
  <w:style w:type="character" w:customStyle="1" w:styleId="271">
    <w:name w:val="标准正文 Char Char"/>
    <w:link w:val="272"/>
    <w:autoRedefine/>
    <w:qFormat/>
    <w:uiPriority w:val="0"/>
    <w:rPr>
      <w:kern w:val="2"/>
      <w:sz w:val="21"/>
      <w:szCs w:val="24"/>
      <w:lang w:bidi="ar-SA"/>
    </w:rPr>
  </w:style>
  <w:style w:type="paragraph" w:customStyle="1" w:styleId="272">
    <w:name w:val="标准正文"/>
    <w:basedOn w:val="24"/>
    <w:link w:val="271"/>
    <w:autoRedefine/>
    <w:qFormat/>
    <w:uiPriority w:val="0"/>
    <w:pPr>
      <w:spacing w:before="60" w:after="60" w:line="360" w:lineRule="auto"/>
      <w:ind w:firstLine="482"/>
    </w:pPr>
    <w:rPr>
      <w:sz w:val="21"/>
      <w:szCs w:val="24"/>
    </w:rPr>
  </w:style>
  <w:style w:type="character" w:customStyle="1" w:styleId="273">
    <w:name w:val="fo Char"/>
    <w:autoRedefine/>
    <w:qFormat/>
    <w:uiPriority w:val="0"/>
    <w:rPr>
      <w:sz w:val="18"/>
    </w:rPr>
  </w:style>
  <w:style w:type="character" w:customStyle="1" w:styleId="274">
    <w:name w:val="样式 标题 4(一)1.11。1h4H4Ref Heading 1rh1Heading sqlsect 1.2...2 Char Char"/>
    <w:link w:val="275"/>
    <w:autoRedefine/>
    <w:qFormat/>
    <w:uiPriority w:val="0"/>
    <w:rPr>
      <w:rFonts w:ascii="Arial" w:hAnsi="Arial" w:eastAsia="黑体"/>
      <w:b/>
      <w:bCs/>
      <w:kern w:val="2"/>
      <w:sz w:val="30"/>
      <w:szCs w:val="28"/>
      <w:lang w:bidi="ar-SA"/>
    </w:rPr>
  </w:style>
  <w:style w:type="paragraph" w:customStyle="1" w:styleId="275">
    <w:name w:val="样式 标题 4(一)1.11。1h4H4Ref Heading 1rh1Heading sqlsect 1.2...2"/>
    <w:basedOn w:val="6"/>
    <w:link w:val="274"/>
    <w:autoRedefine/>
    <w:qFormat/>
    <w:uiPriority w:val="0"/>
    <w:pPr>
      <w:tabs>
        <w:tab w:val="left" w:pos="315"/>
        <w:tab w:val="left" w:pos="851"/>
        <w:tab w:val="left" w:pos="2220"/>
      </w:tabs>
      <w:adjustRightInd/>
      <w:spacing w:before="40" w:after="40" w:line="300" w:lineRule="auto"/>
      <w:ind w:left="2220" w:hanging="420"/>
      <w:textAlignment w:val="auto"/>
    </w:pPr>
    <w:rPr>
      <w:bCs/>
      <w:kern w:val="2"/>
      <w:sz w:val="30"/>
      <w:szCs w:val="28"/>
    </w:rPr>
  </w:style>
  <w:style w:type="character" w:customStyle="1" w:styleId="276">
    <w:name w:val="Char Char29"/>
    <w:autoRedefine/>
    <w:qFormat/>
    <w:uiPriority w:val="0"/>
    <w:rPr>
      <w:rFonts w:ascii="Arial" w:hAnsi="Arial" w:eastAsia="黑体"/>
      <w:kern w:val="2"/>
      <w:sz w:val="24"/>
      <w:szCs w:val="24"/>
      <w:lang w:val="en-US" w:eastAsia="zh-CN" w:bidi="ar-SA"/>
    </w:rPr>
  </w:style>
  <w:style w:type="character" w:customStyle="1" w:styleId="277">
    <w:name w:val="Anrede1IhrZeichen"/>
    <w:autoRedefine/>
    <w:qFormat/>
    <w:uiPriority w:val="0"/>
    <w:rPr>
      <w:rFonts w:ascii="Arial" w:hAnsi="Arial"/>
      <w:sz w:val="20"/>
    </w:rPr>
  </w:style>
  <w:style w:type="character" w:customStyle="1" w:styleId="278">
    <w:name w:val="正文k Char Char"/>
    <w:link w:val="279"/>
    <w:autoRedefine/>
    <w:qFormat/>
    <w:uiPriority w:val="0"/>
    <w:rPr>
      <w:sz w:val="24"/>
      <w:lang w:bidi="ar-SA"/>
    </w:rPr>
  </w:style>
  <w:style w:type="paragraph" w:customStyle="1" w:styleId="279">
    <w:name w:val="正文k"/>
    <w:basedOn w:val="1"/>
    <w:link w:val="278"/>
    <w:autoRedefine/>
    <w:qFormat/>
    <w:uiPriority w:val="0"/>
    <w:pPr>
      <w:widowControl/>
      <w:adjustRightInd w:val="0"/>
      <w:snapToGrid w:val="0"/>
      <w:spacing w:line="360" w:lineRule="auto"/>
      <w:ind w:firstLine="200" w:firstLineChars="200"/>
      <w:textAlignment w:val="baseline"/>
    </w:pPr>
    <w:rPr>
      <w:kern w:val="0"/>
      <w:sz w:val="24"/>
    </w:rPr>
  </w:style>
  <w:style w:type="character" w:customStyle="1" w:styleId="280">
    <w:name w:val="textnorm_chn1"/>
    <w:autoRedefine/>
    <w:qFormat/>
    <w:uiPriority w:val="0"/>
    <w:rPr>
      <w:rFonts w:hint="default" w:ascii="Arial" w:hAnsi="Arial" w:cs="Arial"/>
      <w:color w:val="21254A"/>
      <w:sz w:val="22"/>
      <w:szCs w:val="22"/>
    </w:rPr>
  </w:style>
  <w:style w:type="character" w:customStyle="1" w:styleId="281">
    <w:name w:val="样式 宋体 Char Char"/>
    <w:autoRedefine/>
    <w:qFormat/>
    <w:uiPriority w:val="0"/>
    <w:rPr>
      <w:rFonts w:ascii="宋体" w:hAnsi="宋体" w:eastAsia="宋体"/>
      <w:bCs/>
      <w:spacing w:val="24"/>
      <w:kern w:val="2"/>
      <w:sz w:val="21"/>
      <w:szCs w:val="28"/>
      <w:lang w:val="en-US" w:eastAsia="zh-CN" w:bidi="ar-SA"/>
    </w:rPr>
  </w:style>
  <w:style w:type="character" w:customStyle="1" w:styleId="282">
    <w:name w:val="正文首行缩进2字符 Char Char"/>
    <w:link w:val="283"/>
    <w:autoRedefine/>
    <w:qFormat/>
    <w:uiPriority w:val="0"/>
    <w:rPr>
      <w:kern w:val="2"/>
      <w:sz w:val="24"/>
      <w:szCs w:val="24"/>
      <w:lang w:bidi="ar-SA"/>
    </w:rPr>
  </w:style>
  <w:style w:type="paragraph" w:customStyle="1" w:styleId="283">
    <w:name w:val="正文首行缩进2字符"/>
    <w:basedOn w:val="1"/>
    <w:link w:val="282"/>
    <w:autoRedefine/>
    <w:qFormat/>
    <w:uiPriority w:val="0"/>
    <w:pPr>
      <w:spacing w:line="300" w:lineRule="auto"/>
      <w:ind w:firstLine="420" w:firstLineChars="200"/>
    </w:pPr>
    <w:rPr>
      <w:sz w:val="24"/>
      <w:szCs w:val="24"/>
    </w:rPr>
  </w:style>
  <w:style w:type="character" w:customStyle="1" w:styleId="284">
    <w:name w:val="标题 2 Char Char"/>
    <w:autoRedefine/>
    <w:qFormat/>
    <w:uiPriority w:val="0"/>
    <w:rPr>
      <w:rFonts w:ascii="Arial" w:hAnsi="Arial" w:eastAsia="黑体"/>
      <w:b/>
      <w:bCs/>
      <w:kern w:val="2"/>
      <w:sz w:val="32"/>
      <w:szCs w:val="32"/>
      <w:lang w:val="en-US" w:eastAsia="zh-CN" w:bidi="ar-SA"/>
    </w:rPr>
  </w:style>
  <w:style w:type="character" w:customStyle="1" w:styleId="285">
    <w:name w:val="paragraph1 Char Char"/>
    <w:link w:val="286"/>
    <w:autoRedefine/>
    <w:qFormat/>
    <w:uiPriority w:val="0"/>
    <w:rPr>
      <w:kern w:val="2"/>
      <w:sz w:val="24"/>
      <w:szCs w:val="24"/>
      <w:lang w:bidi="ar-SA"/>
    </w:rPr>
  </w:style>
  <w:style w:type="paragraph" w:customStyle="1" w:styleId="286">
    <w:name w:val="paragraph1"/>
    <w:basedOn w:val="1"/>
    <w:link w:val="285"/>
    <w:autoRedefine/>
    <w:qFormat/>
    <w:uiPriority w:val="0"/>
    <w:pPr>
      <w:spacing w:after="93" w:afterLines="30" w:line="360" w:lineRule="auto"/>
      <w:ind w:firstLine="480" w:firstLineChars="200"/>
    </w:pPr>
    <w:rPr>
      <w:sz w:val="24"/>
      <w:szCs w:val="24"/>
    </w:rPr>
  </w:style>
  <w:style w:type="character" w:customStyle="1" w:styleId="287">
    <w:name w:val="计费规范编写 正文 Char Char"/>
    <w:link w:val="288"/>
    <w:autoRedefine/>
    <w:qFormat/>
    <w:uiPriority w:val="0"/>
    <w:rPr>
      <w:kern w:val="2"/>
      <w:sz w:val="24"/>
      <w:szCs w:val="24"/>
      <w:lang w:bidi="ar-SA"/>
    </w:rPr>
  </w:style>
  <w:style w:type="paragraph" w:customStyle="1" w:styleId="288">
    <w:name w:val="计费规范编写 正文"/>
    <w:basedOn w:val="1"/>
    <w:link w:val="287"/>
    <w:autoRedefine/>
    <w:qFormat/>
    <w:uiPriority w:val="0"/>
    <w:pPr>
      <w:spacing w:line="360" w:lineRule="auto"/>
      <w:ind w:firstLine="480" w:firstLineChars="200"/>
    </w:pPr>
    <w:rPr>
      <w:sz w:val="24"/>
      <w:szCs w:val="24"/>
    </w:rPr>
  </w:style>
  <w:style w:type="character" w:customStyle="1" w:styleId="289">
    <w:name w:val="正文1 Char Char"/>
    <w:link w:val="290"/>
    <w:autoRedefine/>
    <w:qFormat/>
    <w:uiPriority w:val="0"/>
    <w:rPr>
      <w:rFonts w:eastAsia="宋体"/>
      <w:kern w:val="2"/>
      <w:sz w:val="24"/>
      <w:szCs w:val="24"/>
      <w:lang w:val="en-US" w:eastAsia="zh-CN" w:bidi="ar-SA"/>
    </w:rPr>
  </w:style>
  <w:style w:type="paragraph" w:customStyle="1" w:styleId="290">
    <w:name w:val="正文1"/>
    <w:basedOn w:val="1"/>
    <w:link w:val="289"/>
    <w:autoRedefine/>
    <w:qFormat/>
    <w:uiPriority w:val="0"/>
    <w:rPr>
      <w:sz w:val="24"/>
      <w:szCs w:val="24"/>
    </w:rPr>
  </w:style>
  <w:style w:type="character" w:customStyle="1" w:styleId="291">
    <w:name w:val="font101"/>
    <w:autoRedefine/>
    <w:qFormat/>
    <w:uiPriority w:val="0"/>
    <w:rPr>
      <w:sz w:val="21"/>
      <w:szCs w:val="21"/>
    </w:rPr>
  </w:style>
  <w:style w:type="character" w:customStyle="1" w:styleId="292">
    <w:name w:val="font21"/>
    <w:basedOn w:val="61"/>
    <w:autoRedefine/>
    <w:qFormat/>
    <w:uiPriority w:val="0"/>
    <w:rPr>
      <w:rFonts w:hint="eastAsia" w:ascii="宋体" w:hAnsi="宋体" w:eastAsia="宋体"/>
      <w:color w:val="000000"/>
      <w:sz w:val="20"/>
      <w:szCs w:val="20"/>
      <w:u w:val="none"/>
    </w:rPr>
  </w:style>
  <w:style w:type="character" w:customStyle="1" w:styleId="293">
    <w:name w:val="Char Char25"/>
    <w:autoRedefine/>
    <w:qFormat/>
    <w:uiPriority w:val="0"/>
    <w:rPr>
      <w:rFonts w:ascii="Arial" w:hAnsi="Arial" w:eastAsia="黑体"/>
      <w:b/>
      <w:bCs/>
      <w:kern w:val="2"/>
      <w:sz w:val="32"/>
      <w:szCs w:val="32"/>
    </w:rPr>
  </w:style>
  <w:style w:type="character" w:customStyle="1" w:styleId="294">
    <w:name w:val="计费规范编写 正文 Char Char Char Char Char"/>
    <w:link w:val="295"/>
    <w:autoRedefine/>
    <w:qFormat/>
    <w:uiPriority w:val="0"/>
    <w:rPr>
      <w:kern w:val="2"/>
      <w:sz w:val="24"/>
      <w:lang w:bidi="ar-SA"/>
    </w:rPr>
  </w:style>
  <w:style w:type="paragraph" w:customStyle="1" w:styleId="295">
    <w:name w:val="计费规范编写 正文 Char Char Char"/>
    <w:basedOn w:val="1"/>
    <w:link w:val="294"/>
    <w:autoRedefine/>
    <w:qFormat/>
    <w:uiPriority w:val="0"/>
    <w:pPr>
      <w:spacing w:line="360" w:lineRule="auto"/>
      <w:ind w:firstLine="480" w:firstLineChars="200"/>
    </w:pPr>
    <w:rPr>
      <w:sz w:val="24"/>
    </w:rPr>
  </w:style>
  <w:style w:type="character" w:customStyle="1" w:styleId="296">
    <w:name w:val="Char Char17"/>
    <w:autoRedefine/>
    <w:qFormat/>
    <w:uiPriority w:val="0"/>
    <w:rPr>
      <w:kern w:val="2"/>
      <w:sz w:val="24"/>
    </w:rPr>
  </w:style>
  <w:style w:type="character" w:customStyle="1" w:styleId="297">
    <w:name w:val="CL正文符号1 Char Char"/>
    <w:link w:val="298"/>
    <w:autoRedefine/>
    <w:qFormat/>
    <w:uiPriority w:val="0"/>
    <w:rPr>
      <w:rFonts w:ascii="宋体"/>
      <w:sz w:val="28"/>
      <w:szCs w:val="24"/>
      <w:lang w:bidi="ar-SA"/>
    </w:rPr>
  </w:style>
  <w:style w:type="paragraph" w:customStyle="1" w:styleId="298">
    <w:name w:val="CL正文符号1"/>
    <w:basedOn w:val="1"/>
    <w:link w:val="297"/>
    <w:autoRedefine/>
    <w:qFormat/>
    <w:uiPriority w:val="0"/>
    <w:pPr>
      <w:tabs>
        <w:tab w:val="left" w:pos="987"/>
        <w:tab w:val="left" w:pos="1500"/>
      </w:tabs>
      <w:spacing w:before="100" w:beforeAutospacing="1" w:after="100" w:afterAutospacing="1" w:line="360" w:lineRule="auto"/>
      <w:ind w:left="1500" w:hanging="960"/>
    </w:pPr>
    <w:rPr>
      <w:rFonts w:ascii="宋体"/>
      <w:kern w:val="0"/>
      <w:sz w:val="28"/>
      <w:szCs w:val="24"/>
    </w:rPr>
  </w:style>
  <w:style w:type="character" w:customStyle="1" w:styleId="299">
    <w:name w:val="11111 Char Char"/>
    <w:link w:val="300"/>
    <w:autoRedefine/>
    <w:qFormat/>
    <w:uiPriority w:val="0"/>
    <w:rPr>
      <w:rFonts w:ascii="宋体" w:hAnsi="宋体"/>
      <w:b/>
      <w:kern w:val="2"/>
      <w:sz w:val="30"/>
      <w:szCs w:val="30"/>
      <w:lang w:bidi="ar-SA"/>
    </w:rPr>
  </w:style>
  <w:style w:type="paragraph" w:customStyle="1" w:styleId="300">
    <w:name w:val="11111"/>
    <w:basedOn w:val="1"/>
    <w:link w:val="299"/>
    <w:autoRedefine/>
    <w:qFormat/>
    <w:uiPriority w:val="0"/>
    <w:pPr>
      <w:tabs>
        <w:tab w:val="left" w:pos="425"/>
      </w:tabs>
      <w:adjustRightInd w:val="0"/>
      <w:snapToGrid w:val="0"/>
      <w:spacing w:line="360" w:lineRule="auto"/>
      <w:ind w:left="425" w:right="31" w:rightChars="17" w:hanging="425"/>
      <w:outlineLvl w:val="1"/>
    </w:pPr>
    <w:rPr>
      <w:rFonts w:ascii="宋体" w:hAnsi="宋体"/>
      <w:b/>
      <w:sz w:val="30"/>
      <w:szCs w:val="30"/>
    </w:rPr>
  </w:style>
  <w:style w:type="character" w:customStyle="1" w:styleId="301">
    <w:name w:val="CD正文 Char Char"/>
    <w:link w:val="302"/>
    <w:autoRedefine/>
    <w:qFormat/>
    <w:uiPriority w:val="0"/>
    <w:rPr>
      <w:kern w:val="2"/>
      <w:sz w:val="28"/>
      <w:szCs w:val="28"/>
      <w:lang w:bidi="ar-SA"/>
    </w:rPr>
  </w:style>
  <w:style w:type="paragraph" w:customStyle="1" w:styleId="302">
    <w:name w:val="CD正文"/>
    <w:basedOn w:val="1"/>
    <w:link w:val="301"/>
    <w:autoRedefine/>
    <w:qFormat/>
    <w:uiPriority w:val="0"/>
    <w:pPr>
      <w:spacing w:line="360" w:lineRule="auto"/>
      <w:ind w:firstLine="493"/>
    </w:pPr>
    <w:rPr>
      <w:sz w:val="28"/>
      <w:szCs w:val="28"/>
    </w:rPr>
  </w:style>
  <w:style w:type="character" w:customStyle="1" w:styleId="303">
    <w:name w:val="e"/>
    <w:basedOn w:val="61"/>
    <w:autoRedefine/>
    <w:qFormat/>
    <w:uiPriority w:val="0"/>
  </w:style>
  <w:style w:type="character" w:customStyle="1" w:styleId="304">
    <w:name w:val="Char Char5"/>
    <w:autoRedefine/>
    <w:qFormat/>
    <w:uiPriority w:val="0"/>
    <w:rPr>
      <w:kern w:val="2"/>
      <w:sz w:val="18"/>
      <w:szCs w:val="18"/>
    </w:rPr>
  </w:style>
  <w:style w:type="character" w:customStyle="1" w:styleId="305">
    <w:name w:val="正文样 Char Char"/>
    <w:link w:val="306"/>
    <w:autoRedefine/>
    <w:qFormat/>
    <w:uiPriority w:val="0"/>
    <w:rPr>
      <w:rFonts w:ascii="宋体" w:hAnsi="Calibri"/>
      <w:sz w:val="24"/>
      <w:lang w:bidi="ar-SA"/>
    </w:rPr>
  </w:style>
  <w:style w:type="paragraph" w:customStyle="1" w:styleId="306">
    <w:name w:val="正文样"/>
    <w:basedOn w:val="1"/>
    <w:link w:val="305"/>
    <w:autoRedefine/>
    <w:qFormat/>
    <w:uiPriority w:val="0"/>
    <w:pPr>
      <w:adjustRightInd w:val="0"/>
      <w:snapToGrid w:val="0"/>
      <w:spacing w:line="540" w:lineRule="atLeast"/>
      <w:ind w:firstLine="573"/>
    </w:pPr>
    <w:rPr>
      <w:rFonts w:ascii="宋体" w:hAnsi="Calibri"/>
      <w:kern w:val="0"/>
      <w:sz w:val="24"/>
    </w:rPr>
  </w:style>
  <w:style w:type="character" w:customStyle="1" w:styleId="307">
    <w:name w:val="标题2 Char"/>
    <w:autoRedefine/>
    <w:qFormat/>
    <w:uiPriority w:val="0"/>
    <w:rPr>
      <w:rFonts w:eastAsia="宋体"/>
      <w:sz w:val="24"/>
    </w:rPr>
  </w:style>
  <w:style w:type="character" w:customStyle="1" w:styleId="308">
    <w:name w:val="样式 标题 2H2节Heading 2 HiddenHeading 2 CCBSTitle2PIM22nd lev...2 Char Char Char1"/>
    <w:link w:val="309"/>
    <w:autoRedefine/>
    <w:qFormat/>
    <w:uiPriority w:val="0"/>
    <w:rPr>
      <w:rFonts w:ascii="Arial" w:hAnsi="Arial" w:eastAsia="黑体"/>
      <w:b/>
      <w:bCs/>
      <w:color w:val="000000"/>
      <w:kern w:val="2"/>
      <w:sz w:val="32"/>
      <w:szCs w:val="32"/>
      <w:lang w:bidi="ar-SA"/>
    </w:rPr>
  </w:style>
  <w:style w:type="paragraph" w:customStyle="1" w:styleId="309">
    <w:name w:val="样式 标题 2H2节Heading 2 HiddenHeading 2 CCBSTitle2PIM22nd lev...2 Char Char"/>
    <w:basedOn w:val="4"/>
    <w:link w:val="308"/>
    <w:autoRedefine/>
    <w:qFormat/>
    <w:uiPriority w:val="0"/>
    <w:pPr>
      <w:keepLines w:val="0"/>
      <w:tabs>
        <w:tab w:val="left" w:pos="210"/>
        <w:tab w:val="left" w:pos="1380"/>
      </w:tabs>
      <w:spacing w:before="160" w:after="160" w:line="300" w:lineRule="auto"/>
      <w:ind w:left="1380" w:hanging="420"/>
    </w:pPr>
    <w:rPr>
      <w:color w:val="000000"/>
    </w:rPr>
  </w:style>
  <w:style w:type="character" w:customStyle="1" w:styleId="310">
    <w:name w:val="44444 Char Char"/>
    <w:link w:val="311"/>
    <w:autoRedefine/>
    <w:qFormat/>
    <w:uiPriority w:val="0"/>
    <w:rPr>
      <w:rFonts w:ascii="宋体" w:hAnsi="宋体"/>
      <w:b/>
      <w:kern w:val="2"/>
      <w:sz w:val="30"/>
      <w:szCs w:val="30"/>
      <w:lang w:bidi="ar-SA"/>
    </w:rPr>
  </w:style>
  <w:style w:type="paragraph" w:customStyle="1" w:styleId="311">
    <w:name w:val="44444"/>
    <w:basedOn w:val="1"/>
    <w:link w:val="310"/>
    <w:autoRedefine/>
    <w:qFormat/>
    <w:uiPriority w:val="0"/>
    <w:pPr>
      <w:spacing w:before="312" w:beforeLines="100" w:after="312" w:afterLines="100" w:line="360" w:lineRule="auto"/>
      <w:jc w:val="left"/>
      <w:outlineLvl w:val="2"/>
    </w:pPr>
    <w:rPr>
      <w:rFonts w:ascii="宋体" w:hAnsi="宋体"/>
      <w:b/>
      <w:sz w:val="30"/>
      <w:szCs w:val="30"/>
    </w:rPr>
  </w:style>
  <w:style w:type="character" w:customStyle="1" w:styleId="312">
    <w:name w:val="Char Char26"/>
    <w:autoRedefine/>
    <w:qFormat/>
    <w:uiPriority w:val="0"/>
    <w:rPr>
      <w:rFonts w:ascii="Arial" w:hAnsi="Arial" w:eastAsia="黑体"/>
      <w:b/>
      <w:bCs/>
      <w:kern w:val="2"/>
      <w:sz w:val="36"/>
      <w:szCs w:val="32"/>
    </w:rPr>
  </w:style>
  <w:style w:type="character" w:customStyle="1" w:styleId="313">
    <w:name w:val="b21"/>
    <w:autoRedefine/>
    <w:qFormat/>
    <w:uiPriority w:val="0"/>
    <w:rPr>
      <w:color w:val="000000"/>
      <w:sz w:val="18"/>
      <w:szCs w:val="18"/>
      <w:u w:val="none"/>
    </w:rPr>
  </w:style>
  <w:style w:type="character" w:customStyle="1" w:styleId="314">
    <w:name w:val="样式1 Char Char"/>
    <w:link w:val="315"/>
    <w:autoRedefine/>
    <w:qFormat/>
    <w:uiPriority w:val="0"/>
    <w:rPr>
      <w:rFonts w:ascii="宋体" w:hAnsi="宋体" w:eastAsia="宋体"/>
      <w:b/>
      <w:kern w:val="2"/>
      <w:sz w:val="24"/>
      <w:lang w:val="en-US" w:eastAsia="zh-CN" w:bidi="ar-SA"/>
    </w:rPr>
  </w:style>
  <w:style w:type="paragraph" w:customStyle="1" w:styleId="315">
    <w:name w:val="样式1"/>
    <w:basedOn w:val="1"/>
    <w:link w:val="314"/>
    <w:autoRedefine/>
    <w:qFormat/>
    <w:uiPriority w:val="0"/>
    <w:pPr>
      <w:spacing w:before="120" w:after="120" w:line="300" w:lineRule="auto"/>
    </w:pPr>
    <w:rPr>
      <w:rFonts w:ascii="宋体" w:hAnsi="宋体"/>
      <w:b/>
      <w:sz w:val="24"/>
    </w:rPr>
  </w:style>
  <w:style w:type="character" w:customStyle="1" w:styleId="316">
    <w:name w:val="33333 Char Char"/>
    <w:link w:val="317"/>
    <w:autoRedefine/>
    <w:qFormat/>
    <w:uiPriority w:val="0"/>
    <w:rPr>
      <w:rFonts w:ascii="宋体" w:hAnsi="宋体"/>
      <w:kern w:val="2"/>
      <w:sz w:val="28"/>
      <w:szCs w:val="30"/>
      <w:lang w:bidi="ar-SA"/>
    </w:rPr>
  </w:style>
  <w:style w:type="paragraph" w:customStyle="1" w:styleId="317">
    <w:name w:val="33333"/>
    <w:basedOn w:val="1"/>
    <w:link w:val="316"/>
    <w:autoRedefine/>
    <w:qFormat/>
    <w:uiPriority w:val="0"/>
    <w:pPr>
      <w:ind w:firstLine="600" w:firstLineChars="200"/>
    </w:pPr>
    <w:rPr>
      <w:rFonts w:ascii="宋体" w:hAnsi="宋体"/>
      <w:sz w:val="28"/>
      <w:szCs w:val="30"/>
    </w:rPr>
  </w:style>
  <w:style w:type="character" w:customStyle="1" w:styleId="318">
    <w:name w:val="MM Topic 4 Char Char"/>
    <w:link w:val="319"/>
    <w:autoRedefine/>
    <w:qFormat/>
    <w:uiPriority w:val="0"/>
    <w:rPr>
      <w:rFonts w:ascii="Arial" w:hAnsi="Arial" w:eastAsia="黑体"/>
      <w:b/>
      <w:bCs/>
      <w:kern w:val="2"/>
      <w:sz w:val="28"/>
      <w:szCs w:val="28"/>
      <w:lang w:bidi="ar-SA"/>
    </w:rPr>
  </w:style>
  <w:style w:type="paragraph" w:customStyle="1" w:styleId="319">
    <w:name w:val="MM Topic 4"/>
    <w:basedOn w:val="6"/>
    <w:link w:val="318"/>
    <w:autoRedefine/>
    <w:qFormat/>
    <w:uiPriority w:val="0"/>
    <w:pPr>
      <w:tabs>
        <w:tab w:val="left" w:pos="851"/>
        <w:tab w:val="left" w:pos="1984"/>
      </w:tabs>
      <w:adjustRightInd/>
      <w:spacing w:line="376" w:lineRule="auto"/>
      <w:textAlignment w:val="auto"/>
    </w:pPr>
    <w:rPr>
      <w:bCs/>
      <w:kern w:val="2"/>
      <w:szCs w:val="28"/>
    </w:rPr>
  </w:style>
  <w:style w:type="character" w:customStyle="1" w:styleId="320">
    <w:name w:val="正文样式文本 Char Char"/>
    <w:link w:val="321"/>
    <w:autoRedefine/>
    <w:qFormat/>
    <w:uiPriority w:val="0"/>
    <w:rPr>
      <w:rFonts w:ascii="Calibri" w:hAnsi="Calibri"/>
      <w:kern w:val="2"/>
      <w:sz w:val="24"/>
      <w:szCs w:val="24"/>
      <w:lang w:bidi="ar-SA"/>
    </w:rPr>
  </w:style>
  <w:style w:type="paragraph" w:customStyle="1" w:styleId="321">
    <w:name w:val="正文样式文本"/>
    <w:basedOn w:val="1"/>
    <w:link w:val="320"/>
    <w:autoRedefine/>
    <w:qFormat/>
    <w:uiPriority w:val="0"/>
    <w:pPr>
      <w:spacing w:before="156" w:beforeLines="50" w:after="156" w:afterLines="50" w:line="360" w:lineRule="auto"/>
      <w:ind w:firstLine="480" w:firstLineChars="200"/>
    </w:pPr>
    <w:rPr>
      <w:rFonts w:ascii="Calibri" w:hAnsi="Calibri"/>
      <w:sz w:val="24"/>
      <w:szCs w:val="24"/>
    </w:rPr>
  </w:style>
  <w:style w:type="character" w:customStyle="1" w:styleId="322">
    <w:name w:val="CU Char Char"/>
    <w:link w:val="323"/>
    <w:autoRedefine/>
    <w:qFormat/>
    <w:uiPriority w:val="0"/>
    <w:rPr>
      <w:rFonts w:ascii="宋体" w:hAnsi="宋体"/>
      <w:sz w:val="24"/>
      <w:lang w:bidi="ar-SA"/>
    </w:rPr>
  </w:style>
  <w:style w:type="paragraph" w:customStyle="1" w:styleId="323">
    <w:name w:val="CU"/>
    <w:basedOn w:val="1"/>
    <w:link w:val="322"/>
    <w:autoRedefine/>
    <w:qFormat/>
    <w:uiPriority w:val="0"/>
    <w:pPr>
      <w:widowControl/>
      <w:spacing w:line="360" w:lineRule="auto"/>
      <w:ind w:left="420"/>
      <w:jc w:val="left"/>
    </w:pPr>
    <w:rPr>
      <w:rFonts w:ascii="宋体" w:hAnsi="宋体"/>
      <w:kern w:val="0"/>
      <w:sz w:val="24"/>
    </w:rPr>
  </w:style>
  <w:style w:type="character" w:customStyle="1" w:styleId="324">
    <w:name w:val="标注：图 Char Char"/>
    <w:link w:val="325"/>
    <w:autoRedefine/>
    <w:qFormat/>
    <w:uiPriority w:val="0"/>
    <w:rPr>
      <w:kern w:val="2"/>
      <w:sz w:val="24"/>
      <w:szCs w:val="24"/>
      <w:lang w:bidi="ar-SA"/>
    </w:rPr>
  </w:style>
  <w:style w:type="paragraph" w:customStyle="1" w:styleId="325">
    <w:name w:val="标注：图"/>
    <w:basedOn w:val="326"/>
    <w:next w:val="1"/>
    <w:link w:val="324"/>
    <w:autoRedefine/>
    <w:qFormat/>
    <w:uiPriority w:val="0"/>
    <w:pPr>
      <w:widowControl w:val="0"/>
      <w:spacing w:line="300" w:lineRule="auto"/>
      <w:ind w:left="425" w:firstLine="0" w:firstLineChars="0"/>
      <w:jc w:val="center"/>
    </w:pPr>
    <w:rPr>
      <w:kern w:val="2"/>
      <w:sz w:val="24"/>
      <w:szCs w:val="24"/>
    </w:rPr>
  </w:style>
  <w:style w:type="paragraph" w:customStyle="1" w:styleId="326">
    <w:name w:val="列出段落1"/>
    <w:autoRedefine/>
    <w:qFormat/>
    <w:uiPriority w:val="34"/>
    <w:pPr>
      <w:ind w:firstLine="420" w:firstLineChars="200"/>
    </w:pPr>
    <w:rPr>
      <w:rFonts w:ascii="Times New Roman" w:hAnsi="Times New Roman" w:eastAsia="宋体" w:cs="Times New Roman"/>
      <w:lang w:val="en-US" w:eastAsia="zh-CN" w:bidi="ar-SA"/>
    </w:rPr>
  </w:style>
  <w:style w:type="character" w:customStyle="1" w:styleId="327">
    <w:name w:val="Char Char36"/>
    <w:autoRedefine/>
    <w:qFormat/>
    <w:uiPriority w:val="0"/>
    <w:rPr>
      <w:rFonts w:eastAsia="宋体"/>
      <w:b/>
      <w:bCs/>
      <w:kern w:val="44"/>
      <w:sz w:val="44"/>
      <w:szCs w:val="44"/>
      <w:lang w:val="en-US" w:eastAsia="zh-CN" w:bidi="ar-SA"/>
    </w:rPr>
  </w:style>
  <w:style w:type="paragraph" w:customStyle="1" w:styleId="328">
    <w:name w:val="正文缩进2文字 Char Char Char Char"/>
    <w:basedOn w:val="1"/>
    <w:autoRedefine/>
    <w:qFormat/>
    <w:uiPriority w:val="0"/>
    <w:pPr>
      <w:spacing w:before="156" w:beforeLines="50" w:after="156" w:afterLines="50" w:line="360" w:lineRule="auto"/>
      <w:ind w:firstLine="200" w:firstLineChars="200"/>
    </w:pPr>
    <w:rPr>
      <w:sz w:val="24"/>
      <w:szCs w:val="24"/>
    </w:rPr>
  </w:style>
  <w:style w:type="paragraph" w:customStyle="1" w:styleId="329">
    <w:name w:val="标题 0"/>
    <w:basedOn w:val="3"/>
    <w:autoRedefine/>
    <w:qFormat/>
    <w:uiPriority w:val="0"/>
    <w:pPr>
      <w:keepNext w:val="0"/>
      <w:pageBreakBefore/>
      <w:tabs>
        <w:tab w:val="left" w:pos="850"/>
      </w:tabs>
      <w:spacing w:before="4080" w:after="100"/>
      <w:jc w:val="center"/>
    </w:pPr>
    <w:rPr>
      <w:sz w:val="52"/>
      <w:szCs w:val="52"/>
    </w:rPr>
  </w:style>
  <w:style w:type="paragraph" w:customStyle="1" w:styleId="330">
    <w:name w:val="样式 样式2 +"/>
    <w:basedOn w:val="248"/>
    <w:autoRedefine/>
    <w:qFormat/>
    <w:uiPriority w:val="0"/>
    <w:pPr>
      <w:adjustRightInd/>
      <w:spacing w:line="360" w:lineRule="auto"/>
      <w:textAlignment w:val="auto"/>
    </w:pPr>
    <w:rPr>
      <w:b/>
    </w:rPr>
  </w:style>
  <w:style w:type="paragraph" w:customStyle="1" w:styleId="331">
    <w:name w:val="列表内容"/>
    <w:basedOn w:val="1"/>
    <w:next w:val="1"/>
    <w:autoRedefine/>
    <w:qFormat/>
    <w:uiPriority w:val="0"/>
    <w:pPr>
      <w:widowControl/>
      <w:tabs>
        <w:tab w:val="left" w:pos="980"/>
      </w:tabs>
      <w:ind w:left="932" w:hanging="420"/>
      <w:jc w:val="left"/>
    </w:pPr>
    <w:rPr>
      <w:kern w:val="0"/>
      <w:sz w:val="18"/>
      <w:szCs w:val="24"/>
    </w:rPr>
  </w:style>
  <w:style w:type="paragraph" w:customStyle="1" w:styleId="332">
    <w:name w:val="编号2级"/>
    <w:autoRedefine/>
    <w:qFormat/>
    <w:uiPriority w:val="0"/>
    <w:pPr>
      <w:tabs>
        <w:tab w:val="left" w:pos="840"/>
        <w:tab w:val="left" w:pos="2160"/>
      </w:tabs>
      <w:spacing w:after="62" w:afterLines="20" w:line="400" w:lineRule="exact"/>
      <w:ind w:left="2160" w:hanging="360"/>
    </w:pPr>
    <w:rPr>
      <w:rFonts w:ascii="Times New Roman" w:hAnsi="Times New Roman" w:eastAsia="宋体" w:cs="Times New Roman"/>
      <w:kern w:val="2"/>
      <w:sz w:val="24"/>
      <w:szCs w:val="24"/>
      <w:lang w:val="en-US" w:eastAsia="zh-CN" w:bidi="ar-SA"/>
    </w:rPr>
  </w:style>
  <w:style w:type="paragraph" w:customStyle="1" w:styleId="333">
    <w:name w:val="标题4"/>
    <w:basedOn w:val="6"/>
    <w:autoRedefine/>
    <w:qFormat/>
    <w:uiPriority w:val="0"/>
    <w:pPr>
      <w:adjustRightInd/>
      <w:spacing w:before="140" w:after="0" w:line="240" w:lineRule="auto"/>
      <w:jc w:val="center"/>
      <w:textAlignment w:val="auto"/>
    </w:pPr>
    <w:rPr>
      <w:rFonts w:ascii="黑体" w:hAnsi="宋体" w:eastAsia="宋体"/>
      <w:kern w:val="2"/>
      <w:sz w:val="32"/>
    </w:rPr>
  </w:style>
  <w:style w:type="paragraph" w:customStyle="1" w:styleId="334">
    <w:name w:val="Char Char1 Char Char Char"/>
    <w:basedOn w:val="1"/>
    <w:autoRedefine/>
    <w:qFormat/>
    <w:uiPriority w:val="0"/>
    <w:pPr>
      <w:spacing w:line="360" w:lineRule="auto"/>
      <w:ind w:left="720"/>
      <w:jc w:val="left"/>
    </w:pPr>
    <w:rPr>
      <w:rFonts w:ascii="Verdana" w:hAnsi="Verdana" w:eastAsia="黑体"/>
      <w:kern w:val="0"/>
      <w:sz w:val="24"/>
      <w:szCs w:val="28"/>
      <w:lang w:eastAsia="en-US"/>
    </w:rPr>
  </w:style>
  <w:style w:type="paragraph" w:customStyle="1" w:styleId="335">
    <w:name w:val="一级标题"/>
    <w:autoRedefine/>
    <w:qFormat/>
    <w:uiPriority w:val="0"/>
    <w:pPr>
      <w:spacing w:line="480" w:lineRule="auto"/>
      <w:ind w:left="425" w:hanging="425"/>
    </w:pPr>
    <w:rPr>
      <w:rFonts w:ascii="Times New Roman" w:hAnsi="Times New Roman" w:eastAsia="宋体" w:cs="Times New Roman"/>
      <w:b/>
      <w:bCs/>
      <w:kern w:val="44"/>
      <w:sz w:val="24"/>
      <w:szCs w:val="24"/>
      <w:lang w:val="en-US" w:eastAsia="zh-CN" w:bidi="ar-SA"/>
    </w:rPr>
  </w:style>
  <w:style w:type="paragraph" w:customStyle="1" w:styleId="336">
    <w:name w:val="默认段落字体 Para Char Char Char Char Char Char Char Char Char Char Char Char Char Char Char Char Char Char Char Char Char Char Char Char Char Char Char Char Char"/>
    <w:basedOn w:val="17"/>
    <w:autoRedefine/>
    <w:qFormat/>
    <w:uiPriority w:val="0"/>
    <w:pPr>
      <w:shd w:val="clear" w:color="auto" w:fill="000080"/>
    </w:pPr>
    <w:rPr>
      <w:rFonts w:ascii="Tahoma" w:hAnsi="Tahoma"/>
      <w:sz w:val="24"/>
      <w:szCs w:val="24"/>
      <w:shd w:val="clear" w:color="auto" w:fill="000080"/>
    </w:rPr>
  </w:style>
  <w:style w:type="paragraph" w:customStyle="1" w:styleId="337">
    <w:name w:val="font6"/>
    <w:basedOn w:val="1"/>
    <w:autoRedefine/>
    <w:qFormat/>
    <w:uiPriority w:val="0"/>
    <w:pPr>
      <w:widowControl/>
      <w:spacing w:before="100" w:beforeAutospacing="1" w:after="100" w:afterAutospacing="1"/>
      <w:jc w:val="left"/>
    </w:pPr>
    <w:rPr>
      <w:rFonts w:ascii="宋体" w:hAnsi="宋体" w:cs="宋体"/>
      <w:kern w:val="0"/>
      <w:sz w:val="20"/>
    </w:rPr>
  </w:style>
  <w:style w:type="paragraph" w:customStyle="1" w:styleId="338">
    <w:name w:val="Char2 Char Char Char"/>
    <w:basedOn w:val="1"/>
    <w:autoRedefine/>
    <w:qFormat/>
    <w:uiPriority w:val="0"/>
    <w:rPr>
      <w:rFonts w:ascii="仿宋_GB2312" w:eastAsia="仿宋_GB2312"/>
      <w:b/>
      <w:sz w:val="32"/>
      <w:szCs w:val="32"/>
    </w:rPr>
  </w:style>
  <w:style w:type="paragraph" w:customStyle="1" w:styleId="339">
    <w:name w:val="È±Ê¡ÎÄ±¾"/>
    <w:basedOn w:val="1"/>
    <w:autoRedefine/>
    <w:qFormat/>
    <w:uiPriority w:val="0"/>
    <w:pPr>
      <w:widowControl/>
      <w:overflowPunct w:val="0"/>
      <w:autoSpaceDE w:val="0"/>
      <w:autoSpaceDN w:val="0"/>
      <w:adjustRightInd w:val="0"/>
      <w:jc w:val="left"/>
      <w:textAlignment w:val="baseline"/>
    </w:pPr>
    <w:rPr>
      <w:kern w:val="0"/>
      <w:sz w:val="24"/>
    </w:rPr>
  </w:style>
  <w:style w:type="paragraph" w:customStyle="1" w:styleId="340">
    <w:name w:val="Char Char Char Char Char Char Char"/>
    <w:basedOn w:val="17"/>
    <w:autoRedefine/>
    <w:qFormat/>
    <w:uiPriority w:val="0"/>
    <w:pPr>
      <w:shd w:val="clear" w:color="auto" w:fill="000080"/>
    </w:pPr>
    <w:rPr>
      <w:rFonts w:ascii="Tahoma" w:hAnsi="Tahoma"/>
      <w:sz w:val="24"/>
      <w:szCs w:val="24"/>
    </w:rPr>
  </w:style>
  <w:style w:type="paragraph" w:customStyle="1" w:styleId="341">
    <w:name w:val="TOC 标题1"/>
    <w:basedOn w:val="3"/>
    <w:next w:val="1"/>
    <w:autoRedefine/>
    <w:qFormat/>
    <w:uiPriority w:val="0"/>
    <w:pPr>
      <w:tabs>
        <w:tab w:val="left" w:pos="425"/>
      </w:tabs>
      <w:spacing w:line="578" w:lineRule="auto"/>
      <w:outlineLvl w:val="9"/>
    </w:pPr>
    <w:rPr>
      <w:rFonts w:cs="黑体"/>
    </w:rPr>
  </w:style>
  <w:style w:type="paragraph" w:customStyle="1" w:styleId="342">
    <w:name w:val="CU-bullentine1"/>
    <w:basedOn w:val="343"/>
    <w:autoRedefine/>
    <w:qFormat/>
    <w:uiPriority w:val="0"/>
    <w:pPr>
      <w:tabs>
        <w:tab w:val="left" w:pos="720"/>
        <w:tab w:val="left" w:pos="1265"/>
      </w:tabs>
      <w:ind w:left="975" w:hanging="975"/>
    </w:pPr>
    <w:rPr>
      <w:lang w:eastAsia="zh-CN"/>
    </w:rPr>
  </w:style>
  <w:style w:type="paragraph" w:customStyle="1" w:styleId="343">
    <w:name w:val="Numbered list 2.2"/>
    <w:basedOn w:val="4"/>
    <w:next w:val="1"/>
    <w:autoRedefine/>
    <w:qFormat/>
    <w:uiPriority w:val="0"/>
    <w:pPr>
      <w:widowControl/>
      <w:tabs>
        <w:tab w:val="left" w:pos="720"/>
      </w:tabs>
      <w:spacing w:before="0" w:after="60" w:line="240" w:lineRule="auto"/>
      <w:ind w:left="1322" w:hanging="420"/>
      <w:jc w:val="left"/>
    </w:pPr>
    <w:rPr>
      <w:rFonts w:eastAsia="宋体"/>
      <w:bCs w:val="0"/>
      <w:kern w:val="0"/>
      <w:sz w:val="24"/>
      <w:szCs w:val="20"/>
      <w:lang w:eastAsia="en-US"/>
    </w:rPr>
  </w:style>
  <w:style w:type="paragraph" w:customStyle="1" w:styleId="344">
    <w:name w:val="Char Char Char Char Char Char1 Char"/>
    <w:basedOn w:val="17"/>
    <w:autoRedefine/>
    <w:qFormat/>
    <w:uiPriority w:val="0"/>
    <w:pPr>
      <w:shd w:val="clear" w:color="auto" w:fill="000080"/>
    </w:pPr>
    <w:rPr>
      <w:rFonts w:ascii="Tahoma" w:hAnsi="Tahoma"/>
      <w:sz w:val="24"/>
      <w:szCs w:val="24"/>
    </w:rPr>
  </w:style>
  <w:style w:type="paragraph" w:customStyle="1" w:styleId="345">
    <w:name w:val="样式 两端对齐"/>
    <w:basedOn w:val="1"/>
    <w:autoRedefine/>
    <w:qFormat/>
    <w:uiPriority w:val="0"/>
    <w:pPr>
      <w:spacing w:line="360" w:lineRule="auto"/>
      <w:ind w:firstLine="200" w:firstLineChars="200"/>
    </w:pPr>
    <w:rPr>
      <w:rFonts w:ascii="宋体" w:cs="宋体"/>
      <w:kern w:val="0"/>
      <w:sz w:val="24"/>
    </w:rPr>
  </w:style>
  <w:style w:type="paragraph" w:customStyle="1" w:styleId="346">
    <w:name w:val="正文文本 21"/>
    <w:basedOn w:val="1"/>
    <w:autoRedefine/>
    <w:qFormat/>
    <w:uiPriority w:val="0"/>
    <w:pPr>
      <w:adjustRightInd w:val="0"/>
      <w:spacing w:line="300" w:lineRule="auto"/>
      <w:jc w:val="center"/>
      <w:textAlignment w:val="baseline"/>
    </w:pPr>
    <w:rPr>
      <w:rFonts w:ascii="宋体" w:hAnsi="宋体"/>
      <w:sz w:val="24"/>
    </w:rPr>
  </w:style>
  <w:style w:type="paragraph" w:customStyle="1" w:styleId="347">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rPr>
  </w:style>
  <w:style w:type="paragraph" w:customStyle="1" w:styleId="348">
    <w:name w:val="样式 (西文) 仿宋_GB2312 首行缩进:  1.58 字符"/>
    <w:autoRedefine/>
    <w:qFormat/>
    <w:uiPriority w:val="0"/>
    <w:pPr>
      <w:spacing w:line="360" w:lineRule="auto"/>
      <w:ind w:firstLine="158" w:firstLineChars="158"/>
    </w:pPr>
    <w:rPr>
      <w:rFonts w:ascii="仿宋_GB2312" w:hAnsi="Times New Roman" w:eastAsia="宋体" w:cs="宋体"/>
      <w:sz w:val="24"/>
      <w:lang w:val="en-US" w:eastAsia="zh-CN" w:bidi="ar-SA"/>
    </w:rPr>
  </w:style>
  <w:style w:type="paragraph" w:customStyle="1" w:styleId="349">
    <w:name w:val="Char Char1 Char Char Char Char Char Char Char"/>
    <w:basedOn w:val="1"/>
    <w:autoRedefine/>
    <w:qFormat/>
    <w:uiPriority w:val="0"/>
    <w:rPr>
      <w:rFonts w:ascii="Tahoma" w:hAnsi="Tahoma"/>
      <w:sz w:val="24"/>
      <w:szCs w:val="24"/>
    </w:rPr>
  </w:style>
  <w:style w:type="paragraph" w:customStyle="1" w:styleId="350">
    <w:name w:val="标题 2标题 2 Char + 宋体 首行缩进:  0.title 2"/>
    <w:basedOn w:val="351"/>
    <w:autoRedefine/>
    <w:qFormat/>
    <w:uiPriority w:val="0"/>
    <w:pPr>
      <w:tabs>
        <w:tab w:val="left" w:pos="1417"/>
      </w:tabs>
      <w:ind w:firstLine="0"/>
    </w:pPr>
  </w:style>
  <w:style w:type="paragraph" w:customStyle="1" w:styleId="351">
    <w:name w:val="样式 标题 2标题 2 Char + 宋体 首行缩进:  0.42 厘米"/>
    <w:basedOn w:val="4"/>
    <w:autoRedefine/>
    <w:qFormat/>
    <w:uiPriority w:val="0"/>
    <w:pPr>
      <w:tabs>
        <w:tab w:val="left" w:pos="1417"/>
      </w:tabs>
      <w:spacing w:line="360" w:lineRule="auto"/>
      <w:ind w:firstLine="238"/>
      <w:jc w:val="left"/>
    </w:pPr>
    <w:rPr>
      <w:rFonts w:ascii="宋体" w:hAnsi="宋体" w:eastAsia="宋体" w:cs="宋体"/>
      <w:sz w:val="28"/>
      <w:szCs w:val="20"/>
    </w:rPr>
  </w:style>
  <w:style w:type="paragraph" w:customStyle="1" w:styleId="352">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color w:val="FFFFFF"/>
      <w:kern w:val="0"/>
      <w:szCs w:val="21"/>
    </w:rPr>
  </w:style>
  <w:style w:type="paragraph" w:customStyle="1" w:styleId="353">
    <w:name w:val="样式 段前: 7.8 磅 段后: 7.8 磅"/>
    <w:basedOn w:val="1"/>
    <w:autoRedefine/>
    <w:qFormat/>
    <w:uiPriority w:val="0"/>
    <w:pPr>
      <w:spacing w:before="156" w:after="156"/>
    </w:pPr>
    <w:rPr>
      <w:rFonts w:eastAsia="黑体" w:cs="宋体"/>
      <w:b/>
      <w:sz w:val="32"/>
    </w:rPr>
  </w:style>
  <w:style w:type="paragraph" w:customStyle="1" w:styleId="354">
    <w:name w:val="样式 标题 1 + 行距: 1.5 倍行距"/>
    <w:basedOn w:val="3"/>
    <w:autoRedefine/>
    <w:qFormat/>
    <w:uiPriority w:val="0"/>
    <w:pPr>
      <w:tabs>
        <w:tab w:val="left" w:pos="425"/>
      </w:tabs>
      <w:spacing w:before="120" w:after="0" w:line="360" w:lineRule="auto"/>
    </w:pPr>
    <w:rPr>
      <w:rFonts w:ascii="宋体" w:hAnsi="宋体" w:cs="宋体"/>
      <w:color w:val="000000"/>
      <w:kern w:val="0"/>
    </w:rPr>
  </w:style>
  <w:style w:type="paragraph" w:customStyle="1" w:styleId="355">
    <w:name w:val="样式 首行缩进:  2.11 字符"/>
    <w:basedOn w:val="1"/>
    <w:autoRedefine/>
    <w:qFormat/>
    <w:uiPriority w:val="0"/>
    <w:pPr>
      <w:spacing w:line="360" w:lineRule="auto"/>
      <w:ind w:firstLine="211" w:firstLineChars="211"/>
    </w:pPr>
    <w:rPr>
      <w:rFonts w:cs="宋体"/>
      <w:sz w:val="24"/>
    </w:rPr>
  </w:style>
  <w:style w:type="paragraph" w:customStyle="1" w:styleId="35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rPr>
  </w:style>
  <w:style w:type="paragraph" w:customStyle="1" w:styleId="35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rPr>
  </w:style>
  <w:style w:type="paragraph" w:customStyle="1" w:styleId="358">
    <w:name w:val="a"/>
    <w:basedOn w:val="1"/>
    <w:autoRedefine/>
    <w:qFormat/>
    <w:uiPriority w:val="0"/>
    <w:pPr>
      <w:widowControl/>
      <w:spacing w:line="360" w:lineRule="auto"/>
      <w:ind w:left="-159" w:firstLine="238"/>
    </w:pPr>
    <w:rPr>
      <w:rFonts w:ascii="宋体" w:hAnsi="宋体"/>
      <w:color w:val="000000"/>
      <w:sz w:val="24"/>
    </w:rPr>
  </w:style>
  <w:style w:type="paragraph" w:customStyle="1" w:styleId="359">
    <w:name w:val="Char Char1 Char Char Char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360">
    <w:name w:val="菲页1"/>
    <w:basedOn w:val="4"/>
    <w:autoRedefine/>
    <w:qFormat/>
    <w:uiPriority w:val="0"/>
    <w:pPr>
      <w:widowControl/>
      <w:spacing w:line="416" w:lineRule="auto"/>
      <w:jc w:val="center"/>
    </w:pPr>
    <w:rPr>
      <w:rFonts w:ascii="黑体" w:hAnsi="宋体"/>
      <w:b w:val="0"/>
      <w:bCs w:val="0"/>
      <w:kern w:val="0"/>
      <w:sz w:val="52"/>
      <w:szCs w:val="20"/>
    </w:rPr>
  </w:style>
  <w:style w:type="paragraph" w:customStyle="1" w:styleId="361">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362">
    <w:name w:val="_Style 1"/>
    <w:basedOn w:val="1"/>
    <w:autoRedefine/>
    <w:qFormat/>
    <w:uiPriority w:val="0"/>
    <w:pPr>
      <w:adjustRightInd w:val="0"/>
      <w:spacing w:line="360" w:lineRule="auto"/>
    </w:pPr>
  </w:style>
  <w:style w:type="paragraph" w:customStyle="1" w:styleId="363">
    <w:name w:val="样式 标题 1标题 1 Char + 黑体 三号 居中"/>
    <w:basedOn w:val="3"/>
    <w:autoRedefine/>
    <w:qFormat/>
    <w:uiPriority w:val="0"/>
    <w:pPr>
      <w:tabs>
        <w:tab w:val="left" w:pos="850"/>
      </w:tabs>
      <w:jc w:val="center"/>
    </w:pPr>
    <w:rPr>
      <w:rFonts w:ascii="黑体" w:eastAsia="黑体" w:cs="宋体"/>
      <w:b w:val="0"/>
      <w:szCs w:val="20"/>
    </w:rPr>
  </w:style>
  <w:style w:type="paragraph" w:customStyle="1" w:styleId="364">
    <w:name w:val="样式 宋体 加粗 左侧:  1 厘米 行距: 固定值 25 磅"/>
    <w:basedOn w:val="1"/>
    <w:autoRedefine/>
    <w:qFormat/>
    <w:uiPriority w:val="0"/>
    <w:pPr>
      <w:spacing w:line="500" w:lineRule="exact"/>
      <w:ind w:firstLine="200" w:firstLineChars="200"/>
    </w:pPr>
    <w:rPr>
      <w:rFonts w:ascii="宋体" w:hAnsi="宋体" w:cs="宋体"/>
      <w:b/>
      <w:bCs/>
    </w:rPr>
  </w:style>
  <w:style w:type="paragraph" w:customStyle="1" w:styleId="365">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rPr>
  </w:style>
  <w:style w:type="paragraph" w:customStyle="1" w:styleId="366">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paragraph" w:styleId="367">
    <w:name w:val="No Spacing"/>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368">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rPr>
  </w:style>
  <w:style w:type="paragraph" w:customStyle="1" w:styleId="369">
    <w:name w:val="CellBody"/>
    <w:basedOn w:val="1"/>
    <w:autoRedefine/>
    <w:qFormat/>
    <w:uiPriority w:val="0"/>
    <w:pPr>
      <w:widowControl/>
      <w:tabs>
        <w:tab w:val="left" w:pos="907"/>
      </w:tabs>
      <w:spacing w:line="360" w:lineRule="auto"/>
      <w:ind w:left="907" w:hanging="427"/>
      <w:jc w:val="left"/>
    </w:pPr>
    <w:rPr>
      <w:kern w:val="0"/>
      <w:sz w:val="24"/>
    </w:rPr>
  </w:style>
  <w:style w:type="paragraph" w:customStyle="1" w:styleId="370">
    <w:name w:val="目录"/>
    <w:basedOn w:val="1"/>
    <w:autoRedefine/>
    <w:qFormat/>
    <w:uiPriority w:val="0"/>
    <w:pPr>
      <w:widowControl/>
      <w:jc w:val="center"/>
    </w:pPr>
    <w:rPr>
      <w:rFonts w:ascii="宋体"/>
      <w:b/>
      <w:kern w:val="0"/>
      <w:sz w:val="36"/>
    </w:rPr>
  </w:style>
  <w:style w:type="paragraph" w:customStyle="1" w:styleId="371">
    <w:name w:val="钟标题"/>
    <w:basedOn w:val="1"/>
    <w:autoRedefine/>
    <w:qFormat/>
    <w:uiPriority w:val="0"/>
    <w:pPr>
      <w:jc w:val="center"/>
    </w:pPr>
    <w:rPr>
      <w:rFonts w:eastAsia="创艺简行楷"/>
      <w:b/>
      <w:sz w:val="48"/>
      <w14:shadow w14:blurRad="50800" w14:dist="38100" w14:dir="2700000" w14:sx="100000" w14:sy="100000" w14:kx="0" w14:ky="0" w14:algn="tl">
        <w14:srgbClr w14:val="000000">
          <w14:alpha w14:val="60000"/>
        </w14:srgbClr>
      </w14:shadow>
    </w:rPr>
  </w:style>
  <w:style w:type="paragraph" w:customStyle="1" w:styleId="372">
    <w:name w:val="8"/>
    <w:basedOn w:val="1"/>
    <w:autoRedefine/>
    <w:qFormat/>
    <w:uiPriority w:val="0"/>
    <w:pPr>
      <w:widowControl/>
      <w:spacing w:before="100" w:beforeAutospacing="1" w:after="100" w:afterAutospacing="1" w:line="432" w:lineRule="auto"/>
      <w:jc w:val="left"/>
    </w:pPr>
    <w:rPr>
      <w:rFonts w:ascii="宋体" w:hAnsi="宋体"/>
      <w:kern w:val="0"/>
      <w:sz w:val="24"/>
      <w:szCs w:val="21"/>
    </w:rPr>
  </w:style>
  <w:style w:type="paragraph" w:customStyle="1" w:styleId="373">
    <w:name w:val="样式 首行缩进:  4 字符"/>
    <w:basedOn w:val="1"/>
    <w:autoRedefine/>
    <w:qFormat/>
    <w:uiPriority w:val="0"/>
    <w:pPr>
      <w:spacing w:line="360" w:lineRule="auto"/>
      <w:ind w:firstLine="200" w:firstLineChars="200"/>
    </w:pPr>
    <w:rPr>
      <w:rFonts w:cs="宋体"/>
      <w:sz w:val="24"/>
    </w:rPr>
  </w:style>
  <w:style w:type="paragraph" w:customStyle="1" w:styleId="374">
    <w:name w:val="编号3级"/>
    <w:autoRedefine/>
    <w:qFormat/>
    <w:uiPriority w:val="0"/>
    <w:pPr>
      <w:tabs>
        <w:tab w:val="left" w:pos="0"/>
        <w:tab w:val="left" w:pos="3600"/>
      </w:tabs>
      <w:spacing w:line="400" w:lineRule="exact"/>
      <w:ind w:left="3600" w:hanging="360"/>
    </w:pPr>
    <w:rPr>
      <w:rFonts w:ascii="Times New Roman" w:hAnsi="Times New Roman" w:eastAsia="宋体" w:cs="Times New Roman"/>
      <w:kern w:val="2"/>
      <w:sz w:val="24"/>
      <w:szCs w:val="24"/>
      <w:lang w:val="en-US" w:eastAsia="zh-CN" w:bidi="ar-SA"/>
    </w:rPr>
  </w:style>
  <w:style w:type="paragraph" w:customStyle="1" w:styleId="375">
    <w:name w:val="表格"/>
    <w:basedOn w:val="1"/>
    <w:autoRedefine/>
    <w:qFormat/>
    <w:uiPriority w:val="0"/>
    <w:pPr>
      <w:spacing w:line="400" w:lineRule="exact"/>
    </w:pPr>
    <w:rPr>
      <w:sz w:val="24"/>
      <w:szCs w:val="24"/>
    </w:rPr>
  </w:style>
  <w:style w:type="paragraph" w:customStyle="1" w:styleId="376">
    <w:name w:val="Char Char1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377">
    <w:name w:val="默认段落字体 Para Char Char Char Char Char Char Char Char Char Char Char Char Char Char Char Char"/>
    <w:basedOn w:val="1"/>
    <w:autoRedefine/>
    <w:qFormat/>
    <w:uiPriority w:val="0"/>
    <w:rPr>
      <w:rFonts w:ascii="Tahoma" w:hAnsi="Tahoma"/>
      <w:sz w:val="24"/>
    </w:rPr>
  </w:style>
  <w:style w:type="paragraph" w:customStyle="1" w:styleId="378">
    <w:name w:val="xl64"/>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textAlignment w:val="center"/>
    </w:pPr>
    <w:rPr>
      <w:rFonts w:ascii="宋体" w:hAnsi="宋体"/>
      <w:kern w:val="0"/>
      <w:sz w:val="18"/>
      <w:szCs w:val="18"/>
    </w:rPr>
  </w:style>
  <w:style w:type="paragraph" w:customStyle="1" w:styleId="379">
    <w:name w:val="箭头列表1（Alt+Q）"/>
    <w:basedOn w:val="1"/>
    <w:autoRedefine/>
    <w:qFormat/>
    <w:uiPriority w:val="0"/>
    <w:pPr>
      <w:tabs>
        <w:tab w:val="left" w:pos="1110"/>
      </w:tabs>
      <w:spacing w:line="360" w:lineRule="auto"/>
      <w:ind w:left="420" w:hanging="420"/>
    </w:pPr>
    <w:rPr>
      <w:rFonts w:ascii="宋体"/>
    </w:rPr>
  </w:style>
  <w:style w:type="paragraph" w:customStyle="1" w:styleId="380">
    <w:name w:val="样式3"/>
    <w:basedOn w:val="12"/>
    <w:autoRedefine/>
    <w:qFormat/>
    <w:uiPriority w:val="0"/>
    <w:pPr>
      <w:spacing w:line="360" w:lineRule="auto"/>
      <w:ind w:firstLine="482"/>
    </w:pPr>
    <w:rPr>
      <w:rFonts w:ascii="Calibri" w:hAnsi="Calibri"/>
      <w:sz w:val="24"/>
    </w:rPr>
  </w:style>
  <w:style w:type="paragraph" w:customStyle="1" w:styleId="381">
    <w:name w:val="目录文字"/>
    <w:basedOn w:val="1"/>
    <w:autoRedefine/>
    <w:qFormat/>
    <w:uiPriority w:val="0"/>
    <w:pPr>
      <w:widowControl/>
      <w:spacing w:line="480" w:lineRule="auto"/>
      <w:jc w:val="left"/>
    </w:pPr>
    <w:rPr>
      <w:rFonts w:ascii="宋体" w:hAnsi="宋体"/>
      <w:kern w:val="0"/>
      <w:sz w:val="24"/>
    </w:rPr>
  </w:style>
  <w:style w:type="paragraph" w:customStyle="1" w:styleId="382">
    <w:name w:val="xl63"/>
    <w:basedOn w:val="1"/>
    <w:autoRedefine/>
    <w:qFormat/>
    <w:uiPriority w:val="0"/>
    <w:pPr>
      <w:widowControl/>
      <w:pBdr>
        <w:top w:val="single" w:color="auto" w:sz="8" w:space="0"/>
        <w:left w:val="single" w:color="auto" w:sz="4" w:space="0"/>
        <w:bottom w:val="single" w:color="000000" w:sz="4" w:space="0"/>
        <w:right w:val="single" w:color="auto" w:sz="4" w:space="0"/>
      </w:pBdr>
      <w:spacing w:before="100" w:beforeAutospacing="1" w:after="100" w:afterAutospacing="1"/>
      <w:jc w:val="right"/>
      <w:textAlignment w:val="center"/>
    </w:pPr>
    <w:rPr>
      <w:kern w:val="0"/>
      <w:szCs w:val="21"/>
    </w:rPr>
  </w:style>
  <w:style w:type="paragraph" w:customStyle="1" w:styleId="383">
    <w:name w:val="正文（首行缩进2字符）"/>
    <w:basedOn w:val="1"/>
    <w:autoRedefine/>
    <w:qFormat/>
    <w:uiPriority w:val="0"/>
    <w:pPr>
      <w:ind w:firstLine="480"/>
    </w:pPr>
    <w:rPr>
      <w:sz w:val="24"/>
      <w:szCs w:val="24"/>
    </w:rPr>
  </w:style>
  <w:style w:type="paragraph" w:customStyle="1" w:styleId="38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rPr>
  </w:style>
  <w:style w:type="paragraph" w:customStyle="1" w:styleId="385">
    <w:name w:val="样式 标题 2标题 2 Char + 非加粗"/>
    <w:basedOn w:val="4"/>
    <w:autoRedefine/>
    <w:qFormat/>
    <w:uiPriority w:val="0"/>
    <w:pPr>
      <w:tabs>
        <w:tab w:val="left" w:pos="1417"/>
      </w:tabs>
      <w:spacing w:line="360" w:lineRule="auto"/>
    </w:pPr>
  </w:style>
  <w:style w:type="paragraph" w:customStyle="1" w:styleId="386">
    <w:name w:val="图号"/>
    <w:basedOn w:val="1"/>
    <w:autoRedefine/>
    <w:qFormat/>
    <w:uiPriority w:val="0"/>
    <w:pPr>
      <w:tabs>
        <w:tab w:val="left" w:pos="720"/>
      </w:tabs>
      <w:autoSpaceDE w:val="0"/>
      <w:autoSpaceDN w:val="0"/>
      <w:adjustRightInd w:val="0"/>
      <w:spacing w:before="105" w:line="360" w:lineRule="auto"/>
      <w:ind w:left="720" w:hanging="360"/>
      <w:jc w:val="center"/>
    </w:pPr>
    <w:rPr>
      <w:kern w:val="0"/>
      <w:szCs w:val="21"/>
    </w:rPr>
  </w:style>
  <w:style w:type="paragraph" w:customStyle="1" w:styleId="38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88">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style>
  <w:style w:type="paragraph" w:customStyle="1" w:styleId="389">
    <w:name w:val="font1"/>
    <w:basedOn w:val="1"/>
    <w:autoRedefine/>
    <w:qFormat/>
    <w:uiPriority w:val="0"/>
    <w:pPr>
      <w:widowControl/>
      <w:spacing w:before="100" w:beforeAutospacing="1" w:after="100" w:afterAutospacing="1"/>
      <w:jc w:val="left"/>
    </w:pPr>
    <w:rPr>
      <w:rFonts w:hint="eastAsia" w:ascii="宋体" w:hAnsi="宋体"/>
      <w:kern w:val="0"/>
      <w:sz w:val="24"/>
      <w:szCs w:val="24"/>
    </w:rPr>
  </w:style>
  <w:style w:type="paragraph" w:customStyle="1" w:styleId="390">
    <w:name w:val="font7"/>
    <w:basedOn w:val="1"/>
    <w:autoRedefine/>
    <w:qFormat/>
    <w:uiPriority w:val="0"/>
    <w:pPr>
      <w:widowControl/>
      <w:spacing w:before="100" w:beforeAutospacing="1" w:after="100" w:afterAutospacing="1"/>
      <w:jc w:val="left"/>
    </w:pPr>
    <w:rPr>
      <w:rFonts w:eastAsia="Arial Unicode MS"/>
      <w:b/>
      <w:bCs/>
      <w:color w:val="000000"/>
      <w:kern w:val="0"/>
      <w:sz w:val="20"/>
    </w:rPr>
  </w:style>
  <w:style w:type="paragraph" w:customStyle="1" w:styleId="391">
    <w:name w:val="正文序号 1"/>
    <w:basedOn w:val="1"/>
    <w:autoRedefine/>
    <w:qFormat/>
    <w:uiPriority w:val="0"/>
    <w:pPr>
      <w:spacing w:before="60"/>
    </w:pPr>
  </w:style>
  <w:style w:type="paragraph" w:customStyle="1" w:styleId="392">
    <w:name w:val="AbsatzTableFormat"/>
    <w:basedOn w:val="1"/>
    <w:autoRedefine/>
    <w:qFormat/>
    <w:uiPriority w:val="0"/>
    <w:pPr>
      <w:widowControl/>
      <w:jc w:val="left"/>
    </w:pPr>
    <w:rPr>
      <w:bCs/>
      <w:kern w:val="0"/>
      <w:sz w:val="22"/>
      <w:lang w:val="pt-BR" w:eastAsia="en-US"/>
    </w:rPr>
  </w:style>
  <w:style w:type="paragraph" w:customStyle="1" w:styleId="393">
    <w:name w:val="xl61"/>
    <w:basedOn w:val="1"/>
    <w:autoRedefine/>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kern w:val="0"/>
      <w:szCs w:val="21"/>
    </w:rPr>
  </w:style>
  <w:style w:type="paragraph" w:customStyle="1" w:styleId="394">
    <w:name w:val="正文2"/>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95">
    <w:name w:val="菲页(卷)"/>
    <w:basedOn w:val="3"/>
    <w:next w:val="394"/>
    <w:autoRedefine/>
    <w:qFormat/>
    <w:uiPriority w:val="0"/>
    <w:pPr>
      <w:keepLines w:val="0"/>
      <w:widowControl/>
      <w:tabs>
        <w:tab w:val="left" w:pos="420"/>
      </w:tabs>
      <w:spacing w:before="0" w:after="0" w:line="240" w:lineRule="auto"/>
      <w:ind w:left="430" w:hanging="430"/>
      <w:jc w:val="center"/>
      <w:outlineLvl w:val="1"/>
    </w:pPr>
    <w:rPr>
      <w:rFonts w:ascii="黑体" w:eastAsia="黑体"/>
      <w:b w:val="0"/>
      <w:bCs w:val="0"/>
      <w:kern w:val="0"/>
      <w:sz w:val="52"/>
      <w:szCs w:val="20"/>
    </w:rPr>
  </w:style>
  <w:style w:type="paragraph" w:customStyle="1" w:styleId="396">
    <w:name w:val="H-TextFormat"/>
    <w:autoRedefine/>
    <w:qFormat/>
    <w:uiPriority w:val="0"/>
    <w:pPr>
      <w:autoSpaceDE w:val="0"/>
      <w:autoSpaceDN w:val="0"/>
      <w:adjustRightInd w:val="0"/>
    </w:pPr>
    <w:rPr>
      <w:rFonts w:ascii="Arial" w:hAnsi="Arial" w:eastAsia="宋体" w:cs="Arial"/>
      <w:sz w:val="22"/>
      <w:szCs w:val="22"/>
      <w:lang w:val="en-US" w:eastAsia="en-US" w:bidi="ar-SA"/>
    </w:rPr>
  </w:style>
  <w:style w:type="paragraph" w:customStyle="1" w:styleId="397">
    <w:name w:val="xl66"/>
    <w:basedOn w:val="1"/>
    <w:autoRedefine/>
    <w:qFormat/>
    <w:uiPriority w:val="0"/>
    <w:pPr>
      <w:widowControl/>
      <w:pBdr>
        <w:right w:val="single" w:color="000000" w:sz="4" w:space="0"/>
      </w:pBdr>
      <w:spacing w:before="100" w:beforeAutospacing="1" w:after="100" w:afterAutospacing="1"/>
      <w:jc w:val="right"/>
      <w:textAlignment w:val="center"/>
    </w:pPr>
    <w:rPr>
      <w:color w:val="FFFFFF"/>
      <w:kern w:val="0"/>
      <w:szCs w:val="21"/>
    </w:rPr>
  </w:style>
  <w:style w:type="paragraph" w:customStyle="1" w:styleId="398">
    <w:name w:val="Char1 Char Char Char"/>
    <w:basedOn w:val="1"/>
    <w:autoRedefine/>
    <w:qFormat/>
    <w:uiPriority w:val="0"/>
    <w:rPr>
      <w:szCs w:val="24"/>
    </w:rPr>
  </w:style>
  <w:style w:type="paragraph" w:customStyle="1" w:styleId="39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rPr>
  </w:style>
  <w:style w:type="paragraph" w:customStyle="1" w:styleId="400">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rPr>
  </w:style>
  <w:style w:type="paragraph" w:customStyle="1" w:styleId="401">
    <w:name w:val="样式 行距: 固定值 25 磅 首行缩进:  2 字符"/>
    <w:basedOn w:val="1"/>
    <w:autoRedefine/>
    <w:qFormat/>
    <w:uiPriority w:val="0"/>
    <w:pPr>
      <w:adjustRightInd w:val="0"/>
      <w:spacing w:line="500" w:lineRule="exact"/>
      <w:ind w:firstLine="560" w:firstLineChars="200"/>
      <w:textAlignment w:val="baseline"/>
    </w:pPr>
    <w:rPr>
      <w:kern w:val="0"/>
      <w:sz w:val="28"/>
      <w:szCs w:val="28"/>
    </w:rPr>
  </w:style>
  <w:style w:type="paragraph" w:customStyle="1" w:styleId="402">
    <w:name w:val="List Paragraph1"/>
    <w:basedOn w:val="1"/>
    <w:autoRedefine/>
    <w:qFormat/>
    <w:uiPriority w:val="0"/>
    <w:pPr>
      <w:ind w:firstLine="420" w:firstLineChars="200"/>
    </w:pPr>
    <w:rPr>
      <w:rFonts w:ascii="Calibri" w:hAnsi="Calibri"/>
      <w:szCs w:val="22"/>
    </w:rPr>
  </w:style>
  <w:style w:type="paragraph" w:customStyle="1" w:styleId="403">
    <w:name w:val="Char Char3 Char Char Char Char Char Char Char"/>
    <w:basedOn w:val="1"/>
    <w:autoRedefine/>
    <w:qFormat/>
    <w:uiPriority w:val="0"/>
    <w:rPr>
      <w:rFonts w:ascii="Tahoma" w:hAnsi="Tahoma"/>
      <w:sz w:val="24"/>
    </w:rPr>
  </w:style>
  <w:style w:type="paragraph" w:customStyle="1" w:styleId="404">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405">
    <w:name w:val="正文(缩进)"/>
    <w:basedOn w:val="1"/>
    <w:autoRedefine/>
    <w:qFormat/>
    <w:uiPriority w:val="0"/>
    <w:pPr>
      <w:spacing w:before="120" w:line="400" w:lineRule="exact"/>
      <w:ind w:firstLine="200" w:firstLineChars="200"/>
    </w:pPr>
    <w:rPr>
      <w:sz w:val="24"/>
      <w:szCs w:val="24"/>
    </w:rPr>
  </w:style>
  <w:style w:type="paragraph" w:customStyle="1" w:styleId="406">
    <w:name w:val="p15"/>
    <w:basedOn w:val="1"/>
    <w:autoRedefine/>
    <w:qFormat/>
    <w:uiPriority w:val="0"/>
    <w:pPr>
      <w:widowControl/>
      <w:spacing w:after="120"/>
    </w:pPr>
    <w:rPr>
      <w:kern w:val="0"/>
      <w:szCs w:val="21"/>
    </w:rPr>
  </w:style>
  <w:style w:type="paragraph" w:customStyle="1" w:styleId="407">
    <w:name w:val="封面落款"/>
    <w:basedOn w:val="1"/>
    <w:autoRedefine/>
    <w:qFormat/>
    <w:uiPriority w:val="0"/>
    <w:pPr>
      <w:adjustRightInd w:val="0"/>
      <w:spacing w:line="300" w:lineRule="auto"/>
      <w:jc w:val="center"/>
      <w:textAlignment w:val="baseline"/>
    </w:pPr>
    <w:rPr>
      <w:spacing w:val="10"/>
      <w:kern w:val="0"/>
      <w:sz w:val="30"/>
    </w:rPr>
  </w:style>
  <w:style w:type="paragraph" w:customStyle="1" w:styleId="408">
    <w:name w:val="xl60"/>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right"/>
      <w:textAlignment w:val="center"/>
    </w:pPr>
    <w:rPr>
      <w:kern w:val="0"/>
      <w:szCs w:val="21"/>
    </w:rPr>
  </w:style>
  <w:style w:type="paragraph" w:customStyle="1" w:styleId="409">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rPr>
  </w:style>
  <w:style w:type="paragraph" w:customStyle="1" w:styleId="410">
    <w:name w:val="正文 Char Char"/>
    <w:autoRedefine/>
    <w:qFormat/>
    <w:uiPriority w:val="0"/>
    <w:rPr>
      <w:rFonts w:ascii="Helvetica" w:hAnsi="Helvetica" w:eastAsia="Helvetica" w:cs="Helvetica"/>
      <w:color w:val="000000"/>
      <w:sz w:val="22"/>
      <w:szCs w:val="22"/>
      <w:lang w:val="en-US" w:eastAsia="zh-CN" w:bidi="ar-SA"/>
    </w:rPr>
  </w:style>
  <w:style w:type="paragraph" w:customStyle="1" w:styleId="411">
    <w:name w:val="1.1 标题"/>
    <w:basedOn w:val="3"/>
    <w:autoRedefine/>
    <w:qFormat/>
    <w:uiPriority w:val="0"/>
    <w:pPr>
      <w:tabs>
        <w:tab w:val="left" w:pos="850"/>
      </w:tabs>
      <w:spacing w:before="120" w:after="120" w:line="240" w:lineRule="auto"/>
      <w:jc w:val="left"/>
      <w:outlineLvl w:val="1"/>
    </w:pPr>
    <w:rPr>
      <w:rFonts w:eastAsia="黑体"/>
      <w:bCs w:val="0"/>
      <w:sz w:val="24"/>
      <w:szCs w:val="20"/>
    </w:rPr>
  </w:style>
  <w:style w:type="paragraph" w:customStyle="1" w:styleId="412">
    <w:name w:val="标题 3 （加黑）"/>
    <w:basedOn w:val="5"/>
    <w:autoRedefine/>
    <w:qFormat/>
    <w:uiPriority w:val="0"/>
    <w:pPr>
      <w:keepNext w:val="0"/>
      <w:tabs>
        <w:tab w:val="left" w:pos="1843"/>
      </w:tabs>
      <w:spacing w:before="120" w:after="120"/>
      <w:ind w:left="354" w:hanging="354" w:hangingChars="150"/>
    </w:pPr>
    <w:rPr>
      <w:sz w:val="24"/>
    </w:rPr>
  </w:style>
  <w:style w:type="paragraph" w:customStyle="1" w:styleId="413">
    <w:name w:val="文章正文"/>
    <w:basedOn w:val="1"/>
    <w:autoRedefine/>
    <w:qFormat/>
    <w:uiPriority w:val="0"/>
    <w:pPr>
      <w:spacing w:line="360" w:lineRule="auto"/>
      <w:ind w:firstLine="420"/>
    </w:pPr>
    <w:rPr>
      <w:sz w:val="24"/>
      <w:szCs w:val="24"/>
    </w:rPr>
  </w:style>
  <w:style w:type="paragraph" w:customStyle="1" w:styleId="414">
    <w:name w:val="Numbered list 2.3"/>
    <w:basedOn w:val="5"/>
    <w:next w:val="1"/>
    <w:autoRedefine/>
    <w:qFormat/>
    <w:uiPriority w:val="0"/>
    <w:pPr>
      <w:widowControl/>
      <w:tabs>
        <w:tab w:val="left" w:pos="425"/>
      </w:tabs>
      <w:spacing w:before="240" w:after="60" w:line="240" w:lineRule="auto"/>
      <w:ind w:left="1742" w:hanging="420"/>
      <w:jc w:val="left"/>
    </w:pPr>
    <w:rPr>
      <w:rFonts w:ascii="Arial" w:hAnsi="Arial"/>
      <w:bCs w:val="0"/>
      <w:kern w:val="0"/>
      <w:sz w:val="22"/>
      <w:szCs w:val="20"/>
      <w:lang w:eastAsia="en-US"/>
    </w:rPr>
  </w:style>
  <w:style w:type="paragraph" w:customStyle="1" w:styleId="415">
    <w:name w:val="CU-bullentine2"/>
    <w:basedOn w:val="414"/>
    <w:autoRedefine/>
    <w:qFormat/>
    <w:uiPriority w:val="0"/>
    <w:pPr>
      <w:tabs>
        <w:tab w:val="left" w:pos="1440"/>
        <w:tab w:val="clear" w:pos="425"/>
      </w:tabs>
    </w:pPr>
    <w:rPr>
      <w:lang w:eastAsia="zh-CN"/>
    </w:rPr>
  </w:style>
  <w:style w:type="paragraph" w:customStyle="1" w:styleId="416">
    <w:name w:val="小五正文"/>
    <w:basedOn w:val="1"/>
    <w:autoRedefine/>
    <w:qFormat/>
    <w:uiPriority w:val="0"/>
    <w:pPr>
      <w:spacing w:line="360" w:lineRule="auto"/>
      <w:ind w:firstLine="420" w:firstLineChars="200"/>
    </w:pPr>
    <w:rPr>
      <w:szCs w:val="24"/>
    </w:rPr>
  </w:style>
  <w:style w:type="paragraph" w:customStyle="1" w:styleId="417">
    <w:name w:val="xl58"/>
    <w:basedOn w:val="1"/>
    <w:autoRedefine/>
    <w:qFormat/>
    <w:uiPriority w:val="0"/>
    <w:pPr>
      <w:widowControl/>
      <w:pBdr>
        <w:left w:val="single" w:color="auto" w:sz="8" w:space="0"/>
        <w:bottom w:val="single" w:color="auto" w:sz="8" w:space="0"/>
        <w:right w:val="single" w:color="auto" w:sz="4" w:space="0"/>
      </w:pBdr>
      <w:spacing w:before="100" w:beforeAutospacing="1" w:after="100" w:afterAutospacing="1"/>
      <w:jc w:val="center"/>
      <w:textAlignment w:val="center"/>
    </w:pPr>
    <w:rPr>
      <w:rFonts w:ascii="宋体" w:hAnsi="宋体"/>
      <w:kern w:val="0"/>
      <w:szCs w:val="21"/>
    </w:rPr>
  </w:style>
  <w:style w:type="paragraph" w:customStyle="1" w:styleId="418">
    <w:name w:val="规范正文"/>
    <w:basedOn w:val="1"/>
    <w:autoRedefine/>
    <w:qFormat/>
    <w:uiPriority w:val="0"/>
    <w:pPr>
      <w:adjustRightInd w:val="0"/>
      <w:spacing w:line="360" w:lineRule="auto"/>
      <w:ind w:left="480"/>
      <w:textAlignment w:val="baseline"/>
    </w:pPr>
    <w:rPr>
      <w:kern w:val="0"/>
      <w:sz w:val="24"/>
    </w:rPr>
  </w:style>
  <w:style w:type="paragraph" w:customStyle="1" w:styleId="419">
    <w:name w:val="Char1"/>
    <w:basedOn w:val="1"/>
    <w:autoRedefine/>
    <w:qFormat/>
    <w:uiPriority w:val="0"/>
    <w:rPr>
      <w:szCs w:val="21"/>
    </w:rPr>
  </w:style>
  <w:style w:type="paragraph" w:customStyle="1" w:styleId="420">
    <w:name w:val="Heading #4 (2)"/>
    <w:basedOn w:val="1"/>
    <w:autoRedefine/>
    <w:qFormat/>
    <w:uiPriority w:val="0"/>
    <w:pPr>
      <w:shd w:val="clear" w:color="auto" w:fill="FFFFFF"/>
      <w:spacing w:before="240" w:after="600" w:line="240" w:lineRule="atLeast"/>
      <w:jc w:val="left"/>
      <w:outlineLvl w:val="3"/>
    </w:pPr>
    <w:rPr>
      <w:rFonts w:ascii="宋体"/>
      <w:spacing w:val="-30"/>
      <w:kern w:val="0"/>
      <w:sz w:val="27"/>
      <w:szCs w:val="27"/>
    </w:rPr>
  </w:style>
  <w:style w:type="paragraph" w:customStyle="1" w:styleId="421">
    <w:name w:val="Standard o abs"/>
    <w:basedOn w:val="1"/>
    <w:autoRedefine/>
    <w:qFormat/>
    <w:uiPriority w:val="0"/>
    <w:pPr>
      <w:widowControl/>
      <w:tabs>
        <w:tab w:val="left" w:pos="2835"/>
        <w:tab w:val="left" w:pos="3119"/>
        <w:tab w:val="left" w:pos="3402"/>
        <w:tab w:val="left" w:pos="3686"/>
        <w:tab w:val="left" w:pos="3969"/>
        <w:tab w:val="left" w:pos="4253"/>
      </w:tabs>
      <w:ind w:left="2552"/>
      <w:jc w:val="left"/>
    </w:pPr>
    <w:rPr>
      <w:rFonts w:ascii="Syntax" w:hAnsi="Syntax"/>
      <w:kern w:val="0"/>
      <w:sz w:val="20"/>
      <w:lang w:val="de-DE" w:eastAsia="de-DE"/>
    </w:rPr>
  </w:style>
  <w:style w:type="paragraph" w:customStyle="1" w:styleId="422">
    <w:name w:val="Char Char8 Char Char Char Char Char Char Char Char Char1"/>
    <w:basedOn w:val="1"/>
    <w:autoRedefine/>
    <w:qFormat/>
    <w:uiPriority w:val="0"/>
    <w:pPr>
      <w:spacing w:line="360" w:lineRule="auto"/>
    </w:pPr>
    <w:rPr>
      <w:rFonts w:ascii="宋体" w:hAnsi="宋体"/>
      <w:sz w:val="22"/>
      <w:szCs w:val="24"/>
    </w:rPr>
  </w:style>
  <w:style w:type="paragraph" w:customStyle="1" w:styleId="423">
    <w:name w:val="Char1 Char Char Char Char Char Char"/>
    <w:basedOn w:val="1"/>
    <w:autoRedefine/>
    <w:qFormat/>
    <w:uiPriority w:val="0"/>
  </w:style>
  <w:style w:type="paragraph" w:customStyle="1" w:styleId="424">
    <w:name w:val="(符号)三标题1.1"/>
    <w:basedOn w:val="1"/>
    <w:autoRedefine/>
    <w:qFormat/>
    <w:uiPriority w:val="0"/>
    <w:pPr>
      <w:tabs>
        <w:tab w:val="left" w:pos="420"/>
      </w:tabs>
      <w:spacing w:before="140" w:after="140" w:line="500" w:lineRule="exact"/>
      <w:ind w:left="430" w:hanging="430"/>
      <w:outlineLvl w:val="2"/>
    </w:pPr>
    <w:rPr>
      <w:rFonts w:ascii="楷体_GB2312" w:hAnsi="宋体" w:eastAsia="楷体_GB2312" w:cs="宋体"/>
      <w:b/>
      <w:bCs/>
      <w:sz w:val="28"/>
    </w:rPr>
  </w:style>
  <w:style w:type="paragraph" w:customStyle="1" w:styleId="425">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426">
    <w:name w:val="subtitle 2"/>
    <w:basedOn w:val="1"/>
    <w:autoRedefine/>
    <w:qFormat/>
    <w:uiPriority w:val="0"/>
    <w:pPr>
      <w:tabs>
        <w:tab w:val="left" w:pos="780"/>
      </w:tabs>
      <w:overflowPunct w:val="0"/>
      <w:adjustRightInd w:val="0"/>
      <w:spacing w:before="240" w:after="240" w:line="312" w:lineRule="atLeast"/>
    </w:pPr>
    <w:rPr>
      <w:rFonts w:eastAsia="黑体"/>
      <w:snapToGrid w:val="0"/>
      <w:kern w:val="0"/>
      <w:sz w:val="24"/>
      <w:lang w:eastAsia="en-US"/>
    </w:rPr>
  </w:style>
  <w:style w:type="paragraph" w:customStyle="1" w:styleId="42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428">
    <w:name w:val="Char1 Char Char"/>
    <w:basedOn w:val="1"/>
    <w:autoRedefine/>
    <w:qFormat/>
    <w:uiPriority w:val="0"/>
    <w:pPr>
      <w:tabs>
        <w:tab w:val="left" w:pos="420"/>
      </w:tabs>
      <w:ind w:left="420" w:hanging="420"/>
    </w:pPr>
    <w:rPr>
      <w:rFonts w:ascii="Tahoma" w:hAnsi="Tahoma"/>
      <w:sz w:val="24"/>
    </w:rPr>
  </w:style>
  <w:style w:type="paragraph" w:customStyle="1" w:styleId="42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rPr>
  </w:style>
  <w:style w:type="paragraph" w:customStyle="1" w:styleId="430">
    <w:name w:val="xl107"/>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431">
    <w:name w:val="plaintext"/>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432">
    <w:name w:val="Char Char Char1"/>
    <w:basedOn w:val="1"/>
    <w:autoRedefine/>
    <w:qFormat/>
    <w:uiPriority w:val="0"/>
    <w:pPr>
      <w:spacing w:line="360" w:lineRule="auto"/>
    </w:pPr>
    <w:rPr>
      <w:rFonts w:ascii="宋体" w:hAnsi="宋体"/>
      <w:sz w:val="22"/>
      <w:szCs w:val="24"/>
    </w:rPr>
  </w:style>
  <w:style w:type="paragraph" w:customStyle="1" w:styleId="433">
    <w:name w:val="有缩进正文"/>
    <w:basedOn w:val="1"/>
    <w:autoRedefine/>
    <w:qFormat/>
    <w:uiPriority w:val="0"/>
    <w:pPr>
      <w:tabs>
        <w:tab w:val="left" w:pos="360"/>
      </w:tabs>
      <w:spacing w:before="156" w:beforeLines="50" w:after="156" w:afterLines="50" w:line="240" w:lineRule="atLeast"/>
      <w:ind w:firstLine="200" w:firstLineChars="200"/>
    </w:pPr>
    <w:rPr>
      <w:rFonts w:ascii="Arial" w:hAnsi="Arial"/>
      <w:sz w:val="24"/>
      <w:szCs w:val="24"/>
    </w:rPr>
  </w:style>
  <w:style w:type="paragraph" w:customStyle="1" w:styleId="434">
    <w:name w:val="表注"/>
    <w:basedOn w:val="1"/>
    <w:autoRedefine/>
    <w:qFormat/>
    <w:uiPriority w:val="0"/>
    <w:pPr>
      <w:spacing w:before="120" w:after="120" w:line="360" w:lineRule="exact"/>
      <w:jc w:val="center"/>
    </w:pPr>
  </w:style>
  <w:style w:type="paragraph" w:customStyle="1" w:styleId="435">
    <w:name w:val="表格(五号)"/>
    <w:basedOn w:val="1"/>
    <w:autoRedefine/>
    <w:qFormat/>
    <w:uiPriority w:val="0"/>
    <w:pPr>
      <w:adjustRightInd w:val="0"/>
      <w:snapToGrid w:val="0"/>
      <w:spacing w:before="60" w:after="60"/>
      <w:ind w:left="11"/>
      <w:jc w:val="center"/>
    </w:pPr>
    <w:rPr>
      <w:kern w:val="0"/>
    </w:rPr>
  </w:style>
  <w:style w:type="paragraph" w:customStyle="1" w:styleId="436">
    <w:name w:val="10 f"/>
    <w:basedOn w:val="1"/>
    <w:autoRedefine/>
    <w:qFormat/>
    <w:uiPriority w:val="0"/>
    <w:pPr>
      <w:widowControl/>
      <w:tabs>
        <w:tab w:val="left" w:pos="2835"/>
        <w:tab w:val="left" w:pos="3119"/>
        <w:tab w:val="left" w:pos="3402"/>
        <w:tab w:val="left" w:pos="3686"/>
        <w:tab w:val="left" w:pos="3969"/>
        <w:tab w:val="left" w:pos="4253"/>
      </w:tabs>
      <w:spacing w:after="120"/>
      <w:ind w:left="2552"/>
      <w:jc w:val="left"/>
    </w:pPr>
    <w:rPr>
      <w:rFonts w:ascii="Syntax" w:hAnsi="Syntax"/>
      <w:b/>
      <w:kern w:val="0"/>
      <w:sz w:val="20"/>
      <w:lang w:val="de-DE" w:eastAsia="de-DE"/>
    </w:rPr>
  </w:style>
  <w:style w:type="paragraph" w:customStyle="1" w:styleId="43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rPr>
  </w:style>
  <w:style w:type="paragraph" w:customStyle="1" w:styleId="438">
    <w:name w:val="正文首行缩进两字符"/>
    <w:basedOn w:val="1"/>
    <w:autoRedefine/>
    <w:qFormat/>
    <w:uiPriority w:val="0"/>
    <w:pPr>
      <w:spacing w:line="360" w:lineRule="auto"/>
      <w:ind w:firstLine="200" w:firstLineChars="200"/>
    </w:pPr>
    <w:rPr>
      <w:szCs w:val="24"/>
    </w:rPr>
  </w:style>
  <w:style w:type="paragraph" w:customStyle="1" w:styleId="439">
    <w:name w:val="标书正文格式"/>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440">
    <w:name w:val="xl62"/>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kern w:val="0"/>
      <w:szCs w:val="21"/>
    </w:rPr>
  </w:style>
  <w:style w:type="paragraph" w:customStyle="1" w:styleId="441">
    <w:name w:val="列出段落2"/>
    <w:basedOn w:val="1"/>
    <w:autoRedefine/>
    <w:qFormat/>
    <w:uiPriority w:val="0"/>
    <w:pPr>
      <w:ind w:firstLine="420" w:firstLineChars="200"/>
    </w:pPr>
    <w:rPr>
      <w:sz w:val="24"/>
      <w:szCs w:val="24"/>
    </w:rPr>
  </w:style>
  <w:style w:type="paragraph" w:customStyle="1" w:styleId="442">
    <w:name w:val="_Style 5"/>
    <w:basedOn w:val="1"/>
    <w:autoRedefine/>
    <w:qFormat/>
    <w:uiPriority w:val="0"/>
  </w:style>
  <w:style w:type="paragraph" w:customStyle="1" w:styleId="443">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44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445">
    <w:name w:val="_Style 58"/>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6">
    <w:name w:val="Char11"/>
    <w:basedOn w:val="17"/>
    <w:autoRedefine/>
    <w:qFormat/>
    <w:uiPriority w:val="0"/>
    <w:pPr>
      <w:shd w:val="clear" w:color="auto" w:fill="000080"/>
    </w:pPr>
    <w:rPr>
      <w:rFonts w:ascii="Tahoma" w:hAnsi="Tahoma"/>
      <w:sz w:val="24"/>
      <w:szCs w:val="24"/>
      <w:shd w:val="clear" w:color="auto" w:fill="000080"/>
    </w:rPr>
  </w:style>
  <w:style w:type="paragraph" w:customStyle="1" w:styleId="447">
    <w:name w:val="表格样式 2"/>
    <w:autoRedefine/>
    <w:qFormat/>
    <w:uiPriority w:val="0"/>
    <w:rPr>
      <w:rFonts w:hint="eastAsia" w:ascii="Arial Unicode MS" w:hAnsi="Arial Unicode MS" w:eastAsia="Helvetica" w:cs="Arial Unicode MS"/>
      <w:color w:val="000000"/>
      <w:lang w:val="zh-TW" w:eastAsia="zh-TW" w:bidi="ar-SA"/>
    </w:rPr>
  </w:style>
  <w:style w:type="paragraph" w:customStyle="1" w:styleId="448">
    <w:name w:val="Char Char Char Char Char Char"/>
    <w:basedOn w:val="1"/>
    <w:autoRedefine/>
    <w:qFormat/>
    <w:uiPriority w:val="0"/>
    <w:rPr>
      <w:rFonts w:ascii="Tahoma" w:hAnsi="Tahoma"/>
      <w:sz w:val="24"/>
    </w:rPr>
  </w:style>
  <w:style w:type="paragraph" w:customStyle="1" w:styleId="449">
    <w:name w:val="p17"/>
    <w:basedOn w:val="1"/>
    <w:autoRedefine/>
    <w:qFormat/>
    <w:uiPriority w:val="0"/>
    <w:pPr>
      <w:widowControl/>
      <w:ind w:firstLine="630"/>
    </w:pPr>
    <w:rPr>
      <w:kern w:val="0"/>
      <w:sz w:val="32"/>
      <w:szCs w:val="32"/>
    </w:rPr>
  </w:style>
  <w:style w:type="paragraph" w:customStyle="1" w:styleId="450">
    <w:name w:val="纯文本2"/>
    <w:basedOn w:val="1"/>
    <w:autoRedefine/>
    <w:qFormat/>
    <w:uiPriority w:val="0"/>
    <w:pPr>
      <w:adjustRightInd w:val="0"/>
      <w:textAlignment w:val="baseline"/>
    </w:pPr>
    <w:rPr>
      <w:rFonts w:ascii="宋体" w:hAnsi="Courier New"/>
    </w:rPr>
  </w:style>
  <w:style w:type="paragraph" w:customStyle="1" w:styleId="451">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color w:val="FFFFFF"/>
      <w:kern w:val="0"/>
      <w:szCs w:val="21"/>
    </w:rPr>
  </w:style>
  <w:style w:type="paragraph" w:customStyle="1" w:styleId="452">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53">
    <w:name w:val="Default"/>
    <w:autoRedefine/>
    <w:qFormat/>
    <w:uiPriority w:val="0"/>
    <w:pPr>
      <w:widowControl w:val="0"/>
      <w:autoSpaceDE w:val="0"/>
      <w:autoSpaceDN w:val="0"/>
      <w:adjustRightInd w:val="0"/>
    </w:pPr>
    <w:rPr>
      <w:rFonts w:ascii="方正小标宋简体" w:hAnsi="Times New Roman" w:eastAsia="方正小标宋简体" w:cs="方正小标宋简体"/>
      <w:color w:val="000000"/>
      <w:sz w:val="24"/>
      <w:szCs w:val="24"/>
      <w:lang w:val="en-US" w:eastAsia="zh-CN" w:bidi="ar-SA"/>
    </w:rPr>
  </w:style>
  <w:style w:type="paragraph" w:customStyle="1" w:styleId="454">
    <w:name w:val="SRS正文"/>
    <w:basedOn w:val="1"/>
    <w:autoRedefine/>
    <w:qFormat/>
    <w:uiPriority w:val="0"/>
    <w:pPr>
      <w:widowControl/>
      <w:spacing w:before="156" w:beforeLines="50" w:line="360" w:lineRule="auto"/>
    </w:pPr>
    <w:rPr>
      <w:sz w:val="24"/>
      <w:szCs w:val="24"/>
    </w:rPr>
  </w:style>
  <w:style w:type="paragraph" w:customStyle="1" w:styleId="455">
    <w:name w:val="列项——"/>
    <w:autoRedefine/>
    <w:qFormat/>
    <w:uiPriority w:val="0"/>
    <w:pPr>
      <w:widowControl w:val="0"/>
      <w:tabs>
        <w:tab w:val="left" w:pos="1140"/>
      </w:tabs>
      <w:ind w:left="975" w:hanging="975"/>
      <w:jc w:val="both"/>
    </w:pPr>
    <w:rPr>
      <w:rFonts w:ascii="宋体" w:hAnsi="Times New Roman" w:eastAsia="宋体" w:cs="Times New Roman"/>
      <w:sz w:val="21"/>
      <w:lang w:val="en-US" w:eastAsia="zh-CN" w:bidi="ar-SA"/>
    </w:rPr>
  </w:style>
  <w:style w:type="paragraph" w:customStyle="1" w:styleId="456">
    <w:name w:val="标题5"/>
    <w:basedOn w:val="7"/>
    <w:next w:val="7"/>
    <w:autoRedefine/>
    <w:qFormat/>
    <w:uiPriority w:val="0"/>
    <w:pPr>
      <w:adjustRightInd/>
      <w:spacing w:before="0" w:after="0" w:line="300" w:lineRule="exact"/>
      <w:ind w:firstLine="630" w:firstLineChars="300"/>
      <w:textAlignment w:val="auto"/>
    </w:pPr>
    <w:rPr>
      <w:b w:val="0"/>
      <w:color w:val="000000"/>
      <w:kern w:val="2"/>
      <w:sz w:val="21"/>
      <w:szCs w:val="32"/>
    </w:rPr>
  </w:style>
  <w:style w:type="paragraph" w:customStyle="1" w:styleId="457">
    <w:name w:val="CU-6"/>
    <w:basedOn w:val="134"/>
    <w:autoRedefine/>
    <w:qFormat/>
    <w:uiPriority w:val="0"/>
    <w:pPr>
      <w:tabs>
        <w:tab w:val="left" w:pos="360"/>
        <w:tab w:val="left" w:pos="1740"/>
        <w:tab w:val="clear" w:pos="1440"/>
      </w:tabs>
    </w:pPr>
  </w:style>
  <w:style w:type="paragraph" w:customStyle="1" w:styleId="458">
    <w:name w:val="xl65"/>
    <w:basedOn w:val="1"/>
    <w:autoRedefine/>
    <w:qFormat/>
    <w:uiPriority w:val="0"/>
    <w:pPr>
      <w:widowControl/>
      <w:pBdr>
        <w:bottom w:val="single" w:color="000000" w:sz="4" w:space="0"/>
        <w:right w:val="single" w:color="auto" w:sz="8" w:space="0"/>
      </w:pBdr>
      <w:spacing w:before="100" w:beforeAutospacing="1" w:after="100" w:afterAutospacing="1"/>
      <w:jc w:val="left"/>
      <w:textAlignment w:val="center"/>
    </w:pPr>
    <w:rPr>
      <w:color w:val="FFFFFF"/>
      <w:kern w:val="0"/>
      <w:szCs w:val="21"/>
    </w:rPr>
  </w:style>
  <w:style w:type="paragraph" w:customStyle="1" w:styleId="459">
    <w:name w:val="样式 标题6样式2 + 左侧:  1 字符 右侧:  1 字符"/>
    <w:basedOn w:val="1"/>
    <w:autoRedefine/>
    <w:qFormat/>
    <w:uiPriority w:val="0"/>
    <w:pPr>
      <w:keepNext/>
      <w:keepLines/>
      <w:tabs>
        <w:tab w:val="left" w:pos="840"/>
      </w:tabs>
      <w:spacing w:before="240" w:after="64" w:line="360" w:lineRule="auto"/>
      <w:ind w:left="932" w:right="210" w:rightChars="100" w:hanging="420"/>
      <w:outlineLvl w:val="5"/>
    </w:pPr>
    <w:rPr>
      <w:rFonts w:ascii="Arial" w:hAnsi="Arial" w:eastAsia="黑体" w:cs="宋体"/>
      <w:b/>
      <w:bCs/>
      <w:sz w:val="24"/>
    </w:rPr>
  </w:style>
  <w:style w:type="paragraph" w:customStyle="1" w:styleId="460">
    <w:name w:val="表格题注"/>
    <w:next w:val="1"/>
    <w:autoRedefine/>
    <w:qFormat/>
    <w:uiPriority w:val="0"/>
    <w:pPr>
      <w:keepLines/>
      <w:tabs>
        <w:tab w:val="left" w:pos="1555"/>
      </w:tabs>
      <w:spacing w:before="312" w:beforeLines="100"/>
      <w:ind w:left="1089" w:hanging="369"/>
      <w:jc w:val="center"/>
    </w:pPr>
    <w:rPr>
      <w:rFonts w:ascii="Arial" w:hAnsi="Arial" w:eastAsia="宋体" w:cs="Times New Roman"/>
      <w:sz w:val="18"/>
      <w:szCs w:val="18"/>
      <w:lang w:val="en-US" w:eastAsia="zh-CN" w:bidi="ar-SA"/>
    </w:rPr>
  </w:style>
  <w:style w:type="paragraph" w:customStyle="1" w:styleId="461">
    <w:name w:val="图样式"/>
    <w:basedOn w:val="1"/>
    <w:autoRedefine/>
    <w:qFormat/>
    <w:uiPriority w:val="0"/>
    <w:pPr>
      <w:keepNext/>
      <w:widowControl/>
      <w:autoSpaceDE w:val="0"/>
      <w:autoSpaceDN w:val="0"/>
      <w:adjustRightInd w:val="0"/>
      <w:spacing w:before="80" w:after="80" w:line="360" w:lineRule="auto"/>
      <w:jc w:val="center"/>
    </w:pPr>
    <w:rPr>
      <w:kern w:val="0"/>
    </w:rPr>
  </w:style>
  <w:style w:type="paragraph" w:customStyle="1" w:styleId="462">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rPr>
  </w:style>
  <w:style w:type="paragraph" w:customStyle="1" w:styleId="463">
    <w:name w:val="Bullet 1"/>
    <w:basedOn w:val="1"/>
    <w:autoRedefine/>
    <w:qFormat/>
    <w:uiPriority w:val="0"/>
    <w:pPr>
      <w:widowControl/>
      <w:tabs>
        <w:tab w:val="left" w:pos="720"/>
        <w:tab w:val="left" w:pos="1620"/>
      </w:tabs>
      <w:spacing w:before="180" w:after="80" w:line="240" w:lineRule="exact"/>
      <w:ind w:left="1616" w:hanging="357"/>
    </w:pPr>
    <w:rPr>
      <w:bCs/>
      <w:iCs/>
      <w:color w:val="000000"/>
      <w:kern w:val="0"/>
      <w:sz w:val="20"/>
      <w:lang w:eastAsia="en-US"/>
    </w:rPr>
  </w:style>
  <w:style w:type="paragraph" w:customStyle="1" w:styleId="464">
    <w:name w:val="默认段落字体 Para Char Char Char1 Char"/>
    <w:basedOn w:val="1"/>
    <w:autoRedefine/>
    <w:qFormat/>
    <w:uiPriority w:val="0"/>
    <w:pPr>
      <w:spacing w:line="240" w:lineRule="atLeast"/>
      <w:ind w:left="420" w:firstLine="420"/>
    </w:pPr>
    <w:rPr>
      <w:kern w:val="0"/>
      <w:szCs w:val="21"/>
    </w:rPr>
  </w:style>
  <w:style w:type="paragraph" w:customStyle="1" w:styleId="465">
    <w:name w:val="项目符号1说明"/>
    <w:basedOn w:val="1"/>
    <w:autoRedefine/>
    <w:qFormat/>
    <w:uiPriority w:val="0"/>
    <w:pPr>
      <w:spacing w:before="60" w:after="60"/>
      <w:jc w:val="center"/>
    </w:pPr>
    <w:rPr>
      <w:rFonts w:ascii="黑体" w:eastAsia="黑体"/>
    </w:rPr>
  </w:style>
  <w:style w:type="paragraph" w:customStyle="1" w:styleId="466">
    <w:name w:val="f144"/>
    <w:basedOn w:val="1"/>
    <w:autoRedefine/>
    <w:qFormat/>
    <w:uiPriority w:val="0"/>
    <w:pPr>
      <w:widowControl/>
      <w:spacing w:before="100" w:beforeAutospacing="1" w:after="100" w:afterAutospacing="1" w:line="300" w:lineRule="atLeast"/>
      <w:jc w:val="left"/>
    </w:pPr>
    <w:rPr>
      <w:rFonts w:ascii="Arial Unicode MS" w:hAnsi="Arial Unicode MS" w:eastAsia="Times New Roman"/>
      <w:color w:val="000000"/>
      <w:kern w:val="0"/>
      <w:szCs w:val="21"/>
    </w:rPr>
  </w:style>
  <w:style w:type="paragraph" w:customStyle="1" w:styleId="467">
    <w:name w:val="样式"/>
    <w:link w:val="468"/>
    <w:autoRedefine/>
    <w:qFormat/>
    <w:uiPriority w:val="0"/>
    <w:pPr>
      <w:widowControl w:val="0"/>
      <w:autoSpaceDE w:val="0"/>
      <w:autoSpaceDN w:val="0"/>
      <w:adjustRightInd w:val="0"/>
    </w:pPr>
    <w:rPr>
      <w:rFonts w:ascii="宋体" w:hAnsi="宋体" w:eastAsia="宋体" w:cs="Times New Roman"/>
      <w:sz w:val="24"/>
      <w:szCs w:val="24"/>
      <w:lang w:val="en-US" w:eastAsia="zh-CN" w:bidi="ar-SA"/>
    </w:rPr>
  </w:style>
  <w:style w:type="character" w:customStyle="1" w:styleId="468">
    <w:name w:val="样式 Char Char"/>
    <w:link w:val="467"/>
    <w:autoRedefine/>
    <w:qFormat/>
    <w:locked/>
    <w:uiPriority w:val="0"/>
    <w:rPr>
      <w:rFonts w:ascii="宋体" w:hAnsi="宋体"/>
      <w:sz w:val="24"/>
      <w:szCs w:val="24"/>
      <w:lang w:bidi="ar-SA"/>
    </w:rPr>
  </w:style>
  <w:style w:type="paragraph" w:customStyle="1" w:styleId="469">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470">
    <w:name w:val="样式 首行缩进:  1.22 厘米"/>
    <w:basedOn w:val="1"/>
    <w:autoRedefine/>
    <w:qFormat/>
    <w:uiPriority w:val="0"/>
    <w:pPr>
      <w:spacing w:line="360" w:lineRule="auto"/>
      <w:ind w:firstLine="692"/>
    </w:pPr>
    <w:rPr>
      <w:rFonts w:cs="宋体"/>
      <w:sz w:val="24"/>
    </w:rPr>
  </w:style>
  <w:style w:type="paragraph" w:customStyle="1" w:styleId="471">
    <w:name w:val="title 4"/>
    <w:basedOn w:val="1"/>
    <w:autoRedefine/>
    <w:qFormat/>
    <w:uiPriority w:val="0"/>
    <w:pPr>
      <w:spacing w:line="360" w:lineRule="auto"/>
      <w:jc w:val="left"/>
    </w:pPr>
    <w:rPr>
      <w:rFonts w:cs="宋体"/>
      <w:b/>
      <w:bCs/>
    </w:rPr>
  </w:style>
  <w:style w:type="paragraph" w:customStyle="1" w:styleId="47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473">
    <w:name w:val="Char Char1 Char Char1 Char Char1"/>
    <w:basedOn w:val="1"/>
    <w:autoRedefine/>
    <w:qFormat/>
    <w:uiPriority w:val="0"/>
    <w:rPr>
      <w:sz w:val="24"/>
      <w:szCs w:val="24"/>
    </w:rPr>
  </w:style>
  <w:style w:type="paragraph" w:customStyle="1" w:styleId="474">
    <w:name w:val="Char Char Char Char"/>
    <w:basedOn w:val="1"/>
    <w:autoRedefine/>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475">
    <w:name w:val="Char Char11"/>
    <w:basedOn w:val="1"/>
    <w:autoRedefine/>
    <w:qFormat/>
    <w:uiPriority w:val="0"/>
    <w:pPr>
      <w:widowControl/>
      <w:spacing w:line="360" w:lineRule="auto"/>
      <w:jc w:val="left"/>
    </w:pPr>
    <w:rPr>
      <w:rFonts w:ascii="Verdana" w:hAnsi="Verdana"/>
      <w:kern w:val="0"/>
      <w:sz w:val="20"/>
      <w:lang w:eastAsia="en-US"/>
    </w:rPr>
  </w:style>
  <w:style w:type="paragraph" w:customStyle="1" w:styleId="476">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rPr>
  </w:style>
  <w:style w:type="paragraph" w:customStyle="1" w:styleId="477">
    <w:name w:val="默认段落字体 Para Char Char Char Char Char Char Char Char Char Char Char Char Char Char"/>
    <w:next w:val="1"/>
    <w:autoRedefine/>
    <w:qFormat/>
    <w:uiPriority w:val="0"/>
    <w:pPr>
      <w:keepNext/>
      <w:keepLines/>
      <w:tabs>
        <w:tab w:val="left" w:pos="3360"/>
      </w:tabs>
      <w:spacing w:before="240" w:after="240"/>
      <w:ind w:left="3360" w:hanging="420"/>
      <w:outlineLvl w:val="7"/>
    </w:pPr>
    <w:rPr>
      <w:rFonts w:ascii="Arial" w:hAnsi="Arial" w:eastAsia="黑体" w:cs="Arial"/>
      <w:snapToGrid w:val="0"/>
      <w:sz w:val="21"/>
      <w:szCs w:val="21"/>
      <w:lang w:val="en-US" w:eastAsia="zh-CN" w:bidi="ar-SA"/>
    </w:rPr>
  </w:style>
  <w:style w:type="paragraph" w:customStyle="1" w:styleId="478">
    <w:name w:val="Char Char1"/>
    <w:basedOn w:val="1"/>
    <w:autoRedefine/>
    <w:qFormat/>
    <w:uiPriority w:val="0"/>
    <w:pPr>
      <w:widowControl/>
      <w:spacing w:after="160" w:line="240" w:lineRule="exact"/>
      <w:jc w:val="left"/>
    </w:pPr>
    <w:rPr>
      <w:rFonts w:ascii="Verdana" w:hAnsi="Verdana"/>
      <w:kern w:val="0"/>
      <w:sz w:val="20"/>
      <w:lang w:eastAsia="en-US"/>
    </w:rPr>
  </w:style>
  <w:style w:type="paragraph" w:customStyle="1" w:styleId="479">
    <w:name w:val="LJT正文"/>
    <w:basedOn w:val="24"/>
    <w:autoRedefine/>
    <w:qFormat/>
    <w:uiPriority w:val="0"/>
    <w:pPr>
      <w:spacing w:before="120"/>
      <w:ind w:left="420" w:firstLine="425"/>
    </w:pPr>
    <w:rPr>
      <w:rFonts w:ascii="Arial" w:hAnsi="Arial"/>
      <w:sz w:val="24"/>
    </w:rPr>
  </w:style>
  <w:style w:type="paragraph" w:customStyle="1" w:styleId="480">
    <w:name w:val="_Style 475"/>
    <w:basedOn w:val="3"/>
    <w:next w:val="1"/>
    <w:autoRedefine/>
    <w:qFormat/>
    <w:uiPriority w:val="0"/>
    <w:pPr>
      <w:widowControl/>
      <w:tabs>
        <w:tab w:val="left" w:pos="425"/>
      </w:tabs>
      <w:spacing w:before="480" w:after="0" w:line="276" w:lineRule="auto"/>
      <w:jc w:val="left"/>
      <w:outlineLvl w:val="9"/>
    </w:pPr>
    <w:rPr>
      <w:rFonts w:ascii="Cambria" w:hAnsi="Cambria"/>
      <w:color w:val="365F91"/>
      <w:kern w:val="0"/>
      <w:sz w:val="28"/>
      <w:szCs w:val="28"/>
    </w:rPr>
  </w:style>
  <w:style w:type="paragraph" w:customStyle="1" w:styleId="481">
    <w:name w:val="xl57"/>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kern w:val="0"/>
      <w:szCs w:val="21"/>
    </w:rPr>
  </w:style>
  <w:style w:type="paragraph" w:customStyle="1" w:styleId="482">
    <w:name w:val="xl56"/>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right"/>
      <w:textAlignment w:val="center"/>
    </w:pPr>
    <w:rPr>
      <w:kern w:val="0"/>
      <w:szCs w:val="21"/>
    </w:rPr>
  </w:style>
  <w:style w:type="paragraph" w:customStyle="1" w:styleId="48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rPr>
  </w:style>
  <w:style w:type="paragraph" w:customStyle="1" w:styleId="484">
    <w:name w:val="Numbered list 2.1"/>
    <w:basedOn w:val="3"/>
    <w:next w:val="1"/>
    <w:autoRedefine/>
    <w:qFormat/>
    <w:uiPriority w:val="0"/>
    <w:pPr>
      <w:widowControl/>
      <w:tabs>
        <w:tab w:val="left" w:pos="720"/>
      </w:tabs>
      <w:spacing w:before="240" w:after="60" w:line="240" w:lineRule="auto"/>
      <w:ind w:left="902" w:hanging="420"/>
      <w:jc w:val="left"/>
    </w:pPr>
    <w:rPr>
      <w:rFonts w:ascii="Arial" w:hAnsi="Arial"/>
      <w:bCs w:val="0"/>
      <w:kern w:val="28"/>
      <w:sz w:val="28"/>
      <w:szCs w:val="20"/>
      <w:lang w:eastAsia="en-US"/>
    </w:rPr>
  </w:style>
  <w:style w:type="paragraph" w:customStyle="1" w:styleId="485">
    <w:name w:val="title 3"/>
    <w:basedOn w:val="1"/>
    <w:autoRedefine/>
    <w:qFormat/>
    <w:uiPriority w:val="0"/>
    <w:pPr>
      <w:tabs>
        <w:tab w:val="left" w:pos="420"/>
        <w:tab w:val="left" w:pos="720"/>
      </w:tabs>
      <w:spacing w:line="500" w:lineRule="exact"/>
      <w:ind w:left="720" w:hanging="360"/>
      <w:jc w:val="left"/>
    </w:pPr>
    <w:rPr>
      <w:rFonts w:cs="宋体"/>
      <w:b/>
      <w:bCs/>
      <w:sz w:val="28"/>
    </w:rPr>
  </w:style>
  <w:style w:type="paragraph" w:customStyle="1" w:styleId="486">
    <w:name w:val="默认段落字体 Para Char"/>
    <w:basedOn w:val="1"/>
    <w:autoRedefine/>
    <w:qFormat/>
    <w:uiPriority w:val="0"/>
    <w:pPr>
      <w:tabs>
        <w:tab w:val="left" w:pos="360"/>
      </w:tabs>
      <w:ind w:left="360" w:hanging="360"/>
    </w:pPr>
    <w:rPr>
      <w:szCs w:val="24"/>
    </w:rPr>
  </w:style>
  <w:style w:type="paragraph" w:customStyle="1" w:styleId="487">
    <w:name w:val="Char12"/>
    <w:basedOn w:val="1"/>
    <w:autoRedefine/>
    <w:qFormat/>
    <w:uiPriority w:val="0"/>
    <w:rPr>
      <w:rFonts w:ascii="仿宋_GB2312" w:eastAsia="仿宋_GB2312"/>
      <w:b/>
      <w:sz w:val="32"/>
      <w:szCs w:val="32"/>
    </w:rPr>
  </w:style>
  <w:style w:type="paragraph" w:customStyle="1" w:styleId="488">
    <w:name w:val="默认段落字体 Para Char Char Char Char Char Char Char"/>
    <w:basedOn w:val="1"/>
    <w:autoRedefine/>
    <w:qFormat/>
    <w:uiPriority w:val="0"/>
    <w:rPr>
      <w:rFonts w:ascii="Tahoma" w:hAnsi="Tahoma"/>
      <w:sz w:val="24"/>
    </w:rPr>
  </w:style>
  <w:style w:type="paragraph" w:customStyle="1" w:styleId="489">
    <w:name w:val="正文中带正方形项目符号正文"/>
    <w:basedOn w:val="1"/>
    <w:autoRedefine/>
    <w:qFormat/>
    <w:uiPriority w:val="0"/>
    <w:pPr>
      <w:tabs>
        <w:tab w:val="left" w:pos="814"/>
      </w:tabs>
      <w:ind w:left="284" w:firstLine="170"/>
    </w:pPr>
    <w:rPr>
      <w:sz w:val="24"/>
    </w:rPr>
  </w:style>
  <w:style w:type="paragraph" w:customStyle="1" w:styleId="490">
    <w:name w:val="p5"/>
    <w:basedOn w:val="1"/>
    <w:autoRedefine/>
    <w:qFormat/>
    <w:uiPriority w:val="0"/>
    <w:pPr>
      <w:tabs>
        <w:tab w:val="left" w:pos="720"/>
      </w:tabs>
      <w:spacing w:line="240" w:lineRule="atLeast"/>
      <w:jc w:val="left"/>
    </w:pPr>
    <w:rPr>
      <w:snapToGrid w:val="0"/>
      <w:kern w:val="0"/>
      <w:sz w:val="24"/>
      <w:lang w:val="en-GB" w:eastAsia="de-DE"/>
    </w:rPr>
  </w:style>
  <w:style w:type="paragraph" w:customStyle="1" w:styleId="491">
    <w:name w:val="正文2级"/>
    <w:autoRedefine/>
    <w:qFormat/>
    <w:uiPriority w:val="0"/>
    <w:pPr>
      <w:widowControl w:val="0"/>
      <w:tabs>
        <w:tab w:val="left" w:pos="839"/>
        <w:tab w:val="left" w:pos="2880"/>
      </w:tabs>
      <w:spacing w:after="60" w:line="400" w:lineRule="exact"/>
      <w:ind w:left="2880" w:hanging="360"/>
      <w:jc w:val="both"/>
    </w:pPr>
    <w:rPr>
      <w:rFonts w:ascii="Times New Roman" w:hAnsi="Times New Roman" w:eastAsia="宋体" w:cs="Times New Roman"/>
      <w:bCs/>
      <w:kern w:val="44"/>
      <w:sz w:val="24"/>
      <w:szCs w:val="44"/>
      <w:lang w:val="en-US" w:eastAsia="zh-CN" w:bidi="ar-SA"/>
    </w:rPr>
  </w:style>
  <w:style w:type="paragraph" w:customStyle="1" w:styleId="49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rPr>
  </w:style>
  <w:style w:type="paragraph" w:customStyle="1" w:styleId="493">
    <w:name w:val="xl67"/>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top"/>
    </w:pPr>
    <w:rPr>
      <w:color w:val="FFFFFF"/>
      <w:kern w:val="0"/>
      <w:szCs w:val="21"/>
    </w:rPr>
  </w:style>
  <w:style w:type="paragraph" w:customStyle="1" w:styleId="494">
    <w:name w:val="表格文字"/>
    <w:basedOn w:val="1"/>
    <w:autoRedefine/>
    <w:qFormat/>
    <w:uiPriority w:val="0"/>
    <w:pPr>
      <w:spacing w:before="78" w:beforeLines="25" w:after="78" w:afterLines="25"/>
    </w:pPr>
    <w:rPr>
      <w:spacing w:val="10"/>
      <w:sz w:val="24"/>
      <w:szCs w:val="24"/>
    </w:rPr>
  </w:style>
  <w:style w:type="paragraph" w:customStyle="1" w:styleId="495">
    <w:name w:val="font8"/>
    <w:basedOn w:val="1"/>
    <w:autoRedefine/>
    <w:qFormat/>
    <w:uiPriority w:val="0"/>
    <w:pPr>
      <w:widowControl/>
      <w:spacing w:before="100" w:beforeAutospacing="1" w:after="100" w:afterAutospacing="1"/>
      <w:jc w:val="left"/>
    </w:pPr>
    <w:rPr>
      <w:kern w:val="0"/>
      <w:sz w:val="36"/>
      <w:szCs w:val="36"/>
    </w:rPr>
  </w:style>
  <w:style w:type="paragraph" w:customStyle="1" w:styleId="496">
    <w:name w:val="编号1级"/>
    <w:autoRedefine/>
    <w:qFormat/>
    <w:uiPriority w:val="0"/>
    <w:pPr>
      <w:tabs>
        <w:tab w:val="left" w:pos="0"/>
        <w:tab w:val="left" w:pos="720"/>
      </w:tabs>
      <w:spacing w:after="93" w:afterLines="30" w:line="400" w:lineRule="exact"/>
      <w:ind w:left="720" w:hanging="360"/>
      <w:outlineLvl w:val="8"/>
    </w:pPr>
    <w:rPr>
      <w:rFonts w:ascii="Times New Roman" w:hAnsi="Times New Roman" w:eastAsia="宋体" w:cs="Times New Roman"/>
      <w:b/>
      <w:kern w:val="2"/>
      <w:sz w:val="24"/>
      <w:szCs w:val="28"/>
      <w:lang w:val="en-US" w:eastAsia="zh-CN" w:bidi="ar-SA"/>
    </w:rPr>
  </w:style>
  <w:style w:type="paragraph" w:customStyle="1" w:styleId="497">
    <w:name w:val="表格正文（左对齐）"/>
    <w:basedOn w:val="1"/>
    <w:autoRedefine/>
    <w:qFormat/>
    <w:uiPriority w:val="0"/>
    <w:pPr>
      <w:autoSpaceDE w:val="0"/>
      <w:autoSpaceDN w:val="0"/>
      <w:adjustRightInd w:val="0"/>
      <w:jc w:val="left"/>
    </w:pPr>
    <w:rPr>
      <w:rFonts w:ascii="宋体"/>
      <w:b/>
      <w:color w:val="000000"/>
      <w:kern w:val="0"/>
      <w:sz w:val="28"/>
    </w:rPr>
  </w:style>
  <w:style w:type="paragraph" w:customStyle="1" w:styleId="498">
    <w:name w:val="yd正文"/>
    <w:basedOn w:val="1"/>
    <w:autoRedefine/>
    <w:qFormat/>
    <w:uiPriority w:val="0"/>
    <w:pPr>
      <w:widowControl/>
      <w:spacing w:line="360" w:lineRule="auto"/>
      <w:ind w:firstLine="482"/>
    </w:pPr>
    <w:rPr>
      <w:rFonts w:ascii="宋体" w:hAnsi="Arial Unicode MS"/>
      <w:bCs/>
      <w:kern w:val="0"/>
      <w:sz w:val="24"/>
      <w:szCs w:val="24"/>
    </w:rPr>
  </w:style>
  <w:style w:type="paragraph" w:customStyle="1" w:styleId="499">
    <w:name w:val="Char Char Char Char1 Char"/>
    <w:basedOn w:val="17"/>
    <w:autoRedefine/>
    <w:qFormat/>
    <w:uiPriority w:val="0"/>
    <w:pPr>
      <w:shd w:val="clear" w:color="auto" w:fill="000080"/>
      <w:adjustRightInd w:val="0"/>
      <w:spacing w:line="436" w:lineRule="exact"/>
      <w:ind w:left="357"/>
      <w:jc w:val="left"/>
      <w:outlineLvl w:val="3"/>
    </w:pPr>
    <w:rPr>
      <w:rFonts w:ascii="Times New Roman"/>
      <w:sz w:val="21"/>
      <w:szCs w:val="24"/>
      <w:shd w:val="clear" w:color="auto" w:fill="000080"/>
    </w:rPr>
  </w:style>
  <w:style w:type="paragraph" w:customStyle="1" w:styleId="500">
    <w:name w:val="Char2 Char Char Char Char Char Char Char Char Char1 Char Char Char"/>
    <w:basedOn w:val="17"/>
    <w:autoRedefine/>
    <w:qFormat/>
    <w:uiPriority w:val="0"/>
    <w:pPr>
      <w:shd w:val="clear" w:color="auto" w:fill="000080"/>
      <w:tabs>
        <w:tab w:val="left" w:pos="360"/>
      </w:tabs>
    </w:pPr>
    <w:rPr>
      <w:rFonts w:ascii="Tahoma" w:hAnsi="Tahoma"/>
      <w:sz w:val="24"/>
      <w:szCs w:val="24"/>
      <w:shd w:val="clear" w:color="auto" w:fill="000080"/>
    </w:rPr>
  </w:style>
  <w:style w:type="paragraph" w:customStyle="1" w:styleId="501">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rPr>
  </w:style>
  <w:style w:type="paragraph" w:customStyle="1" w:styleId="502">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503">
    <w:name w:val="Char Char1 Char Char1 Char Char11"/>
    <w:basedOn w:val="1"/>
    <w:autoRedefine/>
    <w:qFormat/>
    <w:uiPriority w:val="0"/>
    <w:rPr>
      <w:kern w:val="0"/>
      <w:sz w:val="24"/>
    </w:rPr>
  </w:style>
  <w:style w:type="paragraph" w:customStyle="1" w:styleId="504">
    <w:name w:val="n"/>
    <w:basedOn w:val="1"/>
    <w:autoRedefine/>
    <w:qFormat/>
    <w:uiPriority w:val="0"/>
    <w:pPr>
      <w:autoSpaceDE w:val="0"/>
      <w:autoSpaceDN w:val="0"/>
      <w:adjustRightInd w:val="0"/>
      <w:spacing w:line="400" w:lineRule="atLeast"/>
      <w:textAlignment w:val="baseline"/>
    </w:pPr>
    <w:rPr>
      <w:rFonts w:ascii="宋体"/>
      <w:kern w:val="0"/>
      <w:sz w:val="24"/>
    </w:rPr>
  </w:style>
  <w:style w:type="paragraph" w:customStyle="1" w:styleId="505">
    <w:name w:val="列表编号1"/>
    <w:basedOn w:val="506"/>
    <w:autoRedefine/>
    <w:qFormat/>
    <w:uiPriority w:val="0"/>
    <w:pPr>
      <w:tabs>
        <w:tab w:val="left" w:pos="420"/>
        <w:tab w:val="left" w:pos="720"/>
      </w:tabs>
      <w:ind w:left="720" w:hanging="360"/>
      <w:jc w:val="left"/>
    </w:pPr>
  </w:style>
  <w:style w:type="paragraph" w:customStyle="1" w:styleId="506">
    <w:name w:val="无缩进正文"/>
    <w:basedOn w:val="1"/>
    <w:next w:val="1"/>
    <w:autoRedefine/>
    <w:qFormat/>
    <w:uiPriority w:val="0"/>
    <w:pPr>
      <w:spacing w:before="156" w:beforeLines="50" w:after="156" w:afterLines="50"/>
    </w:pPr>
    <w:rPr>
      <w:rFonts w:ascii="Arial" w:hAnsi="Arial"/>
      <w:sz w:val="24"/>
      <w:szCs w:val="24"/>
    </w:rPr>
  </w:style>
  <w:style w:type="paragraph" w:customStyle="1" w:styleId="507">
    <w:name w:val="1）编号"/>
    <w:autoRedefine/>
    <w:qFormat/>
    <w:uiPriority w:val="0"/>
    <w:pPr>
      <w:tabs>
        <w:tab w:val="left" w:pos="902"/>
      </w:tabs>
      <w:spacing w:line="360" w:lineRule="auto"/>
      <w:ind w:left="420" w:hanging="420"/>
    </w:pPr>
    <w:rPr>
      <w:rFonts w:ascii="宋体" w:hAnsi="宋体" w:eastAsia="宋体" w:cs="宋体"/>
      <w:sz w:val="24"/>
      <w:lang w:val="en-US" w:eastAsia="zh-CN" w:bidi="ar-SA"/>
    </w:rPr>
  </w:style>
  <w:style w:type="paragraph" w:customStyle="1" w:styleId="508">
    <w:name w:val="Char Char1 Char Char1 Char Char1 Char Char Char"/>
    <w:basedOn w:val="1"/>
    <w:autoRedefine/>
    <w:qFormat/>
    <w:uiPriority w:val="0"/>
    <w:rPr>
      <w:sz w:val="24"/>
      <w:szCs w:val="24"/>
    </w:rPr>
  </w:style>
  <w:style w:type="paragraph" w:customStyle="1" w:styleId="509">
    <w:name w:val="样式 首行缩进:  2 字符"/>
    <w:basedOn w:val="1"/>
    <w:autoRedefine/>
    <w:qFormat/>
    <w:uiPriority w:val="0"/>
    <w:pPr>
      <w:spacing w:line="400" w:lineRule="exact"/>
      <w:ind w:firstLine="200" w:firstLineChars="200"/>
    </w:pPr>
    <w:rPr>
      <w:rFonts w:cs="宋体"/>
      <w:sz w:val="24"/>
      <w:szCs w:val="24"/>
    </w:rPr>
  </w:style>
  <w:style w:type="paragraph" w:customStyle="1" w:styleId="510">
    <w:name w:val="Char"/>
    <w:basedOn w:val="1"/>
    <w:autoRedefine/>
    <w:qFormat/>
    <w:uiPriority w:val="0"/>
    <w:pPr>
      <w:tabs>
        <w:tab w:val="left" w:pos="360"/>
      </w:tabs>
      <w:spacing w:line="360" w:lineRule="auto"/>
      <w:ind w:left="482" w:firstLine="200" w:firstLineChars="200"/>
    </w:pPr>
    <w:rPr>
      <w:rFonts w:ascii="宋体"/>
      <w:sz w:val="24"/>
      <w:szCs w:val="24"/>
    </w:rPr>
  </w:style>
  <w:style w:type="paragraph" w:customStyle="1" w:styleId="511">
    <w:name w:val="小四 段落 宋体 Char Char"/>
    <w:basedOn w:val="1"/>
    <w:autoRedefine/>
    <w:qFormat/>
    <w:uiPriority w:val="0"/>
    <w:pPr>
      <w:spacing w:line="360" w:lineRule="auto"/>
      <w:ind w:firstLine="480" w:firstLineChars="200"/>
    </w:pPr>
    <w:rPr>
      <w:rFonts w:ascii="宋体" w:hAnsi="宋体"/>
      <w:sz w:val="24"/>
      <w:szCs w:val="24"/>
    </w:rPr>
  </w:style>
  <w:style w:type="paragraph" w:customStyle="1" w:styleId="512">
    <w:name w:val="正文21"/>
    <w:basedOn w:val="1"/>
    <w:autoRedefine/>
    <w:qFormat/>
    <w:uiPriority w:val="0"/>
    <w:pPr>
      <w:tabs>
        <w:tab w:val="left" w:pos="0"/>
        <w:tab w:val="left" w:pos="480"/>
      </w:tabs>
      <w:autoSpaceDE w:val="0"/>
      <w:autoSpaceDN w:val="0"/>
      <w:spacing w:line="300" w:lineRule="exact"/>
      <w:ind w:left="-23" w:leftChars="-432" w:right="-335" w:hanging="884" w:hangingChars="402"/>
    </w:pPr>
    <w:rPr>
      <w:rFonts w:ascii="仿宋_GB2312" w:hAnsi="宋体" w:eastAsia="仿宋_GB2312"/>
      <w:spacing w:val="5"/>
      <w:szCs w:val="24"/>
    </w:rPr>
  </w:style>
  <w:style w:type="paragraph" w:customStyle="1" w:styleId="513">
    <w:name w:val="样式 列表接续 3title new 3 + 左侧:  0 厘米"/>
    <w:basedOn w:val="53"/>
    <w:autoRedefine/>
    <w:qFormat/>
    <w:uiPriority w:val="0"/>
    <w:rPr>
      <w:rFonts w:cs="宋体"/>
      <w:bCs/>
    </w:rPr>
  </w:style>
  <w:style w:type="paragraph" w:customStyle="1" w:styleId="514">
    <w:name w:val="正文1级"/>
    <w:autoRedefine/>
    <w:qFormat/>
    <w:uiPriority w:val="0"/>
    <w:pPr>
      <w:widowControl w:val="0"/>
      <w:tabs>
        <w:tab w:val="left" w:pos="420"/>
        <w:tab w:val="left" w:pos="1440"/>
      </w:tabs>
      <w:spacing w:after="60" w:line="400" w:lineRule="exact"/>
      <w:ind w:left="1440" w:hanging="360"/>
      <w:jc w:val="both"/>
    </w:pPr>
    <w:rPr>
      <w:rFonts w:ascii="Times New Roman" w:hAnsi="Times New Roman" w:eastAsia="宋体" w:cs="Times New Roman"/>
      <w:bCs/>
      <w:kern w:val="44"/>
      <w:sz w:val="24"/>
      <w:szCs w:val="44"/>
      <w:lang w:val="en-US" w:eastAsia="zh-CN" w:bidi="ar-SA"/>
    </w:rPr>
  </w:style>
  <w:style w:type="paragraph" w:customStyle="1" w:styleId="515">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516">
    <w:name w:val="插图题注"/>
    <w:next w:val="1"/>
    <w:autoRedefine/>
    <w:qFormat/>
    <w:uiPriority w:val="0"/>
    <w:pPr>
      <w:tabs>
        <w:tab w:val="left" w:pos="1555"/>
      </w:tabs>
      <w:spacing w:after="312" w:afterLines="100"/>
      <w:ind w:left="1555" w:hanging="420"/>
      <w:jc w:val="center"/>
    </w:pPr>
    <w:rPr>
      <w:rFonts w:ascii="Arial" w:hAnsi="Arial" w:eastAsia="宋体" w:cs="Times New Roman"/>
      <w:sz w:val="18"/>
      <w:szCs w:val="18"/>
      <w:lang w:val="en-US" w:eastAsia="zh-CN" w:bidi="ar-SA"/>
    </w:rPr>
  </w:style>
  <w:style w:type="paragraph" w:customStyle="1" w:styleId="517">
    <w:name w:val="正文缩进1"/>
    <w:basedOn w:val="1"/>
    <w:next w:val="1"/>
    <w:autoRedefine/>
    <w:qFormat/>
    <w:uiPriority w:val="0"/>
    <w:pPr>
      <w:widowControl/>
      <w:ind w:firstLine="420"/>
    </w:pPr>
    <w:rPr>
      <w:color w:val="000000"/>
    </w:rPr>
  </w:style>
  <w:style w:type="paragraph" w:customStyle="1" w:styleId="518">
    <w:name w:val="实施日期"/>
    <w:basedOn w:val="1"/>
    <w:autoRedefine/>
    <w:qFormat/>
    <w:uiPriority w:val="0"/>
    <w:pPr>
      <w:widowControl/>
      <w:jc w:val="right"/>
    </w:pPr>
    <w:rPr>
      <w:rFonts w:eastAsia="黑体"/>
      <w:kern w:val="0"/>
      <w:sz w:val="28"/>
    </w:rPr>
  </w:style>
  <w:style w:type="paragraph" w:customStyle="1" w:styleId="519">
    <w:name w:val="需求正文"/>
    <w:basedOn w:val="1"/>
    <w:autoRedefine/>
    <w:qFormat/>
    <w:uiPriority w:val="0"/>
    <w:pPr>
      <w:spacing w:line="360" w:lineRule="auto"/>
    </w:pPr>
    <w:rPr>
      <w:rFonts w:ascii="宋体" w:hAnsi="宋体"/>
      <w:kern w:val="0"/>
      <w:sz w:val="24"/>
      <w:szCs w:val="24"/>
    </w:rPr>
  </w:style>
  <w:style w:type="paragraph" w:customStyle="1" w:styleId="520">
    <w:name w:val="样式 样式 正文new + 首行缩进:  2 字符 + 加粗"/>
    <w:basedOn w:val="521"/>
    <w:autoRedefine/>
    <w:qFormat/>
    <w:uiPriority w:val="0"/>
    <w:pPr>
      <w:tabs>
        <w:tab w:val="left" w:pos="-360"/>
        <w:tab w:val="left" w:pos="900"/>
      </w:tabs>
      <w:ind w:firstLine="200"/>
    </w:pPr>
    <w:rPr>
      <w:b/>
      <w:bCs/>
    </w:rPr>
  </w:style>
  <w:style w:type="paragraph" w:customStyle="1" w:styleId="521">
    <w:name w:val="样式 正文new + 首行缩进:  2 字符"/>
    <w:basedOn w:val="522"/>
    <w:autoRedefine/>
    <w:qFormat/>
    <w:uiPriority w:val="0"/>
    <w:pPr>
      <w:widowControl w:val="0"/>
      <w:tabs>
        <w:tab w:val="left" w:pos="-360"/>
        <w:tab w:val="left" w:pos="900"/>
      </w:tabs>
      <w:spacing w:line="500" w:lineRule="exact"/>
      <w:ind w:firstLine="420"/>
      <w:jc w:val="both"/>
    </w:pPr>
    <w:rPr>
      <w:rFonts w:cs="宋体"/>
      <w:color w:val="000000"/>
      <w:kern w:val="2"/>
      <w:sz w:val="21"/>
      <w:szCs w:val="20"/>
    </w:rPr>
  </w:style>
  <w:style w:type="paragraph" w:customStyle="1" w:styleId="522">
    <w:name w:val="正文new"/>
    <w:basedOn w:val="1"/>
    <w:autoRedefine/>
    <w:qFormat/>
    <w:uiPriority w:val="0"/>
    <w:pPr>
      <w:widowControl/>
      <w:tabs>
        <w:tab w:val="left" w:pos="-360"/>
        <w:tab w:val="left" w:pos="900"/>
      </w:tabs>
      <w:spacing w:line="360" w:lineRule="auto"/>
      <w:ind w:firstLine="200" w:firstLineChars="200"/>
      <w:jc w:val="left"/>
    </w:pPr>
    <w:rPr>
      <w:rFonts w:ascii="宋体" w:hAnsi="宋体"/>
      <w:kern w:val="0"/>
      <w:sz w:val="24"/>
      <w:szCs w:val="24"/>
    </w:rPr>
  </w:style>
  <w:style w:type="paragraph" w:customStyle="1" w:styleId="523">
    <w:name w:val="xl23"/>
    <w:basedOn w:val="1"/>
    <w:autoRedefine/>
    <w:qFormat/>
    <w:uiPriority w:val="0"/>
    <w:pPr>
      <w:widowControl/>
      <w:spacing w:before="100" w:beforeAutospacing="1" w:after="100" w:afterAutospacing="1"/>
    </w:pPr>
    <w:rPr>
      <w:rFonts w:ascii="Arial Unicode MS" w:hAnsi="Arial Unicode MS"/>
      <w:kern w:val="0"/>
      <w:szCs w:val="21"/>
    </w:rPr>
  </w:style>
  <w:style w:type="paragraph" w:customStyle="1" w:styleId="524">
    <w:name w:val="font10"/>
    <w:basedOn w:val="1"/>
    <w:autoRedefine/>
    <w:qFormat/>
    <w:uiPriority w:val="0"/>
    <w:pPr>
      <w:widowControl/>
      <w:spacing w:before="100" w:beforeAutospacing="1" w:after="100" w:afterAutospacing="1"/>
      <w:jc w:val="left"/>
    </w:pPr>
    <w:rPr>
      <w:rFonts w:hint="eastAsia" w:ascii="宋体" w:hAnsi="宋体"/>
      <w:kern w:val="0"/>
      <w:sz w:val="20"/>
    </w:rPr>
  </w:style>
  <w:style w:type="paragraph" w:customStyle="1" w:styleId="525">
    <w:name w:val="封面标题"/>
    <w:basedOn w:val="1"/>
    <w:autoRedefine/>
    <w:qFormat/>
    <w:uiPriority w:val="0"/>
    <w:pPr>
      <w:spacing w:line="360" w:lineRule="auto"/>
      <w:jc w:val="center"/>
    </w:pPr>
    <w:rPr>
      <w:rFonts w:eastAsia="黑体"/>
      <w:sz w:val="48"/>
    </w:rPr>
  </w:style>
  <w:style w:type="paragraph" w:customStyle="1" w:styleId="526">
    <w:name w:val="Char Char6"/>
    <w:basedOn w:val="1"/>
    <w:autoRedefine/>
    <w:qFormat/>
    <w:uiPriority w:val="0"/>
  </w:style>
  <w:style w:type="paragraph" w:customStyle="1" w:styleId="527">
    <w:name w:val="圆点列表1（Alt+A）"/>
    <w:basedOn w:val="1"/>
    <w:autoRedefine/>
    <w:qFormat/>
    <w:uiPriority w:val="0"/>
    <w:pPr>
      <w:tabs>
        <w:tab w:val="left" w:pos="720"/>
      </w:tabs>
      <w:spacing w:line="360" w:lineRule="auto"/>
      <w:ind w:left="720" w:hanging="360"/>
    </w:pPr>
    <w:rPr>
      <w:rFonts w:ascii="宋体"/>
      <w:sz w:val="24"/>
    </w:rPr>
  </w:style>
  <w:style w:type="paragraph" w:customStyle="1" w:styleId="528">
    <w:name w:val="文档编号"/>
    <w:basedOn w:val="1"/>
    <w:next w:val="1"/>
    <w:autoRedefine/>
    <w:qFormat/>
    <w:uiPriority w:val="0"/>
    <w:pPr>
      <w:adjustRightInd w:val="0"/>
      <w:spacing w:line="360" w:lineRule="auto"/>
      <w:jc w:val="center"/>
      <w:textAlignment w:val="baseline"/>
    </w:pPr>
    <w:rPr>
      <w:rFonts w:ascii="宋体"/>
      <w:kern w:val="0"/>
    </w:rPr>
  </w:style>
  <w:style w:type="paragraph" w:customStyle="1" w:styleId="52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rPr>
  </w:style>
  <w:style w:type="paragraph" w:customStyle="1" w:styleId="530">
    <w:name w:val="特点"/>
    <w:basedOn w:val="1"/>
    <w:next w:val="2"/>
    <w:autoRedefine/>
    <w:qFormat/>
    <w:uiPriority w:val="0"/>
    <w:pPr>
      <w:widowControl/>
      <w:spacing w:line="360" w:lineRule="auto"/>
      <w:ind w:firstLine="200" w:firstLineChars="200"/>
      <w:jc w:val="left"/>
    </w:pPr>
    <w:rPr>
      <w:kern w:val="0"/>
      <w:sz w:val="24"/>
    </w:rPr>
  </w:style>
  <w:style w:type="paragraph" w:customStyle="1" w:styleId="531">
    <w:name w:val="样式 样式 列表接续 3title new 3 + 小三 + 小三"/>
    <w:basedOn w:val="532"/>
    <w:autoRedefine/>
    <w:qFormat/>
    <w:uiPriority w:val="0"/>
    <w:pPr>
      <w:tabs>
        <w:tab w:val="left" w:pos="72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532">
    <w:name w:val="样式 列表接续 3title new 3 + 小三"/>
    <w:basedOn w:val="53"/>
    <w:autoRedefine/>
    <w:qFormat/>
    <w:uiPriority w:val="0"/>
    <w:rPr>
      <w:bCs/>
    </w:rPr>
  </w:style>
  <w:style w:type="paragraph" w:customStyle="1" w:styleId="533">
    <w:name w:val="Style Heading 4H4Ref Heading 1rh1Heading sqlsect 1.2.3.4bulle...1"/>
    <w:basedOn w:val="6"/>
    <w:autoRedefine/>
    <w:qFormat/>
    <w:uiPriority w:val="0"/>
    <w:pPr>
      <w:tabs>
        <w:tab w:val="left" w:pos="1134"/>
      </w:tabs>
      <w:adjustRightInd/>
      <w:spacing w:before="100" w:after="100" w:line="374" w:lineRule="auto"/>
      <w:ind w:left="864" w:hanging="864"/>
      <w:textAlignment w:val="auto"/>
    </w:pPr>
    <w:rPr>
      <w:rFonts w:ascii="宋体" w:hAnsi="宋体" w:eastAsia="宋体" w:cs="宋体"/>
      <w:bCs/>
      <w:kern w:val="2"/>
      <w:sz w:val="24"/>
    </w:rPr>
  </w:style>
  <w:style w:type="paragraph" w:customStyle="1" w:styleId="534">
    <w:name w:val="Char Char Char Char Char Char1 Char Char Char Char"/>
    <w:basedOn w:val="17"/>
    <w:autoRedefine/>
    <w:qFormat/>
    <w:uiPriority w:val="0"/>
    <w:pPr>
      <w:shd w:val="clear" w:color="auto" w:fill="000080"/>
    </w:pPr>
    <w:rPr>
      <w:rFonts w:ascii="Times New Roman"/>
      <w:sz w:val="21"/>
      <w:szCs w:val="24"/>
      <w:shd w:val="clear" w:color="auto" w:fill="000080"/>
    </w:rPr>
  </w:style>
  <w:style w:type="paragraph" w:customStyle="1" w:styleId="535">
    <w:name w:val="样式 标题 5Alt+5dashdsddH5h5Block LabelPIM 5 + 小四"/>
    <w:basedOn w:val="7"/>
    <w:autoRedefine/>
    <w:qFormat/>
    <w:uiPriority w:val="0"/>
    <w:pPr>
      <w:tabs>
        <w:tab w:val="left" w:pos="1368"/>
      </w:tabs>
      <w:adjustRightInd/>
      <w:spacing w:before="120" w:after="120" w:line="360" w:lineRule="auto"/>
      <w:ind w:left="1368" w:hanging="1008"/>
      <w:jc w:val="left"/>
      <w:textAlignment w:val="auto"/>
    </w:pPr>
    <w:rPr>
      <w:rFonts w:ascii="宋体"/>
      <w:b w:val="0"/>
      <w:bCs/>
      <w:kern w:val="2"/>
      <w:sz w:val="24"/>
      <w:szCs w:val="24"/>
    </w:rPr>
  </w:style>
  <w:style w:type="paragraph" w:customStyle="1" w:styleId="536">
    <w:name w:val="_Style 2"/>
    <w:basedOn w:val="1"/>
    <w:autoRedefine/>
    <w:qFormat/>
    <w:uiPriority w:val="0"/>
    <w:pPr>
      <w:spacing w:after="160" w:line="259" w:lineRule="auto"/>
      <w:ind w:firstLine="420" w:firstLineChars="200"/>
    </w:pPr>
    <w:rPr>
      <w:rFonts w:ascii="Calibri" w:hAnsi="Calibri"/>
      <w:sz w:val="18"/>
      <w:szCs w:val="18"/>
    </w:rPr>
  </w:style>
  <w:style w:type="paragraph" w:customStyle="1" w:styleId="537">
    <w:name w:val="标准标题一"/>
    <w:basedOn w:val="1"/>
    <w:autoRedefine/>
    <w:qFormat/>
    <w:uiPriority w:val="0"/>
    <w:pPr>
      <w:tabs>
        <w:tab w:val="left" w:pos="425"/>
        <w:tab w:val="left" w:pos="720"/>
      </w:tabs>
      <w:spacing w:line="480" w:lineRule="atLeast"/>
      <w:ind w:left="720" w:hanging="360"/>
    </w:pPr>
    <w:rPr>
      <w:rFonts w:eastAsia="黑体"/>
      <w:b/>
      <w:sz w:val="32"/>
    </w:rPr>
  </w:style>
  <w:style w:type="paragraph" w:customStyle="1" w:styleId="538">
    <w:name w:val="样式6"/>
    <w:basedOn w:val="23"/>
    <w:autoRedefine/>
    <w:qFormat/>
    <w:uiPriority w:val="0"/>
    <w:pPr>
      <w:spacing w:after="0" w:line="360" w:lineRule="auto"/>
      <w:ind w:firstLine="200" w:firstLineChars="200"/>
    </w:pPr>
    <w:rPr>
      <w:rFonts w:ascii="Arial" w:hAnsi="Arial" w:cs="Arial"/>
      <w:sz w:val="24"/>
      <w:szCs w:val="24"/>
    </w:rPr>
  </w:style>
  <w:style w:type="paragraph" w:customStyle="1" w:styleId="539">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40">
    <w:name w:val="样式4"/>
    <w:basedOn w:val="538"/>
    <w:autoRedefine/>
    <w:qFormat/>
    <w:uiPriority w:val="0"/>
    <w:rPr>
      <w:rFonts w:ascii="Times New Roman" w:hAnsi="Times New Roman"/>
      <w:kern w:val="0"/>
    </w:rPr>
  </w:style>
  <w:style w:type="paragraph" w:customStyle="1" w:styleId="541">
    <w:name w:val="p0"/>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542">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rPr>
  </w:style>
  <w:style w:type="paragraph" w:customStyle="1" w:styleId="543">
    <w:name w:val="封面表格"/>
    <w:autoRedefine/>
    <w:qFormat/>
    <w:uiPriority w:val="0"/>
    <w:pPr>
      <w:spacing w:line="480" w:lineRule="auto"/>
      <w:jc w:val="center"/>
    </w:pPr>
    <w:rPr>
      <w:rFonts w:ascii="Times New Roman" w:hAnsi="Times New Roman" w:eastAsia="宋体" w:cs="Times New Roman"/>
      <w:sz w:val="28"/>
      <w:lang w:val="en-US" w:eastAsia="zh-CN" w:bidi="ar-SA"/>
    </w:rPr>
  </w:style>
  <w:style w:type="paragraph" w:customStyle="1" w:styleId="544">
    <w:name w:val="09正文_wh"/>
    <w:autoRedefine/>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545">
    <w:name w:val="t4"/>
    <w:basedOn w:val="6"/>
    <w:next w:val="23"/>
    <w:autoRedefine/>
    <w:qFormat/>
    <w:uiPriority w:val="0"/>
    <w:pPr>
      <w:tabs>
        <w:tab w:val="left" w:pos="2134"/>
      </w:tabs>
      <w:adjustRightInd/>
      <w:spacing w:before="156" w:beforeLines="50" w:after="0" w:line="360" w:lineRule="auto"/>
      <w:ind w:left="851" w:hanging="851"/>
      <w:textAlignment w:val="auto"/>
    </w:pPr>
    <w:rPr>
      <w:rFonts w:ascii="Times New Roman" w:hAnsi="宋体" w:eastAsia="宋体"/>
      <w:bCs/>
      <w:kern w:val="2"/>
      <w:sz w:val="24"/>
      <w:szCs w:val="24"/>
    </w:rPr>
  </w:style>
  <w:style w:type="paragraph" w:customStyle="1" w:styleId="546">
    <w:name w:val="默认段落字体 Para Char Char Char Char Char Char Char Char Char Char"/>
    <w:basedOn w:val="1"/>
    <w:autoRedefine/>
    <w:qFormat/>
    <w:uiPriority w:val="0"/>
    <w:rPr>
      <w:szCs w:val="24"/>
    </w:rPr>
  </w:style>
  <w:style w:type="paragraph" w:customStyle="1" w:styleId="547">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548">
    <w:name w:val="Char Char Char Char Char Char1 Char Char Char Char1"/>
    <w:basedOn w:val="17"/>
    <w:autoRedefine/>
    <w:qFormat/>
    <w:uiPriority w:val="0"/>
    <w:pPr>
      <w:shd w:val="clear" w:color="auto" w:fill="000080"/>
    </w:pPr>
    <w:rPr>
      <w:rFonts w:ascii="Times New Roman"/>
      <w:sz w:val="21"/>
      <w:szCs w:val="24"/>
      <w:shd w:val="clear" w:color="auto" w:fill="000080"/>
    </w:rPr>
  </w:style>
  <w:style w:type="paragraph" w:customStyle="1" w:styleId="549">
    <w:name w:val="标题3"/>
    <w:basedOn w:val="5"/>
    <w:autoRedefine/>
    <w:qFormat/>
    <w:uiPriority w:val="0"/>
    <w:rPr>
      <w:rFonts w:ascii="宋体" w:hAnsi="宋体"/>
      <w:sz w:val="28"/>
      <w:szCs w:val="28"/>
    </w:rPr>
  </w:style>
  <w:style w:type="paragraph" w:customStyle="1" w:styleId="550">
    <w:name w:val="样式 标题 4 + 左侧:  0 厘米 首行缩进:  0 厘米 行距: 1.5 倍行距"/>
    <w:basedOn w:val="6"/>
    <w:autoRedefine/>
    <w:qFormat/>
    <w:uiPriority w:val="0"/>
    <w:pPr>
      <w:tabs>
        <w:tab w:val="left" w:pos="720"/>
      </w:tabs>
      <w:adjustRightInd/>
      <w:spacing w:line="374" w:lineRule="auto"/>
      <w:ind w:left="720" w:hanging="720"/>
      <w:textAlignment w:val="auto"/>
      <w:outlineLvl w:val="2"/>
    </w:pPr>
    <w:rPr>
      <w:rFonts w:ascii="宋体" w:hAnsi="宋体" w:eastAsia="宋体" w:cs="宋体"/>
      <w:sz w:val="30"/>
    </w:rPr>
  </w:style>
  <w:style w:type="paragraph" w:customStyle="1" w:styleId="551">
    <w:name w:val="Char Char Char Char Char Char Char1"/>
    <w:basedOn w:val="1"/>
    <w:autoRedefine/>
    <w:qFormat/>
    <w:uiPriority w:val="0"/>
  </w:style>
  <w:style w:type="paragraph" w:customStyle="1" w:styleId="552">
    <w:name w:val="Char4"/>
    <w:next w:val="1"/>
    <w:autoRedefine/>
    <w:qFormat/>
    <w:uiPriority w:val="0"/>
    <w:pPr>
      <w:keepNext/>
      <w:keepLines/>
      <w:tabs>
        <w:tab w:val="left" w:pos="3360"/>
      </w:tabs>
      <w:spacing w:before="240" w:after="240"/>
      <w:ind w:left="3360" w:hanging="420"/>
      <w:outlineLvl w:val="7"/>
    </w:pPr>
    <w:rPr>
      <w:rFonts w:ascii="Arial" w:hAnsi="Arial" w:eastAsia="黑体" w:cs="Arial"/>
      <w:snapToGrid w:val="0"/>
      <w:sz w:val="21"/>
      <w:szCs w:val="21"/>
      <w:lang w:val="en-US" w:eastAsia="zh-CN" w:bidi="ar-SA"/>
    </w:rPr>
  </w:style>
  <w:style w:type="paragraph" w:customStyle="1" w:styleId="553">
    <w:name w:val="No Spacing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54">
    <w:name w:val="表头"/>
    <w:basedOn w:val="1"/>
    <w:autoRedefine/>
    <w:qFormat/>
    <w:uiPriority w:val="0"/>
    <w:pPr>
      <w:keepNext/>
      <w:keepLines/>
      <w:spacing w:before="120" w:after="120"/>
      <w:jc w:val="center"/>
    </w:pPr>
    <w:rPr>
      <w:rFonts w:eastAsia="黑体"/>
      <w:kern w:val="44"/>
      <w:sz w:val="24"/>
    </w:rPr>
  </w:style>
  <w:style w:type="paragraph" w:customStyle="1" w:styleId="555">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rPr>
  </w:style>
  <w:style w:type="paragraph" w:customStyle="1" w:styleId="556">
    <w:name w:val="封面"/>
    <w:basedOn w:val="1"/>
    <w:autoRedefine/>
    <w:qFormat/>
    <w:uiPriority w:val="0"/>
    <w:pPr>
      <w:spacing w:line="360" w:lineRule="auto"/>
      <w:jc w:val="distribute"/>
    </w:pPr>
    <w:rPr>
      <w:kern w:val="28"/>
      <w:sz w:val="24"/>
    </w:rPr>
  </w:style>
  <w:style w:type="paragraph" w:customStyle="1" w:styleId="557">
    <w:name w:val="列表数字编号1"/>
    <w:basedOn w:val="506"/>
    <w:autoRedefine/>
    <w:qFormat/>
    <w:uiPriority w:val="0"/>
    <w:pPr>
      <w:tabs>
        <w:tab w:val="left" w:pos="360"/>
        <w:tab w:val="left" w:pos="850"/>
      </w:tabs>
      <w:ind w:left="360" w:hanging="360"/>
    </w:pPr>
  </w:style>
  <w:style w:type="paragraph" w:customStyle="1" w:styleId="558">
    <w:name w:val="列表（符号一级）（绿盟科技）"/>
    <w:basedOn w:val="1"/>
    <w:autoRedefine/>
    <w:qFormat/>
    <w:uiPriority w:val="0"/>
    <w:pPr>
      <w:widowControl/>
      <w:tabs>
        <w:tab w:val="left" w:pos="993"/>
      </w:tabs>
      <w:spacing w:line="300" w:lineRule="auto"/>
      <w:ind w:left="902" w:hanging="420"/>
      <w:jc w:val="left"/>
    </w:pPr>
    <w:rPr>
      <w:rFonts w:ascii="Arial" w:hAnsi="Arial" w:cs="方正小标宋简体"/>
      <w:kern w:val="0"/>
      <w:szCs w:val="21"/>
    </w:rPr>
  </w:style>
  <w:style w:type="paragraph" w:customStyle="1" w:styleId="559">
    <w:name w:val="09、“1.”表格内一级标题"/>
    <w:basedOn w:val="1"/>
    <w:autoRedefine/>
    <w:qFormat/>
    <w:uiPriority w:val="0"/>
    <w:pPr>
      <w:numPr>
        <w:ilvl w:val="0"/>
        <w:numId w:val="3"/>
      </w:numPr>
      <w:tabs>
        <w:tab w:val="left" w:pos="0"/>
      </w:tabs>
      <w:wordWrap w:val="0"/>
      <w:topLinePunct/>
      <w:spacing w:line="360" w:lineRule="exact"/>
      <w:ind w:left="48" w:leftChars="20"/>
    </w:pPr>
    <w:rPr>
      <w:rFonts w:ascii="宋体" w:hAnsi="宋体"/>
      <w:snapToGrid w:val="0"/>
    </w:rPr>
  </w:style>
  <w:style w:type="paragraph" w:customStyle="1" w:styleId="560">
    <w:name w:val="样式 标题 3第二层条第三层h3H31.1.1 标题 3l3CT3h4Heading 3 - old3rd..."/>
    <w:basedOn w:val="5"/>
    <w:autoRedefine/>
    <w:qFormat/>
    <w:uiPriority w:val="0"/>
    <w:pPr>
      <w:tabs>
        <w:tab w:val="left" w:pos="720"/>
      </w:tabs>
      <w:spacing w:before="156" w:beforeLines="50" w:after="156" w:afterLines="50" w:line="240" w:lineRule="auto"/>
      <w:ind w:left="2222" w:hanging="420"/>
      <w:jc w:val="left"/>
    </w:pPr>
    <w:rPr>
      <w:sz w:val="28"/>
    </w:rPr>
  </w:style>
  <w:style w:type="paragraph" w:customStyle="1" w:styleId="561">
    <w:name w:val="1.1.1.1 标题"/>
    <w:basedOn w:val="562"/>
    <w:autoRedefine/>
    <w:qFormat/>
    <w:uiPriority w:val="0"/>
    <w:pPr>
      <w:tabs>
        <w:tab w:val="left" w:pos="850"/>
      </w:tabs>
      <w:spacing w:before="0" w:after="0" w:line="240" w:lineRule="atLeast"/>
      <w:ind w:left="57" w:hanging="57"/>
      <w:outlineLvl w:val="3"/>
    </w:pPr>
    <w:rPr>
      <w:rFonts w:eastAsia="宋体"/>
      <w:b w:val="0"/>
      <w:sz w:val="24"/>
    </w:rPr>
  </w:style>
  <w:style w:type="paragraph" w:customStyle="1" w:styleId="562">
    <w:name w:val="1 标题"/>
    <w:basedOn w:val="3"/>
    <w:autoRedefine/>
    <w:qFormat/>
    <w:uiPriority w:val="0"/>
    <w:pPr>
      <w:tabs>
        <w:tab w:val="left" w:pos="850"/>
      </w:tabs>
      <w:spacing w:before="160" w:after="160" w:line="240" w:lineRule="auto"/>
      <w:jc w:val="left"/>
    </w:pPr>
    <w:rPr>
      <w:rFonts w:eastAsia="黑体"/>
      <w:bCs w:val="0"/>
      <w:sz w:val="28"/>
      <w:szCs w:val="20"/>
    </w:rPr>
  </w:style>
  <w:style w:type="paragraph" w:customStyle="1" w:styleId="563">
    <w:name w:val="Table Contents"/>
    <w:basedOn w:val="1"/>
    <w:autoRedefine/>
    <w:qFormat/>
    <w:uiPriority w:val="0"/>
    <w:pPr>
      <w:suppressLineNumbers/>
      <w:suppressAutoHyphens/>
      <w:jc w:val="left"/>
    </w:pPr>
    <w:rPr>
      <w:rFonts w:eastAsia="Arial Unicode MS" w:cs="Arial Unicode MS"/>
      <w:kern w:val="1"/>
      <w:sz w:val="24"/>
      <w:szCs w:val="24"/>
      <w:lang w:eastAsia="hi-IN" w:bidi="hi-IN"/>
    </w:rPr>
  </w:style>
  <w:style w:type="paragraph" w:customStyle="1" w:styleId="564">
    <w:name w:val="三级条标题"/>
    <w:basedOn w:val="565"/>
    <w:next w:val="6"/>
    <w:autoRedefine/>
    <w:qFormat/>
    <w:uiPriority w:val="0"/>
    <w:pPr>
      <w:tabs>
        <w:tab w:val="left" w:pos="1440"/>
        <w:tab w:val="left" w:pos="3600"/>
      </w:tabs>
      <w:outlineLvl w:val="4"/>
    </w:pPr>
  </w:style>
  <w:style w:type="paragraph" w:customStyle="1" w:styleId="565">
    <w:name w:val="二级条标题"/>
    <w:basedOn w:val="208"/>
    <w:next w:val="6"/>
    <w:autoRedefine/>
    <w:qFormat/>
    <w:uiPriority w:val="0"/>
    <w:pPr>
      <w:tabs>
        <w:tab w:val="left" w:pos="3600"/>
        <w:tab w:val="clear" w:pos="2880"/>
      </w:tabs>
      <w:ind w:left="3600"/>
      <w:outlineLvl w:val="3"/>
    </w:pPr>
  </w:style>
  <w:style w:type="paragraph" w:customStyle="1" w:styleId="566">
    <w:name w:val="型号"/>
    <w:basedOn w:val="1"/>
    <w:autoRedefine/>
    <w:qFormat/>
    <w:uiPriority w:val="0"/>
    <w:pPr>
      <w:spacing w:before="156" w:beforeLines="50" w:line="360" w:lineRule="auto"/>
      <w:ind w:firstLine="482" w:firstLineChars="200"/>
    </w:pPr>
    <w:rPr>
      <w:rFonts w:ascii="Arial" w:hAnsi="Arial" w:cs="Arial"/>
      <w:b/>
      <w:bCs/>
      <w:sz w:val="24"/>
    </w:rPr>
  </w:style>
  <w:style w:type="paragraph" w:customStyle="1" w:styleId="567">
    <w:name w:val="四级条标题"/>
    <w:basedOn w:val="564"/>
    <w:next w:val="6"/>
    <w:autoRedefine/>
    <w:qFormat/>
    <w:uiPriority w:val="0"/>
    <w:pPr>
      <w:tabs>
        <w:tab w:val="clear" w:pos="3600"/>
      </w:tabs>
      <w:outlineLvl w:val="5"/>
    </w:pPr>
  </w:style>
  <w:style w:type="paragraph" w:customStyle="1" w:styleId="56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rPr>
  </w:style>
  <w:style w:type="paragraph" w:customStyle="1" w:styleId="569">
    <w:name w:val="正文字缩2字"/>
    <w:basedOn w:val="1"/>
    <w:autoRedefine/>
    <w:qFormat/>
    <w:uiPriority w:val="0"/>
    <w:pPr>
      <w:adjustRightInd w:val="0"/>
      <w:spacing w:before="60" w:after="60" w:line="360" w:lineRule="auto"/>
      <w:ind w:left="200" w:leftChars="200" w:firstLine="200" w:firstLineChars="200"/>
      <w:textAlignment w:val="baseline"/>
    </w:pPr>
    <w:rPr>
      <w:sz w:val="24"/>
      <w:szCs w:val="24"/>
    </w:rPr>
  </w:style>
  <w:style w:type="paragraph" w:customStyle="1" w:styleId="570">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rPr>
  </w:style>
  <w:style w:type="paragraph" w:customStyle="1" w:styleId="571">
    <w:name w:val="Char2"/>
    <w:basedOn w:val="1"/>
    <w:autoRedefine/>
    <w:qFormat/>
    <w:uiPriority w:val="0"/>
    <w:pPr>
      <w:adjustRightInd w:val="0"/>
      <w:spacing w:line="360" w:lineRule="auto"/>
    </w:pPr>
    <w:rPr>
      <w:kern w:val="0"/>
      <w:sz w:val="24"/>
    </w:rPr>
  </w:style>
  <w:style w:type="paragraph" w:customStyle="1" w:styleId="572">
    <w:name w:val="正文3级"/>
    <w:autoRedefine/>
    <w:qFormat/>
    <w:uiPriority w:val="0"/>
    <w:pPr>
      <w:widowControl w:val="0"/>
      <w:tabs>
        <w:tab w:val="left" w:pos="0"/>
        <w:tab w:val="left" w:pos="4320"/>
      </w:tabs>
      <w:spacing w:after="60" w:line="400" w:lineRule="exact"/>
      <w:ind w:left="4320" w:hanging="360"/>
      <w:jc w:val="both"/>
    </w:pPr>
    <w:rPr>
      <w:rFonts w:ascii="Times New Roman" w:hAnsi="Times New Roman" w:eastAsia="宋体" w:cs="Times New Roman"/>
      <w:bCs/>
      <w:kern w:val="44"/>
      <w:sz w:val="24"/>
      <w:szCs w:val="44"/>
      <w:lang w:val="en-US" w:eastAsia="zh-CN" w:bidi="ar-SA"/>
    </w:rPr>
  </w:style>
  <w:style w:type="paragraph" w:customStyle="1" w:styleId="57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rPr>
  </w:style>
  <w:style w:type="paragraph" w:customStyle="1" w:styleId="574">
    <w:name w:val="样式 宋体"/>
    <w:basedOn w:val="1"/>
    <w:next w:val="34"/>
    <w:autoRedefine/>
    <w:qFormat/>
    <w:uiPriority w:val="0"/>
    <w:pPr>
      <w:spacing w:line="500" w:lineRule="exact"/>
      <w:ind w:firstLine="200" w:firstLineChars="200"/>
    </w:pPr>
    <w:rPr>
      <w:rFonts w:ascii="宋体" w:hAnsi="宋体"/>
      <w:bCs/>
      <w:spacing w:val="24"/>
      <w:szCs w:val="28"/>
    </w:rPr>
  </w:style>
  <w:style w:type="paragraph" w:customStyle="1" w:styleId="575">
    <w:name w:val="表格内容"/>
    <w:basedOn w:val="1"/>
    <w:autoRedefine/>
    <w:qFormat/>
    <w:uiPriority w:val="0"/>
    <w:pPr>
      <w:ind w:right="193"/>
    </w:pPr>
    <w:rPr>
      <w:rFonts w:ascii="幼圆" w:eastAsia="幼圆"/>
      <w:color w:val="008080"/>
    </w:rPr>
  </w:style>
  <w:style w:type="paragraph" w:customStyle="1" w:styleId="576">
    <w:name w:val="font11"/>
    <w:basedOn w:val="1"/>
    <w:autoRedefine/>
    <w:qFormat/>
    <w:uiPriority w:val="0"/>
    <w:pPr>
      <w:widowControl/>
      <w:spacing w:before="100" w:beforeAutospacing="1" w:after="100" w:afterAutospacing="1"/>
      <w:jc w:val="left"/>
    </w:pPr>
    <w:rPr>
      <w:color w:val="000000"/>
      <w:kern w:val="0"/>
      <w:sz w:val="18"/>
      <w:szCs w:val="18"/>
    </w:rPr>
  </w:style>
  <w:style w:type="paragraph" w:customStyle="1" w:styleId="577">
    <w:name w:val="Table Text: USseed"/>
    <w:basedOn w:val="119"/>
    <w:autoRedefine/>
    <w:qFormat/>
    <w:uiPriority w:val="0"/>
    <w:pPr>
      <w:keepLines/>
      <w:spacing w:before="0" w:after="0"/>
    </w:pPr>
    <w:rPr>
      <w:rFonts w:ascii="Book Antiqua" w:hAnsi="Book Antiqua"/>
      <w:color w:val="FF0000"/>
      <w:sz w:val="16"/>
      <w:szCs w:val="20"/>
      <w:lang w:eastAsia="en-US"/>
    </w:rPr>
  </w:style>
  <w:style w:type="paragraph" w:customStyle="1" w:styleId="578">
    <w:name w:val="列项"/>
    <w:basedOn w:val="1"/>
    <w:autoRedefine/>
    <w:qFormat/>
    <w:uiPriority w:val="0"/>
    <w:pPr>
      <w:tabs>
        <w:tab w:val="left" w:pos="709"/>
      </w:tabs>
      <w:adjustRightInd w:val="0"/>
      <w:ind w:left="720" w:hanging="360"/>
    </w:pPr>
  </w:style>
  <w:style w:type="paragraph" w:customStyle="1" w:styleId="579">
    <w:name w:val="Char Char Char Char Char Char1 Char1"/>
    <w:basedOn w:val="17"/>
    <w:autoRedefine/>
    <w:qFormat/>
    <w:uiPriority w:val="0"/>
    <w:pPr>
      <w:shd w:val="clear" w:color="auto" w:fill="000080"/>
    </w:pPr>
    <w:rPr>
      <w:rFonts w:ascii="Tahoma" w:hAnsi="Tahoma"/>
      <w:sz w:val="24"/>
      <w:szCs w:val="24"/>
    </w:rPr>
  </w:style>
  <w:style w:type="paragraph" w:customStyle="1" w:styleId="580">
    <w:name w:val="公文正文"/>
    <w:basedOn w:val="1"/>
    <w:autoRedefine/>
    <w:qFormat/>
    <w:uiPriority w:val="0"/>
    <w:pPr>
      <w:spacing w:line="520" w:lineRule="exact"/>
      <w:ind w:firstLine="200" w:firstLineChars="200"/>
    </w:pPr>
    <w:rPr>
      <w:rFonts w:ascii="宋体" w:hAnsi="宋体"/>
      <w:sz w:val="32"/>
      <w:szCs w:val="30"/>
    </w:rPr>
  </w:style>
  <w:style w:type="paragraph" w:customStyle="1" w:styleId="581">
    <w:name w:val="默认"/>
    <w:autoRedefine/>
    <w:qFormat/>
    <w:uiPriority w:val="0"/>
    <w:rPr>
      <w:rFonts w:hint="eastAsia" w:ascii="Arial Unicode MS" w:hAnsi="Arial Unicode MS" w:eastAsia="Helvetica" w:cs="Arial Unicode MS"/>
      <w:color w:val="000000"/>
      <w:sz w:val="22"/>
      <w:szCs w:val="22"/>
      <w:lang w:val="zh-CN" w:eastAsia="zh-CN" w:bidi="ar-SA"/>
    </w:rPr>
  </w:style>
  <w:style w:type="paragraph" w:customStyle="1" w:styleId="582">
    <w:name w:val="正文缩减"/>
    <w:basedOn w:val="1"/>
    <w:autoRedefine/>
    <w:qFormat/>
    <w:uiPriority w:val="0"/>
    <w:pPr>
      <w:spacing w:line="300" w:lineRule="auto"/>
      <w:ind w:firstLine="420" w:firstLineChars="200"/>
    </w:pPr>
    <w:rPr>
      <w:szCs w:val="24"/>
    </w:rPr>
  </w:style>
  <w:style w:type="paragraph" w:customStyle="1" w:styleId="583">
    <w:name w:val="xl55"/>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Cs w:val="21"/>
    </w:rPr>
  </w:style>
  <w:style w:type="paragraph" w:customStyle="1" w:styleId="584">
    <w:name w:val="标题6"/>
    <w:basedOn w:val="8"/>
    <w:autoRedefine/>
    <w:qFormat/>
    <w:uiPriority w:val="0"/>
    <w:pPr>
      <w:tabs>
        <w:tab w:val="right" w:leader="dot" w:pos="9061"/>
      </w:tabs>
      <w:adjustRightInd/>
      <w:spacing w:line="319" w:lineRule="auto"/>
      <w:jc w:val="center"/>
      <w:textAlignment w:val="auto"/>
    </w:pPr>
    <w:rPr>
      <w:rFonts w:ascii="宋体" w:eastAsia="宋体"/>
      <w:kern w:val="2"/>
      <w:sz w:val="21"/>
    </w:rPr>
  </w:style>
  <w:style w:type="paragraph" w:customStyle="1" w:styleId="585">
    <w:name w:val="正1"/>
    <w:basedOn w:val="1"/>
    <w:autoRedefine/>
    <w:qFormat/>
    <w:uiPriority w:val="0"/>
    <w:pPr>
      <w:spacing w:line="360" w:lineRule="auto"/>
      <w:ind w:firstLine="104" w:firstLineChars="43"/>
    </w:pPr>
    <w:rPr>
      <w:rFonts w:ascii="宋体" w:hAnsi="宋体"/>
      <w:sz w:val="24"/>
      <w:szCs w:val="24"/>
    </w:rPr>
  </w:style>
  <w:style w:type="paragraph" w:customStyle="1" w:styleId="586">
    <w:name w:val="说明"/>
    <w:autoRedefine/>
    <w:qFormat/>
    <w:uiPriority w:val="0"/>
    <w:pPr>
      <w:tabs>
        <w:tab w:val="left" w:pos="1150"/>
      </w:tabs>
    </w:pPr>
    <w:rPr>
      <w:rFonts w:ascii="Helvetica" w:hAnsi="Helvetica" w:eastAsia="Arial Unicode MS" w:cs="Arial Unicode MS"/>
      <w:b/>
      <w:bCs/>
      <w:caps/>
      <w:color w:val="000000"/>
      <w:lang w:val="zh-TW" w:eastAsia="zh-TW" w:bidi="ar-SA"/>
    </w:rPr>
  </w:style>
  <w:style w:type="paragraph" w:customStyle="1" w:styleId="587">
    <w:name w:val="样式 行距: 固定值 25 磅"/>
    <w:basedOn w:val="1"/>
    <w:autoRedefine/>
    <w:qFormat/>
    <w:uiPriority w:val="0"/>
    <w:pPr>
      <w:snapToGrid w:val="0"/>
      <w:spacing w:line="360" w:lineRule="auto"/>
      <w:ind w:firstLine="480" w:firstLineChars="200"/>
    </w:pPr>
    <w:rPr>
      <w:rFonts w:cs="宋体"/>
      <w:color w:val="000000"/>
      <w:sz w:val="24"/>
      <w:szCs w:val="24"/>
    </w:rPr>
  </w:style>
  <w:style w:type="paragraph" w:customStyle="1" w:styleId="588">
    <w:name w:val="样式 正1 + 首行缩进:  2 字符"/>
    <w:basedOn w:val="585"/>
    <w:autoRedefine/>
    <w:qFormat/>
    <w:uiPriority w:val="0"/>
    <w:rPr>
      <w:rFonts w:ascii="仿宋_GB2312" w:hAnsi="Times New Roman" w:eastAsia="仿宋_GB2312"/>
    </w:rPr>
  </w:style>
  <w:style w:type="paragraph" w:customStyle="1" w:styleId="589">
    <w:name w:val="样式 样式 标题 1章节第一层h1Head1Heading appsBMS Heading 1H1PIM 1Head... + ..."/>
    <w:basedOn w:val="1"/>
    <w:autoRedefine/>
    <w:qFormat/>
    <w:uiPriority w:val="0"/>
    <w:pPr>
      <w:keepNext/>
      <w:keepLines/>
      <w:pageBreakBefore/>
      <w:pBdr>
        <w:bottom w:val="single" w:color="1A5290" w:sz="36" w:space="1"/>
      </w:pBdr>
      <w:tabs>
        <w:tab w:val="left" w:pos="980"/>
      </w:tabs>
      <w:spacing w:before="120" w:after="120"/>
      <w:ind w:left="932" w:hanging="420"/>
      <w:jc w:val="left"/>
      <w:outlineLvl w:val="0"/>
    </w:pPr>
    <w:rPr>
      <w:b/>
      <w:bCs/>
      <w:kern w:val="44"/>
      <w:sz w:val="30"/>
      <w:szCs w:val="44"/>
    </w:rPr>
  </w:style>
  <w:style w:type="paragraph" w:customStyle="1" w:styleId="590">
    <w:name w:val="样式 标题 4H4Ref Heading 1rh1Heading sqlsect 1.2.3.4第三层条blbb..."/>
    <w:basedOn w:val="6"/>
    <w:autoRedefine/>
    <w:qFormat/>
    <w:uiPriority w:val="0"/>
    <w:pPr>
      <w:tabs>
        <w:tab w:val="left" w:pos="1104"/>
      </w:tabs>
      <w:adjustRightInd/>
      <w:spacing w:before="100" w:after="100" w:line="240" w:lineRule="auto"/>
      <w:ind w:left="862" w:hanging="862"/>
      <w:textAlignment w:val="auto"/>
    </w:pPr>
    <w:rPr>
      <w:rFonts w:ascii="Times New Roman" w:hAnsi="Times New Roman" w:cs="宋体"/>
      <w:bCs/>
      <w:kern w:val="2"/>
      <w:sz w:val="24"/>
    </w:rPr>
  </w:style>
  <w:style w:type="paragraph" w:customStyle="1" w:styleId="591">
    <w:name w:val="table head"/>
    <w:basedOn w:val="1"/>
    <w:autoRedefine/>
    <w:qFormat/>
    <w:uiPriority w:val="0"/>
    <w:pPr>
      <w:keepNext/>
      <w:keepLines/>
      <w:adjustRightInd w:val="0"/>
      <w:spacing w:line="312" w:lineRule="atLeast"/>
      <w:jc w:val="center"/>
      <w:textAlignment w:val="baseline"/>
    </w:pPr>
    <w:rPr>
      <w:b/>
      <w:kern w:val="0"/>
    </w:rPr>
  </w:style>
  <w:style w:type="paragraph" w:customStyle="1" w:styleId="592">
    <w:name w:val="样式 正文缩进 + 首行缩进:  2 字符"/>
    <w:basedOn w:val="2"/>
    <w:autoRedefine/>
    <w:qFormat/>
    <w:uiPriority w:val="0"/>
    <w:pPr>
      <w:tabs>
        <w:tab w:val="left" w:pos="0"/>
      </w:tabs>
      <w:spacing w:before="120" w:after="120" w:line="320" w:lineRule="atLeast"/>
      <w:ind w:firstLine="200" w:firstLineChars="200"/>
      <w:jc w:val="left"/>
    </w:pPr>
    <w:rPr>
      <w:rFonts w:cs="宋体"/>
      <w:sz w:val="24"/>
      <w:szCs w:val="24"/>
    </w:rPr>
  </w:style>
  <w:style w:type="paragraph" w:customStyle="1" w:styleId="593">
    <w:name w:val="样式 标题 5Alt+5dashdsddH5h5Block LabelPIM 5Roman listHead..."/>
    <w:basedOn w:val="7"/>
    <w:autoRedefine/>
    <w:qFormat/>
    <w:uiPriority w:val="0"/>
    <w:pPr>
      <w:tabs>
        <w:tab w:val="left" w:pos="1110"/>
      </w:tabs>
      <w:adjustRightInd/>
      <w:spacing w:before="240" w:after="120" w:line="240" w:lineRule="auto"/>
      <w:ind w:left="1110" w:hanging="600"/>
      <w:jc w:val="left"/>
      <w:textAlignment w:val="auto"/>
    </w:pPr>
    <w:rPr>
      <w:bCs/>
      <w:kern w:val="2"/>
      <w:sz w:val="21"/>
      <w:szCs w:val="24"/>
    </w:rPr>
  </w:style>
  <w:style w:type="paragraph" w:customStyle="1" w:styleId="594">
    <w:name w:val="!正文"/>
    <w:basedOn w:val="1"/>
    <w:autoRedefine/>
    <w:qFormat/>
    <w:uiPriority w:val="0"/>
    <w:pPr>
      <w:spacing w:line="360" w:lineRule="auto"/>
      <w:ind w:firstLine="480" w:firstLineChars="200"/>
    </w:pPr>
    <w:rPr>
      <w:rFonts w:ascii="Calibri" w:hAnsi="Calibri"/>
      <w:sz w:val="24"/>
      <w:szCs w:val="21"/>
    </w:rPr>
  </w:style>
  <w:style w:type="paragraph" w:customStyle="1" w:styleId="595">
    <w:name w:val="WW-正文缩进"/>
    <w:basedOn w:val="1"/>
    <w:autoRedefine/>
    <w:qFormat/>
    <w:uiPriority w:val="0"/>
    <w:pPr>
      <w:suppressAutoHyphens/>
      <w:ind w:firstLine="420"/>
    </w:pPr>
    <w:rPr>
      <w:kern w:val="1"/>
      <w:szCs w:val="24"/>
      <w:lang w:eastAsia="ar-SA"/>
    </w:rPr>
  </w:style>
  <w:style w:type="paragraph" w:customStyle="1" w:styleId="596">
    <w:name w:val="正文缩进加点"/>
    <w:basedOn w:val="24"/>
    <w:autoRedefine/>
    <w:qFormat/>
    <w:uiPriority w:val="0"/>
    <w:pPr>
      <w:tabs>
        <w:tab w:val="left" w:pos="360"/>
        <w:tab w:val="left" w:pos="720"/>
      </w:tabs>
      <w:overflowPunct w:val="0"/>
      <w:adjustRightInd w:val="0"/>
      <w:snapToGrid w:val="0"/>
      <w:spacing w:line="360" w:lineRule="auto"/>
      <w:ind w:left="360" w:leftChars="200" w:hanging="360"/>
    </w:pPr>
    <w:rPr>
      <w:rFonts w:ascii="宋体"/>
      <w:kern w:val="0"/>
      <w:sz w:val="24"/>
      <w:szCs w:val="24"/>
    </w:rPr>
  </w:style>
  <w:style w:type="paragraph" w:customStyle="1" w:styleId="597">
    <w:name w:val="headlines"/>
    <w:basedOn w:val="1"/>
    <w:autoRedefine/>
    <w:qFormat/>
    <w:uiPriority w:val="0"/>
    <w:pPr>
      <w:widowControl/>
      <w:spacing w:before="100" w:beforeAutospacing="1" w:after="100" w:afterAutospacing="1"/>
      <w:jc w:val="center"/>
    </w:pPr>
    <w:rPr>
      <w:rFonts w:ascii="_x001A_" w:hAnsi="_x001A_"/>
      <w:color w:val="FF0000"/>
      <w:kern w:val="0"/>
      <w:sz w:val="36"/>
      <w:szCs w:val="36"/>
    </w:rPr>
  </w:style>
  <w:style w:type="paragraph" w:customStyle="1" w:styleId="598">
    <w:name w:val="段落缩进"/>
    <w:autoRedefine/>
    <w:qFormat/>
    <w:uiPriority w:val="0"/>
    <w:pPr>
      <w:spacing w:after="120" w:line="360" w:lineRule="auto"/>
      <w:ind w:firstLine="425"/>
    </w:pPr>
    <w:rPr>
      <w:rFonts w:ascii="Times New Roman" w:hAnsi="Times New Roman" w:eastAsia="宋体" w:cs="Times New Roman"/>
      <w:sz w:val="24"/>
      <w:lang w:val="en-US" w:eastAsia="zh-CN" w:bidi="ar-SA"/>
    </w:rPr>
  </w:style>
  <w:style w:type="paragraph" w:customStyle="1" w:styleId="599">
    <w:name w:val="标准标题二"/>
    <w:basedOn w:val="537"/>
    <w:autoRedefine/>
    <w:qFormat/>
    <w:uiPriority w:val="0"/>
    <w:pPr>
      <w:tabs>
        <w:tab w:val="left" w:pos="840"/>
        <w:tab w:val="left" w:pos="1440"/>
        <w:tab w:val="clear" w:pos="425"/>
        <w:tab w:val="clear" w:pos="720"/>
      </w:tabs>
      <w:ind w:left="840" w:hanging="420"/>
    </w:pPr>
    <w:rPr>
      <w:sz w:val="30"/>
    </w:rPr>
  </w:style>
  <w:style w:type="paragraph" w:customStyle="1" w:styleId="600">
    <w:name w:val="样式 样式 (符号) 宋体 小四 首行缩进:  0.85 厘米 段后: 6 磅 行距: 固定值 20 磅 + 首行缩进:  2 ..."/>
    <w:basedOn w:val="1"/>
    <w:autoRedefine/>
    <w:qFormat/>
    <w:uiPriority w:val="0"/>
    <w:pPr>
      <w:spacing w:line="360" w:lineRule="auto"/>
      <w:ind w:firstLine="480" w:firstLineChars="200"/>
    </w:pPr>
    <w:rPr>
      <w:rFonts w:ascii="仿宋_GB2312" w:hAnsi="宋体" w:eastAsia="仿宋_GB2312" w:cs="仿宋_GB2312"/>
      <w:color w:val="000000"/>
      <w:kern w:val="0"/>
      <w:sz w:val="24"/>
      <w:szCs w:val="24"/>
    </w:rPr>
  </w:style>
  <w:style w:type="paragraph" w:customStyle="1" w:styleId="601">
    <w:name w:val="白皮书正文"/>
    <w:basedOn w:val="58"/>
    <w:autoRedefine/>
    <w:qFormat/>
    <w:uiPriority w:val="0"/>
    <w:pPr>
      <w:spacing w:line="360" w:lineRule="auto"/>
      <w:ind w:left="400" w:leftChars="400" w:firstLine="200"/>
    </w:pPr>
    <w:rPr>
      <w:sz w:val="21"/>
      <w:szCs w:val="21"/>
    </w:rPr>
  </w:style>
  <w:style w:type="paragraph" w:customStyle="1" w:styleId="602">
    <w:name w:val="编号"/>
    <w:basedOn w:val="1"/>
    <w:autoRedefine/>
    <w:qFormat/>
    <w:uiPriority w:val="0"/>
    <w:pPr>
      <w:tabs>
        <w:tab w:val="left" w:pos="567"/>
      </w:tabs>
      <w:spacing w:line="360" w:lineRule="auto"/>
      <w:ind w:firstLine="567"/>
    </w:pPr>
    <w:rPr>
      <w:b/>
      <w:sz w:val="24"/>
      <w:szCs w:val="24"/>
    </w:rPr>
  </w:style>
  <w:style w:type="paragraph" w:customStyle="1" w:styleId="603">
    <w:name w:val="Char Char1 Char Char Char Char Char Char Char Char Char Char Char Char Char Char1"/>
    <w:basedOn w:val="1"/>
    <w:autoRedefine/>
    <w:qFormat/>
    <w:uiPriority w:val="0"/>
    <w:pPr>
      <w:widowControl/>
      <w:spacing w:after="160" w:line="240" w:lineRule="exact"/>
      <w:jc w:val="left"/>
    </w:pPr>
    <w:rPr>
      <w:rFonts w:ascii="Verdana" w:hAnsi="Verdana"/>
      <w:kern w:val="0"/>
      <w:sz w:val="20"/>
      <w:lang w:eastAsia="en-US"/>
    </w:rPr>
  </w:style>
  <w:style w:type="paragraph" w:customStyle="1" w:styleId="604">
    <w:name w:val="样式 标题 2H2Heading 2 HiddenHeading 2 CCBSh22nd levelHeader 2..."/>
    <w:basedOn w:val="4"/>
    <w:autoRedefine/>
    <w:qFormat/>
    <w:uiPriority w:val="0"/>
    <w:pPr>
      <w:widowControl/>
      <w:tabs>
        <w:tab w:val="left" w:pos="425"/>
      </w:tabs>
      <w:adjustRightInd w:val="0"/>
      <w:spacing w:before="120" w:after="100" w:afterAutospacing="1" w:line="360" w:lineRule="auto"/>
      <w:jc w:val="left"/>
    </w:pPr>
    <w:rPr>
      <w:rFonts w:ascii="Times New Roman" w:hAnsi="Times New Roman" w:eastAsia="宋体" w:cs="宋体"/>
      <w:kern w:val="0"/>
      <w:sz w:val="36"/>
      <w:szCs w:val="36"/>
    </w:rPr>
  </w:style>
  <w:style w:type="paragraph" w:customStyle="1" w:styleId="605">
    <w:name w:val="样式 标题 3h3heading 3h31heading 31h32heading 32h311heading ..."/>
    <w:basedOn w:val="1"/>
    <w:autoRedefine/>
    <w:qFormat/>
    <w:uiPriority w:val="0"/>
    <w:pPr>
      <w:spacing w:line="360" w:lineRule="auto"/>
    </w:pPr>
    <w:rPr>
      <w:sz w:val="24"/>
    </w:rPr>
  </w:style>
  <w:style w:type="paragraph" w:customStyle="1" w:styleId="606">
    <w:name w:val="样式 标题 2第一层条第二层论文标题 1ICSS章标记sect 1.2HD2H2h2Level 2 Topic..."/>
    <w:basedOn w:val="4"/>
    <w:autoRedefine/>
    <w:qFormat/>
    <w:uiPriority w:val="0"/>
    <w:pPr>
      <w:tabs>
        <w:tab w:val="left" w:pos="576"/>
      </w:tabs>
      <w:spacing w:before="156" w:beforeLines="50" w:after="156" w:afterLines="50" w:line="240" w:lineRule="auto"/>
      <w:jc w:val="left"/>
    </w:pPr>
    <w:rPr>
      <w:rFonts w:cs="宋体"/>
      <w:bCs w:val="0"/>
      <w:szCs w:val="20"/>
    </w:rPr>
  </w:style>
  <w:style w:type="paragraph" w:customStyle="1" w:styleId="607">
    <w:name w:val="正文 + 小四"/>
    <w:basedOn w:val="1"/>
    <w:autoRedefine/>
    <w:qFormat/>
    <w:uiPriority w:val="0"/>
    <w:pPr>
      <w:spacing w:line="600" w:lineRule="auto"/>
      <w:ind w:left="-2" w:leftChars="-1" w:firstLine="362"/>
      <w:outlineLvl w:val="0"/>
    </w:pPr>
    <w:rPr>
      <w:b/>
      <w:bCs/>
      <w:sz w:val="24"/>
      <w:szCs w:val="24"/>
    </w:rPr>
  </w:style>
  <w:style w:type="paragraph" w:customStyle="1" w:styleId="608">
    <w:name w:val="样式 标题 4 + 加粗"/>
    <w:basedOn w:val="6"/>
    <w:autoRedefine/>
    <w:qFormat/>
    <w:uiPriority w:val="0"/>
    <w:pPr>
      <w:tabs>
        <w:tab w:val="left" w:pos="1134"/>
      </w:tabs>
      <w:adjustRightInd/>
      <w:spacing w:line="374" w:lineRule="auto"/>
      <w:ind w:left="864" w:hanging="864"/>
      <w:textAlignment w:val="auto"/>
    </w:pPr>
    <w:rPr>
      <w:rFonts w:ascii="宋体" w:hAnsi="宋体" w:eastAsia="宋体"/>
      <w:b w:val="0"/>
      <w:sz w:val="30"/>
      <w:szCs w:val="28"/>
    </w:rPr>
  </w:style>
  <w:style w:type="paragraph" w:customStyle="1" w:styleId="609">
    <w:name w:val="0"/>
    <w:basedOn w:val="1"/>
    <w:autoRedefine/>
    <w:qFormat/>
    <w:uiPriority w:val="0"/>
    <w:pPr>
      <w:widowControl/>
      <w:snapToGrid w:val="0"/>
      <w:spacing w:line="365" w:lineRule="atLeast"/>
      <w:ind w:left="1"/>
      <w:textAlignment w:val="bottom"/>
    </w:pPr>
    <w:rPr>
      <w:kern w:val="0"/>
      <w:sz w:val="20"/>
    </w:rPr>
  </w:style>
  <w:style w:type="paragraph" w:customStyle="1" w:styleId="610">
    <w:name w:val="菲页2"/>
    <w:basedOn w:val="5"/>
    <w:autoRedefine/>
    <w:qFormat/>
    <w:uiPriority w:val="0"/>
    <w:pPr>
      <w:widowControl/>
      <w:tabs>
        <w:tab w:val="left" w:pos="1000"/>
      </w:tabs>
      <w:spacing w:before="120" w:after="120" w:line="360" w:lineRule="auto"/>
      <w:ind w:left="1000" w:hanging="1000"/>
      <w:jc w:val="center"/>
    </w:pPr>
    <w:rPr>
      <w:rFonts w:ascii="黑体" w:hAnsi="宋体" w:eastAsia="黑体"/>
      <w:b w:val="0"/>
      <w:bCs w:val="0"/>
      <w:kern w:val="0"/>
      <w:sz w:val="44"/>
      <w:szCs w:val="20"/>
    </w:rPr>
  </w:style>
  <w:style w:type="paragraph" w:customStyle="1" w:styleId="611">
    <w:name w:val="Char Char Char Char Char Char Char Char Char Char Char Char Char Char Char Char Char Char Char Char Char Char Char1 Char"/>
    <w:basedOn w:val="1"/>
    <w:autoRedefine/>
    <w:qFormat/>
    <w:uiPriority w:val="0"/>
    <w:pPr>
      <w:widowControl/>
      <w:spacing w:line="360" w:lineRule="auto"/>
      <w:ind w:left="420"/>
      <w:textAlignment w:val="baseline"/>
    </w:pPr>
    <w:rPr>
      <w:rFonts w:ascii="Arial" w:hAnsi="Arial" w:cs="Arial"/>
      <w:szCs w:val="24"/>
    </w:rPr>
  </w:style>
  <w:style w:type="paragraph" w:customStyle="1" w:styleId="612">
    <w:name w:val="Body1!"/>
    <w:basedOn w:val="1"/>
    <w:autoRedefine/>
    <w:qFormat/>
    <w:uiPriority w:val="0"/>
    <w:pPr>
      <w:widowControl/>
      <w:tabs>
        <w:tab w:val="left" w:pos="1247"/>
      </w:tabs>
      <w:spacing w:before="120" w:line="288" w:lineRule="auto"/>
      <w:ind w:left="1247" w:firstLine="200" w:firstLineChars="200"/>
    </w:pPr>
    <w:rPr>
      <w:rFonts w:ascii="Arial" w:hAnsi="Arial"/>
      <w:kern w:val="0"/>
      <w:szCs w:val="21"/>
    </w:rPr>
  </w:style>
  <w:style w:type="paragraph" w:customStyle="1" w:styleId="613">
    <w:name w:val="版本控制标题"/>
    <w:basedOn w:val="1"/>
    <w:autoRedefine/>
    <w:qFormat/>
    <w:uiPriority w:val="0"/>
    <w:pPr>
      <w:spacing w:before="156" w:after="156"/>
    </w:pPr>
    <w:rPr>
      <w:rFonts w:cs="宋体"/>
      <w:b/>
      <w:bCs/>
      <w:sz w:val="24"/>
    </w:rPr>
  </w:style>
  <w:style w:type="paragraph" w:customStyle="1" w:styleId="614">
    <w:name w:val="xl54"/>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center"/>
    </w:pPr>
    <w:rPr>
      <w:kern w:val="0"/>
      <w:szCs w:val="21"/>
    </w:rPr>
  </w:style>
  <w:style w:type="paragraph" w:customStyle="1" w:styleId="615">
    <w:name w:val="默认段落字体 Para Char Char Char Char Char Char Char Char Char1 Char Char Char Char"/>
    <w:basedOn w:val="1"/>
    <w:autoRedefine/>
    <w:qFormat/>
    <w:uiPriority w:val="0"/>
    <w:rPr>
      <w:rFonts w:ascii="Tahoma" w:hAnsi="Tahoma"/>
      <w:sz w:val="24"/>
    </w:rPr>
  </w:style>
  <w:style w:type="paragraph" w:customStyle="1" w:styleId="616">
    <w:name w:val="修订1"/>
    <w:autoRedefine/>
    <w:qFormat/>
    <w:uiPriority w:val="0"/>
    <w:rPr>
      <w:rFonts w:ascii="Times New Roman" w:hAnsi="Times New Roman" w:eastAsia="宋体" w:cs="Times New Roman"/>
      <w:kern w:val="2"/>
      <w:sz w:val="24"/>
      <w:szCs w:val="24"/>
      <w:lang w:val="en-US" w:eastAsia="zh-CN" w:bidi="ar-SA"/>
    </w:rPr>
  </w:style>
  <w:style w:type="paragraph" w:customStyle="1" w:styleId="617">
    <w:name w:val="1.1.1 标题"/>
    <w:basedOn w:val="3"/>
    <w:autoRedefine/>
    <w:qFormat/>
    <w:uiPriority w:val="0"/>
    <w:pPr>
      <w:tabs>
        <w:tab w:val="left" w:pos="850"/>
      </w:tabs>
      <w:spacing w:before="0" w:after="0" w:line="240" w:lineRule="auto"/>
      <w:ind w:left="57" w:hanging="57"/>
      <w:jc w:val="left"/>
      <w:outlineLvl w:val="2"/>
    </w:pPr>
    <w:rPr>
      <w:rFonts w:eastAsia="黑体"/>
      <w:b w:val="0"/>
      <w:bCs w:val="0"/>
      <w:sz w:val="24"/>
      <w:szCs w:val="20"/>
    </w:rPr>
  </w:style>
  <w:style w:type="paragraph" w:customStyle="1" w:styleId="618">
    <w:name w:val="接續5"/>
    <w:basedOn w:val="6"/>
    <w:autoRedefine/>
    <w:qFormat/>
    <w:uiPriority w:val="0"/>
    <w:pPr>
      <w:keepNext w:val="0"/>
      <w:keepLines w:val="0"/>
      <w:autoSpaceDE w:val="0"/>
      <w:autoSpaceDN w:val="0"/>
      <w:adjustRightInd/>
      <w:spacing w:before="100" w:after="40" w:line="360" w:lineRule="exact"/>
      <w:ind w:left="737" w:leftChars="737"/>
      <w:outlineLvl w:val="9"/>
    </w:pPr>
    <w:rPr>
      <w:rFonts w:ascii="宋体" w:hAnsi="宋体" w:eastAsia="宋体"/>
      <w:b w:val="0"/>
      <w:color w:val="000000"/>
      <w:sz w:val="24"/>
    </w:rPr>
  </w:style>
  <w:style w:type="paragraph" w:customStyle="1" w:styleId="61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rPr>
  </w:style>
  <w:style w:type="paragraph" w:customStyle="1" w:styleId="620">
    <w:name w:val="标准标题三"/>
    <w:basedOn w:val="599"/>
    <w:autoRedefine/>
    <w:qFormat/>
    <w:uiPriority w:val="0"/>
    <w:pPr>
      <w:tabs>
        <w:tab w:val="left" w:pos="1260"/>
        <w:tab w:val="clear" w:pos="840"/>
        <w:tab w:val="clear" w:pos="1440"/>
      </w:tabs>
      <w:ind w:left="1260"/>
    </w:pPr>
    <w:rPr>
      <w:sz w:val="28"/>
    </w:rPr>
  </w:style>
  <w:style w:type="paragraph" w:customStyle="1" w:styleId="621">
    <w:name w:val="样式 标题 2 + 左侧:  1 字符 右侧:  1 字符"/>
    <w:basedOn w:val="4"/>
    <w:autoRedefine/>
    <w:qFormat/>
    <w:uiPriority w:val="0"/>
    <w:pPr>
      <w:tabs>
        <w:tab w:val="left" w:pos="425"/>
      </w:tabs>
      <w:spacing w:line="415" w:lineRule="auto"/>
      <w:ind w:left="210" w:leftChars="100" w:right="210" w:rightChars="100"/>
    </w:pPr>
    <w:rPr>
      <w:rFonts w:cs="宋体"/>
      <w:szCs w:val="20"/>
    </w:rPr>
  </w:style>
  <w:style w:type="paragraph" w:customStyle="1" w:styleId="622">
    <w:name w:val="Numbered list 2.4"/>
    <w:basedOn w:val="6"/>
    <w:next w:val="1"/>
    <w:autoRedefine/>
    <w:qFormat/>
    <w:uiPriority w:val="0"/>
    <w:pPr>
      <w:widowControl/>
      <w:tabs>
        <w:tab w:val="left" w:pos="1080"/>
        <w:tab w:val="left" w:pos="1800"/>
        <w:tab w:val="left" w:pos="2160"/>
      </w:tabs>
      <w:adjustRightInd/>
      <w:spacing w:before="240" w:after="60" w:line="240" w:lineRule="auto"/>
      <w:ind w:left="1440" w:hanging="420"/>
      <w:jc w:val="left"/>
      <w:textAlignment w:val="auto"/>
    </w:pPr>
    <w:rPr>
      <w:rFonts w:eastAsia="宋体"/>
      <w:sz w:val="20"/>
      <w:lang w:eastAsia="en-US"/>
    </w:rPr>
  </w:style>
  <w:style w:type="paragraph" w:customStyle="1" w:styleId="623">
    <w:name w:val="Char Char Char Char1 Char1"/>
    <w:basedOn w:val="17"/>
    <w:autoRedefine/>
    <w:qFormat/>
    <w:uiPriority w:val="0"/>
    <w:pPr>
      <w:shd w:val="clear" w:color="auto" w:fill="000080"/>
      <w:adjustRightInd w:val="0"/>
      <w:spacing w:line="436" w:lineRule="exact"/>
      <w:ind w:left="357"/>
      <w:jc w:val="left"/>
      <w:outlineLvl w:val="3"/>
    </w:pPr>
    <w:rPr>
      <w:rFonts w:ascii="Times New Roman"/>
      <w:sz w:val="21"/>
      <w:szCs w:val="24"/>
      <w:shd w:val="clear" w:color="auto" w:fill="000080"/>
    </w:rPr>
  </w:style>
  <w:style w:type="paragraph" w:customStyle="1" w:styleId="624">
    <w:name w:val="条目1_My"/>
    <w:basedOn w:val="1"/>
    <w:autoRedefine/>
    <w:qFormat/>
    <w:uiPriority w:val="0"/>
    <w:pPr>
      <w:tabs>
        <w:tab w:val="left" w:pos="1300"/>
      </w:tabs>
      <w:spacing w:line="360" w:lineRule="auto"/>
    </w:pPr>
    <w:rPr>
      <w:rFonts w:ascii="Verdana" w:hAnsi="Verdana"/>
      <w:sz w:val="24"/>
    </w:rPr>
  </w:style>
  <w:style w:type="paragraph" w:customStyle="1" w:styleId="625">
    <w:name w:val="Char1 Char Char1"/>
    <w:basedOn w:val="1"/>
    <w:autoRedefine/>
    <w:qFormat/>
    <w:uiPriority w:val="0"/>
    <w:pPr>
      <w:adjustRightInd w:val="0"/>
      <w:spacing w:line="360" w:lineRule="auto"/>
    </w:pPr>
    <w:rPr>
      <w:kern w:val="0"/>
      <w:sz w:val="24"/>
    </w:rPr>
  </w:style>
  <w:style w:type="paragraph" w:customStyle="1" w:styleId="626">
    <w:name w:val="with编号1"/>
    <w:basedOn w:val="1"/>
    <w:autoRedefine/>
    <w:qFormat/>
    <w:uiPriority w:val="0"/>
    <w:pPr>
      <w:tabs>
        <w:tab w:val="left" w:pos="420"/>
      </w:tabs>
      <w:spacing w:line="360" w:lineRule="auto"/>
      <w:ind w:left="425" w:hanging="425"/>
    </w:pPr>
    <w:rPr>
      <w:sz w:val="24"/>
      <w:szCs w:val="24"/>
    </w:rPr>
  </w:style>
  <w:style w:type="paragraph" w:customStyle="1" w:styleId="627">
    <w:name w:val="xl59"/>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宋体" w:hAnsi="宋体"/>
      <w:kern w:val="0"/>
      <w:szCs w:val="21"/>
    </w:rPr>
  </w:style>
  <w:style w:type="paragraph" w:customStyle="1" w:styleId="628">
    <w:name w:val="Char Char Char Char1"/>
    <w:basedOn w:val="17"/>
    <w:autoRedefine/>
    <w:qFormat/>
    <w:uiPriority w:val="0"/>
    <w:pPr>
      <w:widowControl/>
      <w:shd w:val="clear" w:color="auto" w:fill="000080"/>
      <w:ind w:firstLine="454"/>
      <w:jc w:val="left"/>
    </w:pPr>
    <w:rPr>
      <w:rFonts w:ascii="Tahoma" w:hAnsi="Tahoma" w:cs="宋体"/>
      <w:kern w:val="0"/>
      <w:sz w:val="24"/>
      <w:szCs w:val="20"/>
      <w:shd w:val="clear" w:color="auto" w:fill="000080"/>
    </w:rPr>
  </w:style>
  <w:style w:type="paragraph" w:customStyle="1" w:styleId="629">
    <w:name w:val="Table Heading"/>
    <w:basedOn w:val="119"/>
    <w:autoRedefine/>
    <w:qFormat/>
    <w:uiPriority w:val="0"/>
    <w:pPr>
      <w:keepLines/>
      <w:overflowPunct w:val="0"/>
      <w:autoSpaceDE w:val="0"/>
      <w:autoSpaceDN w:val="0"/>
      <w:adjustRightInd w:val="0"/>
      <w:spacing w:before="120" w:after="120"/>
      <w:textAlignment w:val="baseline"/>
    </w:pPr>
    <w:rPr>
      <w:rFonts w:ascii="Book Antiqua" w:hAnsi="Book Antiqua"/>
      <w:b/>
      <w:sz w:val="16"/>
      <w:szCs w:val="20"/>
    </w:rPr>
  </w:style>
  <w:style w:type="paragraph" w:customStyle="1" w:styleId="630">
    <w:name w:val="Char Char Char Char Char Char Char Char Char Char Char Char Char Char Char Char Char1 Char"/>
    <w:basedOn w:val="1"/>
    <w:autoRedefine/>
    <w:qFormat/>
    <w:uiPriority w:val="0"/>
    <w:rPr>
      <w:rFonts w:ascii="Tahoma" w:hAnsi="Tahoma" w:eastAsia="黑体"/>
      <w:sz w:val="30"/>
    </w:rPr>
  </w:style>
  <w:style w:type="character" w:customStyle="1" w:styleId="631">
    <w:name w:val="列表段落 字符1"/>
    <w:link w:val="632"/>
    <w:autoRedefine/>
    <w:qFormat/>
    <w:uiPriority w:val="0"/>
    <w:rPr>
      <w:sz w:val="34"/>
      <w:szCs w:val="22"/>
    </w:rPr>
  </w:style>
  <w:style w:type="paragraph" w:customStyle="1" w:styleId="632">
    <w:name w:val="_Style 631"/>
    <w:basedOn w:val="1"/>
    <w:next w:val="179"/>
    <w:link w:val="631"/>
    <w:autoRedefine/>
    <w:qFormat/>
    <w:uiPriority w:val="0"/>
    <w:pPr>
      <w:ind w:firstLine="420" w:firstLineChars="200"/>
    </w:pPr>
    <w:rPr>
      <w:kern w:val="0"/>
      <w:sz w:val="34"/>
      <w:szCs w:val="22"/>
    </w:rPr>
  </w:style>
  <w:style w:type="character" w:customStyle="1" w:styleId="633">
    <w:name w:val="font41"/>
    <w:basedOn w:val="61"/>
    <w:autoRedefine/>
    <w:qFormat/>
    <w:uiPriority w:val="0"/>
    <w:rPr>
      <w:rFonts w:hint="default" w:ascii="Times New Roman" w:hAnsi="Times New Roman" w:cs="Times New Roman"/>
      <w:color w:val="000000"/>
      <w:sz w:val="20"/>
      <w:szCs w:val="20"/>
      <w:u w:val="none"/>
    </w:rPr>
  </w:style>
  <w:style w:type="character" w:customStyle="1" w:styleId="634">
    <w:name w:val="font61"/>
    <w:basedOn w:val="61"/>
    <w:autoRedefine/>
    <w:qFormat/>
    <w:uiPriority w:val="0"/>
    <w:rPr>
      <w:rFonts w:hint="eastAsia" w:ascii="宋体" w:hAnsi="宋体" w:eastAsia="宋体" w:cs="宋体"/>
      <w:color w:val="000000"/>
      <w:sz w:val="22"/>
      <w:szCs w:val="22"/>
      <w:u w:val="none"/>
    </w:rPr>
  </w:style>
  <w:style w:type="character" w:customStyle="1" w:styleId="635">
    <w:name w:val="font31"/>
    <w:basedOn w:val="61"/>
    <w:autoRedefine/>
    <w:qFormat/>
    <w:uiPriority w:val="0"/>
    <w:rPr>
      <w:rFonts w:hint="eastAsia" w:ascii="宋体" w:hAnsi="宋体" w:eastAsia="宋体" w:cs="宋体"/>
      <w:b/>
      <w:bCs/>
      <w:color w:val="000000"/>
      <w:sz w:val="18"/>
      <w:szCs w:val="18"/>
      <w:u w:val="none"/>
    </w:rPr>
  </w:style>
  <w:style w:type="character" w:customStyle="1" w:styleId="636">
    <w:name w:val="无"/>
    <w:autoRedefine/>
    <w:qFormat/>
    <w:uiPriority w:val="0"/>
  </w:style>
  <w:style w:type="character" w:customStyle="1" w:styleId="637">
    <w:name w:val="info"/>
    <w:basedOn w:val="61"/>
    <w:autoRedefine/>
    <w:qFormat/>
    <w:uiPriority w:val="0"/>
  </w:style>
  <w:style w:type="character" w:customStyle="1" w:styleId="638">
    <w:name w:val="l-btn-left"/>
    <w:basedOn w:val="61"/>
    <w:autoRedefine/>
    <w:qFormat/>
    <w:uiPriority w:val="0"/>
  </w:style>
  <w:style w:type="character" w:customStyle="1" w:styleId="639">
    <w:name w:val="l-btn-left1"/>
    <w:basedOn w:val="61"/>
    <w:autoRedefine/>
    <w:qFormat/>
    <w:uiPriority w:val="0"/>
  </w:style>
  <w:style w:type="character" w:customStyle="1" w:styleId="640">
    <w:name w:val="l-btn-left2"/>
    <w:basedOn w:val="61"/>
    <w:autoRedefine/>
    <w:qFormat/>
    <w:uiPriority w:val="0"/>
  </w:style>
  <w:style w:type="character" w:customStyle="1" w:styleId="641">
    <w:name w:val="l-btn-left3"/>
    <w:basedOn w:val="61"/>
    <w:autoRedefine/>
    <w:qFormat/>
    <w:uiPriority w:val="0"/>
  </w:style>
  <w:style w:type="character" w:customStyle="1" w:styleId="642">
    <w:name w:val="topic"/>
    <w:basedOn w:val="61"/>
    <w:autoRedefine/>
    <w:qFormat/>
    <w:uiPriority w:val="0"/>
    <w:rPr>
      <w:color w:val="FF0000"/>
    </w:rPr>
  </w:style>
  <w:style w:type="character" w:customStyle="1" w:styleId="643">
    <w:name w:val="valueinfo"/>
    <w:basedOn w:val="61"/>
    <w:autoRedefine/>
    <w:qFormat/>
    <w:uiPriority w:val="0"/>
    <w:rPr>
      <w:color w:val="666666"/>
    </w:rPr>
  </w:style>
  <w:style w:type="character" w:customStyle="1" w:styleId="644">
    <w:name w:val="selectedtreerow8"/>
    <w:basedOn w:val="61"/>
    <w:autoRedefine/>
    <w:qFormat/>
    <w:uiPriority w:val="0"/>
  </w:style>
  <w:style w:type="character" w:customStyle="1" w:styleId="645">
    <w:name w:val="selectedtreerow9"/>
    <w:basedOn w:val="61"/>
    <w:autoRedefine/>
    <w:qFormat/>
    <w:uiPriority w:val="0"/>
    <w:rPr>
      <w:color w:val="000000"/>
      <w:shd w:val="clear" w:color="auto" w:fill="ACDAF0"/>
    </w:rPr>
  </w:style>
  <w:style w:type="character" w:customStyle="1" w:styleId="646">
    <w:name w:val="selectedtreerow10"/>
    <w:basedOn w:val="61"/>
    <w:autoRedefine/>
    <w:qFormat/>
    <w:uiPriority w:val="0"/>
    <w:rPr>
      <w:color w:val="000000"/>
      <w:shd w:val="clear" w:color="auto" w:fill="FFF3A1"/>
    </w:rPr>
  </w:style>
  <w:style w:type="character" w:customStyle="1" w:styleId="647">
    <w:name w:val="selectedtreerow_lor8"/>
    <w:basedOn w:val="61"/>
    <w:autoRedefine/>
    <w:qFormat/>
    <w:uiPriority w:val="0"/>
  </w:style>
  <w:style w:type="character" w:customStyle="1" w:styleId="648">
    <w:name w:val="selectedtreerow_lor9"/>
    <w:basedOn w:val="61"/>
    <w:autoRedefine/>
    <w:qFormat/>
    <w:uiPriority w:val="0"/>
    <w:rPr>
      <w:color w:val="000000"/>
      <w:shd w:val="clear" w:color="auto" w:fill="ACDAF0"/>
    </w:rPr>
  </w:style>
  <w:style w:type="character" w:customStyle="1" w:styleId="649">
    <w:name w:val="selectedtreerow_lor10"/>
    <w:basedOn w:val="61"/>
    <w:autoRedefine/>
    <w:qFormat/>
    <w:uiPriority w:val="0"/>
    <w:rPr>
      <w:color w:val="000000"/>
      <w:shd w:val="clear" w:color="auto" w:fill="FFF3A1"/>
    </w:rPr>
  </w:style>
  <w:style w:type="character" w:customStyle="1" w:styleId="650">
    <w:name w:val="standarttreerow8"/>
    <w:basedOn w:val="61"/>
    <w:autoRedefine/>
    <w:qFormat/>
    <w:uiPriority w:val="0"/>
  </w:style>
  <w:style w:type="character" w:customStyle="1" w:styleId="651">
    <w:name w:val="standarttreerow9"/>
    <w:basedOn w:val="61"/>
    <w:autoRedefine/>
    <w:qFormat/>
    <w:uiPriority w:val="0"/>
  </w:style>
  <w:style w:type="character" w:customStyle="1" w:styleId="652">
    <w:name w:val="standarttreerow_lor3"/>
    <w:basedOn w:val="61"/>
    <w:autoRedefine/>
    <w:qFormat/>
    <w:uiPriority w:val="0"/>
  </w:style>
  <w:style w:type="character" w:customStyle="1" w:styleId="653">
    <w:name w:val="pwdtips_alert"/>
    <w:basedOn w:val="61"/>
    <w:autoRedefine/>
    <w:qFormat/>
    <w:uiPriority w:val="0"/>
    <w:rPr>
      <w:bdr w:val="single" w:color="FFCB25" w:sz="6" w:space="0"/>
      <w:shd w:val="clear" w:color="auto" w:fill="FFEAA6"/>
    </w:rPr>
  </w:style>
  <w:style w:type="character" w:customStyle="1" w:styleId="654">
    <w:name w:val="pwdtips_error"/>
    <w:basedOn w:val="61"/>
    <w:autoRedefine/>
    <w:qFormat/>
    <w:uiPriority w:val="0"/>
    <w:rPr>
      <w:bdr w:val="single" w:color="FF2525" w:sz="6" w:space="0"/>
      <w:shd w:val="clear" w:color="auto" w:fill="FFA6A6"/>
    </w:rPr>
  </w:style>
  <w:style w:type="character" w:customStyle="1" w:styleId="655">
    <w:name w:val="tree-file"/>
    <w:basedOn w:val="61"/>
    <w:autoRedefine/>
    <w:qFormat/>
    <w:uiPriority w:val="0"/>
  </w:style>
  <w:style w:type="character" w:customStyle="1" w:styleId="656">
    <w:name w:val="l-btn-text"/>
    <w:basedOn w:val="61"/>
    <w:autoRedefine/>
    <w:qFormat/>
    <w:uiPriority w:val="0"/>
  </w:style>
  <w:style w:type="character" w:customStyle="1" w:styleId="657">
    <w:name w:val="l-btn-text1"/>
    <w:basedOn w:val="61"/>
    <w:autoRedefine/>
    <w:qFormat/>
    <w:uiPriority w:val="0"/>
    <w:rPr>
      <w:color w:val="1864AC"/>
      <w:sz w:val="18"/>
      <w:szCs w:val="18"/>
    </w:rPr>
  </w:style>
  <w:style w:type="character" w:customStyle="1" w:styleId="658">
    <w:name w:val="l-btn-empty"/>
    <w:basedOn w:val="61"/>
    <w:autoRedefine/>
    <w:qFormat/>
    <w:uiPriority w:val="0"/>
  </w:style>
  <w:style w:type="character" w:customStyle="1" w:styleId="659">
    <w:name w:val="combo2"/>
    <w:basedOn w:val="61"/>
    <w:autoRedefine/>
    <w:qFormat/>
    <w:uiPriority w:val="0"/>
  </w:style>
  <w:style w:type="character" w:customStyle="1" w:styleId="660">
    <w:name w:val="tree-title4"/>
    <w:basedOn w:val="61"/>
    <w:autoRedefine/>
    <w:qFormat/>
    <w:uiPriority w:val="0"/>
    <w:rPr>
      <w:color w:val="1864AC"/>
    </w:rPr>
  </w:style>
  <w:style w:type="character" w:customStyle="1" w:styleId="661">
    <w:name w:val="tree-title5"/>
    <w:basedOn w:val="61"/>
    <w:autoRedefine/>
    <w:qFormat/>
    <w:uiPriority w:val="0"/>
    <w:rPr>
      <w:color w:val="FFFFFF"/>
      <w:shd w:val="clear" w:color="auto" w:fill="3366CC"/>
    </w:rPr>
  </w:style>
  <w:style w:type="character" w:customStyle="1" w:styleId="662">
    <w:name w:val="pwdtips_ok"/>
    <w:basedOn w:val="61"/>
    <w:autoRedefine/>
    <w:qFormat/>
    <w:uiPriority w:val="0"/>
    <w:rPr>
      <w:bdr w:val="single" w:color="8EFF25" w:sz="6" w:space="0"/>
      <w:shd w:val="clear" w:color="auto" w:fill="B4FFA6"/>
    </w:rPr>
  </w:style>
  <w:style w:type="character" w:customStyle="1" w:styleId="663">
    <w:name w:val="vainfo2"/>
    <w:basedOn w:val="61"/>
    <w:autoRedefine/>
    <w:qFormat/>
    <w:uiPriority w:val="0"/>
    <w:rPr>
      <w:color w:val="FF0000"/>
      <w:bdr w:val="single" w:color="FCBCBC" w:sz="6" w:space="0"/>
      <w:shd w:val="clear" w:color="auto" w:fill="FFE4E4"/>
    </w:rPr>
  </w:style>
  <w:style w:type="character" w:customStyle="1" w:styleId="664">
    <w:name w:val="green"/>
    <w:basedOn w:val="61"/>
    <w:autoRedefine/>
    <w:qFormat/>
    <w:uiPriority w:val="0"/>
    <w:rPr>
      <w:color w:val="00A521"/>
    </w:rPr>
  </w:style>
  <w:style w:type="character" w:customStyle="1" w:styleId="665">
    <w:name w:val="red"/>
    <w:basedOn w:val="61"/>
    <w:autoRedefine/>
    <w:qFormat/>
    <w:uiPriority w:val="0"/>
    <w:rPr>
      <w:color w:val="FF0000"/>
    </w:rPr>
  </w:style>
  <w:style w:type="character" w:customStyle="1" w:styleId="666">
    <w:name w:val="standarttreerow_lor"/>
    <w:basedOn w:val="61"/>
    <w:autoRedefine/>
    <w:qFormat/>
    <w:uiPriority w:val="0"/>
  </w:style>
  <w:style w:type="character" w:customStyle="1" w:styleId="667">
    <w:name w:val="standarttreerow_lor4"/>
    <w:basedOn w:val="61"/>
    <w:autoRedefine/>
    <w:qFormat/>
    <w:uiPriority w:val="0"/>
  </w:style>
  <w:style w:type="character" w:customStyle="1" w:styleId="668">
    <w:name w:val="selectedtreerow"/>
    <w:basedOn w:val="61"/>
    <w:autoRedefine/>
    <w:qFormat/>
    <w:uiPriority w:val="0"/>
  </w:style>
  <w:style w:type="character" w:customStyle="1" w:styleId="669">
    <w:name w:val="selectedtreerow1"/>
    <w:basedOn w:val="61"/>
    <w:autoRedefine/>
    <w:qFormat/>
    <w:uiPriority w:val="0"/>
    <w:rPr>
      <w:rFonts w:ascii="Arial" w:hAnsi="Arial" w:cs="Arial"/>
      <w:color w:val="000000"/>
      <w:sz w:val="19"/>
      <w:szCs w:val="19"/>
      <w:shd w:val="clear" w:color="auto" w:fill="FFF3A1"/>
    </w:rPr>
  </w:style>
  <w:style w:type="character" w:customStyle="1" w:styleId="670">
    <w:name w:val="selectedtreerow2"/>
    <w:basedOn w:val="61"/>
    <w:autoRedefine/>
    <w:qFormat/>
    <w:uiPriority w:val="0"/>
    <w:rPr>
      <w:rFonts w:ascii="Tahoma" w:hAnsi="Tahoma" w:eastAsia="Tahoma" w:cs="Tahoma"/>
      <w:color w:val="000000"/>
      <w:sz w:val="18"/>
      <w:szCs w:val="18"/>
      <w:shd w:val="clear" w:color="auto" w:fill="ACDAF0"/>
    </w:rPr>
  </w:style>
  <w:style w:type="character" w:customStyle="1" w:styleId="671">
    <w:name w:val="selectedtreerow_lor"/>
    <w:basedOn w:val="61"/>
    <w:autoRedefine/>
    <w:qFormat/>
    <w:uiPriority w:val="0"/>
  </w:style>
  <w:style w:type="character" w:customStyle="1" w:styleId="672">
    <w:name w:val="selectedtreerow_lor1"/>
    <w:basedOn w:val="61"/>
    <w:autoRedefine/>
    <w:qFormat/>
    <w:uiPriority w:val="0"/>
    <w:rPr>
      <w:rFonts w:hint="default" w:ascii="Arial" w:hAnsi="Arial" w:cs="Arial"/>
      <w:color w:val="000000"/>
      <w:sz w:val="19"/>
      <w:szCs w:val="19"/>
      <w:shd w:val="clear" w:color="auto" w:fill="FFF3A1"/>
    </w:rPr>
  </w:style>
  <w:style w:type="character" w:customStyle="1" w:styleId="673">
    <w:name w:val="selectedtreerow_lor2"/>
    <w:basedOn w:val="61"/>
    <w:autoRedefine/>
    <w:qFormat/>
    <w:uiPriority w:val="0"/>
    <w:rPr>
      <w:rFonts w:hint="default" w:ascii="Tahoma" w:hAnsi="Tahoma" w:eastAsia="Tahoma" w:cs="Tahoma"/>
      <w:color w:val="000000"/>
      <w:sz w:val="18"/>
      <w:szCs w:val="18"/>
      <w:shd w:val="clear" w:color="auto" w:fill="ACDAF0"/>
    </w:rPr>
  </w:style>
  <w:style w:type="character" w:customStyle="1" w:styleId="674">
    <w:name w:val="standarttreerow"/>
    <w:basedOn w:val="61"/>
    <w:autoRedefine/>
    <w:qFormat/>
    <w:uiPriority w:val="0"/>
  </w:style>
  <w:style w:type="character" w:customStyle="1" w:styleId="675">
    <w:name w:val="standarttreerow1"/>
    <w:basedOn w:val="61"/>
    <w:autoRedefine/>
    <w:qFormat/>
    <w:uiPriority w:val="0"/>
    <w:rPr>
      <w:rFonts w:hint="default" w:ascii="Tahoma" w:hAnsi="Tahoma" w:eastAsia="Tahoma" w:cs="Tahoma"/>
      <w:sz w:val="18"/>
      <w:szCs w:val="18"/>
    </w:rPr>
  </w:style>
  <w:style w:type="character" w:customStyle="1" w:styleId="676">
    <w:name w:val="l-btn-left4"/>
    <w:basedOn w:val="61"/>
    <w:autoRedefine/>
    <w:qFormat/>
    <w:uiPriority w:val="0"/>
  </w:style>
  <w:style w:type="character" w:customStyle="1" w:styleId="677">
    <w:name w:val="l-btn-left5"/>
    <w:basedOn w:val="61"/>
    <w:autoRedefine/>
    <w:qFormat/>
    <w:uiPriority w:val="0"/>
  </w:style>
  <w:style w:type="character" w:customStyle="1" w:styleId="678">
    <w:name w:val="vainfo"/>
    <w:basedOn w:val="61"/>
    <w:autoRedefine/>
    <w:qFormat/>
    <w:uiPriority w:val="0"/>
    <w:rPr>
      <w:color w:val="FF0000"/>
      <w:bdr w:val="single" w:color="FCBCBC" w:sz="6" w:space="0"/>
      <w:shd w:val="clear" w:color="auto" w:fill="FFE4E4"/>
    </w:rPr>
  </w:style>
  <w:style w:type="character" w:customStyle="1" w:styleId="679">
    <w:name w:val="tree-file2"/>
    <w:basedOn w:val="61"/>
    <w:autoRedefine/>
    <w:qFormat/>
    <w:uiPriority w:val="0"/>
  </w:style>
  <w:style w:type="character" w:customStyle="1" w:styleId="680">
    <w:name w:val="tree-title"/>
    <w:basedOn w:val="61"/>
    <w:autoRedefine/>
    <w:qFormat/>
    <w:uiPriority w:val="0"/>
    <w:rPr>
      <w:color w:val="1864AC"/>
    </w:rPr>
  </w:style>
  <w:style w:type="character" w:customStyle="1" w:styleId="681">
    <w:name w:val="tree-title1"/>
    <w:basedOn w:val="61"/>
    <w:autoRedefine/>
    <w:qFormat/>
    <w:uiPriority w:val="0"/>
    <w:rPr>
      <w:color w:val="FFFFFF"/>
      <w:shd w:val="clear" w:color="auto" w:fill="3366CC"/>
    </w:rPr>
  </w:style>
  <w:style w:type="paragraph" w:customStyle="1" w:styleId="682">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683">
    <w:name w:val="null3"/>
    <w:autoRedefine/>
    <w:hidden/>
    <w:qFormat/>
    <w:uiPriority w:val="0"/>
    <w:rPr>
      <w:rFonts w:hint="eastAsia" w:asciiTheme="minorHAnsi" w:hAnsiTheme="minorHAnsi" w:eastAsiaTheme="minorEastAsia" w:cstheme="minorBidi"/>
      <w:lang w:val="en-US" w:eastAsia="zh-CN" w:bidi="ar-SA"/>
    </w:rPr>
  </w:style>
  <w:style w:type="paragraph" w:customStyle="1" w:styleId="684">
    <w:name w:val="正文首行缩进 21"/>
    <w:basedOn w:val="1"/>
    <w:autoRedefine/>
    <w:qFormat/>
    <w:uiPriority w:val="0"/>
    <w:pPr>
      <w:spacing w:after="120"/>
      <w:ind w:left="420" w:leftChars="200" w:firstLine="420" w:firstLineChars="200"/>
    </w:pPr>
    <w:rPr>
      <w:rFonts w:ascii="仿宋_GB2312" w:hAnsiTheme="minorHAnsi" w:eastAsiaTheme="minorEastAsia" w:cstheme="minorBidi"/>
      <w:sz w:val="28"/>
      <w:szCs w:val="24"/>
    </w:rPr>
  </w:style>
  <w:style w:type="paragraph" w:customStyle="1" w:styleId="685">
    <w:name w:val="p1"/>
    <w:basedOn w:val="1"/>
    <w:autoRedefine/>
    <w:qFormat/>
    <w:uiPriority w:val="0"/>
    <w:pPr>
      <w:widowControl/>
      <w:spacing w:line="360" w:lineRule="exact"/>
      <w:jc w:val="left"/>
    </w:pPr>
    <w:rPr>
      <w:rFonts w:asciiTheme="minorEastAsia" w:hAnsiTheme="minorEastAsia" w:eastAsiaTheme="minorEastAsia" w:cstheme="minorEastAsia"/>
      <w:color w:val="000000" w:themeColor="text1"/>
      <w:kern w:val="0"/>
      <w:sz w:val="24"/>
      <w:szCs w:val="24"/>
      <w14:textFill>
        <w14:solidFill>
          <w14:schemeClr w14:val="tx1"/>
        </w14:solidFill>
      </w14:textFill>
    </w:rPr>
  </w:style>
  <w:style w:type="character" w:customStyle="1" w:styleId="686">
    <w:name w:val="font71"/>
    <w:basedOn w:val="61"/>
    <w:qFormat/>
    <w:uiPriority w:val="0"/>
    <w:rPr>
      <w:rFonts w:hint="eastAsia" w:ascii="宋体" w:hAnsi="宋体" w:eastAsia="宋体" w:cs="宋体"/>
      <w:strike/>
      <w:color w:val="FF0000"/>
      <w:sz w:val="22"/>
      <w:szCs w:val="22"/>
    </w:rPr>
  </w:style>
  <w:style w:type="paragraph" w:customStyle="1" w:styleId="687">
    <w:name w:val="表格内1"/>
    <w:next w:val="201"/>
    <w:autoRedefine/>
    <w:qFormat/>
    <w:uiPriority w:val="0"/>
    <w:pPr>
      <w:widowControl w:val="0"/>
      <w:ind w:left="425" w:hanging="425"/>
      <w:jc w:val="both"/>
    </w:pPr>
    <w:rPr>
      <w:rFonts w:ascii="Calibri" w:hAnsi="Calibri" w:eastAsia="宋体" w:cs="黑体"/>
      <w:b/>
      <w:kern w:val="2"/>
      <w:sz w:val="21"/>
      <w:szCs w:val="22"/>
      <w:lang w:val="en-US" w:eastAsia="zh-CN" w:bidi="ar-SA"/>
    </w:rPr>
  </w:style>
  <w:style w:type="paragraph" w:customStyle="1" w:styleId="688">
    <w:name w:val="WPSOffice手动目录 1"/>
    <w:autoRedefine/>
    <w:qFormat/>
    <w:uiPriority w:val="0"/>
    <w:rPr>
      <w:rFonts w:ascii="Times New Roman" w:hAnsi="Times New Roman" w:eastAsia="宋体" w:cs="Times New Roman"/>
      <w:lang w:val="en-US" w:eastAsia="zh-CN" w:bidi="ar-SA"/>
    </w:rPr>
  </w:style>
  <w:style w:type="paragraph" w:customStyle="1" w:styleId="689">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690">
    <w:name w:val="NormalCharacter"/>
    <w:autoRedefine/>
    <w:qFormat/>
    <w:uiPriority w:val="0"/>
  </w:style>
  <w:style w:type="paragraph" w:customStyle="1" w:styleId="691">
    <w:name w:val="样式 标题 2 + Times New Roman 四号 非加粗 段前: 5 磅 段后: 0 磅 行距: 固定值 20..."/>
    <w:basedOn w:val="4"/>
    <w:autoRedefine/>
    <w:qFormat/>
    <w:uiPriority w:val="99"/>
    <w:pPr>
      <w:keepNext w:val="0"/>
      <w:snapToGrid w:val="0"/>
      <w:spacing w:before="100" w:beforeLines="50" w:after="0" w:afterLines="50" w:line="400" w:lineRule="exact"/>
      <w:jc w:val="left"/>
    </w:pPr>
    <w:rPr>
      <w:rFonts w:hint="eastAsia" w:ascii="Times New Roman" w:hAnsi="Times New Roman" w:cs="宋体"/>
      <w:b w:val="0"/>
      <w:kern w:val="0"/>
      <w:sz w:val="28"/>
      <w:szCs w:val="36"/>
    </w:rPr>
  </w:style>
  <w:style w:type="character" w:customStyle="1" w:styleId="692">
    <w:name w:val="font91"/>
    <w:basedOn w:val="61"/>
    <w:autoRedefine/>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118</Pages>
  <Words>62022</Words>
  <Characters>67624</Characters>
  <Lines>512</Lines>
  <Paragraphs>144</Paragraphs>
  <TotalTime>0</TotalTime>
  <ScaleCrop>false</ScaleCrop>
  <LinksUpToDate>false</LinksUpToDate>
  <CharactersWithSpaces>68965</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2024-04-28T08:19:00Z</dcterms:created>
  <dc:creator>User</dc:creator>
  <cp:lastModifiedBy>彭君</cp:lastModifiedBy>
  <cp:lastPrinted>2024-05-04T11:53:00Z</cp:lastPrinted>
  <dcterms:modified xsi:type="dcterms:W3CDTF">2024-05-07T08:05:02Z</dcterms:modified>
  <dc:title>招标编号：SCWZDL-201402-SFB02</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78D29987A1ED4660B90CC55F8693C8DB_13</vt:lpwstr>
  </property>
</Properties>
</file>