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490DB08">
      <w:pPr>
        <w:rPr>
          <w:color w:val="000000" w:themeColor="text1"/>
          <w:highlight w:val="none"/>
          <w14:textFill>
            <w14:solidFill>
              <w14:schemeClr w14:val="tx1"/>
            </w14:solidFill>
          </w14:textFill>
        </w:rPr>
      </w:pPr>
    </w:p>
    <w:p w14:paraId="342F94B4">
      <w:pPr>
        <w:rPr>
          <w:color w:val="000000" w:themeColor="text1"/>
          <w:highlight w:val="none"/>
          <w14:textFill>
            <w14:solidFill>
              <w14:schemeClr w14:val="tx1"/>
            </w14:solidFill>
          </w14:textFill>
        </w:rPr>
      </w:pPr>
    </w:p>
    <w:p w14:paraId="20688C38">
      <w:pPr>
        <w:jc w:val="center"/>
        <w:rPr>
          <w:rFonts w:hint="eastAsia" w:ascii="宋体" w:hAnsi="宋体" w:cs="宋体"/>
          <w:b/>
          <w:bCs/>
          <w:color w:val="000000" w:themeColor="text1"/>
          <w:sz w:val="40"/>
          <w:szCs w:val="40"/>
          <w:highlight w:val="none"/>
          <w:lang w:val="zh-CN"/>
          <w14:textFill>
            <w14:solidFill>
              <w14:schemeClr w14:val="tx1"/>
            </w14:solidFill>
          </w14:textFill>
        </w:rPr>
      </w:pPr>
      <w:r>
        <w:rPr>
          <w:rFonts w:hint="eastAsia" w:ascii="宋体" w:hAnsi="宋体" w:cs="宋体"/>
          <w:b/>
          <w:bCs/>
          <w:color w:val="000000" w:themeColor="text1"/>
          <w:sz w:val="40"/>
          <w:szCs w:val="40"/>
          <w:highlight w:val="none"/>
          <w:lang w:val="zh-CN"/>
          <w14:textFill>
            <w14:solidFill>
              <w14:schemeClr w14:val="tx1"/>
            </w14:solidFill>
          </w14:textFill>
        </w:rPr>
        <w:t>景谷县正兴镇波云村、通达村糖料甘蔗种植产业道路</w:t>
      </w:r>
    </w:p>
    <w:p w14:paraId="65D7F71D">
      <w:pPr>
        <w:jc w:val="center"/>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b/>
          <w:bCs/>
          <w:color w:val="000000" w:themeColor="text1"/>
          <w:sz w:val="40"/>
          <w:szCs w:val="40"/>
          <w:highlight w:val="none"/>
          <w:lang w:val="zh-CN"/>
          <w14:textFill>
            <w14:solidFill>
              <w14:schemeClr w14:val="tx1"/>
            </w14:solidFill>
          </w14:textFill>
        </w:rPr>
        <w:t>建设</w:t>
      </w:r>
      <w:r>
        <w:rPr>
          <w:rFonts w:hint="eastAsia" w:ascii="宋体" w:hAnsi="宋体" w:cs="宋体"/>
          <w:b/>
          <w:bCs/>
          <w:color w:val="000000" w:themeColor="text1"/>
          <w:sz w:val="40"/>
          <w:szCs w:val="40"/>
          <w:highlight w:val="none"/>
          <w14:textFill>
            <w14:solidFill>
              <w14:schemeClr w14:val="tx1"/>
            </w14:solidFill>
          </w14:textFill>
        </w:rPr>
        <w:t>项目</w:t>
      </w:r>
    </w:p>
    <w:p w14:paraId="29300B46">
      <w:pPr>
        <w:rPr>
          <w:color w:val="000000" w:themeColor="text1"/>
          <w:highlight w:val="none"/>
          <w14:textFill>
            <w14:solidFill>
              <w14:schemeClr w14:val="tx1"/>
            </w14:solidFill>
          </w14:textFill>
        </w:rPr>
      </w:pPr>
    </w:p>
    <w:p w14:paraId="332D39F2">
      <w:pPr>
        <w:rPr>
          <w:color w:val="000000" w:themeColor="text1"/>
          <w:highlight w:val="none"/>
          <w14:textFill>
            <w14:solidFill>
              <w14:schemeClr w14:val="tx1"/>
            </w14:solidFill>
          </w14:textFill>
        </w:rPr>
      </w:pPr>
    </w:p>
    <w:p w14:paraId="6914D79F">
      <w:pPr>
        <w:rPr>
          <w:color w:val="000000" w:themeColor="text1"/>
          <w:highlight w:val="none"/>
          <w14:textFill>
            <w14:solidFill>
              <w14:schemeClr w14:val="tx1"/>
            </w14:solidFill>
          </w14:textFill>
        </w:rPr>
      </w:pPr>
    </w:p>
    <w:p w14:paraId="5FA0DF61">
      <w:pPr>
        <w:rPr>
          <w:color w:val="000000" w:themeColor="text1"/>
          <w:highlight w:val="none"/>
          <w14:textFill>
            <w14:solidFill>
              <w14:schemeClr w14:val="tx1"/>
            </w14:solidFill>
          </w14:textFill>
        </w:rPr>
      </w:pPr>
    </w:p>
    <w:p w14:paraId="39A6664E">
      <w:pPr>
        <w:rPr>
          <w:color w:val="000000" w:themeColor="text1"/>
          <w:highlight w:val="none"/>
          <w14:textFill>
            <w14:solidFill>
              <w14:schemeClr w14:val="tx1"/>
            </w14:solidFill>
          </w14:textFill>
        </w:rPr>
      </w:pPr>
    </w:p>
    <w:p w14:paraId="3FAF7E8D">
      <w:pPr>
        <w:rPr>
          <w:color w:val="000000" w:themeColor="text1"/>
          <w:highlight w:val="none"/>
          <w14:textFill>
            <w14:solidFill>
              <w14:schemeClr w14:val="tx1"/>
            </w14:solidFill>
          </w14:textFill>
        </w:rPr>
      </w:pPr>
    </w:p>
    <w:p w14:paraId="4A96B440">
      <w:pPr>
        <w:spacing w:before="120" w:beforeLines="50"/>
        <w:jc w:val="center"/>
        <w:rPr>
          <w:rFonts w:hint="eastAsia" w:ascii="宋体" w:hAnsi="宋体" w:cs="宋体"/>
          <w:b/>
          <w:color w:val="000000" w:themeColor="text1"/>
          <w:sz w:val="72"/>
          <w:szCs w:val="72"/>
          <w:highlight w:val="none"/>
          <w14:textFill>
            <w14:solidFill>
              <w14:schemeClr w14:val="tx1"/>
            </w14:solidFill>
          </w14:textFill>
        </w:rPr>
      </w:pPr>
      <w:bookmarkStart w:id="0" w:name="_Toc18198"/>
      <w:r>
        <w:rPr>
          <w:rFonts w:hint="eastAsia" w:ascii="宋体" w:hAnsi="宋体" w:cs="宋体"/>
          <w:b/>
          <w:color w:val="000000" w:themeColor="text1"/>
          <w:sz w:val="72"/>
          <w:szCs w:val="72"/>
          <w:highlight w:val="none"/>
          <w14:textFill>
            <w14:solidFill>
              <w14:schemeClr w14:val="tx1"/>
            </w14:solidFill>
          </w14:textFill>
        </w:rPr>
        <w:t>竞争性磋商文件</w:t>
      </w:r>
      <w:bookmarkEnd w:id="0"/>
    </w:p>
    <w:p w14:paraId="128DCA9A">
      <w:pPr>
        <w:spacing w:before="120" w:beforeLines="50"/>
        <w:ind w:firstLine="174" w:firstLineChars="62"/>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项目编号：PEZC2026-C2-01158-YNCJ-0010</w:t>
      </w:r>
    </w:p>
    <w:p w14:paraId="64A23722">
      <w:pPr>
        <w:spacing w:before="120" w:beforeLines="50"/>
        <w:ind w:firstLine="174" w:firstLineChars="62"/>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 </w:t>
      </w:r>
    </w:p>
    <w:p w14:paraId="3E29EE3D">
      <w:pPr>
        <w:rPr>
          <w:color w:val="000000" w:themeColor="text1"/>
          <w:highlight w:val="none"/>
          <w14:textFill>
            <w14:solidFill>
              <w14:schemeClr w14:val="tx1"/>
            </w14:solidFill>
          </w14:textFill>
        </w:rPr>
      </w:pPr>
    </w:p>
    <w:p w14:paraId="69A580A9">
      <w:pPr>
        <w:rPr>
          <w:color w:val="000000" w:themeColor="text1"/>
          <w:highlight w:val="none"/>
          <w14:textFill>
            <w14:solidFill>
              <w14:schemeClr w14:val="tx1"/>
            </w14:solidFill>
          </w14:textFill>
        </w:rPr>
      </w:pPr>
    </w:p>
    <w:p w14:paraId="0D45BFD2">
      <w:pPr>
        <w:rPr>
          <w:color w:val="000000" w:themeColor="text1"/>
          <w:highlight w:val="none"/>
          <w14:textFill>
            <w14:solidFill>
              <w14:schemeClr w14:val="tx1"/>
            </w14:solidFill>
          </w14:textFill>
        </w:rPr>
      </w:pPr>
    </w:p>
    <w:p w14:paraId="47DC8865">
      <w:pPr>
        <w:rPr>
          <w:color w:val="000000" w:themeColor="text1"/>
          <w:highlight w:val="none"/>
          <w14:textFill>
            <w14:solidFill>
              <w14:schemeClr w14:val="tx1"/>
            </w14:solidFill>
          </w14:textFill>
        </w:rPr>
      </w:pPr>
    </w:p>
    <w:p w14:paraId="726971DD">
      <w:pPr>
        <w:rPr>
          <w:color w:val="000000" w:themeColor="text1"/>
          <w:highlight w:val="none"/>
          <w14:textFill>
            <w14:solidFill>
              <w14:schemeClr w14:val="tx1"/>
            </w14:solidFill>
          </w14:textFill>
        </w:rPr>
      </w:pPr>
    </w:p>
    <w:p w14:paraId="5242300F">
      <w:pPr>
        <w:rPr>
          <w:color w:val="000000" w:themeColor="text1"/>
          <w:highlight w:val="none"/>
          <w14:textFill>
            <w14:solidFill>
              <w14:schemeClr w14:val="tx1"/>
            </w14:solidFill>
          </w14:textFill>
        </w:rPr>
      </w:pPr>
    </w:p>
    <w:p w14:paraId="503A8431">
      <w:pPr>
        <w:rPr>
          <w:color w:val="000000" w:themeColor="text1"/>
          <w:highlight w:val="none"/>
          <w14:textFill>
            <w14:solidFill>
              <w14:schemeClr w14:val="tx1"/>
            </w14:solidFill>
          </w14:textFill>
        </w:rPr>
      </w:pPr>
    </w:p>
    <w:p w14:paraId="6FEE3659">
      <w:pPr>
        <w:rPr>
          <w:color w:val="000000" w:themeColor="text1"/>
          <w:highlight w:val="none"/>
          <w14:textFill>
            <w14:solidFill>
              <w14:schemeClr w14:val="tx1"/>
            </w14:solidFill>
          </w14:textFill>
        </w:rPr>
      </w:pPr>
    </w:p>
    <w:p w14:paraId="20A7D96A">
      <w:pPr>
        <w:rPr>
          <w:color w:val="000000" w:themeColor="text1"/>
          <w:highlight w:val="none"/>
          <w14:textFill>
            <w14:solidFill>
              <w14:schemeClr w14:val="tx1"/>
            </w14:solidFill>
          </w14:textFill>
        </w:rPr>
      </w:pPr>
    </w:p>
    <w:p w14:paraId="624C6C55">
      <w:pPr>
        <w:rPr>
          <w:color w:val="000000" w:themeColor="text1"/>
          <w:highlight w:val="none"/>
          <w14:textFill>
            <w14:solidFill>
              <w14:schemeClr w14:val="tx1"/>
            </w14:solidFill>
          </w14:textFill>
        </w:rPr>
      </w:pPr>
    </w:p>
    <w:p w14:paraId="28E4D4E5">
      <w:pPr>
        <w:rPr>
          <w:color w:val="000000" w:themeColor="text1"/>
          <w:highlight w:val="none"/>
          <w14:textFill>
            <w14:solidFill>
              <w14:schemeClr w14:val="tx1"/>
            </w14:solidFill>
          </w14:textFill>
        </w:rPr>
      </w:pPr>
    </w:p>
    <w:p w14:paraId="6DC80AC3">
      <w:pPr>
        <w:rPr>
          <w:color w:val="000000" w:themeColor="text1"/>
          <w:highlight w:val="none"/>
          <w14:textFill>
            <w14:solidFill>
              <w14:schemeClr w14:val="tx1"/>
            </w14:solidFill>
          </w14:textFill>
        </w:rPr>
      </w:pPr>
    </w:p>
    <w:p w14:paraId="2E51D62C">
      <w:pPr>
        <w:pStyle w:val="27"/>
        <w:spacing w:line="700" w:lineRule="exact"/>
        <w:jc w:val="center"/>
        <w:rPr>
          <w:rFonts w:hint="eastAsia" w:hAnsi="宋体" w:cs="宋体"/>
          <w:color w:val="000000" w:themeColor="text1"/>
          <w:sz w:val="32"/>
          <w:szCs w:val="32"/>
          <w:highlight w:val="none"/>
          <w14:textFill>
            <w14:solidFill>
              <w14:schemeClr w14:val="tx1"/>
            </w14:solidFill>
          </w14:textFill>
        </w:rPr>
      </w:pPr>
      <w:r>
        <w:rPr>
          <w:rFonts w:hint="eastAsia" w:hAnsi="宋体" w:cs="宋体"/>
          <w:color w:val="000000" w:themeColor="text1"/>
          <w:sz w:val="32"/>
          <w:szCs w:val="32"/>
          <w:highlight w:val="none"/>
          <w14:textFill>
            <w14:solidFill>
              <w14:schemeClr w14:val="tx1"/>
            </w14:solidFill>
          </w14:textFill>
        </w:rPr>
        <w:t>采购人：景谷傣族彝族自治县正兴镇人民政府</w:t>
      </w:r>
    </w:p>
    <w:p w14:paraId="14922F3A">
      <w:pPr>
        <w:pStyle w:val="27"/>
        <w:spacing w:line="700" w:lineRule="exact"/>
        <w:jc w:val="center"/>
        <w:rPr>
          <w:rFonts w:hint="eastAsia" w:hAnsi="宋体" w:cs="宋体"/>
          <w:color w:val="000000" w:themeColor="text1"/>
          <w:sz w:val="32"/>
          <w:szCs w:val="32"/>
          <w:highlight w:val="none"/>
          <w14:textFill>
            <w14:solidFill>
              <w14:schemeClr w14:val="tx1"/>
            </w14:solidFill>
          </w14:textFill>
        </w:rPr>
      </w:pPr>
      <w:r>
        <w:rPr>
          <w:rFonts w:hint="eastAsia" w:hAnsi="宋体" w:cs="宋体"/>
          <w:color w:val="000000" w:themeColor="text1"/>
          <w:sz w:val="32"/>
          <w:szCs w:val="32"/>
          <w:highlight w:val="none"/>
          <w14:textFill>
            <w14:solidFill>
              <w14:schemeClr w14:val="tx1"/>
            </w14:solidFill>
          </w14:textFill>
        </w:rPr>
        <w:t>采购代理机构：云南辰竟管理咨询有限公司</w:t>
      </w:r>
    </w:p>
    <w:p w14:paraId="472A845C">
      <w:pPr>
        <w:pStyle w:val="27"/>
        <w:spacing w:line="700" w:lineRule="exact"/>
        <w:jc w:val="center"/>
        <w:rPr>
          <w:rFonts w:hint="eastAsia" w:hAnsi="宋体" w:cs="宋体"/>
          <w:color w:val="000000" w:themeColor="text1"/>
          <w:sz w:val="32"/>
          <w:szCs w:val="32"/>
          <w:highlight w:val="none"/>
          <w14:textFill>
            <w14:solidFill>
              <w14:schemeClr w14:val="tx1"/>
            </w14:solidFill>
          </w14:textFill>
        </w:rPr>
      </w:pPr>
      <w:bookmarkStart w:id="1" w:name="_Toc214"/>
      <w:bookmarkStart w:id="2" w:name="_Toc2954"/>
      <w:bookmarkStart w:id="3" w:name="_Toc15040"/>
      <w:r>
        <w:rPr>
          <w:rFonts w:hint="eastAsia" w:hAnsi="宋体" w:cs="宋体"/>
          <w:color w:val="000000" w:themeColor="text1"/>
          <w:sz w:val="32"/>
          <w:szCs w:val="32"/>
          <w:highlight w:val="none"/>
          <w14:textFill>
            <w14:solidFill>
              <w14:schemeClr w14:val="tx1"/>
            </w14:solidFill>
          </w14:textFill>
        </w:rPr>
        <w:t>日  期：2026年9月</w:t>
      </w:r>
      <w:bookmarkEnd w:id="1"/>
      <w:bookmarkEnd w:id="2"/>
      <w:bookmarkEnd w:id="3"/>
    </w:p>
    <w:p w14:paraId="4524916B">
      <w:pPr>
        <w:rPr>
          <w:color w:val="000000" w:themeColor="text1"/>
          <w:highlight w:val="none"/>
          <w14:textFill>
            <w14:solidFill>
              <w14:schemeClr w14:val="tx1"/>
            </w14:solidFill>
          </w14:textFill>
        </w:rPr>
      </w:pPr>
    </w:p>
    <w:p w14:paraId="26EB811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sdt>
      <w:sdtPr>
        <w:rPr>
          <w:rFonts w:ascii="宋体" w:hAnsi="宋体"/>
          <w:b/>
          <w:bCs/>
          <w:color w:val="000000" w:themeColor="text1"/>
          <w:sz w:val="28"/>
          <w:szCs w:val="36"/>
          <w:highlight w:val="none"/>
          <w14:textFill>
            <w14:solidFill>
              <w14:schemeClr w14:val="tx1"/>
            </w14:solidFill>
          </w14:textFill>
        </w:rPr>
        <w:id w:val="147462194"/>
        <w15:color w:val="DBDBDB"/>
        <w:docPartObj>
          <w:docPartGallery w:val="Table of Contents"/>
          <w:docPartUnique/>
        </w:docPartObj>
      </w:sdtPr>
      <w:sdtEndPr>
        <w:rPr>
          <w:rFonts w:ascii="宋体" w:hAnsi="宋体"/>
          <w:b/>
          <w:bCs/>
          <w:color w:val="000000" w:themeColor="text1"/>
          <w:sz w:val="28"/>
          <w:szCs w:val="36"/>
          <w:highlight w:val="none"/>
          <w14:textFill>
            <w14:solidFill>
              <w14:schemeClr w14:val="tx1"/>
            </w14:solidFill>
          </w14:textFill>
        </w:rPr>
      </w:sdtEndPr>
      <w:sdtContent>
        <w:p w14:paraId="33C48402">
          <w:pPr>
            <w:spacing w:line="240" w:lineRule="auto"/>
            <w:jc w:val="center"/>
            <w:rPr>
              <w:color w:val="000000" w:themeColor="text1"/>
              <w:highlight w:val="none"/>
              <w14:textFill>
                <w14:solidFill>
                  <w14:schemeClr w14:val="tx1"/>
                </w14:solidFill>
              </w14:textFill>
            </w:rPr>
          </w:pPr>
          <w:r>
            <w:rPr>
              <w:rFonts w:ascii="宋体" w:hAnsi="宋体"/>
              <w:b/>
              <w:bCs/>
              <w:color w:val="000000" w:themeColor="text1"/>
              <w:sz w:val="28"/>
              <w:szCs w:val="36"/>
              <w:highlight w:val="none"/>
              <w14:textFill>
                <w14:solidFill>
                  <w14:schemeClr w14:val="tx1"/>
                </w14:solidFill>
              </w14:textFill>
            </w:rPr>
            <w:t>目</w:t>
          </w:r>
          <w:r>
            <w:rPr>
              <w:rFonts w:hint="eastAsia" w:ascii="宋体" w:hAnsi="宋体"/>
              <w:b/>
              <w:bCs/>
              <w:color w:val="000000" w:themeColor="text1"/>
              <w:sz w:val="28"/>
              <w:szCs w:val="36"/>
              <w:highlight w:val="none"/>
              <w14:textFill>
                <w14:solidFill>
                  <w14:schemeClr w14:val="tx1"/>
                </w14:solidFill>
              </w14:textFill>
            </w:rPr>
            <w:t xml:space="preserve">   </w:t>
          </w:r>
          <w:r>
            <w:rPr>
              <w:rFonts w:ascii="宋体" w:hAnsi="宋体"/>
              <w:b/>
              <w:bCs/>
              <w:color w:val="000000" w:themeColor="text1"/>
              <w:sz w:val="28"/>
              <w:szCs w:val="36"/>
              <w:highlight w:val="none"/>
              <w14:textFill>
                <w14:solidFill>
                  <w14:schemeClr w14:val="tx1"/>
                </w14:solidFill>
              </w14:textFill>
            </w:rPr>
            <w:t>录</w:t>
          </w:r>
          <w:r>
            <w:rPr>
              <w:rFonts w:hint="eastAsia" w:ascii="宋体" w:hAnsi="宋体"/>
              <w:b/>
              <w:bCs/>
              <w:color w:val="000000" w:themeColor="text1"/>
              <w:sz w:val="28"/>
              <w:szCs w:val="36"/>
              <w:highlight w:val="none"/>
              <w14:textFill>
                <w14:solidFill>
                  <w14:schemeClr w14:val="tx1"/>
                </w14:solidFill>
              </w14:textFill>
            </w:rPr>
            <w:fldChar w:fldCharType="begin"/>
          </w:r>
          <w:r>
            <w:rPr>
              <w:rFonts w:hint="eastAsia" w:ascii="宋体" w:hAnsi="宋体"/>
              <w:b/>
              <w:bCs/>
              <w:color w:val="000000" w:themeColor="text1"/>
              <w:sz w:val="28"/>
              <w:szCs w:val="36"/>
              <w:highlight w:val="none"/>
              <w14:textFill>
                <w14:solidFill>
                  <w14:schemeClr w14:val="tx1"/>
                </w14:solidFill>
              </w14:textFill>
            </w:rPr>
            <w:instrText xml:space="preserve"> </w:instrText>
          </w:r>
          <w:r>
            <w:rPr>
              <w:rFonts w:ascii="宋体" w:hAnsi="宋体"/>
              <w:b/>
              <w:bCs/>
              <w:color w:val="000000" w:themeColor="text1"/>
              <w:sz w:val="28"/>
              <w:szCs w:val="36"/>
              <w:highlight w:val="none"/>
              <w14:textFill>
                <w14:solidFill>
                  <w14:schemeClr w14:val="tx1"/>
                </w14:solidFill>
              </w14:textFill>
            </w:rPr>
            <w:instrText xml:space="preserve">TOC \o "1-3" \h \z \u</w:instrText>
          </w:r>
          <w:r>
            <w:rPr>
              <w:rFonts w:hint="eastAsia" w:ascii="宋体" w:hAnsi="宋体"/>
              <w:b/>
              <w:bCs/>
              <w:color w:val="000000" w:themeColor="text1"/>
              <w:sz w:val="28"/>
              <w:szCs w:val="36"/>
              <w:highlight w:val="none"/>
              <w14:textFill>
                <w14:solidFill>
                  <w14:schemeClr w14:val="tx1"/>
                </w14:solidFill>
              </w14:textFill>
            </w:rPr>
            <w:instrText xml:space="preserve"> </w:instrText>
          </w:r>
          <w:r>
            <w:rPr>
              <w:rFonts w:hint="eastAsia" w:ascii="宋体" w:hAnsi="宋体"/>
              <w:b/>
              <w:bCs/>
              <w:color w:val="000000" w:themeColor="text1"/>
              <w:sz w:val="28"/>
              <w:szCs w:val="36"/>
              <w:highlight w:val="none"/>
              <w14:textFill>
                <w14:solidFill>
                  <w14:schemeClr w14:val="tx1"/>
                </w14:solidFill>
              </w14:textFill>
            </w:rPr>
            <w:fldChar w:fldCharType="separate"/>
          </w:r>
        </w:p>
        <w:p w14:paraId="15091819">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"_Toc228389584"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第一章  竞争性磋商公告</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_Toc228389584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18EE229E">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"_Toc228389585"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一、项目基本情况</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_Toc228389585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02B2CF55">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"_Toc228389586"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二、供应商资格要求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_Toc228389586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20C8B1BE">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"_Toc228389587"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三、获取采购文件</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_Toc228389587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- 2 -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4E5792E7">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"_Toc228389588"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四、响应文件提交</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_Toc228389588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- 2 -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10AB8056">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"_Toc228389589"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五、响应文件开启</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_Toc228389589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- 3 -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1E67239C">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"_Toc228389590"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六、公告期限</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_Toc228389590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- 3 -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5CDCC45">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"_Toc228389591"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七、其他补充事宜</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_Toc228389591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- 3 -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3226089">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"_Toc228389592" </w:instrText>
          </w:r>
          <w:r>
            <w:rPr>
              <w:color w:val="000000" w:themeColor="text1"/>
              <w:highlight w:val="none"/>
              <w14:textFill>
                <w14:solidFill>
                  <w14:schemeClr w14:val="tx1"/>
                </w14:solidFill>
              </w14:textFill>
            </w:rPr>
            <w:fldChar w:fldCharType="separate"/>
          </w:r>
          <w:r>
            <w:rPr>
              <w:rStyle w:val="64"/>
              <w:rFonts w:hint="default"/>
              <w:b/>
              <w:bCs/>
              <w:color w:val="000000" w:themeColor="text1"/>
              <w:highlight w:val="none"/>
              <w14:textFill>
                <w14:solidFill>
                  <w14:schemeClr w14:val="tx1"/>
                </w14:solidFill>
              </w14:textFill>
            </w:rPr>
            <w:t>九、凡对本次采购提出询问，请按以下方式联系</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_Toc228389592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- 3 -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08DE5026">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"_Toc228389593"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第二章  供应商须知</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_Toc228389593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53B57654">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"_Toc228389594"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供应商须知前附表</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_Toc228389594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3895B04">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"_Toc228389595"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供应商须知正文部分</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_Toc228389595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- 8 -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77594DF">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"_Toc228389596"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第三章  采购需求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_Toc228389596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- 17 -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4DD28EB">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"_Toc228389597"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第四章  技术标准及要求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_Toc228389597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- 18 -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6377AD97">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"_Toc228389598"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第五章  合同书样式及主要条款</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_Toc228389598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- 19 -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014B5B31">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"_Toc228389599" </w:instrText>
          </w:r>
          <w:r>
            <w:rPr>
              <w:color w:val="000000" w:themeColor="text1"/>
              <w:highlight w:val="none"/>
              <w14:textFill>
                <w14:solidFill>
                  <w14:schemeClr w14:val="tx1"/>
                </w14:solidFill>
              </w14:textFill>
            </w:rPr>
            <w:fldChar w:fldCharType="separate"/>
          </w:r>
          <w:r>
            <w:rPr>
              <w:rStyle w:val="64"/>
              <w:rFonts w:hint="default" w:ascii="宋体" w:hAnsi="宋体" w:cstheme="minorEastAsia"/>
              <w:b/>
              <w:color w:val="000000" w:themeColor="text1"/>
              <w:highlight w:val="none"/>
              <w14:textFill>
                <w14:solidFill>
                  <w14:schemeClr w14:val="tx1"/>
                </w14:solidFill>
              </w14:textFill>
            </w:rPr>
            <w:t>第一节 合同协议书</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_Toc228389599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- 21 -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42F61867">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"_Toc228389600" </w:instrText>
          </w:r>
          <w:r>
            <w:rPr>
              <w:color w:val="000000" w:themeColor="text1"/>
              <w:highlight w:val="none"/>
              <w14:textFill>
                <w14:solidFill>
                  <w14:schemeClr w14:val="tx1"/>
                </w14:solidFill>
              </w14:textFill>
            </w:rPr>
            <w:fldChar w:fldCharType="separate"/>
          </w:r>
          <w:r>
            <w:rPr>
              <w:rStyle w:val="64"/>
              <w:rFonts w:hint="default" w:ascii="宋体" w:hAnsi="宋体" w:cstheme="minorEastAsia"/>
              <w:b/>
              <w:color w:val="000000" w:themeColor="text1"/>
              <w:highlight w:val="none"/>
              <w14:textFill>
                <w14:solidFill>
                  <w14:schemeClr w14:val="tx1"/>
                </w14:solidFill>
              </w14:textFill>
            </w:rPr>
            <w:t>第二节 通用合同条款</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_Toc228389600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- 22 -</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6130AB2">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"_Toc228389601" </w:instrText>
          </w:r>
          <w:r>
            <w:rPr>
              <w:color w:val="000000" w:themeColor="text1"/>
              <w:highlight w:val="none"/>
              <w14:textFill>
                <w14:solidFill>
                  <w14:schemeClr w14:val="tx1"/>
                </w14:solidFill>
              </w14:textFill>
            </w:rPr>
            <w:fldChar w:fldCharType="separate"/>
          </w:r>
          <w:r>
            <w:rPr>
              <w:rStyle w:val="64"/>
              <w:rFonts w:hint="default" w:ascii="宋体" w:hAnsi="宋体" w:cstheme="minorEastAsia"/>
              <w:b/>
              <w:color w:val="000000" w:themeColor="text1"/>
              <w:highlight w:val="none"/>
              <w14:textFill>
                <w14:solidFill>
                  <w14:schemeClr w14:val="tx1"/>
                </w14:solidFill>
              </w14:textFill>
            </w:rPr>
            <w:t>第三节 专用合同条款</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_Toc228389601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63</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538E4DD1">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"_Toc228389602"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第六章  评审办法</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_Toc228389602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69</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154C2E35">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"_Toc228389603"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评审办法前附表</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_Toc228389603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69</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26957495">
          <w:pPr>
            <w:pStyle w:val="44"/>
            <w:tabs>
              <w:tab w:val="right" w:leader="dot" w:pos="9628"/>
            </w:tabs>
            <w:ind w:left="42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"_Toc228389604"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评审办法正文部分</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_Toc228389604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72</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4EA63CFD">
          <w:pPr>
            <w:pStyle w:val="37"/>
            <w:tabs>
              <w:tab w:val="right" w:leader="dot" w:pos="9628"/>
            </w:tabs>
            <w:spacing w:before="120" w:after="120"/>
            <w:rPr>
              <w:rFonts w:asciiTheme="minorHAnsi" w:hAnsiTheme="minorHAnsi" w:eastAsiaTheme="minorEastAsia" w:cstheme="minorBidi"/>
              <w:b w:val="0"/>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"_Toc228389605"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第七章  响应文件格式</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_Toc228389605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75</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5A7E8CFA">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"_Toc228389606"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一、资格文件</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_Toc228389606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77</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43F32F35">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"_Toc228389607"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二、报价文件</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_Toc228389607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77</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6366DCAB">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"_Toc228389608"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三、商务文件</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_Toc228389608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88</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7C2C72D8">
          <w:pPr>
            <w:pStyle w:val="26"/>
            <w:tabs>
              <w:tab w:val="right" w:leader="dot" w:pos="9628"/>
            </w:tabs>
            <w:ind w:left="840"/>
            <w:rPr>
              <w:rFonts w:asciiTheme="minorHAnsi" w:hAnsiTheme="minorHAnsi" w:eastAsiaTheme="minorEastAsia" w:cstheme="minorBidi"/>
              <w:color w:val="000000" w:themeColor="text1"/>
              <w:sz w:val="22"/>
              <w:highlight w:val="none"/>
              <w14:textFill>
                <w14:solidFill>
                  <w14:schemeClr w14:val="tx1"/>
                </w14:solidFill>
              </w14:textFill>
              <w14:ligatures w14:val="standardContextua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"_Toc228389609" </w:instrText>
          </w:r>
          <w:r>
            <w:rPr>
              <w:color w:val="000000" w:themeColor="text1"/>
              <w:highlight w:val="none"/>
              <w14:textFill>
                <w14:solidFill>
                  <w14:schemeClr w14:val="tx1"/>
                </w14:solidFill>
              </w14:textFill>
            </w:rPr>
            <w:fldChar w:fldCharType="separate"/>
          </w:r>
          <w:r>
            <w:rPr>
              <w:rStyle w:val="64"/>
              <w:rFonts w:hint="default"/>
              <w:color w:val="000000" w:themeColor="text1"/>
              <w:highlight w:val="none"/>
              <w14:textFill>
                <w14:solidFill>
                  <w14:schemeClr w14:val="tx1"/>
                </w14:solidFill>
              </w14:textFill>
            </w:rPr>
            <w:t>四、技术文件</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fldChar w:fldCharType="begin"/>
          </w:r>
          <w:r>
            <w:rPr>
              <w:rFonts w:hint="eastAsia"/>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PAGEREF _Toc228389609 \h</w:instrText>
          </w:r>
          <w:r>
            <w:rPr>
              <w:rFonts w:hint="eastAsia"/>
              <w:color w:val="000000" w:themeColor="text1"/>
              <w:highlight w:val="none"/>
              <w14:textFill>
                <w14:solidFill>
                  <w14:schemeClr w14:val="tx1"/>
                </w14:solidFill>
              </w14:textFill>
            </w:rPr>
            <w:instrText xml:space="preserve"> </w:instrText>
          </w:r>
          <w:r>
            <w:rPr>
              <w:rFonts w:hint="eastAsia"/>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93</w:t>
          </w:r>
          <w:r>
            <w:rPr>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fldChar w:fldCharType="end"/>
          </w:r>
        </w:p>
        <w:p w14:paraId="503EC9CB">
          <w:pPr>
            <w:spacing w:line="240" w:lineRule="auto"/>
            <w:jc w:val="center"/>
            <w:rPr>
              <w:color w:val="000000" w:themeColor="text1"/>
              <w:highlight w:val="none"/>
              <w14:textFill>
                <w14:solidFill>
                  <w14:schemeClr w14:val="tx1"/>
                </w14:solidFill>
              </w14:textFill>
            </w:rPr>
          </w:pPr>
          <w:r>
            <w:rPr>
              <w:rFonts w:hint="eastAsia" w:ascii="宋体" w:hAnsi="宋体"/>
              <w:b/>
              <w:bCs/>
              <w:color w:val="000000" w:themeColor="text1"/>
              <w:sz w:val="28"/>
              <w:szCs w:val="36"/>
              <w:highlight w:val="none"/>
              <w14:textFill>
                <w14:solidFill>
                  <w14:schemeClr w14:val="tx1"/>
                </w14:solidFill>
              </w14:textFill>
            </w:rPr>
            <w:fldChar w:fldCharType="end"/>
          </w:r>
        </w:p>
      </w:sdtContent>
    </w:sdt>
    <w:p w14:paraId="13D05E5F">
      <w:pPr>
        <w:rPr>
          <w:color w:val="000000" w:themeColor="text1"/>
          <w:highlight w:val="none"/>
          <w14:textFill>
            <w14:solidFill>
              <w14:schemeClr w14:val="tx1"/>
            </w14:solidFill>
          </w14:textFill>
        </w:rPr>
      </w:pPr>
      <w:bookmarkStart w:id="4" w:name="_Toc351"/>
      <w:bookmarkStart w:id="5" w:name="_Toc337822211"/>
    </w:p>
    <w:p w14:paraId="3BC10C06">
      <w:pPr>
        <w:rPr>
          <w:color w:val="000000" w:themeColor="text1"/>
          <w:highlight w:val="none"/>
          <w14:textFill>
            <w14:solidFill>
              <w14:schemeClr w14:val="tx1"/>
            </w14:solidFill>
          </w14:textFill>
        </w:rPr>
      </w:pPr>
    </w:p>
    <w:p w14:paraId="77F70DC7">
      <w:pPr>
        <w:rPr>
          <w:color w:val="000000" w:themeColor="text1"/>
          <w:highlight w:val="none"/>
          <w14:textFill>
            <w14:solidFill>
              <w14:schemeClr w14:val="tx1"/>
            </w14:solidFill>
          </w14:textFill>
        </w:rPr>
        <w:sectPr>
          <w:footerReference r:id="rId6" w:type="default"/>
          <w:headerReference r:id="rId5" w:type="even"/>
          <w:footerReference r:id="rId7" w:type="even"/>
          <w:pgSz w:w="11906" w:h="16838"/>
          <w:pgMar w:top="1134" w:right="1134" w:bottom="1134" w:left="1134" w:header="567" w:footer="567" w:gutter="0"/>
          <w:pgNumType w:start="1"/>
          <w:cols w:space="720" w:num="1"/>
          <w:docGrid w:linePitch="312" w:charSpace="200"/>
        </w:sectPr>
      </w:pPr>
    </w:p>
    <w:p w14:paraId="5BD8960F">
      <w:pPr>
        <w:pStyle w:val="2"/>
        <w:spacing w:before="156"/>
        <w:rPr>
          <w:color w:val="000000" w:themeColor="text1"/>
          <w:highlight w:val="none"/>
          <w14:textFill>
            <w14:solidFill>
              <w14:schemeClr w14:val="tx1"/>
            </w14:solidFill>
          </w14:textFill>
        </w:rPr>
      </w:pPr>
      <w:bookmarkStart w:id="6" w:name="_Toc228389584"/>
      <w:r>
        <w:rPr>
          <w:rFonts w:hint="eastAsia"/>
          <w:color w:val="000000" w:themeColor="text1"/>
          <w:highlight w:val="none"/>
          <w14:textFill>
            <w14:solidFill>
              <w14:schemeClr w14:val="tx1"/>
            </w14:solidFill>
          </w14:textFill>
        </w:rPr>
        <w:t xml:space="preserve">第一章  </w:t>
      </w:r>
      <w:bookmarkStart w:id="7" w:name="_Toc383175471"/>
      <w:r>
        <w:rPr>
          <w:rFonts w:hint="eastAsia"/>
          <w:color w:val="000000" w:themeColor="text1"/>
          <w:highlight w:val="none"/>
          <w14:textFill>
            <w14:solidFill>
              <w14:schemeClr w14:val="tx1"/>
            </w14:solidFill>
          </w14:textFill>
        </w:rPr>
        <w:t>竞争性磋商公告</w:t>
      </w:r>
      <w:bookmarkEnd w:id="4"/>
      <w:bookmarkEnd w:id="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0D18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1F01A693">
            <w:pPr>
              <w:widowControl/>
              <w:jc w:val="left"/>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项目概况</w:t>
            </w:r>
          </w:p>
          <w:p w14:paraId="1D60292D">
            <w:pPr>
              <w:widowControl/>
              <w:ind w:firstLine="480" w:firstLineChars="20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u w:val="single"/>
                <w14:textFill>
                  <w14:solidFill>
                    <w14:schemeClr w14:val="tx1"/>
                  </w14:solidFill>
                </w14:textFill>
              </w:rPr>
              <w:t>景谷县正兴镇波云村、通达村糖料甘蔗种植产业道路建设项目</w:t>
            </w:r>
            <w:r>
              <w:rPr>
                <w:rFonts w:hint="eastAsia" w:ascii="宋体" w:hAnsi="宋体" w:cs="宋体"/>
                <w:color w:val="000000" w:themeColor="text1"/>
                <w:kern w:val="0"/>
                <w:sz w:val="24"/>
                <w:highlight w:val="none"/>
                <w14:textFill>
                  <w14:solidFill>
                    <w14:schemeClr w14:val="tx1"/>
                  </w14:solidFill>
                </w14:textFill>
              </w:rPr>
              <w:t>的潜在供应商应在云南省政府采购电子交易平台（政采云https://www.zcygov.cn/）地址获取采购文件，并于2026年09月</w:t>
            </w:r>
            <w:r>
              <w:rPr>
                <w:rFonts w:hint="eastAsia" w:ascii="宋体" w:hAnsi="宋体" w:cs="宋体"/>
                <w:color w:val="000000" w:themeColor="text1"/>
                <w:kern w:val="0"/>
                <w:sz w:val="24"/>
                <w:highlight w:val="none"/>
                <w:lang w:val="en-US" w:eastAsia="zh-CN"/>
                <w14:textFill>
                  <w14:solidFill>
                    <w14:schemeClr w14:val="tx1"/>
                  </w14:solidFill>
                </w14:textFill>
              </w:rPr>
              <w:t>22</w:t>
            </w:r>
            <w:r>
              <w:rPr>
                <w:rFonts w:hint="eastAsia" w:ascii="宋体" w:hAnsi="宋体" w:cs="宋体"/>
                <w:color w:val="000000" w:themeColor="text1"/>
                <w:kern w:val="0"/>
                <w:sz w:val="24"/>
                <w:highlight w:val="none"/>
                <w14:textFill>
                  <w14:solidFill>
                    <w14:schemeClr w14:val="tx1"/>
                  </w14:solidFill>
                </w14:textFill>
              </w:rPr>
              <w:t>日1</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:00（北京时间）前提交响应文件。</w:t>
            </w:r>
          </w:p>
        </w:tc>
      </w:tr>
    </w:tbl>
    <w:p w14:paraId="7A34E968">
      <w:pPr>
        <w:spacing w:before="156" w:beforeLines="50"/>
        <w:outlineLvl w:val="2"/>
        <w:rPr>
          <w:b/>
          <w:bCs/>
          <w:color w:val="000000" w:themeColor="text1"/>
          <w:sz w:val="24"/>
          <w:highlight w:val="none"/>
          <w14:textFill>
            <w14:solidFill>
              <w14:schemeClr w14:val="tx1"/>
            </w14:solidFill>
          </w14:textFill>
        </w:rPr>
      </w:pPr>
      <w:bookmarkStart w:id="8" w:name="_Toc228389585"/>
      <w:bookmarkStart w:id="9" w:name="_Toc15448"/>
      <w:r>
        <w:rPr>
          <w:rFonts w:hint="eastAsia"/>
          <w:b/>
          <w:bCs/>
          <w:color w:val="000000" w:themeColor="text1"/>
          <w:sz w:val="24"/>
          <w:highlight w:val="none"/>
          <w14:textFill>
            <w14:solidFill>
              <w14:schemeClr w14:val="tx1"/>
            </w14:solidFill>
          </w14:textFill>
        </w:rPr>
        <w:t>一、项目基本情况</w:t>
      </w:r>
      <w:bookmarkEnd w:id="8"/>
      <w:bookmarkEnd w:id="9"/>
    </w:p>
    <w:p w14:paraId="5AEB3763">
      <w:pPr>
        <w:widowControl/>
        <w:tabs>
          <w:tab w:val="left" w:pos="312"/>
        </w:tabs>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1.项目编号：PEZC2026-C2-01158-YNCJ-0010 </w:t>
      </w:r>
    </w:p>
    <w:p w14:paraId="0CB8AD81">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lang w:val="zh-CN"/>
          <w14:textFill>
            <w14:solidFill>
              <w14:schemeClr w14:val="tx1"/>
            </w14:solidFill>
          </w14:textFill>
        </w:rPr>
        <w:t>景谷县正兴镇波云村、通达村糖料甘蔗种植产业道路建设</w:t>
      </w:r>
      <w:r>
        <w:rPr>
          <w:rFonts w:hint="eastAsia" w:ascii="宋体" w:hAnsi="宋体" w:cs="宋体"/>
          <w:color w:val="000000" w:themeColor="text1"/>
          <w:sz w:val="24"/>
          <w:highlight w:val="none"/>
          <w14:textFill>
            <w14:solidFill>
              <w14:schemeClr w14:val="tx1"/>
            </w14:solidFill>
          </w14:textFill>
        </w:rPr>
        <w:t>项目</w:t>
      </w:r>
    </w:p>
    <w:p w14:paraId="23E4EDDB">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3.采购方式：竞争性磋商</w:t>
      </w:r>
    </w:p>
    <w:p w14:paraId="2085A2AF">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4.预算金额：¥850000.00元</w:t>
      </w:r>
    </w:p>
    <w:p w14:paraId="41BEC8EC">
      <w:pPr>
        <w:widowControl/>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5.最高限价：¥849992.32元</w:t>
      </w:r>
    </w:p>
    <w:p w14:paraId="4F2EEC29">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6.采购需求：</w:t>
      </w:r>
    </w:p>
    <w:p w14:paraId="5626C659">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（1）（改）扩建波云村甘蔗砂石路3条，宽3.5米、长8千米、厚0.2米（含排水沟土沟，宽 0.5 米、高 0.5 米），安装 30 根 DN600 预制混凝土涵管（含毛石一字墙+沉沙井）。 </w:t>
      </w:r>
    </w:p>
    <w:p w14:paraId="28941BED">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（2）新、（改）扩建通达村甘蔗生产道路（土路）7 条，路宽3.5米，长12.66千米、厚0.2米（含排水沟土沟，宽0.5米、高0.5米），安装30 根DN600预制混凝土涵管（含毛石一字墙+沉沙井）。 </w:t>
      </w:r>
    </w:p>
    <w:p w14:paraId="55001389">
      <w:pPr>
        <w:widowControl/>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（3）（改）扩建通达村甘蔗砂石路2条，宽3.5米、长2.5千米、厚0.2米（含排水沟土沟，宽0.5米、高0.5米）。安装12根DN600预制混凝土涵管（含毛石一字墙+沉沙井）。</w:t>
      </w:r>
    </w:p>
    <w:p w14:paraId="7EFA50B3">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（具体详见招标工程量清单）。</w:t>
      </w:r>
    </w:p>
    <w:p w14:paraId="63F6CC60">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7.合同履行期限：自签订合同之日起90日历天内完成。</w:t>
      </w:r>
    </w:p>
    <w:p w14:paraId="0E0B67B4">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8.本项目不接受联合体磋商。</w:t>
      </w:r>
    </w:p>
    <w:p w14:paraId="66961C49">
      <w:pPr>
        <w:spacing w:before="156" w:beforeLines="50"/>
        <w:outlineLvl w:val="2"/>
        <w:rPr>
          <w:b/>
          <w:bCs/>
          <w:color w:val="000000" w:themeColor="text1"/>
          <w:sz w:val="24"/>
          <w:highlight w:val="none"/>
          <w14:textFill>
            <w14:solidFill>
              <w14:schemeClr w14:val="tx1"/>
            </w14:solidFill>
          </w14:textFill>
        </w:rPr>
      </w:pPr>
      <w:bookmarkStart w:id="10" w:name="_Toc228389586"/>
      <w:r>
        <w:rPr>
          <w:rFonts w:hint="eastAsia"/>
          <w:b/>
          <w:bCs/>
          <w:color w:val="000000" w:themeColor="text1"/>
          <w:sz w:val="24"/>
          <w:highlight w:val="none"/>
          <w14:textFill>
            <w14:solidFill>
              <w14:schemeClr w14:val="tx1"/>
            </w14:solidFill>
          </w14:textFill>
        </w:rPr>
        <w:t>二、供应商资格要求</w:t>
      </w:r>
      <w:bookmarkEnd w:id="10"/>
    </w:p>
    <w:p w14:paraId="27C809B1">
      <w:pPr>
        <w:ind w:firstLine="480"/>
        <w:rPr>
          <w:rFonts w:hint="eastAsia" w:ascii="宋体" w:hAnsi="宋体" w:cs="宋体"/>
          <w:color w:val="000000" w:themeColor="text1"/>
          <w:sz w:val="24"/>
          <w:highlight w:val="none"/>
          <w14:textFill>
            <w14:solidFill>
              <w14:schemeClr w14:val="tx1"/>
            </w14:solidFill>
          </w14:textFill>
        </w:rPr>
      </w:pPr>
      <w:bookmarkStart w:id="11" w:name="_Toc22080"/>
      <w:r>
        <w:rPr>
          <w:rFonts w:hint="eastAsia" w:ascii="宋体" w:hAnsi="宋体" w:cs="宋体"/>
          <w:color w:val="000000" w:themeColor="text1"/>
          <w:sz w:val="24"/>
          <w:highlight w:val="none"/>
          <w14:textFill>
            <w14:solidFill>
              <w14:schemeClr w14:val="tx1"/>
            </w14:solidFill>
          </w14:textFill>
        </w:rPr>
        <w:t>1.符合《中华人民共和国政府采购法》第二十二条的规定：</w:t>
      </w:r>
    </w:p>
    <w:p w14:paraId="402897BA">
      <w:pPr>
        <w:tabs>
          <w:tab w:val="left" w:pos="312"/>
        </w:tabs>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w:t>
      </w:r>
      <w:r>
        <w:rPr>
          <w:rFonts w:hint="eastAsia" w:ascii="宋体" w:hAnsi="宋体" w:cs="宋体"/>
          <w:b/>
          <w:bCs/>
          <w:color w:val="000000" w:themeColor="text1"/>
          <w:sz w:val="24"/>
          <w:highlight w:val="none"/>
          <w14:textFill>
            <w14:solidFill>
              <w14:schemeClr w14:val="tx1"/>
            </w14:solidFill>
          </w14:textFill>
        </w:rPr>
        <w:t>本项目专门面向中小微型企业</w:t>
      </w:r>
      <w:r>
        <w:rPr>
          <w:rFonts w:hint="eastAsia"/>
          <w:b/>
          <w:bCs/>
          <w:color w:val="000000" w:themeColor="text1"/>
          <w:sz w:val="24"/>
          <w:highlight w:val="none"/>
          <w14:textFill>
            <w14:solidFill>
              <w14:schemeClr w14:val="tx1"/>
            </w14:solidFill>
          </w14:textFill>
        </w:rPr>
        <w:t>（监狱企业、残疾人福利性单位视同中小微企业）</w:t>
      </w:r>
      <w:r>
        <w:rPr>
          <w:rFonts w:hint="eastAsia" w:ascii="宋体" w:hAnsi="宋体" w:cs="宋体"/>
          <w:b/>
          <w:bCs/>
          <w:color w:val="000000" w:themeColor="text1"/>
          <w:sz w:val="24"/>
          <w:highlight w:val="none"/>
          <w14:textFill>
            <w14:solidFill>
              <w14:schemeClr w14:val="tx1"/>
            </w14:solidFill>
          </w14:textFill>
        </w:rPr>
        <w:t>。</w:t>
      </w:r>
    </w:p>
    <w:p w14:paraId="70519EE6">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3.本项目的特定资格要求：</w:t>
      </w:r>
    </w:p>
    <w:p w14:paraId="0649BFB7">
      <w:pP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具有健全的财务会计制度【供应商须提供财务状况报告或承诺书，财务状况报告内容可为以下两者之一：①提供2023年至2025年其中任意一年的财务报告（包括资产负债表、利润表、现金流量表、所有者权益变动表及其附注），新成立不满1年的供应商提供自成立至今的财务报表；②提供自响应文件递交截止时间前三个月内基本开户银行出具的资信证明】；</w:t>
      </w:r>
    </w:p>
    <w:p w14:paraId="564C8128">
      <w:pP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3.2具有履行合同所必需的设备和专业技术能力【提供承诺书或证明材料】；</w:t>
      </w:r>
    </w:p>
    <w:p w14:paraId="5003C5C7">
      <w:pP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3.3有依法缴纳税收和社会保障资金的良好记录【提供2025年1月至今任意3个月依法缴纳税收和缴纳社会保障资金的证明或承诺书（成立未满3个月的提供成立以来的税收和社会保障资金缴纳凭据或相关情况说明；依法免税或不需要缴纳税收、不需要缴纳社会保障资金的供应商，应提供相应文件证明）】；</w:t>
      </w:r>
    </w:p>
    <w:p w14:paraId="3BC752DD">
      <w:pP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3.4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除外）【提供承诺书或证明材料】；</w:t>
      </w:r>
    </w:p>
    <w:p w14:paraId="68C2AD84">
      <w:pPr>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3.5具有良好的商业信誉：供应商在提交首次响应文件截止之日前未被“中国执行信息公开网”（http://zxgk.court.gov.cn/）列入“失信被执行人”，未被“信用中国”网站（www.creditchina.gov.cn）列入“重大税收违法失信主体”，未被“中国政府采购网”（www.ccgp.gov.cn）列为“政府采购严重违法失信行为信息记录”，</w:t>
      </w:r>
      <w:r>
        <w:rPr>
          <w:color w:val="000000" w:themeColor="text1"/>
          <w:sz w:val="24"/>
          <w:highlight w:val="none"/>
          <w14:textFill>
            <w14:solidFill>
              <w14:schemeClr w14:val="tx1"/>
            </w14:solidFill>
          </w14:textFill>
        </w:rPr>
        <w:t>若有不良记录的，其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将被否决。</w:t>
      </w:r>
      <w:r>
        <w:rPr>
          <w:b/>
          <w:bCs/>
          <w:color w:val="000000" w:themeColor="text1"/>
          <w:sz w:val="24"/>
          <w:highlight w:val="none"/>
          <w14:textFill>
            <w14:solidFill>
              <w14:schemeClr w14:val="tx1"/>
            </w14:solidFill>
          </w14:textFill>
        </w:rPr>
        <w:t>（</w:t>
      </w:r>
      <w:r>
        <w:rPr>
          <w:rFonts w:hint="eastAsia"/>
          <w:b/>
          <w:bCs/>
          <w:color w:val="000000" w:themeColor="text1"/>
          <w:sz w:val="24"/>
          <w:highlight w:val="none"/>
          <w14:textFill>
            <w14:solidFill>
              <w14:schemeClr w14:val="tx1"/>
            </w14:solidFill>
          </w14:textFill>
        </w:rPr>
        <w:t>响应</w:t>
      </w:r>
      <w:r>
        <w:rPr>
          <w:b/>
          <w:bCs/>
          <w:color w:val="000000" w:themeColor="text1"/>
          <w:sz w:val="24"/>
          <w:highlight w:val="none"/>
          <w14:textFill>
            <w14:solidFill>
              <w14:schemeClr w14:val="tx1"/>
            </w14:solidFill>
          </w14:textFill>
        </w:rPr>
        <w:t>截止时间以后</w:t>
      </w:r>
      <w:r>
        <w:rPr>
          <w:rFonts w:hint="eastAsia"/>
          <w:b/>
          <w:bCs/>
          <w:color w:val="000000" w:themeColor="text1"/>
          <w:sz w:val="24"/>
          <w:highlight w:val="none"/>
          <w14:textFill>
            <w14:solidFill>
              <w14:schemeClr w14:val="tx1"/>
            </w14:solidFill>
          </w14:textFill>
        </w:rPr>
        <w:t>，</w:t>
      </w:r>
      <w:r>
        <w:rPr>
          <w:b/>
          <w:bCs/>
          <w:color w:val="000000" w:themeColor="text1"/>
          <w:sz w:val="24"/>
          <w:highlight w:val="none"/>
          <w14:textFill>
            <w14:solidFill>
              <w14:schemeClr w14:val="tx1"/>
            </w14:solidFill>
          </w14:textFill>
        </w:rPr>
        <w:t>资格审查阶段由</w:t>
      </w:r>
      <w:r>
        <w:rPr>
          <w:rFonts w:hint="eastAsia"/>
          <w:b/>
          <w:bCs/>
          <w:color w:val="000000" w:themeColor="text1"/>
          <w:sz w:val="24"/>
          <w:highlight w:val="none"/>
          <w14:textFill>
            <w14:solidFill>
              <w14:schemeClr w14:val="tx1"/>
            </w14:solidFill>
          </w14:textFill>
        </w:rPr>
        <w:t>磋商小组</w:t>
      </w:r>
      <w:r>
        <w:rPr>
          <w:b/>
          <w:bCs/>
          <w:color w:val="000000" w:themeColor="text1"/>
          <w:sz w:val="24"/>
          <w:highlight w:val="none"/>
          <w14:textFill>
            <w14:solidFill>
              <w14:schemeClr w14:val="tx1"/>
            </w14:solidFill>
          </w14:textFill>
        </w:rPr>
        <w:t>查询）</w:t>
      </w:r>
      <w:r>
        <w:rPr>
          <w:rFonts w:hint="eastAsia" w:ascii="宋体" w:hAnsi="宋体" w:cs="宋体"/>
          <w:color w:val="000000" w:themeColor="text1"/>
          <w:sz w:val="24"/>
          <w:highlight w:val="none"/>
          <w14:textFill>
            <w14:solidFill>
              <w14:schemeClr w14:val="tx1"/>
            </w14:solidFill>
          </w14:textFill>
        </w:rPr>
        <w:t>；</w:t>
      </w:r>
    </w:p>
    <w:p w14:paraId="0F879ADD">
      <w:pP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3.6单位负责人为同一人或者存在直接控股、管理关系的不同供应商，不得参加同一合同项下的政府采购活动，提供承诺函；</w:t>
      </w:r>
    </w:p>
    <w:p w14:paraId="604CD811">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3.7</w:t>
      </w:r>
      <w:r>
        <w:rPr>
          <w:rFonts w:hint="eastAsia" w:ascii="宋体" w:hAnsi="宋体" w:cs="宋体"/>
          <w:b/>
          <w:bCs/>
          <w:color w:val="000000" w:themeColor="text1"/>
          <w:sz w:val="24"/>
          <w:highlight w:val="none"/>
          <w14:textFill>
            <w14:solidFill>
              <w14:schemeClr w14:val="tx1"/>
            </w14:solidFill>
          </w14:textFill>
        </w:rPr>
        <w:t>资质要求：</w:t>
      </w:r>
      <w:r>
        <w:rPr>
          <w:rFonts w:hint="eastAsia" w:ascii="宋体" w:hAnsi="宋体" w:cs="宋体"/>
          <w:color w:val="000000" w:themeColor="text1"/>
          <w:sz w:val="24"/>
          <w:highlight w:val="none"/>
          <w14:textFill>
            <w14:solidFill>
              <w14:schemeClr w14:val="tx1"/>
            </w14:solidFill>
          </w14:textFill>
        </w:rPr>
        <w:t xml:space="preserve">供应商须具备建设行政主管部门颁发的市政工程施工总承包叁级及以上资质，具备有效的安全生产许可证；                                    </w:t>
      </w:r>
    </w:p>
    <w:p w14:paraId="7F09DE76">
      <w:pPr>
        <w:widowControl/>
        <w:kinsoku w:val="0"/>
        <w:autoSpaceDE w:val="0"/>
        <w:autoSpaceDN w:val="0"/>
        <w:adjustRightInd w:val="0"/>
        <w:snapToGrid w:val="0"/>
        <w:ind w:firstLine="480"/>
        <w:textAlignment w:val="baseline"/>
        <w:rPr>
          <w:rFonts w:hint="eastAsia" w:ascii="宋体" w:hAnsi="宋体" w:cs="宋体"/>
          <w:color w:val="000000" w:themeColor="text1"/>
          <w:position w:val="6"/>
          <w:sz w:val="24"/>
          <w:highlight w:val="none"/>
          <w14:textFill>
            <w14:solidFill>
              <w14:schemeClr w14:val="tx1"/>
            </w14:solidFill>
          </w14:textFill>
        </w:rPr>
      </w:pPr>
      <w:r>
        <w:rPr>
          <w:rFonts w:hint="eastAsia" w:ascii="宋体" w:hAnsi="宋体" w:cs="宋体"/>
          <w:color w:val="000000" w:themeColor="text1"/>
          <w:position w:val="6"/>
          <w:sz w:val="24"/>
          <w:highlight w:val="none"/>
          <w14:textFill>
            <w14:solidFill>
              <w14:schemeClr w14:val="tx1"/>
            </w14:solidFill>
          </w14:textFill>
        </w:rPr>
        <w:t>3.8</w:t>
      </w:r>
      <w:r>
        <w:rPr>
          <w:rFonts w:hint="eastAsia" w:ascii="宋体" w:hAnsi="宋体" w:cs="宋体"/>
          <w:b/>
          <w:bCs/>
          <w:color w:val="000000" w:themeColor="text1"/>
          <w:position w:val="6"/>
          <w:sz w:val="24"/>
          <w:highlight w:val="none"/>
          <w14:textFill>
            <w14:solidFill>
              <w14:schemeClr w14:val="tx1"/>
            </w14:solidFill>
          </w14:textFill>
        </w:rPr>
        <w:t>项目经理：</w:t>
      </w:r>
      <w:r>
        <w:rPr>
          <w:rFonts w:hint="eastAsia" w:ascii="宋体" w:hAnsi="宋体" w:cs="宋体"/>
          <w:color w:val="000000" w:themeColor="text1"/>
          <w:position w:val="6"/>
          <w:sz w:val="24"/>
          <w:highlight w:val="none"/>
          <w14:textFill>
            <w14:solidFill>
              <w14:schemeClr w14:val="tx1"/>
            </w14:solidFill>
          </w14:textFill>
        </w:rPr>
        <w:t>须具备贰级及以上注册建造师（市政工程），具备有效安全生产考核合格证，须注册在供应商本单位，未担任其他在建建设工程项目的项目负责人（提供承诺书）；</w:t>
      </w:r>
    </w:p>
    <w:p w14:paraId="38A8505A">
      <w:pPr>
        <w:widowControl/>
        <w:kinsoku w:val="0"/>
        <w:autoSpaceDE w:val="0"/>
        <w:autoSpaceDN w:val="0"/>
        <w:adjustRightInd w:val="0"/>
        <w:snapToGrid w:val="0"/>
        <w:ind w:firstLine="480"/>
        <w:textAlignment w:val="baseline"/>
        <w:rPr>
          <w:rFonts w:hint="eastAsia" w:ascii="宋体" w:hAnsi="宋体" w:cs="宋体"/>
          <w:color w:val="000000" w:themeColor="text1"/>
          <w:position w:val="6"/>
          <w:sz w:val="24"/>
          <w:highlight w:val="none"/>
          <w14:textFill>
            <w14:solidFill>
              <w14:schemeClr w14:val="tx1"/>
            </w14:solidFill>
          </w14:textFill>
        </w:rPr>
      </w:pPr>
      <w:r>
        <w:rPr>
          <w:rFonts w:hint="eastAsia" w:ascii="宋体" w:hAnsi="宋体" w:cs="宋体"/>
          <w:color w:val="000000" w:themeColor="text1"/>
          <w:position w:val="6"/>
          <w:sz w:val="24"/>
          <w:highlight w:val="none"/>
          <w14:textFill>
            <w14:solidFill>
              <w14:schemeClr w14:val="tx1"/>
            </w14:solidFill>
          </w14:textFill>
        </w:rPr>
        <w:t>3.9</w:t>
      </w:r>
      <w:r>
        <w:rPr>
          <w:rFonts w:hint="eastAsia" w:ascii="宋体" w:hAnsi="宋体" w:cs="宋体"/>
          <w:b/>
          <w:bCs/>
          <w:color w:val="000000" w:themeColor="text1"/>
          <w:position w:val="6"/>
          <w:sz w:val="24"/>
          <w:highlight w:val="none"/>
          <w14:textFill>
            <w14:solidFill>
              <w14:schemeClr w14:val="tx1"/>
            </w14:solidFill>
          </w14:textFill>
        </w:rPr>
        <w:t>技术负责人：</w:t>
      </w:r>
      <w:r>
        <w:rPr>
          <w:rFonts w:hint="eastAsia" w:ascii="宋体" w:hAnsi="宋体" w:cs="宋体"/>
          <w:color w:val="000000" w:themeColor="text1"/>
          <w:position w:val="6"/>
          <w:sz w:val="24"/>
          <w:highlight w:val="none"/>
          <w14:textFill>
            <w14:solidFill>
              <w14:schemeClr w14:val="tx1"/>
            </w14:solidFill>
          </w14:textFill>
        </w:rPr>
        <w:t>工程系列中级及以上技术职称，须为供应商本单位人员，未兼任其他在建建设工程项目的管理人员（提供承诺书）。</w:t>
      </w:r>
    </w:p>
    <w:p w14:paraId="2C1F4D5C">
      <w:pPr>
        <w:spacing w:before="156" w:beforeLines="50"/>
        <w:outlineLvl w:val="2"/>
        <w:rPr>
          <w:b/>
          <w:bCs/>
          <w:color w:val="000000" w:themeColor="text1"/>
          <w:sz w:val="24"/>
          <w:highlight w:val="none"/>
          <w14:textFill>
            <w14:solidFill>
              <w14:schemeClr w14:val="tx1"/>
            </w14:solidFill>
          </w14:textFill>
        </w:rPr>
      </w:pPr>
      <w:bookmarkStart w:id="12" w:name="_Toc228389587"/>
      <w:r>
        <w:rPr>
          <w:rFonts w:hint="eastAsia"/>
          <w:b/>
          <w:bCs/>
          <w:color w:val="000000" w:themeColor="text1"/>
          <w:sz w:val="24"/>
          <w:highlight w:val="none"/>
          <w14:textFill>
            <w14:solidFill>
              <w14:schemeClr w14:val="tx1"/>
            </w14:solidFill>
          </w14:textFill>
        </w:rPr>
        <w:t>三、获取采购文件</w:t>
      </w:r>
      <w:bookmarkEnd w:id="11"/>
      <w:bookmarkEnd w:id="12"/>
    </w:p>
    <w:p w14:paraId="47E792E5">
      <w:pPr>
        <w:widowControl/>
        <w:ind w:firstLine="480"/>
        <w:rPr>
          <w:rFonts w:hint="eastAsia" w:ascii="宋体" w:hAnsi="宋体" w:cs="宋体"/>
          <w:color w:val="000000" w:themeColor="text1"/>
          <w:kern w:val="0"/>
          <w:sz w:val="24"/>
          <w:highlight w:val="none"/>
          <w14:textFill>
            <w14:solidFill>
              <w14:schemeClr w14:val="tx1"/>
            </w14:solidFill>
          </w14:textFill>
        </w:rPr>
      </w:pPr>
      <w:bookmarkStart w:id="13" w:name="_Toc20685"/>
      <w:r>
        <w:rPr>
          <w:rFonts w:hint="eastAsia" w:ascii="宋体" w:hAnsi="宋体" w:cs="宋体"/>
          <w:color w:val="000000" w:themeColor="text1"/>
          <w:kern w:val="0"/>
          <w:sz w:val="24"/>
          <w:highlight w:val="none"/>
          <w14:textFill>
            <w14:solidFill>
              <w14:schemeClr w14:val="tx1"/>
            </w14:solidFill>
          </w14:textFill>
        </w:rPr>
        <w:t>时间：2026年9月</w:t>
      </w:r>
      <w:r>
        <w:rPr>
          <w:rFonts w:hint="eastAsia" w:ascii="宋体" w:hAnsi="宋体" w:cs="宋体"/>
          <w:color w:val="000000" w:themeColor="text1"/>
          <w:kern w:val="0"/>
          <w:sz w:val="24"/>
          <w:highlight w:val="none"/>
          <w:lang w:val="en-US" w:eastAsia="zh-CN"/>
          <w14:textFill>
            <w14:solidFill>
              <w14:schemeClr w14:val="tx1"/>
            </w14:solidFill>
          </w14:textFill>
        </w:rPr>
        <w:t>11</w:t>
      </w:r>
      <w:r>
        <w:rPr>
          <w:rFonts w:hint="eastAsia" w:ascii="宋体" w:hAnsi="宋体" w:cs="宋体"/>
          <w:color w:val="000000" w:themeColor="text1"/>
          <w:kern w:val="0"/>
          <w:sz w:val="24"/>
          <w:highlight w:val="none"/>
          <w14:textFill>
            <w14:solidFill>
              <w14:schemeClr w14:val="tx1"/>
            </w14:solidFill>
          </w14:textFill>
        </w:rPr>
        <w:t>日至2026年9月</w:t>
      </w:r>
      <w:r>
        <w:rPr>
          <w:rFonts w:hint="eastAsia" w:ascii="宋体" w:hAnsi="宋体" w:cs="宋体"/>
          <w:color w:val="000000" w:themeColor="text1"/>
          <w:kern w:val="0"/>
          <w:sz w:val="24"/>
          <w:highlight w:val="none"/>
          <w:lang w:val="en-US" w:eastAsia="zh-CN"/>
          <w14:textFill>
            <w14:solidFill>
              <w14:schemeClr w14:val="tx1"/>
            </w14:solidFill>
          </w14:textFill>
        </w:rPr>
        <w:t>18</w:t>
      </w:r>
      <w:r>
        <w:rPr>
          <w:rFonts w:hint="eastAsia" w:ascii="宋体" w:hAnsi="宋体" w:cs="宋体"/>
          <w:color w:val="000000" w:themeColor="text1"/>
          <w:kern w:val="0"/>
          <w:sz w:val="24"/>
          <w:highlight w:val="none"/>
          <w14:textFill>
            <w14:solidFill>
              <w14:schemeClr w14:val="tx1"/>
            </w14:solidFill>
          </w14:textFill>
        </w:rPr>
        <w:t>日，每天上午06:00至12:00，下午12:00至23:59（北京时间，法定节假日除外）</w:t>
      </w:r>
    </w:p>
    <w:p w14:paraId="19FB382E">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地点：云南省政府采购电子交易平台（政采云https://www.zcygov.cn/）</w:t>
      </w:r>
    </w:p>
    <w:p w14:paraId="55A70025">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方式：1.凡有意参加投标者，须持与云南省政府采购电子交易平台（政采云）兼容的数字证书（CA），在平台绑定后，线上获取采购文件及其它采购资料。CA申领链接：https://middle.zcygov.cn/ca/apply/list?_app_=zcy.sys；2.按上述要求获取文件的供应商视为合法获取了本项目采购文件，具备本项目的投标资格。</w:t>
      </w:r>
    </w:p>
    <w:p w14:paraId="02BD7791">
      <w:pPr>
        <w:widowControl/>
        <w:ind w:firstLine="480"/>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售价（元）：0</w:t>
      </w:r>
    </w:p>
    <w:p w14:paraId="39A0AD46">
      <w:pPr>
        <w:spacing w:before="156" w:beforeLines="50"/>
        <w:outlineLvl w:val="2"/>
        <w:rPr>
          <w:b/>
          <w:bCs/>
          <w:color w:val="000000" w:themeColor="text1"/>
          <w:sz w:val="24"/>
          <w:highlight w:val="none"/>
          <w14:textFill>
            <w14:solidFill>
              <w14:schemeClr w14:val="tx1"/>
            </w14:solidFill>
          </w14:textFill>
        </w:rPr>
      </w:pPr>
      <w:bookmarkStart w:id="14" w:name="_Toc228389588"/>
      <w:r>
        <w:rPr>
          <w:rFonts w:hint="eastAsia"/>
          <w:b/>
          <w:bCs/>
          <w:color w:val="000000" w:themeColor="text1"/>
          <w:sz w:val="24"/>
          <w:highlight w:val="none"/>
          <w14:textFill>
            <w14:solidFill>
              <w14:schemeClr w14:val="tx1"/>
            </w14:solidFill>
          </w14:textFill>
        </w:rPr>
        <w:t>四、响应文件提交</w:t>
      </w:r>
      <w:bookmarkEnd w:id="13"/>
      <w:bookmarkEnd w:id="14"/>
    </w:p>
    <w:p w14:paraId="642427BA">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截止时间：2026年9月</w:t>
      </w:r>
      <w:r>
        <w:rPr>
          <w:rFonts w:hint="eastAsia" w:ascii="宋体" w:hAnsi="宋体" w:cs="宋体"/>
          <w:color w:val="000000" w:themeColor="text1"/>
          <w:kern w:val="0"/>
          <w:sz w:val="24"/>
          <w:highlight w:val="none"/>
          <w:lang w:val="en-US" w:eastAsia="zh-CN"/>
          <w14:textFill>
            <w14:solidFill>
              <w14:schemeClr w14:val="tx1"/>
            </w14:solidFill>
          </w14:textFill>
        </w:rPr>
        <w:t>22</w:t>
      </w:r>
      <w:r>
        <w:rPr>
          <w:rFonts w:hint="eastAsia" w:ascii="宋体" w:hAnsi="宋体" w:cs="宋体"/>
          <w:color w:val="000000" w:themeColor="text1"/>
          <w:kern w:val="0"/>
          <w:sz w:val="24"/>
          <w:highlight w:val="none"/>
          <w14:textFill>
            <w14:solidFill>
              <w14:schemeClr w14:val="tx1"/>
            </w14:solidFill>
          </w14:textFill>
        </w:rPr>
        <w:t>日1</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:00（北京时间）</w:t>
      </w:r>
    </w:p>
    <w:p w14:paraId="5A14FE7C">
      <w:pPr>
        <w:widowControl/>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地点：请登录云南省政府采购电子交易平台（政采云）投标客户端投标</w:t>
      </w:r>
    </w:p>
    <w:p w14:paraId="7273B4CF">
      <w:pPr>
        <w:spacing w:before="156" w:beforeLines="50"/>
        <w:outlineLvl w:val="2"/>
        <w:rPr>
          <w:b/>
          <w:bCs/>
          <w:color w:val="000000" w:themeColor="text1"/>
          <w:sz w:val="24"/>
          <w:highlight w:val="none"/>
          <w14:textFill>
            <w14:solidFill>
              <w14:schemeClr w14:val="tx1"/>
            </w14:solidFill>
          </w14:textFill>
        </w:rPr>
      </w:pPr>
      <w:bookmarkStart w:id="15" w:name="_Toc228389589"/>
      <w:bookmarkStart w:id="16" w:name="_Toc1621"/>
      <w:r>
        <w:rPr>
          <w:rFonts w:hint="eastAsia"/>
          <w:b/>
          <w:bCs/>
          <w:color w:val="000000" w:themeColor="text1"/>
          <w:sz w:val="24"/>
          <w:highlight w:val="none"/>
          <w14:textFill>
            <w14:solidFill>
              <w14:schemeClr w14:val="tx1"/>
            </w14:solidFill>
          </w14:textFill>
        </w:rPr>
        <w:t>五、响应文件开启</w:t>
      </w:r>
      <w:bookmarkEnd w:id="15"/>
      <w:bookmarkEnd w:id="16"/>
    </w:p>
    <w:p w14:paraId="5BEC5A44">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开启时间：2026年9月</w:t>
      </w:r>
      <w:r>
        <w:rPr>
          <w:rFonts w:hint="eastAsia" w:ascii="宋体" w:hAnsi="宋体" w:cs="宋体"/>
          <w:color w:val="000000" w:themeColor="text1"/>
          <w:kern w:val="0"/>
          <w:sz w:val="24"/>
          <w:highlight w:val="none"/>
          <w:lang w:val="en-US" w:eastAsia="zh-CN"/>
          <w14:textFill>
            <w14:solidFill>
              <w14:schemeClr w14:val="tx1"/>
            </w14:solidFill>
          </w14:textFill>
        </w:rPr>
        <w:t>22</w:t>
      </w:r>
      <w:r>
        <w:rPr>
          <w:rFonts w:hint="eastAsia" w:ascii="宋体" w:hAnsi="宋体" w:cs="宋体"/>
          <w:color w:val="000000" w:themeColor="text1"/>
          <w:kern w:val="0"/>
          <w:sz w:val="24"/>
          <w:highlight w:val="none"/>
          <w14:textFill>
            <w14:solidFill>
              <w14:schemeClr w14:val="tx1"/>
            </w14:solidFill>
          </w14:textFill>
        </w:rPr>
        <w:t>日1</w:t>
      </w: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:00（北京时间）</w:t>
      </w:r>
    </w:p>
    <w:p w14:paraId="154FC04B">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地点：云南省普洱市思茅区滨河路山之梦小区12幢3层云南辰竟管理咨询有限公司开标室</w:t>
      </w:r>
      <w:bookmarkStart w:id="1760" w:name="_GoBack"/>
      <w:bookmarkEnd w:id="1760"/>
      <w:r>
        <w:rPr>
          <w:rFonts w:hint="eastAsia" w:ascii="宋体" w:hAnsi="宋体" w:cs="宋体"/>
          <w:color w:val="000000" w:themeColor="text1"/>
          <w:kern w:val="0"/>
          <w:sz w:val="24"/>
          <w:highlight w:val="none"/>
          <w14:textFill>
            <w14:solidFill>
              <w14:schemeClr w14:val="tx1"/>
            </w14:solidFill>
          </w14:textFill>
        </w:rPr>
        <w:t>。</w:t>
      </w:r>
    </w:p>
    <w:p w14:paraId="2F90ABB4">
      <w:pPr>
        <w:spacing w:before="156" w:beforeLines="50"/>
        <w:outlineLvl w:val="2"/>
        <w:rPr>
          <w:b/>
          <w:bCs/>
          <w:color w:val="000000" w:themeColor="text1"/>
          <w:sz w:val="24"/>
          <w:highlight w:val="none"/>
          <w14:textFill>
            <w14:solidFill>
              <w14:schemeClr w14:val="tx1"/>
            </w14:solidFill>
          </w14:textFill>
        </w:rPr>
      </w:pPr>
      <w:bookmarkStart w:id="17" w:name="_Toc3810"/>
      <w:bookmarkStart w:id="18" w:name="_Toc228389590"/>
      <w:r>
        <w:rPr>
          <w:rFonts w:hint="eastAsia"/>
          <w:b/>
          <w:bCs/>
          <w:color w:val="000000" w:themeColor="text1"/>
          <w:sz w:val="24"/>
          <w:highlight w:val="none"/>
          <w14:textFill>
            <w14:solidFill>
              <w14:schemeClr w14:val="tx1"/>
            </w14:solidFill>
          </w14:textFill>
        </w:rPr>
        <w:t>六、公告期限</w:t>
      </w:r>
      <w:bookmarkEnd w:id="17"/>
      <w:bookmarkEnd w:id="18"/>
    </w:p>
    <w:p w14:paraId="5C17E38B">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自本公告发布之日起3个工作日。</w:t>
      </w:r>
    </w:p>
    <w:p w14:paraId="1B812C75">
      <w:pPr>
        <w:spacing w:before="156" w:beforeLines="50"/>
        <w:outlineLvl w:val="2"/>
        <w:rPr>
          <w:b/>
          <w:bCs/>
          <w:color w:val="000000" w:themeColor="text1"/>
          <w:sz w:val="24"/>
          <w:highlight w:val="none"/>
          <w14:textFill>
            <w14:solidFill>
              <w14:schemeClr w14:val="tx1"/>
            </w14:solidFill>
          </w14:textFill>
        </w:rPr>
      </w:pPr>
      <w:bookmarkStart w:id="19" w:name="_Toc228389591"/>
      <w:bookmarkStart w:id="20" w:name="_Toc28607"/>
      <w:r>
        <w:rPr>
          <w:rFonts w:hint="eastAsia"/>
          <w:b/>
          <w:bCs/>
          <w:color w:val="000000" w:themeColor="text1"/>
          <w:sz w:val="24"/>
          <w:highlight w:val="none"/>
          <w14:textFill>
            <w14:solidFill>
              <w14:schemeClr w14:val="tx1"/>
            </w14:solidFill>
          </w14:textFill>
        </w:rPr>
        <w:t>七、其他补充事宜</w:t>
      </w:r>
      <w:bookmarkEnd w:id="19"/>
      <w:bookmarkEnd w:id="20"/>
    </w:p>
    <w:p w14:paraId="459339A1">
      <w:pPr>
        <w:widowControl/>
        <w:ind w:firstLine="48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1.本次采购公告在云南省政府采购网上发布。请各位供应商在递交投标（响应）文件前随时查看，以获取最新的消息。</w:t>
      </w:r>
    </w:p>
    <w:p w14:paraId="3C16A703">
      <w:pPr>
        <w:widowControl/>
        <w:wordWrap w:val="0"/>
        <w:ind w:firstLine="482"/>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4C11E98B">
      <w:pPr>
        <w:spacing w:before="156" w:beforeLines="50"/>
        <w:outlineLvl w:val="2"/>
        <w:rPr>
          <w:b/>
          <w:bCs/>
          <w:color w:val="000000" w:themeColor="text1"/>
          <w:sz w:val="24"/>
          <w:highlight w:val="none"/>
          <w14:textFill>
            <w14:solidFill>
              <w14:schemeClr w14:val="tx1"/>
            </w14:solidFill>
          </w14:textFill>
        </w:rPr>
      </w:pPr>
      <w:bookmarkStart w:id="21" w:name="_Toc228389592"/>
      <w:bookmarkStart w:id="22" w:name="_Toc15314"/>
      <w:r>
        <w:rPr>
          <w:rFonts w:hint="eastAsia"/>
          <w:b/>
          <w:bCs/>
          <w:color w:val="000000" w:themeColor="text1"/>
          <w:sz w:val="24"/>
          <w:highlight w:val="none"/>
          <w14:textFill>
            <w14:solidFill>
              <w14:schemeClr w14:val="tx1"/>
            </w14:solidFill>
          </w14:textFill>
        </w:rPr>
        <w:t>九、凡对本次采购提出询问，请按以下方式联系</w:t>
      </w:r>
      <w:bookmarkEnd w:id="21"/>
      <w:bookmarkEnd w:id="22"/>
    </w:p>
    <w:p w14:paraId="66394FF6">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1.采购人信息</w:t>
      </w:r>
    </w:p>
    <w:p w14:paraId="3FBD81BC">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名    称：景谷傣族彝族自治县正兴镇人民政府</w:t>
      </w:r>
    </w:p>
    <w:p w14:paraId="6426DC51">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　　址：云南省普洱市景谷傣族彝族自治县正兴镇</w:t>
      </w:r>
    </w:p>
    <w:p w14:paraId="41DEF328">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联系人：李晓</w:t>
      </w:r>
    </w:p>
    <w:p w14:paraId="2123164E">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联系方式：15087916347</w:t>
      </w:r>
    </w:p>
    <w:p w14:paraId="5A1B80D5">
      <w:pPr>
        <w:ind w:firstLine="420"/>
        <w:rPr>
          <w:color w:val="000000" w:themeColor="text1"/>
          <w:highlight w:val="none"/>
          <w14:textFill>
            <w14:solidFill>
              <w14:schemeClr w14:val="tx1"/>
            </w14:solidFill>
          </w14:textFill>
        </w:rPr>
      </w:pPr>
    </w:p>
    <w:p w14:paraId="6C2A44B1">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2.采购代理机构信息</w:t>
      </w:r>
    </w:p>
    <w:p w14:paraId="2C9A27EC">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名  称：云南辰竟管理咨询有限公司</w:t>
      </w:r>
    </w:p>
    <w:p w14:paraId="30FA58AF">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地  址：普洱市思茅区滨河路山之梦12幢</w:t>
      </w:r>
    </w:p>
    <w:bookmarkEnd w:id="5"/>
    <w:bookmarkEnd w:id="7"/>
    <w:p w14:paraId="0F290426">
      <w:pPr>
        <w:widowControl/>
        <w:ind w:firstLine="480"/>
        <w:jc w:val="left"/>
        <w:rPr>
          <w:rFonts w:hint="eastAsia" w:ascii="宋体" w:hAnsi="宋体" w:cs="宋体"/>
          <w:color w:val="000000" w:themeColor="text1"/>
          <w:kern w:val="0"/>
          <w:sz w:val="24"/>
          <w:highlight w:val="none"/>
          <w14:textFill>
            <w14:solidFill>
              <w14:schemeClr w14:val="tx1"/>
            </w14:solidFill>
          </w14:textFill>
        </w:rPr>
      </w:pPr>
      <w:bookmarkStart w:id="23" w:name="_Toc26802"/>
      <w:bookmarkStart w:id="24" w:name="_Toc12834"/>
      <w:bookmarkStart w:id="25" w:name="_Toc26164"/>
      <w:bookmarkStart w:id="26" w:name="_Toc24391929"/>
      <w:bookmarkStart w:id="27" w:name="_Toc337822247"/>
      <w:bookmarkStart w:id="28" w:name="_Toc86124078"/>
      <w:r>
        <w:rPr>
          <w:rFonts w:hint="eastAsia" w:ascii="宋体" w:hAnsi="宋体" w:cs="宋体"/>
          <w:color w:val="000000" w:themeColor="text1"/>
          <w:kern w:val="0"/>
          <w:sz w:val="24"/>
          <w:highlight w:val="none"/>
          <w14:textFill>
            <w14:solidFill>
              <w14:schemeClr w14:val="tx1"/>
            </w14:solidFill>
          </w14:textFill>
        </w:rPr>
        <w:t>联系人：吴先生</w:t>
      </w:r>
    </w:p>
    <w:p w14:paraId="3390DFBA">
      <w:pPr>
        <w:widowControl/>
        <w:ind w:firstLine="480"/>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联系方式：19087028562</w:t>
      </w:r>
    </w:p>
    <w:p w14:paraId="57E3A5B4">
      <w:pPr>
        <w:widowControl/>
        <w:ind w:firstLine="480"/>
        <w:jc w:val="left"/>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br w:type="page"/>
      </w:r>
    </w:p>
    <w:p w14:paraId="5358E100">
      <w:pPr>
        <w:pStyle w:val="2"/>
        <w:spacing w:before="156"/>
        <w:rPr>
          <w:color w:val="000000" w:themeColor="text1"/>
          <w:highlight w:val="none"/>
          <w14:textFill>
            <w14:solidFill>
              <w14:schemeClr w14:val="tx1"/>
            </w14:solidFill>
          </w14:textFill>
        </w:rPr>
      </w:pPr>
      <w:bookmarkStart w:id="29" w:name="_Toc228389593"/>
      <w:r>
        <w:rPr>
          <w:rFonts w:hint="eastAsia"/>
          <w:color w:val="000000" w:themeColor="text1"/>
          <w:highlight w:val="none"/>
          <w14:textFill>
            <w14:solidFill>
              <w14:schemeClr w14:val="tx1"/>
            </w14:solidFill>
          </w14:textFill>
        </w:rPr>
        <w:t>第二章  供应商须知</w:t>
      </w:r>
      <w:bookmarkEnd w:id="23"/>
      <w:bookmarkEnd w:id="24"/>
      <w:bookmarkEnd w:id="25"/>
      <w:bookmarkEnd w:id="26"/>
      <w:bookmarkEnd w:id="29"/>
      <w:bookmarkStart w:id="30" w:name="_Toc152042304"/>
      <w:bookmarkStart w:id="31" w:name="_Toc152045528"/>
      <w:bookmarkStart w:id="32" w:name="_Toc247085688"/>
      <w:bookmarkStart w:id="33" w:name="_Toc179632545"/>
      <w:bookmarkStart w:id="34" w:name="_Toc144974496"/>
      <w:bookmarkStart w:id="35" w:name="_Toc246996174"/>
      <w:bookmarkStart w:id="36" w:name="_Toc246996917"/>
    </w:p>
    <w:bookmarkEnd w:id="30"/>
    <w:bookmarkEnd w:id="31"/>
    <w:bookmarkEnd w:id="32"/>
    <w:bookmarkEnd w:id="33"/>
    <w:bookmarkEnd w:id="34"/>
    <w:bookmarkEnd w:id="35"/>
    <w:bookmarkEnd w:id="36"/>
    <w:p w14:paraId="13BCAB73">
      <w:pPr>
        <w:pStyle w:val="3"/>
        <w:rPr>
          <w:color w:val="000000" w:themeColor="text1"/>
          <w:highlight w:val="none"/>
          <w14:textFill>
            <w14:solidFill>
              <w14:schemeClr w14:val="tx1"/>
            </w14:solidFill>
          </w14:textFill>
        </w:rPr>
      </w:pPr>
      <w:bookmarkStart w:id="37" w:name="_Toc29069"/>
      <w:bookmarkStart w:id="38" w:name="_Toc1369"/>
      <w:bookmarkStart w:id="39" w:name="_Toc228389594"/>
      <w:r>
        <w:rPr>
          <w:rFonts w:hint="eastAsia"/>
          <w:color w:val="000000" w:themeColor="text1"/>
          <w:highlight w:val="none"/>
          <w14:textFill>
            <w14:solidFill>
              <w14:schemeClr w14:val="tx1"/>
            </w14:solidFill>
          </w14:textFill>
        </w:rPr>
        <w:t>供应商须知前附表</w:t>
      </w:r>
      <w:bookmarkEnd w:id="37"/>
      <w:bookmarkEnd w:id="38"/>
      <w:bookmarkEnd w:id="39"/>
    </w:p>
    <w:tbl>
      <w:tblPr>
        <w:tblStyle w:val="53"/>
        <w:tblW w:w="10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108" w:type="dxa"/>
          <w:bottom w:w="85" w:type="dxa"/>
          <w:right w:w="108" w:type="dxa"/>
        </w:tblCellMar>
      </w:tblPr>
      <w:tblGrid>
        <w:gridCol w:w="959"/>
        <w:gridCol w:w="2114"/>
        <w:gridCol w:w="6949"/>
      </w:tblGrid>
      <w:tr w14:paraId="2B234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3" w:hRule="atLeast"/>
        </w:trPr>
        <w:tc>
          <w:tcPr>
            <w:tcW w:w="959" w:type="dxa"/>
            <w:vAlign w:val="center"/>
          </w:tcPr>
          <w:p w14:paraId="480A0436">
            <w:pPr>
              <w:spacing w:line="240" w:lineRule="auto"/>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条款号</w:t>
            </w:r>
          </w:p>
        </w:tc>
        <w:tc>
          <w:tcPr>
            <w:tcW w:w="2114" w:type="dxa"/>
            <w:vAlign w:val="center"/>
          </w:tcPr>
          <w:p w14:paraId="4350769D">
            <w:pPr>
              <w:spacing w:line="240" w:lineRule="auto"/>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条 款 名 称</w:t>
            </w:r>
          </w:p>
        </w:tc>
        <w:tc>
          <w:tcPr>
            <w:tcW w:w="6949" w:type="dxa"/>
            <w:vAlign w:val="center"/>
          </w:tcPr>
          <w:p w14:paraId="00E34D90">
            <w:pPr>
              <w:spacing w:line="240" w:lineRule="auto"/>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编  列  内  容</w:t>
            </w:r>
          </w:p>
        </w:tc>
      </w:tr>
      <w:tr w14:paraId="07F9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7" w:hRule="atLeast"/>
        </w:trPr>
        <w:tc>
          <w:tcPr>
            <w:tcW w:w="959" w:type="dxa"/>
            <w:vAlign w:val="center"/>
          </w:tcPr>
          <w:p w14:paraId="04B55D53">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1.1.2</w:t>
            </w:r>
          </w:p>
        </w:tc>
        <w:tc>
          <w:tcPr>
            <w:tcW w:w="2114" w:type="dxa"/>
            <w:vAlign w:val="center"/>
          </w:tcPr>
          <w:p w14:paraId="3CC9E938">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w:t>
            </w:r>
          </w:p>
        </w:tc>
        <w:tc>
          <w:tcPr>
            <w:tcW w:w="6949" w:type="dxa"/>
            <w:vAlign w:val="center"/>
          </w:tcPr>
          <w:p w14:paraId="2904E40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称：景谷傣族彝族自治县正兴镇人民政府</w:t>
            </w:r>
          </w:p>
          <w:p w14:paraId="3BAD624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址：云南省普洱市景谷傣族彝族自治县正兴镇</w:t>
            </w:r>
          </w:p>
          <w:p w14:paraId="05A0D175">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联系人：李晓</w:t>
            </w:r>
          </w:p>
          <w:p w14:paraId="059032C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联系方式：15087916347</w:t>
            </w:r>
          </w:p>
        </w:tc>
      </w:tr>
      <w:tr w14:paraId="2C14E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193" w:hRule="atLeast"/>
        </w:trPr>
        <w:tc>
          <w:tcPr>
            <w:tcW w:w="959" w:type="dxa"/>
            <w:vAlign w:val="center"/>
          </w:tcPr>
          <w:p w14:paraId="0A9338A1">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1.1.3</w:t>
            </w:r>
          </w:p>
        </w:tc>
        <w:tc>
          <w:tcPr>
            <w:tcW w:w="2114" w:type="dxa"/>
            <w:vAlign w:val="center"/>
          </w:tcPr>
          <w:p w14:paraId="4CF02B10">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代理机构</w:t>
            </w:r>
          </w:p>
        </w:tc>
        <w:tc>
          <w:tcPr>
            <w:tcW w:w="6949" w:type="dxa"/>
            <w:vAlign w:val="center"/>
          </w:tcPr>
          <w:p w14:paraId="34B0F5F5">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称：云南辰竟管理咨询有限公司</w:t>
            </w:r>
          </w:p>
          <w:p w14:paraId="03D8762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址：普洱市思茅区滨河路山之梦12幢</w:t>
            </w:r>
          </w:p>
          <w:p w14:paraId="22384CFE">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联系人：吴先生</w:t>
            </w:r>
          </w:p>
          <w:p w14:paraId="64EE7BE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联系方式：19087028562</w:t>
            </w:r>
          </w:p>
        </w:tc>
      </w:tr>
      <w:tr w14:paraId="070D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06" w:hRule="atLeast"/>
        </w:trPr>
        <w:tc>
          <w:tcPr>
            <w:tcW w:w="959" w:type="dxa"/>
            <w:vAlign w:val="center"/>
          </w:tcPr>
          <w:p w14:paraId="395A018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1.1.4</w:t>
            </w:r>
          </w:p>
        </w:tc>
        <w:tc>
          <w:tcPr>
            <w:tcW w:w="2114" w:type="dxa"/>
            <w:vAlign w:val="center"/>
          </w:tcPr>
          <w:p w14:paraId="4CF8E69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6949" w:type="dxa"/>
            <w:vAlign w:val="center"/>
          </w:tcPr>
          <w:p w14:paraId="03B30D32">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景谷县正兴镇波云村、通达村糖料甘蔗种植产业道路建设项目</w:t>
            </w:r>
          </w:p>
        </w:tc>
      </w:tr>
      <w:tr w14:paraId="5771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3A209C12">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1.1.5</w:t>
            </w:r>
          </w:p>
        </w:tc>
        <w:tc>
          <w:tcPr>
            <w:tcW w:w="2114" w:type="dxa"/>
            <w:vAlign w:val="center"/>
          </w:tcPr>
          <w:p w14:paraId="1010433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建设地点</w:t>
            </w:r>
          </w:p>
        </w:tc>
        <w:tc>
          <w:tcPr>
            <w:tcW w:w="6949" w:type="dxa"/>
            <w:vAlign w:val="center"/>
          </w:tcPr>
          <w:p w14:paraId="5AF08028">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正兴镇波云村半坡云村民小组、关庙村民小组，通达村周家社村民小组</w:t>
            </w:r>
          </w:p>
        </w:tc>
      </w:tr>
      <w:tr w14:paraId="385D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34B68AE6">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1.2.1</w:t>
            </w:r>
          </w:p>
        </w:tc>
        <w:tc>
          <w:tcPr>
            <w:tcW w:w="2114" w:type="dxa"/>
            <w:vAlign w:val="center"/>
          </w:tcPr>
          <w:p w14:paraId="59FB596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资金来源</w:t>
            </w:r>
          </w:p>
        </w:tc>
        <w:tc>
          <w:tcPr>
            <w:tcW w:w="6949" w:type="dxa"/>
            <w:vAlign w:val="center"/>
          </w:tcPr>
          <w:p w14:paraId="1AA1483E">
            <w:pP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2026 年中央财政常态化帮扶资金（第二批）</w:t>
            </w:r>
          </w:p>
        </w:tc>
      </w:tr>
      <w:tr w14:paraId="5D7BE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6A0BAE36">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1.2.2</w:t>
            </w:r>
          </w:p>
        </w:tc>
        <w:tc>
          <w:tcPr>
            <w:tcW w:w="2114" w:type="dxa"/>
            <w:vAlign w:val="center"/>
          </w:tcPr>
          <w:p w14:paraId="5D273A1D">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资金落实情况</w:t>
            </w:r>
          </w:p>
        </w:tc>
        <w:tc>
          <w:tcPr>
            <w:tcW w:w="6949" w:type="dxa"/>
            <w:vAlign w:val="center"/>
          </w:tcPr>
          <w:p w14:paraId="44ED44F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已落实</w:t>
            </w:r>
          </w:p>
        </w:tc>
      </w:tr>
      <w:tr w14:paraId="07ACD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258" w:hRule="atLeast"/>
        </w:trPr>
        <w:tc>
          <w:tcPr>
            <w:tcW w:w="959" w:type="dxa"/>
            <w:vAlign w:val="center"/>
          </w:tcPr>
          <w:p w14:paraId="756D6B5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1.3.1</w:t>
            </w:r>
          </w:p>
        </w:tc>
        <w:tc>
          <w:tcPr>
            <w:tcW w:w="2114" w:type="dxa"/>
            <w:vAlign w:val="center"/>
          </w:tcPr>
          <w:p w14:paraId="01BD131A">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采购内容</w:t>
            </w:r>
          </w:p>
        </w:tc>
        <w:tc>
          <w:tcPr>
            <w:tcW w:w="6949" w:type="dxa"/>
            <w:vAlign w:val="center"/>
          </w:tcPr>
          <w:p w14:paraId="4D927C06">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详见第一章 竞争磋商公告</w:t>
            </w:r>
          </w:p>
        </w:tc>
      </w:tr>
      <w:tr w14:paraId="6214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290" w:hRule="atLeast"/>
        </w:trPr>
        <w:tc>
          <w:tcPr>
            <w:tcW w:w="959" w:type="dxa"/>
            <w:vAlign w:val="center"/>
          </w:tcPr>
          <w:p w14:paraId="0D12CDDD">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1.3.2</w:t>
            </w:r>
          </w:p>
        </w:tc>
        <w:tc>
          <w:tcPr>
            <w:tcW w:w="2114" w:type="dxa"/>
            <w:vAlign w:val="center"/>
          </w:tcPr>
          <w:p w14:paraId="257048F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承包方式</w:t>
            </w:r>
          </w:p>
        </w:tc>
        <w:tc>
          <w:tcPr>
            <w:tcW w:w="6949" w:type="dxa"/>
            <w:vAlign w:val="center"/>
          </w:tcPr>
          <w:p w14:paraId="5FABEF9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招标发包</w:t>
            </w:r>
          </w:p>
        </w:tc>
      </w:tr>
      <w:tr w14:paraId="41E5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29" w:hRule="atLeast"/>
        </w:trPr>
        <w:tc>
          <w:tcPr>
            <w:tcW w:w="959" w:type="dxa"/>
            <w:vAlign w:val="center"/>
          </w:tcPr>
          <w:p w14:paraId="3F58848B">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1.3.3</w:t>
            </w:r>
          </w:p>
        </w:tc>
        <w:tc>
          <w:tcPr>
            <w:tcW w:w="2114" w:type="dxa"/>
            <w:vAlign w:val="center"/>
          </w:tcPr>
          <w:p w14:paraId="41E19C0B">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合同履行期限</w:t>
            </w:r>
          </w:p>
        </w:tc>
        <w:tc>
          <w:tcPr>
            <w:tcW w:w="6949" w:type="dxa"/>
            <w:vAlign w:val="center"/>
          </w:tcPr>
          <w:p w14:paraId="072C19C8">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自签订合同之日起90日历天内完成</w:t>
            </w:r>
          </w:p>
        </w:tc>
      </w:tr>
      <w:tr w14:paraId="6AA0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38" w:hRule="atLeast"/>
        </w:trPr>
        <w:tc>
          <w:tcPr>
            <w:tcW w:w="959" w:type="dxa"/>
            <w:vAlign w:val="center"/>
          </w:tcPr>
          <w:p w14:paraId="26404640">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1.3.4</w:t>
            </w:r>
          </w:p>
        </w:tc>
        <w:tc>
          <w:tcPr>
            <w:tcW w:w="2114" w:type="dxa"/>
            <w:vAlign w:val="center"/>
          </w:tcPr>
          <w:p w14:paraId="0AD3C5EB">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质量要求</w:t>
            </w:r>
          </w:p>
        </w:tc>
        <w:tc>
          <w:tcPr>
            <w:tcW w:w="6949" w:type="dxa"/>
            <w:vAlign w:val="center"/>
          </w:tcPr>
          <w:p w14:paraId="795C727A">
            <w:pPr>
              <w:spacing w:line="24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符合国家、行业相关标准、一次性验收合格且满足采购人要求</w:t>
            </w:r>
            <w:r>
              <w:rPr>
                <w:rFonts w:hint="eastAsia"/>
                <w:color w:val="000000" w:themeColor="text1"/>
                <w:highlight w:val="none"/>
                <w14:textFill>
                  <w14:solidFill>
                    <w14:schemeClr w14:val="tx1"/>
                  </w14:solidFill>
                </w14:textFill>
              </w:rPr>
              <w:t>。</w:t>
            </w:r>
          </w:p>
        </w:tc>
      </w:tr>
      <w:tr w14:paraId="12C9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288" w:hRule="atLeast"/>
        </w:trPr>
        <w:tc>
          <w:tcPr>
            <w:tcW w:w="959" w:type="dxa"/>
            <w:vAlign w:val="center"/>
          </w:tcPr>
          <w:p w14:paraId="32664AF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1.3.5</w:t>
            </w:r>
          </w:p>
        </w:tc>
        <w:tc>
          <w:tcPr>
            <w:tcW w:w="2114" w:type="dxa"/>
            <w:vAlign w:val="center"/>
          </w:tcPr>
          <w:p w14:paraId="1957E55E">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标段划分</w:t>
            </w:r>
          </w:p>
        </w:tc>
        <w:tc>
          <w:tcPr>
            <w:tcW w:w="6949" w:type="dxa"/>
            <w:vAlign w:val="center"/>
          </w:tcPr>
          <w:p w14:paraId="5C06FA9F">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本项目不划分标段</w:t>
            </w:r>
          </w:p>
        </w:tc>
      </w:tr>
      <w:tr w14:paraId="289F7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9" w:hRule="atLeast"/>
        </w:trPr>
        <w:tc>
          <w:tcPr>
            <w:tcW w:w="959" w:type="dxa"/>
            <w:vAlign w:val="center"/>
          </w:tcPr>
          <w:p w14:paraId="5BB7747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1.4.1</w:t>
            </w:r>
          </w:p>
        </w:tc>
        <w:tc>
          <w:tcPr>
            <w:tcW w:w="2114" w:type="dxa"/>
            <w:vAlign w:val="center"/>
          </w:tcPr>
          <w:p w14:paraId="27FD20BA">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供应商资格条件</w:t>
            </w:r>
          </w:p>
        </w:tc>
        <w:tc>
          <w:tcPr>
            <w:tcW w:w="6949" w:type="dxa"/>
            <w:vAlign w:val="center"/>
          </w:tcPr>
          <w:p w14:paraId="34DD4B53">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详见第一章 竞争性磋商公告</w:t>
            </w:r>
          </w:p>
        </w:tc>
      </w:tr>
      <w:tr w14:paraId="1F35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36" w:hRule="atLeast"/>
        </w:trPr>
        <w:tc>
          <w:tcPr>
            <w:tcW w:w="959" w:type="dxa"/>
            <w:vAlign w:val="center"/>
          </w:tcPr>
          <w:p w14:paraId="094381E0">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1.4.2</w:t>
            </w:r>
          </w:p>
        </w:tc>
        <w:tc>
          <w:tcPr>
            <w:tcW w:w="2114" w:type="dxa"/>
            <w:vAlign w:val="center"/>
          </w:tcPr>
          <w:p w14:paraId="7DDA1C8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是否接受联合体投标</w:t>
            </w:r>
          </w:p>
        </w:tc>
        <w:tc>
          <w:tcPr>
            <w:tcW w:w="6949" w:type="dxa"/>
            <w:vAlign w:val="center"/>
          </w:tcPr>
          <w:p w14:paraId="3385630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不接受。</w:t>
            </w:r>
          </w:p>
        </w:tc>
      </w:tr>
      <w:tr w14:paraId="63C3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90" w:hRule="atLeast"/>
        </w:trPr>
        <w:tc>
          <w:tcPr>
            <w:tcW w:w="959" w:type="dxa"/>
            <w:vAlign w:val="center"/>
          </w:tcPr>
          <w:p w14:paraId="6A68D65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1.9.1</w:t>
            </w:r>
          </w:p>
        </w:tc>
        <w:tc>
          <w:tcPr>
            <w:tcW w:w="2114" w:type="dxa"/>
            <w:vAlign w:val="center"/>
          </w:tcPr>
          <w:p w14:paraId="52F3565E">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踏勘现场</w:t>
            </w:r>
          </w:p>
        </w:tc>
        <w:tc>
          <w:tcPr>
            <w:tcW w:w="6949" w:type="dxa"/>
            <w:vAlign w:val="center"/>
          </w:tcPr>
          <w:p w14:paraId="5C4525AB">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不组织。</w:t>
            </w:r>
          </w:p>
        </w:tc>
      </w:tr>
      <w:tr w14:paraId="31CC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64" w:hRule="atLeast"/>
        </w:trPr>
        <w:tc>
          <w:tcPr>
            <w:tcW w:w="959" w:type="dxa"/>
            <w:vAlign w:val="center"/>
          </w:tcPr>
          <w:p w14:paraId="4B5487A8">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1.10.1</w:t>
            </w:r>
          </w:p>
        </w:tc>
        <w:tc>
          <w:tcPr>
            <w:tcW w:w="2114" w:type="dxa"/>
            <w:vAlign w:val="center"/>
          </w:tcPr>
          <w:p w14:paraId="04E5030A">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投标预备会</w:t>
            </w:r>
          </w:p>
        </w:tc>
        <w:tc>
          <w:tcPr>
            <w:tcW w:w="6949" w:type="dxa"/>
            <w:vAlign w:val="center"/>
          </w:tcPr>
          <w:p w14:paraId="60B2434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不召开。</w:t>
            </w:r>
          </w:p>
        </w:tc>
      </w:tr>
      <w:tr w14:paraId="0F85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0663C4D0">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1.11</w:t>
            </w:r>
          </w:p>
        </w:tc>
        <w:tc>
          <w:tcPr>
            <w:tcW w:w="2114" w:type="dxa"/>
            <w:vAlign w:val="center"/>
          </w:tcPr>
          <w:p w14:paraId="3C820BB2">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偏离</w:t>
            </w:r>
          </w:p>
        </w:tc>
        <w:tc>
          <w:tcPr>
            <w:tcW w:w="6949" w:type="dxa"/>
            <w:vAlign w:val="center"/>
          </w:tcPr>
          <w:p w14:paraId="640784F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允许，供应商可在竞争性磋商文件要求的条件上，作出正偏离的承诺（如工期提前、质量标准提高，处罚额度增大等）</w:t>
            </w:r>
          </w:p>
        </w:tc>
      </w:tr>
      <w:tr w14:paraId="023F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97" w:hRule="atLeast"/>
        </w:trPr>
        <w:tc>
          <w:tcPr>
            <w:tcW w:w="959" w:type="dxa"/>
            <w:vAlign w:val="center"/>
          </w:tcPr>
          <w:p w14:paraId="099EB6EE">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w:t>
            </w:r>
          </w:p>
        </w:tc>
        <w:tc>
          <w:tcPr>
            <w:tcW w:w="2114" w:type="dxa"/>
            <w:vAlign w:val="center"/>
          </w:tcPr>
          <w:p w14:paraId="28DC6DB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构成竞争性磋商文件的其他材料</w:t>
            </w:r>
          </w:p>
        </w:tc>
        <w:tc>
          <w:tcPr>
            <w:tcW w:w="6949" w:type="dxa"/>
            <w:vAlign w:val="center"/>
          </w:tcPr>
          <w:p w14:paraId="2B69506F">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采购人以书面形式发出的答疑书、补遗书或通知等。</w:t>
            </w:r>
          </w:p>
        </w:tc>
      </w:tr>
      <w:tr w14:paraId="1BC9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577BA0C3">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3.2.1</w:t>
            </w:r>
          </w:p>
        </w:tc>
        <w:tc>
          <w:tcPr>
            <w:tcW w:w="2114" w:type="dxa"/>
            <w:vAlign w:val="center"/>
          </w:tcPr>
          <w:p w14:paraId="3CD3358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计价方式</w:t>
            </w:r>
          </w:p>
        </w:tc>
        <w:tc>
          <w:tcPr>
            <w:tcW w:w="6949" w:type="dxa"/>
            <w:vAlign w:val="center"/>
          </w:tcPr>
          <w:p w14:paraId="0DB960F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工程量清单计价</w:t>
            </w:r>
          </w:p>
        </w:tc>
      </w:tr>
      <w:tr w14:paraId="49BD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2F140D23">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3.3.1</w:t>
            </w:r>
          </w:p>
        </w:tc>
        <w:tc>
          <w:tcPr>
            <w:tcW w:w="2114" w:type="dxa"/>
            <w:vAlign w:val="center"/>
          </w:tcPr>
          <w:p w14:paraId="2F48D706">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磋商有效期</w:t>
            </w:r>
          </w:p>
        </w:tc>
        <w:tc>
          <w:tcPr>
            <w:tcW w:w="6949" w:type="dxa"/>
            <w:vAlign w:val="center"/>
          </w:tcPr>
          <w:p w14:paraId="186DDCD2">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从提交响应文件截止之日起90日历天。</w:t>
            </w:r>
          </w:p>
        </w:tc>
      </w:tr>
      <w:tr w14:paraId="13E3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771D222C">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3.4.1</w:t>
            </w:r>
          </w:p>
        </w:tc>
        <w:tc>
          <w:tcPr>
            <w:tcW w:w="2114" w:type="dxa"/>
            <w:vAlign w:val="center"/>
          </w:tcPr>
          <w:p w14:paraId="33B4EF91">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保证金</w:t>
            </w:r>
          </w:p>
        </w:tc>
        <w:tc>
          <w:tcPr>
            <w:tcW w:w="6949" w:type="dxa"/>
            <w:vAlign w:val="center"/>
          </w:tcPr>
          <w:p w14:paraId="3F5751A3">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无</w:t>
            </w:r>
          </w:p>
        </w:tc>
      </w:tr>
      <w:tr w14:paraId="7C5F6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18" w:hRule="atLeast"/>
        </w:trPr>
        <w:tc>
          <w:tcPr>
            <w:tcW w:w="959" w:type="dxa"/>
            <w:vAlign w:val="center"/>
          </w:tcPr>
          <w:p w14:paraId="200C7F71">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3.6.5</w:t>
            </w:r>
          </w:p>
        </w:tc>
        <w:tc>
          <w:tcPr>
            <w:tcW w:w="2114" w:type="dxa"/>
            <w:vAlign w:val="center"/>
          </w:tcPr>
          <w:p w14:paraId="1A81E5F9">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签字、盖章要求</w:t>
            </w:r>
          </w:p>
        </w:tc>
        <w:tc>
          <w:tcPr>
            <w:tcW w:w="6949" w:type="dxa"/>
            <w:vAlign w:val="center"/>
          </w:tcPr>
          <w:p w14:paraId="046045B8">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响应文件应按照响应文件格式，采用单位和个人数字证书电子签章及电子签名：需要企业、法定代表人电子签章及电子签名；只在需要电子签章的地方进行电子签章，无需逐页电子签章。</w:t>
            </w:r>
          </w:p>
        </w:tc>
      </w:tr>
      <w:tr w14:paraId="0282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656" w:hRule="atLeast"/>
        </w:trPr>
        <w:tc>
          <w:tcPr>
            <w:tcW w:w="959" w:type="dxa"/>
            <w:vAlign w:val="center"/>
          </w:tcPr>
          <w:p w14:paraId="73603708">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3.6.8</w:t>
            </w:r>
          </w:p>
        </w:tc>
        <w:tc>
          <w:tcPr>
            <w:tcW w:w="2114" w:type="dxa"/>
            <w:vAlign w:val="center"/>
          </w:tcPr>
          <w:p w14:paraId="4D2C29C3">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响应文件份数</w:t>
            </w:r>
          </w:p>
        </w:tc>
        <w:tc>
          <w:tcPr>
            <w:tcW w:w="6949" w:type="dxa"/>
            <w:vAlign w:val="center"/>
          </w:tcPr>
          <w:p w14:paraId="324B016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登录“政采云”平台递交加密电子响应文件一份，成交人需在合同签订前提供与加密电子响应文件一致的纸质版（正、副各一份）。</w:t>
            </w:r>
          </w:p>
        </w:tc>
      </w:tr>
      <w:tr w14:paraId="484B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025" w:hRule="atLeast"/>
        </w:trPr>
        <w:tc>
          <w:tcPr>
            <w:tcW w:w="959" w:type="dxa"/>
            <w:vAlign w:val="center"/>
          </w:tcPr>
          <w:p w14:paraId="5C20404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3.6.9</w:t>
            </w:r>
          </w:p>
        </w:tc>
        <w:tc>
          <w:tcPr>
            <w:tcW w:w="2114" w:type="dxa"/>
            <w:vAlign w:val="center"/>
          </w:tcPr>
          <w:p w14:paraId="5C4EBC5C">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响应文件形式</w:t>
            </w:r>
          </w:p>
        </w:tc>
        <w:tc>
          <w:tcPr>
            <w:tcW w:w="6949" w:type="dxa"/>
            <w:vAlign w:val="center"/>
          </w:tcPr>
          <w:p w14:paraId="539CFAB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实行网上投标，采用电子响应文件。响应文件全部采用电子文档，供应商应安装客户端软件—“政采云电子交易客户端”，并按照竞争性磋商文件和政采云电子交易平台的要求编制，编制后应进行电子签章及加密。</w:t>
            </w:r>
          </w:p>
        </w:tc>
      </w:tr>
      <w:tr w14:paraId="19C2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20" w:hRule="atLeast"/>
        </w:trPr>
        <w:tc>
          <w:tcPr>
            <w:tcW w:w="959" w:type="dxa"/>
            <w:vAlign w:val="center"/>
          </w:tcPr>
          <w:p w14:paraId="12C328C1">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4.2</w:t>
            </w:r>
          </w:p>
        </w:tc>
        <w:tc>
          <w:tcPr>
            <w:tcW w:w="2114" w:type="dxa"/>
            <w:vAlign w:val="center"/>
          </w:tcPr>
          <w:p w14:paraId="63FF2EEE">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递交响应文件时间及地点</w:t>
            </w:r>
          </w:p>
        </w:tc>
        <w:tc>
          <w:tcPr>
            <w:tcW w:w="6949" w:type="dxa"/>
            <w:vAlign w:val="center"/>
          </w:tcPr>
          <w:p w14:paraId="4FB850D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递交地点：政府采购云平台（https://www.zcygov.cn/）</w:t>
            </w:r>
          </w:p>
          <w:p w14:paraId="6D02A6B7">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递交响应文件时间：详见第一章 竞争磋商公告</w:t>
            </w:r>
          </w:p>
        </w:tc>
      </w:tr>
      <w:tr w14:paraId="082E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5C83D449">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4.2.3</w:t>
            </w:r>
          </w:p>
        </w:tc>
        <w:tc>
          <w:tcPr>
            <w:tcW w:w="2114" w:type="dxa"/>
            <w:vAlign w:val="center"/>
          </w:tcPr>
          <w:p w14:paraId="4873DC5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是否退还响应文件</w:t>
            </w:r>
          </w:p>
        </w:tc>
        <w:tc>
          <w:tcPr>
            <w:tcW w:w="6949" w:type="dxa"/>
            <w:vAlign w:val="center"/>
          </w:tcPr>
          <w:p w14:paraId="1FD9F8E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否</w:t>
            </w:r>
          </w:p>
        </w:tc>
      </w:tr>
      <w:tr w14:paraId="62D5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083AB951">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5.1.1</w:t>
            </w:r>
          </w:p>
        </w:tc>
        <w:tc>
          <w:tcPr>
            <w:tcW w:w="2114" w:type="dxa"/>
            <w:vAlign w:val="center"/>
          </w:tcPr>
          <w:p w14:paraId="4FE41DC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开标时间和地点</w:t>
            </w:r>
          </w:p>
        </w:tc>
        <w:tc>
          <w:tcPr>
            <w:tcW w:w="6949" w:type="dxa"/>
            <w:vAlign w:val="center"/>
          </w:tcPr>
          <w:p w14:paraId="7D586FA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开标时间：详见第一章 竞争磋商公告</w:t>
            </w:r>
          </w:p>
          <w:p w14:paraId="44C14C1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开标地点：政府采购云平台。</w:t>
            </w:r>
          </w:p>
          <w:p w14:paraId="4691CF93">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标方式：采购代理机构将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响应文件未按时解密的，视为响应文件无效。</w:t>
            </w:r>
          </w:p>
        </w:tc>
      </w:tr>
      <w:tr w14:paraId="718A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21B31480">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6.1.1</w:t>
            </w:r>
          </w:p>
        </w:tc>
        <w:tc>
          <w:tcPr>
            <w:tcW w:w="2114" w:type="dxa"/>
            <w:vAlign w:val="center"/>
          </w:tcPr>
          <w:p w14:paraId="6E2646B8">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评审专家的组建</w:t>
            </w:r>
          </w:p>
        </w:tc>
        <w:tc>
          <w:tcPr>
            <w:tcW w:w="6949" w:type="dxa"/>
            <w:vAlign w:val="center"/>
          </w:tcPr>
          <w:p w14:paraId="4D73E0F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磋商小组构成：由采购人代表和评审专家共3人以上单数组成，其中评审专家人数不得少于磋商小组成员总数的2/3。</w:t>
            </w:r>
          </w:p>
        </w:tc>
      </w:tr>
      <w:tr w14:paraId="5CE6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70ED11F6">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6.3.1</w:t>
            </w:r>
          </w:p>
        </w:tc>
        <w:tc>
          <w:tcPr>
            <w:tcW w:w="2114" w:type="dxa"/>
            <w:vAlign w:val="center"/>
          </w:tcPr>
          <w:p w14:paraId="51D6F41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评审办法</w:t>
            </w:r>
          </w:p>
        </w:tc>
        <w:tc>
          <w:tcPr>
            <w:tcW w:w="6949" w:type="dxa"/>
            <w:vAlign w:val="center"/>
          </w:tcPr>
          <w:p w14:paraId="3E5EFB96">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综合评分法</w:t>
            </w:r>
          </w:p>
        </w:tc>
      </w:tr>
      <w:tr w14:paraId="4458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0ED0ED8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7.1</w:t>
            </w:r>
          </w:p>
        </w:tc>
        <w:tc>
          <w:tcPr>
            <w:tcW w:w="2114" w:type="dxa"/>
            <w:vAlign w:val="center"/>
          </w:tcPr>
          <w:p w14:paraId="00349B67">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是否授权评审小组确定成交人</w:t>
            </w:r>
          </w:p>
        </w:tc>
        <w:tc>
          <w:tcPr>
            <w:tcW w:w="6949" w:type="dxa"/>
            <w:vAlign w:val="center"/>
          </w:tcPr>
          <w:p w14:paraId="7D3A659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否，由评审小组根据评标办法的相关规定推荐1-3名成交候选人，采购人根据相关规定确定成交人。</w:t>
            </w:r>
          </w:p>
        </w:tc>
      </w:tr>
      <w:tr w14:paraId="5E7A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1C8D42FF">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w:t>
            </w:r>
          </w:p>
        </w:tc>
        <w:tc>
          <w:tcPr>
            <w:tcW w:w="2114" w:type="dxa"/>
            <w:vAlign w:val="center"/>
          </w:tcPr>
          <w:p w14:paraId="724FE2FC">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成交结果公示媒介</w:t>
            </w:r>
          </w:p>
        </w:tc>
        <w:tc>
          <w:tcPr>
            <w:tcW w:w="6949" w:type="dxa"/>
            <w:vAlign w:val="center"/>
          </w:tcPr>
          <w:p w14:paraId="7DC3E025">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在成交通知书发出之前，采购人将成交结果公告的情况在本项目采购公告发布的同一媒介予以公示，公示期1个工作日。</w:t>
            </w:r>
          </w:p>
        </w:tc>
      </w:tr>
      <w:tr w14:paraId="31BE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2A648513">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7.4</w:t>
            </w:r>
          </w:p>
        </w:tc>
        <w:tc>
          <w:tcPr>
            <w:tcW w:w="2114" w:type="dxa"/>
            <w:vAlign w:val="center"/>
          </w:tcPr>
          <w:p w14:paraId="6D51E099">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履约担保</w:t>
            </w:r>
          </w:p>
        </w:tc>
        <w:tc>
          <w:tcPr>
            <w:tcW w:w="6949" w:type="dxa"/>
            <w:vAlign w:val="center"/>
          </w:tcPr>
          <w:p w14:paraId="79223E5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本项目不做要求</w:t>
            </w:r>
          </w:p>
        </w:tc>
      </w:tr>
      <w:tr w14:paraId="627EE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7E81AF28">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10.1.1</w:t>
            </w:r>
          </w:p>
        </w:tc>
        <w:tc>
          <w:tcPr>
            <w:tcW w:w="2114" w:type="dxa"/>
            <w:vAlign w:val="center"/>
          </w:tcPr>
          <w:p w14:paraId="50298884">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采购代理服务费</w:t>
            </w:r>
          </w:p>
        </w:tc>
        <w:tc>
          <w:tcPr>
            <w:tcW w:w="6949" w:type="dxa"/>
            <w:vAlign w:val="center"/>
          </w:tcPr>
          <w:p w14:paraId="64671AE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购代理服务费参照（云建招协〔2026〕11号）工程招标收费标准计取，以成交金额作为计费基数，计算方法为差额定率累进法，由成交人承担并支付给采购代理机构，领取成交通知书时一次付清并提供纸质响应文件正、副各1份。</w:t>
            </w:r>
          </w:p>
        </w:tc>
      </w:tr>
      <w:tr w14:paraId="1B83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 w:hRule="atLeast"/>
        </w:trPr>
        <w:tc>
          <w:tcPr>
            <w:tcW w:w="959" w:type="dxa"/>
            <w:vAlign w:val="center"/>
          </w:tcPr>
          <w:p w14:paraId="39216B55">
            <w:pPr>
              <w:spacing w:line="24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w:t>
            </w:r>
          </w:p>
        </w:tc>
        <w:tc>
          <w:tcPr>
            <w:tcW w:w="9063" w:type="dxa"/>
            <w:gridSpan w:val="2"/>
            <w:vAlign w:val="center"/>
          </w:tcPr>
          <w:p w14:paraId="521F72C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需要补充的其他内容</w:t>
            </w:r>
          </w:p>
        </w:tc>
      </w:tr>
      <w:tr w14:paraId="2ACA1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10" w:hRule="atLeast"/>
        </w:trPr>
        <w:tc>
          <w:tcPr>
            <w:tcW w:w="10022" w:type="dxa"/>
            <w:gridSpan w:val="3"/>
            <w:vAlign w:val="center"/>
          </w:tcPr>
          <w:p w14:paraId="29FEB09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10.3.1 最高限价（控制价）</w:t>
            </w:r>
          </w:p>
        </w:tc>
      </w:tr>
      <w:tr w14:paraId="48F9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24DFA287">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326ADF0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最高限价（控制价）：¥849992.32元，高于此价的响应报价视为无效响应，响应文件按无效响应处理，不再进行下一步评审程序。</w:t>
            </w:r>
          </w:p>
        </w:tc>
      </w:tr>
      <w:tr w14:paraId="1DF8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79" w:hRule="atLeast"/>
        </w:trPr>
        <w:tc>
          <w:tcPr>
            <w:tcW w:w="10022" w:type="dxa"/>
            <w:gridSpan w:val="3"/>
            <w:vAlign w:val="center"/>
          </w:tcPr>
          <w:p w14:paraId="3075458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10.3.2 单位人员</w:t>
            </w:r>
          </w:p>
        </w:tc>
      </w:tr>
      <w:tr w14:paraId="4096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4FCBE8FA">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5CB5AC1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拟投入本工程项目的主要人员（项目经理、技术负责人），在项目实施过程中不得随意更换且需根据实际情况驻施工现场。附承诺及违约惩罚措施。</w:t>
            </w:r>
          </w:p>
        </w:tc>
      </w:tr>
      <w:tr w14:paraId="1A7D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54" w:hRule="atLeast"/>
        </w:trPr>
        <w:tc>
          <w:tcPr>
            <w:tcW w:w="10022" w:type="dxa"/>
            <w:gridSpan w:val="3"/>
            <w:vAlign w:val="center"/>
          </w:tcPr>
          <w:p w14:paraId="7672503E">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10.3.3 承诺要求</w:t>
            </w:r>
          </w:p>
        </w:tc>
      </w:tr>
      <w:tr w14:paraId="35AA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51" w:hRule="atLeast"/>
        </w:trPr>
        <w:tc>
          <w:tcPr>
            <w:tcW w:w="959" w:type="dxa"/>
            <w:vAlign w:val="center"/>
          </w:tcPr>
          <w:p w14:paraId="575BD450">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78ECF61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供应商所有涉及本项目的承诺必须具有针对性，承诺中必须包含本次项目名称，且承诺时间为竞争性磋商文件发出之后开标之前时段，如未按规定进行承诺，承诺无效。</w:t>
            </w:r>
          </w:p>
        </w:tc>
      </w:tr>
      <w:tr w14:paraId="2B6F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04" w:hRule="atLeast"/>
        </w:trPr>
        <w:tc>
          <w:tcPr>
            <w:tcW w:w="10022" w:type="dxa"/>
            <w:gridSpan w:val="3"/>
            <w:vAlign w:val="center"/>
          </w:tcPr>
          <w:p w14:paraId="589A1DA1">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10.3.4 知识产权</w:t>
            </w:r>
          </w:p>
        </w:tc>
      </w:tr>
      <w:tr w14:paraId="47E06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51" w:hRule="atLeast"/>
        </w:trPr>
        <w:tc>
          <w:tcPr>
            <w:tcW w:w="959" w:type="dxa"/>
            <w:vAlign w:val="center"/>
          </w:tcPr>
          <w:p w14:paraId="727DC31F">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5DB37019">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构成本竞争性磋商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p>
        </w:tc>
      </w:tr>
      <w:tr w14:paraId="4A5D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16" w:hRule="atLeast"/>
        </w:trPr>
        <w:tc>
          <w:tcPr>
            <w:tcW w:w="10022" w:type="dxa"/>
            <w:gridSpan w:val="3"/>
            <w:vAlign w:val="center"/>
          </w:tcPr>
          <w:p w14:paraId="0711A118">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10.3.5响应费用</w:t>
            </w:r>
          </w:p>
        </w:tc>
      </w:tr>
      <w:tr w14:paraId="61BA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51" w:hRule="atLeast"/>
        </w:trPr>
        <w:tc>
          <w:tcPr>
            <w:tcW w:w="959" w:type="dxa"/>
            <w:vAlign w:val="center"/>
          </w:tcPr>
          <w:p w14:paraId="0A3E9D60">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1F28225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tc>
      </w:tr>
      <w:tr w14:paraId="5D8E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44" w:hRule="atLeast"/>
        </w:trPr>
        <w:tc>
          <w:tcPr>
            <w:tcW w:w="10022" w:type="dxa"/>
            <w:gridSpan w:val="3"/>
            <w:vAlign w:val="center"/>
          </w:tcPr>
          <w:p w14:paraId="4CA1282A">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10.3.6 同义词语</w:t>
            </w:r>
          </w:p>
        </w:tc>
      </w:tr>
      <w:tr w14:paraId="0D373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812" w:hRule="atLeast"/>
        </w:trPr>
        <w:tc>
          <w:tcPr>
            <w:tcW w:w="959" w:type="dxa"/>
            <w:vAlign w:val="center"/>
          </w:tcPr>
          <w:p w14:paraId="4614C3EF">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25AD8796">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构成竞争性磋商文件组成部分的“通用合同条款”、“专用合同条款”、“技术标准和要求”和“工程量清单”等章节中出现的措辞“发包人”和“承包人”，在采购阶段应当分别按“采购人”和“供应商”进行理解。</w:t>
            </w:r>
          </w:p>
        </w:tc>
      </w:tr>
      <w:tr w14:paraId="7B88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51" w:hRule="atLeast"/>
        </w:trPr>
        <w:tc>
          <w:tcPr>
            <w:tcW w:w="10022" w:type="dxa"/>
            <w:gridSpan w:val="3"/>
            <w:vAlign w:val="center"/>
          </w:tcPr>
          <w:p w14:paraId="1B5A8AB7">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10.3.7备选方案</w:t>
            </w:r>
          </w:p>
        </w:tc>
      </w:tr>
      <w:tr w14:paraId="23DD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380906A3">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4D507D25">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供应商不得递交备选方案。</w:t>
            </w:r>
          </w:p>
        </w:tc>
      </w:tr>
      <w:tr w14:paraId="3AEE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10022" w:type="dxa"/>
            <w:gridSpan w:val="3"/>
            <w:vAlign w:val="center"/>
          </w:tcPr>
          <w:p w14:paraId="11927710">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10.3.8名词解释</w:t>
            </w:r>
          </w:p>
        </w:tc>
      </w:tr>
      <w:tr w14:paraId="7CD0E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62B75CFA">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2F76D4DD">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行政处罚是指：因违法、违规经营或诉讼原因受到刑事处罚或者责令停产停业、吊销许可证或者执照、较大数额罚款等行政处罚</w:t>
            </w:r>
          </w:p>
        </w:tc>
      </w:tr>
      <w:tr w14:paraId="1B77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46" w:hRule="atLeast"/>
        </w:trPr>
        <w:tc>
          <w:tcPr>
            <w:tcW w:w="10022" w:type="dxa"/>
            <w:gridSpan w:val="3"/>
            <w:vAlign w:val="center"/>
          </w:tcPr>
          <w:p w14:paraId="75460D3F">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10.3.9解释权</w:t>
            </w:r>
          </w:p>
        </w:tc>
      </w:tr>
      <w:tr w14:paraId="30F6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90" w:hRule="atLeast"/>
        </w:trPr>
        <w:tc>
          <w:tcPr>
            <w:tcW w:w="959" w:type="dxa"/>
            <w:vAlign w:val="center"/>
          </w:tcPr>
          <w:p w14:paraId="44BC0FEE">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7DBC041C">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采购阶段的规定，按采购公告、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4880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c>
          <w:tcPr>
            <w:tcW w:w="10022" w:type="dxa"/>
            <w:gridSpan w:val="3"/>
            <w:vAlign w:val="center"/>
          </w:tcPr>
          <w:p w14:paraId="00794CB7">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10.3.10电子响应文件的编制</w:t>
            </w:r>
          </w:p>
        </w:tc>
      </w:tr>
      <w:tr w14:paraId="4252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c>
          <w:tcPr>
            <w:tcW w:w="959" w:type="dxa"/>
            <w:vAlign w:val="center"/>
          </w:tcPr>
          <w:p w14:paraId="0B1F758E">
            <w:pPr>
              <w:spacing w:line="240" w:lineRule="auto"/>
              <w:jc w:val="center"/>
              <w:rPr>
                <w:color w:val="000000" w:themeColor="text1"/>
                <w:highlight w:val="none"/>
                <w14:textFill>
                  <w14:solidFill>
                    <w14:schemeClr w14:val="tx1"/>
                  </w14:solidFill>
                </w14:textFill>
              </w:rPr>
            </w:pPr>
          </w:p>
        </w:tc>
        <w:tc>
          <w:tcPr>
            <w:tcW w:w="9063" w:type="dxa"/>
            <w:gridSpan w:val="2"/>
            <w:vAlign w:val="center"/>
          </w:tcPr>
          <w:p w14:paraId="50ED7FF5">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实行网上投标，采用电子响应文件。响应文件全部采用电子文档，供应商应安装客户端软件—“政采云电子交易客户端”，并按照竞争性磋商文件和政采云电子交易平台的要求编制，编制后应进行电子签名及加密。</w:t>
            </w:r>
          </w:p>
        </w:tc>
      </w:tr>
      <w:tr w14:paraId="206D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721" w:hRule="atLeast"/>
        </w:trPr>
        <w:tc>
          <w:tcPr>
            <w:tcW w:w="10022" w:type="dxa"/>
            <w:gridSpan w:val="3"/>
            <w:vAlign w:val="center"/>
          </w:tcPr>
          <w:p w14:paraId="7B2047BF">
            <w:pP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10.3.11本项目为不见面开标，响应单位无需到达现场。</w:t>
            </w:r>
          </w:p>
        </w:tc>
      </w:tr>
    </w:tbl>
    <w:p w14:paraId="21CCC6F3">
      <w:pPr>
        <w:spacing w:line="240" w:lineRule="auto"/>
        <w:rPr>
          <w:rFonts w:hint="eastAsia" w:ascii="宋体" w:hAnsi="宋体" w:cs="宋体"/>
          <w:b/>
          <w:bCs/>
          <w:color w:val="000000" w:themeColor="text1"/>
          <w:sz w:val="24"/>
          <w:highlight w:val="none"/>
          <w14:textFill>
            <w14:solidFill>
              <w14:schemeClr w14:val="tx1"/>
            </w14:solidFill>
          </w14:textFill>
        </w:rPr>
      </w:pPr>
      <w:bookmarkStart w:id="40" w:name="_Toc25186"/>
      <w:bookmarkStart w:id="41" w:name="_Toc13183"/>
      <w:bookmarkStart w:id="42" w:name="_Toc11574"/>
    </w:p>
    <w:p w14:paraId="47F926F4">
      <w:pPr>
        <w:pStyle w:val="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C582DD7">
      <w:pPr>
        <w:pStyle w:val="3"/>
        <w:rPr>
          <w:color w:val="000000" w:themeColor="text1"/>
          <w:highlight w:val="none"/>
          <w14:textFill>
            <w14:solidFill>
              <w14:schemeClr w14:val="tx1"/>
            </w14:solidFill>
          </w14:textFill>
        </w:rPr>
      </w:pPr>
      <w:bookmarkStart w:id="43" w:name="_Toc228389595"/>
      <w:r>
        <w:rPr>
          <w:rFonts w:hint="eastAsia"/>
          <w:color w:val="000000" w:themeColor="text1"/>
          <w:highlight w:val="none"/>
          <w14:textFill>
            <w14:solidFill>
              <w14:schemeClr w14:val="tx1"/>
            </w14:solidFill>
          </w14:textFill>
        </w:rPr>
        <w:t>供应商须知正文部分</w:t>
      </w:r>
      <w:bookmarkEnd w:id="43"/>
    </w:p>
    <w:p w14:paraId="1DE36AB9">
      <w:pPr>
        <w:pStyle w:val="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 总则</w:t>
      </w:r>
      <w:bookmarkEnd w:id="40"/>
      <w:bookmarkEnd w:id="41"/>
      <w:bookmarkEnd w:id="42"/>
    </w:p>
    <w:p w14:paraId="3881F7FA">
      <w:pPr>
        <w:pStyle w:val="7"/>
        <w:ind w:firstLine="422"/>
        <w:rPr>
          <w:rFonts w:hint="eastAsia" w:ascii="宋体" w:hAnsi="宋体"/>
          <w:color w:val="000000" w:themeColor="text1"/>
          <w:szCs w:val="21"/>
          <w:highlight w:val="none"/>
          <w14:textFill>
            <w14:solidFill>
              <w14:schemeClr w14:val="tx1"/>
            </w14:solidFill>
          </w14:textFill>
        </w:rPr>
      </w:pPr>
      <w:bookmarkStart w:id="44" w:name="_Toc7078"/>
      <w:bookmarkStart w:id="45" w:name="_Toc19130"/>
      <w:r>
        <w:rPr>
          <w:rFonts w:hint="eastAsia" w:ascii="宋体" w:hAnsi="宋体"/>
          <w:color w:val="000000" w:themeColor="text1"/>
          <w:szCs w:val="21"/>
          <w:highlight w:val="none"/>
          <w14:textFill>
            <w14:solidFill>
              <w14:schemeClr w14:val="tx1"/>
            </w14:solidFill>
          </w14:textFill>
        </w:rPr>
        <w:t>1.1 项目概况</w:t>
      </w:r>
      <w:bookmarkEnd w:id="44"/>
      <w:bookmarkEnd w:id="45"/>
    </w:p>
    <w:p w14:paraId="6D12F135">
      <w:pPr>
        <w:ind w:firstLine="480"/>
        <w:jc w:val="left"/>
        <w:rPr>
          <w:rFonts w:hint="eastAsia" w:ascii="宋体" w:hAnsi="宋体" w:cs="宋体"/>
          <w:color w:val="000000" w:themeColor="text1"/>
          <w:szCs w:val="21"/>
          <w:highlight w:val="none"/>
          <w14:textFill>
            <w14:solidFill>
              <w14:schemeClr w14:val="tx1"/>
            </w14:solidFill>
          </w14:textFill>
        </w:rPr>
      </w:pPr>
      <w:bookmarkStart w:id="46" w:name="_Toc17825"/>
      <w:r>
        <w:rPr>
          <w:rFonts w:hint="eastAsia" w:ascii="宋体" w:hAnsi="宋体" w:cs="宋体"/>
          <w:color w:val="000000" w:themeColor="text1"/>
          <w:szCs w:val="21"/>
          <w:highlight w:val="none"/>
          <w14:textFill>
            <w14:solidFill>
              <w14:schemeClr w14:val="tx1"/>
            </w14:solidFill>
          </w14:textFill>
        </w:rPr>
        <w:t>1.1.1根据《中华人民共和国政府采购法》《政府采购竞争性磋商采购方式管理暂行办法》等有关法律、法规和规章的规定，本项目已具备采购条件，现对本项目进行采购。</w:t>
      </w:r>
      <w:bookmarkEnd w:id="46"/>
    </w:p>
    <w:p w14:paraId="0ABC71B9">
      <w:pPr>
        <w:ind w:firstLine="480"/>
        <w:jc w:val="left"/>
        <w:rPr>
          <w:rFonts w:hint="eastAsia" w:ascii="宋体" w:hAnsi="宋体" w:cs="宋体"/>
          <w:color w:val="000000" w:themeColor="text1"/>
          <w:szCs w:val="21"/>
          <w:highlight w:val="none"/>
          <w14:textFill>
            <w14:solidFill>
              <w14:schemeClr w14:val="tx1"/>
            </w14:solidFill>
          </w14:textFill>
        </w:rPr>
      </w:pPr>
      <w:bookmarkStart w:id="47" w:name="_Toc26830"/>
      <w:r>
        <w:rPr>
          <w:rFonts w:hint="eastAsia" w:ascii="宋体" w:hAnsi="宋体" w:cs="宋体"/>
          <w:color w:val="000000" w:themeColor="text1"/>
          <w:szCs w:val="21"/>
          <w:highlight w:val="none"/>
          <w14:textFill>
            <w14:solidFill>
              <w14:schemeClr w14:val="tx1"/>
            </w14:solidFill>
          </w14:textFill>
        </w:rPr>
        <w:t>1.1.2 本采购项目采购人：见供应商须知前附表。</w:t>
      </w:r>
      <w:bookmarkEnd w:id="47"/>
    </w:p>
    <w:p w14:paraId="7A63763C">
      <w:pPr>
        <w:ind w:firstLine="480"/>
        <w:jc w:val="left"/>
        <w:rPr>
          <w:rFonts w:hint="eastAsia" w:ascii="宋体" w:hAnsi="宋体" w:cs="宋体"/>
          <w:color w:val="000000" w:themeColor="text1"/>
          <w:szCs w:val="21"/>
          <w:highlight w:val="none"/>
          <w14:textFill>
            <w14:solidFill>
              <w14:schemeClr w14:val="tx1"/>
            </w14:solidFill>
          </w14:textFill>
        </w:rPr>
      </w:pPr>
      <w:bookmarkStart w:id="48" w:name="_Toc29851"/>
      <w:r>
        <w:rPr>
          <w:rFonts w:hint="eastAsia" w:ascii="宋体" w:hAnsi="宋体" w:cs="宋体"/>
          <w:color w:val="000000" w:themeColor="text1"/>
          <w:szCs w:val="21"/>
          <w:highlight w:val="none"/>
          <w14:textFill>
            <w14:solidFill>
              <w14:schemeClr w14:val="tx1"/>
            </w14:solidFill>
          </w14:textFill>
        </w:rPr>
        <w:t>1.1.3 本采购项目采购代理机构：见供应商须知前附表。</w:t>
      </w:r>
      <w:bookmarkEnd w:id="48"/>
    </w:p>
    <w:p w14:paraId="54BBC632">
      <w:pPr>
        <w:ind w:firstLine="480"/>
        <w:jc w:val="left"/>
        <w:rPr>
          <w:rFonts w:hint="eastAsia" w:ascii="宋体" w:hAnsi="宋体" w:cs="宋体"/>
          <w:color w:val="000000" w:themeColor="text1"/>
          <w:szCs w:val="21"/>
          <w:highlight w:val="none"/>
          <w14:textFill>
            <w14:solidFill>
              <w14:schemeClr w14:val="tx1"/>
            </w14:solidFill>
          </w14:textFill>
        </w:rPr>
      </w:pPr>
      <w:bookmarkStart w:id="49" w:name="_Toc10023"/>
      <w:r>
        <w:rPr>
          <w:rFonts w:hint="eastAsia" w:ascii="宋体" w:hAnsi="宋体" w:cs="宋体"/>
          <w:color w:val="000000" w:themeColor="text1"/>
          <w:szCs w:val="21"/>
          <w:highlight w:val="none"/>
          <w14:textFill>
            <w14:solidFill>
              <w14:schemeClr w14:val="tx1"/>
            </w14:solidFill>
          </w14:textFill>
        </w:rPr>
        <w:t>1.1.4 本采购项目名称：见供应商须知前附表。</w:t>
      </w:r>
      <w:bookmarkEnd w:id="49"/>
    </w:p>
    <w:p w14:paraId="42AF434E">
      <w:pPr>
        <w:ind w:firstLine="480"/>
        <w:jc w:val="left"/>
        <w:rPr>
          <w:rFonts w:hint="eastAsia" w:ascii="宋体" w:hAnsi="宋体" w:cs="宋体"/>
          <w:color w:val="000000" w:themeColor="text1"/>
          <w:szCs w:val="21"/>
          <w:highlight w:val="none"/>
          <w14:textFill>
            <w14:solidFill>
              <w14:schemeClr w14:val="tx1"/>
            </w14:solidFill>
          </w14:textFill>
        </w:rPr>
      </w:pPr>
      <w:bookmarkStart w:id="50" w:name="_Toc11228"/>
      <w:r>
        <w:rPr>
          <w:rFonts w:hint="eastAsia" w:ascii="宋体" w:hAnsi="宋体" w:cs="宋体"/>
          <w:color w:val="000000" w:themeColor="text1"/>
          <w:szCs w:val="21"/>
          <w:highlight w:val="none"/>
          <w14:textFill>
            <w14:solidFill>
              <w14:schemeClr w14:val="tx1"/>
            </w14:solidFill>
          </w14:textFill>
        </w:rPr>
        <w:t>1.1.5 本采购项目建设地点：见供应商须知前附表。</w:t>
      </w:r>
      <w:bookmarkEnd w:id="50"/>
    </w:p>
    <w:p w14:paraId="58B5EAB1">
      <w:pPr>
        <w:pStyle w:val="7"/>
        <w:ind w:firstLine="422"/>
        <w:rPr>
          <w:rFonts w:hint="eastAsia" w:ascii="宋体" w:hAnsi="宋体"/>
          <w:color w:val="000000" w:themeColor="text1"/>
          <w:szCs w:val="21"/>
          <w:highlight w:val="none"/>
          <w14:textFill>
            <w14:solidFill>
              <w14:schemeClr w14:val="tx1"/>
            </w14:solidFill>
          </w14:textFill>
        </w:rPr>
      </w:pPr>
      <w:bookmarkStart w:id="51" w:name="_Toc11807"/>
      <w:bookmarkStart w:id="52" w:name="_Toc18210"/>
      <w:r>
        <w:rPr>
          <w:rFonts w:hint="eastAsia" w:ascii="宋体" w:hAnsi="宋体"/>
          <w:color w:val="000000" w:themeColor="text1"/>
          <w:szCs w:val="21"/>
          <w:highlight w:val="none"/>
          <w14:textFill>
            <w14:solidFill>
              <w14:schemeClr w14:val="tx1"/>
            </w14:solidFill>
          </w14:textFill>
        </w:rPr>
        <w:t>1.2 资金来源和落实情况</w:t>
      </w:r>
      <w:bookmarkEnd w:id="51"/>
      <w:bookmarkEnd w:id="52"/>
    </w:p>
    <w:p w14:paraId="55F95C98">
      <w:pPr>
        <w:ind w:firstLine="480"/>
        <w:jc w:val="left"/>
        <w:rPr>
          <w:rFonts w:hint="eastAsia" w:ascii="宋体" w:hAnsi="宋体" w:cs="宋体"/>
          <w:color w:val="000000" w:themeColor="text1"/>
          <w:szCs w:val="21"/>
          <w:highlight w:val="none"/>
          <w14:textFill>
            <w14:solidFill>
              <w14:schemeClr w14:val="tx1"/>
            </w14:solidFill>
          </w14:textFill>
        </w:rPr>
      </w:pPr>
      <w:bookmarkStart w:id="53" w:name="_Toc1509"/>
      <w:r>
        <w:rPr>
          <w:rFonts w:hint="eastAsia" w:ascii="宋体" w:hAnsi="宋体" w:cs="宋体"/>
          <w:color w:val="000000" w:themeColor="text1"/>
          <w:szCs w:val="21"/>
          <w:highlight w:val="none"/>
          <w14:textFill>
            <w14:solidFill>
              <w14:schemeClr w14:val="tx1"/>
            </w14:solidFill>
          </w14:textFill>
        </w:rPr>
        <w:t>1.2.1 本采购项目的资金来源及出资比例：见供应商须知前附表。</w:t>
      </w:r>
      <w:bookmarkEnd w:id="53"/>
    </w:p>
    <w:p w14:paraId="5A621A52">
      <w:pPr>
        <w:ind w:firstLine="480"/>
        <w:jc w:val="left"/>
        <w:rPr>
          <w:rFonts w:hint="eastAsia" w:ascii="宋体" w:hAnsi="宋体" w:cs="宋体"/>
          <w:color w:val="000000" w:themeColor="text1"/>
          <w:szCs w:val="21"/>
          <w:highlight w:val="none"/>
          <w14:textFill>
            <w14:solidFill>
              <w14:schemeClr w14:val="tx1"/>
            </w14:solidFill>
          </w14:textFill>
        </w:rPr>
      </w:pPr>
      <w:bookmarkStart w:id="54" w:name="_Toc29651"/>
      <w:r>
        <w:rPr>
          <w:rFonts w:hint="eastAsia" w:ascii="宋体" w:hAnsi="宋体" w:cs="宋体"/>
          <w:color w:val="000000" w:themeColor="text1"/>
          <w:szCs w:val="21"/>
          <w:highlight w:val="none"/>
          <w14:textFill>
            <w14:solidFill>
              <w14:schemeClr w14:val="tx1"/>
            </w14:solidFill>
          </w14:textFill>
        </w:rPr>
        <w:t>1.2.2 本采购项目的资金落实情况：见供应商须知前附表。</w:t>
      </w:r>
      <w:bookmarkEnd w:id="54"/>
    </w:p>
    <w:p w14:paraId="0098933C">
      <w:pPr>
        <w:pStyle w:val="7"/>
        <w:ind w:firstLine="422"/>
        <w:rPr>
          <w:rFonts w:hint="eastAsia" w:ascii="宋体" w:hAnsi="宋体"/>
          <w:color w:val="000000" w:themeColor="text1"/>
          <w:szCs w:val="21"/>
          <w:highlight w:val="none"/>
          <w14:textFill>
            <w14:solidFill>
              <w14:schemeClr w14:val="tx1"/>
            </w14:solidFill>
          </w14:textFill>
        </w:rPr>
      </w:pPr>
      <w:bookmarkStart w:id="55" w:name="_Toc16321"/>
      <w:bookmarkStart w:id="56" w:name="_Toc22388"/>
      <w:r>
        <w:rPr>
          <w:rFonts w:hint="eastAsia" w:ascii="宋体" w:hAnsi="宋体"/>
          <w:color w:val="000000" w:themeColor="text1"/>
          <w:szCs w:val="21"/>
          <w:highlight w:val="none"/>
          <w14:textFill>
            <w14:solidFill>
              <w14:schemeClr w14:val="tx1"/>
            </w14:solidFill>
          </w14:textFill>
        </w:rPr>
        <w:t>1.3 采购内容、承包方式、合同履行期限、质量要求、标段划分</w:t>
      </w:r>
      <w:bookmarkEnd w:id="55"/>
      <w:bookmarkEnd w:id="56"/>
    </w:p>
    <w:p w14:paraId="7855174C">
      <w:pPr>
        <w:ind w:firstLine="480"/>
        <w:jc w:val="left"/>
        <w:rPr>
          <w:rFonts w:hint="eastAsia" w:ascii="宋体" w:hAnsi="宋体" w:cs="宋体"/>
          <w:color w:val="000000" w:themeColor="text1"/>
          <w:szCs w:val="21"/>
          <w:highlight w:val="none"/>
          <w14:textFill>
            <w14:solidFill>
              <w14:schemeClr w14:val="tx1"/>
            </w14:solidFill>
          </w14:textFill>
        </w:rPr>
      </w:pPr>
      <w:bookmarkStart w:id="57" w:name="_Toc15552"/>
      <w:r>
        <w:rPr>
          <w:rFonts w:hint="eastAsia" w:ascii="宋体" w:hAnsi="宋体" w:cs="宋体"/>
          <w:color w:val="000000" w:themeColor="text1"/>
          <w:szCs w:val="21"/>
          <w:highlight w:val="none"/>
          <w14:textFill>
            <w14:solidFill>
              <w14:schemeClr w14:val="tx1"/>
            </w14:solidFill>
          </w14:textFill>
        </w:rPr>
        <w:t>1.3.1 本次采购内容：见供应商须知前附表。</w:t>
      </w:r>
      <w:bookmarkEnd w:id="57"/>
    </w:p>
    <w:p w14:paraId="736BA8C8">
      <w:pPr>
        <w:ind w:firstLine="480"/>
        <w:jc w:val="left"/>
        <w:rPr>
          <w:rFonts w:hint="eastAsia" w:ascii="宋体" w:hAnsi="宋体" w:cs="宋体"/>
          <w:color w:val="000000" w:themeColor="text1"/>
          <w:szCs w:val="21"/>
          <w:highlight w:val="none"/>
          <w14:textFill>
            <w14:solidFill>
              <w14:schemeClr w14:val="tx1"/>
            </w14:solidFill>
          </w14:textFill>
        </w:rPr>
      </w:pPr>
      <w:bookmarkStart w:id="58" w:name="_Toc21249"/>
      <w:r>
        <w:rPr>
          <w:rFonts w:hint="eastAsia" w:ascii="宋体" w:hAnsi="宋体" w:cs="宋体"/>
          <w:color w:val="000000" w:themeColor="text1"/>
          <w:szCs w:val="21"/>
          <w:highlight w:val="none"/>
          <w14:textFill>
            <w14:solidFill>
              <w14:schemeClr w14:val="tx1"/>
            </w14:solidFill>
          </w14:textFill>
        </w:rPr>
        <w:t>1.3.2本采购项目承包方式：见供应商须知前附表。</w:t>
      </w:r>
      <w:bookmarkEnd w:id="58"/>
    </w:p>
    <w:p w14:paraId="0436F4E0">
      <w:pPr>
        <w:ind w:firstLine="480"/>
        <w:jc w:val="left"/>
        <w:rPr>
          <w:rFonts w:hint="eastAsia" w:ascii="宋体" w:hAnsi="宋体" w:cs="宋体"/>
          <w:color w:val="000000" w:themeColor="text1"/>
          <w:szCs w:val="21"/>
          <w:highlight w:val="none"/>
          <w14:textFill>
            <w14:solidFill>
              <w14:schemeClr w14:val="tx1"/>
            </w14:solidFill>
          </w14:textFill>
        </w:rPr>
      </w:pPr>
      <w:bookmarkStart w:id="59" w:name="_Toc6588"/>
      <w:r>
        <w:rPr>
          <w:rFonts w:hint="eastAsia" w:ascii="宋体" w:hAnsi="宋体" w:cs="宋体"/>
          <w:color w:val="000000" w:themeColor="text1"/>
          <w:szCs w:val="21"/>
          <w:highlight w:val="none"/>
          <w14:textFill>
            <w14:solidFill>
              <w14:schemeClr w14:val="tx1"/>
            </w14:solidFill>
          </w14:textFill>
        </w:rPr>
        <w:t>1.3.3本采购项目的</w:t>
      </w:r>
      <w:r>
        <w:rPr>
          <w:rFonts w:hint="eastAsia" w:ascii="宋体" w:hAnsi="宋体"/>
          <w:color w:val="000000" w:themeColor="text1"/>
          <w:szCs w:val="21"/>
          <w:highlight w:val="none"/>
          <w14:textFill>
            <w14:solidFill>
              <w14:schemeClr w14:val="tx1"/>
            </w14:solidFill>
          </w14:textFill>
        </w:rPr>
        <w:t>合同履行期限</w:t>
      </w:r>
      <w:r>
        <w:rPr>
          <w:rFonts w:hint="eastAsia" w:ascii="宋体" w:hAnsi="宋体" w:cs="宋体"/>
          <w:color w:val="000000" w:themeColor="text1"/>
          <w:szCs w:val="21"/>
          <w:highlight w:val="none"/>
          <w14:textFill>
            <w14:solidFill>
              <w14:schemeClr w14:val="tx1"/>
            </w14:solidFill>
          </w14:textFill>
        </w:rPr>
        <w:t>：见供应商须知前附表。</w:t>
      </w:r>
      <w:bookmarkEnd w:id="59"/>
    </w:p>
    <w:p w14:paraId="4B5CDE5C">
      <w:pPr>
        <w:ind w:firstLine="480"/>
        <w:jc w:val="left"/>
        <w:rPr>
          <w:rFonts w:hint="eastAsia" w:ascii="宋体" w:hAnsi="宋体" w:cs="宋体"/>
          <w:color w:val="000000" w:themeColor="text1"/>
          <w:szCs w:val="21"/>
          <w:highlight w:val="none"/>
          <w14:textFill>
            <w14:solidFill>
              <w14:schemeClr w14:val="tx1"/>
            </w14:solidFill>
          </w14:textFill>
        </w:rPr>
      </w:pPr>
      <w:bookmarkStart w:id="60" w:name="_Toc21827"/>
      <w:r>
        <w:rPr>
          <w:rFonts w:hint="eastAsia" w:ascii="宋体" w:hAnsi="宋体" w:cs="宋体"/>
          <w:color w:val="000000" w:themeColor="text1"/>
          <w:szCs w:val="21"/>
          <w:highlight w:val="none"/>
          <w14:textFill>
            <w14:solidFill>
              <w14:schemeClr w14:val="tx1"/>
            </w14:solidFill>
          </w14:textFill>
        </w:rPr>
        <w:t>1.3.4本采购项目的质量要求：见供应商须知前附表。</w:t>
      </w:r>
      <w:bookmarkEnd w:id="60"/>
    </w:p>
    <w:p w14:paraId="44CB56F9">
      <w:pPr>
        <w:ind w:firstLine="480"/>
        <w:jc w:val="left"/>
        <w:rPr>
          <w:rFonts w:hint="eastAsia" w:ascii="宋体" w:hAnsi="宋体" w:cs="宋体"/>
          <w:color w:val="000000" w:themeColor="text1"/>
          <w:szCs w:val="21"/>
          <w:highlight w:val="none"/>
          <w14:textFill>
            <w14:solidFill>
              <w14:schemeClr w14:val="tx1"/>
            </w14:solidFill>
          </w14:textFill>
        </w:rPr>
      </w:pPr>
      <w:bookmarkStart w:id="61" w:name="_Toc12021"/>
      <w:r>
        <w:rPr>
          <w:rFonts w:hint="eastAsia" w:ascii="宋体" w:hAnsi="宋体" w:cs="宋体"/>
          <w:color w:val="000000" w:themeColor="text1"/>
          <w:szCs w:val="21"/>
          <w:highlight w:val="none"/>
          <w14:textFill>
            <w14:solidFill>
              <w14:schemeClr w14:val="tx1"/>
            </w14:solidFill>
          </w14:textFill>
        </w:rPr>
        <w:t>1.3.5本采购项目的标段划分：见供应商须知前附表。</w:t>
      </w:r>
      <w:bookmarkEnd w:id="61"/>
    </w:p>
    <w:p w14:paraId="47D46958">
      <w:pPr>
        <w:pStyle w:val="7"/>
        <w:ind w:firstLine="422"/>
        <w:rPr>
          <w:rFonts w:hint="eastAsia" w:ascii="宋体" w:hAnsi="宋体"/>
          <w:color w:val="000000" w:themeColor="text1"/>
          <w:szCs w:val="21"/>
          <w:highlight w:val="none"/>
          <w14:textFill>
            <w14:solidFill>
              <w14:schemeClr w14:val="tx1"/>
            </w14:solidFill>
          </w14:textFill>
        </w:rPr>
      </w:pPr>
      <w:bookmarkStart w:id="62" w:name="_Toc2744"/>
      <w:bookmarkStart w:id="63" w:name="_Toc1619"/>
      <w:r>
        <w:rPr>
          <w:rFonts w:hint="eastAsia" w:ascii="宋体" w:hAnsi="宋体"/>
          <w:color w:val="000000" w:themeColor="text1"/>
          <w:szCs w:val="21"/>
          <w:highlight w:val="none"/>
          <w14:textFill>
            <w14:solidFill>
              <w14:schemeClr w14:val="tx1"/>
            </w14:solidFill>
          </w14:textFill>
        </w:rPr>
        <w:t>1.4 供应商资格要求</w:t>
      </w:r>
      <w:bookmarkEnd w:id="62"/>
      <w:bookmarkEnd w:id="63"/>
    </w:p>
    <w:p w14:paraId="3ADA3B79">
      <w:pPr>
        <w:ind w:firstLine="480"/>
        <w:jc w:val="left"/>
        <w:rPr>
          <w:rFonts w:hint="eastAsia" w:ascii="宋体" w:hAnsi="宋体" w:cs="宋体"/>
          <w:color w:val="000000" w:themeColor="text1"/>
          <w:szCs w:val="21"/>
          <w:highlight w:val="none"/>
          <w14:textFill>
            <w14:solidFill>
              <w14:schemeClr w14:val="tx1"/>
            </w14:solidFill>
          </w14:textFill>
        </w:rPr>
      </w:pPr>
      <w:bookmarkStart w:id="64" w:name="_Toc21461"/>
      <w:r>
        <w:rPr>
          <w:rFonts w:hint="eastAsia" w:ascii="宋体" w:hAnsi="宋体" w:cs="宋体"/>
          <w:color w:val="000000" w:themeColor="text1"/>
          <w:szCs w:val="21"/>
          <w:highlight w:val="none"/>
          <w14:textFill>
            <w14:solidFill>
              <w14:schemeClr w14:val="tx1"/>
            </w14:solidFill>
          </w14:textFill>
        </w:rPr>
        <w:t>1.4.1 供应商应具备承担本项目施工的资质条件，详见供应商须知前附表。</w:t>
      </w:r>
      <w:bookmarkEnd w:id="64"/>
    </w:p>
    <w:p w14:paraId="61285703">
      <w:pPr>
        <w:ind w:firstLine="480"/>
        <w:jc w:val="left"/>
        <w:rPr>
          <w:rFonts w:hint="eastAsia" w:ascii="宋体" w:hAnsi="宋体" w:cs="宋体"/>
          <w:color w:val="000000" w:themeColor="text1"/>
          <w:szCs w:val="21"/>
          <w:highlight w:val="none"/>
          <w14:textFill>
            <w14:solidFill>
              <w14:schemeClr w14:val="tx1"/>
            </w14:solidFill>
          </w14:textFill>
        </w:rPr>
      </w:pPr>
      <w:bookmarkStart w:id="65" w:name="_Toc24192"/>
      <w:r>
        <w:rPr>
          <w:rFonts w:hint="eastAsia" w:ascii="宋体" w:hAnsi="宋体" w:cs="宋体"/>
          <w:color w:val="000000" w:themeColor="text1"/>
          <w:szCs w:val="21"/>
          <w:highlight w:val="none"/>
          <w14:textFill>
            <w14:solidFill>
              <w14:schemeClr w14:val="tx1"/>
            </w14:solidFill>
          </w14:textFill>
        </w:rPr>
        <w:t>1.4.2 供应商须知前附表规定接受联合体投标的，除应符合本章第1.4.1项和供应商须知前附表的要求外，还应遵守以下规定：</w:t>
      </w:r>
      <w:bookmarkEnd w:id="65"/>
    </w:p>
    <w:p w14:paraId="639F07EC">
      <w:pPr>
        <w:ind w:firstLine="480"/>
        <w:jc w:val="left"/>
        <w:rPr>
          <w:rFonts w:hint="eastAsia" w:ascii="宋体" w:hAnsi="宋体" w:cs="宋体"/>
          <w:color w:val="000000" w:themeColor="text1"/>
          <w:szCs w:val="21"/>
          <w:highlight w:val="none"/>
          <w14:textFill>
            <w14:solidFill>
              <w14:schemeClr w14:val="tx1"/>
            </w14:solidFill>
          </w14:textFill>
        </w:rPr>
      </w:pPr>
      <w:bookmarkStart w:id="66" w:name="_Toc23275"/>
      <w:r>
        <w:rPr>
          <w:rFonts w:hint="eastAsia" w:ascii="宋体" w:hAnsi="宋体" w:cs="宋体"/>
          <w:color w:val="000000" w:themeColor="text1"/>
          <w:szCs w:val="21"/>
          <w:highlight w:val="none"/>
          <w14:textFill>
            <w14:solidFill>
              <w14:schemeClr w14:val="tx1"/>
            </w14:solidFill>
          </w14:textFill>
        </w:rPr>
        <w:t>（1）联合体各方应按竞争性磋商文件提供的格式签订联合体协议书，明确联合体牵头人和各方权利义务；</w:t>
      </w:r>
      <w:bookmarkEnd w:id="66"/>
    </w:p>
    <w:p w14:paraId="66FFCFE9">
      <w:pPr>
        <w:ind w:firstLine="480"/>
        <w:jc w:val="left"/>
        <w:rPr>
          <w:rFonts w:hint="eastAsia" w:ascii="宋体" w:hAnsi="宋体" w:cs="宋体"/>
          <w:color w:val="000000" w:themeColor="text1"/>
          <w:szCs w:val="21"/>
          <w:highlight w:val="none"/>
          <w14:textFill>
            <w14:solidFill>
              <w14:schemeClr w14:val="tx1"/>
            </w14:solidFill>
          </w14:textFill>
        </w:rPr>
      </w:pPr>
      <w:bookmarkStart w:id="67" w:name="_Toc25874"/>
      <w:r>
        <w:rPr>
          <w:rFonts w:hint="eastAsia" w:ascii="宋体" w:hAnsi="宋体" w:cs="宋体"/>
          <w:color w:val="000000" w:themeColor="text1"/>
          <w:szCs w:val="21"/>
          <w:highlight w:val="none"/>
          <w14:textFill>
            <w14:solidFill>
              <w14:schemeClr w14:val="tx1"/>
            </w14:solidFill>
          </w14:textFill>
        </w:rPr>
        <w:t>（2）由同一专业的单位组成的联合体，按照资质等级较低的单位确定资质等级；</w:t>
      </w:r>
      <w:bookmarkEnd w:id="67"/>
    </w:p>
    <w:p w14:paraId="7ED7FC0D">
      <w:pPr>
        <w:ind w:firstLine="480"/>
        <w:jc w:val="left"/>
        <w:rPr>
          <w:rFonts w:hint="eastAsia" w:ascii="宋体" w:hAnsi="宋体" w:cs="宋体"/>
          <w:color w:val="000000" w:themeColor="text1"/>
          <w:szCs w:val="21"/>
          <w:highlight w:val="none"/>
          <w14:textFill>
            <w14:solidFill>
              <w14:schemeClr w14:val="tx1"/>
            </w14:solidFill>
          </w14:textFill>
        </w:rPr>
      </w:pPr>
      <w:bookmarkStart w:id="68" w:name="_Toc2646"/>
      <w:r>
        <w:rPr>
          <w:rFonts w:hint="eastAsia" w:ascii="宋体" w:hAnsi="宋体" w:cs="宋体"/>
          <w:color w:val="000000" w:themeColor="text1"/>
          <w:szCs w:val="21"/>
          <w:highlight w:val="none"/>
          <w14:textFill>
            <w14:solidFill>
              <w14:schemeClr w14:val="tx1"/>
            </w14:solidFill>
          </w14:textFill>
        </w:rPr>
        <w:t>（3）联合体各方不得再以自己名义单独或参加其他联合体在同一标段中投标。</w:t>
      </w:r>
      <w:bookmarkEnd w:id="68"/>
    </w:p>
    <w:p w14:paraId="3EED79D5">
      <w:pPr>
        <w:ind w:firstLine="480"/>
        <w:jc w:val="left"/>
        <w:rPr>
          <w:rFonts w:hint="eastAsia" w:ascii="宋体" w:hAnsi="宋体" w:cs="宋体"/>
          <w:color w:val="000000" w:themeColor="text1"/>
          <w:szCs w:val="21"/>
          <w:highlight w:val="none"/>
          <w14:textFill>
            <w14:solidFill>
              <w14:schemeClr w14:val="tx1"/>
            </w14:solidFill>
          </w14:textFill>
        </w:rPr>
      </w:pPr>
      <w:bookmarkStart w:id="69" w:name="_Toc18833"/>
      <w:r>
        <w:rPr>
          <w:rFonts w:hint="eastAsia" w:ascii="宋体" w:hAnsi="宋体" w:cs="宋体"/>
          <w:color w:val="000000" w:themeColor="text1"/>
          <w:szCs w:val="21"/>
          <w:highlight w:val="none"/>
          <w14:textFill>
            <w14:solidFill>
              <w14:schemeClr w14:val="tx1"/>
            </w14:solidFill>
          </w14:textFill>
        </w:rPr>
        <w:t>1.4.3 供应商不得存在下列情形之一：</w:t>
      </w:r>
      <w:bookmarkEnd w:id="69"/>
    </w:p>
    <w:p w14:paraId="3767A4A4">
      <w:pPr>
        <w:ind w:firstLine="480"/>
        <w:jc w:val="left"/>
        <w:rPr>
          <w:rFonts w:hint="eastAsia" w:ascii="宋体" w:hAnsi="宋体" w:cs="宋体"/>
          <w:color w:val="000000" w:themeColor="text1"/>
          <w:szCs w:val="21"/>
          <w:highlight w:val="none"/>
          <w14:textFill>
            <w14:solidFill>
              <w14:schemeClr w14:val="tx1"/>
            </w14:solidFill>
          </w14:textFill>
        </w:rPr>
      </w:pPr>
      <w:bookmarkStart w:id="70" w:name="_Toc20542"/>
      <w:r>
        <w:rPr>
          <w:rFonts w:hint="eastAsia" w:ascii="宋体" w:hAnsi="宋体" w:cs="宋体"/>
          <w:color w:val="000000" w:themeColor="text1"/>
          <w:szCs w:val="21"/>
          <w:highlight w:val="none"/>
          <w14:textFill>
            <w14:solidFill>
              <w14:schemeClr w14:val="tx1"/>
            </w14:solidFill>
          </w14:textFill>
        </w:rPr>
        <w:t>（1）为采购人不具有独立法人资格的附属机构（单位）；</w:t>
      </w:r>
      <w:bookmarkEnd w:id="70"/>
    </w:p>
    <w:p w14:paraId="1E23ED44">
      <w:pPr>
        <w:ind w:firstLine="480"/>
        <w:jc w:val="left"/>
        <w:rPr>
          <w:rFonts w:hint="eastAsia" w:ascii="宋体" w:hAnsi="宋体" w:cs="宋体"/>
          <w:color w:val="000000" w:themeColor="text1"/>
          <w:szCs w:val="21"/>
          <w:highlight w:val="none"/>
          <w14:textFill>
            <w14:solidFill>
              <w14:schemeClr w14:val="tx1"/>
            </w14:solidFill>
          </w14:textFill>
        </w:rPr>
      </w:pPr>
      <w:bookmarkStart w:id="71" w:name="_Toc15049"/>
      <w:r>
        <w:rPr>
          <w:rFonts w:hint="eastAsia" w:ascii="宋体" w:hAnsi="宋体" w:cs="宋体"/>
          <w:color w:val="000000" w:themeColor="text1"/>
          <w:szCs w:val="21"/>
          <w:highlight w:val="none"/>
          <w14:textFill>
            <w14:solidFill>
              <w14:schemeClr w14:val="tx1"/>
            </w14:solidFill>
          </w14:textFill>
        </w:rPr>
        <w:t>（2）为本采购项目前期准备提供设计或咨询服务的，但设计施工总承包的除外；</w:t>
      </w:r>
      <w:bookmarkEnd w:id="71"/>
      <w:r>
        <w:rPr>
          <w:rFonts w:hint="eastAsia" w:ascii="宋体" w:hAnsi="宋体" w:cs="宋体"/>
          <w:color w:val="000000" w:themeColor="text1"/>
          <w:szCs w:val="21"/>
          <w:highlight w:val="none"/>
          <w14:textFill>
            <w14:solidFill>
              <w14:schemeClr w14:val="tx1"/>
            </w14:solidFill>
          </w14:textFill>
        </w:rPr>
        <w:t xml:space="preserve"> </w:t>
      </w:r>
    </w:p>
    <w:p w14:paraId="6351FA54">
      <w:pPr>
        <w:ind w:firstLine="480"/>
        <w:jc w:val="left"/>
        <w:rPr>
          <w:rFonts w:hint="eastAsia" w:ascii="宋体" w:hAnsi="宋体" w:cs="宋体"/>
          <w:color w:val="000000" w:themeColor="text1"/>
          <w:szCs w:val="21"/>
          <w:highlight w:val="none"/>
          <w14:textFill>
            <w14:solidFill>
              <w14:schemeClr w14:val="tx1"/>
            </w14:solidFill>
          </w14:textFill>
        </w:rPr>
      </w:pPr>
      <w:bookmarkStart w:id="72" w:name="_Toc23649"/>
      <w:r>
        <w:rPr>
          <w:rFonts w:hint="eastAsia" w:ascii="宋体" w:hAnsi="宋体" w:cs="宋体"/>
          <w:color w:val="000000" w:themeColor="text1"/>
          <w:szCs w:val="21"/>
          <w:highlight w:val="none"/>
          <w14:textFill>
            <w14:solidFill>
              <w14:schemeClr w14:val="tx1"/>
            </w14:solidFill>
          </w14:textFill>
        </w:rPr>
        <w:t>（3）为本采购项目的监理人；</w:t>
      </w:r>
      <w:bookmarkEnd w:id="72"/>
    </w:p>
    <w:p w14:paraId="5AFD644C">
      <w:pPr>
        <w:ind w:firstLine="480"/>
        <w:jc w:val="left"/>
        <w:rPr>
          <w:rFonts w:hint="eastAsia" w:ascii="宋体" w:hAnsi="宋体" w:cs="宋体"/>
          <w:color w:val="000000" w:themeColor="text1"/>
          <w:szCs w:val="21"/>
          <w:highlight w:val="none"/>
          <w14:textFill>
            <w14:solidFill>
              <w14:schemeClr w14:val="tx1"/>
            </w14:solidFill>
          </w14:textFill>
        </w:rPr>
      </w:pPr>
      <w:bookmarkStart w:id="73" w:name="_Toc32032"/>
      <w:r>
        <w:rPr>
          <w:rFonts w:hint="eastAsia" w:ascii="宋体" w:hAnsi="宋体" w:cs="宋体"/>
          <w:color w:val="000000" w:themeColor="text1"/>
          <w:szCs w:val="21"/>
          <w:highlight w:val="none"/>
          <w14:textFill>
            <w14:solidFill>
              <w14:schemeClr w14:val="tx1"/>
            </w14:solidFill>
          </w14:textFill>
        </w:rPr>
        <w:t>（4）为本采购项目的代建人；</w:t>
      </w:r>
      <w:bookmarkEnd w:id="73"/>
      <w:r>
        <w:rPr>
          <w:rFonts w:hint="eastAsia" w:ascii="宋体" w:hAnsi="宋体" w:cs="宋体"/>
          <w:color w:val="000000" w:themeColor="text1"/>
          <w:szCs w:val="21"/>
          <w:highlight w:val="none"/>
          <w14:textFill>
            <w14:solidFill>
              <w14:schemeClr w14:val="tx1"/>
            </w14:solidFill>
          </w14:textFill>
        </w:rPr>
        <w:t xml:space="preserve"> </w:t>
      </w:r>
    </w:p>
    <w:p w14:paraId="45FD9425">
      <w:pPr>
        <w:ind w:firstLine="480"/>
        <w:jc w:val="left"/>
        <w:rPr>
          <w:rFonts w:hint="eastAsia" w:ascii="宋体" w:hAnsi="宋体" w:cs="宋体"/>
          <w:color w:val="000000" w:themeColor="text1"/>
          <w:szCs w:val="21"/>
          <w:highlight w:val="none"/>
          <w14:textFill>
            <w14:solidFill>
              <w14:schemeClr w14:val="tx1"/>
            </w14:solidFill>
          </w14:textFill>
        </w:rPr>
      </w:pPr>
      <w:bookmarkStart w:id="74" w:name="_Toc20158"/>
      <w:r>
        <w:rPr>
          <w:rFonts w:hint="eastAsia" w:ascii="宋体" w:hAnsi="宋体" w:cs="宋体"/>
          <w:color w:val="000000" w:themeColor="text1"/>
          <w:szCs w:val="21"/>
          <w:highlight w:val="none"/>
          <w14:textFill>
            <w14:solidFill>
              <w14:schemeClr w14:val="tx1"/>
            </w14:solidFill>
          </w14:textFill>
        </w:rPr>
        <w:t>（5）为本采购项目提供采购代理服务的；</w:t>
      </w:r>
      <w:bookmarkEnd w:id="74"/>
      <w:r>
        <w:rPr>
          <w:rFonts w:hint="eastAsia" w:ascii="宋体" w:hAnsi="宋体" w:cs="宋体"/>
          <w:color w:val="000000" w:themeColor="text1"/>
          <w:szCs w:val="21"/>
          <w:highlight w:val="none"/>
          <w14:textFill>
            <w14:solidFill>
              <w14:schemeClr w14:val="tx1"/>
            </w14:solidFill>
          </w14:textFill>
        </w:rPr>
        <w:t xml:space="preserve"> </w:t>
      </w:r>
    </w:p>
    <w:p w14:paraId="2C2935CC">
      <w:pPr>
        <w:ind w:firstLine="480"/>
        <w:jc w:val="left"/>
        <w:rPr>
          <w:rFonts w:hint="eastAsia" w:ascii="宋体" w:hAnsi="宋体" w:cs="宋体"/>
          <w:color w:val="000000" w:themeColor="text1"/>
          <w:szCs w:val="21"/>
          <w:highlight w:val="none"/>
          <w14:textFill>
            <w14:solidFill>
              <w14:schemeClr w14:val="tx1"/>
            </w14:solidFill>
          </w14:textFill>
        </w:rPr>
      </w:pPr>
      <w:bookmarkStart w:id="75" w:name="_Toc12541"/>
      <w:r>
        <w:rPr>
          <w:rFonts w:hint="eastAsia" w:ascii="宋体" w:hAnsi="宋体" w:cs="宋体"/>
          <w:color w:val="000000" w:themeColor="text1"/>
          <w:szCs w:val="21"/>
          <w:highlight w:val="none"/>
          <w14:textFill>
            <w14:solidFill>
              <w14:schemeClr w14:val="tx1"/>
            </w14:solidFill>
          </w14:textFill>
        </w:rPr>
        <w:t>（6）与本采购项目的监理人或代建人或采购代理机构同为一个法定代表人的；</w:t>
      </w:r>
      <w:bookmarkEnd w:id="75"/>
    </w:p>
    <w:p w14:paraId="44018B3B">
      <w:pPr>
        <w:ind w:firstLine="480"/>
        <w:jc w:val="left"/>
        <w:rPr>
          <w:rFonts w:hint="eastAsia" w:ascii="宋体" w:hAnsi="宋体" w:cs="宋体"/>
          <w:color w:val="000000" w:themeColor="text1"/>
          <w:szCs w:val="21"/>
          <w:highlight w:val="none"/>
          <w14:textFill>
            <w14:solidFill>
              <w14:schemeClr w14:val="tx1"/>
            </w14:solidFill>
          </w14:textFill>
        </w:rPr>
      </w:pPr>
      <w:bookmarkStart w:id="76" w:name="_Toc27877"/>
      <w:r>
        <w:rPr>
          <w:rFonts w:hint="eastAsia" w:ascii="宋体" w:hAnsi="宋体" w:cs="宋体"/>
          <w:color w:val="000000" w:themeColor="text1"/>
          <w:szCs w:val="21"/>
          <w:highlight w:val="none"/>
          <w14:textFill>
            <w14:solidFill>
              <w14:schemeClr w14:val="tx1"/>
            </w14:solidFill>
          </w14:textFill>
        </w:rPr>
        <w:t>（7）与本采购项目的监理人或代建人或采购代理机构相互控股或参股的；</w:t>
      </w:r>
      <w:bookmarkEnd w:id="76"/>
    </w:p>
    <w:p w14:paraId="0A473226">
      <w:pPr>
        <w:ind w:firstLine="480"/>
        <w:jc w:val="left"/>
        <w:rPr>
          <w:rFonts w:hint="eastAsia" w:ascii="宋体" w:hAnsi="宋体" w:cs="宋体"/>
          <w:color w:val="000000" w:themeColor="text1"/>
          <w:szCs w:val="21"/>
          <w:highlight w:val="none"/>
          <w14:textFill>
            <w14:solidFill>
              <w14:schemeClr w14:val="tx1"/>
            </w14:solidFill>
          </w14:textFill>
        </w:rPr>
      </w:pPr>
      <w:bookmarkStart w:id="77" w:name="_Toc6513"/>
      <w:r>
        <w:rPr>
          <w:rFonts w:hint="eastAsia" w:ascii="宋体" w:hAnsi="宋体" w:cs="宋体"/>
          <w:color w:val="000000" w:themeColor="text1"/>
          <w:szCs w:val="21"/>
          <w:highlight w:val="none"/>
          <w14:textFill>
            <w14:solidFill>
              <w14:schemeClr w14:val="tx1"/>
            </w14:solidFill>
          </w14:textFill>
        </w:rPr>
        <w:t>（8）与本采购项目的监理人或代建人或采购代理机构相互任职或工作的；</w:t>
      </w:r>
      <w:bookmarkEnd w:id="77"/>
    </w:p>
    <w:p w14:paraId="685B9BDE">
      <w:pPr>
        <w:ind w:firstLine="480"/>
        <w:jc w:val="left"/>
        <w:rPr>
          <w:rFonts w:hint="eastAsia" w:ascii="宋体" w:hAnsi="宋体" w:cs="宋体"/>
          <w:color w:val="000000" w:themeColor="text1"/>
          <w:szCs w:val="21"/>
          <w:highlight w:val="none"/>
          <w14:textFill>
            <w14:solidFill>
              <w14:schemeClr w14:val="tx1"/>
            </w14:solidFill>
          </w14:textFill>
        </w:rPr>
      </w:pPr>
      <w:bookmarkStart w:id="78" w:name="_Toc6771"/>
      <w:r>
        <w:rPr>
          <w:rFonts w:hint="eastAsia" w:ascii="宋体" w:hAnsi="宋体" w:cs="宋体"/>
          <w:color w:val="000000" w:themeColor="text1"/>
          <w:szCs w:val="21"/>
          <w:highlight w:val="none"/>
          <w14:textFill>
            <w14:solidFill>
              <w14:schemeClr w14:val="tx1"/>
            </w14:solidFill>
          </w14:textFill>
        </w:rPr>
        <w:t>（9）被责令停业的；</w:t>
      </w:r>
      <w:bookmarkEnd w:id="78"/>
      <w:r>
        <w:rPr>
          <w:rFonts w:hint="eastAsia" w:ascii="宋体" w:hAnsi="宋体" w:cs="宋体"/>
          <w:color w:val="000000" w:themeColor="text1"/>
          <w:szCs w:val="21"/>
          <w:highlight w:val="none"/>
          <w14:textFill>
            <w14:solidFill>
              <w14:schemeClr w14:val="tx1"/>
            </w14:solidFill>
          </w14:textFill>
        </w:rPr>
        <w:t xml:space="preserve"> </w:t>
      </w:r>
    </w:p>
    <w:p w14:paraId="1D77791B">
      <w:pPr>
        <w:ind w:firstLine="480"/>
        <w:jc w:val="left"/>
        <w:rPr>
          <w:rFonts w:hint="eastAsia" w:ascii="宋体" w:hAnsi="宋体" w:cs="宋体"/>
          <w:color w:val="000000" w:themeColor="text1"/>
          <w:szCs w:val="21"/>
          <w:highlight w:val="none"/>
          <w14:textFill>
            <w14:solidFill>
              <w14:schemeClr w14:val="tx1"/>
            </w14:solidFill>
          </w14:textFill>
        </w:rPr>
      </w:pPr>
      <w:bookmarkStart w:id="79" w:name="_Toc19753"/>
      <w:r>
        <w:rPr>
          <w:rFonts w:hint="eastAsia" w:ascii="宋体" w:hAnsi="宋体" w:cs="宋体"/>
          <w:color w:val="000000" w:themeColor="text1"/>
          <w:szCs w:val="21"/>
          <w:highlight w:val="none"/>
          <w14:textFill>
            <w14:solidFill>
              <w14:schemeClr w14:val="tx1"/>
            </w14:solidFill>
          </w14:textFill>
        </w:rPr>
        <w:t>（10）被暂停或取消投标资格的；</w:t>
      </w:r>
      <w:bookmarkEnd w:id="79"/>
      <w:r>
        <w:rPr>
          <w:rFonts w:hint="eastAsia" w:ascii="宋体" w:hAnsi="宋体" w:cs="宋体"/>
          <w:color w:val="000000" w:themeColor="text1"/>
          <w:szCs w:val="21"/>
          <w:highlight w:val="none"/>
          <w14:textFill>
            <w14:solidFill>
              <w14:schemeClr w14:val="tx1"/>
            </w14:solidFill>
          </w14:textFill>
        </w:rPr>
        <w:t xml:space="preserve"> </w:t>
      </w:r>
    </w:p>
    <w:p w14:paraId="0B6DB20A">
      <w:pPr>
        <w:ind w:firstLine="480"/>
        <w:jc w:val="left"/>
        <w:rPr>
          <w:rFonts w:hint="eastAsia" w:ascii="宋体" w:hAnsi="宋体" w:cs="宋体"/>
          <w:color w:val="000000" w:themeColor="text1"/>
          <w:szCs w:val="21"/>
          <w:highlight w:val="none"/>
          <w14:textFill>
            <w14:solidFill>
              <w14:schemeClr w14:val="tx1"/>
            </w14:solidFill>
          </w14:textFill>
        </w:rPr>
      </w:pPr>
      <w:bookmarkStart w:id="80" w:name="_Toc30403"/>
      <w:r>
        <w:rPr>
          <w:rFonts w:hint="eastAsia" w:ascii="宋体" w:hAnsi="宋体" w:cs="宋体"/>
          <w:color w:val="000000" w:themeColor="text1"/>
          <w:szCs w:val="21"/>
          <w:highlight w:val="none"/>
          <w14:textFill>
            <w14:solidFill>
              <w14:schemeClr w14:val="tx1"/>
            </w14:solidFill>
          </w14:textFill>
        </w:rPr>
        <w:t>（11）财产被接管或冻结的；</w:t>
      </w:r>
      <w:bookmarkEnd w:id="80"/>
    </w:p>
    <w:p w14:paraId="0A53EA13">
      <w:pPr>
        <w:ind w:firstLine="480"/>
        <w:jc w:val="left"/>
        <w:rPr>
          <w:rFonts w:hint="eastAsia" w:ascii="宋体" w:hAnsi="宋体" w:cs="宋体"/>
          <w:color w:val="000000" w:themeColor="text1"/>
          <w:szCs w:val="21"/>
          <w:highlight w:val="none"/>
          <w14:textFill>
            <w14:solidFill>
              <w14:schemeClr w14:val="tx1"/>
            </w14:solidFill>
          </w14:textFill>
        </w:rPr>
      </w:pPr>
      <w:bookmarkStart w:id="81" w:name="_Toc19443"/>
      <w:r>
        <w:rPr>
          <w:rFonts w:hint="eastAsia" w:ascii="宋体" w:hAnsi="宋体" w:cs="宋体"/>
          <w:color w:val="000000" w:themeColor="text1"/>
          <w:szCs w:val="21"/>
          <w:highlight w:val="none"/>
          <w14:textFill>
            <w14:solidFill>
              <w14:schemeClr w14:val="tx1"/>
            </w14:solidFill>
          </w14:textFill>
        </w:rPr>
        <w:t>（12）在最近三年内有骗取中标或严重违约或重大工程质量问题的。</w:t>
      </w:r>
      <w:bookmarkEnd w:id="81"/>
    </w:p>
    <w:p w14:paraId="50479678">
      <w:pPr>
        <w:pStyle w:val="7"/>
        <w:ind w:firstLine="422"/>
        <w:rPr>
          <w:rFonts w:hint="eastAsia" w:ascii="宋体" w:hAnsi="宋体"/>
          <w:color w:val="000000" w:themeColor="text1"/>
          <w:szCs w:val="21"/>
          <w:highlight w:val="none"/>
          <w14:textFill>
            <w14:solidFill>
              <w14:schemeClr w14:val="tx1"/>
            </w14:solidFill>
          </w14:textFill>
        </w:rPr>
      </w:pPr>
      <w:bookmarkStart w:id="82" w:name="_Toc27695"/>
      <w:bookmarkStart w:id="83" w:name="_Toc29568"/>
      <w:r>
        <w:rPr>
          <w:rFonts w:hint="eastAsia" w:ascii="宋体" w:hAnsi="宋体"/>
          <w:color w:val="000000" w:themeColor="text1"/>
          <w:szCs w:val="21"/>
          <w:highlight w:val="none"/>
          <w14:textFill>
            <w14:solidFill>
              <w14:schemeClr w14:val="tx1"/>
            </w14:solidFill>
          </w14:textFill>
        </w:rPr>
        <w:t>1.5 费用承担</w:t>
      </w:r>
      <w:bookmarkEnd w:id="82"/>
      <w:bookmarkEnd w:id="83"/>
    </w:p>
    <w:p w14:paraId="656462F1">
      <w:pPr>
        <w:ind w:firstLine="48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目采购代理服务费参照根据（云建招协〔2026〕11号）工程招标收费标准计取，以成交金额作为计费基数，计算方法为差额定率累进法，由成交人承担并支付给采购代理机构，领取成交通知书时一次付清并提供纸质响应文件正、副各1份。 </w:t>
      </w:r>
    </w:p>
    <w:p w14:paraId="5734A039">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18F3A165">
      <w:pPr>
        <w:pStyle w:val="7"/>
        <w:ind w:firstLine="422"/>
        <w:rPr>
          <w:rFonts w:hint="eastAsia" w:ascii="宋体" w:hAnsi="宋体"/>
          <w:color w:val="000000" w:themeColor="text1"/>
          <w:szCs w:val="21"/>
          <w:highlight w:val="none"/>
          <w14:textFill>
            <w14:solidFill>
              <w14:schemeClr w14:val="tx1"/>
            </w14:solidFill>
          </w14:textFill>
        </w:rPr>
      </w:pPr>
      <w:bookmarkStart w:id="84" w:name="_Toc277"/>
      <w:bookmarkStart w:id="85" w:name="_Toc12991"/>
      <w:r>
        <w:rPr>
          <w:rFonts w:hint="eastAsia" w:ascii="宋体" w:hAnsi="宋体"/>
          <w:color w:val="000000" w:themeColor="text1"/>
          <w:szCs w:val="21"/>
          <w:highlight w:val="none"/>
          <w14:textFill>
            <w14:solidFill>
              <w14:schemeClr w14:val="tx1"/>
            </w14:solidFill>
          </w14:textFill>
        </w:rPr>
        <w:t>1.6 保密</w:t>
      </w:r>
      <w:bookmarkEnd w:id="84"/>
      <w:bookmarkEnd w:id="85"/>
    </w:p>
    <w:p w14:paraId="55836EBD">
      <w:pPr>
        <w:ind w:firstLine="480"/>
        <w:jc w:val="left"/>
        <w:rPr>
          <w:rFonts w:hint="eastAsia" w:ascii="宋体" w:hAnsi="宋体" w:cs="宋体"/>
          <w:color w:val="000000" w:themeColor="text1"/>
          <w:szCs w:val="21"/>
          <w:highlight w:val="none"/>
          <w14:textFill>
            <w14:solidFill>
              <w14:schemeClr w14:val="tx1"/>
            </w14:solidFill>
          </w14:textFill>
        </w:rPr>
      </w:pPr>
      <w:bookmarkStart w:id="86" w:name="_Toc9090"/>
      <w:r>
        <w:rPr>
          <w:rFonts w:hint="eastAsia" w:ascii="宋体" w:hAnsi="宋体" w:cs="宋体"/>
          <w:color w:val="000000" w:themeColor="text1"/>
          <w:szCs w:val="21"/>
          <w:highlight w:val="none"/>
          <w14:textFill>
            <w14:solidFill>
              <w14:schemeClr w14:val="tx1"/>
            </w14:solidFill>
          </w14:textFill>
        </w:rPr>
        <w:t>参与采购活动的各方应对竞争性磋商文件和响应文件中的商业和技术等秘密保密，违者应对由此造成的后果承担法律责任。</w:t>
      </w:r>
      <w:bookmarkEnd w:id="86"/>
      <w:r>
        <w:rPr>
          <w:rFonts w:hint="eastAsia" w:ascii="宋体" w:hAnsi="宋体" w:cs="宋体"/>
          <w:color w:val="000000" w:themeColor="text1"/>
          <w:szCs w:val="21"/>
          <w:highlight w:val="none"/>
          <w14:textFill>
            <w14:solidFill>
              <w14:schemeClr w14:val="tx1"/>
            </w14:solidFill>
          </w14:textFill>
        </w:rPr>
        <w:t xml:space="preserve"> </w:t>
      </w:r>
    </w:p>
    <w:p w14:paraId="2E3C3AB4">
      <w:pPr>
        <w:pStyle w:val="7"/>
        <w:ind w:firstLine="422"/>
        <w:rPr>
          <w:rFonts w:hint="eastAsia" w:ascii="宋体" w:hAnsi="宋体"/>
          <w:color w:val="000000" w:themeColor="text1"/>
          <w:szCs w:val="21"/>
          <w:highlight w:val="none"/>
          <w14:textFill>
            <w14:solidFill>
              <w14:schemeClr w14:val="tx1"/>
            </w14:solidFill>
          </w14:textFill>
        </w:rPr>
      </w:pPr>
      <w:bookmarkStart w:id="87" w:name="_Toc17506"/>
      <w:bookmarkStart w:id="88" w:name="_Toc8335"/>
      <w:r>
        <w:rPr>
          <w:rFonts w:hint="eastAsia" w:ascii="宋体" w:hAnsi="宋体"/>
          <w:color w:val="000000" w:themeColor="text1"/>
          <w:szCs w:val="21"/>
          <w:highlight w:val="none"/>
          <w14:textFill>
            <w14:solidFill>
              <w14:schemeClr w14:val="tx1"/>
            </w14:solidFill>
          </w14:textFill>
        </w:rPr>
        <w:t>1.7 语言文字</w:t>
      </w:r>
      <w:bookmarkEnd w:id="87"/>
      <w:bookmarkEnd w:id="88"/>
    </w:p>
    <w:p w14:paraId="57A4D066">
      <w:pPr>
        <w:ind w:firstLine="480"/>
        <w:jc w:val="left"/>
        <w:rPr>
          <w:rFonts w:hint="eastAsia" w:ascii="宋体" w:hAnsi="宋体" w:cs="宋体"/>
          <w:color w:val="000000" w:themeColor="text1"/>
          <w:szCs w:val="21"/>
          <w:highlight w:val="none"/>
          <w14:textFill>
            <w14:solidFill>
              <w14:schemeClr w14:val="tx1"/>
            </w14:solidFill>
          </w14:textFill>
        </w:rPr>
      </w:pPr>
      <w:bookmarkStart w:id="89" w:name="_Toc9561"/>
      <w:r>
        <w:rPr>
          <w:rFonts w:hint="eastAsia" w:ascii="宋体" w:hAnsi="宋体" w:cs="宋体"/>
          <w:color w:val="000000" w:themeColor="text1"/>
          <w:szCs w:val="21"/>
          <w:highlight w:val="none"/>
          <w14:textFill>
            <w14:solidFill>
              <w14:schemeClr w14:val="tx1"/>
            </w14:solidFill>
          </w14:textFill>
        </w:rPr>
        <w:t>采购响应文件使用的语言文字为中文。专用术语使用外文的，应附有中文注释。</w:t>
      </w:r>
      <w:bookmarkEnd w:id="89"/>
    </w:p>
    <w:p w14:paraId="68DBBE0E">
      <w:pPr>
        <w:pStyle w:val="7"/>
        <w:ind w:firstLine="422"/>
        <w:rPr>
          <w:rFonts w:hint="eastAsia" w:ascii="宋体" w:hAnsi="宋体"/>
          <w:color w:val="000000" w:themeColor="text1"/>
          <w:szCs w:val="21"/>
          <w:highlight w:val="none"/>
          <w14:textFill>
            <w14:solidFill>
              <w14:schemeClr w14:val="tx1"/>
            </w14:solidFill>
          </w14:textFill>
        </w:rPr>
      </w:pPr>
      <w:bookmarkStart w:id="90" w:name="_Toc26714"/>
      <w:bookmarkStart w:id="91" w:name="_Toc13894"/>
      <w:r>
        <w:rPr>
          <w:rFonts w:hint="eastAsia" w:ascii="宋体" w:hAnsi="宋体"/>
          <w:color w:val="000000" w:themeColor="text1"/>
          <w:szCs w:val="21"/>
          <w:highlight w:val="none"/>
          <w14:textFill>
            <w14:solidFill>
              <w14:schemeClr w14:val="tx1"/>
            </w14:solidFill>
          </w14:textFill>
        </w:rPr>
        <w:t>1.8 计量单位</w:t>
      </w:r>
      <w:bookmarkEnd w:id="90"/>
      <w:bookmarkEnd w:id="91"/>
    </w:p>
    <w:p w14:paraId="51171998">
      <w:pPr>
        <w:ind w:firstLine="480"/>
        <w:jc w:val="left"/>
        <w:rPr>
          <w:rFonts w:hint="eastAsia" w:ascii="宋体" w:hAnsi="宋体" w:cs="宋体"/>
          <w:color w:val="000000" w:themeColor="text1"/>
          <w:szCs w:val="21"/>
          <w:highlight w:val="none"/>
          <w14:textFill>
            <w14:solidFill>
              <w14:schemeClr w14:val="tx1"/>
            </w14:solidFill>
          </w14:textFill>
        </w:rPr>
      </w:pPr>
      <w:bookmarkStart w:id="92" w:name="_Toc7076"/>
      <w:r>
        <w:rPr>
          <w:rFonts w:hint="eastAsia" w:ascii="宋体" w:hAnsi="宋体" w:cs="宋体"/>
          <w:color w:val="000000" w:themeColor="text1"/>
          <w:szCs w:val="21"/>
          <w:highlight w:val="none"/>
          <w14:textFill>
            <w14:solidFill>
              <w14:schemeClr w14:val="tx1"/>
            </w14:solidFill>
          </w14:textFill>
        </w:rPr>
        <w:t>所有计量均采用中华人民共和国法定计量单位。</w:t>
      </w:r>
      <w:bookmarkEnd w:id="92"/>
    </w:p>
    <w:p w14:paraId="7E3DB561">
      <w:pPr>
        <w:pStyle w:val="7"/>
        <w:ind w:firstLine="422"/>
        <w:rPr>
          <w:rFonts w:hint="eastAsia" w:ascii="宋体" w:hAnsi="宋体"/>
          <w:color w:val="000000" w:themeColor="text1"/>
          <w:szCs w:val="21"/>
          <w:highlight w:val="none"/>
          <w14:textFill>
            <w14:solidFill>
              <w14:schemeClr w14:val="tx1"/>
            </w14:solidFill>
          </w14:textFill>
        </w:rPr>
      </w:pPr>
      <w:bookmarkStart w:id="93" w:name="_Toc27998"/>
      <w:bookmarkStart w:id="94" w:name="_Toc31636"/>
      <w:r>
        <w:rPr>
          <w:rFonts w:hint="eastAsia" w:ascii="宋体" w:hAnsi="宋体"/>
          <w:color w:val="000000" w:themeColor="text1"/>
          <w:szCs w:val="21"/>
          <w:highlight w:val="none"/>
          <w14:textFill>
            <w14:solidFill>
              <w14:schemeClr w14:val="tx1"/>
            </w14:solidFill>
          </w14:textFill>
        </w:rPr>
        <w:t>1.9 踏勘现场</w:t>
      </w:r>
      <w:bookmarkEnd w:id="93"/>
      <w:bookmarkEnd w:id="94"/>
    </w:p>
    <w:p w14:paraId="2064504A">
      <w:pPr>
        <w:ind w:firstLine="480"/>
        <w:jc w:val="left"/>
        <w:rPr>
          <w:rFonts w:hint="eastAsia" w:ascii="宋体" w:hAnsi="宋体" w:cs="宋体"/>
          <w:color w:val="000000" w:themeColor="text1"/>
          <w:szCs w:val="21"/>
          <w:highlight w:val="none"/>
          <w14:textFill>
            <w14:solidFill>
              <w14:schemeClr w14:val="tx1"/>
            </w14:solidFill>
          </w14:textFill>
        </w:rPr>
      </w:pPr>
      <w:bookmarkStart w:id="95" w:name="_Toc25165"/>
      <w:r>
        <w:rPr>
          <w:rFonts w:hint="eastAsia" w:ascii="宋体" w:hAnsi="宋体" w:cs="宋体"/>
          <w:color w:val="000000" w:themeColor="text1"/>
          <w:szCs w:val="21"/>
          <w:highlight w:val="none"/>
          <w14:textFill>
            <w14:solidFill>
              <w14:schemeClr w14:val="tx1"/>
            </w14:solidFill>
          </w14:textFill>
        </w:rPr>
        <w:t>1.9.1 采购人不组织。</w:t>
      </w:r>
      <w:bookmarkEnd w:id="95"/>
      <w:r>
        <w:rPr>
          <w:rFonts w:hint="eastAsia" w:ascii="宋体" w:hAnsi="宋体" w:cs="宋体"/>
          <w:color w:val="000000" w:themeColor="text1"/>
          <w:szCs w:val="21"/>
          <w:highlight w:val="none"/>
          <w14:textFill>
            <w14:solidFill>
              <w14:schemeClr w14:val="tx1"/>
            </w14:solidFill>
          </w14:textFill>
        </w:rPr>
        <w:t xml:space="preserve"> </w:t>
      </w:r>
    </w:p>
    <w:p w14:paraId="4368D8B6">
      <w:pPr>
        <w:ind w:firstLine="480"/>
        <w:jc w:val="left"/>
        <w:rPr>
          <w:rFonts w:hint="eastAsia" w:ascii="宋体" w:hAnsi="宋体" w:cs="宋体"/>
          <w:color w:val="000000" w:themeColor="text1"/>
          <w:szCs w:val="21"/>
          <w:highlight w:val="none"/>
          <w14:textFill>
            <w14:solidFill>
              <w14:schemeClr w14:val="tx1"/>
            </w14:solidFill>
          </w14:textFill>
        </w:rPr>
      </w:pPr>
      <w:bookmarkStart w:id="96" w:name="_Toc32432"/>
      <w:r>
        <w:rPr>
          <w:rFonts w:hint="eastAsia" w:ascii="宋体" w:hAnsi="宋体" w:cs="宋体"/>
          <w:color w:val="000000" w:themeColor="text1"/>
          <w:szCs w:val="21"/>
          <w:highlight w:val="none"/>
          <w14:textFill>
            <w14:solidFill>
              <w14:schemeClr w14:val="tx1"/>
            </w14:solidFill>
          </w14:textFill>
        </w:rPr>
        <w:t>1.9.2 供应商自行组织踏勘现场的发生的费用自理。</w:t>
      </w:r>
      <w:bookmarkEnd w:id="96"/>
    </w:p>
    <w:p w14:paraId="284E8FF1">
      <w:pPr>
        <w:ind w:firstLine="480"/>
        <w:jc w:val="left"/>
        <w:rPr>
          <w:rFonts w:hint="eastAsia" w:ascii="宋体" w:hAnsi="宋体" w:cs="宋体"/>
          <w:color w:val="000000" w:themeColor="text1"/>
          <w:szCs w:val="21"/>
          <w:highlight w:val="none"/>
          <w14:textFill>
            <w14:solidFill>
              <w14:schemeClr w14:val="tx1"/>
            </w14:solidFill>
          </w14:textFill>
        </w:rPr>
      </w:pPr>
      <w:bookmarkStart w:id="97" w:name="_Toc19278"/>
      <w:r>
        <w:rPr>
          <w:rFonts w:hint="eastAsia" w:ascii="宋体" w:hAnsi="宋体" w:cs="宋体"/>
          <w:color w:val="000000" w:themeColor="text1"/>
          <w:szCs w:val="21"/>
          <w:highlight w:val="none"/>
          <w14:textFill>
            <w14:solidFill>
              <w14:schemeClr w14:val="tx1"/>
            </w14:solidFill>
          </w14:textFill>
        </w:rPr>
        <w:t>1.9.3 除采购人的原因外，供应商自行负责在踏勘现场中所发生的人员伤亡和财产损失。</w:t>
      </w:r>
      <w:bookmarkEnd w:id="97"/>
    </w:p>
    <w:p w14:paraId="68F4D183">
      <w:pPr>
        <w:ind w:firstLine="480"/>
        <w:jc w:val="left"/>
        <w:rPr>
          <w:rFonts w:hint="eastAsia" w:ascii="宋体" w:hAnsi="宋体" w:cs="宋体"/>
          <w:color w:val="000000" w:themeColor="text1"/>
          <w:szCs w:val="21"/>
          <w:highlight w:val="none"/>
          <w14:textFill>
            <w14:solidFill>
              <w14:schemeClr w14:val="tx1"/>
            </w14:solidFill>
          </w14:textFill>
        </w:rPr>
      </w:pPr>
      <w:bookmarkStart w:id="98" w:name="_Toc1491"/>
      <w:r>
        <w:rPr>
          <w:rFonts w:hint="eastAsia" w:ascii="宋体" w:hAnsi="宋体" w:cs="宋体"/>
          <w:color w:val="000000" w:themeColor="text1"/>
          <w:szCs w:val="21"/>
          <w:highlight w:val="none"/>
          <w14:textFill>
            <w14:solidFill>
              <w14:schemeClr w14:val="tx1"/>
            </w14:solidFill>
          </w14:textFill>
        </w:rPr>
        <w:t>1.9.4 采购人在踏勘现场中介绍的工程场地和相关的周边环境情况（若有），供应商在编制响应文件时参考，采购人不对供应商据此作出的判断和决策负责。</w:t>
      </w:r>
      <w:bookmarkEnd w:id="98"/>
    </w:p>
    <w:p w14:paraId="13167AF0">
      <w:pPr>
        <w:ind w:firstLine="480"/>
        <w:jc w:val="left"/>
        <w:rPr>
          <w:rFonts w:hint="eastAsia" w:ascii="宋体" w:hAnsi="宋体" w:cs="宋体"/>
          <w:color w:val="000000" w:themeColor="text1"/>
          <w:szCs w:val="21"/>
          <w:highlight w:val="none"/>
          <w14:textFill>
            <w14:solidFill>
              <w14:schemeClr w14:val="tx1"/>
            </w14:solidFill>
          </w14:textFill>
        </w:rPr>
      </w:pPr>
      <w:bookmarkStart w:id="99" w:name="_Toc9240"/>
      <w:r>
        <w:rPr>
          <w:rFonts w:hint="eastAsia" w:ascii="宋体" w:hAnsi="宋体" w:cs="宋体"/>
          <w:color w:val="000000" w:themeColor="text1"/>
          <w:szCs w:val="21"/>
          <w:highlight w:val="none"/>
          <w14:textFill>
            <w14:solidFill>
              <w14:schemeClr w14:val="tx1"/>
            </w14:solidFill>
          </w14:textFill>
        </w:rPr>
        <w:t>1.9.5采购人声明采购人提供的工程图纸等相关资料是以诚实可信的态度提供给供应商参考的，除非竞争性磋商文件中另有约定，采购人不对以上资料的准确性负责，亦不对供应商由此而做出的推论、理解和结论负责。供应商有义务自行核查这些资料的准确性。</w:t>
      </w:r>
      <w:bookmarkEnd w:id="99"/>
    </w:p>
    <w:p w14:paraId="607715B0">
      <w:pPr>
        <w:pStyle w:val="7"/>
        <w:ind w:firstLine="422"/>
        <w:rPr>
          <w:rFonts w:hint="eastAsia" w:ascii="宋体" w:hAnsi="宋体"/>
          <w:color w:val="000000" w:themeColor="text1"/>
          <w:szCs w:val="21"/>
          <w:highlight w:val="none"/>
          <w14:textFill>
            <w14:solidFill>
              <w14:schemeClr w14:val="tx1"/>
            </w14:solidFill>
          </w14:textFill>
        </w:rPr>
      </w:pPr>
      <w:bookmarkStart w:id="100" w:name="_Toc24122"/>
      <w:bookmarkStart w:id="101" w:name="_Toc4862"/>
      <w:r>
        <w:rPr>
          <w:rFonts w:hint="eastAsia" w:ascii="宋体" w:hAnsi="宋体"/>
          <w:color w:val="000000" w:themeColor="text1"/>
          <w:szCs w:val="21"/>
          <w:highlight w:val="none"/>
          <w14:textFill>
            <w14:solidFill>
              <w14:schemeClr w14:val="tx1"/>
            </w14:solidFill>
          </w14:textFill>
        </w:rPr>
        <w:t>1.10 投标预备会</w:t>
      </w:r>
      <w:bookmarkEnd w:id="100"/>
      <w:bookmarkEnd w:id="101"/>
    </w:p>
    <w:p w14:paraId="5387EC3C">
      <w:pPr>
        <w:ind w:firstLine="480"/>
        <w:jc w:val="left"/>
        <w:rPr>
          <w:rFonts w:hint="eastAsia" w:ascii="宋体" w:hAnsi="宋体" w:cs="宋体"/>
          <w:color w:val="000000" w:themeColor="text1"/>
          <w:szCs w:val="21"/>
          <w:highlight w:val="none"/>
          <w14:textFill>
            <w14:solidFill>
              <w14:schemeClr w14:val="tx1"/>
            </w14:solidFill>
          </w14:textFill>
        </w:rPr>
      </w:pPr>
      <w:bookmarkStart w:id="102" w:name="_Toc3994"/>
      <w:r>
        <w:rPr>
          <w:rFonts w:hint="eastAsia" w:ascii="宋体" w:hAnsi="宋体" w:cs="宋体"/>
          <w:color w:val="000000" w:themeColor="text1"/>
          <w:szCs w:val="21"/>
          <w:highlight w:val="none"/>
          <w14:textFill>
            <w14:solidFill>
              <w14:schemeClr w14:val="tx1"/>
            </w14:solidFill>
          </w14:textFill>
        </w:rPr>
        <w:t>本采购项目不召开投标预备会。</w:t>
      </w:r>
      <w:bookmarkEnd w:id="102"/>
    </w:p>
    <w:p w14:paraId="207E97D6">
      <w:pPr>
        <w:pStyle w:val="7"/>
        <w:ind w:firstLine="422"/>
        <w:rPr>
          <w:rFonts w:hint="eastAsia" w:ascii="宋体" w:hAnsi="宋体"/>
          <w:color w:val="000000" w:themeColor="text1"/>
          <w:szCs w:val="21"/>
          <w:highlight w:val="none"/>
          <w14:textFill>
            <w14:solidFill>
              <w14:schemeClr w14:val="tx1"/>
            </w14:solidFill>
          </w14:textFill>
        </w:rPr>
      </w:pPr>
      <w:bookmarkStart w:id="103" w:name="_Toc2707"/>
      <w:bookmarkStart w:id="104" w:name="_Toc21484"/>
      <w:r>
        <w:rPr>
          <w:rFonts w:hint="eastAsia" w:ascii="宋体" w:hAnsi="宋体"/>
          <w:color w:val="000000" w:themeColor="text1"/>
          <w:szCs w:val="21"/>
          <w:highlight w:val="none"/>
          <w14:textFill>
            <w14:solidFill>
              <w14:schemeClr w14:val="tx1"/>
            </w14:solidFill>
          </w14:textFill>
        </w:rPr>
        <w:t>1.11 偏离</w:t>
      </w:r>
      <w:bookmarkEnd w:id="103"/>
      <w:bookmarkEnd w:id="104"/>
    </w:p>
    <w:p w14:paraId="33939EA5">
      <w:pPr>
        <w:ind w:firstLine="480"/>
        <w:jc w:val="left"/>
        <w:rPr>
          <w:rFonts w:hint="eastAsia" w:ascii="宋体" w:hAnsi="宋体" w:cs="宋体"/>
          <w:color w:val="000000" w:themeColor="text1"/>
          <w:szCs w:val="21"/>
          <w:highlight w:val="none"/>
          <w14:textFill>
            <w14:solidFill>
              <w14:schemeClr w14:val="tx1"/>
            </w14:solidFill>
          </w14:textFill>
        </w:rPr>
      </w:pPr>
      <w:bookmarkStart w:id="105" w:name="_Toc8493"/>
      <w:r>
        <w:rPr>
          <w:rFonts w:hint="eastAsia" w:ascii="宋体" w:hAnsi="宋体" w:cs="宋体"/>
          <w:color w:val="000000" w:themeColor="text1"/>
          <w:szCs w:val="21"/>
          <w:highlight w:val="none"/>
          <w14:textFill>
            <w14:solidFill>
              <w14:schemeClr w14:val="tx1"/>
            </w14:solidFill>
          </w14:textFill>
        </w:rPr>
        <w:t>供应商须知前附表允许响应文件偏离竞争性磋商文件某些要求的，偏离应当符合竞争性磋商文件规定的偏离范围和幅度。</w:t>
      </w:r>
      <w:bookmarkEnd w:id="105"/>
    </w:p>
    <w:p w14:paraId="4139F8BB">
      <w:pPr>
        <w:pStyle w:val="7"/>
        <w:ind w:firstLine="422"/>
        <w:rPr>
          <w:rFonts w:hint="eastAsia" w:ascii="宋体" w:hAnsi="宋体"/>
          <w:color w:val="000000" w:themeColor="text1"/>
          <w:szCs w:val="21"/>
          <w:highlight w:val="none"/>
          <w14:textFill>
            <w14:solidFill>
              <w14:schemeClr w14:val="tx1"/>
            </w14:solidFill>
          </w14:textFill>
        </w:rPr>
      </w:pPr>
      <w:bookmarkStart w:id="106" w:name="_Toc14834"/>
      <w:bookmarkStart w:id="107" w:name="_Toc30972"/>
      <w:r>
        <w:rPr>
          <w:rFonts w:hint="eastAsia" w:ascii="宋体" w:hAnsi="宋体"/>
          <w:color w:val="000000" w:themeColor="text1"/>
          <w:szCs w:val="21"/>
          <w:highlight w:val="none"/>
          <w14:textFill>
            <w14:solidFill>
              <w14:schemeClr w14:val="tx1"/>
            </w14:solidFill>
          </w14:textFill>
        </w:rPr>
        <w:t>1.12 分包</w:t>
      </w:r>
      <w:bookmarkEnd w:id="106"/>
      <w:bookmarkEnd w:id="107"/>
    </w:p>
    <w:p w14:paraId="68080123">
      <w:pPr>
        <w:ind w:firstLine="480"/>
        <w:jc w:val="left"/>
        <w:rPr>
          <w:rFonts w:hint="eastAsia" w:ascii="宋体" w:hAnsi="宋体" w:cs="宋体"/>
          <w:color w:val="000000" w:themeColor="text1"/>
          <w:szCs w:val="21"/>
          <w:highlight w:val="none"/>
          <w14:textFill>
            <w14:solidFill>
              <w14:schemeClr w14:val="tx1"/>
            </w14:solidFill>
          </w14:textFill>
        </w:rPr>
      </w:pPr>
      <w:bookmarkStart w:id="108" w:name="_Toc18476"/>
      <w:r>
        <w:rPr>
          <w:rFonts w:hint="eastAsia" w:ascii="宋体" w:hAnsi="宋体" w:cs="宋体"/>
          <w:color w:val="000000" w:themeColor="text1"/>
          <w:szCs w:val="21"/>
          <w:highlight w:val="none"/>
          <w14:textFill>
            <w14:solidFill>
              <w14:schemeClr w14:val="tx1"/>
            </w14:solidFill>
          </w14:textFill>
        </w:rPr>
        <w:t>本项目不允许分包</w:t>
      </w:r>
      <w:bookmarkEnd w:id="108"/>
      <w:r>
        <w:rPr>
          <w:rFonts w:hint="eastAsia" w:ascii="宋体" w:hAnsi="宋体" w:cs="宋体"/>
          <w:color w:val="000000" w:themeColor="text1"/>
          <w:szCs w:val="21"/>
          <w:highlight w:val="none"/>
          <w14:textFill>
            <w14:solidFill>
              <w14:schemeClr w14:val="tx1"/>
            </w14:solidFill>
          </w14:textFill>
        </w:rPr>
        <w:t>。</w:t>
      </w:r>
    </w:p>
    <w:p w14:paraId="16208870">
      <w:pPr>
        <w:pStyle w:val="6"/>
        <w:rPr>
          <w:color w:val="000000" w:themeColor="text1"/>
          <w:highlight w:val="none"/>
          <w14:textFill>
            <w14:solidFill>
              <w14:schemeClr w14:val="tx1"/>
            </w14:solidFill>
          </w14:textFill>
        </w:rPr>
      </w:pPr>
      <w:bookmarkStart w:id="109" w:name="_Toc4802"/>
      <w:bookmarkStart w:id="110" w:name="_Toc15586"/>
      <w:bookmarkStart w:id="111" w:name="_Toc22791"/>
      <w:r>
        <w:rPr>
          <w:rFonts w:hint="eastAsia"/>
          <w:color w:val="000000" w:themeColor="text1"/>
          <w:highlight w:val="none"/>
          <w14:textFill>
            <w14:solidFill>
              <w14:schemeClr w14:val="tx1"/>
            </w14:solidFill>
          </w14:textFill>
        </w:rPr>
        <w:t xml:space="preserve">2. </w:t>
      </w:r>
      <w:bookmarkEnd w:id="109"/>
      <w:bookmarkEnd w:id="110"/>
      <w:bookmarkEnd w:id="111"/>
      <w:r>
        <w:rPr>
          <w:rFonts w:hint="eastAsia"/>
          <w:color w:val="000000" w:themeColor="text1"/>
          <w:highlight w:val="none"/>
          <w14:textFill>
            <w14:solidFill>
              <w14:schemeClr w14:val="tx1"/>
            </w14:solidFill>
          </w14:textFill>
        </w:rPr>
        <w:t>竞争性磋商文件</w:t>
      </w:r>
    </w:p>
    <w:p w14:paraId="791EF9AA">
      <w:pPr>
        <w:pStyle w:val="7"/>
        <w:ind w:firstLine="422"/>
        <w:rPr>
          <w:rFonts w:hint="eastAsia" w:ascii="宋体" w:hAnsi="宋体"/>
          <w:color w:val="000000" w:themeColor="text1"/>
          <w:szCs w:val="21"/>
          <w:highlight w:val="none"/>
          <w14:textFill>
            <w14:solidFill>
              <w14:schemeClr w14:val="tx1"/>
            </w14:solidFill>
          </w14:textFill>
        </w:rPr>
      </w:pPr>
      <w:bookmarkStart w:id="112" w:name="_Toc1822"/>
      <w:bookmarkStart w:id="113" w:name="_Toc24135"/>
      <w:r>
        <w:rPr>
          <w:rFonts w:hint="eastAsia" w:ascii="宋体" w:hAnsi="宋体"/>
          <w:color w:val="000000" w:themeColor="text1"/>
          <w:szCs w:val="21"/>
          <w:highlight w:val="none"/>
          <w14:textFill>
            <w14:solidFill>
              <w14:schemeClr w14:val="tx1"/>
            </w14:solidFill>
          </w14:textFill>
        </w:rPr>
        <w:t>2.1 竞争性磋商文件的组成</w:t>
      </w:r>
      <w:bookmarkEnd w:id="112"/>
      <w:bookmarkEnd w:id="113"/>
    </w:p>
    <w:p w14:paraId="345CEBD0">
      <w:pPr>
        <w:ind w:firstLine="480"/>
        <w:jc w:val="left"/>
        <w:rPr>
          <w:rFonts w:hint="eastAsia" w:ascii="宋体" w:hAnsi="宋体" w:cs="宋体"/>
          <w:color w:val="000000" w:themeColor="text1"/>
          <w:szCs w:val="21"/>
          <w:highlight w:val="none"/>
          <w14:textFill>
            <w14:solidFill>
              <w14:schemeClr w14:val="tx1"/>
            </w14:solidFill>
          </w14:textFill>
        </w:rPr>
      </w:pPr>
      <w:bookmarkStart w:id="114" w:name="_Toc10241"/>
      <w:r>
        <w:rPr>
          <w:rFonts w:hint="eastAsia" w:ascii="宋体" w:hAnsi="宋体" w:cs="宋体"/>
          <w:color w:val="000000" w:themeColor="text1"/>
          <w:szCs w:val="21"/>
          <w:highlight w:val="none"/>
          <w14:textFill>
            <w14:solidFill>
              <w14:schemeClr w14:val="tx1"/>
            </w14:solidFill>
          </w14:textFill>
        </w:rPr>
        <w:t>2.1.1竞争性磋商文件的组成：</w:t>
      </w:r>
      <w:bookmarkEnd w:id="114"/>
    </w:p>
    <w:p w14:paraId="6BCF6A8B">
      <w:pPr>
        <w:ind w:firstLine="480"/>
        <w:jc w:val="left"/>
        <w:rPr>
          <w:rFonts w:hint="eastAsia" w:ascii="宋体" w:hAnsi="宋体" w:cs="宋体"/>
          <w:color w:val="000000" w:themeColor="text1"/>
          <w:szCs w:val="21"/>
          <w:highlight w:val="none"/>
          <w14:textFill>
            <w14:solidFill>
              <w14:schemeClr w14:val="tx1"/>
            </w14:solidFill>
          </w14:textFill>
        </w:rPr>
      </w:pPr>
      <w:bookmarkStart w:id="115" w:name="_Toc10515"/>
      <w:r>
        <w:rPr>
          <w:rFonts w:hint="eastAsia" w:ascii="宋体" w:hAnsi="宋体" w:cs="宋体"/>
          <w:color w:val="000000" w:themeColor="text1"/>
          <w:szCs w:val="21"/>
          <w:highlight w:val="none"/>
          <w14:textFill>
            <w14:solidFill>
              <w14:schemeClr w14:val="tx1"/>
            </w14:solidFill>
          </w14:textFill>
        </w:rPr>
        <w:t>第一章  竞争性磋商公告</w:t>
      </w:r>
      <w:bookmarkEnd w:id="115"/>
    </w:p>
    <w:p w14:paraId="0F374A7D">
      <w:pPr>
        <w:ind w:firstLine="480"/>
        <w:jc w:val="left"/>
        <w:rPr>
          <w:rFonts w:hint="eastAsia" w:ascii="宋体" w:hAnsi="宋体" w:cs="宋体"/>
          <w:color w:val="000000" w:themeColor="text1"/>
          <w:szCs w:val="21"/>
          <w:highlight w:val="none"/>
          <w14:textFill>
            <w14:solidFill>
              <w14:schemeClr w14:val="tx1"/>
            </w14:solidFill>
          </w14:textFill>
        </w:rPr>
      </w:pPr>
      <w:bookmarkStart w:id="116" w:name="_Toc2831"/>
      <w:r>
        <w:rPr>
          <w:rFonts w:hint="eastAsia" w:ascii="宋体" w:hAnsi="宋体" w:cs="宋体"/>
          <w:color w:val="000000" w:themeColor="text1"/>
          <w:szCs w:val="21"/>
          <w:highlight w:val="none"/>
          <w14:textFill>
            <w14:solidFill>
              <w14:schemeClr w14:val="tx1"/>
            </w14:solidFill>
          </w14:textFill>
        </w:rPr>
        <w:t>第二章  供应商须知</w:t>
      </w:r>
      <w:bookmarkEnd w:id="116"/>
    </w:p>
    <w:p w14:paraId="573157C7">
      <w:pPr>
        <w:ind w:firstLine="480"/>
        <w:jc w:val="left"/>
        <w:rPr>
          <w:rFonts w:hint="eastAsia" w:ascii="宋体" w:hAnsi="宋体" w:cs="宋体"/>
          <w:color w:val="000000" w:themeColor="text1"/>
          <w:szCs w:val="21"/>
          <w:highlight w:val="none"/>
          <w14:textFill>
            <w14:solidFill>
              <w14:schemeClr w14:val="tx1"/>
            </w14:solidFill>
          </w14:textFill>
        </w:rPr>
      </w:pPr>
      <w:bookmarkStart w:id="117" w:name="_Toc30133"/>
      <w:r>
        <w:rPr>
          <w:rFonts w:hint="eastAsia" w:ascii="宋体" w:hAnsi="宋体" w:cs="宋体"/>
          <w:color w:val="000000" w:themeColor="text1"/>
          <w:szCs w:val="21"/>
          <w:highlight w:val="none"/>
          <w14:textFill>
            <w14:solidFill>
              <w14:schemeClr w14:val="tx1"/>
            </w14:solidFill>
          </w14:textFill>
        </w:rPr>
        <w:t>第三章  采购需求</w:t>
      </w:r>
      <w:bookmarkEnd w:id="117"/>
    </w:p>
    <w:p w14:paraId="1B015A3E">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第四章  技术标准及要求</w:t>
      </w:r>
    </w:p>
    <w:p w14:paraId="1DEFB40C">
      <w:pPr>
        <w:ind w:firstLine="480"/>
        <w:jc w:val="left"/>
        <w:rPr>
          <w:rFonts w:hint="eastAsia" w:ascii="宋体" w:hAnsi="宋体" w:cs="宋体"/>
          <w:color w:val="000000" w:themeColor="text1"/>
          <w:szCs w:val="21"/>
          <w:highlight w:val="none"/>
          <w14:textFill>
            <w14:solidFill>
              <w14:schemeClr w14:val="tx1"/>
            </w14:solidFill>
          </w14:textFill>
        </w:rPr>
      </w:pPr>
      <w:bookmarkStart w:id="118" w:name="_Toc872"/>
      <w:r>
        <w:rPr>
          <w:rFonts w:hint="eastAsia" w:ascii="宋体" w:hAnsi="宋体" w:cs="宋体"/>
          <w:color w:val="000000" w:themeColor="text1"/>
          <w:szCs w:val="21"/>
          <w:highlight w:val="none"/>
          <w14:textFill>
            <w14:solidFill>
              <w14:schemeClr w14:val="tx1"/>
            </w14:solidFill>
          </w14:textFill>
        </w:rPr>
        <w:t>第五章  合同书样式及主要条款</w:t>
      </w:r>
      <w:bookmarkEnd w:id="118"/>
    </w:p>
    <w:p w14:paraId="0FDAFAB1">
      <w:pPr>
        <w:ind w:firstLine="480"/>
        <w:jc w:val="left"/>
        <w:rPr>
          <w:rFonts w:hint="eastAsia" w:ascii="宋体" w:hAnsi="宋体" w:cs="宋体"/>
          <w:color w:val="000000" w:themeColor="text1"/>
          <w:szCs w:val="21"/>
          <w:highlight w:val="none"/>
          <w14:textFill>
            <w14:solidFill>
              <w14:schemeClr w14:val="tx1"/>
            </w14:solidFill>
          </w14:textFill>
        </w:rPr>
      </w:pPr>
      <w:bookmarkStart w:id="119" w:name="_Toc13073"/>
      <w:r>
        <w:rPr>
          <w:rFonts w:hint="eastAsia" w:ascii="宋体" w:hAnsi="宋体" w:cs="宋体"/>
          <w:color w:val="000000" w:themeColor="text1"/>
          <w:szCs w:val="21"/>
          <w:highlight w:val="none"/>
          <w14:textFill>
            <w14:solidFill>
              <w14:schemeClr w14:val="tx1"/>
            </w14:solidFill>
          </w14:textFill>
        </w:rPr>
        <w:t xml:space="preserve">第六章  </w:t>
      </w:r>
      <w:bookmarkEnd w:id="119"/>
      <w:r>
        <w:rPr>
          <w:rFonts w:hint="eastAsia" w:ascii="宋体" w:hAnsi="宋体" w:cs="宋体"/>
          <w:color w:val="000000" w:themeColor="text1"/>
          <w:szCs w:val="21"/>
          <w:highlight w:val="none"/>
          <w14:textFill>
            <w14:solidFill>
              <w14:schemeClr w14:val="tx1"/>
            </w14:solidFill>
          </w14:textFill>
        </w:rPr>
        <w:t>评审办法</w:t>
      </w:r>
    </w:p>
    <w:p w14:paraId="5ED012F8">
      <w:pPr>
        <w:ind w:firstLine="480"/>
        <w:jc w:val="left"/>
        <w:rPr>
          <w:rFonts w:hint="eastAsia" w:ascii="宋体" w:hAnsi="宋体" w:cs="宋体"/>
          <w:color w:val="000000" w:themeColor="text1"/>
          <w:szCs w:val="21"/>
          <w:highlight w:val="none"/>
          <w14:textFill>
            <w14:solidFill>
              <w14:schemeClr w14:val="tx1"/>
            </w14:solidFill>
          </w14:textFill>
        </w:rPr>
      </w:pPr>
      <w:bookmarkStart w:id="120" w:name="_Toc5311"/>
      <w:r>
        <w:rPr>
          <w:rFonts w:hint="eastAsia" w:ascii="宋体" w:hAnsi="宋体" w:cs="宋体"/>
          <w:color w:val="000000" w:themeColor="text1"/>
          <w:szCs w:val="21"/>
          <w:highlight w:val="none"/>
          <w14:textFill>
            <w14:solidFill>
              <w14:schemeClr w14:val="tx1"/>
            </w14:solidFill>
          </w14:textFill>
        </w:rPr>
        <w:t>第七章  响应文件格式</w:t>
      </w:r>
      <w:bookmarkEnd w:id="120"/>
    </w:p>
    <w:p w14:paraId="6F74968C">
      <w:pPr>
        <w:ind w:firstLine="480"/>
        <w:jc w:val="left"/>
        <w:rPr>
          <w:rFonts w:hint="eastAsia" w:ascii="宋体" w:hAnsi="宋体" w:cs="宋体"/>
          <w:color w:val="000000" w:themeColor="text1"/>
          <w:szCs w:val="21"/>
          <w:highlight w:val="none"/>
          <w14:textFill>
            <w14:solidFill>
              <w14:schemeClr w14:val="tx1"/>
            </w14:solidFill>
          </w14:textFill>
        </w:rPr>
      </w:pPr>
      <w:bookmarkStart w:id="121" w:name="_Toc16205"/>
      <w:r>
        <w:rPr>
          <w:rFonts w:hint="eastAsia" w:ascii="宋体" w:hAnsi="宋体" w:cs="宋体"/>
          <w:color w:val="000000" w:themeColor="text1"/>
          <w:szCs w:val="21"/>
          <w:highlight w:val="none"/>
          <w14:textFill>
            <w14:solidFill>
              <w14:schemeClr w14:val="tx1"/>
            </w14:solidFill>
          </w14:textFill>
        </w:rPr>
        <w:t>2.1.2 根据本章第2.2款对竞争性磋商文件所作的澄清、修改，构成竞争性磋商文件的组成部分。</w:t>
      </w:r>
      <w:bookmarkEnd w:id="121"/>
    </w:p>
    <w:p w14:paraId="66C06C9F">
      <w:pPr>
        <w:ind w:firstLine="480"/>
        <w:jc w:val="left"/>
        <w:rPr>
          <w:rFonts w:hint="eastAsia" w:ascii="宋体" w:hAnsi="宋体" w:cs="宋体"/>
          <w:color w:val="000000" w:themeColor="text1"/>
          <w:szCs w:val="21"/>
          <w:highlight w:val="none"/>
          <w14:textFill>
            <w14:solidFill>
              <w14:schemeClr w14:val="tx1"/>
            </w14:solidFill>
          </w14:textFill>
        </w:rPr>
      </w:pPr>
      <w:bookmarkStart w:id="122" w:name="_Toc55"/>
      <w:r>
        <w:rPr>
          <w:rFonts w:hint="eastAsia" w:ascii="宋体" w:hAnsi="宋体" w:cs="宋体"/>
          <w:color w:val="000000" w:themeColor="text1"/>
          <w:szCs w:val="21"/>
          <w:highlight w:val="none"/>
          <w14:textFill>
            <w14:solidFill>
              <w14:schemeClr w14:val="tx1"/>
            </w14:solidFill>
          </w14:textFill>
        </w:rPr>
        <w:t>2.1.3供应商获取竞争性磋商文件后，应仔细检查竞争性磋商文件的所有内容，如有残缺或附件不全，应及时向采购人或采购代理机构提出，否则，由此引起的损失自负；供应商同时应认真审阅竞争性磋商文件中所有的事项、格式、条款和规范要求等，如果供应商的响应文件没有按照竞争性磋商文件要求递交全部资料或者响应文件没有对竞争性磋商文件做出实质性响应，其风险应由供应商自行承担。实质上不响应竞争性磋商文件要求的响应文件视为无效响应。</w:t>
      </w:r>
      <w:bookmarkEnd w:id="122"/>
    </w:p>
    <w:p w14:paraId="7F140206">
      <w:pPr>
        <w:pStyle w:val="7"/>
        <w:ind w:firstLine="422"/>
        <w:rPr>
          <w:rFonts w:hint="eastAsia" w:ascii="宋体" w:hAnsi="宋体"/>
          <w:color w:val="000000" w:themeColor="text1"/>
          <w:szCs w:val="21"/>
          <w:highlight w:val="none"/>
          <w14:textFill>
            <w14:solidFill>
              <w14:schemeClr w14:val="tx1"/>
            </w14:solidFill>
          </w14:textFill>
        </w:rPr>
      </w:pPr>
      <w:bookmarkStart w:id="123" w:name="_Toc31496"/>
      <w:bookmarkStart w:id="124" w:name="_Toc3923"/>
      <w:r>
        <w:rPr>
          <w:rFonts w:hint="eastAsia" w:ascii="宋体" w:hAnsi="宋体"/>
          <w:color w:val="000000" w:themeColor="text1"/>
          <w:szCs w:val="21"/>
          <w:highlight w:val="none"/>
          <w14:textFill>
            <w14:solidFill>
              <w14:schemeClr w14:val="tx1"/>
            </w14:solidFill>
          </w14:textFill>
        </w:rPr>
        <w:t>2.2 竞争性磋商文件的澄清</w:t>
      </w:r>
      <w:bookmarkEnd w:id="123"/>
      <w:bookmarkEnd w:id="124"/>
      <w:r>
        <w:rPr>
          <w:rFonts w:hint="eastAsia" w:ascii="宋体" w:hAnsi="宋体"/>
          <w:color w:val="000000" w:themeColor="text1"/>
          <w:szCs w:val="21"/>
          <w:highlight w:val="none"/>
          <w14:textFill>
            <w14:solidFill>
              <w14:schemeClr w14:val="tx1"/>
            </w14:solidFill>
          </w14:textFill>
        </w:rPr>
        <w:t>和修改</w:t>
      </w:r>
    </w:p>
    <w:p w14:paraId="3D9EA075">
      <w:pPr>
        <w:ind w:firstLine="480"/>
        <w:jc w:val="left"/>
        <w:rPr>
          <w:rFonts w:hint="eastAsia" w:ascii="宋体" w:hAnsi="宋体" w:cs="宋体"/>
          <w:color w:val="000000" w:themeColor="text1"/>
          <w:szCs w:val="21"/>
          <w:highlight w:val="none"/>
          <w14:textFill>
            <w14:solidFill>
              <w14:schemeClr w14:val="tx1"/>
            </w14:solidFill>
          </w14:textFill>
        </w:rPr>
      </w:pPr>
      <w:bookmarkStart w:id="125" w:name="_Toc937"/>
      <w:bookmarkStart w:id="126" w:name="_Toc13280"/>
      <w:bookmarkStart w:id="127" w:name="_Toc6244"/>
      <w:r>
        <w:rPr>
          <w:rFonts w:hint="eastAsia" w:ascii="宋体" w:hAnsi="宋体" w:cs="宋体"/>
          <w:color w:val="000000" w:themeColor="text1"/>
          <w:szCs w:val="21"/>
          <w:highlight w:val="none"/>
          <w14:textFill>
            <w14:solidFill>
              <w14:schemeClr w14:val="tx1"/>
            </w14:solidFill>
          </w14:textFill>
        </w:rPr>
        <w:t>2.2.1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097E8126">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w:t>
      </w:r>
      <w:r>
        <w:rPr>
          <w:rFonts w:ascii="宋体" w:hAnsi="宋体"/>
          <w:color w:val="000000" w:themeColor="text1"/>
          <w:szCs w:val="21"/>
          <w:highlight w:val="none"/>
          <w14:textFill>
            <w14:solidFill>
              <w14:schemeClr w14:val="tx1"/>
            </w14:solidFill>
          </w14:textFill>
        </w:rPr>
        <w:t>上述书面通知，按照获取竞争性磋商文件的潜在供应商提供的联系方式发出，因提供的信息有误导致通知延迟或无法通知的，采购人或采购代理机构不承担责任</w:t>
      </w:r>
      <w:r>
        <w:rPr>
          <w:rFonts w:hint="eastAsia" w:ascii="宋体" w:hAnsi="宋体" w:cs="宋体"/>
          <w:color w:val="000000" w:themeColor="text1"/>
          <w:szCs w:val="21"/>
          <w:highlight w:val="none"/>
          <w14:textFill>
            <w14:solidFill>
              <w14:schemeClr w14:val="tx1"/>
            </w14:solidFill>
          </w14:textFill>
        </w:rPr>
        <w:t>。</w:t>
      </w:r>
    </w:p>
    <w:p w14:paraId="552D3DB5">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w:t>
      </w:r>
      <w:r>
        <w:rPr>
          <w:rFonts w:ascii="宋体" w:hAnsi="宋体"/>
          <w:color w:val="000000" w:themeColor="text1"/>
          <w:szCs w:val="21"/>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澄清或者修改的内容为竞争性磋商文件的组成部分，并对所有获取竞争性磋商文件的潜在供应商具有约束力。澄清或者修改的内容可能影响响应文件编制的，将在提交首次响应文件截止时间至少5日前</w:t>
      </w:r>
      <w:r>
        <w:rPr>
          <w:rFonts w:hint="eastAsia" w:ascii="宋体" w:hAnsi="宋体"/>
          <w:color w:val="000000" w:themeColor="text1"/>
          <w:szCs w:val="21"/>
          <w:highlight w:val="none"/>
          <w14:textFill>
            <w14:solidFill>
              <w14:schemeClr w14:val="tx1"/>
            </w14:solidFill>
          </w14:textFill>
        </w:rPr>
        <w:t>，以书面形式通知所有获取磋商文件的供应商</w:t>
      </w:r>
      <w:r>
        <w:rPr>
          <w:rFonts w:ascii="宋体" w:hAnsi="宋体"/>
          <w:color w:val="000000" w:themeColor="text1"/>
          <w:szCs w:val="21"/>
          <w:highlight w:val="none"/>
          <w14:textFill>
            <w14:solidFill>
              <w14:schemeClr w14:val="tx1"/>
            </w14:solidFill>
          </w14:textFill>
        </w:rPr>
        <w:t>；不足上述时间的，将顺延提交响应文件的截止时间</w:t>
      </w:r>
      <w:r>
        <w:rPr>
          <w:rFonts w:hint="eastAsia" w:ascii="宋体" w:hAnsi="宋体"/>
          <w:color w:val="000000" w:themeColor="text1"/>
          <w:szCs w:val="21"/>
          <w:highlight w:val="none"/>
          <w14:textFill>
            <w14:solidFill>
              <w14:schemeClr w14:val="tx1"/>
            </w14:solidFill>
          </w14:textFill>
        </w:rPr>
        <w:t>。</w:t>
      </w:r>
    </w:p>
    <w:p w14:paraId="43A53DB8">
      <w:pPr>
        <w:pStyle w:val="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 响应文件</w:t>
      </w:r>
      <w:bookmarkEnd w:id="125"/>
      <w:bookmarkEnd w:id="126"/>
      <w:bookmarkEnd w:id="127"/>
    </w:p>
    <w:p w14:paraId="353D8413">
      <w:pPr>
        <w:pStyle w:val="7"/>
        <w:ind w:firstLine="422"/>
        <w:rPr>
          <w:rFonts w:hint="eastAsia" w:ascii="宋体" w:hAnsi="宋体" w:cs="宋体"/>
          <w:color w:val="000000" w:themeColor="text1"/>
          <w:szCs w:val="21"/>
          <w:highlight w:val="none"/>
          <w14:textFill>
            <w14:solidFill>
              <w14:schemeClr w14:val="tx1"/>
            </w14:solidFill>
          </w14:textFill>
        </w:rPr>
      </w:pPr>
      <w:bookmarkStart w:id="128" w:name="_Toc17793"/>
      <w:r>
        <w:rPr>
          <w:rFonts w:hint="eastAsia" w:ascii="宋体" w:hAnsi="宋体"/>
          <w:color w:val="000000" w:themeColor="text1"/>
          <w:szCs w:val="21"/>
          <w:highlight w:val="none"/>
          <w14:textFill>
            <w14:solidFill>
              <w14:schemeClr w14:val="tx1"/>
            </w14:solidFill>
          </w14:textFill>
        </w:rPr>
        <w:t>3.1 响应文件组成部分</w:t>
      </w:r>
      <w:r>
        <w:rPr>
          <w:rFonts w:hint="eastAsia" w:ascii="宋体" w:hAnsi="宋体" w:cs="宋体"/>
          <w:color w:val="000000" w:themeColor="text1"/>
          <w:szCs w:val="21"/>
          <w:highlight w:val="none"/>
          <w14:textFill>
            <w14:solidFill>
              <w14:schemeClr w14:val="tx1"/>
            </w14:solidFill>
          </w14:textFill>
        </w:rPr>
        <w:t>详见第七章响应文件文件格式。</w:t>
      </w:r>
      <w:bookmarkEnd w:id="128"/>
    </w:p>
    <w:p w14:paraId="1400AAA4">
      <w:pPr>
        <w:pStyle w:val="7"/>
        <w:ind w:firstLine="422"/>
        <w:rPr>
          <w:rFonts w:hint="eastAsia" w:ascii="宋体" w:hAnsi="宋体"/>
          <w:color w:val="000000" w:themeColor="text1"/>
          <w:szCs w:val="21"/>
          <w:highlight w:val="none"/>
          <w14:textFill>
            <w14:solidFill>
              <w14:schemeClr w14:val="tx1"/>
            </w14:solidFill>
          </w14:textFill>
        </w:rPr>
      </w:pPr>
      <w:bookmarkStart w:id="129" w:name="_Toc5936"/>
      <w:r>
        <w:rPr>
          <w:rFonts w:hint="eastAsia" w:ascii="宋体" w:hAnsi="宋体"/>
          <w:color w:val="000000" w:themeColor="text1"/>
          <w:szCs w:val="21"/>
          <w:highlight w:val="none"/>
          <w14:textFill>
            <w14:solidFill>
              <w14:schemeClr w14:val="tx1"/>
            </w14:solidFill>
          </w14:textFill>
        </w:rPr>
        <w:t>3.2 响应报价</w:t>
      </w:r>
      <w:bookmarkEnd w:id="129"/>
    </w:p>
    <w:p w14:paraId="789F11F8">
      <w:pPr>
        <w:ind w:firstLine="480"/>
        <w:jc w:val="left"/>
        <w:rPr>
          <w:rFonts w:hint="eastAsia" w:ascii="宋体" w:hAnsi="宋体" w:cs="宋体"/>
          <w:color w:val="000000" w:themeColor="text1"/>
          <w:szCs w:val="21"/>
          <w:highlight w:val="none"/>
          <w14:textFill>
            <w14:solidFill>
              <w14:schemeClr w14:val="tx1"/>
            </w14:solidFill>
          </w14:textFill>
        </w:rPr>
      </w:pPr>
      <w:bookmarkStart w:id="130" w:name="_Toc31594"/>
      <w:r>
        <w:rPr>
          <w:rFonts w:hint="eastAsia" w:ascii="宋体" w:hAnsi="宋体" w:cs="宋体"/>
          <w:color w:val="000000" w:themeColor="text1"/>
          <w:szCs w:val="21"/>
          <w:highlight w:val="none"/>
          <w14:textFill>
            <w14:solidFill>
              <w14:schemeClr w14:val="tx1"/>
            </w14:solidFill>
          </w14:textFill>
        </w:rPr>
        <w:t>3.2.1</w:t>
      </w:r>
      <w:bookmarkEnd w:id="130"/>
      <w:bookmarkStart w:id="131" w:name="_Toc6125"/>
      <w:r>
        <w:rPr>
          <w:rFonts w:hint="eastAsia" w:ascii="宋体" w:hAnsi="宋体" w:cs="宋体"/>
          <w:color w:val="000000" w:themeColor="text1"/>
          <w:szCs w:val="21"/>
          <w:highlight w:val="none"/>
          <w14:textFill>
            <w14:solidFill>
              <w14:schemeClr w14:val="tx1"/>
            </w14:solidFill>
          </w14:textFill>
        </w:rPr>
        <w:t>响应报价为供应商在响应文件中提出的各项支付金额的总和，供应商必须严格依照竞争性磋商文件格式填写。</w:t>
      </w:r>
      <w:bookmarkEnd w:id="131"/>
    </w:p>
    <w:p w14:paraId="0981405F">
      <w:pPr>
        <w:ind w:firstLine="480"/>
        <w:jc w:val="left"/>
        <w:rPr>
          <w:rFonts w:hint="eastAsia" w:ascii="宋体" w:hAnsi="宋体" w:cs="宋体"/>
          <w:color w:val="000000" w:themeColor="text1"/>
          <w:szCs w:val="21"/>
          <w:highlight w:val="none"/>
          <w14:textFill>
            <w14:solidFill>
              <w14:schemeClr w14:val="tx1"/>
            </w14:solidFill>
          </w14:textFill>
        </w:rPr>
      </w:pPr>
      <w:bookmarkStart w:id="132" w:name="_Toc22713"/>
      <w:r>
        <w:rPr>
          <w:rFonts w:hint="eastAsia" w:ascii="宋体" w:hAnsi="宋体" w:cs="宋体"/>
          <w:color w:val="000000" w:themeColor="text1"/>
          <w:szCs w:val="21"/>
          <w:highlight w:val="none"/>
          <w14:textFill>
            <w14:solidFill>
              <w14:schemeClr w14:val="tx1"/>
            </w14:solidFill>
          </w14:textFill>
        </w:rPr>
        <w:t>3.2.2供应商的响应报价，应是完成本须知第1.3.1条和合同条款上所列采购工程范围及工期的全部，不得以任何理由予以重复，作为供应商计算单价或总价的依据。</w:t>
      </w:r>
      <w:bookmarkEnd w:id="132"/>
    </w:p>
    <w:p w14:paraId="3E8F37EE">
      <w:pPr>
        <w:pStyle w:val="7"/>
        <w:ind w:firstLine="422"/>
        <w:rPr>
          <w:rFonts w:hint="eastAsia" w:ascii="宋体" w:hAnsi="宋体"/>
          <w:color w:val="000000" w:themeColor="text1"/>
          <w:szCs w:val="21"/>
          <w:highlight w:val="none"/>
          <w14:textFill>
            <w14:solidFill>
              <w14:schemeClr w14:val="tx1"/>
            </w14:solidFill>
          </w14:textFill>
        </w:rPr>
      </w:pPr>
      <w:bookmarkStart w:id="133" w:name="_Toc6902"/>
      <w:r>
        <w:rPr>
          <w:rFonts w:hint="eastAsia" w:ascii="宋体" w:hAnsi="宋体"/>
          <w:color w:val="000000" w:themeColor="text1"/>
          <w:szCs w:val="21"/>
          <w:highlight w:val="none"/>
          <w14:textFill>
            <w14:solidFill>
              <w14:schemeClr w14:val="tx1"/>
            </w14:solidFill>
          </w14:textFill>
        </w:rPr>
        <w:t xml:space="preserve">3.3 </w:t>
      </w:r>
      <w:bookmarkEnd w:id="133"/>
      <w:r>
        <w:rPr>
          <w:rFonts w:hint="eastAsia" w:ascii="宋体" w:hAnsi="宋体"/>
          <w:color w:val="000000" w:themeColor="text1"/>
          <w:szCs w:val="21"/>
          <w:highlight w:val="none"/>
          <w14:textFill>
            <w14:solidFill>
              <w14:schemeClr w14:val="tx1"/>
            </w14:solidFill>
          </w14:textFill>
        </w:rPr>
        <w:t>磋商有效期</w:t>
      </w:r>
    </w:p>
    <w:p w14:paraId="176180E0">
      <w:pPr>
        <w:ind w:firstLine="480"/>
        <w:jc w:val="left"/>
        <w:rPr>
          <w:rFonts w:hint="eastAsia" w:ascii="宋体" w:hAnsi="宋体" w:cs="宋体"/>
          <w:color w:val="000000" w:themeColor="text1"/>
          <w:szCs w:val="21"/>
          <w:highlight w:val="none"/>
          <w14:textFill>
            <w14:solidFill>
              <w14:schemeClr w14:val="tx1"/>
            </w14:solidFill>
          </w14:textFill>
        </w:rPr>
      </w:pPr>
      <w:bookmarkStart w:id="134" w:name="_Toc6858"/>
      <w:r>
        <w:rPr>
          <w:rFonts w:hint="eastAsia" w:ascii="宋体" w:hAnsi="宋体" w:cs="宋体"/>
          <w:color w:val="000000" w:themeColor="text1"/>
          <w:szCs w:val="21"/>
          <w:highlight w:val="none"/>
          <w14:textFill>
            <w14:solidFill>
              <w14:schemeClr w14:val="tx1"/>
            </w14:solidFill>
          </w14:textFill>
        </w:rPr>
        <w:t>3.3.1在供应商须知前附表规定的磋商有效期内，供应商不得要求撤销或修改其响应文件且其授权委托书委托期限应与磋商有效期一致。</w:t>
      </w:r>
      <w:bookmarkEnd w:id="134"/>
    </w:p>
    <w:p w14:paraId="1299DBEF">
      <w:pPr>
        <w:ind w:firstLine="480"/>
        <w:jc w:val="left"/>
        <w:rPr>
          <w:rFonts w:hint="eastAsia" w:ascii="宋体" w:hAnsi="宋体" w:cs="宋体"/>
          <w:color w:val="000000" w:themeColor="text1"/>
          <w:szCs w:val="21"/>
          <w:highlight w:val="none"/>
          <w14:textFill>
            <w14:solidFill>
              <w14:schemeClr w14:val="tx1"/>
            </w14:solidFill>
          </w14:textFill>
        </w:rPr>
      </w:pPr>
      <w:bookmarkStart w:id="135" w:name="_Toc24546"/>
      <w:r>
        <w:rPr>
          <w:rFonts w:hint="eastAsia" w:ascii="宋体" w:hAnsi="宋体" w:cs="宋体"/>
          <w:color w:val="000000" w:themeColor="text1"/>
          <w:szCs w:val="21"/>
          <w:highlight w:val="none"/>
          <w14:textFill>
            <w14:solidFill>
              <w14:schemeClr w14:val="tx1"/>
            </w14:solidFill>
          </w14:textFill>
        </w:rPr>
        <w:t>3.3.2在磋商有效期内，供应商撤销或修改其响应文件的，应承担竞争性磋商文件和法律规定的责任。</w:t>
      </w:r>
      <w:bookmarkEnd w:id="135"/>
    </w:p>
    <w:p w14:paraId="33970909">
      <w:pPr>
        <w:ind w:firstLine="480"/>
        <w:jc w:val="left"/>
        <w:rPr>
          <w:rFonts w:hint="eastAsia" w:ascii="宋体" w:hAnsi="宋体" w:cs="宋体"/>
          <w:color w:val="000000" w:themeColor="text1"/>
          <w:szCs w:val="21"/>
          <w:highlight w:val="none"/>
          <w14:textFill>
            <w14:solidFill>
              <w14:schemeClr w14:val="tx1"/>
            </w14:solidFill>
          </w14:textFill>
        </w:rPr>
      </w:pPr>
      <w:bookmarkStart w:id="136" w:name="_Toc23564"/>
      <w:r>
        <w:rPr>
          <w:rFonts w:hint="eastAsia" w:ascii="宋体" w:hAnsi="宋体" w:cs="宋体"/>
          <w:color w:val="000000" w:themeColor="text1"/>
          <w:szCs w:val="21"/>
          <w:highlight w:val="none"/>
          <w14:textFill>
            <w14:solidFill>
              <w14:schemeClr w14:val="tx1"/>
            </w14:solidFill>
          </w14:textFill>
        </w:rPr>
        <w:t>3.3.3 出现特殊情况需要延长磋商有效期的，采购人以书面形式通知所有供应商延长磋商有效期。供应商同意延长的，但不得要求或被允许修改或撤销其响应文件；供应商拒绝延长的，其响应失效。</w:t>
      </w:r>
      <w:bookmarkEnd w:id="136"/>
    </w:p>
    <w:p w14:paraId="4442745D">
      <w:pPr>
        <w:pStyle w:val="7"/>
        <w:ind w:firstLine="422"/>
        <w:rPr>
          <w:rFonts w:hint="eastAsia" w:ascii="宋体" w:hAnsi="宋体"/>
          <w:color w:val="000000" w:themeColor="text1"/>
          <w:szCs w:val="21"/>
          <w:highlight w:val="none"/>
          <w14:textFill>
            <w14:solidFill>
              <w14:schemeClr w14:val="tx1"/>
            </w14:solidFill>
          </w14:textFill>
        </w:rPr>
      </w:pPr>
      <w:bookmarkStart w:id="137" w:name="_Toc31143"/>
      <w:r>
        <w:rPr>
          <w:rFonts w:hint="eastAsia" w:ascii="宋体" w:hAnsi="宋体"/>
          <w:color w:val="000000" w:themeColor="text1"/>
          <w:szCs w:val="21"/>
          <w:highlight w:val="none"/>
          <w14:textFill>
            <w14:solidFill>
              <w14:schemeClr w14:val="tx1"/>
            </w14:solidFill>
          </w14:textFill>
        </w:rPr>
        <w:t>3.4 保证金</w:t>
      </w:r>
      <w:bookmarkEnd w:id="137"/>
      <w:r>
        <w:rPr>
          <w:rFonts w:hint="eastAsia" w:ascii="宋体" w:hAnsi="宋体"/>
          <w:color w:val="000000" w:themeColor="text1"/>
          <w:szCs w:val="21"/>
          <w:highlight w:val="none"/>
          <w14:textFill>
            <w14:solidFill>
              <w14:schemeClr w14:val="tx1"/>
            </w14:solidFill>
          </w14:textFill>
        </w:rPr>
        <w:t>（若有）</w:t>
      </w:r>
    </w:p>
    <w:p w14:paraId="4476E24F">
      <w:pPr>
        <w:ind w:firstLine="480"/>
        <w:jc w:val="left"/>
        <w:rPr>
          <w:rFonts w:hint="eastAsia" w:ascii="宋体" w:hAnsi="宋体" w:cs="宋体"/>
          <w:color w:val="000000" w:themeColor="text1"/>
          <w:szCs w:val="21"/>
          <w:highlight w:val="none"/>
          <w14:textFill>
            <w14:solidFill>
              <w14:schemeClr w14:val="tx1"/>
            </w14:solidFill>
          </w14:textFill>
        </w:rPr>
      </w:pPr>
      <w:bookmarkStart w:id="138" w:name="_Toc25250"/>
      <w:r>
        <w:rPr>
          <w:rFonts w:hint="eastAsia" w:ascii="宋体" w:hAnsi="宋体" w:cs="宋体"/>
          <w:color w:val="000000" w:themeColor="text1"/>
          <w:szCs w:val="21"/>
          <w:highlight w:val="none"/>
          <w14:textFill>
            <w14:solidFill>
              <w14:schemeClr w14:val="tx1"/>
            </w14:solidFill>
          </w14:textFill>
        </w:rPr>
        <w:t>3.4.1磋商保证金：见供应商须知前附表。</w:t>
      </w:r>
    </w:p>
    <w:p w14:paraId="1FD4D854">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3.4.2下列情况发生时，保证金将不予退还</w:t>
      </w:r>
    </w:p>
    <w:p w14:paraId="437BCA02">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（1）供应商在磋商有效期内撤销投标的；</w:t>
      </w:r>
    </w:p>
    <w:p w14:paraId="7F01911B">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（2）中标人中标后无正当理由不与采购人签订合同的；</w:t>
      </w:r>
    </w:p>
    <w:p w14:paraId="7A28A59A">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（3）中标人将中标项目转让给他人，或者在响应文件中未说明，且未经采购人同意，将中标项目分包给他人的；</w:t>
      </w:r>
    </w:p>
    <w:p w14:paraId="0465FB43">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（4）中标人拒绝履行合同义务的。</w:t>
      </w:r>
    </w:p>
    <w:p w14:paraId="5764E59F">
      <w:pPr>
        <w:pStyle w:val="7"/>
        <w:ind w:firstLine="4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 资格审查资料</w:t>
      </w:r>
      <w:bookmarkEnd w:id="138"/>
    </w:p>
    <w:p w14:paraId="54C9EC03">
      <w:pPr>
        <w:ind w:firstLine="480"/>
        <w:jc w:val="left"/>
        <w:rPr>
          <w:rFonts w:hint="eastAsia" w:ascii="宋体" w:hAnsi="宋体" w:cs="宋体"/>
          <w:color w:val="000000" w:themeColor="text1"/>
          <w:szCs w:val="21"/>
          <w:highlight w:val="none"/>
          <w14:textFill>
            <w14:solidFill>
              <w14:schemeClr w14:val="tx1"/>
            </w14:solidFill>
          </w14:textFill>
        </w:rPr>
      </w:pPr>
      <w:bookmarkStart w:id="139" w:name="_Toc31140"/>
      <w:r>
        <w:rPr>
          <w:rFonts w:hint="eastAsia" w:ascii="宋体" w:hAnsi="宋体" w:cs="宋体"/>
          <w:color w:val="000000" w:themeColor="text1"/>
          <w:szCs w:val="21"/>
          <w:highlight w:val="none"/>
          <w14:textFill>
            <w14:solidFill>
              <w14:schemeClr w14:val="tx1"/>
            </w14:solidFill>
          </w14:textFill>
        </w:rPr>
        <w:t>本次采购采用资格后审的方式进行，按照供应商资格要求的规定提供相关证明材料。</w:t>
      </w:r>
      <w:bookmarkEnd w:id="139"/>
    </w:p>
    <w:p w14:paraId="61701477">
      <w:pPr>
        <w:pStyle w:val="7"/>
        <w:ind w:firstLine="422"/>
        <w:rPr>
          <w:rFonts w:hint="eastAsia" w:ascii="宋体" w:hAnsi="宋体"/>
          <w:color w:val="000000" w:themeColor="text1"/>
          <w:szCs w:val="21"/>
          <w:highlight w:val="none"/>
          <w14:textFill>
            <w14:solidFill>
              <w14:schemeClr w14:val="tx1"/>
            </w14:solidFill>
          </w14:textFill>
        </w:rPr>
      </w:pPr>
      <w:bookmarkStart w:id="140" w:name="_Toc16535"/>
      <w:r>
        <w:rPr>
          <w:rFonts w:hint="eastAsia" w:ascii="宋体" w:hAnsi="宋体"/>
          <w:color w:val="000000" w:themeColor="text1"/>
          <w:szCs w:val="21"/>
          <w:highlight w:val="none"/>
          <w14:textFill>
            <w14:solidFill>
              <w14:schemeClr w14:val="tx1"/>
            </w14:solidFill>
          </w14:textFill>
        </w:rPr>
        <w:t>3.6 响应文件的编制</w:t>
      </w:r>
      <w:bookmarkEnd w:id="140"/>
    </w:p>
    <w:p w14:paraId="23CE1038">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3.6.1响应文件的编制</w:t>
      </w:r>
    </w:p>
    <w:p w14:paraId="3350F8E7">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①响应文件全部采用电子文档，供应商应安装客户端软件—“政采云电子交易客户端”，并按照竞争性磋商文件和政采云电子交易平台的要求编制，编制后应进行电子签名及加密。</w:t>
      </w:r>
    </w:p>
    <w:p w14:paraId="4469977A">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②如供应商提交的电子标书不符合文件要求或开标时无法读取导入或解密，其响应文件将不予受理。</w:t>
      </w:r>
    </w:p>
    <w:p w14:paraId="21E4E9D4">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3.6.2响应文件应尽量避免涂改、行间插字或删除。如果出现上述情况，改动之处应加盖单位章或由供应商的法定代表人或其委托代理人（签名或盖章）确认。</w:t>
      </w:r>
    </w:p>
    <w:p w14:paraId="65EB40EE">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3.6.3关键内容字迹潦草、表达不清、未按要求填写而导致非唯一理解，视为未实质性响应竞争性磋商文件的响应文件。</w:t>
      </w:r>
    </w:p>
    <w:p w14:paraId="0D26DF47">
      <w:pPr>
        <w:ind w:firstLine="48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3.6.4响应文件中提</w:t>
      </w:r>
      <w:r>
        <w:rPr>
          <w:rFonts w:hint="eastAsia" w:ascii="宋体" w:hAnsi="宋体" w:cs="宋体"/>
          <w:bCs/>
          <w:color w:val="000000" w:themeColor="text1"/>
          <w:szCs w:val="21"/>
          <w:highlight w:val="none"/>
          <w14:textFill>
            <w14:solidFill>
              <w14:schemeClr w14:val="tx1"/>
            </w14:solidFill>
          </w14:textFill>
        </w:rPr>
        <w:t>供的资料（扫描件），内容必须清晰可辨，若内容模糊，无法辨识，均视为未提供。</w:t>
      </w:r>
    </w:p>
    <w:p w14:paraId="27506117">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3.6.5响应文件应由法定代表人或其委托代理人在凡规定（电子签名或电子签章）处盖（电子签名或电子签章），要求盖章处应盖单位章（电子签章），具体要求见供应商须知前附表。</w:t>
      </w:r>
    </w:p>
    <w:p w14:paraId="51A96EF8">
      <w:pPr>
        <w:ind w:firstLine="480"/>
        <w:jc w:val="left"/>
        <w:rPr>
          <w:rFonts w:hint="eastAsia" w:ascii="宋体" w:hAnsi="宋体" w:cs="宋体"/>
          <w:color w:val="000000" w:themeColor="text1"/>
          <w:szCs w:val="21"/>
          <w:highlight w:val="none"/>
          <w14:textFill>
            <w14:solidFill>
              <w14:schemeClr w14:val="tx1"/>
            </w14:solidFill>
          </w14:textFill>
        </w:rPr>
      </w:pPr>
      <w:bookmarkStart w:id="141" w:name="_Toc19928"/>
      <w:r>
        <w:rPr>
          <w:rFonts w:hint="eastAsia" w:ascii="宋体" w:hAnsi="宋体" w:cs="宋体"/>
          <w:color w:val="000000" w:themeColor="text1"/>
          <w:szCs w:val="21"/>
          <w:highlight w:val="none"/>
          <w14:textFill>
            <w14:solidFill>
              <w14:schemeClr w14:val="tx1"/>
            </w14:solidFill>
          </w14:textFill>
        </w:rPr>
        <w:t>3.6.6 响应文件应按“响应文件格式”进行编写，如有必要，可以增加附页，作为文件的组成部分。其中，磋商函附表在满足竞争性磋商文件实质性要求的基础上，可以提出比竞争性磋商文件要求更有利于采购人的承诺。</w:t>
      </w:r>
      <w:bookmarkEnd w:id="141"/>
    </w:p>
    <w:p w14:paraId="6C130219">
      <w:pPr>
        <w:ind w:firstLine="480"/>
        <w:jc w:val="left"/>
        <w:rPr>
          <w:rFonts w:hint="eastAsia" w:ascii="宋体" w:hAnsi="宋体" w:cs="宋体"/>
          <w:color w:val="000000" w:themeColor="text1"/>
          <w:szCs w:val="21"/>
          <w:highlight w:val="none"/>
          <w14:textFill>
            <w14:solidFill>
              <w14:schemeClr w14:val="tx1"/>
            </w14:solidFill>
          </w14:textFill>
        </w:rPr>
      </w:pPr>
      <w:bookmarkStart w:id="142" w:name="_Toc11747"/>
      <w:r>
        <w:rPr>
          <w:rFonts w:hint="eastAsia" w:ascii="宋体" w:hAnsi="宋体" w:cs="宋体"/>
          <w:color w:val="000000" w:themeColor="text1"/>
          <w:szCs w:val="21"/>
          <w:highlight w:val="none"/>
          <w14:textFill>
            <w14:solidFill>
              <w14:schemeClr w14:val="tx1"/>
            </w14:solidFill>
          </w14:textFill>
        </w:rPr>
        <w:t>3.6.7响应文件应当对竞争性磋商文件有关合同履行期限、磋商有效期、质量要求、技术标准和要求、采购范围等实质性内容作出响应。</w:t>
      </w:r>
      <w:bookmarkEnd w:id="142"/>
    </w:p>
    <w:p w14:paraId="30446967">
      <w:pPr>
        <w:ind w:firstLine="480"/>
        <w:jc w:val="left"/>
        <w:rPr>
          <w:rFonts w:hint="eastAsia" w:ascii="宋体" w:hAnsi="宋体" w:cs="宋体"/>
          <w:color w:val="000000" w:themeColor="text1"/>
          <w:szCs w:val="21"/>
          <w:highlight w:val="none"/>
          <w14:textFill>
            <w14:solidFill>
              <w14:schemeClr w14:val="tx1"/>
            </w14:solidFill>
          </w14:textFill>
        </w:rPr>
      </w:pPr>
      <w:bookmarkStart w:id="143" w:name="_Toc24659"/>
      <w:r>
        <w:rPr>
          <w:rFonts w:hint="eastAsia" w:ascii="宋体" w:hAnsi="宋体" w:cs="宋体"/>
          <w:color w:val="000000" w:themeColor="text1"/>
          <w:szCs w:val="21"/>
          <w:highlight w:val="none"/>
          <w14:textFill>
            <w14:solidFill>
              <w14:schemeClr w14:val="tx1"/>
            </w14:solidFill>
          </w14:textFill>
        </w:rPr>
        <w:t>3.6.8 响应文件份数要求见供应商须知前附表。</w:t>
      </w:r>
      <w:bookmarkEnd w:id="143"/>
    </w:p>
    <w:p w14:paraId="4B8C52AF">
      <w:pPr>
        <w:ind w:firstLine="480"/>
        <w:jc w:val="left"/>
        <w:rPr>
          <w:rFonts w:hint="eastAsia" w:ascii="宋体" w:hAnsi="宋体" w:cs="宋体"/>
          <w:color w:val="000000" w:themeColor="text1"/>
          <w:szCs w:val="21"/>
          <w:highlight w:val="none"/>
          <w14:textFill>
            <w14:solidFill>
              <w14:schemeClr w14:val="tx1"/>
            </w14:solidFill>
          </w14:textFill>
        </w:rPr>
      </w:pPr>
      <w:bookmarkStart w:id="144" w:name="_Toc26560"/>
      <w:r>
        <w:rPr>
          <w:rFonts w:hint="eastAsia" w:ascii="宋体" w:hAnsi="宋体" w:cs="宋体"/>
          <w:color w:val="000000" w:themeColor="text1"/>
          <w:szCs w:val="21"/>
          <w:highlight w:val="none"/>
          <w14:textFill>
            <w14:solidFill>
              <w14:schemeClr w14:val="tx1"/>
            </w14:solidFill>
          </w14:textFill>
        </w:rPr>
        <w:t>3.6.9响应文件的形式要求见供应商须知前附表。</w:t>
      </w:r>
      <w:bookmarkEnd w:id="144"/>
    </w:p>
    <w:p w14:paraId="614CDB3D">
      <w:pPr>
        <w:pStyle w:val="6"/>
        <w:rPr>
          <w:color w:val="000000" w:themeColor="text1"/>
          <w:highlight w:val="none"/>
          <w14:textFill>
            <w14:solidFill>
              <w14:schemeClr w14:val="tx1"/>
            </w14:solidFill>
          </w14:textFill>
        </w:rPr>
      </w:pPr>
      <w:bookmarkStart w:id="145" w:name="_Toc4897"/>
      <w:bookmarkStart w:id="146" w:name="_Toc23822"/>
      <w:bookmarkStart w:id="147" w:name="_Toc27439"/>
      <w:r>
        <w:rPr>
          <w:rFonts w:hint="eastAsia"/>
          <w:color w:val="000000" w:themeColor="text1"/>
          <w:highlight w:val="none"/>
          <w14:textFill>
            <w14:solidFill>
              <w14:schemeClr w14:val="tx1"/>
            </w14:solidFill>
          </w14:textFill>
        </w:rPr>
        <w:t>4. 投标</w:t>
      </w:r>
      <w:bookmarkEnd w:id="145"/>
      <w:bookmarkEnd w:id="146"/>
      <w:bookmarkEnd w:id="147"/>
    </w:p>
    <w:p w14:paraId="5C83A0EE">
      <w:pPr>
        <w:pStyle w:val="27"/>
        <w:ind w:firstLine="480"/>
        <w:rPr>
          <w:rFonts w:hint="eastAsia" w:hAnsi="宋体" w:cs="宋体"/>
          <w:b/>
          <w:bCs/>
          <w:color w:val="000000" w:themeColor="text1"/>
          <w:sz w:val="21"/>
          <w:szCs w:val="21"/>
          <w:highlight w:val="none"/>
          <w:u w:val="single"/>
          <w14:textFill>
            <w14:solidFill>
              <w14:schemeClr w14:val="tx1"/>
            </w14:solidFill>
          </w14:textFill>
        </w:rPr>
      </w:pPr>
      <w:bookmarkStart w:id="148" w:name="_Toc32371"/>
      <w:bookmarkStart w:id="149" w:name="_Toc4910"/>
      <w:r>
        <w:rPr>
          <w:rFonts w:hint="eastAsia" w:hAnsi="宋体" w:cs="宋体"/>
          <w:color w:val="000000" w:themeColor="text1"/>
          <w:sz w:val="21"/>
          <w:szCs w:val="21"/>
          <w:highlight w:val="none"/>
          <w14:textFill>
            <w14:solidFill>
              <w14:schemeClr w14:val="tx1"/>
            </w14:solidFill>
          </w14:textFill>
        </w:rPr>
        <w:t>4.1供应商进行电子交易应安装客户端软件—“政采云电子交易客户端”，并按照竞争性磋商文件和电子交易平台的要求编制并加密响应文件。</w:t>
      </w:r>
    </w:p>
    <w:p w14:paraId="40C1A845">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4.2使用“政采云电子交易客户端”需要提前申领 CA 数字证书，申领流程见该项目采购公告附件。</w:t>
      </w:r>
    </w:p>
    <w:p w14:paraId="606148CA">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4.3为确保网上操作合法、有效和安全，供应商应当在响应文件提交截止时间前完成在 “政府采购云平台”的身份认证，确保在电子交易过程中能够对相关数据电文进行加密和使用电子签名。</w:t>
      </w:r>
    </w:p>
    <w:p w14:paraId="0F32528A">
      <w:pPr>
        <w:pStyle w:val="7"/>
        <w:ind w:firstLine="4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响应文件的递交</w:t>
      </w:r>
      <w:bookmarkEnd w:id="148"/>
      <w:bookmarkEnd w:id="149"/>
    </w:p>
    <w:p w14:paraId="189533DA">
      <w:pPr>
        <w:ind w:firstLine="480"/>
        <w:jc w:val="left"/>
        <w:rPr>
          <w:rFonts w:hint="eastAsia" w:ascii="宋体" w:hAnsi="宋体" w:cs="宋体"/>
          <w:color w:val="000000" w:themeColor="text1"/>
          <w:szCs w:val="21"/>
          <w:highlight w:val="none"/>
          <w14:textFill>
            <w14:solidFill>
              <w14:schemeClr w14:val="tx1"/>
            </w14:solidFill>
          </w14:textFill>
        </w:rPr>
      </w:pPr>
      <w:bookmarkStart w:id="150" w:name="_Toc18494"/>
      <w:r>
        <w:rPr>
          <w:rFonts w:hint="eastAsia" w:ascii="宋体" w:hAnsi="宋体" w:cs="宋体"/>
          <w:color w:val="000000" w:themeColor="text1"/>
          <w:szCs w:val="21"/>
          <w:highlight w:val="none"/>
          <w14:textFill>
            <w14:solidFill>
              <w14:schemeClr w14:val="tx1"/>
            </w14:solidFill>
          </w14:textFill>
        </w:rPr>
        <w:t>4.2.1 供应商应在本章供应商须知前附表规定时间递交响应文件。</w:t>
      </w:r>
      <w:bookmarkEnd w:id="150"/>
    </w:p>
    <w:p w14:paraId="2EF3031F">
      <w:pPr>
        <w:ind w:firstLine="480"/>
        <w:jc w:val="left"/>
        <w:rPr>
          <w:rFonts w:hint="eastAsia" w:ascii="宋体" w:hAnsi="宋体" w:cs="宋体"/>
          <w:color w:val="000000" w:themeColor="text1"/>
          <w:szCs w:val="21"/>
          <w:highlight w:val="none"/>
          <w14:textFill>
            <w14:solidFill>
              <w14:schemeClr w14:val="tx1"/>
            </w14:solidFill>
          </w14:textFill>
        </w:rPr>
      </w:pPr>
      <w:bookmarkStart w:id="151" w:name="_Toc9957"/>
      <w:r>
        <w:rPr>
          <w:rFonts w:hint="eastAsia" w:ascii="宋体" w:hAnsi="宋体" w:cs="宋体"/>
          <w:color w:val="000000" w:themeColor="text1"/>
          <w:szCs w:val="21"/>
          <w:highlight w:val="none"/>
          <w14:textFill>
            <w14:solidFill>
              <w14:schemeClr w14:val="tx1"/>
            </w14:solidFill>
          </w14:textFill>
        </w:rPr>
        <w:t>4.2.2 供应商递交响应文件的地点：见供应商须知前附表。</w:t>
      </w:r>
      <w:bookmarkEnd w:id="151"/>
    </w:p>
    <w:p w14:paraId="3BCB7655">
      <w:pPr>
        <w:ind w:firstLine="480"/>
        <w:jc w:val="left"/>
        <w:rPr>
          <w:rFonts w:hint="eastAsia" w:ascii="宋体" w:hAnsi="宋体" w:cs="宋体"/>
          <w:color w:val="000000" w:themeColor="text1"/>
          <w:szCs w:val="21"/>
          <w:highlight w:val="none"/>
          <w14:textFill>
            <w14:solidFill>
              <w14:schemeClr w14:val="tx1"/>
            </w14:solidFill>
          </w14:textFill>
        </w:rPr>
      </w:pPr>
      <w:bookmarkStart w:id="152" w:name="_Toc5001"/>
      <w:r>
        <w:rPr>
          <w:rFonts w:hint="eastAsia" w:ascii="宋体" w:hAnsi="宋体" w:cs="宋体"/>
          <w:color w:val="000000" w:themeColor="text1"/>
          <w:szCs w:val="21"/>
          <w:highlight w:val="none"/>
          <w14:textFill>
            <w14:solidFill>
              <w14:schemeClr w14:val="tx1"/>
            </w14:solidFill>
          </w14:textFill>
        </w:rPr>
        <w:t>4.2.3 除供应商须知前附表另有规定外，供应商所递交的响应文件不予退还。</w:t>
      </w:r>
      <w:bookmarkEnd w:id="152"/>
    </w:p>
    <w:p w14:paraId="07876BF5">
      <w:pPr>
        <w:pStyle w:val="7"/>
        <w:ind w:firstLine="422"/>
        <w:rPr>
          <w:rFonts w:hint="eastAsia" w:ascii="宋体" w:hAnsi="宋体"/>
          <w:color w:val="000000" w:themeColor="text1"/>
          <w:szCs w:val="21"/>
          <w:highlight w:val="none"/>
          <w14:textFill>
            <w14:solidFill>
              <w14:schemeClr w14:val="tx1"/>
            </w14:solidFill>
          </w14:textFill>
        </w:rPr>
      </w:pPr>
      <w:bookmarkStart w:id="153" w:name="_Toc31651"/>
      <w:bookmarkStart w:id="154" w:name="_Toc22815"/>
      <w:r>
        <w:rPr>
          <w:rFonts w:hint="eastAsia" w:ascii="宋体" w:hAnsi="宋体"/>
          <w:color w:val="000000" w:themeColor="text1"/>
          <w:szCs w:val="21"/>
          <w:highlight w:val="none"/>
          <w14:textFill>
            <w14:solidFill>
              <w14:schemeClr w14:val="tx1"/>
            </w14:solidFill>
          </w14:textFill>
        </w:rPr>
        <w:t>4.3 响应文件的修改与撤回</w:t>
      </w:r>
      <w:bookmarkEnd w:id="153"/>
      <w:bookmarkEnd w:id="154"/>
    </w:p>
    <w:p w14:paraId="714537A5">
      <w:pPr>
        <w:pStyle w:val="27"/>
        <w:ind w:firstLine="480"/>
        <w:rPr>
          <w:rFonts w:hint="eastAsia" w:hAnsi="宋体" w:cs="宋体"/>
          <w:b/>
          <w:color w:val="000000" w:themeColor="text1"/>
          <w:sz w:val="21"/>
          <w:szCs w:val="21"/>
          <w:highlight w:val="none"/>
          <w14:textFill>
            <w14:solidFill>
              <w14:schemeClr w14:val="tx1"/>
            </w14:solidFill>
          </w14:textFill>
        </w:rPr>
      </w:pPr>
      <w:bookmarkStart w:id="155" w:name="_Toc17080"/>
      <w:r>
        <w:rPr>
          <w:rFonts w:hint="eastAsia" w:hAnsi="宋体" w:cs="宋体"/>
          <w:color w:val="000000" w:themeColor="text1"/>
          <w:sz w:val="21"/>
          <w:szCs w:val="21"/>
          <w:highlight w:val="none"/>
          <w14:textFill>
            <w14:solidFill>
              <w14:schemeClr w14:val="tx1"/>
            </w14:solidFill>
          </w14:textFill>
        </w:rPr>
        <w:t>4.3.1响应文件的递交（上传）不得迟于“供应商须知前附表”规定的递交响应文件截止时间。逾期送达（上传）的响应文件，采购人不予接收。</w:t>
      </w:r>
    </w:p>
    <w:p w14:paraId="0774A424">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4.3.2供应商必须在规定时间内将响应文件递交（上传）到“供应商须知前附表”规定的地点（平台)。</w:t>
      </w:r>
    </w:p>
    <w:p w14:paraId="20C99B79">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4.3.3除“供应商须知前附表”另有规定外，供应商所递交的响应文件不予退还。</w:t>
      </w:r>
    </w:p>
    <w:p w14:paraId="715E32BE">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4.3.4</w:t>
      </w:r>
      <w:r>
        <w:rPr>
          <w:rFonts w:ascii="宋体" w:hAnsi="宋体"/>
          <w:color w:val="000000" w:themeColor="text1"/>
          <w:szCs w:val="21"/>
          <w:highlight w:val="none"/>
          <w14:textFill>
            <w14:solidFill>
              <w14:schemeClr w14:val="tx1"/>
            </w14:solidFill>
          </w14:textFill>
        </w:rPr>
        <w:t>提交响应文件截止时间前，</w:t>
      </w:r>
      <w:r>
        <w:rPr>
          <w:rFonts w:hint="eastAsia" w:ascii="宋体" w:hAnsi="宋体"/>
          <w:color w:val="000000" w:themeColor="text1"/>
          <w:spacing w:val="2"/>
          <w:szCs w:val="21"/>
          <w:highlight w:val="none"/>
          <w14:textFill>
            <w14:solidFill>
              <w14:schemeClr w14:val="tx1"/>
            </w14:solidFill>
          </w14:textFill>
        </w:rPr>
        <w:t>供应商</w:t>
      </w:r>
      <w:r>
        <w:rPr>
          <w:rFonts w:ascii="宋体" w:hAnsi="宋体"/>
          <w:color w:val="000000" w:themeColor="text1"/>
          <w:spacing w:val="2"/>
          <w:szCs w:val="21"/>
          <w:highlight w:val="none"/>
          <w14:textFill>
            <w14:solidFill>
              <w14:schemeClr w14:val="tx1"/>
            </w14:solidFill>
          </w14:textFill>
        </w:rPr>
        <w:t>可以通过</w:t>
      </w:r>
      <w:r>
        <w:rPr>
          <w:rFonts w:hint="eastAsia" w:ascii="宋体" w:hAnsi="宋体"/>
          <w:color w:val="000000" w:themeColor="text1"/>
          <w:spacing w:val="2"/>
          <w:szCs w:val="21"/>
          <w:highlight w:val="none"/>
          <w14:textFill>
            <w14:solidFill>
              <w14:schemeClr w14:val="tx1"/>
            </w14:solidFill>
          </w14:textFill>
        </w:rPr>
        <w:t>政采云平台</w:t>
      </w:r>
      <w:r>
        <w:rPr>
          <w:rFonts w:ascii="宋体" w:hAnsi="宋体"/>
          <w:color w:val="000000" w:themeColor="text1"/>
          <w:spacing w:val="2"/>
          <w:szCs w:val="21"/>
          <w:highlight w:val="none"/>
          <w14:textFill>
            <w14:solidFill>
              <w14:schemeClr w14:val="tx1"/>
            </w14:solidFill>
          </w14:textFill>
        </w:rPr>
        <w:t>对</w:t>
      </w:r>
      <w:r>
        <w:rPr>
          <w:rFonts w:ascii="宋体" w:hAnsi="宋体"/>
          <w:color w:val="000000" w:themeColor="text1"/>
          <w:spacing w:val="1"/>
          <w:szCs w:val="21"/>
          <w:highlight w:val="none"/>
          <w14:textFill>
            <w14:solidFill>
              <w14:schemeClr w14:val="tx1"/>
            </w14:solidFill>
          </w14:textFill>
        </w:rPr>
        <w:t>所提交的</w:t>
      </w:r>
      <w:r>
        <w:rPr>
          <w:rFonts w:hint="eastAsia" w:ascii="宋体" w:hAnsi="宋体"/>
          <w:color w:val="000000" w:themeColor="text1"/>
          <w:spacing w:val="1"/>
          <w:szCs w:val="21"/>
          <w:highlight w:val="none"/>
          <w14:textFill>
            <w14:solidFill>
              <w14:schemeClr w14:val="tx1"/>
            </w14:solidFill>
          </w14:textFill>
        </w:rPr>
        <w:t>响应</w:t>
      </w:r>
      <w:r>
        <w:rPr>
          <w:rFonts w:ascii="宋体" w:hAnsi="宋体"/>
          <w:color w:val="000000" w:themeColor="text1"/>
          <w:spacing w:val="1"/>
          <w:szCs w:val="21"/>
          <w:highlight w:val="none"/>
          <w14:textFill>
            <w14:solidFill>
              <w14:schemeClr w14:val="tx1"/>
            </w14:solidFill>
          </w14:textFill>
        </w:rPr>
        <w:t>文件进行补</w:t>
      </w:r>
      <w:r>
        <w:rPr>
          <w:rFonts w:ascii="宋体" w:hAnsi="宋体"/>
          <w:color w:val="000000" w:themeColor="text1"/>
          <w:spacing w:val="-1"/>
          <w:szCs w:val="21"/>
          <w:highlight w:val="none"/>
          <w14:textFill>
            <w14:solidFill>
              <w14:schemeClr w14:val="tx1"/>
            </w14:solidFill>
          </w14:textFill>
        </w:rPr>
        <w:t>充</w:t>
      </w:r>
      <w:r>
        <w:rPr>
          <w:rFonts w:ascii="宋体" w:hAnsi="宋体"/>
          <w:color w:val="000000" w:themeColor="text1"/>
          <w:spacing w:val="-27"/>
          <w:szCs w:val="21"/>
          <w:highlight w:val="none"/>
          <w14:textFill>
            <w14:solidFill>
              <w14:schemeClr w14:val="tx1"/>
            </w14:solidFill>
          </w14:textFill>
        </w:rPr>
        <w:t xml:space="preserve"> </w:t>
      </w:r>
      <w:r>
        <w:rPr>
          <w:rFonts w:ascii="宋体" w:hAnsi="宋体"/>
          <w:color w:val="000000" w:themeColor="text1"/>
          <w:spacing w:val="-1"/>
          <w:szCs w:val="21"/>
          <w:highlight w:val="none"/>
          <w14:textFill>
            <w14:solidFill>
              <w14:schemeClr w14:val="tx1"/>
            </w14:solidFill>
          </w14:textFill>
        </w:rPr>
        <w:t>、修改或者撤回</w:t>
      </w:r>
      <w:r>
        <w:rPr>
          <w:rFonts w:hint="eastAsia" w:ascii="宋体" w:hAnsi="宋体" w:cs="宋体"/>
          <w:color w:val="000000" w:themeColor="text1"/>
          <w:szCs w:val="21"/>
          <w:highlight w:val="none"/>
          <w14:textFill>
            <w14:solidFill>
              <w14:schemeClr w14:val="tx1"/>
            </w14:solidFill>
          </w14:textFill>
        </w:rPr>
        <w:t>。</w:t>
      </w:r>
    </w:p>
    <w:p w14:paraId="45CD8F4B">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4.3.5</w:t>
      </w:r>
      <w:r>
        <w:rPr>
          <w:rFonts w:ascii="宋体" w:hAnsi="宋体"/>
          <w:color w:val="000000" w:themeColor="text1"/>
          <w:szCs w:val="21"/>
          <w:highlight w:val="none"/>
          <w14:textFill>
            <w14:solidFill>
              <w14:schemeClr w14:val="tx1"/>
            </w14:solidFill>
          </w14:textFill>
        </w:rPr>
        <w:t>供应商对响应文件的补充、修改的内容应当按照竞争性磋商文件要求签署、盖章，作为响应文件的组成部分。</w:t>
      </w:r>
      <w:r>
        <w:rPr>
          <w:rFonts w:ascii="宋体" w:hAnsi="宋体"/>
          <w:color w:val="000000" w:themeColor="text1"/>
          <w:kern w:val="0"/>
          <w:szCs w:val="21"/>
          <w:highlight w:val="none"/>
          <w14:textFill>
            <w14:solidFill>
              <w14:schemeClr w14:val="tx1"/>
            </w14:solidFill>
          </w14:textFill>
        </w:rPr>
        <w:t>补充、修改的内容与响应文件不一致的，以补充、修改的内容为准</w:t>
      </w:r>
      <w:r>
        <w:rPr>
          <w:rFonts w:hint="eastAsia" w:ascii="宋体" w:hAnsi="宋体" w:cs="宋体"/>
          <w:color w:val="000000" w:themeColor="text1"/>
          <w:szCs w:val="21"/>
          <w:highlight w:val="none"/>
          <w14:textFill>
            <w14:solidFill>
              <w14:schemeClr w14:val="tx1"/>
            </w14:solidFill>
          </w14:textFill>
        </w:rPr>
        <w:t>。</w:t>
      </w:r>
    </w:p>
    <w:bookmarkEnd w:id="155"/>
    <w:p w14:paraId="79FF1C37">
      <w:pPr>
        <w:pStyle w:val="6"/>
        <w:rPr>
          <w:color w:val="000000" w:themeColor="text1"/>
          <w:highlight w:val="none"/>
          <w14:textFill>
            <w14:solidFill>
              <w14:schemeClr w14:val="tx1"/>
            </w14:solidFill>
          </w14:textFill>
        </w:rPr>
      </w:pPr>
      <w:bookmarkStart w:id="156" w:name="_Toc28238"/>
      <w:bookmarkStart w:id="157" w:name="_Toc26938"/>
      <w:bookmarkStart w:id="158" w:name="_Toc4859"/>
      <w:r>
        <w:rPr>
          <w:rFonts w:hint="eastAsia"/>
          <w:color w:val="000000" w:themeColor="text1"/>
          <w:highlight w:val="none"/>
          <w14:textFill>
            <w14:solidFill>
              <w14:schemeClr w14:val="tx1"/>
            </w14:solidFill>
          </w14:textFill>
        </w:rPr>
        <w:t>5. 开标</w:t>
      </w:r>
      <w:bookmarkEnd w:id="156"/>
      <w:bookmarkEnd w:id="157"/>
      <w:bookmarkEnd w:id="158"/>
    </w:p>
    <w:p w14:paraId="4AEA605E">
      <w:pPr>
        <w:pStyle w:val="7"/>
        <w:ind w:firstLine="422"/>
        <w:rPr>
          <w:rFonts w:hint="eastAsia" w:ascii="宋体" w:hAnsi="宋体"/>
          <w:color w:val="000000" w:themeColor="text1"/>
          <w:szCs w:val="21"/>
          <w:highlight w:val="none"/>
          <w14:textFill>
            <w14:solidFill>
              <w14:schemeClr w14:val="tx1"/>
            </w14:solidFill>
          </w14:textFill>
        </w:rPr>
      </w:pPr>
      <w:bookmarkStart w:id="159" w:name="_Toc19679"/>
      <w:bookmarkStart w:id="160" w:name="_Toc6501"/>
      <w:r>
        <w:rPr>
          <w:rFonts w:hint="eastAsia" w:ascii="宋体" w:hAnsi="宋体"/>
          <w:color w:val="000000" w:themeColor="text1"/>
          <w:szCs w:val="21"/>
          <w:highlight w:val="none"/>
          <w14:textFill>
            <w14:solidFill>
              <w14:schemeClr w14:val="tx1"/>
            </w14:solidFill>
          </w14:textFill>
        </w:rPr>
        <w:t>5.1 开标时间和地点</w:t>
      </w:r>
      <w:bookmarkEnd w:id="159"/>
      <w:bookmarkEnd w:id="160"/>
    </w:p>
    <w:p w14:paraId="1C7FCFB1">
      <w:pPr>
        <w:ind w:firstLine="480"/>
        <w:jc w:val="left"/>
        <w:rPr>
          <w:rFonts w:hint="eastAsia" w:ascii="宋体" w:hAnsi="宋体" w:cs="宋体"/>
          <w:color w:val="000000" w:themeColor="text1"/>
          <w:szCs w:val="21"/>
          <w:highlight w:val="none"/>
          <w14:textFill>
            <w14:solidFill>
              <w14:schemeClr w14:val="tx1"/>
            </w14:solidFill>
          </w14:textFill>
        </w:rPr>
      </w:pPr>
      <w:bookmarkStart w:id="161" w:name="_Toc3391"/>
      <w:r>
        <w:rPr>
          <w:rFonts w:hint="eastAsia" w:ascii="宋体" w:hAnsi="宋体" w:cs="宋体"/>
          <w:color w:val="000000" w:themeColor="text1"/>
          <w:szCs w:val="21"/>
          <w:highlight w:val="none"/>
          <w14:textFill>
            <w14:solidFill>
              <w14:schemeClr w14:val="tx1"/>
            </w14:solidFill>
          </w14:textFill>
        </w:rPr>
        <w:t>5.1.1采购人在规定的时间（开标时间）和供应商须知前附表规定的地点公开开标</w:t>
      </w:r>
      <w:bookmarkEnd w:id="161"/>
      <w:bookmarkStart w:id="162" w:name="_Toc14950"/>
      <w:r>
        <w:rPr>
          <w:rFonts w:hint="eastAsia" w:ascii="宋体" w:hAnsi="宋体" w:cs="宋体"/>
          <w:color w:val="000000" w:themeColor="text1"/>
          <w:szCs w:val="21"/>
          <w:highlight w:val="none"/>
          <w14:textFill>
            <w14:solidFill>
              <w14:schemeClr w14:val="tx1"/>
            </w14:solidFill>
          </w14:textFill>
        </w:rPr>
        <w:t>。</w:t>
      </w:r>
    </w:p>
    <w:p w14:paraId="6E4F6F19">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5.1.2 开标由采购代理机构主持，采购人进行现场监督。</w:t>
      </w:r>
      <w:bookmarkEnd w:id="162"/>
    </w:p>
    <w:p w14:paraId="7865FBF4">
      <w:pPr>
        <w:pStyle w:val="7"/>
        <w:ind w:firstLine="422"/>
        <w:rPr>
          <w:rFonts w:hint="eastAsia" w:ascii="宋体" w:hAnsi="宋体"/>
          <w:color w:val="000000" w:themeColor="text1"/>
          <w:szCs w:val="21"/>
          <w:highlight w:val="none"/>
          <w14:textFill>
            <w14:solidFill>
              <w14:schemeClr w14:val="tx1"/>
            </w14:solidFill>
          </w14:textFill>
        </w:rPr>
      </w:pPr>
      <w:bookmarkStart w:id="163" w:name="_Toc6032"/>
      <w:bookmarkStart w:id="164" w:name="_Toc14631"/>
      <w:r>
        <w:rPr>
          <w:rFonts w:hint="eastAsia" w:ascii="宋体" w:hAnsi="宋体"/>
          <w:color w:val="000000" w:themeColor="text1"/>
          <w:szCs w:val="21"/>
          <w:highlight w:val="none"/>
          <w14:textFill>
            <w14:solidFill>
              <w14:schemeClr w14:val="tx1"/>
            </w14:solidFill>
          </w14:textFill>
        </w:rPr>
        <w:t>5.2 开标程序</w:t>
      </w:r>
      <w:bookmarkEnd w:id="163"/>
      <w:bookmarkEnd w:id="164"/>
    </w:p>
    <w:p w14:paraId="7B7FB2CD">
      <w:pPr>
        <w:pStyle w:val="27"/>
        <w:ind w:firstLine="480"/>
        <w:rPr>
          <w:rFonts w:hint="eastAsia" w:hAnsi="宋体" w:cs="宋体"/>
          <w:color w:val="000000" w:themeColor="text1"/>
          <w:sz w:val="21"/>
          <w:szCs w:val="21"/>
          <w:highlight w:val="none"/>
          <w14:textFill>
            <w14:solidFill>
              <w14:schemeClr w14:val="tx1"/>
            </w14:solidFill>
          </w14:textFill>
        </w:rPr>
      </w:pPr>
      <w:bookmarkStart w:id="165" w:name="_Toc5121"/>
      <w:bookmarkStart w:id="166" w:name="_Toc31213"/>
      <w:r>
        <w:rPr>
          <w:rFonts w:hint="eastAsia" w:hAnsi="宋体" w:cs="宋体"/>
          <w:color w:val="000000" w:themeColor="text1"/>
          <w:sz w:val="21"/>
          <w:szCs w:val="21"/>
          <w:highlight w:val="none"/>
          <w14:textFill>
            <w14:solidFill>
              <w14:schemeClr w14:val="tx1"/>
            </w14:solidFill>
          </w14:textFill>
        </w:rPr>
        <w:t>5.2.1采购代理机构将在“供应商须知前附表”规定的时间和地点进行开标，请各供应商代表准时参加线上开标会。</w:t>
      </w:r>
    </w:p>
    <w:p w14:paraId="6CFB69B7">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5.2.2供应商不足3家的，不予开标。</w:t>
      </w:r>
    </w:p>
    <w:p w14:paraId="04138C71">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5.2.3开标会：开标会由采购代理机构主持，具体流程如下：</w:t>
      </w:r>
    </w:p>
    <w:p w14:paraId="7CFF815F">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（1）采购代理机构依托电子交易平台发起开始解密指令，供应商须使用加密时所用的 CA 锁按平台提示和竞争性磋商文件的规定登录到“政采云”平台电子开标大厅签到，并在发起解密指令之时起 30分钟内完成对电子响应文件在线解密。</w:t>
      </w:r>
      <w:r>
        <w:rPr>
          <w:rFonts w:hAnsi="宋体"/>
          <w:color w:val="000000" w:themeColor="text1"/>
          <w:sz w:val="21"/>
          <w:szCs w:val="21"/>
          <w:highlight w:val="none"/>
          <w14:textFill>
            <w14:solidFill>
              <w14:schemeClr w14:val="tx1"/>
            </w14:solidFill>
          </w14:textFill>
        </w:rPr>
        <w:t>因非系统原因导致的解密失败</w:t>
      </w:r>
      <w:r>
        <w:rPr>
          <w:rFonts w:hint="eastAsia" w:hAnsi="宋体"/>
          <w:color w:val="000000" w:themeColor="text1"/>
          <w:sz w:val="21"/>
          <w:szCs w:val="21"/>
          <w:highlight w:val="none"/>
          <w14:textFill>
            <w14:solidFill>
              <w14:schemeClr w14:val="tx1"/>
            </w14:solidFill>
          </w14:textFill>
        </w:rPr>
        <w:t>，</w:t>
      </w:r>
      <w:r>
        <w:rPr>
          <w:rFonts w:hAnsi="宋体"/>
          <w:color w:val="000000" w:themeColor="text1"/>
          <w:sz w:val="21"/>
          <w:szCs w:val="21"/>
          <w:highlight w:val="none"/>
          <w14:textFill>
            <w14:solidFill>
              <w14:schemeClr w14:val="tx1"/>
            </w14:solidFill>
          </w14:textFill>
        </w:rPr>
        <w:t>视为</w:t>
      </w:r>
      <w:r>
        <w:rPr>
          <w:rFonts w:hint="eastAsia" w:hAnsi="宋体"/>
          <w:color w:val="000000" w:themeColor="text1"/>
          <w:sz w:val="21"/>
          <w:szCs w:val="21"/>
          <w:highlight w:val="none"/>
          <w14:textFill>
            <w14:solidFill>
              <w14:schemeClr w14:val="tx1"/>
            </w14:solidFill>
          </w14:textFill>
        </w:rPr>
        <w:t>响应</w:t>
      </w:r>
      <w:r>
        <w:rPr>
          <w:rFonts w:hAnsi="宋体"/>
          <w:color w:val="000000" w:themeColor="text1"/>
          <w:sz w:val="21"/>
          <w:szCs w:val="21"/>
          <w:highlight w:val="none"/>
          <w14:textFill>
            <w14:solidFill>
              <w14:schemeClr w14:val="tx1"/>
            </w14:solidFill>
          </w14:textFill>
        </w:rPr>
        <w:t>无效</w:t>
      </w:r>
      <w:r>
        <w:rPr>
          <w:rFonts w:hint="eastAsia" w:hAnsi="宋体"/>
          <w:color w:val="000000" w:themeColor="text1"/>
          <w:sz w:val="21"/>
          <w:szCs w:val="21"/>
          <w:highlight w:val="none"/>
          <w14:textFill>
            <w14:solidFill>
              <w14:schemeClr w14:val="tx1"/>
            </w14:solidFill>
          </w14:textFill>
        </w:rPr>
        <w:t>。</w:t>
      </w:r>
    </w:p>
    <w:p w14:paraId="71130DCC">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（2）发起解密指令之时起20分钟内供应商还未进行解密的，代理机构可通知供应商，供应商未预留联系方式或预留联系方式无效，导致代理机构无法联系到供应商在规定时限内进行解密的，视为撤回响应文件。</w:t>
      </w:r>
    </w:p>
    <w:p w14:paraId="030547B8">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5.2.4 开标过程将使用政采云平台宣布供应商名称、响应价格和竞争性磋商文件规定的需要宣布的其他内容并进行记录，并由参加开标的各供应商确认。供应商未在规定时间内提出疑义或确认一览表的，视同认可开标结果。</w:t>
      </w:r>
    </w:p>
    <w:p w14:paraId="7C9D1403">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5.2.5 供应商代表对开标过程和开标记录有疑义，以及认为采购人、采购代理机构相关工作人员有需要回避的情形的，应在线提出询问或者回避申请。采购人、采购代理机构对供应商代表提出的询问或者回避申请应当及时处理。</w:t>
      </w:r>
    </w:p>
    <w:p w14:paraId="3115C3CF">
      <w:pPr>
        <w:pStyle w:val="7"/>
        <w:ind w:firstLine="4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 开标异议</w:t>
      </w:r>
      <w:bookmarkEnd w:id="165"/>
      <w:bookmarkEnd w:id="166"/>
    </w:p>
    <w:p w14:paraId="2B05AB66">
      <w:pPr>
        <w:ind w:firstLine="480"/>
        <w:jc w:val="left"/>
        <w:rPr>
          <w:rFonts w:hint="eastAsia" w:ascii="宋体" w:hAnsi="宋体" w:cs="宋体"/>
          <w:color w:val="000000" w:themeColor="text1"/>
          <w:sz w:val="24"/>
          <w:highlight w:val="none"/>
          <w14:textFill>
            <w14:solidFill>
              <w14:schemeClr w14:val="tx1"/>
            </w14:solidFill>
          </w14:textFill>
        </w:rPr>
      </w:pPr>
      <w:bookmarkStart w:id="167" w:name="_Toc4399"/>
      <w:r>
        <w:rPr>
          <w:rFonts w:hint="eastAsia" w:ascii="宋体" w:hAnsi="宋体" w:cs="宋体"/>
          <w:color w:val="000000" w:themeColor="text1"/>
          <w:szCs w:val="21"/>
          <w:highlight w:val="none"/>
          <w14:textFill>
            <w14:solidFill>
              <w14:schemeClr w14:val="tx1"/>
            </w14:solidFill>
          </w14:textFill>
        </w:rPr>
        <w:t>供应商对开标有异议的，应当在开标现场提出，采购人当场作出答复，并制作记录。否则后果自负。</w:t>
      </w:r>
      <w:bookmarkEnd w:id="167"/>
    </w:p>
    <w:p w14:paraId="138D41AC">
      <w:pPr>
        <w:pStyle w:val="6"/>
        <w:rPr>
          <w:color w:val="000000" w:themeColor="text1"/>
          <w:highlight w:val="none"/>
          <w14:textFill>
            <w14:solidFill>
              <w14:schemeClr w14:val="tx1"/>
            </w14:solidFill>
          </w14:textFill>
        </w:rPr>
      </w:pPr>
      <w:bookmarkStart w:id="168" w:name="_Toc2736"/>
      <w:bookmarkStart w:id="169" w:name="_Toc2600"/>
      <w:bookmarkStart w:id="170" w:name="_Toc15750"/>
      <w:r>
        <w:rPr>
          <w:rFonts w:hint="eastAsia"/>
          <w:color w:val="000000" w:themeColor="text1"/>
          <w:highlight w:val="none"/>
          <w14:textFill>
            <w14:solidFill>
              <w14:schemeClr w14:val="tx1"/>
            </w14:solidFill>
          </w14:textFill>
        </w:rPr>
        <w:t>6.</w:t>
      </w:r>
      <w:bookmarkEnd w:id="168"/>
      <w:bookmarkEnd w:id="169"/>
      <w:bookmarkEnd w:id="170"/>
      <w:r>
        <w:rPr>
          <w:rFonts w:hint="eastAsia"/>
          <w:color w:val="000000" w:themeColor="text1"/>
          <w:highlight w:val="none"/>
          <w14:textFill>
            <w14:solidFill>
              <w14:schemeClr w14:val="tx1"/>
            </w14:solidFill>
          </w14:textFill>
        </w:rPr>
        <w:t xml:space="preserve"> 评审</w:t>
      </w:r>
    </w:p>
    <w:p w14:paraId="2D1D2041">
      <w:pPr>
        <w:pStyle w:val="7"/>
        <w:ind w:firstLine="422"/>
        <w:rPr>
          <w:rFonts w:hint="eastAsia" w:ascii="宋体" w:hAnsi="宋体"/>
          <w:color w:val="000000" w:themeColor="text1"/>
          <w:szCs w:val="21"/>
          <w:highlight w:val="none"/>
          <w14:textFill>
            <w14:solidFill>
              <w14:schemeClr w14:val="tx1"/>
            </w14:solidFill>
          </w14:textFill>
        </w:rPr>
      </w:pPr>
      <w:bookmarkStart w:id="171" w:name="_Toc7922"/>
      <w:bookmarkStart w:id="172" w:name="_Toc10288"/>
      <w:r>
        <w:rPr>
          <w:rFonts w:hint="eastAsia" w:ascii="宋体" w:hAnsi="宋体"/>
          <w:color w:val="000000" w:themeColor="text1"/>
          <w:szCs w:val="21"/>
          <w:highlight w:val="none"/>
          <w14:textFill>
            <w14:solidFill>
              <w14:schemeClr w14:val="tx1"/>
            </w14:solidFill>
          </w14:textFill>
        </w:rPr>
        <w:t>6.1 评审小组</w:t>
      </w:r>
      <w:bookmarkEnd w:id="171"/>
      <w:bookmarkEnd w:id="172"/>
    </w:p>
    <w:p w14:paraId="516B1D00">
      <w:pPr>
        <w:ind w:firstLine="480"/>
        <w:jc w:val="left"/>
        <w:rPr>
          <w:rFonts w:hint="eastAsia" w:ascii="宋体" w:hAnsi="宋体" w:cs="宋体"/>
          <w:color w:val="000000" w:themeColor="text1"/>
          <w:szCs w:val="21"/>
          <w:highlight w:val="none"/>
          <w14:textFill>
            <w14:solidFill>
              <w14:schemeClr w14:val="tx1"/>
            </w14:solidFill>
          </w14:textFill>
        </w:rPr>
      </w:pPr>
      <w:bookmarkStart w:id="173" w:name="_Toc28067"/>
      <w:r>
        <w:rPr>
          <w:rFonts w:hint="eastAsia" w:ascii="宋体" w:hAnsi="宋体" w:cs="宋体"/>
          <w:color w:val="000000" w:themeColor="text1"/>
          <w:szCs w:val="21"/>
          <w:highlight w:val="none"/>
          <w14:textFill>
            <w14:solidFill>
              <w14:schemeClr w14:val="tx1"/>
            </w14:solidFill>
          </w14:textFill>
        </w:rPr>
        <w:t>6.1.1评审由采购人依法组建的评审小组负责。评标专家确定方式：由采购人代表和开标前在云南省政府采购专家库中随机抽取的专家组成。评审小组成员人数确定方式见供应商须知前附表。</w:t>
      </w:r>
      <w:bookmarkEnd w:id="173"/>
    </w:p>
    <w:p w14:paraId="15447C78">
      <w:pPr>
        <w:ind w:firstLine="480"/>
        <w:jc w:val="left"/>
        <w:rPr>
          <w:rFonts w:hint="eastAsia" w:ascii="宋体" w:hAnsi="宋体" w:cs="宋体"/>
          <w:color w:val="000000" w:themeColor="text1"/>
          <w:szCs w:val="21"/>
          <w:highlight w:val="none"/>
          <w14:textFill>
            <w14:solidFill>
              <w14:schemeClr w14:val="tx1"/>
            </w14:solidFill>
          </w14:textFill>
        </w:rPr>
      </w:pPr>
      <w:bookmarkStart w:id="174" w:name="_Toc30160"/>
      <w:r>
        <w:rPr>
          <w:rFonts w:hint="eastAsia" w:ascii="宋体" w:hAnsi="宋体" w:cs="宋体"/>
          <w:color w:val="000000" w:themeColor="text1"/>
          <w:szCs w:val="21"/>
          <w:highlight w:val="none"/>
          <w14:textFill>
            <w14:solidFill>
              <w14:schemeClr w14:val="tx1"/>
            </w14:solidFill>
          </w14:textFill>
        </w:rPr>
        <w:t>6.1.2评审小组成员有下列情形之一的，应当回避：</w:t>
      </w:r>
      <w:bookmarkEnd w:id="174"/>
    </w:p>
    <w:p w14:paraId="7F67B78B">
      <w:pPr>
        <w:ind w:firstLine="480"/>
        <w:jc w:val="left"/>
        <w:rPr>
          <w:rFonts w:hint="eastAsia" w:ascii="宋体" w:hAnsi="宋体" w:cs="宋体"/>
          <w:color w:val="000000" w:themeColor="text1"/>
          <w:szCs w:val="21"/>
          <w:highlight w:val="none"/>
          <w14:textFill>
            <w14:solidFill>
              <w14:schemeClr w14:val="tx1"/>
            </w14:solidFill>
          </w14:textFill>
        </w:rPr>
      </w:pPr>
      <w:bookmarkStart w:id="175" w:name="_Toc28218"/>
      <w:r>
        <w:rPr>
          <w:rFonts w:hint="eastAsia" w:ascii="宋体" w:hAnsi="宋体" w:cs="宋体"/>
          <w:color w:val="000000" w:themeColor="text1"/>
          <w:szCs w:val="21"/>
          <w:highlight w:val="none"/>
          <w14:textFill>
            <w14:solidFill>
              <w14:schemeClr w14:val="tx1"/>
            </w14:solidFill>
          </w14:textFill>
        </w:rPr>
        <w:t>（1）供应商或供应商主要负责人的近亲属；</w:t>
      </w:r>
      <w:bookmarkEnd w:id="175"/>
    </w:p>
    <w:p w14:paraId="48F9594A">
      <w:pPr>
        <w:ind w:firstLine="480"/>
        <w:jc w:val="left"/>
        <w:rPr>
          <w:rFonts w:hint="eastAsia" w:ascii="宋体" w:hAnsi="宋体" w:cs="宋体"/>
          <w:color w:val="000000" w:themeColor="text1"/>
          <w:szCs w:val="21"/>
          <w:highlight w:val="none"/>
          <w14:textFill>
            <w14:solidFill>
              <w14:schemeClr w14:val="tx1"/>
            </w14:solidFill>
          </w14:textFill>
        </w:rPr>
      </w:pPr>
      <w:bookmarkStart w:id="176" w:name="_Toc18714"/>
      <w:r>
        <w:rPr>
          <w:rFonts w:hint="eastAsia" w:ascii="宋体" w:hAnsi="宋体" w:cs="宋体"/>
          <w:color w:val="000000" w:themeColor="text1"/>
          <w:szCs w:val="21"/>
          <w:highlight w:val="none"/>
          <w14:textFill>
            <w14:solidFill>
              <w14:schemeClr w14:val="tx1"/>
            </w14:solidFill>
          </w14:textFill>
        </w:rPr>
        <w:t>（2）项目主管部门或者行政监督部门的人员；</w:t>
      </w:r>
      <w:bookmarkEnd w:id="176"/>
    </w:p>
    <w:p w14:paraId="20E34739">
      <w:pPr>
        <w:ind w:firstLine="480"/>
        <w:jc w:val="left"/>
        <w:rPr>
          <w:rFonts w:hint="eastAsia" w:ascii="宋体" w:hAnsi="宋体" w:cs="宋体"/>
          <w:color w:val="000000" w:themeColor="text1"/>
          <w:szCs w:val="21"/>
          <w:highlight w:val="none"/>
          <w14:textFill>
            <w14:solidFill>
              <w14:schemeClr w14:val="tx1"/>
            </w14:solidFill>
          </w14:textFill>
        </w:rPr>
      </w:pPr>
      <w:bookmarkStart w:id="177" w:name="_Toc18257"/>
      <w:r>
        <w:rPr>
          <w:rFonts w:hint="eastAsia" w:ascii="宋体" w:hAnsi="宋体" w:cs="宋体"/>
          <w:color w:val="000000" w:themeColor="text1"/>
          <w:szCs w:val="21"/>
          <w:highlight w:val="none"/>
          <w14:textFill>
            <w14:solidFill>
              <w14:schemeClr w14:val="tx1"/>
            </w14:solidFill>
          </w14:textFill>
        </w:rPr>
        <w:t>（3）与供应商有经济利益关系，可能影响对投标公正评审的；</w:t>
      </w:r>
      <w:bookmarkEnd w:id="177"/>
    </w:p>
    <w:p w14:paraId="4A30194B">
      <w:pPr>
        <w:ind w:firstLine="480"/>
        <w:jc w:val="left"/>
        <w:rPr>
          <w:rFonts w:hint="eastAsia" w:ascii="宋体" w:hAnsi="宋体" w:cs="宋体"/>
          <w:color w:val="000000" w:themeColor="text1"/>
          <w:szCs w:val="21"/>
          <w:highlight w:val="none"/>
          <w14:textFill>
            <w14:solidFill>
              <w14:schemeClr w14:val="tx1"/>
            </w14:solidFill>
          </w14:textFill>
        </w:rPr>
      </w:pPr>
      <w:bookmarkStart w:id="178" w:name="_Toc20115"/>
      <w:r>
        <w:rPr>
          <w:rFonts w:hint="eastAsia" w:ascii="宋体" w:hAnsi="宋体" w:cs="宋体"/>
          <w:color w:val="000000" w:themeColor="text1"/>
          <w:szCs w:val="21"/>
          <w:highlight w:val="none"/>
          <w14:textFill>
            <w14:solidFill>
              <w14:schemeClr w14:val="tx1"/>
            </w14:solidFill>
          </w14:textFill>
        </w:rPr>
        <w:t>（4）曾因在招标、评标以及其他与招标投标有关活动中从事违法行为而受过行政处罚或刑事处罚的；</w:t>
      </w:r>
      <w:bookmarkEnd w:id="178"/>
    </w:p>
    <w:p w14:paraId="324725F1">
      <w:pPr>
        <w:ind w:firstLine="480"/>
        <w:jc w:val="left"/>
        <w:rPr>
          <w:rFonts w:hint="eastAsia" w:ascii="宋体" w:hAnsi="宋体" w:cs="宋体"/>
          <w:color w:val="000000" w:themeColor="text1"/>
          <w:szCs w:val="21"/>
          <w:highlight w:val="none"/>
          <w14:textFill>
            <w14:solidFill>
              <w14:schemeClr w14:val="tx1"/>
            </w14:solidFill>
          </w14:textFill>
        </w:rPr>
      </w:pPr>
      <w:bookmarkStart w:id="179" w:name="_Toc26573"/>
      <w:r>
        <w:rPr>
          <w:rFonts w:hint="eastAsia" w:ascii="宋体" w:hAnsi="宋体" w:cs="宋体"/>
          <w:color w:val="000000" w:themeColor="text1"/>
          <w:szCs w:val="21"/>
          <w:highlight w:val="none"/>
          <w14:textFill>
            <w14:solidFill>
              <w14:schemeClr w14:val="tx1"/>
            </w14:solidFill>
          </w14:textFill>
        </w:rPr>
        <w:t>（5）与供应商有其他利害关系。</w:t>
      </w:r>
      <w:bookmarkEnd w:id="179"/>
    </w:p>
    <w:p w14:paraId="6E876444">
      <w:pPr>
        <w:pStyle w:val="7"/>
        <w:ind w:firstLine="422"/>
        <w:rPr>
          <w:rFonts w:hint="eastAsia" w:ascii="宋体" w:hAnsi="宋体"/>
          <w:color w:val="000000" w:themeColor="text1"/>
          <w:szCs w:val="21"/>
          <w:highlight w:val="none"/>
          <w14:textFill>
            <w14:solidFill>
              <w14:schemeClr w14:val="tx1"/>
            </w14:solidFill>
          </w14:textFill>
        </w:rPr>
      </w:pPr>
      <w:bookmarkStart w:id="180" w:name="_Toc12560"/>
      <w:bookmarkStart w:id="181" w:name="_Toc20638"/>
      <w:r>
        <w:rPr>
          <w:rFonts w:hint="eastAsia" w:ascii="宋体" w:hAnsi="宋体"/>
          <w:color w:val="000000" w:themeColor="text1"/>
          <w:szCs w:val="21"/>
          <w:highlight w:val="none"/>
          <w14:textFill>
            <w14:solidFill>
              <w14:schemeClr w14:val="tx1"/>
            </w14:solidFill>
          </w14:textFill>
        </w:rPr>
        <w:t>6.2评审原则</w:t>
      </w:r>
      <w:bookmarkEnd w:id="180"/>
      <w:bookmarkEnd w:id="181"/>
    </w:p>
    <w:p w14:paraId="5B1E7D1D">
      <w:pPr>
        <w:ind w:firstLine="480"/>
        <w:jc w:val="left"/>
        <w:rPr>
          <w:rFonts w:hint="eastAsia" w:ascii="宋体" w:hAnsi="宋体" w:cs="宋体"/>
          <w:color w:val="000000" w:themeColor="text1"/>
          <w:szCs w:val="21"/>
          <w:highlight w:val="none"/>
          <w14:textFill>
            <w14:solidFill>
              <w14:schemeClr w14:val="tx1"/>
            </w14:solidFill>
          </w14:textFill>
        </w:rPr>
      </w:pPr>
      <w:bookmarkStart w:id="182" w:name="_Toc28837"/>
      <w:r>
        <w:rPr>
          <w:rFonts w:hint="eastAsia" w:ascii="宋体" w:hAnsi="宋体" w:cs="宋体"/>
          <w:color w:val="000000" w:themeColor="text1"/>
          <w:szCs w:val="21"/>
          <w:highlight w:val="none"/>
          <w14:textFill>
            <w14:solidFill>
              <w14:schemeClr w14:val="tx1"/>
            </w14:solidFill>
          </w14:textFill>
        </w:rPr>
        <w:t>6.2.1评审活动遵循公平、公正、科学和择优的原则。</w:t>
      </w:r>
      <w:bookmarkEnd w:id="182"/>
    </w:p>
    <w:p w14:paraId="3BB2977A">
      <w:pPr>
        <w:ind w:firstLine="480"/>
        <w:jc w:val="left"/>
        <w:rPr>
          <w:rFonts w:hint="eastAsia" w:ascii="宋体" w:hAnsi="宋体" w:cs="宋体"/>
          <w:color w:val="000000" w:themeColor="text1"/>
          <w:szCs w:val="21"/>
          <w:highlight w:val="none"/>
          <w14:textFill>
            <w14:solidFill>
              <w14:schemeClr w14:val="tx1"/>
            </w14:solidFill>
          </w14:textFill>
        </w:rPr>
      </w:pPr>
      <w:bookmarkStart w:id="183" w:name="_Toc4411"/>
      <w:r>
        <w:rPr>
          <w:rFonts w:hint="eastAsia" w:ascii="宋体" w:hAnsi="宋体" w:cs="宋体"/>
          <w:color w:val="000000" w:themeColor="text1"/>
          <w:szCs w:val="21"/>
          <w:highlight w:val="none"/>
          <w14:textFill>
            <w14:solidFill>
              <w14:schemeClr w14:val="tx1"/>
            </w14:solidFill>
          </w14:textFill>
        </w:rPr>
        <w:t>6.2.2本评标过程，将采用平等竞争、公平合理、对所有供应商一视同仁的原则。评审小组将对供应商的报价、资源投入情况及施工组织设计的针对性、合理性等方面进行综合评审，按照公正、科学、客观、平等竞争的要求，选择技术方案优、企业经营好、项目班子素质高、设备先进并落实、具有丰富施工经验和良好信誉、综合实力强的队伍推荐给采购人。</w:t>
      </w:r>
      <w:bookmarkEnd w:id="183"/>
    </w:p>
    <w:p w14:paraId="4D6A0A45">
      <w:pPr>
        <w:ind w:firstLine="480"/>
        <w:jc w:val="left"/>
        <w:rPr>
          <w:rFonts w:hint="eastAsia" w:ascii="宋体" w:hAnsi="宋体" w:cs="宋体"/>
          <w:color w:val="000000" w:themeColor="text1"/>
          <w:szCs w:val="21"/>
          <w:highlight w:val="none"/>
          <w14:textFill>
            <w14:solidFill>
              <w14:schemeClr w14:val="tx1"/>
            </w14:solidFill>
          </w14:textFill>
        </w:rPr>
      </w:pPr>
      <w:bookmarkStart w:id="184" w:name="_Toc15652"/>
      <w:r>
        <w:rPr>
          <w:rFonts w:hint="eastAsia" w:ascii="宋体" w:hAnsi="宋体" w:cs="宋体"/>
          <w:color w:val="000000" w:themeColor="text1"/>
          <w:szCs w:val="21"/>
          <w:highlight w:val="none"/>
          <w14:textFill>
            <w14:solidFill>
              <w14:schemeClr w14:val="tx1"/>
            </w14:solidFill>
          </w14:textFill>
        </w:rPr>
        <w:t>6.2.3参与评标的有关人员必须严格遵守有关工程招标投标的有关保密规定，不得透露与评标有关的情况，不得索贿受贿，不得参加影响评标公正性的任何活动。如有违反将按国家有关法律及有关规定严肃处理。</w:t>
      </w:r>
      <w:bookmarkEnd w:id="184"/>
    </w:p>
    <w:p w14:paraId="7818E8EE">
      <w:pPr>
        <w:ind w:firstLine="480"/>
        <w:jc w:val="left"/>
        <w:rPr>
          <w:rFonts w:hint="eastAsia" w:ascii="宋体" w:hAnsi="宋体" w:cs="宋体"/>
          <w:color w:val="000000" w:themeColor="text1"/>
          <w:szCs w:val="21"/>
          <w:highlight w:val="none"/>
          <w14:textFill>
            <w14:solidFill>
              <w14:schemeClr w14:val="tx1"/>
            </w14:solidFill>
          </w14:textFill>
        </w:rPr>
      </w:pPr>
      <w:bookmarkStart w:id="185" w:name="_Toc19803"/>
      <w:r>
        <w:rPr>
          <w:rFonts w:hint="eastAsia" w:ascii="宋体" w:hAnsi="宋体" w:cs="宋体"/>
          <w:color w:val="000000" w:themeColor="text1"/>
          <w:szCs w:val="21"/>
          <w:highlight w:val="none"/>
          <w14:textFill>
            <w14:solidFill>
              <w14:schemeClr w14:val="tx1"/>
            </w14:solidFill>
          </w14:textFill>
        </w:rPr>
        <w:t>6.2.4 供应商不得采取任何方式干扰评标工作，一经发现，取消其参加本项目其他工程的任何投标资格。</w:t>
      </w:r>
      <w:bookmarkEnd w:id="185"/>
    </w:p>
    <w:p w14:paraId="6EACF9EE">
      <w:pPr>
        <w:ind w:firstLine="480"/>
        <w:jc w:val="left"/>
        <w:rPr>
          <w:rFonts w:hint="eastAsia" w:ascii="宋体" w:hAnsi="宋体" w:cs="宋体"/>
          <w:color w:val="000000" w:themeColor="text1"/>
          <w:szCs w:val="21"/>
          <w:highlight w:val="none"/>
          <w14:textFill>
            <w14:solidFill>
              <w14:schemeClr w14:val="tx1"/>
            </w14:solidFill>
          </w14:textFill>
        </w:rPr>
      </w:pPr>
      <w:bookmarkStart w:id="186" w:name="_Toc27155"/>
      <w:r>
        <w:rPr>
          <w:rFonts w:hint="eastAsia" w:ascii="宋体" w:hAnsi="宋体" w:cs="宋体"/>
          <w:color w:val="000000" w:themeColor="text1"/>
          <w:szCs w:val="21"/>
          <w:highlight w:val="none"/>
          <w14:textFill>
            <w14:solidFill>
              <w14:schemeClr w14:val="tx1"/>
            </w14:solidFill>
          </w14:textFill>
        </w:rPr>
        <w:t>6.2.5 本竞争性磋商文件已经备案，并发放给各供应商，成为本次采购活动的“评标定标”准则，评审小组应严格按照本工程竞争性磋商文件（特别是本评标定标的原则）的规定执行，不得任意更改。</w:t>
      </w:r>
      <w:bookmarkEnd w:id="186"/>
    </w:p>
    <w:p w14:paraId="7CFD08E2">
      <w:pPr>
        <w:pStyle w:val="7"/>
        <w:ind w:firstLine="422"/>
        <w:rPr>
          <w:rFonts w:hint="eastAsia" w:ascii="宋体" w:hAnsi="宋体"/>
          <w:color w:val="000000" w:themeColor="text1"/>
          <w:szCs w:val="21"/>
          <w:highlight w:val="none"/>
          <w14:textFill>
            <w14:solidFill>
              <w14:schemeClr w14:val="tx1"/>
            </w14:solidFill>
          </w14:textFill>
        </w:rPr>
      </w:pPr>
      <w:bookmarkStart w:id="187" w:name="_Toc25794"/>
      <w:bookmarkStart w:id="188" w:name="_Toc20546"/>
      <w:r>
        <w:rPr>
          <w:rFonts w:hint="eastAsia" w:ascii="宋体" w:hAnsi="宋体"/>
          <w:color w:val="000000" w:themeColor="text1"/>
          <w:szCs w:val="21"/>
          <w:highlight w:val="none"/>
          <w14:textFill>
            <w14:solidFill>
              <w14:schemeClr w14:val="tx1"/>
            </w14:solidFill>
          </w14:textFill>
        </w:rPr>
        <w:t>6.3 评</w:t>
      </w:r>
      <w:bookmarkEnd w:id="187"/>
      <w:bookmarkEnd w:id="188"/>
      <w:r>
        <w:rPr>
          <w:rFonts w:hint="eastAsia" w:ascii="宋体" w:hAnsi="宋体"/>
          <w:color w:val="000000" w:themeColor="text1"/>
          <w:szCs w:val="21"/>
          <w:highlight w:val="none"/>
          <w14:textFill>
            <w14:solidFill>
              <w14:schemeClr w14:val="tx1"/>
            </w14:solidFill>
          </w14:textFill>
        </w:rPr>
        <w:t>审</w:t>
      </w:r>
    </w:p>
    <w:p w14:paraId="124AB5D3">
      <w:pPr>
        <w:ind w:firstLine="480"/>
        <w:jc w:val="left"/>
        <w:rPr>
          <w:rFonts w:hint="eastAsia" w:ascii="宋体" w:hAnsi="宋体" w:cs="宋体"/>
          <w:color w:val="000000" w:themeColor="text1"/>
          <w:szCs w:val="21"/>
          <w:highlight w:val="none"/>
          <w14:textFill>
            <w14:solidFill>
              <w14:schemeClr w14:val="tx1"/>
            </w14:solidFill>
          </w14:textFill>
        </w:rPr>
      </w:pPr>
      <w:bookmarkStart w:id="189" w:name="_Toc15206"/>
      <w:r>
        <w:rPr>
          <w:rFonts w:hint="eastAsia" w:ascii="宋体" w:hAnsi="宋体" w:cs="宋体"/>
          <w:color w:val="000000" w:themeColor="text1"/>
          <w:szCs w:val="21"/>
          <w:highlight w:val="none"/>
          <w14:textFill>
            <w14:solidFill>
              <w14:schemeClr w14:val="tx1"/>
            </w14:solidFill>
          </w14:textFill>
        </w:rPr>
        <w:t>6.3.1评审小组按照“评标办法”规定的方法、评审因素、标准和程序对响应文件进行评审。“评标办法”没有规定的方法、评审因素和标准，不作为评标依据。</w:t>
      </w:r>
      <w:bookmarkEnd w:id="189"/>
    </w:p>
    <w:p w14:paraId="572E0C89">
      <w:pPr>
        <w:ind w:firstLine="480"/>
        <w:jc w:val="left"/>
        <w:rPr>
          <w:rFonts w:hint="eastAsia" w:ascii="宋体" w:hAnsi="宋体" w:cs="宋体"/>
          <w:color w:val="000000" w:themeColor="text1"/>
          <w:szCs w:val="21"/>
          <w:highlight w:val="none"/>
          <w14:textFill>
            <w14:solidFill>
              <w14:schemeClr w14:val="tx1"/>
            </w14:solidFill>
          </w14:textFill>
        </w:rPr>
      </w:pPr>
      <w:bookmarkStart w:id="190" w:name="_Toc26837"/>
      <w:r>
        <w:rPr>
          <w:rFonts w:hint="eastAsia" w:ascii="宋体" w:hAnsi="宋体" w:cs="宋体"/>
          <w:color w:val="000000" w:themeColor="text1"/>
          <w:szCs w:val="21"/>
          <w:highlight w:val="none"/>
          <w14:textFill>
            <w14:solidFill>
              <w14:schemeClr w14:val="tx1"/>
            </w14:solidFill>
          </w14:textFill>
        </w:rPr>
        <w:t>6.3.2本次评审活动应当接受采购人依法实施的监督。</w:t>
      </w:r>
      <w:bookmarkEnd w:id="190"/>
    </w:p>
    <w:p w14:paraId="1CA3B60B">
      <w:pPr>
        <w:pStyle w:val="7"/>
        <w:ind w:firstLine="4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6.4.废标、中止</w:t>
      </w:r>
    </w:p>
    <w:p w14:paraId="4F8B8868">
      <w:pPr>
        <w:pStyle w:val="27"/>
        <w:ind w:firstLine="482"/>
        <w:rPr>
          <w:rFonts w:hint="eastAsia" w:hAnsi="宋体" w:cs="宋体"/>
          <w:b/>
          <w:bCs/>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6.4.1在采购过程中，出现下列情形之一的，应予废标：</w:t>
      </w:r>
    </w:p>
    <w:p w14:paraId="36FCD167">
      <w:pPr>
        <w:pStyle w:val="27"/>
        <w:ind w:firstLine="482"/>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(1)符合专业条件的供应商或者对竞争性磋商文件作实质响应的供应商不足3家的；</w:t>
      </w:r>
    </w:p>
    <w:p w14:paraId="1BFA2B2C">
      <w:pPr>
        <w:pStyle w:val="27"/>
        <w:ind w:firstLine="482"/>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(2)出现影响采购公正的违法、违规行为的；</w:t>
      </w:r>
    </w:p>
    <w:p w14:paraId="6756E6C9">
      <w:pPr>
        <w:pStyle w:val="27"/>
        <w:ind w:firstLine="482"/>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(3)供应商的报价均超过了采购预算，采购人不能支付的；</w:t>
      </w:r>
    </w:p>
    <w:p w14:paraId="0BE0A8E1">
      <w:pPr>
        <w:pStyle w:val="27"/>
        <w:ind w:firstLine="482"/>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(4)因重大变故，采购任务取消的。</w:t>
      </w:r>
    </w:p>
    <w:p w14:paraId="44BB7CE1">
      <w:pPr>
        <w:pStyle w:val="27"/>
        <w:ind w:firstLine="482"/>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废标后，采购人应当将废标理由通知所有供应商。</w:t>
      </w:r>
    </w:p>
    <w:p w14:paraId="67B2A5F8">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6.4.2电子交易活动的中止</w:t>
      </w:r>
    </w:p>
    <w:p w14:paraId="4B95F9F4">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采购过程中出现以下情形，导致电子交易平台无法正常运行，或者无法保证电子交易的公平、公正和安全时，采购代理机构可中止电子交易活动：</w:t>
      </w:r>
    </w:p>
    <w:p w14:paraId="53A2DDD5">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（1）电子交易平台发生故障而无法登录访问的；</w:t>
      </w:r>
    </w:p>
    <w:p w14:paraId="2A250634">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（2）电子交易平台应用或数据库出现错误，不能进行正常操作的；</w:t>
      </w:r>
    </w:p>
    <w:p w14:paraId="696BB9DA">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（3）电子交易平台发现严重安全漏洞，有潜在泄密危险的；</w:t>
      </w:r>
    </w:p>
    <w:p w14:paraId="64C5CC8A">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（4）病毒发作导致不能进行正常操作的；</w:t>
      </w:r>
    </w:p>
    <w:p w14:paraId="1344BD00">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（5）其他无法保证电子交易的公平、公正和安全的情况。</w:t>
      </w:r>
    </w:p>
    <w:p w14:paraId="4F136DEF">
      <w:pPr>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6.3 出现6.2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76D47DC">
      <w:pPr>
        <w:pStyle w:val="6"/>
        <w:rPr>
          <w:color w:val="000000" w:themeColor="text1"/>
          <w:highlight w:val="none"/>
          <w14:textFill>
            <w14:solidFill>
              <w14:schemeClr w14:val="tx1"/>
            </w14:solidFill>
          </w14:textFill>
        </w:rPr>
      </w:pPr>
      <w:bookmarkStart w:id="191" w:name="_Toc31082"/>
      <w:bookmarkStart w:id="192" w:name="_Toc30645"/>
      <w:bookmarkStart w:id="193" w:name="_Toc4881"/>
      <w:r>
        <w:rPr>
          <w:rFonts w:hint="eastAsia"/>
          <w:color w:val="000000" w:themeColor="text1"/>
          <w:highlight w:val="none"/>
          <w14:textFill>
            <w14:solidFill>
              <w14:schemeClr w14:val="tx1"/>
            </w14:solidFill>
          </w14:textFill>
        </w:rPr>
        <w:t>7. 合同授予</w:t>
      </w:r>
      <w:bookmarkEnd w:id="191"/>
      <w:bookmarkEnd w:id="192"/>
      <w:bookmarkEnd w:id="193"/>
    </w:p>
    <w:p w14:paraId="766A9B2F">
      <w:pPr>
        <w:pStyle w:val="7"/>
        <w:ind w:firstLine="422"/>
        <w:rPr>
          <w:rFonts w:hint="eastAsia" w:ascii="宋体" w:hAnsi="宋体"/>
          <w:color w:val="000000" w:themeColor="text1"/>
          <w:szCs w:val="21"/>
          <w:highlight w:val="none"/>
          <w14:textFill>
            <w14:solidFill>
              <w14:schemeClr w14:val="tx1"/>
            </w14:solidFill>
          </w14:textFill>
        </w:rPr>
      </w:pPr>
      <w:bookmarkStart w:id="194" w:name="_Toc1567"/>
      <w:bookmarkStart w:id="195" w:name="_Toc23977"/>
      <w:r>
        <w:rPr>
          <w:rFonts w:hint="eastAsia" w:ascii="宋体" w:hAnsi="宋体"/>
          <w:color w:val="000000" w:themeColor="text1"/>
          <w:szCs w:val="21"/>
          <w:highlight w:val="none"/>
          <w14:textFill>
            <w14:solidFill>
              <w14:schemeClr w14:val="tx1"/>
            </w14:solidFill>
          </w14:textFill>
        </w:rPr>
        <w:t>7.1 定标方式</w:t>
      </w:r>
      <w:bookmarkEnd w:id="194"/>
      <w:bookmarkEnd w:id="195"/>
    </w:p>
    <w:p w14:paraId="72D0593A">
      <w:pPr>
        <w:ind w:firstLine="480"/>
        <w:jc w:val="left"/>
        <w:rPr>
          <w:rFonts w:hint="eastAsia" w:ascii="宋体" w:hAnsi="宋体" w:cs="宋体"/>
          <w:color w:val="000000" w:themeColor="text1"/>
          <w:szCs w:val="21"/>
          <w:highlight w:val="none"/>
          <w14:textFill>
            <w14:solidFill>
              <w14:schemeClr w14:val="tx1"/>
            </w14:solidFill>
          </w14:textFill>
        </w:rPr>
      </w:pPr>
      <w:bookmarkStart w:id="196" w:name="_Toc11719"/>
      <w:r>
        <w:rPr>
          <w:rFonts w:hint="eastAsia" w:ascii="宋体" w:hAnsi="宋体" w:cs="宋体"/>
          <w:color w:val="000000" w:themeColor="text1"/>
          <w:szCs w:val="21"/>
          <w:highlight w:val="none"/>
          <w14:textFill>
            <w14:solidFill>
              <w14:schemeClr w14:val="tx1"/>
            </w14:solidFill>
          </w14:textFill>
        </w:rPr>
        <w:t>除供应商须知前附表规定评审小组直接确定成交人外，采购人依据评审小组推荐的成交候选人确定成交人，评审小组推荐成交候选人的人数见供应商须知前附表。</w:t>
      </w:r>
      <w:bookmarkEnd w:id="196"/>
    </w:p>
    <w:p w14:paraId="3DFBE95A">
      <w:pPr>
        <w:pStyle w:val="7"/>
        <w:ind w:firstLine="422"/>
        <w:rPr>
          <w:rFonts w:hint="eastAsia" w:ascii="宋体" w:hAnsi="宋体"/>
          <w:color w:val="000000" w:themeColor="text1"/>
          <w:szCs w:val="21"/>
          <w:highlight w:val="none"/>
          <w14:textFill>
            <w14:solidFill>
              <w14:schemeClr w14:val="tx1"/>
            </w14:solidFill>
          </w14:textFill>
        </w:rPr>
      </w:pPr>
      <w:bookmarkStart w:id="197" w:name="_Toc27068"/>
      <w:bookmarkStart w:id="198" w:name="_Toc25159"/>
      <w:r>
        <w:rPr>
          <w:rFonts w:hint="eastAsia" w:ascii="宋体" w:hAnsi="宋体"/>
          <w:color w:val="000000" w:themeColor="text1"/>
          <w:szCs w:val="21"/>
          <w:highlight w:val="none"/>
          <w14:textFill>
            <w14:solidFill>
              <w14:schemeClr w14:val="tx1"/>
            </w14:solidFill>
          </w14:textFill>
        </w:rPr>
        <w:t>7.2 成交结果公示</w:t>
      </w:r>
      <w:bookmarkEnd w:id="197"/>
      <w:bookmarkEnd w:id="198"/>
    </w:p>
    <w:p w14:paraId="0433EF1A">
      <w:pPr>
        <w:ind w:firstLine="480"/>
        <w:jc w:val="left"/>
        <w:rPr>
          <w:rFonts w:hint="eastAsia" w:ascii="宋体" w:hAnsi="宋体" w:cs="宋体"/>
          <w:color w:val="000000" w:themeColor="text1"/>
          <w:szCs w:val="21"/>
          <w:highlight w:val="none"/>
          <w14:textFill>
            <w14:solidFill>
              <w14:schemeClr w14:val="tx1"/>
            </w14:solidFill>
          </w14:textFill>
        </w:rPr>
      </w:pPr>
      <w:bookmarkStart w:id="199" w:name="_Toc30864"/>
      <w:r>
        <w:rPr>
          <w:rFonts w:hint="eastAsia" w:ascii="宋体" w:hAnsi="宋体" w:cs="宋体"/>
          <w:color w:val="000000" w:themeColor="text1"/>
          <w:szCs w:val="21"/>
          <w:highlight w:val="none"/>
          <w14:textFill>
            <w14:solidFill>
              <w14:schemeClr w14:val="tx1"/>
            </w14:solidFill>
          </w14:textFill>
        </w:rPr>
        <w:t>采购人在供应商须知前附表规定的媒介公示成交结果公示。</w:t>
      </w:r>
      <w:bookmarkEnd w:id="199"/>
    </w:p>
    <w:p w14:paraId="57685DE9">
      <w:pPr>
        <w:pStyle w:val="7"/>
        <w:ind w:firstLine="422"/>
        <w:rPr>
          <w:rFonts w:hint="eastAsia" w:ascii="宋体" w:hAnsi="宋体"/>
          <w:color w:val="000000" w:themeColor="text1"/>
          <w:szCs w:val="21"/>
          <w:highlight w:val="none"/>
          <w14:textFill>
            <w14:solidFill>
              <w14:schemeClr w14:val="tx1"/>
            </w14:solidFill>
          </w14:textFill>
        </w:rPr>
      </w:pPr>
      <w:bookmarkStart w:id="200" w:name="_Toc32702"/>
      <w:bookmarkStart w:id="201" w:name="_Toc14282"/>
      <w:r>
        <w:rPr>
          <w:rFonts w:hint="eastAsia" w:ascii="宋体" w:hAnsi="宋体"/>
          <w:color w:val="000000" w:themeColor="text1"/>
          <w:szCs w:val="21"/>
          <w:highlight w:val="none"/>
          <w14:textFill>
            <w14:solidFill>
              <w14:schemeClr w14:val="tx1"/>
            </w14:solidFill>
          </w14:textFill>
        </w:rPr>
        <w:t>7.3 成交通知</w:t>
      </w:r>
      <w:bookmarkEnd w:id="200"/>
      <w:bookmarkEnd w:id="201"/>
    </w:p>
    <w:p w14:paraId="59E78697">
      <w:pPr>
        <w:ind w:firstLine="480"/>
        <w:jc w:val="left"/>
        <w:rPr>
          <w:rFonts w:hint="eastAsia" w:ascii="宋体" w:hAnsi="宋体" w:cs="宋体"/>
          <w:color w:val="000000" w:themeColor="text1"/>
          <w:szCs w:val="21"/>
          <w:highlight w:val="none"/>
          <w14:textFill>
            <w14:solidFill>
              <w14:schemeClr w14:val="tx1"/>
            </w14:solidFill>
          </w14:textFill>
        </w:rPr>
      </w:pPr>
      <w:bookmarkStart w:id="202" w:name="_Toc23433"/>
      <w:r>
        <w:rPr>
          <w:rFonts w:hint="eastAsia" w:ascii="宋体" w:hAnsi="宋体" w:cs="宋体"/>
          <w:color w:val="000000" w:themeColor="text1"/>
          <w:szCs w:val="21"/>
          <w:highlight w:val="none"/>
          <w14:textFill>
            <w14:solidFill>
              <w14:schemeClr w14:val="tx1"/>
            </w14:solidFill>
          </w14:textFill>
        </w:rPr>
        <w:t>7.2.1成交供应商确定后，成交结果由采购代理机构在云南省政府采购网上发布公告，公示期结束后向成交供应商发出成交通知书。公示期不少于1个工作日。</w:t>
      </w:r>
      <w:bookmarkEnd w:id="202"/>
    </w:p>
    <w:p w14:paraId="22232B9E">
      <w:pPr>
        <w:ind w:firstLine="480"/>
        <w:jc w:val="left"/>
        <w:rPr>
          <w:rFonts w:hint="eastAsia" w:ascii="宋体" w:hAnsi="宋体" w:cs="宋体"/>
          <w:color w:val="000000" w:themeColor="text1"/>
          <w:szCs w:val="21"/>
          <w:highlight w:val="none"/>
          <w14:textFill>
            <w14:solidFill>
              <w14:schemeClr w14:val="tx1"/>
            </w14:solidFill>
          </w14:textFill>
        </w:rPr>
      </w:pPr>
      <w:bookmarkStart w:id="203" w:name="_Toc21748"/>
      <w:r>
        <w:rPr>
          <w:rFonts w:hint="eastAsia" w:ascii="宋体" w:hAnsi="宋体" w:cs="宋体"/>
          <w:color w:val="000000" w:themeColor="text1"/>
          <w:szCs w:val="21"/>
          <w:highlight w:val="none"/>
          <w14:textFill>
            <w14:solidFill>
              <w14:schemeClr w14:val="tx1"/>
            </w14:solidFill>
          </w14:textFill>
        </w:rPr>
        <w:t>7.2.2评成交通知书是合同的一个组成部分。</w:t>
      </w:r>
    </w:p>
    <w:bookmarkEnd w:id="203"/>
    <w:p w14:paraId="3A4D214B">
      <w:pPr>
        <w:pStyle w:val="7"/>
        <w:ind w:firstLine="422"/>
        <w:rPr>
          <w:rFonts w:hint="eastAsia" w:ascii="宋体" w:hAnsi="宋体"/>
          <w:color w:val="000000" w:themeColor="text1"/>
          <w:szCs w:val="21"/>
          <w:highlight w:val="none"/>
          <w14:textFill>
            <w14:solidFill>
              <w14:schemeClr w14:val="tx1"/>
            </w14:solidFill>
          </w14:textFill>
        </w:rPr>
      </w:pPr>
      <w:bookmarkStart w:id="204" w:name="_Toc23207"/>
      <w:bookmarkStart w:id="205" w:name="_Toc8439"/>
      <w:r>
        <w:rPr>
          <w:rFonts w:hint="eastAsia" w:ascii="宋体" w:hAnsi="宋体"/>
          <w:color w:val="000000" w:themeColor="text1"/>
          <w:szCs w:val="21"/>
          <w:highlight w:val="none"/>
          <w14:textFill>
            <w14:solidFill>
              <w14:schemeClr w14:val="tx1"/>
            </w14:solidFill>
          </w14:textFill>
        </w:rPr>
        <w:t>7.4 履约担保</w:t>
      </w:r>
      <w:bookmarkEnd w:id="204"/>
      <w:bookmarkEnd w:id="205"/>
    </w:p>
    <w:p w14:paraId="3C030C5E">
      <w:pPr>
        <w:pStyle w:val="27"/>
        <w:tabs>
          <w:tab w:val="left" w:pos="710"/>
        </w:tabs>
        <w:ind w:firstLine="480"/>
        <w:rPr>
          <w:rFonts w:hint="eastAsia" w:hAnsi="宋体" w:cs="宋体"/>
          <w:color w:val="000000" w:themeColor="text1"/>
          <w:sz w:val="21"/>
          <w:szCs w:val="21"/>
          <w:highlight w:val="none"/>
          <w14:textFill>
            <w14:solidFill>
              <w14:schemeClr w14:val="tx1"/>
            </w14:solidFill>
          </w14:textFill>
        </w:rPr>
      </w:pPr>
      <w:bookmarkStart w:id="206" w:name="_Toc7621"/>
      <w:bookmarkStart w:id="207" w:name="_Toc7956"/>
      <w:r>
        <w:rPr>
          <w:rFonts w:hint="eastAsia" w:hAnsi="宋体" w:cs="宋体"/>
          <w:color w:val="000000" w:themeColor="text1"/>
          <w:sz w:val="21"/>
          <w:szCs w:val="21"/>
          <w:highlight w:val="none"/>
          <w14:textFill>
            <w14:solidFill>
              <w14:schemeClr w14:val="tx1"/>
            </w14:solidFill>
          </w14:textFill>
        </w:rPr>
        <w:t>7.4.1签订合同前，成交人应按“</w:t>
      </w:r>
      <w:r>
        <w:rPr>
          <w:rFonts w:hint="eastAsia" w:hAnsi="宋体" w:cs="宋体"/>
          <w:b/>
          <w:color w:val="000000" w:themeColor="text1"/>
          <w:sz w:val="21"/>
          <w:szCs w:val="21"/>
          <w:highlight w:val="none"/>
          <w14:textFill>
            <w14:solidFill>
              <w14:schemeClr w14:val="tx1"/>
            </w14:solidFill>
          </w14:textFill>
        </w:rPr>
        <w:t>供应商须知前附表</w:t>
      </w:r>
      <w:r>
        <w:rPr>
          <w:rFonts w:hint="eastAsia" w:hAnsi="宋体" w:cs="宋体"/>
          <w:color w:val="000000" w:themeColor="text1"/>
          <w:sz w:val="21"/>
          <w:szCs w:val="21"/>
          <w:highlight w:val="none"/>
          <w14:textFill>
            <w14:solidFill>
              <w14:schemeClr w14:val="tx1"/>
            </w14:solidFill>
          </w14:textFill>
        </w:rPr>
        <w:t>”上确定的履约担保的金额及形式，向采购人提交履约担保。否则，视为放弃成交项目。</w:t>
      </w:r>
    </w:p>
    <w:p w14:paraId="5BFE4EFC">
      <w:pPr>
        <w:pStyle w:val="27"/>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7.4.2签订合同后，如成交人不按双方签订合同约定履约，则没收其全部履约保证金，履约保证金不足以赔偿损失的，按实际损失赔偿。</w:t>
      </w:r>
    </w:p>
    <w:p w14:paraId="4628F569">
      <w:pPr>
        <w:pStyle w:val="7"/>
        <w:ind w:firstLine="4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7.5 签订合同</w:t>
      </w:r>
      <w:bookmarkEnd w:id="206"/>
      <w:bookmarkEnd w:id="207"/>
    </w:p>
    <w:p w14:paraId="2C5B8B25">
      <w:pPr>
        <w:ind w:firstLine="480"/>
        <w:jc w:val="left"/>
        <w:rPr>
          <w:rFonts w:hint="eastAsia" w:ascii="宋体" w:hAnsi="宋体" w:cs="宋体"/>
          <w:color w:val="000000" w:themeColor="text1"/>
          <w:szCs w:val="21"/>
          <w:highlight w:val="none"/>
          <w14:textFill>
            <w14:solidFill>
              <w14:schemeClr w14:val="tx1"/>
            </w14:solidFill>
          </w14:textFill>
        </w:rPr>
      </w:pPr>
      <w:bookmarkStart w:id="208" w:name="_Toc18717"/>
      <w:r>
        <w:rPr>
          <w:rFonts w:hint="eastAsia" w:ascii="宋体" w:hAnsi="宋体" w:cs="宋体"/>
          <w:color w:val="000000" w:themeColor="text1"/>
          <w:szCs w:val="21"/>
          <w:highlight w:val="none"/>
          <w14:textFill>
            <w14:solidFill>
              <w14:schemeClr w14:val="tx1"/>
            </w14:solidFill>
          </w14:textFill>
        </w:rPr>
        <w:t>7.5.1采购人和成交人应当自成交通知书发出之日起30天内，根据竞争性磋商文件和成交人的响应文件订立书面合同。成交人无正当理由拒签合同的，采购人取消其成交资格；给采购人造成的损失的，成交人还应当对造成的损失部分予以赔偿。</w:t>
      </w:r>
      <w:bookmarkEnd w:id="208"/>
    </w:p>
    <w:p w14:paraId="4EF5E7A7">
      <w:pPr>
        <w:ind w:firstLine="480"/>
        <w:jc w:val="left"/>
        <w:rPr>
          <w:rFonts w:hint="eastAsia" w:ascii="宋体" w:hAnsi="宋体" w:cs="宋体"/>
          <w:color w:val="000000" w:themeColor="text1"/>
          <w:sz w:val="24"/>
          <w:highlight w:val="none"/>
          <w14:textFill>
            <w14:solidFill>
              <w14:schemeClr w14:val="tx1"/>
            </w14:solidFill>
          </w14:textFill>
        </w:rPr>
      </w:pPr>
      <w:bookmarkStart w:id="209" w:name="_Toc31121"/>
      <w:r>
        <w:rPr>
          <w:rFonts w:hint="eastAsia" w:ascii="宋体" w:hAnsi="宋体" w:cs="宋体"/>
          <w:color w:val="000000" w:themeColor="text1"/>
          <w:szCs w:val="21"/>
          <w:highlight w:val="none"/>
          <w14:textFill>
            <w14:solidFill>
              <w14:schemeClr w14:val="tx1"/>
            </w14:solidFill>
          </w14:textFill>
        </w:rPr>
        <w:t>7.5.2发出成交通知书后，采购人无正当理由拒签合同的，给成交人造成损失的，还应当赔偿损失。</w:t>
      </w:r>
      <w:bookmarkEnd w:id="209"/>
    </w:p>
    <w:p w14:paraId="4AC4CA02">
      <w:pPr>
        <w:pStyle w:val="6"/>
        <w:rPr>
          <w:color w:val="000000" w:themeColor="text1"/>
          <w:highlight w:val="none"/>
          <w14:textFill>
            <w14:solidFill>
              <w14:schemeClr w14:val="tx1"/>
            </w14:solidFill>
          </w14:textFill>
        </w:rPr>
      </w:pPr>
      <w:bookmarkStart w:id="210" w:name="_Toc25339"/>
      <w:bookmarkStart w:id="211" w:name="_Toc10078"/>
      <w:bookmarkStart w:id="212" w:name="_Toc4075"/>
      <w:r>
        <w:rPr>
          <w:rFonts w:hint="eastAsia"/>
          <w:color w:val="000000" w:themeColor="text1"/>
          <w:highlight w:val="none"/>
          <w14:textFill>
            <w14:solidFill>
              <w14:schemeClr w14:val="tx1"/>
            </w14:solidFill>
          </w14:textFill>
        </w:rPr>
        <w:t>8. 纪律和监督</w:t>
      </w:r>
      <w:bookmarkEnd w:id="210"/>
      <w:bookmarkEnd w:id="211"/>
      <w:bookmarkEnd w:id="212"/>
    </w:p>
    <w:p w14:paraId="7A868E7B">
      <w:pPr>
        <w:pStyle w:val="7"/>
        <w:ind w:firstLine="422"/>
        <w:rPr>
          <w:rFonts w:hint="eastAsia" w:ascii="宋体" w:hAnsi="宋体"/>
          <w:color w:val="000000" w:themeColor="text1"/>
          <w:szCs w:val="21"/>
          <w:highlight w:val="none"/>
          <w14:textFill>
            <w14:solidFill>
              <w14:schemeClr w14:val="tx1"/>
            </w14:solidFill>
          </w14:textFill>
        </w:rPr>
      </w:pPr>
      <w:bookmarkStart w:id="213" w:name="_Toc25378"/>
      <w:r>
        <w:rPr>
          <w:rFonts w:hint="eastAsia" w:ascii="宋体" w:hAnsi="宋体"/>
          <w:color w:val="000000" w:themeColor="text1"/>
          <w:szCs w:val="21"/>
          <w:highlight w:val="none"/>
          <w14:textFill>
            <w14:solidFill>
              <w14:schemeClr w14:val="tx1"/>
            </w14:solidFill>
          </w14:textFill>
        </w:rPr>
        <w:t>8.1 对采购人的纪律要求</w:t>
      </w:r>
      <w:bookmarkEnd w:id="213"/>
    </w:p>
    <w:p w14:paraId="17150A22">
      <w:pPr>
        <w:ind w:firstLine="480"/>
        <w:jc w:val="left"/>
        <w:rPr>
          <w:rFonts w:hint="eastAsia" w:ascii="宋体" w:hAnsi="宋体" w:cs="宋体"/>
          <w:color w:val="000000" w:themeColor="text1"/>
          <w:szCs w:val="21"/>
          <w:highlight w:val="none"/>
          <w14:textFill>
            <w14:solidFill>
              <w14:schemeClr w14:val="tx1"/>
            </w14:solidFill>
          </w14:textFill>
        </w:rPr>
      </w:pPr>
      <w:bookmarkStart w:id="214" w:name="_Toc26474"/>
      <w:r>
        <w:rPr>
          <w:rFonts w:hint="eastAsia" w:ascii="宋体" w:hAnsi="宋体" w:cs="宋体"/>
          <w:color w:val="000000" w:themeColor="text1"/>
          <w:szCs w:val="21"/>
          <w:highlight w:val="none"/>
          <w14:textFill>
            <w14:solidFill>
              <w14:schemeClr w14:val="tx1"/>
            </w14:solidFill>
          </w14:textFill>
        </w:rPr>
        <w:t>采购人不得透露采购活动中应当保密的情况和资料，不得与供应商串通损害国家利益、社会公共利益或者他人合法权益。</w:t>
      </w:r>
      <w:bookmarkEnd w:id="214"/>
    </w:p>
    <w:p w14:paraId="1D328129">
      <w:pPr>
        <w:pStyle w:val="7"/>
        <w:ind w:firstLine="422"/>
        <w:rPr>
          <w:rFonts w:hint="eastAsia" w:ascii="宋体" w:hAnsi="宋体"/>
          <w:color w:val="000000" w:themeColor="text1"/>
          <w:szCs w:val="21"/>
          <w:highlight w:val="none"/>
          <w14:textFill>
            <w14:solidFill>
              <w14:schemeClr w14:val="tx1"/>
            </w14:solidFill>
          </w14:textFill>
        </w:rPr>
      </w:pPr>
      <w:bookmarkStart w:id="215" w:name="_Toc24198"/>
      <w:r>
        <w:rPr>
          <w:rFonts w:hint="eastAsia" w:ascii="宋体" w:hAnsi="宋体"/>
          <w:color w:val="000000" w:themeColor="text1"/>
          <w:szCs w:val="21"/>
          <w:highlight w:val="none"/>
          <w14:textFill>
            <w14:solidFill>
              <w14:schemeClr w14:val="tx1"/>
            </w14:solidFill>
          </w14:textFill>
        </w:rPr>
        <w:t>8.2 对供应商的纪律要求</w:t>
      </w:r>
      <w:bookmarkEnd w:id="215"/>
    </w:p>
    <w:p w14:paraId="3591CE53">
      <w:pPr>
        <w:ind w:firstLine="480"/>
        <w:jc w:val="left"/>
        <w:rPr>
          <w:rFonts w:hint="eastAsia" w:ascii="宋体" w:hAnsi="宋体" w:cs="宋体"/>
          <w:color w:val="000000" w:themeColor="text1"/>
          <w:szCs w:val="21"/>
          <w:highlight w:val="none"/>
          <w14:textFill>
            <w14:solidFill>
              <w14:schemeClr w14:val="tx1"/>
            </w14:solidFill>
          </w14:textFill>
        </w:rPr>
      </w:pPr>
      <w:bookmarkStart w:id="216" w:name="_Toc30407"/>
      <w:r>
        <w:rPr>
          <w:rFonts w:hint="eastAsia" w:ascii="宋体" w:hAnsi="宋体" w:cs="宋体"/>
          <w:color w:val="000000" w:themeColor="text1"/>
          <w:szCs w:val="21"/>
          <w:highlight w:val="none"/>
          <w14:textFill>
            <w14:solidFill>
              <w14:schemeClr w14:val="tx1"/>
            </w14:solidFill>
          </w14:textFill>
        </w:rPr>
        <w:t>供应商不得相互串通投标或者与采购人串通投标，不得向采购人或者评审小组成员行贿谋取中标，不得以他人名义投标或者以其他方式弄虚作假骗取中标；供应商不得以任何方式干扰、影响评标工作。</w:t>
      </w:r>
      <w:bookmarkEnd w:id="216"/>
    </w:p>
    <w:p w14:paraId="35A5041E">
      <w:pPr>
        <w:pStyle w:val="7"/>
        <w:ind w:firstLine="422"/>
        <w:rPr>
          <w:rFonts w:hint="eastAsia" w:ascii="宋体" w:hAnsi="宋体"/>
          <w:color w:val="000000" w:themeColor="text1"/>
          <w:szCs w:val="21"/>
          <w:highlight w:val="none"/>
          <w14:textFill>
            <w14:solidFill>
              <w14:schemeClr w14:val="tx1"/>
            </w14:solidFill>
          </w14:textFill>
        </w:rPr>
      </w:pPr>
      <w:bookmarkStart w:id="217" w:name="_Toc22773"/>
      <w:r>
        <w:rPr>
          <w:rFonts w:hint="eastAsia" w:ascii="宋体" w:hAnsi="宋体"/>
          <w:color w:val="000000" w:themeColor="text1"/>
          <w:szCs w:val="21"/>
          <w:highlight w:val="none"/>
          <w14:textFill>
            <w14:solidFill>
              <w14:schemeClr w14:val="tx1"/>
            </w14:solidFill>
          </w14:textFill>
        </w:rPr>
        <w:t>8.3 对评审小组成员的纪律要求评审小组成员不得收受他人的财物或者其他好处，不得向他人透露对响应文件的评审和比较、成交候选人的推荐情况以及评标有关的其他情况。在评审活动中，评审小组成员应当客观、公正地履行职责，遵守职业道德，不得擅离职守，影响评标程序正常进行，不得使用第五章“评标办法”没有规定的评审因素和标准进行评标。</w:t>
      </w:r>
      <w:bookmarkEnd w:id="217"/>
    </w:p>
    <w:p w14:paraId="169BD50F">
      <w:pPr>
        <w:pStyle w:val="7"/>
        <w:ind w:firstLine="422"/>
        <w:rPr>
          <w:rFonts w:hint="eastAsia" w:ascii="宋体" w:hAnsi="宋体"/>
          <w:color w:val="000000" w:themeColor="text1"/>
          <w:szCs w:val="21"/>
          <w:highlight w:val="none"/>
          <w14:textFill>
            <w14:solidFill>
              <w14:schemeClr w14:val="tx1"/>
            </w14:solidFill>
          </w14:textFill>
        </w:rPr>
      </w:pPr>
      <w:bookmarkStart w:id="218" w:name="_Toc1672"/>
      <w:r>
        <w:rPr>
          <w:rFonts w:hint="eastAsia" w:ascii="宋体" w:hAnsi="宋体"/>
          <w:color w:val="000000" w:themeColor="text1"/>
          <w:szCs w:val="21"/>
          <w:highlight w:val="none"/>
          <w14:textFill>
            <w14:solidFill>
              <w14:schemeClr w14:val="tx1"/>
            </w14:solidFill>
          </w14:textFill>
        </w:rPr>
        <w:t>8.4 对与评审活动有关的工作人员的纪律要求与评审活动有关的工作人员不得收受他人的财物或者其他好处，不得向他人透露对响应文件的评审和比较、成交候选人的推荐情况以及评标有关的其他情况。在评审活动中，与评审活动有关的工作人员不得擅离职守，影响评标程序正常进行。</w:t>
      </w:r>
      <w:bookmarkEnd w:id="218"/>
    </w:p>
    <w:p w14:paraId="734951F9">
      <w:pPr>
        <w:pStyle w:val="6"/>
        <w:rPr>
          <w:color w:val="000000" w:themeColor="text1"/>
          <w:highlight w:val="none"/>
          <w14:textFill>
            <w14:solidFill>
              <w14:schemeClr w14:val="tx1"/>
            </w14:solidFill>
          </w14:textFill>
        </w:rPr>
      </w:pPr>
      <w:bookmarkStart w:id="219" w:name="_Toc30631"/>
      <w:bookmarkStart w:id="220" w:name="_Toc8921"/>
      <w:bookmarkStart w:id="221" w:name="_Toc47692446"/>
      <w:bookmarkStart w:id="222" w:name="_Toc337822243"/>
      <w:bookmarkStart w:id="223" w:name="_Toc12274"/>
      <w:bookmarkStart w:id="224" w:name="_Toc27650"/>
      <w:bookmarkStart w:id="225" w:name="_Toc26168"/>
      <w:bookmarkStart w:id="226" w:name="_Toc22120"/>
      <w:bookmarkStart w:id="227" w:name="_Toc4152"/>
      <w:r>
        <w:rPr>
          <w:rFonts w:hint="eastAsia"/>
          <w:color w:val="000000" w:themeColor="text1"/>
          <w:highlight w:val="none"/>
          <w14:textFill>
            <w14:solidFill>
              <w14:schemeClr w14:val="tx1"/>
            </w14:solidFill>
          </w14:textFill>
        </w:rPr>
        <w:t xml:space="preserve">9. </w:t>
      </w:r>
      <w:bookmarkEnd w:id="219"/>
      <w:bookmarkEnd w:id="220"/>
      <w:bookmarkEnd w:id="221"/>
      <w:bookmarkEnd w:id="222"/>
      <w:bookmarkEnd w:id="223"/>
      <w:bookmarkEnd w:id="224"/>
      <w:r>
        <w:rPr>
          <w:rFonts w:hint="eastAsia"/>
          <w:color w:val="000000" w:themeColor="text1"/>
          <w:highlight w:val="none"/>
          <w14:textFill>
            <w14:solidFill>
              <w14:schemeClr w14:val="tx1"/>
            </w14:solidFill>
          </w14:textFill>
        </w:rPr>
        <w:t>询问与质疑</w:t>
      </w:r>
    </w:p>
    <w:p w14:paraId="5EDAC02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w:t>
      </w:r>
      <w:r>
        <w:rPr>
          <w:rFonts w:ascii="宋体" w:hAnsi="宋体"/>
          <w:color w:val="000000" w:themeColor="text1"/>
          <w:szCs w:val="21"/>
          <w:highlight w:val="none"/>
          <w14:textFill>
            <w14:solidFill>
              <w14:schemeClr w14:val="tx1"/>
            </w14:solidFill>
          </w14:textFill>
        </w:rPr>
        <w:t>供应商对政府采购活动事项有疑问的，可依法提出询问</w:t>
      </w:r>
      <w:r>
        <w:rPr>
          <w:rFonts w:hint="eastAsia" w:ascii="宋体" w:hAnsi="宋体"/>
          <w:color w:val="000000" w:themeColor="text1"/>
          <w:szCs w:val="21"/>
          <w:highlight w:val="none"/>
          <w14:textFill>
            <w14:solidFill>
              <w14:schemeClr w14:val="tx1"/>
            </w14:solidFill>
          </w14:textFill>
        </w:rPr>
        <w:t>。</w:t>
      </w:r>
    </w:p>
    <w:p w14:paraId="0909A9CD">
      <w:pPr>
        <w:ind w:firstLine="482"/>
        <w:jc w:val="lef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ascii="宋体" w:hAnsi="宋体"/>
          <w:color w:val="000000" w:themeColor="text1"/>
          <w:szCs w:val="21"/>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b/>
          <w:bCs/>
          <w:color w:val="000000" w:themeColor="text1"/>
          <w:szCs w:val="21"/>
          <w:highlight w:val="none"/>
          <w14:textFill>
            <w14:solidFill>
              <w14:schemeClr w14:val="tx1"/>
            </w14:solidFill>
          </w14:textFill>
        </w:rPr>
        <w:t>。</w:t>
      </w:r>
    </w:p>
    <w:p w14:paraId="52C3E1F5">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 </w:t>
      </w:r>
      <w:r>
        <w:rPr>
          <w:rFonts w:ascii="宋体" w:hAnsi="宋体"/>
          <w:color w:val="000000" w:themeColor="text1"/>
          <w:szCs w:val="21"/>
          <w:highlight w:val="none"/>
          <w14:textFill>
            <w14:solidFill>
              <w14:schemeClr w14:val="tx1"/>
            </w14:solidFill>
          </w14:textFill>
        </w:rPr>
        <w:t>质疑函须使用财政部制定的范本文件</w:t>
      </w:r>
      <w:r>
        <w:rPr>
          <w:rFonts w:hint="eastAsia" w:ascii="宋体" w:hAnsi="宋体" w:cs="宋体"/>
          <w:color w:val="000000" w:themeColor="text1"/>
          <w:szCs w:val="21"/>
          <w:highlight w:val="none"/>
          <w14:textFill>
            <w14:solidFill>
              <w14:schemeClr w14:val="tx1"/>
            </w14:solidFill>
          </w14:textFill>
        </w:rPr>
        <w:t>。</w:t>
      </w:r>
    </w:p>
    <w:p w14:paraId="3FC04E98">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9.4</w:t>
      </w:r>
      <w:r>
        <w:rPr>
          <w:rFonts w:ascii="宋体" w:hAnsi="宋体"/>
          <w:color w:val="000000" w:themeColor="text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r>
        <w:rPr>
          <w:rFonts w:hint="eastAsia" w:ascii="宋体" w:hAnsi="宋体" w:cs="宋体"/>
          <w:color w:val="000000" w:themeColor="text1"/>
          <w:szCs w:val="21"/>
          <w:highlight w:val="none"/>
          <w14:textFill>
            <w14:solidFill>
              <w14:schemeClr w14:val="tx1"/>
            </w14:solidFill>
          </w14:textFill>
        </w:rPr>
        <w:t>。</w:t>
      </w:r>
    </w:p>
    <w:p w14:paraId="4F93E7D9">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9.5</w:t>
      </w:r>
      <w:r>
        <w:rPr>
          <w:rFonts w:ascii="宋体" w:hAnsi="宋体"/>
          <w:color w:val="000000" w:themeColor="text1"/>
          <w:szCs w:val="21"/>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themeColor="text1"/>
          <w:szCs w:val="21"/>
          <w:highlight w:val="none"/>
          <w14:textFill>
            <w14:solidFill>
              <w14:schemeClr w14:val="tx1"/>
            </w14:solidFill>
          </w14:textFill>
        </w:rPr>
        <w:t>。</w:t>
      </w:r>
    </w:p>
    <w:p w14:paraId="7832465F">
      <w:pPr>
        <w:ind w:firstLine="48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9.6接收询问和质疑的联系部门、联系电话和通讯地址：</w:t>
      </w:r>
    </w:p>
    <w:p w14:paraId="3BC2A2D9">
      <w:pPr>
        <w:ind w:firstLine="48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联系部门：云南辰竟管理咨询有限公司；</w:t>
      </w:r>
    </w:p>
    <w:p w14:paraId="34EE2DE2">
      <w:pPr>
        <w:ind w:firstLine="48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联系电话：19087028562；</w:t>
      </w:r>
    </w:p>
    <w:p w14:paraId="306302C8">
      <w:pPr>
        <w:ind w:firstLine="480"/>
        <w:jc w:val="left"/>
        <w:rPr>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通讯地址：普洱市思茅区滨河路山之梦小区12幢。</w:t>
      </w:r>
    </w:p>
    <w:bookmarkEnd w:id="225"/>
    <w:bookmarkEnd w:id="226"/>
    <w:bookmarkEnd w:id="227"/>
    <w:p w14:paraId="616E77AA">
      <w:pPr>
        <w:ind w:left="420"/>
        <w:rPr>
          <w:color w:val="000000" w:themeColor="text1"/>
          <w:highlight w:val="none"/>
          <w14:textFill>
            <w14:solidFill>
              <w14:schemeClr w14:val="tx1"/>
            </w14:solidFill>
          </w14:textFill>
        </w:rPr>
      </w:pPr>
      <w:bookmarkStart w:id="228" w:name="_Toc3787"/>
      <w:bookmarkStart w:id="229" w:name="_Toc27951"/>
      <w:bookmarkStart w:id="230" w:name="_Toc21341"/>
    </w:p>
    <w:p w14:paraId="65F199C2">
      <w:pPr>
        <w:ind w:left="420"/>
        <w:rPr>
          <w:color w:val="000000" w:themeColor="text1"/>
          <w:highlight w:val="none"/>
          <w14:textFill>
            <w14:solidFill>
              <w14:schemeClr w14:val="tx1"/>
            </w14:solidFill>
          </w14:textFill>
        </w:rPr>
      </w:pPr>
    </w:p>
    <w:p w14:paraId="00A4A1FD">
      <w:pPr>
        <w:ind w:left="420"/>
        <w:rPr>
          <w:color w:val="000000" w:themeColor="text1"/>
          <w:highlight w:val="none"/>
          <w14:textFill>
            <w14:solidFill>
              <w14:schemeClr w14:val="tx1"/>
            </w14:solidFill>
          </w14:textFill>
        </w:rPr>
      </w:pPr>
    </w:p>
    <w:p w14:paraId="46E719B6">
      <w:pPr>
        <w:ind w:left="420"/>
        <w:rPr>
          <w:color w:val="000000" w:themeColor="text1"/>
          <w:highlight w:val="none"/>
          <w14:textFill>
            <w14:solidFill>
              <w14:schemeClr w14:val="tx1"/>
            </w14:solidFill>
          </w14:textFill>
        </w:rPr>
      </w:pPr>
    </w:p>
    <w:p w14:paraId="2AD23ACE">
      <w:pPr>
        <w:pStyle w:val="2"/>
        <w:spacing w:before="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5E26AE0D">
      <w:pPr>
        <w:pStyle w:val="2"/>
        <w:spacing w:before="156"/>
        <w:rPr>
          <w:color w:val="000000" w:themeColor="text1"/>
          <w:highlight w:val="none"/>
          <w14:textFill>
            <w14:solidFill>
              <w14:schemeClr w14:val="tx1"/>
            </w14:solidFill>
          </w14:textFill>
        </w:rPr>
      </w:pPr>
      <w:bookmarkStart w:id="231" w:name="_Toc228389596"/>
      <w:r>
        <w:rPr>
          <w:rFonts w:hint="eastAsia"/>
          <w:color w:val="000000" w:themeColor="text1"/>
          <w:highlight w:val="none"/>
          <w14:textFill>
            <w14:solidFill>
              <w14:schemeClr w14:val="tx1"/>
            </w14:solidFill>
          </w14:textFill>
        </w:rPr>
        <w:t>第三章  采购需求</w:t>
      </w:r>
      <w:bookmarkEnd w:id="228"/>
      <w:bookmarkEnd w:id="229"/>
      <w:bookmarkEnd w:id="230"/>
      <w:bookmarkEnd w:id="231"/>
      <w:bookmarkStart w:id="232" w:name="_Toc521660763"/>
    </w:p>
    <w:bookmarkEnd w:id="27"/>
    <w:bookmarkEnd w:id="28"/>
    <w:bookmarkEnd w:id="232"/>
    <w:p w14:paraId="0CF011ED">
      <w:pPr>
        <w:rPr>
          <w:rFonts w:hint="eastAsia" w:ascii="宋体" w:hAnsi="宋体" w:cs="宋体"/>
          <w:color w:val="000000" w:themeColor="text1"/>
          <w:sz w:val="24"/>
          <w:highlight w:val="none"/>
          <w14:textFill>
            <w14:solidFill>
              <w14:schemeClr w14:val="tx1"/>
            </w14:solidFill>
          </w14:textFill>
        </w:rPr>
      </w:pPr>
      <w:bookmarkStart w:id="233" w:name="_Toc4050"/>
      <w:bookmarkStart w:id="234" w:name="_Toc22146"/>
      <w:bookmarkStart w:id="235" w:name="_Toc521660787"/>
      <w:bookmarkStart w:id="236" w:name="_Toc20402"/>
    </w:p>
    <w:p w14:paraId="70EC6578">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1.项目名称：景谷县正兴镇波云村、通达村糖料甘蔗种植产业道路建设项目</w:t>
      </w:r>
    </w:p>
    <w:p w14:paraId="37FDAB86">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2.建设性质：新建、（改）扩建。</w:t>
      </w:r>
    </w:p>
    <w:p w14:paraId="19AA0222">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3.项目建设地点：正兴镇波云村半坡云村民小组、关庙村民小组，通达村周家社村民小组。</w:t>
      </w:r>
    </w:p>
    <w:p w14:paraId="2A208CA6">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4.合同履行期限：</w:t>
      </w:r>
      <w:r>
        <w:rPr>
          <w:rFonts w:hint="eastAsia" w:ascii="宋体" w:hAnsi="宋体" w:cs="宋体"/>
          <w:color w:val="000000" w:themeColor="text1"/>
          <w:sz w:val="24"/>
          <w:highlight w:val="none"/>
          <w14:textFill>
            <w14:solidFill>
              <w14:schemeClr w14:val="tx1"/>
            </w14:solidFill>
          </w14:textFill>
        </w:rPr>
        <w:t>自签订合同之日起90日历天内完成。</w:t>
      </w:r>
    </w:p>
    <w:p w14:paraId="3DC07BEB">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5.质量要求：符合国家、行业相关标准、一次性验收合格且满足采购人要求</w:t>
      </w:r>
    </w:p>
    <w:p w14:paraId="1C5EC861">
      <w:pPr>
        <w:widowControl/>
        <w:ind w:firstLine="444" w:firstLineChars="185"/>
        <w:rPr>
          <w:rFonts w:hint="eastAsia"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6.采购需求：</w:t>
      </w:r>
      <w:r>
        <w:rPr>
          <w:rFonts w:hint="eastAsia" w:ascii="宋体" w:hAnsi="宋体" w:cs="宋体"/>
          <w:color w:val="000000" w:themeColor="text1"/>
          <w:sz w:val="24"/>
          <w:highlight w:val="none"/>
          <w14:textFill>
            <w14:solidFill>
              <w14:schemeClr w14:val="tx1"/>
            </w14:solidFill>
          </w14:textFill>
        </w:rPr>
        <w:t xml:space="preserve">（1）（改）扩建波云村甘蔗砂石路3条，宽3.5米、长8千米、厚0.2米（含排水沟土沟，宽 0.5 米、高 0.5 米），安装30 根 DN600 预制混凝土涵管（含毛石一字墙+沉沙井）。 </w:t>
      </w:r>
    </w:p>
    <w:p w14:paraId="7B39FB30">
      <w:pPr>
        <w:widowControl/>
        <w:ind w:firstLine="204" w:firstLineChars="8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（2）新、（改）扩建通达村甘蔗生产道路（土路）7 条，路宽3.5米，长12.66千米、厚0.2米（含排水沟土沟，宽0.5米、高0.5米），安装30 根DN600预制混凝土涵管（含毛石一字墙+沉沙井）。 </w:t>
      </w:r>
    </w:p>
    <w:p w14:paraId="7A666B5A">
      <w:pPr>
        <w:widowControl/>
        <w:ind w:firstLine="204" w:firstLineChars="8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（3）（改）扩建通达村甘蔗砂石路2条，宽3.5米、长2.5千米、厚0.2米（含排水沟土沟，宽0.5米、高0.5米）。安装12根DN600预制混凝土涵管（含毛石一字墙+沉沙井）。</w:t>
      </w:r>
    </w:p>
    <w:p w14:paraId="463152E8">
      <w:pPr>
        <w:ind w:firstLine="480"/>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（具体详见招标工程量清单）。</w:t>
      </w:r>
    </w:p>
    <w:p w14:paraId="6D4667D1">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7.工程量清单：另册提供。</w:t>
      </w:r>
    </w:p>
    <w:p w14:paraId="4109BF7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E0288CD">
      <w:pPr>
        <w:rPr>
          <w:color w:val="000000" w:themeColor="text1"/>
          <w:highlight w:val="none"/>
          <w14:textFill>
            <w14:solidFill>
              <w14:schemeClr w14:val="tx1"/>
            </w14:solidFill>
          </w14:textFill>
        </w:rPr>
      </w:pPr>
    </w:p>
    <w:p w14:paraId="3246FB23">
      <w:pPr>
        <w:pStyle w:val="2"/>
        <w:spacing w:before="156"/>
        <w:rPr>
          <w:color w:val="000000" w:themeColor="text1"/>
          <w:highlight w:val="none"/>
          <w14:textFill>
            <w14:solidFill>
              <w14:schemeClr w14:val="tx1"/>
            </w14:solidFill>
          </w14:textFill>
        </w:rPr>
      </w:pPr>
      <w:bookmarkStart w:id="237" w:name="_Toc228389597"/>
      <w:r>
        <w:rPr>
          <w:rFonts w:hint="eastAsia"/>
          <w:color w:val="000000" w:themeColor="text1"/>
          <w:highlight w:val="none"/>
          <w14:textFill>
            <w14:solidFill>
              <w14:schemeClr w14:val="tx1"/>
            </w14:solidFill>
          </w14:textFill>
        </w:rPr>
        <w:t>第四章  技术标准及要求</w:t>
      </w:r>
      <w:bookmarkEnd w:id="237"/>
    </w:p>
    <w:p w14:paraId="681D3F4F">
      <w:pPr>
        <w:spacing w:line="5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一、本项目在实施过程中设计、施工、材料必须符合现行中华人民共和国以及省、自治区直辖市或行业的工程建设标准、规范的要求。</w:t>
      </w:r>
    </w:p>
    <w:p w14:paraId="4512B27C">
      <w:pPr>
        <w:spacing w:line="5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二、本项目的安全生产、文明施工、环境保护措施应符合中华人民共和国以及省、自治区直辖市或行业以及当地政府的有关法律、法规的要求。</w:t>
      </w:r>
    </w:p>
    <w:p w14:paraId="79561164">
      <w:pPr>
        <w:spacing w:line="500" w:lineRule="exact"/>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三、根据项目所处地域当地政府的相关规定，该项工程的材料、设备、施工必须达到现行标准或规范及其最新相关的要求。</w:t>
      </w:r>
    </w:p>
    <w:p w14:paraId="75E61B11">
      <w:pPr>
        <w:ind w:left="420"/>
        <w:rPr>
          <w:color w:val="000000" w:themeColor="text1"/>
          <w:highlight w:val="none"/>
          <w14:textFill>
            <w14:solidFill>
              <w14:schemeClr w14:val="tx1"/>
            </w14:solidFill>
          </w14:textFill>
        </w:rPr>
      </w:pPr>
    </w:p>
    <w:p w14:paraId="17A95131">
      <w:pPr>
        <w:ind w:left="420"/>
        <w:rPr>
          <w:color w:val="000000" w:themeColor="text1"/>
          <w:highlight w:val="none"/>
          <w14:textFill>
            <w14:solidFill>
              <w14:schemeClr w14:val="tx1"/>
            </w14:solidFill>
          </w14:textFill>
        </w:rPr>
      </w:pPr>
    </w:p>
    <w:p w14:paraId="559C7B93">
      <w:pPr>
        <w:ind w:left="420"/>
        <w:rPr>
          <w:color w:val="000000" w:themeColor="text1"/>
          <w:highlight w:val="none"/>
          <w14:textFill>
            <w14:solidFill>
              <w14:schemeClr w14:val="tx1"/>
            </w14:solidFill>
          </w14:textFill>
        </w:rPr>
      </w:pPr>
    </w:p>
    <w:p w14:paraId="6F3D87C6">
      <w:pPr>
        <w:ind w:left="420"/>
        <w:rPr>
          <w:color w:val="000000" w:themeColor="text1"/>
          <w:highlight w:val="none"/>
          <w14:textFill>
            <w14:solidFill>
              <w14:schemeClr w14:val="tx1"/>
            </w14:solidFill>
          </w14:textFill>
        </w:rPr>
      </w:pPr>
    </w:p>
    <w:p w14:paraId="268E9AD0">
      <w:pPr>
        <w:pStyle w:val="2"/>
        <w:spacing w:before="156"/>
        <w:ind w:left="420" w:leftChars="200"/>
        <w:rPr>
          <w:rFonts w:hint="eastAsia"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br w:type="page"/>
      </w:r>
    </w:p>
    <w:p w14:paraId="47D5D5FC">
      <w:pPr>
        <w:pStyle w:val="2"/>
        <w:spacing w:before="156"/>
        <w:rPr>
          <w:color w:val="000000" w:themeColor="text1"/>
          <w:highlight w:val="none"/>
          <w14:textFill>
            <w14:solidFill>
              <w14:schemeClr w14:val="tx1"/>
            </w14:solidFill>
          </w14:textFill>
        </w:rPr>
      </w:pPr>
      <w:bookmarkStart w:id="238" w:name="_Toc228389598"/>
      <w:r>
        <w:rPr>
          <w:rFonts w:hint="eastAsia"/>
          <w:color w:val="000000" w:themeColor="text1"/>
          <w:highlight w:val="none"/>
          <w14:textFill>
            <w14:solidFill>
              <w14:schemeClr w14:val="tx1"/>
            </w14:solidFill>
          </w14:textFill>
        </w:rPr>
        <w:t xml:space="preserve">第五章  </w:t>
      </w:r>
      <w:bookmarkEnd w:id="233"/>
      <w:bookmarkEnd w:id="234"/>
      <w:bookmarkEnd w:id="235"/>
      <w:bookmarkEnd w:id="236"/>
      <w:r>
        <w:rPr>
          <w:rFonts w:hint="eastAsia"/>
          <w:color w:val="000000" w:themeColor="text1"/>
          <w:highlight w:val="none"/>
          <w14:textFill>
            <w14:solidFill>
              <w14:schemeClr w14:val="tx1"/>
            </w14:solidFill>
          </w14:textFill>
        </w:rPr>
        <w:t>合同书样式及主要条款</w:t>
      </w:r>
      <w:bookmarkEnd w:id="238"/>
    </w:p>
    <w:p w14:paraId="717EF5C4">
      <w:pPr>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bookmarkStart w:id="239" w:name="_Toc6406"/>
      <w:bookmarkStart w:id="240" w:name="_Toc3721"/>
      <w:r>
        <w:rPr>
          <w:rFonts w:hint="eastAsia" w:asciiTheme="minorEastAsia" w:hAnsiTheme="minorEastAsia" w:eastAsiaTheme="minorEastAsia" w:cstheme="minorEastAsia"/>
          <w:color w:val="000000" w:themeColor="text1"/>
          <w:sz w:val="24"/>
          <w:highlight w:val="none"/>
          <w14:textFill>
            <w14:solidFill>
              <w14:schemeClr w14:val="tx1"/>
            </w14:solidFill>
          </w14:textFill>
        </w:rPr>
        <w:t>（甲乙双方可根据国家相关法律法规及本项目的情况另行约定）</w:t>
      </w:r>
      <w:bookmarkEnd w:id="239"/>
      <w:bookmarkEnd w:id="240"/>
    </w:p>
    <w:p w14:paraId="2EA75C83">
      <w:pPr>
        <w:autoSpaceDE w:val="0"/>
        <w:autoSpaceDN w:val="0"/>
        <w:adjustRightInd w:val="0"/>
        <w:ind w:right="-72"/>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合同编号：                      合同自编号： </w:t>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项目编号：</w:t>
      </w:r>
    </w:p>
    <w:p w14:paraId="6594CE40">
      <w:pPr>
        <w:autoSpaceDE w:val="0"/>
        <w:autoSpaceDN w:val="0"/>
        <w:adjustRightInd w:val="0"/>
        <w:ind w:right="568"/>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●本合同须加盖甲乙双方骑缝章有效</w:t>
      </w:r>
    </w:p>
    <w:p w14:paraId="18B96417">
      <w:pPr>
        <w:autoSpaceDE w:val="0"/>
        <w:autoSpaceDN w:val="0"/>
        <w:adjustRightInd w:val="0"/>
        <w:jc w:val="center"/>
        <w:rPr>
          <w:rFonts w:hint="eastAsia" w:asciiTheme="minorEastAsia" w:hAnsiTheme="minorEastAsia" w:eastAsiaTheme="minorEastAsia" w:cstheme="minorEastAsia"/>
          <w:color w:val="000000" w:themeColor="text1"/>
          <w:sz w:val="52"/>
          <w:szCs w:val="52"/>
          <w:highlight w:val="none"/>
          <w14:textFill>
            <w14:solidFill>
              <w14:schemeClr w14:val="tx1"/>
            </w14:solidFill>
          </w14:textFill>
        </w:rPr>
      </w:pPr>
    </w:p>
    <w:p w14:paraId="1B417CFB">
      <w:pPr>
        <w:autoSpaceDE w:val="0"/>
        <w:autoSpaceDN w:val="0"/>
        <w:adjustRightInd w:val="0"/>
        <w:jc w:val="center"/>
        <w:rPr>
          <w:rFonts w:hint="eastAsia" w:asciiTheme="minorEastAsia" w:hAnsiTheme="minorEastAsia" w:eastAsiaTheme="minorEastAsia" w:cstheme="minorEastAsia"/>
          <w:color w:val="000000" w:themeColor="text1"/>
          <w:sz w:val="52"/>
          <w:szCs w:val="52"/>
          <w:highlight w:val="none"/>
          <w14:textFill>
            <w14:solidFill>
              <w14:schemeClr w14:val="tx1"/>
            </w14:solidFill>
          </w14:textFill>
        </w:rPr>
      </w:pPr>
    </w:p>
    <w:p w14:paraId="3A646C9F">
      <w:pPr>
        <w:autoSpaceDE w:val="0"/>
        <w:autoSpaceDN w:val="0"/>
        <w:adjustRightInd w:val="0"/>
        <w:jc w:val="center"/>
        <w:rPr>
          <w:color w:val="000000" w:themeColor="text1"/>
          <w:highlight w:val="none"/>
          <w14:textFill>
            <w14:solidFill>
              <w14:schemeClr w14:val="tx1"/>
            </w14:solidFill>
          </w14:textFill>
        </w:rPr>
      </w:pPr>
    </w:p>
    <w:p w14:paraId="39A7D585">
      <w:pPr>
        <w:autoSpaceDE w:val="0"/>
        <w:autoSpaceDN w:val="0"/>
        <w:adjustRightInd w:val="0"/>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p w14:paraId="76B72D46">
      <w:pPr>
        <w:autoSpaceDE w:val="0"/>
        <w:autoSpaceDN w:val="0"/>
        <w:adjustRightInd w:val="0"/>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p>
    <w:p w14:paraId="6C50CE16">
      <w:pPr>
        <w:autoSpaceDE w:val="0"/>
        <w:autoSpaceDN w:val="0"/>
        <w:adjustRightInd w:val="0"/>
        <w:jc w:val="center"/>
        <w:rPr>
          <w:rFonts w:hint="eastAsia" w:asciiTheme="minorEastAsia" w:hAnsiTheme="minorEastAsia" w:eastAsiaTheme="minorEastAsia" w:cstheme="minorEastAsia"/>
          <w:color w:val="000000" w:themeColor="text1"/>
          <w:sz w:val="84"/>
          <w:szCs w:val="84"/>
          <w:highlight w:val="none"/>
          <w14:textFill>
            <w14:solidFill>
              <w14:schemeClr w14:val="tx1"/>
            </w14:solidFill>
          </w14:textFill>
        </w:rPr>
      </w:pPr>
      <w:r>
        <w:rPr>
          <w:rFonts w:hint="eastAsia" w:asciiTheme="minorEastAsia" w:hAnsiTheme="minorEastAsia" w:eastAsiaTheme="minorEastAsia" w:cstheme="minorEastAsia"/>
          <w:color w:val="000000" w:themeColor="text1"/>
          <w:sz w:val="84"/>
          <w:szCs w:val="84"/>
          <w:highlight w:val="none"/>
          <w14:textFill>
            <w14:solidFill>
              <w14:schemeClr w14:val="tx1"/>
            </w14:solidFill>
          </w14:textFill>
        </w:rPr>
        <w:t xml:space="preserve">合 </w:t>
      </w:r>
    </w:p>
    <w:p w14:paraId="72FF2557">
      <w:pPr>
        <w:autoSpaceDE w:val="0"/>
        <w:autoSpaceDN w:val="0"/>
        <w:adjustRightInd w:val="0"/>
        <w:jc w:val="center"/>
        <w:rPr>
          <w:rFonts w:hint="eastAsia" w:asciiTheme="minorEastAsia" w:hAnsiTheme="minorEastAsia" w:eastAsiaTheme="minorEastAsia" w:cstheme="minorEastAsia"/>
          <w:color w:val="000000" w:themeColor="text1"/>
          <w:sz w:val="72"/>
          <w:szCs w:val="72"/>
          <w:highlight w:val="none"/>
          <w14:textFill>
            <w14:solidFill>
              <w14:schemeClr w14:val="tx1"/>
            </w14:solidFill>
          </w14:textFill>
        </w:rPr>
      </w:pPr>
      <w:r>
        <w:rPr>
          <w:rFonts w:hint="eastAsia" w:asciiTheme="minorEastAsia" w:hAnsiTheme="minorEastAsia" w:eastAsiaTheme="minorEastAsia" w:cstheme="minorEastAsia"/>
          <w:color w:val="000000" w:themeColor="text1"/>
          <w:sz w:val="84"/>
          <w:szCs w:val="84"/>
          <w:highlight w:val="none"/>
          <w14:textFill>
            <w14:solidFill>
              <w14:schemeClr w14:val="tx1"/>
            </w14:solidFill>
          </w14:textFill>
        </w:rPr>
        <w:t xml:space="preserve">同 </w:t>
      </w:r>
    </w:p>
    <w:p w14:paraId="4148647B">
      <w:pPr>
        <w:autoSpaceDE w:val="0"/>
        <w:autoSpaceDN w:val="0"/>
        <w:adjustRightInd w:val="0"/>
        <w:jc w:val="center"/>
        <w:rPr>
          <w:rFonts w:hint="eastAsia" w:asciiTheme="minorEastAsia" w:hAnsiTheme="minorEastAsia" w:eastAsiaTheme="minorEastAsia" w:cstheme="minorEastAsia"/>
          <w:color w:val="000000" w:themeColor="text1"/>
          <w:sz w:val="84"/>
          <w:szCs w:val="84"/>
          <w:highlight w:val="none"/>
          <w14:textFill>
            <w14:solidFill>
              <w14:schemeClr w14:val="tx1"/>
            </w14:solidFill>
          </w14:textFill>
        </w:rPr>
      </w:pPr>
      <w:r>
        <w:rPr>
          <w:rFonts w:hint="eastAsia" w:asciiTheme="minorEastAsia" w:hAnsiTheme="minorEastAsia" w:eastAsiaTheme="minorEastAsia" w:cstheme="minorEastAsia"/>
          <w:color w:val="000000" w:themeColor="text1"/>
          <w:sz w:val="84"/>
          <w:szCs w:val="84"/>
          <w:highlight w:val="none"/>
          <w14:textFill>
            <w14:solidFill>
              <w14:schemeClr w14:val="tx1"/>
            </w14:solidFill>
          </w14:textFill>
        </w:rPr>
        <w:t xml:space="preserve">书 </w:t>
      </w:r>
    </w:p>
    <w:p w14:paraId="11438F7D">
      <w:pPr>
        <w:autoSpaceDE w:val="0"/>
        <w:autoSpaceDN w:val="0"/>
        <w:adjustRightInd w:val="0"/>
        <w:jc w:val="center"/>
        <w:rPr>
          <w:rFonts w:hint="eastAsia" w:asciiTheme="minorEastAsia" w:hAnsiTheme="minorEastAsia" w:eastAsiaTheme="minorEastAsia" w:cstheme="minorEastAsia"/>
          <w:color w:val="000000" w:themeColor="text1"/>
          <w:sz w:val="72"/>
          <w:szCs w:val="72"/>
          <w:highlight w:val="none"/>
          <w14:textFill>
            <w14:solidFill>
              <w14:schemeClr w14:val="tx1"/>
            </w14:solidFill>
          </w14:textFill>
        </w:rPr>
      </w:pPr>
    </w:p>
    <w:p w14:paraId="67E468DA">
      <w:pPr>
        <w:autoSpaceDE w:val="0"/>
        <w:autoSpaceDN w:val="0"/>
        <w:adjustRightInd w:val="0"/>
        <w:jc w:val="center"/>
        <w:rPr>
          <w:rFonts w:hint="eastAsia" w:asciiTheme="minorEastAsia" w:hAnsiTheme="minorEastAsia" w:eastAsiaTheme="minorEastAsia" w:cstheme="minorEastAsia"/>
          <w:b/>
          <w:bCs/>
          <w:color w:val="000000" w:themeColor="text1"/>
          <w:sz w:val="27"/>
          <w:szCs w:val="27"/>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7"/>
          <w:szCs w:val="27"/>
          <w:highlight w:val="none"/>
          <w14:textFill>
            <w14:solidFill>
              <w14:schemeClr w14:val="tx1"/>
            </w14:solidFill>
          </w14:textFill>
        </w:rPr>
        <w:t xml:space="preserve">签订地点： </w:t>
      </w:r>
    </w:p>
    <w:p w14:paraId="4097671C">
      <w:pPr>
        <w:autoSpaceDE w:val="0"/>
        <w:autoSpaceDN w:val="0"/>
        <w:adjustRightInd w:val="0"/>
        <w:jc w:val="center"/>
        <w:rPr>
          <w:rFonts w:hint="eastAsia" w:asciiTheme="minorEastAsia" w:hAnsiTheme="minorEastAsia" w:eastAsiaTheme="minorEastAsia" w:cstheme="minorEastAsia"/>
          <w:b/>
          <w:bCs/>
          <w:color w:val="000000" w:themeColor="text1"/>
          <w:sz w:val="27"/>
          <w:szCs w:val="27"/>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7"/>
          <w:szCs w:val="27"/>
          <w:highlight w:val="none"/>
          <w14:textFill>
            <w14:solidFill>
              <w14:schemeClr w14:val="tx1"/>
            </w14:solidFill>
          </w14:textFill>
        </w:rPr>
        <w:t>签订日期：   年　月　日</w:t>
      </w:r>
    </w:p>
    <w:p w14:paraId="0B5B76F1">
      <w:pPr>
        <w:spacing w:after="240"/>
        <w:rPr>
          <w:rFonts w:hint="eastAsia" w:asciiTheme="minorEastAsia" w:hAnsiTheme="minorEastAsia" w:eastAsiaTheme="minorEastAsia" w:cstheme="minorEastAsia"/>
          <w:b/>
          <w:bCs/>
          <w:color w:val="000000" w:themeColor="text1"/>
          <w:sz w:val="27"/>
          <w:szCs w:val="27"/>
          <w:highlight w:val="none"/>
          <w14:textFill>
            <w14:solidFill>
              <w14:schemeClr w14:val="tx1"/>
            </w14:solidFill>
          </w14:textFill>
        </w:rPr>
      </w:pPr>
    </w:p>
    <w:p w14:paraId="4EEE9FE4">
      <w:pPr>
        <w:spacing w:after="240"/>
        <w:rPr>
          <w:color w:val="000000" w:themeColor="text1"/>
          <w:highlight w:val="none"/>
          <w14:textFill>
            <w14:solidFill>
              <w14:schemeClr w14:val="tx1"/>
            </w14:solidFill>
          </w14:textFill>
        </w:rPr>
      </w:pPr>
    </w:p>
    <w:p w14:paraId="3378CB57">
      <w:pPr>
        <w:autoSpaceDE w:val="0"/>
        <w:autoSpaceDN w:val="0"/>
        <w:adjustRightInd w:val="0"/>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t xml:space="preserve"> </w:t>
      </w:r>
    </w:p>
    <w:p w14:paraId="3C1D9675">
      <w:pPr>
        <w:autoSpaceDE w:val="0"/>
        <w:autoSpaceDN w:val="0"/>
        <w:adjustRightInd w:val="0"/>
        <w:ind w:firstLine="643"/>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p>
    <w:p w14:paraId="5621D5C7">
      <w:pPr>
        <w:autoSpaceDE w:val="0"/>
        <w:autoSpaceDN w:val="0"/>
        <w:spacing w:line="440" w:lineRule="exact"/>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●合同登记编号：</w:t>
      </w: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&lt;合同编号&gt;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●本合同须加盖甲乙双方骑缝章</w:t>
      </w:r>
    </w:p>
    <w:p w14:paraId="6B1313E0">
      <w:pPr>
        <w:autoSpaceDE w:val="0"/>
        <w:autoSpaceDN w:val="0"/>
        <w:spacing w:line="440" w:lineRule="exact"/>
        <w:ind w:firstLine="480"/>
        <w:jc w:val="cente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pPr>
    </w:p>
    <w:p w14:paraId="55EE5762">
      <w:pPr>
        <w:autoSpaceDE w:val="0"/>
        <w:autoSpaceDN w:val="0"/>
        <w:spacing w:line="440" w:lineRule="exact"/>
        <w:ind w:firstLine="480"/>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p>
    <w:p w14:paraId="339B30BB">
      <w:pPr>
        <w:autoSpaceDE w:val="0"/>
        <w:autoSpaceDN w:val="0"/>
        <w:spacing w:line="440" w:lineRule="exact"/>
        <w:ind w:firstLine="480"/>
        <w:jc w:val="cente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项目合同书</w:t>
      </w:r>
    </w:p>
    <w:p w14:paraId="63A93F83">
      <w:pPr>
        <w:autoSpaceDE w:val="0"/>
        <w:autoSpaceDN w:val="0"/>
        <w:spacing w:line="440" w:lineRule="exact"/>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p>
    <w:p w14:paraId="6EF66CAA">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甲方（采购人） 名      称：</w:t>
      </w:r>
    </w:p>
    <w:p w14:paraId="7EB39B0F">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地      址：</w:t>
      </w:r>
    </w:p>
    <w:p w14:paraId="4B507E77">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邮      编：</w:t>
      </w:r>
    </w:p>
    <w:p w14:paraId="6A108A59">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法定代表人：</w:t>
      </w:r>
    </w:p>
    <w:p w14:paraId="1798607C">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项目负责人：</w:t>
      </w:r>
    </w:p>
    <w:p w14:paraId="4BBA3AF4">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电</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话：</w:t>
      </w:r>
    </w:p>
    <w:p w14:paraId="42748E8A">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p>
    <w:p w14:paraId="0C8D0D31">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乙方（供应商） 名      称：</w:t>
      </w:r>
    </w:p>
    <w:p w14:paraId="1A3FC81A">
      <w:pPr>
        <w:autoSpaceDE w:val="0"/>
        <w:autoSpaceDN w:val="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地      址：</w:t>
      </w:r>
    </w:p>
    <w:p w14:paraId="1BEC42DF">
      <w:pPr>
        <w:autoSpaceDE w:val="0"/>
        <w:autoSpaceDN w:val="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邮      编：</w:t>
      </w:r>
    </w:p>
    <w:p w14:paraId="51CE2C0B">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法定代表人：</w:t>
      </w:r>
    </w:p>
    <w:p w14:paraId="6D7C8353">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委托代理人：</w:t>
      </w:r>
    </w:p>
    <w:p w14:paraId="5CC7057B">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电</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话：</w:t>
      </w:r>
    </w:p>
    <w:p w14:paraId="5A2A231D">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开 户 银行：</w:t>
      </w:r>
    </w:p>
    <w:p w14:paraId="1D91EACD">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t xml:space="preserve">                   账      号：</w:t>
      </w:r>
    </w:p>
    <w:p w14:paraId="01E97718">
      <w:pPr>
        <w:autoSpaceDE w:val="0"/>
        <w:autoSpaceDN w:val="0"/>
        <w:rPr>
          <w:rFonts w:hint="eastAsia" w:asciiTheme="minorEastAsia" w:hAnsiTheme="minorEastAsia" w:eastAsiaTheme="minorEastAsia" w:cstheme="minorEastAsia"/>
          <w:color w:val="000000" w:themeColor="text1"/>
          <w:sz w:val="28"/>
          <w:szCs w:val="28"/>
          <w:highlight w:val="none"/>
          <w:lang w:val="zh-CN"/>
          <w14:textFill>
            <w14:solidFill>
              <w14:schemeClr w14:val="tx1"/>
            </w14:solidFill>
          </w14:textFill>
        </w:rPr>
      </w:pPr>
    </w:p>
    <w:p w14:paraId="748A852B">
      <w:pPr>
        <w:pStyle w:val="647"/>
        <w:spacing w:line="360" w:lineRule="auto"/>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p>
    <w:p w14:paraId="0123BE56">
      <w:pPr>
        <w:pStyle w:val="647"/>
        <w:spacing w:line="360" w:lineRule="auto"/>
        <w:jc w:val="center"/>
        <w:outlineLvl w:val="1"/>
        <w:rPr>
          <w:rFonts w:hint="eastAsia" w:ascii="宋体" w:hAnsi="宋体" w:cstheme="minorEastAsia"/>
          <w:b/>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br w:type="page"/>
      </w:r>
      <w:bookmarkStart w:id="241" w:name="_Toc179625361"/>
      <w:bookmarkStart w:id="242" w:name="_Toc31439"/>
      <w:bookmarkStart w:id="243" w:name="_Toc203576518"/>
      <w:bookmarkStart w:id="244" w:name="_Toc18460"/>
      <w:bookmarkStart w:id="245" w:name="_Toc228389599"/>
      <w:r>
        <w:rPr>
          <w:rFonts w:hint="eastAsia" w:ascii="宋体" w:hAnsi="宋体" w:cstheme="minorEastAsia"/>
          <w:b/>
          <w:color w:val="000000" w:themeColor="text1"/>
          <w:sz w:val="30"/>
          <w:szCs w:val="30"/>
          <w:highlight w:val="none"/>
          <w14:textFill>
            <w14:solidFill>
              <w14:schemeClr w14:val="tx1"/>
            </w14:solidFill>
          </w14:textFill>
        </w:rPr>
        <w:t>第一节 合同协议书</w:t>
      </w:r>
      <w:bookmarkEnd w:id="241"/>
      <w:bookmarkEnd w:id="242"/>
      <w:bookmarkEnd w:id="243"/>
      <w:bookmarkEnd w:id="244"/>
      <w:bookmarkEnd w:id="245"/>
    </w:p>
    <w:p w14:paraId="5349891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(发包人名称，以下简称“发包人”)为实施</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(项目名称)，已接受</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中标（成交）人名称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(承包人名称，以下简称“承包人”)对</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(项目名称)的投标，并确定其为中标（成交）人。发包人和承包人共同达成如下协议。</w:t>
      </w:r>
    </w:p>
    <w:p w14:paraId="471CF26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1.本协议书与下列文件一起构成合同文件：</w:t>
      </w:r>
    </w:p>
    <w:p w14:paraId="3C8C1D7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中标（成交）通知书；</w:t>
      </w:r>
    </w:p>
    <w:p w14:paraId="6652C24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磋商申请函；</w:t>
      </w:r>
    </w:p>
    <w:p w14:paraId="0FF4278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专用合同条款；</w:t>
      </w:r>
    </w:p>
    <w:p w14:paraId="249CA0E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通用合同条款；</w:t>
      </w:r>
    </w:p>
    <w:p w14:paraId="27D4E53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技术标准和要求（合同技术条款）；</w:t>
      </w:r>
    </w:p>
    <w:p w14:paraId="2D69D35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图纸；</w:t>
      </w:r>
    </w:p>
    <w:p w14:paraId="4FDD3CB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己标价工程量清单；</w:t>
      </w:r>
    </w:p>
    <w:p w14:paraId="75702F3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 其它合同文件。</w:t>
      </w:r>
    </w:p>
    <w:p w14:paraId="6BCF79C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246" w:name="_Toc491246914"/>
      <w:bookmarkStart w:id="247" w:name="_Toc199322143"/>
      <w:bookmarkStart w:id="248" w:name="_Toc488678585"/>
      <w:bookmarkStart w:id="249" w:name="_Toc490385526"/>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上述文件互相补充和解释，如有不明确或不一致之处，以合同约定次序在先者为准。</w:t>
      </w:r>
      <w:bookmarkEnd w:id="246"/>
      <w:bookmarkEnd w:id="247"/>
      <w:bookmarkEnd w:id="248"/>
      <w:bookmarkEnd w:id="249"/>
    </w:p>
    <w:p w14:paraId="117F1D9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签约合同价:人民币(大写)</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元（￥           ）。</w:t>
      </w:r>
    </w:p>
    <w:p w14:paraId="549DCA3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 承包人项目经理: </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4462B26F">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工程质量符合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p w14:paraId="1964371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250" w:name="_Toc491246915"/>
      <w:bookmarkStart w:id="251" w:name="_Toc488678586"/>
      <w:bookmarkStart w:id="252" w:name="_Toc49038552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承包人承诺按合同约定承担工程的实施、完成及缺陷修复。</w:t>
      </w:r>
      <w:bookmarkEnd w:id="250"/>
      <w:bookmarkEnd w:id="251"/>
      <w:bookmarkEnd w:id="252"/>
    </w:p>
    <w:p w14:paraId="34A28DB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发包人承诺按合同约定的条件、时间和方式向承包人支付合同价款。</w:t>
      </w:r>
    </w:p>
    <w:p w14:paraId="5B23012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 承包人应按照监理人指示开工，工期为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日历天。</w:t>
      </w:r>
    </w:p>
    <w:p w14:paraId="68EF983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 本协议书一式</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份，合同双方各执一份。</w:t>
      </w:r>
    </w:p>
    <w:p w14:paraId="4AB07E6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10. 合同未尽事宜，双方另行签订补充协议。补充协议是合同的组成部分。</w:t>
      </w:r>
    </w:p>
    <w:p w14:paraId="6FED32BE">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79C08540">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(盖单位章)          承包人：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(盖单位章)</w:t>
      </w:r>
    </w:p>
    <w:p w14:paraId="69C4ED8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(签字)     法定代表人或其委托代理人：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(签字)</w:t>
      </w:r>
    </w:p>
    <w:p w14:paraId="42D9F31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日               </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p w14:paraId="3E4FB463">
      <w:pPr>
        <w:pStyle w:val="647"/>
        <w:spacing w:line="360" w:lineRule="auto"/>
        <w:jc w:val="center"/>
        <w:outlineLvl w:val="1"/>
        <w:rPr>
          <w:rFonts w:hint="eastAsia" w:ascii="宋体" w:hAnsi="宋体" w:cstheme="minorEastAsia"/>
          <w:b/>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8"/>
          <w:highlight w:val="none"/>
          <w14:textFill>
            <w14:solidFill>
              <w14:schemeClr w14:val="tx1"/>
            </w14:solidFill>
          </w14:textFill>
        </w:rPr>
        <w:br w:type="page"/>
      </w:r>
      <w:bookmarkStart w:id="253" w:name="_Toc28428295"/>
      <w:bookmarkStart w:id="254" w:name="_Toc228389600"/>
      <w:bookmarkStart w:id="255" w:name="_Toc23248"/>
      <w:bookmarkStart w:id="256" w:name="_Toc203576519"/>
      <w:bookmarkStart w:id="257" w:name="_Toc30001"/>
      <w:bookmarkStart w:id="258" w:name="_Toc25893"/>
      <w:bookmarkStart w:id="259" w:name="_Toc179625362"/>
      <w:r>
        <w:rPr>
          <w:rFonts w:hint="eastAsia" w:ascii="宋体" w:hAnsi="宋体" w:cstheme="minorEastAsia"/>
          <w:b/>
          <w:color w:val="000000" w:themeColor="text1"/>
          <w:sz w:val="30"/>
          <w:szCs w:val="30"/>
          <w:highlight w:val="none"/>
          <w14:textFill>
            <w14:solidFill>
              <w14:schemeClr w14:val="tx1"/>
            </w14:solidFill>
          </w14:textFill>
        </w:rPr>
        <w:t>第二节 通用合同条款</w:t>
      </w:r>
      <w:bookmarkEnd w:id="253"/>
      <w:bookmarkEnd w:id="254"/>
      <w:bookmarkEnd w:id="255"/>
      <w:bookmarkEnd w:id="256"/>
      <w:bookmarkEnd w:id="257"/>
      <w:bookmarkEnd w:id="258"/>
      <w:bookmarkEnd w:id="259"/>
    </w:p>
    <w:p w14:paraId="12C81D8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60" w:name="_Toc229450758"/>
      <w:bookmarkStart w:id="261" w:name="_Toc265954581"/>
      <w:bookmarkStart w:id="262" w:name="_Toc265653825"/>
      <w:bookmarkStart w:id="263" w:name="_Toc265954880"/>
      <w:bookmarkStart w:id="264" w:name="_Toc19932194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1.一般约定</w:t>
      </w:r>
      <w:bookmarkEnd w:id="260"/>
      <w:bookmarkEnd w:id="261"/>
      <w:bookmarkEnd w:id="262"/>
      <w:bookmarkEnd w:id="263"/>
      <w:bookmarkEnd w:id="264"/>
    </w:p>
    <w:p w14:paraId="222246B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65" w:name="_Toc265653826"/>
      <w:bookmarkStart w:id="266" w:name="_Toc265954881"/>
      <w:bookmarkStart w:id="267" w:name="_Toc18937"/>
      <w:bookmarkStart w:id="268" w:name="_Toc229450759"/>
      <w:bookmarkStart w:id="269" w:name="_Toc265954582"/>
      <w:bookmarkStart w:id="270" w:name="_Toc19932194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 词语定义</w:t>
      </w:r>
      <w:bookmarkEnd w:id="265"/>
      <w:bookmarkEnd w:id="266"/>
      <w:bookmarkEnd w:id="267"/>
      <w:bookmarkEnd w:id="268"/>
      <w:bookmarkEnd w:id="269"/>
      <w:bookmarkEnd w:id="270"/>
    </w:p>
    <w:p w14:paraId="17FEF568">
      <w:pPr>
        <w:autoSpaceDE w:val="0"/>
        <w:autoSpaceDN w:val="0"/>
        <w:adjustRightInd w:val="0"/>
        <w:ind w:firstLine="31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通用合同条款、专用合同条款中的下列词语应具有本款所赋予的含义。</w:t>
      </w:r>
    </w:p>
    <w:p w14:paraId="2B1948F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71" w:name="_Toc229450760"/>
      <w:bookmarkStart w:id="272" w:name="_Toc491246689"/>
      <w:bookmarkStart w:id="273" w:name="_Toc199321945"/>
      <w:bookmarkStart w:id="274" w:name="_Toc48867836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1.1.1 合同</w:t>
      </w:r>
      <w:bookmarkEnd w:id="271"/>
      <w:bookmarkEnd w:id="272"/>
      <w:bookmarkEnd w:id="273"/>
      <w:bookmarkEnd w:id="274"/>
    </w:p>
    <w:p w14:paraId="0411B9DA">
      <w:pPr>
        <w:pStyle w:val="27"/>
        <w:widowControl/>
        <w:ind w:left="840" w:firstLine="630" w:firstLineChars="3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1.1.1.1 合同文件(或称合同):指合同协议书、中标（成交）通知书、投标函及投标函附录、专用合同条款、通用合同条款、技术标准和要求、图纸、己标价工程量清单，以及其他合同文件。</w:t>
      </w:r>
    </w:p>
    <w:p w14:paraId="37138C8E">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1.1.1.2 合同协议书：指第1.5款所指的合同协议书。</w:t>
      </w:r>
    </w:p>
    <w:p w14:paraId="0403EB7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1.1.1.3 中标（成交）通知书：指发包人通知承包人中标（成交）的函件。</w:t>
      </w:r>
    </w:p>
    <w:p w14:paraId="256C2F4F">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1.1.1.4 投标函：指构成合同文件组成部分的由承包人填写并签署的投标函。</w:t>
      </w:r>
    </w:p>
    <w:p w14:paraId="425FBAB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1.1.1.5 投标函附录：指附在投标函后构成合同文件的投标函附录。</w:t>
      </w:r>
    </w:p>
    <w:p w14:paraId="6D8A261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1.1.1.6 技术标准和要求：指构成合同文件组成部分的名为技术标准和要求的文件（合同技术条款）的，包括合同双方当事人约定对其所作的修改或补充。</w:t>
      </w:r>
    </w:p>
    <w:p w14:paraId="67E3272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1060E57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1.1.1.8 己标价工程量清单： 指构成合同文件组成部分的由承包人按照规定的格式和要求填写并标明价格的工程量清单。</w:t>
      </w:r>
    </w:p>
    <w:p w14:paraId="704F12B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1.1.1.9 其他合同文件:指经合同双方当事人确认构成合同文件的其他文件。</w:t>
      </w:r>
    </w:p>
    <w:p w14:paraId="248CE6B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75" w:name="_Toc19932194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1.1.2 合同当事人和人员</w:t>
      </w:r>
      <w:bookmarkEnd w:id="275"/>
    </w:p>
    <w:p w14:paraId="4C7AFEC6">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1.1.2.1 合同当事人:指发包人和(或)承包人。</w:t>
      </w:r>
    </w:p>
    <w:p w14:paraId="258CD00B">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1.1.2.2 发包人：指专用合同条款中指明并与承包人在合同协议书中签字的当事人。</w:t>
      </w:r>
    </w:p>
    <w:p w14:paraId="2615EEDE">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1.1.2.3 承包人:指专用合同条款中指明并与发包人在合同协议书中签字的当事人。</w:t>
      </w:r>
    </w:p>
    <w:p w14:paraId="32798F5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1.1.2.4 承包人项目经理：指承包人派驻施主场地的全权负责人。</w:t>
      </w:r>
    </w:p>
    <w:p w14:paraId="7C7BFA01">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1.1.2.5 分包人: 指专用合同条款中指明的，从承包人处分包合同中某一部分工程，并与其签订分包合同的分包人。</w:t>
      </w:r>
    </w:p>
    <w:p w14:paraId="3B32E19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1.1.2.6 监理人:指在专用合同条款中指明的，受发包人委托对合同履行实施管理的法人或其他组织。</w:t>
      </w:r>
    </w:p>
    <w:p w14:paraId="2A042C0D">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1.1.2.7 总监理工程师(总监):指由监理人委派常驻施工场地对合同履行实施管理的全权负责人。</w:t>
      </w:r>
    </w:p>
    <w:p w14:paraId="7D1AC74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76" w:name="_Toc19932194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1.1.3工程和设备</w:t>
      </w:r>
      <w:bookmarkEnd w:id="276"/>
    </w:p>
    <w:p w14:paraId="075C303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1.1.3.1 工程:指永久工程和(或)临时工程。</w:t>
      </w:r>
    </w:p>
    <w:p w14:paraId="76B14DDE">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1.1.3.2 永久工程：指发包人为建设本合同工程永久征用的场地。</w:t>
      </w:r>
    </w:p>
    <w:p w14:paraId="0B0532D7">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1.1.3.3 临时工程：指发包人为建设本合同工程临时征用，承包人在完工后须按合同要求退还的场地。</w:t>
      </w:r>
    </w:p>
    <w:p w14:paraId="617C18E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1.1.3.4单位工程：指专用合同条款中指明特定范围的永久工程。</w:t>
      </w:r>
    </w:p>
    <w:p w14:paraId="70D3411C">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1.1.3.5工程设备：指构成或计划构成永久工程-部分的机电设备、金属结构设备、仪器装置及其他类似的设备和装置。</w:t>
      </w:r>
    </w:p>
    <w:p w14:paraId="7375B30C">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1.1.3.6 施工设备：指为完成合同约定的各项工作所需的设备、器具和其他物品，不包括临时工程和材料。</w:t>
      </w:r>
    </w:p>
    <w:p w14:paraId="0562D88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1.1.3.7 临时设施：指为完成合同约定的各项工作所服务的临时性生产和生活设施。</w:t>
      </w:r>
    </w:p>
    <w:p w14:paraId="3C18C486">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1.1.3.8 承包人设备：指承包人自带的施工设备。</w:t>
      </w:r>
    </w:p>
    <w:p w14:paraId="1D382598">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1.1.3.9 施工场地(或称工地、现场)：指用于合同工程施工的场所，以及在合同中指定作为施工场地组成部分的其他场所，包括永久占地和临时占地。</w:t>
      </w:r>
    </w:p>
    <w:p w14:paraId="0E06F4B0">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1.1.3.10 永久占地：指专用合同条款中指明为实施合同工程需永久占用的土地。</w:t>
      </w:r>
    </w:p>
    <w:p w14:paraId="3BE5CDD1">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1.1.3.11 临时占地：指专用合同条款中指明为实施合同工程需临时占用的土地。</w:t>
      </w:r>
    </w:p>
    <w:p w14:paraId="7A15A882">
      <w:pPr>
        <w:autoSpaceDE w:val="0"/>
        <w:autoSpaceDN w:val="0"/>
        <w:adjustRightInd w:val="0"/>
        <w:ind w:firstLine="310" w:firstLineChars="147"/>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1.1.4 日期</w:t>
      </w:r>
    </w:p>
    <w:p w14:paraId="2BEE7E6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1.1.4.1 开工通知：指监理人按第11.1款通知承包人开工的函件。</w:t>
      </w:r>
    </w:p>
    <w:p w14:paraId="77744D4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1.1.4.2 开工日期：指监理人按第11.1 款发出的开工通知中写明的开工日期。</w:t>
      </w:r>
    </w:p>
    <w:p w14:paraId="43C63D9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1.1.4.3 工期：指承包人在投标函中承诺的完成合同工程所需的期限，包括按第11.3款、第11.4 款和第11.6 款约定所作的变更。</w:t>
      </w:r>
    </w:p>
    <w:p w14:paraId="2734BF5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1.1.4.4 竣工日期： 即合同工程完工日期，指第1.1.4.3目约定工期届满时的日期。实际完工日期以合同工程完工证书中写明的日期为准。</w:t>
      </w:r>
    </w:p>
    <w:p w14:paraId="2D9C3F8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1.1.4.5 缺陷责任期：即工程质量保修期，指履行第19.2款约定的缺陷责任的期限，包括根据第19.3款约定所作的延长，具体期限由专用合同条款约定。</w:t>
      </w:r>
    </w:p>
    <w:p w14:paraId="5E3DBAE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1.1.4.6 基准日期：指投标截止时间前28 天的日期。</w:t>
      </w:r>
    </w:p>
    <w:p w14:paraId="0137940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1.1.4.7 天：除特别指明外，指日历天。合同中按天计算时间的，开始当天不计入，从次日开始计算。期限最后一天的截止时间为当天24:00。</w:t>
      </w:r>
    </w:p>
    <w:p w14:paraId="4C375452">
      <w:pPr>
        <w:autoSpaceDE w:val="0"/>
        <w:autoSpaceDN w:val="0"/>
        <w:adjustRightInd w:val="0"/>
        <w:ind w:firstLine="207" w:firstLineChars="98"/>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1.1.5 合同价格和费用</w:t>
      </w:r>
    </w:p>
    <w:p w14:paraId="01AA9DF8">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77" w:name="_Toc19932194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1.1.5.1 签约合同价：指签定合同时合同协议书中写明的，包括了暂列金额、暂估价</w:t>
      </w:r>
      <w:bookmarkEnd w:id="27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的合同总金额。</w:t>
      </w:r>
    </w:p>
    <w:p w14:paraId="097AD95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78" w:name="_Toc19932194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1.1.5.2 合同价格：指承包人按合同约定完成了包括缺陷责任期内的全部承包工作</w:t>
      </w:r>
      <w:bookmarkEnd w:id="27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后，发包人应付给承包人的金额，包括在履行合同过程中按合同约定进行的变更和调整。</w:t>
      </w:r>
    </w:p>
    <w:p w14:paraId="48EF779B">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79" w:name="_Toc19932195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1.1.5.3 费用：指为履行合同所发生的或将要发生的所有合理开支，包括管理费和应</w:t>
      </w:r>
      <w:bookmarkEnd w:id="27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分摊的其他费用，但不包括利润：</w:t>
      </w:r>
    </w:p>
    <w:p w14:paraId="25CC3FDB">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80" w:name="_Toc19932195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1.1.5.4 暂列金额：指己标价工程量清单中所列的暂列金额，用于在签订协议书时尚未确定或不可预见变更的施工及其所需材料、工程设备、服务等的金额，包括以计日工方式</w:t>
      </w:r>
      <w:bookmarkEnd w:id="28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支付的金额。</w:t>
      </w:r>
    </w:p>
    <w:p w14:paraId="27BA74D9">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1.1.5.5 暂估价：指发包人在工程量清单中给定的用于支付必然发生但暂时不能确定价格的材料、设备以及专业工程的金额。</w:t>
      </w:r>
    </w:p>
    <w:p w14:paraId="37217CD4">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1.1.5.6 计日工:指对零星工作采取的一种计价方式，按合同中的计日工子目及其单价计价付款。</w:t>
      </w:r>
    </w:p>
    <w:p w14:paraId="1ABE9C3F">
      <w:pPr>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1.1.5.7 质量保证金(或称保留金):指按第17.4.1项约定用于保证在缺陷责任期内履行缺陷修复义务的金额。</w:t>
      </w:r>
    </w:p>
    <w:p w14:paraId="1D7CDE74">
      <w:pPr>
        <w:pStyle w:val="27"/>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1.1.6 其他</w:t>
      </w:r>
    </w:p>
    <w:p w14:paraId="5A6EB924">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281" w:name="_Toc488678362"/>
      <w:bookmarkStart w:id="282" w:name="_Toc491246690"/>
      <w:bookmarkStart w:id="283" w:name="_Toc49038530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1.1.6.1 书面形式:指合同文件、信函飞电报、传真等可以有形地表现所载内容的形式。</w:t>
      </w:r>
      <w:bookmarkEnd w:id="281"/>
      <w:bookmarkEnd w:id="282"/>
      <w:bookmarkEnd w:id="283"/>
    </w:p>
    <w:p w14:paraId="64C1925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84" w:name="_Toc265653827"/>
      <w:bookmarkStart w:id="285" w:name="_Toc229450761"/>
      <w:bookmarkStart w:id="286" w:name="_Toc265954882"/>
      <w:bookmarkStart w:id="287" w:name="_Toc265954583"/>
      <w:bookmarkStart w:id="288" w:name="_Toc199321952"/>
      <w:bookmarkStart w:id="289" w:name="_Toc153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 语言文字</w:t>
      </w:r>
      <w:bookmarkEnd w:id="284"/>
      <w:bookmarkEnd w:id="285"/>
      <w:bookmarkEnd w:id="286"/>
      <w:bookmarkEnd w:id="287"/>
      <w:bookmarkEnd w:id="288"/>
      <w:bookmarkEnd w:id="289"/>
    </w:p>
    <w:p w14:paraId="7117DB89">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除专用术语外，合同使用的语言文字为中文。必要时专用术语应附有中文注释。</w:t>
      </w:r>
    </w:p>
    <w:p w14:paraId="3B4DFEF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90" w:name="_Toc265653828"/>
      <w:bookmarkStart w:id="291" w:name="_Toc265954883"/>
      <w:bookmarkStart w:id="292" w:name="_Toc13613"/>
      <w:bookmarkStart w:id="293" w:name="_Toc229450762"/>
      <w:bookmarkStart w:id="294" w:name="_Toc265954584"/>
      <w:bookmarkStart w:id="295" w:name="_Toc19932195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 法律</w:t>
      </w:r>
      <w:bookmarkEnd w:id="290"/>
      <w:bookmarkEnd w:id="291"/>
      <w:bookmarkEnd w:id="292"/>
      <w:bookmarkEnd w:id="293"/>
      <w:bookmarkEnd w:id="294"/>
      <w:bookmarkEnd w:id="295"/>
    </w:p>
    <w:p w14:paraId="3A3C4997">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适用于合同的法律包括中华人民共和国法律、行政法规、部门规章，以及工程所在地的地方法规、自治条例、单行条例和地方政府规章。</w:t>
      </w:r>
    </w:p>
    <w:p w14:paraId="35DFEE3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296" w:name="_Toc265653829"/>
      <w:bookmarkStart w:id="297" w:name="_Toc22749"/>
      <w:bookmarkStart w:id="298" w:name="_Toc229450763"/>
      <w:bookmarkStart w:id="299" w:name="_Toc265954585"/>
      <w:bookmarkStart w:id="300" w:name="_Toc199321954"/>
      <w:bookmarkStart w:id="301" w:name="_Toc26595488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 合同文件的优先顺序</w:t>
      </w:r>
      <w:bookmarkEnd w:id="296"/>
      <w:bookmarkEnd w:id="297"/>
      <w:bookmarkEnd w:id="298"/>
      <w:bookmarkEnd w:id="299"/>
      <w:bookmarkEnd w:id="300"/>
      <w:bookmarkEnd w:id="301"/>
    </w:p>
    <w:p w14:paraId="6AC35F7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组成合同的各项文件应互相解释，互为说明。除专用合同条款另有约定外，解释合同文件的优先顺序如下：</w:t>
      </w:r>
    </w:p>
    <w:p w14:paraId="6432591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合同协议书；</w:t>
      </w:r>
    </w:p>
    <w:p w14:paraId="7A914AD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中标（成交）通知书；</w:t>
      </w:r>
    </w:p>
    <w:p w14:paraId="32F0A80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投标函及投标函附录；</w:t>
      </w:r>
    </w:p>
    <w:p w14:paraId="556B7FB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专用合同条款；</w:t>
      </w:r>
    </w:p>
    <w:p w14:paraId="18107C6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通用合同条款；</w:t>
      </w:r>
    </w:p>
    <w:p w14:paraId="4B8085B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技术标准和要求；</w:t>
      </w:r>
    </w:p>
    <w:p w14:paraId="1C963CE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图纸；</w:t>
      </w:r>
    </w:p>
    <w:p w14:paraId="4AAA728F">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 己标价工程量清单；</w:t>
      </w:r>
    </w:p>
    <w:p w14:paraId="07F9A43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 其他合同文件。</w:t>
      </w:r>
    </w:p>
    <w:p w14:paraId="0F1E1B7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02" w:name="_Toc265653830"/>
      <w:bookmarkStart w:id="303" w:name="_Toc2357"/>
      <w:bookmarkStart w:id="304" w:name="_Toc199321955"/>
      <w:bookmarkStart w:id="305" w:name="_Toc265954586"/>
      <w:bookmarkStart w:id="306" w:name="_Toc265954885"/>
      <w:bookmarkStart w:id="307" w:name="_Toc22945076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 合同协议书</w:t>
      </w:r>
      <w:bookmarkEnd w:id="302"/>
      <w:bookmarkEnd w:id="303"/>
      <w:bookmarkEnd w:id="304"/>
      <w:bookmarkEnd w:id="305"/>
      <w:bookmarkEnd w:id="306"/>
      <w:bookmarkEnd w:id="307"/>
    </w:p>
    <w:p w14:paraId="1110684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承包人按中标（成交）通知书规定的时间与发包人签订合同协议书。除法律另有规定或合同另有约定外，发包人和承包人的法定代表人或其委托代理人在合同协议书上签字井盖单位章后，合同生效。</w:t>
      </w:r>
    </w:p>
    <w:p w14:paraId="3D7CCFD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08" w:name="_Toc265954886"/>
      <w:bookmarkStart w:id="309" w:name="_Toc229450765"/>
      <w:bookmarkStart w:id="310" w:name="_Toc199321956"/>
      <w:bookmarkStart w:id="311" w:name="_Toc265653831"/>
      <w:bookmarkStart w:id="312" w:name="_Toc265954587"/>
      <w:bookmarkStart w:id="313" w:name="_Toc2262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1.6 图纸和承包人文件</w:t>
      </w:r>
      <w:bookmarkEnd w:id="308"/>
      <w:bookmarkEnd w:id="309"/>
      <w:bookmarkEnd w:id="310"/>
      <w:bookmarkEnd w:id="311"/>
      <w:bookmarkEnd w:id="312"/>
      <w:bookmarkEnd w:id="313"/>
    </w:p>
    <w:p w14:paraId="783E74D2">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314" w:name="_Toc488678368"/>
      <w:bookmarkStart w:id="315" w:name="_Toc491246696"/>
      <w:bookmarkStart w:id="316" w:name="_Toc19932195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1.6.1 图纸的提供</w:t>
      </w:r>
      <w:bookmarkEnd w:id="314"/>
      <w:bookmarkEnd w:id="315"/>
      <w:bookmarkEnd w:id="316"/>
    </w:p>
    <w:p w14:paraId="0F1496F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发包人应按技术标准和要求（合同技术条款）约定的期限和数量将施工图纸以及其它图纸（包括配套说明和有关资料）提供给承包人。由于发包人未按时提供图纸造成工期延误的，按第11.3款的约定办理。</w:t>
      </w:r>
    </w:p>
    <w:p w14:paraId="23EFA918">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317" w:name="_Toc491246697"/>
      <w:bookmarkStart w:id="318" w:name="_Toc199321958"/>
      <w:bookmarkStart w:id="319" w:name="_Toc48867836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1.6.2 承包人提供的文件</w:t>
      </w:r>
      <w:bookmarkEnd w:id="317"/>
      <w:bookmarkEnd w:id="318"/>
      <w:bookmarkEnd w:id="319"/>
    </w:p>
    <w:p w14:paraId="3C36B5C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承包人提供的文件应按技术标准和要求（合同技术条款）约定的期限和数量提供给监理人。监理人应按技术标准和要求（合同技术条款）约定的期限批复承包人。</w:t>
      </w:r>
    </w:p>
    <w:p w14:paraId="19E7F4F3">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320" w:name="_Toc199321959"/>
      <w:bookmarkStart w:id="321" w:name="_Toc491246698"/>
      <w:bookmarkStart w:id="322" w:name="_Toc48867837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1.6.3 图纸的修改</w:t>
      </w:r>
      <w:bookmarkEnd w:id="320"/>
      <w:bookmarkEnd w:id="321"/>
      <w:bookmarkEnd w:id="322"/>
    </w:p>
    <w:p w14:paraId="72ACD276">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6B12DDF1">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323" w:name="_Toc488678371"/>
      <w:bookmarkStart w:id="324" w:name="_Toc199321960"/>
      <w:bookmarkStart w:id="325" w:name="_Toc49124669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1.6.4 图纸的错误</w:t>
      </w:r>
      <w:bookmarkEnd w:id="323"/>
      <w:bookmarkEnd w:id="324"/>
      <w:bookmarkEnd w:id="325"/>
    </w:p>
    <w:p w14:paraId="4DD9681A">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承包人发现发包人提供的图纸存在明显错误或疏忽，应及时通知监理人。</w:t>
      </w:r>
    </w:p>
    <w:p w14:paraId="287B8989">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326" w:name="_Toc491246700"/>
      <w:bookmarkStart w:id="327" w:name="_Toc488678372"/>
      <w:bookmarkStart w:id="328" w:name="_Toc19932196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1.6.5 图纸和承包人文件的保管</w:t>
      </w:r>
      <w:bookmarkEnd w:id="326"/>
      <w:bookmarkEnd w:id="327"/>
      <w:bookmarkEnd w:id="328"/>
    </w:p>
    <w:p w14:paraId="26580950">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监理人和承包人均应在施工场地各保存一套完整的包含第1.6.1项、第1.6.2项、第1.6.3项约定内容的图纸和承包人文件。</w:t>
      </w:r>
    </w:p>
    <w:p w14:paraId="1A6A12E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29" w:name="_Toc199321962"/>
      <w:bookmarkStart w:id="330" w:name="_Toc265653832"/>
      <w:bookmarkStart w:id="331" w:name="_Toc265954887"/>
      <w:bookmarkStart w:id="332" w:name="_Toc29431"/>
      <w:bookmarkStart w:id="333" w:name="_Toc265954588"/>
      <w:bookmarkStart w:id="334" w:name="_Toc22945076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 联络</w:t>
      </w:r>
      <w:bookmarkEnd w:id="329"/>
      <w:bookmarkEnd w:id="330"/>
      <w:bookmarkEnd w:id="331"/>
      <w:bookmarkEnd w:id="332"/>
      <w:bookmarkEnd w:id="333"/>
      <w:bookmarkEnd w:id="334"/>
    </w:p>
    <w:p w14:paraId="72644E1B">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1.7.1 与合同有关的通知、批准、证明、证书、指示、要求、请求、同意、意见、确定和决定等，均应采用书面形式。</w:t>
      </w:r>
    </w:p>
    <w:p w14:paraId="0D155D5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1.7.2 第1.7.1项中的通知、批准、证明、证书、指示、要求、请求、同意、意见、确定和决定等来往函件，均应在合同约定的期限内送达指定地点和接收人，并办理签收手续。</w:t>
      </w:r>
    </w:p>
    <w:p w14:paraId="07ABA6DC">
      <w:pPr>
        <w:pStyle w:val="27"/>
        <w:ind w:left="84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来往函件的送达期限在技术标准和要求（合同技术条款）中约定，送达地点在专用合同条款中约定。</w:t>
      </w:r>
    </w:p>
    <w:p w14:paraId="5F2CF2E1">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1.7.3 来往函件均应按合同约定的期限及时发出和答复，不得无故扣压和拖延，亦不得拒收。否则，由此造成的后果由责任方负责。</w:t>
      </w:r>
    </w:p>
    <w:p w14:paraId="5A6E7AF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35" w:name="_Toc199321963"/>
      <w:bookmarkStart w:id="336" w:name="_Toc229450767"/>
      <w:bookmarkStart w:id="337" w:name="_Toc265954589"/>
      <w:bookmarkStart w:id="338" w:name="_Toc265954888"/>
      <w:bookmarkStart w:id="339" w:name="_Toc265653833"/>
      <w:bookmarkStart w:id="340" w:name="_Toc2069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 转让</w:t>
      </w:r>
      <w:bookmarkEnd w:id="335"/>
      <w:bookmarkEnd w:id="336"/>
      <w:bookmarkEnd w:id="337"/>
      <w:bookmarkEnd w:id="338"/>
      <w:bookmarkEnd w:id="339"/>
      <w:bookmarkEnd w:id="340"/>
    </w:p>
    <w:p w14:paraId="5B70AF7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除合同另有约定外，未经对方当事人同意，一方当事人不得将合同权利全部或部分转让给第三人，也不得全部或部分转移合同义务。</w:t>
      </w:r>
    </w:p>
    <w:p w14:paraId="0D0888F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41" w:name="_Toc199321964"/>
      <w:bookmarkStart w:id="342" w:name="_Toc265954590"/>
      <w:bookmarkStart w:id="343" w:name="_Toc265653834"/>
      <w:bookmarkStart w:id="344" w:name="_Toc7282"/>
      <w:bookmarkStart w:id="345" w:name="_Toc265954889"/>
      <w:bookmarkStart w:id="346" w:name="_Toc22945076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 严禁</w:t>
      </w:r>
      <w:bookmarkEnd w:id="34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贿赂</w:t>
      </w:r>
      <w:bookmarkEnd w:id="342"/>
      <w:bookmarkEnd w:id="343"/>
      <w:bookmarkEnd w:id="344"/>
      <w:bookmarkEnd w:id="345"/>
      <w:bookmarkEnd w:id="346"/>
    </w:p>
    <w:p w14:paraId="1B7AC3DF">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合同双方当事人不得以贿赂或变相贿赂的方式，谋取不当利益或损害对方权益。因贿赂造成对方损失的，行为人应赔偿损失，并承担相应的法律责任。</w:t>
      </w:r>
    </w:p>
    <w:p w14:paraId="4FB9039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47" w:name="_Toc265653835"/>
      <w:bookmarkStart w:id="348" w:name="_Toc265954591"/>
      <w:bookmarkStart w:id="349" w:name="_Toc32602"/>
      <w:bookmarkStart w:id="350" w:name="_Toc199321965"/>
      <w:bookmarkStart w:id="351" w:name="_Toc229450769"/>
      <w:bookmarkStart w:id="352" w:name="_Toc26595489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1.10 化石、文物</w:t>
      </w:r>
      <w:bookmarkEnd w:id="347"/>
      <w:bookmarkEnd w:id="348"/>
      <w:bookmarkEnd w:id="349"/>
      <w:bookmarkEnd w:id="350"/>
      <w:bookmarkEnd w:id="351"/>
      <w:bookmarkEnd w:id="352"/>
    </w:p>
    <w:p w14:paraId="07CAF5C6">
      <w:pPr>
        <w:pStyle w:val="27"/>
        <w:ind w:left="840" w:firstLine="420"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353" w:name="_Toc19932196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1.10.1 在施工场地发掘的所有文物、古迹以及具有地质研究或考古价值的其他遗迹、化石、钱币或物品属于国家所有。一旦发现上述文物，承包人应采取有效合理的保护措施，</w:t>
      </w:r>
      <w:bookmarkEnd w:id="35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止任何人员移动或损坏上述物品，并立即报告当地文物行政部门，同时通知监理人。发包人、监理人和承包人应按文物行政部门要求采取妥善保护措施，由此导致费用增加和(或)工期延误由发包人承担。</w:t>
      </w:r>
    </w:p>
    <w:p w14:paraId="10435877">
      <w:pPr>
        <w:pStyle w:val="27"/>
        <w:ind w:left="840" w:firstLine="41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354" w:name="_Toc199321967"/>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1.10.2 承包人发现文物后不及时报告或隐瞒不报，致使文物丢失或损坏的，应赔偿损失，并承担相应的法律责任。</w:t>
      </w:r>
      <w:bookmarkEnd w:id="354"/>
    </w:p>
    <w:p w14:paraId="02A5952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55" w:name="_Toc229450770"/>
      <w:bookmarkStart w:id="356" w:name="_Toc265653836"/>
      <w:bookmarkStart w:id="357" w:name="_Toc265954592"/>
      <w:bookmarkStart w:id="358" w:name="_Toc199321968"/>
      <w:bookmarkStart w:id="359" w:name="_Toc265954891"/>
      <w:bookmarkStart w:id="360" w:name="_Toc2591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1.11 专利技术</w:t>
      </w:r>
      <w:bookmarkEnd w:id="355"/>
      <w:bookmarkEnd w:id="356"/>
      <w:bookmarkEnd w:id="357"/>
      <w:bookmarkEnd w:id="358"/>
      <w:bookmarkEnd w:id="359"/>
      <w:bookmarkEnd w:id="360"/>
    </w:p>
    <w:p w14:paraId="25582E1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1.11.1 承包人在使用任何材料、承包人设备、工程设备或采用施工工艺时，因侵犯专利权或其他知识产权所引起的责任，由承包人承担，但由于遵照发包人提供的设计或技术标和要求引起的除外。</w:t>
      </w:r>
    </w:p>
    <w:p w14:paraId="42EE2824">
      <w:pPr>
        <w:pStyle w:val="27"/>
        <w:ind w:left="420" w:left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1.11.2 承包人在竞争性磋商响应文件中采用专利技术的，专利技术的使用费包含在投标报价内。</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1.11.3 承包人的技术秘密和声明需要保密的资料和信息，发包人和监理人不得为合同</w:t>
      </w:r>
    </w:p>
    <w:p w14:paraId="4586C57E">
      <w:pPr>
        <w:pStyle w:val="27"/>
        <w:ind w:left="84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以外的目的泄露给他人。</w:t>
      </w:r>
    </w:p>
    <w:p w14:paraId="5E53598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1.11.4 合同实施过程中，发包人要求承包人采用专利技术的，发包人应办理和相应的使用手续，承包人应按发包人约定的条件使用，并承担使用专利技术的相关试验工作，所需费用由发包人承担。</w:t>
      </w:r>
    </w:p>
    <w:p w14:paraId="3E9D5E7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61" w:name="_Toc265954892"/>
      <w:bookmarkStart w:id="362" w:name="_Toc229450771"/>
      <w:bookmarkStart w:id="363" w:name="_Toc265653837"/>
      <w:bookmarkStart w:id="364" w:name="_Toc10452"/>
      <w:bookmarkStart w:id="365" w:name="_Toc265954593"/>
      <w:bookmarkStart w:id="366" w:name="_Toc19932196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1.12 图纸和文件的保密</w:t>
      </w:r>
      <w:bookmarkEnd w:id="361"/>
      <w:bookmarkEnd w:id="362"/>
      <w:bookmarkEnd w:id="363"/>
      <w:bookmarkEnd w:id="364"/>
      <w:bookmarkEnd w:id="365"/>
      <w:bookmarkEnd w:id="366"/>
    </w:p>
    <w:p w14:paraId="363DC25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1.12.1 发包人提供的图纸和文件，未经发包人同意，承包人不得为合同以外的目的泄露给他人或公开发表与引用。</w:t>
      </w:r>
    </w:p>
    <w:p w14:paraId="7A55458A">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1.12.2 承包人提供的文件，未经承包人同意，发包人和监理人不得为合同以外的目的泄露给他人或公开发表与引用。</w:t>
      </w:r>
    </w:p>
    <w:p w14:paraId="3459B95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67" w:name="_Toc23439"/>
      <w:bookmarkStart w:id="368" w:name="_Toc265653838"/>
      <w:bookmarkStart w:id="369" w:name="_Toc265954594"/>
      <w:bookmarkStart w:id="370" w:name="_Toc229450772"/>
      <w:bookmarkStart w:id="371" w:name="_Toc26595489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 发包人义务</w:t>
      </w:r>
      <w:bookmarkEnd w:id="367"/>
      <w:bookmarkEnd w:id="368"/>
      <w:bookmarkEnd w:id="369"/>
      <w:bookmarkEnd w:id="370"/>
      <w:bookmarkEnd w:id="371"/>
    </w:p>
    <w:p w14:paraId="7128225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72" w:name="_Toc29471"/>
      <w:bookmarkStart w:id="373" w:name="_Toc265653839"/>
      <w:bookmarkStart w:id="374" w:name="_Toc265954894"/>
      <w:bookmarkStart w:id="375" w:name="_Toc229450773"/>
      <w:bookmarkStart w:id="376" w:name="_Toc26595459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2.1 遵守法律</w:t>
      </w:r>
      <w:bookmarkEnd w:id="372"/>
      <w:bookmarkEnd w:id="373"/>
      <w:bookmarkEnd w:id="374"/>
      <w:bookmarkEnd w:id="375"/>
      <w:bookmarkEnd w:id="376"/>
    </w:p>
    <w:p w14:paraId="2BBA0E0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发包人在履行合同过程中应遵守法律，并保证承包人免于承担因发包人违反法律而引起的任何责任。</w:t>
      </w:r>
    </w:p>
    <w:p w14:paraId="1BB8821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77" w:name="_Toc265653840"/>
      <w:bookmarkStart w:id="378" w:name="_Toc265954596"/>
      <w:bookmarkStart w:id="379" w:name="_Toc229450774"/>
      <w:bookmarkStart w:id="380" w:name="_Toc25561"/>
      <w:bookmarkStart w:id="381" w:name="_Toc26595489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 发出开工通知</w:t>
      </w:r>
      <w:bookmarkEnd w:id="377"/>
      <w:bookmarkEnd w:id="378"/>
      <w:bookmarkEnd w:id="379"/>
      <w:bookmarkEnd w:id="380"/>
      <w:bookmarkEnd w:id="381"/>
    </w:p>
    <w:p w14:paraId="1063E05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发包人应委托监理人按第11.1款的约定向承包人发出开工通知。</w:t>
      </w:r>
    </w:p>
    <w:p w14:paraId="62A2024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82" w:name="_Toc229450775"/>
      <w:bookmarkStart w:id="383" w:name="_Toc22364"/>
      <w:bookmarkStart w:id="384" w:name="_Toc265954597"/>
      <w:bookmarkStart w:id="385" w:name="_Toc265954896"/>
      <w:bookmarkStart w:id="386" w:name="_Toc26565384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 提供施工场地</w:t>
      </w:r>
      <w:bookmarkEnd w:id="382"/>
      <w:bookmarkEnd w:id="383"/>
      <w:bookmarkEnd w:id="384"/>
      <w:bookmarkEnd w:id="385"/>
      <w:bookmarkEnd w:id="386"/>
    </w:p>
    <w:p w14:paraId="7C3D6E99">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2.3.1 发包人应在合同双方签订合同协议书后的14天内，将本合同工程的施工场地范围图提交给承包人。发包人提供的施工场地范围图应标明场地范围内永久占地与临时占地范围和界限，以及指明提供给承包人用于施工场地布置和范围和界限及其有关资料。</w:t>
      </w:r>
    </w:p>
    <w:p w14:paraId="5BC8CE8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2.3.2 发包人提供的施工用地范围在专用合同条款中约定。</w:t>
      </w:r>
    </w:p>
    <w:p w14:paraId="41A70C7F">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2.3.3 除专用合同条款另有约定外，发包人应按技术标准和要求（合同技术条款）的约定，向承包人提供施工场地内的工程地质图纸和报告，以及地下障碍图纸等施工场地有关资料，并保证资料的真实、准确、完整。</w:t>
      </w:r>
    </w:p>
    <w:p w14:paraId="4097319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87" w:name="_Toc265954897"/>
      <w:bookmarkStart w:id="388" w:name="_Toc229450776"/>
      <w:bookmarkStart w:id="389" w:name="_Toc265954598"/>
      <w:bookmarkStart w:id="390" w:name="_Toc265653842"/>
      <w:bookmarkStart w:id="391" w:name="_Toc1022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 协助承包人办理证件和批件</w:t>
      </w:r>
      <w:bookmarkEnd w:id="387"/>
      <w:bookmarkEnd w:id="388"/>
      <w:bookmarkEnd w:id="389"/>
      <w:bookmarkEnd w:id="390"/>
      <w:bookmarkEnd w:id="391"/>
    </w:p>
    <w:p w14:paraId="035726D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发包人应协助承包人办理法律规定的有关施工证件和批件。</w:t>
      </w:r>
    </w:p>
    <w:p w14:paraId="4179883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92" w:name="_Toc265954898"/>
      <w:bookmarkStart w:id="393" w:name="_Toc265653843"/>
      <w:bookmarkStart w:id="394" w:name="_Toc265954599"/>
      <w:bookmarkStart w:id="395" w:name="_Toc78"/>
      <w:bookmarkStart w:id="396" w:name="_Toc22945077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2.5 组织设计交底</w:t>
      </w:r>
      <w:bookmarkEnd w:id="392"/>
      <w:bookmarkEnd w:id="393"/>
      <w:bookmarkEnd w:id="394"/>
      <w:bookmarkEnd w:id="395"/>
      <w:bookmarkEnd w:id="396"/>
    </w:p>
    <w:p w14:paraId="6E6B100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发包人应根据合同进度计划，组织设计单位向承包人进行设计交底。</w:t>
      </w:r>
    </w:p>
    <w:p w14:paraId="1C52ADE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397" w:name="_Toc30353"/>
      <w:bookmarkStart w:id="398" w:name="_Toc229450778"/>
      <w:bookmarkStart w:id="399" w:name="_Toc265954899"/>
      <w:bookmarkStart w:id="400" w:name="_Toc265954600"/>
      <w:bookmarkStart w:id="401" w:name="_Toc26565384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2.6 支付合同价款</w:t>
      </w:r>
      <w:bookmarkEnd w:id="397"/>
      <w:bookmarkEnd w:id="398"/>
      <w:bookmarkEnd w:id="399"/>
      <w:bookmarkEnd w:id="400"/>
      <w:bookmarkEnd w:id="401"/>
    </w:p>
    <w:p w14:paraId="2AE6CE0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发包人应按合同约定向承包人及时支付合同价款。</w:t>
      </w:r>
    </w:p>
    <w:p w14:paraId="737B1BE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02" w:name="_Toc229450779"/>
      <w:bookmarkStart w:id="403" w:name="_Toc265653845"/>
      <w:bookmarkStart w:id="404" w:name="_Toc265954900"/>
      <w:bookmarkStart w:id="405" w:name="_Toc15520"/>
      <w:bookmarkStart w:id="406" w:name="_Toc26595460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2.7 组织竣工验收</w:t>
      </w:r>
      <w:bookmarkEnd w:id="40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（组织法人验收）</w:t>
      </w:r>
      <w:bookmarkEnd w:id="403"/>
      <w:bookmarkEnd w:id="404"/>
      <w:bookmarkEnd w:id="405"/>
      <w:bookmarkEnd w:id="406"/>
    </w:p>
    <w:p w14:paraId="54EAC862">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发包人应按合同约定及时组织法人验收。</w:t>
      </w:r>
    </w:p>
    <w:p w14:paraId="4E16327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07" w:name="_Toc265653846"/>
      <w:bookmarkStart w:id="408" w:name="_Toc15129"/>
      <w:bookmarkStart w:id="409" w:name="_Toc265954602"/>
      <w:bookmarkStart w:id="410" w:name="_Toc229450780"/>
      <w:bookmarkStart w:id="411" w:name="_Toc26595490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2.8 其他义务</w:t>
      </w:r>
      <w:bookmarkEnd w:id="407"/>
      <w:bookmarkEnd w:id="408"/>
      <w:bookmarkEnd w:id="409"/>
      <w:bookmarkEnd w:id="410"/>
      <w:bookmarkEnd w:id="411"/>
    </w:p>
    <w:p w14:paraId="449BCBE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其他义务在专用合同条款中补充约定。</w:t>
      </w:r>
    </w:p>
    <w:p w14:paraId="27EA961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12" w:name="_Toc229450781"/>
      <w:bookmarkStart w:id="413" w:name="_Toc265653847"/>
      <w:bookmarkStart w:id="414" w:name="_Toc265954902"/>
      <w:bookmarkStart w:id="415" w:name="_Toc265954603"/>
      <w:bookmarkStart w:id="416" w:name="_Toc11313"/>
      <w:bookmarkStart w:id="417" w:name="_Toc19932197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 监理人</w:t>
      </w:r>
      <w:bookmarkEnd w:id="412"/>
      <w:bookmarkEnd w:id="413"/>
      <w:bookmarkEnd w:id="414"/>
      <w:bookmarkEnd w:id="415"/>
      <w:bookmarkEnd w:id="416"/>
      <w:bookmarkEnd w:id="417"/>
    </w:p>
    <w:p w14:paraId="6D8BDDA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18" w:name="_Toc199321971"/>
      <w:bookmarkStart w:id="419" w:name="_Toc14356"/>
      <w:bookmarkStart w:id="420" w:name="_Toc265954604"/>
      <w:bookmarkStart w:id="421" w:name="_Toc229450782"/>
      <w:bookmarkStart w:id="422" w:name="_Toc265653848"/>
      <w:bookmarkStart w:id="423" w:name="_Toc26595490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3.1 监理人的职责和权力</w:t>
      </w:r>
      <w:bookmarkEnd w:id="418"/>
      <w:bookmarkEnd w:id="419"/>
      <w:bookmarkEnd w:id="420"/>
      <w:bookmarkEnd w:id="421"/>
      <w:bookmarkEnd w:id="422"/>
      <w:bookmarkEnd w:id="423"/>
    </w:p>
    <w:p w14:paraId="29C2EA1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3.1.1 监理人受发包人委托，享有合同约定的权力。监理人的权力范围在专用合同条件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359C5F6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3.1.2 监理人发出的任何指示应视为已得到发包人的批准，但监理人无权免除或变更合同约定的发包人和承包人的权利、义务和责任。</w:t>
      </w:r>
    </w:p>
    <w:p w14:paraId="4B040E5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3.1.3 合同约定应由承包人承担的义务和责任，不因监理人对承包人提交文件的审查或批准，对工程、材料和设备的检查和检验，以及为实施监理作出的指示等职务行为而减轻或解除。</w:t>
      </w:r>
    </w:p>
    <w:p w14:paraId="75A5F97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24" w:name="_Toc265653849"/>
      <w:bookmarkStart w:id="425" w:name="_Toc229450783"/>
      <w:bookmarkStart w:id="426" w:name="_Toc265954904"/>
      <w:bookmarkStart w:id="427" w:name="_Toc199321972"/>
      <w:bookmarkStart w:id="428" w:name="_Toc18646"/>
      <w:bookmarkStart w:id="429" w:name="_Toc26595460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3.2 总监理工程师</w:t>
      </w:r>
      <w:bookmarkEnd w:id="424"/>
      <w:bookmarkEnd w:id="425"/>
      <w:bookmarkEnd w:id="426"/>
      <w:bookmarkEnd w:id="427"/>
      <w:bookmarkEnd w:id="428"/>
      <w:bookmarkEnd w:id="429"/>
    </w:p>
    <w:p w14:paraId="7B6115D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发包人应在发出开工通知前将总监理工程师的任命通知承包人。总监理工程师更换时，应在调离14天前通知承包人。总监理工程师短期离开施工场地的，应委派代表代行其职责，并通知承包人。</w:t>
      </w:r>
    </w:p>
    <w:p w14:paraId="5690970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30" w:name="_Toc17275"/>
      <w:bookmarkStart w:id="431" w:name="_Toc265954905"/>
      <w:bookmarkStart w:id="432" w:name="_Toc265954606"/>
      <w:bookmarkStart w:id="433" w:name="_Toc199321973"/>
      <w:bookmarkStart w:id="434" w:name="_Toc229450784"/>
      <w:bookmarkStart w:id="435" w:name="_Toc26565385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3.3 监理人员</w:t>
      </w:r>
      <w:bookmarkEnd w:id="430"/>
      <w:bookmarkEnd w:id="431"/>
      <w:bookmarkEnd w:id="432"/>
      <w:bookmarkEnd w:id="433"/>
      <w:bookmarkEnd w:id="434"/>
      <w:bookmarkEnd w:id="435"/>
    </w:p>
    <w:p w14:paraId="03FEB5F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36" w:name="_Toc19932197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3.3.1 总监理工程师可以授权其他监理人员负责执行其指派的一项或多项监理工作。总</w:t>
      </w:r>
      <w:bookmarkEnd w:id="43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D98B1E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37" w:name="_Toc19932197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3.3.2 监理人员对承包人的任何工作、工程或其采用的材料和工程设备未在约定的或合</w:t>
      </w:r>
      <w:bookmarkEnd w:id="43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理的期限内提出否定意见的，视为己获批准，但不影响监理人在以后拒绝该项工作、工程、材料或工程设备的权利。</w:t>
      </w:r>
    </w:p>
    <w:p w14:paraId="45EEDD7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38" w:name="_Toc19932197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3.3.3 承包人对总监理工程师授权的监理人员发出的指示有疑问的，可向总监理工程师</w:t>
      </w:r>
      <w:bookmarkEnd w:id="43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提出书面异议，总监理工程师应在48小时内对该指示予以确认、更改或撤销。</w:t>
      </w:r>
    </w:p>
    <w:p w14:paraId="77B1F3B1">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39" w:name="_Toc19932197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3.3.4</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除专用合同条款另有约定外，总监理工程师不应将第3.5款约定应由总监理工程</w:t>
      </w:r>
      <w:bookmarkEnd w:id="43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师作出确定的权力授权或委托给其他监理人员。</w:t>
      </w:r>
    </w:p>
    <w:p w14:paraId="00DEBD9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40" w:name="_Toc265954906"/>
      <w:bookmarkStart w:id="441" w:name="_Toc11840"/>
      <w:bookmarkStart w:id="442" w:name="_Toc265954607"/>
      <w:bookmarkStart w:id="443" w:name="_Toc199321978"/>
      <w:bookmarkStart w:id="444" w:name="_Toc229450785"/>
      <w:bookmarkStart w:id="445" w:name="_Toc26565385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3.4 监理人的指示</w:t>
      </w:r>
      <w:bookmarkEnd w:id="440"/>
      <w:bookmarkEnd w:id="441"/>
      <w:bookmarkEnd w:id="442"/>
      <w:bookmarkEnd w:id="443"/>
      <w:bookmarkEnd w:id="444"/>
      <w:bookmarkEnd w:id="445"/>
    </w:p>
    <w:p w14:paraId="7C1D3B06">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3.4.1 监理人应按第3.1 款的约定向承包人发出指示，监理人的指示应盖有监理人授权的施工场地机构章，并由总监理工程师或总监理工程师按第3.3.1项约定授权的监理人员签字。</w:t>
      </w:r>
    </w:p>
    <w:p w14:paraId="086E533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3.4.2 承包人收到监理人按第3.4.1项作出的指示后应遵照执行。指示构成变更的，应按第15条处理。</w:t>
      </w:r>
    </w:p>
    <w:p w14:paraId="0B7B1191">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B5D9E14">
      <w:pPr>
        <w:pStyle w:val="27"/>
        <w:ind w:left="840" w:firstLine="41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3.4.4</w:t>
      </w:r>
      <w:r>
        <w:rPr>
          <w:rFonts w:hint="eastAsia" w:asciiTheme="minorEastAsia" w:hAnsiTheme="minorEastAsia" w:eastAsiaTheme="minorEastAsia" w:cstheme="minorEastAsia"/>
          <w:b/>
          <w:color w:val="000000" w:themeColor="text1"/>
          <w:spacing w:val="-2"/>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除合同另有约定外,承包人只从总监理工程师或按第3.3.1项被授权的监理人员处取得指示。</w:t>
      </w:r>
    </w:p>
    <w:p w14:paraId="218613C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3.4.5</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由于监理人未能按合同约定发出指示、指示延误或指示错误而导致承包人费用增加和(或)工期延误的，由发包人承担赔偿责任。</w:t>
      </w:r>
    </w:p>
    <w:p w14:paraId="2FB24B3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46" w:name="_Toc229450786"/>
      <w:bookmarkStart w:id="447" w:name="_Toc265954608"/>
      <w:bookmarkStart w:id="448" w:name="_Toc199321979"/>
      <w:bookmarkStart w:id="449" w:name="_Toc31112"/>
      <w:bookmarkStart w:id="450" w:name="_Toc265954907"/>
      <w:bookmarkStart w:id="451" w:name="_Toc26565385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3.5 商定或确定</w:t>
      </w:r>
      <w:bookmarkEnd w:id="446"/>
      <w:bookmarkEnd w:id="447"/>
      <w:bookmarkEnd w:id="448"/>
      <w:bookmarkEnd w:id="449"/>
      <w:bookmarkEnd w:id="450"/>
      <w:bookmarkEnd w:id="451"/>
    </w:p>
    <w:p w14:paraId="65FCF34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52" w:name="_Toc19932198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3.5.1 合同约定总监理工程师应按照本款对任何事项进行商定或确定时，总监理工程师</w:t>
      </w:r>
      <w:bookmarkEnd w:id="45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应与合同当事人协商，尽量达成一致。不能达成一致的，总监理工程师应认真研究后审慎确定。</w:t>
      </w:r>
    </w:p>
    <w:p w14:paraId="340D79E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53" w:name="_Toc19932198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3.5.2 总监理工程师应将商定或确定的事项通知合同当事人，并附详细依据。对总监理</w:t>
      </w:r>
      <w:bookmarkEnd w:id="45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工程师的确定有异议的，构成争议，按照第24 条的约定处理。在争议解决前，双方应暂按总监理工程师的确定执行，按照第24 条的约定对总监理工程师的确定作出修改的，按修改后的结果执行。</w:t>
      </w:r>
    </w:p>
    <w:p w14:paraId="040B6D7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54" w:name="_Toc199321982"/>
      <w:bookmarkStart w:id="455" w:name="_Toc265954908"/>
      <w:bookmarkStart w:id="456" w:name="_Toc229450787"/>
      <w:bookmarkStart w:id="457" w:name="_Toc265653853"/>
      <w:bookmarkStart w:id="458" w:name="_Toc25051"/>
      <w:bookmarkStart w:id="459" w:name="_Toc26595460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 承包人</w:t>
      </w:r>
      <w:bookmarkEnd w:id="454"/>
      <w:bookmarkEnd w:id="455"/>
      <w:bookmarkEnd w:id="456"/>
      <w:bookmarkEnd w:id="457"/>
      <w:bookmarkEnd w:id="458"/>
      <w:bookmarkEnd w:id="459"/>
    </w:p>
    <w:p w14:paraId="4573251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60" w:name="_Toc265653854"/>
      <w:bookmarkStart w:id="461" w:name="_Toc265954610"/>
      <w:bookmarkStart w:id="462" w:name="_Toc229450788"/>
      <w:bookmarkStart w:id="463" w:name="_Toc265954909"/>
      <w:bookmarkStart w:id="464" w:name="_Toc17293"/>
      <w:bookmarkStart w:id="465" w:name="_Toc19932198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4.1 承包人的一般义务</w:t>
      </w:r>
      <w:bookmarkEnd w:id="460"/>
      <w:bookmarkEnd w:id="461"/>
      <w:bookmarkEnd w:id="462"/>
      <w:bookmarkEnd w:id="463"/>
      <w:bookmarkEnd w:id="464"/>
      <w:bookmarkEnd w:id="465"/>
    </w:p>
    <w:p w14:paraId="6D62489B">
      <w:pPr>
        <w:pStyle w:val="27"/>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4.1.1遵守法律</w:t>
      </w:r>
    </w:p>
    <w:p w14:paraId="6E88421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承包人在履行合同过程中应遵守法律，并保证发包人免于承担因承包人违反法律而引起的任何责任。</w:t>
      </w:r>
    </w:p>
    <w:p w14:paraId="7C5B6568">
      <w:pPr>
        <w:pStyle w:val="27"/>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66" w:name="_Toc199321984"/>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4.1.2 依法纳税</w:t>
      </w:r>
      <w:bookmarkEnd w:id="466"/>
    </w:p>
    <w:p w14:paraId="594E41E3">
      <w:pPr>
        <w:autoSpaceDE w:val="0"/>
        <w:autoSpaceDN w:val="0"/>
        <w:adjustRightInd w:val="0"/>
        <w:ind w:firstLine="31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承包人应按有关法律规定纳税，应缴纳的税金包括在合同价格内。</w:t>
      </w:r>
    </w:p>
    <w:p w14:paraId="2A428C17">
      <w:pPr>
        <w:pStyle w:val="27"/>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67" w:name="_Toc199321985"/>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4.1.3 完成各项承包工作</w:t>
      </w:r>
      <w:bookmarkEnd w:id="467"/>
    </w:p>
    <w:p w14:paraId="5605140A">
      <w:pPr>
        <w:autoSpaceDE w:val="0"/>
        <w:autoSpaceDN w:val="0"/>
        <w:adjustRightInd w:val="0"/>
        <w:ind w:firstLine="413" w:firstLineChars="19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合同约定以及监理人根据第3.4款作出的指示，实施、完成全部工程，并修补工程中的任何缺陷。除5.2款、第6.2款另有约定外，承包人应提供为完成合同工作所需的劳务、材料、施工设备、工程设备和其它物品，并按合同约定负责临时设施的设计、建造、运行、维护、管理和拆除。</w:t>
      </w:r>
    </w:p>
    <w:p w14:paraId="1BDE9AA1">
      <w:pPr>
        <w:autoSpaceDE w:val="0"/>
        <w:autoSpaceDN w:val="0"/>
        <w:adjustRightInd w:val="0"/>
        <w:ind w:firstLine="413" w:firstLineChars="19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45DEC18B">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68" w:name="_Toc199321986"/>
      <w:bookmarkStart w:id="469" w:name="_Toc491246724"/>
      <w:bookmarkStart w:id="470" w:name="_Toc488678396"/>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4.1.4 对施工作业和施工方法的完备性负责</w:t>
      </w:r>
      <w:bookmarkEnd w:id="468"/>
      <w:bookmarkEnd w:id="469"/>
      <w:bookmarkEnd w:id="470"/>
    </w:p>
    <w:p w14:paraId="0DB3CE09">
      <w:pPr>
        <w:autoSpaceDE w:val="0"/>
        <w:autoSpaceDN w:val="0"/>
        <w:adjustRightInd w:val="0"/>
        <w:ind w:firstLine="308" w:firstLineChars="14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承包人应按合同约定的工作内容和施工进度要求，编制施工组织设计和施工措施计划，并对所有施工作业和施工方法的完备性和安全可靠性负责。</w:t>
      </w:r>
    </w:p>
    <w:p w14:paraId="45F3EF42">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71" w:name="_Toc199321987"/>
      <w:bookmarkStart w:id="472" w:name="_Toc488678397"/>
      <w:bookmarkStart w:id="473" w:name="_Toc491246725"/>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4.1.5 保证工程施工和人员的安全</w:t>
      </w:r>
      <w:bookmarkEnd w:id="471"/>
      <w:bookmarkEnd w:id="472"/>
      <w:bookmarkEnd w:id="473"/>
    </w:p>
    <w:p w14:paraId="3A2E957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承包人应按第9.2 款约定采取施工安全措施，确保工程及其人员、材料、设备和设施的安全，防止因工程施工造成的人身伤害和财产损失。</w:t>
      </w:r>
    </w:p>
    <w:p w14:paraId="2828AB95">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74" w:name="_Toc199321988"/>
      <w:bookmarkStart w:id="475" w:name="_Toc488678398"/>
      <w:bookmarkStart w:id="476" w:name="_Toc491246726"/>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4.1.6 负责施工场地及其周边环境与生态的保护工作</w:t>
      </w:r>
      <w:bookmarkEnd w:id="474"/>
      <w:bookmarkEnd w:id="475"/>
      <w:bookmarkEnd w:id="476"/>
    </w:p>
    <w:p w14:paraId="3B4B3331">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承包人应按照第9.4款约定负责施工场地及其周边环境与生态的保护工作。</w:t>
      </w:r>
    </w:p>
    <w:p w14:paraId="4EF7C441">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77" w:name="_Toc488678399"/>
      <w:bookmarkStart w:id="478" w:name="_Toc199321989"/>
      <w:bookmarkStart w:id="479" w:name="_Toc491246727"/>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4.1.7 避免施工对公众与他人的利益造成损害</w:t>
      </w:r>
      <w:bookmarkEnd w:id="477"/>
      <w:bookmarkEnd w:id="478"/>
      <w:bookmarkEnd w:id="479"/>
    </w:p>
    <w:p w14:paraId="1230C935">
      <w:pPr>
        <w:autoSpaceDE w:val="0"/>
        <w:autoSpaceDN w:val="0"/>
        <w:adjustRightInd w:val="0"/>
        <w:ind w:firstLine="420" w:firstLineChars="200"/>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4A3B6B0">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80" w:name="_Toc199321990"/>
      <w:bookmarkStart w:id="481" w:name="_Toc488678400"/>
      <w:bookmarkStart w:id="482" w:name="_Toc491246728"/>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4.1.8 为他人提供方便</w:t>
      </w:r>
      <w:bookmarkEnd w:id="480"/>
      <w:bookmarkEnd w:id="481"/>
      <w:bookmarkEnd w:id="482"/>
    </w:p>
    <w:p w14:paraId="47A4863B">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承包人应按监理人的指示为他人在施工场地或附近实施与工程有关的其他各项工作提供可能的条件。除合同另有约定外，提供有关条件的内容和可能发生的费用，由监理人按第</w:t>
      </w:r>
      <w:bookmarkStart w:id="483" w:name="_Toc199321991"/>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3.5 款商定或确定</w:t>
      </w:r>
      <w:bookmarkEnd w:id="483"/>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0DBE6EDC">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84" w:name="_Toc491246729"/>
      <w:bookmarkStart w:id="485" w:name="_Toc488678401"/>
      <w:bookmarkStart w:id="486" w:name="_Toc199321992"/>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4.1.9 工程的维护和照管</w:t>
      </w:r>
      <w:bookmarkEnd w:id="484"/>
      <w:bookmarkEnd w:id="485"/>
      <w:bookmarkEnd w:id="486"/>
    </w:p>
    <w:p w14:paraId="5DAFB733">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39141218">
      <w:pPr>
        <w:pStyle w:val="27"/>
        <w:widowControl/>
        <w:ind w:left="840" w:firstLine="422" w:firstLineChars="200"/>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bookmarkStart w:id="487" w:name="_Toc488678402"/>
      <w:bookmarkStart w:id="488" w:name="_Toc199321993"/>
      <w:bookmarkStart w:id="489" w:name="_Toc491246730"/>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4.1.10 其他义务</w:t>
      </w:r>
      <w:bookmarkEnd w:id="487"/>
      <w:bookmarkEnd w:id="488"/>
      <w:bookmarkEnd w:id="489"/>
    </w:p>
    <w:p w14:paraId="5206F22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其它义务在专用合同条款中补充约定。</w:t>
      </w:r>
    </w:p>
    <w:p w14:paraId="6F843D9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90" w:name="_Toc199321994"/>
      <w:bookmarkStart w:id="491" w:name="_Toc229450789"/>
      <w:bookmarkStart w:id="492" w:name="_Toc265653855"/>
      <w:bookmarkStart w:id="493" w:name="_Toc8934"/>
      <w:bookmarkStart w:id="494" w:name="_Toc265954611"/>
      <w:bookmarkStart w:id="495" w:name="_Toc26595491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4.2 履约担保</w:t>
      </w:r>
      <w:bookmarkEnd w:id="490"/>
      <w:bookmarkEnd w:id="491"/>
      <w:bookmarkEnd w:id="492"/>
      <w:bookmarkEnd w:id="493"/>
      <w:bookmarkEnd w:id="494"/>
      <w:bookmarkEnd w:id="495"/>
    </w:p>
    <w:p w14:paraId="3F3BED5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承包人应保证其履约担保在发包人颁发合同工程完工证书前一直有效。发包人应在合同工程完工证书颁发后28天内将履约担保退还给承包人。</w:t>
      </w:r>
    </w:p>
    <w:p w14:paraId="790D565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496" w:name="_Toc199321995"/>
      <w:bookmarkStart w:id="497" w:name="_Toc265954612"/>
      <w:bookmarkStart w:id="498" w:name="_Toc265954911"/>
      <w:bookmarkStart w:id="499" w:name="_Toc14905"/>
      <w:bookmarkStart w:id="500" w:name="_Toc265653856"/>
      <w:bookmarkStart w:id="501" w:name="_Toc22945079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4.3 分包</w:t>
      </w:r>
      <w:bookmarkEnd w:id="496"/>
      <w:bookmarkEnd w:id="497"/>
      <w:bookmarkEnd w:id="498"/>
      <w:bookmarkEnd w:id="499"/>
      <w:bookmarkEnd w:id="500"/>
      <w:bookmarkEnd w:id="501"/>
    </w:p>
    <w:p w14:paraId="0FB6D7E6">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4.3.1 承包人不得将其承包的全部工程转包给第三人，或将其承包的全部工程肢解后以分包的名义转包给第三人。</w:t>
      </w:r>
    </w:p>
    <w:p w14:paraId="7485495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4.3.2 承包人不得将工程主体、关键性工作分包给第三人。除专用合同条款另有约定外，未经发包人同意，承包人不得将工程的其他部分或工作分包给第三人。</w:t>
      </w:r>
    </w:p>
    <w:p w14:paraId="385AECE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4.3.3</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分包人的资格能力应与其分包工程的标准和规模相适应。</w:t>
      </w:r>
    </w:p>
    <w:p w14:paraId="133EA47F">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4.3.4</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按投标函附录约定分包工程的，承包人应向发包人和监理人提交分包合同副本。4.3.5 承包人应与分包人就分包工程向发包人承担连带责任。</w:t>
      </w:r>
    </w:p>
    <w:p w14:paraId="6539626B">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4.3.6 分包分为工程分包和劳务作业分包。工程分包应遵循合同约定或者经发包人书面认可。禁止承包人将本合同进行违法分包。分包人应具备与分包工程规模和标准相适应的资质和业绩，在人力、设备、资金等方面具有承担分包工程施工的能力。分包人应自行完成所承包的任务。</w:t>
      </w:r>
    </w:p>
    <w:p w14:paraId="65818B3F">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35C7CAB3">
      <w:pPr>
        <w:pStyle w:val="27"/>
        <w:ind w:left="420" w:leftChars="200" w:firstLine="315" w:firstLineChars="15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由指定分包人造成的与其分包工作有关的一切索赔、诉讼和损失赔偿由分包人直接对发包人负责，承包人不对此承担责任。</w:t>
      </w:r>
    </w:p>
    <w:p w14:paraId="4CB8148F">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4CF9A27E">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4.3.9 除第4.3.7项规定的指定分包外，承包人对其分包项目的实施以及分包人的行为向发包人负全部责任。承包人应对分包外项目的工程进度、质量、安全、计量和验收等实施监督和管理。</w:t>
      </w:r>
    </w:p>
    <w:p w14:paraId="1FDB8EDF">
      <w:pPr>
        <w:pStyle w:val="27"/>
        <w:ind w:left="420" w:left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4.3.10分包人应按专用合同条款的约定设立项目管理机构组织管理分包工程的施工活动。</w:t>
      </w:r>
    </w:p>
    <w:p w14:paraId="4504C55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02" w:name="_Toc265954613"/>
      <w:bookmarkStart w:id="503" w:name="_Toc265653857"/>
      <w:bookmarkStart w:id="504" w:name="_Toc19481"/>
      <w:bookmarkStart w:id="505" w:name="_Toc265954912"/>
      <w:bookmarkStart w:id="506" w:name="_Toc199321996"/>
      <w:bookmarkStart w:id="507" w:name="_Toc22945079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4.4 联合体</w:t>
      </w:r>
      <w:bookmarkEnd w:id="502"/>
      <w:bookmarkEnd w:id="503"/>
      <w:bookmarkEnd w:id="504"/>
      <w:bookmarkEnd w:id="505"/>
      <w:bookmarkEnd w:id="506"/>
      <w:bookmarkEnd w:id="507"/>
    </w:p>
    <w:p w14:paraId="6313B3FB">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4.4.1联合体各方应共同与发包人签订合同协议书。联合体各方应为履行合同承担连带责任。</w:t>
      </w:r>
    </w:p>
    <w:p w14:paraId="05EC9D6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4.4.2联合体协议经发包人确认后作为合同附件。在履行合同过程中，未经发包人同意，不得修改联合体协议。</w:t>
      </w:r>
    </w:p>
    <w:p w14:paraId="615FE7AA">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4.4.3联合体牵头人负责与发包人和监理人联系，并接受指示，负责组织联合体各成员全面履行合同。</w:t>
      </w:r>
    </w:p>
    <w:p w14:paraId="37473DC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08" w:name="_Toc229450792"/>
      <w:bookmarkStart w:id="509" w:name="_Toc265653858"/>
      <w:bookmarkStart w:id="510" w:name="_Toc265954913"/>
      <w:bookmarkStart w:id="511" w:name="_Toc26399"/>
      <w:bookmarkStart w:id="512" w:name="_Toc265954614"/>
      <w:bookmarkStart w:id="513" w:name="_Toc19932200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4.5 承包人项目经理</w:t>
      </w:r>
      <w:bookmarkEnd w:id="508"/>
      <w:bookmarkEnd w:id="509"/>
      <w:bookmarkEnd w:id="510"/>
      <w:bookmarkEnd w:id="511"/>
      <w:bookmarkEnd w:id="512"/>
      <w:bookmarkEnd w:id="513"/>
    </w:p>
    <w:p w14:paraId="4319A6AD">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14" w:name="_Toc19932200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4.5.1 承包人应按合同约定指派项目经理，并在约定的期限内到职。承包人更换项目经</w:t>
      </w:r>
      <w:bookmarkEnd w:id="51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理应事先征得发包人同意，并应在更换14天前通知发包人和监理人。承包人项目经理短期离开施工场地，应事先征得监理人同意，并委派代表代行其职责。</w:t>
      </w:r>
    </w:p>
    <w:p w14:paraId="4A1C1B3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15" w:name="_Toc19932200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4.5.2 承包人项目经理应按合同约定以及监理人接第3.4款作出的指示，负责组织合同</w:t>
      </w:r>
      <w:bookmarkEnd w:id="51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工程的实施。在情况紧急且无法与监理人取得联系时，可采取保证工程和人员生命财产安全的紧急措施，并在采取措施后24小时内向监理人提交书面报告。</w:t>
      </w:r>
    </w:p>
    <w:p w14:paraId="334C8A5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16" w:name="_Toc19932200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4.5.3 承包人为履行合同发出的一切函件均应盖有承包人授权的施工场地管理机构章，</w:t>
      </w:r>
      <w:bookmarkEnd w:id="51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并由承包人项目经理或其授权代表签字。</w:t>
      </w:r>
    </w:p>
    <w:p w14:paraId="1A64B78D">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17" w:name="_Toc19932200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4.5.4 承包人项目经理可以授权其下属人员履行其某项职责，但事先应将这些人员的姓</w:t>
      </w:r>
      <w:bookmarkEnd w:id="51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名和授权范围通知监理人。</w:t>
      </w:r>
    </w:p>
    <w:p w14:paraId="24E264A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18" w:name="_Toc23432"/>
      <w:bookmarkStart w:id="519" w:name="_Toc199322005"/>
      <w:bookmarkStart w:id="520" w:name="_Toc265653859"/>
      <w:bookmarkStart w:id="521" w:name="_Toc265954914"/>
      <w:bookmarkStart w:id="522" w:name="_Toc229450793"/>
      <w:bookmarkStart w:id="523" w:name="_Toc26595461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4.6 承包人人员的管理</w:t>
      </w:r>
      <w:bookmarkEnd w:id="518"/>
      <w:bookmarkEnd w:id="519"/>
      <w:bookmarkEnd w:id="520"/>
      <w:bookmarkEnd w:id="521"/>
      <w:bookmarkEnd w:id="522"/>
      <w:bookmarkEnd w:id="523"/>
    </w:p>
    <w:p w14:paraId="1C3D337E">
      <w:pPr>
        <w:pStyle w:val="27"/>
        <w:ind w:left="840" w:firstLine="396" w:firstLineChars="200"/>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4.6.1</w:t>
      </w:r>
      <w:r>
        <w:rPr>
          <w:rFonts w:hint="eastAsia" w:asciiTheme="minorEastAsia" w:hAnsiTheme="minorEastAsia" w:eastAsiaTheme="minorEastAsia" w:cstheme="minorEastAsia"/>
          <w:b/>
          <w:color w:val="000000" w:themeColor="text1"/>
          <w:spacing w:val="-6"/>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承包人应在接到开工通知后10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2ED18CD">
      <w:pPr>
        <w:pStyle w:val="27"/>
        <w:ind w:left="840" w:firstLine="404" w:firstLineChars="200"/>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4.6.2 为完成合同约定的各项工作，承包人应向施工场地派遣或雇佣足够数量的下列人员:</w:t>
      </w:r>
    </w:p>
    <w:p w14:paraId="0CDD5AE0">
      <w:pPr>
        <w:autoSpaceDE w:val="0"/>
        <w:autoSpaceDN w:val="0"/>
        <w:adjustRightInd w:val="0"/>
        <w:ind w:firstLine="831" w:firstLineChars="39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具有相应资格的专业技工和合格的普工；</w:t>
      </w:r>
    </w:p>
    <w:p w14:paraId="22F3F428">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具有相应施工经验的技术人员；</w:t>
      </w:r>
    </w:p>
    <w:p w14:paraId="03EA5F87">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具有相应岗位资格的各级管理人员。</w:t>
      </w:r>
    </w:p>
    <w:p w14:paraId="515F6BF9">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4.6.3 承包人安排在施工场地的主要管理人员和技术骨干应相对稳定。承包人更换主要管理人员和技术骨干时，应取得监理人的同意。</w:t>
      </w:r>
    </w:p>
    <w:p w14:paraId="54BE168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4.6.4 特殊岗位的工作人员均应持有相应的资格证明，监理人有权随时检查。监理人认为有必要时，可进行现场考核。</w:t>
      </w:r>
    </w:p>
    <w:p w14:paraId="1B74436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24" w:name="_Toc265653860"/>
      <w:bookmarkStart w:id="525" w:name="_Toc265954616"/>
      <w:bookmarkStart w:id="526" w:name="_Toc265954915"/>
      <w:bookmarkStart w:id="527" w:name="_Toc199322006"/>
      <w:bookmarkStart w:id="528" w:name="_Toc229450794"/>
      <w:bookmarkStart w:id="529" w:name="_Toc1831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4.7 撤换承包人项目经理和其他人员</w:t>
      </w:r>
      <w:bookmarkEnd w:id="524"/>
      <w:bookmarkEnd w:id="525"/>
      <w:bookmarkEnd w:id="526"/>
      <w:bookmarkEnd w:id="527"/>
      <w:bookmarkEnd w:id="528"/>
      <w:bookmarkEnd w:id="529"/>
    </w:p>
    <w:p w14:paraId="564A2C3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承包人应对其项目经理和其他人员进行有效管理.监理人要求撤换不能胜任本职工作、行为不端或玩忽职守的承包人项目经理和其他人员的，承包人应予以撤换。</w:t>
      </w:r>
    </w:p>
    <w:p w14:paraId="768E3DF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30" w:name="_Toc265954916"/>
      <w:bookmarkStart w:id="531" w:name="_Toc265653861"/>
      <w:bookmarkStart w:id="532" w:name="_Toc199322007"/>
      <w:bookmarkStart w:id="533" w:name="_Toc265954617"/>
      <w:bookmarkStart w:id="534" w:name="_Toc229450795"/>
      <w:bookmarkStart w:id="535" w:name="_Toc683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4.8 保障承包人人员的合法权益</w:t>
      </w:r>
      <w:bookmarkEnd w:id="530"/>
      <w:bookmarkEnd w:id="531"/>
      <w:bookmarkEnd w:id="532"/>
      <w:bookmarkEnd w:id="533"/>
      <w:bookmarkEnd w:id="534"/>
      <w:bookmarkEnd w:id="535"/>
    </w:p>
    <w:p w14:paraId="49EC620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4.8.1</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承包人应与其雇佣的人员签订劳动合同，并按时发放工资。</w:t>
      </w:r>
    </w:p>
    <w:p w14:paraId="0C7AA2CF">
      <w:pPr>
        <w:pStyle w:val="27"/>
        <w:ind w:left="840" w:firstLine="404" w:firstLineChars="200"/>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4.8.2 承包人应按劳动法的规定安排工作时间，保证其雇佣人员享有休息和休假的权利。</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因工程施工的特殊需要占用体假日或延长工作时间的，应不超过法律规定的限度，并按法律规定给予补休或付酬.</w:t>
      </w:r>
    </w:p>
    <w:p w14:paraId="57C48C01">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4.8.3 承包人应为其雇佣人员提供必要的食宿条件，以及符合环境保护和卫生要求的生活环境，在远离城镇的施工场地，还应配备必要的伤病防治和急救的医务人员与医疗设施。</w:t>
      </w:r>
    </w:p>
    <w:p w14:paraId="2A3BF408">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4.8.4</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590D9F7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4.8.5 承包人应按有关法律规定和合同约定，为其雇佣人员办理保险。</w:t>
      </w:r>
    </w:p>
    <w:p w14:paraId="7AAA5EE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4.8.6 承包人应负责处理其雇佣人员因工伤亡事故的善后事宣。</w:t>
      </w:r>
    </w:p>
    <w:p w14:paraId="7508C91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36" w:name="_Toc17132"/>
      <w:bookmarkStart w:id="537" w:name="_Toc229450796"/>
      <w:bookmarkStart w:id="538" w:name="_Toc265954917"/>
      <w:bookmarkStart w:id="539" w:name="_Toc265653862"/>
      <w:bookmarkStart w:id="540" w:name="_Toc265954618"/>
      <w:bookmarkStart w:id="541" w:name="_Toc19932200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4.9 工程价款应专款专用</w:t>
      </w:r>
      <w:bookmarkEnd w:id="536"/>
      <w:bookmarkEnd w:id="537"/>
      <w:bookmarkEnd w:id="538"/>
      <w:bookmarkEnd w:id="539"/>
      <w:bookmarkEnd w:id="540"/>
      <w:bookmarkEnd w:id="541"/>
    </w:p>
    <w:p w14:paraId="6D1788A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发包人按合同约定支付给承包人的各项价款应专用于合同工程。</w:t>
      </w:r>
    </w:p>
    <w:p w14:paraId="3AE1DD3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42" w:name="_Toc265653863"/>
      <w:bookmarkStart w:id="543" w:name="_Toc265954918"/>
      <w:bookmarkStart w:id="544" w:name="_Toc28612"/>
      <w:bookmarkStart w:id="545" w:name="_Toc265954619"/>
      <w:bookmarkStart w:id="546" w:name="_Toc199322009"/>
      <w:bookmarkStart w:id="547" w:name="_Toc22945079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4.10 承包人现场查勘</w:t>
      </w:r>
      <w:bookmarkEnd w:id="542"/>
      <w:bookmarkEnd w:id="543"/>
      <w:bookmarkEnd w:id="544"/>
      <w:bookmarkEnd w:id="545"/>
      <w:bookmarkEnd w:id="546"/>
      <w:bookmarkEnd w:id="547"/>
    </w:p>
    <w:p w14:paraId="05F02E2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4.10.1</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发包人应将其持有的现场地质勘探资料、水文气象资料提供给承包人，并对其准确性负责。但承包人应对其阅读上述有关资料后所作出的解释和推断负责。</w:t>
      </w:r>
    </w:p>
    <w:p w14:paraId="6A28016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4.10.2</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BC9FDA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48" w:name="_Toc265954620"/>
      <w:bookmarkStart w:id="549" w:name="_Toc229450798"/>
      <w:bookmarkStart w:id="550" w:name="_Toc6458"/>
      <w:bookmarkStart w:id="551" w:name="_Toc265954919"/>
      <w:bookmarkStart w:id="552" w:name="_Toc199322010"/>
      <w:bookmarkStart w:id="553" w:name="_Toc26565386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4.11 不利物质条件</w:t>
      </w:r>
      <w:bookmarkEnd w:id="548"/>
      <w:bookmarkEnd w:id="549"/>
      <w:bookmarkEnd w:id="550"/>
      <w:bookmarkEnd w:id="551"/>
      <w:bookmarkEnd w:id="552"/>
      <w:bookmarkEnd w:id="553"/>
    </w:p>
    <w:p w14:paraId="2F1566A2">
      <w:pPr>
        <w:pStyle w:val="27"/>
        <w:ind w:left="840" w:firstLine="404"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4.11.1除专用合同条款另有约定外，不利物质条件是指在施工中遭遇不可预见的外界障碍或自然条件造成施工受阻。</w:t>
      </w:r>
    </w:p>
    <w:p w14:paraId="630F22B3">
      <w:pPr>
        <w:pStyle w:val="27"/>
        <w:ind w:left="840" w:firstLine="404"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4.11.2 承包人遇到不利物质条件时，应采取适应不利物质条件的合理措施继续施工，并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56B322A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54" w:name="_Toc199322011"/>
      <w:bookmarkStart w:id="555" w:name="_Toc229450799"/>
      <w:bookmarkStart w:id="556" w:name="_Toc265954920"/>
      <w:bookmarkStart w:id="557" w:name="_Toc265954621"/>
      <w:bookmarkStart w:id="558" w:name="_Toc265653865"/>
      <w:bookmarkStart w:id="559" w:name="_Toc2733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 材料和工程设备</w:t>
      </w:r>
      <w:bookmarkEnd w:id="554"/>
      <w:bookmarkEnd w:id="555"/>
      <w:bookmarkEnd w:id="556"/>
      <w:bookmarkEnd w:id="557"/>
      <w:bookmarkEnd w:id="558"/>
      <w:bookmarkEnd w:id="559"/>
    </w:p>
    <w:p w14:paraId="3145B45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60" w:name="_Toc265954921"/>
      <w:bookmarkStart w:id="561" w:name="_Toc229450800"/>
      <w:bookmarkStart w:id="562" w:name="_Toc199322012"/>
      <w:bookmarkStart w:id="563" w:name="_Toc265954622"/>
      <w:bookmarkStart w:id="564" w:name="_Toc265653866"/>
      <w:bookmarkStart w:id="565" w:name="_Toc1291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5.1 承包人提供的材料和工程设备</w:t>
      </w:r>
      <w:bookmarkEnd w:id="560"/>
      <w:bookmarkEnd w:id="561"/>
      <w:bookmarkEnd w:id="562"/>
      <w:bookmarkEnd w:id="563"/>
      <w:bookmarkEnd w:id="564"/>
      <w:bookmarkEnd w:id="565"/>
    </w:p>
    <w:p w14:paraId="5A244C9D">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5.1.1 除第5.2款约定由发包人提供的材料和工程设备外，承包人负责采购、运输和保管完成本合同工作所需的材料和工程设备。承包人应对其采购的材料和工程设备负责。</w:t>
      </w:r>
    </w:p>
    <w:p w14:paraId="3D9C092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261859D7">
      <w:pPr>
        <w:autoSpaceDE w:val="0"/>
        <w:autoSpaceDN w:val="0"/>
        <w:adjustRightInd w:val="0"/>
        <w:ind w:firstLine="411" w:firstLineChars="19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5.1.3</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F3B4ED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66" w:name="_Toc199322013"/>
      <w:bookmarkStart w:id="567" w:name="_Toc265653867"/>
      <w:bookmarkStart w:id="568" w:name="_Toc29686"/>
      <w:bookmarkStart w:id="569" w:name="_Toc229450801"/>
      <w:bookmarkStart w:id="570" w:name="_Toc265954623"/>
      <w:bookmarkStart w:id="571" w:name="_Toc26595492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5.2 发包人提供的材料和工程设备</w:t>
      </w:r>
      <w:bookmarkEnd w:id="566"/>
      <w:bookmarkEnd w:id="567"/>
      <w:bookmarkEnd w:id="568"/>
      <w:bookmarkEnd w:id="569"/>
      <w:bookmarkEnd w:id="570"/>
      <w:bookmarkEnd w:id="571"/>
    </w:p>
    <w:p w14:paraId="714B8D3A">
      <w:pPr>
        <w:autoSpaceDE w:val="0"/>
        <w:autoSpaceDN w:val="0"/>
        <w:adjustRightInd w:val="0"/>
        <w:ind w:firstLine="404" w:firstLineChars="20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5.2.1 发包人提供的材料和工程设备，应在专用合同条款中写明材料和工程设备的名称、规格、数量、价格、交货方式、交货地点和计划交货日期等。</w:t>
      </w:r>
    </w:p>
    <w:p w14:paraId="7A75DA16">
      <w:pPr>
        <w:autoSpaceDE w:val="0"/>
        <w:autoSpaceDN w:val="0"/>
        <w:adjustRightInd w:val="0"/>
        <w:ind w:firstLine="411" w:firstLineChars="19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5.2.2</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承包人应根据合同进度计划的安排，向监理人报送要求发包人交货的日期计划。发包人应按照监理人与合同双方当事人商定的交货日期，向承包人提交材料和工程设备。</w:t>
      </w:r>
    </w:p>
    <w:p w14:paraId="163C6D1D">
      <w:pPr>
        <w:autoSpaceDE w:val="0"/>
        <w:autoSpaceDN w:val="0"/>
        <w:adjustRightInd w:val="0"/>
        <w:ind w:firstLine="411" w:firstLineChars="19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5.2.3 发包人应在材料和工程设备到货7天前通知承包人，承包人应会同监理人在约定的时间内，赴交货地点共同进行验收。发包人提供的材料和工程设备运至交货地点验收后，由承包人负责接收、卸货、运输和保管。</w:t>
      </w:r>
    </w:p>
    <w:p w14:paraId="2732B366">
      <w:pPr>
        <w:autoSpaceDE w:val="0"/>
        <w:autoSpaceDN w:val="0"/>
        <w:adjustRightInd w:val="0"/>
        <w:ind w:firstLine="304" w:firstLineChars="145"/>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5.2.4 发包人要求向承包人提前交货的，承包人不得拒绝，但发包人应承担承包人由此增加的费用。</w:t>
      </w:r>
    </w:p>
    <w:p w14:paraId="5F191CEE">
      <w:pPr>
        <w:autoSpaceDE w:val="0"/>
        <w:autoSpaceDN w:val="0"/>
        <w:adjustRightInd w:val="0"/>
        <w:ind w:firstLine="308" w:firstLineChars="14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5.2.5 承包人要求更改交货日期或地点的，应事先报请监理人批准。由于承包人要求更改交货时间或地点所增加的费用和(或)工期延误由承包人承担。</w:t>
      </w:r>
    </w:p>
    <w:p w14:paraId="6177BE3C">
      <w:pPr>
        <w:autoSpaceDE w:val="0"/>
        <w:autoSpaceDN w:val="0"/>
        <w:adjustRightInd w:val="0"/>
        <w:ind w:firstLine="308" w:firstLineChars="14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49C9F39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72" w:name="_Toc229450802"/>
      <w:bookmarkStart w:id="573" w:name="_Toc15798"/>
      <w:bookmarkStart w:id="574" w:name="_Toc265954624"/>
      <w:bookmarkStart w:id="575" w:name="_Toc265954923"/>
      <w:bookmarkStart w:id="576" w:name="_Toc199322014"/>
      <w:bookmarkStart w:id="577" w:name="_Toc26565386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5.3 材料和工程设备专用于合同工程</w:t>
      </w:r>
      <w:bookmarkEnd w:id="572"/>
      <w:bookmarkEnd w:id="573"/>
      <w:bookmarkEnd w:id="574"/>
      <w:bookmarkEnd w:id="575"/>
      <w:bookmarkEnd w:id="576"/>
      <w:bookmarkEnd w:id="577"/>
    </w:p>
    <w:p w14:paraId="6392C1F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78" w:name="_Toc19932201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5.3.1 运入施工场地的材料、工程设备，包括备品备件、安装专用工器具与随机资料，</w:t>
      </w:r>
      <w:bookmarkEnd w:id="57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必须专用于合同工程，未经监理人同意，承包人不得运出施工场地或挪作他用。</w:t>
      </w:r>
    </w:p>
    <w:p w14:paraId="10291AD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79" w:name="_Toc19932201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5.3.2 随同工程设备运入施工场地的备品备件、专用工器具与随机资料，应由承包人会</w:t>
      </w:r>
      <w:bookmarkEnd w:id="57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同监理人按供货人的装箱单清点后共同封存，未经监理人同意不得启用.承包人因合同工作需要使用上述物品时，应向监理人提出申请。</w:t>
      </w:r>
    </w:p>
    <w:p w14:paraId="13F6B33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80" w:name="_Toc265954625"/>
      <w:bookmarkStart w:id="581" w:name="_Toc265653869"/>
      <w:bookmarkStart w:id="582" w:name="_Toc229450803"/>
      <w:bookmarkStart w:id="583" w:name="_Toc28249"/>
      <w:bookmarkStart w:id="584" w:name="_Toc265954924"/>
      <w:bookmarkStart w:id="585" w:name="_Toc19932201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5.4 禁止使用不合格的材料和工程设备</w:t>
      </w:r>
      <w:bookmarkEnd w:id="580"/>
      <w:bookmarkEnd w:id="581"/>
      <w:bookmarkEnd w:id="582"/>
      <w:bookmarkEnd w:id="583"/>
      <w:bookmarkEnd w:id="584"/>
      <w:bookmarkEnd w:id="585"/>
    </w:p>
    <w:p w14:paraId="7A4554E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86" w:name="_Toc19932201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5.4.1 监理人有权拒绝承包人提供的不合格材料或工程设备，并要求承包人立即进行更</w:t>
      </w:r>
      <w:bookmarkEnd w:id="586"/>
    </w:p>
    <w:p w14:paraId="50D66C7E">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换。监理人应在更换后再次进行检查和检验，由此增加的费用和(或)工期延误由承包人承</w:t>
      </w:r>
    </w:p>
    <w:p w14:paraId="4D0D0A7E">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担。</w:t>
      </w:r>
    </w:p>
    <w:p w14:paraId="0858731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87" w:name="_Toc19932201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5.4.2 监理人发现承包人使用了不合格的材料和工程设备，应即时发出指示要求承包人</w:t>
      </w:r>
      <w:bookmarkEnd w:id="58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立即改正，并禁止在工程中继续使用不合格的材料和工程设备。</w:t>
      </w:r>
    </w:p>
    <w:p w14:paraId="44451C9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588" w:name="_Toc19932202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5.4.3 发包人提供的材料或工程设备不符合合同要求的，承包人有权拒绝，并可要求发</w:t>
      </w:r>
      <w:bookmarkEnd w:id="58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包人更换，由此增加的费用和(或)工期延误由发包人承担。</w:t>
      </w:r>
    </w:p>
    <w:p w14:paraId="2A66ACC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89" w:name="_Toc265954925"/>
      <w:bookmarkStart w:id="590" w:name="_Toc229450804"/>
      <w:bookmarkStart w:id="591" w:name="_Toc18422"/>
      <w:bookmarkStart w:id="592" w:name="_Toc265653870"/>
      <w:bookmarkStart w:id="593" w:name="_Toc199322021"/>
      <w:bookmarkStart w:id="594" w:name="_Toc26595462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 施工设备和临时设施</w:t>
      </w:r>
      <w:bookmarkEnd w:id="589"/>
      <w:bookmarkEnd w:id="590"/>
      <w:bookmarkEnd w:id="591"/>
      <w:bookmarkEnd w:id="592"/>
      <w:bookmarkEnd w:id="593"/>
      <w:bookmarkEnd w:id="594"/>
    </w:p>
    <w:p w14:paraId="3FFEA1D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595" w:name="_Toc30977"/>
      <w:bookmarkStart w:id="596" w:name="_Toc265954926"/>
      <w:bookmarkStart w:id="597" w:name="_Toc265653871"/>
      <w:bookmarkStart w:id="598" w:name="_Toc229450805"/>
      <w:bookmarkStart w:id="599" w:name="_Toc26595462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6.1 承包人提供的施工设备和临时设施</w:t>
      </w:r>
      <w:bookmarkEnd w:id="595"/>
      <w:bookmarkEnd w:id="596"/>
      <w:bookmarkEnd w:id="597"/>
      <w:bookmarkEnd w:id="598"/>
      <w:bookmarkEnd w:id="599"/>
    </w:p>
    <w:p w14:paraId="269459C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 承包人应按合同进度计划的要求，及时配置施工设备和修建临时设施。进入施工场地的承包人设备需经监理人核查后才能投入使用。承包人更换合同约定的承包人设备的，应报监理人批准。</w:t>
      </w:r>
    </w:p>
    <w:p w14:paraId="2444ED81">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6.1.2 除专用合同条款另有约定外，承包人应自行承担修建临时设施的费用，需要临时占地的，应由承包人办理投标人手续并承担相应费用。</w:t>
      </w:r>
    </w:p>
    <w:p w14:paraId="035828E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00" w:name="_Toc229450806"/>
      <w:bookmarkStart w:id="601" w:name="_Toc265653872"/>
      <w:bookmarkStart w:id="602" w:name="_Toc265954927"/>
      <w:bookmarkStart w:id="603" w:name="_Toc265954628"/>
      <w:bookmarkStart w:id="604" w:name="_Toc2737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6.2 发包人提供的施工设备和临时设施</w:t>
      </w:r>
      <w:bookmarkEnd w:id="600"/>
      <w:bookmarkEnd w:id="601"/>
      <w:bookmarkEnd w:id="602"/>
      <w:bookmarkEnd w:id="603"/>
      <w:bookmarkEnd w:id="604"/>
    </w:p>
    <w:p w14:paraId="68262B3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发包人提供的施工设备或临时设施在专用合同条款中约定。</w:t>
      </w:r>
    </w:p>
    <w:p w14:paraId="1B54BC2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05" w:name="_Toc265653873"/>
      <w:bookmarkStart w:id="606" w:name="_Toc265954629"/>
      <w:bookmarkStart w:id="607" w:name="_Toc229450807"/>
      <w:bookmarkStart w:id="608" w:name="_Toc265954928"/>
      <w:bookmarkStart w:id="609" w:name="_Toc253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6.3 要求承包人增加或更换施工设备</w:t>
      </w:r>
      <w:bookmarkEnd w:id="605"/>
      <w:bookmarkEnd w:id="606"/>
      <w:bookmarkEnd w:id="607"/>
      <w:bookmarkEnd w:id="608"/>
      <w:bookmarkEnd w:id="609"/>
    </w:p>
    <w:p w14:paraId="1CC27EC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承包人使用的施工设备不能满足合同进度计划和(或)质量要求时，监理人有权要求承包人增加或更换施工设备，承包人应及时增加或更换，由此增加的费用和(或)工期延误由承包人承担。</w:t>
      </w:r>
    </w:p>
    <w:p w14:paraId="6C867FF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10" w:name="_Toc229450808"/>
      <w:bookmarkStart w:id="611" w:name="_Toc265653874"/>
      <w:bookmarkStart w:id="612" w:name="_Toc763"/>
      <w:bookmarkStart w:id="613" w:name="_Toc265954630"/>
      <w:bookmarkStart w:id="614" w:name="_Toc26595492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6.4 施工设备和临时设施专用于合同工程</w:t>
      </w:r>
      <w:bookmarkEnd w:id="610"/>
      <w:bookmarkEnd w:id="611"/>
      <w:bookmarkEnd w:id="612"/>
      <w:bookmarkEnd w:id="613"/>
      <w:bookmarkEnd w:id="614"/>
    </w:p>
    <w:p w14:paraId="7EE91C1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6.4.1 除合同另有约定外，运入施工场地的所有施工设备以及在施工场地建设的临时设施应专用于合同工程。未经监理人同意，不得将上述施工设备和临时设施中的任何部分运出施工场地或挪作他用。</w:t>
      </w:r>
    </w:p>
    <w:p w14:paraId="4FE7C96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6.4.2 经监理人同意，承包人可根据合同进度计划撤走闲置的施工设备。</w:t>
      </w:r>
    </w:p>
    <w:p w14:paraId="0A26DBB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15" w:name="_Toc265954930"/>
      <w:bookmarkStart w:id="616" w:name="_Toc199322022"/>
      <w:bookmarkStart w:id="617" w:name="_Toc265653875"/>
      <w:bookmarkStart w:id="618" w:name="_Toc14668"/>
      <w:bookmarkStart w:id="619" w:name="_Toc265954631"/>
      <w:bookmarkStart w:id="620" w:name="_Toc22945080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 交通运输</w:t>
      </w:r>
      <w:bookmarkEnd w:id="615"/>
      <w:bookmarkEnd w:id="616"/>
      <w:bookmarkEnd w:id="617"/>
      <w:bookmarkEnd w:id="618"/>
      <w:bookmarkEnd w:id="619"/>
      <w:bookmarkEnd w:id="620"/>
    </w:p>
    <w:p w14:paraId="0FC8177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21" w:name="_Toc265653876"/>
      <w:bookmarkStart w:id="622" w:name="_Toc229450810"/>
      <w:bookmarkStart w:id="623" w:name="_Toc1853"/>
      <w:bookmarkStart w:id="624" w:name="_Toc265954931"/>
      <w:bookmarkStart w:id="625" w:name="_Toc26595463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7.1 道路通行权和场外设施</w:t>
      </w:r>
      <w:bookmarkEnd w:id="621"/>
      <w:bookmarkEnd w:id="622"/>
      <w:bookmarkEnd w:id="623"/>
      <w:bookmarkEnd w:id="624"/>
      <w:bookmarkEnd w:id="625"/>
    </w:p>
    <w:p w14:paraId="0A39AA4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承包人应根据合同工程的施工需要，负责办理取得出入施工场地的专用和临时道路的通行权，以及取得为工程建设所需修建场外设施的权利，并承担有关费用。发包人应协助承包人办理上述手续。</w:t>
      </w:r>
    </w:p>
    <w:p w14:paraId="6145D1B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26" w:name="_Toc229450811"/>
      <w:bookmarkStart w:id="627" w:name="_Toc265653877"/>
      <w:bookmarkStart w:id="628" w:name="_Toc265954932"/>
      <w:bookmarkStart w:id="629" w:name="_Toc2480"/>
      <w:bookmarkStart w:id="630" w:name="_Toc26595463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7.2 场内施工道路</w:t>
      </w:r>
      <w:bookmarkEnd w:id="626"/>
      <w:bookmarkEnd w:id="627"/>
      <w:bookmarkEnd w:id="628"/>
      <w:bookmarkEnd w:id="629"/>
      <w:bookmarkEnd w:id="630"/>
    </w:p>
    <w:p w14:paraId="4E8B193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7.2.1 除本合同约定由发包人提供的部分道咱和交通设施外，承包人应负责修建、维修、养护和管理施工所需的全部临时道路和交通设施（包括合同约定由发包人提供的部分道路和交通设施的维修、养护和管理），并承担相应费用。</w:t>
      </w:r>
    </w:p>
    <w:p w14:paraId="49544F7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7.2.2 承包人修建的临时道路和交通设施，应免费提供发包人、监理人以及本合同有关的其他承包人使用。</w:t>
      </w:r>
    </w:p>
    <w:p w14:paraId="4279704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31" w:name="_Toc265653878"/>
      <w:bookmarkStart w:id="632" w:name="_Toc265954933"/>
      <w:bookmarkStart w:id="633" w:name="_Toc16562"/>
      <w:bookmarkStart w:id="634" w:name="_Toc265954634"/>
      <w:bookmarkStart w:id="635" w:name="_Toc22945081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7.3 场外交通</w:t>
      </w:r>
      <w:bookmarkEnd w:id="631"/>
      <w:bookmarkEnd w:id="632"/>
      <w:bookmarkEnd w:id="633"/>
      <w:bookmarkEnd w:id="634"/>
      <w:bookmarkEnd w:id="635"/>
    </w:p>
    <w:p w14:paraId="47D645A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7.3.1 承包人车辆外出行驶所需的场外公共道路的通行费、养路费和税款等由承包人承担。</w:t>
      </w:r>
    </w:p>
    <w:p w14:paraId="023A6E3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7.3.2 承包人应遵守有关交通法规，严格按照道路和桥梁的限制荷重安全行驶，并服从交通管理部门的检查和监督。</w:t>
      </w:r>
    </w:p>
    <w:p w14:paraId="16A3BC7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36" w:name="_Toc229450813"/>
      <w:bookmarkStart w:id="637" w:name="_Toc265653879"/>
      <w:bookmarkStart w:id="638" w:name="_Toc265954635"/>
      <w:bookmarkStart w:id="639" w:name="_Toc265954934"/>
      <w:bookmarkStart w:id="640" w:name="_Toc589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7.4 超大件和超重件的运输</w:t>
      </w:r>
      <w:bookmarkEnd w:id="636"/>
      <w:bookmarkEnd w:id="637"/>
      <w:bookmarkEnd w:id="638"/>
      <w:bookmarkEnd w:id="639"/>
      <w:bookmarkEnd w:id="640"/>
    </w:p>
    <w:p w14:paraId="2282758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1E2B6E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41" w:name="_Toc265653880"/>
      <w:bookmarkStart w:id="642" w:name="_Toc16021"/>
      <w:bookmarkStart w:id="643" w:name="_Toc229450814"/>
      <w:bookmarkStart w:id="644" w:name="_Toc265954636"/>
      <w:bookmarkStart w:id="645" w:name="_Toc26595493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7.5 道路和桥梁的损坏责任</w:t>
      </w:r>
      <w:bookmarkEnd w:id="641"/>
      <w:bookmarkEnd w:id="642"/>
      <w:bookmarkEnd w:id="643"/>
      <w:bookmarkEnd w:id="644"/>
      <w:bookmarkEnd w:id="645"/>
    </w:p>
    <w:p w14:paraId="718F51A5">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因承包人运输造成施工场地内外公共道路和桥梁损坏的，由承包人承担修复损坏的全部费用和可能引起的赔偿。</w:t>
      </w:r>
    </w:p>
    <w:p w14:paraId="223C1AB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46" w:name="_Toc12847"/>
      <w:bookmarkStart w:id="647" w:name="_Toc265954936"/>
      <w:bookmarkStart w:id="648" w:name="_Toc265954637"/>
      <w:bookmarkStart w:id="649" w:name="_Toc229450815"/>
      <w:bookmarkStart w:id="650" w:name="_Toc26565388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7.6 水路和航空运输</w:t>
      </w:r>
      <w:bookmarkEnd w:id="646"/>
      <w:bookmarkEnd w:id="647"/>
      <w:bookmarkEnd w:id="648"/>
      <w:bookmarkEnd w:id="649"/>
      <w:bookmarkEnd w:id="650"/>
    </w:p>
    <w:p w14:paraId="76D97495">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14:paraId="0F5A686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51" w:name="_Toc199322023"/>
      <w:bookmarkStart w:id="652" w:name="_Toc265653882"/>
      <w:bookmarkStart w:id="653" w:name="_Toc265954638"/>
      <w:bookmarkStart w:id="654" w:name="_Toc229450816"/>
      <w:bookmarkStart w:id="655" w:name="_Toc265954937"/>
      <w:bookmarkStart w:id="656" w:name="_Toc688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 测量放线</w:t>
      </w:r>
      <w:bookmarkEnd w:id="651"/>
      <w:bookmarkEnd w:id="652"/>
      <w:bookmarkEnd w:id="653"/>
      <w:bookmarkEnd w:id="654"/>
      <w:bookmarkEnd w:id="655"/>
      <w:bookmarkEnd w:id="656"/>
    </w:p>
    <w:p w14:paraId="1A62E24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57" w:name="_Toc199322024"/>
      <w:bookmarkStart w:id="658" w:name="_Toc20415"/>
      <w:bookmarkStart w:id="659" w:name="_Toc265954639"/>
      <w:bookmarkStart w:id="660" w:name="_Toc265954938"/>
      <w:bookmarkStart w:id="661" w:name="_Toc265653883"/>
      <w:bookmarkStart w:id="662" w:name="_Toc22945081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8.1 施工控制网</w:t>
      </w:r>
      <w:bookmarkEnd w:id="657"/>
      <w:bookmarkEnd w:id="658"/>
      <w:bookmarkEnd w:id="659"/>
      <w:bookmarkEnd w:id="660"/>
      <w:bookmarkEnd w:id="661"/>
      <w:bookmarkEnd w:id="662"/>
    </w:p>
    <w:p w14:paraId="5E8E6DA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8.1.1 除专用合同条款另有约定外，施工控制网由承包人负责测设，发包人应在本合同协议书签订后14天内，向承包人提供测量基准点、基准线和水准点及其相关资料。承包人应在收到上述资料后的28天内，将施测的施工控制网资料提交监理人审批。监理人应在收到报批后的14天内批复承包人。</w:t>
      </w:r>
    </w:p>
    <w:p w14:paraId="191115D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8.1.2 承包人应负责管理施工控制网点。施工控制网点丢失或损坏的，承包人应及时修复。承包人应承担施工控制网点的管理与修复费用，并在工程竣工后将施工控制网点移交发包人。</w:t>
      </w:r>
    </w:p>
    <w:p w14:paraId="3F802DE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63" w:name="_Toc265653884"/>
      <w:bookmarkStart w:id="664" w:name="_Toc229450818"/>
      <w:bookmarkStart w:id="665" w:name="_Toc30719"/>
      <w:bookmarkStart w:id="666" w:name="_Toc199322025"/>
      <w:bookmarkStart w:id="667" w:name="_Toc265954939"/>
      <w:bookmarkStart w:id="668" w:name="_Toc26595464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8.2 施工测量</w:t>
      </w:r>
      <w:bookmarkEnd w:id="663"/>
      <w:bookmarkEnd w:id="664"/>
      <w:bookmarkEnd w:id="665"/>
      <w:bookmarkEnd w:id="666"/>
      <w:bookmarkEnd w:id="667"/>
      <w:bookmarkEnd w:id="668"/>
    </w:p>
    <w:p w14:paraId="336DCB5D">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8.2.1 承包人应负责施工过程中的全部施工测量放线工作，并配置合格的人员、仪器、设备和其他物品。</w:t>
      </w:r>
    </w:p>
    <w:p w14:paraId="161F7D76">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8.2.2 监理人可以指示承包人进行抽样复测，当复测中发现错误或出现超过合同约定的误差时，承包人应按监理人指示进行修正或补测，并承担相应的复测费用。</w:t>
      </w:r>
    </w:p>
    <w:p w14:paraId="511CE71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69" w:name="_Toc265954641"/>
      <w:bookmarkStart w:id="670" w:name="_Toc229450819"/>
      <w:bookmarkStart w:id="671" w:name="_Toc265954940"/>
      <w:bookmarkStart w:id="672" w:name="_Toc199322026"/>
      <w:bookmarkStart w:id="673" w:name="_Toc12185"/>
      <w:bookmarkStart w:id="674" w:name="_Toc26565388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8.3 基准资料错误的责任</w:t>
      </w:r>
      <w:bookmarkEnd w:id="669"/>
      <w:bookmarkEnd w:id="670"/>
      <w:bookmarkEnd w:id="671"/>
      <w:bookmarkEnd w:id="672"/>
      <w:bookmarkEnd w:id="673"/>
      <w:bookmarkEnd w:id="674"/>
    </w:p>
    <w:p w14:paraId="5CD950C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7FD388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75" w:name="_Toc265954642"/>
      <w:bookmarkStart w:id="676" w:name="_Toc265954941"/>
      <w:bookmarkStart w:id="677" w:name="_Toc26565388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8.4监理人使用施工控制网</w:t>
      </w:r>
      <w:bookmarkEnd w:id="675"/>
      <w:bookmarkEnd w:id="676"/>
      <w:bookmarkEnd w:id="677"/>
    </w:p>
    <w:p w14:paraId="686DDF57">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监理人需要使用施工控制网的，承包人应提供必要的协助，发包人不再为此支付费用。</w:t>
      </w:r>
    </w:p>
    <w:p w14:paraId="5A1E001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78" w:name="_Toc265954942"/>
      <w:bookmarkStart w:id="679" w:name="_Toc265653887"/>
      <w:bookmarkStart w:id="680" w:name="_Toc265954643"/>
      <w:bookmarkStart w:id="681" w:name="_Toc1047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8.5 补充地质勘探</w:t>
      </w:r>
      <w:bookmarkEnd w:id="678"/>
      <w:bookmarkEnd w:id="679"/>
      <w:bookmarkEnd w:id="680"/>
      <w:bookmarkEnd w:id="681"/>
    </w:p>
    <w:p w14:paraId="4BF588DB">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25901CF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82" w:name="_Toc2303"/>
      <w:bookmarkStart w:id="683" w:name="_Toc265954644"/>
      <w:bookmarkStart w:id="684" w:name="_Toc265954943"/>
      <w:bookmarkStart w:id="685" w:name="_Toc265653888"/>
      <w:bookmarkStart w:id="686" w:name="_Toc22945082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 施工安全、治安保卫和环境保护</w:t>
      </w:r>
      <w:bookmarkEnd w:id="682"/>
      <w:bookmarkEnd w:id="683"/>
      <w:bookmarkEnd w:id="684"/>
      <w:bookmarkEnd w:id="685"/>
      <w:bookmarkEnd w:id="686"/>
    </w:p>
    <w:p w14:paraId="24B4F12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87" w:name="_Toc199322027"/>
      <w:bookmarkStart w:id="688" w:name="_Toc265954645"/>
      <w:bookmarkStart w:id="689" w:name="_Toc265954944"/>
      <w:bookmarkStart w:id="690" w:name="_Toc229450821"/>
      <w:bookmarkStart w:id="691" w:name="_Toc16202"/>
      <w:bookmarkStart w:id="692" w:name="_Toc26565388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9.1 发包人的施工安全责任</w:t>
      </w:r>
      <w:bookmarkEnd w:id="687"/>
      <w:bookmarkEnd w:id="688"/>
      <w:bookmarkEnd w:id="689"/>
      <w:bookmarkEnd w:id="690"/>
      <w:bookmarkEnd w:id="691"/>
      <w:bookmarkEnd w:id="692"/>
    </w:p>
    <w:p w14:paraId="4C9507F7">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9.1.1 发包人应按合同约定履行安全职责。发包人委托监理人根据国家有关安全的法律、法规、强制性标准及部门规章，对承包人的安全责任履行情况进行监督和检查。监理人的监督检查不减轻承包人应负的安全责任。</w:t>
      </w:r>
    </w:p>
    <w:p w14:paraId="0C5F668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9.1.2 发包人应对其现场机构雇佣的全部人员的工伤事故承担责任，但由于承包人原因造成发包人人员工伤的，应由承包人承担责任。</w:t>
      </w:r>
    </w:p>
    <w:p w14:paraId="42EDDE3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9.1.3 发包人应负责赔偿以下各种情况造成的第三者人身伤亡和财产损失：</w:t>
      </w:r>
    </w:p>
    <w:p w14:paraId="3A724676">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工程或工程的任何部分对土地的占用所造成的第三者财产损失:</w:t>
      </w:r>
    </w:p>
    <w:p w14:paraId="4D05E0FA">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由于发包人原因在施工场地及其毗邻地带造成的第三者人身伤亡和财产损失。</w:t>
      </w:r>
    </w:p>
    <w:p w14:paraId="7594B4E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64EDEDB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9.1.5 发包人按照已标价工程量清单所列金额和合同约定的计量支付规定，支付安全作业环境及安全施工措施所需费用。</w:t>
      </w:r>
    </w:p>
    <w:p w14:paraId="16C49A6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9.1.6 发包人负责组织工程参建单位编制保证安全生产的措施方案。工程开工前，就落实保证安全生产的措施进行全面系统的布置，进一步明确承包人的安全生产责任。</w:t>
      </w:r>
    </w:p>
    <w:p w14:paraId="0F64725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9.1.7 发包人负责在拆除工程和爆破工程施工14天前向有关部门或机构报送相关备案资料。</w:t>
      </w:r>
    </w:p>
    <w:p w14:paraId="1B82E59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93" w:name="_Toc265653890"/>
      <w:bookmarkStart w:id="694" w:name="_Toc265954945"/>
      <w:bookmarkStart w:id="695" w:name="_Toc229450822"/>
      <w:bookmarkStart w:id="696" w:name="_Toc199322028"/>
      <w:bookmarkStart w:id="697" w:name="_Toc265954646"/>
      <w:bookmarkStart w:id="698" w:name="_Toc1044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9.2 承包人的施工安全责任</w:t>
      </w:r>
      <w:bookmarkEnd w:id="693"/>
      <w:bookmarkEnd w:id="694"/>
      <w:bookmarkEnd w:id="695"/>
      <w:bookmarkEnd w:id="696"/>
      <w:bookmarkEnd w:id="697"/>
      <w:bookmarkEnd w:id="698"/>
    </w:p>
    <w:p w14:paraId="07AED356">
      <w:pPr>
        <w:autoSpaceDE w:val="0"/>
        <w:autoSpaceDN w:val="0"/>
        <w:adjustRightInd w:val="0"/>
        <w:ind w:firstLine="404" w:firstLineChars="20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9.2.1 承包人应按合同约定履行安全职责，执行监理人有关安全工作的指示，承包人应按技术标准和要求（合同技术条款）约定的内容和期限 ，以及监理人的指示，编制施工安全技术措施提交监理人审批。监理人应在技术标准和要求（合同技术条款）约定的期限批复承包人。</w:t>
      </w:r>
    </w:p>
    <w:p w14:paraId="58EE38E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9.2.2 承包人应加强施工作业安全管理，特别应加强易燃、易爆材料、火工器材、有毒与腐蚀性材料和其他危险品的管理，以及对爆破作业等危险作业的管理。</w:t>
      </w:r>
    </w:p>
    <w:p w14:paraId="460A95C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9.2.3 承包人应严格按照国家安全标准制定施工安全操作规程，配备必要的安全生产和劳动保护设施，加强对承包人人员的安全教育，井发放安全工作手册和劳动保护用具。</w:t>
      </w:r>
    </w:p>
    <w:p w14:paraId="1F21615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9.2.4 承包人应按监理人的指示制定应对灾害的紧急预案，报送监理人审批。承包人还应按预案做好安全检查，配置必要的救助物资和器材，切实保护好有关人员的人身和财产安全.</w:t>
      </w:r>
    </w:p>
    <w:p w14:paraId="5EA0233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4073E24D">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9.2.6 承包人应对其履行合同所雇佣的全部人员，包括分包人人员的工伤事故承担责任，但由于发包人原因造成承包人人员工伤事故的，应由发包人承担责任。</w:t>
      </w:r>
    </w:p>
    <w:p w14:paraId="38BD7E5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9.2.7 由于承包人原因在施工场地内及其毗邻地带造成的第三者人员伤亡和财产损失，由承包人负责赔偿。</w:t>
      </w:r>
    </w:p>
    <w:p w14:paraId="58A4855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9.2.8 承包人已标价工程量清单应包含工程安全作业环境及安全施工措施所需费用。</w:t>
      </w:r>
    </w:p>
    <w:p w14:paraId="3A9BCA6C">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9.2.9 承包人应建立建全安全生产责任制度和安全生产教育培训制度，制定安全生产规章制度和操作规程，保证本单位建立和完善安全生产条件所需资金的投入，对本工程进行定期和专项安全检查，并做好安全检查记录。</w:t>
      </w:r>
    </w:p>
    <w:p w14:paraId="05B1621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9.2.10 承包人应设立安全生产管理机构，施工现场应有专职安全生产管理人员。</w:t>
      </w:r>
    </w:p>
    <w:p w14:paraId="010C991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9.2.11 承包人应负责对特种作业人员进行专门的安全作业培训，并保证特种作业人员持证上岗。</w:t>
      </w:r>
    </w:p>
    <w:p w14:paraId="5B5A02E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9.2.12 承包人应在施工组织设计中编制安全技术措施和施工现场临时用电方案。对专用合同条款约定的工程，应编制专项施工方案报监理人批准。对专用合同条款约定的专项施工方案，还应组织专家进行认证、审查，其中专家1/2人员应经发包人同意。</w:t>
      </w:r>
    </w:p>
    <w:p w14:paraId="272E92A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9.2.13 承包人在使用施工起重机械和整体提升脚手架、模板等自升式架设设施前，应组织有关单位进行验收。</w:t>
      </w:r>
    </w:p>
    <w:p w14:paraId="40BC756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699" w:name="_Toc265954647"/>
      <w:bookmarkStart w:id="700" w:name="_Toc229450823"/>
      <w:bookmarkStart w:id="701" w:name="_Toc265653891"/>
      <w:bookmarkStart w:id="702" w:name="_Toc199322029"/>
      <w:bookmarkStart w:id="703" w:name="_Toc265954946"/>
      <w:bookmarkStart w:id="704" w:name="_Toc2232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9.3 治安保卫</w:t>
      </w:r>
      <w:bookmarkEnd w:id="699"/>
      <w:bookmarkEnd w:id="700"/>
      <w:bookmarkEnd w:id="701"/>
      <w:bookmarkEnd w:id="702"/>
      <w:bookmarkEnd w:id="703"/>
      <w:bookmarkEnd w:id="704"/>
    </w:p>
    <w:p w14:paraId="18F0790A">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9.3.1 除合同另有约定外，发包人应与当地公安部门协商，在现场建立治安管理机构或联防组织，统一管理施工场地的治安保卫事项，履行合同工程的治安保卫职责。</w:t>
      </w:r>
    </w:p>
    <w:p w14:paraId="5C6023D6">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9.3.2 发包人和承包人除应协助现场治安管理机构或联防组织维护施工场地的社会治安外，还应做好包括生活区在内的各自管辖区的治安保卫工作。</w:t>
      </w:r>
    </w:p>
    <w:p w14:paraId="6F4BB336">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4627231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05" w:name="_Toc265954947"/>
      <w:bookmarkStart w:id="706" w:name="_Toc265954648"/>
      <w:bookmarkStart w:id="707" w:name="_Toc6777"/>
      <w:bookmarkStart w:id="708" w:name="_Toc229450824"/>
      <w:bookmarkStart w:id="709" w:name="_Toc265653892"/>
      <w:bookmarkStart w:id="710" w:name="_Toc19932203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9.4 环境保护</w:t>
      </w:r>
      <w:bookmarkEnd w:id="705"/>
      <w:bookmarkEnd w:id="706"/>
      <w:bookmarkEnd w:id="707"/>
      <w:bookmarkEnd w:id="708"/>
      <w:bookmarkEnd w:id="709"/>
      <w:bookmarkEnd w:id="710"/>
    </w:p>
    <w:p w14:paraId="667A089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9.4.1 承包人在施工过程中，应遵守有关环境保护的法律，履行合同约定的环境保护义务，并对违反法律和合同约定义务所造成的环境破坏、人身伤害和财产损失负责。</w:t>
      </w:r>
    </w:p>
    <w:p w14:paraId="72A85D8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9.4.2 承包人应按合同约定的环保工作内容，编制施工环保措施计划，报送监理人审批。</w:t>
      </w:r>
    </w:p>
    <w:p w14:paraId="4018C142">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10BAEA41">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9.4.4 承包人应按合同约定采取有效措施，对施工开挖的边坡及时进行支护，维护排水设施，并进行水土保护，避免因施工造成的地质灾害。</w:t>
      </w:r>
    </w:p>
    <w:p w14:paraId="6DB97AF4">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9.4.5 承包人应按国家饮用水管理标准定期对饮用水源进行监测，防止施工活动污染饮用水源。</w:t>
      </w:r>
    </w:p>
    <w:p w14:paraId="7FAEDD72">
      <w:pPr>
        <w:autoSpaceDE w:val="0"/>
        <w:autoSpaceDN w:val="0"/>
        <w:adjustRightInd w:val="0"/>
        <w:ind w:firstLine="515"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9.4.6 承包人应按合同约定，加强对噪声、粉尘、废气、废水和废油的控制，努力降低噪声，控制粉尘和废气浓度，做好废水和废油的治理和排放。</w:t>
      </w:r>
    </w:p>
    <w:p w14:paraId="7272538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11" w:name="_Toc265954948"/>
      <w:bookmarkStart w:id="712" w:name="_Toc199322031"/>
      <w:bookmarkStart w:id="713" w:name="_Toc229450825"/>
      <w:bookmarkStart w:id="714" w:name="_Toc265653893"/>
      <w:bookmarkStart w:id="715" w:name="_Toc265954649"/>
      <w:bookmarkStart w:id="716" w:name="_Toc3046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9.5 事故处理</w:t>
      </w:r>
      <w:bookmarkEnd w:id="711"/>
      <w:bookmarkEnd w:id="712"/>
      <w:bookmarkEnd w:id="713"/>
      <w:bookmarkEnd w:id="714"/>
      <w:bookmarkEnd w:id="715"/>
      <w:bookmarkEnd w:id="716"/>
    </w:p>
    <w:p w14:paraId="26FB384A">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9.5.1 发包人负责组织参建单位制定本工程的质量与安全事故应急预案，建立质量与安全事故应急处置指挥部。</w:t>
      </w:r>
    </w:p>
    <w:p w14:paraId="0EAB250F">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9.5.2 承包人应对施工现场易发生重大事故的部位、环节进行监控，配备救援器材、设备，并定期组织演练。</w:t>
      </w:r>
    </w:p>
    <w:p w14:paraId="56B97070">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9.5.3 工程开工前，承包人应根据本工程的特点制定施工现场施工质量与安全事故应急预案，并报发包人备案。</w:t>
      </w:r>
    </w:p>
    <w:p w14:paraId="231B572D">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9.5.4 施工过程中发生事故时，发包人、承包人应立即启动应急预案。</w:t>
      </w:r>
    </w:p>
    <w:p w14:paraId="6AEC0EB2">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9.5.5 事故调查处理由发包人按相关规定履行手续，承包人应配合。</w:t>
      </w:r>
    </w:p>
    <w:p w14:paraId="7CFCA91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17" w:name="_Toc31119"/>
      <w:bookmarkStart w:id="718" w:name="_Toc265954650"/>
      <w:bookmarkStart w:id="719" w:name="_Toc265954949"/>
      <w:bookmarkStart w:id="720" w:name="_Toc26565389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9.6 水土保持</w:t>
      </w:r>
      <w:bookmarkEnd w:id="717"/>
      <w:bookmarkEnd w:id="718"/>
      <w:bookmarkEnd w:id="719"/>
      <w:bookmarkEnd w:id="720"/>
    </w:p>
    <w:p w14:paraId="03EFBCE3">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9.6.1 发包人应及时向承包人提供水土保持方案。</w:t>
      </w:r>
    </w:p>
    <w:p w14:paraId="1F2E08BD">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9.6.2 承包人在施工过程中，应遵守有关水土保持的法律法规和规章，履行合同约定的水土保持义务，并对其违反法律和合同约定义务所造成的水土流失灾害、人身伤害和财产损失负责。</w:t>
      </w:r>
    </w:p>
    <w:p w14:paraId="4411FDF2">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9.6.3 承包人的水土保持措施计划，应满足技术标准和要求（合同技术条款）约定的要求。</w:t>
      </w:r>
    </w:p>
    <w:p w14:paraId="01480B1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21" w:name="_Toc265653895"/>
      <w:bookmarkStart w:id="722" w:name="_Toc18611"/>
      <w:bookmarkStart w:id="723" w:name="_Toc265954950"/>
      <w:bookmarkStart w:id="724" w:name="_Toc26595465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9.7 文明工地</w:t>
      </w:r>
      <w:bookmarkEnd w:id="721"/>
      <w:bookmarkEnd w:id="722"/>
      <w:bookmarkEnd w:id="723"/>
      <w:bookmarkEnd w:id="724"/>
    </w:p>
    <w:p w14:paraId="43DEA449">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9.7.1 发包人应按专用合同条款的约定，负责建立创建文明建设工地的组织机构，制定创建文明建设工地的规划和办法。</w:t>
      </w:r>
    </w:p>
    <w:p w14:paraId="4F515511">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9.7.2 承包人应按创建文明建设工地的规划和办法，履行职责，承担相应责任。所需费用应含在已标价工程量清单中。</w:t>
      </w:r>
    </w:p>
    <w:p w14:paraId="7E395C9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25" w:name="_Toc265954652"/>
      <w:bookmarkStart w:id="726" w:name="_Toc265954951"/>
      <w:bookmarkStart w:id="727" w:name="_Toc265653896"/>
      <w:bookmarkStart w:id="728" w:name="_Toc1464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9.8 防汛度汛</w:t>
      </w:r>
      <w:bookmarkEnd w:id="725"/>
      <w:bookmarkEnd w:id="726"/>
      <w:bookmarkEnd w:id="727"/>
      <w:bookmarkEnd w:id="728"/>
    </w:p>
    <w:p w14:paraId="79A210E0">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9.8.1 发包人负责组织工程参建单位编制本工程的度汛方案和措施。</w:t>
      </w:r>
    </w:p>
    <w:p w14:paraId="596E63AD">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9.8.2 承包人应根据发包人编制的本工程度汛方案和措施，制定相应的度汛方案，报发包人批准后实施。</w:t>
      </w:r>
    </w:p>
    <w:p w14:paraId="7AF2B8E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29" w:name="_Toc265653897"/>
      <w:bookmarkStart w:id="730" w:name="_Toc229450826"/>
      <w:bookmarkStart w:id="731" w:name="_Toc26258"/>
      <w:bookmarkStart w:id="732" w:name="_Toc199322032"/>
      <w:bookmarkStart w:id="733" w:name="_Toc265954653"/>
      <w:bookmarkStart w:id="734" w:name="_Toc26595495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10. 进度计划</w:t>
      </w:r>
      <w:bookmarkEnd w:id="729"/>
      <w:bookmarkEnd w:id="730"/>
      <w:bookmarkEnd w:id="731"/>
      <w:bookmarkEnd w:id="732"/>
      <w:bookmarkEnd w:id="733"/>
      <w:bookmarkEnd w:id="734"/>
    </w:p>
    <w:p w14:paraId="4CABE2E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35" w:name="_Toc265954654"/>
      <w:bookmarkStart w:id="736" w:name="_Toc265954953"/>
      <w:bookmarkStart w:id="737" w:name="_Toc22461"/>
      <w:bookmarkStart w:id="738" w:name="_Toc199322033"/>
      <w:bookmarkStart w:id="739" w:name="_Toc265653898"/>
      <w:bookmarkStart w:id="740" w:name="_Toc22945082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10.1 合同进度计划</w:t>
      </w:r>
      <w:bookmarkEnd w:id="735"/>
      <w:bookmarkEnd w:id="736"/>
      <w:bookmarkEnd w:id="737"/>
      <w:bookmarkEnd w:id="738"/>
      <w:bookmarkEnd w:id="739"/>
      <w:bookmarkEnd w:id="740"/>
    </w:p>
    <w:p w14:paraId="792BF33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计划的依据。承包人还应根据合同进度计划，编制更为详细的分阶段或单位工程或分部工程进度计划，报监理人审批。</w:t>
      </w:r>
    </w:p>
    <w:p w14:paraId="261E22C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41" w:name="_Toc265653899"/>
      <w:bookmarkStart w:id="742" w:name="_Toc199322034"/>
      <w:bookmarkStart w:id="743" w:name="_Toc229450828"/>
      <w:bookmarkStart w:id="744" w:name="_Toc30375"/>
      <w:bookmarkStart w:id="745" w:name="_Toc265954655"/>
      <w:bookmarkStart w:id="746" w:name="_Toc26595495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10.2 合同进度计划的修订</w:t>
      </w:r>
      <w:bookmarkEnd w:id="741"/>
      <w:bookmarkEnd w:id="742"/>
      <w:bookmarkEnd w:id="743"/>
      <w:bookmarkEnd w:id="744"/>
      <w:bookmarkEnd w:id="745"/>
      <w:bookmarkEnd w:id="746"/>
    </w:p>
    <w:p w14:paraId="6D29F7B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不论何种原因造成工程的实际进度与第10.1款的合同进度计划不符时，承包人均应在14天内向监理人提交修订合同进度计划的申请报告，并附有关措施和相关资料。报监理人审批，监理人应在收到申请报告后14天内批复。当监理人认为需要修订合同进度计划时，承包人应按监理人的指示，在14天内向监理人提交修订的合同进度计划，并附调整计划的相关资料，提交监理人审批 ，监理人应在收到进度计划后的14天内批复。</w:t>
      </w:r>
    </w:p>
    <w:p w14:paraId="7E10771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58B5073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47" w:name="_Toc265954656"/>
      <w:bookmarkStart w:id="748" w:name="_Toc265653900"/>
      <w:bookmarkStart w:id="749" w:name="_Toc265954955"/>
      <w:bookmarkStart w:id="750" w:name="_Toc2665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10.3 单位工程进度计划</w:t>
      </w:r>
      <w:bookmarkEnd w:id="747"/>
      <w:bookmarkEnd w:id="748"/>
      <w:bookmarkEnd w:id="749"/>
      <w:bookmarkEnd w:id="750"/>
    </w:p>
    <w:p w14:paraId="33E2B7C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监理人认为有必要时，承包人应按监理人指示的内容和期限，并根据合同进度计划的进度控制要求，编制单位工程进度计划，提交监理人审批。</w:t>
      </w:r>
    </w:p>
    <w:p w14:paraId="1BB1FFC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51" w:name="_Toc265954657"/>
      <w:bookmarkStart w:id="752" w:name="_Toc30943"/>
      <w:bookmarkStart w:id="753" w:name="_Toc265954956"/>
      <w:bookmarkStart w:id="754" w:name="_Toc26565390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10.4 提交资金流估算表</w:t>
      </w:r>
      <w:bookmarkEnd w:id="751"/>
      <w:bookmarkEnd w:id="752"/>
      <w:bookmarkEnd w:id="753"/>
      <w:bookmarkEnd w:id="754"/>
    </w:p>
    <w:p w14:paraId="16AD3F2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0F5C327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资金流估算表（参考格式）</w:t>
      </w:r>
    </w:p>
    <w:tbl>
      <w:tblPr>
        <w:tblStyle w:val="5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372"/>
        <w:gridCol w:w="990"/>
        <w:gridCol w:w="1446"/>
        <w:gridCol w:w="1298"/>
        <w:gridCol w:w="1088"/>
        <w:gridCol w:w="1028"/>
        <w:gridCol w:w="676"/>
        <w:gridCol w:w="820"/>
        <w:gridCol w:w="1122"/>
      </w:tblGrid>
      <w:tr w14:paraId="5116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5F094976">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p>
        </w:tc>
        <w:tc>
          <w:tcPr>
            <w:tcW w:w="372" w:type="dxa"/>
          </w:tcPr>
          <w:p w14:paraId="0254173A">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p>
        </w:tc>
        <w:tc>
          <w:tcPr>
            <w:tcW w:w="990" w:type="dxa"/>
          </w:tcPr>
          <w:p w14:paraId="6F0BBA00">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工程预付款</w:t>
            </w:r>
          </w:p>
        </w:tc>
        <w:tc>
          <w:tcPr>
            <w:tcW w:w="1446" w:type="dxa"/>
          </w:tcPr>
          <w:p w14:paraId="2FEB791B">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完成工作量付款</w:t>
            </w:r>
          </w:p>
        </w:tc>
        <w:tc>
          <w:tcPr>
            <w:tcW w:w="1298" w:type="dxa"/>
          </w:tcPr>
          <w:p w14:paraId="7791C8F6">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质量保证金扣留</w:t>
            </w:r>
          </w:p>
        </w:tc>
        <w:tc>
          <w:tcPr>
            <w:tcW w:w="1088" w:type="dxa"/>
          </w:tcPr>
          <w:p w14:paraId="2ED78280">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材料款扣除</w:t>
            </w:r>
          </w:p>
        </w:tc>
        <w:tc>
          <w:tcPr>
            <w:tcW w:w="1028" w:type="dxa"/>
          </w:tcPr>
          <w:p w14:paraId="1CB6292A">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预付款扣还</w:t>
            </w:r>
          </w:p>
        </w:tc>
        <w:tc>
          <w:tcPr>
            <w:tcW w:w="676" w:type="dxa"/>
          </w:tcPr>
          <w:p w14:paraId="135600B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其它</w:t>
            </w:r>
          </w:p>
        </w:tc>
        <w:tc>
          <w:tcPr>
            <w:tcW w:w="820" w:type="dxa"/>
          </w:tcPr>
          <w:p w14:paraId="6566E2EB">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应收款</w:t>
            </w:r>
          </w:p>
        </w:tc>
        <w:tc>
          <w:tcPr>
            <w:tcW w:w="1122" w:type="dxa"/>
          </w:tcPr>
          <w:p w14:paraId="371C3B2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累计应收款</w:t>
            </w:r>
          </w:p>
        </w:tc>
      </w:tr>
      <w:tr w14:paraId="418A8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72B972FB">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72" w:type="dxa"/>
          </w:tcPr>
          <w:p w14:paraId="4F7CFED8">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990" w:type="dxa"/>
          </w:tcPr>
          <w:p w14:paraId="09498175">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446" w:type="dxa"/>
          </w:tcPr>
          <w:p w14:paraId="63F828F0">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298" w:type="dxa"/>
          </w:tcPr>
          <w:p w14:paraId="42476B4F">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088" w:type="dxa"/>
          </w:tcPr>
          <w:p w14:paraId="48EC93A9">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028" w:type="dxa"/>
          </w:tcPr>
          <w:p w14:paraId="36E98BB1">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76" w:type="dxa"/>
          </w:tcPr>
          <w:p w14:paraId="38A0E236">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20" w:type="dxa"/>
          </w:tcPr>
          <w:p w14:paraId="0F131473">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122" w:type="dxa"/>
          </w:tcPr>
          <w:p w14:paraId="6A0449A8">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373C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dxa"/>
          </w:tcPr>
          <w:p w14:paraId="7BB47537">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72" w:type="dxa"/>
          </w:tcPr>
          <w:p w14:paraId="5501B07F">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990" w:type="dxa"/>
          </w:tcPr>
          <w:p w14:paraId="3CDCD92B">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446" w:type="dxa"/>
          </w:tcPr>
          <w:p w14:paraId="7F842913">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298" w:type="dxa"/>
          </w:tcPr>
          <w:p w14:paraId="0C28B1A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088" w:type="dxa"/>
          </w:tcPr>
          <w:p w14:paraId="1034B907">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028" w:type="dxa"/>
          </w:tcPr>
          <w:p w14:paraId="51AAF518">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76" w:type="dxa"/>
          </w:tcPr>
          <w:p w14:paraId="2689725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20" w:type="dxa"/>
          </w:tcPr>
          <w:p w14:paraId="01F508B2">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122" w:type="dxa"/>
          </w:tcPr>
          <w:p w14:paraId="305B3CE7">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1B5CD08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52B93E2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55" w:name="_Toc229450829"/>
      <w:bookmarkStart w:id="756" w:name="_Toc265954658"/>
      <w:bookmarkStart w:id="757" w:name="_Toc265954957"/>
      <w:bookmarkStart w:id="758" w:name="_Toc26565390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11.开工和竣工</w:t>
      </w:r>
      <w:bookmarkEnd w:id="755"/>
      <w:bookmarkEnd w:id="756"/>
      <w:bookmarkEnd w:id="757"/>
      <w:bookmarkEnd w:id="758"/>
    </w:p>
    <w:p w14:paraId="27937B2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59" w:name="_Toc265653903"/>
      <w:bookmarkStart w:id="760" w:name="_Toc265954659"/>
      <w:bookmarkStart w:id="761" w:name="_Toc199322035"/>
      <w:bookmarkStart w:id="762" w:name="_Toc26657"/>
      <w:bookmarkStart w:id="763" w:name="_Toc265954958"/>
      <w:bookmarkStart w:id="764" w:name="_Toc22945083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11.1 开工</w:t>
      </w:r>
      <w:bookmarkEnd w:id="759"/>
      <w:bookmarkEnd w:id="760"/>
      <w:bookmarkEnd w:id="761"/>
      <w:bookmarkEnd w:id="762"/>
      <w:bookmarkEnd w:id="763"/>
      <w:bookmarkEnd w:id="764"/>
    </w:p>
    <w:p w14:paraId="5FE9289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11.1.1 监理人应在开工日期4天前向承包人发出开工通知。监理人在发出开工通知前应获得发包人同意。工期自监理人发出的开工通知中载明的开工日期起计算。承包人应在开工日期后尽快施工。</w:t>
      </w:r>
    </w:p>
    <w:p w14:paraId="0EC802E1">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2A231E2C">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11.1.3 若发包人未能按合同约定向承包人提供开工的必要条件，承包人有权要求延长工期。监理人应在收到承包人的书面要求后，按第3.5条款的约定，与合同双方商定或确定增加的费用和延长的工期。</w:t>
      </w:r>
    </w:p>
    <w:p w14:paraId="20494CD0">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37147E5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65" w:name="_Toc229450831"/>
      <w:bookmarkStart w:id="766" w:name="_Toc265653904"/>
      <w:bookmarkStart w:id="767" w:name="_Toc265954959"/>
      <w:bookmarkStart w:id="768" w:name="_Toc727"/>
      <w:bookmarkStart w:id="769" w:name="_Toc265954660"/>
      <w:bookmarkStart w:id="770" w:name="_Toc19932203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11.2 竣工</w:t>
      </w:r>
      <w:bookmarkEnd w:id="765"/>
      <w:bookmarkEnd w:id="766"/>
      <w:bookmarkEnd w:id="767"/>
      <w:bookmarkEnd w:id="768"/>
      <w:bookmarkEnd w:id="769"/>
      <w:bookmarkEnd w:id="770"/>
    </w:p>
    <w:p w14:paraId="283F7A9E">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承包人应在第1.1.4.3目约定的期限内完成合同工程。合同工程实际完工日期在合同工程完工证书中明确。</w:t>
      </w:r>
    </w:p>
    <w:p w14:paraId="264FBCE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71" w:name="_Toc265653905"/>
      <w:bookmarkStart w:id="772" w:name="_Toc265954960"/>
      <w:bookmarkStart w:id="773" w:name="_Toc265954661"/>
      <w:bookmarkStart w:id="774" w:name="_Toc199322037"/>
      <w:bookmarkStart w:id="775" w:name="_Toc20915"/>
      <w:bookmarkStart w:id="776" w:name="_Toc22945083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11.3 发包人的工期延误</w:t>
      </w:r>
      <w:bookmarkEnd w:id="771"/>
      <w:bookmarkEnd w:id="772"/>
      <w:bookmarkEnd w:id="773"/>
      <w:bookmarkEnd w:id="774"/>
      <w:bookmarkEnd w:id="775"/>
      <w:bookmarkEnd w:id="776"/>
    </w:p>
    <w:p w14:paraId="5C0F3BB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在履行合同过程中，由于发包人的下列原因造成工期延误的，承包人有权要求发包人延长工期和(或)增加费用，并支付合理利润。需要修订合同进度计划的，按照第10.2款的约定办理。</w:t>
      </w:r>
    </w:p>
    <w:p w14:paraId="4F72CC1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增加合同工作内容；</w:t>
      </w:r>
    </w:p>
    <w:p w14:paraId="020CB52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改变合同中任何一项工作的质量要求或其他特性；</w:t>
      </w:r>
    </w:p>
    <w:p w14:paraId="3C8E330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发包人迟延提供材料、工程设备或变更交货地点的；</w:t>
      </w:r>
    </w:p>
    <w:p w14:paraId="364813D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因发包人原因导致的暂停施工；</w:t>
      </w:r>
    </w:p>
    <w:p w14:paraId="062E2BD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提供图纸延误；</w:t>
      </w:r>
    </w:p>
    <w:p w14:paraId="3453F5C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未按合同约定及时支付预付款、进度款；</w:t>
      </w:r>
    </w:p>
    <w:p w14:paraId="140888A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发包人造成工期延误的其他原因。</w:t>
      </w:r>
    </w:p>
    <w:p w14:paraId="266EE20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77" w:name="_Toc265954662"/>
      <w:bookmarkStart w:id="778" w:name="_Toc199322038"/>
      <w:bookmarkStart w:id="779" w:name="_Toc265653906"/>
      <w:bookmarkStart w:id="780" w:name="_Toc229450833"/>
      <w:bookmarkStart w:id="781" w:name="_Toc265954961"/>
      <w:bookmarkStart w:id="782" w:name="_Toc1608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11.4 异常恶劣的气候条件</w:t>
      </w:r>
      <w:bookmarkEnd w:id="777"/>
      <w:bookmarkEnd w:id="778"/>
      <w:bookmarkEnd w:id="779"/>
      <w:bookmarkEnd w:id="780"/>
      <w:bookmarkEnd w:id="781"/>
      <w:bookmarkEnd w:id="782"/>
    </w:p>
    <w:p w14:paraId="06E125D2">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783" w:name="_Toc229450834"/>
      <w:bookmarkStart w:id="784" w:name="_Toc199322039"/>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11.4.1 当工程所在地发生危及施工安全的异常恶劣气候时，发包人和承包人应按本合同通用合同条款第12条的约定，及时采取暂停施工或部分暂停施工措施。异常恶劣气候条件解除后，承包从应及时安排复工。</w:t>
      </w:r>
    </w:p>
    <w:p w14:paraId="06749A85">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11.4.2 异常恶劣气候条件造成的工期延误和工程损坏，应由发包人与承包人参照本合同通用合同条款第21.3款的约定协商处理。</w:t>
      </w:r>
    </w:p>
    <w:p w14:paraId="4258A0C1">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11.4.3 本合同工程界定异常恶劣气候条件的范围在专用合同条款中约定。</w:t>
      </w:r>
    </w:p>
    <w:p w14:paraId="5D1BEE0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85" w:name="_Toc1597"/>
      <w:bookmarkStart w:id="786" w:name="_Toc265954663"/>
      <w:bookmarkStart w:id="787" w:name="_Toc265954962"/>
      <w:bookmarkStart w:id="788" w:name="_Toc26565390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11.5 承包人的工期延误</w:t>
      </w:r>
      <w:bookmarkEnd w:id="783"/>
      <w:bookmarkEnd w:id="784"/>
      <w:bookmarkEnd w:id="785"/>
      <w:bookmarkEnd w:id="786"/>
      <w:bookmarkEnd w:id="787"/>
      <w:bookmarkEnd w:id="788"/>
    </w:p>
    <w:p w14:paraId="1388055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6441E9A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89" w:name="_Toc28622"/>
      <w:bookmarkStart w:id="790" w:name="_Toc199322040"/>
      <w:bookmarkStart w:id="791" w:name="_Toc265954664"/>
      <w:bookmarkStart w:id="792" w:name="_Toc265954963"/>
      <w:bookmarkStart w:id="793" w:name="_Toc265653908"/>
      <w:bookmarkStart w:id="794" w:name="_Toc22945083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11.6 工期提前</w:t>
      </w:r>
      <w:bookmarkEnd w:id="789"/>
      <w:bookmarkEnd w:id="790"/>
      <w:bookmarkEnd w:id="791"/>
      <w:bookmarkEnd w:id="792"/>
      <w:bookmarkEnd w:id="793"/>
      <w:bookmarkEnd w:id="794"/>
    </w:p>
    <w:p w14:paraId="4FAD2F4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41FB12C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发包人要求提前完工的，双方协商一致后应签订提前完工协议，协议内容包括：</w:t>
      </w:r>
    </w:p>
    <w:p w14:paraId="580B41C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（1）提前的时间和修订后的进度计划。</w:t>
      </w:r>
    </w:p>
    <w:p w14:paraId="42E7CDC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（2）承包人的赶工措施；</w:t>
      </w:r>
    </w:p>
    <w:p w14:paraId="51CD4A1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（3）发包人为赶工提供的条件；</w:t>
      </w:r>
    </w:p>
    <w:p w14:paraId="4BA1350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（4）赶工费用（包括利润和奖金）。</w:t>
      </w:r>
    </w:p>
    <w:p w14:paraId="027CC02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795" w:name="_Toc229450836"/>
      <w:bookmarkStart w:id="796" w:name="_Toc199322041"/>
      <w:bookmarkStart w:id="797" w:name="_Toc265653909"/>
      <w:bookmarkStart w:id="798" w:name="_Toc265954964"/>
      <w:bookmarkStart w:id="799" w:name="_Toc26595466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12．暂停施工</w:t>
      </w:r>
      <w:bookmarkEnd w:id="795"/>
      <w:bookmarkEnd w:id="796"/>
      <w:bookmarkEnd w:id="797"/>
      <w:bookmarkEnd w:id="798"/>
      <w:bookmarkEnd w:id="799"/>
    </w:p>
    <w:p w14:paraId="06E4C49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00" w:name="_Toc265954666"/>
      <w:bookmarkStart w:id="801" w:name="_Toc265653910"/>
      <w:bookmarkStart w:id="802" w:name="_Toc229450837"/>
      <w:bookmarkStart w:id="803" w:name="_Toc265954965"/>
      <w:bookmarkStart w:id="804" w:name="_Toc199322042"/>
      <w:bookmarkStart w:id="805" w:name="_Toc2846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12.1 承包人暂停施工的责任</w:t>
      </w:r>
      <w:bookmarkEnd w:id="800"/>
      <w:bookmarkEnd w:id="801"/>
      <w:bookmarkEnd w:id="802"/>
      <w:bookmarkEnd w:id="803"/>
      <w:bookmarkEnd w:id="804"/>
      <w:bookmarkEnd w:id="805"/>
    </w:p>
    <w:p w14:paraId="115639E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因下列暂停施工增加的费用和(或)工期延误由承包人承担；</w:t>
      </w:r>
    </w:p>
    <w:p w14:paraId="33F774F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承包人违约引起的暂停施工；</w:t>
      </w:r>
    </w:p>
    <w:p w14:paraId="374E616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由于承包人原因为工程合理施工和安全保障所必需的暂停施工；</w:t>
      </w:r>
    </w:p>
    <w:p w14:paraId="54FBD42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承包人擅自暂停施工；</w:t>
      </w:r>
    </w:p>
    <w:p w14:paraId="5C066D4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承包人其他原因引起的暂停施工；</w:t>
      </w:r>
    </w:p>
    <w:p w14:paraId="7D9A19F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专用合同条款约定由承包人承担的其他暂停施工。</w:t>
      </w:r>
    </w:p>
    <w:p w14:paraId="1BE34A9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06" w:name="_Toc229450838"/>
      <w:bookmarkStart w:id="807" w:name="_Toc2669"/>
      <w:bookmarkStart w:id="808" w:name="_Toc265653911"/>
      <w:bookmarkStart w:id="809" w:name="_Toc265954667"/>
      <w:bookmarkStart w:id="810" w:name="_Toc26595496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12.2 发包人暂停施工的责任</w:t>
      </w:r>
      <w:bookmarkEnd w:id="806"/>
      <w:bookmarkEnd w:id="807"/>
      <w:bookmarkEnd w:id="808"/>
      <w:bookmarkEnd w:id="809"/>
      <w:bookmarkEnd w:id="810"/>
    </w:p>
    <w:p w14:paraId="79B224E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由于发包人原因引起的暂停施工造成工期延误的，承包人有权要求发包人延长工期和(或)增加费用，并支付合理利润。</w:t>
      </w:r>
    </w:p>
    <w:p w14:paraId="423E90C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属于下列任何一种情况引起的暂停施工，均为发包人的责任：</w:t>
      </w:r>
    </w:p>
    <w:p w14:paraId="7544FAA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（1）由于发包人违约引起的暂停施工；</w:t>
      </w:r>
    </w:p>
    <w:p w14:paraId="724FF89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（2）由于不可抗力的自然或社会因素引起的暂停施工；</w:t>
      </w:r>
    </w:p>
    <w:p w14:paraId="010157E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（3）专用合同条款中约定的其它由于发包人原因引起的暂停施工。</w:t>
      </w:r>
    </w:p>
    <w:p w14:paraId="2B96340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11" w:name="_Toc265954967"/>
      <w:bookmarkStart w:id="812" w:name="_Toc229450839"/>
      <w:bookmarkStart w:id="813" w:name="_Toc17267"/>
      <w:bookmarkStart w:id="814" w:name="_Toc265653912"/>
      <w:bookmarkStart w:id="815" w:name="_Toc199322043"/>
      <w:bookmarkStart w:id="816" w:name="_Toc26595466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12.3 监理人暂停施工指示</w:t>
      </w:r>
      <w:bookmarkEnd w:id="811"/>
      <w:bookmarkEnd w:id="812"/>
      <w:bookmarkEnd w:id="813"/>
      <w:bookmarkEnd w:id="814"/>
      <w:bookmarkEnd w:id="815"/>
      <w:bookmarkEnd w:id="816"/>
    </w:p>
    <w:p w14:paraId="3C56B4B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2.3.1 监理人认为有必要时，可向承包人作出暂停施工的指示，承包人应按监理人指示暂停施工。不论由于何种原因引起的暂停施工，暂停施工期间承包人应负责妥善保护工程</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并提供安全保障。</w:t>
      </w:r>
    </w:p>
    <w:p w14:paraId="65603426">
      <w:pPr>
        <w:autoSpaceDE w:val="0"/>
        <w:autoSpaceDN w:val="0"/>
        <w:adjustRightInd w:val="0"/>
        <w:ind w:firstLine="510"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Cs w:val="21"/>
          <w:highlight w:val="none"/>
          <w14:textFill>
            <w14:solidFill>
              <w14:schemeClr w14:val="tx1"/>
            </w14:solidFill>
          </w14:textFill>
        </w:rPr>
        <w:t>12.3.2 由于发包人的原因发生暂停施工的紧急情况，且监理人未及时下达暂停施工指示</w:t>
      </w:r>
      <w:r>
        <w:rPr>
          <w:rFonts w:hint="eastAsia" w:asciiTheme="minorEastAsia" w:hAnsiTheme="minorEastAsia" w:eastAsiaTheme="minorEastAsia" w:cstheme="minorEastAsia"/>
          <w:color w:val="000000" w:themeColor="text1"/>
          <w:spacing w:val="1"/>
          <w:szCs w:val="21"/>
          <w:highlight w:val="none"/>
          <w14:textFill>
            <w14:solidFill>
              <w14:schemeClr w14:val="tx1"/>
            </w14:solidFill>
          </w14:textFill>
        </w:rPr>
        <w:t>的，承包人可先暂停施工，并及时向监理人提出暂停施工的书面请求。监理人应在接到书面请求后的24小时内予以答复，逾期未答复的，视为同意承包人的暂停施工请求。</w:t>
      </w:r>
    </w:p>
    <w:p w14:paraId="36BD7F9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17" w:name="_Toc199322044"/>
      <w:bookmarkStart w:id="818" w:name="_Toc265954968"/>
      <w:bookmarkStart w:id="819" w:name="_Toc229450840"/>
      <w:bookmarkStart w:id="820" w:name="_Toc13169"/>
      <w:bookmarkStart w:id="821" w:name="_Toc265954669"/>
      <w:bookmarkStart w:id="822" w:name="_Toc26565391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12.4 暂停施工后的复工</w:t>
      </w:r>
      <w:bookmarkEnd w:id="817"/>
      <w:bookmarkEnd w:id="818"/>
      <w:bookmarkEnd w:id="819"/>
      <w:bookmarkEnd w:id="820"/>
      <w:bookmarkEnd w:id="821"/>
      <w:bookmarkEnd w:id="822"/>
    </w:p>
    <w:p w14:paraId="1ED52312">
      <w:pPr>
        <w:autoSpaceDE w:val="0"/>
        <w:autoSpaceDN w:val="0"/>
        <w:adjustRightInd w:val="0"/>
        <w:ind w:firstLine="505"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12.4.1 暂停施工后，监理人应与发包人和承包人协商，采取有效措施积极消除暂停施工</w:t>
      </w:r>
      <w:r>
        <w:rPr>
          <w:rFonts w:hint="eastAsia" w:asciiTheme="minorEastAsia" w:hAnsiTheme="minorEastAsia" w:eastAsiaTheme="minorEastAsia" w:cstheme="minorEastAsia"/>
          <w:color w:val="000000" w:themeColor="text1"/>
          <w:spacing w:val="-3"/>
          <w:szCs w:val="21"/>
          <w:highlight w:val="none"/>
          <w14:textFill>
            <w14:solidFill>
              <w14:schemeClr w14:val="tx1"/>
            </w14:solidFill>
          </w14:textFill>
        </w:rPr>
        <w:t>的影响。当工程具备复工条件时，监理人应立即向承包人发出复工通知。 承包人收到复工通知后，应在监理人指定的期限内复工。</w:t>
      </w:r>
    </w:p>
    <w:p w14:paraId="71AF212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12.4.2 承包人无故拖延和拒绝复工的，由此增加的费用和工期延误由承包人承担:因发包人原因无法按时复工的，承包人有权要求发包人延长工期和(或)增加费用，并支付合理利润。</w:t>
      </w:r>
    </w:p>
    <w:p w14:paraId="66970D0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23" w:name="_Toc229450841"/>
      <w:bookmarkStart w:id="824" w:name="_Toc265954670"/>
      <w:bookmarkStart w:id="825" w:name="_Toc265954969"/>
      <w:bookmarkStart w:id="826" w:name="_Toc199322045"/>
      <w:bookmarkStart w:id="827" w:name="_Toc265653914"/>
      <w:bookmarkStart w:id="828" w:name="_Toc837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12.5 暂停施工持续28天以上</w:t>
      </w:r>
      <w:bookmarkEnd w:id="823"/>
      <w:bookmarkEnd w:id="824"/>
      <w:bookmarkEnd w:id="825"/>
      <w:bookmarkEnd w:id="826"/>
      <w:bookmarkEnd w:id="827"/>
      <w:bookmarkEnd w:id="828"/>
    </w:p>
    <w:p w14:paraId="4BDB091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12.5.1 监理人发出暂停施工指示后28天内未向承包人发出复工通知，除了该项停工属于第12.1款的情况外，承包人可向监理人提交书面通知，要求监理人在收到书面通知后14天内准许己暂停施工的工程或其中一部分工程继续施工。如监理人逾期不予批准，则承包人可以通知监理人，将工程受影响的部分视为按第15.1(1)项的可取消工作。如暂停施工影</w:t>
      </w:r>
    </w:p>
    <w:p w14:paraId="2CF807B4">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响到整个工程，可视为发包人违约，应按第22.2 款的规定办理。</w:t>
      </w:r>
    </w:p>
    <w:p w14:paraId="424C4A26">
      <w:pPr>
        <w:autoSpaceDE w:val="0"/>
        <w:autoSpaceDN w:val="0"/>
        <w:adjustRightInd w:val="0"/>
        <w:ind w:firstLine="51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12.5.2 由于承包人责任引起的暂停施工，如承包人在收到监理人暂停施工指示后28天</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内不认真采取有效的复工措施，造成工期延误，可视为承包人违约，应按第22.1 款的规定办理。</w:t>
      </w:r>
    </w:p>
    <w:p w14:paraId="03C571C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29" w:name="_Toc229450842"/>
      <w:bookmarkStart w:id="830" w:name="_Toc265954671"/>
      <w:bookmarkStart w:id="831" w:name="_Toc265954970"/>
      <w:bookmarkStart w:id="832" w:name="_Toc13790"/>
      <w:bookmarkStart w:id="833" w:name="_Toc26565391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13.工程质量</w:t>
      </w:r>
      <w:bookmarkEnd w:id="829"/>
      <w:bookmarkEnd w:id="830"/>
      <w:bookmarkEnd w:id="831"/>
      <w:bookmarkEnd w:id="832"/>
      <w:bookmarkEnd w:id="833"/>
    </w:p>
    <w:p w14:paraId="48AA3D8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34" w:name="_Toc265954672"/>
      <w:bookmarkStart w:id="835" w:name="_Toc265653916"/>
      <w:bookmarkStart w:id="836" w:name="_Toc265954971"/>
      <w:bookmarkStart w:id="837" w:name="_Toc229450843"/>
      <w:bookmarkStart w:id="838" w:name="_Toc2494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13.1 工程质量要求</w:t>
      </w:r>
      <w:bookmarkEnd w:id="834"/>
      <w:bookmarkEnd w:id="835"/>
      <w:bookmarkEnd w:id="836"/>
      <w:bookmarkEnd w:id="837"/>
      <w:bookmarkEnd w:id="838"/>
    </w:p>
    <w:p w14:paraId="4606346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13.1.1 工程质量验收按合同约定验收标准执行。</w:t>
      </w:r>
    </w:p>
    <w:p w14:paraId="771582F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13.1.2 因承包人原因造成工程质量达不到合同约定验收标准的，监理人有权要求承包人返工直至符合合同要求为止，由此造成的费用增加和(或)工期延误由承包人承担。</w:t>
      </w:r>
    </w:p>
    <w:p w14:paraId="0F4E7AB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13.1.3 因发包人原因造成工程质量达不到合同约定验收标准的，发包人应承担由于承包人返工造成的费用增加和(或)工期延误，并支付承包人合理利润。</w:t>
      </w:r>
    </w:p>
    <w:p w14:paraId="50C602C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39" w:name="_Toc265954673"/>
      <w:bookmarkStart w:id="840" w:name="_Toc229450844"/>
      <w:bookmarkStart w:id="841" w:name="_Toc22487"/>
      <w:bookmarkStart w:id="842" w:name="_Toc265954972"/>
      <w:bookmarkStart w:id="843" w:name="_Toc26565391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13.2 承包人的质量管理</w:t>
      </w:r>
      <w:bookmarkEnd w:id="839"/>
      <w:bookmarkEnd w:id="840"/>
      <w:bookmarkEnd w:id="841"/>
      <w:bookmarkEnd w:id="842"/>
      <w:bookmarkEnd w:id="843"/>
    </w:p>
    <w:p w14:paraId="5764D598">
      <w:pPr>
        <w:autoSpaceDE w:val="0"/>
        <w:autoSpaceDN w:val="0"/>
        <w:adjustRightInd w:val="0"/>
        <w:ind w:firstLine="412"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263117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13.2.2 承包人应加强对施工人员的质量教育和技术培训，定期考核施工人员的劳动技能，严格执行规范和操作规程。</w:t>
      </w:r>
    </w:p>
    <w:p w14:paraId="3DA2F07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44" w:name="_Toc265653918"/>
      <w:bookmarkStart w:id="845" w:name="_Toc265954973"/>
      <w:bookmarkStart w:id="846" w:name="_Toc229450845"/>
      <w:bookmarkStart w:id="847" w:name="_Toc6857"/>
      <w:bookmarkStart w:id="848" w:name="_Toc26595467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13.3 承包人的质量检查</w:t>
      </w:r>
      <w:bookmarkEnd w:id="844"/>
      <w:bookmarkEnd w:id="845"/>
      <w:bookmarkEnd w:id="846"/>
      <w:bookmarkEnd w:id="847"/>
      <w:bookmarkEnd w:id="848"/>
    </w:p>
    <w:p w14:paraId="2EF0732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承包人应按合同约定对材料、工程设备以及工程的所有部位及其施工工艺进行全过程的质量检查和检验，并作详细记录，编制工程质量报表，报送监理人审查。</w:t>
      </w:r>
    </w:p>
    <w:p w14:paraId="597D87A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49" w:name="_Toc265954675"/>
      <w:bookmarkStart w:id="850" w:name="_Toc27412"/>
      <w:bookmarkStart w:id="851" w:name="_Toc265653919"/>
      <w:bookmarkStart w:id="852" w:name="_Toc265954974"/>
      <w:bookmarkStart w:id="853" w:name="_Toc22945084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13.4 监理人的质量检查</w:t>
      </w:r>
      <w:bookmarkEnd w:id="849"/>
      <w:bookmarkEnd w:id="850"/>
      <w:bookmarkEnd w:id="851"/>
      <w:bookmarkEnd w:id="852"/>
      <w:bookmarkEnd w:id="853"/>
    </w:p>
    <w:p w14:paraId="3FCA53F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5003B79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54" w:name="_Toc265653920"/>
      <w:bookmarkStart w:id="855" w:name="_Toc265954975"/>
      <w:bookmarkStart w:id="856" w:name="_Toc19388"/>
      <w:bookmarkStart w:id="857" w:name="_Toc229450847"/>
      <w:bookmarkStart w:id="858" w:name="_Toc26595467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13.5 工程隐蔽部位覆盖前的检查</w:t>
      </w:r>
      <w:bookmarkEnd w:id="854"/>
      <w:bookmarkEnd w:id="855"/>
      <w:bookmarkEnd w:id="856"/>
      <w:bookmarkEnd w:id="857"/>
      <w:bookmarkEnd w:id="858"/>
    </w:p>
    <w:p w14:paraId="39A80B87">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13.5.1 通知监理人检查</w:t>
      </w:r>
    </w:p>
    <w:p w14:paraId="7ECF1FC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6B03A235">
      <w:pPr>
        <w:autoSpaceDE w:val="0"/>
        <w:autoSpaceDN w:val="0"/>
        <w:adjustRightInd w:val="0"/>
        <w:ind w:firstLine="412"/>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13.5.2 监理人未到场检查</w:t>
      </w:r>
    </w:p>
    <w:p w14:paraId="0572C803">
      <w:pPr>
        <w:autoSpaceDE w:val="0"/>
        <w:autoSpaceDN w:val="0"/>
        <w:adjustRightInd w:val="0"/>
        <w:ind w:firstLine="412"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监理人未按第13.5.1 项约定的时间进行检查的，除监理人另有指示外，承包人可自行完</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成覆盖工作，并作相应记录报送监理人，监理人应签字确认。监理人事后对检查记录有疑问的，可按第13.5.3 项的约定重新检查。</w:t>
      </w:r>
    </w:p>
    <w:p w14:paraId="1F6FDF34">
      <w:pPr>
        <w:autoSpaceDE w:val="0"/>
        <w:autoSpaceDN w:val="0"/>
        <w:adjustRightInd w:val="0"/>
        <w:ind w:firstLine="412"/>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13.5.3 监理人重新检查</w:t>
      </w:r>
    </w:p>
    <w:p w14:paraId="21D285A4">
      <w:pPr>
        <w:autoSpaceDE w:val="0"/>
        <w:autoSpaceDN w:val="0"/>
        <w:adjustRightInd w:val="0"/>
        <w:ind w:firstLine="404"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承包人按第13.5.1 项或第13.5.2 项覆盖工程隐蔽部位后，监理人对质量有疑问的，可要</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求承包人对己覆盖的部位进行钻孔探测或揭开重新检验，承包人应遵照执行，并在检验后重</w:t>
      </w: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新覆盖恢复原状。经检验证明工程质量符合合同要求的，由发包人承担由此增加的费用和(或)工期延误，并支付承包人合理利润:经检验证明工程质量不符合合同要求的，由此增加的费</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用和(或)工期延误由承包人承担。</w:t>
      </w:r>
    </w:p>
    <w:p w14:paraId="245D9D73">
      <w:pPr>
        <w:autoSpaceDE w:val="0"/>
        <w:autoSpaceDN w:val="0"/>
        <w:adjustRightInd w:val="0"/>
        <w:ind w:firstLine="412"/>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13.5.4 承包人私自覆盖</w:t>
      </w:r>
    </w:p>
    <w:p w14:paraId="366E197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承包人未通知监理人到场检查，私自将工程隐蔽部位覆盖的，监理人有权指示承包人钻孔探测或揭开检查，由此增加的费用和(或)工期延误由承包人承担。</w:t>
      </w:r>
    </w:p>
    <w:p w14:paraId="38D30DF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59" w:name="_Toc265653921"/>
      <w:bookmarkStart w:id="860" w:name="_Toc229450848"/>
      <w:bookmarkStart w:id="861" w:name="_Toc265954677"/>
      <w:bookmarkStart w:id="862" w:name="_Toc265954976"/>
      <w:bookmarkStart w:id="863" w:name="_Toc777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13.6 清除不合格工程</w:t>
      </w:r>
      <w:bookmarkEnd w:id="859"/>
      <w:bookmarkEnd w:id="860"/>
      <w:bookmarkEnd w:id="861"/>
      <w:bookmarkEnd w:id="862"/>
      <w:bookmarkEnd w:id="863"/>
    </w:p>
    <w:p w14:paraId="13CCB27A">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2EE7A6B2">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13.6.2 由于发包人提供的材料或工程设备不合格造成的工程不合格，需要承包人采取措施补救的，发包人应承担由此增加的费用和(或)工期延误，并支付承包人合理利润。</w:t>
      </w:r>
    </w:p>
    <w:p w14:paraId="07F2D33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64" w:name="_Toc265954678"/>
      <w:bookmarkStart w:id="865" w:name="_Toc265653922"/>
      <w:bookmarkStart w:id="866" w:name="_Toc265954977"/>
      <w:bookmarkStart w:id="867" w:name="_Toc1975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13.7 质量评定</w:t>
      </w:r>
      <w:bookmarkEnd w:id="864"/>
      <w:bookmarkEnd w:id="865"/>
      <w:bookmarkEnd w:id="866"/>
      <w:bookmarkEnd w:id="867"/>
    </w:p>
    <w:p w14:paraId="099E4CBD">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13.7.1 发包人应组织承包人进行工程项目划分，并确定单位工程、主要分部工程、重要隐蔽单元工程和关键部位单元工程。</w:t>
      </w:r>
    </w:p>
    <w:p w14:paraId="18F29B05">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13.7.2 工程实施过程中，单位工程、主要分部工程、重要隐蔽单元工程和关键部位单元工程的项目划分需要调整时，承包人应报发包人确认。</w:t>
      </w:r>
    </w:p>
    <w:p w14:paraId="2E31D6AD">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13.7.3 承包人应在单元（工序）工程质量自评合格后，报监理人核定质量等级并签证认可。</w:t>
      </w:r>
    </w:p>
    <w:p w14:paraId="490565BE">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6F1CFB05">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13.7.5 承包人应在分部工程质量自评合格后，报监理人复核和发包人认定。发包人负责按有关规定完成分部工程质量结论报工程质量监督机构核备（核定）手续。</w:t>
      </w:r>
    </w:p>
    <w:p w14:paraId="45D6D638">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13.7.6 承包人应在单位工程质量自评合格后，报监理人复核和发包人认定。发包人负责按有关规定完成单位工程质量结论报工程质量监督机构核定手续。</w:t>
      </w:r>
    </w:p>
    <w:p w14:paraId="5DE4EF4B">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13.7.7 除专用合同条款另有约定外，工程质量等级分为合格和优良，应分另达到约定的标准。</w:t>
      </w:r>
    </w:p>
    <w:p w14:paraId="32BCFEF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68" w:name="_Toc265954978"/>
      <w:bookmarkStart w:id="869" w:name="_Toc32606"/>
      <w:bookmarkStart w:id="870" w:name="_Toc265954679"/>
      <w:bookmarkStart w:id="871" w:name="_Toc26565392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13.8 质量事故处理</w:t>
      </w:r>
      <w:bookmarkEnd w:id="868"/>
      <w:bookmarkEnd w:id="869"/>
      <w:bookmarkEnd w:id="870"/>
      <w:bookmarkEnd w:id="871"/>
    </w:p>
    <w:p w14:paraId="178F1B96">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13.8.1 发生质量事故时，承包人应及时向发包人和监理人报告。</w:t>
      </w:r>
    </w:p>
    <w:p w14:paraId="6821FDA4">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13.8.2 质量事故调查处理由发包人按相关规定履行手续，承包人应配合。</w:t>
      </w:r>
    </w:p>
    <w:p w14:paraId="7B0C6699">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13.8.3 承包人应对质量缺陷进行备案。发包人委托监理人对质量缺陷备案情况进行监督检查并履行相关手续。</w:t>
      </w:r>
    </w:p>
    <w:p w14:paraId="25C8FC9C">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13.8.4 除专用合同条款另有约定外，工程竣工验收时，发包人负责向竣工验收委员会汇报并提交历次质量缺陷处理的备案资料。</w:t>
      </w:r>
    </w:p>
    <w:p w14:paraId="2A8FBE6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72" w:name="_Toc199322046"/>
      <w:bookmarkStart w:id="873" w:name="_Toc21695"/>
      <w:bookmarkStart w:id="874" w:name="_Toc265954680"/>
      <w:bookmarkStart w:id="875" w:name="_Toc265653924"/>
      <w:bookmarkStart w:id="876" w:name="_Toc229450849"/>
      <w:bookmarkStart w:id="877" w:name="_Toc26595497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 试验和检验</w:t>
      </w:r>
      <w:bookmarkEnd w:id="872"/>
      <w:bookmarkEnd w:id="873"/>
      <w:bookmarkEnd w:id="874"/>
      <w:bookmarkEnd w:id="875"/>
      <w:bookmarkEnd w:id="876"/>
      <w:bookmarkEnd w:id="877"/>
    </w:p>
    <w:p w14:paraId="6788EF3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78" w:name="_Toc265653925"/>
      <w:bookmarkStart w:id="879" w:name="_Toc229450850"/>
      <w:bookmarkStart w:id="880" w:name="_Toc265954681"/>
      <w:bookmarkStart w:id="881" w:name="_Toc22766"/>
      <w:bookmarkStart w:id="882" w:name="_Toc26595498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14.1 材料、工程设备和工程的试验和检验</w:t>
      </w:r>
      <w:bookmarkEnd w:id="878"/>
      <w:bookmarkEnd w:id="879"/>
      <w:bookmarkEnd w:id="880"/>
      <w:bookmarkEnd w:id="881"/>
      <w:bookmarkEnd w:id="882"/>
    </w:p>
    <w:p w14:paraId="0B4E748B">
      <w:pPr>
        <w:autoSpaceDE w:val="0"/>
        <w:autoSpaceDN w:val="0"/>
        <w:adjustRightInd w:val="0"/>
        <w:ind w:firstLine="50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14.1.1 承包人应按合同约定进行材料、工程设备和工程的试验和检验，并为监理人对上</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述材料、工程设备和工程的质量检查提供必要的试验资料和原始记录。按合同约定应由监理人与承包人共同进行试验和检验的，由承包人负责提供必要的试验资料和原始记录。</w:t>
      </w:r>
    </w:p>
    <w:p w14:paraId="5BD99E42">
      <w:pPr>
        <w:autoSpaceDE w:val="0"/>
        <w:autoSpaceDN w:val="0"/>
        <w:adjustRightInd w:val="0"/>
        <w:ind w:firstLine="505" w:firstLineChars="2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14.1.2 监理人未按合同约定派员参加试验和检验的，除监理人另有指示外，承包人可自行试验和检验，并应立即将试验和检验结果报送监理人，监理人应签字确认。</w:t>
      </w:r>
    </w:p>
    <w:p w14:paraId="469938CC">
      <w:pPr>
        <w:autoSpaceDE w:val="0"/>
        <w:autoSpaceDN w:val="0"/>
        <w:adjustRightInd w:val="0"/>
        <w:ind w:firstLine="505"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14.1.3 监理人对承包人的试验和检验结果有疑问的，或为查清承包人试验和检验成果的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可靠性要求承包人重新试验和检验的，可按合同约定由监理人与承包人共同进行。重新试验和检验的结果证明该项材料、工程设备或工程的质量不符合合同要求的，由此增加的费用和</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(或)工期延误由承包人承担:重新试验和检验结果证明该项材料、工程设备和工程符合合同要求，由发包人承担由此增加的费用和(或)工期延误，并支付承包人合理利润。</w:t>
      </w:r>
    </w:p>
    <w:p w14:paraId="7F24B662">
      <w:pPr>
        <w:autoSpaceDE w:val="0"/>
        <w:autoSpaceDN w:val="0"/>
        <w:adjustRightInd w:val="0"/>
        <w:ind w:firstLine="505" w:firstLineChars="2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14.1.4 承包人应按相关规定和标准对水泥、钢材等原材料与中间产品质量进行检验，并报监理人复核。</w:t>
      </w:r>
    </w:p>
    <w:p w14:paraId="3E75CA5C">
      <w:pPr>
        <w:autoSpaceDE w:val="0"/>
        <w:autoSpaceDN w:val="0"/>
        <w:adjustRightInd w:val="0"/>
        <w:ind w:firstLine="505" w:firstLineChars="2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47E0EF88">
      <w:pPr>
        <w:autoSpaceDE w:val="0"/>
        <w:autoSpaceDN w:val="0"/>
        <w:adjustRightInd w:val="0"/>
        <w:ind w:firstLine="505" w:firstLineChars="2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14.1.6 对专用合同条款约定的试块、试件及有关材料，监理人实行见证取样。见证取样资料由承包人制备，记录应真实齐全，监理人、承包人等参与见证取样人员均应在相关文件上签字。</w:t>
      </w:r>
    </w:p>
    <w:p w14:paraId="1B52128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83" w:name="_Toc265954682"/>
      <w:bookmarkStart w:id="884" w:name="_Toc265954981"/>
      <w:bookmarkStart w:id="885" w:name="_Toc9944"/>
      <w:bookmarkStart w:id="886" w:name="_Toc265653926"/>
      <w:bookmarkStart w:id="887" w:name="_Toc22945085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14.2 现场材料试验</w:t>
      </w:r>
      <w:bookmarkEnd w:id="883"/>
      <w:bookmarkEnd w:id="884"/>
      <w:bookmarkEnd w:id="885"/>
      <w:bookmarkEnd w:id="886"/>
      <w:bookmarkEnd w:id="887"/>
    </w:p>
    <w:p w14:paraId="369D3130">
      <w:pPr>
        <w:autoSpaceDE w:val="0"/>
        <w:autoSpaceDN w:val="0"/>
        <w:adjustRightInd w:val="0"/>
        <w:ind w:firstLine="412" w:firstLineChars="2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14.2.1 承包人根据合同约定或监理人指示进行的现场材料试验，应由承包人提供试验场所、试验人员、试验设备器材以及其他必要的试验条件。</w:t>
      </w:r>
    </w:p>
    <w:p w14:paraId="4774D31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14.2.2 监理人在必要时可以使用承包人的试验场所、试验设备器材以及其他试验条件，进行以工程质量检查为目的的复核性材料试验，承包人应予以协助。</w:t>
      </w:r>
    </w:p>
    <w:p w14:paraId="67D3966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88" w:name="_Toc265653927"/>
      <w:bookmarkStart w:id="889" w:name="_Toc265954683"/>
      <w:bookmarkStart w:id="890" w:name="_Toc265954982"/>
      <w:bookmarkStart w:id="891" w:name="_Toc14183"/>
      <w:bookmarkStart w:id="892" w:name="_Toc22945085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14.3 现场工艺试验</w:t>
      </w:r>
      <w:bookmarkEnd w:id="888"/>
      <w:bookmarkEnd w:id="889"/>
      <w:bookmarkEnd w:id="890"/>
      <w:bookmarkEnd w:id="891"/>
      <w:bookmarkEnd w:id="892"/>
    </w:p>
    <w:p w14:paraId="3B3D3D2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承包人应按合同约定或监理人指示进行现场工艺试验.对大型的现场工艺试验，监理人认为必要时，应由承包人根据监理人提出的工艺试验要求，编制工艺试验措施计划，报送监理人审批。</w:t>
      </w:r>
    </w:p>
    <w:p w14:paraId="37604EF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93" w:name="_Toc229450853"/>
      <w:bookmarkStart w:id="894" w:name="_Toc265954684"/>
      <w:bookmarkStart w:id="895" w:name="_Toc265954983"/>
      <w:bookmarkStart w:id="896" w:name="_Toc199322047"/>
      <w:bookmarkStart w:id="897" w:name="_Toc14791"/>
      <w:bookmarkStart w:id="898" w:name="_Toc26565392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 变更</w:t>
      </w:r>
      <w:bookmarkEnd w:id="893"/>
      <w:bookmarkEnd w:id="894"/>
      <w:bookmarkEnd w:id="895"/>
      <w:bookmarkEnd w:id="896"/>
      <w:bookmarkEnd w:id="897"/>
      <w:bookmarkEnd w:id="898"/>
    </w:p>
    <w:p w14:paraId="04C3653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99" w:name="_Toc265653929"/>
      <w:bookmarkStart w:id="900" w:name="_Toc265954984"/>
      <w:bookmarkStart w:id="901" w:name="_Toc265954685"/>
      <w:bookmarkStart w:id="902" w:name="_Toc229450854"/>
      <w:bookmarkStart w:id="903" w:name="_Toc2808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15.1 变更的范围和内容</w:t>
      </w:r>
      <w:bookmarkEnd w:id="899"/>
      <w:bookmarkEnd w:id="900"/>
      <w:bookmarkEnd w:id="901"/>
      <w:bookmarkEnd w:id="902"/>
      <w:bookmarkEnd w:id="903"/>
    </w:p>
    <w:p w14:paraId="570E4A31">
      <w:pPr>
        <w:autoSpaceDE w:val="0"/>
        <w:autoSpaceDN w:val="0"/>
        <w:adjustRightInd w:val="0"/>
        <w:ind w:firstLine="515"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在履行合同中发生以下情形之一，应按照本款规定进行变更。</w:t>
      </w:r>
    </w:p>
    <w:p w14:paraId="5A410C8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取消合同中任何一项工作，但被取消的工作不能转由发包人或其他人实施；</w:t>
      </w:r>
    </w:p>
    <w:p w14:paraId="0C8A388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改变合同中任何一项工作的质量或其他特性；</w:t>
      </w:r>
    </w:p>
    <w:p w14:paraId="2DA7C10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改变合同工程的基线、标高、位置或尺寸；</w:t>
      </w:r>
    </w:p>
    <w:p w14:paraId="17A4FA8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改变合同中任何一项工作的施工时间或改变已批准的施工工艺或顺序；</w:t>
      </w:r>
    </w:p>
    <w:p w14:paraId="2F2C678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为完成工程需要追加的额外工作；</w:t>
      </w:r>
    </w:p>
    <w:p w14:paraId="558CBFB8">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（6）增加或减少专用合同条款中约定的关键项目工程量超过其工程总量的一定数量百分比。</w:t>
      </w:r>
    </w:p>
    <w:p w14:paraId="13A3E49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上述第（1）～（6）目的变更内容引起工程施工组织和进度计划发生实质性变动和影响其原定的价格时，才予调整该项目的单价。第（6）目情形下单价调整方式在专用合同条款中约定。</w:t>
      </w:r>
    </w:p>
    <w:p w14:paraId="11853A2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04" w:name="_Toc229450855"/>
      <w:bookmarkStart w:id="905" w:name="_Toc265653930"/>
      <w:bookmarkStart w:id="906" w:name="_Toc265954686"/>
      <w:bookmarkStart w:id="907" w:name="_Toc23357"/>
      <w:bookmarkStart w:id="908" w:name="_Toc26595498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15.2 变更权</w:t>
      </w:r>
      <w:bookmarkEnd w:id="904"/>
      <w:bookmarkEnd w:id="905"/>
      <w:bookmarkEnd w:id="906"/>
      <w:bookmarkEnd w:id="907"/>
      <w:bookmarkEnd w:id="908"/>
    </w:p>
    <w:p w14:paraId="3F1537C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在履行合同过程中，经发包人同意，监理人可按第15.3 款约定的变更程序向承包人作出变更指示，承包人应遵照执行。没有监理人的变更指示，承包人不得擅自变更。</w:t>
      </w:r>
    </w:p>
    <w:p w14:paraId="2C096A9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09" w:name="_Toc265954687"/>
      <w:bookmarkStart w:id="910" w:name="_Toc265653931"/>
      <w:bookmarkStart w:id="911" w:name="_Toc229450856"/>
      <w:bookmarkStart w:id="912" w:name="_Toc1895"/>
      <w:bookmarkStart w:id="913" w:name="_Toc26595498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15.3 变更程序</w:t>
      </w:r>
      <w:bookmarkEnd w:id="909"/>
      <w:bookmarkEnd w:id="910"/>
      <w:bookmarkEnd w:id="911"/>
      <w:bookmarkEnd w:id="912"/>
      <w:bookmarkEnd w:id="913"/>
    </w:p>
    <w:p w14:paraId="004AFD86">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914" w:name="_Toc19932204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15.3.1 变更的提出</w:t>
      </w:r>
      <w:bookmarkEnd w:id="914"/>
    </w:p>
    <w:p w14:paraId="57ECA8EA">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p>
    <w:p w14:paraId="2D18EB6F">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在合同履行过程中，发生第15.1 款约定情形的，监理人应按照第15.3.3 项约定向承包人发出变更指示。</w:t>
      </w:r>
    </w:p>
    <w:p w14:paraId="300CBBB2">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款约定情形的，可向监理人提出书面变更建议。变更建议应阐明要求变更的依据，并附必要的图纸和说明。监理人收到承包人书面建议后，应与发包人共同研究，确认存在变更的，应在收到承包人书面建议后的7 天内作出变更指示。经研究后不同意作为变更的，应由监理人书面答复承包人。</w:t>
      </w:r>
    </w:p>
    <w:p w14:paraId="7389623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若承包人收到监理人的变更意向书后认为难以实施此项变更，应立即通知监理人，说明原因并附详细依据。监理人与承包人和发包人协商后确定撤销、改变或不改变原变更意向书。</w:t>
      </w:r>
    </w:p>
    <w:p w14:paraId="788AE8C5">
      <w:pPr>
        <w:autoSpaceDE w:val="0"/>
        <w:autoSpaceDN w:val="0"/>
        <w:adjustRightInd w:val="0"/>
        <w:ind w:firstLine="205" w:firstLineChars="98"/>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15.3.2 变更估价</w:t>
      </w:r>
    </w:p>
    <w:p w14:paraId="0410BE56">
      <w:pPr>
        <w:autoSpaceDE w:val="0"/>
        <w:autoSpaceDN w:val="0"/>
        <w:adjustRightInd w:val="0"/>
        <w:ind w:firstLine="207"/>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除专用合同条款对期限另有约定外，承包人应在收到变更指示或变更意向书后的7天内，向监理人提交变更报价书，报价内容应根据第15.4款约定的估价原则，详细开列变更工作的价格组成及其依据，并附必要的施工方法说明和有关图纸。</w:t>
      </w:r>
    </w:p>
    <w:p w14:paraId="1162AAF5">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变更工作影响工期的，承包人应提出调整工期的具体细节。监理人认为有必要时，可要求承包人提交要求提前或延长工期的施工进度计划及相应施工措施等详细资料。</w:t>
      </w:r>
    </w:p>
    <w:p w14:paraId="114537F2">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除专用合同条款对期限另有约定外，监理人收到承包人变更报价书后的7天内，根据第15.4款约定的估价原则，按照第3.5款商定或确定变更价格。</w:t>
      </w:r>
    </w:p>
    <w:p w14:paraId="27800892">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915" w:name="_Toc19932204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15.3.3 变更指示</w:t>
      </w:r>
      <w:bookmarkEnd w:id="915"/>
    </w:p>
    <w:p w14:paraId="75D591B7">
      <w:pPr>
        <w:autoSpaceDE w:val="0"/>
        <w:autoSpaceDN w:val="0"/>
        <w:adjustRightInd w:val="0"/>
        <w:ind w:firstLine="21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变更指示只能由监理人发出。</w:t>
      </w:r>
    </w:p>
    <w:p w14:paraId="1D442107">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变更指示应说明变更的目的、范围、变更内容以及变更的工程量及其进度和技术要求，并附有关图纸和文件。承包人收到变更指示后，应按变更指示进行变更工作。</w:t>
      </w:r>
    </w:p>
    <w:p w14:paraId="59B3D3A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16" w:name="_Toc265954987"/>
      <w:bookmarkStart w:id="917" w:name="_Toc265954688"/>
      <w:bookmarkStart w:id="918" w:name="_Toc229450857"/>
      <w:bookmarkStart w:id="919" w:name="_Toc12920"/>
      <w:bookmarkStart w:id="920" w:name="_Toc26565393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15.4 变更的估价原则</w:t>
      </w:r>
      <w:bookmarkEnd w:id="916"/>
      <w:bookmarkEnd w:id="917"/>
      <w:bookmarkEnd w:id="918"/>
      <w:bookmarkEnd w:id="919"/>
      <w:bookmarkEnd w:id="920"/>
    </w:p>
    <w:p w14:paraId="62CB536E">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除专用合同条款另有约定外，因变更引起的价格调整按照本款约定处理。</w:t>
      </w:r>
    </w:p>
    <w:p w14:paraId="2D4C91C8">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15.4.1 己标价工程量清单中有适用于变更工作的子目的，采用该子目的单价。</w:t>
      </w:r>
    </w:p>
    <w:p w14:paraId="6D8171EE">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921" w:name="_Toc19932205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15.4.2 己标价工程量清单中无适用于变更工作的子目，但有类似子目的，可在合理范围内参照类似子目的单价，由监理人按第3.5款商定或确定变更工作的单价。</w:t>
      </w:r>
      <w:bookmarkEnd w:id="921"/>
    </w:p>
    <w:p w14:paraId="19FCB438">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15.4.3 己标价工程量清单中无适用或类似子目的单价，可按照成本加利润的原则，由监理人按第3.5 款商定或确定变更工作的单价。</w:t>
      </w:r>
    </w:p>
    <w:p w14:paraId="0E9A8C7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22" w:name="_Toc265954988"/>
      <w:bookmarkStart w:id="923" w:name="_Toc265954689"/>
      <w:bookmarkStart w:id="924" w:name="_Toc229450858"/>
      <w:bookmarkStart w:id="925" w:name="_Toc265653933"/>
      <w:bookmarkStart w:id="926" w:name="_Toc1453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15.5 承包人的合理化建议</w:t>
      </w:r>
      <w:bookmarkEnd w:id="922"/>
      <w:bookmarkEnd w:id="923"/>
      <w:bookmarkEnd w:id="924"/>
      <w:bookmarkEnd w:id="925"/>
      <w:bookmarkEnd w:id="926"/>
    </w:p>
    <w:p w14:paraId="5A0B1C40">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 项约定向承包人发出变更指示。</w:t>
      </w:r>
    </w:p>
    <w:p w14:paraId="7747A27B">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927" w:name="_Toc19932205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15.5.2 承包人提出的合理化建议降低了合同价格、缩短了工期或者提高了工程经济效益的，发包人可按国家有关规定在专用合同条款中约定给予奖励。</w:t>
      </w:r>
      <w:bookmarkEnd w:id="927"/>
    </w:p>
    <w:p w14:paraId="123143B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28" w:name="_Toc3277"/>
      <w:bookmarkStart w:id="929" w:name="_Toc265954989"/>
      <w:bookmarkStart w:id="930" w:name="_Toc229450859"/>
      <w:bookmarkStart w:id="931" w:name="_Toc265653934"/>
      <w:bookmarkStart w:id="932" w:name="_Toc26595469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15.6 暂列金额</w:t>
      </w:r>
      <w:bookmarkEnd w:id="928"/>
      <w:bookmarkEnd w:id="929"/>
      <w:bookmarkEnd w:id="930"/>
      <w:bookmarkEnd w:id="931"/>
      <w:bookmarkEnd w:id="932"/>
    </w:p>
    <w:p w14:paraId="06FFA73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暂列金额只能按照监理人的指示使用，并对合同价格进行相应调整。</w:t>
      </w:r>
    </w:p>
    <w:p w14:paraId="18BE936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33" w:name="_Toc265954990"/>
      <w:bookmarkStart w:id="934" w:name="_Toc265653935"/>
      <w:bookmarkStart w:id="935" w:name="_Toc265954691"/>
      <w:bookmarkStart w:id="936" w:name="_Toc9114"/>
      <w:bookmarkStart w:id="937" w:name="_Toc22945086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15.7 计日工</w:t>
      </w:r>
      <w:bookmarkEnd w:id="933"/>
      <w:bookmarkEnd w:id="934"/>
      <w:bookmarkEnd w:id="935"/>
      <w:bookmarkEnd w:id="936"/>
      <w:bookmarkEnd w:id="937"/>
    </w:p>
    <w:p w14:paraId="622935D3">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15.7.1 发包人认为有必要时，由监理人通知承包人以计日工方式实施变更的零星工作。其价款按列入己标价工程量清单中的计日工计价子目及其单价进行计算。</w:t>
      </w:r>
    </w:p>
    <w:p w14:paraId="6202B8F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15.7.2 采用计日工计价的任何一项变更工作，应从暂列金额中支付，承包人应在该项变更的实施过程中，每天提交以下报表和有关凭证报送监理人审批：</w:t>
      </w:r>
    </w:p>
    <w:p w14:paraId="1D7EC95A">
      <w:pPr>
        <w:autoSpaceDE w:val="0"/>
        <w:autoSpaceDN w:val="0"/>
        <w:adjustRightInd w:val="0"/>
        <w:ind w:left="420"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工作名称、内容和数量；</w:t>
      </w:r>
    </w:p>
    <w:p w14:paraId="23FF5192">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投入该工作所有人员的姓名、工种、级别和耗用工时:</w:t>
      </w:r>
    </w:p>
    <w:p w14:paraId="14E919A5">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投入该工作的材料类别和数量:</w:t>
      </w:r>
    </w:p>
    <w:p w14:paraId="4D898CFB">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投入该工作的施工设备型号、台数和耗用台时:</w:t>
      </w:r>
    </w:p>
    <w:p w14:paraId="30F2624F">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监理人要求提交的其他资料和凭证。</w:t>
      </w:r>
    </w:p>
    <w:p w14:paraId="5DB24478">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15.7.3 计日工由承包人汇总后，按第17.3.2 项的约定列入进度付款申请单，由监理人复核并经发包人同意后列入进度付款。</w:t>
      </w:r>
    </w:p>
    <w:p w14:paraId="1AF98C4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38" w:name="_Toc3955"/>
      <w:bookmarkStart w:id="939" w:name="_Toc265954692"/>
      <w:bookmarkStart w:id="940" w:name="_Toc265954991"/>
      <w:bookmarkStart w:id="941" w:name="_Toc229450861"/>
      <w:bookmarkStart w:id="942" w:name="_Toc26565393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15.8 暂估价</w:t>
      </w:r>
      <w:bookmarkEnd w:id="938"/>
      <w:bookmarkEnd w:id="939"/>
      <w:bookmarkEnd w:id="940"/>
      <w:bookmarkEnd w:id="941"/>
      <w:bookmarkEnd w:id="942"/>
    </w:p>
    <w:p w14:paraId="7287741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成交）金额与工程量清单中所列金额差以及相应的税金等其它费用列入合同价格。必须招标的暂估价项目招标组织形式、发包人和承包人组织招标时双方的权利义务关系在专用合同条款中约定。</w:t>
      </w:r>
    </w:p>
    <w:p w14:paraId="517D1FDF">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15.8.2 发包人在工程量清单中给定暂估价的材料和工程设备不属于依法必须招标的范围或未达到规定的规模标准的，应由承包人按第5 .1款的约定提供.经监理人确认的材料、工程设备的价格与工程量清单中所列的暂估价的金额差以及相应的税金等其他费用列入合同价格。</w:t>
      </w:r>
    </w:p>
    <w:p w14:paraId="483C8A8C">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559C033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43" w:name="_Toc265653937"/>
      <w:bookmarkStart w:id="944" w:name="_Toc265954992"/>
      <w:bookmarkStart w:id="945" w:name="_Toc16475"/>
      <w:bookmarkStart w:id="946" w:name="_Toc229450862"/>
      <w:bookmarkStart w:id="947" w:name="_Toc199322052"/>
      <w:bookmarkStart w:id="948" w:name="_Toc26595469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16. 价格调整</w:t>
      </w:r>
      <w:bookmarkEnd w:id="943"/>
      <w:bookmarkEnd w:id="944"/>
      <w:bookmarkEnd w:id="945"/>
      <w:bookmarkEnd w:id="946"/>
      <w:bookmarkEnd w:id="947"/>
      <w:bookmarkEnd w:id="948"/>
    </w:p>
    <w:p w14:paraId="5D340D1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49" w:name="_Toc265954694"/>
      <w:bookmarkStart w:id="950" w:name="_Toc190"/>
      <w:bookmarkStart w:id="951" w:name="_Toc265954993"/>
      <w:bookmarkStart w:id="952" w:name="_Toc26565393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16.1 物价波动引起的价格调整</w:t>
      </w:r>
      <w:bookmarkEnd w:id="949"/>
      <w:bookmarkEnd w:id="950"/>
      <w:bookmarkEnd w:id="951"/>
      <w:bookmarkEnd w:id="952"/>
    </w:p>
    <w:p w14:paraId="30E77A2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由于物价波动原因引起合同价格需要调整的，其价格调整方式在专用合同条款中约定。</w:t>
      </w:r>
    </w:p>
    <w:p w14:paraId="3B4636F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16.1.1采用价格指数调整价格差额</w:t>
      </w:r>
    </w:p>
    <w:p w14:paraId="0FB73A7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16.1.1.1价格调整公式</w:t>
      </w:r>
    </w:p>
    <w:p w14:paraId="034A721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因人工、材料和设备等价格波动影响合同价格时，根据投标函附录中的价格指数和权重表约定的数据，按以下公式计算差额并调整合同价格。</w:t>
      </w:r>
    </w:p>
    <w:p w14:paraId="5A07E98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drawing>
          <wp:inline distT="0" distB="0" distL="114300" distR="114300">
            <wp:extent cx="3743325" cy="514350"/>
            <wp:effectExtent l="0" t="0" r="9525" b="0"/>
            <wp:docPr id="1097110132" name="图片 6"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10132" name="图片 6" descr="说明: 未命名"/>
                    <pic:cNvPicPr>
                      <a:picLocks noChangeAspect="1"/>
                    </pic:cNvPicPr>
                  </pic:nvPicPr>
                  <pic:blipFill>
                    <a:blip r:embed="rId12"/>
                    <a:stretch>
                      <a:fillRect/>
                    </a:stretch>
                  </pic:blipFill>
                  <pic:spPr>
                    <a:xfrm>
                      <a:off x="0" y="0"/>
                      <a:ext cx="3743325" cy="514350"/>
                    </a:xfrm>
                    <a:prstGeom prst="rect">
                      <a:avLst/>
                    </a:prstGeom>
                    <a:noFill/>
                    <a:ln>
                      <a:noFill/>
                    </a:ln>
                  </pic:spPr>
                </pic:pic>
              </a:graphicData>
            </a:graphic>
          </wp:inline>
        </w:drawing>
      </w:r>
    </w:p>
    <w:p w14:paraId="7C96753F">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式中:△P -- 需调整的价格差额:</w:t>
      </w:r>
    </w:p>
    <w:p w14:paraId="331CF23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P0 -- 第17.3.3项、第17.5.2 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7885EDD7">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53" w:name="_Toc488678477"/>
      <w:bookmarkStart w:id="954" w:name="_Toc491246806"/>
      <w:r>
        <w:rPr>
          <w:rFonts w:hint="eastAsia" w:asciiTheme="minorEastAsia" w:hAnsiTheme="minorEastAsia" w:eastAsiaTheme="minorEastAsia" w:cstheme="minorEastAsia"/>
          <w:color w:val="000000" w:themeColor="text1"/>
          <w:szCs w:val="21"/>
          <w:highlight w:val="none"/>
          <w14:textFill>
            <w14:solidFill>
              <w14:schemeClr w14:val="tx1"/>
            </w14:solidFill>
          </w14:textFill>
        </w:rPr>
        <w:t>A -- 定值权重(即不调部分的权重)；</w:t>
      </w:r>
      <w:bookmarkEnd w:id="953"/>
      <w:bookmarkEnd w:id="954"/>
    </w:p>
    <w:p w14:paraId="45024F96">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B</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B</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；B</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……B</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n</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 各可调因子的变值权重(即可调部分的权重)为各可调因子在投标函投标总报价中所占的比例:</w:t>
      </w:r>
    </w:p>
    <w:p w14:paraId="04B3F859">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t1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t2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t3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 xml:space="preserve">tn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各可调因子的现行价格指数，指第17.5.3项、第17.5.2 项和第17.6.2项约定的付款证书相关周期最后一天的前42天的各可调因子的价格指数:</w:t>
      </w:r>
    </w:p>
    <w:p w14:paraId="074B336B">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01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02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o3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；…F</w:t>
      </w:r>
      <w:r>
        <w:rPr>
          <w:rFonts w:hint="eastAsia" w:asciiTheme="minorEastAsia" w:hAnsiTheme="minorEastAsia" w:eastAsiaTheme="minorEastAsia" w:cstheme="minorEastAsia"/>
          <w:color w:val="000000" w:themeColor="text1"/>
          <w:szCs w:val="21"/>
          <w:highlight w:val="none"/>
          <w:vertAlign w:val="subscript"/>
          <w14:textFill>
            <w14:solidFill>
              <w14:schemeClr w14:val="tx1"/>
            </w14:solidFill>
          </w14:textFill>
        </w:rPr>
        <w:t>0n</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--各可调因子的基本价格指数，指基准日期的各可调因子的价格指数。</w:t>
      </w:r>
    </w:p>
    <w:p w14:paraId="6B00557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6DC1FB6">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55" w:name="_Toc491246807"/>
      <w:bookmarkStart w:id="956" w:name="_Toc488678478"/>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16.1.1.2 暂时确定调整差额</w:t>
      </w:r>
      <w:bookmarkEnd w:id="955"/>
      <w:bookmarkEnd w:id="956"/>
    </w:p>
    <w:p w14:paraId="45B93C4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在计算调整差额时得不到现行价格指数的，可暂用上一次价格指数计算，井在以后的付款中再按实际价格指数进行调整。</w:t>
      </w:r>
    </w:p>
    <w:p w14:paraId="6E4AE568">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57" w:name="_Toc488678479"/>
      <w:bookmarkStart w:id="958" w:name="_Toc491246808"/>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16.1.1.3 权重的调整</w:t>
      </w:r>
      <w:bookmarkEnd w:id="957"/>
      <w:bookmarkEnd w:id="958"/>
    </w:p>
    <w:p w14:paraId="4A4FB0A8">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按第15.1款约定的变更导致原定合同中的权重不合理时，由监理人与承包人和发包人协商后进行调整。</w:t>
      </w:r>
    </w:p>
    <w:p w14:paraId="6E38E9D5">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16.1.1.4 承包人工期延误后的价格调整</w:t>
      </w:r>
    </w:p>
    <w:p w14:paraId="186F7130">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由于承包人原因未在约定的工期内竣工的，则对原约定竣工日期后继续施工的工程，在使用第16.1.1.1 目价格调整公式时，应采用原约定援工日期与实际竣工日期的两个价格指数中较低的一个作为现行价格指数。</w:t>
      </w:r>
    </w:p>
    <w:p w14:paraId="06560BFE">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59" w:name="_Toc488678480"/>
      <w:bookmarkStart w:id="960" w:name="_Toc491246809"/>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16.1.2 采用造价信息调整价格差额</w:t>
      </w:r>
      <w:bookmarkEnd w:id="959"/>
      <w:bookmarkEnd w:id="960"/>
    </w:p>
    <w:p w14:paraId="2E16C2AD">
      <w:pPr>
        <w:autoSpaceDE w:val="0"/>
        <w:autoSpaceDN w:val="0"/>
        <w:adjustRightInd w:val="0"/>
        <w:ind w:firstLine="51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施工期内，因人工、材料、设备和机械台班价格波动影响合同价格时，人工、机械使用费按照国家或省（自治区、直辖市）建设行政管理部门、行业建设管理部门或其授权的工程造</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3A37318D">
      <w:pPr>
        <w:autoSpaceDE w:val="0"/>
        <w:autoSpaceDN w:val="0"/>
        <w:adjustRightInd w:val="0"/>
        <w:ind w:firstLine="525" w:firstLineChars="2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工程造价信息的来源以及价格调整的项目和系数在专用合同条款中约定。</w:t>
      </w:r>
    </w:p>
    <w:p w14:paraId="7274CBB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61" w:name="_Toc265653939"/>
      <w:bookmarkStart w:id="962" w:name="_Toc265954994"/>
      <w:bookmarkStart w:id="963" w:name="_Toc29938"/>
      <w:bookmarkStart w:id="964" w:name="_Toc229450863"/>
      <w:bookmarkStart w:id="965" w:name="_Toc26595469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16.2 法律变化引起的价格调整</w:t>
      </w:r>
      <w:bookmarkEnd w:id="961"/>
      <w:bookmarkEnd w:id="962"/>
      <w:bookmarkEnd w:id="963"/>
      <w:bookmarkEnd w:id="964"/>
      <w:bookmarkEnd w:id="965"/>
    </w:p>
    <w:p w14:paraId="05B8B927">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在基准日后，因法律变化导致承包人在合同履行中所需要的工程费用发生除第16.1款约定以外的增减时，监理人应根据法律、国家或省、自治区、直辖市有关部门的规定，按第3.5 款商定或确定需调整的合同价款。</w:t>
      </w:r>
    </w:p>
    <w:p w14:paraId="1AA3B62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66" w:name="_Toc199322053"/>
      <w:bookmarkStart w:id="967" w:name="_Toc265954995"/>
      <w:bookmarkStart w:id="968" w:name="_Toc11314"/>
      <w:bookmarkStart w:id="969" w:name="_Toc265653940"/>
      <w:bookmarkStart w:id="970" w:name="_Toc229450864"/>
      <w:bookmarkStart w:id="971" w:name="_Toc26595469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 计量与支付</w:t>
      </w:r>
      <w:bookmarkEnd w:id="966"/>
      <w:bookmarkEnd w:id="967"/>
      <w:bookmarkEnd w:id="968"/>
      <w:bookmarkEnd w:id="969"/>
      <w:bookmarkEnd w:id="970"/>
      <w:bookmarkEnd w:id="971"/>
    </w:p>
    <w:p w14:paraId="158FDDB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72" w:name="_Toc28432"/>
      <w:bookmarkStart w:id="973" w:name="_Toc265954697"/>
      <w:bookmarkStart w:id="974" w:name="_Toc199322054"/>
      <w:bookmarkStart w:id="975" w:name="_Toc229450865"/>
      <w:bookmarkStart w:id="976" w:name="_Toc265954996"/>
      <w:bookmarkStart w:id="977" w:name="_Toc26565394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17.1 计量</w:t>
      </w:r>
      <w:bookmarkEnd w:id="972"/>
      <w:bookmarkEnd w:id="973"/>
      <w:bookmarkEnd w:id="974"/>
      <w:bookmarkEnd w:id="975"/>
      <w:bookmarkEnd w:id="976"/>
      <w:bookmarkEnd w:id="977"/>
    </w:p>
    <w:p w14:paraId="4B39B6B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78" w:name="_Toc491246813"/>
      <w:bookmarkStart w:id="979" w:name="_Toc199322055"/>
      <w:bookmarkStart w:id="980" w:name="_Toc488678484"/>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17.1.1 计量单位</w:t>
      </w:r>
      <w:bookmarkEnd w:id="978"/>
      <w:bookmarkEnd w:id="979"/>
      <w:bookmarkEnd w:id="980"/>
    </w:p>
    <w:p w14:paraId="00240A7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计量采用国家法定的计量单位。</w:t>
      </w:r>
    </w:p>
    <w:p w14:paraId="01B130C0">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81" w:name="_Toc199322056"/>
      <w:bookmarkStart w:id="982" w:name="_Toc491246814"/>
      <w:bookmarkStart w:id="983" w:name="_Toc488678485"/>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17.1.2 计量方法</w:t>
      </w:r>
      <w:bookmarkEnd w:id="981"/>
      <w:bookmarkEnd w:id="982"/>
      <w:bookmarkEnd w:id="983"/>
    </w:p>
    <w:p w14:paraId="05A7E2D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结算工程量应按工程量清单中约定的方法计量。</w:t>
      </w:r>
    </w:p>
    <w:p w14:paraId="14B6E11D">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84" w:name="_Toc488678486"/>
      <w:bookmarkStart w:id="985" w:name="_Toc491246815"/>
      <w:bookmarkStart w:id="986" w:name="_Toc19932205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17.1.3 计量周期</w:t>
      </w:r>
      <w:bookmarkEnd w:id="984"/>
      <w:bookmarkEnd w:id="985"/>
      <w:bookmarkEnd w:id="986"/>
    </w:p>
    <w:p w14:paraId="46E6C8E6">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除专用合同条款另有约定外，单价子目已完成工程量按月计量，总价子目的计量周期按批准的支付分解报告确定。</w:t>
      </w:r>
    </w:p>
    <w:p w14:paraId="1EB5F9F5">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87" w:name="_Toc488678487"/>
      <w:bookmarkStart w:id="988" w:name="_Toc491246816"/>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17.1.4 单价子目的计量</w:t>
      </w:r>
      <w:bookmarkEnd w:id="987"/>
      <w:bookmarkEnd w:id="988"/>
    </w:p>
    <w:p w14:paraId="4642F86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己标价工程量清单中的单价子目工程量为估算工程量。结算工程量是承包人实际完成的，并按合同约定的计量方法进行计量的工程量。</w:t>
      </w:r>
    </w:p>
    <w:p w14:paraId="1241784B">
      <w:pPr>
        <w:autoSpaceDE w:val="0"/>
        <w:autoSpaceDN w:val="0"/>
        <w:adjustRightInd w:val="0"/>
        <w:ind w:firstLine="411" w:firstLineChars="19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承包人对己完成的工程进行计量，向监理人提交进度付款申请单、已完成工程量报表和有关计量资料。</w:t>
      </w:r>
    </w:p>
    <w:p w14:paraId="74B09109">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p>
    <w:p w14:paraId="34B90486">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监理人认为有必要时，可通知承包人共同进行联合测量、计量，承包人应遵照执行。</w:t>
      </w:r>
    </w:p>
    <w:p w14:paraId="38EF6511">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14:paraId="53051597">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监理人应在收到承包人提交的工程量报表后的7 天内进行复核，监理人未在约</w:t>
      </w:r>
    </w:p>
    <w:p w14:paraId="051A2896">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定时间内复核的，承包人提交的工程量报表中的工程量视为承包人实际完成的工程量，据此</w:t>
      </w:r>
    </w:p>
    <w:p w14:paraId="5793B717">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计算工程价款。</w:t>
      </w:r>
    </w:p>
    <w:p w14:paraId="58E3DAD3">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989" w:name="_Toc199322058"/>
      <w:bookmarkStart w:id="990" w:name="_Toc488678488"/>
      <w:bookmarkStart w:id="991" w:name="_Toc49124681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17.1.5 总价子目的计量</w:t>
      </w:r>
      <w:bookmarkEnd w:id="989"/>
      <w:bookmarkEnd w:id="990"/>
      <w:bookmarkEnd w:id="991"/>
    </w:p>
    <w:p w14:paraId="384EB8F4">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总价子目的分解和计量按照下述约定进行。</w:t>
      </w:r>
    </w:p>
    <w:p w14:paraId="3F1A3C7C">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总价子目的计量和支付应以总价为基础，不因第16.1 款中的因素而进行调整。承包人实际完成的工程量，是进行工程目标管理和控制进度支付的依据。</w:t>
      </w:r>
    </w:p>
    <w:p w14:paraId="6C8F44B3">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4F4B7732">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(3) 监理人对承包人提交的上述资料进行复核，以确定分阶段实际完成的工程量和工程形象目标。对其有异议的，可要求承包人按第8.2 款约定进行共同复核和抽样复测。</w:t>
      </w:r>
    </w:p>
    <w:p w14:paraId="1D288FDC">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除按照第15条约定的变更外，总价子目的工程量是承包人用于结算的最终工程量。</w:t>
      </w:r>
    </w:p>
    <w:p w14:paraId="3823A47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92" w:name="_Toc265653942"/>
      <w:bookmarkStart w:id="993" w:name="_Toc265954698"/>
      <w:bookmarkStart w:id="994" w:name="_Toc16395"/>
      <w:bookmarkStart w:id="995" w:name="_Toc199322059"/>
      <w:bookmarkStart w:id="996" w:name="_Toc265954997"/>
      <w:bookmarkStart w:id="997" w:name="_Toc22945086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17.2 预付款</w:t>
      </w:r>
      <w:bookmarkEnd w:id="992"/>
      <w:bookmarkEnd w:id="993"/>
      <w:bookmarkEnd w:id="994"/>
      <w:bookmarkEnd w:id="995"/>
      <w:bookmarkEnd w:id="996"/>
      <w:bookmarkEnd w:id="997"/>
    </w:p>
    <w:p w14:paraId="4A69564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17.2.1 预付款</w:t>
      </w:r>
    </w:p>
    <w:p w14:paraId="461EBA1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23D66405">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998" w:name="_Toc19932206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17.2.2 预付款保函</w:t>
      </w:r>
      <w:bookmarkEnd w:id="99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（担保）</w:t>
      </w:r>
    </w:p>
    <w:p w14:paraId="72C7CEDB">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（1）承包应在收到第一次工程预付款的同时向发包人提交工程预付款担保，担保金额应与第一次工程预付款金额相同，工程预付款担保在第一次工程预付款被发包人扣回前一直有效。</w:t>
      </w:r>
    </w:p>
    <w:p w14:paraId="7657ACD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（2）工程材料预付款的担保在专用合同条款中约定。</w:t>
      </w:r>
    </w:p>
    <w:p w14:paraId="1C8F2CCC">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（3）预付款担保的担保金额可根据预付款扣回的金额相应递减。</w:t>
      </w:r>
    </w:p>
    <w:p w14:paraId="3BB63C7E">
      <w:pPr>
        <w:pStyle w:val="27"/>
        <w:ind w:left="840" w:firstLine="359" w:firstLineChars="171"/>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17.2.3 预付款的扣回与还清</w:t>
      </w:r>
    </w:p>
    <w:p w14:paraId="593B71F5">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预付款在进度付款中扣回，扣回与还清办法在专用合同条款中约定。在颁发合同工程完工证书前，由于不可抗力或其他原因解除合同时，预付款尚未扣清的，尚未扣清的预付款余额应作为承包人的到期应付款。</w:t>
      </w:r>
    </w:p>
    <w:p w14:paraId="588FA91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999" w:name="_Toc265954998"/>
      <w:bookmarkStart w:id="1000" w:name="_Toc265653943"/>
      <w:bookmarkStart w:id="1001" w:name="_Toc17929"/>
      <w:bookmarkStart w:id="1002" w:name="_Toc199322061"/>
      <w:bookmarkStart w:id="1003" w:name="_Toc265954699"/>
      <w:bookmarkStart w:id="1004" w:name="_Toc22945086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17.3 工程进度付款</w:t>
      </w:r>
      <w:bookmarkEnd w:id="999"/>
      <w:bookmarkEnd w:id="1000"/>
      <w:bookmarkEnd w:id="1001"/>
      <w:bookmarkEnd w:id="1002"/>
      <w:bookmarkEnd w:id="1003"/>
      <w:bookmarkEnd w:id="1004"/>
    </w:p>
    <w:p w14:paraId="1A5665BF">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005" w:name="_Toc488678491"/>
      <w:bookmarkStart w:id="1006" w:name="_Toc491246820"/>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17.3.1 付款周期</w:t>
      </w:r>
      <w:bookmarkEnd w:id="1005"/>
      <w:bookmarkEnd w:id="1006"/>
    </w:p>
    <w:p w14:paraId="7F89FF10">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付款周期同计量周期。</w:t>
      </w:r>
    </w:p>
    <w:p w14:paraId="6C0B0F3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007" w:name="_Toc488678492"/>
      <w:bookmarkStart w:id="1008" w:name="_Toc491246821"/>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17.3.2 进度付款申请单</w:t>
      </w:r>
      <w:bookmarkEnd w:id="1007"/>
      <w:bookmarkEnd w:id="1008"/>
    </w:p>
    <w:p w14:paraId="7F54458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承包人应在每个付款周期未，按监理人批准的格式和专用合同条款约定的份数，向监理人提交进度付款申请单，并附相应的支持性证明文件。除专用合同条款另有约定外，进度付款申请单应包括下列内容:</w:t>
      </w:r>
    </w:p>
    <w:p w14:paraId="5EFCA9C1">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截至本次付款周期末已实施工程的价款；</w:t>
      </w:r>
    </w:p>
    <w:p w14:paraId="1E093D3D">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根据第15条应增加和扣减的变更金额；</w:t>
      </w:r>
    </w:p>
    <w:p w14:paraId="637F04C1">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根据第23条应增加和扣减的索赔金额；</w:t>
      </w:r>
    </w:p>
    <w:p w14:paraId="1AE657C7">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根据第17.2款约定应支付的预付款和扣减的返还预付款；</w:t>
      </w:r>
    </w:p>
    <w:p w14:paraId="11C223D8">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根据第17.4.1项约定应扣减的质量保证金；</w:t>
      </w:r>
    </w:p>
    <w:p w14:paraId="5FE5D1EF">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根据合同应增加和扣减的其他金额。</w:t>
      </w:r>
    </w:p>
    <w:p w14:paraId="0EB3AE12">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009" w:name="_Toc491246822"/>
      <w:bookmarkStart w:id="1010" w:name="_Toc488678493"/>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17.3.3 进度付款证书和支付时间</w:t>
      </w:r>
      <w:bookmarkEnd w:id="1009"/>
      <w:bookmarkEnd w:id="1010"/>
    </w:p>
    <w:p w14:paraId="1E299FC3">
      <w:pPr>
        <w:autoSpaceDE w:val="0"/>
        <w:autoSpaceDN w:val="0"/>
        <w:adjustRightInd w:val="0"/>
        <w:ind w:firstLine="721" w:firstLineChars="3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 监理人在收到承包人进度付款申请单以及相应的支持性证明文件后的14 天内完成核查，提出发包人到期应支付给承包人的金额以及相应的支持性材料，经发包人审查意后，由监理人向承包人出具经发包人签认的进度付款证书。监理人有权扣发承包人未能按照</w:t>
      </w:r>
    </w:p>
    <w:p w14:paraId="3DE2D0A9">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合同要求履行任何工作或义务的相应金额</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416BAE8C">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发包人应在监理人收到进度付款申请单后的28 天内，将进度应付款支付给承包人。发包人不按期支付的，按专用合同条款的约定支付逾期付款违约金。</w:t>
      </w:r>
    </w:p>
    <w:p w14:paraId="5B1411D1">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监理人出具进度付款证书，不应视为监理人己同意、批准或接受了承包人完成</w:t>
      </w:r>
    </w:p>
    <w:p w14:paraId="2BFC5A6A">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的该部分工作。</w:t>
      </w:r>
    </w:p>
    <w:p w14:paraId="0B256609">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进度付款涉及政府投资资金的，按照国库集中支付等国家相关规定和专用合同</w:t>
      </w:r>
    </w:p>
    <w:p w14:paraId="34C80C5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条款的约定办理。</w:t>
      </w:r>
    </w:p>
    <w:p w14:paraId="798EFBE3">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011" w:name="_Toc488678494"/>
      <w:bookmarkStart w:id="1012" w:name="_Toc199322062"/>
      <w:bookmarkStart w:id="1013" w:name="_Toc491246823"/>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17.3.4 工程进度付款的修正</w:t>
      </w:r>
      <w:bookmarkEnd w:id="1011"/>
      <w:bookmarkEnd w:id="1012"/>
      <w:bookmarkEnd w:id="1013"/>
    </w:p>
    <w:p w14:paraId="7D6224D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在对以往历次已签发的进度付款证书进行汇总和复核中发现错、漏或重复的，监理人有权予以修正，承包人也有权提出修正申请。经双方复核同意的修正，应在本改进度付款中支付或扣除。</w:t>
      </w:r>
    </w:p>
    <w:p w14:paraId="392BD27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14" w:name="_Toc265954999"/>
      <w:bookmarkStart w:id="1015" w:name="_Toc265954700"/>
      <w:bookmarkStart w:id="1016" w:name="_Toc229450868"/>
      <w:bookmarkStart w:id="1017" w:name="_Toc199322063"/>
      <w:bookmarkStart w:id="1018" w:name="_Toc14386"/>
      <w:bookmarkStart w:id="1019" w:name="_Toc26565394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17.4 质量保证金</w:t>
      </w:r>
      <w:bookmarkEnd w:id="1014"/>
      <w:bookmarkEnd w:id="1015"/>
      <w:bookmarkEnd w:id="1016"/>
      <w:bookmarkEnd w:id="1017"/>
      <w:bookmarkEnd w:id="1018"/>
      <w:bookmarkEnd w:id="1019"/>
    </w:p>
    <w:p w14:paraId="613656BA">
      <w:pPr>
        <w:autoSpaceDE w:val="0"/>
        <w:autoSpaceDN w:val="0"/>
        <w:adjustRightInd w:val="0"/>
        <w:ind w:firstLine="707" w:firstLineChars="3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17.4.1 监理人应从第一个付款周期开始，在发包人的进度付款中，按专用合同条款的约</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定扣留质量保证金，直至扣留的质量保证金总额达到专用合同条款约定的金额或比例为止。质量保证金的计算额度不包括预付款的支付与扣回金额。</w:t>
      </w:r>
    </w:p>
    <w:p w14:paraId="7CAA178D">
      <w:pPr>
        <w:autoSpaceDE w:val="0"/>
        <w:autoSpaceDN w:val="0"/>
        <w:adjustRightInd w:val="0"/>
        <w:ind w:firstLine="606" w:firstLineChars="30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17.4.2 合同工程完工证书颁发后的14天内，发包人将质量保证金总额的一半支付给承包从。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24567156">
      <w:pPr>
        <w:autoSpaceDE w:val="0"/>
        <w:autoSpaceDN w:val="0"/>
        <w:adjustRightInd w:val="0"/>
        <w:ind w:firstLine="606"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17.4.3 在第1.1.4.5目约定的缺陷责任期满时，承包人没有完成缺陷责任的，发包人有权扣留与未履行责任剩余工作所需金额相应的质量保证金余额，并有权根据第19.3款约定</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要求延长缺陷责任期，直至完成剩余工作为止。</w:t>
      </w:r>
    </w:p>
    <w:p w14:paraId="2346C67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20" w:name="_Toc229450869"/>
      <w:bookmarkStart w:id="1021" w:name="_Toc199322064"/>
      <w:bookmarkStart w:id="1022" w:name="_Toc265954701"/>
      <w:bookmarkStart w:id="1023" w:name="_Toc265653945"/>
      <w:bookmarkStart w:id="1024" w:name="_Toc265955000"/>
      <w:bookmarkStart w:id="1025" w:name="_Toc1855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17.5 竣工结算</w:t>
      </w:r>
      <w:bookmarkEnd w:id="1020"/>
      <w:bookmarkEnd w:id="102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（完工结算）</w:t>
      </w:r>
      <w:bookmarkEnd w:id="1022"/>
      <w:bookmarkEnd w:id="1023"/>
      <w:bookmarkEnd w:id="1024"/>
      <w:bookmarkEnd w:id="1025"/>
    </w:p>
    <w:p w14:paraId="6D395F82">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17.5.1 竣工（完工）付款申请单</w:t>
      </w:r>
    </w:p>
    <w:p w14:paraId="4D11DD9C">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竣工付款金额。</w:t>
      </w:r>
    </w:p>
    <w:p w14:paraId="416F8C5A">
      <w:pPr>
        <w:autoSpaceDE w:val="0"/>
        <w:autoSpaceDN w:val="0"/>
        <w:adjustRightInd w:val="0"/>
        <w:ind w:firstLine="808" w:firstLineChars="40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(2) 监理人对竣工付款申请单有异议的，有权要求承包人进行修正和提供补充资料。经监理人和承包人协商后，由承包人向监理人提交修正后的完工付款申请单。</w:t>
      </w:r>
    </w:p>
    <w:p w14:paraId="6F683B00">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17.5.2 竣工付款证书及支付时间</w:t>
      </w:r>
    </w:p>
    <w:p w14:paraId="0CAC54D5">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监理人在收到承包人提交的完工付款申请单后的14天内完成核查，提出发包人到期应支付给承包人的价款送发包人审核并抄送承包人。发包人应在收到后14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4A3F1D29">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发包人应在监理人出具完工付款证书后的14天内，将应支付款支付给承包人。发包人不按期支付的，按第17.3.3 (2) 目的约定，将逾期付款违约金支付给承包人。</w:t>
      </w:r>
    </w:p>
    <w:p w14:paraId="724E870E">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承包人对发包人签认的完工付款证书有异议的，发包人可出具完工付款申请单中承包人已同意部分的临时付款证书。存在争议的部分，按第24条的约定办理。</w:t>
      </w:r>
    </w:p>
    <w:p w14:paraId="49A02A22">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完工付款涉及政府投资资金的，按第17.3.3 (4) 目的约定办理。</w:t>
      </w:r>
    </w:p>
    <w:p w14:paraId="207D328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26" w:name="_Toc265955001"/>
      <w:bookmarkStart w:id="1027" w:name="_Toc265954702"/>
      <w:bookmarkStart w:id="1028" w:name="_Toc265653946"/>
      <w:bookmarkStart w:id="1029" w:name="_Toc199322065"/>
      <w:bookmarkStart w:id="1030" w:name="_Toc18876"/>
      <w:bookmarkStart w:id="1031" w:name="_Toc22945087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17.6 最终结清</w:t>
      </w:r>
      <w:bookmarkEnd w:id="1026"/>
      <w:bookmarkEnd w:id="1027"/>
      <w:bookmarkEnd w:id="1028"/>
      <w:bookmarkEnd w:id="1029"/>
      <w:bookmarkEnd w:id="1030"/>
      <w:bookmarkEnd w:id="1031"/>
    </w:p>
    <w:p w14:paraId="7E08D050">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32" w:name="_Toc19932206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17.6.1 最终结清申请单</w:t>
      </w:r>
      <w:bookmarkEnd w:id="1032"/>
    </w:p>
    <w:p w14:paraId="332C9AC1">
      <w:pPr>
        <w:autoSpaceDE w:val="0"/>
        <w:autoSpaceDN w:val="0"/>
        <w:adjustRightInd w:val="0"/>
        <w:ind w:firstLine="927" w:firstLineChars="4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 工程质量保修责任终止证书签发后，承包人应按监理人批准的格式提交最终结清申请单。提交最终结清申请单的份数在专用合同条款中约定。</w:t>
      </w:r>
    </w:p>
    <w:p w14:paraId="5139A42C">
      <w:pPr>
        <w:autoSpaceDE w:val="0"/>
        <w:autoSpaceDN w:val="0"/>
        <w:adjustRightInd w:val="0"/>
        <w:ind w:firstLine="927" w:firstLineChars="4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(2) 发包人对最终结清申请单内容有异议的，有权要求承包人进行修正和提供补充资料，由承包人向监理人提交修正后的最终结清申请单。</w:t>
      </w:r>
    </w:p>
    <w:p w14:paraId="2B5BFF75">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17.6.2 最终结清证书和支付时间</w:t>
      </w:r>
    </w:p>
    <w:p w14:paraId="0363EC52">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监理人收到承包人提交的最终结清申请单后的14 天内，提出发包人应支付给承包人的价款送发包人审核井抄送承包人。发包人应在收到后14 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14:paraId="2B6DBDD6">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发包人应在监理人出具最终结清证书后的14天内，将应支付款支付给承包人。发包人不按期支付的，按第17.3.3 (2) 目的约定，将逾期付款违约金支付给承包人。</w:t>
      </w:r>
    </w:p>
    <w:p w14:paraId="2C188F7D">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承包人对发包人签认的最终结清证书有异议的，按第24 条的约定办理。</w:t>
      </w:r>
    </w:p>
    <w:p w14:paraId="45457298">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最终结清付款涉及政府投资资金的，按第17.3.3 (4)目的约定办理。</w:t>
      </w:r>
    </w:p>
    <w:p w14:paraId="144A164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33" w:name="_Toc265653947"/>
      <w:bookmarkStart w:id="1034" w:name="_Toc265954703"/>
      <w:bookmarkStart w:id="1035" w:name="_Toc15449"/>
      <w:bookmarkStart w:id="1036" w:name="_Toc26595500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17.7 竣工财务决算</w:t>
      </w:r>
      <w:bookmarkEnd w:id="1033"/>
      <w:bookmarkEnd w:id="1034"/>
      <w:bookmarkEnd w:id="1035"/>
      <w:bookmarkEnd w:id="1036"/>
    </w:p>
    <w:p w14:paraId="79463CB8">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发包人负责编制本工程项目竣工财务决算，承包人应按专用合同条款的约定提供竣工财务决算编制所需的相关材料。</w:t>
      </w:r>
    </w:p>
    <w:p w14:paraId="16945A4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37" w:name="_Toc7000"/>
      <w:bookmarkStart w:id="1038" w:name="_Toc265954704"/>
      <w:bookmarkStart w:id="1039" w:name="_Toc265653948"/>
      <w:bookmarkStart w:id="1040" w:name="_Toc26595500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17.8 竣工审计</w:t>
      </w:r>
      <w:bookmarkEnd w:id="1037"/>
      <w:bookmarkEnd w:id="1038"/>
      <w:bookmarkEnd w:id="1039"/>
      <w:bookmarkEnd w:id="1040"/>
    </w:p>
    <w:p w14:paraId="54572962">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发包人负责完成本工程竣工审计手续，承包人应完成相关配合工作。</w:t>
      </w:r>
    </w:p>
    <w:p w14:paraId="2EDB702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41" w:name="_Toc229450871"/>
      <w:bookmarkStart w:id="1042" w:name="_Toc199322067"/>
      <w:bookmarkStart w:id="1043" w:name="_Toc265954705"/>
      <w:bookmarkStart w:id="1044" w:name="_Toc265653949"/>
      <w:bookmarkStart w:id="1045" w:name="_Toc265955004"/>
      <w:bookmarkStart w:id="1046" w:name="_Toc1946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 竣工验收</w:t>
      </w:r>
      <w:bookmarkEnd w:id="1041"/>
      <w:bookmarkEnd w:id="104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（验收）</w:t>
      </w:r>
      <w:bookmarkEnd w:id="1043"/>
      <w:bookmarkEnd w:id="1044"/>
      <w:bookmarkEnd w:id="1045"/>
      <w:bookmarkEnd w:id="1046"/>
    </w:p>
    <w:p w14:paraId="336AD3C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47" w:name="_Toc229450872"/>
      <w:bookmarkStart w:id="1048" w:name="_Toc199322068"/>
      <w:bookmarkStart w:id="1049" w:name="_Toc14951"/>
      <w:bookmarkStart w:id="1050" w:name="_Toc265955005"/>
      <w:bookmarkStart w:id="1051" w:name="_Toc265954706"/>
      <w:bookmarkStart w:id="1052" w:name="_Toc26565395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18.1 </w:t>
      </w:r>
      <w:bookmarkEnd w:id="1047"/>
      <w:bookmarkEnd w:id="104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验收工作分类</w:t>
      </w:r>
      <w:bookmarkEnd w:id="1049"/>
      <w:bookmarkEnd w:id="1050"/>
      <w:bookmarkEnd w:id="1051"/>
      <w:bookmarkEnd w:id="1052"/>
    </w:p>
    <w:p w14:paraId="244A3415">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工程验收工作按主持单位分为法人验收和政府验收。法人验收和政府验收的类别在专用合同条款中约定。除专用合同条款另有约定外，法人验收由发包人主持。承包人就完成法人验收和政府验收的配合工作，所需费用应含在已标价工程量清单中。</w:t>
      </w:r>
    </w:p>
    <w:p w14:paraId="4DBCE07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53" w:name="_Toc229450873"/>
      <w:bookmarkStart w:id="1054" w:name="_Toc199322069"/>
      <w:bookmarkStart w:id="1055" w:name="_Toc265955006"/>
      <w:bookmarkStart w:id="1056" w:name="_Toc265954707"/>
      <w:bookmarkStart w:id="1057" w:name="_Toc265653951"/>
      <w:bookmarkStart w:id="1058" w:name="_Toc2910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18.2 </w:t>
      </w:r>
      <w:bookmarkEnd w:id="1053"/>
      <w:bookmarkEnd w:id="105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分部工程验收</w:t>
      </w:r>
      <w:bookmarkEnd w:id="1055"/>
      <w:bookmarkEnd w:id="1056"/>
      <w:bookmarkEnd w:id="1057"/>
      <w:bookmarkEnd w:id="1058"/>
    </w:p>
    <w:p w14:paraId="61FC4970">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18.2.1 分部工程具备验收条件时，承包人应向发包人提交验收申请报告，发包人应在收到验收申请报告之日起10个工作日内决定是否同意进行验收。</w:t>
      </w:r>
    </w:p>
    <w:p w14:paraId="269A3278">
      <w:pPr>
        <w:pStyle w:val="27"/>
        <w:ind w:left="840" w:firstLine="539" w:firstLineChars="25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18.2.2 除专用合同条款另有约定外，监理人主持分部工程验收，承包人应派符合条件的代表参加验收工作组。</w:t>
      </w:r>
    </w:p>
    <w:p w14:paraId="048EE4D6">
      <w:pPr>
        <w:pStyle w:val="27"/>
        <w:ind w:left="840" w:firstLine="539" w:firstLineChars="257"/>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18.2.3 分部工程验收通过后，发包人向承包人发送分部工程验收鉴定书。承包人应及时完成分部工程验收鉴定书载明应由承包人处理的遗留问题。</w:t>
      </w:r>
    </w:p>
    <w:p w14:paraId="78EDA4E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59" w:name="_Toc199322070"/>
      <w:bookmarkStart w:id="1060" w:name="_Toc229450874"/>
      <w:bookmarkStart w:id="1061" w:name="_Toc265954708"/>
      <w:bookmarkStart w:id="1062" w:name="_Toc265653952"/>
      <w:bookmarkStart w:id="1063" w:name="_Toc31118"/>
      <w:bookmarkStart w:id="1064" w:name="_Toc26595500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18.3 </w:t>
      </w:r>
      <w:bookmarkEnd w:id="1059"/>
      <w:bookmarkEnd w:id="106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单位工程验收</w:t>
      </w:r>
      <w:bookmarkEnd w:id="1061"/>
      <w:bookmarkEnd w:id="1062"/>
      <w:bookmarkEnd w:id="1063"/>
      <w:bookmarkEnd w:id="1064"/>
    </w:p>
    <w:p w14:paraId="4FDC36D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65" w:name="_Toc19932207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18.3.1 </w:t>
      </w:r>
      <w:bookmarkEnd w:id="106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单位工程具备验收条件时，承包人应向发包人提交验收申请报告，发包人应在收到验收申请报告之日起10个工作日内决定是否同意进行验收。</w:t>
      </w:r>
    </w:p>
    <w:p w14:paraId="4E30B8E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66" w:name="_Toc19932207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18.3.2 </w:t>
      </w:r>
      <w:bookmarkEnd w:id="106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发包人主持单位工程验收，承包人应派符合条件的代表参加验收工作组。</w:t>
      </w:r>
    </w:p>
    <w:p w14:paraId="3E339911">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67" w:name="_Toc19932207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18.3.3 </w:t>
      </w:r>
      <w:bookmarkEnd w:id="106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单位工程验收通过后，发包人向承包人发送单位工程验收鉴定书。承包人应及时完成单位工程验收鉴定书载明应由承包人处理的遗留问题。</w:t>
      </w:r>
    </w:p>
    <w:p w14:paraId="5C83FEC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68" w:name="_Toc19932207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18.3.4 </w:t>
      </w:r>
      <w:bookmarkEnd w:id="106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需提交投入使用的单位工程在专用合同条款中明确。</w:t>
      </w:r>
    </w:p>
    <w:p w14:paraId="4ED153A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69" w:name="_Toc199322077"/>
      <w:bookmarkStart w:id="1070" w:name="_Toc229450875"/>
      <w:bookmarkStart w:id="1071" w:name="_Toc31230"/>
      <w:bookmarkStart w:id="1072" w:name="_Toc265955008"/>
      <w:bookmarkStart w:id="1073" w:name="_Toc265653953"/>
      <w:bookmarkStart w:id="1074" w:name="_Toc26595470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18.4 </w:t>
      </w:r>
      <w:bookmarkEnd w:id="1069"/>
      <w:bookmarkEnd w:id="107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合同工程完工验收</w:t>
      </w:r>
      <w:bookmarkEnd w:id="1071"/>
      <w:bookmarkEnd w:id="1072"/>
      <w:bookmarkEnd w:id="1073"/>
      <w:bookmarkEnd w:id="1074"/>
    </w:p>
    <w:p w14:paraId="4F83458C">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18.4.1 合同工程具备验收条件时，承包人应向发包人提交验收申请报告，发包人应在收到验收申请报告之日起20个工作日内决定是否同意进行验收。</w:t>
      </w:r>
    </w:p>
    <w:p w14:paraId="7A0FECD0">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18.4.2 发包人主持合同工程完工验收后，发包人向承包人发送合同工程完工验收鉴定书。承包人应及时完成合同工程完工验收鉴定书载明应由承包人处理的遗留问题。</w:t>
      </w:r>
    </w:p>
    <w:p w14:paraId="4FFCE96A">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18.4.3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3493591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75" w:name="_Toc3319"/>
      <w:bookmarkStart w:id="1076" w:name="_Toc229450876"/>
      <w:bookmarkStart w:id="1077" w:name="_Toc265955009"/>
      <w:bookmarkStart w:id="1078" w:name="_Toc265653954"/>
      <w:bookmarkStart w:id="1079" w:name="_Toc265954710"/>
      <w:bookmarkStart w:id="1080" w:name="_Toc19932207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18.5 施工期运行</w:t>
      </w:r>
      <w:bookmarkEnd w:id="1075"/>
      <w:bookmarkEnd w:id="1076"/>
      <w:bookmarkEnd w:id="1077"/>
      <w:bookmarkEnd w:id="1078"/>
      <w:bookmarkEnd w:id="1079"/>
      <w:bookmarkEnd w:id="1080"/>
    </w:p>
    <w:p w14:paraId="13CE333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81" w:name="_Toc19932207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18.5.1 </w:t>
      </w:r>
      <w:bookmarkEnd w:id="108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工程建设具备阶段验收条件时，发包人负责提出阶段验收申请报告。承包人应派代表参加阶段验收，并作为被验收单位在验收鉴定书上签字。阶段验收的具体类别在专用合同条款中约定。</w:t>
      </w:r>
    </w:p>
    <w:p w14:paraId="689030C7">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82" w:name="_Toc19932208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18.5.2 </w:t>
      </w:r>
      <w:bookmarkEnd w:id="108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承包人应及时完成阶段验收鉴定书载明应由承包人处理的遗留问题。</w:t>
      </w:r>
    </w:p>
    <w:p w14:paraId="7EAC340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83" w:name="_Toc16861"/>
      <w:bookmarkStart w:id="1084" w:name="_Toc229450877"/>
      <w:bookmarkStart w:id="1085" w:name="_Toc265955010"/>
      <w:bookmarkStart w:id="1086" w:name="_Toc265954711"/>
      <w:bookmarkStart w:id="1087" w:name="_Toc265653955"/>
      <w:bookmarkStart w:id="1088" w:name="_Toc19932208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18.6 试运行</w:t>
      </w:r>
      <w:bookmarkEnd w:id="1083"/>
      <w:bookmarkEnd w:id="1084"/>
      <w:bookmarkEnd w:id="1085"/>
      <w:bookmarkEnd w:id="1086"/>
      <w:bookmarkEnd w:id="1087"/>
      <w:bookmarkEnd w:id="1088"/>
    </w:p>
    <w:p w14:paraId="2F550CC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89" w:name="_Toc19932208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18.6.1 </w:t>
      </w:r>
      <w:bookmarkEnd w:id="108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发包人负责提出专项验收申请报告。承包人应按专项验收的相关规定参加专项验收。专项验收的具体类别在专用合同条款中约定。</w:t>
      </w:r>
    </w:p>
    <w:p w14:paraId="6CD7B0C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090" w:name="_Toc19932208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18.6.2 </w:t>
      </w:r>
      <w:bookmarkEnd w:id="109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承包人应及时完成专项验收成果性文件载明应由承包人处理的遗留问题。</w:t>
      </w:r>
    </w:p>
    <w:p w14:paraId="29A528D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91" w:name="_Toc199322084"/>
      <w:bookmarkStart w:id="1092" w:name="_Toc229450878"/>
      <w:bookmarkStart w:id="1093" w:name="_Toc6573"/>
      <w:bookmarkStart w:id="1094" w:name="_Toc265955011"/>
      <w:bookmarkStart w:id="1095" w:name="_Toc265954712"/>
      <w:bookmarkStart w:id="1096" w:name="_Toc26565395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18.7 竣工</w:t>
      </w:r>
      <w:bookmarkEnd w:id="1091"/>
      <w:bookmarkEnd w:id="109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验收</w:t>
      </w:r>
      <w:bookmarkEnd w:id="1093"/>
      <w:bookmarkEnd w:id="1094"/>
      <w:bookmarkEnd w:id="1095"/>
      <w:bookmarkEnd w:id="1096"/>
    </w:p>
    <w:p w14:paraId="401BBD0E">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18.7.1 申请竣工验收前，发包人组织竣工验收自查，承包人应派代表参加。</w:t>
      </w:r>
    </w:p>
    <w:p w14:paraId="0330A7D8">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18.7.2 竣工验收分为竣工技术预验收和竣工验收两个阶段。发包人应通知承包人派代表参加技术预验收和竣工验收。</w:t>
      </w:r>
    </w:p>
    <w:p w14:paraId="7CA3B034">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18.7.3 专用合同条款约定工程需要进行技术鉴定的，承包人应提交有关资料并完成配合工作。</w:t>
      </w:r>
    </w:p>
    <w:p w14:paraId="2EABB793">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18.7.4 竣工验收需要进行质量检测的，所需费用由发包人承担，但因承包人原因造成质量不合格的除外。</w:t>
      </w:r>
    </w:p>
    <w:p w14:paraId="0CAE568D">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18.7.5 工程质量保修期满以及竣工验收遗留问题和尾工处理完成并通过验收后，发包人负责将处理情况和验收成果报送竣工验收主持单位，申请领取工程竣工证书，并发送承包人。</w:t>
      </w:r>
    </w:p>
    <w:p w14:paraId="173B120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097" w:name="_Toc229450879"/>
      <w:bookmarkStart w:id="1098" w:name="_Toc12007"/>
      <w:bookmarkStart w:id="1099" w:name="_Toc265653957"/>
      <w:bookmarkStart w:id="1100" w:name="_Toc265954713"/>
      <w:bookmarkStart w:id="1101" w:name="_Toc26595501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18.8 施工</w:t>
      </w:r>
      <w:bookmarkEnd w:id="109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期运行</w:t>
      </w:r>
      <w:bookmarkEnd w:id="1098"/>
      <w:bookmarkEnd w:id="1099"/>
      <w:bookmarkEnd w:id="1100"/>
      <w:bookmarkEnd w:id="1101"/>
    </w:p>
    <w:p w14:paraId="502F4FDD">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4217A967">
      <w:pPr>
        <w:autoSpaceDE w:val="0"/>
        <w:autoSpaceDN w:val="0"/>
        <w:adjustRightInd w:val="0"/>
        <w:ind w:firstLine="309" w:firstLineChars="15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18.8.2 在施工期运行中发现工程或工程设备损坏或存在缺陷的，由承包人按第19.2款约定进行修复。</w:t>
      </w:r>
    </w:p>
    <w:p w14:paraId="20CA9F4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02" w:name="_Toc265954714"/>
      <w:bookmarkStart w:id="1103" w:name="_Toc22700"/>
      <w:bookmarkStart w:id="1104" w:name="_Toc265955013"/>
      <w:bookmarkStart w:id="1105" w:name="_Toc26565395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18.9 试运行</w:t>
      </w:r>
      <w:bookmarkEnd w:id="1102"/>
      <w:bookmarkEnd w:id="1103"/>
      <w:bookmarkEnd w:id="1104"/>
      <w:bookmarkEnd w:id="1105"/>
    </w:p>
    <w:p w14:paraId="184D0584">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18.9.1除专用合同条款另有约定外，承包人应按规定进行工程及工程设备试运行，负责提供试运行所需人员、器材和必要的条件，并承担全部试运行费用。</w:t>
      </w:r>
    </w:p>
    <w:p w14:paraId="5DD95E8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70D8A5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06" w:name="_Toc265653959"/>
      <w:bookmarkStart w:id="1107" w:name="_Toc8367"/>
      <w:bookmarkStart w:id="1108" w:name="_Toc265954715"/>
      <w:bookmarkStart w:id="1109" w:name="_Toc26595501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18.10 竣工（完工）清场</w:t>
      </w:r>
      <w:bookmarkEnd w:id="1106"/>
      <w:bookmarkEnd w:id="1107"/>
      <w:bookmarkEnd w:id="1108"/>
      <w:bookmarkEnd w:id="1109"/>
    </w:p>
    <w:p w14:paraId="5D80DEC8">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18.10.1 工程项目竣工（完工）清场的工作范围和内容在技术标准和要求（合同技术条款）中约定。</w:t>
      </w:r>
    </w:p>
    <w:p w14:paraId="33EF7AE5">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18.10.2 承包人未按监理人的要求恢复临时占地，或者场地清理未达到合同约定的，发包人有权委托其它人恢复或清理，所发生的金额从拟支付给承包人款项中扣除。</w:t>
      </w:r>
    </w:p>
    <w:p w14:paraId="054A6DA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10" w:name="_Toc265955015"/>
      <w:bookmarkStart w:id="1111" w:name="_Toc265653960"/>
      <w:bookmarkStart w:id="1112" w:name="_Toc265954716"/>
      <w:bookmarkStart w:id="1113" w:name="_Toc1321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18.11 施工队伍的撤离</w:t>
      </w:r>
      <w:bookmarkEnd w:id="1110"/>
      <w:bookmarkEnd w:id="1111"/>
      <w:bookmarkEnd w:id="1112"/>
      <w:bookmarkEnd w:id="1113"/>
    </w:p>
    <w:p w14:paraId="135E2818">
      <w:pPr>
        <w:pStyle w:val="27"/>
        <w:ind w:left="840" w:firstLine="412"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1E34D49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14" w:name="_Toc265653961"/>
      <w:bookmarkStart w:id="1115" w:name="_Toc229450880"/>
      <w:bookmarkStart w:id="1116" w:name="_Toc18706"/>
      <w:bookmarkStart w:id="1117" w:name="_Toc265954717"/>
      <w:bookmarkStart w:id="1118" w:name="_Toc265955016"/>
      <w:bookmarkStart w:id="1119" w:name="_Toc19932208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 缺陷责任与保修责任</w:t>
      </w:r>
      <w:bookmarkEnd w:id="1114"/>
      <w:bookmarkEnd w:id="1115"/>
      <w:bookmarkEnd w:id="1116"/>
      <w:bookmarkEnd w:id="1117"/>
      <w:bookmarkEnd w:id="1118"/>
      <w:bookmarkEnd w:id="1119"/>
    </w:p>
    <w:p w14:paraId="6BCBB33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20" w:name="_Toc12387"/>
      <w:bookmarkStart w:id="1121" w:name="_Toc199322086"/>
      <w:bookmarkStart w:id="1122" w:name="_Toc265954718"/>
      <w:bookmarkStart w:id="1123" w:name="_Toc265955017"/>
      <w:bookmarkStart w:id="1124" w:name="_Toc229450881"/>
      <w:bookmarkStart w:id="1125" w:name="_Toc26565396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19.1 缺陷责任期（工程质量保修期）的起算时间</w:t>
      </w:r>
      <w:bookmarkEnd w:id="1120"/>
      <w:bookmarkEnd w:id="1121"/>
      <w:bookmarkEnd w:id="1122"/>
      <w:bookmarkEnd w:id="1123"/>
      <w:bookmarkEnd w:id="1124"/>
      <w:bookmarkEnd w:id="1125"/>
    </w:p>
    <w:p w14:paraId="00A6239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00B001B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26" w:name="_Toc199322087"/>
      <w:bookmarkStart w:id="1127" w:name="_Toc265955018"/>
      <w:bookmarkStart w:id="1128" w:name="_Toc265653963"/>
      <w:bookmarkStart w:id="1129" w:name="_Toc3105"/>
      <w:bookmarkStart w:id="1130" w:name="_Toc265954719"/>
      <w:bookmarkStart w:id="1131" w:name="_Toc22945088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19.2 缺陷责任</w:t>
      </w:r>
      <w:bookmarkEnd w:id="1126"/>
      <w:bookmarkEnd w:id="1127"/>
      <w:bookmarkEnd w:id="1128"/>
      <w:bookmarkEnd w:id="1129"/>
      <w:bookmarkEnd w:id="1130"/>
      <w:bookmarkEnd w:id="1131"/>
    </w:p>
    <w:p w14:paraId="7B3F9E1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19.2.1 承包人应在缺陷责任期内对己交付使用的工程承担缺陷责任。</w:t>
      </w:r>
    </w:p>
    <w:p w14:paraId="52A14D1B">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19.2.2 缺陷责任期内，发包人对己接收使用的工程负责日常维护工作。发包人在使用过程中，发现已接收的工程存在新的缺陷或己修复的缺陷部位或部件又遭损坏的，承包人应负责修复，直至检验合格为止。</w:t>
      </w:r>
    </w:p>
    <w:p w14:paraId="1117E77E">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132" w:name="_Toc199322088"/>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19.2.3 监理人和承包人应共同查清缺陷和(或)损坏的原因。经查明属承包人原因造成</w:t>
      </w:r>
      <w:bookmarkEnd w:id="1132"/>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的，应由承包人承担修复和查验的费用。经查验属发包人原因造成的，发包人应承担修复和查验的费用，并支付承包人合理利润。</w:t>
      </w:r>
    </w:p>
    <w:p w14:paraId="5D1888B7">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19.2.4承包人不能在合理时间内修复缺陷的，发包人可自行修复或委托其他人修复，所需费用和利润的承担，按第:t页约定办理。</w:t>
      </w:r>
    </w:p>
    <w:p w14:paraId="1141BA5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33" w:name="_Toc265653964"/>
      <w:bookmarkStart w:id="1134" w:name="_Toc265954720"/>
      <w:bookmarkStart w:id="1135" w:name="_Toc199322089"/>
      <w:bookmarkStart w:id="1136" w:name="_Toc27077"/>
      <w:bookmarkStart w:id="1137" w:name="_Toc229450883"/>
      <w:bookmarkStart w:id="1138" w:name="_Toc26595501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19.3 缺陷责任期的延长</w:t>
      </w:r>
      <w:bookmarkEnd w:id="1133"/>
      <w:bookmarkEnd w:id="1134"/>
      <w:bookmarkEnd w:id="1135"/>
      <w:bookmarkEnd w:id="1136"/>
      <w:bookmarkEnd w:id="1137"/>
      <w:bookmarkEnd w:id="1138"/>
    </w:p>
    <w:p w14:paraId="21953CC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由于承包人原因造成某项缺陷或损坏使某项工程或工程设备不能按原定目标使用而需要再次检查、检验和修复的，发包人有权要求承包人相应延长缺陷责任期，但缺陷责任期最长不超过2年。</w:t>
      </w:r>
    </w:p>
    <w:p w14:paraId="754923C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39" w:name="_Toc265653965"/>
      <w:bookmarkStart w:id="1140" w:name="_Toc265955020"/>
      <w:bookmarkStart w:id="1141" w:name="_Toc265954721"/>
      <w:bookmarkStart w:id="1142" w:name="_Toc199322090"/>
      <w:bookmarkStart w:id="1143" w:name="_Toc19569"/>
      <w:bookmarkStart w:id="1144" w:name="_Toc22945088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19.4 进一步试验和试运行</w:t>
      </w:r>
      <w:bookmarkEnd w:id="1139"/>
      <w:bookmarkEnd w:id="1140"/>
      <w:bookmarkEnd w:id="1141"/>
      <w:bookmarkEnd w:id="1142"/>
      <w:bookmarkEnd w:id="1143"/>
      <w:bookmarkEnd w:id="1144"/>
    </w:p>
    <w:p w14:paraId="11EDD3A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6BDD38A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45" w:name="_Toc229450885"/>
      <w:bookmarkStart w:id="1146" w:name="_Toc1816"/>
      <w:bookmarkStart w:id="1147" w:name="_Toc265954722"/>
      <w:bookmarkStart w:id="1148" w:name="_Toc199322091"/>
      <w:bookmarkStart w:id="1149" w:name="_Toc265653966"/>
      <w:bookmarkStart w:id="1150" w:name="_Toc26595502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19.5 承包人的进入权</w:t>
      </w:r>
      <w:bookmarkEnd w:id="1145"/>
      <w:bookmarkEnd w:id="1146"/>
      <w:bookmarkEnd w:id="1147"/>
      <w:bookmarkEnd w:id="1148"/>
      <w:bookmarkEnd w:id="1149"/>
      <w:bookmarkEnd w:id="1150"/>
    </w:p>
    <w:p w14:paraId="20D45FF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缺陷责任期内承包人为缺陷修复王作需要，有权进入工程现场，但应遵守发包人的保安</w:t>
      </w:r>
    </w:p>
    <w:p w14:paraId="0E71C71F">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和保密规定。</w:t>
      </w:r>
    </w:p>
    <w:p w14:paraId="3DF09B9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51" w:name="_Toc229450886"/>
      <w:bookmarkStart w:id="1152" w:name="_Toc199322092"/>
      <w:bookmarkStart w:id="1153" w:name="_Toc265653967"/>
      <w:bookmarkStart w:id="1154" w:name="_Toc28367"/>
      <w:bookmarkStart w:id="1155" w:name="_Toc265955022"/>
      <w:bookmarkStart w:id="1156" w:name="_Toc26595472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19.6 缺陷责任期终止证书</w:t>
      </w:r>
      <w:bookmarkEnd w:id="1151"/>
      <w:bookmarkEnd w:id="115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（工程质量保修责任终止证书）</w:t>
      </w:r>
      <w:bookmarkEnd w:id="1153"/>
      <w:bookmarkEnd w:id="1154"/>
      <w:bookmarkEnd w:id="1155"/>
      <w:bookmarkEnd w:id="1156"/>
    </w:p>
    <w:p w14:paraId="528D096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合同工程完工验收或投入使用验收后，发包人与承包人应办理工程交接手续，承包人应向发包人递交工程质量保修书。</w:t>
      </w:r>
    </w:p>
    <w:p w14:paraId="07AF8F3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缺陷责任期（工程质量保修期）满后30个工作日内，发包人应向承包人颁发工程质量保修责任终止证书，并退还剩余的质量保证金，但保修责任范围内的质量缺陷未处理完成的应除外。</w:t>
      </w:r>
    </w:p>
    <w:p w14:paraId="7514F03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57" w:name="_Toc199322093"/>
      <w:bookmarkStart w:id="1158" w:name="_Toc229450887"/>
      <w:bookmarkStart w:id="1159" w:name="_Toc265954724"/>
      <w:bookmarkStart w:id="1160" w:name="_Toc265653968"/>
      <w:bookmarkStart w:id="1161" w:name="_Toc29078"/>
      <w:bookmarkStart w:id="1162" w:name="_Toc26595502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19.7 保修责任</w:t>
      </w:r>
      <w:bookmarkEnd w:id="1157"/>
      <w:bookmarkEnd w:id="1158"/>
      <w:bookmarkEnd w:id="1159"/>
      <w:bookmarkEnd w:id="1160"/>
      <w:bookmarkEnd w:id="1161"/>
      <w:bookmarkEnd w:id="1162"/>
    </w:p>
    <w:p w14:paraId="3F4F53C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614DDA5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63" w:name="_Toc265653969"/>
      <w:bookmarkStart w:id="1164" w:name="_Toc30889"/>
      <w:bookmarkStart w:id="1165" w:name="_Toc265954725"/>
      <w:bookmarkStart w:id="1166" w:name="_Toc199322094"/>
      <w:bookmarkStart w:id="1167" w:name="_Toc229450888"/>
      <w:bookmarkStart w:id="1168" w:name="_Toc26595502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 保险</w:t>
      </w:r>
      <w:bookmarkEnd w:id="1163"/>
      <w:bookmarkEnd w:id="1164"/>
      <w:bookmarkEnd w:id="1165"/>
      <w:bookmarkEnd w:id="1166"/>
      <w:bookmarkEnd w:id="1167"/>
      <w:bookmarkEnd w:id="1168"/>
    </w:p>
    <w:p w14:paraId="02BD849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69" w:name="_Toc265954726"/>
      <w:bookmarkStart w:id="1170" w:name="_Toc265653970"/>
      <w:bookmarkStart w:id="1171" w:name="_Toc15785"/>
      <w:bookmarkStart w:id="1172" w:name="_Toc199322095"/>
      <w:bookmarkStart w:id="1173" w:name="_Toc229450889"/>
      <w:bookmarkStart w:id="1174" w:name="_Toc26595502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20.1 工程保险</w:t>
      </w:r>
      <w:bookmarkEnd w:id="1169"/>
      <w:bookmarkEnd w:id="1170"/>
      <w:bookmarkEnd w:id="1171"/>
      <w:bookmarkEnd w:id="1172"/>
      <w:bookmarkEnd w:id="1173"/>
      <w:bookmarkEnd w:id="1174"/>
    </w:p>
    <w:p w14:paraId="3B95221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6348FEB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75" w:name="_Toc199322096"/>
      <w:bookmarkStart w:id="1176" w:name="_Toc1709"/>
      <w:bookmarkStart w:id="1177" w:name="_Toc265954727"/>
      <w:bookmarkStart w:id="1178" w:name="_Toc265653971"/>
      <w:bookmarkStart w:id="1179" w:name="_Toc229450890"/>
      <w:bookmarkStart w:id="1180" w:name="_Toc26595502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20.2 人员工伤事故的保险</w:t>
      </w:r>
      <w:bookmarkEnd w:id="1175"/>
      <w:bookmarkEnd w:id="1176"/>
      <w:bookmarkEnd w:id="1177"/>
      <w:bookmarkEnd w:id="1178"/>
      <w:bookmarkEnd w:id="1179"/>
      <w:bookmarkEnd w:id="1180"/>
    </w:p>
    <w:p w14:paraId="026135E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181" w:name="_Toc19932209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20.2.1 承包人员工伤事故的保险</w:t>
      </w:r>
      <w:bookmarkEnd w:id="1181"/>
    </w:p>
    <w:p w14:paraId="665CF2C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承包人应依照有关法律规定参加工伤保险，为其履行合同所雇佣的全部人员，缴纳工伤保险费，并要求其分包人也进行此项保险。</w:t>
      </w:r>
    </w:p>
    <w:p w14:paraId="16DB51D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182" w:name="_Toc19932209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20.2.2 发包人员工伤事故的保险</w:t>
      </w:r>
      <w:bookmarkEnd w:id="1182"/>
    </w:p>
    <w:p w14:paraId="76DF1B1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发包人应依照有关法律规定参加工伤保险，为其现场机构雇佣的全部人员，缴纳工伤保险费，并要求其监理人也进行此项保险。</w:t>
      </w:r>
    </w:p>
    <w:p w14:paraId="681E27F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83" w:name="_Toc12169"/>
      <w:bookmarkStart w:id="1184" w:name="_Toc229450891"/>
      <w:bookmarkStart w:id="1185" w:name="_Toc265653972"/>
      <w:bookmarkStart w:id="1186" w:name="_Toc265954728"/>
      <w:bookmarkStart w:id="1187" w:name="_Toc265955027"/>
      <w:bookmarkStart w:id="1188" w:name="_Toc19932209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20.3 人身意外伤害险</w:t>
      </w:r>
      <w:bookmarkEnd w:id="1183"/>
      <w:bookmarkEnd w:id="1184"/>
      <w:bookmarkEnd w:id="1185"/>
      <w:bookmarkEnd w:id="1186"/>
      <w:bookmarkEnd w:id="1187"/>
      <w:bookmarkEnd w:id="1188"/>
    </w:p>
    <w:p w14:paraId="67F082B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189" w:name="_Toc19932210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20.3.1 发包人应在整个施工期间为其现场机构雇用的全部人员，投保人身意外伤害险，缴纳保险费，并要求其监理人也进行此项保险。</w:t>
      </w:r>
      <w:bookmarkEnd w:id="1189"/>
    </w:p>
    <w:p w14:paraId="10D307EA">
      <w:pPr>
        <w:autoSpaceDE w:val="0"/>
        <w:autoSpaceDN w:val="0"/>
        <w:adjustRightInd w:val="0"/>
        <w:ind w:firstLine="359" w:firstLineChars="17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20.3.2 承包人应在整个施工期间为其现场机构雇用的全部人员，投保人身意外伤害险，缴纳保险费，并要求其分包人也进行此项保险。</w:t>
      </w:r>
    </w:p>
    <w:p w14:paraId="0AE34B4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90" w:name="_Toc1385"/>
      <w:bookmarkStart w:id="1191" w:name="_Toc199322101"/>
      <w:bookmarkStart w:id="1192" w:name="_Toc265954729"/>
      <w:bookmarkStart w:id="1193" w:name="_Toc265653973"/>
      <w:bookmarkStart w:id="1194" w:name="_Toc229450892"/>
      <w:bookmarkStart w:id="1195" w:name="_Toc26595502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20.4 第三者责任险</w:t>
      </w:r>
      <w:bookmarkEnd w:id="1190"/>
      <w:bookmarkEnd w:id="1191"/>
      <w:bookmarkEnd w:id="1192"/>
      <w:bookmarkEnd w:id="1193"/>
      <w:bookmarkEnd w:id="1194"/>
      <w:bookmarkEnd w:id="1195"/>
    </w:p>
    <w:p w14:paraId="4CCC20F6">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196" w:name="_Toc19932210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20.4.1 第三者责任系指在保险期内，对因工程意外事故造成的、依法应由被保险人负责</w:t>
      </w:r>
      <w:bookmarkEnd w:id="119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的工地上及毗邻地区的第三者人身伤亡、疾病或财产损失。</w:t>
      </w:r>
    </w:p>
    <w:p w14:paraId="4E19575B">
      <w:pPr>
        <w:pStyle w:val="27"/>
        <w:ind w:left="840" w:firstLine="420" w:firstLineChars="200"/>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bookmarkStart w:id="1197" w:name="_Toc19932210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20.4.2 在缺陷责任期终止证书颁发前，承包人应以承包人和发包人的共同名义，投保第</w:t>
      </w:r>
      <w:bookmarkEnd w:id="1197"/>
      <w:bookmarkStart w:id="1198" w:name="_Toc199322104"/>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20.4.1 项约定的第三者责任险，其保险费率、保险金额等有关内容在专用合同条款中约定。</w:t>
      </w:r>
      <w:bookmarkEnd w:id="1198"/>
    </w:p>
    <w:p w14:paraId="3D391DA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199" w:name="_Toc265955029"/>
      <w:bookmarkStart w:id="1200" w:name="_Toc15836"/>
      <w:bookmarkStart w:id="1201" w:name="_Toc199322105"/>
      <w:bookmarkStart w:id="1202" w:name="_Toc229450893"/>
      <w:bookmarkStart w:id="1203" w:name="_Toc265954730"/>
      <w:bookmarkStart w:id="1204" w:name="_Toc26565397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20.5 其他保险</w:t>
      </w:r>
      <w:bookmarkEnd w:id="1199"/>
      <w:bookmarkEnd w:id="1200"/>
      <w:bookmarkEnd w:id="1201"/>
      <w:bookmarkEnd w:id="1202"/>
      <w:bookmarkEnd w:id="1203"/>
      <w:bookmarkEnd w:id="1204"/>
    </w:p>
    <w:p w14:paraId="5333FA4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除专用合同条款另有约定外，承包人应为其施工设备、进场的材料和工程设备等办理保险。</w:t>
      </w:r>
    </w:p>
    <w:p w14:paraId="0C14F80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05" w:name="_Toc265955030"/>
      <w:bookmarkStart w:id="1206" w:name="_Toc229450894"/>
      <w:bookmarkStart w:id="1207" w:name="_Toc199322106"/>
      <w:bookmarkStart w:id="1208" w:name="_Toc9208"/>
      <w:bookmarkStart w:id="1209" w:name="_Toc265954731"/>
      <w:bookmarkStart w:id="1210" w:name="_Toc26565397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20.6 对各项保险的一般要求</w:t>
      </w:r>
      <w:bookmarkEnd w:id="1205"/>
      <w:bookmarkEnd w:id="1206"/>
      <w:bookmarkEnd w:id="1207"/>
      <w:bookmarkEnd w:id="1208"/>
      <w:bookmarkEnd w:id="1209"/>
      <w:bookmarkEnd w:id="1210"/>
    </w:p>
    <w:p w14:paraId="1B7C82B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1" w:name="_Toc19932210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20.6.1 保险凭证</w:t>
      </w:r>
      <w:bookmarkEnd w:id="1211"/>
    </w:p>
    <w:p w14:paraId="12AF22E3">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承包人应在专用合同条款约定的期限内向发包人提交各项保险生效的证据和保险单副本，保险单必须与专用合同条款约定的条件保持一致。</w:t>
      </w:r>
    </w:p>
    <w:p w14:paraId="63DA1CBA">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2" w:name="_Toc19932210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20.6.2 保险合同条款的变动</w:t>
      </w:r>
      <w:bookmarkEnd w:id="1212"/>
    </w:p>
    <w:p w14:paraId="418D099A">
      <w:pPr>
        <w:autoSpaceDE w:val="0"/>
        <w:autoSpaceDN w:val="0"/>
        <w:adjustRightInd w:val="0"/>
        <w:ind w:firstLine="31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承包人需要变动保险合同条款时，应事先征得发包人同意，并通知监理人。保险人作出变动的，承包人应在收到保险人通知后立即通知发包人和监理人。</w:t>
      </w:r>
    </w:p>
    <w:p w14:paraId="5AB6205A">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3" w:name="_Toc19932210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20.6.3 持续保险</w:t>
      </w:r>
      <w:bookmarkEnd w:id="1213"/>
    </w:p>
    <w:p w14:paraId="1803FA8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承包人应与保险人保持联系，使保险人能够随时了解工程实施中的变动，并确保按保险合同条款要求持续保险。</w:t>
      </w:r>
    </w:p>
    <w:p w14:paraId="6BAE1096">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4" w:name="_Toc19932211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20.6.4 </w:t>
      </w:r>
      <w:bookmarkEnd w:id="121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保险金不足以补偿损失时，应由承包人和发包人各自负责补偿的范围和金额在专用合同条款中约定。</w:t>
      </w:r>
    </w:p>
    <w:p w14:paraId="0FBF2FA6">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5" w:name="_Toc19932211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20.6.5 未按约定投保的补救</w:t>
      </w:r>
      <w:bookmarkEnd w:id="1215"/>
    </w:p>
    <w:p w14:paraId="3493AF2C">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由于负有投保义务的一方当事人未按合同约定办理保险，或未能使保险持续有效的，另一方当事人可代为办理，所需费用由对方当事人承担。</w:t>
      </w:r>
    </w:p>
    <w:p w14:paraId="20B409D9">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由于负有投保义务的一方当事人未按合同约定办理某项保险，导致受益人未能得到保险人的赔偿，原应从该项保险得到的保险金应由负有投保义务的一方当事人支付。</w:t>
      </w:r>
    </w:p>
    <w:p w14:paraId="35EA7BA9">
      <w:pPr>
        <w:pStyle w:val="27"/>
        <w:widowControl/>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16" w:name="_Toc19932211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20.6.6 报告义务</w:t>
      </w:r>
      <w:bookmarkEnd w:id="1216"/>
    </w:p>
    <w:p w14:paraId="7F96D436">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当保险事故发生时，投保人应按照保险单规定的条件和期限及时向保险人报告。</w:t>
      </w:r>
    </w:p>
    <w:p w14:paraId="5858294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17" w:name="_Toc265954732"/>
      <w:bookmarkStart w:id="1218" w:name="_Toc18997"/>
      <w:bookmarkStart w:id="1219" w:name="_Toc265955031"/>
      <w:bookmarkStart w:id="1220" w:name="_Toc26565397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20.7 风险责任的转移</w:t>
      </w:r>
      <w:bookmarkEnd w:id="1217"/>
      <w:bookmarkEnd w:id="1218"/>
      <w:bookmarkEnd w:id="1219"/>
      <w:bookmarkEnd w:id="1220"/>
    </w:p>
    <w:p w14:paraId="493581C2">
      <w:pPr>
        <w:autoSpaceDE w:val="0"/>
        <w:autoSpaceDN w:val="0"/>
        <w:adjustRightInd w:val="0"/>
        <w:ind w:firstLine="210" w:firstLineChars="1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工程通过合同工程完工验收并移交给发包人后，原由承包人应承担的风险责任，以及保险的责任、权利和义务同时转移给发包人，但承包人在缺陷责任期（工程质量保修期）前造成损失和损坏情形除外。</w:t>
      </w:r>
    </w:p>
    <w:p w14:paraId="24BFC2F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21" w:name="_Toc265955032"/>
      <w:bookmarkStart w:id="1222" w:name="_Toc229450895"/>
      <w:bookmarkStart w:id="1223" w:name="_Toc199322113"/>
      <w:bookmarkStart w:id="1224" w:name="_Toc30971"/>
      <w:bookmarkStart w:id="1225" w:name="_Toc265954733"/>
      <w:bookmarkStart w:id="1226" w:name="_Toc26565397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21.不可抗力</w:t>
      </w:r>
      <w:bookmarkEnd w:id="1221"/>
      <w:bookmarkEnd w:id="1222"/>
      <w:bookmarkEnd w:id="1223"/>
      <w:bookmarkEnd w:id="1224"/>
      <w:bookmarkEnd w:id="1225"/>
      <w:bookmarkEnd w:id="1226"/>
    </w:p>
    <w:p w14:paraId="6BA6A51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27" w:name="_Toc265653978"/>
      <w:bookmarkStart w:id="1228" w:name="_Toc199322114"/>
      <w:bookmarkStart w:id="1229" w:name="_Toc265955033"/>
      <w:bookmarkStart w:id="1230" w:name="_Toc265954734"/>
      <w:bookmarkStart w:id="1231" w:name="_Toc229450896"/>
      <w:bookmarkStart w:id="1232" w:name="_Toc1808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21.1 不可抗力的确认</w:t>
      </w:r>
      <w:bookmarkEnd w:id="1227"/>
      <w:bookmarkEnd w:id="1228"/>
      <w:bookmarkEnd w:id="1229"/>
      <w:bookmarkEnd w:id="1230"/>
      <w:bookmarkEnd w:id="1231"/>
      <w:bookmarkEnd w:id="1232"/>
    </w:p>
    <w:p w14:paraId="731841C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21.1.1 不可抗力是指承包人和发包人在订立合同时不可预见，在工程施工过程中不可避免发生并不能克服的自然灾害和社会性突发事件，如地震、海啸、瘟疫、超标洪水、骚乱、暴动、战争和专用合同条款约定的其他情形。</w:t>
      </w:r>
    </w:p>
    <w:p w14:paraId="049FD0F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021FBE8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33" w:name="_Toc21613"/>
      <w:bookmarkStart w:id="1234" w:name="_Toc265955034"/>
      <w:bookmarkStart w:id="1235" w:name="_Toc265954735"/>
      <w:bookmarkStart w:id="1236" w:name="_Toc265653979"/>
      <w:bookmarkStart w:id="1237" w:name="_Toc19932211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21.2 不可抗力的通知</w:t>
      </w:r>
      <w:bookmarkEnd w:id="1233"/>
      <w:bookmarkEnd w:id="1234"/>
      <w:bookmarkEnd w:id="1235"/>
      <w:bookmarkEnd w:id="1236"/>
      <w:bookmarkEnd w:id="1237"/>
    </w:p>
    <w:p w14:paraId="16DD79D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21.2.1 合同一方当事人遇到不可抗力事件，使其履行合同义务受到阻碍时，应立即通知合同另一方当事人和监理人，书面说明不可抗力和受阻碍的详细情况，并提供必要的证明。</w:t>
      </w:r>
    </w:p>
    <w:p w14:paraId="49971DEB">
      <w:pPr>
        <w:autoSpaceDE w:val="0"/>
        <w:autoSpaceDN w:val="0"/>
        <w:adjustRightInd w:val="0"/>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21.2.2 如不可抗力持续发生，合同一方当事人应及时向合同另一方当事人和监理人提交中间报告，说明不可抗力和履行合同受阻的情况，并于不可抗力事件结束后28天内提交最终报告及有关资料。</w:t>
      </w:r>
    </w:p>
    <w:p w14:paraId="4563ACCB">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38" w:name="_Toc229450897"/>
      <w:bookmarkStart w:id="1239" w:name="_Toc265954736"/>
      <w:bookmarkStart w:id="1240" w:name="_Toc199322116"/>
      <w:bookmarkStart w:id="1241" w:name="_Toc265955035"/>
      <w:bookmarkStart w:id="1242" w:name="_Toc30903"/>
      <w:bookmarkStart w:id="1243" w:name="_Toc26565398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21.3 不可抗力后果及其处理</w:t>
      </w:r>
      <w:bookmarkEnd w:id="1238"/>
      <w:bookmarkEnd w:id="1239"/>
      <w:bookmarkEnd w:id="1240"/>
      <w:bookmarkEnd w:id="1241"/>
      <w:bookmarkEnd w:id="1242"/>
      <w:bookmarkEnd w:id="1243"/>
    </w:p>
    <w:p w14:paraId="1BE8BB38">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44" w:name="_Toc491246855"/>
      <w:bookmarkStart w:id="1245" w:name="_Toc199322117"/>
      <w:bookmarkStart w:id="1246" w:name="_Toc490385467"/>
      <w:bookmarkStart w:id="1247" w:name="_Toc488678526"/>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21.3.1 不可抗力造成损害的责任</w:t>
      </w:r>
      <w:bookmarkEnd w:id="1244"/>
      <w:bookmarkEnd w:id="1245"/>
      <w:bookmarkEnd w:id="1246"/>
      <w:bookmarkEnd w:id="1247"/>
    </w:p>
    <w:p w14:paraId="4A631428">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除专用合同条款另有约定外，不可抗力导致的人员伤亡、财产损失、费用增加和(或)工期延误等后果，由合同双方按以下原则承担：</w:t>
      </w:r>
    </w:p>
    <w:p w14:paraId="560920F1">
      <w:pPr>
        <w:autoSpaceDE w:val="0"/>
        <w:autoSpaceDN w:val="0"/>
        <w:adjustRightInd w:val="0"/>
        <w:ind w:firstLine="1111" w:firstLineChars="5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 永久工程，包括己运至施工场地的材料和工程设备的损害，以及因工程损害造成的第三者人员伤亡和财产损失由发包人承担；</w:t>
      </w:r>
    </w:p>
    <w:p w14:paraId="3741924C">
      <w:pPr>
        <w:autoSpaceDE w:val="0"/>
        <w:autoSpaceDN w:val="0"/>
        <w:adjustRightInd w:val="0"/>
        <w:ind w:left="691"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承包人设备的损坏由承包人承担；</w:t>
      </w:r>
    </w:p>
    <w:p w14:paraId="699631CB">
      <w:pPr>
        <w:autoSpaceDE w:val="0"/>
        <w:autoSpaceDN w:val="0"/>
        <w:adjustRightInd w:val="0"/>
        <w:ind w:left="691"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发包人和承包人各自承担其人员伤亡和其他财产损失及其相关费用；</w:t>
      </w:r>
    </w:p>
    <w:p w14:paraId="42011DD3">
      <w:pPr>
        <w:autoSpaceDE w:val="0"/>
        <w:autoSpaceDN w:val="0"/>
        <w:adjustRightInd w:val="0"/>
        <w:ind w:firstLine="1111" w:firstLineChars="5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(4) 承包人的停工损失由承包人承担，但停工期间应监理人要求照管工程和清理、修复工程的金额由发包人承担；</w:t>
      </w:r>
    </w:p>
    <w:p w14:paraId="3FE202C4">
      <w:pPr>
        <w:autoSpaceDE w:val="0"/>
        <w:autoSpaceDN w:val="0"/>
        <w:adjustRightInd w:val="0"/>
        <w:ind w:firstLine="1155" w:firstLineChars="5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不能按期竣工的，应合理延长工期，承包人不需支付逾期竣工违约金。发包人要求赶工的，承包人应采取赶工措施，赶工费用由发包人承担。</w:t>
      </w:r>
    </w:p>
    <w:p w14:paraId="5C90EE3F">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48" w:name="_Toc491246856"/>
      <w:bookmarkStart w:id="1249" w:name="_Toc199322118"/>
      <w:bookmarkStart w:id="1250" w:name="_Toc488678527"/>
      <w:bookmarkStart w:id="1251" w:name="_Toc490385468"/>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21.3.2 延迟履行期间发生的不可抗力</w:t>
      </w:r>
      <w:bookmarkEnd w:id="1248"/>
      <w:bookmarkEnd w:id="1249"/>
      <w:bookmarkEnd w:id="1250"/>
      <w:bookmarkEnd w:id="1251"/>
    </w:p>
    <w:p w14:paraId="3F10C6F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合同一方当事人延迟履行，在延迟履行期间发生不可抗力的，不免除其责任。</w:t>
      </w:r>
    </w:p>
    <w:p w14:paraId="01AD0683">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52" w:name="_Toc488678528"/>
      <w:bookmarkStart w:id="1253" w:name="_Toc491246857"/>
      <w:bookmarkStart w:id="1254" w:name="_Toc490385469"/>
      <w:bookmarkStart w:id="1255" w:name="_Toc199322119"/>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21.3.3 避免和威少不可抗力损失</w:t>
      </w:r>
      <w:bookmarkEnd w:id="1252"/>
      <w:bookmarkEnd w:id="1253"/>
      <w:bookmarkEnd w:id="1254"/>
      <w:bookmarkEnd w:id="1255"/>
    </w:p>
    <w:p w14:paraId="65DF85D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不可抗力发生后，发包人和承包人均应采取措施尽量避免和减少损失的扩大，任何一方</w:t>
      </w:r>
    </w:p>
    <w:p w14:paraId="4B1E5011">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没有采取有效措施导致损失扩大的，应对扩大的损失承担责任。</w:t>
      </w:r>
    </w:p>
    <w:p w14:paraId="64F2672D">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56" w:name="_Toc491246858"/>
      <w:bookmarkStart w:id="1257" w:name="_Toc490385470"/>
      <w:bookmarkStart w:id="1258" w:name="_Toc488678529"/>
      <w:bookmarkStart w:id="1259" w:name="_Toc199322120"/>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21.3.4 因不可抗力解除合同</w:t>
      </w:r>
      <w:bookmarkEnd w:id="1256"/>
      <w:bookmarkEnd w:id="1257"/>
      <w:bookmarkEnd w:id="1258"/>
      <w:bookmarkEnd w:id="1259"/>
    </w:p>
    <w:p w14:paraId="426D22B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合同一方当事人因不可抗力不能履行合同的，应当及时通知对方解除合同。合同解除后，</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承包人应按照第22.2.5 项约定撤离施工场地。己经订货的材料、设备由订货方负责退货或解除订货合同，不能退还的货款和因退货、解除订货合同发生的费用，由发包人承担，因未</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及时退货造成的损失由责任方承担。合同解除后的付款，参照第22.2.4 项约定，由监理人按第3.5款商定或确定。</w:t>
      </w:r>
    </w:p>
    <w:p w14:paraId="6FDA43A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60" w:name="_Toc265955036"/>
      <w:bookmarkStart w:id="1261" w:name="_Toc19737"/>
      <w:bookmarkStart w:id="1262" w:name="_Toc229450898"/>
      <w:bookmarkStart w:id="1263" w:name="_Toc265954737"/>
      <w:bookmarkStart w:id="1264" w:name="_Toc265653981"/>
      <w:bookmarkStart w:id="1265" w:name="_Toc19932212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22．违约</w:t>
      </w:r>
      <w:bookmarkEnd w:id="1260"/>
      <w:bookmarkEnd w:id="1261"/>
      <w:bookmarkEnd w:id="1262"/>
      <w:bookmarkEnd w:id="1263"/>
      <w:bookmarkEnd w:id="1264"/>
      <w:bookmarkEnd w:id="1265"/>
    </w:p>
    <w:p w14:paraId="2362A18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66" w:name="_Toc229450899"/>
      <w:bookmarkStart w:id="1267" w:name="_Toc19872"/>
      <w:bookmarkStart w:id="1268" w:name="_Toc199322122"/>
      <w:bookmarkStart w:id="1269" w:name="_Toc265955037"/>
      <w:bookmarkStart w:id="1270" w:name="_Toc265653982"/>
      <w:bookmarkStart w:id="1271" w:name="_Toc26595473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22.1 承包人违约</w:t>
      </w:r>
      <w:bookmarkEnd w:id="1266"/>
      <w:bookmarkEnd w:id="1267"/>
      <w:bookmarkEnd w:id="1268"/>
      <w:bookmarkEnd w:id="1269"/>
      <w:bookmarkEnd w:id="1270"/>
      <w:bookmarkEnd w:id="1271"/>
    </w:p>
    <w:p w14:paraId="19DBB10E">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72" w:name="_Toc490385473"/>
      <w:bookmarkStart w:id="1273" w:name="_Toc491246861"/>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22.1.1.承包人违约的情形</w:t>
      </w:r>
      <w:bookmarkEnd w:id="1272"/>
      <w:bookmarkEnd w:id="1273"/>
    </w:p>
    <w:p w14:paraId="1C2426F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在履行合同过程中发生的下列情况属承包人违约:</w:t>
      </w:r>
    </w:p>
    <w:p w14:paraId="31F803D6">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承包人违反第1.8 款或第4.3 款的约定，私自将合同的全部或部分权利转让给其他人，或私自将合同的全部或部分义务转移给其他人；</w:t>
      </w:r>
    </w:p>
    <w:p w14:paraId="12B7F95E">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承包人违反第5.3款或第6.4款的约定，未经监理人批准，私自将已按合同约定进入施工场地的施工设备、临时设施或材料撤离施工场地；</w:t>
      </w:r>
    </w:p>
    <w:p w14:paraId="36E64FB5">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承包人违反第5.4款的约定使用了不合格材料或工程设备，工程质量达不到标准要求，又拒绝清除不合格工程；</w:t>
      </w:r>
    </w:p>
    <w:p w14:paraId="3C8CB450">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承包人未能按合同进度计划及时完成合同约定的工作，已造成或预期造成工期延误；</w:t>
      </w:r>
    </w:p>
    <w:p w14:paraId="7CEE2791">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承包人在缺陷责任期内（工程质量保修期），未能对工程接收证书所列的缺陷清单的内容或缺陷责任期（工程质量保修期）内发生的缺陷进行修复，而又拒绝按监理人指示再进行修补；</w:t>
      </w:r>
    </w:p>
    <w:p w14:paraId="5770E2F4">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 承包人无法继续履行或明确表示不履行或实质上己停止履行合同； </w:t>
      </w:r>
    </w:p>
    <w:p w14:paraId="20BF9F75">
      <w:pPr>
        <w:autoSpaceDE w:val="0"/>
        <w:autoSpaceDN w:val="0"/>
        <w:adjustRightInd w:val="0"/>
        <w:ind w:firstLine="840" w:firstLineChars="4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承包人不按合同约定履行义务的其他情况。</w:t>
      </w:r>
    </w:p>
    <w:p w14:paraId="725505CC">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74" w:name="_Toc199322123"/>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22.1.2 对承包人违约的处理</w:t>
      </w:r>
      <w:bookmarkEnd w:id="1274"/>
    </w:p>
    <w:p w14:paraId="42CC4916">
      <w:pPr>
        <w:autoSpaceDE w:val="0"/>
        <w:autoSpaceDN w:val="0"/>
        <w:adjustRightInd w:val="0"/>
        <w:ind w:firstLine="1111" w:firstLineChars="5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(1) 承包人发生第22.1.1 (6) 目约定的违约情况时，发包人可通知承包人立即解除合同，并按有关法律处理</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321CB313">
      <w:pPr>
        <w:autoSpaceDE w:val="0"/>
        <w:autoSpaceDN w:val="0"/>
        <w:adjustRightInd w:val="0"/>
        <w:ind w:firstLine="1155" w:firstLineChars="5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承包人发生除第22.1.1 (6) 目约定以外的其他违约情况时，监理人可向承包人发出整改通知，要求其在指定的期限内改正。承包人应承担其违约所引起的费用增加和(或)工期延误。</w:t>
      </w:r>
    </w:p>
    <w:p w14:paraId="120EB0D4">
      <w:pPr>
        <w:autoSpaceDE w:val="0"/>
        <w:autoSpaceDN w:val="0"/>
        <w:adjustRightInd w:val="0"/>
        <w:ind w:firstLine="1111" w:firstLineChars="550"/>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Cs w:val="21"/>
          <w:highlight w:val="none"/>
          <w14:textFill>
            <w14:solidFill>
              <w14:schemeClr w14:val="tx1"/>
            </w14:solidFill>
          </w14:textFill>
        </w:rPr>
        <w:t>(3) 经检查证明承包人已采取了有效措施纠正违约行为，具备复工条件的，可由监理人签发复工通知复工。</w:t>
      </w:r>
    </w:p>
    <w:p w14:paraId="58A26F1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22.1.3承包人违约解除合同</w:t>
      </w:r>
    </w:p>
    <w:p w14:paraId="6A8C701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28B4042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75" w:name="_Toc199322124"/>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22.1.4 合同解除后的估价、付款和结清</w:t>
      </w:r>
      <w:bookmarkEnd w:id="1275"/>
    </w:p>
    <w:p w14:paraId="1D1147E8">
      <w:pPr>
        <w:autoSpaceDE w:val="0"/>
        <w:autoSpaceDN w:val="0"/>
        <w:adjustRightInd w:val="0"/>
        <w:ind w:firstLine="945" w:firstLineChars="4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合同解除后，监理人按第3.5款商定或确定承包人实际完成工作的价值，以及承包人已提供的材料、施工设备、工程设备和临时工程等的价值。</w:t>
      </w:r>
    </w:p>
    <w:p w14:paraId="3B00580A">
      <w:pPr>
        <w:autoSpaceDE w:val="0"/>
        <w:autoSpaceDN w:val="0"/>
        <w:adjustRightInd w:val="0"/>
        <w:ind w:firstLine="945" w:firstLineChars="4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合同解除后，发包人应暂停对承包人的一切付款，查清各项付款和己扣款金额，包括承包人应支付的违约金。</w:t>
      </w:r>
    </w:p>
    <w:p w14:paraId="173E396C">
      <w:pPr>
        <w:autoSpaceDE w:val="0"/>
        <w:autoSpaceDN w:val="0"/>
        <w:adjustRightInd w:val="0"/>
        <w:ind w:firstLine="945" w:firstLineChars="4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合同解除后，发包人应按第23.4款的约定向承包人索赔由于解除合同给发包人造成的损失。</w:t>
      </w:r>
    </w:p>
    <w:p w14:paraId="492DAA24">
      <w:pPr>
        <w:autoSpaceDE w:val="0"/>
        <w:autoSpaceDN w:val="0"/>
        <w:adjustRightInd w:val="0"/>
        <w:ind w:firstLine="945" w:firstLineChars="4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合同双方确认上述往来款项后，出具最终结清付款证书，结清全部合同款项。</w:t>
      </w:r>
    </w:p>
    <w:p w14:paraId="77E512F9">
      <w:pPr>
        <w:autoSpaceDE w:val="0"/>
        <w:autoSpaceDN w:val="0"/>
        <w:adjustRightInd w:val="0"/>
        <w:ind w:firstLine="945" w:firstLineChars="4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发包人和承包人未能就解除合同后的结清达成一致而形成争议的，按第24条</w:t>
      </w:r>
    </w:p>
    <w:p w14:paraId="2A15C9E1">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的约定办理.</w:t>
      </w:r>
    </w:p>
    <w:p w14:paraId="20EE741D">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76" w:name="_Toc199322125"/>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22.1.5 协议利益的转让</w:t>
      </w:r>
      <w:bookmarkEnd w:id="1276"/>
    </w:p>
    <w:p w14:paraId="76E938ED">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因承包人违约解除合同的，发包人有权要求承包人将其为实施合同而签订的材料和设备的订货协议或任何服务协议利益转让给发包人，并在解除合同后的14天内，依法办理转让手续。</w:t>
      </w:r>
    </w:p>
    <w:p w14:paraId="6C39C55F">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77" w:name="_Toc19932212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22.1.6 紧急情况下无能力或不愿进行抢救</w:t>
      </w:r>
      <w:bookmarkEnd w:id="1277"/>
    </w:p>
    <w:p w14:paraId="7F55AF4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532ABB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78" w:name="_Toc265954739"/>
      <w:bookmarkStart w:id="1279" w:name="_Toc229450900"/>
      <w:bookmarkStart w:id="1280" w:name="_Toc20152"/>
      <w:bookmarkStart w:id="1281" w:name="_Toc199322127"/>
      <w:bookmarkStart w:id="1282" w:name="_Toc265653983"/>
      <w:bookmarkStart w:id="1283" w:name="_Toc26595503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22.2 发包人违约</w:t>
      </w:r>
      <w:bookmarkEnd w:id="1278"/>
      <w:bookmarkEnd w:id="1279"/>
      <w:bookmarkEnd w:id="1280"/>
      <w:bookmarkEnd w:id="1281"/>
      <w:bookmarkEnd w:id="1282"/>
      <w:bookmarkEnd w:id="1283"/>
    </w:p>
    <w:p w14:paraId="53F31CE5">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22.2.1 发包人违约的情形</w:t>
      </w:r>
    </w:p>
    <w:p w14:paraId="30A84F9D">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在履行合同过程中发生的下列情形，属发包人违约:</w:t>
      </w:r>
    </w:p>
    <w:p w14:paraId="44030C62">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发包人未能按合同约定支付预付款或合同价款，或拖延、拒绝批准付款申请和支付凭证，导致付款延误的；</w:t>
      </w:r>
    </w:p>
    <w:p w14:paraId="43FED6FB">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发包人原因造成停工的；</w:t>
      </w:r>
    </w:p>
    <w:p w14:paraId="228A2AAF">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监理人无正当理由没有在约定期限内发出复工指示，导致承包人无法复工的；</w:t>
      </w:r>
    </w:p>
    <w:p w14:paraId="29944AB3">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发包人无法继续履行或明确表示不履行或实质上己停止履行合同的；</w:t>
      </w:r>
    </w:p>
    <w:p w14:paraId="390287AD">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发包人不履行合同约定其他义务的。</w:t>
      </w:r>
    </w:p>
    <w:p w14:paraId="311BB8BD">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84" w:name="_Toc199322128"/>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22.2.2 承包人有权暂停施工</w:t>
      </w:r>
      <w:bookmarkEnd w:id="1284"/>
    </w:p>
    <w:p w14:paraId="0F8AE9AE">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发包人发生除第22.2.1 (4) 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5F336278">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85" w:name="_Toc19932212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22.2.3 发包人违约解除合同</w:t>
      </w:r>
      <w:bookmarkEnd w:id="1285"/>
    </w:p>
    <w:p w14:paraId="51558084">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发生第22.2.1 (4) 目的违约情况时，承包人可书面通知发包人解除合同。</w:t>
      </w:r>
    </w:p>
    <w:p w14:paraId="58302982">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承包人按22.2.2 项暂停施工28天后，发包人仍不纠正违约行为的，承包人可向发包人发出解除合同通知。但承包人的这一行动不免除发包人承担的违约责任，也不影响承包人根据合同约定事有的索赔权利。</w:t>
      </w:r>
    </w:p>
    <w:p w14:paraId="4AB54D19">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286" w:name="_Toc19932213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22.2.4解除合同后的付款</w:t>
      </w:r>
      <w:bookmarkEnd w:id="1286"/>
    </w:p>
    <w:p w14:paraId="285B8F00">
      <w:pPr>
        <w:autoSpaceDE w:val="0"/>
        <w:autoSpaceDN w:val="0"/>
        <w:adjustRightInd w:val="0"/>
        <w:ind w:firstLine="316"/>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因发包人违约解除合同的，发包人应在解除合同后28 天内向承包人支付下列金额，承包人应在此期限内及时向发包人提交要求支付下列金额的有关资料和凭证:</w:t>
      </w:r>
    </w:p>
    <w:p w14:paraId="5B89C173">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合同解除日以前所完成工作的价款；</w:t>
      </w:r>
    </w:p>
    <w:p w14:paraId="4ECF396F">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承包人为该工程施工订购并已付款的材料、工程设备和其他物品的金额。发包人付还后，该材料、工程设备和其他物品归发包人所有；</w:t>
      </w:r>
    </w:p>
    <w:p w14:paraId="7EDB3D4C">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承包人为完成工程所发生的，而发包人未支付的金额；</w:t>
      </w:r>
    </w:p>
    <w:p w14:paraId="3BCB94FB">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承包人撤离施工场地以及遣散承包人人员的金额；</w:t>
      </w:r>
    </w:p>
    <w:p w14:paraId="0C1F2B24">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由于解除合同应赔偿的承包人损失；</w:t>
      </w:r>
    </w:p>
    <w:p w14:paraId="22C6C245">
      <w:pPr>
        <w:autoSpaceDE w:val="0"/>
        <w:autoSpaceDN w:val="0"/>
        <w:adjustRightInd w:val="0"/>
        <w:ind w:firstLine="735" w:firstLineChars="3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按合同约定在合同解除日前应支付给承包人的其他金额；</w:t>
      </w:r>
    </w:p>
    <w:p w14:paraId="3E17A1C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发包人应按本项约定支付上述金额井退还质量保证金和履约担保，但有权要求承包人支付应偿还给发包人的各项金额。</w:t>
      </w:r>
    </w:p>
    <w:p w14:paraId="2BA5A7BB">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287" w:name="_Toc277627567"/>
      <w:bookmarkStart w:id="1288" w:name="_Toc276725126"/>
      <w:bookmarkStart w:id="1289" w:name="_Toc199322131"/>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22.2.5 解除合同后的承包人撒离</w:t>
      </w:r>
      <w:bookmarkEnd w:id="1287"/>
      <w:bookmarkEnd w:id="1288"/>
      <w:bookmarkEnd w:id="1289"/>
    </w:p>
    <w:p w14:paraId="0D208E5F">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因发包人违约而解除合同后，承包人应妥善做好己竣工工程和已购材料、设备的保护和移交工作，按发包人要求将承包人设备和人员撤出施工场地。承包人撤出施工场地应遵守第18.7.1 项的约定,发包人应为承包人撤出提供条件。</w:t>
      </w:r>
    </w:p>
    <w:p w14:paraId="3502996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90" w:name="_Toc229450901"/>
      <w:bookmarkStart w:id="1291" w:name="_Toc265955039"/>
      <w:bookmarkStart w:id="1292" w:name="_Toc265954740"/>
      <w:bookmarkStart w:id="1293" w:name="_Toc265653984"/>
      <w:bookmarkStart w:id="1294" w:name="_Toc418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22.3 第三人造成的违约</w:t>
      </w:r>
      <w:bookmarkEnd w:id="1290"/>
      <w:bookmarkEnd w:id="1291"/>
      <w:bookmarkEnd w:id="1292"/>
      <w:bookmarkEnd w:id="1293"/>
      <w:bookmarkEnd w:id="1294"/>
    </w:p>
    <w:p w14:paraId="3FC38B16">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4BBBAB3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295" w:name="_Toc265954741"/>
      <w:bookmarkStart w:id="1296" w:name="_Toc265955040"/>
      <w:bookmarkStart w:id="1297" w:name="_Toc199322132"/>
      <w:bookmarkStart w:id="1298" w:name="_Toc265653985"/>
      <w:bookmarkStart w:id="1299" w:name="_Toc22945090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23.索赔</w:t>
      </w:r>
      <w:bookmarkEnd w:id="1295"/>
      <w:bookmarkEnd w:id="1296"/>
      <w:bookmarkEnd w:id="1297"/>
      <w:bookmarkEnd w:id="1298"/>
      <w:bookmarkEnd w:id="1299"/>
    </w:p>
    <w:p w14:paraId="79A3A60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00" w:name="_Toc229450903"/>
      <w:bookmarkStart w:id="1301" w:name="_Toc265955041"/>
      <w:bookmarkStart w:id="1302" w:name="_Toc265954742"/>
      <w:bookmarkStart w:id="1303" w:name="_Toc265653986"/>
      <w:bookmarkStart w:id="1304" w:name="_Toc22017"/>
      <w:bookmarkStart w:id="1305" w:name="_Toc19932213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23.1 承包人索赔的提出</w:t>
      </w:r>
      <w:bookmarkEnd w:id="1300"/>
      <w:bookmarkEnd w:id="1301"/>
      <w:bookmarkEnd w:id="1302"/>
      <w:bookmarkEnd w:id="1303"/>
      <w:bookmarkEnd w:id="1304"/>
      <w:bookmarkEnd w:id="1305"/>
    </w:p>
    <w:p w14:paraId="162661D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根据合同约定，承包人认为有权得到追加付款和(或)延长工期的，应按以下程序向发包人提出索赔：</w:t>
      </w:r>
    </w:p>
    <w:p w14:paraId="59837D25">
      <w:pPr>
        <w:autoSpaceDE w:val="0"/>
        <w:autoSpaceDN w:val="0"/>
        <w:adjustRightInd w:val="0"/>
        <w:ind w:firstLine="642"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 承包人应在知道或应当知道索赔事件发生后28 天内，向监理人递交索赔意向</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通知书，并说明发生索赔事件的事由。承包人未在前述28 天内发出索赔意向通知书的，丧失要求追加付款和(或)延长工期的权利；</w:t>
      </w:r>
    </w:p>
    <w:p w14:paraId="2464D5B3">
      <w:pPr>
        <w:autoSpaceDE w:val="0"/>
        <w:autoSpaceDN w:val="0"/>
        <w:adjustRightInd w:val="0"/>
        <w:ind w:firstLine="618"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(2) 承包人应在发出索赔意向通知书后28 天内，向监理人正式递交索赔通知书。索赔</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通知书应详细说明索赔理由以及要求追加的付款金额和(或)延长的工期，并附必要的记录和证明材料；</w:t>
      </w:r>
    </w:p>
    <w:p w14:paraId="4B670506">
      <w:pPr>
        <w:autoSpaceDE w:val="0"/>
        <w:autoSpaceDN w:val="0"/>
        <w:adjustRightInd w:val="0"/>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索赔事件具有连续影响的，承包人应按合理时间间隔继续递交延续索赔通知，说明连续影响的实际情况和记录，列出累计的追加付款金额和(或)工期延长天数；</w:t>
      </w:r>
    </w:p>
    <w:p w14:paraId="4A389E95">
      <w:pPr>
        <w:autoSpaceDE w:val="0"/>
        <w:autoSpaceDN w:val="0"/>
        <w:adjustRightInd w:val="0"/>
        <w:ind w:firstLine="618" w:firstLineChars="300"/>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(4) 在索赔事件影响结束后的28 天内，承包人应向监理人递交最终索赔通知书，说明最终要求索赔的追加付款金额和延长的工期，并附必要的记录和证明材料。</w:t>
      </w:r>
    </w:p>
    <w:p w14:paraId="7928871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06" w:name="_Toc265954743"/>
      <w:bookmarkStart w:id="1307" w:name="_Toc265955042"/>
      <w:bookmarkStart w:id="1308" w:name="_Toc229450904"/>
      <w:bookmarkStart w:id="1309" w:name="_Toc199322134"/>
      <w:bookmarkStart w:id="1310" w:name="_Toc6629"/>
      <w:bookmarkStart w:id="1311" w:name="_Toc26565398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23.2 承包人索赔处理程序</w:t>
      </w:r>
      <w:bookmarkEnd w:id="1306"/>
      <w:bookmarkEnd w:id="1307"/>
      <w:bookmarkEnd w:id="1308"/>
      <w:bookmarkEnd w:id="1309"/>
      <w:bookmarkEnd w:id="1310"/>
      <w:bookmarkEnd w:id="1311"/>
    </w:p>
    <w:p w14:paraId="22D2F90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监理人收到承包人提交的索赔通知书后，应及时审查索赔通知书的内容、查验承包人的记录和证明材料，必要时监理人可要求承包人提交全部原始记录副本。</w:t>
      </w:r>
    </w:p>
    <w:p w14:paraId="12A7AD8D">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监理人应按第3.5款商定或确定追加的付款和(或)延长的工期，并在收到上述索赔通知书或有关索赔的进一步证明材料后的42天内，将索赔处理结果答复承包人。</w:t>
      </w:r>
    </w:p>
    <w:p w14:paraId="45B9BC4F">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承包人接受索赔处理结果的，发包人应在作出索赔处理结果答复后28天内完成赔付。承包人不接受索赔处理结果的，按第24条的约定办理。</w:t>
      </w:r>
    </w:p>
    <w:p w14:paraId="017A047C">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12" w:name="_Toc265955043"/>
      <w:bookmarkStart w:id="1313" w:name="_Toc229450905"/>
      <w:bookmarkStart w:id="1314" w:name="_Toc199322135"/>
      <w:bookmarkStart w:id="1315" w:name="_Toc265954744"/>
      <w:bookmarkStart w:id="1316" w:name="_Toc265653988"/>
      <w:bookmarkStart w:id="1317" w:name="_Toc547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23.3 承包人提出索赔的期限</w:t>
      </w:r>
      <w:bookmarkEnd w:id="1312"/>
      <w:bookmarkEnd w:id="1313"/>
      <w:bookmarkEnd w:id="1314"/>
      <w:bookmarkEnd w:id="1315"/>
      <w:bookmarkEnd w:id="1316"/>
      <w:bookmarkEnd w:id="1317"/>
    </w:p>
    <w:p w14:paraId="410ABE19">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318" w:name="_Toc19932213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23.3.1 承包人按第17.5款的约定接受了完工付款证书后，应被认为己无权再提出在合同工程接收证书颁发前所发生的任何索赔。</w:t>
      </w:r>
      <w:bookmarkEnd w:id="1318"/>
    </w:p>
    <w:p w14:paraId="542B8FA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319" w:name="_Toc19932213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23.3.2 承包人按第17.6款的约定提交的最终结清申请单中，只限于提出合同工程完工证书</w:t>
      </w:r>
      <w:bookmarkEnd w:id="131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颁发后发生的索赔。提出索赔的期限自接受最终结清证书时终止。</w:t>
      </w:r>
    </w:p>
    <w:p w14:paraId="26323B4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20" w:name="_Toc265955044"/>
      <w:bookmarkStart w:id="1321" w:name="_Toc229450906"/>
      <w:bookmarkStart w:id="1322" w:name="_Toc265954745"/>
      <w:bookmarkStart w:id="1323" w:name="_Toc265653989"/>
      <w:bookmarkStart w:id="1324" w:name="_Toc199322138"/>
      <w:bookmarkStart w:id="1325" w:name="_Toc814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23.4 发包人的索赔</w:t>
      </w:r>
      <w:bookmarkEnd w:id="1320"/>
      <w:bookmarkEnd w:id="1321"/>
      <w:bookmarkEnd w:id="1322"/>
      <w:bookmarkEnd w:id="1323"/>
      <w:bookmarkEnd w:id="1324"/>
      <w:bookmarkEnd w:id="1325"/>
    </w:p>
    <w:p w14:paraId="7017FAB0">
      <w:pPr>
        <w:pStyle w:val="27"/>
        <w:ind w:left="840" w:firstLine="412"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326" w:name="_Toc199322139"/>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23.4.1 发生索赔事件后，监理人应及时书面通知承包人，详细说明发包人有权得到的索赔金额和(或)延长缺陷责任期的细节和依据。发包人提出索赔的期限和要求与第23.3 款</w:t>
      </w:r>
      <w:bookmarkEnd w:id="1326"/>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的约定相同，延长缺陷责任期的通知应在缺陷责任期届满前发出。</w:t>
      </w:r>
    </w:p>
    <w:p w14:paraId="62F9161D">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327" w:name="_Toc199322140"/>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23.4.2 监理人按第3.5款商定或确定发包人从承包人处得到赔付的金额和(或)缺陷责</w:t>
      </w:r>
      <w:bookmarkEnd w:id="1327"/>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任期的延长期。承包人应付给发包人的金额可从以支付给承包人的合同价款中扣除，或由承包人以其他方式支付给发包人。</w:t>
      </w:r>
    </w:p>
    <w:p w14:paraId="08D25132">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23.4.3 承包人对监理人按第23.4.1项发出的索赔书面通知内容持异议时，应在收到书面通知后的14天内，将持有异议的书面报告及其证明材料提交监理人。监理人应在收到承包人书面报告后14天内，将异议的处理意见通知承包人，并按第23.4.2项的约定执行赔付。若承包人不接受监理人的索赔处理意见，可按本合同第24条的规定办理。</w:t>
      </w:r>
    </w:p>
    <w:p w14:paraId="0781ABE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28" w:name="_Toc199322141"/>
      <w:bookmarkStart w:id="1329" w:name="_Toc265653990"/>
      <w:bookmarkStart w:id="1330" w:name="_Toc31741"/>
      <w:bookmarkStart w:id="1331" w:name="_Toc229450907"/>
      <w:bookmarkStart w:id="1332" w:name="_Toc265955045"/>
      <w:bookmarkStart w:id="1333" w:name="_Toc26595474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 争议的解决</w:t>
      </w:r>
      <w:bookmarkEnd w:id="1328"/>
      <w:bookmarkEnd w:id="1329"/>
      <w:bookmarkEnd w:id="1330"/>
      <w:bookmarkEnd w:id="1331"/>
      <w:bookmarkEnd w:id="1332"/>
      <w:bookmarkEnd w:id="1333"/>
    </w:p>
    <w:p w14:paraId="14AC945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34" w:name="_Toc28352"/>
      <w:bookmarkStart w:id="1335" w:name="_Toc229450908"/>
      <w:bookmarkStart w:id="1336" w:name="_Toc265955046"/>
      <w:bookmarkStart w:id="1337" w:name="_Toc265954747"/>
      <w:bookmarkStart w:id="1338" w:name="_Toc26565399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24.1 争议的解决方式</w:t>
      </w:r>
      <w:bookmarkEnd w:id="1334"/>
      <w:bookmarkEnd w:id="1335"/>
      <w:bookmarkEnd w:id="1336"/>
      <w:bookmarkEnd w:id="1337"/>
      <w:bookmarkEnd w:id="1338"/>
    </w:p>
    <w:p w14:paraId="3BC4664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894E8B1">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向约定的仲裁委员会申请仲裁；</w:t>
      </w:r>
    </w:p>
    <w:p w14:paraId="03AFB6E8">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向有管辖权的人民法院提起诉讼。</w:t>
      </w:r>
    </w:p>
    <w:p w14:paraId="0708854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39" w:name="_Toc265653992"/>
      <w:bookmarkStart w:id="1340" w:name="_Toc21343"/>
      <w:bookmarkStart w:id="1341" w:name="_Toc229450909"/>
      <w:bookmarkStart w:id="1342" w:name="_Toc265954748"/>
      <w:bookmarkStart w:id="1343" w:name="_Toc26595504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24.2 友好解决</w:t>
      </w:r>
      <w:bookmarkEnd w:id="1339"/>
      <w:bookmarkEnd w:id="1340"/>
      <w:bookmarkEnd w:id="1341"/>
      <w:bookmarkEnd w:id="1342"/>
      <w:bookmarkEnd w:id="1343"/>
    </w:p>
    <w:p w14:paraId="6CEDA199">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在提请争议评审、仲裁或者诉讼前，以及在争议评审、仲裁或诉讼过程中，发包人和承包人均可共同努力友好协商解决争议。</w:t>
      </w:r>
    </w:p>
    <w:p w14:paraId="735D5C3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44" w:name="_Toc229450910"/>
      <w:bookmarkStart w:id="1345" w:name="_Toc265955048"/>
      <w:bookmarkStart w:id="1346" w:name="_Toc265653993"/>
      <w:bookmarkStart w:id="1347" w:name="_Toc265954749"/>
      <w:bookmarkStart w:id="1348" w:name="_Toc1381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24.3 争议评审</w:t>
      </w:r>
      <w:bookmarkEnd w:id="1344"/>
      <w:bookmarkEnd w:id="1345"/>
      <w:bookmarkEnd w:id="1346"/>
      <w:bookmarkEnd w:id="1347"/>
      <w:bookmarkEnd w:id="1348"/>
    </w:p>
    <w:p w14:paraId="5FA8CBDB">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349" w:name="_Toc19932214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24.3.1 采用争议评审的，发包人和承包人应在开工日后的28 天内或在争议发生后，协</w:t>
      </w:r>
      <w:bookmarkEnd w:id="134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商成立争议评审组。争议评审组由有合同管理和工程实践经验的专家组成。</w:t>
      </w:r>
    </w:p>
    <w:p w14:paraId="69A16AD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24.3.2 合同双方的争议，应首先由投标人向争议评审组提交一份详细的评审申请报告，并附必要的文件、图纸和证明材料，投标人还应将上述报告的副本同时提交给被投标人和监理人。</w:t>
      </w:r>
    </w:p>
    <w:p w14:paraId="708CDBF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24.3.3 被投标人在收到投标人评审申请报告副本后的28 天内，向争议评审组提交一份答辩报告，并附证明材料。被投标人应将答辩报告的副本同时提交给投标人和监理人。</w:t>
      </w:r>
    </w:p>
    <w:p w14:paraId="66DEE04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24.3.4 除专用合同条款另有约定外，争议评审组在收到合同双方报告后的14 天内，邀请双方代表和有关人员举行调查会，向双方调查争议细节:必要时争议评审组可要求双方进一步提供补充材料。</w:t>
      </w:r>
    </w:p>
    <w:p w14:paraId="0F4FE0E3">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24.3.5 除专用合同条款另有约定外，在调查会结束后的14 天内，争议评审组应在不受任何干扰的情况下进行独立、公正的评审，作出书面评审意见，并说明理由。在争议评审期间，争议双方暂按总监理工程师的确定执行。</w:t>
      </w:r>
    </w:p>
    <w:p w14:paraId="0673220F">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24.3.6 发包人和承包人接受评审意见的，由监理人根据评审意见拟定执行协议，经争议双方签字后作为合同的补充文件，并遵照执行。</w:t>
      </w:r>
    </w:p>
    <w:p w14:paraId="09EE58C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14:paraId="17D01D5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w:t>
      </w:r>
    </w:p>
    <w:p w14:paraId="260246AF">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24.4.1 若合同双方商定直接向仲裁机构申请仲裁，应签订仲裁协议并约定仲裁机构。</w:t>
      </w:r>
    </w:p>
    <w:p w14:paraId="405E6444">
      <w:pPr>
        <w:autoSpaceDE w:val="0"/>
        <w:autoSpaceDN w:val="0"/>
        <w:adjustRightInd w:val="0"/>
        <w:ind w:firstLine="315" w:firstLineChars="150"/>
        <w:rPr>
          <w:rFonts w:hint="eastAsia" w:asciiTheme="minorEastAsia" w:hAnsiTheme="minorEastAsia" w:eastAsiaTheme="minorEastAsia" w:cstheme="minorEastAsia"/>
          <w:color w:val="000000" w:themeColor="text1"/>
          <w:sz w:val="24"/>
          <w:highlight w:val="none"/>
          <w14:textFill>
            <w14:solidFill>
              <w14:schemeClr w14:val="tx1"/>
            </w14:solidFill>
          </w14:textFill>
        </w:rPr>
        <w:sectPr>
          <w:footerReference r:id="rId9" w:type="first"/>
          <w:footerReference r:id="rId8" w:type="default"/>
          <w:pgSz w:w="11906" w:h="16838"/>
          <w:pgMar w:top="816" w:right="1080" w:bottom="986" w:left="1080" w:header="567" w:footer="567" w:gutter="0"/>
          <w:pgNumType w:fmt="numberInDash" w:start="1"/>
          <w:cols w:space="720" w:num="1"/>
          <w:titlePg/>
          <w:docGrid w:type="lines" w:linePitch="312" w:charSpace="0"/>
        </w:sect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24.4.2 若合同双方未能达成仲裁协议，则本合同的仲裁条款无效，任一方均有权向人民法院提起诉讼。</w:t>
      </w:r>
    </w:p>
    <w:p w14:paraId="0039637E">
      <w:pPr>
        <w:pStyle w:val="647"/>
        <w:spacing w:line="360" w:lineRule="auto"/>
        <w:jc w:val="center"/>
        <w:outlineLvl w:val="1"/>
        <w:rPr>
          <w:rFonts w:hint="eastAsia" w:ascii="宋体" w:hAnsi="宋体" w:cstheme="minorEastAsia"/>
          <w:b/>
          <w:color w:val="000000" w:themeColor="text1"/>
          <w:sz w:val="30"/>
          <w:szCs w:val="30"/>
          <w:highlight w:val="none"/>
          <w14:textFill>
            <w14:solidFill>
              <w14:schemeClr w14:val="tx1"/>
            </w14:solidFill>
          </w14:textFill>
        </w:rPr>
      </w:pPr>
      <w:bookmarkStart w:id="1350" w:name="_Toc228389601"/>
      <w:bookmarkStart w:id="1351" w:name="_Toc203576520"/>
      <w:bookmarkStart w:id="1352" w:name="_Toc179625363"/>
      <w:bookmarkStart w:id="1353" w:name="_Toc19169"/>
      <w:bookmarkStart w:id="1354" w:name="_Toc244121905"/>
      <w:bookmarkStart w:id="1355" w:name="_Toc28428296"/>
      <w:bookmarkStart w:id="1356" w:name="_Toc491246873"/>
      <w:bookmarkStart w:id="1357" w:name="_Toc372193366"/>
      <w:bookmarkStart w:id="1358" w:name="_Toc209499029"/>
      <w:bookmarkStart w:id="1359" w:name="_Toc26920"/>
      <w:bookmarkStart w:id="1360" w:name="_Toc265955050"/>
      <w:bookmarkStart w:id="1361" w:name="_Toc265653995"/>
      <w:bookmarkStart w:id="1362" w:name="_Toc25904"/>
      <w:bookmarkStart w:id="1363" w:name="_Toc2910"/>
      <w:bookmarkStart w:id="1364" w:name="_Toc265954751"/>
      <w:r>
        <w:rPr>
          <w:rFonts w:hint="eastAsia" w:ascii="宋体" w:hAnsi="宋体" w:cstheme="minorEastAsia"/>
          <w:b/>
          <w:color w:val="000000" w:themeColor="text1"/>
          <w:sz w:val="30"/>
          <w:szCs w:val="30"/>
          <w:highlight w:val="none"/>
          <w14:textFill>
            <w14:solidFill>
              <w14:schemeClr w14:val="tx1"/>
            </w14:solidFill>
          </w14:textFill>
        </w:rPr>
        <w:t>第三节 专用合同条款</w:t>
      </w:r>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34AA83A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bookmarkStart w:id="1365" w:name="_Toc491246874"/>
      <w:bookmarkStart w:id="1366" w:name="_Toc209499030"/>
      <w:bookmarkStart w:id="1367" w:name="_Toc200817287"/>
      <w:bookmarkStart w:id="1368" w:name="_Toc201058948"/>
    </w:p>
    <w:p w14:paraId="0C88B3C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69" w:name="_Toc265955051"/>
      <w:bookmarkStart w:id="1370" w:name="_Toc16490"/>
      <w:bookmarkStart w:id="1371" w:name="_Toc244121906"/>
      <w:bookmarkStart w:id="1372" w:name="_Toc265954752"/>
      <w:bookmarkStart w:id="1373" w:name="_Toc26565399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 一般约定</w:t>
      </w:r>
      <w:bookmarkEnd w:id="1365"/>
      <w:bookmarkEnd w:id="1366"/>
      <w:bookmarkEnd w:id="1367"/>
      <w:bookmarkEnd w:id="1368"/>
      <w:bookmarkEnd w:id="1369"/>
      <w:bookmarkEnd w:id="1370"/>
      <w:bookmarkEnd w:id="1371"/>
      <w:bookmarkEnd w:id="1372"/>
      <w:bookmarkEnd w:id="1373"/>
    </w:p>
    <w:p w14:paraId="7366681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74" w:name="_Toc244121907"/>
      <w:bookmarkStart w:id="1375" w:name="_Toc491246875"/>
      <w:bookmarkStart w:id="1376" w:name="_Toc201058949"/>
      <w:bookmarkStart w:id="1377" w:name="_Toc2387"/>
      <w:bookmarkStart w:id="1378" w:name="_Toc20949903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  词语定义：</w:t>
      </w:r>
      <w:bookmarkEnd w:id="1374"/>
      <w:bookmarkEnd w:id="1375"/>
      <w:bookmarkEnd w:id="1376"/>
      <w:bookmarkEnd w:id="1377"/>
      <w:bookmarkEnd w:id="1378"/>
    </w:p>
    <w:p w14:paraId="3AB3D8B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379" w:name="_Toc490385488"/>
      <w:bookmarkStart w:id="1380" w:name="_Toc201058950"/>
      <w:bookmarkStart w:id="1381" w:name="_Toc491246876"/>
      <w:bookmarkStart w:id="1382" w:name="_Toc48867854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 合同当事人和人员</w:t>
      </w:r>
      <w:bookmarkEnd w:id="1379"/>
      <w:bookmarkEnd w:id="1380"/>
      <w:bookmarkEnd w:id="1381"/>
      <w:bookmarkEnd w:id="1382"/>
    </w:p>
    <w:p w14:paraId="208D3A9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383" w:name="_Toc490385489"/>
      <w:bookmarkStart w:id="1384" w:name="_Toc201058951"/>
      <w:bookmarkStart w:id="1385" w:name="_Toc488678548"/>
      <w:bookmarkStart w:id="1386" w:name="_Toc49124687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1.1.2.2 发包人</w:t>
      </w:r>
      <w:bookmarkEnd w:id="1383"/>
      <w:bookmarkEnd w:id="1384"/>
      <w:bookmarkEnd w:id="1385"/>
      <w:bookmarkEnd w:id="1386"/>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650DC4D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1.1.2.3 承包人：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（中标（成交）人）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5C44597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1.1.2.6 监理人: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待定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w:t>
      </w:r>
    </w:p>
    <w:p w14:paraId="45293EB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 日期</w:t>
      </w:r>
    </w:p>
    <w:p w14:paraId="5A58B2F3">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1.1.4.5  缺陷责任期（工程质量保修期）:</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w:t>
      </w:r>
    </w:p>
    <w:p w14:paraId="17D5E96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87" w:name="_Toc244121908"/>
      <w:bookmarkStart w:id="1388" w:name="_Toc209499032"/>
      <w:bookmarkStart w:id="1389" w:name="_Toc28673"/>
      <w:bookmarkStart w:id="1390" w:name="_Toc49124687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 合同文件的优先顺序</w:t>
      </w:r>
      <w:bookmarkEnd w:id="1387"/>
      <w:bookmarkEnd w:id="1388"/>
      <w:bookmarkEnd w:id="1389"/>
      <w:bookmarkEnd w:id="1390"/>
    </w:p>
    <w:p w14:paraId="0467AEB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进入合同文件的各项文件及其优先顺序是：</w:t>
      </w:r>
    </w:p>
    <w:p w14:paraId="18A6995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⑴ 合同协议书（包括会议纪要、补充协议）</w:t>
      </w:r>
    </w:p>
    <w:p w14:paraId="4A54956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⑵ 中标（成交）通知书</w:t>
      </w:r>
    </w:p>
    <w:p w14:paraId="29F4C6F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⑶ 投标报价书</w:t>
      </w:r>
    </w:p>
    <w:p w14:paraId="2E80F7A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⑷ 专用合同条款</w:t>
      </w:r>
    </w:p>
    <w:p w14:paraId="24AA5F72">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⑸ 通用合同条款</w:t>
      </w:r>
    </w:p>
    <w:p w14:paraId="371C69B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⑹ 技术条款和要求</w:t>
      </w:r>
    </w:p>
    <w:p w14:paraId="5810480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⑺ 图纸</w:t>
      </w:r>
    </w:p>
    <w:p w14:paraId="03A8176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⑻ 已标价的工程量清单</w:t>
      </w:r>
    </w:p>
    <w:p w14:paraId="629587C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⑼ 经双方确认进入合同的其它文件（如招标文件、发包人有关</w:t>
      </w:r>
      <w:bookmarkStart w:id="1391" w:name="_Toc491246881"/>
      <w:bookmarkStart w:id="1392" w:name="_Toc201058953"/>
      <w:bookmarkStart w:id="1393" w:name="_Toc209499034"/>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工程的洽谈、变更等书面协议，以及工程保修协议书、安全生产协议书、廉政协议书等）</w:t>
      </w:r>
    </w:p>
    <w:p w14:paraId="1D85D4B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394" w:name="_Toc12134"/>
      <w:bookmarkStart w:id="1395" w:name="_Toc24412190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 联络</w:t>
      </w:r>
      <w:bookmarkEnd w:id="139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 </w:t>
      </w:r>
      <w:bookmarkEnd w:id="1395"/>
    </w:p>
    <w:bookmarkEnd w:id="1391"/>
    <w:bookmarkEnd w:id="1392"/>
    <w:bookmarkEnd w:id="1393"/>
    <w:p w14:paraId="323DABD9">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396" w:name="_Toc491246882"/>
      <w:bookmarkStart w:id="1397" w:name="_Toc200817288"/>
      <w:bookmarkStart w:id="1398" w:name="_Toc201058954"/>
      <w:bookmarkStart w:id="1399" w:name="_Toc209499035"/>
      <w:bookmarkStart w:id="1400" w:name="_Toc244121911"/>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1.7.2 联络送达的期限：</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14日内</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02F66EF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01" w:name="_Toc265653997"/>
      <w:bookmarkStart w:id="1402" w:name="_Toc265954753"/>
      <w:bookmarkStart w:id="1403" w:name="_Toc26595505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2.发包人义务</w:t>
      </w:r>
      <w:bookmarkEnd w:id="1396"/>
      <w:bookmarkEnd w:id="1397"/>
      <w:bookmarkEnd w:id="1398"/>
      <w:bookmarkEnd w:id="1399"/>
      <w:bookmarkEnd w:id="1400"/>
      <w:bookmarkEnd w:id="1401"/>
      <w:bookmarkEnd w:id="1402"/>
      <w:bookmarkEnd w:id="1403"/>
    </w:p>
    <w:p w14:paraId="430C9A8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04" w:name="_Toc209499036"/>
      <w:bookmarkStart w:id="1405" w:name="_Toc201058955"/>
      <w:bookmarkStart w:id="1406" w:name="_Toc98813270"/>
      <w:bookmarkStart w:id="1407" w:name="_Toc12243"/>
      <w:bookmarkStart w:id="1408" w:name="_Toc244121912"/>
      <w:bookmarkStart w:id="1409" w:name="_Toc49124688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2.3  提供施工场地</w:t>
      </w:r>
      <w:bookmarkEnd w:id="1404"/>
      <w:bookmarkEnd w:id="1405"/>
      <w:bookmarkEnd w:id="1406"/>
      <w:bookmarkEnd w:id="1407"/>
      <w:bookmarkEnd w:id="1408"/>
      <w:bookmarkEnd w:id="1409"/>
    </w:p>
    <w:p w14:paraId="5590225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w:t>
      </w:r>
    </w:p>
    <w:p w14:paraId="1582BF3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发包人负责办理工地范围内的永久征地和移民，向承包人提供施工用地，提供的用地范围根据监理人指示划定，用地期限在本合同工程完工后2个月。承包人只能在商定的用地范围内安排施工，超出商定的用地及临时施工用地的范围外用地由承包人自行解决并承担由此发生的一切费用。</w:t>
      </w:r>
    </w:p>
    <w:p w14:paraId="53EEB01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10" w:name="_Toc26603"/>
      <w:bookmarkStart w:id="1411" w:name="_Toc24412191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2.8 其它义务</w:t>
      </w:r>
      <w:bookmarkEnd w:id="1410"/>
    </w:p>
    <w:p w14:paraId="06E6600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412" w:name="_Toc224207345"/>
      <w:bookmarkStart w:id="1413" w:name="_Toc224208907"/>
      <w:bookmarkStart w:id="1414" w:name="_Toc224725533"/>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协调勘察、设计、施工承包人、监理人及其他与施工有关人员的关系；</w:t>
      </w:r>
    </w:p>
    <w:p w14:paraId="4EFE1E04">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(2) 发包人应按第8.1款和技术条款的规定，委托监理人向承包人移交现场测量基准点及其有关资料；</w:t>
      </w:r>
    </w:p>
    <w:bookmarkEnd w:id="1412"/>
    <w:bookmarkEnd w:id="1413"/>
    <w:bookmarkEnd w:id="1414"/>
    <w:p w14:paraId="05D271D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15" w:name="_Toc265955053"/>
      <w:bookmarkStart w:id="1416" w:name="_Toc265653998"/>
      <w:bookmarkStart w:id="1417" w:name="_Toc26595475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3监理人</w:t>
      </w:r>
      <w:bookmarkEnd w:id="1411"/>
      <w:bookmarkEnd w:id="1415"/>
      <w:bookmarkEnd w:id="1416"/>
      <w:bookmarkEnd w:id="1417"/>
    </w:p>
    <w:p w14:paraId="7567397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3.1监理人的职责和权力</w:t>
      </w:r>
    </w:p>
    <w:p w14:paraId="1415B3E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本款补充如下内容：</w:t>
      </w:r>
    </w:p>
    <w:p w14:paraId="1FA354A6">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监理人在行使下列权利前，必须得到发包人的批准。</w:t>
      </w:r>
    </w:p>
    <w:p w14:paraId="57F332D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确定延长完工期限；</w:t>
      </w:r>
    </w:p>
    <w:p w14:paraId="27F1D6A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作出变更决定；</w:t>
      </w:r>
    </w:p>
    <w:p w14:paraId="03C4337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尽管有以上规定，但当监理人认为出现了危机生命、工程或毗邻财产等安全的紧急事件时，在不免除合同规定的承包人责任的情况下，监理人可以指示承包人实施为消除或减少这种危险所必须进行的工作，即使没有发包人事先批准，承包人也应立即遵照执行。监理人应按第15条的规定增加相应的费用，并通知承包人。</w:t>
      </w:r>
    </w:p>
    <w:p w14:paraId="18F60BB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18" w:name="_Toc265955054"/>
      <w:bookmarkStart w:id="1419" w:name="_Toc265653999"/>
      <w:bookmarkStart w:id="1420" w:name="_Toc265954755"/>
      <w:bookmarkStart w:id="1421" w:name="_Toc2969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 承包人</w:t>
      </w:r>
      <w:bookmarkEnd w:id="1418"/>
      <w:bookmarkEnd w:id="1419"/>
      <w:bookmarkEnd w:id="1420"/>
      <w:bookmarkEnd w:id="1421"/>
    </w:p>
    <w:p w14:paraId="322BE53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22" w:name="_Toc20848"/>
      <w:bookmarkStart w:id="1423" w:name="_Toc491246885"/>
      <w:bookmarkStart w:id="1424" w:name="_Toc244121914"/>
      <w:bookmarkStart w:id="1425" w:name="_Toc20949903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4.1 承包人的一般义务</w:t>
      </w:r>
      <w:bookmarkEnd w:id="1422"/>
      <w:bookmarkEnd w:id="1423"/>
      <w:bookmarkEnd w:id="1424"/>
      <w:bookmarkEnd w:id="1425"/>
    </w:p>
    <w:p w14:paraId="59043263">
      <w:pPr>
        <w:pStyle w:val="27"/>
        <w:ind w:left="840"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1426" w:name="_Toc20949903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4.1.10 其它义务</w:t>
      </w:r>
      <w:bookmarkEnd w:id="1426"/>
    </w:p>
    <w:p w14:paraId="110DD28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本合同工程施工所需的水、电、交通等临时工程的修建与维护费用全部由承包人自行承担，施工对乡村便道的损坏由承包人负责恢复。若造成当地交通、农田、房屋、植被等损害，承包人应负责对造成的损害进行恢复及赔偿。</w:t>
      </w:r>
    </w:p>
    <w:p w14:paraId="5A52B20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(2)在施工队伍进场后，施工技术方案、施工进度计划、资金流计划、设备人员进场报验单经监理方检查、审核、批准，总监理工程师发出开工令后工程方可开工。</w:t>
      </w:r>
    </w:p>
    <w:p w14:paraId="31858639">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(3)承包人必须结清和施工所在地政府、老百姓的所有拖欠款项及今后施工中发生的相应款项，承包人应对由此引起的一切后果负完全责任。</w:t>
      </w:r>
    </w:p>
    <w:p w14:paraId="6A7B08F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(4)承包人要采取有效措施对施工开挖边坡及时进行支护和做好排水措施（特别是雨季施工排水与防洪措施），避免施工中造成水土流失，否则将承担相应赔偿责任；</w:t>
      </w:r>
    </w:p>
    <w:p w14:paraId="0D13671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(5)承包人在施工过程中采取有效措施注意保护生活用水源免受施工活动造成的污染，否则将承担相应责任；</w:t>
      </w:r>
    </w:p>
    <w:p w14:paraId="3C6686C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(6)用于工程建设的工程款承包人必须专款专用，不得挪作它用。发包人有权指定承包人开户银行，并请银行代为监督；</w:t>
      </w:r>
    </w:p>
    <w:p w14:paraId="444DDE6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(7)发包人提供的施工用地以外的承包人所需用地及其费用，由承包人自行解决；</w:t>
      </w:r>
    </w:p>
    <w:p w14:paraId="7A5917C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27" w:name="_Toc491246886"/>
      <w:bookmarkStart w:id="1428" w:name="_Toc6156"/>
      <w:bookmarkStart w:id="1429" w:name="_Toc223245856"/>
      <w:bookmarkStart w:id="1430" w:name="_Toc229450920"/>
      <w:bookmarkStart w:id="1431" w:name="_Toc209499040"/>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4.2 履约担保</w:t>
      </w:r>
      <w:bookmarkEnd w:id="1427"/>
      <w:bookmarkEnd w:id="1428"/>
      <w:bookmarkEnd w:id="1429"/>
      <w:bookmarkEnd w:id="1430"/>
      <w:bookmarkEnd w:id="1431"/>
    </w:p>
    <w:p w14:paraId="46F17C97">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w:t>
      </w:r>
    </w:p>
    <w:p w14:paraId="3945844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承包人应按合同规定的格式和专用合同条款规定的金额，在正式签订协议前向发包人提交经发包人同意的履约担保，履约担保的形式：</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3AF1307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432" w:name="_Toc98813272"/>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履约担保的金额：</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51DD7C2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履约担保的有效期自合同生效日起至工程移交证书颁发后28天内一直有效。</w:t>
      </w:r>
      <w:bookmarkEnd w:id="1432"/>
    </w:p>
    <w:p w14:paraId="38EFE69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33" w:name="_Toc15235"/>
      <w:bookmarkStart w:id="1434" w:name="_Toc24412191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4.3分包</w:t>
      </w:r>
      <w:bookmarkEnd w:id="1433"/>
      <w:bookmarkEnd w:id="1434"/>
    </w:p>
    <w:p w14:paraId="666DF835">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435" w:name="_Toc244121917"/>
      <w:bookmarkStart w:id="1436" w:name="_Toc209499041"/>
      <w:bookmarkStart w:id="1437" w:name="_Toc49124688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删去本款全文，并代之以：本工程不允许分包。</w:t>
      </w:r>
    </w:p>
    <w:p w14:paraId="23D802C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38" w:name="_Toc223245857"/>
      <w:bookmarkStart w:id="1439" w:name="_Toc229450921"/>
      <w:bookmarkStart w:id="1440" w:name="_Toc2833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4.4 联合体</w:t>
      </w:r>
      <w:bookmarkEnd w:id="1438"/>
      <w:bookmarkEnd w:id="1439"/>
      <w:bookmarkEnd w:id="1440"/>
    </w:p>
    <w:p w14:paraId="30EFCAB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删去本款全文，并代之以：本工程不允许联合体投标。</w:t>
      </w:r>
    </w:p>
    <w:bookmarkEnd w:id="1435"/>
    <w:bookmarkEnd w:id="1436"/>
    <w:bookmarkEnd w:id="1437"/>
    <w:p w14:paraId="7A3F8A7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41" w:name="_Toc265654000"/>
      <w:bookmarkStart w:id="1442" w:name="_Toc265955055"/>
      <w:bookmarkStart w:id="1443" w:name="_Toc209499043"/>
      <w:bookmarkStart w:id="1444" w:name="_Toc265954756"/>
      <w:bookmarkStart w:id="1445" w:name="_Toc244121919"/>
      <w:bookmarkStart w:id="1446" w:name="_Toc12836"/>
      <w:bookmarkStart w:id="1447" w:name="_Toc201058956"/>
      <w:bookmarkStart w:id="1448" w:name="_Toc491246888"/>
      <w:bookmarkStart w:id="1449" w:name="_Toc20081728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5．材料和工程设备</w:t>
      </w:r>
      <w:bookmarkEnd w:id="1441"/>
      <w:bookmarkEnd w:id="1442"/>
      <w:bookmarkEnd w:id="1443"/>
      <w:bookmarkEnd w:id="1444"/>
      <w:bookmarkEnd w:id="1445"/>
      <w:bookmarkEnd w:id="1446"/>
      <w:bookmarkEnd w:id="1447"/>
      <w:bookmarkEnd w:id="1448"/>
      <w:bookmarkEnd w:id="1449"/>
    </w:p>
    <w:p w14:paraId="72AFF0D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50" w:name="_Toc244121921"/>
      <w:bookmarkStart w:id="1451" w:name="_Toc491246889"/>
      <w:bookmarkStart w:id="1452" w:name="_Toc209499044"/>
      <w:bookmarkStart w:id="1453" w:name="_Toc53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5.2 发包人提供的材料和工程设备</w:t>
      </w:r>
      <w:bookmarkEnd w:id="1450"/>
      <w:bookmarkEnd w:id="1451"/>
      <w:bookmarkEnd w:id="1452"/>
      <w:bookmarkEnd w:id="1453"/>
    </w:p>
    <w:p w14:paraId="62B73A73">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删去本款全文，并代之以：本工程发包人不提供材料和工程设备。</w:t>
      </w:r>
      <w:bookmarkStart w:id="1454" w:name="_Toc244121922"/>
    </w:p>
    <w:p w14:paraId="2A4A3F9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55" w:name="_Toc265955056"/>
      <w:bookmarkStart w:id="1456" w:name="_Toc265654001"/>
      <w:bookmarkStart w:id="1457" w:name="_Toc26595475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6.施工设备和临时设施</w:t>
      </w:r>
      <w:bookmarkEnd w:id="1454"/>
      <w:bookmarkEnd w:id="1455"/>
      <w:bookmarkEnd w:id="1456"/>
      <w:bookmarkEnd w:id="1457"/>
    </w:p>
    <w:p w14:paraId="7D7680A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6.2.发包人提供的的施工设备和临时设施</w:t>
      </w:r>
    </w:p>
    <w:p w14:paraId="4633AAF1">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删去本款全文，并代之以：发包人不提供施工设备和临时设施</w:t>
      </w:r>
    </w:p>
    <w:p w14:paraId="4731B2A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58" w:name="_Toc265654002"/>
      <w:bookmarkStart w:id="1459" w:name="_Toc244121923"/>
      <w:bookmarkStart w:id="1460" w:name="_Toc265954758"/>
      <w:bookmarkStart w:id="1461" w:name="_Toc32759"/>
      <w:bookmarkStart w:id="1462" w:name="_Toc26595505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7.交通运输</w:t>
      </w:r>
      <w:bookmarkEnd w:id="1458"/>
      <w:bookmarkEnd w:id="1459"/>
      <w:bookmarkEnd w:id="1460"/>
      <w:bookmarkEnd w:id="1461"/>
      <w:bookmarkEnd w:id="1462"/>
    </w:p>
    <w:p w14:paraId="589F4EA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63" w:name="_Toc2572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7.1 道路通行权和场外设施</w:t>
      </w:r>
      <w:bookmarkEnd w:id="1463"/>
    </w:p>
    <w:p w14:paraId="7298B63A">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464" w:name="_Toc244121925"/>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道路通行权和场外设施的约定：道路通行权由承包人办理并承担费用，需要发包人协调时，发包人应协助承包人办理相关手续。</w:t>
      </w:r>
    </w:p>
    <w:p w14:paraId="6793C84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65" w:name="_Toc26196"/>
      <w:bookmarkStart w:id="1466" w:name="_Toc265954759"/>
      <w:bookmarkStart w:id="1467" w:name="_Toc265654003"/>
      <w:bookmarkStart w:id="1468" w:name="_Toc26595505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8．测量放线</w:t>
      </w:r>
      <w:bookmarkEnd w:id="1464"/>
      <w:bookmarkEnd w:id="1465"/>
      <w:bookmarkEnd w:id="1466"/>
      <w:bookmarkEnd w:id="1467"/>
      <w:bookmarkEnd w:id="1468"/>
    </w:p>
    <w:p w14:paraId="2B782E4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69" w:name="_Toc13492"/>
      <w:bookmarkStart w:id="1470" w:name="_Toc232581963"/>
      <w:bookmarkStart w:id="1471" w:name="_Toc233892114"/>
      <w:bookmarkStart w:id="1472" w:name="_Toc224207356"/>
      <w:bookmarkStart w:id="1473" w:name="_Toc256443545"/>
      <w:bookmarkStart w:id="1474" w:name="_Toc224725547"/>
      <w:bookmarkStart w:id="1475" w:name="_Toc233083007"/>
      <w:bookmarkStart w:id="1476" w:name="_Toc224210255"/>
      <w:bookmarkStart w:id="1477" w:name="_Toc232582749"/>
      <w:bookmarkStart w:id="1478" w:name="_Toc232582450"/>
      <w:bookmarkStart w:id="1479" w:name="_Toc232428466"/>
      <w:bookmarkStart w:id="1480" w:name="_Toc22420891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8.1 施工控制网</w:t>
      </w:r>
      <w:bookmarkEnd w:id="1469"/>
      <w:bookmarkEnd w:id="1470"/>
      <w:bookmarkEnd w:id="1471"/>
      <w:bookmarkEnd w:id="1472"/>
      <w:bookmarkEnd w:id="1473"/>
      <w:bookmarkEnd w:id="1474"/>
      <w:bookmarkEnd w:id="1475"/>
      <w:bookmarkEnd w:id="1476"/>
      <w:bookmarkEnd w:id="1477"/>
      <w:bookmarkEnd w:id="1478"/>
      <w:bookmarkEnd w:id="1479"/>
      <w:bookmarkEnd w:id="1480"/>
    </w:p>
    <w:p w14:paraId="3C9440BF">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8.1.1 发包人应在发出开工通知后14天内，通过监理人向承包人提供测量基准点、基准线和水准点及其书面资料。承包人应根据国家测绘基准、测绘系统和工程测量技术规范，按上述基准点（线）以及合同工程精度要求，测设施工控制网，并在开工后21天内，将施工控制网资料报送监理人审批。</w:t>
      </w:r>
    </w:p>
    <w:p w14:paraId="1E84A8E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81" w:name="_Toc265654004"/>
      <w:bookmarkStart w:id="1482" w:name="_Toc491246890"/>
      <w:bookmarkStart w:id="1483" w:name="_Toc26493"/>
      <w:bookmarkStart w:id="1484" w:name="_Toc265955059"/>
      <w:bookmarkStart w:id="1485" w:name="_Toc209499045"/>
      <w:bookmarkStart w:id="1486" w:name="_Toc244121929"/>
      <w:bookmarkStart w:id="1487" w:name="_Toc265954760"/>
      <w:bookmarkStart w:id="1488" w:name="_Toc20105895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9．施工安全、治安保卫和环境保护</w:t>
      </w:r>
      <w:bookmarkEnd w:id="1481"/>
      <w:bookmarkEnd w:id="1482"/>
      <w:bookmarkEnd w:id="1483"/>
      <w:bookmarkEnd w:id="1484"/>
      <w:bookmarkEnd w:id="1485"/>
      <w:bookmarkEnd w:id="1486"/>
      <w:bookmarkEnd w:id="1487"/>
    </w:p>
    <w:bookmarkEnd w:id="1488"/>
    <w:p w14:paraId="625013EF">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489" w:name="_Toc26903"/>
      <w:bookmarkStart w:id="1490" w:name="_Toc233083011"/>
      <w:bookmarkStart w:id="1491" w:name="_Toc233892118"/>
      <w:bookmarkStart w:id="1492" w:name="_Toc232581967"/>
      <w:bookmarkStart w:id="1493" w:name="_Toc232582454"/>
      <w:bookmarkStart w:id="1494" w:name="_Toc232428470"/>
      <w:bookmarkStart w:id="1495" w:name="_Toc224210259"/>
      <w:bookmarkStart w:id="1496" w:name="_Toc224208922"/>
      <w:bookmarkStart w:id="1497" w:name="_Toc256443549"/>
      <w:bookmarkStart w:id="1498" w:name="_Toc224207360"/>
      <w:bookmarkStart w:id="1499" w:name="_Toc232582753"/>
      <w:bookmarkStart w:id="1500" w:name="_Toc224725551"/>
      <w:bookmarkStart w:id="1501" w:name="_Toc201058958"/>
      <w:bookmarkStart w:id="1502" w:name="_Toc200817290"/>
      <w:bookmarkStart w:id="1503" w:name="_Toc209499047"/>
      <w:bookmarkStart w:id="1504" w:name="_Toc49124689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9.2 承包人的施工安全责任</w:t>
      </w:r>
      <w:bookmarkEnd w:id="1489"/>
      <w:bookmarkEnd w:id="1490"/>
      <w:bookmarkEnd w:id="1491"/>
      <w:bookmarkEnd w:id="1492"/>
      <w:bookmarkEnd w:id="1493"/>
      <w:bookmarkEnd w:id="1494"/>
      <w:bookmarkEnd w:id="1495"/>
      <w:bookmarkEnd w:id="1496"/>
      <w:bookmarkEnd w:id="1497"/>
      <w:bookmarkEnd w:id="1498"/>
      <w:bookmarkEnd w:id="1499"/>
      <w:bookmarkEnd w:id="1500"/>
    </w:p>
    <w:p w14:paraId="3519A140">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9.2.1 承包人应按合同约定履行安全职责，执行监理人有关安全工作的指示，并在签订合同14日内，编制施工安全措施计划报送监理人审批。</w:t>
      </w:r>
    </w:p>
    <w:p w14:paraId="334BDD8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增加以下条款：</w:t>
      </w:r>
    </w:p>
    <w:p w14:paraId="007E769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负责其自己辖区内的消防工作。承包人应对其辖区内发生的火灾及其造成的人员伤亡和财产损失负责。因本工程地处林区，安全防火问题尤其重要，因此承包人应负责本合同工程工地的消防工作，组建专职消防队伍，在工地配备必要的日常消防设备并配合公安消防部门工作。</w:t>
      </w:r>
    </w:p>
    <w:p w14:paraId="0E990E1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05" w:name="_Toc244121932"/>
      <w:bookmarkStart w:id="1506" w:name="_Toc265955060"/>
      <w:bookmarkStart w:id="1507" w:name="_Toc265654005"/>
      <w:bookmarkStart w:id="1508" w:name="_Toc31578"/>
      <w:bookmarkStart w:id="1509" w:name="_Toc26595476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11.开工和竣工</w:t>
      </w:r>
      <w:bookmarkEnd w:id="1501"/>
      <w:bookmarkEnd w:id="1502"/>
      <w:bookmarkEnd w:id="1503"/>
      <w:bookmarkEnd w:id="1504"/>
      <w:bookmarkEnd w:id="150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（完工）</w:t>
      </w:r>
      <w:bookmarkEnd w:id="1506"/>
      <w:bookmarkEnd w:id="1507"/>
      <w:bookmarkEnd w:id="1508"/>
      <w:bookmarkEnd w:id="1509"/>
    </w:p>
    <w:p w14:paraId="20BE9D3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10" w:name="_Toc201058959"/>
      <w:bookmarkStart w:id="1511" w:name="_Toc4235"/>
      <w:bookmarkStart w:id="1512" w:name="_Toc491246893"/>
      <w:bookmarkStart w:id="1513" w:name="_Toc209499048"/>
      <w:bookmarkStart w:id="1514" w:name="_Toc229450928"/>
      <w:bookmarkStart w:id="1515" w:name="_Toc22324586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11.2 竣工</w:t>
      </w:r>
      <w:bookmarkEnd w:id="1510"/>
      <w:bookmarkEnd w:id="1511"/>
      <w:bookmarkEnd w:id="1512"/>
      <w:bookmarkEnd w:id="1513"/>
      <w:bookmarkEnd w:id="1514"/>
      <w:bookmarkEnd w:id="1515"/>
    </w:p>
    <w:p w14:paraId="4BA30F6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增加以下条款：</w:t>
      </w:r>
    </w:p>
    <w:p w14:paraId="4993BE1F">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本合同全部工程和部分工程的要求完工日期如下表。</w:t>
      </w:r>
    </w:p>
    <w:p w14:paraId="43F1949C">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要求完工日期表：</w:t>
      </w:r>
    </w:p>
    <w:tbl>
      <w:tblPr>
        <w:tblStyle w:val="53"/>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578"/>
        <w:gridCol w:w="3532"/>
        <w:gridCol w:w="2339"/>
        <w:gridCol w:w="901"/>
      </w:tblGrid>
      <w:tr w14:paraId="5D20D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64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25DF0D59">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序号</w:t>
            </w:r>
          </w:p>
        </w:tc>
        <w:tc>
          <w:tcPr>
            <w:tcW w:w="257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790FDFA7">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项目及其说明</w:t>
            </w:r>
          </w:p>
        </w:tc>
        <w:tc>
          <w:tcPr>
            <w:tcW w:w="3532"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7103FF14">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要求完工日期</w:t>
            </w:r>
          </w:p>
        </w:tc>
        <w:tc>
          <w:tcPr>
            <w:tcW w:w="233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415D9462">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总施工工期</w:t>
            </w:r>
          </w:p>
        </w:tc>
        <w:tc>
          <w:tcPr>
            <w:tcW w:w="901"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3E123FA7">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备注</w:t>
            </w:r>
          </w:p>
        </w:tc>
      </w:tr>
      <w:tr w14:paraId="7592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647"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4F12ABB7">
            <w:pPr>
              <w:snapToGri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578"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1A526180">
            <w:pPr>
              <w:autoSpaceDE w:val="0"/>
              <w:autoSpaceDN w:val="0"/>
              <w:adjustRightInd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532"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6573330E">
            <w:pPr>
              <w:snapToGrid w:val="0"/>
              <w:ind w:right="-149" w:rightChars="-71"/>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339"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0F7A8BD6">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901"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6B534BDC">
            <w:pPr>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0168A5B2">
      <w:pPr>
        <w:autoSpaceDE w:val="0"/>
        <w:autoSpaceDN w:val="0"/>
        <w:adjustRightInd w:val="0"/>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16" w:name="_Toc209499049"/>
      <w:bookmarkStart w:id="1517" w:name="_Toc201058960"/>
      <w:bookmarkStart w:id="1518" w:name="_Toc491246894"/>
      <w:bookmarkStart w:id="1519" w:name="_Toc24412193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11.5 承包人工期延误</w:t>
      </w:r>
    </w:p>
    <w:p w14:paraId="26A9457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本款补充如下：</w:t>
      </w:r>
    </w:p>
    <w:p w14:paraId="46DA37E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bookmarkStart w:id="1520" w:name="_Toc223245866"/>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每节点工期及总工期每延长一天，将扣逾期完工违约金   元/天，</w:t>
      </w:r>
      <w:bookmarkEnd w:id="1520"/>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全部逾期完工违约金的总限额为不超过签约合同价的    %，承包人支付逾期竣工违约金，不免除承包人完成工程及修补缺陷的义务。特殊情况由发包人和承包人协商解决。</w:t>
      </w:r>
    </w:p>
    <w:p w14:paraId="3CA05AB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21" w:name="_Toc3110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11.6 工期提前</w:t>
      </w:r>
      <w:bookmarkEnd w:id="1516"/>
      <w:bookmarkEnd w:id="1517"/>
      <w:bookmarkEnd w:id="1518"/>
      <w:bookmarkEnd w:id="1519"/>
      <w:bookmarkEnd w:id="1521"/>
    </w:p>
    <w:p w14:paraId="6EC44DD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bookmarkStart w:id="1522" w:name="_Toc491246895"/>
      <w:bookmarkStart w:id="1523" w:name="_Toc201058961"/>
      <w:bookmarkStart w:id="1524" w:name="_Toc209499050"/>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工程提前的奖金约定：</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本工程要求承包人按质按量按时完成工程内容，提前完工的，不进行任何奖励。</w:t>
      </w:r>
    </w:p>
    <w:p w14:paraId="7BEBB9AD">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25" w:name="_Toc265955061"/>
      <w:bookmarkStart w:id="1526" w:name="_Toc265954762"/>
      <w:bookmarkStart w:id="1527" w:name="_Toc265654006"/>
      <w:bookmarkStart w:id="1528" w:name="_Toc24412193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 暂停施工</w:t>
      </w:r>
      <w:bookmarkEnd w:id="1525"/>
      <w:bookmarkEnd w:id="1526"/>
      <w:bookmarkEnd w:id="1527"/>
    </w:p>
    <w:p w14:paraId="1D3F0A13">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12.1 承包人暂停施工的责任</w:t>
      </w:r>
    </w:p>
    <w:p w14:paraId="167247D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承包人承担暂停施工责任的其他情形：</w:t>
      </w:r>
    </w:p>
    <w:p w14:paraId="393B64F1">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承包人在接到开工通知后14天内未及时进场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369C36DC">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2、由于现场非异常恶劣气候条件引起的正常停工。</w:t>
      </w:r>
    </w:p>
    <w:p w14:paraId="21F1707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29" w:name="_Toc265955062"/>
      <w:bookmarkStart w:id="1530" w:name="_Toc265954763"/>
      <w:bookmarkStart w:id="1531" w:name="_Toc26565400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 试验和检验</w:t>
      </w:r>
      <w:bookmarkEnd w:id="1528"/>
      <w:bookmarkEnd w:id="1529"/>
      <w:bookmarkEnd w:id="1530"/>
      <w:bookmarkEnd w:id="1531"/>
    </w:p>
    <w:p w14:paraId="46733C5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32" w:name="_Toc223245870"/>
      <w:bookmarkStart w:id="1533" w:name="_Toc229450932"/>
      <w:bookmarkStart w:id="1534" w:name="_Toc24412193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14.2 现场材料试验</w:t>
      </w:r>
      <w:bookmarkEnd w:id="1532"/>
      <w:bookmarkEnd w:id="1533"/>
    </w:p>
    <w:p w14:paraId="4DDEFCFF">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本条增加：</w:t>
      </w:r>
    </w:p>
    <w:p w14:paraId="7E9C943B">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监理人认为材料试验需送省、市（或）县级质检部门试验时，承包人应经监理人见证取样后送上述质检部门进行试验，费用由承包人承担。</w:t>
      </w:r>
    </w:p>
    <w:bookmarkEnd w:id="1522"/>
    <w:bookmarkEnd w:id="1523"/>
    <w:bookmarkEnd w:id="1524"/>
    <w:bookmarkEnd w:id="1534"/>
    <w:p w14:paraId="57EF9438">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35" w:name="_Toc265954764"/>
      <w:bookmarkStart w:id="1536" w:name="_Toc491246896"/>
      <w:bookmarkStart w:id="1537" w:name="_Toc24508"/>
      <w:bookmarkStart w:id="1538" w:name="_Toc244121938"/>
      <w:bookmarkStart w:id="1539" w:name="_Toc265654008"/>
      <w:bookmarkStart w:id="1540" w:name="_Toc209499051"/>
      <w:bookmarkStart w:id="1541" w:name="_Toc201058962"/>
      <w:bookmarkStart w:id="1542" w:name="_Toc26595506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 变更</w:t>
      </w:r>
      <w:bookmarkEnd w:id="1535"/>
      <w:bookmarkEnd w:id="1536"/>
      <w:bookmarkEnd w:id="1537"/>
      <w:bookmarkEnd w:id="1538"/>
      <w:bookmarkEnd w:id="1539"/>
      <w:bookmarkEnd w:id="1540"/>
      <w:bookmarkEnd w:id="1541"/>
      <w:bookmarkEnd w:id="1542"/>
    </w:p>
    <w:p w14:paraId="1D15FAB1">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43" w:name="_Toc1475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15.1 变更的范围和内容</w:t>
      </w:r>
      <w:bookmarkEnd w:id="1543"/>
    </w:p>
    <w:p w14:paraId="6F3F23AD">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本条增加：</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无论增加或减少工程量，其《工程量清单》中的单价均不作调整。</w:t>
      </w:r>
      <w:bookmarkStart w:id="1544" w:name="_Toc491246897"/>
      <w:bookmarkStart w:id="1545" w:name="_Toc201058963"/>
      <w:bookmarkStart w:id="1546" w:name="_Toc209499052"/>
    </w:p>
    <w:p w14:paraId="644899B5">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47" w:name="_Toc265955064"/>
      <w:bookmarkStart w:id="1548" w:name="_Toc265654009"/>
      <w:bookmarkStart w:id="1549" w:name="_Toc26595476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15.4 变更的估价原则</w:t>
      </w:r>
      <w:bookmarkEnd w:id="1547"/>
      <w:bookmarkEnd w:id="1548"/>
      <w:bookmarkEnd w:id="1549"/>
    </w:p>
    <w:p w14:paraId="503DAA51">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15.4.1  已标价工程量清单中有适用于变更工作的子目的，采用该子目的单价。</w:t>
      </w:r>
    </w:p>
    <w:p w14:paraId="68BBBF0A">
      <w:pPr>
        <w:autoSpaceDE w:val="0"/>
        <w:autoSpaceDN w:val="0"/>
        <w:adjustRightInd w:val="0"/>
        <w:ind w:firstLine="315" w:firstLineChars="15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15.4.2  已标价工程量清单中无适用于变更工作的子目，但有类似子目的，可在合同范围内参照类似子目的单价，由监理人按第3.5款商定或确定变更工作的单价并报发包人批准。</w:t>
      </w:r>
    </w:p>
    <w:p w14:paraId="059CC5C4">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15.4.3 已标价工程量清单中无适用或类似子目的单价，</w:t>
      </w:r>
      <w:bookmarkStart w:id="1550" w:name="_Toc265954766"/>
      <w:bookmarkStart w:id="1551" w:name="_Toc265955065"/>
      <w:bookmarkStart w:id="1552" w:name="_Toc244121939"/>
      <w:bookmarkStart w:id="1553" w:name="_Toc30276"/>
      <w:bookmarkStart w:id="1554" w:name="_Toc265654010"/>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由承包人按第3.5款商定或确定变更工作的单价或参照国家相关部门颁发的定额子目按投标报价的编制水平编制补充单价报监理人审核，发包人批准。新增项目的单价编制应与投标人投标报价中所采用的人工、材料、机械的基价及取费标准保持一致；新增项目的工程量与最终实施的工程量，无论增加或减少的幅度如何，其单价均不作调整。</w:t>
      </w:r>
    </w:p>
    <w:p w14:paraId="6A5BAF9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16 价格调整</w:t>
      </w:r>
      <w:bookmarkEnd w:id="1544"/>
      <w:bookmarkEnd w:id="1545"/>
      <w:bookmarkEnd w:id="1546"/>
      <w:bookmarkEnd w:id="1550"/>
      <w:bookmarkEnd w:id="1551"/>
      <w:bookmarkEnd w:id="1552"/>
      <w:bookmarkEnd w:id="1553"/>
      <w:bookmarkEnd w:id="1554"/>
    </w:p>
    <w:p w14:paraId="5A6C2752">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55" w:name="_Toc244121940"/>
      <w:bookmarkStart w:id="1556" w:name="_Toc491246898"/>
      <w:bookmarkStart w:id="1557" w:name="_Toc201058964"/>
      <w:bookmarkStart w:id="1558" w:name="_Toc20692"/>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16.1 </w:t>
      </w:r>
      <w:bookmarkEnd w:id="1555"/>
      <w:bookmarkEnd w:id="1556"/>
      <w:bookmarkEnd w:id="155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物价波动引起的价格调整</w:t>
      </w:r>
      <w:bookmarkEnd w:id="1558"/>
    </w:p>
    <w:p w14:paraId="022D4B1C">
      <w:pPr>
        <w:autoSpaceDE w:val="0"/>
        <w:autoSpaceDN w:val="0"/>
        <w:adjustRightIn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删去本文，并代之以：</w:t>
      </w:r>
    </w:p>
    <w:p w14:paraId="1EA72E3E">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本合同采用固定单价，合同履行期间， 无论何种原因，均不考虑由于物价波动引起的价格调整。</w:t>
      </w:r>
    </w:p>
    <w:p w14:paraId="0EA5B56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59" w:name="_Toc385"/>
      <w:bookmarkStart w:id="1560" w:name="_Toc201058965"/>
      <w:bookmarkStart w:id="1561" w:name="_Toc200817291"/>
      <w:bookmarkStart w:id="1562" w:name="_Toc265954767"/>
      <w:bookmarkStart w:id="1563" w:name="_Toc244121941"/>
      <w:bookmarkStart w:id="1564" w:name="_Toc265955066"/>
      <w:bookmarkStart w:id="1565" w:name="_Toc265654011"/>
      <w:bookmarkStart w:id="1566" w:name="_Toc491246899"/>
      <w:bookmarkStart w:id="1567" w:name="_Toc209499053"/>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 计量与支付</w:t>
      </w:r>
      <w:bookmarkEnd w:id="1559"/>
      <w:bookmarkEnd w:id="1560"/>
      <w:bookmarkEnd w:id="1561"/>
      <w:bookmarkEnd w:id="1562"/>
      <w:bookmarkEnd w:id="1563"/>
      <w:bookmarkEnd w:id="1564"/>
      <w:bookmarkEnd w:id="1565"/>
      <w:bookmarkEnd w:id="1566"/>
      <w:bookmarkEnd w:id="1567"/>
    </w:p>
    <w:p w14:paraId="062DEA3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68" w:name="_Toc209499054"/>
      <w:bookmarkStart w:id="1569" w:name="_Toc201058966"/>
      <w:bookmarkStart w:id="1570" w:name="_Toc491246900"/>
      <w:bookmarkStart w:id="1571" w:name="_Toc229450937"/>
      <w:bookmarkStart w:id="1572" w:name="_Toc223245875"/>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17.1 计量</w:t>
      </w:r>
      <w:bookmarkEnd w:id="1568"/>
      <w:bookmarkEnd w:id="1569"/>
      <w:bookmarkEnd w:id="1570"/>
      <w:bookmarkEnd w:id="1571"/>
      <w:bookmarkEnd w:id="1572"/>
    </w:p>
    <w:p w14:paraId="2A7F3518">
      <w:pPr>
        <w:autoSpaceDE w:val="0"/>
        <w:autoSpaceDN w:val="0"/>
        <w:adjustRightInd w:val="0"/>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删去本款，并代之以：</w:t>
      </w:r>
    </w:p>
    <w:p w14:paraId="6D24AFE2">
      <w:pPr>
        <w:autoSpaceDE w:val="0"/>
        <w:autoSpaceDN w:val="0"/>
        <w:adjustRightInd w:val="0"/>
        <w:ind w:firstLine="420" w:firstLineChars="200"/>
        <w:rPr>
          <w:rFonts w:hint="eastAsia" w:asciiTheme="minorEastAsia" w:hAnsiTheme="minorEastAsia" w:eastAsiaTheme="minorEastAsia" w:cstheme="minorEastAsia"/>
          <w:b/>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按承包方实际完成的工程量，由承包方上报并经监理工程师、发包人共同确认的工程量计量及按本合同《技术条款》的有关规定执行。</w:t>
      </w:r>
    </w:p>
    <w:p w14:paraId="337C6CF6">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73" w:name="_Toc244121943"/>
      <w:bookmarkStart w:id="1574" w:name="_Toc201058967"/>
      <w:bookmarkStart w:id="1575" w:name="_Toc209499055"/>
      <w:bookmarkStart w:id="1576" w:name="_Toc6479"/>
      <w:bookmarkStart w:id="1577" w:name="_Toc49124690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17.2 预付款</w:t>
      </w:r>
      <w:bookmarkEnd w:id="1573"/>
      <w:bookmarkEnd w:id="1574"/>
      <w:bookmarkEnd w:id="1575"/>
      <w:bookmarkEnd w:id="1576"/>
      <w:bookmarkEnd w:id="1577"/>
    </w:p>
    <w:p w14:paraId="476CD695">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17.2.1预付款：</w:t>
      </w:r>
    </w:p>
    <w:p w14:paraId="3570FB54">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（1）工程预付款的总金额为签约合同价的</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%，分两次支付给承包人。</w:t>
      </w:r>
    </w:p>
    <w:p w14:paraId="4A66A041">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预付款的付款时间为：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5E1EB62D">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17.2.2 预付款保函（担保）</w:t>
      </w:r>
    </w:p>
    <w:p w14:paraId="5B3FD102">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3A4232D0">
      <w:pPr>
        <w:pStyle w:val="27"/>
        <w:ind w:left="840" w:firstLine="412"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bookmarkStart w:id="1578" w:name="_Toc488678577"/>
      <w:bookmarkStart w:id="1579" w:name="_Toc491246906"/>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17.2.3</w:t>
      </w:r>
      <w:bookmarkEnd w:id="1578"/>
      <w:bookmarkEnd w:id="1579"/>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预付款的扣回与还清</w:t>
      </w:r>
    </w:p>
    <w:p w14:paraId="18A41D6C">
      <w:pPr>
        <w:pStyle w:val="27"/>
        <w:ind w:left="840" w:firstLine="42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（1）工程预付款在合同累计完成金额达到签约合同价的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%时开始扣款，直至合同累计完成金额达到签约合同价的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%时全部扣清。</w:t>
      </w:r>
    </w:p>
    <w:p w14:paraId="6B097320">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30"/>
          <w:szCs w:val="21"/>
          <w:highlight w:val="none"/>
          <w14:textFill>
            <w14:solidFill>
              <w14:schemeClr w14:val="tx1"/>
            </w14:solidFill>
          </w14:textFill>
        </w:rPr>
        <w:object>
          <v:shape id="_x0000_i1025" o:spt="75" type="#_x0000_t75" style="height:33.75pt;width:125.25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649289FC">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式中  </w:t>
      </w:r>
      <w:r>
        <w:rPr>
          <w:rFonts w:hint="eastAsia" w:asciiTheme="minorEastAsia" w:hAnsiTheme="minorEastAsia" w:eastAsiaTheme="minorEastAsia" w:cstheme="minorEastAsia"/>
          <w:color w:val="000000" w:themeColor="text1"/>
          <w:position w:val="-4"/>
          <w:szCs w:val="21"/>
          <w:highlight w:val="none"/>
          <w14:textFill>
            <w14:solidFill>
              <w14:schemeClr w14:val="tx1"/>
            </w14:solidFill>
          </w14:textFill>
        </w:rPr>
        <w:object>
          <v:shape id="_x0000_i1026" o:spt="75" type="#_x0000_t75" style="height:12.75pt;width:12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——每次进度付款中累计扣回的金额；</w:t>
      </w:r>
    </w:p>
    <w:p w14:paraId="64C47005">
      <w:pPr>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4"/>
          <w:szCs w:val="21"/>
          <w:highlight w:val="none"/>
          <w14:textFill>
            <w14:solidFill>
              <w14:schemeClr w14:val="tx1"/>
            </w14:solidFill>
          </w14:textFill>
        </w:rPr>
        <w:object>
          <v:shape id="_x0000_i1027" o:spt="75" type="#_x0000_t75" style="height:12.75pt;width:12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——工程预付款总金额；</w:t>
      </w:r>
    </w:p>
    <w:p w14:paraId="5F0A6A19">
      <w:pPr>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
          <w:szCs w:val="21"/>
          <w:highlight w:val="none"/>
          <w14:textFill>
            <w14:solidFill>
              <w14:schemeClr w14:val="tx1"/>
            </w14:solidFill>
          </w14:textFill>
        </w:rPr>
        <w:object>
          <v:shape id="_x0000_i1028" o:spt="75" type="#_x0000_t75" style="height:14.25pt;width:11.2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——签约合同价；</w:t>
      </w:r>
    </w:p>
    <w:p w14:paraId="2D952BB5">
      <w:pPr>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
          <w:szCs w:val="21"/>
          <w:highlight w:val="none"/>
          <w14:textFill>
            <w14:solidFill>
              <w14:schemeClr w14:val="tx1"/>
            </w14:solidFill>
          </w14:textFill>
        </w:rPr>
        <w:object>
          <v:shape id="_x0000_i1029" o:spt="75" type="#_x0000_t75" style="height:14.25pt;width:12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——合同累计完成金额；</w:t>
      </w:r>
    </w:p>
    <w:p w14:paraId="4EBA8470">
      <w:pPr>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10"/>
          <w:szCs w:val="21"/>
          <w:highlight w:val="none"/>
          <w14:textFill>
            <w14:solidFill>
              <w14:schemeClr w14:val="tx1"/>
            </w14:solidFill>
          </w14:textFill>
        </w:rPr>
        <w:object>
          <v:shape id="_x0000_i1030" o:spt="75" type="#_x0000_t75" style="height:17.25pt;width:14.25pt;" o:ole="t" filled="f" o:preferrelative="t" stroked="f" coordsize="21600,21600">
            <v:path/>
            <v:fill on="f" focussize="0,0"/>
            <v:stroke on="f" joinstyle="miter"/>
            <v:imagedata r:id="rId24" o:title=""/>
            <o:lock v:ext="edit" aspectratio="t"/>
            <w10:wrap type="none"/>
            <w10:anchorlock/>
          </v:shape>
          <o:OLEObject Type="Embed" ProgID="Equation.3" ShapeID="_x0000_i1030" DrawAspect="Content" ObjectID="_1468075730" r:id="rId23">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——全部扣款时合同累计完成金额达到签约合同价的比例。</w:t>
      </w:r>
    </w:p>
    <w:p w14:paraId="647793AD">
      <w:pPr>
        <w:ind w:firstLine="630" w:firstLineChars="3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10"/>
          <w:szCs w:val="21"/>
          <w:highlight w:val="none"/>
          <w14:textFill>
            <w14:solidFill>
              <w14:schemeClr w14:val="tx1"/>
            </w14:solidFill>
          </w14:textFill>
        </w:rPr>
        <w:object>
          <v:shape id="_x0000_i1031" o:spt="75" type="#_x0000_t75" style="height:17.25pt;width:12.75pt;" o:ole="t" filled="f" o:preferrelative="t" stroked="f" coordsize="21600,21600">
            <v:path/>
            <v:fill on="f" focussize="0,0"/>
            <v:stroke on="f" joinstyle="miter"/>
            <v:imagedata r:id="rId26" o:title=""/>
            <o:lock v:ext="edit" aspectratio="t"/>
            <w10:wrap type="none"/>
            <w10:anchorlock/>
          </v:shape>
          <o:OLEObject Type="Embed" ProgID="Equation.3" ShapeID="_x0000_i1031" DrawAspect="Content" ObjectID="_1468075731" r:id="rId25">
            <o:LockedField>false</o:LockedField>
          </o:OLEObject>
        </w:objec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——开始扣款时合同累计完成金额达到签约合同价的比例。</w:t>
      </w:r>
    </w:p>
    <w:p w14:paraId="5A694FA1">
      <w:pPr>
        <w:pStyle w:val="27"/>
        <w:ind w:left="840" w:firstLine="420" w:firstLineChars="20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上述合同累计完成金额均指价格调整前未扣质量保证金的金额。</w:t>
      </w:r>
    </w:p>
    <w:p w14:paraId="1520B007">
      <w:pPr>
        <w:autoSpaceDE w:val="0"/>
        <w:autoSpaceDN w:val="0"/>
        <w:adjustRightInd w:val="0"/>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17.3 工程进度款</w:t>
      </w:r>
    </w:p>
    <w:p w14:paraId="220DBC89">
      <w:pPr>
        <w:autoSpaceDE w:val="0"/>
        <w:autoSpaceDN w:val="0"/>
        <w:adjustRightInd w:val="0"/>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17.3.2进度付款申请单</w:t>
      </w:r>
    </w:p>
    <w:p w14:paraId="04068BE5">
      <w:pPr>
        <w:pStyle w:val="27"/>
        <w:ind w:left="840"/>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17.3.3进度付款证书和支付时间</w:t>
      </w:r>
    </w:p>
    <w:p w14:paraId="0A31858B">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删去本款全文，并代之以：</w:t>
      </w:r>
    </w:p>
    <w:p w14:paraId="28DCE590">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双方约定的工程进度款支付的方式和时间：按发包人和监理人审核的工程进度款的   %支付，其余   %在工程总体竣工验收完毕，其中各种竣工资料交清并归档后支付  %，其余经有关审计部门审计后，扣除工程结算价的  %作为质量保证金，一次付清。剩余  %的质保金待质保期满后，一次性支付。</w:t>
      </w:r>
    </w:p>
    <w:p w14:paraId="3D5F846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80" w:name="_Toc21396"/>
      <w:bookmarkStart w:id="1581" w:name="_Toc209499057"/>
      <w:bookmarkStart w:id="1582" w:name="_Toc244121945"/>
      <w:bookmarkStart w:id="1583" w:name="_Toc49124690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17.4 质量保证金</w:t>
      </w:r>
      <w:bookmarkEnd w:id="1580"/>
      <w:bookmarkEnd w:id="1581"/>
      <w:bookmarkEnd w:id="1582"/>
      <w:bookmarkEnd w:id="1583"/>
    </w:p>
    <w:p w14:paraId="14673B03">
      <w:pPr>
        <w:autoSpaceDE w:val="0"/>
        <w:autoSpaceDN w:val="0"/>
        <w:adjustRightInd w:val="0"/>
        <w:ind w:firstLine="525" w:firstLineChars="2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1584" w:name="_Toc761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17.4.1 删除本条，并代之以按</w:t>
      </w:r>
      <w:r>
        <w:rPr>
          <w:rFonts w:hint="eastAsia" w:asciiTheme="minorEastAsia" w:hAnsiTheme="minorEastAsia" w:eastAsiaTheme="minorEastAsia" w:cstheme="minorEastAsia"/>
          <w:color w:val="000000" w:themeColor="text1"/>
          <w:spacing w:val="-2"/>
          <w:szCs w:val="21"/>
          <w:highlight w:val="none"/>
          <w14:textFill>
            <w14:solidFill>
              <w14:schemeClr w14:val="tx1"/>
            </w14:solidFill>
          </w14:textFill>
        </w:rPr>
        <w:t>17.3.3款执行。</w:t>
      </w:r>
      <w:bookmarkEnd w:id="1584"/>
    </w:p>
    <w:p w14:paraId="574FA28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85" w:name="_Toc209499058"/>
      <w:bookmarkStart w:id="1586" w:name="_Toc201058968"/>
      <w:bookmarkStart w:id="1587" w:name="_Toc49124690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17.5 竣工（完工）结算</w:t>
      </w:r>
    </w:p>
    <w:p w14:paraId="251AF6FA">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w:t>
      </w:r>
      <w:bookmarkStart w:id="1588" w:name="_Toc276725167"/>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17.5.1竣工（完工）付款申请单</w:t>
      </w:r>
      <w:bookmarkEnd w:id="1588"/>
    </w:p>
    <w:p w14:paraId="168197CF">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（1）承包人应提交完工付款申请单一式</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份。</w:t>
      </w:r>
    </w:p>
    <w:p w14:paraId="04A9A28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89" w:name="_Toc25130"/>
      <w:bookmarkStart w:id="1590" w:name="_Toc26488171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 竣工验收</w:t>
      </w:r>
      <w:bookmarkEnd w:id="1589"/>
      <w:bookmarkEnd w:id="1590"/>
    </w:p>
    <w:p w14:paraId="7ACC4BE9">
      <w:pPr>
        <w:autoSpaceDE w:val="0"/>
        <w:autoSpaceDN w:val="0"/>
        <w:adjustRightInd w:val="0"/>
        <w:ind w:firstLine="422"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18．2．2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本条修改为：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bookmarkEnd w:id="1585"/>
    <w:bookmarkEnd w:id="1586"/>
    <w:bookmarkEnd w:id="1587"/>
    <w:p w14:paraId="0A891F10">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91" w:name="_Toc265955067"/>
      <w:bookmarkStart w:id="1592" w:name="_Toc30437"/>
      <w:bookmarkStart w:id="1593" w:name="_Toc265654012"/>
      <w:bookmarkStart w:id="1594" w:name="_Toc265954768"/>
      <w:bookmarkStart w:id="1595" w:name="_Toc244121947"/>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 缺陷责任与保修责任</w:t>
      </w:r>
      <w:bookmarkEnd w:id="1591"/>
      <w:bookmarkEnd w:id="1592"/>
      <w:bookmarkEnd w:id="1593"/>
      <w:bookmarkEnd w:id="1594"/>
      <w:bookmarkEnd w:id="1595"/>
    </w:p>
    <w:p w14:paraId="49794E34">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596" w:name="_Toc209499059"/>
      <w:bookmarkStart w:id="1597" w:name="_Toc244121948"/>
      <w:bookmarkStart w:id="1598" w:name="_Toc491246909"/>
      <w:bookmarkStart w:id="1599" w:name="_Toc19759"/>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19.1 缺陷责任期（工程质量保修期）</w:t>
      </w:r>
      <w:bookmarkEnd w:id="1596"/>
      <w:bookmarkEnd w:id="1597"/>
      <w:bookmarkEnd w:id="159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的起算时间</w:t>
      </w:r>
      <w:bookmarkEnd w:id="1599"/>
    </w:p>
    <w:p w14:paraId="4DB9ECDE">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本工程</w:t>
      </w:r>
      <w:bookmarkStart w:id="1600" w:name="_Toc209499060"/>
      <w:bookmarkStart w:id="1601" w:name="_Toc491246910"/>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缺陷责任期（工程质量保修期）的起算时间：自单位工程竣工验收合格移交之日起算。本工程保修期为   年。</w:t>
      </w:r>
    </w:p>
    <w:p w14:paraId="70C0E187">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602" w:name="_Toc265954769"/>
      <w:bookmarkStart w:id="1603" w:name="_Toc265955068"/>
      <w:bookmarkStart w:id="1604" w:name="_Toc265654013"/>
      <w:bookmarkStart w:id="1605" w:name="_Toc19218"/>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20 保险</w:t>
      </w:r>
      <w:bookmarkEnd w:id="1602"/>
      <w:bookmarkEnd w:id="1603"/>
      <w:bookmarkEnd w:id="1604"/>
      <w:bookmarkEnd w:id="1605"/>
    </w:p>
    <w:p w14:paraId="3298F2ED">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各方按相关规定购买，费用自理。</w:t>
      </w:r>
    </w:p>
    <w:p w14:paraId="30AC43BE">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需要投保的其它内容：</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无</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5BAF9B1A">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606" w:name="_Toc21651"/>
      <w:bookmarkStart w:id="1607" w:name="_Toc265955069"/>
      <w:bookmarkStart w:id="1608" w:name="_Toc265954770"/>
      <w:bookmarkStart w:id="1609" w:name="_Toc229450944"/>
      <w:bookmarkStart w:id="1610" w:name="_Toc223245882"/>
      <w:bookmarkStart w:id="1611" w:name="_Toc265654014"/>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 违约</w:t>
      </w:r>
      <w:bookmarkEnd w:id="1606"/>
      <w:bookmarkEnd w:id="1607"/>
      <w:bookmarkEnd w:id="1608"/>
      <w:bookmarkEnd w:id="1609"/>
      <w:bookmarkEnd w:id="1610"/>
      <w:bookmarkEnd w:id="1611"/>
    </w:p>
    <w:p w14:paraId="7ADE0E6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612" w:name="_Toc229450945"/>
      <w:bookmarkStart w:id="1613" w:name="_Toc223245883"/>
      <w:bookmarkStart w:id="1614" w:name="_Toc24136"/>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22.1 承包人违约</w:t>
      </w:r>
      <w:bookmarkEnd w:id="1612"/>
      <w:bookmarkEnd w:id="1613"/>
      <w:bookmarkEnd w:id="1614"/>
    </w:p>
    <w:p w14:paraId="33DC97EF">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本款增加以下内容：</w:t>
      </w:r>
    </w:p>
    <w:p w14:paraId="30BD7CF9">
      <w:pPr>
        <w:autoSpaceDE w:val="0"/>
        <w:autoSpaceDN w:val="0"/>
        <w:adjustRightInd w:val="0"/>
        <w:ind w:firstLine="42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bookmarkEnd w:id="1600"/>
    <w:bookmarkEnd w:id="1601"/>
    <w:p w14:paraId="70702B6E">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1615" w:name="_Toc265955070"/>
      <w:bookmarkStart w:id="1616" w:name="_Toc32626"/>
      <w:bookmarkStart w:id="1617" w:name="_Toc265654015"/>
      <w:bookmarkStart w:id="1618" w:name="_Toc265954771"/>
      <w:bookmarkStart w:id="1619" w:name="_Toc491246911"/>
      <w:bookmarkStart w:id="1620" w:name="_Toc209499061"/>
      <w:bookmarkStart w:id="1621" w:name="_Toc244121951"/>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 争议的解决</w:t>
      </w:r>
      <w:bookmarkEnd w:id="1615"/>
      <w:bookmarkEnd w:id="1616"/>
      <w:bookmarkEnd w:id="1617"/>
      <w:bookmarkEnd w:id="1618"/>
      <w:bookmarkEnd w:id="1619"/>
      <w:bookmarkEnd w:id="1620"/>
      <w:bookmarkEnd w:id="1621"/>
    </w:p>
    <w:p w14:paraId="1A3F0609">
      <w:pP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24.1 争议的解决方式</w:t>
      </w:r>
    </w:p>
    <w:p w14:paraId="7ED75079">
      <w:pPr>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本合同发生争议，由当事人双方协商解决；也可由工程项目主管部门调解；协商或调解不成时，当事人双方同意由仲裁委员会仲裁，提交工程所在地的仲裁委员会，依照仲裁规则裁决</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14:paraId="25371D8E">
      <w:pPr>
        <w:rPr>
          <w:color w:val="000000" w:themeColor="text1"/>
          <w:highlight w:val="none"/>
          <w14:textFill>
            <w14:solidFill>
              <w14:schemeClr w14:val="tx1"/>
            </w14:solidFill>
          </w14:textFill>
        </w:rPr>
      </w:pPr>
    </w:p>
    <w:p w14:paraId="4E75A42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2267423">
      <w:pPr>
        <w:pStyle w:val="2"/>
        <w:spacing w:before="120"/>
        <w:rPr>
          <w:color w:val="000000" w:themeColor="text1"/>
          <w:highlight w:val="none"/>
          <w14:textFill>
            <w14:solidFill>
              <w14:schemeClr w14:val="tx1"/>
            </w14:solidFill>
          </w14:textFill>
        </w:rPr>
      </w:pPr>
      <w:bookmarkStart w:id="1622" w:name="_Toc1236"/>
      <w:bookmarkStart w:id="1623" w:name="_Toc22201"/>
      <w:bookmarkStart w:id="1624" w:name="_Toc29346"/>
      <w:bookmarkStart w:id="1625" w:name="_Toc511"/>
      <w:bookmarkStart w:id="1626" w:name="_Toc228389602"/>
      <w:bookmarkStart w:id="1627" w:name="_Toc521660778"/>
      <w:r>
        <w:rPr>
          <w:rFonts w:hint="eastAsia"/>
          <w:color w:val="000000" w:themeColor="text1"/>
          <w:highlight w:val="none"/>
          <w14:textFill>
            <w14:solidFill>
              <w14:schemeClr w14:val="tx1"/>
            </w14:solidFill>
          </w14:textFill>
        </w:rPr>
        <w:t xml:space="preserve">第六章 </w:t>
      </w:r>
      <w:bookmarkEnd w:id="1622"/>
      <w:bookmarkEnd w:id="1623"/>
      <w:bookmarkEnd w:id="1624"/>
      <w:bookmarkEnd w:id="1625"/>
      <w:r>
        <w:rPr>
          <w:rFonts w:hint="eastAsia"/>
          <w:color w:val="000000" w:themeColor="text1"/>
          <w:highlight w:val="none"/>
          <w14:textFill>
            <w14:solidFill>
              <w14:schemeClr w14:val="tx1"/>
            </w14:solidFill>
          </w14:textFill>
        </w:rPr>
        <w:t xml:space="preserve"> 评审办法</w:t>
      </w:r>
      <w:bookmarkEnd w:id="1626"/>
    </w:p>
    <w:p w14:paraId="684216A3">
      <w:pPr>
        <w:pStyle w:val="3"/>
        <w:rPr>
          <w:color w:val="000000" w:themeColor="text1"/>
          <w:highlight w:val="none"/>
          <w14:textFill>
            <w14:solidFill>
              <w14:schemeClr w14:val="tx1"/>
            </w14:solidFill>
          </w14:textFill>
        </w:rPr>
      </w:pPr>
      <w:bookmarkStart w:id="1628" w:name="_Toc427306821"/>
      <w:bookmarkStart w:id="1629" w:name="_Toc427339196"/>
      <w:bookmarkStart w:id="1630" w:name="_Toc25062"/>
      <w:bookmarkStart w:id="1631" w:name="_Toc18553"/>
      <w:bookmarkStart w:id="1632" w:name="_Toc8687"/>
      <w:bookmarkStart w:id="1633" w:name="_Toc348011981"/>
      <w:bookmarkStart w:id="1634" w:name="_Toc7315"/>
      <w:bookmarkStart w:id="1635" w:name="_Toc228389603"/>
      <w:bookmarkStart w:id="1636" w:name="_Toc4856"/>
      <w:bookmarkStart w:id="1637" w:name="_Toc21789"/>
      <w:bookmarkStart w:id="1638" w:name="_Toc373844202"/>
      <w:bookmarkStart w:id="1639" w:name="_Toc85786003"/>
      <w:bookmarkStart w:id="1640" w:name="_Toc14568"/>
      <w:bookmarkStart w:id="1641" w:name="_Toc29860"/>
      <w:r>
        <w:rPr>
          <w:rFonts w:hint="eastAsia"/>
          <w:color w:val="000000" w:themeColor="text1"/>
          <w:highlight w:val="none"/>
          <w14:textFill>
            <w14:solidFill>
              <w14:schemeClr w14:val="tx1"/>
            </w14:solidFill>
          </w14:textFill>
        </w:rPr>
        <w:t>评审办法前附表</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p>
    <w:tbl>
      <w:tblPr>
        <w:tblStyle w:val="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57" w:type="dxa"/>
          <w:left w:w="108" w:type="dxa"/>
          <w:bottom w:w="57" w:type="dxa"/>
          <w:right w:w="108" w:type="dxa"/>
        </w:tblCellMar>
      </w:tblPr>
      <w:tblGrid>
        <w:gridCol w:w="741"/>
        <w:gridCol w:w="1345"/>
        <w:gridCol w:w="716"/>
        <w:gridCol w:w="1438"/>
        <w:gridCol w:w="5614"/>
      </w:tblGrid>
      <w:tr w14:paraId="739B2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Align w:val="center"/>
          </w:tcPr>
          <w:p w14:paraId="4A6B66B2">
            <w:pPr>
              <w:spacing w:line="240" w:lineRule="auto"/>
              <w:jc w:val="center"/>
              <w:rPr>
                <w:rFonts w:hint="eastAsia" w:ascii="宋体" w:hAnsi="宋体" w:cs="宋体"/>
                <w:b/>
                <w:bCs/>
                <w:color w:val="000000" w:themeColor="text1"/>
                <w:szCs w:val="21"/>
                <w:highlight w:val="none"/>
                <w14:textFill>
                  <w14:solidFill>
                    <w14:schemeClr w14:val="tx1"/>
                  </w14:solidFill>
                </w14:textFill>
              </w:rPr>
            </w:pPr>
            <w:bookmarkStart w:id="1642" w:name="_Toc24538"/>
            <w:bookmarkStart w:id="1643" w:name="_Toc29468"/>
            <w:bookmarkStart w:id="1644" w:name="_Toc30828"/>
            <w:bookmarkStart w:id="1645" w:name="_Toc23946"/>
            <w:bookmarkStart w:id="1646" w:name="_Toc514079120"/>
            <w:bookmarkStart w:id="1647" w:name="_Toc438823483"/>
            <w:bookmarkStart w:id="1648" w:name="_Toc18217"/>
            <w:bookmarkStart w:id="1649" w:name="_Toc12879"/>
            <w:bookmarkStart w:id="1650" w:name="_Toc9071"/>
            <w:bookmarkStart w:id="1651" w:name="_Toc2450"/>
            <w:bookmarkStart w:id="1652" w:name="_Toc22292"/>
            <w:r>
              <w:rPr>
                <w:rFonts w:hint="eastAsia" w:ascii="宋体" w:hAnsi="宋体" w:cs="宋体"/>
                <w:b/>
                <w:bCs/>
                <w:color w:val="000000" w:themeColor="text1"/>
                <w:szCs w:val="21"/>
                <w:highlight w:val="none"/>
                <w14:textFill>
                  <w14:solidFill>
                    <w14:schemeClr w14:val="tx1"/>
                  </w14:solidFill>
                </w14:textFill>
              </w:rPr>
              <w:t>条款号</w:t>
            </w:r>
          </w:p>
        </w:tc>
        <w:tc>
          <w:tcPr>
            <w:tcW w:w="2154" w:type="dxa"/>
            <w:gridSpan w:val="2"/>
            <w:vAlign w:val="center"/>
          </w:tcPr>
          <w:p w14:paraId="154FA1B2">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 审 因 素</w:t>
            </w:r>
          </w:p>
        </w:tc>
        <w:tc>
          <w:tcPr>
            <w:tcW w:w="5614" w:type="dxa"/>
            <w:vAlign w:val="center"/>
          </w:tcPr>
          <w:p w14:paraId="2AFAD3C6">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 审 标 准</w:t>
            </w:r>
          </w:p>
        </w:tc>
      </w:tr>
      <w:tr w14:paraId="2C922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restart"/>
            <w:vAlign w:val="center"/>
          </w:tcPr>
          <w:p w14:paraId="238A0DCF">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w:t>
            </w:r>
          </w:p>
        </w:tc>
        <w:tc>
          <w:tcPr>
            <w:tcW w:w="1345" w:type="dxa"/>
            <w:vMerge w:val="restart"/>
            <w:vAlign w:val="center"/>
          </w:tcPr>
          <w:p w14:paraId="024083F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资格评审标准</w:t>
            </w:r>
          </w:p>
        </w:tc>
        <w:tc>
          <w:tcPr>
            <w:tcW w:w="2154" w:type="dxa"/>
            <w:gridSpan w:val="2"/>
            <w:vAlign w:val="center"/>
          </w:tcPr>
          <w:p w14:paraId="00132BF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具有独立承担民事责任的能力</w:t>
            </w:r>
          </w:p>
        </w:tc>
        <w:tc>
          <w:tcPr>
            <w:tcW w:w="5614" w:type="dxa"/>
            <w:vAlign w:val="center"/>
          </w:tcPr>
          <w:p w14:paraId="7A8A7407">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26C27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7D8D3F0B">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2EB87F16">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76F02CA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具有健全的财务会计制度</w:t>
            </w:r>
          </w:p>
        </w:tc>
        <w:tc>
          <w:tcPr>
            <w:tcW w:w="5614" w:type="dxa"/>
            <w:vAlign w:val="center"/>
          </w:tcPr>
          <w:p w14:paraId="76EE15AD">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22074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0D440357">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0540D882">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23BE93AC">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具有履行合同所必需的设备和专业技术能力</w:t>
            </w:r>
          </w:p>
        </w:tc>
        <w:tc>
          <w:tcPr>
            <w:tcW w:w="5614" w:type="dxa"/>
            <w:vAlign w:val="center"/>
          </w:tcPr>
          <w:p w14:paraId="6133F9E9">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5277D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0BC7899E">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00F723EE">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242A1769">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有依法缴纳税收和社会保障资金的良好记录</w:t>
            </w:r>
          </w:p>
        </w:tc>
        <w:tc>
          <w:tcPr>
            <w:tcW w:w="5614" w:type="dxa"/>
            <w:vAlign w:val="center"/>
          </w:tcPr>
          <w:p w14:paraId="7DD0E897">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4F80C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5BBAB72A">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2511A7F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3165832D">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参加政府采购活动前三年内，在经营活动中没有重大违法记录</w:t>
            </w:r>
          </w:p>
        </w:tc>
        <w:tc>
          <w:tcPr>
            <w:tcW w:w="5614" w:type="dxa"/>
            <w:vAlign w:val="center"/>
          </w:tcPr>
          <w:p w14:paraId="1E66240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4B068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1ABA67DB">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7C2EF952">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311FCAE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具有良好的商业信誉</w:t>
            </w:r>
          </w:p>
        </w:tc>
        <w:tc>
          <w:tcPr>
            <w:tcW w:w="5614" w:type="dxa"/>
            <w:vAlign w:val="center"/>
          </w:tcPr>
          <w:p w14:paraId="2BB7F389">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6F612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554F0A95">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5455D224">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7B6B8B03">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单位负责人为同一人或者存在直接控股、管理关系的不同供应商，不得参加同一合同项下的政府采购活动</w:t>
            </w:r>
          </w:p>
        </w:tc>
        <w:tc>
          <w:tcPr>
            <w:tcW w:w="5614" w:type="dxa"/>
            <w:vAlign w:val="center"/>
          </w:tcPr>
          <w:p w14:paraId="67C0ED6B">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7CE56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7C4E059B">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583A05D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44FDFC2A">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落实政府采购政策需满足的资格要求</w:t>
            </w:r>
          </w:p>
        </w:tc>
        <w:tc>
          <w:tcPr>
            <w:tcW w:w="5614" w:type="dxa"/>
            <w:vAlign w:val="center"/>
          </w:tcPr>
          <w:p w14:paraId="5EBFBDE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供应商应为中小企业，提供《中小企业声明函》。</w:t>
            </w:r>
          </w:p>
        </w:tc>
      </w:tr>
      <w:tr w14:paraId="7848E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07C5C9CF">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49DBCBC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16" w:type="dxa"/>
            <w:vMerge w:val="restart"/>
            <w:vAlign w:val="center"/>
          </w:tcPr>
          <w:p w14:paraId="1024CF3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特定资格要求</w:t>
            </w:r>
          </w:p>
        </w:tc>
        <w:tc>
          <w:tcPr>
            <w:tcW w:w="1438" w:type="dxa"/>
            <w:vAlign w:val="center"/>
          </w:tcPr>
          <w:p w14:paraId="6F2DF62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资质要求</w:t>
            </w:r>
          </w:p>
        </w:tc>
        <w:tc>
          <w:tcPr>
            <w:tcW w:w="5614" w:type="dxa"/>
            <w:vAlign w:val="center"/>
          </w:tcPr>
          <w:p w14:paraId="5148FE19">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5D7E5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20C4BC94">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36833B54">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16" w:type="dxa"/>
            <w:vMerge w:val="continue"/>
            <w:vAlign w:val="center"/>
          </w:tcPr>
          <w:p w14:paraId="6387DCE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38" w:type="dxa"/>
            <w:vAlign w:val="center"/>
          </w:tcPr>
          <w:p w14:paraId="6E319BFF">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项目经理</w:t>
            </w:r>
          </w:p>
        </w:tc>
        <w:tc>
          <w:tcPr>
            <w:tcW w:w="5614" w:type="dxa"/>
            <w:vAlign w:val="center"/>
          </w:tcPr>
          <w:p w14:paraId="003A73EF">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2D8C7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534381D1">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5FD7FEB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16" w:type="dxa"/>
            <w:vMerge w:val="continue"/>
            <w:vAlign w:val="center"/>
          </w:tcPr>
          <w:p w14:paraId="7C53EA34">
            <w:pPr>
              <w:spacing w:line="240" w:lineRule="auto"/>
              <w:rPr>
                <w:rFonts w:hint="eastAsia" w:ascii="宋体" w:hAnsi="宋体" w:cs="宋体"/>
                <w:color w:val="000000" w:themeColor="text1"/>
                <w:szCs w:val="21"/>
                <w:highlight w:val="none"/>
                <w14:textFill>
                  <w14:solidFill>
                    <w14:schemeClr w14:val="tx1"/>
                  </w14:solidFill>
                </w14:textFill>
              </w:rPr>
            </w:pPr>
          </w:p>
        </w:tc>
        <w:tc>
          <w:tcPr>
            <w:tcW w:w="1438" w:type="dxa"/>
            <w:vAlign w:val="center"/>
          </w:tcPr>
          <w:p w14:paraId="3A4CB56B">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技术负责人</w:t>
            </w:r>
          </w:p>
        </w:tc>
        <w:tc>
          <w:tcPr>
            <w:tcW w:w="5614" w:type="dxa"/>
            <w:vAlign w:val="center"/>
          </w:tcPr>
          <w:p w14:paraId="2BD88C5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详见第二章“供应商须知前附表”1.4.1供应商资格条件</w:t>
            </w:r>
          </w:p>
        </w:tc>
      </w:tr>
      <w:tr w14:paraId="0EFA8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536" w:hRule="atLeast"/>
          <w:jc w:val="center"/>
        </w:trPr>
        <w:tc>
          <w:tcPr>
            <w:tcW w:w="0" w:type="auto"/>
            <w:vMerge w:val="restart"/>
            <w:vAlign w:val="center"/>
          </w:tcPr>
          <w:p w14:paraId="00C366E4">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2.1.2</w:t>
            </w:r>
          </w:p>
        </w:tc>
        <w:tc>
          <w:tcPr>
            <w:tcW w:w="1345" w:type="dxa"/>
            <w:vMerge w:val="restart"/>
            <w:vAlign w:val="center"/>
          </w:tcPr>
          <w:p w14:paraId="634EDEE4">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符合性评审标准</w:t>
            </w:r>
          </w:p>
        </w:tc>
        <w:tc>
          <w:tcPr>
            <w:tcW w:w="2154" w:type="dxa"/>
            <w:gridSpan w:val="2"/>
            <w:vAlign w:val="center"/>
          </w:tcPr>
          <w:p w14:paraId="63C9B52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响应文件格式</w:t>
            </w:r>
          </w:p>
        </w:tc>
        <w:tc>
          <w:tcPr>
            <w:tcW w:w="5614" w:type="dxa"/>
            <w:vAlign w:val="center"/>
          </w:tcPr>
          <w:p w14:paraId="4C37AD27">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符合第七章“响应文件格式”的要求</w:t>
            </w:r>
          </w:p>
        </w:tc>
      </w:tr>
      <w:tr w14:paraId="199F5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618" w:hRule="atLeast"/>
          <w:jc w:val="center"/>
        </w:trPr>
        <w:tc>
          <w:tcPr>
            <w:tcW w:w="0" w:type="auto"/>
            <w:vMerge w:val="continue"/>
            <w:vAlign w:val="center"/>
          </w:tcPr>
          <w:p w14:paraId="3B354E99">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071527FD">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51ABD7AC">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签字、盖章要求</w:t>
            </w:r>
          </w:p>
        </w:tc>
        <w:tc>
          <w:tcPr>
            <w:tcW w:w="5614" w:type="dxa"/>
            <w:vAlign w:val="center"/>
          </w:tcPr>
          <w:p w14:paraId="487DB541">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符合竞争性磋商文件的规定，在竞争性磋商文件要求签字盖章处签字盖章。</w:t>
            </w:r>
          </w:p>
        </w:tc>
      </w:tr>
      <w:tr w14:paraId="6CDBF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615" w:hRule="atLeast"/>
          <w:jc w:val="center"/>
        </w:trPr>
        <w:tc>
          <w:tcPr>
            <w:tcW w:w="0" w:type="auto"/>
            <w:vMerge w:val="continue"/>
            <w:vAlign w:val="center"/>
          </w:tcPr>
          <w:p w14:paraId="117E66E7">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393E5BCC">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28547D93">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合同履行期限</w:t>
            </w:r>
          </w:p>
        </w:tc>
        <w:tc>
          <w:tcPr>
            <w:tcW w:w="5614" w:type="dxa"/>
            <w:vAlign w:val="center"/>
          </w:tcPr>
          <w:p w14:paraId="4C62296C">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符合第二章“供应商须知前附表”规定</w:t>
            </w:r>
          </w:p>
        </w:tc>
      </w:tr>
      <w:tr w14:paraId="65C03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514" w:hRule="atLeast"/>
          <w:jc w:val="center"/>
        </w:trPr>
        <w:tc>
          <w:tcPr>
            <w:tcW w:w="0" w:type="auto"/>
            <w:vMerge w:val="continue"/>
            <w:vAlign w:val="center"/>
          </w:tcPr>
          <w:p w14:paraId="4D997171">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12A1E614">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68044190">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质量要求</w:t>
            </w:r>
          </w:p>
        </w:tc>
        <w:tc>
          <w:tcPr>
            <w:tcW w:w="5614" w:type="dxa"/>
            <w:vAlign w:val="center"/>
          </w:tcPr>
          <w:p w14:paraId="06542947">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符合第二章“供应商须知前附表”规定</w:t>
            </w:r>
          </w:p>
        </w:tc>
      </w:tr>
      <w:tr w14:paraId="38F08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06" w:hRule="atLeast"/>
          <w:jc w:val="center"/>
        </w:trPr>
        <w:tc>
          <w:tcPr>
            <w:tcW w:w="0" w:type="auto"/>
            <w:vMerge w:val="continue"/>
            <w:vAlign w:val="center"/>
          </w:tcPr>
          <w:p w14:paraId="19B8618B">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5182DCE0">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24604CE0">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w:t>
            </w:r>
          </w:p>
        </w:tc>
        <w:tc>
          <w:tcPr>
            <w:tcW w:w="5614" w:type="dxa"/>
            <w:vAlign w:val="center"/>
          </w:tcPr>
          <w:p w14:paraId="1D71FC80">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w:t>
            </w:r>
            <w:r>
              <w:rPr>
                <w:rFonts w:ascii="宋体" w:hAnsi="宋体" w:cs="宋体"/>
                <w:color w:val="000000" w:themeColor="text1"/>
                <w:szCs w:val="21"/>
                <w:highlight w:val="none"/>
                <w14:textFill>
                  <w14:solidFill>
                    <w14:schemeClr w14:val="tx1"/>
                  </w14:solidFill>
                </w14:textFill>
              </w:rPr>
              <w:t>报价方式</w:t>
            </w:r>
            <w:r>
              <w:rPr>
                <w:rFonts w:hint="eastAsia" w:ascii="宋体" w:hAnsi="宋体" w:cs="宋体"/>
                <w:color w:val="000000" w:themeColor="text1"/>
                <w:szCs w:val="21"/>
                <w:highlight w:val="none"/>
                <w14:textFill>
                  <w14:solidFill>
                    <w14:schemeClr w14:val="tx1"/>
                  </w14:solidFill>
                </w14:textFill>
              </w:rPr>
              <w:t>符合磋商文件要求，只有一个有效报价且响应报价未超过最高限价。</w:t>
            </w:r>
          </w:p>
        </w:tc>
      </w:tr>
      <w:tr w14:paraId="73148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7F63ABB0">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2DBE8AAE">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01DB05EA">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磋商有效期</w:t>
            </w:r>
          </w:p>
        </w:tc>
        <w:tc>
          <w:tcPr>
            <w:tcW w:w="5614" w:type="dxa"/>
            <w:vAlign w:val="center"/>
          </w:tcPr>
          <w:p w14:paraId="4A7E872C">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符合第二章“供应商须知前附表”规定</w:t>
            </w:r>
          </w:p>
        </w:tc>
      </w:tr>
      <w:tr w14:paraId="7C511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748F8D1E">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4225A8AA">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39C469D5">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实质性条件</w:t>
            </w:r>
          </w:p>
        </w:tc>
        <w:tc>
          <w:tcPr>
            <w:tcW w:w="5614" w:type="dxa"/>
            <w:vAlign w:val="center"/>
          </w:tcPr>
          <w:p w14:paraId="3F1CF5AF">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未实质性响应磋商文件明确规定的；</w:t>
            </w:r>
          </w:p>
          <w:p w14:paraId="550A043A">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未按规定的格式填写，内容不全或关键内容存在“模糊、无法辨认” 的情况。</w:t>
            </w:r>
          </w:p>
        </w:tc>
      </w:tr>
      <w:tr w14:paraId="67415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0" w:type="auto"/>
            <w:vMerge w:val="continue"/>
            <w:vAlign w:val="center"/>
          </w:tcPr>
          <w:p w14:paraId="4D7D7DB7">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624CC5F2">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3652C76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w:t>
            </w:r>
          </w:p>
        </w:tc>
        <w:tc>
          <w:tcPr>
            <w:tcW w:w="5614" w:type="dxa"/>
            <w:vAlign w:val="center"/>
          </w:tcPr>
          <w:p w14:paraId="20B8A93D">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响应文件不符合磋商文件约定的其他情形或附有采购人不能接受的条件或不符合法律、法规和磋商文件中规定的其他实质性要求的。</w:t>
            </w:r>
          </w:p>
        </w:tc>
      </w:tr>
      <w:tr w14:paraId="6BD2D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Align w:val="center"/>
          </w:tcPr>
          <w:p w14:paraId="50778014">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条款号</w:t>
            </w:r>
          </w:p>
        </w:tc>
        <w:tc>
          <w:tcPr>
            <w:tcW w:w="2154" w:type="dxa"/>
            <w:gridSpan w:val="2"/>
            <w:vAlign w:val="center"/>
          </w:tcPr>
          <w:p w14:paraId="137969AB">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条款内容</w:t>
            </w:r>
          </w:p>
        </w:tc>
        <w:tc>
          <w:tcPr>
            <w:tcW w:w="5614" w:type="dxa"/>
            <w:vAlign w:val="center"/>
          </w:tcPr>
          <w:p w14:paraId="33D775E7">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编列内容</w:t>
            </w:r>
          </w:p>
        </w:tc>
      </w:tr>
      <w:tr w14:paraId="5EC3A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Merge w:val="restart"/>
            <w:vAlign w:val="center"/>
          </w:tcPr>
          <w:p w14:paraId="134B4DF1">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w:t>
            </w:r>
          </w:p>
        </w:tc>
        <w:tc>
          <w:tcPr>
            <w:tcW w:w="2154" w:type="dxa"/>
            <w:gridSpan w:val="2"/>
            <w:vMerge w:val="restart"/>
            <w:vAlign w:val="center"/>
          </w:tcPr>
          <w:p w14:paraId="4AF9D75D">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分值构成</w:t>
            </w:r>
          </w:p>
          <w:p w14:paraId="6DC7E931">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（满分100分）</w:t>
            </w:r>
          </w:p>
        </w:tc>
        <w:tc>
          <w:tcPr>
            <w:tcW w:w="5614" w:type="dxa"/>
            <w:vAlign w:val="center"/>
          </w:tcPr>
          <w:p w14:paraId="2949F7E9">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供应商的评审总得分＝F1＋F2其中：</w:t>
            </w:r>
          </w:p>
          <w:p w14:paraId="15B869E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①F1、F2分别为响应报价部分、技术商务部分2项评分因素的汇总得分；</w:t>
            </w:r>
          </w:p>
        </w:tc>
      </w:tr>
      <w:tr w14:paraId="46800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Merge w:val="continue"/>
            <w:vAlign w:val="center"/>
          </w:tcPr>
          <w:p w14:paraId="141C10B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154" w:type="dxa"/>
            <w:gridSpan w:val="2"/>
            <w:vMerge w:val="continue"/>
            <w:vAlign w:val="center"/>
          </w:tcPr>
          <w:p w14:paraId="13BA5EA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5614" w:type="dxa"/>
            <w:vAlign w:val="center"/>
          </w:tcPr>
          <w:p w14:paraId="6FCCFCA9">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响应报价部分F1为30分 。</w:t>
            </w:r>
          </w:p>
          <w:p w14:paraId="2605C5C0">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技术商务部分F2为70分。</w:t>
            </w:r>
          </w:p>
        </w:tc>
      </w:tr>
      <w:tr w14:paraId="2F6FD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Align w:val="center"/>
          </w:tcPr>
          <w:p w14:paraId="39CD1C77">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w:t>
            </w:r>
          </w:p>
        </w:tc>
        <w:tc>
          <w:tcPr>
            <w:tcW w:w="2154" w:type="dxa"/>
            <w:gridSpan w:val="2"/>
            <w:vAlign w:val="center"/>
          </w:tcPr>
          <w:p w14:paraId="0CC9DF6B">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磋商基准价</w:t>
            </w:r>
          </w:p>
        </w:tc>
        <w:tc>
          <w:tcPr>
            <w:tcW w:w="5614" w:type="dxa"/>
            <w:vAlign w:val="center"/>
          </w:tcPr>
          <w:p w14:paraId="378CCBB6">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满足竞争性磋商文件要求且最终报价最低的供应商的价格为磋商基准价。</w:t>
            </w:r>
          </w:p>
        </w:tc>
      </w:tr>
      <w:tr w14:paraId="78987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2086" w:type="dxa"/>
            <w:gridSpan w:val="2"/>
            <w:vAlign w:val="center"/>
          </w:tcPr>
          <w:p w14:paraId="7064BEB6">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条款号</w:t>
            </w:r>
          </w:p>
        </w:tc>
        <w:tc>
          <w:tcPr>
            <w:tcW w:w="2154" w:type="dxa"/>
            <w:gridSpan w:val="2"/>
            <w:vAlign w:val="center"/>
          </w:tcPr>
          <w:p w14:paraId="63F531CB">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评分因素</w:t>
            </w:r>
          </w:p>
        </w:tc>
        <w:tc>
          <w:tcPr>
            <w:tcW w:w="5614" w:type="dxa"/>
            <w:vAlign w:val="center"/>
          </w:tcPr>
          <w:p w14:paraId="50842551">
            <w:pPr>
              <w:spacing w:line="24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评分标准</w:t>
            </w:r>
          </w:p>
        </w:tc>
      </w:tr>
      <w:tr w14:paraId="3F5F1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1134" w:hRule="atLeast"/>
          <w:jc w:val="center"/>
        </w:trPr>
        <w:tc>
          <w:tcPr>
            <w:tcW w:w="741" w:type="dxa"/>
            <w:vAlign w:val="center"/>
          </w:tcPr>
          <w:p w14:paraId="0BED4B51">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2.2.3（1）</w:t>
            </w:r>
          </w:p>
        </w:tc>
        <w:tc>
          <w:tcPr>
            <w:tcW w:w="3499" w:type="dxa"/>
            <w:gridSpan w:val="3"/>
            <w:vAlign w:val="center"/>
          </w:tcPr>
          <w:p w14:paraId="296F1B4C">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响应报价部分F1评分标准（30分）</w:t>
            </w:r>
          </w:p>
        </w:tc>
        <w:tc>
          <w:tcPr>
            <w:tcW w:w="5614" w:type="dxa"/>
            <w:vAlign w:val="center"/>
          </w:tcPr>
          <w:p w14:paraId="26770748">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磋商报价得分=（磋商基准价/最后磋商报价）×100*0.3</w:t>
            </w:r>
          </w:p>
        </w:tc>
      </w:tr>
      <w:tr w14:paraId="75969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875" w:hRule="atLeast"/>
          <w:jc w:val="center"/>
        </w:trPr>
        <w:tc>
          <w:tcPr>
            <w:tcW w:w="741" w:type="dxa"/>
            <w:vMerge w:val="restart"/>
            <w:vAlign w:val="center"/>
          </w:tcPr>
          <w:p w14:paraId="3D50AFB6">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2.2.3（2）</w:t>
            </w:r>
          </w:p>
        </w:tc>
        <w:tc>
          <w:tcPr>
            <w:tcW w:w="1345" w:type="dxa"/>
            <w:vMerge w:val="restart"/>
            <w:vAlign w:val="center"/>
          </w:tcPr>
          <w:p w14:paraId="5B71B3DB">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技术商务 部分F2评分标准（70分）</w:t>
            </w:r>
          </w:p>
        </w:tc>
        <w:tc>
          <w:tcPr>
            <w:tcW w:w="2154" w:type="dxa"/>
            <w:gridSpan w:val="2"/>
            <w:vAlign w:val="center"/>
          </w:tcPr>
          <w:p w14:paraId="340DB120">
            <w:pPr>
              <w:adjustRightInd w:val="0"/>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施工方案与技术措施（满分10）</w:t>
            </w:r>
          </w:p>
        </w:tc>
        <w:tc>
          <w:tcPr>
            <w:tcW w:w="5614" w:type="dxa"/>
            <w:vAlign w:val="center"/>
          </w:tcPr>
          <w:p w14:paraId="0C50E6EE">
            <w:pPr>
              <w:adjustRightInd w:val="0"/>
              <w:snapToGrid w:val="0"/>
              <w:spacing w:line="276"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olor w:val="000000" w:themeColor="text1"/>
                <w:kern w:val="0"/>
                <w:szCs w:val="21"/>
                <w:highlight w:val="none"/>
                <w14:textFill>
                  <w14:solidFill>
                    <w14:schemeClr w14:val="tx1"/>
                  </w14:solidFill>
                </w14:textFill>
              </w:rPr>
              <w:t>对项目总体概况表述清晰、完整；部署及措施先进、可靠；对项目主要及关键方案有深入的表述，对重点、难点分析透彻，解决方案切实可行；符合环保、安全、文明生产要求。</w:t>
            </w:r>
          </w:p>
          <w:p w14:paraId="16B7E4D2">
            <w:pPr>
              <w:adjustRightInd w:val="0"/>
              <w:snapToGrid w:val="0"/>
              <w:spacing w:line="276"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olor w:val="000000" w:themeColor="text1"/>
                <w:kern w:val="0"/>
                <w:szCs w:val="21"/>
                <w:highlight w:val="none"/>
                <w14:textFill>
                  <w14:solidFill>
                    <w14:schemeClr w14:val="tx1"/>
                  </w14:solidFill>
                </w14:textFill>
              </w:rPr>
              <w:t>对项目总体概况、部署及措施表述较清晰、完整；对项目主要及关键方案有表述，对项目重点、难点的解决方案可行;符合环保、安全、文明生产要求。</w:t>
            </w:r>
          </w:p>
          <w:p w14:paraId="27D21426">
            <w:pPr>
              <w:adjustRightInd w:val="0"/>
              <w:snapToGrid w:val="0"/>
              <w:spacing w:line="276"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olor w:val="000000" w:themeColor="text1"/>
                <w:kern w:val="0"/>
                <w:szCs w:val="21"/>
                <w:highlight w:val="none"/>
                <w14:textFill>
                  <w14:solidFill>
                    <w14:schemeClr w14:val="tx1"/>
                  </w14:solidFill>
                </w14:textFill>
              </w:rPr>
              <w:t>对项目总体概况表述不够清晰；部署及措施不够具体；对项目主要及关键方案表述不够清晰。</w:t>
            </w:r>
          </w:p>
          <w:p w14:paraId="33A796C7">
            <w:pPr>
              <w:adjustRightInd w:val="0"/>
              <w:snapToGrid w:val="0"/>
              <w:spacing w:line="276"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第四档（4分）：</w:t>
            </w:r>
            <w:r>
              <w:rPr>
                <w:rFonts w:hint="eastAsia" w:ascii="宋体" w:hAnsi="宋体"/>
                <w:color w:val="000000" w:themeColor="text1"/>
                <w:kern w:val="0"/>
                <w:szCs w:val="21"/>
                <w:highlight w:val="none"/>
                <w14:textFill>
                  <w14:solidFill>
                    <w14:schemeClr w14:val="tx1"/>
                  </w14:solidFill>
                </w14:textFill>
              </w:rPr>
              <w:t>对项目总体概况表述差；部署及措施差；对项目主要及关键方案表述差。</w:t>
            </w:r>
          </w:p>
          <w:p w14:paraId="415BB0B3">
            <w:pPr>
              <w:adjustRightInd w:val="0"/>
              <w:snapToGrid w:val="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29C72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2782" w:hRule="atLeast"/>
          <w:jc w:val="center"/>
        </w:trPr>
        <w:tc>
          <w:tcPr>
            <w:tcW w:w="741" w:type="dxa"/>
            <w:vMerge w:val="continue"/>
            <w:vAlign w:val="center"/>
          </w:tcPr>
          <w:p w14:paraId="2CB99195">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6612CE14">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7A78C402">
            <w:pPr>
              <w:adjustRightInd w:val="0"/>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质量管理体系与措施（满分10分）</w:t>
            </w:r>
          </w:p>
        </w:tc>
        <w:tc>
          <w:tcPr>
            <w:tcW w:w="5614" w:type="dxa"/>
            <w:vAlign w:val="center"/>
          </w:tcPr>
          <w:p w14:paraId="06046C67">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s="宋体"/>
                <w:color w:val="000000" w:themeColor="text1"/>
                <w:kern w:val="0"/>
                <w:szCs w:val="21"/>
                <w:highlight w:val="none"/>
                <w14:textFill>
                  <w14:solidFill>
                    <w14:schemeClr w14:val="tx1"/>
                  </w14:solidFill>
                </w14:textFill>
              </w:rPr>
              <w:t>质量管理目标；管理机构健全，职责分工明确；管理制度齐全；实施与监控措施全面、有效。</w:t>
            </w:r>
          </w:p>
          <w:p w14:paraId="72BF5FA4">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s="宋体"/>
                <w:color w:val="000000" w:themeColor="text1"/>
                <w:kern w:val="0"/>
                <w:szCs w:val="21"/>
                <w:highlight w:val="none"/>
                <w14:textFill>
                  <w14:solidFill>
                    <w14:schemeClr w14:val="tx1"/>
                  </w14:solidFill>
                </w14:textFill>
              </w:rPr>
              <w:t>质量管理目标；管理机构健全，职责分工较明确，管理制度较齐全，实施与监控措施较完整。</w:t>
            </w:r>
          </w:p>
          <w:p w14:paraId="32C50792">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s="宋体"/>
                <w:color w:val="000000" w:themeColor="text1"/>
                <w:kern w:val="0"/>
                <w:szCs w:val="21"/>
                <w:highlight w:val="none"/>
                <w14:textFill>
                  <w14:solidFill>
                    <w14:schemeClr w14:val="tx1"/>
                  </w14:solidFill>
                </w14:textFill>
              </w:rPr>
              <w:t>质量管理目标；管理机构基本健全，职责分工基本明确，管理制度基本齐全，实施与监控措施基本完整。</w:t>
            </w:r>
          </w:p>
          <w:p w14:paraId="15152C20">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第四档（4分）：</w:t>
            </w:r>
            <w:r>
              <w:rPr>
                <w:rFonts w:hint="eastAsia" w:ascii="宋体" w:hAnsi="宋体" w:cs="宋体"/>
                <w:color w:val="000000" w:themeColor="text1"/>
                <w:kern w:val="0"/>
                <w:szCs w:val="21"/>
                <w:highlight w:val="none"/>
                <w14:textFill>
                  <w14:solidFill>
                    <w14:schemeClr w14:val="tx1"/>
                  </w14:solidFill>
                </w14:textFill>
              </w:rPr>
              <w:t>质量管理目标；管理机构基本健全，职责分工不明确，管理制度不齐全，实施与监控措施不完整。</w:t>
            </w:r>
          </w:p>
          <w:p w14:paraId="4BC04295">
            <w:pPr>
              <w:adjustRightInd w:val="0"/>
              <w:snapToGrid w:val="0"/>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33BA8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741" w:type="dxa"/>
            <w:vMerge w:val="continue"/>
            <w:vAlign w:val="center"/>
          </w:tcPr>
          <w:p w14:paraId="57275458">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1ADB9813">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7565DE27">
            <w:pPr>
              <w:adjustRightInd w:val="0"/>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安全管理体系与措施</w:t>
            </w:r>
            <w:r>
              <w:rPr>
                <w:rFonts w:ascii="宋体" w:hAnsi="宋体"/>
                <w:b/>
                <w:bCs/>
                <w:color w:val="000000" w:themeColor="text1"/>
                <w:kern w:val="0"/>
                <w:szCs w:val="21"/>
                <w:highlight w:val="none"/>
                <w14:textFill>
                  <w14:solidFill>
                    <w14:schemeClr w14:val="tx1"/>
                  </w14:solidFill>
                </w14:textFill>
              </w:rPr>
              <w:t>（</w:t>
            </w:r>
            <w:r>
              <w:rPr>
                <w:rFonts w:hint="eastAsia" w:ascii="宋体" w:hAnsi="宋体"/>
                <w:b/>
                <w:bCs/>
                <w:color w:val="000000" w:themeColor="text1"/>
                <w:kern w:val="0"/>
                <w:szCs w:val="21"/>
                <w:highlight w:val="none"/>
                <w14:textFill>
                  <w14:solidFill>
                    <w14:schemeClr w14:val="tx1"/>
                  </w14:solidFill>
                </w14:textFill>
              </w:rPr>
              <w:t>满分10</w:t>
            </w:r>
            <w:r>
              <w:rPr>
                <w:rFonts w:ascii="宋体" w:hAnsi="宋体"/>
                <w:b/>
                <w:bCs/>
                <w:color w:val="000000" w:themeColor="text1"/>
                <w:kern w:val="0"/>
                <w:szCs w:val="21"/>
                <w:highlight w:val="none"/>
                <w14:textFill>
                  <w14:solidFill>
                    <w14:schemeClr w14:val="tx1"/>
                  </w14:solidFill>
                </w14:textFill>
              </w:rPr>
              <w:t>分）</w:t>
            </w:r>
          </w:p>
        </w:tc>
        <w:tc>
          <w:tcPr>
            <w:tcW w:w="5614" w:type="dxa"/>
            <w:vAlign w:val="center"/>
          </w:tcPr>
          <w:p w14:paraId="6008626C">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color w:val="000000" w:themeColor="text1"/>
                <w:highlight w:val="none"/>
                <w14:textFill>
                  <w14:solidFill>
                    <w14:schemeClr w14:val="tx1"/>
                  </w14:solidFill>
                </w14:textFill>
              </w:rPr>
              <w:t>安全管理目标；管理机构健全，职责分工明确；管理制度齐全；实施与监控措施全面、有效。</w:t>
            </w:r>
          </w:p>
          <w:p w14:paraId="3CB4A493">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color w:val="000000" w:themeColor="text1"/>
                <w:highlight w:val="none"/>
                <w14:textFill>
                  <w14:solidFill>
                    <w14:schemeClr w14:val="tx1"/>
                  </w14:solidFill>
                </w14:textFill>
              </w:rPr>
              <w:t>安全管理目标；管理机构健全，职责分工较明确；管理制度较齐全；实施与监控措施较完整。</w:t>
            </w:r>
          </w:p>
          <w:p w14:paraId="791A5EFC">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color w:val="000000" w:themeColor="text1"/>
                <w:highlight w:val="none"/>
                <w14:textFill>
                  <w14:solidFill>
                    <w14:schemeClr w14:val="tx1"/>
                  </w14:solidFill>
                </w14:textFill>
              </w:rPr>
              <w:t>安全管理目标；管理机构基本健全，职责分工基本明确；管理制度基本齐全；实施与监控措施基本完整。</w:t>
            </w:r>
          </w:p>
          <w:p w14:paraId="2C1D2AA1">
            <w:pPr>
              <w:adjustRightInd w:val="0"/>
              <w:snapToGrid w:val="0"/>
              <w:spacing w:line="240" w:lineRule="auto"/>
              <w:rPr>
                <w:rFonts w:hint="eastAsia"/>
                <w:color w:val="000000" w:themeColor="text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第四档（4分）：</w:t>
            </w:r>
            <w:r>
              <w:rPr>
                <w:rFonts w:hint="eastAsia"/>
                <w:color w:val="000000" w:themeColor="text1"/>
                <w:highlight w:val="none"/>
                <w14:textFill>
                  <w14:solidFill>
                    <w14:schemeClr w14:val="tx1"/>
                  </w14:solidFill>
                </w14:textFill>
              </w:rPr>
              <w:t>安全管理目标；管理机构基本健全，职责分工不明确；管理制度不齐全；实施与监控措施不完整。</w:t>
            </w:r>
          </w:p>
          <w:p w14:paraId="03BAE39C">
            <w:pPr>
              <w:adjustRightInd w:val="0"/>
              <w:snapToGrid w:val="0"/>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00643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741" w:type="dxa"/>
            <w:vMerge w:val="continue"/>
            <w:vAlign w:val="center"/>
          </w:tcPr>
          <w:p w14:paraId="15DDC977">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7886859C">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5BC0B864">
            <w:pPr>
              <w:adjustRightInd w:val="0"/>
              <w:snapToGrid w:val="0"/>
              <w:spacing w:line="240" w:lineRule="auto"/>
              <w:jc w:val="center"/>
              <w:rPr>
                <w:rFonts w:hint="eastAsia" w:ascii="宋体" w:hAnsi="宋体"/>
                <w:b/>
                <w:bCs/>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环境保护管理体系与措施</w:t>
            </w:r>
          </w:p>
          <w:p w14:paraId="0B6EC4F3">
            <w:pPr>
              <w:adjustRightInd w:val="0"/>
              <w:snapToGrid w:val="0"/>
              <w:spacing w:line="240" w:lineRule="auto"/>
              <w:jc w:val="center"/>
              <w:rPr>
                <w:rFonts w:hint="eastAsia" w:ascii="宋体" w:hAnsi="宋体"/>
                <w:b/>
                <w:bCs/>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（满分10分）</w:t>
            </w:r>
          </w:p>
        </w:tc>
        <w:tc>
          <w:tcPr>
            <w:tcW w:w="5614" w:type="dxa"/>
            <w:vAlign w:val="center"/>
          </w:tcPr>
          <w:p w14:paraId="338651FB">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olor w:val="000000" w:themeColor="text1"/>
                <w:szCs w:val="21"/>
                <w:highlight w:val="none"/>
                <w14:textFill>
                  <w14:solidFill>
                    <w14:schemeClr w14:val="tx1"/>
                  </w14:solidFill>
                </w14:textFill>
              </w:rPr>
              <w:t>环境管理目标；管理机构健全，职责分工明确；管理制度齐全；实施与监控措施全面、有效。</w:t>
            </w:r>
          </w:p>
          <w:p w14:paraId="4303CA66">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olor w:val="000000" w:themeColor="text1"/>
                <w:szCs w:val="21"/>
                <w:highlight w:val="none"/>
                <w14:textFill>
                  <w14:solidFill>
                    <w14:schemeClr w14:val="tx1"/>
                  </w14:solidFill>
                </w14:textFill>
              </w:rPr>
              <w:t>环境管理目标；管理机构较健全，职责分工较明确；管理制度较齐全；实施与监控措施较完整。</w:t>
            </w:r>
          </w:p>
          <w:p w14:paraId="03787816">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olor w:val="000000" w:themeColor="text1"/>
                <w:szCs w:val="21"/>
                <w:highlight w:val="none"/>
                <w14:textFill>
                  <w14:solidFill>
                    <w14:schemeClr w14:val="tx1"/>
                  </w14:solidFill>
                </w14:textFill>
              </w:rPr>
              <w:t>环境管理目标；管理机构基本健全，职责分工基本明确；管理制度基本齐全；实施与监控措施基本完整。</w:t>
            </w:r>
          </w:p>
          <w:p w14:paraId="22F0C71F">
            <w:pPr>
              <w:adjustRightInd w:val="0"/>
              <w:snapToGrid w:val="0"/>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第四档（4分）：</w:t>
            </w:r>
            <w:r>
              <w:rPr>
                <w:rFonts w:hint="eastAsia" w:ascii="宋体" w:hAnsi="宋体"/>
                <w:color w:val="000000" w:themeColor="text1"/>
                <w:szCs w:val="21"/>
                <w:highlight w:val="none"/>
                <w14:textFill>
                  <w14:solidFill>
                    <w14:schemeClr w14:val="tx1"/>
                  </w14:solidFill>
                </w14:textFill>
              </w:rPr>
              <w:t>环境管理目标；管理机构基本健全，职责分工不明确；管理制度不齐全；实施与监控措施不完整。</w:t>
            </w:r>
          </w:p>
          <w:p w14:paraId="3FA38CFA">
            <w:pPr>
              <w:adjustRightInd w:val="0"/>
              <w:snapToGrid w:val="0"/>
              <w:spacing w:line="24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6794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454" w:hRule="atLeast"/>
          <w:jc w:val="center"/>
        </w:trPr>
        <w:tc>
          <w:tcPr>
            <w:tcW w:w="741" w:type="dxa"/>
            <w:vMerge w:val="continue"/>
            <w:vAlign w:val="center"/>
          </w:tcPr>
          <w:p w14:paraId="20202967">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0CE11490">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31DE8665">
            <w:pPr>
              <w:adjustRightInd w:val="0"/>
              <w:snapToGrid w:val="0"/>
              <w:spacing w:line="240" w:lineRule="auto"/>
              <w:jc w:val="center"/>
              <w:rPr>
                <w:rFonts w:hint="eastAsia" w:ascii="宋体" w:hAnsi="宋体"/>
                <w:b/>
                <w:bCs/>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工程进度计划与保证措施（满分10分）</w:t>
            </w:r>
          </w:p>
        </w:tc>
        <w:tc>
          <w:tcPr>
            <w:tcW w:w="5614" w:type="dxa"/>
            <w:vAlign w:val="center"/>
          </w:tcPr>
          <w:p w14:paraId="40D69F5E">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olor w:val="000000" w:themeColor="text1"/>
                <w:kern w:val="0"/>
                <w:szCs w:val="21"/>
                <w:highlight w:val="none"/>
                <w14:textFill>
                  <w14:solidFill>
                    <w14:schemeClr w14:val="tx1"/>
                  </w14:solidFill>
                </w14:textFill>
              </w:rPr>
              <w:t>总工期及节点工期满足竞争性磋商文件要求；施工进度计划内容全面，线路清晰、准确、完整，计划编制合理、可行；措施有力、合理、可行。</w:t>
            </w:r>
          </w:p>
          <w:p w14:paraId="04ACA85A">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olor w:val="000000" w:themeColor="text1"/>
                <w:kern w:val="0"/>
                <w:szCs w:val="21"/>
                <w:highlight w:val="none"/>
                <w14:textFill>
                  <w14:solidFill>
                    <w14:schemeClr w14:val="tx1"/>
                  </w14:solidFill>
                </w14:textFill>
              </w:rPr>
              <w:t>总工期及节点工期满足竞争性磋商文件要求；施工进度计划内容较全面，线路较清晰，计划编制较合理；措施可行。</w:t>
            </w:r>
          </w:p>
          <w:p w14:paraId="6EC337F2">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olor w:val="000000" w:themeColor="text1"/>
                <w:kern w:val="0"/>
                <w:szCs w:val="21"/>
                <w:highlight w:val="none"/>
                <w14:textFill>
                  <w14:solidFill>
                    <w14:schemeClr w14:val="tx1"/>
                  </w14:solidFill>
                </w14:textFill>
              </w:rPr>
              <w:t>总工期及节点工期满足竞争性磋商文件要求；施工进度计划内容基本全面，线路基本清晰，计划编制基本合理；措施基本可行。</w:t>
            </w:r>
          </w:p>
          <w:p w14:paraId="5246220B">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第四档（4分）：</w:t>
            </w:r>
            <w:r>
              <w:rPr>
                <w:rFonts w:hint="eastAsia" w:ascii="宋体" w:hAnsi="宋体"/>
                <w:color w:val="000000" w:themeColor="text1"/>
                <w:kern w:val="0"/>
                <w:szCs w:val="21"/>
                <w:highlight w:val="none"/>
                <w14:textFill>
                  <w14:solidFill>
                    <w14:schemeClr w14:val="tx1"/>
                  </w14:solidFill>
                </w14:textFill>
              </w:rPr>
              <w:t>总工期及节点工期满足竞争性磋商文件要求；施工进度计划内容不全面，线路不清晰，计划编制不合理；措施不可行。</w:t>
            </w:r>
          </w:p>
          <w:p w14:paraId="57138D42">
            <w:pPr>
              <w:pStyle w:val="2"/>
              <w:jc w:val="left"/>
              <w:rPr>
                <w:rFonts w:hint="eastAsia"/>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6330E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1475" w:hRule="atLeast"/>
          <w:jc w:val="center"/>
        </w:trPr>
        <w:tc>
          <w:tcPr>
            <w:tcW w:w="741" w:type="dxa"/>
            <w:vMerge w:val="continue"/>
            <w:vAlign w:val="center"/>
          </w:tcPr>
          <w:p w14:paraId="5641A3B9">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2F32C268">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4958CD39">
            <w:pPr>
              <w:adjustRightInd w:val="0"/>
              <w:snapToGrid w:val="0"/>
              <w:spacing w:line="240" w:lineRule="auto"/>
              <w:jc w:val="center"/>
              <w:rPr>
                <w:rFonts w:hint="eastAsia" w:ascii="宋体" w:hAnsi="宋体"/>
                <w:b/>
                <w:bCs/>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资源配备计划（满分10分）</w:t>
            </w:r>
          </w:p>
        </w:tc>
        <w:tc>
          <w:tcPr>
            <w:tcW w:w="5614" w:type="dxa"/>
            <w:vAlign w:val="center"/>
          </w:tcPr>
          <w:p w14:paraId="6EC5DB72">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olor w:val="000000" w:themeColor="text1"/>
                <w:kern w:val="0"/>
                <w:szCs w:val="21"/>
                <w:highlight w:val="none"/>
                <w14:textFill>
                  <w14:solidFill>
                    <w14:schemeClr w14:val="tx1"/>
                  </w14:solidFill>
                </w14:textFill>
              </w:rPr>
              <w:t>劳动力计划、周转材料计划、施工机具计划、主要材料一次性需用量计划等资源投入计划与施工部署、施工方法及进度计划呼应，很好的满足施工需要，调配投入计划合理、准确全面。</w:t>
            </w:r>
          </w:p>
          <w:p w14:paraId="37809927">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olor w:val="000000" w:themeColor="text1"/>
                <w:kern w:val="0"/>
                <w:szCs w:val="21"/>
                <w:highlight w:val="none"/>
                <w14:textFill>
                  <w14:solidFill>
                    <w14:schemeClr w14:val="tx1"/>
                  </w14:solidFill>
                </w14:textFill>
              </w:rPr>
              <w:t>劳动力计划、周转材料计划、施工机具计划、主要材料一次性需用量计划等资源投入计划与施工部署、施工方法及进度计划呼应，较好的满足施工需要，调配投入计划合理。</w:t>
            </w:r>
          </w:p>
          <w:p w14:paraId="5B804701">
            <w:pPr>
              <w:adjustRightInd w:val="0"/>
              <w:snapToGrid w:val="0"/>
              <w:spacing w:line="240" w:lineRule="auto"/>
              <w:rPr>
                <w:rFonts w:hint="eastAsia" w:ascii="宋体" w:hAnsi="宋体"/>
                <w:color w:val="000000" w:themeColor="text1"/>
                <w:kern w:val="0"/>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olor w:val="000000" w:themeColor="text1"/>
                <w:kern w:val="0"/>
                <w:szCs w:val="21"/>
                <w:highlight w:val="none"/>
                <w14:textFill>
                  <w14:solidFill>
                    <w14:schemeClr w14:val="tx1"/>
                  </w14:solidFill>
                </w14:textFill>
              </w:rPr>
              <w:t>劳动力计划、周转材料计划、施工机具计划、主要材料一次性需用量计划等资源投入计划与施工部署、施工方法及进度计划基本满足施工需要，调配投入计划基本合理。</w:t>
            </w:r>
          </w:p>
          <w:p w14:paraId="3C8D8EC3">
            <w:pPr>
              <w:pStyle w:val="2"/>
              <w:jc w:val="left"/>
              <w:rPr>
                <w:rFonts w:hint="eastAsia"/>
                <w:color w:val="000000" w:themeColor="text1"/>
                <w:highlight w:val="none"/>
                <w14:textFill>
                  <w14:solidFill>
                    <w14:schemeClr w14:val="tx1"/>
                  </w14:solidFill>
                </w14:textFill>
              </w:rPr>
            </w:pPr>
            <w:r>
              <w:rPr>
                <w:rFonts w:hint="eastAsia" w:ascii="宋体" w:hAnsi="宋体" w:eastAsia="宋体" w:cs="Times New Roman"/>
                <w:b w:val="0"/>
                <w:bCs w:val="0"/>
                <w:color w:val="000000" w:themeColor="text1"/>
                <w:kern w:val="0"/>
                <w:sz w:val="21"/>
                <w:szCs w:val="21"/>
                <w:highlight w:val="none"/>
                <w:lang w:val="en-US" w:eastAsia="zh-CN" w:bidi="ar-SA"/>
                <w14:textFill>
                  <w14:solidFill>
                    <w14:schemeClr w14:val="tx1"/>
                  </w14:solidFill>
                </w14:textFill>
              </w:rPr>
              <w:t>不提供则不得分。</w:t>
            </w:r>
          </w:p>
        </w:tc>
      </w:tr>
      <w:tr w14:paraId="01FDD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57" w:type="dxa"/>
            <w:left w:w="108" w:type="dxa"/>
            <w:bottom w:w="57" w:type="dxa"/>
            <w:right w:w="108" w:type="dxa"/>
          </w:tblCellMar>
        </w:tblPrEx>
        <w:trPr>
          <w:trHeight w:val="1222" w:hRule="atLeast"/>
          <w:jc w:val="center"/>
        </w:trPr>
        <w:tc>
          <w:tcPr>
            <w:tcW w:w="741" w:type="dxa"/>
            <w:vMerge w:val="continue"/>
            <w:vAlign w:val="center"/>
          </w:tcPr>
          <w:p w14:paraId="6676C771">
            <w:pPr>
              <w:spacing w:line="240" w:lineRule="auto"/>
              <w:rPr>
                <w:rFonts w:hint="eastAsia" w:ascii="宋体" w:hAnsi="宋体" w:cs="宋体"/>
                <w:color w:val="000000" w:themeColor="text1"/>
                <w:szCs w:val="21"/>
                <w:highlight w:val="none"/>
                <w14:textFill>
                  <w14:solidFill>
                    <w14:schemeClr w14:val="tx1"/>
                  </w14:solidFill>
                </w14:textFill>
              </w:rPr>
            </w:pPr>
          </w:p>
        </w:tc>
        <w:tc>
          <w:tcPr>
            <w:tcW w:w="1345" w:type="dxa"/>
            <w:vMerge w:val="continue"/>
            <w:vAlign w:val="center"/>
          </w:tcPr>
          <w:p w14:paraId="75CE2EA3">
            <w:pPr>
              <w:spacing w:line="240" w:lineRule="auto"/>
              <w:rPr>
                <w:rFonts w:hint="eastAsia" w:ascii="宋体" w:hAnsi="宋体" w:cs="宋体"/>
                <w:color w:val="000000" w:themeColor="text1"/>
                <w:szCs w:val="21"/>
                <w:highlight w:val="none"/>
                <w14:textFill>
                  <w14:solidFill>
                    <w14:schemeClr w14:val="tx1"/>
                  </w14:solidFill>
                </w14:textFill>
              </w:rPr>
            </w:pPr>
          </w:p>
        </w:tc>
        <w:tc>
          <w:tcPr>
            <w:tcW w:w="2154" w:type="dxa"/>
            <w:gridSpan w:val="2"/>
            <w:vAlign w:val="center"/>
          </w:tcPr>
          <w:p w14:paraId="01E01556">
            <w:pPr>
              <w:spacing w:line="240" w:lineRule="auto"/>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项目管理机构配置</w:t>
            </w:r>
          </w:p>
          <w:p w14:paraId="0C9F29EF">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（满分10）</w:t>
            </w:r>
          </w:p>
        </w:tc>
        <w:tc>
          <w:tcPr>
            <w:tcW w:w="5614" w:type="dxa"/>
            <w:vAlign w:val="center"/>
          </w:tcPr>
          <w:p w14:paraId="51187750">
            <w:pP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第一档（10分）：</w:t>
            </w:r>
            <w:r>
              <w:rPr>
                <w:rFonts w:hint="eastAsia" w:ascii="宋体" w:hAnsi="宋体"/>
                <w:color w:val="000000" w:themeColor="text1"/>
                <w:szCs w:val="21"/>
                <w:highlight w:val="none"/>
                <w14:textFill>
                  <w14:solidFill>
                    <w14:schemeClr w14:val="tx1"/>
                  </w14:solidFill>
                </w14:textFill>
              </w:rPr>
              <w:t>项目管理人员针对工程实际配置且合理，能满足工程管理需要且有针对性，项目管理人员持证上岗。</w:t>
            </w:r>
          </w:p>
          <w:p w14:paraId="32A61F75">
            <w:pP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第二档（8分）：</w:t>
            </w:r>
            <w:r>
              <w:rPr>
                <w:rFonts w:hint="eastAsia" w:ascii="宋体" w:hAnsi="宋体"/>
                <w:color w:val="000000" w:themeColor="text1"/>
                <w:szCs w:val="21"/>
                <w:highlight w:val="none"/>
                <w14:textFill>
                  <w14:solidFill>
                    <w14:schemeClr w14:val="tx1"/>
                  </w14:solidFill>
                </w14:textFill>
              </w:rPr>
              <w:t>项目管理人员配置合理，能满足工程管理需要，但专业配置针对性一般，项目主要管理人员持证上岗。</w:t>
            </w:r>
          </w:p>
          <w:p w14:paraId="2A11892C">
            <w:pPr>
              <w:spacing w:line="240" w:lineRule="auto"/>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kern w:val="0"/>
                <w:szCs w:val="21"/>
                <w:highlight w:val="none"/>
                <w14:textFill>
                  <w14:solidFill>
                    <w14:schemeClr w14:val="tx1"/>
                  </w14:solidFill>
                </w14:textFill>
              </w:rPr>
              <w:t>第三档（6分）：</w:t>
            </w:r>
            <w:r>
              <w:rPr>
                <w:rFonts w:hint="eastAsia" w:ascii="宋体" w:hAnsi="宋体"/>
                <w:color w:val="000000" w:themeColor="text1"/>
                <w:szCs w:val="21"/>
                <w:highlight w:val="none"/>
                <w14:textFill>
                  <w14:solidFill>
                    <w14:schemeClr w14:val="tx1"/>
                  </w14:solidFill>
                </w14:textFill>
              </w:rPr>
              <w:t>项目管理人员配置基本满足工程管理需要，专业配置缺乏针对性，项目主要管理人员持证上岗。</w:t>
            </w:r>
          </w:p>
          <w:p w14:paraId="7DC82343">
            <w:pPr>
              <w:spacing w:line="24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不提供则不得分。</w:t>
            </w:r>
          </w:p>
        </w:tc>
      </w:tr>
    </w:tbl>
    <w:p w14:paraId="01246A28">
      <w:pPr>
        <w:ind w:left="420"/>
        <w:rPr>
          <w:color w:val="000000" w:themeColor="text1"/>
          <w:highlight w:val="none"/>
          <w14:textFill>
            <w14:solidFill>
              <w14:schemeClr w14:val="tx1"/>
            </w14:solidFill>
          </w14:textFill>
        </w:rPr>
      </w:pPr>
    </w:p>
    <w:p w14:paraId="6D0940AB">
      <w:pPr>
        <w:rPr>
          <w:color w:val="000000" w:themeColor="text1"/>
          <w:highlight w:val="none"/>
          <w14:textFill>
            <w14:solidFill>
              <w14:schemeClr w14:val="tx1"/>
            </w14:solidFill>
          </w14:textFill>
        </w:rPr>
      </w:pPr>
    </w:p>
    <w:p w14:paraId="1702E38B">
      <w:pPr>
        <w:pStyle w:val="3"/>
        <w:rPr>
          <w:color w:val="000000" w:themeColor="text1"/>
          <w:highlight w:val="none"/>
          <w14:textFill>
            <w14:solidFill>
              <w14:schemeClr w14:val="tx1"/>
            </w14:solidFill>
          </w14:textFill>
        </w:rPr>
      </w:pPr>
      <w:bookmarkStart w:id="1653" w:name="_Toc228389604"/>
      <w:bookmarkStart w:id="1654" w:name="_Toc23602"/>
      <w:r>
        <w:rPr>
          <w:rFonts w:hint="eastAsia"/>
          <w:color w:val="000000" w:themeColor="text1"/>
          <w:highlight w:val="none"/>
          <w14:textFill>
            <w14:solidFill>
              <w14:schemeClr w14:val="tx1"/>
            </w14:solidFill>
          </w14:textFill>
        </w:rPr>
        <w:t>评审办法正文部分</w:t>
      </w:r>
      <w:bookmarkEnd w:id="1653"/>
    </w:p>
    <w:p w14:paraId="64E002DE">
      <w:pPr>
        <w:pStyle w:val="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1.评审方法</w:t>
      </w:r>
      <w:bookmarkEnd w:id="1642"/>
      <w:bookmarkEnd w:id="1643"/>
      <w:bookmarkEnd w:id="1644"/>
      <w:bookmarkEnd w:id="1645"/>
      <w:bookmarkEnd w:id="1646"/>
      <w:bookmarkEnd w:id="1647"/>
      <w:bookmarkEnd w:id="1648"/>
      <w:bookmarkEnd w:id="1649"/>
      <w:bookmarkEnd w:id="1650"/>
      <w:bookmarkEnd w:id="1651"/>
      <w:bookmarkEnd w:id="1652"/>
      <w:bookmarkEnd w:id="1654"/>
    </w:p>
    <w:p w14:paraId="00DAE168">
      <w:pPr>
        <w:adjustRightInd w:val="0"/>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评审采用综合评分法。磋商小组所有成员集中与满足竞争性磋商文件初步评审要求的供应商分别进行磋商，磋商结束后，磋商小组要求所有实质响应的供应商在规定时间内提交最后报价，经磋商确定最终采购需求和提交最后报价的供应商后，由磋商小组采用综合评分法对提交最后报价的供应商的响应文件和最后报价进行综合评分。综合评分按照本章第2.2 款规定的评分标准进行打分，并按得分由高到低顺序推荐成交候选人；评审总得分相等时，按最后报价由低到高顺序排列；评审总得分相等且最后报价相同时，按技术部分得分高低顺序排列。</w:t>
      </w:r>
    </w:p>
    <w:p w14:paraId="680615B1">
      <w:pPr>
        <w:pStyle w:val="6"/>
        <w:rPr>
          <w:color w:val="000000" w:themeColor="text1"/>
          <w:highlight w:val="none"/>
          <w14:textFill>
            <w14:solidFill>
              <w14:schemeClr w14:val="tx1"/>
            </w14:solidFill>
          </w14:textFill>
        </w:rPr>
      </w:pPr>
      <w:bookmarkStart w:id="1655" w:name="_Toc7524"/>
      <w:bookmarkStart w:id="1656" w:name="_Toc25885"/>
      <w:bookmarkStart w:id="1657" w:name="_Toc27393"/>
      <w:bookmarkStart w:id="1658" w:name="_Toc4734"/>
      <w:bookmarkStart w:id="1659" w:name="_Toc438823484"/>
      <w:bookmarkStart w:id="1660" w:name="_Toc23079"/>
      <w:bookmarkStart w:id="1661" w:name="_Toc6464"/>
      <w:bookmarkStart w:id="1662" w:name="_Toc24632"/>
      <w:bookmarkStart w:id="1663" w:name="_Toc30227"/>
      <w:bookmarkStart w:id="1664" w:name="_Toc5935"/>
      <w:bookmarkStart w:id="1665" w:name="_Toc6047"/>
      <w:bookmarkStart w:id="1666" w:name="_Toc514079121"/>
      <w:r>
        <w:rPr>
          <w:rFonts w:hint="eastAsia"/>
          <w:color w:val="000000" w:themeColor="text1"/>
          <w:highlight w:val="none"/>
          <w14:textFill>
            <w14:solidFill>
              <w14:schemeClr w14:val="tx1"/>
            </w14:solidFill>
          </w14:textFill>
        </w:rPr>
        <w:t>2.评审标准</w:t>
      </w:r>
      <w:bookmarkEnd w:id="1655"/>
      <w:bookmarkEnd w:id="1656"/>
      <w:bookmarkEnd w:id="1657"/>
      <w:bookmarkEnd w:id="1658"/>
      <w:bookmarkEnd w:id="1659"/>
      <w:bookmarkEnd w:id="1660"/>
      <w:bookmarkEnd w:id="1661"/>
      <w:bookmarkEnd w:id="1662"/>
      <w:bookmarkEnd w:id="1663"/>
      <w:bookmarkEnd w:id="1664"/>
      <w:bookmarkEnd w:id="1665"/>
      <w:bookmarkEnd w:id="1666"/>
    </w:p>
    <w:p w14:paraId="4C7B0902">
      <w:pPr>
        <w:pStyle w:val="7"/>
        <w:ind w:firstLine="422"/>
        <w:rPr>
          <w:color w:val="000000" w:themeColor="text1"/>
          <w:highlight w:val="none"/>
          <w14:textFill>
            <w14:solidFill>
              <w14:schemeClr w14:val="tx1"/>
            </w14:solidFill>
          </w14:textFill>
        </w:rPr>
      </w:pPr>
      <w:bookmarkStart w:id="1667" w:name="_Toc438823485"/>
      <w:bookmarkStart w:id="1668" w:name="_Toc21627"/>
      <w:bookmarkStart w:id="1669" w:name="_Toc514079122"/>
      <w:bookmarkStart w:id="1670" w:name="_Toc15709"/>
      <w:r>
        <w:rPr>
          <w:rFonts w:hint="eastAsia"/>
          <w:color w:val="000000" w:themeColor="text1"/>
          <w:highlight w:val="none"/>
          <w14:textFill>
            <w14:solidFill>
              <w14:schemeClr w14:val="tx1"/>
            </w14:solidFill>
          </w14:textFill>
        </w:rPr>
        <w:t>2.1 初步评审标准</w:t>
      </w:r>
      <w:bookmarkEnd w:id="1667"/>
      <w:bookmarkEnd w:id="1668"/>
      <w:bookmarkEnd w:id="1669"/>
      <w:bookmarkEnd w:id="1670"/>
    </w:p>
    <w:p w14:paraId="271571A3">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 资格评审标准：依据法律法规和竞争性磋商文件的规定，对响应文件中的资格证明、保证金等进行审查，以确定供应商是否具备竞争性磋商资格；见评审办法前附表。</w:t>
      </w:r>
    </w:p>
    <w:p w14:paraId="7CB540DE">
      <w:pPr>
        <w:pStyle w:val="27"/>
        <w:tabs>
          <w:tab w:val="left" w:pos="2472"/>
        </w:tabs>
        <w:ind w:firstLine="420" w:firstLineChars="20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2.1.2 符合性评审标准：依据竞争性磋商文件的规定，从响应文件的有效性、完整性和对竞争性磋商文件的响应程度进行审查，以确定是否对竞争性磋商文件的实质性要求作出响应；见评审办法前附表。</w:t>
      </w:r>
    </w:p>
    <w:p w14:paraId="50868FDD">
      <w:pPr>
        <w:pStyle w:val="7"/>
        <w:ind w:firstLine="422"/>
        <w:rPr>
          <w:color w:val="000000" w:themeColor="text1"/>
          <w:highlight w:val="none"/>
          <w14:textFill>
            <w14:solidFill>
              <w14:schemeClr w14:val="tx1"/>
            </w14:solidFill>
          </w14:textFill>
        </w:rPr>
      </w:pPr>
      <w:bookmarkStart w:id="1671" w:name="_Toc7678"/>
      <w:bookmarkStart w:id="1672" w:name="_Toc438823486"/>
      <w:bookmarkStart w:id="1673" w:name="_Toc514079123"/>
      <w:bookmarkStart w:id="1674" w:name="_Toc29740"/>
      <w:r>
        <w:rPr>
          <w:rFonts w:hint="eastAsia"/>
          <w:color w:val="000000" w:themeColor="text1"/>
          <w:highlight w:val="none"/>
          <w14:textFill>
            <w14:solidFill>
              <w14:schemeClr w14:val="tx1"/>
            </w14:solidFill>
          </w14:textFill>
        </w:rPr>
        <w:t>2.2 分值构成与评分标准</w:t>
      </w:r>
      <w:bookmarkEnd w:id="1671"/>
      <w:bookmarkEnd w:id="1672"/>
      <w:bookmarkEnd w:id="1673"/>
      <w:bookmarkEnd w:id="1674"/>
    </w:p>
    <w:p w14:paraId="5549FE0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 分值构成</w:t>
      </w:r>
    </w:p>
    <w:p w14:paraId="12A25BB6">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（1）响应报价部分：见评审办法前附表；</w:t>
      </w:r>
    </w:p>
    <w:p w14:paraId="79A5057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（2）技术部分：见评审办法前附表；</w:t>
      </w:r>
    </w:p>
    <w:p w14:paraId="4ACEC652">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 磋商基准价：见评审办法前附表。</w:t>
      </w:r>
    </w:p>
    <w:p w14:paraId="799B24CE">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 评分标准</w:t>
      </w:r>
    </w:p>
    <w:p w14:paraId="4FDFFE0D">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按竞争性磋商文件中规定的评审方法和标准，对资格评审和符合性评审合格的响应文件进行商务和技术评估，综合比较与评价。</w:t>
      </w:r>
    </w:p>
    <w:p w14:paraId="5F222571">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（1）响应报价部分评分标准：见评审办法前附表；</w:t>
      </w:r>
    </w:p>
    <w:p w14:paraId="3C034F65">
      <w:pPr>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（2）技术部分评分标准：见评审办法前附表；</w:t>
      </w:r>
    </w:p>
    <w:p w14:paraId="6609AC62">
      <w:pPr>
        <w:pStyle w:val="6"/>
        <w:rPr>
          <w:color w:val="000000" w:themeColor="text1"/>
          <w:highlight w:val="none"/>
          <w14:textFill>
            <w14:solidFill>
              <w14:schemeClr w14:val="tx1"/>
            </w14:solidFill>
          </w14:textFill>
        </w:rPr>
      </w:pPr>
      <w:bookmarkStart w:id="1675" w:name="_Toc514079124"/>
      <w:bookmarkStart w:id="1676" w:name="_Toc6575"/>
      <w:bookmarkStart w:id="1677" w:name="_Toc3378"/>
      <w:bookmarkStart w:id="1678" w:name="_Toc22755"/>
      <w:bookmarkStart w:id="1679" w:name="_Toc438823487"/>
      <w:bookmarkStart w:id="1680" w:name="_Toc4360"/>
      <w:bookmarkStart w:id="1681" w:name="_Toc31601"/>
      <w:bookmarkStart w:id="1682" w:name="_Toc22746"/>
      <w:bookmarkStart w:id="1683" w:name="_Toc10136"/>
      <w:bookmarkStart w:id="1684" w:name="_Toc18935"/>
      <w:bookmarkStart w:id="1685" w:name="_Toc11145"/>
      <w:bookmarkStart w:id="1686" w:name="_Toc29172"/>
      <w:r>
        <w:rPr>
          <w:rFonts w:hint="eastAsia"/>
          <w:color w:val="000000" w:themeColor="text1"/>
          <w:highlight w:val="none"/>
          <w14:textFill>
            <w14:solidFill>
              <w14:schemeClr w14:val="tx1"/>
            </w14:solidFill>
          </w14:textFill>
        </w:rPr>
        <w:t>3.评审程序</w:t>
      </w:r>
      <w:bookmarkEnd w:id="1675"/>
      <w:bookmarkEnd w:id="1676"/>
      <w:bookmarkEnd w:id="1677"/>
      <w:bookmarkEnd w:id="1678"/>
      <w:bookmarkEnd w:id="1679"/>
      <w:bookmarkEnd w:id="1680"/>
      <w:bookmarkEnd w:id="1681"/>
      <w:bookmarkEnd w:id="1682"/>
      <w:bookmarkEnd w:id="1683"/>
      <w:bookmarkEnd w:id="1684"/>
      <w:bookmarkEnd w:id="1685"/>
      <w:bookmarkEnd w:id="1686"/>
    </w:p>
    <w:p w14:paraId="1C270B83">
      <w:pPr>
        <w:pStyle w:val="7"/>
        <w:ind w:firstLine="422"/>
        <w:rPr>
          <w:color w:val="000000" w:themeColor="text1"/>
          <w:highlight w:val="none"/>
          <w14:textFill>
            <w14:solidFill>
              <w14:schemeClr w14:val="tx1"/>
            </w14:solidFill>
          </w14:textFill>
        </w:rPr>
      </w:pPr>
      <w:bookmarkStart w:id="1687" w:name="_Toc438823488"/>
      <w:bookmarkStart w:id="1688" w:name="_Toc11056"/>
      <w:bookmarkStart w:id="1689" w:name="_Toc15510"/>
      <w:bookmarkStart w:id="1690" w:name="_Toc514079125"/>
      <w:r>
        <w:rPr>
          <w:rFonts w:hint="eastAsia"/>
          <w:color w:val="000000" w:themeColor="text1"/>
          <w:highlight w:val="none"/>
          <w14:textFill>
            <w14:solidFill>
              <w14:schemeClr w14:val="tx1"/>
            </w14:solidFill>
          </w14:textFill>
        </w:rPr>
        <w:t>3.1 初步评审</w:t>
      </w:r>
      <w:bookmarkEnd w:id="1687"/>
      <w:bookmarkEnd w:id="1688"/>
      <w:bookmarkEnd w:id="1689"/>
      <w:bookmarkEnd w:id="1690"/>
    </w:p>
    <w:p w14:paraId="20F16740">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3.1.1 磋商小组依据本章第2.1.1项、第2.1.2项规定的标准对响应文件进行初步评审。有一项不符合评审标准的，作废标处理。</w:t>
      </w:r>
    </w:p>
    <w:p w14:paraId="6812C0BD">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3.1.2 供应商有以下情形之一的，取消其磋商资格：</w:t>
      </w:r>
    </w:p>
    <w:p w14:paraId="3278FF3B">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（1）串通报价或弄虚作假或有其他违法行为的；</w:t>
      </w:r>
    </w:p>
    <w:p w14:paraId="66E45BD7">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（2）不按磋商小组要求澄清、说明或补正的。</w:t>
      </w:r>
    </w:p>
    <w:p w14:paraId="61A4260A">
      <w:pPr>
        <w:pStyle w:val="7"/>
        <w:ind w:firstLine="422"/>
        <w:rPr>
          <w:color w:val="000000" w:themeColor="text1"/>
          <w:highlight w:val="none"/>
          <w14:textFill>
            <w14:solidFill>
              <w14:schemeClr w14:val="tx1"/>
            </w14:solidFill>
          </w14:textFill>
        </w:rPr>
      </w:pPr>
      <w:bookmarkStart w:id="1691" w:name="_Toc5722"/>
      <w:bookmarkStart w:id="1692" w:name="_Toc514079126"/>
      <w:bookmarkStart w:id="1693" w:name="_Toc23605"/>
      <w:bookmarkStart w:id="1694" w:name="_Toc438823489"/>
      <w:r>
        <w:rPr>
          <w:rFonts w:hint="eastAsia"/>
          <w:color w:val="000000" w:themeColor="text1"/>
          <w:highlight w:val="none"/>
          <w14:textFill>
            <w14:solidFill>
              <w14:schemeClr w14:val="tx1"/>
            </w14:solidFill>
          </w14:textFill>
        </w:rPr>
        <w:t>3.2 详细评审</w:t>
      </w:r>
      <w:bookmarkEnd w:id="1691"/>
      <w:bookmarkEnd w:id="1692"/>
      <w:bookmarkEnd w:id="1693"/>
      <w:bookmarkEnd w:id="1694"/>
    </w:p>
    <w:p w14:paraId="71542CCA">
      <w:pPr>
        <w:numPr>
          <w:ilvl w:val="2"/>
          <w:numId w:val="0"/>
        </w:numPr>
        <w:tabs>
          <w:tab w:val="left" w:pos="900"/>
        </w:tabs>
        <w:ind w:left="210" w:leftChars="100"/>
        <w:jc w:val="left"/>
        <w:rPr>
          <w:rFonts w:hint="eastAsia" w:ascii="宋体" w:hAnsi="宋体" w:cs="宋体"/>
          <w:color w:val="000000" w:themeColor="text1"/>
          <w:szCs w:val="21"/>
          <w:highlight w:val="none"/>
          <w14:textFill>
            <w14:solidFill>
              <w14:schemeClr w14:val="tx1"/>
            </w14:solidFill>
          </w14:textFill>
        </w:rPr>
      </w:pPr>
      <w:bookmarkStart w:id="1695" w:name="_Toc5548"/>
      <w:bookmarkStart w:id="1696" w:name="_Toc438823490"/>
      <w:bookmarkStart w:id="1697" w:name="_Toc29795"/>
      <w:bookmarkStart w:id="1698" w:name="_Toc514079127"/>
      <w:r>
        <w:rPr>
          <w:rFonts w:hint="eastAsia" w:ascii="宋体" w:hAnsi="宋体" w:cs="宋体"/>
          <w:color w:val="000000" w:themeColor="text1"/>
          <w:szCs w:val="21"/>
          <w:highlight w:val="none"/>
          <w14:textFill>
            <w14:solidFill>
              <w14:schemeClr w14:val="tx1"/>
            </w14:solidFill>
          </w14:textFill>
        </w:rPr>
        <w:t>3.2.1比较与评价</w:t>
      </w:r>
      <w:bookmarkEnd w:id="1695"/>
      <w:bookmarkEnd w:id="1696"/>
      <w:bookmarkEnd w:id="1697"/>
      <w:bookmarkEnd w:id="1698"/>
    </w:p>
    <w:p w14:paraId="45473572">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（1）磋商小组所有成员集中与通过初审的单一供应商分别进行磋商。在磋商中，磋商的任何一方不得透露与磋商有关的其他供应商的技术资料、价格、折扣和其他信息。</w:t>
      </w:r>
    </w:p>
    <w:p w14:paraId="57DA3E30">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（2）磋商文件有实质性变动的，磋商小组将以书面形式通知所有参加磋商的供应商。但不得对涉及竞争的公平、公正性内容进行修改、变动。</w:t>
      </w:r>
    </w:p>
    <w:p w14:paraId="6A90A73A">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（3）为有助于对响应文件的详细审查、评价和比较，磋商小组可要求对供应商分别进行技术询问、澄清，有关要求和答复均现场进行。</w:t>
      </w:r>
    </w:p>
    <w:p w14:paraId="4A6C5C92">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3A283A96">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（5）供应商的书面澄清、说明和补正属于响应文件的组成部分。</w:t>
      </w:r>
    </w:p>
    <w:p w14:paraId="345C5566">
      <w:pPr>
        <w:adjustRightInd w:val="0"/>
        <w:ind w:firstLine="411" w:firstLineChars="19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（6）磋商小组将要求所有供应商在规定时间内进行最后报价，并对响应文件及供应商按要求提交的澄清、说明或补正进行综合比较和评价。</w:t>
      </w:r>
    </w:p>
    <w:p w14:paraId="5544F9C7">
      <w:pPr>
        <w:numPr>
          <w:ilvl w:val="2"/>
          <w:numId w:val="0"/>
        </w:numPr>
        <w:tabs>
          <w:tab w:val="left" w:pos="900"/>
        </w:tabs>
        <w:ind w:left="210" w:leftChars="100"/>
        <w:jc w:val="left"/>
        <w:rPr>
          <w:rFonts w:hint="eastAsia" w:ascii="宋体" w:hAnsi="宋体" w:cs="宋体"/>
          <w:color w:val="000000" w:themeColor="text1"/>
          <w:szCs w:val="21"/>
          <w:highlight w:val="none"/>
          <w14:textFill>
            <w14:solidFill>
              <w14:schemeClr w14:val="tx1"/>
            </w14:solidFill>
          </w14:textFill>
        </w:rPr>
      </w:pPr>
      <w:bookmarkStart w:id="1699" w:name="_Toc514079128"/>
      <w:bookmarkStart w:id="1700" w:name="_Toc3965"/>
      <w:bookmarkStart w:id="1701" w:name="_Toc438823491"/>
      <w:r>
        <w:rPr>
          <w:rFonts w:hint="eastAsia" w:ascii="宋体" w:hAnsi="宋体" w:cs="宋体"/>
          <w:color w:val="000000" w:themeColor="text1"/>
          <w:szCs w:val="21"/>
          <w:highlight w:val="none"/>
          <w14:textFill>
            <w14:solidFill>
              <w14:schemeClr w14:val="tx1"/>
            </w14:solidFill>
          </w14:textFill>
        </w:rPr>
        <w:t>3.2.2详细评审</w:t>
      </w:r>
      <w:bookmarkEnd w:id="1699"/>
      <w:bookmarkEnd w:id="1700"/>
      <w:bookmarkEnd w:id="1701"/>
    </w:p>
    <w:p w14:paraId="522F2B52">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（1）经磋商确定最终采购需求和提交最后报价的供应商后，磋商小组按本章第2.2款规定的量化因素和分值进行打分，并计算出供应商的评审总得分。</w:t>
      </w:r>
    </w:p>
    <w:p w14:paraId="769DD56F">
      <w:pPr>
        <w:pStyle w:val="2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a.按本章第2.2.3（1）目规定的评审因素和分值对商务部分（响应报价）计算出得分F1；</w:t>
      </w:r>
    </w:p>
    <w:p w14:paraId="2011EBB4">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b.按本章第2.2.3（2）目规定的评审因素和分值对技术部分计算出得分F2；</w:t>
      </w:r>
    </w:p>
    <w:p w14:paraId="6A8C0CEA">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c.按本章第2.2.1项所列公式计算评审总得分。</w:t>
      </w:r>
    </w:p>
    <w:p w14:paraId="19D85383">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（2）技术部分（F2）得分由磋商小组成员独立评分，计算各供应商得分的算术平均值计入各供应商总分。评分分值计算保留小数点后两位，小数点后第三位“四舍五入”。</w:t>
      </w:r>
    </w:p>
    <w:p w14:paraId="1B088EA6">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（3）出现下列情形之一的，磋商小组应当启动异常低价响应审查程序：</w:t>
      </w:r>
    </w:p>
    <w:p w14:paraId="325549C7">
      <w:pPr>
        <w:pStyle w:val="27"/>
        <w:tabs>
          <w:tab w:val="left" w:pos="2472"/>
        </w:tabs>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a.响应报价低于全部通过符合性审查供应商响应报价平均值50%的，即响应报价&lt;全部通过符合性审查供应商响应报价平均值×50%；</w:t>
      </w:r>
    </w:p>
    <w:p w14:paraId="0CFC181C">
      <w:pPr>
        <w:pStyle w:val="27"/>
        <w:tabs>
          <w:tab w:val="left" w:pos="2472"/>
        </w:tabs>
        <w:ind w:firstLine="42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b.</w:t>
      </w:r>
      <w:r>
        <w:rPr>
          <w:rFonts w:hint="eastAsia" w:hAnsi="宋体" w:cs="宋体"/>
          <w:color w:val="000000" w:themeColor="text1"/>
          <w:szCs w:val="21"/>
          <w:highlight w:val="none"/>
          <w14:textFill>
            <w14:solidFill>
              <w14:schemeClr w14:val="tx1"/>
            </w14:solidFill>
          </w14:textFill>
        </w:rPr>
        <w:t>响应报价低于通过符合性审查的次低报价供应商响应报价50%的，即响应报价&lt;通过符合性审查的次低报价供应商响应报价×50%；</w:t>
      </w:r>
    </w:p>
    <w:p w14:paraId="3E35A238">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c.响应报价低于采购项目最高限价45%的，即响应报价&lt;采购项目最高限价×45%；</w:t>
      </w:r>
    </w:p>
    <w:p w14:paraId="2A9D1317">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d.磋商小组认为供应商报价过低，有可能影响产品质量或者不能诚信履约的其他情形。</w:t>
      </w:r>
    </w:p>
    <w:p w14:paraId="66F21D8A">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e.相关法律法规对供应商报价有规定的，从其规定。  </w:t>
      </w:r>
    </w:p>
    <w:p w14:paraId="71641C35">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磋商小组启动异常低价响应审查后，应当要求相关供应商在评审现场合理的时间内对响应价格作出解释，提供项目具体成本测算等与报价合理性相关的书面说明及必要的证明材料。磋商小组结合同类项目的中标（成交）价格、在主要电商平台的价格、行业薪资水平等情况，依据专业经验对报价合理性进行判断。响应供应商不能提供书面说明、证明材料，或者提供的书面说明、证明材料不能证明其报价合理性的，磋商小组应当将其作为无效响应处理，并在评审报告中记录审查相关情况。</w:t>
      </w:r>
    </w:p>
    <w:p w14:paraId="289B1EBB">
      <w:pPr>
        <w:pStyle w:val="7"/>
        <w:ind w:firstLine="422"/>
        <w:rPr>
          <w:color w:val="000000" w:themeColor="text1"/>
          <w:highlight w:val="none"/>
          <w14:textFill>
            <w14:solidFill>
              <w14:schemeClr w14:val="tx1"/>
            </w14:solidFill>
          </w14:textFill>
        </w:rPr>
      </w:pPr>
      <w:bookmarkStart w:id="1702" w:name="_Toc30979"/>
      <w:bookmarkStart w:id="1703" w:name="_Toc438823492"/>
      <w:bookmarkStart w:id="1704" w:name="_Toc514079129"/>
      <w:bookmarkStart w:id="1705" w:name="_Toc27337"/>
      <w:r>
        <w:rPr>
          <w:rFonts w:hint="eastAsia"/>
          <w:color w:val="000000" w:themeColor="text1"/>
          <w:highlight w:val="none"/>
          <w14:textFill>
            <w14:solidFill>
              <w14:schemeClr w14:val="tx1"/>
            </w14:solidFill>
          </w14:textFill>
        </w:rPr>
        <w:t>3.3 评审结果</w:t>
      </w:r>
      <w:bookmarkEnd w:id="1702"/>
      <w:bookmarkEnd w:id="1703"/>
      <w:bookmarkEnd w:id="1704"/>
      <w:bookmarkEnd w:id="1705"/>
    </w:p>
    <w:p w14:paraId="61F6C0FA">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3.3.1 磋商小组根据综合评分情况，按照评审得分由高到低顺序推荐3名成交候选供应商，并编写评审报告。</w:t>
      </w:r>
    </w:p>
    <w:p w14:paraId="525616E1">
      <w:pPr>
        <w:ind w:firstLine="42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3.3.2采购人根据磋商小组提出的书面评审报告和推荐的成交候选人名单，确定成交供应商。</w:t>
      </w:r>
      <w:bookmarkEnd w:id="1627"/>
    </w:p>
    <w:p w14:paraId="4BB88A55">
      <w:pPr>
        <w:ind w:left="420"/>
        <w:rPr>
          <w:color w:val="000000" w:themeColor="text1"/>
          <w:highlight w:val="none"/>
          <w14:textFill>
            <w14:solidFill>
              <w14:schemeClr w14:val="tx1"/>
            </w14:solidFill>
          </w14:textFill>
        </w:rPr>
      </w:pPr>
    </w:p>
    <w:p w14:paraId="019FBB7F">
      <w:pPr>
        <w:ind w:left="420"/>
        <w:rPr>
          <w:color w:val="000000" w:themeColor="text1"/>
          <w:highlight w:val="none"/>
          <w14:textFill>
            <w14:solidFill>
              <w14:schemeClr w14:val="tx1"/>
            </w14:solidFill>
          </w14:textFill>
        </w:rPr>
      </w:pPr>
    </w:p>
    <w:p w14:paraId="67E897BA">
      <w:pPr>
        <w:ind w:left="420"/>
        <w:rPr>
          <w:color w:val="000000" w:themeColor="text1"/>
          <w:highlight w:val="none"/>
          <w14:textFill>
            <w14:solidFill>
              <w14:schemeClr w14:val="tx1"/>
            </w14:solidFill>
          </w14:textFill>
        </w:rPr>
      </w:pPr>
    </w:p>
    <w:p w14:paraId="6111BB4C">
      <w:pPr>
        <w:ind w:left="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bookmarkStart w:id="1706" w:name="_Toc22940"/>
      <w:bookmarkStart w:id="1707" w:name="_Toc521660765"/>
      <w:bookmarkStart w:id="1708" w:name="_Toc13533"/>
      <w:bookmarkStart w:id="1709" w:name="_Toc10964"/>
    </w:p>
    <w:p w14:paraId="004B3A2A">
      <w:pPr>
        <w:pStyle w:val="2"/>
        <w:spacing w:before="120"/>
        <w:rPr>
          <w:color w:val="000000" w:themeColor="text1"/>
          <w:highlight w:val="none"/>
          <w14:textFill>
            <w14:solidFill>
              <w14:schemeClr w14:val="tx1"/>
            </w14:solidFill>
          </w14:textFill>
        </w:rPr>
      </w:pPr>
      <w:bookmarkStart w:id="1710" w:name="_Toc228389605"/>
      <w:r>
        <w:rPr>
          <w:rFonts w:hint="eastAsia"/>
          <w:color w:val="000000" w:themeColor="text1"/>
          <w:highlight w:val="none"/>
          <w14:textFill>
            <w14:solidFill>
              <w14:schemeClr w14:val="tx1"/>
            </w14:solidFill>
          </w14:textFill>
        </w:rPr>
        <w:t>第七章  响应文件格式</w:t>
      </w:r>
      <w:bookmarkEnd w:id="1706"/>
      <w:bookmarkEnd w:id="1707"/>
      <w:bookmarkEnd w:id="1708"/>
      <w:bookmarkEnd w:id="1709"/>
      <w:bookmarkEnd w:id="1710"/>
    </w:p>
    <w:p w14:paraId="610311C8">
      <w:pPr>
        <w:rPr>
          <w:color w:val="000000" w:themeColor="text1"/>
          <w:highlight w:val="none"/>
          <w14:textFill>
            <w14:solidFill>
              <w14:schemeClr w14:val="tx1"/>
            </w14:solidFill>
          </w14:textFill>
        </w:rPr>
      </w:pPr>
      <w:bookmarkStart w:id="1711" w:name="_Toc20814"/>
      <w:bookmarkStart w:id="1712" w:name="_Toc15039"/>
    </w:p>
    <w:p w14:paraId="4DCE0C29">
      <w:pPr>
        <w:rPr>
          <w:color w:val="000000" w:themeColor="text1"/>
          <w:highlight w:val="none"/>
          <w14:textFill>
            <w14:solidFill>
              <w14:schemeClr w14:val="tx1"/>
            </w14:solidFill>
          </w14:textFill>
        </w:rPr>
      </w:pPr>
    </w:p>
    <w:p w14:paraId="74B55556">
      <w:pPr>
        <w:spacing w:line="700" w:lineRule="exact"/>
        <w:jc w:val="center"/>
        <w:rPr>
          <w:rFonts w:hint="eastAsia" w:ascii="宋体" w:hAnsi="宋体" w:cs="宋体"/>
          <w:b/>
          <w:color w:val="000000" w:themeColor="text1"/>
          <w:kern w:val="0"/>
          <w:sz w:val="36"/>
          <w:szCs w:val="36"/>
          <w:highlight w:val="none"/>
          <w14:textFill>
            <w14:solidFill>
              <w14:schemeClr w14:val="tx1"/>
            </w14:solidFill>
          </w14:textFill>
        </w:rPr>
      </w:pPr>
      <w:r>
        <w:rPr>
          <w:rFonts w:hint="eastAsia" w:ascii="宋体" w:hAnsi="宋体" w:cs="宋体"/>
          <w:b/>
          <w:color w:val="000000" w:themeColor="text1"/>
          <w:kern w:val="0"/>
          <w:sz w:val="36"/>
          <w:szCs w:val="36"/>
          <w:highlight w:val="none"/>
          <w:lang w:val="zh-CN"/>
          <w14:textFill>
            <w14:solidFill>
              <w14:schemeClr w14:val="tx1"/>
            </w14:solidFill>
          </w14:textFill>
        </w:rPr>
        <w:t>景谷县正兴镇波云村、通达村糖料甘蔗种植产业道路建设</w:t>
      </w:r>
      <w:r>
        <w:rPr>
          <w:rFonts w:hint="eastAsia" w:ascii="宋体" w:hAnsi="宋体" w:cs="宋体"/>
          <w:b/>
          <w:color w:val="000000" w:themeColor="text1"/>
          <w:kern w:val="0"/>
          <w:sz w:val="36"/>
          <w:szCs w:val="36"/>
          <w:highlight w:val="none"/>
          <w14:textFill>
            <w14:solidFill>
              <w14:schemeClr w14:val="tx1"/>
            </w14:solidFill>
          </w14:textFill>
        </w:rPr>
        <w:t>项目</w:t>
      </w:r>
    </w:p>
    <w:p w14:paraId="6B97B947">
      <w:pPr>
        <w:rPr>
          <w:color w:val="000000" w:themeColor="text1"/>
          <w:highlight w:val="none"/>
          <w14:textFill>
            <w14:solidFill>
              <w14:schemeClr w14:val="tx1"/>
            </w14:solidFill>
          </w14:textFill>
        </w:rPr>
      </w:pPr>
    </w:p>
    <w:p w14:paraId="36ABCE82">
      <w:pPr>
        <w:rPr>
          <w:color w:val="000000" w:themeColor="text1"/>
          <w:highlight w:val="none"/>
          <w14:textFill>
            <w14:solidFill>
              <w14:schemeClr w14:val="tx1"/>
            </w14:solidFill>
          </w14:textFill>
        </w:rPr>
      </w:pPr>
    </w:p>
    <w:p w14:paraId="781E127C">
      <w:pPr>
        <w:rPr>
          <w:color w:val="000000" w:themeColor="text1"/>
          <w:highlight w:val="none"/>
          <w14:textFill>
            <w14:solidFill>
              <w14:schemeClr w14:val="tx1"/>
            </w14:solidFill>
          </w14:textFill>
        </w:rPr>
      </w:pPr>
    </w:p>
    <w:p w14:paraId="34B82744">
      <w:pPr>
        <w:rPr>
          <w:color w:val="000000" w:themeColor="text1"/>
          <w:highlight w:val="none"/>
          <w14:textFill>
            <w14:solidFill>
              <w14:schemeClr w14:val="tx1"/>
            </w14:solidFill>
          </w14:textFill>
        </w:rPr>
      </w:pPr>
    </w:p>
    <w:p w14:paraId="17C73E3D">
      <w:pPr>
        <w:pStyle w:val="27"/>
        <w:ind w:firstLine="133" w:firstLineChars="30"/>
        <w:jc w:val="center"/>
        <w:rPr>
          <w:rFonts w:hint="eastAsia" w:hAnsi="宋体" w:cs="宋体"/>
          <w:b/>
          <w:color w:val="000000" w:themeColor="text1"/>
          <w:sz w:val="44"/>
          <w:szCs w:val="48"/>
          <w:highlight w:val="none"/>
          <w14:textFill>
            <w14:solidFill>
              <w14:schemeClr w14:val="tx1"/>
            </w14:solidFill>
          </w14:textFill>
        </w:rPr>
      </w:pPr>
      <w:r>
        <w:rPr>
          <w:rFonts w:hint="eastAsia" w:hAnsi="宋体" w:cs="宋体"/>
          <w:b/>
          <w:color w:val="000000" w:themeColor="text1"/>
          <w:sz w:val="44"/>
          <w:szCs w:val="48"/>
          <w:highlight w:val="none"/>
          <w14:textFill>
            <w14:solidFill>
              <w14:schemeClr w14:val="tx1"/>
            </w14:solidFill>
          </w14:textFill>
        </w:rPr>
        <w:t>竞争性磋商响应文件</w:t>
      </w:r>
    </w:p>
    <w:p w14:paraId="51AB582A">
      <w:pPr>
        <w:rPr>
          <w:color w:val="000000" w:themeColor="text1"/>
          <w:highlight w:val="none"/>
          <w14:textFill>
            <w14:solidFill>
              <w14:schemeClr w14:val="tx1"/>
            </w14:solidFill>
          </w14:textFill>
        </w:rPr>
      </w:pPr>
    </w:p>
    <w:p w14:paraId="35623154">
      <w:pPr>
        <w:rPr>
          <w:color w:val="000000" w:themeColor="text1"/>
          <w:highlight w:val="none"/>
          <w14:textFill>
            <w14:solidFill>
              <w14:schemeClr w14:val="tx1"/>
            </w14:solidFill>
          </w14:textFill>
        </w:rPr>
      </w:pPr>
    </w:p>
    <w:p w14:paraId="130B36D7">
      <w:pPr>
        <w:pStyle w:val="27"/>
        <w:ind w:firstLine="3058" w:firstLineChars="1088"/>
        <w:rPr>
          <w:rFonts w:hint="eastAsia" w:hAnsi="宋体" w:cs="宋体"/>
          <w:b/>
          <w:color w:val="000000" w:themeColor="text1"/>
          <w:sz w:val="28"/>
          <w:szCs w:val="28"/>
          <w:highlight w:val="none"/>
          <w:u w:val="singl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项目编号：</w:t>
      </w:r>
      <w:r>
        <w:rPr>
          <w:rFonts w:hint="eastAsia" w:hAnsi="宋体" w:cs="宋体"/>
          <w:b/>
          <w:color w:val="000000" w:themeColor="text1"/>
          <w:sz w:val="28"/>
          <w:szCs w:val="28"/>
          <w:highlight w:val="none"/>
          <w:u w:val="single"/>
          <w14:textFill>
            <w14:solidFill>
              <w14:schemeClr w14:val="tx1"/>
            </w14:solidFill>
          </w14:textFill>
        </w:rPr>
        <w:t xml:space="preserve">              </w:t>
      </w:r>
    </w:p>
    <w:p w14:paraId="304388FC">
      <w:pPr>
        <w:rPr>
          <w:color w:val="000000" w:themeColor="text1"/>
          <w:highlight w:val="none"/>
          <w14:textFill>
            <w14:solidFill>
              <w14:schemeClr w14:val="tx1"/>
            </w14:solidFill>
          </w14:textFill>
        </w:rPr>
      </w:pPr>
    </w:p>
    <w:p w14:paraId="29EAEBD6">
      <w:pPr>
        <w:rPr>
          <w:color w:val="000000" w:themeColor="text1"/>
          <w:highlight w:val="none"/>
          <w14:textFill>
            <w14:solidFill>
              <w14:schemeClr w14:val="tx1"/>
            </w14:solidFill>
          </w14:textFill>
        </w:rPr>
      </w:pPr>
    </w:p>
    <w:p w14:paraId="346644BD">
      <w:pPr>
        <w:rPr>
          <w:color w:val="000000" w:themeColor="text1"/>
          <w:highlight w:val="none"/>
          <w14:textFill>
            <w14:solidFill>
              <w14:schemeClr w14:val="tx1"/>
            </w14:solidFill>
          </w14:textFill>
        </w:rPr>
      </w:pPr>
    </w:p>
    <w:p w14:paraId="5267D1E3">
      <w:pPr>
        <w:rPr>
          <w:color w:val="000000" w:themeColor="text1"/>
          <w:highlight w:val="none"/>
          <w14:textFill>
            <w14:solidFill>
              <w14:schemeClr w14:val="tx1"/>
            </w14:solidFill>
          </w14:textFill>
        </w:rPr>
      </w:pPr>
    </w:p>
    <w:p w14:paraId="73EBD963">
      <w:pPr>
        <w:rPr>
          <w:color w:val="000000" w:themeColor="text1"/>
          <w:highlight w:val="none"/>
          <w14:textFill>
            <w14:solidFill>
              <w14:schemeClr w14:val="tx1"/>
            </w14:solidFill>
          </w14:textFill>
        </w:rPr>
      </w:pPr>
    </w:p>
    <w:p w14:paraId="39FFA8B2">
      <w:pPr>
        <w:rPr>
          <w:color w:val="000000" w:themeColor="text1"/>
          <w:highlight w:val="none"/>
          <w14:textFill>
            <w14:solidFill>
              <w14:schemeClr w14:val="tx1"/>
            </w14:solidFill>
          </w14:textFill>
        </w:rPr>
      </w:pPr>
    </w:p>
    <w:p w14:paraId="1FF786B6">
      <w:pPr>
        <w:spacing w:line="480" w:lineRule="auto"/>
        <w:ind w:left="840"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供应商（电子签章）：</w:t>
      </w:r>
      <w:r>
        <w:rPr>
          <w:rFonts w:hint="eastAsia" w:ascii="宋体" w:hAnsi="宋体" w:cs="宋体"/>
          <w:color w:val="000000" w:themeColor="text1"/>
          <w:sz w:val="24"/>
          <w:highlight w:val="none"/>
          <w:u w:val="single"/>
          <w14:textFill>
            <w14:solidFill>
              <w14:schemeClr w14:val="tx1"/>
            </w14:solidFill>
          </w14:textFill>
        </w:rPr>
        <w:t xml:space="preserve">                                   </w:t>
      </w:r>
    </w:p>
    <w:p w14:paraId="75F7C9FB">
      <w:pPr>
        <w:spacing w:line="480" w:lineRule="auto"/>
        <w:ind w:left="840" w:firstLine="42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法定代表人或其委托代理人（电子签章或电子签名）：</w:t>
      </w:r>
      <w:r>
        <w:rPr>
          <w:rFonts w:hint="eastAsia" w:ascii="宋体" w:hAnsi="宋体" w:cs="宋体"/>
          <w:color w:val="000000" w:themeColor="text1"/>
          <w:sz w:val="24"/>
          <w:highlight w:val="none"/>
          <w:u w:val="single"/>
          <w14:textFill>
            <w14:solidFill>
              <w14:schemeClr w14:val="tx1"/>
            </w14:solidFill>
          </w14:textFill>
        </w:rPr>
        <w:t xml:space="preserve">           </w:t>
      </w:r>
    </w:p>
    <w:p w14:paraId="3E0CA888">
      <w:pPr>
        <w:spacing w:line="480" w:lineRule="auto"/>
        <w:ind w:firstLine="1200" w:firstLineChars="5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06AA371C">
      <w:pPr>
        <w:rPr>
          <w:color w:val="000000" w:themeColor="text1"/>
          <w:highlight w:val="none"/>
          <w14:textFill>
            <w14:solidFill>
              <w14:schemeClr w14:val="tx1"/>
            </w14:solidFill>
          </w14:textFill>
        </w:rPr>
      </w:pPr>
    </w:p>
    <w:p w14:paraId="4B10EE82">
      <w:pPr>
        <w:rPr>
          <w:color w:val="000000" w:themeColor="text1"/>
          <w:highlight w:val="none"/>
          <w14:textFill>
            <w14:solidFill>
              <w14:schemeClr w14:val="tx1"/>
            </w14:solidFill>
          </w14:textFill>
        </w:rPr>
      </w:pPr>
    </w:p>
    <w:p w14:paraId="639ADA0D">
      <w:pPr>
        <w:rPr>
          <w:color w:val="000000" w:themeColor="text1"/>
          <w:highlight w:val="none"/>
          <w14:textFill>
            <w14:solidFill>
              <w14:schemeClr w14:val="tx1"/>
            </w14:solidFill>
          </w14:textFill>
        </w:rPr>
      </w:pPr>
    </w:p>
    <w:p w14:paraId="46AC02FB">
      <w:pPr>
        <w:pStyle w:val="50"/>
        <w:ind w:firstLine="643"/>
        <w:outlineLvl w:val="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4FFB445A">
      <w:pPr>
        <w:pStyle w:val="50"/>
        <w:ind w:firstLine="643"/>
        <w:outlineLvl w:val="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目录</w:t>
      </w:r>
    </w:p>
    <w:p w14:paraId="757A237C">
      <w:pPr>
        <w:pStyle w:val="50"/>
        <w:ind w:firstLine="420"/>
        <w:outlineLvl w:val="9"/>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供应商根据响应文件格式内容自行编制</w:t>
      </w:r>
    </w:p>
    <w:p w14:paraId="69B03060">
      <w:pPr>
        <w:rPr>
          <w:color w:val="000000" w:themeColor="text1"/>
          <w:highlight w:val="none"/>
          <w14:textFill>
            <w14:solidFill>
              <w14:schemeClr w14:val="tx1"/>
            </w14:solidFill>
          </w14:textFill>
        </w:rPr>
      </w:pPr>
    </w:p>
    <w:p w14:paraId="273CB51C">
      <w:pPr>
        <w:rPr>
          <w:color w:val="000000" w:themeColor="text1"/>
          <w:highlight w:val="none"/>
          <w14:textFill>
            <w14:solidFill>
              <w14:schemeClr w14:val="tx1"/>
            </w14:solidFill>
          </w14:textFill>
        </w:rPr>
      </w:pPr>
    </w:p>
    <w:p w14:paraId="5EFCABAB">
      <w:pPr>
        <w:rPr>
          <w:color w:val="000000" w:themeColor="text1"/>
          <w:highlight w:val="none"/>
          <w14:textFill>
            <w14:solidFill>
              <w14:schemeClr w14:val="tx1"/>
            </w14:solidFill>
          </w14:textFill>
        </w:rPr>
      </w:pPr>
    </w:p>
    <w:p w14:paraId="1E529750">
      <w:pPr>
        <w:rPr>
          <w:color w:val="000000" w:themeColor="text1"/>
          <w:highlight w:val="none"/>
          <w14:textFill>
            <w14:solidFill>
              <w14:schemeClr w14:val="tx1"/>
            </w14:solidFill>
          </w14:textFill>
        </w:rPr>
      </w:pPr>
      <w:bookmarkStart w:id="1713" w:name="_Toc21503"/>
      <w:bookmarkStart w:id="1714" w:name="_Toc28010"/>
      <w:bookmarkStart w:id="1715" w:name="_Toc30546"/>
      <w:bookmarkStart w:id="1716" w:name="_Toc29900"/>
      <w:r>
        <w:rPr>
          <w:rFonts w:hint="eastAsia"/>
          <w:color w:val="000000" w:themeColor="text1"/>
          <w:highlight w:val="none"/>
          <w14:textFill>
            <w14:solidFill>
              <w14:schemeClr w14:val="tx1"/>
            </w14:solidFill>
          </w14:textFill>
        </w:rPr>
        <w:br w:type="page"/>
      </w:r>
    </w:p>
    <w:p w14:paraId="6183A9E2">
      <w:pPr>
        <w:pStyle w:val="4"/>
        <w:rPr>
          <w:color w:val="000000" w:themeColor="text1"/>
          <w:highlight w:val="none"/>
          <w14:textFill>
            <w14:solidFill>
              <w14:schemeClr w14:val="tx1"/>
            </w14:solidFill>
          </w14:textFill>
        </w:rPr>
      </w:pPr>
      <w:bookmarkStart w:id="1717" w:name="_Toc228389607"/>
      <w:bookmarkStart w:id="1718" w:name="_Toc228389606"/>
      <w:r>
        <w:rPr>
          <w:rFonts w:hint="eastAsia"/>
          <w:color w:val="000000" w:themeColor="text1"/>
          <w:highlight w:val="none"/>
          <w14:textFill>
            <w14:solidFill>
              <w14:schemeClr w14:val="tx1"/>
            </w14:solidFill>
          </w14:textFill>
        </w:rPr>
        <w:t>一、报价文件</w:t>
      </w:r>
      <w:bookmarkEnd w:id="1717"/>
    </w:p>
    <w:p w14:paraId="13192A6E">
      <w:pPr>
        <w:rPr>
          <w:color w:val="000000" w:themeColor="text1"/>
          <w:highlight w:val="none"/>
          <w14:textFill>
            <w14:solidFill>
              <w14:schemeClr w14:val="tx1"/>
            </w14:solidFill>
          </w14:textFill>
        </w:rPr>
      </w:pPr>
    </w:p>
    <w:p w14:paraId="477D83F2">
      <w:pPr>
        <w:rPr>
          <w:color w:val="000000" w:themeColor="text1"/>
          <w:highlight w:val="none"/>
          <w14:textFill>
            <w14:solidFill>
              <w14:schemeClr w14:val="tx1"/>
            </w14:solidFill>
          </w14:textFill>
        </w:rPr>
      </w:pPr>
    </w:p>
    <w:p w14:paraId="353BA76B">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（一）报价一览表</w:t>
      </w:r>
    </w:p>
    <w:p w14:paraId="4C9278CE">
      <w:pPr>
        <w:numPr>
          <w:ilvl w:val="1"/>
          <w:numId w:val="0"/>
        </w:num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14:textFill>
            <w14:solidFill>
              <w14:schemeClr w14:val="tx1"/>
            </w14:solidFill>
          </w14:textFill>
        </w:rPr>
        <w:t xml:space="preserve">         </w:t>
      </w:r>
    </w:p>
    <w:p w14:paraId="2A3154DF">
      <w:pPr>
        <w:numPr>
          <w:ilvl w:val="1"/>
          <w:numId w:val="0"/>
        </w:numPr>
        <w:rPr>
          <w:rFonts w:hint="eastAsia" w:ascii="宋体" w:hAnsi="宋体" w:cs="宋体"/>
          <w:color w:val="000000" w:themeColor="text1"/>
          <w:szCs w:val="21"/>
          <w:highlight w:val="none"/>
          <w:u w:val="single"/>
          <w14:textFill>
            <w14:solidFill>
              <w14:schemeClr w14:val="tx1"/>
            </w14:solidFill>
          </w14:textFill>
        </w:rPr>
      </w:pPr>
      <w:bookmarkStart w:id="1719" w:name="_Toc18519"/>
      <w:bookmarkStart w:id="1720" w:name="_Toc18174"/>
      <w:r>
        <w:rPr>
          <w:rFonts w:hint="eastAsia" w:ascii="宋体" w:hAnsi="宋体" w:cs="宋体"/>
          <w:color w:val="000000" w:themeColor="text1"/>
          <w:szCs w:val="21"/>
          <w:highlight w:val="none"/>
          <w14:textFill>
            <w14:solidFill>
              <w14:schemeClr w14:val="tx1"/>
            </w14:solidFill>
          </w14:textFill>
        </w:rPr>
        <w:t>项目编号：</w:t>
      </w:r>
      <w:bookmarkEnd w:id="1719"/>
      <w:bookmarkEnd w:id="1720"/>
      <w:r>
        <w:rPr>
          <w:rFonts w:hint="eastAsia" w:ascii="宋体" w:hAnsi="宋体" w:cs="宋体"/>
          <w:color w:val="000000" w:themeColor="text1"/>
          <w:szCs w:val="21"/>
          <w:highlight w:val="none"/>
          <w:u w:val="single"/>
          <w14:textFill>
            <w14:solidFill>
              <w14:schemeClr w14:val="tx1"/>
            </w14:solidFill>
          </w14:textFill>
        </w:rPr>
        <w:t xml:space="preserve">         </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92"/>
        <w:gridCol w:w="7462"/>
      </w:tblGrid>
      <w:tr w14:paraId="015B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4191C747">
            <w:pPr>
              <w:pStyle w:val="209"/>
              <w:jc w:val="center"/>
              <w:rPr>
                <w:rFonts w:hint="eastAsia" w:hAnsi="宋体" w:eastAsia="宋体" w:cs="宋体"/>
                <w:b/>
                <w:bCs/>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名称</w:t>
            </w:r>
          </w:p>
        </w:tc>
        <w:tc>
          <w:tcPr>
            <w:tcW w:w="7462" w:type="dxa"/>
            <w:vAlign w:val="center"/>
          </w:tcPr>
          <w:p w14:paraId="03738257">
            <w:pPr>
              <w:pStyle w:val="209"/>
              <w:jc w:val="center"/>
              <w:rPr>
                <w:rFonts w:hint="eastAsia" w:hAnsi="宋体" w:eastAsia="宋体" w:cs="宋体"/>
                <w:b/>
                <w:bCs/>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内         容</w:t>
            </w:r>
          </w:p>
        </w:tc>
      </w:tr>
      <w:tr w14:paraId="1801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07" w:hRule="exact"/>
        </w:trPr>
        <w:tc>
          <w:tcPr>
            <w:tcW w:w="2392" w:type="dxa"/>
            <w:vAlign w:val="center"/>
          </w:tcPr>
          <w:p w14:paraId="3D3753ED">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响应报价</w:t>
            </w:r>
          </w:p>
          <w:p w14:paraId="0E9B81CB">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（人民币、元）</w:t>
            </w:r>
          </w:p>
        </w:tc>
        <w:tc>
          <w:tcPr>
            <w:tcW w:w="7462" w:type="dxa"/>
            <w:vAlign w:val="center"/>
          </w:tcPr>
          <w:p w14:paraId="7ECF0DC0">
            <w:pPr>
              <w:pStyle w:val="209"/>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小写：</w:t>
            </w:r>
          </w:p>
          <w:p w14:paraId="4E72750B">
            <w:pPr>
              <w:pStyle w:val="209"/>
              <w:jc w:val="left"/>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大写：</w:t>
            </w:r>
          </w:p>
        </w:tc>
      </w:tr>
      <w:tr w14:paraId="2EC2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71" w:hRule="exact"/>
        </w:trPr>
        <w:tc>
          <w:tcPr>
            <w:tcW w:w="2392" w:type="dxa"/>
            <w:vAlign w:val="center"/>
          </w:tcPr>
          <w:p w14:paraId="79700493">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项目经理姓名</w:t>
            </w:r>
          </w:p>
          <w:p w14:paraId="596C79E1">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及注册证书编号</w:t>
            </w:r>
          </w:p>
        </w:tc>
        <w:tc>
          <w:tcPr>
            <w:tcW w:w="7462" w:type="dxa"/>
            <w:vAlign w:val="center"/>
          </w:tcPr>
          <w:p w14:paraId="7A948516">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0F5E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780D3BD3">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合同履行期限</w:t>
            </w:r>
          </w:p>
        </w:tc>
        <w:tc>
          <w:tcPr>
            <w:tcW w:w="7462" w:type="dxa"/>
            <w:vAlign w:val="center"/>
          </w:tcPr>
          <w:p w14:paraId="26C930B9">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5889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47BA7AEC">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质量承诺</w:t>
            </w:r>
          </w:p>
        </w:tc>
        <w:tc>
          <w:tcPr>
            <w:tcW w:w="7462" w:type="dxa"/>
            <w:vAlign w:val="center"/>
          </w:tcPr>
          <w:p w14:paraId="29F5DF6D">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2A67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3FD81001">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备注</w:t>
            </w:r>
          </w:p>
        </w:tc>
        <w:tc>
          <w:tcPr>
            <w:tcW w:w="7462" w:type="dxa"/>
            <w:vAlign w:val="center"/>
          </w:tcPr>
          <w:p w14:paraId="0FE0D7BB">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2544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315" w:hRule="atLeast"/>
        </w:trPr>
        <w:tc>
          <w:tcPr>
            <w:tcW w:w="9854" w:type="dxa"/>
            <w:gridSpan w:val="2"/>
          </w:tcPr>
          <w:p w14:paraId="6710EA37">
            <w:pPr>
              <w:spacing w:line="480" w:lineRule="auto"/>
              <w:rPr>
                <w:rFonts w:hint="eastAsia" w:ascii="宋体" w:hAnsi="宋体" w:cs="宋体"/>
                <w:color w:val="000000" w:themeColor="text1"/>
                <w:szCs w:val="21"/>
                <w:highlight w:val="none"/>
                <w14:textFill>
                  <w14:solidFill>
                    <w14:schemeClr w14:val="tx1"/>
                  </w14:solidFill>
                </w14:textFill>
              </w:rPr>
            </w:pPr>
          </w:p>
          <w:p w14:paraId="2510272A">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77BB36EB">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6436CC35">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tc>
      </w:tr>
    </w:tbl>
    <w:p w14:paraId="5FE0CFB3">
      <w:pPr>
        <w:ind w:left="420"/>
        <w:rPr>
          <w:color w:val="000000" w:themeColor="text1"/>
          <w:highlight w:val="none"/>
          <w14:textFill>
            <w14:solidFill>
              <w14:schemeClr w14:val="tx1"/>
            </w14:solidFill>
          </w14:textFill>
        </w:rPr>
      </w:pPr>
    </w:p>
    <w:p w14:paraId="4E8CE9E8">
      <w:pPr>
        <w:ind w:left="420"/>
        <w:rPr>
          <w:color w:val="000000" w:themeColor="text1"/>
          <w:highlight w:val="none"/>
          <w14:textFill>
            <w14:solidFill>
              <w14:schemeClr w14:val="tx1"/>
            </w14:solidFill>
          </w14:textFill>
        </w:rPr>
      </w:pPr>
    </w:p>
    <w:p w14:paraId="0EF647FE">
      <w:pPr>
        <w:ind w:left="420"/>
        <w:rPr>
          <w:color w:val="000000" w:themeColor="text1"/>
          <w:highlight w:val="none"/>
          <w14:textFill>
            <w14:solidFill>
              <w14:schemeClr w14:val="tx1"/>
            </w14:solidFill>
          </w14:textFill>
        </w:rPr>
      </w:pPr>
    </w:p>
    <w:p w14:paraId="1934A588">
      <w:pPr>
        <w:ind w:left="420"/>
        <w:rPr>
          <w:color w:val="000000" w:themeColor="text1"/>
          <w:highlight w:val="none"/>
          <w14:textFill>
            <w14:solidFill>
              <w14:schemeClr w14:val="tx1"/>
            </w14:solidFill>
          </w14:textFill>
        </w:rPr>
      </w:pPr>
    </w:p>
    <w:p w14:paraId="13BF061C">
      <w:pPr>
        <w:pStyle w:val="4"/>
        <w:rPr>
          <w:color w:val="000000" w:themeColor="text1"/>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二、资格文件</w:t>
      </w:r>
      <w:bookmarkEnd w:id="1718"/>
    </w:p>
    <w:p w14:paraId="225A2063">
      <w:pPr>
        <w:pStyle w:val="5"/>
        <w:rPr>
          <w:color w:val="000000" w:themeColor="text1"/>
          <w:highlight w:val="none"/>
          <w14:textFill>
            <w14:solidFill>
              <w14:schemeClr w14:val="tx1"/>
            </w14:solidFill>
          </w14:textFill>
        </w:rPr>
      </w:pPr>
      <w:bookmarkStart w:id="1721" w:name="_Toc445930094"/>
      <w:bookmarkStart w:id="1722" w:name="_Toc328561087"/>
      <w:bookmarkStart w:id="1723" w:name="_Toc243800442"/>
      <w:bookmarkStart w:id="1724" w:name="_Toc34757035"/>
      <w:bookmarkStart w:id="1725" w:name="_Toc34588918"/>
      <w:bookmarkStart w:id="1726" w:name="_Toc450207967"/>
      <w:bookmarkStart w:id="1727" w:name="_Toc508750310"/>
      <w:bookmarkStart w:id="1728" w:name="_Toc17289"/>
      <w:bookmarkStart w:id="1729" w:name="_Toc29551"/>
      <w:r>
        <w:rPr>
          <w:rFonts w:hint="eastAsia"/>
          <w:color w:val="000000" w:themeColor="text1"/>
          <w:highlight w:val="none"/>
          <w14:textFill>
            <w14:solidFill>
              <w14:schemeClr w14:val="tx1"/>
            </w14:solidFill>
          </w14:textFill>
        </w:rPr>
        <w:t>（一）具有独立承担民事责任的能力</w:t>
      </w:r>
    </w:p>
    <w:bookmarkEnd w:id="1721"/>
    <w:bookmarkEnd w:id="1722"/>
    <w:bookmarkEnd w:id="1723"/>
    <w:bookmarkEnd w:id="1724"/>
    <w:bookmarkEnd w:id="1725"/>
    <w:bookmarkEnd w:id="1726"/>
    <w:bookmarkEnd w:id="1727"/>
    <w:p w14:paraId="769942F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供应商为企业（包括合伙企业）的，应提供有效的“营业执照”；</w:t>
      </w:r>
    </w:p>
    <w:p w14:paraId="70ABD99F">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供应商为事业单位的，应提供有效的“事业单位法人证书”；</w:t>
      </w:r>
    </w:p>
    <w:p w14:paraId="0BC89064">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是非企业机构的，应提供有效的“执业许可证”、“登记证书”等证明文件</w:t>
      </w:r>
      <w:r>
        <w:rPr>
          <w:color w:val="000000" w:themeColor="text1"/>
          <w:highlight w:val="none"/>
          <w14:textFill>
            <w14:solidFill>
              <w14:schemeClr w14:val="tx1"/>
            </w14:solidFill>
          </w14:textFill>
        </w:rPr>
        <w:t>；</w:t>
      </w:r>
    </w:p>
    <w:p w14:paraId="285807E6">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供应商是个体工商户的，应提供有效的“个体工商户营业执照”；</w:t>
      </w:r>
    </w:p>
    <w:p w14:paraId="5433C58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供应商是自然人的，应提供有效的自然人身份证明。</w:t>
      </w:r>
    </w:p>
    <w:p w14:paraId="612E27CE">
      <w:pPr>
        <w:jc w:val="center"/>
        <w:rPr>
          <w:b/>
          <w:bCs/>
          <w:color w:val="000000" w:themeColor="text1"/>
          <w:sz w:val="24"/>
          <w:szCs w:val="32"/>
          <w:highlight w:val="none"/>
          <w14:textFill>
            <w14:solidFill>
              <w14:schemeClr w14:val="tx1"/>
            </w14:solidFill>
          </w14:textFill>
        </w:rPr>
      </w:pPr>
      <w:r>
        <w:rPr>
          <w:rFonts w:hint="eastAsia"/>
          <w:b/>
          <w:bCs/>
          <w:color w:val="000000" w:themeColor="text1"/>
          <w:sz w:val="24"/>
          <w:szCs w:val="32"/>
          <w:highlight w:val="none"/>
          <w14:textFill>
            <w14:solidFill>
              <w14:schemeClr w14:val="tx1"/>
            </w14:solidFill>
          </w14:textFill>
        </w:rPr>
        <w:t>供应商基本情况表</w:t>
      </w:r>
      <w:bookmarkEnd w:id="1728"/>
      <w:bookmarkEnd w:id="1729"/>
    </w:p>
    <w:tbl>
      <w:tblPr>
        <w:tblStyle w:val="53"/>
        <w:tblW w:w="9655" w:type="dxa"/>
        <w:tblInd w:w="1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17"/>
        <w:gridCol w:w="1016"/>
        <w:gridCol w:w="1086"/>
        <w:gridCol w:w="1129"/>
        <w:gridCol w:w="279"/>
        <w:gridCol w:w="1501"/>
        <w:gridCol w:w="393"/>
        <w:gridCol w:w="112"/>
        <w:gridCol w:w="374"/>
        <w:gridCol w:w="1848"/>
      </w:tblGrid>
      <w:tr w14:paraId="0DD74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42BA008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供应商名称</w:t>
            </w:r>
          </w:p>
        </w:tc>
        <w:tc>
          <w:tcPr>
            <w:tcW w:w="7738" w:type="dxa"/>
            <w:gridSpan w:val="9"/>
            <w:vAlign w:val="center"/>
          </w:tcPr>
          <w:p w14:paraId="74B2E3B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BC6F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17097432">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注册地址</w:t>
            </w:r>
          </w:p>
        </w:tc>
        <w:tc>
          <w:tcPr>
            <w:tcW w:w="3510" w:type="dxa"/>
            <w:gridSpan w:val="4"/>
            <w:vAlign w:val="center"/>
          </w:tcPr>
          <w:p w14:paraId="60BB6EB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894" w:type="dxa"/>
            <w:gridSpan w:val="2"/>
            <w:vAlign w:val="center"/>
          </w:tcPr>
          <w:p w14:paraId="11943AEE">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tc>
        <w:tc>
          <w:tcPr>
            <w:tcW w:w="2334" w:type="dxa"/>
            <w:gridSpan w:val="3"/>
            <w:vAlign w:val="center"/>
          </w:tcPr>
          <w:p w14:paraId="7EA57002">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46836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Merge w:val="restart"/>
            <w:vAlign w:val="center"/>
          </w:tcPr>
          <w:p w14:paraId="0BB40A48">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p>
        </w:tc>
        <w:tc>
          <w:tcPr>
            <w:tcW w:w="1016" w:type="dxa"/>
            <w:vAlign w:val="center"/>
          </w:tcPr>
          <w:p w14:paraId="14FB1B5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p>
        </w:tc>
        <w:tc>
          <w:tcPr>
            <w:tcW w:w="2494" w:type="dxa"/>
            <w:gridSpan w:val="3"/>
            <w:vAlign w:val="center"/>
          </w:tcPr>
          <w:p w14:paraId="005582E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894" w:type="dxa"/>
            <w:gridSpan w:val="2"/>
            <w:vAlign w:val="center"/>
          </w:tcPr>
          <w:p w14:paraId="6B8B694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p>
        </w:tc>
        <w:tc>
          <w:tcPr>
            <w:tcW w:w="2334" w:type="dxa"/>
            <w:gridSpan w:val="3"/>
            <w:vAlign w:val="center"/>
          </w:tcPr>
          <w:p w14:paraId="5E538E3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7D101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Merge w:val="continue"/>
            <w:vAlign w:val="center"/>
          </w:tcPr>
          <w:p w14:paraId="3A95175B">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6" w:type="dxa"/>
            <w:vAlign w:val="center"/>
          </w:tcPr>
          <w:p w14:paraId="04ADCB2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传真</w:t>
            </w:r>
          </w:p>
        </w:tc>
        <w:tc>
          <w:tcPr>
            <w:tcW w:w="2494" w:type="dxa"/>
            <w:gridSpan w:val="3"/>
            <w:vAlign w:val="center"/>
          </w:tcPr>
          <w:p w14:paraId="1A57BA37">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894" w:type="dxa"/>
            <w:gridSpan w:val="2"/>
            <w:vAlign w:val="center"/>
          </w:tcPr>
          <w:p w14:paraId="328F8D0C">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网址</w:t>
            </w:r>
          </w:p>
        </w:tc>
        <w:tc>
          <w:tcPr>
            <w:tcW w:w="2334" w:type="dxa"/>
            <w:gridSpan w:val="3"/>
            <w:vAlign w:val="center"/>
          </w:tcPr>
          <w:p w14:paraId="4822E09F">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526A0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6D454ED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组织结构</w:t>
            </w:r>
          </w:p>
        </w:tc>
        <w:tc>
          <w:tcPr>
            <w:tcW w:w="7738" w:type="dxa"/>
            <w:gridSpan w:val="9"/>
            <w:vAlign w:val="center"/>
          </w:tcPr>
          <w:p w14:paraId="16EE637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6DFDB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48D1E250">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w:t>
            </w:r>
          </w:p>
        </w:tc>
        <w:tc>
          <w:tcPr>
            <w:tcW w:w="1016" w:type="dxa"/>
            <w:vAlign w:val="center"/>
          </w:tcPr>
          <w:p w14:paraId="36E3F10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086" w:type="dxa"/>
            <w:vAlign w:val="center"/>
          </w:tcPr>
          <w:p w14:paraId="61A35F5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08" w:type="dxa"/>
            <w:gridSpan w:val="2"/>
            <w:vAlign w:val="center"/>
          </w:tcPr>
          <w:p w14:paraId="538D110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1501" w:type="dxa"/>
            <w:vAlign w:val="center"/>
          </w:tcPr>
          <w:p w14:paraId="65D3088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879" w:type="dxa"/>
            <w:gridSpan w:val="3"/>
            <w:vAlign w:val="center"/>
          </w:tcPr>
          <w:p w14:paraId="6BFA9B0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p>
        </w:tc>
        <w:tc>
          <w:tcPr>
            <w:tcW w:w="1848" w:type="dxa"/>
            <w:vAlign w:val="center"/>
          </w:tcPr>
          <w:p w14:paraId="081A24A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1304F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3A99933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技术负责人</w:t>
            </w:r>
          </w:p>
        </w:tc>
        <w:tc>
          <w:tcPr>
            <w:tcW w:w="1016" w:type="dxa"/>
            <w:vAlign w:val="center"/>
          </w:tcPr>
          <w:p w14:paraId="30B0F973">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086" w:type="dxa"/>
            <w:vAlign w:val="center"/>
          </w:tcPr>
          <w:p w14:paraId="105E762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08" w:type="dxa"/>
            <w:gridSpan w:val="2"/>
            <w:vAlign w:val="center"/>
          </w:tcPr>
          <w:p w14:paraId="12E7E461">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1501" w:type="dxa"/>
            <w:vAlign w:val="center"/>
          </w:tcPr>
          <w:p w14:paraId="65311CC7">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879" w:type="dxa"/>
            <w:gridSpan w:val="3"/>
            <w:vAlign w:val="center"/>
          </w:tcPr>
          <w:p w14:paraId="2829D95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p>
        </w:tc>
        <w:tc>
          <w:tcPr>
            <w:tcW w:w="1848" w:type="dxa"/>
            <w:vAlign w:val="center"/>
          </w:tcPr>
          <w:p w14:paraId="68835FF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A7AC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40A40782">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成立时间</w:t>
            </w:r>
          </w:p>
        </w:tc>
        <w:tc>
          <w:tcPr>
            <w:tcW w:w="2102" w:type="dxa"/>
            <w:gridSpan w:val="2"/>
            <w:vAlign w:val="center"/>
          </w:tcPr>
          <w:p w14:paraId="6FC0E65B">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5636" w:type="dxa"/>
            <w:gridSpan w:val="7"/>
            <w:vAlign w:val="center"/>
          </w:tcPr>
          <w:p w14:paraId="565232FC">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员工总人数：</w:t>
            </w:r>
          </w:p>
        </w:tc>
      </w:tr>
      <w:tr w14:paraId="5CF3E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4311F4B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企业资质等级</w:t>
            </w:r>
          </w:p>
        </w:tc>
        <w:tc>
          <w:tcPr>
            <w:tcW w:w="2102" w:type="dxa"/>
            <w:gridSpan w:val="2"/>
            <w:vAlign w:val="center"/>
          </w:tcPr>
          <w:p w14:paraId="22E5925B">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29" w:type="dxa"/>
            <w:vMerge w:val="restart"/>
            <w:vAlign w:val="center"/>
          </w:tcPr>
          <w:p w14:paraId="5C2C754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w:t>
            </w:r>
          </w:p>
        </w:tc>
        <w:tc>
          <w:tcPr>
            <w:tcW w:w="2285" w:type="dxa"/>
            <w:gridSpan w:val="4"/>
            <w:vMerge w:val="restart"/>
            <w:vAlign w:val="center"/>
          </w:tcPr>
          <w:p w14:paraId="309C759F">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高级职称人员</w:t>
            </w:r>
          </w:p>
        </w:tc>
        <w:tc>
          <w:tcPr>
            <w:tcW w:w="2222" w:type="dxa"/>
            <w:gridSpan w:val="2"/>
            <w:vMerge w:val="restart"/>
            <w:vAlign w:val="center"/>
          </w:tcPr>
          <w:p w14:paraId="7D591127">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BF85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150F46D6">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营业执照号</w:t>
            </w:r>
          </w:p>
        </w:tc>
        <w:tc>
          <w:tcPr>
            <w:tcW w:w="2102" w:type="dxa"/>
            <w:gridSpan w:val="2"/>
            <w:vAlign w:val="center"/>
          </w:tcPr>
          <w:p w14:paraId="061D34CC">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29" w:type="dxa"/>
            <w:vMerge w:val="continue"/>
            <w:vAlign w:val="center"/>
          </w:tcPr>
          <w:p w14:paraId="297F1A4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285" w:type="dxa"/>
            <w:gridSpan w:val="4"/>
            <w:vMerge w:val="continue"/>
            <w:vAlign w:val="center"/>
          </w:tcPr>
          <w:p w14:paraId="0C20CB8D">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222" w:type="dxa"/>
            <w:gridSpan w:val="2"/>
            <w:vMerge w:val="continue"/>
            <w:vAlign w:val="center"/>
          </w:tcPr>
          <w:p w14:paraId="612D8FF3">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454A6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7074FCE2">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注册资金</w:t>
            </w:r>
          </w:p>
        </w:tc>
        <w:tc>
          <w:tcPr>
            <w:tcW w:w="2102" w:type="dxa"/>
            <w:gridSpan w:val="2"/>
            <w:vAlign w:val="center"/>
          </w:tcPr>
          <w:p w14:paraId="53164BF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29" w:type="dxa"/>
            <w:vMerge w:val="continue"/>
            <w:vAlign w:val="center"/>
          </w:tcPr>
          <w:p w14:paraId="196CD88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285" w:type="dxa"/>
            <w:gridSpan w:val="4"/>
            <w:vAlign w:val="center"/>
          </w:tcPr>
          <w:p w14:paraId="7FBBD423">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中级职称人员</w:t>
            </w:r>
          </w:p>
        </w:tc>
        <w:tc>
          <w:tcPr>
            <w:tcW w:w="2222" w:type="dxa"/>
            <w:gridSpan w:val="2"/>
            <w:vAlign w:val="center"/>
          </w:tcPr>
          <w:p w14:paraId="63C630C8">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56A05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51AE5CB7">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开户银行</w:t>
            </w:r>
          </w:p>
        </w:tc>
        <w:tc>
          <w:tcPr>
            <w:tcW w:w="2102" w:type="dxa"/>
            <w:gridSpan w:val="2"/>
            <w:vAlign w:val="center"/>
          </w:tcPr>
          <w:p w14:paraId="2927BB03">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29" w:type="dxa"/>
            <w:vMerge w:val="continue"/>
            <w:vAlign w:val="center"/>
          </w:tcPr>
          <w:p w14:paraId="743E367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285" w:type="dxa"/>
            <w:gridSpan w:val="4"/>
            <w:vAlign w:val="center"/>
          </w:tcPr>
          <w:p w14:paraId="11BC149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初级职称人员</w:t>
            </w:r>
          </w:p>
        </w:tc>
        <w:tc>
          <w:tcPr>
            <w:tcW w:w="2222" w:type="dxa"/>
            <w:gridSpan w:val="2"/>
            <w:vAlign w:val="center"/>
          </w:tcPr>
          <w:p w14:paraId="776E1ECB">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79334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6068FDF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账号</w:t>
            </w:r>
          </w:p>
        </w:tc>
        <w:tc>
          <w:tcPr>
            <w:tcW w:w="2102" w:type="dxa"/>
            <w:gridSpan w:val="2"/>
            <w:vAlign w:val="center"/>
          </w:tcPr>
          <w:p w14:paraId="36E37460">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29" w:type="dxa"/>
            <w:vMerge w:val="continue"/>
            <w:vAlign w:val="center"/>
          </w:tcPr>
          <w:p w14:paraId="4EF44E9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285" w:type="dxa"/>
            <w:gridSpan w:val="4"/>
            <w:vAlign w:val="center"/>
          </w:tcPr>
          <w:p w14:paraId="0D777D7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技工</w:t>
            </w:r>
          </w:p>
        </w:tc>
        <w:tc>
          <w:tcPr>
            <w:tcW w:w="2222" w:type="dxa"/>
            <w:gridSpan w:val="2"/>
            <w:vAlign w:val="center"/>
          </w:tcPr>
          <w:p w14:paraId="3C147E0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9BD6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3F154DCE">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经营范围</w:t>
            </w:r>
          </w:p>
        </w:tc>
        <w:tc>
          <w:tcPr>
            <w:tcW w:w="7738" w:type="dxa"/>
            <w:gridSpan w:val="9"/>
            <w:vAlign w:val="center"/>
          </w:tcPr>
          <w:p w14:paraId="2F56A324">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65D4C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917" w:type="dxa"/>
            <w:vAlign w:val="center"/>
          </w:tcPr>
          <w:p w14:paraId="61C987EA">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c>
          <w:tcPr>
            <w:tcW w:w="7738" w:type="dxa"/>
            <w:gridSpan w:val="9"/>
            <w:vAlign w:val="center"/>
          </w:tcPr>
          <w:p w14:paraId="0B7014A5">
            <w:pPr>
              <w:tabs>
                <w:tab w:val="center" w:pos="4153"/>
                <w:tab w:val="right" w:pos="8306"/>
              </w:tabs>
              <w:snapToGrid w:val="0"/>
              <w:spacing w:line="240" w:lineRule="auto"/>
              <w:jc w:val="center"/>
              <w:rPr>
                <w:rFonts w:hint="eastAsia" w:ascii="宋体" w:hAnsi="宋体" w:cs="宋体"/>
                <w:color w:val="000000" w:themeColor="text1"/>
                <w:szCs w:val="21"/>
                <w:highlight w:val="none"/>
                <w14:textFill>
                  <w14:solidFill>
                    <w14:schemeClr w14:val="tx1"/>
                  </w14:solidFill>
                </w14:textFill>
              </w:rPr>
            </w:pPr>
          </w:p>
        </w:tc>
      </w:tr>
    </w:tbl>
    <w:p w14:paraId="2E30CA51">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注：1.表后附营业执照等其他法定证明文件等。</w:t>
      </w:r>
    </w:p>
    <w:p w14:paraId="20CE542D">
      <w:pPr>
        <w:ind w:left="420"/>
        <w:rPr>
          <w:color w:val="000000" w:themeColor="text1"/>
          <w:highlight w:val="none"/>
          <w14:textFill>
            <w14:solidFill>
              <w14:schemeClr w14:val="tx1"/>
            </w14:solidFill>
          </w14:textFill>
        </w:rPr>
      </w:pPr>
    </w:p>
    <w:p w14:paraId="26801884">
      <w:pPr>
        <w:ind w:left="420"/>
        <w:rPr>
          <w:color w:val="000000" w:themeColor="text1"/>
          <w:highlight w:val="none"/>
          <w14:textFill>
            <w14:solidFill>
              <w14:schemeClr w14:val="tx1"/>
            </w14:solidFill>
          </w14:textFill>
        </w:rPr>
      </w:pPr>
    </w:p>
    <w:p w14:paraId="1B395573">
      <w:pPr>
        <w:ind w:left="420"/>
        <w:rPr>
          <w:color w:val="000000" w:themeColor="text1"/>
          <w:highlight w:val="none"/>
          <w14:textFill>
            <w14:solidFill>
              <w14:schemeClr w14:val="tx1"/>
            </w14:solidFill>
          </w14:textFill>
        </w:rPr>
      </w:pPr>
    </w:p>
    <w:p w14:paraId="018FD9EC">
      <w:pPr>
        <w:widowControl/>
        <w:jc w:val="center"/>
        <w:outlineLvl w:val="2"/>
        <w:rPr>
          <w:rFonts w:hint="eastAsia" w:ascii="宋体" w:hAnsi="宋体" w:cs="宋体"/>
          <w:b/>
          <w:snapToGrid w:val="0"/>
          <w:color w:val="000000" w:themeColor="text1"/>
          <w:kern w:val="0"/>
          <w:sz w:val="24"/>
          <w:highlight w:val="none"/>
          <w14:textFill>
            <w14:solidFill>
              <w14:schemeClr w14:val="tx1"/>
            </w14:solidFill>
          </w14:textFill>
        </w:rPr>
      </w:pPr>
      <w:bookmarkStart w:id="1730" w:name="_Toc30801"/>
      <w:bookmarkStart w:id="1731" w:name="_Toc29214"/>
      <w:r>
        <w:rPr>
          <w:rFonts w:hint="eastAsia" w:ascii="宋体" w:hAnsi="宋体" w:cs="宋体"/>
          <w:b/>
          <w:snapToGrid w:val="0"/>
          <w:color w:val="000000" w:themeColor="text1"/>
          <w:kern w:val="0"/>
          <w:sz w:val="24"/>
          <w:highlight w:val="none"/>
          <w14:textFill>
            <w14:solidFill>
              <w14:schemeClr w14:val="tx1"/>
            </w14:solidFill>
          </w14:textFill>
        </w:rPr>
        <w:br w:type="page"/>
      </w:r>
    </w:p>
    <w:p w14:paraId="06A7EE9B">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w:t>
      </w:r>
      <w:bookmarkEnd w:id="1730"/>
      <w:bookmarkEnd w:id="1731"/>
      <w:r>
        <w:rPr>
          <w:rFonts w:hint="eastAsia"/>
          <w:color w:val="000000" w:themeColor="text1"/>
          <w:highlight w:val="none"/>
          <w14:textFill>
            <w14:solidFill>
              <w14:schemeClr w14:val="tx1"/>
            </w14:solidFill>
          </w14:textFill>
        </w:rPr>
        <w:t>具有健全的财务会计制度</w:t>
      </w:r>
    </w:p>
    <w:p w14:paraId="13B68A87">
      <w:pPr>
        <w:ind w:left="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有健全的财务会计制度【供应商须提供财务状况报告或承诺书，财务状况报告内容可为以下两者之一：①提供2023年至2025年其中任意一年的财务报告（包括资产负债表、利润表、现金流量表、所有者权益变动表及其附注），新成立不满1年的供应商提供自成立至今的财务报表；②提供自响应文件递交截止时间前三个月内基本开户银行出具的资信证明】；</w:t>
      </w:r>
    </w:p>
    <w:p w14:paraId="1E410DE6">
      <w:pPr>
        <w:pStyle w:val="2"/>
        <w:rPr>
          <w:color w:val="000000" w:themeColor="text1"/>
          <w:highlight w:val="none"/>
          <w14:textFill>
            <w14:solidFill>
              <w14:schemeClr w14:val="tx1"/>
            </w14:solidFill>
          </w14:textFill>
        </w:rPr>
      </w:pPr>
    </w:p>
    <w:p w14:paraId="5CED0F9E">
      <w:pPr>
        <w:pStyle w:val="5"/>
        <w:rPr>
          <w:color w:val="000000" w:themeColor="text1"/>
          <w:highlight w:val="none"/>
          <w14:textFill>
            <w14:solidFill>
              <w14:schemeClr w14:val="tx1"/>
            </w14:solidFill>
          </w14:textFill>
        </w:rPr>
      </w:pPr>
      <w:bookmarkStart w:id="1732" w:name="_Toc19217"/>
      <w:bookmarkStart w:id="1733" w:name="_Toc15115"/>
      <w:r>
        <w:rPr>
          <w:rFonts w:hint="eastAsia"/>
          <w:color w:val="000000" w:themeColor="text1"/>
          <w:highlight w:val="none"/>
          <w14:textFill>
            <w14:solidFill>
              <w14:schemeClr w14:val="tx1"/>
            </w14:solidFill>
          </w14:textFill>
        </w:rPr>
        <w:t>（三）</w:t>
      </w:r>
      <w:bookmarkEnd w:id="1732"/>
      <w:bookmarkEnd w:id="1733"/>
      <w:r>
        <w:rPr>
          <w:rFonts w:hint="eastAsia"/>
          <w:color w:val="000000" w:themeColor="text1"/>
          <w:highlight w:val="none"/>
          <w14:textFill>
            <w14:solidFill>
              <w14:schemeClr w14:val="tx1"/>
            </w14:solidFill>
          </w14:textFill>
        </w:rPr>
        <w:t>具有履行合同所必须的设备和专业技术能力</w:t>
      </w:r>
    </w:p>
    <w:p w14:paraId="0D7D118B">
      <w:pPr>
        <w:widowControl/>
        <w:ind w:firstLine="48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【提供承诺书或证明材料】</w:t>
      </w:r>
    </w:p>
    <w:p w14:paraId="1216BF9D">
      <w:pPr>
        <w:ind w:left="420"/>
        <w:rPr>
          <w:color w:val="000000" w:themeColor="text1"/>
          <w:highlight w:val="none"/>
          <w14:textFill>
            <w14:solidFill>
              <w14:schemeClr w14:val="tx1"/>
            </w14:solidFill>
          </w14:textFill>
        </w:rPr>
      </w:pPr>
    </w:p>
    <w:p w14:paraId="0DC1B3C5">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（四）有依法缴纳税收和社会保障资金的良好记录</w:t>
      </w:r>
    </w:p>
    <w:p w14:paraId="5B1A35DA">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有依法缴纳税收和社会保障资金的良好记录【提供2025年1月至今任意3个月依法缴纳税收和缴纳社会保障资金的证明或承诺书（成立未满3个月的提供成立以来的税收和社会保障资金缴纳凭据或相关情况说明；依法免税或不需要缴纳税收、不需要缴纳社会保障资金的供应商，应提供相应文件证明）】</w:t>
      </w:r>
    </w:p>
    <w:p w14:paraId="1790C942">
      <w:pPr>
        <w:ind w:firstLine="480"/>
        <w:rPr>
          <w:rFonts w:hint="eastAsia" w:ascii="宋体" w:hAnsi="宋体" w:cs="宋体"/>
          <w:color w:val="000000" w:themeColor="text1"/>
          <w:sz w:val="24"/>
          <w:highlight w:val="none"/>
          <w14:textFill>
            <w14:solidFill>
              <w14:schemeClr w14:val="tx1"/>
            </w14:solidFill>
          </w14:textFill>
        </w:rPr>
      </w:pPr>
    </w:p>
    <w:p w14:paraId="2885B362">
      <w:pPr>
        <w:ind w:firstLine="480"/>
        <w:rPr>
          <w:rFonts w:hint="eastAsia" w:ascii="宋体" w:hAnsi="宋体" w:cs="宋体"/>
          <w:color w:val="000000" w:themeColor="text1"/>
          <w:sz w:val="24"/>
          <w:highlight w:val="none"/>
          <w14:textFill>
            <w14:solidFill>
              <w14:schemeClr w14:val="tx1"/>
            </w14:solidFill>
          </w14:textFill>
        </w:rPr>
      </w:pPr>
    </w:p>
    <w:p w14:paraId="2C3F783E">
      <w:pPr>
        <w:pStyle w:val="5"/>
        <w:rPr>
          <w:color w:val="000000" w:themeColor="text1"/>
          <w:highlight w:val="none"/>
          <w14:textFill>
            <w14:solidFill>
              <w14:schemeClr w14:val="tx1"/>
            </w14:solidFill>
          </w14:textFill>
        </w:rPr>
      </w:pPr>
      <w:bookmarkStart w:id="1734" w:name="_Toc6289"/>
      <w:bookmarkStart w:id="1735" w:name="_Toc18344"/>
      <w:r>
        <w:rPr>
          <w:rFonts w:hint="eastAsia"/>
          <w:color w:val="000000" w:themeColor="text1"/>
          <w:highlight w:val="none"/>
          <w14:textFill>
            <w14:solidFill>
              <w14:schemeClr w14:val="tx1"/>
            </w14:solidFill>
          </w14:textFill>
        </w:rPr>
        <w:t>（五）没有重大违法记录的书面声明</w:t>
      </w:r>
    </w:p>
    <w:p w14:paraId="19F49A7F">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除外）【提供承诺书或证明材料】。</w:t>
      </w:r>
    </w:p>
    <w:p w14:paraId="57D7C7E9">
      <w:pPr>
        <w:rPr>
          <w:color w:val="000000" w:themeColor="text1"/>
          <w:highlight w:val="none"/>
          <w14:textFill>
            <w14:solidFill>
              <w14:schemeClr w14:val="tx1"/>
            </w14:solidFill>
          </w14:textFill>
        </w:rPr>
      </w:pPr>
    </w:p>
    <w:p w14:paraId="0C1D2451">
      <w:pPr>
        <w:rPr>
          <w:color w:val="000000" w:themeColor="text1"/>
          <w:highlight w:val="none"/>
          <w14:textFill>
            <w14:solidFill>
              <w14:schemeClr w14:val="tx1"/>
            </w14:solidFill>
          </w14:textFill>
        </w:rPr>
      </w:pPr>
    </w:p>
    <w:bookmarkEnd w:id="1734"/>
    <w:bookmarkEnd w:id="1735"/>
    <w:p w14:paraId="5506F5C4">
      <w:pPr>
        <w:pStyle w:val="5"/>
        <w:rPr>
          <w:color w:val="000000" w:themeColor="text1"/>
          <w:highlight w:val="none"/>
          <w14:textFill>
            <w14:solidFill>
              <w14:schemeClr w14:val="tx1"/>
            </w14:solidFill>
          </w14:textFill>
        </w:rPr>
      </w:pPr>
      <w:bookmarkStart w:id="1736" w:name="_Toc26101"/>
      <w:bookmarkStart w:id="1737" w:name="_Toc13962"/>
      <w:r>
        <w:rPr>
          <w:rFonts w:hint="eastAsia"/>
          <w:color w:val="000000" w:themeColor="text1"/>
          <w:highlight w:val="none"/>
          <w14:textFill>
            <w14:solidFill>
              <w14:schemeClr w14:val="tx1"/>
            </w14:solidFill>
          </w14:textFill>
        </w:rPr>
        <w:t>（六）具有良好的商业信誉</w:t>
      </w:r>
    </w:p>
    <w:p w14:paraId="070F3ED7">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提交首次响应文件截止之日前未被“中国执行信息公开网”（http://zxgk.court.gov.cn/）列入“失信被执行人”，未被“信用中国”网站（www.creditchina.gov.cn）列入“重大税收违法失信主体”，未被“中国政府采购网”（www.ccgp.gov.cn）列为“政府采购严重违法失信行为信息记录”，若有不良记录的，其响应将被否决。（响应截止时间以后，资格审查阶段由磋商小组查询）。</w:t>
      </w:r>
    </w:p>
    <w:p w14:paraId="6EEA8163">
      <w:pPr>
        <w:rPr>
          <w:color w:val="000000" w:themeColor="text1"/>
          <w:highlight w:val="none"/>
          <w14:textFill>
            <w14:solidFill>
              <w14:schemeClr w14:val="tx1"/>
            </w14:solidFill>
          </w14:textFill>
        </w:rPr>
      </w:pPr>
    </w:p>
    <w:p w14:paraId="3572B784">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w:t>
      </w:r>
      <w:r>
        <w:rPr>
          <w:rFonts w:hint="eastAsia" w:ascii="宋体" w:hAnsi="宋体" w:cs="宋体"/>
          <w:color w:val="000000" w:themeColor="text1"/>
          <w:szCs w:val="24"/>
          <w:highlight w:val="none"/>
          <w14:textFill>
            <w14:solidFill>
              <w14:schemeClr w14:val="tx1"/>
            </w14:solidFill>
          </w14:textFill>
        </w:rPr>
        <w:t>单位负责人为同一人或者存在直接控股、管理关系的不同供应商，不得参加同一合同项下的政府采购活动</w:t>
      </w:r>
    </w:p>
    <w:p w14:paraId="0CF702DF">
      <w:pPr>
        <w:ind w:firstLine="48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【提供承诺函】</w:t>
      </w:r>
    </w:p>
    <w:p w14:paraId="7B35D629">
      <w:pPr>
        <w:ind w:firstLine="480"/>
        <w:rPr>
          <w:rFonts w:hint="eastAsia" w:ascii="宋体" w:hAnsi="宋体" w:cs="宋体"/>
          <w:color w:val="000000" w:themeColor="text1"/>
          <w:sz w:val="24"/>
          <w:highlight w:val="none"/>
          <w14:textFill>
            <w14:solidFill>
              <w14:schemeClr w14:val="tx1"/>
            </w14:solidFill>
          </w14:textFill>
        </w:rPr>
      </w:pPr>
    </w:p>
    <w:p w14:paraId="5B65E917">
      <w:pPr>
        <w:ind w:firstLine="480"/>
        <w:rPr>
          <w:rFonts w:hint="eastAsia" w:ascii="宋体" w:hAnsi="宋体" w:cs="宋体"/>
          <w:color w:val="000000" w:themeColor="text1"/>
          <w:sz w:val="24"/>
          <w:highlight w:val="none"/>
          <w14:textFill>
            <w14:solidFill>
              <w14:schemeClr w14:val="tx1"/>
            </w14:solidFill>
          </w14:textFill>
        </w:rPr>
      </w:pPr>
    </w:p>
    <w:p w14:paraId="6FABFD7B">
      <w:pPr>
        <w:rPr>
          <w:color w:val="000000" w:themeColor="text1"/>
          <w:highlight w:val="none"/>
          <w14:textFill>
            <w14:solidFill>
              <w14:schemeClr w14:val="tx1"/>
            </w14:solidFill>
          </w14:textFill>
        </w:rPr>
      </w:pPr>
    </w:p>
    <w:p w14:paraId="342847A1">
      <w:pPr>
        <w:pStyle w:val="5"/>
        <w:rPr>
          <w:color w:val="000000" w:themeColor="text1"/>
          <w:highlight w:val="none"/>
          <w14:textFill>
            <w14:solidFill>
              <w14:schemeClr w14:val="tx1"/>
            </w14:solidFill>
          </w14:textFill>
        </w:rPr>
      </w:pPr>
      <w:bookmarkStart w:id="1738" w:name="_Hlk223369489"/>
    </w:p>
    <w:p w14:paraId="0850AD5B">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（八）政府采购政策需满足的资格要求材料</w:t>
      </w:r>
    </w:p>
    <w:p w14:paraId="1A172293">
      <w:pPr>
        <w:spacing w:before="78" w:line="500" w:lineRule="exact"/>
        <w:ind w:left="2808" w:firstLine="502"/>
        <w:rPr>
          <w:rFonts w:hint="eastAsia" w:ascii="宋体" w:hAnsi="宋体" w:cs="宋体"/>
          <w:color w:val="000000" w:themeColor="text1"/>
          <w:sz w:val="24"/>
          <w:highlight w:val="none"/>
          <w14:textFill>
            <w14:solidFill>
              <w14:schemeClr w14:val="tx1"/>
            </w14:solidFill>
          </w14:textFill>
        </w:rPr>
      </w:pPr>
      <w:bookmarkStart w:id="1739" w:name="_Toc6263"/>
      <w:r>
        <w:rPr>
          <w:rFonts w:hint="eastAsia" w:ascii="宋体" w:hAnsi="宋体" w:cs="宋体"/>
          <w:b/>
          <w:bCs/>
          <w:color w:val="000000" w:themeColor="text1"/>
          <w:spacing w:val="5"/>
          <w:sz w:val="24"/>
          <w:highlight w:val="none"/>
          <w14:textFill>
            <w14:solidFill>
              <w14:schemeClr w14:val="tx1"/>
            </w14:solidFill>
          </w14:textFill>
        </w:rPr>
        <w:t>中小企业声明函（工程）</w:t>
      </w:r>
      <w:bookmarkEnd w:id="1739"/>
    </w:p>
    <w:p w14:paraId="049622D2">
      <w:pPr>
        <w:spacing w:line="300" w:lineRule="exact"/>
        <w:rPr>
          <w:rFonts w:hint="eastAsia" w:ascii="宋体" w:hAnsi="宋体" w:cs="宋体"/>
          <w:color w:val="000000" w:themeColor="text1"/>
          <w:highlight w:val="none"/>
          <w14:textFill>
            <w14:solidFill>
              <w14:schemeClr w14:val="tx1"/>
            </w14:solidFill>
          </w14:textFill>
        </w:rPr>
      </w:pPr>
    </w:p>
    <w:p w14:paraId="0EC2755C">
      <w:pPr>
        <w:pStyle w:val="19"/>
        <w:spacing w:before="120"/>
        <w:ind w:firstLine="420" w:firstLineChars="20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本公司（联合体）郑重声明，根据《政府采购促进中小企业发展管理办法》（财库﹝2020﹞46 号）的规定，本公司（联合体）参加</w:t>
      </w:r>
      <w:r>
        <w:rPr>
          <w:rFonts w:hint="eastAsia" w:hAnsi="宋体" w:cs="宋体"/>
          <w:color w:val="000000" w:themeColor="text1"/>
          <w:sz w:val="21"/>
          <w:szCs w:val="21"/>
          <w:highlight w:val="none"/>
          <w:u w:val="single"/>
          <w14:textFill>
            <w14:solidFill>
              <w14:schemeClr w14:val="tx1"/>
            </w14:solidFill>
          </w14:textFill>
        </w:rPr>
        <w:t>（单位名称）</w:t>
      </w:r>
      <w:r>
        <w:rPr>
          <w:rFonts w:hint="eastAsia" w:hAnsi="宋体" w:cs="宋体"/>
          <w:color w:val="000000" w:themeColor="text1"/>
          <w:sz w:val="21"/>
          <w:szCs w:val="21"/>
          <w:highlight w:val="none"/>
          <w14:textFill>
            <w14:solidFill>
              <w14:schemeClr w14:val="tx1"/>
            </w14:solidFill>
          </w14:textFill>
        </w:rPr>
        <w:t>的</w:t>
      </w:r>
      <w:r>
        <w:rPr>
          <w:rFonts w:hint="eastAsia" w:hAnsi="宋体" w:cs="宋体"/>
          <w:color w:val="000000" w:themeColor="text1"/>
          <w:sz w:val="21"/>
          <w:szCs w:val="21"/>
          <w:highlight w:val="none"/>
          <w:u w:val="single"/>
          <w14:textFill>
            <w14:solidFill>
              <w14:schemeClr w14:val="tx1"/>
            </w14:solidFill>
          </w14:textFill>
        </w:rPr>
        <w:t>（项目名称）</w:t>
      </w:r>
      <w:r>
        <w:rPr>
          <w:rFonts w:hint="eastAsia" w:hAnsi="宋体" w:cs="宋体"/>
          <w:color w:val="000000" w:themeColor="text1"/>
          <w:sz w:val="21"/>
          <w:szCs w:val="21"/>
          <w:highlight w:val="none"/>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551CFE32">
      <w:pPr>
        <w:pStyle w:val="19"/>
        <w:spacing w:before="120"/>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w:t>
      </w:r>
      <w:r>
        <w:rPr>
          <w:rFonts w:hint="eastAsia" w:hAnsi="宋体" w:cs="宋体"/>
          <w:color w:val="000000" w:themeColor="text1"/>
          <w:sz w:val="21"/>
          <w:szCs w:val="21"/>
          <w:highlight w:val="none"/>
          <w:u w:val="single"/>
          <w14:textFill>
            <w14:solidFill>
              <w14:schemeClr w14:val="tx1"/>
            </w14:solidFill>
          </w14:textFill>
        </w:rPr>
        <w:t xml:space="preserve">（标的名称）  </w:t>
      </w:r>
      <w:r>
        <w:rPr>
          <w:rFonts w:hint="eastAsia" w:hAnsi="宋体" w:cs="宋体"/>
          <w:color w:val="000000" w:themeColor="text1"/>
          <w:sz w:val="21"/>
          <w:szCs w:val="21"/>
          <w:highlight w:val="none"/>
          <w14:textFill>
            <w14:solidFill>
              <w14:schemeClr w14:val="tx1"/>
            </w14:solidFill>
          </w14:textFill>
        </w:rPr>
        <w:t>，属于</w:t>
      </w:r>
      <w:r>
        <w:rPr>
          <w:rFonts w:hint="eastAsia" w:hAnsi="宋体" w:cs="宋体"/>
          <w:color w:val="000000" w:themeColor="text1"/>
          <w:sz w:val="21"/>
          <w:szCs w:val="21"/>
          <w:highlight w:val="none"/>
          <w:u w:val="single"/>
          <w14:textFill>
            <w14:solidFill>
              <w14:schemeClr w14:val="tx1"/>
            </w14:solidFill>
          </w14:textFill>
        </w:rPr>
        <w:t xml:space="preserve">（采购文件中明确的所属行业）  </w:t>
      </w:r>
      <w:r>
        <w:rPr>
          <w:rFonts w:hint="eastAsia" w:hAnsi="宋体" w:cs="宋体"/>
          <w:color w:val="000000" w:themeColor="text1"/>
          <w:sz w:val="21"/>
          <w:szCs w:val="21"/>
          <w:highlight w:val="none"/>
          <w14:textFill>
            <w14:solidFill>
              <w14:schemeClr w14:val="tx1"/>
            </w14:solidFill>
          </w14:textFill>
        </w:rPr>
        <w:t>；承建（承接）企业为</w:t>
      </w:r>
      <w:r>
        <w:rPr>
          <w:rFonts w:hint="eastAsia" w:hAnsi="宋体" w:cs="宋体"/>
          <w:color w:val="000000" w:themeColor="text1"/>
          <w:sz w:val="21"/>
          <w:szCs w:val="21"/>
          <w:highlight w:val="none"/>
          <w:u w:val="single"/>
          <w14:textFill>
            <w14:solidFill>
              <w14:schemeClr w14:val="tx1"/>
            </w14:solidFill>
          </w14:textFill>
        </w:rPr>
        <w:t xml:space="preserve">（企业名称）  </w:t>
      </w:r>
      <w:r>
        <w:rPr>
          <w:rFonts w:hint="eastAsia" w:hAnsi="宋体" w:cs="宋体"/>
          <w:color w:val="000000" w:themeColor="text1"/>
          <w:sz w:val="21"/>
          <w:szCs w:val="21"/>
          <w:highlight w:val="none"/>
          <w14:textFill>
            <w14:solidFill>
              <w14:schemeClr w14:val="tx1"/>
            </w14:solidFill>
          </w14:textFill>
        </w:rPr>
        <w:t>，从业人员</w:t>
      </w:r>
      <w:r>
        <w:rPr>
          <w:rFonts w:hint="eastAsia" w:hAnsi="宋体" w:cs="宋体"/>
          <w:color w:val="000000" w:themeColor="text1"/>
          <w:sz w:val="21"/>
          <w:szCs w:val="21"/>
          <w:highlight w:val="none"/>
          <w:u w:val="single"/>
          <w14:textFill>
            <w14:solidFill>
              <w14:schemeClr w14:val="tx1"/>
            </w14:solidFill>
          </w14:textFill>
        </w:rPr>
        <w:t xml:space="preserve"> </w:t>
      </w:r>
      <w:r>
        <w:rPr>
          <w:rFonts w:hint="eastAsia" w:hAnsi="宋体" w:cs="宋体"/>
          <w:color w:val="000000" w:themeColor="text1"/>
          <w:sz w:val="21"/>
          <w:szCs w:val="21"/>
          <w:highlight w:val="none"/>
          <w:u w:val="single"/>
          <w14:textFill>
            <w14:solidFill>
              <w14:schemeClr w14:val="tx1"/>
            </w14:solidFill>
          </w14:textFill>
        </w:rPr>
        <w:tab/>
      </w:r>
      <w:r>
        <w:rPr>
          <w:rFonts w:hint="eastAsia" w:hAnsi="宋体" w:cs="宋体"/>
          <w:color w:val="000000" w:themeColor="text1"/>
          <w:sz w:val="21"/>
          <w:szCs w:val="21"/>
          <w:highlight w:val="none"/>
          <w:u w:val="single"/>
          <w14:textFill>
            <w14:solidFill>
              <w14:schemeClr w14:val="tx1"/>
            </w14:solidFill>
          </w14:textFill>
        </w:rPr>
        <w:t xml:space="preserve"> </w:t>
      </w:r>
      <w:r>
        <w:rPr>
          <w:rFonts w:hint="eastAsia" w:hAnsi="宋体" w:cs="宋体"/>
          <w:color w:val="000000" w:themeColor="text1"/>
          <w:sz w:val="21"/>
          <w:szCs w:val="21"/>
          <w:highlight w:val="none"/>
          <w14:textFill>
            <w14:solidFill>
              <w14:schemeClr w14:val="tx1"/>
            </w14:solidFill>
          </w14:textFill>
        </w:rPr>
        <w:t>人，营业收入为</w:t>
      </w:r>
      <w:r>
        <w:rPr>
          <w:rFonts w:hint="eastAsia" w:hAnsi="宋体" w:cs="宋体"/>
          <w:color w:val="000000" w:themeColor="text1"/>
          <w:sz w:val="21"/>
          <w:szCs w:val="21"/>
          <w:highlight w:val="none"/>
          <w:u w:val="single"/>
          <w14:textFill>
            <w14:solidFill>
              <w14:schemeClr w14:val="tx1"/>
            </w14:solidFill>
          </w14:textFill>
        </w:rPr>
        <w:t xml:space="preserve">  </w:t>
      </w:r>
      <w:r>
        <w:rPr>
          <w:rFonts w:hint="eastAsia" w:hAnsi="宋体" w:cs="宋体"/>
          <w:color w:val="000000" w:themeColor="text1"/>
          <w:sz w:val="21"/>
          <w:szCs w:val="21"/>
          <w:highlight w:val="none"/>
          <w:u w:val="singl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万元，资产总额为</w:t>
      </w:r>
      <w:r>
        <w:rPr>
          <w:rFonts w:hint="eastAsia" w:hAnsi="宋体" w:cs="宋体"/>
          <w:color w:val="000000" w:themeColor="text1"/>
          <w:sz w:val="21"/>
          <w:szCs w:val="21"/>
          <w:highlight w:val="none"/>
          <w:u w:val="single"/>
          <w14:textFill>
            <w14:solidFill>
              <w14:schemeClr w14:val="tx1"/>
            </w14:solidFill>
          </w14:textFill>
        </w:rPr>
        <w:t xml:space="preserve">   </w:t>
      </w:r>
      <w:r>
        <w:rPr>
          <w:rFonts w:hint="eastAsia" w:hAnsi="宋体" w:cs="宋体"/>
          <w:color w:val="000000" w:themeColor="text1"/>
          <w:sz w:val="21"/>
          <w:szCs w:val="21"/>
          <w:highlight w:val="none"/>
          <w:u w:val="singl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万元，属于（中型企业、小型企业、微型企业）；</w:t>
      </w:r>
    </w:p>
    <w:p w14:paraId="5450B1B5">
      <w:pPr>
        <w:pStyle w:val="19"/>
        <w:spacing w:before="120"/>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w:t>
      </w:r>
    </w:p>
    <w:p w14:paraId="36BE5C06">
      <w:pPr>
        <w:pStyle w:val="19"/>
        <w:spacing w:before="120"/>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3FDD21E7">
      <w:pPr>
        <w:pStyle w:val="19"/>
        <w:spacing w:before="120"/>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本企业对上述声明内容的真实性负责。如有虚假，将依法承担相应责任。</w:t>
      </w:r>
    </w:p>
    <w:p w14:paraId="216A7EF3">
      <w:pPr>
        <w:spacing w:line="300" w:lineRule="exact"/>
        <w:ind w:firstLine="420"/>
        <w:rPr>
          <w:rFonts w:hint="eastAsia" w:ascii="宋体" w:hAnsi="宋体" w:cs="宋体"/>
          <w:color w:val="000000" w:themeColor="text1"/>
          <w:szCs w:val="21"/>
          <w:highlight w:val="none"/>
          <w14:textFill>
            <w14:solidFill>
              <w14:schemeClr w14:val="tx1"/>
            </w14:solidFill>
          </w14:textFill>
        </w:rPr>
      </w:pPr>
    </w:p>
    <w:p w14:paraId="0D94F690">
      <w:pPr>
        <w:kinsoku w:val="0"/>
        <w:autoSpaceDE w:val="0"/>
        <w:autoSpaceDN w:val="0"/>
        <w:adjustRightInd w:val="0"/>
        <w:snapToGrid w:val="0"/>
        <w:spacing w:line="300" w:lineRule="exact"/>
        <w:jc w:val="righ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企业名称：</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（电子签章）</w:t>
      </w:r>
    </w:p>
    <w:p w14:paraId="26C3B454">
      <w:pPr>
        <w:kinsoku w:val="0"/>
        <w:autoSpaceDE w:val="0"/>
        <w:autoSpaceDN w:val="0"/>
        <w:adjustRightInd w:val="0"/>
        <w:snapToGrid w:val="0"/>
        <w:spacing w:line="300" w:lineRule="exact"/>
        <w:ind w:firstLine="480"/>
        <w:textAlignment w:val="baseline"/>
        <w:rPr>
          <w:rFonts w:hint="eastAsia" w:ascii="宋体" w:hAnsi="宋体" w:cs="宋体"/>
          <w:color w:val="000000" w:themeColor="text1"/>
          <w:szCs w:val="21"/>
          <w:highlight w:val="none"/>
          <w:lang w:bidi="ar"/>
          <w14:textFill>
            <w14:solidFill>
              <w14:schemeClr w14:val="tx1"/>
            </w14:solidFill>
          </w14:textFill>
        </w:rPr>
      </w:pPr>
    </w:p>
    <w:p w14:paraId="3CE9AEF7">
      <w:pPr>
        <w:kinsoku w:val="0"/>
        <w:autoSpaceDE w:val="0"/>
        <w:autoSpaceDN w:val="0"/>
        <w:adjustRightInd w:val="0"/>
        <w:snapToGrid w:val="0"/>
        <w:spacing w:line="300" w:lineRule="exact"/>
        <w:ind w:right="210"/>
        <w:jc w:val="righ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日期：</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年</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月</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日</w:t>
      </w:r>
    </w:p>
    <w:p w14:paraId="6BEA1943">
      <w:pPr>
        <w:kinsoku w:val="0"/>
        <w:autoSpaceDE w:val="0"/>
        <w:autoSpaceDN w:val="0"/>
        <w:adjustRightInd w:val="0"/>
        <w:snapToGrid w:val="0"/>
        <w:spacing w:line="300" w:lineRule="exact"/>
        <w:ind w:firstLine="480"/>
        <w:textAlignment w:val="baseline"/>
        <w:rPr>
          <w:rFonts w:hint="eastAsia" w:ascii="宋体" w:hAnsi="宋体" w:cs="宋体"/>
          <w:color w:val="000000" w:themeColor="text1"/>
          <w:sz w:val="24"/>
          <w:highlight w:val="none"/>
          <w14:textFill>
            <w14:solidFill>
              <w14:schemeClr w14:val="tx1"/>
            </w14:solidFill>
          </w14:textFill>
        </w:rPr>
      </w:pPr>
    </w:p>
    <w:p w14:paraId="0ED80FE3">
      <w:pPr>
        <w:kinsoku w:val="0"/>
        <w:autoSpaceDE w:val="0"/>
        <w:autoSpaceDN w:val="0"/>
        <w:adjustRightInd w:val="0"/>
        <w:snapToGrid w:val="0"/>
        <w:spacing w:line="300" w:lineRule="exact"/>
        <w:ind w:firstLine="480"/>
        <w:textAlignment w:val="baseline"/>
        <w:rPr>
          <w:rFonts w:hint="eastAsia" w:ascii="宋体" w:hAnsi="宋体" w:cs="宋体"/>
          <w:color w:val="000000" w:themeColor="text1"/>
          <w:sz w:val="24"/>
          <w:highlight w:val="none"/>
          <w14:textFill>
            <w14:solidFill>
              <w14:schemeClr w14:val="tx1"/>
            </w14:solidFill>
          </w14:textFill>
        </w:rPr>
      </w:pPr>
    </w:p>
    <w:p w14:paraId="11E6245A">
      <w:pPr>
        <w:pStyle w:val="19"/>
        <w:spacing w:before="120"/>
        <w:rPr>
          <w:rFonts w:hint="eastAsia" w:hAnsi="宋体" w:cs="宋体"/>
          <w:b/>
          <w:bCs w:val="0"/>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注：1、符合《政府采购促进中小企业发展管理办法》（财库[2020]46号）价格扣减条件的申请人需提供《中小企业声明函》。</w:t>
      </w:r>
    </w:p>
    <w:p w14:paraId="450D3C9A">
      <w:pPr>
        <w:pStyle w:val="19"/>
        <w:spacing w:before="120"/>
        <w:ind w:firstLine="422" w:firstLineChars="200"/>
        <w:rPr>
          <w:rFonts w:hint="eastAsia" w:hAnsi="宋体" w:cs="宋体"/>
          <w:b/>
          <w:bCs w:val="0"/>
          <w:color w:val="000000" w:themeColor="text1"/>
          <w:sz w:val="21"/>
          <w:szCs w:val="21"/>
          <w:highlight w:val="none"/>
          <w14:textFill>
            <w14:solidFill>
              <w14:schemeClr w14:val="tx1"/>
            </w14:solidFill>
          </w14:textFill>
        </w:rPr>
      </w:pPr>
      <w:bookmarkStart w:id="1740" w:name="_Toc10683"/>
      <w:bookmarkStart w:id="1741" w:name="_Toc24745"/>
      <w:r>
        <w:rPr>
          <w:rFonts w:hint="eastAsia" w:hAnsi="宋体" w:cs="宋体"/>
          <w:b/>
          <w:color w:val="000000" w:themeColor="text1"/>
          <w:sz w:val="21"/>
          <w:szCs w:val="21"/>
          <w:highlight w:val="none"/>
          <w14:textFill>
            <w14:solidFill>
              <w14:schemeClr w14:val="tx1"/>
            </w14:solidFill>
          </w14:textFill>
        </w:rPr>
        <w:t>2、从业人员、营业收入、资产总额填报上一年度数据，无上一年度数据的新成立企业可不填报。</w:t>
      </w:r>
    </w:p>
    <w:p w14:paraId="27DACAB8">
      <w:pPr>
        <w:pStyle w:val="19"/>
        <w:spacing w:before="120"/>
        <w:ind w:firstLine="422" w:firstLineChars="200"/>
        <w:rPr>
          <w:rFonts w:hint="eastAsia" w:hAnsi="宋体" w:cs="宋体"/>
          <w:b/>
          <w:bCs w:val="0"/>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3、不享受中小企业优先采购政策的供应商不需填写《中小企业声明函》。</w:t>
      </w:r>
      <w:bookmarkEnd w:id="1740"/>
      <w:bookmarkEnd w:id="1741"/>
    </w:p>
    <w:p w14:paraId="0F9FC878">
      <w:pPr>
        <w:pStyle w:val="19"/>
        <w:spacing w:before="120"/>
        <w:ind w:firstLine="422" w:firstLineChars="200"/>
        <w:rPr>
          <w:rFonts w:hint="eastAsia" w:hAnsi="宋体" w:cs="宋体"/>
          <w:b/>
          <w:bCs w:val="0"/>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t>4、购标的对应的中小企业划分标准所属行业：根据《关于印发中小企业划型标准规定的通知》（工信部联企业〔2011〕300 号），本次采购标的属于</w:t>
      </w:r>
      <w:r>
        <w:rPr>
          <w:rFonts w:hint="eastAsia" w:hAnsi="宋体" w:cs="宋体"/>
          <w:b/>
          <w:color w:val="000000" w:themeColor="text1"/>
          <w:sz w:val="21"/>
          <w:szCs w:val="21"/>
          <w:highlight w:val="none"/>
          <w:u w:val="single"/>
          <w14:textFill>
            <w14:solidFill>
              <w14:schemeClr w14:val="tx1"/>
            </w14:solidFill>
          </w14:textFill>
        </w:rPr>
        <w:t xml:space="preserve"> 建筑业 </w:t>
      </w:r>
      <w:r>
        <w:rPr>
          <w:rFonts w:hint="eastAsia" w:hAnsi="宋体" w:cs="宋体"/>
          <w:b/>
          <w:color w:val="000000" w:themeColor="text1"/>
          <w:sz w:val="21"/>
          <w:szCs w:val="21"/>
          <w:highlight w:val="none"/>
          <w14:textFill>
            <w14:solidFill>
              <w14:schemeClr w14:val="tx1"/>
            </w14:solidFill>
          </w14:textFill>
        </w:rPr>
        <w:t>。</w:t>
      </w:r>
    </w:p>
    <w:p w14:paraId="7FDA4BFA">
      <w:pPr>
        <w:pStyle w:val="19"/>
        <w:spacing w:before="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br w:type="page"/>
      </w:r>
    </w:p>
    <w:p w14:paraId="74A1B259">
      <w:pPr>
        <w:pStyle w:val="19"/>
        <w:spacing w:before="1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附件：</w:t>
      </w:r>
    </w:p>
    <w:p w14:paraId="7A43FC56">
      <w:pPr>
        <w:pStyle w:val="19"/>
        <w:spacing w:before="120"/>
        <w:ind w:firstLine="48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《关于印发中小企业划型标准规定的通知》（工信部联企业〔2011〕300号）中小企业划型标准规定节选：</w:t>
      </w:r>
    </w:p>
    <w:p w14:paraId="1D3460C3">
      <w:pPr>
        <w:pStyle w:val="27"/>
        <w:numPr>
          <w:ilvl w:val="0"/>
          <w:numId w:val="4"/>
        </w:numPr>
        <w:autoSpaceDE/>
        <w:autoSpaceDN/>
        <w:adjustRightInd/>
        <w:ind w:firstLine="400" w:firstLineChars="200"/>
        <w:rPr>
          <w:rFonts w:hint="eastAsia" w:hAnsi="宋体" w:cs="宋体"/>
          <w:color w:val="000000" w:themeColor="text1"/>
          <w:highlight w:val="none"/>
          <w14:textFill>
            <w14:solidFill>
              <w14:schemeClr w14:val="tx1"/>
            </w14:solidFill>
          </w14:textFill>
        </w:rPr>
      </w:pPr>
      <w:bookmarkStart w:id="1742" w:name="_Toc4353"/>
      <w:r>
        <w:rPr>
          <w:rFonts w:hint="eastAsia" w:hAnsi="宋体" w:cs="宋体"/>
          <w:color w:val="000000" w:themeColor="text1"/>
          <w:highlight w:val="none"/>
          <w14:textFill>
            <w14:solidFill>
              <w14:schemeClr w14:val="tx1"/>
            </w14:solidFill>
          </w14:textFill>
        </w:rPr>
        <w:t>各行业划型标准为：</w:t>
      </w:r>
      <w:bookmarkEnd w:id="1742"/>
    </w:p>
    <w:p w14:paraId="7D70D381">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6C6F04AE">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A137B1F">
      <w:pPr>
        <w:pStyle w:val="27"/>
        <w:numPr>
          <w:ilvl w:val="6"/>
          <w:numId w:val="0"/>
        </w:numPr>
        <w:ind w:firstLine="402" w:firstLineChars="200"/>
        <w:rPr>
          <w:rFonts w:hint="eastAsia"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8675476">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F202AFB">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01D992D">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A8A43D0">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8750D">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8F628B">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C43AC6">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0F9452">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7B9F830">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732094">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FB5B120">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858C68E">
      <w:pPr>
        <w:pStyle w:val="27"/>
        <w:numPr>
          <w:ilvl w:val="6"/>
          <w:numId w:val="0"/>
        </w:numPr>
        <w:ind w:firstLine="40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0C61CB1">
      <w:pPr>
        <w:pStyle w:val="27"/>
        <w:numPr>
          <w:ilvl w:val="6"/>
          <w:numId w:val="0"/>
        </w:numPr>
        <w:ind w:firstLine="400" w:firstLineChars="20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1B476362">
      <w:pPr>
        <w:jc w:val="center"/>
        <w:rPr>
          <w:rFonts w:hint="eastAsia" w:ascii="宋体" w:hAnsi="宋体" w:cs="宋体"/>
          <w:b/>
          <w:bCs/>
          <w:color w:val="000000" w:themeColor="text1"/>
          <w:spacing w:val="5"/>
          <w:sz w:val="24"/>
          <w:highlight w:val="none"/>
          <w14:textFill>
            <w14:solidFill>
              <w14:schemeClr w14:val="tx1"/>
            </w14:solidFill>
          </w14:textFill>
        </w:rPr>
      </w:pPr>
      <w:r>
        <w:rPr>
          <w:rFonts w:hint="eastAsia" w:ascii="宋体" w:hAnsi="宋体" w:cs="宋体"/>
          <w:b/>
          <w:bCs/>
          <w:color w:val="000000" w:themeColor="text1"/>
          <w:spacing w:val="5"/>
          <w:sz w:val="24"/>
          <w:highlight w:val="none"/>
          <w14:textFill>
            <w14:solidFill>
              <w14:schemeClr w14:val="tx1"/>
            </w14:solidFill>
          </w14:textFill>
        </w:rPr>
        <w:br w:type="page"/>
      </w:r>
    </w:p>
    <w:p w14:paraId="1CBC591B">
      <w:pPr>
        <w:jc w:val="center"/>
        <w:rPr>
          <w:rFonts w:hint="eastAsia" w:ascii="宋体" w:hAnsi="宋体" w:cs="宋体"/>
          <w:b/>
          <w:bCs/>
          <w:color w:val="000000" w:themeColor="text1"/>
          <w:spacing w:val="5"/>
          <w:sz w:val="24"/>
          <w:highlight w:val="none"/>
          <w14:textFill>
            <w14:solidFill>
              <w14:schemeClr w14:val="tx1"/>
            </w14:solidFill>
          </w14:textFill>
        </w:rPr>
      </w:pPr>
    </w:p>
    <w:p w14:paraId="00B3249F">
      <w:pPr>
        <w:jc w:val="center"/>
        <w:rPr>
          <w:rFonts w:hint="eastAsia" w:ascii="宋体" w:hAnsi="宋体" w:cs="宋体"/>
          <w:b/>
          <w:bCs/>
          <w:color w:val="000000" w:themeColor="text1"/>
          <w:spacing w:val="5"/>
          <w:sz w:val="24"/>
          <w:highlight w:val="none"/>
          <w14:textFill>
            <w14:solidFill>
              <w14:schemeClr w14:val="tx1"/>
            </w14:solidFill>
          </w14:textFill>
        </w:rPr>
      </w:pPr>
      <w:r>
        <w:rPr>
          <w:rFonts w:hint="eastAsia" w:ascii="宋体" w:hAnsi="宋体" w:cs="宋体"/>
          <w:b/>
          <w:bCs/>
          <w:color w:val="000000" w:themeColor="text1"/>
          <w:spacing w:val="5"/>
          <w:sz w:val="24"/>
          <w:highlight w:val="none"/>
          <w14:textFill>
            <w14:solidFill>
              <w14:schemeClr w14:val="tx1"/>
            </w14:solidFill>
          </w14:textFill>
        </w:rPr>
        <w:t>残疾人福利性单位声明函</w:t>
      </w:r>
    </w:p>
    <w:p w14:paraId="7390A9FF">
      <w:pPr>
        <w:ind w:firstLine="482"/>
        <w:rPr>
          <w:rFonts w:hint="eastAsia" w:ascii="宋体" w:hAnsi="宋体" w:cs="宋体"/>
          <w:b/>
          <w:bCs/>
          <w:color w:val="000000" w:themeColor="text1"/>
          <w:sz w:val="24"/>
          <w:highlight w:val="none"/>
          <w14:textFill>
            <w14:solidFill>
              <w14:schemeClr w14:val="tx1"/>
            </w14:solidFill>
          </w14:textFill>
        </w:rPr>
      </w:pPr>
    </w:p>
    <w:p w14:paraId="0FD68B5C">
      <w:pPr>
        <w:ind w:firstLine="592"/>
        <w:rPr>
          <w:rFonts w:hint="eastAsia" w:ascii="宋体" w:hAnsi="宋体" w:cs="宋体"/>
          <w:color w:val="000000" w:themeColor="text1"/>
          <w:spacing w:val="7"/>
          <w:szCs w:val="21"/>
          <w:highlight w:val="none"/>
          <w14:textFill>
            <w14:solidFill>
              <w14:schemeClr w14:val="tx1"/>
            </w14:solidFill>
          </w14:textFill>
        </w:rPr>
      </w:pPr>
      <w:r>
        <w:rPr>
          <w:rFonts w:hint="eastAsia" w:ascii="宋体" w:hAnsi="宋体" w:cs="宋体"/>
          <w:color w:val="000000" w:themeColor="text1"/>
          <w:spacing w:val="28"/>
          <w:szCs w:val="21"/>
          <w:highlight w:val="none"/>
          <w14:textFill>
            <w14:solidFill>
              <w14:schemeClr w14:val="tx1"/>
            </w14:solidFill>
          </w14:textFill>
        </w:rPr>
        <w:t>本</w:t>
      </w:r>
      <w:r>
        <w:rPr>
          <w:rFonts w:hint="eastAsia" w:ascii="宋体" w:hAnsi="宋体" w:cs="宋体"/>
          <w:color w:val="000000" w:themeColor="text1"/>
          <w:spacing w:val="24"/>
          <w:szCs w:val="21"/>
          <w:highlight w:val="none"/>
          <w14:textFill>
            <w14:solidFill>
              <w14:schemeClr w14:val="tx1"/>
            </w14:solidFill>
          </w14:textFill>
        </w:rPr>
        <w:t>单位郑重声明，根据《财政部 民政部中国残疾人联合会关于促进残疾人</w:t>
      </w:r>
      <w:r>
        <w:rPr>
          <w:rFonts w:hint="eastAsia" w:ascii="宋体" w:hAnsi="宋体" w:cs="宋体"/>
          <w:color w:val="000000" w:themeColor="text1"/>
          <w:spacing w:val="8"/>
          <w:szCs w:val="21"/>
          <w:highlight w:val="none"/>
          <w14:textFill>
            <w14:solidFill>
              <w14:schemeClr w14:val="tx1"/>
            </w14:solidFill>
          </w14:textFill>
        </w:rPr>
        <w:t>就</w:t>
      </w:r>
      <w:r>
        <w:rPr>
          <w:rFonts w:hint="eastAsia" w:ascii="宋体" w:hAnsi="宋体" w:cs="宋体"/>
          <w:color w:val="000000" w:themeColor="text1"/>
          <w:spacing w:val="7"/>
          <w:szCs w:val="21"/>
          <w:highlight w:val="none"/>
          <w14:textFill>
            <w14:solidFill>
              <w14:schemeClr w14:val="tx1"/>
            </w14:solidFill>
          </w14:textFill>
        </w:rPr>
        <w:t>业政府采购政策的通知》(财库【2017】141 号)的规定。</w:t>
      </w:r>
    </w:p>
    <w:p w14:paraId="34AD00D8">
      <w:pPr>
        <w:ind w:firstLine="592"/>
        <w:rPr>
          <w:rFonts w:hint="eastAsia" w:ascii="宋体" w:hAnsi="宋体" w:cs="宋体"/>
          <w:color w:val="000000" w:themeColor="text1"/>
          <w:spacing w:val="7"/>
          <w:szCs w:val="21"/>
          <w:highlight w:val="none"/>
          <w14:textFill>
            <w14:solidFill>
              <w14:schemeClr w14:val="tx1"/>
            </w14:solidFill>
          </w14:textFill>
        </w:rPr>
      </w:pPr>
      <w:r>
        <w:rPr>
          <w:rFonts w:hint="eastAsia" w:ascii="宋体" w:hAnsi="宋体" w:cs="宋体"/>
          <w:color w:val="000000" w:themeColor="text1"/>
          <w:spacing w:val="7"/>
          <w:szCs w:val="21"/>
          <w:highlight w:val="none"/>
          <w14:textFill>
            <w14:solidFill>
              <w14:schemeClr w14:val="tx1"/>
            </w14:solidFill>
          </w14:textFill>
        </w:rPr>
        <w:t>本单位（请进行勾选</w:t>
      </w:r>
      <w:r>
        <w:rPr>
          <w:rFonts w:ascii="宋体" w:hAnsi="宋体" w:cs="宋体"/>
          <w:color w:val="000000" w:themeColor="text1"/>
          <w:spacing w:val="7"/>
          <w:szCs w:val="21"/>
          <w:highlight w:val="none"/>
          <w14:textFill>
            <w14:solidFill>
              <w14:schemeClr w14:val="tx1"/>
            </w14:solidFill>
          </w14:textFill>
        </w:rPr>
        <w:t>）</w:t>
      </w:r>
      <w:r>
        <w:rPr>
          <w:rFonts w:hint="eastAsia" w:ascii="宋体" w:hAnsi="宋体" w:cs="宋体"/>
          <w:color w:val="000000" w:themeColor="text1"/>
          <w:spacing w:val="7"/>
          <w:szCs w:val="21"/>
          <w:highlight w:val="none"/>
          <w14:textFill>
            <w14:solidFill>
              <w14:schemeClr w14:val="tx1"/>
            </w14:solidFill>
          </w14:textFill>
        </w:rPr>
        <w:t>：</w:t>
      </w:r>
    </w:p>
    <w:p w14:paraId="6C062FB0">
      <w:pPr>
        <w:ind w:firstLine="674" w:firstLineChars="300"/>
        <w:rPr>
          <w:rFonts w:hint="eastAsia" w:ascii="宋体" w:hAnsi="宋体" w:cs="宋体"/>
          <w:b/>
          <w:bCs/>
          <w:color w:val="000000" w:themeColor="text1"/>
          <w:spacing w:val="7"/>
          <w:szCs w:val="21"/>
          <w:highlight w:val="none"/>
          <w14:textFill>
            <w14:solidFill>
              <w14:schemeClr w14:val="tx1"/>
            </w14:solidFill>
          </w14:textFill>
        </w:rPr>
      </w:pPr>
      <w:r>
        <w:rPr>
          <w:rFonts w:hint="eastAsia" w:ascii="宋体" w:hAnsi="宋体" w:cs="宋体"/>
          <w:b/>
          <w:bCs/>
          <w:color w:val="000000" w:themeColor="text1"/>
          <w:spacing w:val="7"/>
          <w:szCs w:val="21"/>
          <w:highlight w:val="none"/>
          <w14:textFill>
            <w14:solidFill>
              <w14:schemeClr w14:val="tx1"/>
            </w14:solidFill>
          </w14:textFill>
        </w:rPr>
        <w:t>□不属于符合条件的残疾人福利性单位。</w:t>
      </w:r>
    </w:p>
    <w:p w14:paraId="44606F3E">
      <w:pPr>
        <w:ind w:firstLine="674" w:firstLineChars="300"/>
        <w:rPr>
          <w:rFonts w:hint="eastAsia" w:ascii="宋体" w:hAnsi="宋体" w:cs="宋体"/>
          <w:color w:val="000000" w:themeColor="text1"/>
          <w:spacing w:val="47"/>
          <w:szCs w:val="21"/>
          <w:highlight w:val="none"/>
          <w14:textFill>
            <w14:solidFill>
              <w14:schemeClr w14:val="tx1"/>
            </w14:solidFill>
          </w14:textFill>
        </w:rPr>
      </w:pPr>
      <w:r>
        <w:rPr>
          <w:rFonts w:hint="eastAsia" w:ascii="宋体" w:hAnsi="宋体" w:cs="宋体"/>
          <w:b/>
          <w:bCs/>
          <w:color w:val="000000" w:themeColor="text1"/>
          <w:spacing w:val="7"/>
          <w:szCs w:val="21"/>
          <w:highlight w:val="none"/>
          <w14:textFill>
            <w14:solidFill>
              <w14:schemeClr w14:val="tx1"/>
            </w14:solidFill>
          </w14:textFill>
        </w:rPr>
        <w:t>□属于符合条件的残疾人福利性单位，</w:t>
      </w:r>
      <w:r>
        <w:rPr>
          <w:rFonts w:hint="eastAsia" w:ascii="宋体" w:hAnsi="宋体" w:cs="宋体"/>
          <w:color w:val="000000" w:themeColor="text1"/>
          <w:spacing w:val="2"/>
          <w:szCs w:val="21"/>
          <w:highlight w:val="none"/>
          <w14:textFill>
            <w14:solidFill>
              <w14:schemeClr w14:val="tx1"/>
            </w14:solidFill>
          </w14:textFill>
        </w:rPr>
        <w:t>且本单位参加的</w:t>
      </w:r>
      <w:r>
        <w:rPr>
          <w:rFonts w:hint="eastAsia" w:ascii="宋体" w:hAnsi="宋体" w:cs="宋体"/>
          <w:color w:val="000000" w:themeColor="text1"/>
          <w:spacing w:val="2"/>
          <w:szCs w:val="21"/>
          <w:highlight w:val="none"/>
          <w:u w:val="singl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单位的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pacing w:val="37"/>
          <w:szCs w:val="21"/>
          <w:highlight w:val="none"/>
          <w14:textFill>
            <w14:solidFill>
              <w14:schemeClr w14:val="tx1"/>
            </w14:solidFill>
          </w14:textFill>
        </w:rPr>
        <w:t>项</w:t>
      </w:r>
      <w:r>
        <w:rPr>
          <w:rFonts w:hint="eastAsia" w:ascii="宋体" w:hAnsi="宋体" w:cs="宋体"/>
          <w:color w:val="000000" w:themeColor="text1"/>
          <w:spacing w:val="19"/>
          <w:szCs w:val="21"/>
          <w:highlight w:val="none"/>
          <w14:textFill>
            <w14:solidFill>
              <w14:schemeClr w14:val="tx1"/>
            </w14:solidFill>
          </w14:textFill>
        </w:rPr>
        <w:t>目采购活动提供本单位制造的货物(由本单位承担工程/提供服务)， 或者提供</w:t>
      </w:r>
      <w:r>
        <w:rPr>
          <w:rFonts w:hint="eastAsia" w:ascii="宋体" w:hAnsi="宋体" w:cs="宋体"/>
          <w:color w:val="000000" w:themeColor="text1"/>
          <w:spacing w:val="21"/>
          <w:szCs w:val="21"/>
          <w:highlight w:val="none"/>
          <w14:textFill>
            <w14:solidFill>
              <w14:schemeClr w14:val="tx1"/>
            </w14:solidFill>
          </w14:textFill>
        </w:rPr>
        <w:t>其他残疾人福利性单位制造的货物(不包含使用非残疾人福利性单位注册商标的货</w:t>
      </w:r>
      <w:r>
        <w:rPr>
          <w:rFonts w:hint="eastAsia" w:ascii="宋体" w:hAnsi="宋体" w:cs="宋体"/>
          <w:color w:val="000000" w:themeColor="text1"/>
          <w:spacing w:val="49"/>
          <w:szCs w:val="21"/>
          <w:highlight w:val="none"/>
          <w14:textFill>
            <w14:solidFill>
              <w14:schemeClr w14:val="tx1"/>
            </w14:solidFill>
          </w14:textFill>
        </w:rPr>
        <w:t>物</w:t>
      </w:r>
      <w:r>
        <w:rPr>
          <w:rFonts w:hint="eastAsia" w:ascii="宋体" w:hAnsi="宋体" w:cs="宋体"/>
          <w:color w:val="000000" w:themeColor="text1"/>
          <w:spacing w:val="47"/>
          <w:szCs w:val="21"/>
          <w:highlight w:val="none"/>
          <w14:textFill>
            <w14:solidFill>
              <w14:schemeClr w14:val="tx1"/>
            </w14:solidFill>
          </w14:textFill>
        </w:rPr>
        <w:t>)。</w:t>
      </w:r>
    </w:p>
    <w:p w14:paraId="4298848D">
      <w:pPr>
        <w:ind w:firstLine="630" w:firstLineChars="300"/>
        <w:rPr>
          <w:color w:val="000000" w:themeColor="text1"/>
          <w:highlight w:val="none"/>
          <w14:textFill>
            <w14:solidFill>
              <w14:schemeClr w14:val="tx1"/>
            </w14:solidFill>
          </w14:textFill>
        </w:rPr>
      </w:pPr>
    </w:p>
    <w:p w14:paraId="7021E5B1">
      <w:pPr>
        <w:ind w:firstLine="6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35"/>
          <w:szCs w:val="21"/>
          <w:highlight w:val="none"/>
          <w14:textFill>
            <w14:solidFill>
              <w14:schemeClr w14:val="tx1"/>
            </w14:solidFill>
          </w14:textFill>
        </w:rPr>
        <w:t>本</w:t>
      </w:r>
      <w:r>
        <w:rPr>
          <w:rFonts w:hint="eastAsia" w:ascii="宋体" w:hAnsi="宋体" w:cs="宋体"/>
          <w:color w:val="000000" w:themeColor="text1"/>
          <w:spacing w:val="26"/>
          <w:szCs w:val="21"/>
          <w:highlight w:val="none"/>
          <w14:textFill>
            <w14:solidFill>
              <w14:schemeClr w14:val="tx1"/>
            </w14:solidFill>
          </w14:textFill>
        </w:rPr>
        <w:t>单位对上述声明的真实性负责。如有虚假，将依法承担相应责任。</w:t>
      </w:r>
    </w:p>
    <w:p w14:paraId="5F75BAA6">
      <w:pPr>
        <w:rPr>
          <w:color w:val="000000" w:themeColor="text1"/>
          <w:highlight w:val="none"/>
          <w14:textFill>
            <w14:solidFill>
              <w14:schemeClr w14:val="tx1"/>
            </w14:solidFill>
          </w14:textFill>
        </w:rPr>
      </w:pPr>
    </w:p>
    <w:p w14:paraId="42865C2E">
      <w:pPr>
        <w:ind w:left="420"/>
        <w:rPr>
          <w:color w:val="000000" w:themeColor="text1"/>
          <w:highlight w:val="none"/>
          <w14:textFill>
            <w14:solidFill>
              <w14:schemeClr w14:val="tx1"/>
            </w14:solidFill>
          </w14:textFill>
        </w:rPr>
      </w:pPr>
    </w:p>
    <w:p w14:paraId="378B1D70">
      <w:pPr>
        <w:ind w:left="420"/>
        <w:rPr>
          <w:color w:val="000000" w:themeColor="text1"/>
          <w:highlight w:val="none"/>
          <w14:textFill>
            <w14:solidFill>
              <w14:schemeClr w14:val="tx1"/>
            </w14:solidFill>
          </w14:textFill>
        </w:rPr>
      </w:pPr>
    </w:p>
    <w:p w14:paraId="6EF52B86">
      <w:pPr>
        <w:ind w:left="420"/>
        <w:rPr>
          <w:color w:val="000000" w:themeColor="text1"/>
          <w:highlight w:val="none"/>
          <w14:textFill>
            <w14:solidFill>
              <w14:schemeClr w14:val="tx1"/>
            </w14:solidFill>
          </w14:textFill>
        </w:rPr>
      </w:pPr>
    </w:p>
    <w:p w14:paraId="4E93ABB7">
      <w:pPr>
        <w:ind w:left="420"/>
        <w:rPr>
          <w:color w:val="000000" w:themeColor="text1"/>
          <w:highlight w:val="none"/>
          <w14:textFill>
            <w14:solidFill>
              <w14:schemeClr w14:val="tx1"/>
            </w14:solidFill>
          </w14:textFill>
        </w:rPr>
      </w:pPr>
    </w:p>
    <w:p w14:paraId="122F6506">
      <w:pPr>
        <w:kinsoku w:val="0"/>
        <w:autoSpaceDE w:val="0"/>
        <w:autoSpaceDN w:val="0"/>
        <w:adjustRightInd w:val="0"/>
        <w:snapToGrid w:val="0"/>
        <w:spacing w:line="300" w:lineRule="exact"/>
        <w:ind w:firstLine="420"/>
        <w:jc w:val="righ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企业名称：</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（电子签章）</w:t>
      </w:r>
    </w:p>
    <w:p w14:paraId="3F434CFB">
      <w:pPr>
        <w:kinsoku w:val="0"/>
        <w:autoSpaceDE w:val="0"/>
        <w:autoSpaceDN w:val="0"/>
        <w:adjustRightInd w:val="0"/>
        <w:snapToGrid w:val="0"/>
        <w:spacing w:line="300" w:lineRule="exact"/>
        <w:ind w:firstLine="420"/>
        <w:textAlignment w:val="baseline"/>
        <w:rPr>
          <w:rFonts w:hint="eastAsia" w:ascii="宋体" w:hAnsi="宋体" w:cs="宋体"/>
          <w:color w:val="000000" w:themeColor="text1"/>
          <w:szCs w:val="21"/>
          <w:highlight w:val="none"/>
          <w:lang w:bidi="ar"/>
          <w14:textFill>
            <w14:solidFill>
              <w14:schemeClr w14:val="tx1"/>
            </w14:solidFill>
          </w14:textFill>
        </w:rPr>
      </w:pPr>
    </w:p>
    <w:p w14:paraId="13ECFCB2">
      <w:pPr>
        <w:kinsoku w:val="0"/>
        <w:autoSpaceDE w:val="0"/>
        <w:autoSpaceDN w:val="0"/>
        <w:adjustRightInd w:val="0"/>
        <w:snapToGrid w:val="0"/>
        <w:spacing w:line="300" w:lineRule="exact"/>
        <w:ind w:right="210" w:firstLine="420"/>
        <w:jc w:val="right"/>
        <w:textAlignment w:val="baseline"/>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日期：</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年</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月</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日</w:t>
      </w:r>
    </w:p>
    <w:p w14:paraId="05A70565">
      <w:pPr>
        <w:ind w:left="420"/>
        <w:rPr>
          <w:color w:val="000000" w:themeColor="text1"/>
          <w:highlight w:val="none"/>
          <w:lang w:bidi="ar"/>
          <w14:textFill>
            <w14:solidFill>
              <w14:schemeClr w14:val="tx1"/>
            </w14:solidFill>
          </w14:textFill>
        </w:rPr>
      </w:pPr>
    </w:p>
    <w:p w14:paraId="7386A72A">
      <w:pPr>
        <w:ind w:firstLine="420"/>
        <w:rPr>
          <w:rFonts w:hint="eastAsia" w:ascii="宋体" w:hAnsi="宋体" w:cs="宋体"/>
          <w:color w:val="000000" w:themeColor="text1"/>
          <w:highlight w:val="none"/>
          <w14:textFill>
            <w14:solidFill>
              <w14:schemeClr w14:val="tx1"/>
            </w14:solidFill>
          </w14:textFill>
        </w:rPr>
      </w:pPr>
    </w:p>
    <w:p w14:paraId="0FC7EE4C">
      <w:pPr>
        <w:rPr>
          <w:rFonts w:hint="eastAsia" w:ascii="宋体" w:hAnsi="宋体" w:cs="宋体"/>
          <w:b/>
          <w:bCs/>
          <w:color w:val="000000" w:themeColor="text1"/>
          <w:spacing w:val="21"/>
          <w:szCs w:val="21"/>
          <w:highlight w:val="none"/>
          <w14:textFill>
            <w14:solidFill>
              <w14:schemeClr w14:val="tx1"/>
            </w14:solidFill>
          </w14:textFill>
        </w:rPr>
      </w:pPr>
      <w:r>
        <w:rPr>
          <w:rFonts w:hint="eastAsia" w:ascii="宋体" w:hAnsi="宋体" w:cs="宋体"/>
          <w:b/>
          <w:bCs/>
          <w:color w:val="000000" w:themeColor="text1"/>
          <w:spacing w:val="21"/>
          <w:szCs w:val="21"/>
          <w:highlight w:val="none"/>
          <w14:textFill>
            <w14:solidFill>
              <w14:schemeClr w14:val="tx1"/>
            </w14:solidFill>
          </w14:textFill>
        </w:rPr>
        <w:t>注：符合条件的残疾人福利性单位在参加政府采购活动时，应当按《三部门联合发布关于促进残疾人就业政府采购政策的通知》（财库〔2017〕141号）提供规定的《残疾人福利性单位声明函》，并对声明的真实性负责。</w:t>
      </w:r>
    </w:p>
    <w:p w14:paraId="040D8CCA">
      <w:pPr>
        <w:spacing w:before="78" w:line="219" w:lineRule="auto"/>
        <w:ind w:firstLine="502"/>
        <w:jc w:val="center"/>
        <w:rPr>
          <w:rFonts w:hint="eastAsia" w:ascii="宋体" w:hAnsi="宋体" w:cs="宋体"/>
          <w:b/>
          <w:bCs/>
          <w:color w:val="000000" w:themeColor="text1"/>
          <w:spacing w:val="5"/>
          <w:sz w:val="24"/>
          <w:highlight w:val="none"/>
          <w14:textFill>
            <w14:solidFill>
              <w14:schemeClr w14:val="tx1"/>
            </w14:solidFill>
          </w14:textFill>
        </w:rPr>
      </w:pPr>
      <w:r>
        <w:rPr>
          <w:rFonts w:hint="eastAsia" w:ascii="宋体" w:hAnsi="宋体" w:cs="宋体"/>
          <w:b/>
          <w:bCs/>
          <w:color w:val="000000" w:themeColor="text1"/>
          <w:spacing w:val="5"/>
          <w:sz w:val="24"/>
          <w:highlight w:val="none"/>
          <w14:textFill>
            <w14:solidFill>
              <w14:schemeClr w14:val="tx1"/>
            </w14:solidFill>
          </w14:textFill>
        </w:rPr>
        <w:br w:type="page"/>
      </w:r>
    </w:p>
    <w:p w14:paraId="16DED72F">
      <w:pPr>
        <w:spacing w:before="78" w:line="219" w:lineRule="auto"/>
        <w:ind w:firstLine="502"/>
        <w:jc w:val="center"/>
        <w:rPr>
          <w:rFonts w:hint="eastAsia" w:ascii="宋体" w:hAnsi="宋体" w:cs="宋体"/>
          <w:b/>
          <w:bCs/>
          <w:color w:val="000000" w:themeColor="text1"/>
          <w:spacing w:val="5"/>
          <w:sz w:val="24"/>
          <w:highlight w:val="none"/>
          <w14:textFill>
            <w14:solidFill>
              <w14:schemeClr w14:val="tx1"/>
            </w14:solidFill>
          </w14:textFill>
        </w:rPr>
      </w:pPr>
    </w:p>
    <w:p w14:paraId="7DF1E995">
      <w:pPr>
        <w:spacing w:before="78" w:line="219" w:lineRule="auto"/>
        <w:ind w:firstLine="502"/>
        <w:jc w:val="center"/>
        <w:rPr>
          <w:rFonts w:hint="eastAsia" w:ascii="宋体" w:hAnsi="宋体" w:cs="宋体"/>
          <w:b/>
          <w:bCs/>
          <w:color w:val="000000" w:themeColor="text1"/>
          <w:spacing w:val="5"/>
          <w:sz w:val="24"/>
          <w:highlight w:val="none"/>
          <w14:textFill>
            <w14:solidFill>
              <w14:schemeClr w14:val="tx1"/>
            </w14:solidFill>
          </w14:textFill>
        </w:rPr>
      </w:pPr>
      <w:r>
        <w:rPr>
          <w:rFonts w:hint="eastAsia" w:ascii="宋体" w:hAnsi="宋体" w:cs="宋体"/>
          <w:b/>
          <w:bCs/>
          <w:color w:val="000000" w:themeColor="text1"/>
          <w:spacing w:val="5"/>
          <w:sz w:val="24"/>
          <w:highlight w:val="none"/>
          <w14:textFill>
            <w14:solidFill>
              <w14:schemeClr w14:val="tx1"/>
            </w14:solidFill>
          </w14:textFill>
        </w:rPr>
        <w:t>监狱企业证明文件</w:t>
      </w:r>
    </w:p>
    <w:p w14:paraId="449AEC38">
      <w:pPr>
        <w:pStyle w:val="210"/>
        <w:ind w:firstLine="452"/>
        <w:rPr>
          <w:rFonts w:hint="eastAsia" w:ascii="宋体" w:hAnsi="宋体" w:cs="宋体"/>
          <w:color w:val="000000" w:themeColor="text1"/>
          <w:spacing w:val="-7"/>
          <w:sz w:val="24"/>
          <w:highlight w:val="none"/>
          <w14:textFill>
            <w14:solidFill>
              <w14:schemeClr w14:val="tx1"/>
            </w14:solidFill>
          </w14:textFill>
        </w:rPr>
      </w:pPr>
    </w:p>
    <w:p w14:paraId="0664FA30">
      <w:pPr>
        <w:ind w:firstLine="756" w:firstLineChars="300"/>
        <w:rPr>
          <w:rFonts w:hint="eastAsia" w:ascii="宋体" w:hAnsi="宋体" w:cs="宋体"/>
          <w:color w:val="000000" w:themeColor="text1"/>
          <w:spacing w:val="21"/>
          <w:szCs w:val="21"/>
          <w:highlight w:val="none"/>
          <w14:textFill>
            <w14:solidFill>
              <w14:schemeClr w14:val="tx1"/>
            </w14:solidFill>
          </w14:textFill>
        </w:rPr>
      </w:pPr>
      <w:r>
        <w:rPr>
          <w:rFonts w:hint="eastAsia" w:ascii="宋体" w:hAnsi="宋体" w:cs="宋体"/>
          <w:color w:val="000000" w:themeColor="text1"/>
          <w:spacing w:val="21"/>
          <w:szCs w:val="21"/>
          <w:highlight w:val="none"/>
          <w14:textFill>
            <w14:solidFill>
              <w14:schemeClr w14:val="tx1"/>
            </w14:solidFill>
          </w14:textFill>
        </w:rPr>
        <w:t>根据财政部《司法部关于政府采购支持监狱企业发展有关问题》的通知（财库〔2014 〕68 号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ADEAEBE">
      <w:pPr>
        <w:ind w:firstLine="672" w:firstLineChars="300"/>
        <w:rPr>
          <w:rFonts w:hint="eastAsia" w:ascii="宋体" w:hAnsi="宋体" w:cs="宋体"/>
          <w:color w:val="000000" w:themeColor="text1"/>
          <w:spacing w:val="21"/>
          <w:szCs w:val="21"/>
          <w:highlight w:val="none"/>
          <w14:textFill>
            <w14:solidFill>
              <w14:schemeClr w14:val="tx1"/>
            </w14:solidFill>
          </w14:textFill>
        </w:rPr>
      </w:pPr>
      <w:r>
        <w:rPr>
          <w:rFonts w:hint="eastAsia" w:ascii="宋体" w:hAnsi="宋体" w:cs="宋体"/>
          <w:color w:val="000000" w:themeColor="text1"/>
          <w:spacing w:val="7"/>
          <w:szCs w:val="21"/>
          <w:highlight w:val="none"/>
          <w14:textFill>
            <w14:solidFill>
              <w14:schemeClr w14:val="tx1"/>
            </w14:solidFill>
          </w14:textFill>
        </w:rPr>
        <w:t>本单位（请进行勾选</w:t>
      </w:r>
      <w:r>
        <w:rPr>
          <w:rFonts w:ascii="宋体" w:hAnsi="宋体" w:cs="宋体"/>
          <w:color w:val="000000" w:themeColor="text1"/>
          <w:spacing w:val="7"/>
          <w:szCs w:val="21"/>
          <w:highlight w:val="none"/>
          <w14:textFill>
            <w14:solidFill>
              <w14:schemeClr w14:val="tx1"/>
            </w14:solidFill>
          </w14:textFill>
        </w:rPr>
        <w:t>）</w:t>
      </w:r>
      <w:r>
        <w:rPr>
          <w:rFonts w:hint="eastAsia" w:ascii="宋体" w:hAnsi="宋体" w:cs="宋体"/>
          <w:color w:val="000000" w:themeColor="text1"/>
          <w:spacing w:val="7"/>
          <w:szCs w:val="21"/>
          <w:highlight w:val="none"/>
          <w14:textFill>
            <w14:solidFill>
              <w14:schemeClr w14:val="tx1"/>
            </w14:solidFill>
          </w14:textFill>
        </w:rPr>
        <w:t>：</w:t>
      </w:r>
    </w:p>
    <w:p w14:paraId="7BE2AEC6">
      <w:pPr>
        <w:ind w:firstLine="758" w:firstLineChars="300"/>
        <w:rPr>
          <w:rFonts w:hint="eastAsia" w:ascii="宋体" w:hAnsi="宋体" w:cs="宋体"/>
          <w:b/>
          <w:bCs/>
          <w:color w:val="000000" w:themeColor="text1"/>
          <w:spacing w:val="21"/>
          <w:szCs w:val="21"/>
          <w:highlight w:val="none"/>
          <w14:textFill>
            <w14:solidFill>
              <w14:schemeClr w14:val="tx1"/>
            </w14:solidFill>
          </w14:textFill>
        </w:rPr>
      </w:pPr>
      <w:r>
        <w:rPr>
          <w:rFonts w:ascii="宋体" w:hAnsi="宋体" w:cs="宋体"/>
          <w:b/>
          <w:bCs/>
          <w:color w:val="000000" w:themeColor="text1"/>
          <w:spacing w:val="21"/>
          <w:szCs w:val="21"/>
          <w:highlight w:val="none"/>
          <w14:textFill>
            <w14:solidFill>
              <w14:schemeClr w14:val="tx1"/>
            </w14:solidFill>
          </w14:textFill>
        </w:rPr>
        <w:t>□不属于符合条件的</w:t>
      </w:r>
      <w:r>
        <w:rPr>
          <w:rFonts w:hint="eastAsia" w:ascii="宋体" w:hAnsi="宋体" w:cs="宋体"/>
          <w:b/>
          <w:bCs/>
          <w:color w:val="000000" w:themeColor="text1"/>
          <w:spacing w:val="21"/>
          <w:szCs w:val="21"/>
          <w:highlight w:val="none"/>
          <w14:textFill>
            <w14:solidFill>
              <w14:schemeClr w14:val="tx1"/>
            </w14:solidFill>
          </w14:textFill>
        </w:rPr>
        <w:t>监狱企业</w:t>
      </w:r>
      <w:r>
        <w:rPr>
          <w:rFonts w:ascii="宋体" w:hAnsi="宋体" w:cs="宋体"/>
          <w:b/>
          <w:bCs/>
          <w:color w:val="000000" w:themeColor="text1"/>
          <w:spacing w:val="21"/>
          <w:szCs w:val="21"/>
          <w:highlight w:val="none"/>
          <w14:textFill>
            <w14:solidFill>
              <w14:schemeClr w14:val="tx1"/>
            </w14:solidFill>
          </w14:textFill>
        </w:rPr>
        <w:t>。</w:t>
      </w:r>
    </w:p>
    <w:p w14:paraId="4257D698">
      <w:pPr>
        <w:ind w:firstLine="758" w:firstLineChars="300"/>
        <w:rPr>
          <w:rFonts w:hint="eastAsia" w:ascii="宋体" w:hAnsi="宋体" w:cs="宋体"/>
          <w:b/>
          <w:bCs/>
          <w:color w:val="000000" w:themeColor="text1"/>
          <w:spacing w:val="21"/>
          <w:szCs w:val="21"/>
          <w:highlight w:val="none"/>
          <w14:textFill>
            <w14:solidFill>
              <w14:schemeClr w14:val="tx1"/>
            </w14:solidFill>
          </w14:textFill>
        </w:rPr>
      </w:pPr>
      <w:r>
        <w:rPr>
          <w:rFonts w:ascii="宋体" w:hAnsi="宋体" w:cs="宋体"/>
          <w:b/>
          <w:bCs/>
          <w:color w:val="000000" w:themeColor="text1"/>
          <w:spacing w:val="21"/>
          <w:szCs w:val="21"/>
          <w:highlight w:val="none"/>
          <w14:textFill>
            <w14:solidFill>
              <w14:schemeClr w14:val="tx1"/>
            </w14:solidFill>
          </w14:textFill>
        </w:rPr>
        <w:t>□属于符合条件的</w:t>
      </w:r>
      <w:r>
        <w:rPr>
          <w:rFonts w:hint="eastAsia" w:ascii="宋体" w:hAnsi="宋体" w:cs="宋体"/>
          <w:b/>
          <w:bCs/>
          <w:color w:val="000000" w:themeColor="text1"/>
          <w:spacing w:val="21"/>
          <w:szCs w:val="21"/>
          <w:highlight w:val="none"/>
          <w14:textFill>
            <w14:solidFill>
              <w14:schemeClr w14:val="tx1"/>
            </w14:solidFill>
          </w14:textFill>
        </w:rPr>
        <w:t>监狱企业。</w:t>
      </w:r>
    </w:p>
    <w:p w14:paraId="3ED05804">
      <w:pPr>
        <w:ind w:firstLine="756" w:firstLineChars="300"/>
        <w:rPr>
          <w:rFonts w:hint="eastAsia" w:ascii="宋体" w:hAnsi="宋体" w:cs="宋体"/>
          <w:color w:val="000000" w:themeColor="text1"/>
          <w:spacing w:val="21"/>
          <w:szCs w:val="21"/>
          <w:highlight w:val="none"/>
          <w14:textFill>
            <w14:solidFill>
              <w14:schemeClr w14:val="tx1"/>
            </w14:solidFill>
          </w14:textFill>
        </w:rPr>
      </w:pPr>
    </w:p>
    <w:p w14:paraId="59CD6047">
      <w:pPr>
        <w:ind w:firstLine="756" w:firstLineChars="300"/>
        <w:rPr>
          <w:rFonts w:hint="eastAsia" w:ascii="宋体" w:hAnsi="宋体" w:cs="宋体"/>
          <w:color w:val="000000" w:themeColor="text1"/>
          <w:spacing w:val="21"/>
          <w:szCs w:val="21"/>
          <w:highlight w:val="none"/>
          <w14:textFill>
            <w14:solidFill>
              <w14:schemeClr w14:val="tx1"/>
            </w14:solidFill>
          </w14:textFill>
        </w:rPr>
      </w:pPr>
      <w:r>
        <w:rPr>
          <w:rFonts w:hint="eastAsia" w:ascii="宋体" w:hAnsi="宋体" w:cs="宋体"/>
          <w:color w:val="000000" w:themeColor="text1"/>
          <w:spacing w:val="21"/>
          <w:szCs w:val="21"/>
          <w:highlight w:val="none"/>
          <w14:textFill>
            <w14:solidFill>
              <w14:schemeClr w14:val="tx1"/>
            </w14:solidFill>
          </w14:textFill>
        </w:rPr>
        <w:t>本单位对上述声明的真实性负责。如有虚假，将依法承担相应责任。</w:t>
      </w:r>
    </w:p>
    <w:p w14:paraId="36F360EE">
      <w:pPr>
        <w:pStyle w:val="210"/>
        <w:ind w:firstLine="420"/>
        <w:rPr>
          <w:rFonts w:hint="eastAsia" w:ascii="宋体" w:hAnsi="宋体" w:cs="宋体"/>
          <w:color w:val="000000" w:themeColor="text1"/>
          <w:szCs w:val="21"/>
          <w:highlight w:val="none"/>
          <w14:textFill>
            <w14:solidFill>
              <w14:schemeClr w14:val="tx1"/>
            </w14:solidFill>
          </w14:textFill>
        </w:rPr>
      </w:pPr>
    </w:p>
    <w:p w14:paraId="31DA5BD6">
      <w:pPr>
        <w:kinsoku w:val="0"/>
        <w:autoSpaceDE w:val="0"/>
        <w:autoSpaceDN w:val="0"/>
        <w:adjustRightInd w:val="0"/>
        <w:snapToGrid w:val="0"/>
        <w:spacing w:line="300" w:lineRule="exact"/>
        <w:ind w:firstLine="420"/>
        <w:jc w:val="righ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企业名称：</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（电子签章）</w:t>
      </w:r>
    </w:p>
    <w:p w14:paraId="2101DE43">
      <w:pPr>
        <w:kinsoku w:val="0"/>
        <w:autoSpaceDE w:val="0"/>
        <w:autoSpaceDN w:val="0"/>
        <w:adjustRightInd w:val="0"/>
        <w:snapToGrid w:val="0"/>
        <w:spacing w:line="300" w:lineRule="exact"/>
        <w:ind w:firstLine="420"/>
        <w:textAlignment w:val="baseline"/>
        <w:rPr>
          <w:rFonts w:hint="eastAsia" w:ascii="宋体" w:hAnsi="宋体" w:cs="宋体"/>
          <w:color w:val="000000" w:themeColor="text1"/>
          <w:szCs w:val="21"/>
          <w:highlight w:val="none"/>
          <w:lang w:bidi="ar"/>
          <w14:textFill>
            <w14:solidFill>
              <w14:schemeClr w14:val="tx1"/>
            </w14:solidFill>
          </w14:textFill>
        </w:rPr>
      </w:pPr>
    </w:p>
    <w:p w14:paraId="5FB868AF">
      <w:pPr>
        <w:kinsoku w:val="0"/>
        <w:autoSpaceDE w:val="0"/>
        <w:autoSpaceDN w:val="0"/>
        <w:adjustRightInd w:val="0"/>
        <w:snapToGrid w:val="0"/>
        <w:spacing w:line="300" w:lineRule="exact"/>
        <w:ind w:right="210" w:firstLine="420"/>
        <w:jc w:val="right"/>
        <w:textAlignment w:val="baseline"/>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日期：</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年</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月</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日</w:t>
      </w:r>
    </w:p>
    <w:p w14:paraId="4094F231">
      <w:pPr>
        <w:kinsoku w:val="0"/>
        <w:autoSpaceDE w:val="0"/>
        <w:autoSpaceDN w:val="0"/>
        <w:adjustRightInd w:val="0"/>
        <w:snapToGrid w:val="0"/>
        <w:spacing w:line="300" w:lineRule="exact"/>
        <w:ind w:right="210" w:firstLine="420"/>
        <w:jc w:val="right"/>
        <w:textAlignment w:val="baseline"/>
        <w:rPr>
          <w:color w:val="000000" w:themeColor="text1"/>
          <w:highlight w:val="none"/>
          <w:lang w:bidi="ar"/>
          <w14:textFill>
            <w14:solidFill>
              <w14:schemeClr w14:val="tx1"/>
            </w14:solidFill>
          </w14:textFill>
        </w:rPr>
      </w:pPr>
    </w:p>
    <w:p w14:paraId="2D1C1BDE">
      <w:pPr>
        <w:ind w:firstLine="482"/>
        <w:rPr>
          <w:rFonts w:hint="eastAsia" w:ascii="宋体" w:hAnsi="宋体" w:cs="宋体"/>
          <w:b/>
          <w:color w:val="000000" w:themeColor="text1"/>
          <w:szCs w:val="21"/>
          <w:highlight w:val="none"/>
          <w14:textFill>
            <w14:solidFill>
              <w14:schemeClr w14:val="tx1"/>
            </w14:solidFill>
          </w14:textFill>
        </w:rPr>
      </w:pPr>
    </w:p>
    <w:p w14:paraId="2A65D3DD">
      <w:pPr>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注：符合条件的监狱企业在参加政府采购活动时，应当按《财政部司法部关于政府采购支持监狱企业发展有关问题的通知》（财库[2014]68号）提供规定的《监狱企业证明文件》，并对证明文件的真实性负责。</w:t>
      </w:r>
    </w:p>
    <w:p w14:paraId="1F7D9250">
      <w:pPr>
        <w:rPr>
          <w:color w:val="000000" w:themeColor="text1"/>
          <w:highlight w:val="none"/>
          <w14:textFill>
            <w14:solidFill>
              <w14:schemeClr w14:val="tx1"/>
            </w14:solidFill>
          </w14:textFill>
        </w:rPr>
      </w:pPr>
    </w:p>
    <w:p w14:paraId="2F62D66A">
      <w:pPr>
        <w:rPr>
          <w:color w:val="000000" w:themeColor="text1"/>
          <w:highlight w:val="none"/>
          <w14:textFill>
            <w14:solidFill>
              <w14:schemeClr w14:val="tx1"/>
            </w14:solidFill>
          </w14:textFill>
        </w:rPr>
      </w:pPr>
    </w:p>
    <w:p w14:paraId="7DC861B1">
      <w:pPr>
        <w:rPr>
          <w:color w:val="000000" w:themeColor="text1"/>
          <w:highlight w:val="none"/>
          <w14:textFill>
            <w14:solidFill>
              <w14:schemeClr w14:val="tx1"/>
            </w14:solidFill>
          </w14:textFill>
        </w:rPr>
      </w:pPr>
    </w:p>
    <w:bookmarkEnd w:id="1736"/>
    <w:bookmarkEnd w:id="1737"/>
    <w:p w14:paraId="0B58C48E">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7793BCC">
      <w:pPr>
        <w:rPr>
          <w:color w:val="000000" w:themeColor="text1"/>
          <w:highlight w:val="none"/>
          <w14:textFill>
            <w14:solidFill>
              <w14:schemeClr w14:val="tx1"/>
            </w14:solidFill>
          </w14:textFill>
        </w:rPr>
      </w:pPr>
    </w:p>
    <w:p w14:paraId="30F7F480">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（九）资质要求</w:t>
      </w:r>
    </w:p>
    <w:p w14:paraId="336BA1DA">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供应商须具备建设行政主管部门颁发的市政工程施工总承包叁级及以上资质，具备有效的安全生产许可证。（提供相关证件复印或扫描件）</w:t>
      </w:r>
    </w:p>
    <w:p w14:paraId="432CE962">
      <w:pPr>
        <w:pStyle w:val="2"/>
        <w:spacing w:before="120"/>
        <w:rPr>
          <w:rFonts w:hint="eastAsia" w:ascii="宋体" w:hAnsi="宋体" w:cs="宋体"/>
          <w:color w:val="000000" w:themeColor="text1"/>
          <w:szCs w:val="21"/>
          <w:highlight w:val="none"/>
          <w14:textFill>
            <w14:solidFill>
              <w14:schemeClr w14:val="tx1"/>
            </w14:solidFill>
          </w14:textFill>
        </w:rPr>
      </w:pPr>
    </w:p>
    <w:p w14:paraId="2D022F7E">
      <w:pPr>
        <w:rPr>
          <w:rFonts w:hint="eastAsia" w:ascii="宋体" w:hAnsi="宋体" w:cs="宋体"/>
          <w:color w:val="000000" w:themeColor="text1"/>
          <w:szCs w:val="21"/>
          <w:highlight w:val="none"/>
          <w14:textFill>
            <w14:solidFill>
              <w14:schemeClr w14:val="tx1"/>
            </w14:solidFill>
          </w14:textFill>
        </w:rPr>
      </w:pPr>
    </w:p>
    <w:p w14:paraId="47E4B4E9">
      <w:pPr>
        <w:pStyle w:val="2"/>
        <w:spacing w:before="120"/>
        <w:rPr>
          <w:color w:val="000000" w:themeColor="text1"/>
          <w:highlight w:val="none"/>
          <w14:textFill>
            <w14:solidFill>
              <w14:schemeClr w14:val="tx1"/>
            </w14:solidFill>
          </w14:textFill>
        </w:rPr>
      </w:pPr>
    </w:p>
    <w:p w14:paraId="2BFD3B11">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（十）项目经理简历表</w:t>
      </w:r>
    </w:p>
    <w:tbl>
      <w:tblPr>
        <w:tblStyle w:val="53"/>
        <w:tblW w:w="0" w:type="auto"/>
        <w:jc w:val="center"/>
        <w:tblLayout w:type="fixed"/>
        <w:tblCellMar>
          <w:top w:w="0" w:type="dxa"/>
          <w:left w:w="108" w:type="dxa"/>
          <w:bottom w:w="0" w:type="dxa"/>
          <w:right w:w="108" w:type="dxa"/>
        </w:tblCellMar>
      </w:tblPr>
      <w:tblGrid>
        <w:gridCol w:w="1197"/>
        <w:gridCol w:w="1132"/>
        <w:gridCol w:w="1243"/>
        <w:gridCol w:w="1397"/>
        <w:gridCol w:w="2018"/>
        <w:gridCol w:w="2330"/>
      </w:tblGrid>
      <w:tr w14:paraId="66624881">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2CCFCEA6">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姓  名</w:t>
            </w:r>
          </w:p>
        </w:tc>
        <w:tc>
          <w:tcPr>
            <w:tcW w:w="1132" w:type="dxa"/>
            <w:tcBorders>
              <w:top w:val="single" w:color="auto" w:sz="4" w:space="0"/>
              <w:left w:val="nil"/>
              <w:bottom w:val="single" w:color="auto" w:sz="4" w:space="0"/>
              <w:right w:val="single" w:color="auto" w:sz="4" w:space="0"/>
            </w:tcBorders>
            <w:vAlign w:val="center"/>
          </w:tcPr>
          <w:p w14:paraId="3B37771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1243" w:type="dxa"/>
            <w:tcBorders>
              <w:top w:val="single" w:color="auto" w:sz="4" w:space="0"/>
              <w:left w:val="nil"/>
              <w:bottom w:val="single" w:color="auto" w:sz="4" w:space="0"/>
              <w:right w:val="single" w:color="auto" w:sz="4" w:space="0"/>
            </w:tcBorders>
            <w:vAlign w:val="center"/>
          </w:tcPr>
          <w:p w14:paraId="59E1984F">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年  龄</w:t>
            </w:r>
          </w:p>
        </w:tc>
        <w:tc>
          <w:tcPr>
            <w:tcW w:w="1397" w:type="dxa"/>
            <w:tcBorders>
              <w:top w:val="single" w:color="auto" w:sz="4" w:space="0"/>
              <w:left w:val="nil"/>
              <w:bottom w:val="single" w:color="auto" w:sz="4" w:space="0"/>
              <w:right w:val="single" w:color="auto" w:sz="4" w:space="0"/>
            </w:tcBorders>
            <w:vAlign w:val="center"/>
          </w:tcPr>
          <w:p w14:paraId="3E9CE372">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23CE509A">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学历</w:t>
            </w:r>
          </w:p>
        </w:tc>
        <w:tc>
          <w:tcPr>
            <w:tcW w:w="2330" w:type="dxa"/>
            <w:tcBorders>
              <w:top w:val="single" w:color="auto" w:sz="4" w:space="0"/>
              <w:left w:val="nil"/>
              <w:bottom w:val="single" w:color="auto" w:sz="4" w:space="0"/>
              <w:right w:val="single" w:color="auto" w:sz="4" w:space="0"/>
            </w:tcBorders>
            <w:vAlign w:val="center"/>
          </w:tcPr>
          <w:p w14:paraId="3CF6E2A9">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4D525539">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63847845">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职  称</w:t>
            </w:r>
          </w:p>
        </w:tc>
        <w:tc>
          <w:tcPr>
            <w:tcW w:w="1132" w:type="dxa"/>
            <w:tcBorders>
              <w:top w:val="single" w:color="auto" w:sz="4" w:space="0"/>
              <w:left w:val="nil"/>
              <w:bottom w:val="single" w:color="auto" w:sz="4" w:space="0"/>
              <w:right w:val="single" w:color="auto" w:sz="4" w:space="0"/>
            </w:tcBorders>
            <w:vAlign w:val="center"/>
          </w:tcPr>
          <w:p w14:paraId="6C06CF1F">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1243" w:type="dxa"/>
            <w:tcBorders>
              <w:top w:val="single" w:color="auto" w:sz="4" w:space="0"/>
              <w:left w:val="nil"/>
              <w:bottom w:val="single" w:color="auto" w:sz="4" w:space="0"/>
              <w:right w:val="single" w:color="auto" w:sz="4" w:space="0"/>
            </w:tcBorders>
            <w:vAlign w:val="center"/>
          </w:tcPr>
          <w:p w14:paraId="5C44D338">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职  务</w:t>
            </w:r>
          </w:p>
        </w:tc>
        <w:tc>
          <w:tcPr>
            <w:tcW w:w="1397" w:type="dxa"/>
            <w:tcBorders>
              <w:top w:val="single" w:color="auto" w:sz="4" w:space="0"/>
              <w:left w:val="nil"/>
              <w:bottom w:val="single" w:color="auto" w:sz="4" w:space="0"/>
              <w:right w:val="single" w:color="auto" w:sz="4" w:space="0"/>
            </w:tcBorders>
            <w:vAlign w:val="center"/>
          </w:tcPr>
          <w:p w14:paraId="5767E807">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483D48D5">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拟在本项目任职</w:t>
            </w:r>
          </w:p>
        </w:tc>
        <w:tc>
          <w:tcPr>
            <w:tcW w:w="2330" w:type="dxa"/>
            <w:tcBorders>
              <w:top w:val="single" w:color="auto" w:sz="4" w:space="0"/>
              <w:left w:val="nil"/>
              <w:bottom w:val="single" w:color="auto" w:sz="4" w:space="0"/>
              <w:right w:val="single" w:color="auto" w:sz="4" w:space="0"/>
            </w:tcBorders>
            <w:vAlign w:val="center"/>
          </w:tcPr>
          <w:p w14:paraId="721FE99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19245A0B">
        <w:tblPrEx>
          <w:tblCellMar>
            <w:top w:w="0" w:type="dxa"/>
            <w:left w:w="108" w:type="dxa"/>
            <w:bottom w:w="0" w:type="dxa"/>
            <w:right w:w="108" w:type="dxa"/>
          </w:tblCellMar>
        </w:tblPrEx>
        <w:trPr>
          <w:trHeight w:val="590" w:hRule="atLeast"/>
          <w:jc w:val="center"/>
        </w:trPr>
        <w:tc>
          <w:tcPr>
            <w:tcW w:w="3572" w:type="dxa"/>
            <w:gridSpan w:val="3"/>
            <w:tcBorders>
              <w:top w:val="single" w:color="auto" w:sz="4" w:space="0"/>
              <w:left w:val="single" w:color="auto" w:sz="4" w:space="0"/>
              <w:bottom w:val="single" w:color="auto" w:sz="4" w:space="0"/>
              <w:right w:val="single" w:color="auto" w:sz="4" w:space="0"/>
            </w:tcBorders>
            <w:vAlign w:val="center"/>
          </w:tcPr>
          <w:p w14:paraId="6A9C4B3D">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注册建造师执业资格等级</w:t>
            </w:r>
          </w:p>
        </w:tc>
        <w:tc>
          <w:tcPr>
            <w:tcW w:w="1397" w:type="dxa"/>
            <w:tcBorders>
              <w:top w:val="single" w:color="auto" w:sz="4" w:space="0"/>
              <w:left w:val="nil"/>
              <w:bottom w:val="single" w:color="auto" w:sz="4" w:space="0"/>
              <w:right w:val="single" w:color="auto" w:sz="4" w:space="0"/>
            </w:tcBorders>
            <w:vAlign w:val="center"/>
          </w:tcPr>
          <w:p w14:paraId="08FF53B5">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级</w:t>
            </w:r>
          </w:p>
        </w:tc>
        <w:tc>
          <w:tcPr>
            <w:tcW w:w="2018" w:type="dxa"/>
            <w:tcBorders>
              <w:top w:val="single" w:color="auto" w:sz="4" w:space="0"/>
              <w:left w:val="nil"/>
              <w:bottom w:val="single" w:color="auto" w:sz="4" w:space="0"/>
              <w:right w:val="single" w:color="auto" w:sz="4" w:space="0"/>
            </w:tcBorders>
            <w:vAlign w:val="center"/>
          </w:tcPr>
          <w:p w14:paraId="463AF37C">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建造师专业</w:t>
            </w:r>
          </w:p>
        </w:tc>
        <w:tc>
          <w:tcPr>
            <w:tcW w:w="2330" w:type="dxa"/>
            <w:tcBorders>
              <w:top w:val="single" w:color="auto" w:sz="4" w:space="0"/>
              <w:left w:val="nil"/>
              <w:bottom w:val="single" w:color="auto" w:sz="4" w:space="0"/>
              <w:right w:val="single" w:color="auto" w:sz="4" w:space="0"/>
            </w:tcBorders>
            <w:vAlign w:val="center"/>
          </w:tcPr>
          <w:p w14:paraId="5E9BC6B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4CDF6C0C">
        <w:tblPrEx>
          <w:tblCellMar>
            <w:top w:w="0" w:type="dxa"/>
            <w:left w:w="108" w:type="dxa"/>
            <w:bottom w:w="0" w:type="dxa"/>
            <w:right w:w="108" w:type="dxa"/>
          </w:tblCellMar>
        </w:tblPrEx>
        <w:trPr>
          <w:trHeight w:val="590" w:hRule="atLeast"/>
          <w:jc w:val="center"/>
        </w:trPr>
        <w:tc>
          <w:tcPr>
            <w:tcW w:w="3572" w:type="dxa"/>
            <w:gridSpan w:val="3"/>
            <w:tcBorders>
              <w:top w:val="single" w:color="auto" w:sz="4" w:space="0"/>
              <w:left w:val="single" w:color="auto" w:sz="4" w:space="0"/>
              <w:bottom w:val="single" w:color="auto" w:sz="4" w:space="0"/>
              <w:right w:val="single" w:color="auto" w:sz="4" w:space="0"/>
            </w:tcBorders>
            <w:vAlign w:val="center"/>
          </w:tcPr>
          <w:p w14:paraId="229F0481">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安全生产考核合格证书及编号</w:t>
            </w:r>
          </w:p>
        </w:tc>
        <w:tc>
          <w:tcPr>
            <w:tcW w:w="5745" w:type="dxa"/>
            <w:gridSpan w:val="3"/>
            <w:tcBorders>
              <w:top w:val="single" w:color="auto" w:sz="4" w:space="0"/>
              <w:left w:val="nil"/>
              <w:bottom w:val="single" w:color="auto" w:sz="4" w:space="0"/>
              <w:right w:val="single" w:color="auto" w:sz="4" w:space="0"/>
            </w:tcBorders>
            <w:vAlign w:val="center"/>
          </w:tcPr>
          <w:p w14:paraId="497C9EA8">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6F1E21B9">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3240DA1B">
            <w:pPr>
              <w:adjustRightInd w:val="0"/>
              <w:snapToGrid w:val="0"/>
              <w:spacing w:line="24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毕业学校</w:t>
            </w:r>
          </w:p>
        </w:tc>
        <w:tc>
          <w:tcPr>
            <w:tcW w:w="8120" w:type="dxa"/>
            <w:gridSpan w:val="5"/>
            <w:tcBorders>
              <w:top w:val="single" w:color="auto" w:sz="4" w:space="0"/>
              <w:left w:val="nil"/>
              <w:bottom w:val="single" w:color="auto" w:sz="4" w:space="0"/>
              <w:right w:val="single" w:color="auto" w:sz="4" w:space="0"/>
            </w:tcBorders>
            <w:vAlign w:val="center"/>
          </w:tcPr>
          <w:p w14:paraId="7CFC1E2A">
            <w:pPr>
              <w:adjustRightInd w:val="0"/>
              <w:snapToGrid w:val="0"/>
              <w:spacing w:line="240" w:lineRule="auto"/>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年毕业于                  学校            专业</w:t>
            </w:r>
          </w:p>
        </w:tc>
      </w:tr>
      <w:tr w14:paraId="1E57836E">
        <w:tblPrEx>
          <w:tblCellMar>
            <w:top w:w="0" w:type="dxa"/>
            <w:left w:w="108" w:type="dxa"/>
            <w:bottom w:w="0" w:type="dxa"/>
            <w:right w:w="108" w:type="dxa"/>
          </w:tblCellMar>
        </w:tblPrEx>
        <w:trPr>
          <w:trHeight w:val="590" w:hRule="atLeast"/>
          <w:jc w:val="center"/>
        </w:trPr>
        <w:tc>
          <w:tcPr>
            <w:tcW w:w="9317" w:type="dxa"/>
            <w:gridSpan w:val="6"/>
            <w:tcBorders>
              <w:top w:val="single" w:color="auto" w:sz="4" w:space="0"/>
              <w:left w:val="single" w:color="auto" w:sz="4" w:space="0"/>
              <w:bottom w:val="single" w:color="auto" w:sz="4" w:space="0"/>
              <w:right w:val="single" w:color="auto" w:sz="4" w:space="0"/>
            </w:tcBorders>
            <w:vAlign w:val="center"/>
          </w:tcPr>
          <w:p w14:paraId="7200A8C5">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主要工作经历</w:t>
            </w:r>
          </w:p>
        </w:tc>
      </w:tr>
      <w:tr w14:paraId="20F08689">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1E59E22A">
            <w:pPr>
              <w:spacing w:line="24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时  间</w:t>
            </w:r>
          </w:p>
        </w:tc>
        <w:tc>
          <w:tcPr>
            <w:tcW w:w="3772" w:type="dxa"/>
            <w:gridSpan w:val="3"/>
            <w:tcBorders>
              <w:top w:val="single" w:color="auto" w:sz="4" w:space="0"/>
              <w:left w:val="nil"/>
              <w:bottom w:val="single" w:color="auto" w:sz="4" w:space="0"/>
              <w:right w:val="single" w:color="auto" w:sz="4" w:space="0"/>
            </w:tcBorders>
            <w:vAlign w:val="center"/>
          </w:tcPr>
          <w:p w14:paraId="79461881">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参加过的类似项目名称</w:t>
            </w:r>
          </w:p>
        </w:tc>
        <w:tc>
          <w:tcPr>
            <w:tcW w:w="2018" w:type="dxa"/>
            <w:tcBorders>
              <w:top w:val="single" w:color="auto" w:sz="4" w:space="0"/>
              <w:left w:val="nil"/>
              <w:bottom w:val="single" w:color="auto" w:sz="4" w:space="0"/>
              <w:right w:val="single" w:color="auto" w:sz="4" w:space="0"/>
            </w:tcBorders>
            <w:vAlign w:val="center"/>
          </w:tcPr>
          <w:p w14:paraId="1127165C">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担任职务</w:t>
            </w:r>
          </w:p>
        </w:tc>
        <w:tc>
          <w:tcPr>
            <w:tcW w:w="2330" w:type="dxa"/>
            <w:tcBorders>
              <w:top w:val="single" w:color="auto" w:sz="4" w:space="0"/>
              <w:left w:val="nil"/>
              <w:bottom w:val="single" w:color="auto" w:sz="4" w:space="0"/>
              <w:right w:val="single" w:color="auto" w:sz="4" w:space="0"/>
            </w:tcBorders>
            <w:vAlign w:val="center"/>
          </w:tcPr>
          <w:p w14:paraId="239186E3">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发包人及联系电话</w:t>
            </w:r>
          </w:p>
        </w:tc>
      </w:tr>
      <w:tr w14:paraId="6759016B">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466607F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3772" w:type="dxa"/>
            <w:gridSpan w:val="3"/>
            <w:tcBorders>
              <w:top w:val="single" w:color="auto" w:sz="4" w:space="0"/>
              <w:left w:val="nil"/>
              <w:bottom w:val="single" w:color="auto" w:sz="4" w:space="0"/>
              <w:right w:val="single" w:color="auto" w:sz="4" w:space="0"/>
            </w:tcBorders>
            <w:vAlign w:val="center"/>
          </w:tcPr>
          <w:p w14:paraId="534C728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36D2C98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2330" w:type="dxa"/>
            <w:tcBorders>
              <w:top w:val="single" w:color="auto" w:sz="4" w:space="0"/>
              <w:left w:val="nil"/>
              <w:bottom w:val="single" w:color="auto" w:sz="4" w:space="0"/>
              <w:right w:val="single" w:color="auto" w:sz="4" w:space="0"/>
            </w:tcBorders>
            <w:vAlign w:val="center"/>
          </w:tcPr>
          <w:p w14:paraId="4F8974F7">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7A591B5B">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5C984FF8">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3772" w:type="dxa"/>
            <w:gridSpan w:val="3"/>
            <w:tcBorders>
              <w:top w:val="single" w:color="auto" w:sz="4" w:space="0"/>
              <w:left w:val="nil"/>
              <w:bottom w:val="single" w:color="auto" w:sz="4" w:space="0"/>
              <w:right w:val="single" w:color="auto" w:sz="4" w:space="0"/>
            </w:tcBorders>
            <w:vAlign w:val="center"/>
          </w:tcPr>
          <w:p w14:paraId="5A40BEB9">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00E1B30D">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330" w:type="dxa"/>
            <w:tcBorders>
              <w:top w:val="single" w:color="auto" w:sz="4" w:space="0"/>
              <w:left w:val="nil"/>
              <w:bottom w:val="single" w:color="auto" w:sz="4" w:space="0"/>
              <w:right w:val="single" w:color="auto" w:sz="4" w:space="0"/>
            </w:tcBorders>
            <w:vAlign w:val="center"/>
          </w:tcPr>
          <w:p w14:paraId="6D9EA627">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3AF9B2BC">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477B5ABC">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3772" w:type="dxa"/>
            <w:gridSpan w:val="3"/>
            <w:tcBorders>
              <w:top w:val="single" w:color="auto" w:sz="4" w:space="0"/>
              <w:left w:val="nil"/>
              <w:bottom w:val="single" w:color="auto" w:sz="4" w:space="0"/>
              <w:right w:val="single" w:color="auto" w:sz="4" w:space="0"/>
            </w:tcBorders>
            <w:vAlign w:val="center"/>
          </w:tcPr>
          <w:p w14:paraId="6254AEB1">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65BEB8A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330" w:type="dxa"/>
            <w:tcBorders>
              <w:top w:val="single" w:color="auto" w:sz="4" w:space="0"/>
              <w:left w:val="nil"/>
              <w:bottom w:val="single" w:color="auto" w:sz="4" w:space="0"/>
              <w:right w:val="single" w:color="auto" w:sz="4" w:space="0"/>
            </w:tcBorders>
            <w:vAlign w:val="center"/>
          </w:tcPr>
          <w:p w14:paraId="60BFD921">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0421FFEA">
        <w:tblPrEx>
          <w:tblCellMar>
            <w:top w:w="0" w:type="dxa"/>
            <w:left w:w="108" w:type="dxa"/>
            <w:bottom w:w="0" w:type="dxa"/>
            <w:right w:w="108" w:type="dxa"/>
          </w:tblCellMar>
        </w:tblPrEx>
        <w:trPr>
          <w:trHeight w:val="590"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184AB7C8">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3772" w:type="dxa"/>
            <w:gridSpan w:val="3"/>
            <w:tcBorders>
              <w:top w:val="single" w:color="auto" w:sz="4" w:space="0"/>
              <w:left w:val="nil"/>
              <w:bottom w:val="single" w:color="auto" w:sz="4" w:space="0"/>
              <w:right w:val="single" w:color="auto" w:sz="4" w:space="0"/>
            </w:tcBorders>
            <w:vAlign w:val="center"/>
          </w:tcPr>
          <w:p w14:paraId="05793333">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15ADE034">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330" w:type="dxa"/>
            <w:tcBorders>
              <w:top w:val="single" w:color="auto" w:sz="4" w:space="0"/>
              <w:left w:val="nil"/>
              <w:bottom w:val="single" w:color="auto" w:sz="4" w:space="0"/>
              <w:right w:val="single" w:color="auto" w:sz="4" w:space="0"/>
            </w:tcBorders>
            <w:vAlign w:val="center"/>
          </w:tcPr>
          <w:p w14:paraId="4A7EF8F7">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r w14:paraId="237F9656">
        <w:tblPrEx>
          <w:tblCellMar>
            <w:top w:w="0" w:type="dxa"/>
            <w:left w:w="108" w:type="dxa"/>
            <w:bottom w:w="0" w:type="dxa"/>
            <w:right w:w="108" w:type="dxa"/>
          </w:tblCellMar>
        </w:tblPrEx>
        <w:trPr>
          <w:trHeight w:val="603" w:hRule="atLeast"/>
          <w:jc w:val="center"/>
        </w:trPr>
        <w:tc>
          <w:tcPr>
            <w:tcW w:w="1197" w:type="dxa"/>
            <w:tcBorders>
              <w:top w:val="single" w:color="auto" w:sz="4" w:space="0"/>
              <w:left w:val="single" w:color="auto" w:sz="4" w:space="0"/>
              <w:bottom w:val="single" w:color="auto" w:sz="4" w:space="0"/>
              <w:right w:val="single" w:color="auto" w:sz="4" w:space="0"/>
            </w:tcBorders>
            <w:vAlign w:val="center"/>
          </w:tcPr>
          <w:p w14:paraId="276361D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3772" w:type="dxa"/>
            <w:gridSpan w:val="3"/>
            <w:tcBorders>
              <w:top w:val="single" w:color="auto" w:sz="4" w:space="0"/>
              <w:left w:val="nil"/>
              <w:bottom w:val="single" w:color="auto" w:sz="4" w:space="0"/>
              <w:right w:val="single" w:color="auto" w:sz="4" w:space="0"/>
            </w:tcBorders>
            <w:vAlign w:val="center"/>
          </w:tcPr>
          <w:p w14:paraId="2AAE3B6B">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018" w:type="dxa"/>
            <w:tcBorders>
              <w:top w:val="single" w:color="auto" w:sz="4" w:space="0"/>
              <w:left w:val="nil"/>
              <w:bottom w:val="single" w:color="auto" w:sz="4" w:space="0"/>
              <w:right w:val="single" w:color="auto" w:sz="4" w:space="0"/>
            </w:tcBorders>
            <w:vAlign w:val="center"/>
          </w:tcPr>
          <w:p w14:paraId="792A536E">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c>
          <w:tcPr>
            <w:tcW w:w="2330" w:type="dxa"/>
            <w:tcBorders>
              <w:top w:val="single" w:color="auto" w:sz="4" w:space="0"/>
              <w:left w:val="nil"/>
              <w:bottom w:val="single" w:color="auto" w:sz="4" w:space="0"/>
              <w:right w:val="single" w:color="auto" w:sz="4" w:space="0"/>
            </w:tcBorders>
            <w:vAlign w:val="center"/>
          </w:tcPr>
          <w:p w14:paraId="67CFA1D0">
            <w:pPr>
              <w:adjustRightInd w:val="0"/>
              <w:snapToGrid w:val="0"/>
              <w:spacing w:line="240" w:lineRule="auto"/>
              <w:jc w:val="center"/>
              <w:rPr>
                <w:rFonts w:hint="eastAsia" w:ascii="宋体" w:hAnsi="宋体" w:cs="宋体"/>
                <w:color w:val="000000" w:themeColor="text1"/>
                <w:kern w:val="0"/>
                <w:szCs w:val="21"/>
                <w:highlight w:val="none"/>
                <w14:textFill>
                  <w14:solidFill>
                    <w14:schemeClr w14:val="tx1"/>
                  </w14:solidFill>
                </w14:textFill>
              </w:rPr>
            </w:pPr>
          </w:p>
        </w:tc>
      </w:tr>
    </w:tbl>
    <w:p w14:paraId="70B718B0">
      <w:pPr>
        <w:adjustRightInd w:val="0"/>
        <w:snapToGrid w:val="0"/>
        <w:ind w:firstLine="420"/>
        <w:jc w:val="left"/>
        <w:rPr>
          <w:rFonts w:hint="eastAsia" w:ascii="宋体" w:hAnsi="宋体" w:cs="宋体"/>
          <w:color w:val="000000" w:themeColor="text1"/>
          <w:kern w:val="0"/>
          <w:szCs w:val="21"/>
          <w:highlight w:val="none"/>
          <w:lang w:val="zh-TW"/>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注：项目经理</w:t>
      </w:r>
      <w:r>
        <w:rPr>
          <w:rFonts w:hint="eastAsia" w:ascii="宋体" w:hAnsi="宋体" w:cs="宋体"/>
          <w:color w:val="000000" w:themeColor="text1"/>
          <w:kern w:val="0"/>
          <w:szCs w:val="21"/>
          <w:highlight w:val="none"/>
          <w:lang w:val="zh-TW" w:eastAsia="zh-TW"/>
          <w14:textFill>
            <w14:solidFill>
              <w14:schemeClr w14:val="tx1"/>
            </w14:solidFill>
          </w14:textFill>
        </w:rPr>
        <w:t>应附身份证、</w:t>
      </w:r>
      <w:r>
        <w:rPr>
          <w:rFonts w:hint="eastAsia" w:ascii="宋体" w:hAnsi="宋体" w:cs="宋体"/>
          <w:color w:val="000000" w:themeColor="text1"/>
          <w:kern w:val="0"/>
          <w:szCs w:val="21"/>
          <w:highlight w:val="none"/>
          <w14:textFill>
            <w14:solidFill>
              <w14:schemeClr w14:val="tx1"/>
            </w14:solidFill>
          </w14:textFill>
        </w:rPr>
        <w:t>学历证</w:t>
      </w:r>
      <w:r>
        <w:rPr>
          <w:rFonts w:hint="eastAsia" w:ascii="宋体" w:hAnsi="宋体" w:cs="宋体"/>
          <w:color w:val="000000" w:themeColor="text1"/>
          <w:kern w:val="0"/>
          <w:szCs w:val="21"/>
          <w:highlight w:val="none"/>
          <w:lang w:val="zh-TW" w:eastAsia="zh-TW"/>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资格证书、</w:t>
      </w:r>
      <w:r>
        <w:rPr>
          <w:rFonts w:hint="eastAsia" w:ascii="宋体" w:hAnsi="宋体" w:cs="宋体"/>
          <w:color w:val="000000" w:themeColor="text1"/>
          <w:kern w:val="0"/>
          <w:szCs w:val="21"/>
          <w:highlight w:val="none"/>
          <w:lang w:val="zh-TW" w:eastAsia="zh-TW"/>
          <w14:textFill>
            <w14:solidFill>
              <w14:schemeClr w14:val="tx1"/>
            </w14:solidFill>
          </w14:textFill>
        </w:rPr>
        <w:t>安全生产考核合格证书</w:t>
      </w:r>
      <w:r>
        <w:rPr>
          <w:rFonts w:hint="eastAsia" w:ascii="宋体" w:hAnsi="宋体" w:cs="宋体"/>
          <w:color w:val="000000" w:themeColor="text1"/>
          <w:kern w:val="0"/>
          <w:szCs w:val="21"/>
          <w:highlight w:val="none"/>
          <w:lang w:val="zh-TW"/>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B证</w:t>
      </w:r>
      <w:r>
        <w:rPr>
          <w:rFonts w:hint="eastAsia" w:ascii="宋体" w:hAnsi="宋体" w:cs="宋体"/>
          <w:color w:val="000000" w:themeColor="text1"/>
          <w:kern w:val="0"/>
          <w:szCs w:val="21"/>
          <w:highlight w:val="none"/>
          <w:lang w:val="zh-TW"/>
          <w14:textFill>
            <w14:solidFill>
              <w14:schemeClr w14:val="tx1"/>
            </w14:solidFill>
          </w14:textFill>
        </w:rPr>
        <w:t>）、</w:t>
      </w:r>
      <w:r>
        <w:rPr>
          <w:rFonts w:hint="eastAsia" w:ascii="宋体" w:hAnsi="宋体" w:cs="宋体"/>
          <w:color w:val="000000" w:themeColor="text1"/>
          <w:kern w:val="0"/>
          <w:szCs w:val="21"/>
          <w:highlight w:val="none"/>
          <w:lang w:val="zh-TW" w:eastAsia="zh-TW"/>
          <w14:textFill>
            <w14:solidFill>
              <w14:schemeClr w14:val="tx1"/>
            </w14:solidFill>
          </w14:textFill>
        </w:rPr>
        <w:t>职称证等材料，未担任其他在建建设工程项目的项目负责人（提供承诺书）。</w:t>
      </w:r>
    </w:p>
    <w:p w14:paraId="3B3B01A9">
      <w:pPr>
        <w:rPr>
          <w:color w:val="000000" w:themeColor="text1"/>
          <w:highlight w:val="none"/>
          <w14:textFill>
            <w14:solidFill>
              <w14:schemeClr w14:val="tx1"/>
            </w14:solidFill>
          </w14:textFill>
        </w:rPr>
      </w:pPr>
    </w:p>
    <w:p w14:paraId="61BB959F">
      <w:pPr>
        <w:rPr>
          <w:color w:val="000000" w:themeColor="text1"/>
          <w:highlight w:val="none"/>
          <w14:textFill>
            <w14:solidFill>
              <w14:schemeClr w14:val="tx1"/>
            </w14:solidFill>
          </w14:textFill>
        </w:rPr>
      </w:pPr>
    </w:p>
    <w:p w14:paraId="7467DDCF">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4FB5415D">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（十一）项目技术负责人简历表</w:t>
      </w:r>
    </w:p>
    <w:tbl>
      <w:tblPr>
        <w:tblStyle w:val="53"/>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706"/>
        <w:gridCol w:w="1545"/>
        <w:gridCol w:w="1176"/>
        <w:gridCol w:w="450"/>
        <w:gridCol w:w="1626"/>
        <w:gridCol w:w="444"/>
        <w:gridCol w:w="1182"/>
        <w:gridCol w:w="1627"/>
      </w:tblGrid>
      <w:tr w14:paraId="7FEE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1706" w:type="dxa"/>
          </w:tcPr>
          <w:p w14:paraId="77996DAA">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姓名</w:t>
            </w:r>
          </w:p>
        </w:tc>
        <w:tc>
          <w:tcPr>
            <w:tcW w:w="1545" w:type="dxa"/>
          </w:tcPr>
          <w:p w14:paraId="54110DA4">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tcPr>
          <w:p w14:paraId="2D452239">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性别</w:t>
            </w:r>
          </w:p>
        </w:tc>
        <w:tc>
          <w:tcPr>
            <w:tcW w:w="1626" w:type="dxa"/>
          </w:tcPr>
          <w:p w14:paraId="503EAFC9">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tcPr>
          <w:p w14:paraId="0FEA8C03">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年龄</w:t>
            </w:r>
          </w:p>
        </w:tc>
        <w:tc>
          <w:tcPr>
            <w:tcW w:w="1627" w:type="dxa"/>
          </w:tcPr>
          <w:p w14:paraId="340A0856">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7948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1706" w:type="dxa"/>
          </w:tcPr>
          <w:p w14:paraId="7FF2774D">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职务</w:t>
            </w:r>
          </w:p>
        </w:tc>
        <w:tc>
          <w:tcPr>
            <w:tcW w:w="1545" w:type="dxa"/>
          </w:tcPr>
          <w:p w14:paraId="13D7B033">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tcPr>
          <w:p w14:paraId="548F454E">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职称</w:t>
            </w:r>
          </w:p>
        </w:tc>
        <w:tc>
          <w:tcPr>
            <w:tcW w:w="1626" w:type="dxa"/>
          </w:tcPr>
          <w:p w14:paraId="1762A4B2">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tcPr>
          <w:p w14:paraId="3E54EE98">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学历</w:t>
            </w:r>
          </w:p>
        </w:tc>
        <w:tc>
          <w:tcPr>
            <w:tcW w:w="1627" w:type="dxa"/>
          </w:tcPr>
          <w:p w14:paraId="5B522452">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584F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1706" w:type="dxa"/>
          </w:tcPr>
          <w:p w14:paraId="622EF14C">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参加工作时间</w:t>
            </w:r>
          </w:p>
        </w:tc>
        <w:tc>
          <w:tcPr>
            <w:tcW w:w="2721" w:type="dxa"/>
            <w:gridSpan w:val="2"/>
          </w:tcPr>
          <w:p w14:paraId="3DEBDAEF">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2520" w:type="dxa"/>
            <w:gridSpan w:val="3"/>
          </w:tcPr>
          <w:p w14:paraId="1C3AD300">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担任技术负责人年限</w:t>
            </w:r>
          </w:p>
        </w:tc>
        <w:tc>
          <w:tcPr>
            <w:tcW w:w="2809" w:type="dxa"/>
            <w:gridSpan w:val="2"/>
          </w:tcPr>
          <w:p w14:paraId="17BD681E">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5E5E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9756" w:type="dxa"/>
            <w:gridSpan w:val="8"/>
          </w:tcPr>
          <w:p w14:paraId="0E61F0C4">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在建和已完采购项目情况</w:t>
            </w:r>
          </w:p>
        </w:tc>
      </w:tr>
      <w:tr w14:paraId="2320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jc w:val="center"/>
        </w:trPr>
        <w:tc>
          <w:tcPr>
            <w:tcW w:w="1706" w:type="dxa"/>
          </w:tcPr>
          <w:p w14:paraId="63EB5F74">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采购单位</w:t>
            </w:r>
          </w:p>
        </w:tc>
        <w:tc>
          <w:tcPr>
            <w:tcW w:w="1545" w:type="dxa"/>
          </w:tcPr>
          <w:p w14:paraId="57B9E0EC">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项目名称</w:t>
            </w:r>
          </w:p>
        </w:tc>
        <w:tc>
          <w:tcPr>
            <w:tcW w:w="1626" w:type="dxa"/>
            <w:gridSpan w:val="2"/>
          </w:tcPr>
          <w:p w14:paraId="10F69A46">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建设规模</w:t>
            </w:r>
          </w:p>
        </w:tc>
        <w:tc>
          <w:tcPr>
            <w:tcW w:w="1626" w:type="dxa"/>
          </w:tcPr>
          <w:p w14:paraId="5F892F6B">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开、竣工日期</w:t>
            </w:r>
          </w:p>
        </w:tc>
        <w:tc>
          <w:tcPr>
            <w:tcW w:w="1626" w:type="dxa"/>
            <w:gridSpan w:val="2"/>
          </w:tcPr>
          <w:p w14:paraId="2CECFA5B">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在建或已完</w:t>
            </w:r>
          </w:p>
        </w:tc>
        <w:tc>
          <w:tcPr>
            <w:tcW w:w="1627" w:type="dxa"/>
          </w:tcPr>
          <w:p w14:paraId="1A4D50C6">
            <w:pPr>
              <w:spacing w:line="24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工程质量</w:t>
            </w:r>
          </w:p>
        </w:tc>
      </w:tr>
      <w:tr w14:paraId="5C43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90" w:hRule="atLeast"/>
          <w:jc w:val="center"/>
        </w:trPr>
        <w:tc>
          <w:tcPr>
            <w:tcW w:w="1706" w:type="dxa"/>
            <w:vAlign w:val="center"/>
          </w:tcPr>
          <w:p w14:paraId="3041A4BA">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545" w:type="dxa"/>
            <w:vAlign w:val="center"/>
          </w:tcPr>
          <w:p w14:paraId="61594B29">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39A54AB2">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vAlign w:val="center"/>
          </w:tcPr>
          <w:p w14:paraId="152F7099">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57FF6091">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7" w:type="dxa"/>
            <w:vAlign w:val="center"/>
          </w:tcPr>
          <w:p w14:paraId="7B288359">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5A89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90" w:hRule="atLeast"/>
          <w:jc w:val="center"/>
        </w:trPr>
        <w:tc>
          <w:tcPr>
            <w:tcW w:w="1706" w:type="dxa"/>
            <w:vAlign w:val="center"/>
          </w:tcPr>
          <w:p w14:paraId="338F62DE">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545" w:type="dxa"/>
            <w:vAlign w:val="center"/>
          </w:tcPr>
          <w:p w14:paraId="1ED0AA54">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46231D86">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vAlign w:val="center"/>
          </w:tcPr>
          <w:p w14:paraId="4C3082AF">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7C1247B7">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7" w:type="dxa"/>
            <w:vAlign w:val="center"/>
          </w:tcPr>
          <w:p w14:paraId="64563702">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0EF1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90" w:hRule="atLeast"/>
          <w:jc w:val="center"/>
        </w:trPr>
        <w:tc>
          <w:tcPr>
            <w:tcW w:w="1706" w:type="dxa"/>
            <w:vAlign w:val="center"/>
          </w:tcPr>
          <w:p w14:paraId="5ABF7F00">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545" w:type="dxa"/>
            <w:vAlign w:val="center"/>
          </w:tcPr>
          <w:p w14:paraId="7F780BF9">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3B703BA7">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vAlign w:val="center"/>
          </w:tcPr>
          <w:p w14:paraId="5BAD5A98">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24796CC3">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7" w:type="dxa"/>
            <w:vAlign w:val="center"/>
          </w:tcPr>
          <w:p w14:paraId="614E2BC3">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r w14:paraId="4610C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90" w:hRule="atLeast"/>
          <w:jc w:val="center"/>
        </w:trPr>
        <w:tc>
          <w:tcPr>
            <w:tcW w:w="1706" w:type="dxa"/>
            <w:vAlign w:val="center"/>
          </w:tcPr>
          <w:p w14:paraId="6A0C0871">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545" w:type="dxa"/>
            <w:vAlign w:val="center"/>
          </w:tcPr>
          <w:p w14:paraId="6AACB682">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7EE282CC">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vAlign w:val="center"/>
          </w:tcPr>
          <w:p w14:paraId="52C0C9B0">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6" w:type="dxa"/>
            <w:gridSpan w:val="2"/>
            <w:vAlign w:val="center"/>
          </w:tcPr>
          <w:p w14:paraId="49064F43">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c>
          <w:tcPr>
            <w:tcW w:w="1627" w:type="dxa"/>
            <w:vAlign w:val="center"/>
          </w:tcPr>
          <w:p w14:paraId="121B8D84">
            <w:pPr>
              <w:spacing w:line="240" w:lineRule="auto"/>
              <w:jc w:val="center"/>
              <w:rPr>
                <w:rFonts w:hint="eastAsia" w:ascii="宋体" w:hAnsi="宋体" w:cs="宋体"/>
                <w:bCs/>
                <w:color w:val="000000" w:themeColor="text1"/>
                <w:szCs w:val="21"/>
                <w:highlight w:val="none"/>
                <w14:textFill>
                  <w14:solidFill>
                    <w14:schemeClr w14:val="tx1"/>
                  </w14:solidFill>
                </w14:textFill>
              </w:rPr>
            </w:pPr>
          </w:p>
        </w:tc>
      </w:tr>
    </w:tbl>
    <w:p w14:paraId="0BF1DA19">
      <w:pPr>
        <w:adjustRightInd w:val="0"/>
        <w:snapToGrid w:val="0"/>
        <w:ind w:firstLine="420"/>
        <w:jc w:val="left"/>
        <w:rPr>
          <w:rFonts w:hint="eastAsia" w:ascii="宋体" w:hAnsi="宋体" w:cs="宋体"/>
          <w:color w:val="000000" w:themeColor="text1"/>
          <w:kern w:val="0"/>
          <w:szCs w:val="21"/>
          <w:highlight w:val="none"/>
          <w:lang w:val="zh-TW" w:eastAsia="zh-TW"/>
          <w14:textFill>
            <w14:solidFill>
              <w14:schemeClr w14:val="tx1"/>
            </w14:solidFill>
          </w14:textFill>
        </w:rPr>
      </w:pPr>
      <w:r>
        <w:rPr>
          <w:rFonts w:hint="eastAsia" w:ascii="宋体" w:hAnsi="宋体" w:cs="宋体"/>
          <w:color w:val="000000" w:themeColor="text1"/>
          <w:kern w:val="0"/>
          <w:szCs w:val="21"/>
          <w:highlight w:val="none"/>
          <w:lang w:val="zh-TW" w:eastAsia="zh-TW"/>
          <w14:textFill>
            <w14:solidFill>
              <w14:schemeClr w14:val="tx1"/>
            </w14:solidFill>
          </w14:textFill>
        </w:rPr>
        <w:t>注：技术负责人应附身份证、职称证、</w:t>
      </w:r>
      <w:r>
        <w:rPr>
          <w:rFonts w:hint="eastAsia" w:ascii="宋体" w:hAnsi="宋体" w:cs="宋体"/>
          <w:color w:val="000000" w:themeColor="text1"/>
          <w:szCs w:val="21"/>
          <w:highlight w:val="none"/>
          <w14:textFill>
            <w14:solidFill>
              <w14:schemeClr w14:val="tx1"/>
            </w14:solidFill>
          </w14:textFill>
        </w:rPr>
        <w:t>学历</w:t>
      </w:r>
      <w:r>
        <w:rPr>
          <w:rFonts w:hint="eastAsia" w:ascii="宋体" w:hAnsi="宋体" w:cs="宋体"/>
          <w:color w:val="000000" w:themeColor="text1"/>
          <w:kern w:val="0"/>
          <w:szCs w:val="21"/>
          <w:highlight w:val="none"/>
          <w:lang w:val="zh-TW" w:eastAsia="zh-TW"/>
          <w14:textFill>
            <w14:solidFill>
              <w14:schemeClr w14:val="tx1"/>
            </w14:solidFill>
          </w14:textFill>
        </w:rPr>
        <w:t>证</w:t>
      </w:r>
      <w:r>
        <w:rPr>
          <w:rFonts w:hint="eastAsia" w:ascii="宋体" w:hAnsi="宋体" w:cs="宋体"/>
          <w:color w:val="000000" w:themeColor="text1"/>
          <w:kern w:val="0"/>
          <w:szCs w:val="21"/>
          <w:highlight w:val="none"/>
          <w14:textFill>
            <w14:solidFill>
              <w14:schemeClr w14:val="tx1"/>
            </w14:solidFill>
          </w14:textFill>
        </w:rPr>
        <w:t>等材料，未担任其他在建建设工程项目的管理人员（提供承诺书）</w:t>
      </w:r>
      <w:r>
        <w:rPr>
          <w:rFonts w:hint="eastAsia" w:ascii="宋体" w:hAnsi="宋体" w:cs="宋体"/>
          <w:color w:val="000000" w:themeColor="text1"/>
          <w:szCs w:val="21"/>
          <w:highlight w:val="none"/>
          <w:lang w:val="zh-TW"/>
          <w14:textFill>
            <w14:solidFill>
              <w14:schemeClr w14:val="tx1"/>
            </w14:solidFill>
          </w14:textFill>
        </w:rPr>
        <w:t>。</w:t>
      </w:r>
    </w:p>
    <w:p w14:paraId="5848B557">
      <w:pPr>
        <w:rPr>
          <w:color w:val="000000" w:themeColor="text1"/>
          <w:highlight w:val="none"/>
          <w:lang w:eastAsia="zh-TW"/>
          <w14:textFill>
            <w14:solidFill>
              <w14:schemeClr w14:val="tx1"/>
            </w14:solidFill>
          </w14:textFill>
        </w:rPr>
      </w:pPr>
    </w:p>
    <w:p w14:paraId="7861B6A6">
      <w:pPr>
        <w:rPr>
          <w:color w:val="000000" w:themeColor="text1"/>
          <w:highlight w:val="none"/>
          <w14:textFill>
            <w14:solidFill>
              <w14:schemeClr w14:val="tx1"/>
            </w14:solidFill>
          </w14:textFill>
        </w:rPr>
      </w:pPr>
    </w:p>
    <w:p w14:paraId="57A8FBA9">
      <w:pPr>
        <w:rPr>
          <w:color w:val="000000" w:themeColor="text1"/>
          <w:highlight w:val="none"/>
          <w14:textFill>
            <w14:solidFill>
              <w14:schemeClr w14:val="tx1"/>
            </w14:solidFill>
          </w14:textFill>
        </w:rPr>
      </w:pPr>
    </w:p>
    <w:p w14:paraId="08CB57E4">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BF782F7">
      <w:pPr>
        <w:rPr>
          <w:color w:val="000000" w:themeColor="text1"/>
          <w:highlight w:val="none"/>
          <w14:textFill>
            <w14:solidFill>
              <w14:schemeClr w14:val="tx1"/>
            </w14:solidFill>
          </w14:textFill>
        </w:rPr>
      </w:pPr>
    </w:p>
    <w:p w14:paraId="61684653">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（十二）其他材料</w:t>
      </w:r>
    </w:p>
    <w:p w14:paraId="785EBD15">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竞争性磋商文件要求或供应商认为有必要提供的其他材料</w:t>
      </w:r>
    </w:p>
    <w:bookmarkEnd w:id="1738"/>
    <w:p w14:paraId="6588D426">
      <w:pPr>
        <w:rPr>
          <w:color w:val="000000" w:themeColor="text1"/>
          <w:highlight w:val="none"/>
          <w14:textFill>
            <w14:solidFill>
              <w14:schemeClr w14:val="tx1"/>
            </w14:solidFill>
          </w14:textFill>
        </w:rPr>
      </w:pPr>
    </w:p>
    <w:p w14:paraId="4D3FAA05">
      <w:pPr>
        <w:rPr>
          <w:color w:val="000000" w:themeColor="text1"/>
          <w:highlight w:val="none"/>
          <w14:textFill>
            <w14:solidFill>
              <w14:schemeClr w14:val="tx1"/>
            </w14:solidFill>
          </w14:textFill>
        </w:rPr>
      </w:pPr>
    </w:p>
    <w:p w14:paraId="1E6A5118">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FB5BFEF">
      <w:pPr>
        <w:keepNext/>
        <w:keepLines/>
        <w:jc w:val="center"/>
        <w:outlineLvl w:val="1"/>
        <w:rPr>
          <w:color w:val="000000" w:themeColor="text1"/>
          <w:highlight w:val="none"/>
          <w14:textFill>
            <w14:solidFill>
              <w14:schemeClr w14:val="tx1"/>
            </w14:solidFill>
          </w14:textFill>
        </w:rPr>
      </w:pPr>
    </w:p>
    <w:p w14:paraId="2A913933">
      <w:pPr>
        <w:rPr>
          <w:color w:val="000000" w:themeColor="text1"/>
          <w:highlight w:val="none"/>
          <w14:textFill>
            <w14:solidFill>
              <w14:schemeClr w14:val="tx1"/>
            </w14:solidFill>
          </w14:textFill>
        </w:rPr>
      </w:pPr>
    </w:p>
    <w:p w14:paraId="204C194B">
      <w:pPr>
        <w:pStyle w:val="4"/>
        <w:rPr>
          <w:color w:val="000000" w:themeColor="text1"/>
          <w:highlight w:val="none"/>
          <w14:textFill>
            <w14:solidFill>
              <w14:schemeClr w14:val="tx1"/>
            </w14:solidFill>
          </w14:textFill>
        </w:rPr>
      </w:pPr>
      <w:bookmarkStart w:id="1743" w:name="_Toc228389608"/>
      <w:r>
        <w:rPr>
          <w:rFonts w:hint="eastAsia"/>
          <w:color w:val="000000" w:themeColor="text1"/>
          <w:highlight w:val="none"/>
          <w14:textFill>
            <w14:solidFill>
              <w14:schemeClr w14:val="tx1"/>
            </w14:solidFill>
          </w14:textFill>
        </w:rPr>
        <w:t>三、商务文件</w:t>
      </w:r>
      <w:bookmarkEnd w:id="1743"/>
    </w:p>
    <w:p w14:paraId="22731BD4">
      <w:pPr>
        <w:rPr>
          <w:color w:val="000000" w:themeColor="text1"/>
          <w:highlight w:val="none"/>
          <w14:textFill>
            <w14:solidFill>
              <w14:schemeClr w14:val="tx1"/>
            </w14:solidFill>
          </w14:textFill>
        </w:rPr>
      </w:pPr>
    </w:p>
    <w:p w14:paraId="34FF55BB">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（一）磋商函</w:t>
      </w:r>
    </w:p>
    <w:p w14:paraId="4288A5E0">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1"/>
          <w:szCs w:val="21"/>
          <w:highlight w:val="none"/>
          <w14:textFill>
            <w14:solidFill>
              <w14:schemeClr w14:val="tx1"/>
            </w14:solidFill>
          </w14:textFill>
        </w:rPr>
        <w:t>致</w:t>
      </w:r>
      <w:r>
        <w:rPr>
          <w:rFonts w:hint="eastAsia" w:ascii="宋体" w:hAnsi="宋体" w:cs="宋体"/>
          <w:color w:val="000000" w:themeColor="text1"/>
          <w:spacing w:val="-33"/>
          <w:szCs w:val="21"/>
          <w:highlight w:val="none"/>
          <w14:textFill>
            <w14:solidFill>
              <w14:schemeClr w14:val="tx1"/>
            </w14:solidFill>
          </w14:textFill>
        </w:rPr>
        <w:t>：</w:t>
      </w:r>
      <w:r>
        <w:rPr>
          <w:rFonts w:hint="eastAsia" w:ascii="宋体" w:hAnsi="宋体" w:cs="宋体"/>
          <w:color w:val="000000" w:themeColor="text1"/>
          <w:spacing w:val="-33"/>
          <w:szCs w:val="21"/>
          <w:highlight w:val="none"/>
          <w:u w:val="single"/>
          <w14:textFill>
            <w14:solidFill>
              <w14:schemeClr w14:val="tx1"/>
            </w14:solidFill>
          </w14:textFill>
        </w:rPr>
        <w:t xml:space="preserve">                       （</w:t>
      </w:r>
      <w:r>
        <w:rPr>
          <w:rFonts w:hint="eastAsia" w:ascii="宋体" w:hAnsi="宋体" w:cs="宋体"/>
          <w:color w:val="000000" w:themeColor="text1"/>
          <w:spacing w:val="11"/>
          <w:szCs w:val="21"/>
          <w:highlight w:val="none"/>
          <w:u w:val="single"/>
          <w14:textFill>
            <w14:solidFill>
              <w14:schemeClr w14:val="tx1"/>
            </w14:solidFill>
          </w14:textFill>
        </w:rPr>
        <w:t>采购人）</w:t>
      </w:r>
    </w:p>
    <w:p w14:paraId="0F504C08">
      <w:pPr>
        <w:ind w:firstLine="484"/>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我方仔细研究了</w:t>
      </w:r>
      <w:r>
        <w:rPr>
          <w:rFonts w:hint="eastAsia" w:ascii="宋体" w:hAnsi="宋体" w:cs="宋体"/>
          <w:color w:val="000000" w:themeColor="text1"/>
          <w:spacing w:val="1"/>
          <w:szCs w:val="21"/>
          <w:highlight w:val="none"/>
          <w:u w:val="single"/>
          <w14:textFill>
            <w14:solidFill>
              <w14:schemeClr w14:val="tx1"/>
            </w14:solidFill>
          </w14:textFill>
        </w:rPr>
        <w:t>（项目名称</w:t>
      </w:r>
      <w:r>
        <w:rPr>
          <w:rFonts w:hint="eastAsia" w:ascii="宋体" w:hAnsi="宋体" w:cs="宋体"/>
          <w:color w:val="000000" w:themeColor="text1"/>
          <w:spacing w:val="-15"/>
          <w:szCs w:val="21"/>
          <w:highlight w:val="none"/>
          <w:u w:val="single"/>
          <w14:textFill>
            <w14:solidFill>
              <w14:schemeClr w14:val="tx1"/>
            </w14:solidFill>
          </w14:textFill>
        </w:rPr>
        <w:t>）</w:t>
      </w:r>
      <w:r>
        <w:rPr>
          <w:rFonts w:hint="eastAsia" w:ascii="宋体" w:hAnsi="宋体" w:cs="宋体"/>
          <w:color w:val="000000" w:themeColor="text1"/>
          <w:spacing w:val="2"/>
          <w:szCs w:val="21"/>
          <w:highlight w:val="none"/>
          <w:u w:val="single"/>
          <w14:textFill>
            <w14:solidFill>
              <w14:schemeClr w14:val="tx1"/>
            </w14:solidFill>
          </w14:textFill>
        </w:rPr>
        <w:t xml:space="preserve">   </w:t>
      </w:r>
      <w:r>
        <w:rPr>
          <w:rFonts w:hint="eastAsia" w:ascii="宋体" w:hAnsi="宋体" w:cs="宋体"/>
          <w:color w:val="000000" w:themeColor="text1"/>
          <w:spacing w:val="-15"/>
          <w:szCs w:val="21"/>
          <w:highlight w:val="none"/>
          <w14:textFill>
            <w14:solidFill>
              <w14:schemeClr w14:val="tx1"/>
            </w14:solidFill>
          </w14:textFill>
        </w:rPr>
        <w:t>（</w:t>
      </w:r>
      <w:r>
        <w:rPr>
          <w:rFonts w:hint="eastAsia" w:ascii="宋体" w:hAnsi="宋体" w:cs="宋体"/>
          <w:color w:val="000000" w:themeColor="text1"/>
          <w:spacing w:val="1"/>
          <w:szCs w:val="21"/>
          <w:highlight w:val="none"/>
          <w14:textFill>
            <w14:solidFill>
              <w14:schemeClr w14:val="tx1"/>
            </w14:solidFill>
          </w14:textFill>
        </w:rPr>
        <w:t>项目编号</w:t>
      </w:r>
      <w:r>
        <w:rPr>
          <w:rFonts w:hint="eastAsia" w:ascii="宋体" w:hAnsi="宋体" w:cs="宋体"/>
          <w:color w:val="000000" w:themeColor="text1"/>
          <w:spacing w:val="-15"/>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pacing w:val="-76"/>
          <w:szCs w:val="21"/>
          <w:highlight w:val="none"/>
          <w14:textFill>
            <w14:solidFill>
              <w14:schemeClr w14:val="tx1"/>
            </w14:solidFill>
          </w14:textFill>
        </w:rPr>
        <w:t xml:space="preserve"> </w:t>
      </w:r>
      <w:r>
        <w:rPr>
          <w:rFonts w:hint="eastAsia" w:ascii="宋体" w:hAnsi="宋体" w:cs="宋体"/>
          <w:color w:val="000000" w:themeColor="text1"/>
          <w:spacing w:val="-15"/>
          <w:szCs w:val="21"/>
          <w:highlight w:val="none"/>
          <w14:textFill>
            <w14:solidFill>
              <w14:schemeClr w14:val="tx1"/>
            </w14:solidFill>
          </w14:textFill>
        </w:rPr>
        <w:t>）</w:t>
      </w:r>
      <w:r>
        <w:rPr>
          <w:rFonts w:hint="eastAsia" w:ascii="宋体" w:hAnsi="宋体" w:cs="宋体"/>
          <w:color w:val="000000" w:themeColor="text1"/>
          <w:spacing w:val="1"/>
          <w:szCs w:val="21"/>
          <w:highlight w:val="none"/>
          <w14:textFill>
            <w14:solidFill>
              <w14:schemeClr w14:val="tx1"/>
            </w14:solidFill>
          </w14:textFill>
        </w:rPr>
        <w:t>竞争性磋商</w:t>
      </w:r>
      <w:r>
        <w:rPr>
          <w:rFonts w:hint="eastAsia" w:ascii="宋体" w:hAnsi="宋体" w:cs="宋体"/>
          <w:color w:val="000000" w:themeColor="text1"/>
          <w:spacing w:val="-2"/>
          <w:szCs w:val="21"/>
          <w:highlight w:val="none"/>
          <w14:textFill>
            <w14:solidFill>
              <w14:schemeClr w14:val="tx1"/>
            </w14:solidFill>
          </w14:textFill>
        </w:rPr>
        <w:t>文件的全部内容，正式授权</w:t>
      </w:r>
      <w:r>
        <w:rPr>
          <w:rFonts w:hint="eastAsia" w:ascii="宋体" w:hAnsi="宋体" w:cs="宋体"/>
          <w:color w:val="000000" w:themeColor="text1"/>
          <w:spacing w:val="50"/>
          <w:szCs w:val="21"/>
          <w:highlight w:val="none"/>
          <w:u w:val="single"/>
          <w14:textFill>
            <w14:solidFill>
              <w14:schemeClr w14:val="tx1"/>
            </w14:solidFill>
          </w14:textFill>
        </w:rPr>
        <w:t xml:space="preserve">    </w:t>
      </w:r>
      <w:r>
        <w:rPr>
          <w:rFonts w:hint="eastAsia" w:ascii="宋体" w:hAnsi="宋体" w:cs="宋体"/>
          <w:color w:val="000000" w:themeColor="text1"/>
          <w:spacing w:val="-2"/>
          <w:szCs w:val="21"/>
          <w:highlight w:val="none"/>
          <w:u w:val="single"/>
          <w14:textFill>
            <w14:solidFill>
              <w14:schemeClr w14:val="tx1"/>
            </w14:solidFill>
          </w14:textFill>
        </w:rPr>
        <w:t>（姓名和职务）</w:t>
      </w:r>
      <w:r>
        <w:rPr>
          <w:rFonts w:hint="eastAsia" w:ascii="宋体" w:hAnsi="宋体" w:cs="宋体"/>
          <w:color w:val="000000" w:themeColor="text1"/>
          <w:spacing w:val="-2"/>
          <w:szCs w:val="21"/>
          <w:highlight w:val="none"/>
          <w14:textFill>
            <w14:solidFill>
              <w14:schemeClr w14:val="tx1"/>
            </w14:solidFill>
          </w14:textFill>
        </w:rPr>
        <w:t>全权代表供应商</w:t>
      </w:r>
      <w:r>
        <w:rPr>
          <w:rFonts w:hint="eastAsia" w:ascii="宋体" w:hAnsi="宋体" w:cs="宋体"/>
          <w:color w:val="000000" w:themeColor="text1"/>
          <w:spacing w:val="-1"/>
          <w:szCs w:val="21"/>
          <w:highlight w:val="none"/>
          <w:u w:val="single"/>
          <w14:textFill>
            <w14:solidFill>
              <w14:schemeClr w14:val="tx1"/>
            </w14:solidFill>
          </w14:textFill>
        </w:rPr>
        <w:t xml:space="preserve">   （供应商全称） </w:t>
      </w:r>
      <w:r>
        <w:rPr>
          <w:rFonts w:hint="eastAsia" w:ascii="宋体" w:hAnsi="宋体" w:cs="宋体"/>
          <w:color w:val="000000" w:themeColor="text1"/>
          <w:spacing w:val="-1"/>
          <w:szCs w:val="21"/>
          <w:highlight w:val="none"/>
          <w14:textFill>
            <w14:solidFill>
              <w14:schemeClr w14:val="tx1"/>
            </w14:solidFill>
          </w14:textFill>
        </w:rPr>
        <w:t>参加磋商，提交电子响应文件</w:t>
      </w:r>
      <w:r>
        <w:rPr>
          <w:rFonts w:hint="eastAsia" w:ascii="宋体" w:hAnsi="宋体" w:cs="宋体"/>
          <w:color w:val="000000" w:themeColor="text1"/>
          <w:spacing w:val="-1"/>
          <w:szCs w:val="21"/>
          <w:highlight w:val="none"/>
          <w:u w:val="single"/>
          <w14:textFill>
            <w14:solidFill>
              <w14:schemeClr w14:val="tx1"/>
            </w14:solidFill>
          </w14:textFill>
        </w:rPr>
        <w:t>1</w:t>
      </w:r>
      <w:r>
        <w:rPr>
          <w:rFonts w:hint="eastAsia" w:ascii="宋体" w:hAnsi="宋体" w:cs="宋体"/>
          <w:color w:val="000000" w:themeColor="text1"/>
          <w:spacing w:val="-111"/>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份。</w:t>
      </w:r>
    </w:p>
    <w:p w14:paraId="16819797">
      <w:pPr>
        <w:ind w:firstLine="476"/>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据此函，签字人兹宣布同意如下：</w:t>
      </w:r>
    </w:p>
    <w:p w14:paraId="04A136AE">
      <w:pPr>
        <w:ind w:firstLine="464"/>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1.按竞争性磋商文件的工程量清单和报价一览表，磋商总报价为（人民币大写）</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pacing w:val="-4"/>
          <w:szCs w:val="21"/>
          <w:highlight w:val="none"/>
          <w14:textFill>
            <w14:solidFill>
              <w14:schemeClr w14:val="tx1"/>
            </w14:solidFill>
          </w14:textFill>
        </w:rPr>
        <w:t>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。合同履行期限</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，质量承诺：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 。</w:t>
      </w:r>
    </w:p>
    <w:p w14:paraId="37BB54E1">
      <w:pPr>
        <w:ind w:firstLine="484"/>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2.我方已详细审查全部竞争性磋商文件，包括</w:t>
      </w:r>
      <w:r>
        <w:rPr>
          <w:rFonts w:hint="eastAsia" w:ascii="宋体" w:hAnsi="宋体" w:cs="宋体"/>
          <w:color w:val="000000" w:themeColor="text1"/>
          <w:spacing w:val="-1"/>
          <w:szCs w:val="21"/>
          <w:highlight w:val="none"/>
          <w:u w:val="single"/>
          <w14:textFill>
            <w14:solidFill>
              <w14:schemeClr w14:val="tx1"/>
            </w14:solidFill>
          </w14:textFill>
        </w:rPr>
        <w:t>（澄清文件）（若有）。</w:t>
      </w:r>
      <w:r>
        <w:rPr>
          <w:rFonts w:hint="eastAsia" w:ascii="宋体" w:hAnsi="宋体" w:cs="宋体"/>
          <w:color w:val="000000" w:themeColor="text1"/>
          <w:spacing w:val="1"/>
          <w:szCs w:val="21"/>
          <w:highlight w:val="none"/>
          <w14:textFill>
            <w14:solidFill>
              <w14:schemeClr w14:val="tx1"/>
            </w14:solidFill>
          </w14:textFill>
        </w:rPr>
        <w:t>我方完全理解相关文件要求，并承担对这方面有不明及误解的后果。</w:t>
      </w:r>
    </w:p>
    <w:p w14:paraId="28B400E6">
      <w:pPr>
        <w:ind w:firstLine="47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3.磋商有效期：</w:t>
      </w:r>
      <w:r>
        <w:rPr>
          <w:rFonts w:hint="eastAsia" w:ascii="宋体" w:hAnsi="宋体" w:cs="宋体"/>
          <w:color w:val="000000" w:themeColor="text1"/>
          <w:szCs w:val="21"/>
          <w:highlight w:val="none"/>
          <w14:textFill>
            <w14:solidFill>
              <w14:schemeClr w14:val="tx1"/>
            </w14:solidFill>
          </w14:textFill>
        </w:rPr>
        <w:t>从提交响应文件截止之日起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日历天。</w:t>
      </w:r>
    </w:p>
    <w:p w14:paraId="1C934422">
      <w:pPr>
        <w:ind w:firstLine="47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4.同意供应商须知中关于磋商保证金不予退还的规定。</w:t>
      </w:r>
    </w:p>
    <w:p w14:paraId="58A99841">
      <w:pPr>
        <w:ind w:firstLine="47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5.同意应贵方要求提供与本磋商有关的任</w:t>
      </w:r>
      <w:r>
        <w:rPr>
          <w:rFonts w:hint="eastAsia" w:ascii="宋体" w:hAnsi="宋体" w:cs="宋体"/>
          <w:color w:val="000000" w:themeColor="text1"/>
          <w:spacing w:val="-2"/>
          <w:szCs w:val="21"/>
          <w:highlight w:val="none"/>
          <w14:textFill>
            <w14:solidFill>
              <w14:schemeClr w14:val="tx1"/>
            </w14:solidFill>
          </w14:textFill>
        </w:rPr>
        <w:t>何数据或资料，并保证数据和资料</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pacing w:val="-4"/>
          <w:szCs w:val="21"/>
          <w:highlight w:val="none"/>
          <w14:textFill>
            <w14:solidFill>
              <w14:schemeClr w14:val="tx1"/>
            </w14:solidFill>
          </w14:textFill>
        </w:rPr>
        <w:t>的完整性和真实性。</w:t>
      </w:r>
    </w:p>
    <w:p w14:paraId="7D42CF86">
      <w:pPr>
        <w:ind w:firstLine="472"/>
        <w:rPr>
          <w:rFonts w:hint="eastAsia" w:ascii="宋体" w:hAnsi="宋体" w:cs="宋体"/>
          <w:color w:val="000000" w:themeColor="text1"/>
          <w:spacing w:val="7"/>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6.完全理解贵方不一定要接受最低报价的供应商为成交人的行为。</w:t>
      </w:r>
      <w:r>
        <w:rPr>
          <w:rFonts w:hint="eastAsia" w:ascii="宋体" w:hAnsi="宋体" w:cs="宋体"/>
          <w:color w:val="000000" w:themeColor="text1"/>
          <w:spacing w:val="7"/>
          <w:szCs w:val="21"/>
          <w:highlight w:val="none"/>
          <w14:textFill>
            <w14:solidFill>
              <w14:schemeClr w14:val="tx1"/>
            </w14:solidFill>
          </w14:textFill>
        </w:rPr>
        <w:t xml:space="preserve"> </w:t>
      </w:r>
    </w:p>
    <w:p w14:paraId="072046B0">
      <w:pPr>
        <w:ind w:firstLine="47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7.如我方成交：</w:t>
      </w:r>
    </w:p>
    <w:p w14:paraId="7C447CEA">
      <w:pPr>
        <w:ind w:firstLine="488"/>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（1）我方承诺在收到成交通知书后，在成交通知书规定的期限内与你</w:t>
      </w:r>
      <w:r>
        <w:rPr>
          <w:rFonts w:hint="eastAsia" w:ascii="宋体" w:hAnsi="宋体" w:cs="宋体"/>
          <w:color w:val="000000" w:themeColor="text1"/>
          <w:spacing w:val="1"/>
          <w:szCs w:val="21"/>
          <w:highlight w:val="none"/>
          <w14:textFill>
            <w14:solidFill>
              <w14:schemeClr w14:val="tx1"/>
            </w14:solidFill>
          </w14:textFill>
        </w:rPr>
        <w:t>方签</w:t>
      </w:r>
      <w:r>
        <w:rPr>
          <w:rFonts w:hint="eastAsia" w:ascii="宋体" w:hAnsi="宋体" w:cs="宋体"/>
          <w:color w:val="000000" w:themeColor="text1"/>
          <w:spacing w:val="-1"/>
          <w:szCs w:val="21"/>
          <w:highlight w:val="none"/>
          <w14:textFill>
            <w14:solidFill>
              <w14:schemeClr w14:val="tx1"/>
            </w14:solidFill>
          </w14:textFill>
        </w:rPr>
        <w:t>订合同，并履行相应的合同责任和义务。</w:t>
      </w:r>
    </w:p>
    <w:p w14:paraId="6A7918F0">
      <w:pPr>
        <w:ind w:firstLine="47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（2）我方承诺按照采购文件规定向你方递交履约担保。</w:t>
      </w:r>
    </w:p>
    <w:p w14:paraId="42BE99D0">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8.我方在此声明，所递交的响应文件及有关资</w:t>
      </w:r>
      <w:r>
        <w:rPr>
          <w:rFonts w:hint="eastAsia" w:ascii="宋体" w:hAnsi="宋体" w:cs="宋体"/>
          <w:color w:val="000000" w:themeColor="text1"/>
          <w:spacing w:val="-1"/>
          <w:szCs w:val="21"/>
          <w:highlight w:val="none"/>
          <w14:textFill>
            <w14:solidFill>
              <w14:schemeClr w14:val="tx1"/>
            </w14:solidFill>
          </w14:textFill>
        </w:rPr>
        <w:t>料内容完整、真实和准确。</w:t>
      </w:r>
    </w:p>
    <w:p w14:paraId="251F863F">
      <w:pPr>
        <w:ind w:firstLine="460"/>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9.</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pacing w:val="-5"/>
          <w:szCs w:val="21"/>
          <w:highlight w:val="none"/>
          <w14:textFill>
            <w14:solidFill>
              <w14:schemeClr w14:val="tx1"/>
            </w14:solidFill>
          </w14:textFill>
        </w:rPr>
        <w:t>（其他补充说明）。</w:t>
      </w:r>
      <w:r>
        <w:rPr>
          <w:rFonts w:hint="eastAsia" w:ascii="宋体" w:hAnsi="宋体" w:cs="宋体"/>
          <w:color w:val="000000" w:themeColor="text1"/>
          <w:spacing w:val="3"/>
          <w:szCs w:val="21"/>
          <w:highlight w:val="none"/>
          <w14:textFill>
            <w14:solidFill>
              <w14:schemeClr w14:val="tx1"/>
            </w14:solidFill>
          </w14:textFill>
        </w:rPr>
        <w:t xml:space="preserve"> </w:t>
      </w:r>
    </w:p>
    <w:p w14:paraId="456DF5E1">
      <w:pPr>
        <w:ind w:firstLine="476"/>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与本磋商有关的正式通讯地址为：</w:t>
      </w:r>
    </w:p>
    <w:p w14:paraId="267E8E29">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邮政编码：</w:t>
      </w:r>
      <w:r>
        <w:rPr>
          <w:rFonts w:hint="eastAsia" w:ascii="宋体" w:hAnsi="宋体" w:cs="宋体"/>
          <w:color w:val="000000" w:themeColor="text1"/>
          <w:szCs w:val="21"/>
          <w:highlight w:val="none"/>
          <w:u w:val="single"/>
          <w14:textFill>
            <w14:solidFill>
              <w14:schemeClr w14:val="tx1"/>
            </w14:solidFill>
          </w14:textFill>
        </w:rPr>
        <w:t xml:space="preserve">                </w:t>
      </w:r>
    </w:p>
    <w:p w14:paraId="60207111">
      <w:pPr>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传    真：</w:t>
      </w:r>
      <w:r>
        <w:rPr>
          <w:rFonts w:hint="eastAsia" w:ascii="宋体" w:hAnsi="宋体" w:cs="宋体"/>
          <w:color w:val="000000" w:themeColor="text1"/>
          <w:szCs w:val="21"/>
          <w:highlight w:val="none"/>
          <w:u w:val="single"/>
          <w14:textFill>
            <w14:solidFill>
              <w14:schemeClr w14:val="tx1"/>
            </w14:solidFill>
          </w14:textFill>
        </w:rPr>
        <w:t xml:space="preserve">                </w:t>
      </w:r>
    </w:p>
    <w:p w14:paraId="579E7F87">
      <w:pPr>
        <w:tabs>
          <w:tab w:val="left" w:pos="0"/>
        </w:tabs>
        <w:ind w:firstLine="480"/>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768F3C86">
      <w:pPr>
        <w:tabs>
          <w:tab w:val="left" w:pos="0"/>
        </w:tabs>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7011E2C1">
      <w:pPr>
        <w:tabs>
          <w:tab w:val="left" w:pos="0"/>
        </w:tabs>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7934EC89">
      <w:pPr>
        <w:ind w:left="562"/>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7E634FA8">
      <w:pPr>
        <w:pStyle w:val="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（二）磋商函附表</w:t>
      </w:r>
    </w:p>
    <w:p w14:paraId="42F3E507">
      <w:pPr>
        <w:rPr>
          <w:color w:val="000000" w:themeColor="text1"/>
          <w:highlight w:val="none"/>
          <w14:textFill>
            <w14:solidFill>
              <w14:schemeClr w14:val="tx1"/>
            </w14:solidFill>
          </w14:textFill>
        </w:rPr>
      </w:pPr>
    </w:p>
    <w:p w14:paraId="21A62745">
      <w:pPr>
        <w:rPr>
          <w:color w:val="000000" w:themeColor="text1"/>
          <w:highlight w:val="none"/>
          <w14:textFill>
            <w14:solidFill>
              <w14:schemeClr w14:val="tx1"/>
            </w14:solidFill>
          </w14:textFill>
        </w:rPr>
      </w:pPr>
      <w:bookmarkStart w:id="1744" w:name="_Hlk223044053"/>
    </w:p>
    <w:tbl>
      <w:tblPr>
        <w:tblStyle w:val="53"/>
        <w:tblW w:w="982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2097"/>
        <w:gridCol w:w="5437"/>
        <w:gridCol w:w="1527"/>
      </w:tblGrid>
      <w:tr w14:paraId="26DD6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767" w:type="dxa"/>
            <w:vAlign w:val="center"/>
          </w:tcPr>
          <w:p w14:paraId="7E3D40DA">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序号</w:t>
            </w:r>
          </w:p>
        </w:tc>
        <w:tc>
          <w:tcPr>
            <w:tcW w:w="2097" w:type="dxa"/>
            <w:vAlign w:val="center"/>
          </w:tcPr>
          <w:p w14:paraId="0EEDF3A5">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项目内容</w:t>
            </w:r>
          </w:p>
        </w:tc>
        <w:tc>
          <w:tcPr>
            <w:tcW w:w="5437" w:type="dxa"/>
            <w:vAlign w:val="center"/>
          </w:tcPr>
          <w:p w14:paraId="59A8AB93">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约定内容</w:t>
            </w:r>
          </w:p>
        </w:tc>
        <w:tc>
          <w:tcPr>
            <w:tcW w:w="1527" w:type="dxa"/>
            <w:vAlign w:val="center"/>
          </w:tcPr>
          <w:p w14:paraId="36CB0DCE">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备注</w:t>
            </w:r>
          </w:p>
        </w:tc>
      </w:tr>
      <w:tr w14:paraId="03BA4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67" w:type="dxa"/>
            <w:vAlign w:val="center"/>
          </w:tcPr>
          <w:p w14:paraId="167061C4">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w:t>
            </w:r>
          </w:p>
        </w:tc>
        <w:tc>
          <w:tcPr>
            <w:tcW w:w="2097" w:type="dxa"/>
            <w:vAlign w:val="center"/>
          </w:tcPr>
          <w:p w14:paraId="70636182">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项目经理</w:t>
            </w:r>
          </w:p>
        </w:tc>
        <w:tc>
          <w:tcPr>
            <w:tcW w:w="5437" w:type="dxa"/>
            <w:vAlign w:val="center"/>
          </w:tcPr>
          <w:p w14:paraId="2FA0B91B">
            <w:pPr>
              <w:spacing w:line="240" w:lineRule="auto"/>
              <w:jc w:val="center"/>
              <w:rPr>
                <w:color w:val="000000" w:themeColor="text1"/>
                <w:szCs w:val="21"/>
                <w:highlight w:val="none"/>
                <w14:textFill>
                  <w14:solidFill>
                    <w14:schemeClr w14:val="tx1"/>
                  </w14:solidFill>
                </w14:textFill>
              </w:rPr>
            </w:pPr>
          </w:p>
        </w:tc>
        <w:tc>
          <w:tcPr>
            <w:tcW w:w="1527" w:type="dxa"/>
            <w:vAlign w:val="center"/>
          </w:tcPr>
          <w:p w14:paraId="43EA0478">
            <w:pPr>
              <w:spacing w:line="240" w:lineRule="auto"/>
              <w:jc w:val="center"/>
              <w:rPr>
                <w:color w:val="000000" w:themeColor="text1"/>
                <w:szCs w:val="21"/>
                <w:highlight w:val="none"/>
                <w14:textFill>
                  <w14:solidFill>
                    <w14:schemeClr w14:val="tx1"/>
                  </w14:solidFill>
                </w14:textFill>
              </w:rPr>
            </w:pPr>
          </w:p>
        </w:tc>
      </w:tr>
      <w:tr w14:paraId="53993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67" w:type="dxa"/>
            <w:vAlign w:val="center"/>
          </w:tcPr>
          <w:p w14:paraId="1CBF9793">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2</w:t>
            </w:r>
          </w:p>
        </w:tc>
        <w:tc>
          <w:tcPr>
            <w:tcW w:w="2097" w:type="dxa"/>
            <w:vAlign w:val="center"/>
          </w:tcPr>
          <w:p w14:paraId="7D26B4D2">
            <w:pPr>
              <w:spacing w:line="240" w:lineRule="auto"/>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合同履行期限</w:t>
            </w:r>
          </w:p>
        </w:tc>
        <w:tc>
          <w:tcPr>
            <w:tcW w:w="5437" w:type="dxa"/>
            <w:vAlign w:val="center"/>
          </w:tcPr>
          <w:p w14:paraId="50F3D4FF">
            <w:pPr>
              <w:spacing w:line="240" w:lineRule="auto"/>
              <w:jc w:val="center"/>
              <w:rPr>
                <w:color w:val="000000" w:themeColor="text1"/>
                <w:szCs w:val="21"/>
                <w:highlight w:val="none"/>
                <w14:textFill>
                  <w14:solidFill>
                    <w14:schemeClr w14:val="tx1"/>
                  </w14:solidFill>
                </w14:textFill>
              </w:rPr>
            </w:pPr>
          </w:p>
        </w:tc>
        <w:tc>
          <w:tcPr>
            <w:tcW w:w="1527" w:type="dxa"/>
            <w:vAlign w:val="center"/>
          </w:tcPr>
          <w:p w14:paraId="353F2C74">
            <w:pPr>
              <w:spacing w:line="240" w:lineRule="auto"/>
              <w:jc w:val="center"/>
              <w:rPr>
                <w:color w:val="000000" w:themeColor="text1"/>
                <w:szCs w:val="21"/>
                <w:highlight w:val="none"/>
                <w14:textFill>
                  <w14:solidFill>
                    <w14:schemeClr w14:val="tx1"/>
                  </w14:solidFill>
                </w14:textFill>
              </w:rPr>
            </w:pPr>
          </w:p>
        </w:tc>
      </w:tr>
      <w:tr w14:paraId="54F15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67" w:type="dxa"/>
            <w:vAlign w:val="center"/>
          </w:tcPr>
          <w:p w14:paraId="37840FAD">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3</w:t>
            </w:r>
          </w:p>
        </w:tc>
        <w:tc>
          <w:tcPr>
            <w:tcW w:w="2097" w:type="dxa"/>
            <w:vAlign w:val="center"/>
          </w:tcPr>
          <w:p w14:paraId="605A32DE">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质量承诺</w:t>
            </w:r>
          </w:p>
        </w:tc>
        <w:tc>
          <w:tcPr>
            <w:tcW w:w="5437" w:type="dxa"/>
            <w:vAlign w:val="center"/>
          </w:tcPr>
          <w:p w14:paraId="7F5E5260">
            <w:pPr>
              <w:spacing w:line="240" w:lineRule="auto"/>
              <w:jc w:val="center"/>
              <w:rPr>
                <w:color w:val="000000" w:themeColor="text1"/>
                <w:szCs w:val="21"/>
                <w:highlight w:val="none"/>
                <w14:textFill>
                  <w14:solidFill>
                    <w14:schemeClr w14:val="tx1"/>
                  </w14:solidFill>
                </w14:textFill>
              </w:rPr>
            </w:pPr>
          </w:p>
        </w:tc>
        <w:tc>
          <w:tcPr>
            <w:tcW w:w="1527" w:type="dxa"/>
            <w:vAlign w:val="center"/>
          </w:tcPr>
          <w:p w14:paraId="608B2402">
            <w:pPr>
              <w:spacing w:line="240" w:lineRule="auto"/>
              <w:jc w:val="center"/>
              <w:rPr>
                <w:color w:val="000000" w:themeColor="text1"/>
                <w:szCs w:val="21"/>
                <w:highlight w:val="none"/>
                <w14:textFill>
                  <w14:solidFill>
                    <w14:schemeClr w14:val="tx1"/>
                  </w14:solidFill>
                </w14:textFill>
              </w:rPr>
            </w:pPr>
          </w:p>
        </w:tc>
      </w:tr>
      <w:tr w14:paraId="6D6C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67" w:type="dxa"/>
            <w:vAlign w:val="center"/>
          </w:tcPr>
          <w:p w14:paraId="4A0C688C">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4</w:t>
            </w:r>
          </w:p>
        </w:tc>
        <w:tc>
          <w:tcPr>
            <w:tcW w:w="2097" w:type="dxa"/>
            <w:vAlign w:val="center"/>
          </w:tcPr>
          <w:p w14:paraId="5913A83C">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磋商有效期</w:t>
            </w:r>
          </w:p>
        </w:tc>
        <w:tc>
          <w:tcPr>
            <w:tcW w:w="5437" w:type="dxa"/>
            <w:vAlign w:val="center"/>
          </w:tcPr>
          <w:p w14:paraId="6229FCC8">
            <w:pPr>
              <w:spacing w:line="240" w:lineRule="auto"/>
              <w:jc w:val="center"/>
              <w:rPr>
                <w:color w:val="000000" w:themeColor="text1"/>
                <w:szCs w:val="21"/>
                <w:highlight w:val="none"/>
                <w14:textFill>
                  <w14:solidFill>
                    <w14:schemeClr w14:val="tx1"/>
                  </w14:solidFill>
                </w14:textFill>
              </w:rPr>
            </w:pPr>
          </w:p>
        </w:tc>
        <w:tc>
          <w:tcPr>
            <w:tcW w:w="1527" w:type="dxa"/>
            <w:vAlign w:val="center"/>
          </w:tcPr>
          <w:p w14:paraId="7FD36F93">
            <w:pPr>
              <w:spacing w:line="240" w:lineRule="auto"/>
              <w:jc w:val="center"/>
              <w:rPr>
                <w:color w:val="000000" w:themeColor="text1"/>
                <w:szCs w:val="21"/>
                <w:highlight w:val="none"/>
                <w14:textFill>
                  <w14:solidFill>
                    <w14:schemeClr w14:val="tx1"/>
                  </w14:solidFill>
                </w14:textFill>
              </w:rPr>
            </w:pPr>
          </w:p>
        </w:tc>
      </w:tr>
      <w:tr w14:paraId="4D88F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767" w:type="dxa"/>
            <w:vAlign w:val="center"/>
          </w:tcPr>
          <w:p w14:paraId="7204D0CF">
            <w:pPr>
              <w:spacing w:line="240" w:lineRule="auto"/>
              <w:jc w:val="center"/>
              <w:rPr>
                <w:color w:val="000000" w:themeColor="text1"/>
                <w:szCs w:val="21"/>
                <w:highlight w:val="none"/>
                <w14:textFill>
                  <w14:solidFill>
                    <w14:schemeClr w14:val="tx1"/>
                  </w14:solidFill>
                </w14:textFill>
              </w:rPr>
            </w:pPr>
          </w:p>
        </w:tc>
        <w:tc>
          <w:tcPr>
            <w:tcW w:w="2097" w:type="dxa"/>
            <w:vAlign w:val="center"/>
          </w:tcPr>
          <w:p w14:paraId="3DCB7A21">
            <w:pPr>
              <w:spacing w:line="240" w:lineRule="auto"/>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p>
        </w:tc>
        <w:tc>
          <w:tcPr>
            <w:tcW w:w="5437" w:type="dxa"/>
            <w:vAlign w:val="center"/>
          </w:tcPr>
          <w:p w14:paraId="4219113D">
            <w:pPr>
              <w:spacing w:line="240" w:lineRule="auto"/>
              <w:jc w:val="center"/>
              <w:rPr>
                <w:color w:val="000000" w:themeColor="text1"/>
                <w:szCs w:val="21"/>
                <w:highlight w:val="none"/>
                <w14:textFill>
                  <w14:solidFill>
                    <w14:schemeClr w14:val="tx1"/>
                  </w14:solidFill>
                </w14:textFill>
              </w:rPr>
            </w:pPr>
          </w:p>
        </w:tc>
        <w:tc>
          <w:tcPr>
            <w:tcW w:w="1527" w:type="dxa"/>
            <w:vAlign w:val="center"/>
          </w:tcPr>
          <w:p w14:paraId="56B7356A">
            <w:pPr>
              <w:spacing w:line="240" w:lineRule="auto"/>
              <w:jc w:val="center"/>
              <w:rPr>
                <w:color w:val="000000" w:themeColor="text1"/>
                <w:szCs w:val="21"/>
                <w:highlight w:val="none"/>
                <w14:textFill>
                  <w14:solidFill>
                    <w14:schemeClr w14:val="tx1"/>
                  </w14:solidFill>
                </w14:textFill>
              </w:rPr>
            </w:pPr>
          </w:p>
        </w:tc>
      </w:tr>
    </w:tbl>
    <w:p w14:paraId="1B9FCEAE">
      <w:pPr>
        <w:ind w:left="420"/>
        <w:rPr>
          <w:color w:val="000000" w:themeColor="text1"/>
          <w:szCs w:val="21"/>
          <w:highlight w:val="none"/>
          <w14:textFill>
            <w14:solidFill>
              <w14:schemeClr w14:val="tx1"/>
            </w14:solidFill>
          </w14:textFill>
        </w:rPr>
      </w:pPr>
    </w:p>
    <w:p w14:paraId="5CC89EC9">
      <w:pPr>
        <w:ind w:left="420"/>
        <w:rPr>
          <w:color w:val="000000" w:themeColor="text1"/>
          <w:szCs w:val="21"/>
          <w:highlight w:val="none"/>
          <w14:textFill>
            <w14:solidFill>
              <w14:schemeClr w14:val="tx1"/>
            </w14:solidFill>
          </w14:textFill>
        </w:rPr>
      </w:pPr>
    </w:p>
    <w:bookmarkEnd w:id="1744"/>
    <w:p w14:paraId="178059FE">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32091800">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21EA90B8">
      <w:pPr>
        <w:spacing w:before="2"/>
        <w:ind w:firstLine="174" w:firstLineChars="83"/>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EBE98B8">
      <w:pPr>
        <w:rPr>
          <w:color w:val="000000" w:themeColor="text1"/>
          <w:highlight w:val="none"/>
          <w14:textFill>
            <w14:solidFill>
              <w14:schemeClr w14:val="tx1"/>
            </w14:solidFill>
          </w14:textFill>
        </w:rPr>
      </w:pPr>
    </w:p>
    <w:p w14:paraId="30F5955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586E59C2">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（三）已标价工程量清单</w:t>
      </w:r>
    </w:p>
    <w:p w14:paraId="1C7641B1">
      <w:pPr>
        <w:rPr>
          <w:color w:val="000000" w:themeColor="text1"/>
          <w:highlight w:val="none"/>
          <w14:textFill>
            <w14:solidFill>
              <w14:schemeClr w14:val="tx1"/>
            </w14:solidFill>
          </w14:textFill>
        </w:rPr>
      </w:pPr>
    </w:p>
    <w:p w14:paraId="7FC2F173">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74B5B3EC">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（四）法定代表人身份证明书</w:t>
      </w:r>
    </w:p>
    <w:p w14:paraId="79C45B58">
      <w:pPr>
        <w:ind w:left="420"/>
        <w:rPr>
          <w:color w:val="000000" w:themeColor="text1"/>
          <w:highlight w:val="none"/>
          <w14:textFill>
            <w14:solidFill>
              <w14:schemeClr w14:val="tx1"/>
            </w14:solidFill>
          </w14:textFill>
        </w:rPr>
      </w:pPr>
    </w:p>
    <w:p w14:paraId="7CF12D7C">
      <w:pPr>
        <w:autoSpaceDE w:val="0"/>
        <w:autoSpaceDN w:val="0"/>
        <w:adjustRightInd w:val="0"/>
        <w:ind w:firstLine="48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单位名称：</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4B6AEB40">
      <w:pPr>
        <w:autoSpaceDE w:val="0"/>
        <w:autoSpaceDN w:val="0"/>
        <w:adjustRightInd w:val="0"/>
        <w:ind w:firstLine="48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单位性质：</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5FCFE42B">
      <w:pPr>
        <w:autoSpaceDE w:val="0"/>
        <w:autoSpaceDN w:val="0"/>
        <w:adjustRightInd w:val="0"/>
        <w:ind w:firstLine="48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地址：</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4571315E">
      <w:pPr>
        <w:autoSpaceDE w:val="0"/>
        <w:autoSpaceDN w:val="0"/>
        <w:adjustRightInd w:val="0"/>
        <w:ind w:firstLine="48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成立时间：</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227FC4A2">
      <w:pPr>
        <w:autoSpaceDE w:val="0"/>
        <w:autoSpaceDN w:val="0"/>
        <w:adjustRightInd w:val="0"/>
        <w:ind w:firstLine="48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经营期限：</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1AA73A65">
      <w:pPr>
        <w:autoSpaceDE w:val="0"/>
        <w:autoSpaceDN w:val="0"/>
        <w:adjustRightInd w:val="0"/>
        <w:ind w:firstLine="480"/>
        <w:jc w:val="left"/>
        <w:rPr>
          <w:rFonts w:hint="eastAsia"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姓名：</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性别：</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年龄：</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职务：</w:t>
      </w:r>
      <w:r>
        <w:rPr>
          <w:rFonts w:hint="eastAsia" w:ascii="宋体" w:hAnsi="宋体" w:cs="宋体"/>
          <w:color w:val="000000" w:themeColor="text1"/>
          <w:kern w:val="0"/>
          <w:szCs w:val="21"/>
          <w:highlight w:val="none"/>
          <w:u w:val="single"/>
          <w14:textFill>
            <w14:solidFill>
              <w14:schemeClr w14:val="tx1"/>
            </w14:solidFill>
          </w14:textFill>
        </w:rPr>
        <w:t xml:space="preserve">       </w:t>
      </w:r>
    </w:p>
    <w:p w14:paraId="1C77E95E">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系</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（供应商）的</w:t>
      </w:r>
      <w:r>
        <w:rPr>
          <w:rFonts w:hint="eastAsia" w:ascii="宋体" w:hAnsi="宋体" w:cs="宋体"/>
          <w:color w:val="000000" w:themeColor="text1"/>
          <w:szCs w:val="21"/>
          <w:highlight w:val="none"/>
          <w14:textFill>
            <w14:solidFill>
              <w14:schemeClr w14:val="tx1"/>
            </w14:solidFill>
          </w14:textFill>
        </w:rPr>
        <w:t>法定代表人。</w:t>
      </w:r>
    </w:p>
    <w:p w14:paraId="3F408939">
      <w:pPr>
        <w:autoSpaceDE w:val="0"/>
        <w:autoSpaceDN w:val="0"/>
        <w:adjustRightInd w:val="0"/>
        <w:ind w:firstLine="480"/>
        <w:jc w:val="left"/>
        <w:rPr>
          <w:rFonts w:hint="eastAsia" w:ascii="宋体" w:hAnsi="宋体" w:cs="宋体"/>
          <w:color w:val="000000" w:themeColor="text1"/>
          <w:kern w:val="0"/>
          <w:szCs w:val="21"/>
          <w:highlight w:val="none"/>
          <w14:textFill>
            <w14:solidFill>
              <w14:schemeClr w14:val="tx1"/>
            </w14:solidFill>
          </w14:textFill>
        </w:rPr>
      </w:pPr>
    </w:p>
    <w:p w14:paraId="29DD33E3">
      <w:pPr>
        <w:autoSpaceDE w:val="0"/>
        <w:autoSpaceDN w:val="0"/>
        <w:adjustRightInd w:val="0"/>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特此证明。</w:t>
      </w:r>
    </w:p>
    <w:p w14:paraId="261C5FB0">
      <w:pPr>
        <w:ind w:firstLine="482"/>
        <w:rPr>
          <w:rFonts w:hint="eastAsia" w:ascii="宋体" w:hAnsi="宋体" w:cs="宋体"/>
          <w:b/>
          <w:bCs/>
          <w:color w:val="000000" w:themeColor="text1"/>
          <w:szCs w:val="21"/>
          <w:highlight w:val="none"/>
          <w14:textFill>
            <w14:solidFill>
              <w14:schemeClr w14:val="tx1"/>
            </w14:solidFill>
          </w14:textFill>
        </w:rPr>
      </w:pPr>
    </w:p>
    <w:p w14:paraId="298F9CB5">
      <w:pPr>
        <w:ind w:firstLine="48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附：法定代表人有效身份证复印件或扫描件</w:t>
      </w:r>
    </w:p>
    <w:p w14:paraId="057BA752">
      <w:pPr>
        <w:ind w:firstLine="480"/>
        <w:rPr>
          <w:rFonts w:hint="eastAsia" w:ascii="宋体" w:hAnsi="宋体" w:cs="宋体"/>
          <w:color w:val="000000" w:themeColor="text1"/>
          <w:sz w:val="24"/>
          <w:highlight w:val="none"/>
          <w14:textFill>
            <w14:solidFill>
              <w14:schemeClr w14:val="tx1"/>
            </w14:solidFill>
          </w14:textFill>
        </w:rPr>
      </w:pPr>
    </w:p>
    <w:p w14:paraId="73CEA6EA">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59E64CB4">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73196C3B">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315A0148">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64EFE5B8">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624CB762">
      <w:pPr>
        <w:tabs>
          <w:tab w:val="left" w:pos="0"/>
        </w:tabs>
        <w:spacing w:line="500" w:lineRule="exact"/>
        <w:ind w:firstLine="480"/>
        <w:jc w:val="left"/>
        <w:rPr>
          <w:rFonts w:hint="eastAsia" w:ascii="宋体" w:hAnsi="宋体" w:cs="宋体"/>
          <w:color w:val="000000" w:themeColor="text1"/>
          <w:sz w:val="24"/>
          <w:highlight w:val="none"/>
          <w14:textFill>
            <w14:solidFill>
              <w14:schemeClr w14:val="tx1"/>
            </w14:solidFill>
          </w14:textFill>
        </w:rPr>
      </w:pPr>
    </w:p>
    <w:p w14:paraId="342407E3">
      <w:pPr>
        <w:tabs>
          <w:tab w:val="left" w:pos="0"/>
        </w:tabs>
        <w:spacing w:line="500" w:lineRule="exact"/>
        <w:ind w:firstLine="480"/>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654F6EC6">
      <w:pPr>
        <w:tabs>
          <w:tab w:val="left" w:pos="0"/>
        </w:tabs>
        <w:spacing w:line="500" w:lineRule="exact"/>
        <w:ind w:firstLine="48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33597D91">
      <w:pPr>
        <w:pStyle w:val="19"/>
        <w:ind w:firstLine="480"/>
        <w:rPr>
          <w:rFonts w:hint="eastAsia" w:hAnsi="宋体" w:cs="宋体"/>
          <w:color w:val="000000" w:themeColor="text1"/>
          <w:sz w:val="24"/>
          <w:szCs w:val="24"/>
          <w:highlight w:val="none"/>
          <w14:textFill>
            <w14:solidFill>
              <w14:schemeClr w14:val="tx1"/>
            </w14:solidFill>
          </w14:textFill>
        </w:rPr>
      </w:pPr>
    </w:p>
    <w:p w14:paraId="0B330323">
      <w:pPr>
        <w:pStyle w:val="19"/>
        <w:ind w:firstLine="480"/>
        <w:rPr>
          <w:rFonts w:hint="eastAsia" w:hAnsi="宋体" w:cs="宋体"/>
          <w:color w:val="000000" w:themeColor="text1"/>
          <w:sz w:val="24"/>
          <w:szCs w:val="24"/>
          <w:highlight w:val="none"/>
          <w14:textFill>
            <w14:solidFill>
              <w14:schemeClr w14:val="tx1"/>
            </w14:solidFill>
          </w14:textFill>
        </w:rPr>
      </w:pPr>
    </w:p>
    <w:p w14:paraId="3F0C18ED">
      <w:pPr>
        <w:pStyle w:val="19"/>
        <w:ind w:firstLine="480"/>
        <w:rPr>
          <w:rFonts w:hint="eastAsia" w:hAnsi="宋体" w:cs="宋体"/>
          <w:color w:val="000000" w:themeColor="text1"/>
          <w:sz w:val="24"/>
          <w:szCs w:val="24"/>
          <w:highlight w:val="none"/>
          <w14:textFill>
            <w14:solidFill>
              <w14:schemeClr w14:val="tx1"/>
            </w14:solidFill>
          </w14:textFill>
        </w:rPr>
      </w:pPr>
    </w:p>
    <w:p w14:paraId="4E251350">
      <w:pPr>
        <w:pStyle w:val="19"/>
        <w:ind w:firstLine="480"/>
        <w:rPr>
          <w:rFonts w:hint="eastAsia" w:hAnsi="宋体" w:cs="宋体"/>
          <w:color w:val="000000" w:themeColor="text1"/>
          <w:sz w:val="24"/>
          <w:szCs w:val="24"/>
          <w:highlight w:val="none"/>
          <w14:textFill>
            <w14:solidFill>
              <w14:schemeClr w14:val="tx1"/>
            </w14:solidFill>
          </w14:textFill>
        </w:rPr>
      </w:pPr>
    </w:p>
    <w:p w14:paraId="7F62CE62">
      <w:pPr>
        <w:keepNext/>
        <w:keepLines/>
        <w:jc w:val="center"/>
        <w:outlineLvl w:val="1"/>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r>
    </w:p>
    <w:p w14:paraId="0C947C24">
      <w:pPr>
        <w:pStyle w:val="5"/>
        <w:rPr>
          <w:color w:val="000000" w:themeColor="text1"/>
          <w:highlight w:val="none"/>
          <w14:textFill>
            <w14:solidFill>
              <w14:schemeClr w14:val="tx1"/>
            </w14:solidFill>
          </w14:textFill>
        </w:rPr>
      </w:pPr>
      <w:bookmarkStart w:id="1745" w:name="_Toc30569"/>
      <w:r>
        <w:rPr>
          <w:rFonts w:hint="eastAsia"/>
          <w:color w:val="000000" w:themeColor="text1"/>
          <w:highlight w:val="none"/>
          <w14:textFill>
            <w14:solidFill>
              <w14:schemeClr w14:val="tx1"/>
            </w14:solidFill>
          </w14:textFill>
        </w:rPr>
        <w:t>（五）法定代表人授权委托书</w:t>
      </w:r>
      <w:bookmarkEnd w:id="1745"/>
    </w:p>
    <w:p w14:paraId="376B3257">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本人</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系</w:t>
      </w:r>
      <w:r>
        <w:rPr>
          <w:rFonts w:hint="eastAsia" w:ascii="宋体" w:hAnsi="宋体" w:cs="宋体"/>
          <w:color w:val="000000" w:themeColor="text1"/>
          <w:szCs w:val="21"/>
          <w:highlight w:val="none"/>
          <w:u w:val="single"/>
          <w14:textFill>
            <w14:solidFill>
              <w14:schemeClr w14:val="tx1"/>
            </w14:solidFill>
          </w14:textFill>
        </w:rPr>
        <w:t xml:space="preserve">       （供应商）      </w:t>
      </w:r>
      <w:r>
        <w:rPr>
          <w:rFonts w:hint="eastAsia" w:ascii="宋体" w:hAnsi="宋体" w:cs="宋体"/>
          <w:color w:val="000000" w:themeColor="text1"/>
          <w:szCs w:val="21"/>
          <w:highlight w:val="none"/>
          <w14:textFill>
            <w14:solidFill>
              <w14:schemeClr w14:val="tx1"/>
            </w14:solidFill>
          </w14:textFill>
        </w:rPr>
        <w:t>的法定代表人，现授权</w:t>
      </w:r>
      <w:r>
        <w:rPr>
          <w:rFonts w:hint="eastAsia" w:ascii="宋体" w:hAnsi="宋体" w:cs="宋体"/>
          <w:color w:val="000000" w:themeColor="text1"/>
          <w:szCs w:val="21"/>
          <w:highlight w:val="none"/>
          <w:u w:val="single"/>
          <w14:textFill>
            <w14:solidFill>
              <w14:schemeClr w14:val="tx1"/>
            </w14:solidFill>
          </w14:textFill>
        </w:rPr>
        <w:t xml:space="preserve">   （委托代理人姓名）   </w:t>
      </w:r>
      <w:r>
        <w:rPr>
          <w:rFonts w:hint="eastAsia" w:ascii="宋体" w:hAnsi="宋体" w:cs="宋体"/>
          <w:color w:val="000000" w:themeColor="text1"/>
          <w:szCs w:val="21"/>
          <w:highlight w:val="none"/>
          <w14:textFill>
            <w14:solidFill>
              <w14:schemeClr w14:val="tx1"/>
            </w14:solidFill>
          </w14:textFill>
        </w:rPr>
        <w:t>为本公司合法代理人，以我方名义签署、澄清、说明、补正、递交、撤回、修改</w:t>
      </w:r>
      <w:r>
        <w:rPr>
          <w:rFonts w:hint="eastAsia" w:ascii="宋体" w:hAnsi="宋体" w:cs="宋体"/>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响应文件，签订合同和处理一切与之有关的事务，其法律后果由我方承担。</w:t>
      </w:r>
    </w:p>
    <w:p w14:paraId="26771577">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委托期限：</w:t>
      </w:r>
      <w:r>
        <w:rPr>
          <w:rFonts w:hint="eastAsia" w:ascii="宋体" w:hAnsi="宋体" w:cs="宋体"/>
          <w:color w:val="000000" w:themeColor="text1"/>
          <w:szCs w:val="21"/>
          <w:highlight w:val="none"/>
          <w:u w:val="single"/>
          <w14:textFill>
            <w14:solidFill>
              <w14:schemeClr w14:val="tx1"/>
            </w14:solidFill>
          </w14:textFill>
        </w:rPr>
        <w:t xml:space="preserve">               </w:t>
      </w:r>
    </w:p>
    <w:p w14:paraId="417F3240">
      <w:pPr>
        <w:ind w:firstLine="48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代理人无转委托权。</w:t>
      </w:r>
    </w:p>
    <w:p w14:paraId="47B787AF">
      <w:pPr>
        <w:ind w:firstLine="211" w:firstLineChars="100"/>
        <w:rPr>
          <w:rFonts w:hint="eastAsia" w:ascii="宋体" w:hAnsi="宋体" w:cs="宋体"/>
          <w:b/>
          <w:bCs/>
          <w:color w:val="000000" w:themeColor="text1"/>
          <w:szCs w:val="21"/>
          <w:highlight w:val="none"/>
          <w14:textFill>
            <w14:solidFill>
              <w14:schemeClr w14:val="tx1"/>
            </w14:solidFill>
          </w14:textFill>
        </w:rPr>
      </w:pPr>
    </w:p>
    <w:p w14:paraId="66DD1485">
      <w:pPr>
        <w:ind w:firstLine="48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附：委托代理人有效身份证复印件或扫描件</w:t>
      </w:r>
    </w:p>
    <w:p w14:paraId="4A692B40">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3FAD1688">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6E4648E7">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1967BC88">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3BB87590">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2E82EC15">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6FA7A224">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0D0427FB">
      <w:pPr>
        <w:spacing w:line="320" w:lineRule="exact"/>
        <w:ind w:firstLine="480"/>
        <w:rPr>
          <w:rFonts w:hint="eastAsia" w:ascii="宋体" w:hAnsi="宋体" w:cs="宋体"/>
          <w:color w:val="000000" w:themeColor="text1"/>
          <w:szCs w:val="21"/>
          <w:highlight w:val="none"/>
          <w14:textFill>
            <w14:solidFill>
              <w14:schemeClr w14:val="tx1"/>
            </w14:solidFill>
          </w14:textFill>
        </w:rPr>
      </w:pPr>
    </w:p>
    <w:p w14:paraId="737E870C">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580FC068">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6F554918">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p>
    <w:p w14:paraId="35E20C77">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委托代理人（签字）：</w:t>
      </w:r>
      <w:r>
        <w:rPr>
          <w:rFonts w:hint="eastAsia" w:ascii="宋体" w:hAnsi="宋体" w:cs="宋体"/>
          <w:color w:val="000000" w:themeColor="text1"/>
          <w:szCs w:val="21"/>
          <w:highlight w:val="none"/>
          <w:u w:val="single"/>
          <w14:textFill>
            <w14:solidFill>
              <w14:schemeClr w14:val="tx1"/>
            </w14:solidFill>
          </w14:textFill>
        </w:rPr>
        <w:t xml:space="preserve">              </w:t>
      </w:r>
    </w:p>
    <w:p w14:paraId="3C04F6B1">
      <w:pPr>
        <w:ind w:firstLine="48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身份证号码：</w:t>
      </w:r>
      <w:r>
        <w:rPr>
          <w:rFonts w:hint="eastAsia" w:ascii="宋体" w:hAnsi="宋体" w:cs="宋体"/>
          <w:color w:val="000000" w:themeColor="text1"/>
          <w:szCs w:val="21"/>
          <w:highlight w:val="none"/>
          <w:u w:val="single"/>
          <w14:textFill>
            <w14:solidFill>
              <w14:schemeClr w14:val="tx1"/>
            </w14:solidFill>
          </w14:textFill>
        </w:rPr>
        <w:t xml:space="preserve">                                   </w:t>
      </w:r>
    </w:p>
    <w:p w14:paraId="2578A664">
      <w:pPr>
        <w:ind w:firstLine="48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月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日</w:t>
      </w:r>
    </w:p>
    <w:p w14:paraId="209405C0">
      <w:pPr>
        <w:ind w:left="420"/>
        <w:rPr>
          <w:color w:val="000000" w:themeColor="text1"/>
          <w:szCs w:val="21"/>
          <w:highlight w:val="none"/>
          <w14:textFill>
            <w14:solidFill>
              <w14:schemeClr w14:val="tx1"/>
            </w14:solidFill>
          </w14:textFill>
        </w:rPr>
      </w:pPr>
    </w:p>
    <w:p w14:paraId="69AD4BCC">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若响应文件中签字之处均为法定代表人（单位负责人）本人签署，则不需要提供本授权委托书。</w:t>
      </w:r>
    </w:p>
    <w:p w14:paraId="3841C207">
      <w:pPr>
        <w:ind w:left="420"/>
        <w:rPr>
          <w:color w:val="000000" w:themeColor="text1"/>
          <w:highlight w:val="none"/>
          <w14:textFill>
            <w14:solidFill>
              <w14:schemeClr w14:val="tx1"/>
            </w14:solidFill>
          </w14:textFill>
        </w:rPr>
      </w:pPr>
    </w:p>
    <w:p w14:paraId="4DBD561E">
      <w:pPr>
        <w:ind w:left="420"/>
        <w:rPr>
          <w:color w:val="000000" w:themeColor="text1"/>
          <w:highlight w:val="none"/>
          <w14:textFill>
            <w14:solidFill>
              <w14:schemeClr w14:val="tx1"/>
            </w14:solidFill>
          </w14:textFill>
        </w:rPr>
      </w:pPr>
    </w:p>
    <w:p w14:paraId="739D92FD">
      <w:pPr>
        <w:ind w:left="420"/>
        <w:rPr>
          <w:color w:val="000000" w:themeColor="text1"/>
          <w:highlight w:val="none"/>
          <w14:textFill>
            <w14:solidFill>
              <w14:schemeClr w14:val="tx1"/>
            </w14:solidFill>
          </w14:textFill>
        </w:rPr>
      </w:pPr>
    </w:p>
    <w:p w14:paraId="7F1CE8CB">
      <w:pPr>
        <w:keepNext/>
        <w:keepLines/>
        <w:jc w:val="center"/>
        <w:outlineLvl w:val="1"/>
        <w:rPr>
          <w:rFonts w:hint="eastAsia" w:ascii="宋体" w:hAnsi="宋体" w:cs="宋体"/>
          <w:b/>
          <w:color w:val="000000" w:themeColor="text1"/>
          <w:sz w:val="28"/>
          <w:szCs w:val="28"/>
          <w:highlight w:val="none"/>
          <w14:textFill>
            <w14:solidFill>
              <w14:schemeClr w14:val="tx1"/>
            </w14:solidFill>
          </w14:textFill>
        </w:rPr>
      </w:pPr>
      <w:bookmarkStart w:id="1746" w:name="_Toc6086"/>
      <w:r>
        <w:rPr>
          <w:rFonts w:hint="eastAsia" w:ascii="宋体" w:hAnsi="宋体" w:cs="宋体"/>
          <w:b/>
          <w:color w:val="000000" w:themeColor="text1"/>
          <w:sz w:val="28"/>
          <w:szCs w:val="28"/>
          <w:highlight w:val="none"/>
          <w14:textFill>
            <w14:solidFill>
              <w14:schemeClr w14:val="tx1"/>
            </w14:solidFill>
          </w14:textFill>
        </w:rPr>
        <w:br w:type="page"/>
      </w:r>
    </w:p>
    <w:bookmarkEnd w:id="1713"/>
    <w:bookmarkEnd w:id="1714"/>
    <w:bookmarkEnd w:id="1715"/>
    <w:bookmarkEnd w:id="1716"/>
    <w:bookmarkEnd w:id="1746"/>
    <w:p w14:paraId="131BC1BD">
      <w:pPr>
        <w:pStyle w:val="4"/>
        <w:rPr>
          <w:color w:val="000000" w:themeColor="text1"/>
          <w:highlight w:val="none"/>
          <w14:textFill>
            <w14:solidFill>
              <w14:schemeClr w14:val="tx1"/>
            </w14:solidFill>
          </w14:textFill>
        </w:rPr>
      </w:pPr>
      <w:bookmarkStart w:id="1747" w:name="_Toc228389609"/>
      <w:bookmarkStart w:id="1748" w:name="_Toc5962"/>
      <w:r>
        <w:rPr>
          <w:rFonts w:hint="eastAsia"/>
          <w:color w:val="000000" w:themeColor="text1"/>
          <w:highlight w:val="none"/>
          <w14:textFill>
            <w14:solidFill>
              <w14:schemeClr w14:val="tx1"/>
            </w14:solidFill>
          </w14:textFill>
        </w:rPr>
        <w:t>四、技术文件</w:t>
      </w:r>
      <w:bookmarkEnd w:id="1747"/>
      <w:bookmarkEnd w:id="1748"/>
      <w:bookmarkStart w:id="1749" w:name="_Toc32536"/>
    </w:p>
    <w:p w14:paraId="2AE42B3B">
      <w:pPr>
        <w:rPr>
          <w:color w:val="000000" w:themeColor="text1"/>
          <w:highlight w:val="none"/>
          <w14:textFill>
            <w14:solidFill>
              <w14:schemeClr w14:val="tx1"/>
            </w14:solidFill>
          </w14:textFill>
        </w:rPr>
      </w:pPr>
    </w:p>
    <w:bookmarkEnd w:id="1749"/>
    <w:p w14:paraId="0E5B396C">
      <w:pPr>
        <w:widowControl/>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供应商应根据竞争性磋商文件的评分要求和对项目的了解情况，采用文字并结合图表形式，编制本项目的施工组织设计，格式自拟，需包括但不限于以下内容：</w:t>
      </w:r>
    </w:p>
    <w:p w14:paraId="5CB6A68B">
      <w:pPr>
        <w:pStyle w:val="5"/>
        <w:numPr>
          <w:ilvl w:val="0"/>
          <w:numId w:val="5"/>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施工方案与技术措施</w:t>
      </w:r>
    </w:p>
    <w:p w14:paraId="6620192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7872EF1F">
      <w:pPr>
        <w:pStyle w:val="5"/>
        <w:numPr>
          <w:ilvl w:val="0"/>
          <w:numId w:val="5"/>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质量管理体系与措施</w:t>
      </w:r>
    </w:p>
    <w:p w14:paraId="6C4C6A4D">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4A96F77F">
      <w:pPr>
        <w:pStyle w:val="5"/>
        <w:numPr>
          <w:ilvl w:val="0"/>
          <w:numId w:val="5"/>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安全管理体系与措施</w:t>
      </w:r>
    </w:p>
    <w:p w14:paraId="1CA18FCA">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7D160B40">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（四）环境保护管理体系与措施</w:t>
      </w:r>
    </w:p>
    <w:p w14:paraId="51BA9268">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7D8F78DE">
      <w:pPr>
        <w:pStyle w:val="5"/>
        <w:ind w:left="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（五）工程进度计划与保证措施</w:t>
      </w:r>
    </w:p>
    <w:p w14:paraId="041CDBBB">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62264ACE">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（六）资源配备计划</w:t>
      </w:r>
    </w:p>
    <w:p w14:paraId="7210B1AD">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（供应商自行编写）</w:t>
      </w:r>
    </w:p>
    <w:p w14:paraId="057D28D2">
      <w:pPr>
        <w:rPr>
          <w:color w:val="000000" w:themeColor="text1"/>
          <w:highlight w:val="none"/>
          <w14:textFill>
            <w14:solidFill>
              <w14:schemeClr w14:val="tx1"/>
            </w14:solidFill>
          </w14:textFill>
        </w:rPr>
      </w:pPr>
    </w:p>
    <w:p w14:paraId="2D93B437">
      <w:pPr>
        <w:rPr>
          <w:color w:val="000000" w:themeColor="text1"/>
          <w:highlight w:val="none"/>
          <w14:textFill>
            <w14:solidFill>
              <w14:schemeClr w14:val="tx1"/>
            </w14:solidFill>
          </w14:textFill>
        </w:rPr>
      </w:pPr>
      <w:bookmarkStart w:id="1750" w:name="_Toc23263"/>
      <w:bookmarkStart w:id="1751" w:name="_Toc482188667"/>
      <w:bookmarkStart w:id="1752" w:name="_Toc811"/>
      <w:bookmarkStart w:id="1753" w:name="_Toc8927"/>
      <w:bookmarkStart w:id="1754" w:name="_Toc24956"/>
      <w:bookmarkStart w:id="1755" w:name="_Toc16860"/>
      <w:bookmarkStart w:id="1756" w:name="_Toc14253"/>
      <w:bookmarkStart w:id="1757" w:name="_Toc19750"/>
      <w:bookmarkStart w:id="1758" w:name="_Toc511034450"/>
      <w:bookmarkStart w:id="1759" w:name="_Toc511385765"/>
      <w:r>
        <w:rPr>
          <w:rFonts w:hint="eastAsia"/>
          <w:color w:val="000000" w:themeColor="text1"/>
          <w:highlight w:val="none"/>
          <w14:textFill>
            <w14:solidFill>
              <w14:schemeClr w14:val="tx1"/>
            </w14:solidFill>
          </w14:textFill>
        </w:rPr>
        <w:br w:type="page"/>
      </w:r>
    </w:p>
    <w:bookmarkEnd w:id="1750"/>
    <w:bookmarkEnd w:id="1751"/>
    <w:bookmarkEnd w:id="1752"/>
    <w:bookmarkEnd w:id="1753"/>
    <w:bookmarkEnd w:id="1754"/>
    <w:bookmarkEnd w:id="1755"/>
    <w:bookmarkEnd w:id="1756"/>
    <w:bookmarkEnd w:id="1757"/>
    <w:p w14:paraId="1675771A">
      <w:pPr>
        <w:pStyle w:val="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（七）项目管理机构配置情况表</w:t>
      </w:r>
    </w:p>
    <w:tbl>
      <w:tblPr>
        <w:tblStyle w:val="53"/>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965"/>
        <w:gridCol w:w="1019"/>
        <w:gridCol w:w="1701"/>
        <w:gridCol w:w="1134"/>
        <w:gridCol w:w="1418"/>
        <w:gridCol w:w="1275"/>
        <w:gridCol w:w="788"/>
      </w:tblGrid>
      <w:tr w14:paraId="33E5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303" w:type="dxa"/>
            <w:vMerge w:val="restart"/>
            <w:tcBorders>
              <w:top w:val="single" w:color="auto" w:sz="4" w:space="0"/>
              <w:left w:val="single" w:color="auto" w:sz="4" w:space="0"/>
              <w:bottom w:val="single" w:color="auto" w:sz="4" w:space="0"/>
              <w:right w:val="single" w:color="auto" w:sz="4" w:space="0"/>
            </w:tcBorders>
            <w:vAlign w:val="center"/>
          </w:tcPr>
          <w:p w14:paraId="3366E11C">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965" w:type="dxa"/>
            <w:vMerge w:val="restart"/>
            <w:tcBorders>
              <w:top w:val="single" w:color="auto" w:sz="4" w:space="0"/>
              <w:left w:val="single" w:color="auto" w:sz="4" w:space="0"/>
              <w:bottom w:val="single" w:color="auto" w:sz="4" w:space="0"/>
              <w:right w:val="single" w:color="auto" w:sz="4" w:space="0"/>
            </w:tcBorders>
            <w:vAlign w:val="center"/>
          </w:tcPr>
          <w:p w14:paraId="0CD6BFA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019" w:type="dxa"/>
            <w:vMerge w:val="restart"/>
            <w:tcBorders>
              <w:top w:val="single" w:color="auto" w:sz="4" w:space="0"/>
              <w:left w:val="single" w:color="auto" w:sz="4" w:space="0"/>
              <w:bottom w:val="single" w:color="auto" w:sz="4" w:space="0"/>
              <w:right w:val="single" w:color="auto" w:sz="4" w:space="0"/>
            </w:tcBorders>
            <w:vAlign w:val="center"/>
          </w:tcPr>
          <w:p w14:paraId="2582F9EE">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职称</w:t>
            </w:r>
          </w:p>
        </w:tc>
        <w:tc>
          <w:tcPr>
            <w:tcW w:w="5528" w:type="dxa"/>
            <w:gridSpan w:val="4"/>
            <w:tcBorders>
              <w:top w:val="single" w:color="auto" w:sz="4" w:space="0"/>
              <w:left w:val="single" w:color="auto" w:sz="4" w:space="0"/>
              <w:bottom w:val="single" w:color="auto" w:sz="4" w:space="0"/>
              <w:right w:val="single" w:color="auto" w:sz="4" w:space="0"/>
            </w:tcBorders>
            <w:vAlign w:val="center"/>
          </w:tcPr>
          <w:p w14:paraId="2CBAE2E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执业或职业资格证明</w:t>
            </w:r>
          </w:p>
        </w:tc>
        <w:tc>
          <w:tcPr>
            <w:tcW w:w="788" w:type="dxa"/>
            <w:vMerge w:val="restart"/>
            <w:tcBorders>
              <w:top w:val="single" w:color="auto" w:sz="4" w:space="0"/>
              <w:left w:val="single" w:color="auto" w:sz="4" w:space="0"/>
              <w:bottom w:val="single" w:color="auto" w:sz="4" w:space="0"/>
              <w:right w:val="single" w:color="auto" w:sz="4" w:space="0"/>
            </w:tcBorders>
            <w:vAlign w:val="center"/>
          </w:tcPr>
          <w:p w14:paraId="189F5751">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362E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1303" w:type="dxa"/>
            <w:vMerge w:val="continue"/>
            <w:tcBorders>
              <w:top w:val="single" w:color="auto" w:sz="4" w:space="0"/>
              <w:left w:val="single" w:color="auto" w:sz="4" w:space="0"/>
              <w:bottom w:val="single" w:color="auto" w:sz="4" w:space="0"/>
              <w:right w:val="single" w:color="auto" w:sz="4" w:space="0"/>
            </w:tcBorders>
            <w:vAlign w:val="center"/>
          </w:tcPr>
          <w:p w14:paraId="04ED957B">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vMerge w:val="continue"/>
            <w:tcBorders>
              <w:top w:val="single" w:color="auto" w:sz="4" w:space="0"/>
              <w:left w:val="single" w:color="auto" w:sz="4" w:space="0"/>
              <w:bottom w:val="single" w:color="auto" w:sz="4" w:space="0"/>
              <w:right w:val="single" w:color="auto" w:sz="4" w:space="0"/>
            </w:tcBorders>
            <w:vAlign w:val="center"/>
          </w:tcPr>
          <w:p w14:paraId="298C463C">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vMerge w:val="continue"/>
            <w:tcBorders>
              <w:top w:val="single" w:color="auto" w:sz="4" w:space="0"/>
              <w:left w:val="single" w:color="auto" w:sz="4" w:space="0"/>
              <w:bottom w:val="single" w:color="auto" w:sz="4" w:space="0"/>
              <w:right w:val="single" w:color="auto" w:sz="4" w:space="0"/>
            </w:tcBorders>
            <w:vAlign w:val="center"/>
          </w:tcPr>
          <w:p w14:paraId="056F284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4688296">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证书名称</w:t>
            </w:r>
          </w:p>
        </w:tc>
        <w:tc>
          <w:tcPr>
            <w:tcW w:w="1134" w:type="dxa"/>
            <w:tcBorders>
              <w:top w:val="single" w:color="auto" w:sz="4" w:space="0"/>
              <w:left w:val="single" w:color="auto" w:sz="4" w:space="0"/>
              <w:bottom w:val="single" w:color="auto" w:sz="4" w:space="0"/>
              <w:right w:val="single" w:color="auto" w:sz="4" w:space="0"/>
            </w:tcBorders>
            <w:vAlign w:val="center"/>
          </w:tcPr>
          <w:p w14:paraId="08666BB8">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级别</w:t>
            </w:r>
          </w:p>
        </w:tc>
        <w:tc>
          <w:tcPr>
            <w:tcW w:w="1418" w:type="dxa"/>
            <w:tcBorders>
              <w:top w:val="single" w:color="auto" w:sz="4" w:space="0"/>
              <w:left w:val="single" w:color="auto" w:sz="4" w:space="0"/>
              <w:bottom w:val="single" w:color="auto" w:sz="4" w:space="0"/>
              <w:right w:val="single" w:color="auto" w:sz="4" w:space="0"/>
            </w:tcBorders>
            <w:vAlign w:val="center"/>
          </w:tcPr>
          <w:p w14:paraId="5C3F204C">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证号</w:t>
            </w:r>
          </w:p>
        </w:tc>
        <w:tc>
          <w:tcPr>
            <w:tcW w:w="1275" w:type="dxa"/>
            <w:tcBorders>
              <w:top w:val="single" w:color="auto" w:sz="4" w:space="0"/>
              <w:left w:val="single" w:color="auto" w:sz="4" w:space="0"/>
              <w:bottom w:val="single" w:color="auto" w:sz="4" w:space="0"/>
              <w:right w:val="single" w:color="auto" w:sz="4" w:space="0"/>
            </w:tcBorders>
            <w:vAlign w:val="center"/>
          </w:tcPr>
          <w:p w14:paraId="7CC6F51F">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788" w:type="dxa"/>
            <w:vMerge w:val="continue"/>
            <w:tcBorders>
              <w:top w:val="single" w:color="auto" w:sz="4" w:space="0"/>
              <w:left w:val="single" w:color="auto" w:sz="4" w:space="0"/>
              <w:bottom w:val="single" w:color="auto" w:sz="4" w:space="0"/>
              <w:right w:val="single" w:color="auto" w:sz="4" w:space="0"/>
            </w:tcBorders>
            <w:vAlign w:val="center"/>
          </w:tcPr>
          <w:p w14:paraId="77B6AD94">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A5D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1F1326BD">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项目经理</w:t>
            </w:r>
          </w:p>
        </w:tc>
        <w:tc>
          <w:tcPr>
            <w:tcW w:w="965" w:type="dxa"/>
            <w:tcBorders>
              <w:top w:val="single" w:color="auto" w:sz="4" w:space="0"/>
              <w:left w:val="single" w:color="auto" w:sz="4" w:space="0"/>
              <w:bottom w:val="single" w:color="auto" w:sz="4" w:space="0"/>
              <w:right w:val="single" w:color="auto" w:sz="4" w:space="0"/>
            </w:tcBorders>
            <w:vAlign w:val="center"/>
          </w:tcPr>
          <w:p w14:paraId="3CC1EAD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765B0D3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E16483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7DDA5B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D2B7D1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386A3E0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5EDB9E8A">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505C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70541D11">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技术负责人</w:t>
            </w:r>
          </w:p>
        </w:tc>
        <w:tc>
          <w:tcPr>
            <w:tcW w:w="965" w:type="dxa"/>
            <w:tcBorders>
              <w:top w:val="single" w:color="auto" w:sz="4" w:space="0"/>
              <w:left w:val="single" w:color="auto" w:sz="4" w:space="0"/>
              <w:bottom w:val="single" w:color="auto" w:sz="4" w:space="0"/>
              <w:right w:val="single" w:color="auto" w:sz="4" w:space="0"/>
            </w:tcBorders>
            <w:vAlign w:val="center"/>
          </w:tcPr>
          <w:p w14:paraId="65EC0604">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2AAFB69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31FBE73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7E108B6">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7F17F3A6">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54EB16B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59D394F1">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30A6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6948CD9C">
            <w:pPr>
              <w:spacing w:line="240" w:lineRule="auto"/>
              <w:jc w:val="cente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p>
        </w:tc>
        <w:tc>
          <w:tcPr>
            <w:tcW w:w="965" w:type="dxa"/>
            <w:tcBorders>
              <w:top w:val="single" w:color="auto" w:sz="4" w:space="0"/>
              <w:left w:val="single" w:color="auto" w:sz="4" w:space="0"/>
              <w:bottom w:val="single" w:color="auto" w:sz="4" w:space="0"/>
              <w:right w:val="single" w:color="auto" w:sz="4" w:space="0"/>
            </w:tcBorders>
            <w:vAlign w:val="center"/>
          </w:tcPr>
          <w:p w14:paraId="2904BB6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35954CA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3BABA440">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2C8FA7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333CE76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4285CA7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21B4D042">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23A21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751B729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3907A18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74CDC64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53CC87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7E37770">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4C69E75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15DCE4C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5641568C">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4FFF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1B91B04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3F236BBB">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4CE8AEA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5817F6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40195D8">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BDE49D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49C4D80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1F9FC96D">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3C74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0ABCB32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0432D06B">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2C72512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389FBBB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2F1ACC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C7D4E50">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1E3249F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0A4CB97D">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1E9C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64918CAD">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3ECEA3A9">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186969EE">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F1199A4">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13FFBAE">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0EA6E030">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32F337B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37ADB8F1">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64F0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0263BEBE">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47992DD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5A80F231">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1FD82528">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21643D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B34DCC0">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6605AF8D">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032CB388">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6325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6828B8C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7D453E4C">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6473D68E">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4AFAE39F">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15FB2308">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5E7B9C5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47294C15">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1658AE5A">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49DC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3006728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0264F80C">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768C84A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07C9DF8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690F4F7">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212870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7BD36644">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78074486">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r w14:paraId="62BEB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303" w:type="dxa"/>
            <w:tcBorders>
              <w:top w:val="single" w:color="auto" w:sz="4" w:space="0"/>
              <w:left w:val="single" w:color="auto" w:sz="4" w:space="0"/>
              <w:bottom w:val="single" w:color="auto" w:sz="4" w:space="0"/>
              <w:right w:val="single" w:color="auto" w:sz="4" w:space="0"/>
            </w:tcBorders>
            <w:vAlign w:val="center"/>
          </w:tcPr>
          <w:p w14:paraId="32B4FEA6">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965" w:type="dxa"/>
            <w:tcBorders>
              <w:top w:val="single" w:color="auto" w:sz="4" w:space="0"/>
              <w:left w:val="single" w:color="auto" w:sz="4" w:space="0"/>
              <w:bottom w:val="single" w:color="auto" w:sz="4" w:space="0"/>
              <w:right w:val="single" w:color="auto" w:sz="4" w:space="0"/>
            </w:tcBorders>
            <w:vAlign w:val="center"/>
          </w:tcPr>
          <w:p w14:paraId="6499E8FD">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019" w:type="dxa"/>
            <w:tcBorders>
              <w:top w:val="single" w:color="auto" w:sz="4" w:space="0"/>
              <w:left w:val="single" w:color="auto" w:sz="4" w:space="0"/>
              <w:bottom w:val="single" w:color="auto" w:sz="4" w:space="0"/>
              <w:right w:val="single" w:color="auto" w:sz="4" w:space="0"/>
            </w:tcBorders>
            <w:vAlign w:val="center"/>
          </w:tcPr>
          <w:p w14:paraId="7F8C2512">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14:paraId="3E772AB6">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CAE55AA">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47195AE3">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vAlign w:val="center"/>
          </w:tcPr>
          <w:p w14:paraId="32C08152">
            <w:pPr>
              <w:spacing w:line="240" w:lineRule="auto"/>
              <w:jc w:val="center"/>
              <w:rPr>
                <w:rFonts w:hint="eastAsia" w:ascii="宋体" w:hAnsi="宋体" w:cs="宋体"/>
                <w:color w:val="000000" w:themeColor="text1"/>
                <w:szCs w:val="21"/>
                <w:highlight w:val="none"/>
                <w14:textFill>
                  <w14:solidFill>
                    <w14:schemeClr w14:val="tx1"/>
                  </w14:solidFill>
                </w14:textFill>
              </w:rPr>
            </w:pPr>
          </w:p>
        </w:tc>
        <w:tc>
          <w:tcPr>
            <w:tcW w:w="788" w:type="dxa"/>
            <w:tcBorders>
              <w:top w:val="single" w:color="auto" w:sz="4" w:space="0"/>
              <w:left w:val="single" w:color="auto" w:sz="4" w:space="0"/>
              <w:bottom w:val="single" w:color="auto" w:sz="4" w:space="0"/>
              <w:right w:val="single" w:color="auto" w:sz="4" w:space="0"/>
            </w:tcBorders>
            <w:vAlign w:val="center"/>
          </w:tcPr>
          <w:p w14:paraId="1E2DEBE0">
            <w:pPr>
              <w:spacing w:line="240" w:lineRule="auto"/>
              <w:jc w:val="center"/>
              <w:rPr>
                <w:rFonts w:hint="eastAsia" w:ascii="宋体" w:hAnsi="宋体" w:cs="宋体"/>
                <w:color w:val="000000" w:themeColor="text1"/>
                <w:szCs w:val="21"/>
                <w:highlight w:val="none"/>
                <w14:textFill>
                  <w14:solidFill>
                    <w14:schemeClr w14:val="tx1"/>
                  </w14:solidFill>
                </w14:textFill>
              </w:rPr>
            </w:pPr>
          </w:p>
        </w:tc>
      </w:tr>
    </w:tbl>
    <w:p w14:paraId="49585492">
      <w:pPr>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注：表格行数可自行增减，本表后附拟派人员的身份证、学历证、资格证书（若有）、职称证（若有）等相关资料。</w:t>
      </w:r>
    </w:p>
    <w:p w14:paraId="5CB13E94">
      <w:pPr>
        <w:rPr>
          <w:rFonts w:hint="eastAsia" w:ascii="宋体" w:hAnsi="宋体" w:cs="宋体"/>
          <w:color w:val="000000" w:themeColor="text1"/>
          <w:sz w:val="24"/>
          <w:highlight w:val="none"/>
          <w14:textFill>
            <w14:solidFill>
              <w14:schemeClr w14:val="tx1"/>
            </w14:solidFill>
          </w14:textFill>
        </w:rPr>
      </w:pPr>
    </w:p>
    <w:p w14:paraId="16BA8FEE">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0E3060FA">
      <w:p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7104FD2E">
      <w:pPr>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6771CDE9">
      <w:pPr>
        <w:rPr>
          <w:color w:val="000000" w:themeColor="text1"/>
          <w:highlight w:val="none"/>
          <w14:textFill>
            <w14:solidFill>
              <w14:schemeClr w14:val="tx1"/>
            </w14:solidFill>
          </w14:textFill>
        </w:rPr>
      </w:pPr>
    </w:p>
    <w:p w14:paraId="13F55BC2">
      <w:pPr>
        <w:rPr>
          <w:color w:val="000000" w:themeColor="text1"/>
          <w:highlight w:val="none"/>
          <w14:textFill>
            <w14:solidFill>
              <w14:schemeClr w14:val="tx1"/>
            </w14:solidFill>
          </w14:textFill>
        </w:rPr>
      </w:pPr>
    </w:p>
    <w:p w14:paraId="46CDDB79">
      <w:pPr>
        <w:rPr>
          <w:color w:val="000000" w:themeColor="text1"/>
          <w:highlight w:val="none"/>
          <w14:textFill>
            <w14:solidFill>
              <w14:schemeClr w14:val="tx1"/>
            </w14:solidFill>
          </w14:textFill>
        </w:rPr>
      </w:pPr>
    </w:p>
    <w:p w14:paraId="62697B0F">
      <w:pPr>
        <w:rPr>
          <w:color w:val="000000" w:themeColor="text1"/>
          <w:highlight w:val="none"/>
          <w14:textFill>
            <w14:solidFill>
              <w14:schemeClr w14:val="tx1"/>
            </w14:solidFill>
          </w14:textFill>
        </w:rPr>
      </w:pPr>
    </w:p>
    <w:bookmarkEnd w:id="1711"/>
    <w:bookmarkEnd w:id="1712"/>
    <w:bookmarkEnd w:id="1758"/>
    <w:bookmarkEnd w:id="1759"/>
    <w:p w14:paraId="03A2E0F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A9C4602">
      <w:pPr>
        <w:numPr>
          <w:ilvl w:val="1"/>
          <w:numId w:val="0"/>
        </w:numPr>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最</w:t>
      </w:r>
      <w:r>
        <w:rPr>
          <w:rFonts w:hint="eastAsia" w:ascii="宋体" w:hAnsi="宋体"/>
          <w:b/>
          <w:color w:val="000000" w:themeColor="text1"/>
          <w:sz w:val="24"/>
          <w:highlight w:val="none"/>
          <w14:textFill>
            <w14:solidFill>
              <w14:schemeClr w14:val="tx1"/>
            </w14:solidFill>
          </w14:textFill>
        </w:rPr>
        <w:t>后</w:t>
      </w:r>
      <w:r>
        <w:rPr>
          <w:rFonts w:hint="eastAsia" w:ascii="宋体" w:hAnsi="宋体"/>
          <w:b/>
          <w:bCs/>
          <w:color w:val="000000" w:themeColor="text1"/>
          <w:sz w:val="24"/>
          <w:highlight w:val="none"/>
          <w14:textFill>
            <w14:solidFill>
              <w14:schemeClr w14:val="tx1"/>
            </w14:solidFill>
          </w14:textFill>
        </w:rPr>
        <w:t>报价表</w:t>
      </w:r>
    </w:p>
    <w:p w14:paraId="78368700">
      <w:pPr>
        <w:numPr>
          <w:ilvl w:val="1"/>
          <w:numId w:val="0"/>
        </w:num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u w:val="single"/>
          <w14:textFill>
            <w14:solidFill>
              <w14:schemeClr w14:val="tx1"/>
            </w14:solidFill>
          </w14:textFill>
        </w:rPr>
        <w:t xml:space="preserve">         </w:t>
      </w:r>
    </w:p>
    <w:p w14:paraId="5EE607C1">
      <w:pPr>
        <w:numPr>
          <w:ilvl w:val="1"/>
          <w:numId w:val="0"/>
        </w:numP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92"/>
        <w:gridCol w:w="5772"/>
        <w:gridCol w:w="1690"/>
      </w:tblGrid>
      <w:tr w14:paraId="5B8A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39C46196">
            <w:pPr>
              <w:pStyle w:val="209"/>
              <w:jc w:val="center"/>
              <w:rPr>
                <w:rFonts w:hint="eastAsia" w:hAnsi="宋体" w:eastAsia="宋体" w:cs="宋体"/>
                <w:b/>
                <w:bCs/>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名称</w:t>
            </w:r>
          </w:p>
        </w:tc>
        <w:tc>
          <w:tcPr>
            <w:tcW w:w="5772" w:type="dxa"/>
            <w:vAlign w:val="center"/>
          </w:tcPr>
          <w:p w14:paraId="3DE0959A">
            <w:pPr>
              <w:pStyle w:val="209"/>
              <w:jc w:val="center"/>
              <w:rPr>
                <w:rFonts w:hint="eastAsia" w:hAnsi="宋体" w:eastAsia="宋体" w:cs="宋体"/>
                <w:b/>
                <w:bCs/>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内         容</w:t>
            </w:r>
          </w:p>
        </w:tc>
        <w:tc>
          <w:tcPr>
            <w:tcW w:w="1690" w:type="dxa"/>
            <w:vAlign w:val="center"/>
          </w:tcPr>
          <w:p w14:paraId="6BD8142D">
            <w:pPr>
              <w:pStyle w:val="209"/>
              <w:jc w:val="center"/>
              <w:rPr>
                <w:rFonts w:hint="eastAsia" w:hAnsi="宋体" w:eastAsia="宋体" w:cs="宋体"/>
                <w:b/>
                <w:bCs/>
                <w:color w:val="000000" w:themeColor="text1"/>
                <w:kern w:val="0"/>
                <w:sz w:val="21"/>
                <w:szCs w:val="21"/>
                <w:highlight w:val="none"/>
                <w14:textFill>
                  <w14:solidFill>
                    <w14:schemeClr w14:val="tx1"/>
                  </w14:solidFill>
                </w14:textFill>
              </w:rPr>
            </w:pPr>
            <w:r>
              <w:rPr>
                <w:rFonts w:hint="eastAsia" w:hAnsi="宋体" w:eastAsia="宋体" w:cs="宋体"/>
                <w:b/>
                <w:bCs/>
                <w:color w:val="000000" w:themeColor="text1"/>
                <w:kern w:val="0"/>
                <w:sz w:val="21"/>
                <w:szCs w:val="21"/>
                <w:highlight w:val="none"/>
                <w14:textFill>
                  <w14:solidFill>
                    <w14:schemeClr w14:val="tx1"/>
                  </w14:solidFill>
                </w14:textFill>
              </w:rPr>
              <w:t>备注</w:t>
            </w:r>
          </w:p>
        </w:tc>
      </w:tr>
      <w:tr w14:paraId="2887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07" w:hRule="exact"/>
        </w:trPr>
        <w:tc>
          <w:tcPr>
            <w:tcW w:w="2392" w:type="dxa"/>
            <w:vAlign w:val="center"/>
          </w:tcPr>
          <w:p w14:paraId="7E2755F7">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报价</w:t>
            </w:r>
          </w:p>
          <w:p w14:paraId="4619DBDE">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（人民币、元）</w:t>
            </w:r>
          </w:p>
        </w:tc>
        <w:tc>
          <w:tcPr>
            <w:tcW w:w="5772" w:type="dxa"/>
            <w:vAlign w:val="center"/>
          </w:tcPr>
          <w:p w14:paraId="6914A64B">
            <w:pPr>
              <w:pStyle w:val="209"/>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小写：</w:t>
            </w:r>
          </w:p>
          <w:p w14:paraId="583C727F">
            <w:pPr>
              <w:pStyle w:val="209"/>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大写：</w:t>
            </w:r>
          </w:p>
        </w:tc>
        <w:tc>
          <w:tcPr>
            <w:tcW w:w="1690" w:type="dxa"/>
            <w:vAlign w:val="center"/>
          </w:tcPr>
          <w:p w14:paraId="22015784">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470C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71" w:hRule="exact"/>
        </w:trPr>
        <w:tc>
          <w:tcPr>
            <w:tcW w:w="2392" w:type="dxa"/>
            <w:vAlign w:val="center"/>
          </w:tcPr>
          <w:p w14:paraId="65D27953">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项目经理姓名</w:t>
            </w:r>
          </w:p>
          <w:p w14:paraId="568546B5">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及注册证书编号</w:t>
            </w:r>
          </w:p>
        </w:tc>
        <w:tc>
          <w:tcPr>
            <w:tcW w:w="5772" w:type="dxa"/>
            <w:vAlign w:val="center"/>
          </w:tcPr>
          <w:p w14:paraId="51F67AA0">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c>
          <w:tcPr>
            <w:tcW w:w="1690" w:type="dxa"/>
            <w:vAlign w:val="center"/>
          </w:tcPr>
          <w:p w14:paraId="77CB230A">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74E9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38EB9526">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合同履行期限</w:t>
            </w:r>
          </w:p>
        </w:tc>
        <w:tc>
          <w:tcPr>
            <w:tcW w:w="5772" w:type="dxa"/>
            <w:vAlign w:val="center"/>
          </w:tcPr>
          <w:p w14:paraId="40C59963">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c>
          <w:tcPr>
            <w:tcW w:w="1690" w:type="dxa"/>
            <w:vAlign w:val="center"/>
          </w:tcPr>
          <w:p w14:paraId="779A48D9">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2791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414CFEB6">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质量承诺</w:t>
            </w:r>
          </w:p>
        </w:tc>
        <w:tc>
          <w:tcPr>
            <w:tcW w:w="5772" w:type="dxa"/>
            <w:vAlign w:val="center"/>
          </w:tcPr>
          <w:p w14:paraId="41D46EA6">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c>
          <w:tcPr>
            <w:tcW w:w="1690" w:type="dxa"/>
            <w:vAlign w:val="center"/>
          </w:tcPr>
          <w:p w14:paraId="0DA5AAAD">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2618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37" w:hRule="exact"/>
        </w:trPr>
        <w:tc>
          <w:tcPr>
            <w:tcW w:w="2392" w:type="dxa"/>
            <w:vAlign w:val="center"/>
          </w:tcPr>
          <w:p w14:paraId="127DF8E9">
            <w:pPr>
              <w:pStyle w:val="209"/>
              <w:jc w:val="center"/>
              <w:rPr>
                <w:rFonts w:hint="eastAsia" w:hAnsi="宋体" w:eastAsia="宋体" w:cs="宋体"/>
                <w:color w:val="000000" w:themeColor="text1"/>
                <w:kern w:val="0"/>
                <w:sz w:val="21"/>
                <w:szCs w:val="21"/>
                <w:highlight w:val="none"/>
                <w14:textFill>
                  <w14:solidFill>
                    <w14:schemeClr w14:val="tx1"/>
                  </w14:solidFill>
                </w14:textFill>
              </w:rPr>
            </w:pPr>
            <w:r>
              <w:rPr>
                <w:rFonts w:hint="eastAsia" w:hAnsi="宋体" w:eastAsia="宋体" w:cs="宋体"/>
                <w:color w:val="000000" w:themeColor="text1"/>
                <w:kern w:val="0"/>
                <w:sz w:val="21"/>
                <w:szCs w:val="21"/>
                <w:highlight w:val="none"/>
                <w14:textFill>
                  <w14:solidFill>
                    <w14:schemeClr w14:val="tx1"/>
                  </w14:solidFill>
                </w14:textFill>
              </w:rPr>
              <w:t>其他补充说明</w:t>
            </w:r>
          </w:p>
        </w:tc>
        <w:tc>
          <w:tcPr>
            <w:tcW w:w="5772" w:type="dxa"/>
            <w:vAlign w:val="center"/>
          </w:tcPr>
          <w:p w14:paraId="05C2B586">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c>
          <w:tcPr>
            <w:tcW w:w="1690" w:type="dxa"/>
            <w:vAlign w:val="center"/>
          </w:tcPr>
          <w:p w14:paraId="19BA95F9">
            <w:pPr>
              <w:pStyle w:val="209"/>
              <w:jc w:val="center"/>
              <w:rPr>
                <w:rFonts w:hint="eastAsia" w:hAnsi="宋体" w:eastAsia="宋体" w:cs="宋体"/>
                <w:color w:val="000000" w:themeColor="text1"/>
                <w:kern w:val="0"/>
                <w:sz w:val="21"/>
                <w:szCs w:val="21"/>
                <w:highlight w:val="none"/>
                <w14:textFill>
                  <w14:solidFill>
                    <w14:schemeClr w14:val="tx1"/>
                  </w14:solidFill>
                </w14:textFill>
              </w:rPr>
            </w:pPr>
          </w:p>
        </w:tc>
      </w:tr>
      <w:tr w14:paraId="171F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315" w:hRule="atLeast"/>
        </w:trPr>
        <w:tc>
          <w:tcPr>
            <w:tcW w:w="9854" w:type="dxa"/>
            <w:gridSpan w:val="3"/>
          </w:tcPr>
          <w:p w14:paraId="066D8096">
            <w:pPr>
              <w:spacing w:line="480" w:lineRule="auto"/>
              <w:rPr>
                <w:rFonts w:hint="eastAsia" w:ascii="宋体" w:hAnsi="宋体" w:cs="宋体"/>
                <w:color w:val="000000" w:themeColor="text1"/>
                <w:szCs w:val="21"/>
                <w:highlight w:val="none"/>
                <w14:textFill>
                  <w14:solidFill>
                    <w14:schemeClr w14:val="tx1"/>
                  </w14:solidFill>
                </w14:textFill>
              </w:rPr>
            </w:pPr>
          </w:p>
          <w:p w14:paraId="31EABC0E">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供应商（电子签章）：</w:t>
            </w:r>
            <w:r>
              <w:rPr>
                <w:rFonts w:hint="eastAsia" w:ascii="宋体" w:hAnsi="宋体" w:cs="宋体"/>
                <w:color w:val="000000" w:themeColor="text1"/>
                <w:szCs w:val="21"/>
                <w:highlight w:val="none"/>
                <w:u w:val="single"/>
                <w14:textFill>
                  <w14:solidFill>
                    <w14:schemeClr w14:val="tx1"/>
                  </w14:solidFill>
                </w14:textFill>
              </w:rPr>
              <w:t xml:space="preserve">              </w:t>
            </w:r>
          </w:p>
          <w:p w14:paraId="153D3C75">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法定代表人或其委托代理人（电子签章或电子签名）：</w:t>
            </w:r>
            <w:r>
              <w:rPr>
                <w:rFonts w:hint="eastAsia" w:ascii="宋体" w:hAnsi="宋体" w:cs="宋体"/>
                <w:color w:val="000000" w:themeColor="text1"/>
                <w:szCs w:val="21"/>
                <w:highlight w:val="none"/>
                <w:u w:val="single"/>
                <w14:textFill>
                  <w14:solidFill>
                    <w14:schemeClr w14:val="tx1"/>
                  </w14:solidFill>
                </w14:textFill>
              </w:rPr>
              <w:t xml:space="preserve">           </w:t>
            </w:r>
          </w:p>
          <w:p w14:paraId="69450009">
            <w:pPr>
              <w:spacing w:line="48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tc>
      </w:tr>
    </w:tbl>
    <w:p w14:paraId="2609478A">
      <w:pPr>
        <w:ind w:left="420"/>
        <w:rPr>
          <w:color w:val="000000" w:themeColor="text1"/>
          <w:highlight w:val="none"/>
          <w14:textFill>
            <w14:solidFill>
              <w14:schemeClr w14:val="tx1"/>
            </w14:solidFill>
          </w14:textFill>
        </w:rPr>
      </w:pPr>
    </w:p>
    <w:p w14:paraId="4D0A4602">
      <w:pPr>
        <w:adjustRightInd w:val="0"/>
        <w:snapToGrid w:val="0"/>
        <w:ind w:firstLine="555"/>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ascii="宋体" w:hAnsi="宋体"/>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14:textFill>
            <w14:solidFill>
              <w14:schemeClr w14:val="tx1"/>
            </w14:solidFill>
          </w14:textFill>
        </w:rPr>
        <w:t>最</w:t>
      </w:r>
      <w:r>
        <w:rPr>
          <w:rFonts w:hint="eastAsia" w:ascii="宋体" w:hAnsi="宋体"/>
          <w:b/>
          <w:color w:val="000000" w:themeColor="text1"/>
          <w:sz w:val="24"/>
          <w:highlight w:val="none"/>
          <w14:textFill>
            <w14:solidFill>
              <w14:schemeClr w14:val="tx1"/>
            </w14:solidFill>
          </w14:textFill>
        </w:rPr>
        <w:t>后</w:t>
      </w:r>
      <w:r>
        <w:rPr>
          <w:rFonts w:hint="eastAsia" w:ascii="宋体" w:hAnsi="宋体"/>
          <w:b/>
          <w:bCs/>
          <w:color w:val="000000" w:themeColor="text1"/>
          <w:sz w:val="24"/>
          <w:highlight w:val="none"/>
          <w14:textFill>
            <w14:solidFill>
              <w14:schemeClr w14:val="tx1"/>
            </w14:solidFill>
          </w14:textFill>
        </w:rPr>
        <w:t>报价表不需装入响应文件中，请自备 2-3 份签字、盖章后备用。</w:t>
      </w:r>
    </w:p>
    <w:p w14:paraId="1E2CA281">
      <w:pPr>
        <w:pStyle w:val="2"/>
        <w:spacing w:before="120"/>
        <w:rPr>
          <w:color w:val="000000" w:themeColor="text1"/>
          <w:highlight w:val="none"/>
          <w14:textFill>
            <w14:solidFill>
              <w14:schemeClr w14:val="tx1"/>
            </w14:solidFill>
          </w14:textFill>
        </w:rPr>
      </w:pPr>
    </w:p>
    <w:sectPr>
      <w:headerReference r:id="rId10" w:type="default"/>
      <w:pgSz w:w="11906" w:h="16838"/>
      <w:pgMar w:top="1134" w:right="1134" w:bottom="1134" w:left="1134" w:header="850" w:footer="850" w:gutter="0"/>
      <w:cols w:space="708"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Black">
    <w:panose1 w:val="020B0A04020102020204"/>
    <w:charset w:val="00"/>
    <w:family w:val="swiss"/>
    <w:pitch w:val="default"/>
    <w:sig w:usb0="A00002AF" w:usb1="400078FB" w:usb2="00000000" w:usb3="00000000" w:csb0="6000009F" w:csb1="DFD7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0000009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New York">
    <w:altName w:val="DejaVu Math TeX Gyre"/>
    <w:panose1 w:val="02040503060506020304"/>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MS Sans Serif">
    <w:altName w:val="Arial"/>
    <w:panose1 w:val="00000000000000000000"/>
    <w:charset w:val="00"/>
    <w:family w:val="swiss"/>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方正书宋简体">
    <w:altName w:val="宋体"/>
    <w:panose1 w:val="00000000000000000000"/>
    <w:charset w:val="86"/>
    <w:family w:val="auto"/>
    <w:pitch w:val="default"/>
    <w:sig w:usb0="00000000" w:usb1="00000000" w:usb2="00000000" w:usb3="00000000" w:csb0="00040000" w:csb1="00000000"/>
  </w:font>
  <w:font w:name=".苹方-简">
    <w:altName w:val="微软雅黑"/>
    <w:panose1 w:val="00000000000000000000"/>
    <w:charset w:val="00"/>
    <w:family w:val="swiss"/>
    <w:pitch w:val="default"/>
    <w:sig w:usb0="00000000" w:usb1="00000000" w:usb2="00000017" w:usb3="00000000" w:csb0="0004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37D6">
    <w:pPr>
      <w:pStyle w:val="34"/>
      <w:ind w:firstLine="300"/>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86A12">
    <w:pPr>
      <w:pStyle w:val="3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6DE54">
    <w:pPr>
      <w:jc w:val="center"/>
    </w:pPr>
    <w:r>
      <mc:AlternateContent>
        <mc:Choice Requires="wps">
          <w:drawing>
            <wp:anchor distT="0" distB="0" distL="114300" distR="114300" simplePos="0" relativeHeight="251659264" behindDoc="0" locked="0" layoutInCell="1" allowOverlap="1">
              <wp:simplePos x="0" y="0"/>
              <wp:positionH relativeFrom="margin">
                <wp:posOffset>3028315</wp:posOffset>
              </wp:positionH>
              <wp:positionV relativeFrom="paragraph">
                <wp:posOffset>635</wp:posOffset>
              </wp:positionV>
              <wp:extent cx="333375" cy="209550"/>
              <wp:effectExtent l="0" t="0" r="9525" b="0"/>
              <wp:wrapNone/>
              <wp:docPr id="13" name="文本框 13"/>
              <wp:cNvGraphicFramePr/>
              <a:graphic xmlns:a="http://schemas.openxmlformats.org/drawingml/2006/main">
                <a:graphicData uri="http://schemas.microsoft.com/office/word/2010/wordprocessingShape">
                  <wps:wsp>
                    <wps:cNvSpPr txBox="1"/>
                    <wps:spPr>
                      <a:xfrm>
                        <a:off x="0" y="0"/>
                        <a:ext cx="333375" cy="209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FF8ACC">
                          <w:pPr>
                            <w:pStyle w:val="3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8.45pt;margin-top:0.05pt;height:16.5pt;width:26.25pt;mso-position-horizontal-relative:margin;z-index:251659264;mso-width-relative:page;mso-height-relative:page;" filled="f" stroked="f" coordsize="21600,21600" o:gfxdata="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salyPWAAAABwEAAA8AAAAAAAAAAQAgAAAAIgAAAGRycy9kb3ducmV2LnhtbFBL&#10;AQIUABQAAAAIAIdO4kCREVNhMQIAAFcEAAAOAAAAAAAAAAEAIAAAACUBAABkcnMvZTJvRG9jLnht&#10;bFBLBQYAAAAABgAGAFkBAADIBQAAAAA=&#10;">
              <v:fill on="f" focussize="0,0"/>
              <v:stroke on="f" weight="0.5pt"/>
              <v:imagedata o:title=""/>
              <o:lock v:ext="edit" aspectratio="f"/>
              <v:textbox inset="0mm,0mm,0mm,0mm">
                <w:txbxContent>
                  <w:p w14:paraId="0CFF8ACC">
                    <w:pPr>
                      <w:pStyle w:val="3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8263F">
    <w:pPr>
      <w:pStyle w:val="34"/>
      <w:jc w:val="center"/>
    </w:pPr>
    <w:r>
      <w:fldChar w:fldCharType="begin"/>
    </w:r>
    <w:r>
      <w:instrText xml:space="preserve">PAGE   \* MERGEFORMAT</w:instrText>
    </w:r>
    <w:r>
      <w:fldChar w:fldCharType="separate"/>
    </w:r>
    <w:r>
      <w:rPr>
        <w:lang w:val="zh-CN"/>
      </w:rPr>
      <w:t>1</w:t>
    </w:r>
    <w:r>
      <w:fldChar w:fldCharType="end"/>
    </w:r>
    <w:r>
      <mc:AlternateContent>
        <mc:Choice Requires="wps">
          <w:drawing>
            <wp:anchor distT="0" distB="0" distL="114300" distR="114300" simplePos="0" relativeHeight="251660288" behindDoc="0" locked="0" layoutInCell="1" allowOverlap="1">
              <wp:simplePos x="0" y="0"/>
              <wp:positionH relativeFrom="margin">
                <wp:posOffset>3014345</wp:posOffset>
              </wp:positionH>
              <wp:positionV relativeFrom="paragraph">
                <wp:posOffset>-70485</wp:posOffset>
              </wp:positionV>
              <wp:extent cx="99060" cy="133350"/>
              <wp:effectExtent l="0" t="0" r="15240" b="0"/>
              <wp:wrapNone/>
              <wp:docPr id="14" name="文本框 14"/>
              <wp:cNvGraphicFramePr/>
              <a:graphic xmlns:a="http://schemas.openxmlformats.org/drawingml/2006/main">
                <a:graphicData uri="http://schemas.microsoft.com/office/word/2010/wordprocessingShape">
                  <wps:wsp>
                    <wps:cNvSpPr txBox="1"/>
                    <wps:spPr>
                      <a:xfrm>
                        <a:off x="0" y="0"/>
                        <a:ext cx="99377" cy="133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27745">
                          <w:pPr>
                            <w:pStyle w:val="31"/>
                          </w:pPr>
                          <w:r>
                            <w:rPr>
                              <w:rFonts w:asciiTheme="majorHAnsi" w:hAnsiTheme="majorHAnsi" w:eastAsiaTheme="majorEastAsia" w:cstheme="majorBidi"/>
                              <w:sz w:val="28"/>
                              <w:szCs w:val="28"/>
                              <w:lang w:val="zh-CN"/>
                            </w:rPr>
                            <w:t xml:space="preserve"> </w:t>
                          </w:r>
                          <w:r>
                            <w:rPr>
                              <w:rFonts w:asciiTheme="minorHAnsi" w:hAnsiTheme="minorHAnsi" w:eastAsiaTheme="minorEastAsia" w:cstheme="minorBidi"/>
                              <w:sz w:val="22"/>
                              <w:szCs w:val="22"/>
                            </w:rPr>
                            <w:fldChar w:fldCharType="begin"/>
                          </w:r>
                          <w:r>
                            <w:instrText xml:space="preserve">PAGE    \* MERGEFORMAT</w:instrText>
                          </w:r>
                          <w:r>
                            <w:rPr>
                              <w:rFonts w:asciiTheme="minorHAnsi" w:hAnsiTheme="minorHAnsi" w:eastAsiaTheme="minorEastAsia" w:cstheme="minorBidi"/>
                              <w:sz w:val="22"/>
                              <w:szCs w:val="22"/>
                            </w:rPr>
                            <w:fldChar w:fldCharType="separate"/>
                          </w:r>
                          <w:r>
                            <w:rPr>
                              <w:rFonts w:asciiTheme="majorHAnsi" w:hAnsiTheme="majorHAnsi" w:eastAsiaTheme="majorEastAsia" w:cstheme="majorBidi"/>
                              <w:sz w:val="28"/>
                              <w:szCs w:val="28"/>
                              <w:lang w:val="zh-CN"/>
                            </w:rPr>
                            <w:t>1</w:t>
                          </w:r>
                          <w:r>
                            <w:rPr>
                              <w:rFonts w:asciiTheme="majorHAnsi" w:hAnsiTheme="majorHAnsi" w:eastAsiaTheme="majorEastAsia" w:cstheme="majorBidi"/>
                              <w:sz w:val="28"/>
                              <w:szCs w:val="28"/>
                            </w:rPr>
                            <w:fldChar w:fldCharType="end"/>
                          </w:r>
                          <w:r>
                            <w:rPr>
                              <w:rFonts w:asciiTheme="majorHAnsi" w:hAnsiTheme="majorHAnsi" w:eastAsiaTheme="majorEastAsia" w:cstheme="majorBidi"/>
                              <w:sz w:val="28"/>
                              <w:szCs w:val="28"/>
                              <w:lang w:val="zh-CN"/>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7.35pt;margin-top:-5.55pt;height:10.5pt;width:7.8pt;mso-position-horizontal-relative:margin;z-index:251660288;mso-width-relative:page;mso-height-relative:page;" filled="f" stroked="f" coordsize="21600,21600" o:gfxdata="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BJO+INkAAAAJAQAADwAAAAAAAAABACAAAAAiAAAAZHJzL2Rvd25yZXYueG1s&#10;UEsBAhQAFAAAAAgAh07iQE2ZoiUwAgAAVgQAAA4AAAAAAAAAAQAgAAAAKAEAAGRycy9lMm9Eb2Mu&#10;eG1sUEsFBgAAAAAGAAYAWQEAAMoFAAAAAA==&#10;">
              <v:fill on="f" focussize="0,0"/>
              <v:stroke on="f" weight="0.5pt"/>
              <v:imagedata o:title=""/>
              <o:lock v:ext="edit" aspectratio="f"/>
              <v:textbox inset="0mm,0mm,0mm,0mm">
                <w:txbxContent>
                  <w:p w14:paraId="6A527745">
                    <w:pPr>
                      <w:pStyle w:val="31"/>
                    </w:pPr>
                    <w:r>
                      <w:rPr>
                        <w:rFonts w:asciiTheme="majorHAnsi" w:hAnsiTheme="majorHAnsi" w:eastAsiaTheme="majorEastAsia" w:cstheme="majorBidi"/>
                        <w:sz w:val="28"/>
                        <w:szCs w:val="28"/>
                        <w:lang w:val="zh-CN"/>
                      </w:rPr>
                      <w:t xml:space="preserve"> </w:t>
                    </w:r>
                    <w:r>
                      <w:rPr>
                        <w:rFonts w:asciiTheme="minorHAnsi" w:hAnsiTheme="minorHAnsi" w:eastAsiaTheme="minorEastAsia" w:cstheme="minorBidi"/>
                        <w:sz w:val="22"/>
                        <w:szCs w:val="22"/>
                      </w:rPr>
                      <w:fldChar w:fldCharType="begin"/>
                    </w:r>
                    <w:r>
                      <w:instrText xml:space="preserve">PAGE    \* MERGEFORMAT</w:instrText>
                    </w:r>
                    <w:r>
                      <w:rPr>
                        <w:rFonts w:asciiTheme="minorHAnsi" w:hAnsiTheme="minorHAnsi" w:eastAsiaTheme="minorEastAsia" w:cstheme="minorBidi"/>
                        <w:sz w:val="22"/>
                        <w:szCs w:val="22"/>
                      </w:rPr>
                      <w:fldChar w:fldCharType="separate"/>
                    </w:r>
                    <w:r>
                      <w:rPr>
                        <w:rFonts w:asciiTheme="majorHAnsi" w:hAnsiTheme="majorHAnsi" w:eastAsiaTheme="majorEastAsia" w:cstheme="majorBidi"/>
                        <w:sz w:val="28"/>
                        <w:szCs w:val="28"/>
                        <w:lang w:val="zh-CN"/>
                      </w:rPr>
                      <w:t>1</w:t>
                    </w:r>
                    <w:r>
                      <w:rPr>
                        <w:rFonts w:asciiTheme="majorHAnsi" w:hAnsiTheme="majorHAnsi" w:eastAsiaTheme="majorEastAsia" w:cstheme="majorBidi"/>
                        <w:sz w:val="28"/>
                        <w:szCs w:val="28"/>
                      </w:rPr>
                      <w:fldChar w:fldCharType="end"/>
                    </w:r>
                    <w:r>
                      <w:rPr>
                        <w:rFonts w:asciiTheme="majorHAnsi" w:hAnsiTheme="majorHAnsi" w:eastAsiaTheme="majorEastAsia" w:cstheme="majorBidi"/>
                        <w:sz w:val="28"/>
                        <w:szCs w:val="28"/>
                        <w:lang w:val="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71555">
    <w:pPr>
      <w:pStyle w:val="3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1A54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44A64"/>
    <w:multiLevelType w:val="singleLevel"/>
    <w:tmpl w:val="B6344A64"/>
    <w:lvl w:ilvl="0" w:tentative="0">
      <w:start w:val="4"/>
      <w:numFmt w:val="chineseCounting"/>
      <w:suff w:val="nothing"/>
      <w:lvlText w:val="%1、"/>
      <w:lvlJc w:val="left"/>
      <w:rPr>
        <w:rFonts w:hint="eastAsia"/>
      </w:rPr>
    </w:lvl>
  </w:abstractNum>
  <w:abstractNum w:abstractNumId="1">
    <w:nsid w:val="00000009"/>
    <w:multiLevelType w:val="singleLevel"/>
    <w:tmpl w:val="0000000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2">
    <w:nsid w:val="0000000A"/>
    <w:multiLevelType w:val="multilevel"/>
    <w:tmpl w:val="0000000A"/>
    <w:lvl w:ilvl="0" w:tentative="0">
      <w:start w:val="1"/>
      <w:numFmt w:val="bullet"/>
      <w:pStyle w:val="179"/>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C"/>
    <w:multiLevelType w:val="multilevel"/>
    <w:tmpl w:val="0000000C"/>
    <w:lvl w:ilvl="0" w:tentative="0">
      <w:start w:val="1"/>
      <w:numFmt w:val="chineseCountingThousand"/>
      <w:pStyle w:val="644"/>
      <w:lvlText w:val="%1、"/>
      <w:lvlJc w:val="left"/>
      <w:pPr>
        <w:tabs>
          <w:tab w:val="left" w:pos="840"/>
        </w:tabs>
        <w:ind w:left="840" w:hanging="420"/>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6C261D5"/>
    <w:multiLevelType w:val="multilevel"/>
    <w:tmpl w:val="36C261D5"/>
    <w:lvl w:ilvl="0" w:tentative="0">
      <w:start w:val="1"/>
      <w:numFmt w:val="japaneseCounting"/>
      <w:lvlText w:val="（%1）"/>
      <w:lvlJc w:val="left"/>
      <w:pPr>
        <w:ind w:left="743" w:hanging="743"/>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displayBackgroundShape w:val="1"/>
  <w:bordersDoNotSurroundHeader w:val="0"/>
  <w:bordersDoNotSurroundFooter w:val="0"/>
  <w:documentProtection w:edit="readOnly" w:enforcement="0"/>
  <w:defaultTabStop w:val="420"/>
  <w:drawingGridHorizontalSpacing w:val="211"/>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RlYTQ5Y2RmMWU2MDhmMGYxMTg5Yjg3MjkzYWQxODQifQ=="/>
    <w:docVar w:name="DocumentID" w:val="{3DB07605-0844-4227-842B-23044436EB66}"/>
    <w:docVar w:name="DocumentName" w:val="招标文件（么所）"/>
  </w:docVars>
  <w:rsids>
    <w:rsidRoot w:val="00172A27"/>
    <w:rsid w:val="000053E2"/>
    <w:rsid w:val="0000623A"/>
    <w:rsid w:val="00006B9B"/>
    <w:rsid w:val="000122DB"/>
    <w:rsid w:val="000131CB"/>
    <w:rsid w:val="00015BE5"/>
    <w:rsid w:val="00024DD4"/>
    <w:rsid w:val="00026862"/>
    <w:rsid w:val="00027B87"/>
    <w:rsid w:val="00030041"/>
    <w:rsid w:val="00031FAF"/>
    <w:rsid w:val="00033361"/>
    <w:rsid w:val="00033B2B"/>
    <w:rsid w:val="00035586"/>
    <w:rsid w:val="00042E8D"/>
    <w:rsid w:val="000439E7"/>
    <w:rsid w:val="00043E77"/>
    <w:rsid w:val="000474BD"/>
    <w:rsid w:val="00050B83"/>
    <w:rsid w:val="00051F49"/>
    <w:rsid w:val="00052329"/>
    <w:rsid w:val="00053A6C"/>
    <w:rsid w:val="00057F6E"/>
    <w:rsid w:val="0006288A"/>
    <w:rsid w:val="00064633"/>
    <w:rsid w:val="00070CF7"/>
    <w:rsid w:val="00074D4F"/>
    <w:rsid w:val="00076E47"/>
    <w:rsid w:val="00080602"/>
    <w:rsid w:val="000918AE"/>
    <w:rsid w:val="00093201"/>
    <w:rsid w:val="000956AF"/>
    <w:rsid w:val="000A3766"/>
    <w:rsid w:val="000C4C6E"/>
    <w:rsid w:val="000C692E"/>
    <w:rsid w:val="000C7897"/>
    <w:rsid w:val="000D357D"/>
    <w:rsid w:val="000D4CF7"/>
    <w:rsid w:val="000D5984"/>
    <w:rsid w:val="000D67C0"/>
    <w:rsid w:val="000D7621"/>
    <w:rsid w:val="000E03AA"/>
    <w:rsid w:val="000E548D"/>
    <w:rsid w:val="000E7C99"/>
    <w:rsid w:val="000F13A3"/>
    <w:rsid w:val="001022B7"/>
    <w:rsid w:val="00103809"/>
    <w:rsid w:val="001039D2"/>
    <w:rsid w:val="00107B11"/>
    <w:rsid w:val="00116232"/>
    <w:rsid w:val="00121110"/>
    <w:rsid w:val="001211DE"/>
    <w:rsid w:val="00123EB8"/>
    <w:rsid w:val="0012478C"/>
    <w:rsid w:val="00130EA0"/>
    <w:rsid w:val="001316BF"/>
    <w:rsid w:val="00141BD4"/>
    <w:rsid w:val="00144CB9"/>
    <w:rsid w:val="0014554A"/>
    <w:rsid w:val="00146A0A"/>
    <w:rsid w:val="001525BE"/>
    <w:rsid w:val="00156B29"/>
    <w:rsid w:val="00156B2A"/>
    <w:rsid w:val="00157A05"/>
    <w:rsid w:val="0016295B"/>
    <w:rsid w:val="001638D4"/>
    <w:rsid w:val="001729C3"/>
    <w:rsid w:val="00172A27"/>
    <w:rsid w:val="00185FDB"/>
    <w:rsid w:val="0018784D"/>
    <w:rsid w:val="00187FA3"/>
    <w:rsid w:val="00192FC5"/>
    <w:rsid w:val="00195999"/>
    <w:rsid w:val="00197EB4"/>
    <w:rsid w:val="001A0DA0"/>
    <w:rsid w:val="001A1E0D"/>
    <w:rsid w:val="001A1FD6"/>
    <w:rsid w:val="001A4F74"/>
    <w:rsid w:val="001B223A"/>
    <w:rsid w:val="001B424E"/>
    <w:rsid w:val="001B51BA"/>
    <w:rsid w:val="001B586E"/>
    <w:rsid w:val="001C2385"/>
    <w:rsid w:val="001D03CF"/>
    <w:rsid w:val="001D1117"/>
    <w:rsid w:val="001D2D57"/>
    <w:rsid w:val="001D591D"/>
    <w:rsid w:val="001D5CFC"/>
    <w:rsid w:val="001E214F"/>
    <w:rsid w:val="001E2811"/>
    <w:rsid w:val="001F0A69"/>
    <w:rsid w:val="001F1E3A"/>
    <w:rsid w:val="001F25CC"/>
    <w:rsid w:val="00210755"/>
    <w:rsid w:val="002217DD"/>
    <w:rsid w:val="00222A0A"/>
    <w:rsid w:val="00223829"/>
    <w:rsid w:val="00225848"/>
    <w:rsid w:val="002267EB"/>
    <w:rsid w:val="002272FB"/>
    <w:rsid w:val="00231ADE"/>
    <w:rsid w:val="00234745"/>
    <w:rsid w:val="00235985"/>
    <w:rsid w:val="002360C0"/>
    <w:rsid w:val="00242CA4"/>
    <w:rsid w:val="00243D63"/>
    <w:rsid w:val="002529E6"/>
    <w:rsid w:val="00255334"/>
    <w:rsid w:val="00257817"/>
    <w:rsid w:val="002603DC"/>
    <w:rsid w:val="00275B6F"/>
    <w:rsid w:val="00276323"/>
    <w:rsid w:val="002811C0"/>
    <w:rsid w:val="00284B0B"/>
    <w:rsid w:val="00286420"/>
    <w:rsid w:val="00291847"/>
    <w:rsid w:val="0029667B"/>
    <w:rsid w:val="002A66B3"/>
    <w:rsid w:val="002B0E86"/>
    <w:rsid w:val="002B1466"/>
    <w:rsid w:val="002B648B"/>
    <w:rsid w:val="002B6D1D"/>
    <w:rsid w:val="002C07C3"/>
    <w:rsid w:val="002C11CA"/>
    <w:rsid w:val="002C3E23"/>
    <w:rsid w:val="002C4B48"/>
    <w:rsid w:val="002C534C"/>
    <w:rsid w:val="002C688F"/>
    <w:rsid w:val="002D3868"/>
    <w:rsid w:val="002D4835"/>
    <w:rsid w:val="002E399E"/>
    <w:rsid w:val="002E6F35"/>
    <w:rsid w:val="002F2D8B"/>
    <w:rsid w:val="002F32FE"/>
    <w:rsid w:val="002F3643"/>
    <w:rsid w:val="002F6EE4"/>
    <w:rsid w:val="002F7075"/>
    <w:rsid w:val="00303B1A"/>
    <w:rsid w:val="00305543"/>
    <w:rsid w:val="00306AC5"/>
    <w:rsid w:val="003105C3"/>
    <w:rsid w:val="003160B7"/>
    <w:rsid w:val="00320547"/>
    <w:rsid w:val="00321458"/>
    <w:rsid w:val="0033360A"/>
    <w:rsid w:val="00334E2D"/>
    <w:rsid w:val="00334F5D"/>
    <w:rsid w:val="003437F5"/>
    <w:rsid w:val="003447A4"/>
    <w:rsid w:val="003479E7"/>
    <w:rsid w:val="00347BE1"/>
    <w:rsid w:val="00350B78"/>
    <w:rsid w:val="00352374"/>
    <w:rsid w:val="0035773E"/>
    <w:rsid w:val="00357F17"/>
    <w:rsid w:val="00361D1E"/>
    <w:rsid w:val="00361E7F"/>
    <w:rsid w:val="00362A25"/>
    <w:rsid w:val="00363CEB"/>
    <w:rsid w:val="00363FB6"/>
    <w:rsid w:val="0036427B"/>
    <w:rsid w:val="00365ECD"/>
    <w:rsid w:val="003702DA"/>
    <w:rsid w:val="0037348C"/>
    <w:rsid w:val="0037626C"/>
    <w:rsid w:val="00380AE5"/>
    <w:rsid w:val="00381F4B"/>
    <w:rsid w:val="003864DF"/>
    <w:rsid w:val="003A0832"/>
    <w:rsid w:val="003A4880"/>
    <w:rsid w:val="003A559C"/>
    <w:rsid w:val="003B07AC"/>
    <w:rsid w:val="003B1C42"/>
    <w:rsid w:val="003B6E2D"/>
    <w:rsid w:val="003B75BC"/>
    <w:rsid w:val="003C300B"/>
    <w:rsid w:val="003C3898"/>
    <w:rsid w:val="003C39AF"/>
    <w:rsid w:val="003C3F88"/>
    <w:rsid w:val="003D1CA3"/>
    <w:rsid w:val="003D26D6"/>
    <w:rsid w:val="003D7C55"/>
    <w:rsid w:val="003E0535"/>
    <w:rsid w:val="003E2006"/>
    <w:rsid w:val="003E3405"/>
    <w:rsid w:val="003E38EE"/>
    <w:rsid w:val="003F3B97"/>
    <w:rsid w:val="00403F68"/>
    <w:rsid w:val="004051D2"/>
    <w:rsid w:val="00410D27"/>
    <w:rsid w:val="004144C0"/>
    <w:rsid w:val="004160C4"/>
    <w:rsid w:val="00423147"/>
    <w:rsid w:val="0042416D"/>
    <w:rsid w:val="00425E33"/>
    <w:rsid w:val="00427D5E"/>
    <w:rsid w:val="00443AD3"/>
    <w:rsid w:val="004446AA"/>
    <w:rsid w:val="00447A11"/>
    <w:rsid w:val="00447C0A"/>
    <w:rsid w:val="004639E7"/>
    <w:rsid w:val="00470428"/>
    <w:rsid w:val="0047381C"/>
    <w:rsid w:val="004741D5"/>
    <w:rsid w:val="0047573A"/>
    <w:rsid w:val="004763AE"/>
    <w:rsid w:val="00480B67"/>
    <w:rsid w:val="00483DA4"/>
    <w:rsid w:val="004845F2"/>
    <w:rsid w:val="0049471B"/>
    <w:rsid w:val="004A64DA"/>
    <w:rsid w:val="004B4059"/>
    <w:rsid w:val="004B4D08"/>
    <w:rsid w:val="004B5C2C"/>
    <w:rsid w:val="004C5C5D"/>
    <w:rsid w:val="004D606A"/>
    <w:rsid w:val="004E61DE"/>
    <w:rsid w:val="004F6A1F"/>
    <w:rsid w:val="00502157"/>
    <w:rsid w:val="00504F75"/>
    <w:rsid w:val="005062C5"/>
    <w:rsid w:val="00521ACC"/>
    <w:rsid w:val="00527257"/>
    <w:rsid w:val="0053239A"/>
    <w:rsid w:val="0053338E"/>
    <w:rsid w:val="00540AF6"/>
    <w:rsid w:val="00543E82"/>
    <w:rsid w:val="00547044"/>
    <w:rsid w:val="0055146C"/>
    <w:rsid w:val="005530B4"/>
    <w:rsid w:val="00557633"/>
    <w:rsid w:val="00570F14"/>
    <w:rsid w:val="005721EF"/>
    <w:rsid w:val="00572D07"/>
    <w:rsid w:val="00574AE2"/>
    <w:rsid w:val="00577990"/>
    <w:rsid w:val="00580248"/>
    <w:rsid w:val="00584750"/>
    <w:rsid w:val="00586529"/>
    <w:rsid w:val="00587737"/>
    <w:rsid w:val="00587AE4"/>
    <w:rsid w:val="0059220D"/>
    <w:rsid w:val="005927EE"/>
    <w:rsid w:val="00593938"/>
    <w:rsid w:val="00596B2B"/>
    <w:rsid w:val="005A26B8"/>
    <w:rsid w:val="005A2EF9"/>
    <w:rsid w:val="005A6F1F"/>
    <w:rsid w:val="005B169B"/>
    <w:rsid w:val="005B4351"/>
    <w:rsid w:val="005B4589"/>
    <w:rsid w:val="005B7C11"/>
    <w:rsid w:val="005C1033"/>
    <w:rsid w:val="005C217E"/>
    <w:rsid w:val="005C7234"/>
    <w:rsid w:val="005D278B"/>
    <w:rsid w:val="005D2910"/>
    <w:rsid w:val="005D2987"/>
    <w:rsid w:val="005D4BAD"/>
    <w:rsid w:val="005D597F"/>
    <w:rsid w:val="005D6874"/>
    <w:rsid w:val="005E0D48"/>
    <w:rsid w:val="005E3640"/>
    <w:rsid w:val="005E4370"/>
    <w:rsid w:val="005E55EB"/>
    <w:rsid w:val="005E664E"/>
    <w:rsid w:val="005E68DC"/>
    <w:rsid w:val="005F2231"/>
    <w:rsid w:val="00600287"/>
    <w:rsid w:val="006004D9"/>
    <w:rsid w:val="00601529"/>
    <w:rsid w:val="0060213A"/>
    <w:rsid w:val="00603BD1"/>
    <w:rsid w:val="00605B20"/>
    <w:rsid w:val="0061033F"/>
    <w:rsid w:val="0061042E"/>
    <w:rsid w:val="006126E1"/>
    <w:rsid w:val="00616577"/>
    <w:rsid w:val="00617CC0"/>
    <w:rsid w:val="006203F0"/>
    <w:rsid w:val="006208DA"/>
    <w:rsid w:val="00623EF4"/>
    <w:rsid w:val="00626891"/>
    <w:rsid w:val="006319DF"/>
    <w:rsid w:val="00634388"/>
    <w:rsid w:val="00634448"/>
    <w:rsid w:val="00645518"/>
    <w:rsid w:val="00647AC2"/>
    <w:rsid w:val="0065155C"/>
    <w:rsid w:val="006523FE"/>
    <w:rsid w:val="00653852"/>
    <w:rsid w:val="006671B4"/>
    <w:rsid w:val="00667770"/>
    <w:rsid w:val="00671918"/>
    <w:rsid w:val="006724C3"/>
    <w:rsid w:val="006728A1"/>
    <w:rsid w:val="006766E3"/>
    <w:rsid w:val="0068169B"/>
    <w:rsid w:val="00682847"/>
    <w:rsid w:val="00683D75"/>
    <w:rsid w:val="00684BE7"/>
    <w:rsid w:val="00685C7C"/>
    <w:rsid w:val="00686770"/>
    <w:rsid w:val="006979EB"/>
    <w:rsid w:val="006A0017"/>
    <w:rsid w:val="006A1212"/>
    <w:rsid w:val="006A1D7B"/>
    <w:rsid w:val="006A5276"/>
    <w:rsid w:val="006A6401"/>
    <w:rsid w:val="006A6DA3"/>
    <w:rsid w:val="006A7632"/>
    <w:rsid w:val="006B01DA"/>
    <w:rsid w:val="006B1863"/>
    <w:rsid w:val="006B1FC6"/>
    <w:rsid w:val="006C0376"/>
    <w:rsid w:val="006C1898"/>
    <w:rsid w:val="006C5E5A"/>
    <w:rsid w:val="006C6EF9"/>
    <w:rsid w:val="006D3589"/>
    <w:rsid w:val="006E0A10"/>
    <w:rsid w:val="006E0DF1"/>
    <w:rsid w:val="006F1683"/>
    <w:rsid w:val="006F2171"/>
    <w:rsid w:val="006F4845"/>
    <w:rsid w:val="006F497D"/>
    <w:rsid w:val="00702604"/>
    <w:rsid w:val="00704421"/>
    <w:rsid w:val="00704652"/>
    <w:rsid w:val="00704B04"/>
    <w:rsid w:val="00704E4E"/>
    <w:rsid w:val="007070EC"/>
    <w:rsid w:val="0072365E"/>
    <w:rsid w:val="00727F6E"/>
    <w:rsid w:val="00731794"/>
    <w:rsid w:val="00732757"/>
    <w:rsid w:val="00733B3A"/>
    <w:rsid w:val="00734654"/>
    <w:rsid w:val="00736C8D"/>
    <w:rsid w:val="00737B12"/>
    <w:rsid w:val="0074163E"/>
    <w:rsid w:val="00747126"/>
    <w:rsid w:val="00751D24"/>
    <w:rsid w:val="007572DE"/>
    <w:rsid w:val="00762580"/>
    <w:rsid w:val="007628D7"/>
    <w:rsid w:val="00764DFD"/>
    <w:rsid w:val="007701F9"/>
    <w:rsid w:val="00771259"/>
    <w:rsid w:val="00771FCD"/>
    <w:rsid w:val="00772753"/>
    <w:rsid w:val="00772BBD"/>
    <w:rsid w:val="00772FF1"/>
    <w:rsid w:val="00773981"/>
    <w:rsid w:val="00782086"/>
    <w:rsid w:val="007868D9"/>
    <w:rsid w:val="00793A93"/>
    <w:rsid w:val="0079545A"/>
    <w:rsid w:val="007A175D"/>
    <w:rsid w:val="007A29EC"/>
    <w:rsid w:val="007A2D0D"/>
    <w:rsid w:val="007A56BA"/>
    <w:rsid w:val="007A62AB"/>
    <w:rsid w:val="007C001E"/>
    <w:rsid w:val="007D2C5E"/>
    <w:rsid w:val="007E4790"/>
    <w:rsid w:val="007E5094"/>
    <w:rsid w:val="007F5CBC"/>
    <w:rsid w:val="00802269"/>
    <w:rsid w:val="00804EA1"/>
    <w:rsid w:val="008058F6"/>
    <w:rsid w:val="00806344"/>
    <w:rsid w:val="0080770E"/>
    <w:rsid w:val="00811774"/>
    <w:rsid w:val="00812D5F"/>
    <w:rsid w:val="0081585C"/>
    <w:rsid w:val="0081594D"/>
    <w:rsid w:val="00830DE7"/>
    <w:rsid w:val="00831C7B"/>
    <w:rsid w:val="00835BC2"/>
    <w:rsid w:val="00837F20"/>
    <w:rsid w:val="00841225"/>
    <w:rsid w:val="0084419D"/>
    <w:rsid w:val="008472B3"/>
    <w:rsid w:val="0084795A"/>
    <w:rsid w:val="008533AE"/>
    <w:rsid w:val="00853F63"/>
    <w:rsid w:val="00854529"/>
    <w:rsid w:val="00880052"/>
    <w:rsid w:val="00882D59"/>
    <w:rsid w:val="00885454"/>
    <w:rsid w:val="0088617C"/>
    <w:rsid w:val="00886BFF"/>
    <w:rsid w:val="008906A2"/>
    <w:rsid w:val="00892CDF"/>
    <w:rsid w:val="00894126"/>
    <w:rsid w:val="00896EC4"/>
    <w:rsid w:val="00897BFA"/>
    <w:rsid w:val="008A2EBF"/>
    <w:rsid w:val="008A4074"/>
    <w:rsid w:val="008A7B4C"/>
    <w:rsid w:val="008B0C4A"/>
    <w:rsid w:val="008B204A"/>
    <w:rsid w:val="008B227D"/>
    <w:rsid w:val="008B4E7D"/>
    <w:rsid w:val="008C31DF"/>
    <w:rsid w:val="008C499D"/>
    <w:rsid w:val="008C7FAD"/>
    <w:rsid w:val="008D1C07"/>
    <w:rsid w:val="008E76FA"/>
    <w:rsid w:val="008E7DC7"/>
    <w:rsid w:val="008F0828"/>
    <w:rsid w:val="008F0EE5"/>
    <w:rsid w:val="008F484F"/>
    <w:rsid w:val="008F7070"/>
    <w:rsid w:val="00912115"/>
    <w:rsid w:val="00917FE7"/>
    <w:rsid w:val="0092090C"/>
    <w:rsid w:val="009210BC"/>
    <w:rsid w:val="0092323A"/>
    <w:rsid w:val="00926B01"/>
    <w:rsid w:val="00931B11"/>
    <w:rsid w:val="009336CD"/>
    <w:rsid w:val="00933C7A"/>
    <w:rsid w:val="00935F79"/>
    <w:rsid w:val="00940275"/>
    <w:rsid w:val="0094083A"/>
    <w:rsid w:val="0095177E"/>
    <w:rsid w:val="0095594D"/>
    <w:rsid w:val="00957783"/>
    <w:rsid w:val="00962625"/>
    <w:rsid w:val="009658B9"/>
    <w:rsid w:val="00971F44"/>
    <w:rsid w:val="00985DF4"/>
    <w:rsid w:val="00986535"/>
    <w:rsid w:val="009873A0"/>
    <w:rsid w:val="00992610"/>
    <w:rsid w:val="0099412B"/>
    <w:rsid w:val="00995312"/>
    <w:rsid w:val="009A2632"/>
    <w:rsid w:val="009A3892"/>
    <w:rsid w:val="009A40C0"/>
    <w:rsid w:val="009A7CA3"/>
    <w:rsid w:val="009A7F31"/>
    <w:rsid w:val="009B0F30"/>
    <w:rsid w:val="009B26C3"/>
    <w:rsid w:val="009B4DD7"/>
    <w:rsid w:val="009B5CC2"/>
    <w:rsid w:val="009C01F7"/>
    <w:rsid w:val="009C0C8D"/>
    <w:rsid w:val="009C2546"/>
    <w:rsid w:val="009C4AD6"/>
    <w:rsid w:val="009D2CF4"/>
    <w:rsid w:val="009D3045"/>
    <w:rsid w:val="009D4698"/>
    <w:rsid w:val="009D781D"/>
    <w:rsid w:val="009D7F25"/>
    <w:rsid w:val="009D7F5B"/>
    <w:rsid w:val="009E02AC"/>
    <w:rsid w:val="009E141E"/>
    <w:rsid w:val="009E26B1"/>
    <w:rsid w:val="009E3388"/>
    <w:rsid w:val="009E3EC9"/>
    <w:rsid w:val="009E6426"/>
    <w:rsid w:val="009F129D"/>
    <w:rsid w:val="009F4D5A"/>
    <w:rsid w:val="00A005D5"/>
    <w:rsid w:val="00A07B88"/>
    <w:rsid w:val="00A07E44"/>
    <w:rsid w:val="00A1000F"/>
    <w:rsid w:val="00A12755"/>
    <w:rsid w:val="00A137FA"/>
    <w:rsid w:val="00A161C3"/>
    <w:rsid w:val="00A164D4"/>
    <w:rsid w:val="00A17EF6"/>
    <w:rsid w:val="00A214BF"/>
    <w:rsid w:val="00A23337"/>
    <w:rsid w:val="00A32DD6"/>
    <w:rsid w:val="00A36DD6"/>
    <w:rsid w:val="00A379BE"/>
    <w:rsid w:val="00A41ED4"/>
    <w:rsid w:val="00A51D97"/>
    <w:rsid w:val="00A643AA"/>
    <w:rsid w:val="00A65199"/>
    <w:rsid w:val="00A72F84"/>
    <w:rsid w:val="00A72FB9"/>
    <w:rsid w:val="00A7408D"/>
    <w:rsid w:val="00A752FC"/>
    <w:rsid w:val="00A77F75"/>
    <w:rsid w:val="00A84375"/>
    <w:rsid w:val="00A84E15"/>
    <w:rsid w:val="00A85324"/>
    <w:rsid w:val="00A87540"/>
    <w:rsid w:val="00A91435"/>
    <w:rsid w:val="00A9185D"/>
    <w:rsid w:val="00A93FEC"/>
    <w:rsid w:val="00AA07ED"/>
    <w:rsid w:val="00AA24EA"/>
    <w:rsid w:val="00AA33F8"/>
    <w:rsid w:val="00AB1D97"/>
    <w:rsid w:val="00AB5BCF"/>
    <w:rsid w:val="00AB6E85"/>
    <w:rsid w:val="00AC1FE8"/>
    <w:rsid w:val="00AC2AAB"/>
    <w:rsid w:val="00AC362B"/>
    <w:rsid w:val="00AC754B"/>
    <w:rsid w:val="00AD610B"/>
    <w:rsid w:val="00AE0DB0"/>
    <w:rsid w:val="00AE5EAE"/>
    <w:rsid w:val="00AF3EF1"/>
    <w:rsid w:val="00AF4A36"/>
    <w:rsid w:val="00B07BC9"/>
    <w:rsid w:val="00B14893"/>
    <w:rsid w:val="00B22C2E"/>
    <w:rsid w:val="00B230CB"/>
    <w:rsid w:val="00B234EE"/>
    <w:rsid w:val="00B2665C"/>
    <w:rsid w:val="00B26785"/>
    <w:rsid w:val="00B2689A"/>
    <w:rsid w:val="00B26D7F"/>
    <w:rsid w:val="00B32A5E"/>
    <w:rsid w:val="00B3511B"/>
    <w:rsid w:val="00B36345"/>
    <w:rsid w:val="00B36578"/>
    <w:rsid w:val="00B45DCE"/>
    <w:rsid w:val="00B45E59"/>
    <w:rsid w:val="00B52215"/>
    <w:rsid w:val="00B52873"/>
    <w:rsid w:val="00B62CE6"/>
    <w:rsid w:val="00B6358A"/>
    <w:rsid w:val="00B66156"/>
    <w:rsid w:val="00B831D0"/>
    <w:rsid w:val="00B843E4"/>
    <w:rsid w:val="00B86CF4"/>
    <w:rsid w:val="00B90453"/>
    <w:rsid w:val="00BA00AD"/>
    <w:rsid w:val="00BA63EA"/>
    <w:rsid w:val="00BA66D6"/>
    <w:rsid w:val="00BB02B9"/>
    <w:rsid w:val="00BC1DC4"/>
    <w:rsid w:val="00BC2CFB"/>
    <w:rsid w:val="00BC3BD7"/>
    <w:rsid w:val="00BC3D9C"/>
    <w:rsid w:val="00BC4188"/>
    <w:rsid w:val="00BC7F22"/>
    <w:rsid w:val="00BD2E09"/>
    <w:rsid w:val="00BE0CC3"/>
    <w:rsid w:val="00BE1E3A"/>
    <w:rsid w:val="00BE2C2F"/>
    <w:rsid w:val="00BE3CA3"/>
    <w:rsid w:val="00BE6588"/>
    <w:rsid w:val="00BF66CA"/>
    <w:rsid w:val="00C023EC"/>
    <w:rsid w:val="00C04DC1"/>
    <w:rsid w:val="00C059B2"/>
    <w:rsid w:val="00C102B8"/>
    <w:rsid w:val="00C12FD3"/>
    <w:rsid w:val="00C13C8F"/>
    <w:rsid w:val="00C23AC7"/>
    <w:rsid w:val="00C24A07"/>
    <w:rsid w:val="00C253A9"/>
    <w:rsid w:val="00C26430"/>
    <w:rsid w:val="00C269ED"/>
    <w:rsid w:val="00C26DA9"/>
    <w:rsid w:val="00C272DE"/>
    <w:rsid w:val="00C31029"/>
    <w:rsid w:val="00C34FC9"/>
    <w:rsid w:val="00C35D61"/>
    <w:rsid w:val="00C376A3"/>
    <w:rsid w:val="00C403BD"/>
    <w:rsid w:val="00C47C75"/>
    <w:rsid w:val="00C5247D"/>
    <w:rsid w:val="00C55C03"/>
    <w:rsid w:val="00C55E4B"/>
    <w:rsid w:val="00C56550"/>
    <w:rsid w:val="00C56564"/>
    <w:rsid w:val="00C60194"/>
    <w:rsid w:val="00C60384"/>
    <w:rsid w:val="00C6781E"/>
    <w:rsid w:val="00C705B3"/>
    <w:rsid w:val="00C80D41"/>
    <w:rsid w:val="00C81A4C"/>
    <w:rsid w:val="00C85FE5"/>
    <w:rsid w:val="00C871AB"/>
    <w:rsid w:val="00C95453"/>
    <w:rsid w:val="00C9574D"/>
    <w:rsid w:val="00CA070F"/>
    <w:rsid w:val="00CA131A"/>
    <w:rsid w:val="00CA4C97"/>
    <w:rsid w:val="00CA5DEC"/>
    <w:rsid w:val="00CB3030"/>
    <w:rsid w:val="00CB4461"/>
    <w:rsid w:val="00CB5316"/>
    <w:rsid w:val="00CB5BEB"/>
    <w:rsid w:val="00CB623C"/>
    <w:rsid w:val="00CC2C26"/>
    <w:rsid w:val="00CC30CD"/>
    <w:rsid w:val="00CC4271"/>
    <w:rsid w:val="00CD3F72"/>
    <w:rsid w:val="00CE053B"/>
    <w:rsid w:val="00CE12AA"/>
    <w:rsid w:val="00CE18F5"/>
    <w:rsid w:val="00CE369F"/>
    <w:rsid w:val="00CE37B5"/>
    <w:rsid w:val="00CF1A48"/>
    <w:rsid w:val="00CF3405"/>
    <w:rsid w:val="00CF65D6"/>
    <w:rsid w:val="00CF6661"/>
    <w:rsid w:val="00D06701"/>
    <w:rsid w:val="00D10A84"/>
    <w:rsid w:val="00D10E7E"/>
    <w:rsid w:val="00D12466"/>
    <w:rsid w:val="00D2168D"/>
    <w:rsid w:val="00D24290"/>
    <w:rsid w:val="00D24C60"/>
    <w:rsid w:val="00D2626D"/>
    <w:rsid w:val="00D270EB"/>
    <w:rsid w:val="00D31C94"/>
    <w:rsid w:val="00D3389E"/>
    <w:rsid w:val="00D3455F"/>
    <w:rsid w:val="00D3605D"/>
    <w:rsid w:val="00D36F23"/>
    <w:rsid w:val="00D37A53"/>
    <w:rsid w:val="00D42D3B"/>
    <w:rsid w:val="00D436F8"/>
    <w:rsid w:val="00D43D76"/>
    <w:rsid w:val="00D45F79"/>
    <w:rsid w:val="00D46CC4"/>
    <w:rsid w:val="00D5223F"/>
    <w:rsid w:val="00D54E1E"/>
    <w:rsid w:val="00D57A48"/>
    <w:rsid w:val="00D602B2"/>
    <w:rsid w:val="00D64142"/>
    <w:rsid w:val="00D72DA3"/>
    <w:rsid w:val="00D730F3"/>
    <w:rsid w:val="00D76919"/>
    <w:rsid w:val="00D82FCF"/>
    <w:rsid w:val="00D871BB"/>
    <w:rsid w:val="00D92189"/>
    <w:rsid w:val="00D94B84"/>
    <w:rsid w:val="00D9638B"/>
    <w:rsid w:val="00DA31E7"/>
    <w:rsid w:val="00DA3756"/>
    <w:rsid w:val="00DA4B0E"/>
    <w:rsid w:val="00DB04BE"/>
    <w:rsid w:val="00DB2ADE"/>
    <w:rsid w:val="00DB544C"/>
    <w:rsid w:val="00DC7F3E"/>
    <w:rsid w:val="00DE1B22"/>
    <w:rsid w:val="00DE51D6"/>
    <w:rsid w:val="00DF3860"/>
    <w:rsid w:val="00DF7E7F"/>
    <w:rsid w:val="00E02CF8"/>
    <w:rsid w:val="00E0502B"/>
    <w:rsid w:val="00E06AE2"/>
    <w:rsid w:val="00E10DDC"/>
    <w:rsid w:val="00E128C1"/>
    <w:rsid w:val="00E140C5"/>
    <w:rsid w:val="00E1512C"/>
    <w:rsid w:val="00E2119A"/>
    <w:rsid w:val="00E214B4"/>
    <w:rsid w:val="00E27FA3"/>
    <w:rsid w:val="00E35EA9"/>
    <w:rsid w:val="00E37624"/>
    <w:rsid w:val="00E418C5"/>
    <w:rsid w:val="00E464D3"/>
    <w:rsid w:val="00E50A30"/>
    <w:rsid w:val="00E515F3"/>
    <w:rsid w:val="00E55D73"/>
    <w:rsid w:val="00E57693"/>
    <w:rsid w:val="00E623D9"/>
    <w:rsid w:val="00E642D2"/>
    <w:rsid w:val="00E660AC"/>
    <w:rsid w:val="00E66984"/>
    <w:rsid w:val="00E75799"/>
    <w:rsid w:val="00E75CE2"/>
    <w:rsid w:val="00E80A63"/>
    <w:rsid w:val="00E8584E"/>
    <w:rsid w:val="00E92450"/>
    <w:rsid w:val="00E9258A"/>
    <w:rsid w:val="00E968D9"/>
    <w:rsid w:val="00E96D40"/>
    <w:rsid w:val="00EA0163"/>
    <w:rsid w:val="00EA1DA8"/>
    <w:rsid w:val="00EA51CF"/>
    <w:rsid w:val="00EB091B"/>
    <w:rsid w:val="00EB5128"/>
    <w:rsid w:val="00EC245D"/>
    <w:rsid w:val="00EC6826"/>
    <w:rsid w:val="00EC70D5"/>
    <w:rsid w:val="00ED37F8"/>
    <w:rsid w:val="00EE14BC"/>
    <w:rsid w:val="00EE444D"/>
    <w:rsid w:val="00EE4B8F"/>
    <w:rsid w:val="00F003B7"/>
    <w:rsid w:val="00F03087"/>
    <w:rsid w:val="00F14792"/>
    <w:rsid w:val="00F22522"/>
    <w:rsid w:val="00F22AB3"/>
    <w:rsid w:val="00F27841"/>
    <w:rsid w:val="00F317F0"/>
    <w:rsid w:val="00F36248"/>
    <w:rsid w:val="00F37F91"/>
    <w:rsid w:val="00F45A95"/>
    <w:rsid w:val="00F543C4"/>
    <w:rsid w:val="00F548E9"/>
    <w:rsid w:val="00F5506F"/>
    <w:rsid w:val="00F55A1A"/>
    <w:rsid w:val="00F57C28"/>
    <w:rsid w:val="00F57E14"/>
    <w:rsid w:val="00F61A2B"/>
    <w:rsid w:val="00F61EE9"/>
    <w:rsid w:val="00F64416"/>
    <w:rsid w:val="00F64B18"/>
    <w:rsid w:val="00F70486"/>
    <w:rsid w:val="00F713BF"/>
    <w:rsid w:val="00F74ED9"/>
    <w:rsid w:val="00F75BAB"/>
    <w:rsid w:val="00F75D7E"/>
    <w:rsid w:val="00F83A53"/>
    <w:rsid w:val="00F840F5"/>
    <w:rsid w:val="00F853D0"/>
    <w:rsid w:val="00F8763E"/>
    <w:rsid w:val="00F911BB"/>
    <w:rsid w:val="00F925C4"/>
    <w:rsid w:val="00F94518"/>
    <w:rsid w:val="00F94575"/>
    <w:rsid w:val="00F96F5B"/>
    <w:rsid w:val="00FA0EE3"/>
    <w:rsid w:val="00FA5CC2"/>
    <w:rsid w:val="00FB1A5D"/>
    <w:rsid w:val="00FB4DCC"/>
    <w:rsid w:val="00FB53FB"/>
    <w:rsid w:val="00FB5738"/>
    <w:rsid w:val="00FB6D5B"/>
    <w:rsid w:val="00FB7643"/>
    <w:rsid w:val="00FC35EB"/>
    <w:rsid w:val="00FC478D"/>
    <w:rsid w:val="00FD0930"/>
    <w:rsid w:val="00FD0EFC"/>
    <w:rsid w:val="00FD73A5"/>
    <w:rsid w:val="00FF03FF"/>
    <w:rsid w:val="00FF1CD5"/>
    <w:rsid w:val="00FF458C"/>
    <w:rsid w:val="01141165"/>
    <w:rsid w:val="01290F5B"/>
    <w:rsid w:val="013637D1"/>
    <w:rsid w:val="01445A9C"/>
    <w:rsid w:val="01706A98"/>
    <w:rsid w:val="018F4C90"/>
    <w:rsid w:val="01984396"/>
    <w:rsid w:val="019C523A"/>
    <w:rsid w:val="01A171B7"/>
    <w:rsid w:val="01A74E93"/>
    <w:rsid w:val="01AA727F"/>
    <w:rsid w:val="01B032FC"/>
    <w:rsid w:val="01BB24FA"/>
    <w:rsid w:val="01BD0547"/>
    <w:rsid w:val="01D14F1D"/>
    <w:rsid w:val="01D55B27"/>
    <w:rsid w:val="01E426A2"/>
    <w:rsid w:val="01E70D09"/>
    <w:rsid w:val="01EC3155"/>
    <w:rsid w:val="01ED7B66"/>
    <w:rsid w:val="021369A9"/>
    <w:rsid w:val="02321E39"/>
    <w:rsid w:val="024A0600"/>
    <w:rsid w:val="025153BE"/>
    <w:rsid w:val="025D64F6"/>
    <w:rsid w:val="026053E3"/>
    <w:rsid w:val="02624F74"/>
    <w:rsid w:val="02760724"/>
    <w:rsid w:val="027D1CAD"/>
    <w:rsid w:val="02A226B7"/>
    <w:rsid w:val="02AE0F75"/>
    <w:rsid w:val="02CB619B"/>
    <w:rsid w:val="02F01AD7"/>
    <w:rsid w:val="02FF5E45"/>
    <w:rsid w:val="0347208A"/>
    <w:rsid w:val="03795BF7"/>
    <w:rsid w:val="037F152F"/>
    <w:rsid w:val="03C350B8"/>
    <w:rsid w:val="03D106FD"/>
    <w:rsid w:val="03F34B58"/>
    <w:rsid w:val="04090561"/>
    <w:rsid w:val="040C543D"/>
    <w:rsid w:val="04210174"/>
    <w:rsid w:val="04262A37"/>
    <w:rsid w:val="0431586E"/>
    <w:rsid w:val="04465C8A"/>
    <w:rsid w:val="044B30D2"/>
    <w:rsid w:val="046F318B"/>
    <w:rsid w:val="048900BC"/>
    <w:rsid w:val="049D4787"/>
    <w:rsid w:val="04AF5DF2"/>
    <w:rsid w:val="04D93856"/>
    <w:rsid w:val="04FF3EDA"/>
    <w:rsid w:val="050239E6"/>
    <w:rsid w:val="05121E5F"/>
    <w:rsid w:val="051E741C"/>
    <w:rsid w:val="052238C9"/>
    <w:rsid w:val="052B7768"/>
    <w:rsid w:val="05304CFD"/>
    <w:rsid w:val="057F523F"/>
    <w:rsid w:val="058F2591"/>
    <w:rsid w:val="059321AE"/>
    <w:rsid w:val="059B51A2"/>
    <w:rsid w:val="05A1336E"/>
    <w:rsid w:val="05AB0A75"/>
    <w:rsid w:val="05D27FB8"/>
    <w:rsid w:val="05D43B35"/>
    <w:rsid w:val="05D6383B"/>
    <w:rsid w:val="06252C1C"/>
    <w:rsid w:val="063B6313"/>
    <w:rsid w:val="06447332"/>
    <w:rsid w:val="065342CE"/>
    <w:rsid w:val="066F5090"/>
    <w:rsid w:val="06872854"/>
    <w:rsid w:val="06A116ED"/>
    <w:rsid w:val="06AC0DA2"/>
    <w:rsid w:val="06B33F31"/>
    <w:rsid w:val="06B86487"/>
    <w:rsid w:val="06BF5BF5"/>
    <w:rsid w:val="06E141E3"/>
    <w:rsid w:val="06E50FE7"/>
    <w:rsid w:val="0700145B"/>
    <w:rsid w:val="077A5458"/>
    <w:rsid w:val="077B6062"/>
    <w:rsid w:val="07863442"/>
    <w:rsid w:val="07AF73A0"/>
    <w:rsid w:val="07D43621"/>
    <w:rsid w:val="07F6569E"/>
    <w:rsid w:val="07F90EA1"/>
    <w:rsid w:val="07FD437B"/>
    <w:rsid w:val="08114D8A"/>
    <w:rsid w:val="084463AC"/>
    <w:rsid w:val="08654687"/>
    <w:rsid w:val="086E5C3A"/>
    <w:rsid w:val="0883323A"/>
    <w:rsid w:val="0888514C"/>
    <w:rsid w:val="08986B20"/>
    <w:rsid w:val="08A74608"/>
    <w:rsid w:val="08A95B36"/>
    <w:rsid w:val="08B237CB"/>
    <w:rsid w:val="08B61DBD"/>
    <w:rsid w:val="08B818B8"/>
    <w:rsid w:val="08C16822"/>
    <w:rsid w:val="08EE4BAF"/>
    <w:rsid w:val="08F74A21"/>
    <w:rsid w:val="09060D76"/>
    <w:rsid w:val="090E4A77"/>
    <w:rsid w:val="091A10AF"/>
    <w:rsid w:val="092920B9"/>
    <w:rsid w:val="095378AC"/>
    <w:rsid w:val="096174DB"/>
    <w:rsid w:val="09703259"/>
    <w:rsid w:val="09954069"/>
    <w:rsid w:val="09A86F6C"/>
    <w:rsid w:val="09BA4D25"/>
    <w:rsid w:val="09C5687D"/>
    <w:rsid w:val="09C65F78"/>
    <w:rsid w:val="09CC6788"/>
    <w:rsid w:val="09F00295"/>
    <w:rsid w:val="0A135DD8"/>
    <w:rsid w:val="0A3B0086"/>
    <w:rsid w:val="0A5E737E"/>
    <w:rsid w:val="0A6319C3"/>
    <w:rsid w:val="0A8E2AB1"/>
    <w:rsid w:val="0AA27CAB"/>
    <w:rsid w:val="0AB01364"/>
    <w:rsid w:val="0AB51320"/>
    <w:rsid w:val="0AC367FF"/>
    <w:rsid w:val="0AFD1542"/>
    <w:rsid w:val="0AFD2BC1"/>
    <w:rsid w:val="0B2C1B67"/>
    <w:rsid w:val="0B380D04"/>
    <w:rsid w:val="0B4839B0"/>
    <w:rsid w:val="0B4840C7"/>
    <w:rsid w:val="0B5F537C"/>
    <w:rsid w:val="0B97247E"/>
    <w:rsid w:val="0BAD4690"/>
    <w:rsid w:val="0BAE0FF0"/>
    <w:rsid w:val="0BB51948"/>
    <w:rsid w:val="0BBD17FA"/>
    <w:rsid w:val="0BE46269"/>
    <w:rsid w:val="0BEA59C5"/>
    <w:rsid w:val="0C0E468A"/>
    <w:rsid w:val="0C1A6E96"/>
    <w:rsid w:val="0C1E258A"/>
    <w:rsid w:val="0C21465E"/>
    <w:rsid w:val="0C3540E0"/>
    <w:rsid w:val="0C3C16F0"/>
    <w:rsid w:val="0C3F342C"/>
    <w:rsid w:val="0C497B66"/>
    <w:rsid w:val="0C716DFA"/>
    <w:rsid w:val="0C733851"/>
    <w:rsid w:val="0C8B5C75"/>
    <w:rsid w:val="0CD242DF"/>
    <w:rsid w:val="0CFA0E9A"/>
    <w:rsid w:val="0CFD54BC"/>
    <w:rsid w:val="0D0E303F"/>
    <w:rsid w:val="0D116EA1"/>
    <w:rsid w:val="0D143EBD"/>
    <w:rsid w:val="0D1F30C1"/>
    <w:rsid w:val="0D205E86"/>
    <w:rsid w:val="0D2534C5"/>
    <w:rsid w:val="0D2C308C"/>
    <w:rsid w:val="0D304F9B"/>
    <w:rsid w:val="0D407BC0"/>
    <w:rsid w:val="0D48549A"/>
    <w:rsid w:val="0D4C2E13"/>
    <w:rsid w:val="0D5272BD"/>
    <w:rsid w:val="0D7926EC"/>
    <w:rsid w:val="0D8A6DFE"/>
    <w:rsid w:val="0D956715"/>
    <w:rsid w:val="0DA51095"/>
    <w:rsid w:val="0DB91F66"/>
    <w:rsid w:val="0E084FFD"/>
    <w:rsid w:val="0E0A6FEB"/>
    <w:rsid w:val="0E0B6EA4"/>
    <w:rsid w:val="0E1F7578"/>
    <w:rsid w:val="0E3474E1"/>
    <w:rsid w:val="0E3F217A"/>
    <w:rsid w:val="0E747874"/>
    <w:rsid w:val="0E7B56C4"/>
    <w:rsid w:val="0E8F128C"/>
    <w:rsid w:val="0E947EE5"/>
    <w:rsid w:val="0EFC12BA"/>
    <w:rsid w:val="0F0E0D21"/>
    <w:rsid w:val="0F1504F9"/>
    <w:rsid w:val="0F274B6A"/>
    <w:rsid w:val="0F492E23"/>
    <w:rsid w:val="0F7B1209"/>
    <w:rsid w:val="0FA02EE2"/>
    <w:rsid w:val="0FAC72C6"/>
    <w:rsid w:val="0FAE392F"/>
    <w:rsid w:val="0FBF2045"/>
    <w:rsid w:val="0FBF3C9B"/>
    <w:rsid w:val="0FCA2ED4"/>
    <w:rsid w:val="0FDE2036"/>
    <w:rsid w:val="0FE022F2"/>
    <w:rsid w:val="10136EB3"/>
    <w:rsid w:val="102173FB"/>
    <w:rsid w:val="102D0195"/>
    <w:rsid w:val="10505D3C"/>
    <w:rsid w:val="10675755"/>
    <w:rsid w:val="10821EF4"/>
    <w:rsid w:val="10895D06"/>
    <w:rsid w:val="108A1444"/>
    <w:rsid w:val="10BC5C5C"/>
    <w:rsid w:val="10BD5185"/>
    <w:rsid w:val="10D52D1C"/>
    <w:rsid w:val="10D60AEC"/>
    <w:rsid w:val="111C50CE"/>
    <w:rsid w:val="113E099E"/>
    <w:rsid w:val="114A2981"/>
    <w:rsid w:val="114C494B"/>
    <w:rsid w:val="1180722A"/>
    <w:rsid w:val="11922921"/>
    <w:rsid w:val="1192497A"/>
    <w:rsid w:val="11AC0F46"/>
    <w:rsid w:val="11AF7346"/>
    <w:rsid w:val="11C4334B"/>
    <w:rsid w:val="11DF775E"/>
    <w:rsid w:val="11E02323"/>
    <w:rsid w:val="11ED7362"/>
    <w:rsid w:val="11FC199E"/>
    <w:rsid w:val="11FC4158"/>
    <w:rsid w:val="12114971"/>
    <w:rsid w:val="123F59B7"/>
    <w:rsid w:val="12483364"/>
    <w:rsid w:val="128F13F8"/>
    <w:rsid w:val="129E402E"/>
    <w:rsid w:val="12A27594"/>
    <w:rsid w:val="12C61989"/>
    <w:rsid w:val="12EF1A32"/>
    <w:rsid w:val="131F26BE"/>
    <w:rsid w:val="132D607F"/>
    <w:rsid w:val="138424CB"/>
    <w:rsid w:val="13853C9D"/>
    <w:rsid w:val="13986AD1"/>
    <w:rsid w:val="139E1CFA"/>
    <w:rsid w:val="13A03B9B"/>
    <w:rsid w:val="13A3554D"/>
    <w:rsid w:val="13A70F02"/>
    <w:rsid w:val="13A91734"/>
    <w:rsid w:val="13BE79E0"/>
    <w:rsid w:val="13D45D10"/>
    <w:rsid w:val="13D80718"/>
    <w:rsid w:val="13D95843"/>
    <w:rsid w:val="13EA42DF"/>
    <w:rsid w:val="13F53F46"/>
    <w:rsid w:val="13F73C3E"/>
    <w:rsid w:val="13FB42E1"/>
    <w:rsid w:val="140F7C44"/>
    <w:rsid w:val="14145152"/>
    <w:rsid w:val="14346955"/>
    <w:rsid w:val="14394F70"/>
    <w:rsid w:val="148B00F6"/>
    <w:rsid w:val="148B2F4F"/>
    <w:rsid w:val="14972381"/>
    <w:rsid w:val="14A145F7"/>
    <w:rsid w:val="14A43764"/>
    <w:rsid w:val="14F01D86"/>
    <w:rsid w:val="14F27B42"/>
    <w:rsid w:val="150468BF"/>
    <w:rsid w:val="15581FFF"/>
    <w:rsid w:val="155E5A53"/>
    <w:rsid w:val="15695858"/>
    <w:rsid w:val="156F7FFF"/>
    <w:rsid w:val="1572799A"/>
    <w:rsid w:val="15994109"/>
    <w:rsid w:val="15B41FEC"/>
    <w:rsid w:val="15B72D1C"/>
    <w:rsid w:val="15B84A7D"/>
    <w:rsid w:val="15CC1BB7"/>
    <w:rsid w:val="15DF7490"/>
    <w:rsid w:val="15E317AB"/>
    <w:rsid w:val="15E37EF3"/>
    <w:rsid w:val="162356A3"/>
    <w:rsid w:val="162A2196"/>
    <w:rsid w:val="162B4ED3"/>
    <w:rsid w:val="164F051B"/>
    <w:rsid w:val="166E3AF0"/>
    <w:rsid w:val="16866209"/>
    <w:rsid w:val="1689744E"/>
    <w:rsid w:val="169A03A1"/>
    <w:rsid w:val="169E67A1"/>
    <w:rsid w:val="16BA48BB"/>
    <w:rsid w:val="16BE5E9D"/>
    <w:rsid w:val="16CA1F24"/>
    <w:rsid w:val="16EE0AF9"/>
    <w:rsid w:val="16F725C1"/>
    <w:rsid w:val="170A0BE8"/>
    <w:rsid w:val="17270E11"/>
    <w:rsid w:val="172D4483"/>
    <w:rsid w:val="17301135"/>
    <w:rsid w:val="17410382"/>
    <w:rsid w:val="17416A23"/>
    <w:rsid w:val="1750527E"/>
    <w:rsid w:val="175A1B71"/>
    <w:rsid w:val="175B4481"/>
    <w:rsid w:val="1781723E"/>
    <w:rsid w:val="17842CCD"/>
    <w:rsid w:val="17A036B2"/>
    <w:rsid w:val="17A66C41"/>
    <w:rsid w:val="17B62472"/>
    <w:rsid w:val="17B82F20"/>
    <w:rsid w:val="17BA7ECA"/>
    <w:rsid w:val="17DF7E61"/>
    <w:rsid w:val="17E23BBC"/>
    <w:rsid w:val="18065766"/>
    <w:rsid w:val="18174221"/>
    <w:rsid w:val="182C4CBA"/>
    <w:rsid w:val="182E215A"/>
    <w:rsid w:val="18364864"/>
    <w:rsid w:val="18366D94"/>
    <w:rsid w:val="18514554"/>
    <w:rsid w:val="18722F27"/>
    <w:rsid w:val="187A42EE"/>
    <w:rsid w:val="18AA5AA2"/>
    <w:rsid w:val="18C1102B"/>
    <w:rsid w:val="18C65629"/>
    <w:rsid w:val="18D408DF"/>
    <w:rsid w:val="19131332"/>
    <w:rsid w:val="192E0CDC"/>
    <w:rsid w:val="192F5F1E"/>
    <w:rsid w:val="193F6F3F"/>
    <w:rsid w:val="19632098"/>
    <w:rsid w:val="196922F0"/>
    <w:rsid w:val="19D41982"/>
    <w:rsid w:val="19EE2A43"/>
    <w:rsid w:val="19F73D2A"/>
    <w:rsid w:val="19FF68B9"/>
    <w:rsid w:val="1A402B73"/>
    <w:rsid w:val="1A626648"/>
    <w:rsid w:val="1A82179A"/>
    <w:rsid w:val="1AB7188B"/>
    <w:rsid w:val="1AD00186"/>
    <w:rsid w:val="1AE37796"/>
    <w:rsid w:val="1AF633D3"/>
    <w:rsid w:val="1B1418C6"/>
    <w:rsid w:val="1B1D7AD1"/>
    <w:rsid w:val="1B2D7C2F"/>
    <w:rsid w:val="1B3440E7"/>
    <w:rsid w:val="1B382357"/>
    <w:rsid w:val="1B4B7DD0"/>
    <w:rsid w:val="1B501CC7"/>
    <w:rsid w:val="1B7163B1"/>
    <w:rsid w:val="1BA95B91"/>
    <w:rsid w:val="1BEF6F18"/>
    <w:rsid w:val="1BFB31F6"/>
    <w:rsid w:val="1BFD0BA3"/>
    <w:rsid w:val="1BFD5B62"/>
    <w:rsid w:val="1C4D2485"/>
    <w:rsid w:val="1CD2012B"/>
    <w:rsid w:val="1CD224B3"/>
    <w:rsid w:val="1D2737BB"/>
    <w:rsid w:val="1D2A5E59"/>
    <w:rsid w:val="1D2B2489"/>
    <w:rsid w:val="1D4B5AB7"/>
    <w:rsid w:val="1D794FDB"/>
    <w:rsid w:val="1D8220A4"/>
    <w:rsid w:val="1D892CC6"/>
    <w:rsid w:val="1D9129DE"/>
    <w:rsid w:val="1D9E0B41"/>
    <w:rsid w:val="1DB53077"/>
    <w:rsid w:val="1DBC5F93"/>
    <w:rsid w:val="1DC872AB"/>
    <w:rsid w:val="1DD92345"/>
    <w:rsid w:val="1E48462C"/>
    <w:rsid w:val="1E9E0A7D"/>
    <w:rsid w:val="1EA47E4E"/>
    <w:rsid w:val="1EA56E39"/>
    <w:rsid w:val="1EB747B8"/>
    <w:rsid w:val="1EF36406"/>
    <w:rsid w:val="1F0F4603"/>
    <w:rsid w:val="1F237C00"/>
    <w:rsid w:val="1F2C77CF"/>
    <w:rsid w:val="1F3004DC"/>
    <w:rsid w:val="1F4C5265"/>
    <w:rsid w:val="1F7724C0"/>
    <w:rsid w:val="1F8B6C05"/>
    <w:rsid w:val="1FB4006F"/>
    <w:rsid w:val="1FB42B93"/>
    <w:rsid w:val="1FE32E2C"/>
    <w:rsid w:val="1FE5393C"/>
    <w:rsid w:val="1FE741BD"/>
    <w:rsid w:val="1FF0254F"/>
    <w:rsid w:val="203A6D77"/>
    <w:rsid w:val="203B68C9"/>
    <w:rsid w:val="20475A9E"/>
    <w:rsid w:val="204C4F95"/>
    <w:rsid w:val="20567492"/>
    <w:rsid w:val="20775BC0"/>
    <w:rsid w:val="207C7763"/>
    <w:rsid w:val="208512AD"/>
    <w:rsid w:val="208650CB"/>
    <w:rsid w:val="20893218"/>
    <w:rsid w:val="20CF5C28"/>
    <w:rsid w:val="20D13E1A"/>
    <w:rsid w:val="20DD736E"/>
    <w:rsid w:val="210A0343"/>
    <w:rsid w:val="211A7551"/>
    <w:rsid w:val="21263C3D"/>
    <w:rsid w:val="21AD0AEE"/>
    <w:rsid w:val="21B835E2"/>
    <w:rsid w:val="21D01C9A"/>
    <w:rsid w:val="21EA1719"/>
    <w:rsid w:val="21ED3737"/>
    <w:rsid w:val="22147555"/>
    <w:rsid w:val="22153890"/>
    <w:rsid w:val="22224AF1"/>
    <w:rsid w:val="223404FF"/>
    <w:rsid w:val="22356ADE"/>
    <w:rsid w:val="22377E7B"/>
    <w:rsid w:val="22653A31"/>
    <w:rsid w:val="226E2973"/>
    <w:rsid w:val="22766E0D"/>
    <w:rsid w:val="22C97979"/>
    <w:rsid w:val="22D94712"/>
    <w:rsid w:val="230B28CF"/>
    <w:rsid w:val="232C34DF"/>
    <w:rsid w:val="233D575A"/>
    <w:rsid w:val="2351194D"/>
    <w:rsid w:val="235A537B"/>
    <w:rsid w:val="2393786E"/>
    <w:rsid w:val="239B720E"/>
    <w:rsid w:val="23F04E60"/>
    <w:rsid w:val="23F13E38"/>
    <w:rsid w:val="23FC3C11"/>
    <w:rsid w:val="241641FD"/>
    <w:rsid w:val="24166110"/>
    <w:rsid w:val="241C30C7"/>
    <w:rsid w:val="242C4AE1"/>
    <w:rsid w:val="244B78DC"/>
    <w:rsid w:val="24593831"/>
    <w:rsid w:val="24611691"/>
    <w:rsid w:val="247022A7"/>
    <w:rsid w:val="24786B33"/>
    <w:rsid w:val="2487306F"/>
    <w:rsid w:val="24941B30"/>
    <w:rsid w:val="24D665AE"/>
    <w:rsid w:val="24F064EC"/>
    <w:rsid w:val="24FA1C1A"/>
    <w:rsid w:val="25066752"/>
    <w:rsid w:val="253252E1"/>
    <w:rsid w:val="25345AF1"/>
    <w:rsid w:val="253E3771"/>
    <w:rsid w:val="253E669A"/>
    <w:rsid w:val="2557744F"/>
    <w:rsid w:val="255A3A32"/>
    <w:rsid w:val="25652553"/>
    <w:rsid w:val="256E27F3"/>
    <w:rsid w:val="2580570A"/>
    <w:rsid w:val="25895824"/>
    <w:rsid w:val="258966CA"/>
    <w:rsid w:val="25956469"/>
    <w:rsid w:val="25A52913"/>
    <w:rsid w:val="25D92511"/>
    <w:rsid w:val="25DE0D70"/>
    <w:rsid w:val="25EF1127"/>
    <w:rsid w:val="260002A0"/>
    <w:rsid w:val="26565EC3"/>
    <w:rsid w:val="266A2C41"/>
    <w:rsid w:val="26752144"/>
    <w:rsid w:val="268C1269"/>
    <w:rsid w:val="26944921"/>
    <w:rsid w:val="26AC0BCE"/>
    <w:rsid w:val="26C34A88"/>
    <w:rsid w:val="26C950F1"/>
    <w:rsid w:val="26E66A0E"/>
    <w:rsid w:val="26F54223"/>
    <w:rsid w:val="273A61C0"/>
    <w:rsid w:val="273B04DA"/>
    <w:rsid w:val="275144E5"/>
    <w:rsid w:val="275505D7"/>
    <w:rsid w:val="275814FC"/>
    <w:rsid w:val="275D5302"/>
    <w:rsid w:val="27744C59"/>
    <w:rsid w:val="27766813"/>
    <w:rsid w:val="27B30E28"/>
    <w:rsid w:val="27D32003"/>
    <w:rsid w:val="27E03C58"/>
    <w:rsid w:val="27FD02F5"/>
    <w:rsid w:val="282104E2"/>
    <w:rsid w:val="28373807"/>
    <w:rsid w:val="284D302B"/>
    <w:rsid w:val="28793735"/>
    <w:rsid w:val="2896047E"/>
    <w:rsid w:val="28FA29D7"/>
    <w:rsid w:val="29073E62"/>
    <w:rsid w:val="290C2675"/>
    <w:rsid w:val="29151F41"/>
    <w:rsid w:val="29571049"/>
    <w:rsid w:val="296668E7"/>
    <w:rsid w:val="296729C0"/>
    <w:rsid w:val="29800321"/>
    <w:rsid w:val="29827077"/>
    <w:rsid w:val="29A3444D"/>
    <w:rsid w:val="29DA5572"/>
    <w:rsid w:val="29E538EB"/>
    <w:rsid w:val="29EB1785"/>
    <w:rsid w:val="29ED06E2"/>
    <w:rsid w:val="2A0F1713"/>
    <w:rsid w:val="2A3D1CDF"/>
    <w:rsid w:val="2A4D5ACF"/>
    <w:rsid w:val="2A52776B"/>
    <w:rsid w:val="2A7725E1"/>
    <w:rsid w:val="2A7756EC"/>
    <w:rsid w:val="2A7B06B0"/>
    <w:rsid w:val="2A96659F"/>
    <w:rsid w:val="2AC748EA"/>
    <w:rsid w:val="2AD54721"/>
    <w:rsid w:val="2AE60691"/>
    <w:rsid w:val="2AE8528D"/>
    <w:rsid w:val="2AF1087D"/>
    <w:rsid w:val="2AF21529"/>
    <w:rsid w:val="2B083239"/>
    <w:rsid w:val="2B3554D1"/>
    <w:rsid w:val="2B680F2A"/>
    <w:rsid w:val="2B7C2520"/>
    <w:rsid w:val="2B964BE2"/>
    <w:rsid w:val="2B9D3E9D"/>
    <w:rsid w:val="2BB90EC9"/>
    <w:rsid w:val="2BE3516B"/>
    <w:rsid w:val="2C0A7788"/>
    <w:rsid w:val="2C0C669E"/>
    <w:rsid w:val="2C0F18C4"/>
    <w:rsid w:val="2C180EB7"/>
    <w:rsid w:val="2C4F1FE4"/>
    <w:rsid w:val="2C73421B"/>
    <w:rsid w:val="2C791C5B"/>
    <w:rsid w:val="2C801180"/>
    <w:rsid w:val="2C856413"/>
    <w:rsid w:val="2C951159"/>
    <w:rsid w:val="2CCD461D"/>
    <w:rsid w:val="2D193ADF"/>
    <w:rsid w:val="2D4608E8"/>
    <w:rsid w:val="2D671CFB"/>
    <w:rsid w:val="2E031FBE"/>
    <w:rsid w:val="2E041450"/>
    <w:rsid w:val="2E4D2DA7"/>
    <w:rsid w:val="2E6A0855"/>
    <w:rsid w:val="2EBA2AF3"/>
    <w:rsid w:val="2EDB22DA"/>
    <w:rsid w:val="2EE02B11"/>
    <w:rsid w:val="2EF614A0"/>
    <w:rsid w:val="2EFA5757"/>
    <w:rsid w:val="2EFF4FF9"/>
    <w:rsid w:val="2F0C19DC"/>
    <w:rsid w:val="2F0C40F7"/>
    <w:rsid w:val="2F141ECB"/>
    <w:rsid w:val="2F171C26"/>
    <w:rsid w:val="2F1D2769"/>
    <w:rsid w:val="2F293D3F"/>
    <w:rsid w:val="2F324D29"/>
    <w:rsid w:val="2F494923"/>
    <w:rsid w:val="2F8356AC"/>
    <w:rsid w:val="2FA85688"/>
    <w:rsid w:val="2FAC10A5"/>
    <w:rsid w:val="2FE502F2"/>
    <w:rsid w:val="30106221"/>
    <w:rsid w:val="301B223A"/>
    <w:rsid w:val="30202536"/>
    <w:rsid w:val="303F4F48"/>
    <w:rsid w:val="30431738"/>
    <w:rsid w:val="304B3F54"/>
    <w:rsid w:val="30632DB1"/>
    <w:rsid w:val="307D476A"/>
    <w:rsid w:val="30AB2336"/>
    <w:rsid w:val="30AB2DA7"/>
    <w:rsid w:val="30BE1150"/>
    <w:rsid w:val="30C20EFF"/>
    <w:rsid w:val="30E81B43"/>
    <w:rsid w:val="30F93F6C"/>
    <w:rsid w:val="312E1123"/>
    <w:rsid w:val="313134D3"/>
    <w:rsid w:val="31467270"/>
    <w:rsid w:val="314D4550"/>
    <w:rsid w:val="31672E69"/>
    <w:rsid w:val="31964168"/>
    <w:rsid w:val="319806E1"/>
    <w:rsid w:val="31982033"/>
    <w:rsid w:val="31C125BE"/>
    <w:rsid w:val="31C256EE"/>
    <w:rsid w:val="31D23D08"/>
    <w:rsid w:val="31E93097"/>
    <w:rsid w:val="31F24695"/>
    <w:rsid w:val="320925ED"/>
    <w:rsid w:val="322814D9"/>
    <w:rsid w:val="322B1E2B"/>
    <w:rsid w:val="3231619B"/>
    <w:rsid w:val="323307AD"/>
    <w:rsid w:val="32410CE1"/>
    <w:rsid w:val="32476E07"/>
    <w:rsid w:val="32490D97"/>
    <w:rsid w:val="324B2992"/>
    <w:rsid w:val="32853B0C"/>
    <w:rsid w:val="32C54928"/>
    <w:rsid w:val="32D614FA"/>
    <w:rsid w:val="32F7427A"/>
    <w:rsid w:val="33391CD2"/>
    <w:rsid w:val="334336EF"/>
    <w:rsid w:val="336E01CA"/>
    <w:rsid w:val="3387362D"/>
    <w:rsid w:val="33952AE1"/>
    <w:rsid w:val="33975055"/>
    <w:rsid w:val="33A92017"/>
    <w:rsid w:val="33BA4A76"/>
    <w:rsid w:val="33C90BA3"/>
    <w:rsid w:val="33CB237F"/>
    <w:rsid w:val="33CE101E"/>
    <w:rsid w:val="340E1ED6"/>
    <w:rsid w:val="3419467A"/>
    <w:rsid w:val="343F3FB2"/>
    <w:rsid w:val="34474C2A"/>
    <w:rsid w:val="344D136B"/>
    <w:rsid w:val="3464035C"/>
    <w:rsid w:val="34811EF3"/>
    <w:rsid w:val="348A4A5D"/>
    <w:rsid w:val="34B87A7E"/>
    <w:rsid w:val="34C27C2F"/>
    <w:rsid w:val="34D1428A"/>
    <w:rsid w:val="34E02B31"/>
    <w:rsid w:val="34F73875"/>
    <w:rsid w:val="350A25D3"/>
    <w:rsid w:val="35150DC0"/>
    <w:rsid w:val="351C000D"/>
    <w:rsid w:val="35661288"/>
    <w:rsid w:val="357A2F85"/>
    <w:rsid w:val="357F77FE"/>
    <w:rsid w:val="358441FB"/>
    <w:rsid w:val="35A34C2E"/>
    <w:rsid w:val="35A41B9A"/>
    <w:rsid w:val="35AE0D66"/>
    <w:rsid w:val="35B40547"/>
    <w:rsid w:val="35DB206F"/>
    <w:rsid w:val="35F76C87"/>
    <w:rsid w:val="36017203"/>
    <w:rsid w:val="36022BF2"/>
    <w:rsid w:val="360302BA"/>
    <w:rsid w:val="36043570"/>
    <w:rsid w:val="36150062"/>
    <w:rsid w:val="3625067D"/>
    <w:rsid w:val="362A4462"/>
    <w:rsid w:val="36315D3A"/>
    <w:rsid w:val="363A656B"/>
    <w:rsid w:val="363C358C"/>
    <w:rsid w:val="36632D98"/>
    <w:rsid w:val="367208EA"/>
    <w:rsid w:val="36787EA8"/>
    <w:rsid w:val="36831BBE"/>
    <w:rsid w:val="3698267F"/>
    <w:rsid w:val="369F6C96"/>
    <w:rsid w:val="36AA5E15"/>
    <w:rsid w:val="36F170DC"/>
    <w:rsid w:val="36F5548F"/>
    <w:rsid w:val="371B324B"/>
    <w:rsid w:val="373B0F09"/>
    <w:rsid w:val="374970B3"/>
    <w:rsid w:val="374E2467"/>
    <w:rsid w:val="37606D7A"/>
    <w:rsid w:val="37755CB2"/>
    <w:rsid w:val="378075F2"/>
    <w:rsid w:val="3784102E"/>
    <w:rsid w:val="37863FF9"/>
    <w:rsid w:val="37AC46E2"/>
    <w:rsid w:val="37C94D44"/>
    <w:rsid w:val="37DB1591"/>
    <w:rsid w:val="37EE7B18"/>
    <w:rsid w:val="37F7065B"/>
    <w:rsid w:val="37FB3BC1"/>
    <w:rsid w:val="38037262"/>
    <w:rsid w:val="3814334B"/>
    <w:rsid w:val="382B3681"/>
    <w:rsid w:val="384968ED"/>
    <w:rsid w:val="384E5278"/>
    <w:rsid w:val="386D0B7F"/>
    <w:rsid w:val="388D2FD0"/>
    <w:rsid w:val="38A345A1"/>
    <w:rsid w:val="38B0211A"/>
    <w:rsid w:val="38C47F7E"/>
    <w:rsid w:val="38D752A5"/>
    <w:rsid w:val="38FB08CE"/>
    <w:rsid w:val="390D0211"/>
    <w:rsid w:val="390E7FA4"/>
    <w:rsid w:val="39102B87"/>
    <w:rsid w:val="393016C5"/>
    <w:rsid w:val="393F011F"/>
    <w:rsid w:val="39443303"/>
    <w:rsid w:val="39476BEA"/>
    <w:rsid w:val="39514BB5"/>
    <w:rsid w:val="395631DA"/>
    <w:rsid w:val="395C2B3D"/>
    <w:rsid w:val="396A59FE"/>
    <w:rsid w:val="397F64F6"/>
    <w:rsid w:val="39E616E0"/>
    <w:rsid w:val="39E82410"/>
    <w:rsid w:val="39F80C4C"/>
    <w:rsid w:val="3A175C59"/>
    <w:rsid w:val="3A2160C5"/>
    <w:rsid w:val="3A5336F2"/>
    <w:rsid w:val="3A564FC6"/>
    <w:rsid w:val="3A6A40BF"/>
    <w:rsid w:val="3A6D1BCD"/>
    <w:rsid w:val="3A775CE5"/>
    <w:rsid w:val="3A881CA1"/>
    <w:rsid w:val="3A9C1EB7"/>
    <w:rsid w:val="3AAC3EE7"/>
    <w:rsid w:val="3ACA421F"/>
    <w:rsid w:val="3AE91ACA"/>
    <w:rsid w:val="3AEB0602"/>
    <w:rsid w:val="3B0E6FE6"/>
    <w:rsid w:val="3B141786"/>
    <w:rsid w:val="3B203046"/>
    <w:rsid w:val="3B391331"/>
    <w:rsid w:val="3B3F110C"/>
    <w:rsid w:val="3B64455F"/>
    <w:rsid w:val="3B6A567F"/>
    <w:rsid w:val="3B6B4535"/>
    <w:rsid w:val="3B7F4620"/>
    <w:rsid w:val="3B8E778B"/>
    <w:rsid w:val="3BA207E0"/>
    <w:rsid w:val="3BB70A8F"/>
    <w:rsid w:val="3BB863B9"/>
    <w:rsid w:val="3BBE5D07"/>
    <w:rsid w:val="3BF04B59"/>
    <w:rsid w:val="3BF0561B"/>
    <w:rsid w:val="3BF05D4F"/>
    <w:rsid w:val="3BFC0B7A"/>
    <w:rsid w:val="3C3C01A5"/>
    <w:rsid w:val="3C666C3A"/>
    <w:rsid w:val="3C6908BA"/>
    <w:rsid w:val="3C7930F6"/>
    <w:rsid w:val="3C807D8C"/>
    <w:rsid w:val="3CA37E39"/>
    <w:rsid w:val="3CBB368A"/>
    <w:rsid w:val="3CCE2C86"/>
    <w:rsid w:val="3CDB01AA"/>
    <w:rsid w:val="3CE52726"/>
    <w:rsid w:val="3CF63839"/>
    <w:rsid w:val="3D0B7114"/>
    <w:rsid w:val="3D16174F"/>
    <w:rsid w:val="3D1C4922"/>
    <w:rsid w:val="3D26765E"/>
    <w:rsid w:val="3D415A48"/>
    <w:rsid w:val="3D887ACD"/>
    <w:rsid w:val="3D8D6198"/>
    <w:rsid w:val="3D986A09"/>
    <w:rsid w:val="3D996E6C"/>
    <w:rsid w:val="3DE37ED1"/>
    <w:rsid w:val="3DEE6783"/>
    <w:rsid w:val="3DF96C6B"/>
    <w:rsid w:val="3E393BDD"/>
    <w:rsid w:val="3E4544C3"/>
    <w:rsid w:val="3E5C093F"/>
    <w:rsid w:val="3EA82911"/>
    <w:rsid w:val="3EB93E32"/>
    <w:rsid w:val="3ECB055B"/>
    <w:rsid w:val="3EE2091E"/>
    <w:rsid w:val="3EE86A50"/>
    <w:rsid w:val="3EF800E3"/>
    <w:rsid w:val="3F195699"/>
    <w:rsid w:val="3F211EC4"/>
    <w:rsid w:val="3F266C56"/>
    <w:rsid w:val="3F292E05"/>
    <w:rsid w:val="3F3C1640"/>
    <w:rsid w:val="3F972B46"/>
    <w:rsid w:val="3FB87E96"/>
    <w:rsid w:val="3FD5201A"/>
    <w:rsid w:val="3FEB1A1B"/>
    <w:rsid w:val="400B13AA"/>
    <w:rsid w:val="40410560"/>
    <w:rsid w:val="4051570C"/>
    <w:rsid w:val="406B009A"/>
    <w:rsid w:val="40BB6421"/>
    <w:rsid w:val="40FD263F"/>
    <w:rsid w:val="41181F00"/>
    <w:rsid w:val="41265175"/>
    <w:rsid w:val="41283F62"/>
    <w:rsid w:val="41352A55"/>
    <w:rsid w:val="41365A86"/>
    <w:rsid w:val="416A0FAE"/>
    <w:rsid w:val="41702BC7"/>
    <w:rsid w:val="418C6C78"/>
    <w:rsid w:val="41B21198"/>
    <w:rsid w:val="41B40CC9"/>
    <w:rsid w:val="41C70668"/>
    <w:rsid w:val="41CA0DF1"/>
    <w:rsid w:val="41E750BA"/>
    <w:rsid w:val="420741F2"/>
    <w:rsid w:val="420C1409"/>
    <w:rsid w:val="420C19AE"/>
    <w:rsid w:val="42166E35"/>
    <w:rsid w:val="4246431B"/>
    <w:rsid w:val="4248682C"/>
    <w:rsid w:val="42601C37"/>
    <w:rsid w:val="42772BD7"/>
    <w:rsid w:val="42BD7829"/>
    <w:rsid w:val="42BF74A1"/>
    <w:rsid w:val="42E44134"/>
    <w:rsid w:val="42E82497"/>
    <w:rsid w:val="42EE7CCC"/>
    <w:rsid w:val="42F223AD"/>
    <w:rsid w:val="431313FE"/>
    <w:rsid w:val="432F7FB9"/>
    <w:rsid w:val="438B7954"/>
    <w:rsid w:val="439C238B"/>
    <w:rsid w:val="43AE4585"/>
    <w:rsid w:val="440A4862"/>
    <w:rsid w:val="441310E9"/>
    <w:rsid w:val="44186D42"/>
    <w:rsid w:val="44873ED7"/>
    <w:rsid w:val="44C335AE"/>
    <w:rsid w:val="451F1453"/>
    <w:rsid w:val="458D5056"/>
    <w:rsid w:val="45C5440A"/>
    <w:rsid w:val="45E510FF"/>
    <w:rsid w:val="46143509"/>
    <w:rsid w:val="462142F6"/>
    <w:rsid w:val="462431C5"/>
    <w:rsid w:val="46276812"/>
    <w:rsid w:val="4691012F"/>
    <w:rsid w:val="46A11AC2"/>
    <w:rsid w:val="46BA58D8"/>
    <w:rsid w:val="46CC0C34"/>
    <w:rsid w:val="46D21C8C"/>
    <w:rsid w:val="46DC4A5B"/>
    <w:rsid w:val="46ED1809"/>
    <w:rsid w:val="4702556E"/>
    <w:rsid w:val="471423DC"/>
    <w:rsid w:val="47290145"/>
    <w:rsid w:val="472B0D2E"/>
    <w:rsid w:val="47523754"/>
    <w:rsid w:val="4753464D"/>
    <w:rsid w:val="47B1793C"/>
    <w:rsid w:val="47B57A7C"/>
    <w:rsid w:val="47BB1907"/>
    <w:rsid w:val="47D0150F"/>
    <w:rsid w:val="47EC3C3B"/>
    <w:rsid w:val="48125934"/>
    <w:rsid w:val="48483756"/>
    <w:rsid w:val="4851552D"/>
    <w:rsid w:val="48592107"/>
    <w:rsid w:val="486350DD"/>
    <w:rsid w:val="486F4F35"/>
    <w:rsid w:val="487E3606"/>
    <w:rsid w:val="489A0623"/>
    <w:rsid w:val="48A55A4A"/>
    <w:rsid w:val="48BE5D66"/>
    <w:rsid w:val="48BF0C57"/>
    <w:rsid w:val="48CA7D6F"/>
    <w:rsid w:val="48F452BE"/>
    <w:rsid w:val="49006192"/>
    <w:rsid w:val="49192FBD"/>
    <w:rsid w:val="492B0F7A"/>
    <w:rsid w:val="49586777"/>
    <w:rsid w:val="495C55EB"/>
    <w:rsid w:val="4968786D"/>
    <w:rsid w:val="497C3026"/>
    <w:rsid w:val="498B5111"/>
    <w:rsid w:val="49A55B62"/>
    <w:rsid w:val="4A253068"/>
    <w:rsid w:val="4A350504"/>
    <w:rsid w:val="4A3C6604"/>
    <w:rsid w:val="4A74770D"/>
    <w:rsid w:val="4A757BB4"/>
    <w:rsid w:val="4A7C0296"/>
    <w:rsid w:val="4AC34176"/>
    <w:rsid w:val="4AD25A66"/>
    <w:rsid w:val="4AE505C6"/>
    <w:rsid w:val="4AFF1476"/>
    <w:rsid w:val="4B08477A"/>
    <w:rsid w:val="4B1F5530"/>
    <w:rsid w:val="4B2B3ABA"/>
    <w:rsid w:val="4B2D0BCE"/>
    <w:rsid w:val="4B346F46"/>
    <w:rsid w:val="4B8274C8"/>
    <w:rsid w:val="4BA03811"/>
    <w:rsid w:val="4BA67362"/>
    <w:rsid w:val="4BAE2620"/>
    <w:rsid w:val="4BAE572F"/>
    <w:rsid w:val="4BD3430F"/>
    <w:rsid w:val="4BDB7D66"/>
    <w:rsid w:val="4C0849EF"/>
    <w:rsid w:val="4C243CFD"/>
    <w:rsid w:val="4C5F256D"/>
    <w:rsid w:val="4C885083"/>
    <w:rsid w:val="4C9027F4"/>
    <w:rsid w:val="4CA71561"/>
    <w:rsid w:val="4CAA33B7"/>
    <w:rsid w:val="4CDC1C7E"/>
    <w:rsid w:val="4D0E4114"/>
    <w:rsid w:val="4D3968E0"/>
    <w:rsid w:val="4D400747"/>
    <w:rsid w:val="4D4E6D7A"/>
    <w:rsid w:val="4D685497"/>
    <w:rsid w:val="4D826A23"/>
    <w:rsid w:val="4D8F09F9"/>
    <w:rsid w:val="4D9F7172"/>
    <w:rsid w:val="4DA2038B"/>
    <w:rsid w:val="4DA64F3B"/>
    <w:rsid w:val="4DA92C12"/>
    <w:rsid w:val="4DC07FF9"/>
    <w:rsid w:val="4DC42702"/>
    <w:rsid w:val="4DFB0F10"/>
    <w:rsid w:val="4DFB3357"/>
    <w:rsid w:val="4DFE56A5"/>
    <w:rsid w:val="4E0D3DCC"/>
    <w:rsid w:val="4E1E047D"/>
    <w:rsid w:val="4E596715"/>
    <w:rsid w:val="4E6A7B35"/>
    <w:rsid w:val="4E6E0A9D"/>
    <w:rsid w:val="4E902822"/>
    <w:rsid w:val="4E9900EF"/>
    <w:rsid w:val="4ECE0172"/>
    <w:rsid w:val="4ED334F6"/>
    <w:rsid w:val="4EDE5EDB"/>
    <w:rsid w:val="4EFA56F3"/>
    <w:rsid w:val="4EFB1C7A"/>
    <w:rsid w:val="4F122809"/>
    <w:rsid w:val="4F2A1121"/>
    <w:rsid w:val="4F3D7DA6"/>
    <w:rsid w:val="4F606DC8"/>
    <w:rsid w:val="4F676139"/>
    <w:rsid w:val="4F67627C"/>
    <w:rsid w:val="4FAA2D7A"/>
    <w:rsid w:val="4FAB5E90"/>
    <w:rsid w:val="4FB21C6C"/>
    <w:rsid w:val="4FB3166B"/>
    <w:rsid w:val="4FDE19B0"/>
    <w:rsid w:val="4FE6665C"/>
    <w:rsid w:val="500C1732"/>
    <w:rsid w:val="50402F7F"/>
    <w:rsid w:val="5060632A"/>
    <w:rsid w:val="507E7B3A"/>
    <w:rsid w:val="508E3DF6"/>
    <w:rsid w:val="50A74117"/>
    <w:rsid w:val="50BC3FFA"/>
    <w:rsid w:val="50FD505F"/>
    <w:rsid w:val="51043F34"/>
    <w:rsid w:val="51136F88"/>
    <w:rsid w:val="51215864"/>
    <w:rsid w:val="51681B2C"/>
    <w:rsid w:val="519354A4"/>
    <w:rsid w:val="51D35788"/>
    <w:rsid w:val="51F36F04"/>
    <w:rsid w:val="522F25EF"/>
    <w:rsid w:val="5239274A"/>
    <w:rsid w:val="5243093A"/>
    <w:rsid w:val="528C3897"/>
    <w:rsid w:val="52930E44"/>
    <w:rsid w:val="52AA79D3"/>
    <w:rsid w:val="52C04276"/>
    <w:rsid w:val="52DD2ADB"/>
    <w:rsid w:val="530C3017"/>
    <w:rsid w:val="53504F6F"/>
    <w:rsid w:val="53945FED"/>
    <w:rsid w:val="53A022C0"/>
    <w:rsid w:val="53AE60F0"/>
    <w:rsid w:val="53B96DAA"/>
    <w:rsid w:val="53E37727"/>
    <w:rsid w:val="53E810E7"/>
    <w:rsid w:val="541274AF"/>
    <w:rsid w:val="5427381E"/>
    <w:rsid w:val="54303976"/>
    <w:rsid w:val="54327D04"/>
    <w:rsid w:val="544F31BB"/>
    <w:rsid w:val="54522366"/>
    <w:rsid w:val="5455703C"/>
    <w:rsid w:val="54593FA4"/>
    <w:rsid w:val="545C2C7B"/>
    <w:rsid w:val="54690F1C"/>
    <w:rsid w:val="547C5A68"/>
    <w:rsid w:val="54AE17FE"/>
    <w:rsid w:val="54B6579D"/>
    <w:rsid w:val="54FB791B"/>
    <w:rsid w:val="550E2F00"/>
    <w:rsid w:val="5518045D"/>
    <w:rsid w:val="5569414A"/>
    <w:rsid w:val="559952BD"/>
    <w:rsid w:val="559F61BE"/>
    <w:rsid w:val="55E738C7"/>
    <w:rsid w:val="55E91238"/>
    <w:rsid w:val="55F85AB0"/>
    <w:rsid w:val="5607520D"/>
    <w:rsid w:val="560938B4"/>
    <w:rsid w:val="562E0A37"/>
    <w:rsid w:val="563556BD"/>
    <w:rsid w:val="56460D3D"/>
    <w:rsid w:val="566C7340"/>
    <w:rsid w:val="56884B86"/>
    <w:rsid w:val="56C65522"/>
    <w:rsid w:val="571D46AE"/>
    <w:rsid w:val="57330BB7"/>
    <w:rsid w:val="576979A1"/>
    <w:rsid w:val="578246C0"/>
    <w:rsid w:val="578E5401"/>
    <w:rsid w:val="57951522"/>
    <w:rsid w:val="579E6072"/>
    <w:rsid w:val="57BE68AA"/>
    <w:rsid w:val="57C90BC2"/>
    <w:rsid w:val="57DC5214"/>
    <w:rsid w:val="57F2732C"/>
    <w:rsid w:val="5809477E"/>
    <w:rsid w:val="58112E7E"/>
    <w:rsid w:val="581B0017"/>
    <w:rsid w:val="581F4C4D"/>
    <w:rsid w:val="582F62AD"/>
    <w:rsid w:val="583328E6"/>
    <w:rsid w:val="58382DD5"/>
    <w:rsid w:val="5846419E"/>
    <w:rsid w:val="584979D8"/>
    <w:rsid w:val="585D60C3"/>
    <w:rsid w:val="58981FD1"/>
    <w:rsid w:val="58DA34EC"/>
    <w:rsid w:val="5905154D"/>
    <w:rsid w:val="590A69FC"/>
    <w:rsid w:val="59142E94"/>
    <w:rsid w:val="592F262A"/>
    <w:rsid w:val="594640E9"/>
    <w:rsid w:val="59696E29"/>
    <w:rsid w:val="596E33D7"/>
    <w:rsid w:val="597A3F72"/>
    <w:rsid w:val="5999137D"/>
    <w:rsid w:val="59AC3B2A"/>
    <w:rsid w:val="59AC6E5C"/>
    <w:rsid w:val="59C02DAD"/>
    <w:rsid w:val="59CC241A"/>
    <w:rsid w:val="59CD719F"/>
    <w:rsid w:val="59D559E9"/>
    <w:rsid w:val="59D610AB"/>
    <w:rsid w:val="5A7657E7"/>
    <w:rsid w:val="5A875679"/>
    <w:rsid w:val="5A8E52FA"/>
    <w:rsid w:val="5AA41C0B"/>
    <w:rsid w:val="5AC774AF"/>
    <w:rsid w:val="5AD90EC3"/>
    <w:rsid w:val="5AF0321E"/>
    <w:rsid w:val="5B0117E0"/>
    <w:rsid w:val="5B0234BB"/>
    <w:rsid w:val="5B07760D"/>
    <w:rsid w:val="5B25079D"/>
    <w:rsid w:val="5B2D7096"/>
    <w:rsid w:val="5B310278"/>
    <w:rsid w:val="5B4A41FA"/>
    <w:rsid w:val="5B744CAB"/>
    <w:rsid w:val="5B751975"/>
    <w:rsid w:val="5B9A43B1"/>
    <w:rsid w:val="5B9D79AC"/>
    <w:rsid w:val="5BB57CD3"/>
    <w:rsid w:val="5BDC5720"/>
    <w:rsid w:val="5BE26B49"/>
    <w:rsid w:val="5BFC3492"/>
    <w:rsid w:val="5C280FF8"/>
    <w:rsid w:val="5C2A0852"/>
    <w:rsid w:val="5C3D7C65"/>
    <w:rsid w:val="5C4C2515"/>
    <w:rsid w:val="5C8251F1"/>
    <w:rsid w:val="5CBA3A8E"/>
    <w:rsid w:val="5CF05758"/>
    <w:rsid w:val="5D072AA1"/>
    <w:rsid w:val="5D211ED7"/>
    <w:rsid w:val="5D2931F2"/>
    <w:rsid w:val="5D5053A0"/>
    <w:rsid w:val="5D570E53"/>
    <w:rsid w:val="5D660612"/>
    <w:rsid w:val="5D903B5B"/>
    <w:rsid w:val="5D9D7180"/>
    <w:rsid w:val="5DBA08E6"/>
    <w:rsid w:val="5DC6455A"/>
    <w:rsid w:val="5DCD5AB1"/>
    <w:rsid w:val="5DF01334"/>
    <w:rsid w:val="5DF17A00"/>
    <w:rsid w:val="5DFF28D7"/>
    <w:rsid w:val="5E053374"/>
    <w:rsid w:val="5E165830"/>
    <w:rsid w:val="5E1716E8"/>
    <w:rsid w:val="5E5B00A2"/>
    <w:rsid w:val="5E6C6EC7"/>
    <w:rsid w:val="5E6D1D4D"/>
    <w:rsid w:val="5E766B94"/>
    <w:rsid w:val="5EA04F5B"/>
    <w:rsid w:val="5EA5733F"/>
    <w:rsid w:val="5F1A5AAA"/>
    <w:rsid w:val="5F415349"/>
    <w:rsid w:val="5F710F8A"/>
    <w:rsid w:val="5F7619B1"/>
    <w:rsid w:val="5F8649E0"/>
    <w:rsid w:val="5F943A1C"/>
    <w:rsid w:val="5FA152F2"/>
    <w:rsid w:val="5FA9552A"/>
    <w:rsid w:val="5FBC4A8E"/>
    <w:rsid w:val="5FE21EE6"/>
    <w:rsid w:val="5FE6027F"/>
    <w:rsid w:val="602168FA"/>
    <w:rsid w:val="60222571"/>
    <w:rsid w:val="60271ED5"/>
    <w:rsid w:val="602F0FA4"/>
    <w:rsid w:val="60472A84"/>
    <w:rsid w:val="60532270"/>
    <w:rsid w:val="60545FFD"/>
    <w:rsid w:val="607F6569"/>
    <w:rsid w:val="608040A2"/>
    <w:rsid w:val="6087255A"/>
    <w:rsid w:val="608C13BB"/>
    <w:rsid w:val="609103C8"/>
    <w:rsid w:val="60A2357A"/>
    <w:rsid w:val="60A33525"/>
    <w:rsid w:val="60A705D3"/>
    <w:rsid w:val="60C12CF0"/>
    <w:rsid w:val="60CC6762"/>
    <w:rsid w:val="60E7219D"/>
    <w:rsid w:val="60E858BB"/>
    <w:rsid w:val="60F63B21"/>
    <w:rsid w:val="61040CF3"/>
    <w:rsid w:val="61124A6E"/>
    <w:rsid w:val="614A48C3"/>
    <w:rsid w:val="61662E40"/>
    <w:rsid w:val="61972646"/>
    <w:rsid w:val="61BC0487"/>
    <w:rsid w:val="61BE60B9"/>
    <w:rsid w:val="61D10F62"/>
    <w:rsid w:val="61DE64C9"/>
    <w:rsid w:val="61E65FC3"/>
    <w:rsid w:val="61EE43B6"/>
    <w:rsid w:val="61FE0F4D"/>
    <w:rsid w:val="621439E4"/>
    <w:rsid w:val="62214023"/>
    <w:rsid w:val="622C13CB"/>
    <w:rsid w:val="6237545E"/>
    <w:rsid w:val="62410B76"/>
    <w:rsid w:val="627E3805"/>
    <w:rsid w:val="628517D7"/>
    <w:rsid w:val="62B73B4D"/>
    <w:rsid w:val="62C22793"/>
    <w:rsid w:val="62F45876"/>
    <w:rsid w:val="63456265"/>
    <w:rsid w:val="635C30CA"/>
    <w:rsid w:val="63B32382"/>
    <w:rsid w:val="63B70D7D"/>
    <w:rsid w:val="63D1566C"/>
    <w:rsid w:val="63F27893"/>
    <w:rsid w:val="64065E25"/>
    <w:rsid w:val="642F3009"/>
    <w:rsid w:val="64590540"/>
    <w:rsid w:val="646F3406"/>
    <w:rsid w:val="6483481B"/>
    <w:rsid w:val="648E7C0A"/>
    <w:rsid w:val="64A95026"/>
    <w:rsid w:val="64AD7E4B"/>
    <w:rsid w:val="64BC6376"/>
    <w:rsid w:val="64C55AE4"/>
    <w:rsid w:val="64E7105A"/>
    <w:rsid w:val="64E9765C"/>
    <w:rsid w:val="64FD4ECE"/>
    <w:rsid w:val="65226C51"/>
    <w:rsid w:val="65395C15"/>
    <w:rsid w:val="653E11E7"/>
    <w:rsid w:val="653F1D5D"/>
    <w:rsid w:val="657A20C5"/>
    <w:rsid w:val="657A68C3"/>
    <w:rsid w:val="65874B68"/>
    <w:rsid w:val="65935749"/>
    <w:rsid w:val="6599323D"/>
    <w:rsid w:val="659F51E5"/>
    <w:rsid w:val="65A02E2D"/>
    <w:rsid w:val="65C00404"/>
    <w:rsid w:val="65D3543A"/>
    <w:rsid w:val="65E63742"/>
    <w:rsid w:val="65F37903"/>
    <w:rsid w:val="660467C4"/>
    <w:rsid w:val="662D16A4"/>
    <w:rsid w:val="66300015"/>
    <w:rsid w:val="66487948"/>
    <w:rsid w:val="6665490E"/>
    <w:rsid w:val="667B30F3"/>
    <w:rsid w:val="66BE7558"/>
    <w:rsid w:val="66D734E4"/>
    <w:rsid w:val="66DD6D04"/>
    <w:rsid w:val="66E459E8"/>
    <w:rsid w:val="66EE124E"/>
    <w:rsid w:val="66F313F1"/>
    <w:rsid w:val="66FB19EF"/>
    <w:rsid w:val="671769D1"/>
    <w:rsid w:val="67353C57"/>
    <w:rsid w:val="675716B9"/>
    <w:rsid w:val="675C06C7"/>
    <w:rsid w:val="6760122F"/>
    <w:rsid w:val="677D18AB"/>
    <w:rsid w:val="67835A30"/>
    <w:rsid w:val="67B23084"/>
    <w:rsid w:val="67D96967"/>
    <w:rsid w:val="67E2198E"/>
    <w:rsid w:val="67E22391"/>
    <w:rsid w:val="67EF12FA"/>
    <w:rsid w:val="683000BA"/>
    <w:rsid w:val="683E0616"/>
    <w:rsid w:val="68483782"/>
    <w:rsid w:val="686D4866"/>
    <w:rsid w:val="68823CD5"/>
    <w:rsid w:val="68A17D9A"/>
    <w:rsid w:val="68A753BB"/>
    <w:rsid w:val="68B323B0"/>
    <w:rsid w:val="68F474BC"/>
    <w:rsid w:val="68FA2BBB"/>
    <w:rsid w:val="690C64FB"/>
    <w:rsid w:val="69147BBD"/>
    <w:rsid w:val="691711F3"/>
    <w:rsid w:val="69283983"/>
    <w:rsid w:val="696629DC"/>
    <w:rsid w:val="698646DD"/>
    <w:rsid w:val="69913047"/>
    <w:rsid w:val="699F55BE"/>
    <w:rsid w:val="69B0677A"/>
    <w:rsid w:val="69B643C0"/>
    <w:rsid w:val="69B6478E"/>
    <w:rsid w:val="69CB6558"/>
    <w:rsid w:val="69F50AB8"/>
    <w:rsid w:val="6A0A6608"/>
    <w:rsid w:val="6A261B37"/>
    <w:rsid w:val="6A293A4C"/>
    <w:rsid w:val="6A3C5534"/>
    <w:rsid w:val="6A5248F7"/>
    <w:rsid w:val="6A9A3873"/>
    <w:rsid w:val="6A9D3A40"/>
    <w:rsid w:val="6AAB53B4"/>
    <w:rsid w:val="6AED171D"/>
    <w:rsid w:val="6AED7A4F"/>
    <w:rsid w:val="6AFA72D5"/>
    <w:rsid w:val="6B3F233C"/>
    <w:rsid w:val="6B4C78C6"/>
    <w:rsid w:val="6B5D5711"/>
    <w:rsid w:val="6BA83ABD"/>
    <w:rsid w:val="6BCC18B7"/>
    <w:rsid w:val="6BD74C1C"/>
    <w:rsid w:val="6BDD6D46"/>
    <w:rsid w:val="6BE20941"/>
    <w:rsid w:val="6BE723D0"/>
    <w:rsid w:val="6BF36128"/>
    <w:rsid w:val="6C010A69"/>
    <w:rsid w:val="6C026E8E"/>
    <w:rsid w:val="6C15664C"/>
    <w:rsid w:val="6C1B22EF"/>
    <w:rsid w:val="6C335661"/>
    <w:rsid w:val="6C505E5F"/>
    <w:rsid w:val="6C5A6F29"/>
    <w:rsid w:val="6C6A16B7"/>
    <w:rsid w:val="6C7A7686"/>
    <w:rsid w:val="6C930995"/>
    <w:rsid w:val="6C9A73E2"/>
    <w:rsid w:val="6CA32C65"/>
    <w:rsid w:val="6CC1587C"/>
    <w:rsid w:val="6CC2631E"/>
    <w:rsid w:val="6CCF78D1"/>
    <w:rsid w:val="6CD22432"/>
    <w:rsid w:val="6CE459FA"/>
    <w:rsid w:val="6D06067F"/>
    <w:rsid w:val="6D3B2A1F"/>
    <w:rsid w:val="6D5B25D2"/>
    <w:rsid w:val="6D6257D8"/>
    <w:rsid w:val="6D8C2A9E"/>
    <w:rsid w:val="6D902782"/>
    <w:rsid w:val="6DB12550"/>
    <w:rsid w:val="6DBE198C"/>
    <w:rsid w:val="6E1466B3"/>
    <w:rsid w:val="6E5B249E"/>
    <w:rsid w:val="6E7D50E8"/>
    <w:rsid w:val="6EBB68D6"/>
    <w:rsid w:val="6ECD4E21"/>
    <w:rsid w:val="6ED64148"/>
    <w:rsid w:val="6EE41593"/>
    <w:rsid w:val="6F165564"/>
    <w:rsid w:val="6F657617"/>
    <w:rsid w:val="6F963A7C"/>
    <w:rsid w:val="6FB52DC9"/>
    <w:rsid w:val="6FDC041F"/>
    <w:rsid w:val="70737CF8"/>
    <w:rsid w:val="708B23B8"/>
    <w:rsid w:val="70AF7F3B"/>
    <w:rsid w:val="70CB40BA"/>
    <w:rsid w:val="70D4382C"/>
    <w:rsid w:val="70EE3B46"/>
    <w:rsid w:val="714A6419"/>
    <w:rsid w:val="715630C1"/>
    <w:rsid w:val="715636B3"/>
    <w:rsid w:val="716854F9"/>
    <w:rsid w:val="717547AB"/>
    <w:rsid w:val="71816EA6"/>
    <w:rsid w:val="718323FF"/>
    <w:rsid w:val="71881D13"/>
    <w:rsid w:val="71990420"/>
    <w:rsid w:val="71B1583B"/>
    <w:rsid w:val="71E9334A"/>
    <w:rsid w:val="71EA0198"/>
    <w:rsid w:val="720C087B"/>
    <w:rsid w:val="72495CF8"/>
    <w:rsid w:val="724A6AE2"/>
    <w:rsid w:val="72AC3A77"/>
    <w:rsid w:val="72C3711F"/>
    <w:rsid w:val="72EB21DB"/>
    <w:rsid w:val="730E2034"/>
    <w:rsid w:val="731303C2"/>
    <w:rsid w:val="732015E4"/>
    <w:rsid w:val="732D75DB"/>
    <w:rsid w:val="73347454"/>
    <w:rsid w:val="7346443F"/>
    <w:rsid w:val="73777310"/>
    <w:rsid w:val="739C3230"/>
    <w:rsid w:val="73A35F61"/>
    <w:rsid w:val="73B575B4"/>
    <w:rsid w:val="73B8331E"/>
    <w:rsid w:val="73BB2DEC"/>
    <w:rsid w:val="74103B23"/>
    <w:rsid w:val="741E2752"/>
    <w:rsid w:val="745D668E"/>
    <w:rsid w:val="74615E63"/>
    <w:rsid w:val="748928BF"/>
    <w:rsid w:val="749D2978"/>
    <w:rsid w:val="74B07BFB"/>
    <w:rsid w:val="74B41715"/>
    <w:rsid w:val="74BE1A94"/>
    <w:rsid w:val="7520142F"/>
    <w:rsid w:val="75560981"/>
    <w:rsid w:val="755A1343"/>
    <w:rsid w:val="76117996"/>
    <w:rsid w:val="7612015E"/>
    <w:rsid w:val="761262E7"/>
    <w:rsid w:val="76131373"/>
    <w:rsid w:val="763E0152"/>
    <w:rsid w:val="765D5821"/>
    <w:rsid w:val="767268B3"/>
    <w:rsid w:val="76802BAB"/>
    <w:rsid w:val="768B4E58"/>
    <w:rsid w:val="769F550A"/>
    <w:rsid w:val="76B43F9E"/>
    <w:rsid w:val="76C57C6B"/>
    <w:rsid w:val="76D53CC7"/>
    <w:rsid w:val="772D6A61"/>
    <w:rsid w:val="772F077E"/>
    <w:rsid w:val="773523EB"/>
    <w:rsid w:val="77392F37"/>
    <w:rsid w:val="773B20AC"/>
    <w:rsid w:val="776039AE"/>
    <w:rsid w:val="77617526"/>
    <w:rsid w:val="776A000A"/>
    <w:rsid w:val="776A6017"/>
    <w:rsid w:val="77751EB9"/>
    <w:rsid w:val="778265BD"/>
    <w:rsid w:val="779F3094"/>
    <w:rsid w:val="77AA3D6E"/>
    <w:rsid w:val="77C170F8"/>
    <w:rsid w:val="77DD0A8B"/>
    <w:rsid w:val="78022554"/>
    <w:rsid w:val="784716F6"/>
    <w:rsid w:val="784E128F"/>
    <w:rsid w:val="78575A14"/>
    <w:rsid w:val="786B6188"/>
    <w:rsid w:val="78A17EC8"/>
    <w:rsid w:val="78A72130"/>
    <w:rsid w:val="78B71DA2"/>
    <w:rsid w:val="78CE0852"/>
    <w:rsid w:val="78EC4511"/>
    <w:rsid w:val="78F022C0"/>
    <w:rsid w:val="79032CB8"/>
    <w:rsid w:val="79045D63"/>
    <w:rsid w:val="790760D4"/>
    <w:rsid w:val="7916257A"/>
    <w:rsid w:val="792358CF"/>
    <w:rsid w:val="7952173F"/>
    <w:rsid w:val="79532E9E"/>
    <w:rsid w:val="79553A22"/>
    <w:rsid w:val="795C7CD3"/>
    <w:rsid w:val="796C43A2"/>
    <w:rsid w:val="7977155C"/>
    <w:rsid w:val="797771A9"/>
    <w:rsid w:val="79800495"/>
    <w:rsid w:val="799314ED"/>
    <w:rsid w:val="79A0791B"/>
    <w:rsid w:val="79B9231F"/>
    <w:rsid w:val="79BA78A1"/>
    <w:rsid w:val="79D63373"/>
    <w:rsid w:val="79DB5275"/>
    <w:rsid w:val="79DB5B37"/>
    <w:rsid w:val="79E50D2E"/>
    <w:rsid w:val="79F547B0"/>
    <w:rsid w:val="79F7539E"/>
    <w:rsid w:val="7A2609C8"/>
    <w:rsid w:val="7A2742CE"/>
    <w:rsid w:val="7A6455E1"/>
    <w:rsid w:val="7A6652E2"/>
    <w:rsid w:val="7A90621A"/>
    <w:rsid w:val="7A927D7D"/>
    <w:rsid w:val="7A9419C0"/>
    <w:rsid w:val="7AAD4F1A"/>
    <w:rsid w:val="7ACA255C"/>
    <w:rsid w:val="7AD579F5"/>
    <w:rsid w:val="7AD936C0"/>
    <w:rsid w:val="7AE76574"/>
    <w:rsid w:val="7B1A71E9"/>
    <w:rsid w:val="7B487C71"/>
    <w:rsid w:val="7B4A4BA9"/>
    <w:rsid w:val="7B527E70"/>
    <w:rsid w:val="7B5A542E"/>
    <w:rsid w:val="7B5B514C"/>
    <w:rsid w:val="7B6102EE"/>
    <w:rsid w:val="7B7F441F"/>
    <w:rsid w:val="7BB3231A"/>
    <w:rsid w:val="7BB6389B"/>
    <w:rsid w:val="7BBD646D"/>
    <w:rsid w:val="7BFB14AF"/>
    <w:rsid w:val="7C082274"/>
    <w:rsid w:val="7C13734B"/>
    <w:rsid w:val="7C16617D"/>
    <w:rsid w:val="7C170CF3"/>
    <w:rsid w:val="7C3A6597"/>
    <w:rsid w:val="7C603936"/>
    <w:rsid w:val="7C6F2849"/>
    <w:rsid w:val="7C730B6E"/>
    <w:rsid w:val="7CA441FA"/>
    <w:rsid w:val="7CA91E48"/>
    <w:rsid w:val="7CBC3BE6"/>
    <w:rsid w:val="7CC12815"/>
    <w:rsid w:val="7D093DD6"/>
    <w:rsid w:val="7D2C760B"/>
    <w:rsid w:val="7D3423EA"/>
    <w:rsid w:val="7D3D4582"/>
    <w:rsid w:val="7D482B0C"/>
    <w:rsid w:val="7D5471E5"/>
    <w:rsid w:val="7D7653AD"/>
    <w:rsid w:val="7D937D0D"/>
    <w:rsid w:val="7D9571CC"/>
    <w:rsid w:val="7DB40D38"/>
    <w:rsid w:val="7DD301BC"/>
    <w:rsid w:val="7DDA1DE0"/>
    <w:rsid w:val="7DDA4FA3"/>
    <w:rsid w:val="7E682EAC"/>
    <w:rsid w:val="7E6D0ADC"/>
    <w:rsid w:val="7E7C2E97"/>
    <w:rsid w:val="7E9B4C61"/>
    <w:rsid w:val="7E9E5CD3"/>
    <w:rsid w:val="7EA8573F"/>
    <w:rsid w:val="7EDD6A1B"/>
    <w:rsid w:val="7F125EB0"/>
    <w:rsid w:val="7F4734A5"/>
    <w:rsid w:val="7F5D1CE2"/>
    <w:rsid w:val="7F6013D3"/>
    <w:rsid w:val="7F7C6A8F"/>
    <w:rsid w:val="7F810CA0"/>
    <w:rsid w:val="7F9A4037"/>
    <w:rsid w:val="7F9F5DEF"/>
    <w:rsid w:val="7FBB24A7"/>
    <w:rsid w:val="7FDC7A9E"/>
    <w:rsid w:val="7FEE0CDF"/>
    <w:rsid w:val="7FF07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iPriority="99" w:semiHidden="0" w:name="HTML Acronym"/>
    <w:lsdException w:unhideWhenUsed="0" w:uiPriority="1" w:semiHidden="0" w:name="HTML Address"/>
    <w:lsdException w:qFormat="1" w:uiPriority="99" w:semiHidden="0" w:name="HTML Cite"/>
    <w:lsdException w:qFormat="1" w:unhideWhenUsed="0" w:uiPriority="99" w:semiHidden="0" w:name="HTML Code"/>
    <w:lsdException w:qFormat="1" w:unhideWhenUsed="0" w:uiPriority="99" w:semiHidden="0" w:name="HTML Definition"/>
    <w:lsdException w:qFormat="1" w:unhideWhenUsed="0" w:uiPriority="1" w:semiHidden="0" w:name="HTML Keyboard"/>
    <w:lsdException w:qFormat="1" w:unhideWhenUsed="0" w:uiPriority="99" w:semiHidden="0" w:name="HTML Preformatted"/>
    <w:lsdException w:qFormat="1" w:unhideWhenUsed="0" w:uiPriority="1" w:semiHidden="0" w:name="HTML Sample"/>
    <w:lsdException w:unhideWhenUsed="0" w:uiPriority="1" w:semiHidden="0" w:name="HTML Typewriter"/>
    <w:lsdException w:qFormat="1" w:uiPriority="99"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0"/>
    <w:pPr>
      <w:keepNext/>
      <w:autoSpaceDE w:val="0"/>
      <w:autoSpaceDN w:val="0"/>
      <w:adjustRightInd w:val="0"/>
      <w:spacing w:before="50" w:beforeLines="50"/>
      <w:jc w:val="center"/>
      <w:outlineLvl w:val="0"/>
    </w:pPr>
    <w:rPr>
      <w:b/>
      <w:bCs/>
      <w:color w:val="000000"/>
      <w:kern w:val="0"/>
      <w:sz w:val="32"/>
      <w:szCs w:val="20"/>
    </w:rPr>
  </w:style>
  <w:style w:type="paragraph" w:styleId="3">
    <w:name w:val="heading 2"/>
    <w:basedOn w:val="1"/>
    <w:next w:val="1"/>
    <w:link w:val="88"/>
    <w:qFormat/>
    <w:uiPriority w:val="0"/>
    <w:pPr>
      <w:keepNext/>
      <w:keepLines/>
      <w:jc w:val="center"/>
      <w:outlineLvl w:val="1"/>
    </w:pPr>
    <w:rPr>
      <w:b/>
      <w:bCs/>
      <w:sz w:val="28"/>
      <w:szCs w:val="32"/>
    </w:rPr>
  </w:style>
  <w:style w:type="paragraph" w:styleId="4">
    <w:name w:val="heading 3"/>
    <w:basedOn w:val="1"/>
    <w:next w:val="1"/>
    <w:link w:val="121"/>
    <w:qFormat/>
    <w:uiPriority w:val="0"/>
    <w:pPr>
      <w:keepNext/>
      <w:keepLines/>
      <w:tabs>
        <w:tab w:val="left" w:pos="360"/>
      </w:tabs>
      <w:jc w:val="center"/>
      <w:outlineLvl w:val="2"/>
    </w:pPr>
    <w:rPr>
      <w:b/>
      <w:bCs/>
      <w:sz w:val="28"/>
      <w:szCs w:val="32"/>
    </w:rPr>
  </w:style>
  <w:style w:type="paragraph" w:styleId="5">
    <w:name w:val="heading 4"/>
    <w:basedOn w:val="1"/>
    <w:next w:val="1"/>
    <w:link w:val="78"/>
    <w:qFormat/>
    <w:uiPriority w:val="0"/>
    <w:pPr>
      <w:keepNext/>
      <w:keepLines/>
      <w:jc w:val="center"/>
      <w:outlineLvl w:val="3"/>
    </w:pPr>
    <w:rPr>
      <w:b/>
      <w:bCs/>
      <w:sz w:val="24"/>
      <w:szCs w:val="28"/>
    </w:rPr>
  </w:style>
  <w:style w:type="paragraph" w:styleId="6">
    <w:name w:val="heading 5"/>
    <w:basedOn w:val="1"/>
    <w:next w:val="1"/>
    <w:link w:val="85"/>
    <w:qFormat/>
    <w:uiPriority w:val="0"/>
    <w:pPr>
      <w:keepNext/>
      <w:keepLines/>
      <w:tabs>
        <w:tab w:val="left" w:pos="360"/>
      </w:tabs>
      <w:adjustRightInd w:val="0"/>
      <w:textAlignment w:val="baseline"/>
      <w:outlineLvl w:val="4"/>
    </w:pPr>
    <w:rPr>
      <w:b/>
      <w:kern w:val="0"/>
      <w:sz w:val="24"/>
    </w:rPr>
  </w:style>
  <w:style w:type="paragraph" w:styleId="7">
    <w:name w:val="heading 6"/>
    <w:basedOn w:val="1"/>
    <w:next w:val="1"/>
    <w:link w:val="107"/>
    <w:qFormat/>
    <w:uiPriority w:val="0"/>
    <w:pPr>
      <w:keepNext/>
      <w:keepLines/>
      <w:ind w:firstLine="200" w:firstLineChars="200"/>
      <w:outlineLvl w:val="5"/>
    </w:pPr>
    <w:rPr>
      <w:b/>
      <w:bCs/>
    </w:rPr>
  </w:style>
  <w:style w:type="paragraph" w:styleId="8">
    <w:name w:val="heading 7"/>
    <w:basedOn w:val="1"/>
    <w:next w:val="1"/>
    <w:link w:val="110"/>
    <w:qFormat/>
    <w:uiPriority w:val="0"/>
    <w:pPr>
      <w:keepNext/>
      <w:keepLines/>
      <w:spacing w:before="240" w:after="64" w:line="317" w:lineRule="auto"/>
      <w:outlineLvl w:val="6"/>
    </w:pPr>
    <w:rPr>
      <w:rFonts w:ascii="Calibri" w:hAnsi="Calibri"/>
      <w:b/>
      <w:bCs/>
      <w:sz w:val="24"/>
    </w:rPr>
  </w:style>
  <w:style w:type="paragraph" w:styleId="9">
    <w:name w:val="heading 8"/>
    <w:basedOn w:val="1"/>
    <w:next w:val="1"/>
    <w:link w:val="123"/>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80"/>
    <w:qFormat/>
    <w:uiPriority w:val="0"/>
    <w:pPr>
      <w:keepNext/>
      <w:keepLines/>
      <w:spacing w:before="240" w:after="64" w:line="317" w:lineRule="auto"/>
      <w:outlineLvl w:val="8"/>
    </w:pPr>
    <w:rPr>
      <w:rFonts w:ascii="Cambria" w:hAnsi="Cambria"/>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Normal Indent"/>
    <w:basedOn w:val="1"/>
    <w:next w:val="1"/>
    <w:link w:val="106"/>
    <w:qFormat/>
    <w:uiPriority w:val="0"/>
    <w:pPr>
      <w:tabs>
        <w:tab w:val="left" w:pos="750"/>
      </w:tabs>
      <w:spacing w:before="156" w:beforeLines="50" w:line="300" w:lineRule="auto"/>
    </w:pPr>
    <w:rPr>
      <w:rFonts w:ascii="宋体"/>
    </w:rPr>
  </w:style>
  <w:style w:type="paragraph" w:styleId="13">
    <w:name w:val="caption"/>
    <w:basedOn w:val="1"/>
    <w:next w:val="1"/>
    <w:qFormat/>
    <w:uiPriority w:val="0"/>
    <w:pPr>
      <w:spacing w:line="240" w:lineRule="auto"/>
    </w:pPr>
    <w:rPr>
      <w:rFonts w:ascii="Cambria" w:hAnsi="Cambria" w:eastAsia="黑体"/>
      <w:sz w:val="20"/>
      <w:szCs w:val="20"/>
    </w:rPr>
  </w:style>
  <w:style w:type="paragraph" w:styleId="14">
    <w:name w:val="List Bullet"/>
    <w:basedOn w:val="1"/>
    <w:qFormat/>
    <w:uiPriority w:val="0"/>
    <w:pPr>
      <w:numPr>
        <w:ilvl w:val="0"/>
        <w:numId w:val="1"/>
      </w:numPr>
      <w:tabs>
        <w:tab w:val="clear" w:pos="360"/>
      </w:tabs>
      <w:spacing w:line="240" w:lineRule="auto"/>
      <w:ind w:left="0" w:firstLine="0"/>
    </w:pPr>
    <w:rPr>
      <w:szCs w:val="20"/>
    </w:rPr>
  </w:style>
  <w:style w:type="paragraph" w:styleId="15">
    <w:name w:val="Document Map"/>
    <w:basedOn w:val="1"/>
    <w:link w:val="89"/>
    <w:qFormat/>
    <w:uiPriority w:val="0"/>
    <w:pPr>
      <w:shd w:val="clear" w:color="auto" w:fill="000080"/>
    </w:pPr>
    <w:rPr>
      <w:shd w:val="clear" w:color="auto" w:fill="000080"/>
    </w:rPr>
  </w:style>
  <w:style w:type="paragraph" w:styleId="16">
    <w:name w:val="toa heading"/>
    <w:basedOn w:val="1"/>
    <w:next w:val="1"/>
    <w:unhideWhenUsed/>
    <w:qFormat/>
    <w:uiPriority w:val="0"/>
    <w:pPr>
      <w:spacing w:before="120"/>
    </w:pPr>
    <w:rPr>
      <w:rFonts w:ascii="Arial" w:hAnsi="Arial"/>
      <w:sz w:val="24"/>
    </w:rPr>
  </w:style>
  <w:style w:type="paragraph" w:styleId="17">
    <w:name w:val="annotation text"/>
    <w:basedOn w:val="1"/>
    <w:link w:val="95"/>
    <w:qFormat/>
    <w:uiPriority w:val="0"/>
    <w:pPr>
      <w:jc w:val="left"/>
    </w:pPr>
    <w:rPr>
      <w:szCs w:val="20"/>
    </w:rPr>
  </w:style>
  <w:style w:type="paragraph" w:styleId="18">
    <w:name w:val="Body Text 3"/>
    <w:basedOn w:val="1"/>
    <w:link w:val="100"/>
    <w:qFormat/>
    <w:uiPriority w:val="0"/>
    <w:pPr>
      <w:spacing w:after="120"/>
    </w:pPr>
    <w:rPr>
      <w:sz w:val="16"/>
      <w:szCs w:val="16"/>
    </w:rPr>
  </w:style>
  <w:style w:type="paragraph" w:styleId="19">
    <w:name w:val="Body Text"/>
    <w:basedOn w:val="1"/>
    <w:next w:val="20"/>
    <w:link w:val="79"/>
    <w:qFormat/>
    <w:uiPriority w:val="0"/>
    <w:pPr>
      <w:adjustRightInd w:val="0"/>
    </w:pPr>
    <w:rPr>
      <w:rFonts w:ascii="宋体"/>
      <w:bCs/>
      <w:iCs/>
      <w:color w:val="FF00FF"/>
      <w:kern w:val="44"/>
      <w:sz w:val="28"/>
      <w:szCs w:val="20"/>
    </w:rPr>
  </w:style>
  <w:style w:type="paragraph" w:styleId="20">
    <w:name w:val="toc 5"/>
    <w:basedOn w:val="1"/>
    <w:next w:val="1"/>
    <w:qFormat/>
    <w:uiPriority w:val="0"/>
    <w:pPr>
      <w:ind w:left="800" w:leftChars="800"/>
    </w:pPr>
  </w:style>
  <w:style w:type="paragraph" w:styleId="21">
    <w:name w:val="Body Text Indent"/>
    <w:basedOn w:val="1"/>
    <w:next w:val="22"/>
    <w:link w:val="215"/>
    <w:qFormat/>
    <w:uiPriority w:val="0"/>
    <w:pPr>
      <w:jc w:val="left"/>
    </w:pPr>
    <w:rPr>
      <w:rFonts w:ascii="仿宋_GB2312" w:eastAsia="仿宋_GB2312"/>
      <w:sz w:val="28"/>
    </w:rPr>
  </w:style>
  <w:style w:type="paragraph" w:styleId="22">
    <w:name w:val="Body Text First Indent 2"/>
    <w:basedOn w:val="21"/>
    <w:link w:val="223"/>
    <w:qFormat/>
    <w:uiPriority w:val="0"/>
    <w:pPr>
      <w:ind w:firstLine="420"/>
    </w:pPr>
  </w:style>
  <w:style w:type="paragraph" w:styleId="23">
    <w:name w:val="List 2"/>
    <w:basedOn w:val="1"/>
    <w:qFormat/>
    <w:uiPriority w:val="0"/>
    <w:pPr>
      <w:spacing w:line="240" w:lineRule="auto"/>
      <w:ind w:left="100" w:leftChars="200" w:hanging="200" w:hangingChars="200"/>
    </w:pPr>
    <w:rPr>
      <w:sz w:val="30"/>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qFormat/>
    <w:uiPriority w:val="0"/>
    <w:pPr>
      <w:ind w:left="600" w:leftChars="600"/>
    </w:pPr>
  </w:style>
  <w:style w:type="paragraph" w:styleId="26">
    <w:name w:val="toc 3"/>
    <w:basedOn w:val="1"/>
    <w:next w:val="1"/>
    <w:qFormat/>
    <w:uiPriority w:val="39"/>
    <w:pPr>
      <w:spacing w:line="240" w:lineRule="auto"/>
      <w:ind w:left="400" w:leftChars="400"/>
    </w:pPr>
  </w:style>
  <w:style w:type="paragraph" w:styleId="27">
    <w:name w:val="Plain Text"/>
    <w:basedOn w:val="1"/>
    <w:next w:val="1"/>
    <w:link w:val="93"/>
    <w:qFormat/>
    <w:uiPriority w:val="0"/>
    <w:pPr>
      <w:autoSpaceDE w:val="0"/>
      <w:autoSpaceDN w:val="0"/>
      <w:adjustRightInd w:val="0"/>
      <w:jc w:val="left"/>
    </w:pPr>
    <w:rPr>
      <w:rFonts w:ascii="宋体"/>
      <w:kern w:val="0"/>
      <w:sz w:val="20"/>
    </w:rPr>
  </w:style>
  <w:style w:type="paragraph" w:styleId="28">
    <w:name w:val="toc 8"/>
    <w:basedOn w:val="1"/>
    <w:next w:val="1"/>
    <w:qFormat/>
    <w:uiPriority w:val="0"/>
    <w:pPr>
      <w:ind w:left="1400" w:leftChars="1400"/>
    </w:pPr>
  </w:style>
  <w:style w:type="paragraph" w:styleId="29">
    <w:name w:val="Date"/>
    <w:basedOn w:val="1"/>
    <w:next w:val="1"/>
    <w:link w:val="216"/>
    <w:qFormat/>
    <w:uiPriority w:val="0"/>
    <w:pPr>
      <w:ind w:left="2500" w:leftChars="2500"/>
    </w:pPr>
    <w:rPr>
      <w:rFonts w:ascii="仿宋_GB2312" w:eastAsia="仿宋_GB2312"/>
      <w:sz w:val="28"/>
    </w:rPr>
  </w:style>
  <w:style w:type="paragraph" w:styleId="30">
    <w:name w:val="Body Text Indent 2"/>
    <w:basedOn w:val="1"/>
    <w:link w:val="217"/>
    <w:qFormat/>
    <w:uiPriority w:val="0"/>
    <w:pPr>
      <w:spacing w:line="60" w:lineRule="auto"/>
      <w:ind w:firstLine="128" w:firstLineChars="128"/>
    </w:pPr>
    <w:rPr>
      <w:rFonts w:ascii="仿宋_GB2312" w:eastAsia="仿宋_GB2312"/>
      <w:sz w:val="28"/>
    </w:rPr>
  </w:style>
  <w:style w:type="paragraph" w:styleId="31">
    <w:name w:val="endnote text"/>
    <w:basedOn w:val="1"/>
    <w:link w:val="219"/>
    <w:qFormat/>
    <w:uiPriority w:val="0"/>
    <w:pPr>
      <w:widowControl/>
      <w:snapToGrid w:val="0"/>
      <w:spacing w:line="240" w:lineRule="auto"/>
      <w:jc w:val="left"/>
    </w:pPr>
    <w:rPr>
      <w:kern w:val="0"/>
      <w:sz w:val="20"/>
      <w:szCs w:val="20"/>
    </w:rPr>
  </w:style>
  <w:style w:type="paragraph" w:styleId="32">
    <w:name w:val="List Continue 5"/>
    <w:basedOn w:val="1"/>
    <w:qFormat/>
    <w:uiPriority w:val="0"/>
    <w:pPr>
      <w:spacing w:after="120" w:line="240" w:lineRule="auto"/>
      <w:ind w:left="2100" w:leftChars="1000"/>
    </w:pPr>
    <w:rPr>
      <w:sz w:val="30"/>
      <w:szCs w:val="20"/>
    </w:rPr>
  </w:style>
  <w:style w:type="paragraph" w:styleId="33">
    <w:name w:val="Balloon Text"/>
    <w:basedOn w:val="1"/>
    <w:link w:val="111"/>
    <w:qFormat/>
    <w:uiPriority w:val="0"/>
    <w:rPr>
      <w:sz w:val="18"/>
      <w:szCs w:val="18"/>
    </w:rPr>
  </w:style>
  <w:style w:type="paragraph" w:styleId="34">
    <w:name w:val="footer"/>
    <w:basedOn w:val="1"/>
    <w:link w:val="104"/>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35">
    <w:name w:val="envelope return"/>
    <w:basedOn w:val="1"/>
    <w:qFormat/>
    <w:uiPriority w:val="0"/>
    <w:pPr>
      <w:widowControl/>
      <w:snapToGrid w:val="0"/>
      <w:spacing w:line="240" w:lineRule="auto"/>
      <w:jc w:val="left"/>
    </w:pPr>
    <w:rPr>
      <w:rFonts w:ascii="Arial" w:hAnsi="Arial"/>
      <w:kern w:val="0"/>
      <w:sz w:val="20"/>
      <w:szCs w:val="20"/>
    </w:rPr>
  </w:style>
  <w:style w:type="paragraph" w:styleId="36">
    <w:name w:val="header"/>
    <w:basedOn w:val="1"/>
    <w:link w:val="97"/>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37">
    <w:name w:val="toc 1"/>
    <w:basedOn w:val="1"/>
    <w:next w:val="1"/>
    <w:qFormat/>
    <w:uiPriority w:val="39"/>
    <w:pPr>
      <w:spacing w:before="50" w:beforeLines="50" w:after="50" w:afterLines="50" w:line="240" w:lineRule="auto"/>
    </w:pPr>
    <w:rPr>
      <w:b/>
      <w:sz w:val="24"/>
    </w:rPr>
  </w:style>
  <w:style w:type="paragraph" w:styleId="38">
    <w:name w:val="toc 4"/>
    <w:basedOn w:val="1"/>
    <w:next w:val="1"/>
    <w:qFormat/>
    <w:uiPriority w:val="0"/>
    <w:pPr>
      <w:ind w:left="600" w:leftChars="600"/>
    </w:pPr>
  </w:style>
  <w:style w:type="paragraph" w:styleId="39">
    <w:name w:val="Subtitle"/>
    <w:basedOn w:val="1"/>
    <w:next w:val="1"/>
    <w:link w:val="103"/>
    <w:qFormat/>
    <w:uiPriority w:val="0"/>
    <w:pPr>
      <w:spacing w:before="240" w:after="60" w:line="312" w:lineRule="auto"/>
      <w:jc w:val="center"/>
      <w:outlineLvl w:val="1"/>
    </w:pPr>
    <w:rPr>
      <w:rFonts w:ascii="Cambria" w:hAnsi="Cambria"/>
      <w:b/>
      <w:bCs/>
      <w:kern w:val="28"/>
      <w:sz w:val="32"/>
      <w:szCs w:val="32"/>
    </w:rPr>
  </w:style>
  <w:style w:type="paragraph" w:styleId="40">
    <w:name w:val="List"/>
    <w:basedOn w:val="1"/>
    <w:qFormat/>
    <w:uiPriority w:val="0"/>
    <w:pPr>
      <w:autoSpaceDE w:val="0"/>
      <w:autoSpaceDN w:val="0"/>
      <w:adjustRightInd w:val="0"/>
      <w:spacing w:line="240" w:lineRule="auto"/>
      <w:ind w:left="360" w:hanging="360"/>
      <w:jc w:val="left"/>
      <w:textAlignment w:val="baseline"/>
    </w:pPr>
    <w:rPr>
      <w:kern w:val="0"/>
      <w:sz w:val="20"/>
      <w:szCs w:val="20"/>
    </w:rPr>
  </w:style>
  <w:style w:type="paragraph" w:styleId="41">
    <w:name w:val="footnote text"/>
    <w:basedOn w:val="1"/>
    <w:link w:val="220"/>
    <w:qFormat/>
    <w:uiPriority w:val="0"/>
    <w:pPr>
      <w:widowControl/>
      <w:snapToGrid w:val="0"/>
      <w:spacing w:line="240" w:lineRule="auto"/>
      <w:jc w:val="left"/>
    </w:pPr>
    <w:rPr>
      <w:kern w:val="0"/>
      <w:sz w:val="18"/>
      <w:szCs w:val="18"/>
    </w:rPr>
  </w:style>
  <w:style w:type="paragraph" w:styleId="42">
    <w:name w:val="toc 6"/>
    <w:basedOn w:val="1"/>
    <w:next w:val="1"/>
    <w:qFormat/>
    <w:uiPriority w:val="0"/>
    <w:pPr>
      <w:ind w:left="1000" w:leftChars="1000"/>
    </w:pPr>
  </w:style>
  <w:style w:type="paragraph" w:styleId="43">
    <w:name w:val="Body Text Indent 3"/>
    <w:basedOn w:val="1"/>
    <w:link w:val="221"/>
    <w:qFormat/>
    <w:uiPriority w:val="0"/>
    <w:pPr>
      <w:ind w:firstLine="192" w:firstLineChars="192"/>
    </w:pPr>
    <w:rPr>
      <w:rFonts w:ascii="仿宋_GB2312" w:eastAsia="仿宋_GB2312"/>
      <w:color w:val="3366FF"/>
      <w:sz w:val="24"/>
    </w:rPr>
  </w:style>
  <w:style w:type="paragraph" w:styleId="44">
    <w:name w:val="toc 2"/>
    <w:basedOn w:val="1"/>
    <w:next w:val="1"/>
    <w:qFormat/>
    <w:uiPriority w:val="39"/>
    <w:pPr>
      <w:spacing w:line="240" w:lineRule="auto"/>
      <w:ind w:left="200" w:leftChars="200"/>
    </w:pPr>
  </w:style>
  <w:style w:type="paragraph" w:styleId="45">
    <w:name w:val="toc 9"/>
    <w:basedOn w:val="1"/>
    <w:next w:val="1"/>
    <w:qFormat/>
    <w:uiPriority w:val="0"/>
    <w:pPr>
      <w:ind w:left="1600" w:leftChars="1600"/>
    </w:pPr>
  </w:style>
  <w:style w:type="paragraph" w:styleId="46">
    <w:name w:val="Body Text 2"/>
    <w:basedOn w:val="1"/>
    <w:link w:val="120"/>
    <w:qFormat/>
    <w:uiPriority w:val="0"/>
    <w:rPr>
      <w:rFonts w:ascii="宋体"/>
      <w:sz w:val="13"/>
    </w:rPr>
  </w:style>
  <w:style w:type="paragraph" w:styleId="47">
    <w:name w:val="HTML Preformatted"/>
    <w:basedOn w:val="1"/>
    <w:link w:val="8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0"/>
    <w:pPr>
      <w:widowControl/>
      <w:spacing w:before="100" w:beforeAutospacing="1" w:after="100" w:afterAutospacing="1"/>
      <w:jc w:val="left"/>
    </w:pPr>
    <w:rPr>
      <w:kern w:val="0"/>
      <w:sz w:val="24"/>
    </w:rPr>
  </w:style>
  <w:style w:type="paragraph" w:styleId="49">
    <w:name w:val="index 1"/>
    <w:basedOn w:val="1"/>
    <w:next w:val="1"/>
    <w:qFormat/>
    <w:uiPriority w:val="0"/>
    <w:pPr>
      <w:widowControl/>
      <w:spacing w:after="200" w:line="220" w:lineRule="exact"/>
      <w:jc w:val="center"/>
    </w:pPr>
    <w:rPr>
      <w:rFonts w:ascii="仿宋_GB2312" w:hAnsi="Calibri" w:eastAsia="仿宋_GB2312"/>
      <w:kern w:val="0"/>
      <w:sz w:val="22"/>
      <w:szCs w:val="21"/>
    </w:rPr>
  </w:style>
  <w:style w:type="paragraph" w:styleId="50">
    <w:name w:val="Title"/>
    <w:basedOn w:val="1"/>
    <w:next w:val="1"/>
    <w:link w:val="75"/>
    <w:qFormat/>
    <w:uiPriority w:val="0"/>
    <w:pPr>
      <w:spacing w:before="240" w:after="60"/>
      <w:jc w:val="center"/>
      <w:outlineLvl w:val="0"/>
    </w:pPr>
    <w:rPr>
      <w:rFonts w:ascii="Cambria" w:hAnsi="Cambria"/>
      <w:b/>
      <w:bCs/>
      <w:sz w:val="32"/>
      <w:szCs w:val="32"/>
    </w:rPr>
  </w:style>
  <w:style w:type="paragraph" w:styleId="51">
    <w:name w:val="annotation subject"/>
    <w:basedOn w:val="17"/>
    <w:next w:val="17"/>
    <w:link w:val="119"/>
    <w:qFormat/>
    <w:uiPriority w:val="0"/>
    <w:rPr>
      <w:rFonts w:ascii="宋体"/>
      <w:b/>
      <w:bCs/>
      <w:kern w:val="0"/>
      <w:sz w:val="28"/>
    </w:rPr>
  </w:style>
  <w:style w:type="paragraph" w:styleId="52">
    <w:name w:val="Body Text First Indent"/>
    <w:basedOn w:val="19"/>
    <w:next w:val="1"/>
    <w:link w:val="222"/>
    <w:qFormat/>
    <w:uiPriority w:val="0"/>
    <w:pPr>
      <w:tabs>
        <w:tab w:val="center" w:pos="2185"/>
      </w:tabs>
      <w:adjustRightInd/>
      <w:spacing w:before="156" w:beforeLines="50" w:line="300" w:lineRule="auto"/>
    </w:pPr>
    <w:rPr>
      <w:rFonts w:ascii="楷体_GB2312" w:eastAsia="楷体_GB2312"/>
      <w:bCs w:val="0"/>
      <w:iCs w:val="0"/>
      <w:color w:val="auto"/>
      <w:spacing w:val="4"/>
      <w:kern w:val="2"/>
      <w:sz w:val="21"/>
    </w:rPr>
  </w:style>
  <w:style w:type="table" w:styleId="54">
    <w:name w:val="Table Grid"/>
    <w:basedOn w:val="5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basedOn w:val="55"/>
    <w:qFormat/>
    <w:uiPriority w:val="0"/>
    <w:rPr>
      <w:b/>
      <w:bCs/>
    </w:rPr>
  </w:style>
  <w:style w:type="character" w:styleId="57">
    <w:name w:val="page number"/>
    <w:basedOn w:val="55"/>
    <w:qFormat/>
    <w:uiPriority w:val="0"/>
  </w:style>
  <w:style w:type="character" w:styleId="58">
    <w:name w:val="FollowedHyperlink"/>
    <w:basedOn w:val="55"/>
    <w:qFormat/>
    <w:uiPriority w:val="0"/>
    <w:rPr>
      <w:rFonts w:hint="eastAsia" w:ascii="微软雅黑" w:hAnsi="微软雅黑" w:eastAsia="微软雅黑" w:cs="微软雅黑"/>
      <w:color w:val="428BCA"/>
      <w:u w:val="none"/>
    </w:rPr>
  </w:style>
  <w:style w:type="character" w:styleId="59">
    <w:name w:val="Emphasis"/>
    <w:qFormat/>
    <w:uiPriority w:val="0"/>
    <w:rPr>
      <w:rFonts w:hint="default" w:ascii="Arial Black" w:hAnsi="Arial Black" w:eastAsia="黑体"/>
      <w:b/>
      <w:spacing w:val="0"/>
      <w:sz w:val="21"/>
      <w:lang w:eastAsia="zh-CN"/>
    </w:rPr>
  </w:style>
  <w:style w:type="character" w:styleId="60">
    <w:name w:val="line number"/>
    <w:qFormat/>
    <w:uiPriority w:val="0"/>
  </w:style>
  <w:style w:type="character" w:styleId="61">
    <w:name w:val="HTML Definition"/>
    <w:basedOn w:val="55"/>
    <w:qFormat/>
    <w:uiPriority w:val="99"/>
    <w:rPr>
      <w:i/>
      <w:iCs/>
    </w:rPr>
  </w:style>
  <w:style w:type="character" w:styleId="62">
    <w:name w:val="HTML Acronym"/>
    <w:unhideWhenUsed/>
    <w:qFormat/>
    <w:uiPriority w:val="99"/>
  </w:style>
  <w:style w:type="character" w:styleId="63">
    <w:name w:val="HTML Variable"/>
    <w:unhideWhenUsed/>
    <w:qFormat/>
    <w:uiPriority w:val="99"/>
  </w:style>
  <w:style w:type="character" w:styleId="64">
    <w:name w:val="Hyperlink"/>
    <w:basedOn w:val="55"/>
    <w:qFormat/>
    <w:uiPriority w:val="99"/>
    <w:rPr>
      <w:rFonts w:hint="eastAsia" w:ascii="微软雅黑" w:hAnsi="微软雅黑" w:eastAsia="微软雅黑" w:cs="微软雅黑"/>
      <w:color w:val="428BCA"/>
      <w:u w:val="none"/>
    </w:rPr>
  </w:style>
  <w:style w:type="character" w:styleId="65">
    <w:name w:val="HTML Code"/>
    <w:basedOn w:val="55"/>
    <w:qFormat/>
    <w:uiPriority w:val="99"/>
    <w:rPr>
      <w:rFonts w:ascii="Consolas" w:hAnsi="Consolas" w:eastAsia="Consolas" w:cs="Consolas"/>
      <w:b/>
      <w:color w:val="C7254E"/>
      <w:sz w:val="21"/>
      <w:szCs w:val="21"/>
      <w:shd w:val="clear" w:color="auto" w:fill="F9F2F4"/>
      <w:vertAlign w:val="baseline"/>
    </w:rPr>
  </w:style>
  <w:style w:type="character" w:styleId="66">
    <w:name w:val="annotation reference"/>
    <w:basedOn w:val="55"/>
    <w:qFormat/>
    <w:uiPriority w:val="0"/>
    <w:rPr>
      <w:sz w:val="21"/>
    </w:rPr>
  </w:style>
  <w:style w:type="character" w:styleId="67">
    <w:name w:val="HTML Cite"/>
    <w:unhideWhenUsed/>
    <w:qFormat/>
    <w:uiPriority w:val="99"/>
    <w:rPr>
      <w:rFonts w:ascii="微软雅黑" w:hAnsi="微软雅黑" w:eastAsia="微软雅黑" w:cs="微软雅黑"/>
      <w:shd w:val="clear" w:color="auto" w:fill="FFFFFF"/>
    </w:rPr>
  </w:style>
  <w:style w:type="character" w:styleId="68">
    <w:name w:val="footnote reference"/>
    <w:qFormat/>
    <w:uiPriority w:val="0"/>
    <w:rPr>
      <w:vertAlign w:val="superscript"/>
    </w:rPr>
  </w:style>
  <w:style w:type="character" w:styleId="69">
    <w:name w:val="HTML Keyboard"/>
    <w:basedOn w:val="55"/>
    <w:qFormat/>
    <w:uiPriority w:val="1"/>
    <w:rPr>
      <w:rFonts w:hint="default" w:ascii="Consolas" w:hAnsi="Consolas" w:eastAsia="Consolas" w:cs="Consolas"/>
      <w:color w:val="FFFFFF"/>
      <w:sz w:val="21"/>
      <w:szCs w:val="21"/>
      <w:shd w:val="clear" w:color="auto" w:fill="333333"/>
    </w:rPr>
  </w:style>
  <w:style w:type="character" w:styleId="70">
    <w:name w:val="HTML Sample"/>
    <w:basedOn w:val="55"/>
    <w:qFormat/>
    <w:uiPriority w:val="1"/>
    <w:rPr>
      <w:rFonts w:hint="default" w:ascii="Consolas" w:hAnsi="Consolas" w:eastAsia="Consolas" w:cs="Consolas"/>
      <w:sz w:val="21"/>
      <w:szCs w:val="21"/>
    </w:rPr>
  </w:style>
  <w:style w:type="paragraph" w:customStyle="1" w:styleId="71">
    <w:name w:val="BodyText"/>
    <w:basedOn w:val="1"/>
    <w:next w:val="72"/>
    <w:qFormat/>
    <w:uiPriority w:val="0"/>
    <w:pPr>
      <w:spacing w:after="120"/>
      <w:textAlignment w:val="baseline"/>
    </w:pPr>
  </w:style>
  <w:style w:type="paragraph" w:customStyle="1" w:styleId="72">
    <w:name w:val="TOC5"/>
    <w:basedOn w:val="1"/>
    <w:next w:val="1"/>
    <w:qFormat/>
    <w:uiPriority w:val="0"/>
    <w:pPr>
      <w:ind w:left="1680" w:leftChars="800"/>
      <w:textAlignment w:val="baseline"/>
    </w:pPr>
  </w:style>
  <w:style w:type="paragraph" w:customStyle="1" w:styleId="73">
    <w:name w:val="Body Text 21"/>
    <w:basedOn w:val="1"/>
    <w:qFormat/>
    <w:uiPriority w:val="1"/>
    <w:pPr>
      <w:spacing w:line="500" w:lineRule="exact"/>
    </w:pPr>
    <w:rPr>
      <w:color w:val="000000"/>
      <w:sz w:val="30"/>
    </w:rPr>
  </w:style>
  <w:style w:type="character" w:customStyle="1" w:styleId="74">
    <w:name w:val="font31"/>
    <w:qFormat/>
    <w:uiPriority w:val="0"/>
    <w:rPr>
      <w:rFonts w:hint="default" w:ascii="Times New Roman" w:hAnsi="Times New Roman" w:cs="Times New Roman"/>
      <w:b/>
      <w:bCs/>
      <w:color w:val="000000"/>
      <w:sz w:val="24"/>
      <w:szCs w:val="24"/>
      <w:u w:val="none"/>
    </w:rPr>
  </w:style>
  <w:style w:type="character" w:customStyle="1" w:styleId="75">
    <w:name w:val="标题 字符"/>
    <w:link w:val="50"/>
    <w:qFormat/>
    <w:uiPriority w:val="0"/>
    <w:rPr>
      <w:rFonts w:ascii="Cambria" w:hAnsi="Cambria"/>
      <w:b/>
      <w:bCs/>
      <w:kern w:val="2"/>
      <w:sz w:val="32"/>
      <w:szCs w:val="32"/>
    </w:rPr>
  </w:style>
  <w:style w:type="character" w:customStyle="1" w:styleId="76">
    <w:name w:val="标题5 Char Char"/>
    <w:link w:val="77"/>
    <w:qFormat/>
    <w:uiPriority w:val="0"/>
    <w:rPr>
      <w:rFonts w:ascii="Arial" w:hAnsi="Arial"/>
      <w:b/>
      <w:bCs/>
      <w:sz w:val="24"/>
      <w:szCs w:val="32"/>
    </w:rPr>
  </w:style>
  <w:style w:type="paragraph" w:customStyle="1" w:styleId="77">
    <w:name w:val="标题5"/>
    <w:basedOn w:val="4"/>
    <w:link w:val="76"/>
    <w:qFormat/>
    <w:uiPriority w:val="0"/>
    <w:pPr>
      <w:spacing w:before="260" w:after="260" w:line="413" w:lineRule="auto"/>
      <w:jc w:val="both"/>
    </w:pPr>
    <w:rPr>
      <w:rFonts w:ascii="Arial" w:hAnsi="Arial"/>
      <w:kern w:val="0"/>
    </w:rPr>
  </w:style>
  <w:style w:type="character" w:customStyle="1" w:styleId="78">
    <w:name w:val="标题 4 字符"/>
    <w:basedOn w:val="55"/>
    <w:link w:val="5"/>
    <w:qFormat/>
    <w:uiPriority w:val="0"/>
    <w:rPr>
      <w:b/>
      <w:bCs/>
      <w:kern w:val="2"/>
      <w:sz w:val="24"/>
      <w:szCs w:val="28"/>
    </w:rPr>
  </w:style>
  <w:style w:type="character" w:customStyle="1" w:styleId="79">
    <w:name w:val="正文文本 字符"/>
    <w:link w:val="19"/>
    <w:qFormat/>
    <w:uiPriority w:val="0"/>
    <w:rPr>
      <w:rFonts w:ascii="宋体"/>
      <w:bCs/>
      <w:iCs/>
      <w:color w:val="FF00FF"/>
      <w:kern w:val="44"/>
      <w:sz w:val="28"/>
    </w:rPr>
  </w:style>
  <w:style w:type="character" w:customStyle="1" w:styleId="80">
    <w:name w:val="标题 9 字符"/>
    <w:basedOn w:val="55"/>
    <w:link w:val="10"/>
    <w:qFormat/>
    <w:uiPriority w:val="0"/>
    <w:rPr>
      <w:rFonts w:ascii="Cambria" w:hAnsi="Cambria"/>
      <w:kern w:val="2"/>
      <w:sz w:val="21"/>
      <w:szCs w:val="21"/>
    </w:rPr>
  </w:style>
  <w:style w:type="character" w:customStyle="1" w:styleId="81">
    <w:name w:val="HTML 预设格式 字符"/>
    <w:link w:val="47"/>
    <w:qFormat/>
    <w:uiPriority w:val="99"/>
    <w:rPr>
      <w:rFonts w:ascii="宋体" w:hAnsi="宋体"/>
      <w:sz w:val="24"/>
      <w:szCs w:val="24"/>
    </w:rPr>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15"/>
    <w:basedOn w:val="55"/>
    <w:qFormat/>
    <w:uiPriority w:val="1"/>
    <w:rPr>
      <w:rFonts w:hint="default" w:ascii="Times New Roman" w:hAnsi="Times New Roman" w:cs="Times New Roman"/>
      <w:color w:val="0000FF"/>
      <w:u w:val="single"/>
    </w:rPr>
  </w:style>
  <w:style w:type="character" w:customStyle="1" w:styleId="84">
    <w:name w:val="more"/>
    <w:basedOn w:val="55"/>
    <w:qFormat/>
    <w:uiPriority w:val="1"/>
  </w:style>
  <w:style w:type="character" w:customStyle="1" w:styleId="85">
    <w:name w:val="标题 5 字符"/>
    <w:link w:val="6"/>
    <w:qFormat/>
    <w:uiPriority w:val="0"/>
    <w:rPr>
      <w:b/>
      <w:sz w:val="24"/>
      <w:szCs w:val="24"/>
    </w:rPr>
  </w:style>
  <w:style w:type="character" w:customStyle="1" w:styleId="86">
    <w:name w:val="引用 Char1"/>
    <w:basedOn w:val="55"/>
    <w:qFormat/>
    <w:uiPriority w:val="99"/>
    <w:rPr>
      <w:i/>
      <w:iCs/>
      <w:color w:val="000000"/>
      <w:kern w:val="2"/>
      <w:sz w:val="21"/>
      <w:szCs w:val="24"/>
    </w:rPr>
  </w:style>
  <w:style w:type="character" w:customStyle="1" w:styleId="87">
    <w:name w:val="font01"/>
    <w:qFormat/>
    <w:uiPriority w:val="0"/>
    <w:rPr>
      <w:rFonts w:hint="default" w:ascii="Times New Roman" w:hAnsi="Times New Roman" w:cs="Times New Roman"/>
      <w:b/>
      <w:bCs/>
      <w:color w:val="000000"/>
      <w:sz w:val="24"/>
      <w:szCs w:val="24"/>
      <w:u w:val="none"/>
    </w:rPr>
  </w:style>
  <w:style w:type="character" w:customStyle="1" w:styleId="88">
    <w:name w:val="标题 2 字符"/>
    <w:link w:val="3"/>
    <w:qFormat/>
    <w:uiPriority w:val="0"/>
    <w:rPr>
      <w:b/>
      <w:bCs/>
      <w:kern w:val="2"/>
      <w:sz w:val="28"/>
      <w:szCs w:val="32"/>
    </w:rPr>
  </w:style>
  <w:style w:type="character" w:customStyle="1" w:styleId="89">
    <w:name w:val="文档结构图 字符"/>
    <w:link w:val="15"/>
    <w:qFormat/>
    <w:uiPriority w:val="0"/>
    <w:rPr>
      <w:kern w:val="2"/>
      <w:sz w:val="21"/>
      <w:szCs w:val="24"/>
      <w:shd w:val="clear" w:color="auto" w:fill="000080"/>
    </w:rPr>
  </w:style>
  <w:style w:type="character" w:customStyle="1" w:styleId="90">
    <w:name w:val="标题4 Char Char"/>
    <w:link w:val="91"/>
    <w:qFormat/>
    <w:uiPriority w:val="0"/>
    <w:rPr>
      <w:rFonts w:ascii="Arial" w:hAnsi="Arial"/>
      <w:b/>
      <w:bCs/>
      <w:sz w:val="24"/>
      <w:szCs w:val="32"/>
    </w:rPr>
  </w:style>
  <w:style w:type="paragraph" w:customStyle="1" w:styleId="91">
    <w:name w:val="标题4"/>
    <w:basedOn w:val="3"/>
    <w:next w:val="25"/>
    <w:link w:val="90"/>
    <w:qFormat/>
    <w:uiPriority w:val="0"/>
    <w:pPr>
      <w:spacing w:before="260" w:after="260" w:line="413" w:lineRule="auto"/>
      <w:jc w:val="both"/>
    </w:pPr>
    <w:rPr>
      <w:kern w:val="0"/>
    </w:rPr>
  </w:style>
  <w:style w:type="character" w:customStyle="1" w:styleId="92">
    <w:name w:val="grame"/>
    <w:basedOn w:val="55"/>
    <w:qFormat/>
    <w:uiPriority w:val="0"/>
  </w:style>
  <w:style w:type="character" w:customStyle="1" w:styleId="93">
    <w:name w:val="纯文本 字符"/>
    <w:link w:val="27"/>
    <w:qFormat/>
    <w:uiPriority w:val="0"/>
    <w:rPr>
      <w:rFonts w:ascii="宋体" w:eastAsia="宋体"/>
      <w:szCs w:val="24"/>
      <w:lang w:val="en-US" w:eastAsia="zh-CN" w:bidi="ar-SA"/>
    </w:rPr>
  </w:style>
  <w:style w:type="character" w:customStyle="1" w:styleId="94">
    <w:name w:val="font41"/>
    <w:qFormat/>
    <w:uiPriority w:val="0"/>
    <w:rPr>
      <w:rFonts w:hint="eastAsia" w:ascii="宋体" w:hAnsi="宋体" w:eastAsia="宋体"/>
      <w:b/>
      <w:bCs/>
      <w:color w:val="000000"/>
      <w:sz w:val="24"/>
      <w:szCs w:val="24"/>
      <w:u w:val="none"/>
    </w:rPr>
  </w:style>
  <w:style w:type="character" w:customStyle="1" w:styleId="95">
    <w:name w:val="批注文字 字符"/>
    <w:link w:val="17"/>
    <w:qFormat/>
    <w:uiPriority w:val="0"/>
    <w:rPr>
      <w:kern w:val="2"/>
      <w:sz w:val="21"/>
    </w:rPr>
  </w:style>
  <w:style w:type="character" w:customStyle="1" w:styleId="96">
    <w:name w:val="font51"/>
    <w:qFormat/>
    <w:uiPriority w:val="0"/>
    <w:rPr>
      <w:rFonts w:hint="eastAsia" w:ascii="宋体" w:hAnsi="宋体" w:eastAsia="宋体"/>
      <w:color w:val="000000"/>
      <w:sz w:val="21"/>
      <w:szCs w:val="21"/>
      <w:u w:val="none"/>
    </w:rPr>
  </w:style>
  <w:style w:type="character" w:customStyle="1" w:styleId="97">
    <w:name w:val="页眉 字符"/>
    <w:link w:val="36"/>
    <w:qFormat/>
    <w:uiPriority w:val="99"/>
    <w:rPr>
      <w:sz w:val="18"/>
    </w:rPr>
  </w:style>
  <w:style w:type="character" w:customStyle="1" w:styleId="98">
    <w:name w:val="明显引用 字符"/>
    <w:link w:val="99"/>
    <w:qFormat/>
    <w:uiPriority w:val="0"/>
    <w:rPr>
      <w:b/>
      <w:bCs/>
      <w:i/>
      <w:iCs/>
      <w:color w:val="4F81BD"/>
      <w:kern w:val="2"/>
      <w:sz w:val="21"/>
      <w:szCs w:val="22"/>
    </w:rPr>
  </w:style>
  <w:style w:type="paragraph" w:styleId="99">
    <w:name w:val="Intense Quote"/>
    <w:basedOn w:val="1"/>
    <w:next w:val="1"/>
    <w:link w:val="98"/>
    <w:qFormat/>
    <w:uiPriority w:val="0"/>
    <w:pPr>
      <w:pBdr>
        <w:bottom w:val="single" w:color="4F81BD" w:sz="4" w:space="4"/>
      </w:pBdr>
      <w:spacing w:before="200" w:after="280"/>
      <w:ind w:left="936" w:right="936"/>
    </w:pPr>
    <w:rPr>
      <w:b/>
      <w:bCs/>
      <w:i/>
      <w:iCs/>
      <w:color w:val="4F81BD"/>
      <w:szCs w:val="22"/>
    </w:rPr>
  </w:style>
  <w:style w:type="character" w:customStyle="1" w:styleId="100">
    <w:name w:val="正文文本 3 字符"/>
    <w:basedOn w:val="55"/>
    <w:link w:val="18"/>
    <w:qFormat/>
    <w:uiPriority w:val="0"/>
    <w:rPr>
      <w:kern w:val="2"/>
      <w:sz w:val="16"/>
      <w:szCs w:val="16"/>
    </w:rPr>
  </w:style>
  <w:style w:type="character" w:customStyle="1" w:styleId="101">
    <w:name w:val="标题 Char1"/>
    <w:basedOn w:val="55"/>
    <w:qFormat/>
    <w:uiPriority w:val="0"/>
    <w:rPr>
      <w:rFonts w:ascii="Cambria" w:hAnsi="Cambria" w:cs="Times New Roman"/>
      <w:b/>
      <w:bCs/>
      <w:kern w:val="2"/>
      <w:sz w:val="32"/>
      <w:szCs w:val="32"/>
    </w:rPr>
  </w:style>
  <w:style w:type="character" w:customStyle="1" w:styleId="102">
    <w:name w:val="font21"/>
    <w:qFormat/>
    <w:uiPriority w:val="0"/>
    <w:rPr>
      <w:rFonts w:hint="eastAsia" w:ascii="宋体" w:hAnsi="宋体" w:eastAsia="宋体"/>
      <w:b/>
      <w:bCs/>
      <w:color w:val="000000"/>
      <w:sz w:val="24"/>
      <w:szCs w:val="24"/>
      <w:u w:val="none"/>
    </w:rPr>
  </w:style>
  <w:style w:type="character" w:customStyle="1" w:styleId="103">
    <w:name w:val="副标题 字符"/>
    <w:link w:val="39"/>
    <w:qFormat/>
    <w:uiPriority w:val="0"/>
    <w:rPr>
      <w:rFonts w:ascii="Cambria" w:hAnsi="Cambria"/>
      <w:b/>
      <w:bCs/>
      <w:kern w:val="28"/>
      <w:sz w:val="32"/>
      <w:szCs w:val="32"/>
    </w:rPr>
  </w:style>
  <w:style w:type="character" w:customStyle="1" w:styleId="104">
    <w:name w:val="页脚 字符"/>
    <w:link w:val="34"/>
    <w:qFormat/>
    <w:uiPriority w:val="99"/>
    <w:rPr>
      <w:sz w:val="18"/>
    </w:rPr>
  </w:style>
  <w:style w:type="character" w:customStyle="1" w:styleId="105">
    <w:name w:val="Char Char1"/>
    <w:qFormat/>
    <w:uiPriority w:val="0"/>
    <w:rPr>
      <w:rFonts w:eastAsia="仿宋_GB2312"/>
      <w:kern w:val="2"/>
      <w:sz w:val="18"/>
      <w:szCs w:val="18"/>
      <w:lang w:val="en-US" w:eastAsia="zh-CN" w:bidi="ar-SA"/>
    </w:rPr>
  </w:style>
  <w:style w:type="character" w:customStyle="1" w:styleId="106">
    <w:name w:val="正文缩进 字符"/>
    <w:basedOn w:val="55"/>
    <w:link w:val="12"/>
    <w:qFormat/>
    <w:uiPriority w:val="0"/>
    <w:rPr>
      <w:rFonts w:ascii="宋体"/>
      <w:kern w:val="2"/>
      <w:sz w:val="21"/>
    </w:rPr>
  </w:style>
  <w:style w:type="character" w:customStyle="1" w:styleId="107">
    <w:name w:val="标题 6 字符"/>
    <w:basedOn w:val="55"/>
    <w:link w:val="7"/>
    <w:qFormat/>
    <w:uiPriority w:val="0"/>
    <w:rPr>
      <w:b/>
      <w:bCs/>
      <w:kern w:val="2"/>
      <w:sz w:val="21"/>
      <w:szCs w:val="24"/>
    </w:rPr>
  </w:style>
  <w:style w:type="character" w:customStyle="1" w:styleId="108">
    <w:name w:val="批注主题 Char1"/>
    <w:basedOn w:val="109"/>
    <w:qFormat/>
    <w:uiPriority w:val="0"/>
    <w:rPr>
      <w:b/>
      <w:bCs/>
      <w:kern w:val="2"/>
      <w:sz w:val="21"/>
      <w:szCs w:val="24"/>
    </w:rPr>
  </w:style>
  <w:style w:type="character" w:customStyle="1" w:styleId="109">
    <w:name w:val="批注文字 Char1"/>
    <w:basedOn w:val="55"/>
    <w:qFormat/>
    <w:uiPriority w:val="0"/>
    <w:rPr>
      <w:kern w:val="2"/>
      <w:sz w:val="21"/>
      <w:szCs w:val="24"/>
    </w:rPr>
  </w:style>
  <w:style w:type="character" w:customStyle="1" w:styleId="110">
    <w:name w:val="标题 7 字符"/>
    <w:basedOn w:val="55"/>
    <w:link w:val="8"/>
    <w:qFormat/>
    <w:uiPriority w:val="0"/>
    <w:rPr>
      <w:rFonts w:ascii="Calibri" w:hAnsi="Calibri"/>
      <w:b/>
      <w:bCs/>
      <w:kern w:val="2"/>
      <w:sz w:val="24"/>
      <w:szCs w:val="24"/>
    </w:rPr>
  </w:style>
  <w:style w:type="character" w:customStyle="1" w:styleId="111">
    <w:name w:val="批注框文本 字符"/>
    <w:link w:val="33"/>
    <w:qFormat/>
    <w:uiPriority w:val="0"/>
    <w:rPr>
      <w:kern w:val="2"/>
      <w:sz w:val="18"/>
      <w:szCs w:val="18"/>
    </w:rPr>
  </w:style>
  <w:style w:type="character" w:customStyle="1" w:styleId="112">
    <w:name w:val="明显引用 Char1"/>
    <w:basedOn w:val="55"/>
    <w:qFormat/>
    <w:uiPriority w:val="99"/>
    <w:rPr>
      <w:b/>
      <w:bCs/>
      <w:i/>
      <w:iCs/>
      <w:color w:val="4F81BD"/>
      <w:kern w:val="2"/>
      <w:sz w:val="21"/>
      <w:szCs w:val="24"/>
    </w:rPr>
  </w:style>
  <w:style w:type="character" w:customStyle="1" w:styleId="113">
    <w:name w:val="标题 2 Char Char"/>
    <w:basedOn w:val="55"/>
    <w:qFormat/>
    <w:uiPriority w:val="0"/>
    <w:rPr>
      <w:sz w:val="28"/>
    </w:rPr>
  </w:style>
  <w:style w:type="character" w:customStyle="1" w:styleId="114">
    <w:name w:val="引用 字符"/>
    <w:link w:val="115"/>
    <w:qFormat/>
    <w:uiPriority w:val="0"/>
    <w:rPr>
      <w:i/>
      <w:iCs/>
      <w:color w:val="000000"/>
      <w:kern w:val="2"/>
      <w:sz w:val="21"/>
      <w:szCs w:val="22"/>
    </w:rPr>
  </w:style>
  <w:style w:type="paragraph" w:styleId="115">
    <w:name w:val="Quote"/>
    <w:basedOn w:val="1"/>
    <w:next w:val="1"/>
    <w:link w:val="114"/>
    <w:qFormat/>
    <w:uiPriority w:val="0"/>
    <w:rPr>
      <w:i/>
      <w:iCs/>
      <w:color w:val="000000"/>
      <w:szCs w:val="22"/>
    </w:rPr>
  </w:style>
  <w:style w:type="character" w:customStyle="1" w:styleId="116">
    <w:name w:val="font11"/>
    <w:qFormat/>
    <w:uiPriority w:val="0"/>
    <w:rPr>
      <w:rFonts w:hint="default" w:ascii="Times New Roman" w:hAnsi="Times New Roman" w:cs="Times New Roman"/>
      <w:b/>
      <w:bCs/>
      <w:color w:val="000000"/>
      <w:sz w:val="24"/>
      <w:szCs w:val="24"/>
      <w:u w:val="none"/>
    </w:rPr>
  </w:style>
  <w:style w:type="character" w:customStyle="1" w:styleId="117">
    <w:name w:val="副标题 Char1"/>
    <w:basedOn w:val="55"/>
    <w:qFormat/>
    <w:uiPriority w:val="0"/>
    <w:rPr>
      <w:rFonts w:ascii="Cambria" w:hAnsi="Cambria" w:cs="Times New Roman"/>
      <w:b/>
      <w:bCs/>
      <w:kern w:val="28"/>
      <w:sz w:val="32"/>
      <w:szCs w:val="32"/>
    </w:rPr>
  </w:style>
  <w:style w:type="character" w:customStyle="1" w:styleId="118">
    <w:name w:val="16"/>
    <w:basedOn w:val="55"/>
    <w:qFormat/>
    <w:uiPriority w:val="1"/>
    <w:rPr>
      <w:rFonts w:hint="default" w:ascii="Times New Roman" w:hAnsi="Times New Roman" w:cs="Times New Roman"/>
      <w:b/>
      <w:bCs/>
    </w:rPr>
  </w:style>
  <w:style w:type="character" w:customStyle="1" w:styleId="119">
    <w:name w:val="批注主题 字符"/>
    <w:link w:val="51"/>
    <w:qFormat/>
    <w:uiPriority w:val="0"/>
    <w:rPr>
      <w:rFonts w:ascii="宋体"/>
      <w:b/>
      <w:bCs/>
      <w:sz w:val="28"/>
    </w:rPr>
  </w:style>
  <w:style w:type="character" w:customStyle="1" w:styleId="120">
    <w:name w:val="正文文本 2 字符"/>
    <w:basedOn w:val="55"/>
    <w:link w:val="46"/>
    <w:qFormat/>
    <w:uiPriority w:val="0"/>
    <w:rPr>
      <w:rFonts w:ascii="宋体"/>
      <w:kern w:val="2"/>
      <w:sz w:val="13"/>
    </w:rPr>
  </w:style>
  <w:style w:type="character" w:customStyle="1" w:styleId="121">
    <w:name w:val="标题 3 字符"/>
    <w:link w:val="4"/>
    <w:qFormat/>
    <w:uiPriority w:val="0"/>
    <w:rPr>
      <w:b/>
      <w:bCs/>
      <w:kern w:val="2"/>
      <w:sz w:val="28"/>
      <w:szCs w:val="32"/>
    </w:rPr>
  </w:style>
  <w:style w:type="character" w:customStyle="1" w:styleId="122">
    <w:name w:val="hei121"/>
    <w:basedOn w:val="55"/>
    <w:qFormat/>
    <w:uiPriority w:val="0"/>
    <w:rPr>
      <w:color w:val="000000"/>
      <w:sz w:val="18"/>
      <w:szCs w:val="18"/>
      <w:u w:val="none"/>
    </w:rPr>
  </w:style>
  <w:style w:type="character" w:customStyle="1" w:styleId="123">
    <w:name w:val="标题 8 字符"/>
    <w:basedOn w:val="55"/>
    <w:link w:val="9"/>
    <w:qFormat/>
    <w:uiPriority w:val="0"/>
    <w:rPr>
      <w:rFonts w:ascii="Cambria" w:hAnsi="Cambria"/>
      <w:kern w:val="2"/>
      <w:sz w:val="24"/>
      <w:szCs w:val="24"/>
    </w:rPr>
  </w:style>
  <w:style w:type="character" w:customStyle="1" w:styleId="124">
    <w:name w:val="标题 1 字符"/>
    <w:link w:val="2"/>
    <w:qFormat/>
    <w:uiPriority w:val="0"/>
    <w:rPr>
      <w:b/>
      <w:bCs/>
      <w:color w:val="000000"/>
      <w:sz w:val="32"/>
    </w:rPr>
  </w:style>
  <w:style w:type="paragraph" w:customStyle="1" w:styleId="125">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6">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7">
    <w:name w:val="采购申报表正文"/>
    <w:basedOn w:val="1"/>
    <w:qFormat/>
    <w:uiPriority w:val="0"/>
    <w:rPr>
      <w:rFonts w:ascii="仿宋_GB2312" w:eastAsia="仿宋_GB2312"/>
      <w:szCs w:val="28"/>
    </w:rPr>
  </w:style>
  <w:style w:type="paragraph" w:customStyle="1" w:styleId="12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29">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styleId="130">
    <w:name w:val="List Paragraph"/>
    <w:basedOn w:val="1"/>
    <w:qFormat/>
    <w:uiPriority w:val="99"/>
    <w:pPr>
      <w:ind w:firstLine="420"/>
    </w:pPr>
    <w:rPr>
      <w:rFonts w:ascii="Calibri" w:hAnsi="Calibri"/>
      <w:szCs w:val="22"/>
    </w:rPr>
  </w:style>
  <w:style w:type="paragraph" w:customStyle="1" w:styleId="131">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2">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3">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4">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5">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6">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37">
    <w:name w:val="WPSOffice手动目录 1"/>
    <w:qFormat/>
    <w:uiPriority w:val="0"/>
    <w:rPr>
      <w:rFonts w:ascii="Times New Roman" w:hAnsi="Times New Roman" w:eastAsia="宋体" w:cs="Times New Roman"/>
      <w:lang w:val="en-US" w:eastAsia="zh-CN" w:bidi="ar-SA"/>
    </w:rPr>
  </w:style>
  <w:style w:type="paragraph" w:customStyle="1" w:styleId="138">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39">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0">
    <w:name w:val="1"/>
    <w:basedOn w:val="1"/>
    <w:next w:val="21"/>
    <w:qFormat/>
    <w:uiPriority w:val="0"/>
    <w:pPr>
      <w:ind w:firstLine="560"/>
    </w:pPr>
    <w:rPr>
      <w:sz w:val="28"/>
      <w:szCs w:val="20"/>
    </w:rPr>
  </w:style>
  <w:style w:type="paragraph" w:customStyle="1" w:styleId="141">
    <w:name w:val="普通(网站)11"/>
    <w:basedOn w:val="1"/>
    <w:qFormat/>
    <w:uiPriority w:val="0"/>
    <w:pPr>
      <w:jc w:val="left"/>
    </w:pPr>
    <w:rPr>
      <w:kern w:val="0"/>
      <w:sz w:val="24"/>
    </w:rPr>
  </w:style>
  <w:style w:type="paragraph" w:customStyle="1" w:styleId="142">
    <w:name w:val="Normal (Web)_0"/>
    <w:basedOn w:val="1"/>
    <w:qFormat/>
    <w:uiPriority w:val="1"/>
    <w:pPr>
      <w:jc w:val="left"/>
    </w:pPr>
    <w:rPr>
      <w:kern w:val="0"/>
      <w:sz w:val="24"/>
    </w:rPr>
  </w:style>
  <w:style w:type="paragraph" w:customStyle="1" w:styleId="143">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4">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4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6">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7">
    <w:name w:val="Char Char Char Char Char Char Char Char Char1 Char Char Char Char"/>
    <w:basedOn w:val="1"/>
    <w:qFormat/>
    <w:uiPriority w:val="1"/>
    <w:rPr>
      <w:rFonts w:ascii="Tahoma" w:hAnsi="Tahoma"/>
      <w:sz w:val="24"/>
      <w:szCs w:val="20"/>
    </w:rPr>
  </w:style>
  <w:style w:type="paragraph" w:customStyle="1" w:styleId="148">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9">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0">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51">
    <w:name w:val="Char Char Char Char Char Char Char Char Char Char"/>
    <w:basedOn w:val="1"/>
    <w:qFormat/>
    <w:uiPriority w:val="0"/>
    <w:rPr>
      <w:rFonts w:ascii="Tahoma" w:hAnsi="Tahoma"/>
      <w:sz w:val="24"/>
      <w:szCs w:val="20"/>
    </w:rPr>
  </w:style>
  <w:style w:type="paragraph" w:customStyle="1" w:styleId="152">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53">
    <w:name w:val="大节标题"/>
    <w:qFormat/>
    <w:uiPriority w:val="0"/>
    <w:pPr>
      <w:snapToGrid w:val="0"/>
      <w:spacing w:line="360" w:lineRule="auto"/>
      <w:ind w:firstLine="200" w:firstLineChars="200"/>
    </w:pPr>
    <w:rPr>
      <w:rFonts w:ascii="宋体" w:hAnsi="宋体" w:eastAsia="宋体" w:cs="Times New Roman"/>
      <w:sz w:val="28"/>
      <w:szCs w:val="28"/>
      <w:lang w:val="en-US" w:eastAsia="zh-CN" w:bidi="ar-SA"/>
    </w:rPr>
  </w:style>
  <w:style w:type="paragraph" w:customStyle="1" w:styleId="154">
    <w:name w:val="Char"/>
    <w:basedOn w:val="1"/>
    <w:qFormat/>
    <w:uiPriority w:val="0"/>
  </w:style>
  <w:style w:type="paragraph" w:customStyle="1" w:styleId="155">
    <w:name w:val="采购申报表备注"/>
    <w:basedOn w:val="1"/>
    <w:qFormat/>
    <w:uiPriority w:val="0"/>
    <w:pPr>
      <w:tabs>
        <w:tab w:val="left" w:pos="2634"/>
      </w:tabs>
    </w:pPr>
    <w:rPr>
      <w:rFonts w:ascii="仿宋_GB2312" w:eastAsia="仿宋_GB2312"/>
    </w:rPr>
  </w:style>
  <w:style w:type="paragraph" w:customStyle="1" w:styleId="156">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57">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58">
    <w:name w:val="font8"/>
    <w:basedOn w:val="1"/>
    <w:qFormat/>
    <w:uiPriority w:val="0"/>
    <w:pPr>
      <w:widowControl/>
      <w:spacing w:before="100" w:beforeAutospacing="1" w:after="100" w:afterAutospacing="1"/>
      <w:jc w:val="left"/>
    </w:pPr>
    <w:rPr>
      <w:kern w:val="0"/>
      <w:sz w:val="20"/>
      <w:szCs w:val="20"/>
    </w:rPr>
  </w:style>
  <w:style w:type="paragraph" w:customStyle="1" w:styleId="159">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61">
    <w:name w:val="p0"/>
    <w:basedOn w:val="1"/>
    <w:qFormat/>
    <w:uiPriority w:val="0"/>
    <w:pPr>
      <w:widowControl/>
    </w:pPr>
    <w:rPr>
      <w:kern w:val="0"/>
      <w:szCs w:val="21"/>
    </w:rPr>
  </w:style>
  <w:style w:type="paragraph" w:customStyle="1" w:styleId="162">
    <w:name w:val="表标题"/>
    <w:basedOn w:val="21"/>
    <w:next w:val="163"/>
    <w:qFormat/>
    <w:uiPriority w:val="0"/>
    <w:pPr>
      <w:jc w:val="both"/>
    </w:pPr>
    <w:rPr>
      <w:b/>
    </w:rPr>
  </w:style>
  <w:style w:type="paragraph" w:customStyle="1" w:styleId="163">
    <w:name w:val="正文（当前）"/>
    <w:qFormat/>
    <w:uiPriority w:val="0"/>
    <w:pPr>
      <w:spacing w:line="500" w:lineRule="exact"/>
    </w:pPr>
    <w:rPr>
      <w:rFonts w:ascii="Times New Roman" w:hAnsi="Times New Roman" w:eastAsia="仿宋_GB2312" w:cs="Times New Roman"/>
      <w:kern w:val="2"/>
      <w:sz w:val="21"/>
      <w:szCs w:val="24"/>
      <w:lang w:val="en-US" w:eastAsia="zh-CN" w:bidi="ar-SA"/>
    </w:rPr>
  </w:style>
  <w:style w:type="paragraph" w:customStyle="1" w:styleId="164">
    <w:name w:val="Char Char Char"/>
    <w:basedOn w:val="1"/>
    <w:qFormat/>
    <w:uiPriority w:val="1"/>
    <w:pPr>
      <w:widowControl/>
      <w:spacing w:line="351" w:lineRule="atLeast"/>
      <w:ind w:firstLine="419"/>
      <w:textAlignment w:val="baseline"/>
    </w:pPr>
    <w:rPr>
      <w:color w:val="000000"/>
      <w:kern w:val="0"/>
      <w:szCs w:val="20"/>
      <w:u w:color="000000"/>
    </w:rPr>
  </w:style>
  <w:style w:type="paragraph" w:customStyle="1" w:styleId="165">
    <w:name w:val="普通(网站)1"/>
    <w:basedOn w:val="1"/>
    <w:qFormat/>
    <w:uiPriority w:val="0"/>
    <w:pPr>
      <w:jc w:val="left"/>
    </w:pPr>
    <w:rPr>
      <w:kern w:val="0"/>
      <w:sz w:val="24"/>
    </w:rPr>
  </w:style>
  <w:style w:type="paragraph" w:customStyle="1" w:styleId="166">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6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8">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69">
    <w:name w:val="TOC 标题1"/>
    <w:basedOn w:val="2"/>
    <w:next w:val="1"/>
    <w:qFormat/>
    <w:uiPriority w:val="39"/>
    <w:pPr>
      <w:keepLines/>
      <w:widowControl/>
      <w:autoSpaceDE/>
      <w:autoSpaceDN/>
      <w:adjustRightInd/>
      <w:spacing w:before="480" w:line="276" w:lineRule="auto"/>
      <w:outlineLvl w:val="9"/>
    </w:pPr>
    <w:rPr>
      <w:rFonts w:ascii="Cambria" w:hAnsi="Cambria"/>
      <w:color w:val="365F91"/>
      <w:szCs w:val="28"/>
    </w:rPr>
  </w:style>
  <w:style w:type="paragraph" w:customStyle="1" w:styleId="170">
    <w:name w:val="xl23"/>
    <w:next w:val="171"/>
    <w:qFormat/>
    <w:uiPriority w:val="0"/>
    <w:pPr>
      <w:spacing w:before="100" w:beforeAutospacing="1" w:after="100" w:afterAutospacing="1" w:line="360" w:lineRule="auto"/>
      <w:ind w:firstLine="200" w:firstLineChars="200"/>
      <w:jc w:val="center"/>
    </w:pPr>
    <w:rPr>
      <w:rFonts w:ascii="Arial Unicode MS" w:hAnsi="Arial Unicode MS" w:eastAsia="Arial Unicode MS" w:cs="Times New Roman"/>
      <w:sz w:val="24"/>
      <w:lang w:val="en-US" w:eastAsia="zh-CN" w:bidi="ar-SA"/>
    </w:rPr>
  </w:style>
  <w:style w:type="paragraph" w:customStyle="1" w:styleId="171">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72">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73">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74">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75">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76">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77">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78">
    <w:name w:val="Char1"/>
    <w:basedOn w:val="1"/>
    <w:qFormat/>
    <w:uiPriority w:val="0"/>
  </w:style>
  <w:style w:type="paragraph" w:customStyle="1" w:styleId="179">
    <w:name w:val="Bullet_Title"/>
    <w:basedOn w:val="1"/>
    <w:qFormat/>
    <w:uiPriority w:val="0"/>
    <w:pPr>
      <w:numPr>
        <w:ilvl w:val="0"/>
        <w:numId w:val="2"/>
      </w:numPr>
      <w:spacing w:after="78" w:line="300" w:lineRule="auto"/>
    </w:pPr>
    <w:rPr>
      <w:rFonts w:ascii="Arial Narrow" w:hAnsi="Arial Narrow"/>
      <w:sz w:val="24"/>
      <w:szCs w:val="20"/>
    </w:rPr>
  </w:style>
  <w:style w:type="paragraph" w:customStyle="1" w:styleId="180">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81">
    <w:name w:val="Char Char Char1"/>
    <w:basedOn w:val="1"/>
    <w:qFormat/>
    <w:uiPriority w:val="0"/>
    <w:rPr>
      <w:szCs w:val="20"/>
    </w:rPr>
  </w:style>
  <w:style w:type="paragraph" w:customStyle="1" w:styleId="182">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83">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84">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85">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86">
    <w:name w:val="Blockquote"/>
    <w:basedOn w:val="1"/>
    <w:link w:val="605"/>
    <w:qFormat/>
    <w:uiPriority w:val="0"/>
    <w:pPr>
      <w:autoSpaceDE w:val="0"/>
      <w:autoSpaceDN w:val="0"/>
      <w:adjustRightInd w:val="0"/>
      <w:spacing w:before="100" w:after="100"/>
      <w:ind w:left="360" w:right="360"/>
      <w:jc w:val="left"/>
    </w:pPr>
    <w:rPr>
      <w:kern w:val="0"/>
      <w:sz w:val="24"/>
      <w:szCs w:val="20"/>
    </w:rPr>
  </w:style>
  <w:style w:type="paragraph" w:customStyle="1" w:styleId="187">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88">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89">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90">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91">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9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3">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94">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character" w:customStyle="1" w:styleId="195">
    <w:name w:val="glyphicon6"/>
    <w:basedOn w:val="55"/>
    <w:qFormat/>
    <w:uiPriority w:val="1"/>
  </w:style>
  <w:style w:type="character" w:customStyle="1" w:styleId="196">
    <w:name w:val="hour_pm"/>
    <w:basedOn w:val="55"/>
    <w:qFormat/>
    <w:uiPriority w:val="1"/>
  </w:style>
  <w:style w:type="character" w:customStyle="1" w:styleId="197">
    <w:name w:val="hour_am"/>
    <w:basedOn w:val="55"/>
    <w:qFormat/>
    <w:uiPriority w:val="1"/>
  </w:style>
  <w:style w:type="character" w:customStyle="1" w:styleId="198">
    <w:name w:val="hover1"/>
    <w:basedOn w:val="55"/>
    <w:qFormat/>
    <w:uiPriority w:val="1"/>
    <w:rPr>
      <w:shd w:val="clear" w:color="auto" w:fill="EEEEEE"/>
    </w:rPr>
  </w:style>
  <w:style w:type="character" w:customStyle="1" w:styleId="199">
    <w:name w:val="old"/>
    <w:basedOn w:val="55"/>
    <w:qFormat/>
    <w:uiPriority w:val="1"/>
    <w:rPr>
      <w:color w:val="999999"/>
    </w:rPr>
  </w:style>
  <w:style w:type="character" w:customStyle="1" w:styleId="200">
    <w:name w:val="indent"/>
    <w:basedOn w:val="55"/>
    <w:qFormat/>
    <w:uiPriority w:val="1"/>
  </w:style>
  <w:style w:type="character" w:customStyle="1" w:styleId="201">
    <w:name w:val="icon"/>
    <w:basedOn w:val="55"/>
    <w:qFormat/>
    <w:uiPriority w:val="1"/>
  </w:style>
  <w:style w:type="paragraph" w:customStyle="1" w:styleId="202">
    <w:name w:val="_Style 182"/>
    <w:basedOn w:val="1"/>
    <w:next w:val="1"/>
    <w:qFormat/>
    <w:uiPriority w:val="1"/>
    <w:pPr>
      <w:pBdr>
        <w:bottom w:val="single" w:color="auto" w:sz="6" w:space="1"/>
      </w:pBdr>
      <w:jc w:val="center"/>
    </w:pPr>
    <w:rPr>
      <w:rFonts w:ascii="Arial"/>
      <w:vanish/>
      <w:sz w:val="16"/>
    </w:rPr>
  </w:style>
  <w:style w:type="paragraph" w:customStyle="1" w:styleId="203">
    <w:name w:val="_Style 183"/>
    <w:basedOn w:val="1"/>
    <w:next w:val="1"/>
    <w:qFormat/>
    <w:uiPriority w:val="1"/>
    <w:pPr>
      <w:pBdr>
        <w:top w:val="single" w:color="auto" w:sz="6" w:space="1"/>
      </w:pBdr>
      <w:jc w:val="center"/>
    </w:pPr>
    <w:rPr>
      <w:rFonts w:ascii="Arial"/>
      <w:vanish/>
      <w:sz w:val="16"/>
    </w:rPr>
  </w:style>
  <w:style w:type="character" w:customStyle="1" w:styleId="204">
    <w:name w:val="control-label-text1"/>
    <w:basedOn w:val="55"/>
    <w:qFormat/>
    <w:uiPriority w:val="1"/>
  </w:style>
  <w:style w:type="character" w:customStyle="1" w:styleId="205">
    <w:name w:val="hover"/>
    <w:basedOn w:val="55"/>
    <w:qFormat/>
    <w:uiPriority w:val="1"/>
    <w:rPr>
      <w:shd w:val="clear" w:color="auto" w:fill="EEEEEE"/>
    </w:rPr>
  </w:style>
  <w:style w:type="paragraph" w:customStyle="1" w:styleId="206">
    <w:name w:val="Table Text"/>
    <w:basedOn w:val="1"/>
    <w:qFormat/>
    <w:uiPriority w:val="1"/>
    <w:rPr>
      <w:rFonts w:ascii="宋体" w:hAnsi="宋体" w:cs="宋体"/>
      <w:sz w:val="20"/>
      <w:szCs w:val="20"/>
      <w:lang w:eastAsia="en-US"/>
    </w:rPr>
  </w:style>
  <w:style w:type="table" w:customStyle="1" w:styleId="207">
    <w:name w:val="Table Normal"/>
    <w:unhideWhenUsed/>
    <w:qFormat/>
    <w:uiPriority w:val="0"/>
    <w:tblPr>
      <w:tblCellMar>
        <w:top w:w="0" w:type="dxa"/>
        <w:left w:w="0" w:type="dxa"/>
        <w:bottom w:w="0" w:type="dxa"/>
        <w:right w:w="0" w:type="dxa"/>
      </w:tblCellMar>
    </w:tblPr>
  </w:style>
  <w:style w:type="paragraph" w:customStyle="1" w:styleId="208">
    <w:name w:val="实施方案正文"/>
    <w:basedOn w:val="1"/>
    <w:qFormat/>
    <w:uiPriority w:val="99"/>
    <w:pPr>
      <w:ind w:firstLine="566" w:firstLineChars="202"/>
    </w:pPr>
    <w:rPr>
      <w:kern w:val="0"/>
      <w:szCs w:val="20"/>
    </w:rPr>
  </w:style>
  <w:style w:type="paragraph" w:customStyle="1" w:styleId="209">
    <w:name w:val="Default"/>
    <w:link w:val="268"/>
    <w:qFormat/>
    <w:uiPriority w:val="0"/>
    <w:pPr>
      <w:widowControl w:val="0"/>
      <w:autoSpaceDE w:val="0"/>
      <w:autoSpaceDN w:val="0"/>
      <w:adjustRightInd w:val="0"/>
    </w:pPr>
    <w:rPr>
      <w:rFonts w:ascii="宋体" w:hAnsi="Calibri" w:eastAsiaTheme="minorEastAsia" w:cstheme="minorBidi"/>
      <w:color w:val="000000"/>
      <w:kern w:val="2"/>
      <w:sz w:val="24"/>
      <w:szCs w:val="22"/>
      <w:lang w:val="en-US" w:eastAsia="zh-CN" w:bidi="ar-SA"/>
    </w:rPr>
  </w:style>
  <w:style w:type="paragraph" w:customStyle="1" w:styleId="210">
    <w:name w:val="正文（首行缩进）"/>
    <w:basedOn w:val="1"/>
    <w:qFormat/>
    <w:uiPriority w:val="0"/>
    <w:pPr>
      <w:adjustRightInd w:val="0"/>
      <w:snapToGrid w:val="0"/>
    </w:pPr>
  </w:style>
  <w:style w:type="paragraph" w:customStyle="1" w:styleId="211">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212">
    <w:name w:val="样式 标题 3 + (中文) 黑体 小四 非加粗 段前: 7.8 磅 段后: 0 磅 行距: 固定值 20 磅"/>
    <w:basedOn w:val="4"/>
    <w:qFormat/>
    <w:uiPriority w:val="0"/>
    <w:pPr>
      <w:spacing w:line="400" w:lineRule="exact"/>
    </w:pPr>
    <w:rPr>
      <w:szCs w:val="20"/>
    </w:rPr>
  </w:style>
  <w:style w:type="character" w:customStyle="1" w:styleId="213">
    <w:name w:val="未处理的提及1"/>
    <w:basedOn w:val="55"/>
    <w:unhideWhenUsed/>
    <w:qFormat/>
    <w:uiPriority w:val="99"/>
    <w:rPr>
      <w:color w:val="605E5C"/>
      <w:shd w:val="clear" w:color="auto" w:fill="E1DFDD"/>
    </w:rPr>
  </w:style>
  <w:style w:type="character" w:customStyle="1" w:styleId="214">
    <w:name w:val="标题 2 字符1"/>
    <w:qFormat/>
    <w:uiPriority w:val="1"/>
    <w:rPr>
      <w:rFonts w:ascii="Arial" w:hAnsi="Arial" w:eastAsia="黑体"/>
      <w:b/>
      <w:bCs/>
      <w:sz w:val="32"/>
      <w:szCs w:val="32"/>
    </w:rPr>
  </w:style>
  <w:style w:type="character" w:customStyle="1" w:styleId="215">
    <w:name w:val="正文文本缩进 字符"/>
    <w:basedOn w:val="55"/>
    <w:link w:val="21"/>
    <w:qFormat/>
    <w:uiPriority w:val="0"/>
    <w:rPr>
      <w:rFonts w:ascii="仿宋_GB2312" w:eastAsia="仿宋_GB2312"/>
      <w:kern w:val="2"/>
      <w:sz w:val="28"/>
      <w:szCs w:val="24"/>
    </w:rPr>
  </w:style>
  <w:style w:type="character" w:customStyle="1" w:styleId="216">
    <w:name w:val="日期 字符"/>
    <w:basedOn w:val="55"/>
    <w:link w:val="29"/>
    <w:qFormat/>
    <w:uiPriority w:val="0"/>
    <w:rPr>
      <w:rFonts w:ascii="仿宋_GB2312" w:eastAsia="仿宋_GB2312"/>
      <w:kern w:val="2"/>
      <w:sz w:val="28"/>
      <w:szCs w:val="24"/>
    </w:rPr>
  </w:style>
  <w:style w:type="character" w:customStyle="1" w:styleId="217">
    <w:name w:val="正文文本缩进 2 字符"/>
    <w:basedOn w:val="55"/>
    <w:link w:val="30"/>
    <w:qFormat/>
    <w:uiPriority w:val="0"/>
    <w:rPr>
      <w:rFonts w:ascii="仿宋_GB2312" w:eastAsia="仿宋_GB2312"/>
      <w:kern w:val="2"/>
      <w:sz w:val="28"/>
      <w:szCs w:val="24"/>
    </w:rPr>
  </w:style>
  <w:style w:type="character" w:customStyle="1" w:styleId="218">
    <w:name w:val="尾注文本 字符"/>
    <w:basedOn w:val="55"/>
    <w:qFormat/>
    <w:uiPriority w:val="99"/>
    <w:rPr>
      <w:kern w:val="2"/>
      <w:sz w:val="21"/>
      <w:szCs w:val="24"/>
    </w:rPr>
  </w:style>
  <w:style w:type="character" w:customStyle="1" w:styleId="219">
    <w:name w:val="尾注文本 字符1"/>
    <w:link w:val="31"/>
    <w:qFormat/>
    <w:uiPriority w:val="0"/>
  </w:style>
  <w:style w:type="character" w:customStyle="1" w:styleId="220">
    <w:name w:val="脚注文本 字符"/>
    <w:basedOn w:val="55"/>
    <w:link w:val="41"/>
    <w:qFormat/>
    <w:uiPriority w:val="0"/>
    <w:rPr>
      <w:sz w:val="18"/>
      <w:szCs w:val="18"/>
    </w:rPr>
  </w:style>
  <w:style w:type="character" w:customStyle="1" w:styleId="221">
    <w:name w:val="正文文本缩进 3 字符"/>
    <w:basedOn w:val="55"/>
    <w:link w:val="43"/>
    <w:qFormat/>
    <w:uiPriority w:val="0"/>
    <w:rPr>
      <w:rFonts w:ascii="仿宋_GB2312" w:eastAsia="仿宋_GB2312"/>
      <w:color w:val="3366FF"/>
      <w:kern w:val="2"/>
      <w:sz w:val="24"/>
      <w:szCs w:val="24"/>
    </w:rPr>
  </w:style>
  <w:style w:type="character" w:customStyle="1" w:styleId="222">
    <w:name w:val="正文文本首行缩进 字符"/>
    <w:basedOn w:val="79"/>
    <w:link w:val="52"/>
    <w:qFormat/>
    <w:uiPriority w:val="0"/>
    <w:rPr>
      <w:rFonts w:ascii="楷体_GB2312" w:eastAsia="楷体_GB2312"/>
      <w:bCs w:val="0"/>
      <w:iCs w:val="0"/>
      <w:color w:val="FF00FF"/>
      <w:spacing w:val="4"/>
      <w:kern w:val="2"/>
      <w:sz w:val="21"/>
    </w:rPr>
  </w:style>
  <w:style w:type="character" w:customStyle="1" w:styleId="223">
    <w:name w:val="正文文本首行缩进 2 字符"/>
    <w:basedOn w:val="215"/>
    <w:link w:val="22"/>
    <w:qFormat/>
    <w:uiPriority w:val="0"/>
    <w:rPr>
      <w:rFonts w:ascii="仿宋_GB2312" w:eastAsia="仿宋_GB2312"/>
      <w:kern w:val="2"/>
      <w:sz w:val="28"/>
      <w:szCs w:val="24"/>
    </w:rPr>
  </w:style>
  <w:style w:type="character" w:customStyle="1" w:styleId="224">
    <w:name w:val="正文文本首行缩进 字符1"/>
    <w:qFormat/>
    <w:uiPriority w:val="0"/>
    <w:rPr>
      <w:kern w:val="2"/>
      <w:sz w:val="21"/>
      <w:szCs w:val="24"/>
    </w:rPr>
  </w:style>
  <w:style w:type="character" w:customStyle="1" w:styleId="225">
    <w:name w:val="正文文本首行缩进 2 字符1"/>
    <w:qFormat/>
    <w:uiPriority w:val="0"/>
    <w:rPr>
      <w:kern w:val="2"/>
      <w:sz w:val="21"/>
      <w:szCs w:val="24"/>
    </w:rPr>
  </w:style>
  <w:style w:type="character" w:customStyle="1" w:styleId="226">
    <w:name w:val="明显参考1"/>
    <w:qFormat/>
    <w:uiPriority w:val="0"/>
    <w:rPr>
      <w:b/>
      <w:bCs/>
      <w:smallCaps/>
      <w:color w:val="C0504D"/>
      <w:spacing w:val="5"/>
      <w:u w:val="single"/>
    </w:rPr>
  </w:style>
  <w:style w:type="character" w:customStyle="1" w:styleId="227">
    <w:name w:val="书籍标题1"/>
    <w:qFormat/>
    <w:uiPriority w:val="0"/>
    <w:rPr>
      <w:b/>
      <w:bCs/>
      <w:smallCaps/>
      <w:spacing w:val="5"/>
    </w:rPr>
  </w:style>
  <w:style w:type="character" w:customStyle="1" w:styleId="228">
    <w:name w:val="日期 Char1"/>
    <w:qFormat/>
    <w:uiPriority w:val="0"/>
    <w:rPr>
      <w:kern w:val="2"/>
      <w:sz w:val="21"/>
      <w:szCs w:val="22"/>
    </w:rPr>
  </w:style>
  <w:style w:type="character" w:customStyle="1" w:styleId="229">
    <w:name w:val="tpc_content1"/>
    <w:qFormat/>
    <w:uiPriority w:val="1"/>
    <w:rPr>
      <w:sz w:val="20"/>
      <w:szCs w:val="20"/>
    </w:rPr>
  </w:style>
  <w:style w:type="character" w:customStyle="1" w:styleId="230">
    <w:name w:val="明显强调1"/>
    <w:qFormat/>
    <w:uiPriority w:val="0"/>
    <w:rPr>
      <w:b/>
      <w:bCs/>
      <w:i/>
      <w:iCs/>
      <w:color w:val="4F81BD"/>
    </w:rPr>
  </w:style>
  <w:style w:type="character" w:customStyle="1" w:styleId="231">
    <w:name w:val="(符号)五标题1.1.1 Char"/>
    <w:qFormat/>
    <w:locked/>
    <w:uiPriority w:val="1"/>
    <w:rPr>
      <w:rFonts w:ascii="宋体" w:hAnsi="宋体" w:eastAsia="宋体" w:cs="宋体"/>
      <w:color w:val="000000"/>
      <w:kern w:val="2"/>
      <w:sz w:val="24"/>
      <w:lang w:val="en-US" w:eastAsia="zh-CN" w:bidi="ar-SA"/>
    </w:rPr>
  </w:style>
  <w:style w:type="character" w:customStyle="1" w:styleId="232">
    <w:name w:val="hover34"/>
    <w:qFormat/>
    <w:uiPriority w:val="1"/>
    <w:rPr>
      <w:color w:val="3EAF0E"/>
    </w:rPr>
  </w:style>
  <w:style w:type="character" w:customStyle="1" w:styleId="233">
    <w:name w:val="明显引用 字符1"/>
    <w:basedOn w:val="55"/>
    <w:qFormat/>
    <w:uiPriority w:val="30"/>
    <w:rPr>
      <w:i/>
      <w:iCs/>
      <w:color w:val="376092" w:themeColor="accent1" w:themeShade="BF"/>
    </w:rPr>
  </w:style>
  <w:style w:type="character" w:customStyle="1" w:styleId="234">
    <w:name w:val="textcontents"/>
    <w:qFormat/>
    <w:uiPriority w:val="0"/>
    <w:rPr>
      <w:rFonts w:cs="Times New Roman"/>
    </w:rPr>
  </w:style>
  <w:style w:type="character" w:customStyle="1" w:styleId="235">
    <w:name w:val="批注框文本 Char1"/>
    <w:qFormat/>
    <w:uiPriority w:val="0"/>
    <w:rPr>
      <w:kern w:val="2"/>
      <w:sz w:val="18"/>
      <w:szCs w:val="18"/>
    </w:rPr>
  </w:style>
  <w:style w:type="character" w:customStyle="1" w:styleId="236">
    <w:name w:val="正文1 Char"/>
    <w:link w:val="237"/>
    <w:qFormat/>
    <w:uiPriority w:val="0"/>
    <w:rPr>
      <w:rFonts w:ascii="宋体" w:hAnsi="宋体"/>
      <w:kern w:val="2"/>
      <w:sz w:val="21"/>
      <w:szCs w:val="21"/>
    </w:rPr>
  </w:style>
  <w:style w:type="paragraph" w:customStyle="1" w:styleId="237">
    <w:name w:val="正文1"/>
    <w:basedOn w:val="1"/>
    <w:link w:val="236"/>
    <w:qFormat/>
    <w:uiPriority w:val="0"/>
    <w:pPr>
      <w:ind w:firstLine="420" w:firstLineChars="200"/>
    </w:pPr>
    <w:rPr>
      <w:rFonts w:ascii="宋体" w:hAnsi="宋体"/>
      <w:szCs w:val="21"/>
    </w:rPr>
  </w:style>
  <w:style w:type="character" w:customStyle="1" w:styleId="238">
    <w:name w:val="文档结构图 Char2"/>
    <w:semiHidden/>
    <w:qFormat/>
    <w:uiPriority w:val="99"/>
    <w:rPr>
      <w:rFonts w:ascii="宋体"/>
      <w:sz w:val="18"/>
      <w:szCs w:val="18"/>
    </w:rPr>
  </w:style>
  <w:style w:type="character" w:customStyle="1" w:styleId="239">
    <w:name w:val="mr-prof2"/>
    <w:qFormat/>
    <w:uiPriority w:val="1"/>
  </w:style>
  <w:style w:type="character" w:customStyle="1" w:styleId="240">
    <w:name w:val="批注文字 Char Char"/>
    <w:qFormat/>
    <w:uiPriority w:val="0"/>
    <w:rPr>
      <w:rFonts w:ascii="宋体" w:hAnsi="Times New Roman" w:eastAsia="宋体" w:cs="Times New Roman"/>
      <w:sz w:val="28"/>
      <w:szCs w:val="20"/>
    </w:rPr>
  </w:style>
  <w:style w:type="character" w:customStyle="1" w:styleId="241">
    <w:name w:val="keywordslink1"/>
    <w:qFormat/>
    <w:uiPriority w:val="1"/>
    <w:rPr>
      <w:color w:val="333333"/>
    </w:rPr>
  </w:style>
  <w:style w:type="character" w:customStyle="1" w:styleId="242">
    <w:name w:val="t_tag"/>
    <w:qFormat/>
    <w:uiPriority w:val="1"/>
  </w:style>
  <w:style w:type="character" w:customStyle="1" w:styleId="243">
    <w:name w:val="s16"/>
    <w:qFormat/>
    <w:uiPriority w:val="1"/>
    <w:rPr>
      <w:color w:val="DDDDDD"/>
      <w:sz w:val="18"/>
      <w:szCs w:val="18"/>
    </w:rPr>
  </w:style>
  <w:style w:type="character" w:customStyle="1" w:styleId="244">
    <w:name w:val="不明显强调1"/>
    <w:qFormat/>
    <w:uiPriority w:val="0"/>
    <w:rPr>
      <w:i/>
      <w:iCs/>
      <w:color w:val="808080"/>
    </w:rPr>
  </w:style>
  <w:style w:type="character" w:customStyle="1" w:styleId="245">
    <w:name w:val="标题 2 Char"/>
    <w:qFormat/>
    <w:uiPriority w:val="0"/>
    <w:rPr>
      <w:rFonts w:ascii="Arial" w:hAnsi="Arial" w:eastAsia="黑体"/>
      <w:b/>
      <w:bCs/>
      <w:kern w:val="2"/>
      <w:sz w:val="32"/>
      <w:szCs w:val="32"/>
      <w:lang w:val="en-US" w:eastAsia="zh-CN" w:bidi="ar-SA"/>
    </w:rPr>
  </w:style>
  <w:style w:type="character" w:customStyle="1" w:styleId="246">
    <w:name w:val="hover35"/>
    <w:qFormat/>
    <w:uiPriority w:val="1"/>
    <w:rPr>
      <w:color w:val="3EAF0E"/>
    </w:rPr>
  </w:style>
  <w:style w:type="character" w:customStyle="1" w:styleId="247">
    <w:name w:val="文档结构图 Char1"/>
    <w:qFormat/>
    <w:uiPriority w:val="0"/>
    <w:rPr>
      <w:rFonts w:ascii="宋体"/>
      <w:kern w:val="2"/>
      <w:sz w:val="18"/>
      <w:szCs w:val="18"/>
    </w:rPr>
  </w:style>
  <w:style w:type="character" w:customStyle="1" w:styleId="248">
    <w:name w:val="(符号)五标题1.1.1 Char Char"/>
    <w:link w:val="249"/>
    <w:qFormat/>
    <w:uiPriority w:val="1"/>
    <w:rPr>
      <w:rFonts w:ascii="宋体" w:hAnsi="宋体" w:cs="宋体"/>
      <w:color w:val="000000"/>
      <w:kern w:val="2"/>
      <w:sz w:val="24"/>
    </w:rPr>
  </w:style>
  <w:style w:type="paragraph" w:customStyle="1" w:styleId="249">
    <w:name w:val="(符号)五标题1.1.1"/>
    <w:basedOn w:val="1"/>
    <w:link w:val="248"/>
    <w:qFormat/>
    <w:uiPriority w:val="1"/>
    <w:pPr>
      <w:tabs>
        <w:tab w:val="left" w:pos="1000"/>
      </w:tabs>
      <w:spacing w:line="500" w:lineRule="exact"/>
      <w:ind w:left="1600" w:hanging="420"/>
    </w:pPr>
    <w:rPr>
      <w:rFonts w:ascii="宋体" w:hAnsi="宋体" w:cs="宋体"/>
      <w:color w:val="000000"/>
      <w:sz w:val="24"/>
      <w:szCs w:val="20"/>
    </w:rPr>
  </w:style>
  <w:style w:type="character" w:customStyle="1" w:styleId="250">
    <w:name w:val="引用 字符1"/>
    <w:basedOn w:val="55"/>
    <w:qFormat/>
    <w:uiPriority w:val="29"/>
    <w:rPr>
      <w:i/>
      <w:iCs/>
      <w:color w:val="404040" w:themeColor="text1" w:themeTint="BF"/>
      <w14:textFill>
        <w14:solidFill>
          <w14:schemeClr w14:val="tx1">
            <w14:lumMod w14:val="75000"/>
            <w14:lumOff w14:val="25000"/>
          </w14:schemeClr>
        </w14:solidFill>
      </w14:textFill>
    </w:rPr>
  </w:style>
  <w:style w:type="character" w:customStyle="1" w:styleId="251">
    <w:name w:val="样式 宋体 四号"/>
    <w:qFormat/>
    <w:uiPriority w:val="0"/>
    <w:rPr>
      <w:rFonts w:ascii="宋体" w:hAnsi="宋体" w:eastAsia="仿宋_GB2312" w:cs="Times New Roman"/>
      <w:sz w:val="28"/>
    </w:rPr>
  </w:style>
  <w:style w:type="character" w:customStyle="1" w:styleId="252">
    <w:name w:val="正文文本 Char1"/>
    <w:qFormat/>
    <w:uiPriority w:val="0"/>
    <w:rPr>
      <w:kern w:val="2"/>
      <w:sz w:val="21"/>
      <w:szCs w:val="22"/>
    </w:rPr>
  </w:style>
  <w:style w:type="character" w:customStyle="1" w:styleId="253">
    <w:name w:val="mr-prof"/>
    <w:qFormat/>
    <w:uiPriority w:val="1"/>
  </w:style>
  <w:style w:type="character" w:customStyle="1" w:styleId="254">
    <w:name w:val="样式 仿宋_GB2312 小四 加粗"/>
    <w:qFormat/>
    <w:uiPriority w:val="0"/>
    <w:rPr>
      <w:rFonts w:ascii="仿宋_GB2312" w:hAnsi="仿宋_GB2312" w:eastAsia="仿宋_GB2312"/>
      <w:b/>
      <w:bCs/>
      <w:kern w:val="0"/>
      <w:sz w:val="28"/>
    </w:rPr>
  </w:style>
  <w:style w:type="character" w:customStyle="1" w:styleId="255">
    <w:name w:val="不明显参考1"/>
    <w:qFormat/>
    <w:uiPriority w:val="0"/>
    <w:rPr>
      <w:smallCaps/>
      <w:color w:val="C0504D"/>
      <w:u w:val="single"/>
    </w:rPr>
  </w:style>
  <w:style w:type="character" w:customStyle="1" w:styleId="256">
    <w:name w:val="dian"/>
    <w:qFormat/>
    <w:uiPriority w:val="1"/>
  </w:style>
  <w:style w:type="paragraph" w:customStyle="1" w:styleId="257">
    <w:name w:val="Char Char Char1 Char"/>
    <w:basedOn w:val="1"/>
    <w:qFormat/>
    <w:uiPriority w:val="1"/>
    <w:pPr>
      <w:spacing w:line="240" w:lineRule="atLeast"/>
      <w:ind w:left="420" w:firstLine="420"/>
    </w:pPr>
    <w:rPr>
      <w:kern w:val="0"/>
      <w:sz w:val="24"/>
      <w:szCs w:val="21"/>
    </w:rPr>
  </w:style>
  <w:style w:type="paragraph" w:customStyle="1" w:styleId="258">
    <w:name w:val="Char Char Char Char Char Char Char Char Char1 Char"/>
    <w:basedOn w:val="1"/>
    <w:qFormat/>
    <w:uiPriority w:val="1"/>
    <w:pPr>
      <w:spacing w:line="240" w:lineRule="auto"/>
    </w:pPr>
    <w:rPr>
      <w:rFonts w:ascii="Tahoma" w:hAnsi="Tahoma"/>
      <w:sz w:val="24"/>
      <w:szCs w:val="20"/>
    </w:rPr>
  </w:style>
  <w:style w:type="paragraph" w:customStyle="1" w:styleId="259">
    <w:name w:val="目录文字"/>
    <w:basedOn w:val="1"/>
    <w:qFormat/>
    <w:uiPriority w:val="0"/>
    <w:pPr>
      <w:widowControl/>
      <w:spacing w:line="480" w:lineRule="auto"/>
      <w:jc w:val="left"/>
    </w:pPr>
    <w:rPr>
      <w:rFonts w:ascii="宋体" w:hAnsi="宋体"/>
      <w:kern w:val="0"/>
      <w:sz w:val="24"/>
      <w:szCs w:val="20"/>
    </w:rPr>
  </w:style>
  <w:style w:type="paragraph" w:customStyle="1" w:styleId="260">
    <w:name w:val="Char Char1 Char"/>
    <w:basedOn w:val="1"/>
    <w:qFormat/>
    <w:uiPriority w:val="1"/>
    <w:pPr>
      <w:widowControl/>
      <w:spacing w:after="160" w:line="240" w:lineRule="exact"/>
      <w:jc w:val="left"/>
    </w:pPr>
    <w:rPr>
      <w:rFonts w:ascii="Verdana" w:hAnsi="Verdana" w:eastAsia="仿宋_GB2312"/>
      <w:kern w:val="0"/>
      <w:sz w:val="24"/>
      <w:szCs w:val="20"/>
      <w:lang w:eastAsia="en-US"/>
    </w:rPr>
  </w:style>
  <w:style w:type="paragraph" w:customStyle="1" w:styleId="261">
    <w:name w:val="Char21"/>
    <w:basedOn w:val="1"/>
    <w:qFormat/>
    <w:uiPriority w:val="1"/>
    <w:pPr>
      <w:spacing w:line="240" w:lineRule="auto"/>
    </w:pPr>
  </w:style>
  <w:style w:type="paragraph" w:customStyle="1" w:styleId="262">
    <w:name w:val="表格一"/>
    <w:basedOn w:val="36"/>
    <w:qFormat/>
    <w:uiPriority w:val="0"/>
    <w:pPr>
      <w:pBdr>
        <w:bottom w:val="none" w:color="auto" w:sz="0" w:space="0"/>
      </w:pBdr>
      <w:tabs>
        <w:tab w:val="clear" w:pos="4153"/>
        <w:tab w:val="clear" w:pos="8306"/>
      </w:tabs>
      <w:autoSpaceDE w:val="0"/>
      <w:autoSpaceDN w:val="0"/>
      <w:spacing w:line="240" w:lineRule="auto"/>
      <w:textAlignment w:val="auto"/>
    </w:pPr>
    <w:rPr>
      <w:rFonts w:ascii="楷体_GB2312" w:hAnsi="华文楷体" w:eastAsia="楷体_GB2312"/>
      <w:b/>
      <w:sz w:val="24"/>
      <w:szCs w:val="24"/>
    </w:rPr>
  </w:style>
  <w:style w:type="paragraph" w:customStyle="1" w:styleId="263">
    <w:name w:val="样式5"/>
    <w:basedOn w:val="1"/>
    <w:qFormat/>
    <w:uiPriority w:val="0"/>
    <w:pPr>
      <w:adjustRightInd w:val="0"/>
      <w:spacing w:line="240" w:lineRule="atLeast"/>
    </w:pPr>
    <w:rPr>
      <w:rFonts w:ascii="Calibri" w:hAnsi="Calibri"/>
      <w:kern w:val="0"/>
      <w:sz w:val="24"/>
      <w:szCs w:val="20"/>
    </w:rPr>
  </w:style>
  <w:style w:type="paragraph" w:customStyle="1" w:styleId="264">
    <w:name w:val="标书正文"/>
    <w:basedOn w:val="1"/>
    <w:qFormat/>
    <w:uiPriority w:val="1"/>
    <w:pPr>
      <w:spacing w:before="100" w:after="100"/>
    </w:pPr>
    <w:rPr>
      <w:sz w:val="24"/>
      <w:szCs w:val="20"/>
    </w:rPr>
  </w:style>
  <w:style w:type="paragraph" w:customStyle="1" w:styleId="265">
    <w:name w:val="二级条标题"/>
    <w:basedOn w:val="266"/>
    <w:next w:val="267"/>
    <w:qFormat/>
    <w:uiPriority w:val="0"/>
    <w:pPr>
      <w:tabs>
        <w:tab w:val="left" w:pos="1260"/>
        <w:tab w:val="left" w:pos="2231"/>
      </w:tabs>
      <w:ind w:left="2231"/>
      <w:outlineLvl w:val="3"/>
    </w:pPr>
  </w:style>
  <w:style w:type="paragraph" w:customStyle="1" w:styleId="266">
    <w:name w:val="一级条标题"/>
    <w:next w:val="1"/>
    <w:qFormat/>
    <w:uiPriority w:val="0"/>
    <w:pPr>
      <w:tabs>
        <w:tab w:val="left" w:pos="1260"/>
      </w:tabs>
      <w:ind w:left="1260" w:hanging="420"/>
      <w:outlineLvl w:val="2"/>
    </w:pPr>
    <w:rPr>
      <w:rFonts w:ascii="Times New Roman" w:hAnsi="Times New Roman" w:eastAsia="黑体" w:cs="Times New Roman"/>
      <w:sz w:val="21"/>
      <w:lang w:val="en-US" w:eastAsia="zh-CN" w:bidi="ar-SA"/>
    </w:rPr>
  </w:style>
  <w:style w:type="paragraph" w:customStyle="1" w:styleId="26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68">
    <w:name w:val="Default Char"/>
    <w:link w:val="209"/>
    <w:qFormat/>
    <w:uiPriority w:val="1"/>
    <w:rPr>
      <w:rFonts w:ascii="宋体" w:hAnsi="Calibri" w:eastAsiaTheme="minorEastAsia" w:cstheme="minorBidi"/>
      <w:color w:val="000000"/>
      <w:kern w:val="2"/>
      <w:sz w:val="24"/>
      <w:szCs w:val="22"/>
    </w:rPr>
  </w:style>
  <w:style w:type="paragraph" w:customStyle="1" w:styleId="269">
    <w:name w:val="正文2"/>
    <w:qFormat/>
    <w:uiPriority w:val="0"/>
    <w:pPr>
      <w:widowControl w:val="0"/>
      <w:adjustRightInd w:val="0"/>
      <w:spacing w:line="312" w:lineRule="atLeast"/>
      <w:jc w:val="both"/>
    </w:pPr>
    <w:rPr>
      <w:rFonts w:ascii="Times New Roman" w:hAnsi="Times New Roman" w:eastAsia="宋体" w:cs="Times New Roman"/>
      <w:sz w:val="24"/>
      <w:lang w:val="en-US" w:eastAsia="zh-CN" w:bidi="ar-SA"/>
    </w:rPr>
  </w:style>
  <w:style w:type="paragraph" w:customStyle="1" w:styleId="270">
    <w:name w:val="样式1"/>
    <w:basedOn w:val="1"/>
    <w:qFormat/>
    <w:uiPriority w:val="0"/>
    <w:pPr>
      <w:spacing w:before="120" w:after="120" w:line="300" w:lineRule="auto"/>
    </w:pPr>
    <w:rPr>
      <w:rFonts w:ascii="宋体" w:hAnsi="宋体"/>
      <w:b/>
      <w:sz w:val="24"/>
      <w:szCs w:val="20"/>
    </w:rPr>
  </w:style>
  <w:style w:type="paragraph" w:styleId="271">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272">
    <w:name w:val="Char Char Char Char Char Char Char Char Char1 Char Char Char Char1"/>
    <w:basedOn w:val="1"/>
    <w:qFormat/>
    <w:uiPriority w:val="1"/>
    <w:pPr>
      <w:spacing w:line="240" w:lineRule="auto"/>
    </w:pPr>
    <w:rPr>
      <w:rFonts w:ascii="Tahoma" w:hAnsi="Tahoma"/>
      <w:sz w:val="24"/>
      <w:szCs w:val="20"/>
    </w:rPr>
  </w:style>
  <w:style w:type="paragraph" w:customStyle="1" w:styleId="273">
    <w:name w:val="表格"/>
    <w:basedOn w:val="1"/>
    <w:qFormat/>
    <w:uiPriority w:val="0"/>
    <w:pPr>
      <w:tabs>
        <w:tab w:val="left" w:pos="1200"/>
      </w:tabs>
      <w:spacing w:line="500" w:lineRule="exact"/>
      <w:jc w:val="center"/>
    </w:pPr>
    <w:rPr>
      <w:rFonts w:ascii="宋体"/>
      <w:sz w:val="24"/>
      <w:szCs w:val="18"/>
    </w:rPr>
  </w:style>
  <w:style w:type="paragraph" w:customStyle="1" w:styleId="274">
    <w:name w:val="Char Char Char Char Char Char Char"/>
    <w:basedOn w:val="1"/>
    <w:qFormat/>
    <w:uiPriority w:val="0"/>
    <w:pPr>
      <w:spacing w:line="240" w:lineRule="auto"/>
    </w:pPr>
    <w:rPr>
      <w:rFonts w:ascii="Tahoma" w:hAnsi="Tahoma" w:cs="Tahoma"/>
      <w:sz w:val="24"/>
    </w:rPr>
  </w:style>
  <w:style w:type="paragraph" w:customStyle="1" w:styleId="275">
    <w:name w:val="Char Char Char Char"/>
    <w:basedOn w:val="1"/>
    <w:qFormat/>
    <w:uiPriority w:val="0"/>
    <w:pPr>
      <w:spacing w:line="240" w:lineRule="auto"/>
      <w:ind w:firstLine="480" w:firstLineChars="200"/>
    </w:pPr>
    <w:rPr>
      <w:rFonts w:ascii="Tahoma" w:hAnsi="Tahoma" w:cs="宋体"/>
      <w:sz w:val="24"/>
      <w:szCs w:val="20"/>
    </w:rPr>
  </w:style>
  <w:style w:type="paragraph" w:customStyle="1" w:styleId="276">
    <w:name w:val="Char Char1 Char1"/>
    <w:basedOn w:val="1"/>
    <w:qFormat/>
    <w:uiPriority w:val="1"/>
    <w:pPr>
      <w:widowControl/>
      <w:spacing w:after="160" w:line="240" w:lineRule="exact"/>
      <w:jc w:val="left"/>
    </w:pPr>
    <w:rPr>
      <w:rFonts w:ascii="Verdana" w:hAnsi="Verdana" w:eastAsia="仿宋_GB2312"/>
      <w:kern w:val="0"/>
      <w:sz w:val="24"/>
      <w:szCs w:val="20"/>
      <w:lang w:eastAsia="en-US"/>
    </w:rPr>
  </w:style>
  <w:style w:type="paragraph" w:customStyle="1" w:styleId="277">
    <w:name w:val="Char2"/>
    <w:basedOn w:val="1"/>
    <w:qFormat/>
    <w:uiPriority w:val="1"/>
    <w:pPr>
      <w:spacing w:line="240" w:lineRule="auto"/>
      <w:ind w:left="432" w:hanging="432"/>
    </w:pPr>
    <w:rPr>
      <w:kern w:val="0"/>
      <w:sz w:val="20"/>
      <w:szCs w:val="20"/>
    </w:rPr>
  </w:style>
  <w:style w:type="paragraph" w:customStyle="1" w:styleId="278">
    <w:name w:val="章"/>
    <w:basedOn w:val="1"/>
    <w:next w:val="2"/>
    <w:qFormat/>
    <w:uiPriority w:val="0"/>
    <w:pPr>
      <w:autoSpaceDE w:val="0"/>
      <w:autoSpaceDN w:val="0"/>
      <w:adjustRightInd w:val="0"/>
      <w:spacing w:line="400" w:lineRule="exact"/>
      <w:ind w:firstLine="454"/>
      <w:jc w:val="left"/>
      <w:textAlignment w:val="baseline"/>
    </w:pPr>
    <w:rPr>
      <w:kern w:val="0"/>
      <w:sz w:val="24"/>
      <w:szCs w:val="20"/>
    </w:rPr>
  </w:style>
  <w:style w:type="paragraph" w:customStyle="1" w:styleId="279">
    <w:name w:val="2"/>
    <w:basedOn w:val="1"/>
    <w:next w:val="24"/>
    <w:qFormat/>
    <w:uiPriority w:val="1"/>
    <w:pPr>
      <w:adjustRightInd w:val="0"/>
      <w:spacing w:line="240" w:lineRule="auto"/>
      <w:ind w:left="420" w:right="33"/>
      <w:jc w:val="left"/>
    </w:pPr>
    <w:rPr>
      <w:kern w:val="0"/>
      <w:sz w:val="24"/>
      <w:szCs w:val="20"/>
    </w:rPr>
  </w:style>
  <w:style w:type="paragraph" w:customStyle="1" w:styleId="280">
    <w:name w:val="默认段落字体 Para Char"/>
    <w:basedOn w:val="1"/>
    <w:qFormat/>
    <w:uiPriority w:val="0"/>
    <w:pPr>
      <w:spacing w:line="240" w:lineRule="auto"/>
    </w:pPr>
    <w:rPr>
      <w:szCs w:val="20"/>
    </w:rPr>
  </w:style>
  <w:style w:type="paragraph" w:customStyle="1" w:styleId="281">
    <w:name w:val="soustitre"/>
    <w:basedOn w:val="1"/>
    <w:qFormat/>
    <w:uiPriority w:val="1"/>
    <w:pPr>
      <w:widowControl/>
      <w:tabs>
        <w:tab w:val="left" w:pos="525"/>
      </w:tabs>
      <w:overflowPunct w:val="0"/>
      <w:autoSpaceDE w:val="0"/>
      <w:autoSpaceDN w:val="0"/>
      <w:adjustRightInd w:val="0"/>
      <w:spacing w:line="400" w:lineRule="atLeast"/>
      <w:jc w:val="center"/>
    </w:pPr>
    <w:rPr>
      <w:rFonts w:ascii="New York" w:hAnsi="New York" w:eastAsia="楷体_GB2312"/>
      <w:kern w:val="0"/>
      <w:position w:val="-6"/>
      <w:sz w:val="24"/>
      <w:szCs w:val="20"/>
      <w:lang w:val="fr-FR"/>
    </w:rPr>
  </w:style>
  <w:style w:type="paragraph" w:customStyle="1" w:styleId="282">
    <w:name w:val="纯文本1"/>
    <w:basedOn w:val="1"/>
    <w:qFormat/>
    <w:uiPriority w:val="1"/>
    <w:pPr>
      <w:adjustRightInd w:val="0"/>
      <w:spacing w:line="240" w:lineRule="auto"/>
      <w:jc w:val="left"/>
      <w:textAlignment w:val="baseline"/>
    </w:pPr>
    <w:rPr>
      <w:rFonts w:ascii="宋体" w:hAnsi="Courier New"/>
      <w:sz w:val="24"/>
      <w:szCs w:val="20"/>
    </w:rPr>
  </w:style>
  <w:style w:type="paragraph" w:customStyle="1" w:styleId="283">
    <w:name w:val="修订1"/>
    <w:qFormat/>
    <w:uiPriority w:val="0"/>
    <w:rPr>
      <w:rFonts w:ascii="Times New Roman" w:hAnsi="Times New Roman" w:eastAsia="宋体" w:cs="Times New Roman"/>
      <w:kern w:val="2"/>
      <w:sz w:val="21"/>
      <w:szCs w:val="24"/>
      <w:lang w:val="en-US" w:eastAsia="zh-CN" w:bidi="ar-SA"/>
    </w:rPr>
  </w:style>
  <w:style w:type="paragraph" w:customStyle="1" w:styleId="284">
    <w:name w:val="默认段落字体 Para Char Char Char Char"/>
    <w:basedOn w:val="1"/>
    <w:qFormat/>
    <w:uiPriority w:val="0"/>
    <w:pPr>
      <w:spacing w:line="240" w:lineRule="auto"/>
    </w:pPr>
    <w:rPr>
      <w:rFonts w:ascii="Arial" w:hAnsi="Arial"/>
      <w:snapToGrid w:val="0"/>
      <w:szCs w:val="21"/>
    </w:rPr>
  </w:style>
  <w:style w:type="paragraph" w:customStyle="1" w:styleId="285">
    <w:name w:val="123"/>
    <w:basedOn w:val="1"/>
    <w:qFormat/>
    <w:uiPriority w:val="1"/>
    <w:pPr>
      <w:tabs>
        <w:tab w:val="left" w:pos="1155"/>
      </w:tabs>
      <w:spacing w:line="240" w:lineRule="auto"/>
      <w:ind w:left="1360" w:hanging="420"/>
    </w:pPr>
    <w:rPr>
      <w:szCs w:val="20"/>
    </w:rPr>
  </w:style>
  <w:style w:type="paragraph" w:customStyle="1" w:styleId="286">
    <w:name w:val="Char Char Char Char Char Char Char Char Char Char Char Char Char Char Char Char Char Char Char"/>
    <w:basedOn w:val="1"/>
    <w:qFormat/>
    <w:uiPriority w:val="1"/>
    <w:pPr>
      <w:widowControl/>
      <w:spacing w:after="160" w:line="240" w:lineRule="exact"/>
      <w:jc w:val="left"/>
    </w:pPr>
    <w:rPr>
      <w:rFonts w:ascii="Verdana" w:hAnsi="Verdana" w:cs="Verdana"/>
      <w:kern w:val="0"/>
      <w:sz w:val="20"/>
      <w:szCs w:val="20"/>
      <w:lang w:eastAsia="en-US"/>
    </w:rPr>
  </w:style>
  <w:style w:type="paragraph" w:customStyle="1" w:styleId="287">
    <w:name w:val="Char Char Char Char Char Char Char Char Char1"/>
    <w:basedOn w:val="1"/>
    <w:qFormat/>
    <w:uiPriority w:val="1"/>
    <w:pPr>
      <w:spacing w:line="240" w:lineRule="auto"/>
    </w:pPr>
    <w:rPr>
      <w:rFonts w:ascii="Tahoma" w:hAnsi="Tahoma"/>
      <w:sz w:val="24"/>
      <w:szCs w:val="20"/>
    </w:rPr>
  </w:style>
  <w:style w:type="paragraph" w:customStyle="1" w:styleId="288">
    <w:name w:val="TOC 标题2"/>
    <w:basedOn w:val="2"/>
    <w:next w:val="1"/>
    <w:qFormat/>
    <w:uiPriority w:val="1"/>
    <w:pPr>
      <w:keepLines/>
      <w:widowControl/>
      <w:tabs>
        <w:tab w:val="left" w:pos="432"/>
      </w:tabs>
      <w:autoSpaceDE/>
      <w:autoSpaceDN/>
      <w:adjustRightInd/>
      <w:spacing w:before="480" w:line="276" w:lineRule="auto"/>
      <w:jc w:val="left"/>
      <w:outlineLvl w:val="9"/>
    </w:pPr>
    <w:rPr>
      <w:rFonts w:ascii="Cambria" w:hAnsi="Cambria"/>
      <w:color w:val="365F91"/>
      <w:sz w:val="28"/>
      <w:szCs w:val="28"/>
    </w:rPr>
  </w:style>
  <w:style w:type="paragraph" w:customStyle="1" w:styleId="2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szCs w:val="20"/>
    </w:rPr>
  </w:style>
  <w:style w:type="paragraph" w:customStyle="1" w:styleId="290">
    <w:name w:val="Absatz2AL"/>
    <w:basedOn w:val="19"/>
    <w:next w:val="1"/>
    <w:qFormat/>
    <w:uiPriority w:val="1"/>
    <w:pPr>
      <w:widowControl/>
      <w:overflowPunct w:val="0"/>
      <w:autoSpaceDE w:val="0"/>
      <w:autoSpaceDN w:val="0"/>
      <w:spacing w:line="240" w:lineRule="auto"/>
    </w:pPr>
    <w:rPr>
      <w:rFonts w:ascii="Times New Roman" w:eastAsia="楷体_GB2312"/>
      <w:bCs w:val="0"/>
      <w:iCs w:val="0"/>
      <w:color w:val="auto"/>
      <w:kern w:val="0"/>
      <w:sz w:val="24"/>
      <w:lang w:val="de-DE"/>
    </w:rPr>
  </w:style>
  <w:style w:type="paragraph" w:customStyle="1" w:styleId="291">
    <w:name w:val="Char Char Char Char Char Char Char Char Char1 Char1"/>
    <w:basedOn w:val="1"/>
    <w:qFormat/>
    <w:uiPriority w:val="1"/>
    <w:pPr>
      <w:spacing w:line="240" w:lineRule="auto"/>
    </w:pPr>
    <w:rPr>
      <w:rFonts w:ascii="Tahoma" w:hAnsi="Tahoma"/>
      <w:sz w:val="24"/>
      <w:szCs w:val="20"/>
    </w:rPr>
  </w:style>
  <w:style w:type="paragraph" w:customStyle="1" w:styleId="292">
    <w:name w:val="Char111"/>
    <w:basedOn w:val="1"/>
    <w:qFormat/>
    <w:uiPriority w:val="1"/>
    <w:pPr>
      <w:spacing w:line="240" w:lineRule="auto"/>
    </w:pPr>
    <w:rPr>
      <w:rFonts w:ascii="宋体" w:hAnsi="宋体"/>
      <w:b/>
      <w:color w:val="000000"/>
      <w:sz w:val="24"/>
    </w:rPr>
  </w:style>
  <w:style w:type="paragraph" w:customStyle="1" w:styleId="293">
    <w:name w:val="标题 3 + 小三"/>
    <w:basedOn w:val="1"/>
    <w:qFormat/>
    <w:uiPriority w:val="1"/>
    <w:pPr>
      <w:tabs>
        <w:tab w:val="left" w:pos="4267"/>
      </w:tabs>
      <w:snapToGrid w:val="0"/>
      <w:spacing w:line="700" w:lineRule="atLeast"/>
      <w:ind w:firstLine="573"/>
    </w:pPr>
    <w:rPr>
      <w:b/>
      <w:bCs/>
      <w:iCs/>
      <w:sz w:val="30"/>
      <w:szCs w:val="20"/>
    </w:rPr>
  </w:style>
  <w:style w:type="paragraph" w:customStyle="1" w:styleId="294">
    <w:name w:val="列出段落1"/>
    <w:basedOn w:val="1"/>
    <w:qFormat/>
    <w:uiPriority w:val="34"/>
    <w:pPr>
      <w:spacing w:line="240" w:lineRule="auto"/>
      <w:ind w:firstLine="420" w:firstLineChars="200"/>
    </w:pPr>
    <w:rPr>
      <w:szCs w:val="21"/>
    </w:rPr>
  </w:style>
  <w:style w:type="character" w:customStyle="1" w:styleId="295">
    <w:name w:val="纯文本 Char"/>
    <w:qFormat/>
    <w:uiPriority w:val="0"/>
    <w:rPr>
      <w:rFonts w:ascii="宋体" w:hAnsi="Courier New"/>
      <w:kern w:val="2"/>
      <w:sz w:val="21"/>
    </w:rPr>
  </w:style>
  <w:style w:type="character" w:customStyle="1" w:styleId="296">
    <w:name w:val="纯文本 Char2"/>
    <w:qFormat/>
    <w:locked/>
    <w:uiPriority w:val="99"/>
    <w:rPr>
      <w:rFonts w:ascii="宋体" w:hAnsi="Times New Roman"/>
      <w:kern w:val="2"/>
      <w:sz w:val="21"/>
    </w:rPr>
  </w:style>
  <w:style w:type="paragraph" w:customStyle="1" w:styleId="297">
    <w:name w:val="Table Paragraph"/>
    <w:basedOn w:val="1"/>
    <w:qFormat/>
    <w:uiPriority w:val="1"/>
    <w:pPr>
      <w:autoSpaceDE w:val="0"/>
      <w:autoSpaceDN w:val="0"/>
      <w:spacing w:line="240" w:lineRule="auto"/>
      <w:jc w:val="left"/>
    </w:pPr>
    <w:rPr>
      <w:rFonts w:ascii="宋体" w:hAnsi="宋体" w:cs="宋体"/>
      <w:kern w:val="0"/>
      <w:sz w:val="22"/>
      <w:szCs w:val="22"/>
      <w:lang w:val="zh-CN" w:bidi="zh-CN"/>
    </w:rPr>
  </w:style>
  <w:style w:type="character" w:customStyle="1" w:styleId="298">
    <w:name w:val="批注文字 Char"/>
    <w:qFormat/>
    <w:uiPriority w:val="0"/>
    <w:rPr>
      <w:rFonts w:ascii="Calibri" w:hAnsi="Calibri" w:eastAsia="宋体" w:cs="Times New Roman"/>
      <w:kern w:val="2"/>
      <w:sz w:val="21"/>
      <w:szCs w:val="24"/>
    </w:rPr>
  </w:style>
  <w:style w:type="paragraph" w:customStyle="1" w:styleId="299">
    <w:name w:val="正文 A"/>
    <w:qFormat/>
    <w:uiPriority w:val="99"/>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lang w:val="en-US" w:eastAsia="zh-CN" w:bidi="ar-SA"/>
    </w:rPr>
  </w:style>
  <w:style w:type="character" w:customStyle="1" w:styleId="300">
    <w:name w:val="标题 1 Char"/>
    <w:qFormat/>
    <w:locked/>
    <w:uiPriority w:val="0"/>
    <w:rPr>
      <w:rFonts w:ascii="黑体" w:hAnsi="宋体" w:eastAsia="黑体"/>
      <w:sz w:val="52"/>
    </w:rPr>
  </w:style>
  <w:style w:type="character" w:customStyle="1" w:styleId="301">
    <w:name w:val="标题 4 Char"/>
    <w:qFormat/>
    <w:uiPriority w:val="0"/>
    <w:rPr>
      <w:rFonts w:ascii="Arial" w:hAnsi="Arial" w:eastAsia="黑体"/>
      <w:b/>
      <w:bCs/>
      <w:sz w:val="28"/>
      <w:szCs w:val="28"/>
    </w:rPr>
  </w:style>
  <w:style w:type="character" w:customStyle="1" w:styleId="302">
    <w:name w:val="正文缩进 Char"/>
    <w:qFormat/>
    <w:uiPriority w:val="0"/>
    <w:rPr>
      <w:rFonts w:eastAsia="宋体"/>
      <w:lang w:val="en-US" w:eastAsia="zh-CN" w:bidi="ar-SA"/>
    </w:rPr>
  </w:style>
  <w:style w:type="character" w:customStyle="1" w:styleId="303">
    <w:name w:val="标题 3 Char"/>
    <w:qFormat/>
    <w:uiPriority w:val="0"/>
    <w:rPr>
      <w:sz w:val="32"/>
    </w:rPr>
  </w:style>
  <w:style w:type="character" w:customStyle="1" w:styleId="304">
    <w:name w:val="标题 5 Char"/>
    <w:qFormat/>
    <w:uiPriority w:val="0"/>
    <w:rPr>
      <w:b/>
      <w:bCs/>
      <w:sz w:val="28"/>
      <w:szCs w:val="28"/>
    </w:rPr>
  </w:style>
  <w:style w:type="character" w:customStyle="1" w:styleId="305">
    <w:name w:val="标题 6 Char"/>
    <w:qFormat/>
    <w:uiPriority w:val="0"/>
    <w:rPr>
      <w:rFonts w:ascii="Arial" w:hAnsi="Arial" w:eastAsia="黑体"/>
      <w:b/>
      <w:bCs/>
      <w:sz w:val="24"/>
      <w:szCs w:val="24"/>
    </w:rPr>
  </w:style>
  <w:style w:type="character" w:customStyle="1" w:styleId="306">
    <w:name w:val="标题 7 Char"/>
    <w:qFormat/>
    <w:uiPriority w:val="0"/>
    <w:rPr>
      <w:b/>
      <w:bCs/>
      <w:sz w:val="24"/>
      <w:szCs w:val="24"/>
    </w:rPr>
  </w:style>
  <w:style w:type="character" w:customStyle="1" w:styleId="307">
    <w:name w:val="标题 8 Char"/>
    <w:qFormat/>
    <w:uiPriority w:val="0"/>
    <w:rPr>
      <w:rFonts w:ascii="Arial" w:hAnsi="Arial" w:eastAsia="黑体"/>
      <w:sz w:val="24"/>
      <w:szCs w:val="24"/>
    </w:rPr>
  </w:style>
  <w:style w:type="character" w:customStyle="1" w:styleId="308">
    <w:name w:val="标题 9 Char"/>
    <w:qFormat/>
    <w:uiPriority w:val="0"/>
    <w:rPr>
      <w:rFonts w:ascii="Arial" w:hAnsi="Arial" w:eastAsia="黑体"/>
      <w:sz w:val="21"/>
      <w:szCs w:val="21"/>
    </w:rPr>
  </w:style>
  <w:style w:type="character" w:customStyle="1" w:styleId="309">
    <w:name w:val="批注主题 Char"/>
    <w:qFormat/>
    <w:uiPriority w:val="0"/>
    <w:rPr>
      <w:rFonts w:ascii="宋体" w:hAnsi="宋体" w:eastAsia="宋体" w:cs="Times New Roman"/>
      <w:kern w:val="2"/>
      <w:sz w:val="24"/>
      <w:szCs w:val="24"/>
      <w:lang w:val="en-US" w:eastAsia="zh-CN" w:bidi="ar-SA"/>
    </w:rPr>
  </w:style>
  <w:style w:type="character" w:customStyle="1" w:styleId="310">
    <w:name w:val="引用 Char"/>
    <w:qFormat/>
    <w:uiPriority w:val="0"/>
    <w:rPr>
      <w:i/>
      <w:iCs/>
      <w:color w:val="000000"/>
      <w:kern w:val="2"/>
      <w:sz w:val="21"/>
      <w:szCs w:val="22"/>
    </w:rPr>
  </w:style>
  <w:style w:type="character" w:customStyle="1" w:styleId="311">
    <w:name w:val="正文文本缩进 2 Char"/>
    <w:qFormat/>
    <w:locked/>
    <w:uiPriority w:val="0"/>
    <w:rPr>
      <w:rFonts w:ascii="宋体" w:hAnsi="MS Sans Serif"/>
      <w:spacing w:val="12"/>
      <w:sz w:val="24"/>
    </w:rPr>
  </w:style>
  <w:style w:type="character" w:customStyle="1" w:styleId="312">
    <w:name w:val="副标题 Char"/>
    <w:qFormat/>
    <w:uiPriority w:val="0"/>
    <w:rPr>
      <w:rFonts w:ascii="Cambria" w:hAnsi="Cambria"/>
      <w:b/>
      <w:bCs/>
      <w:kern w:val="28"/>
      <w:sz w:val="32"/>
      <w:szCs w:val="32"/>
    </w:rPr>
  </w:style>
  <w:style w:type="character" w:customStyle="1" w:styleId="313">
    <w:name w:val="批注框文本 Char"/>
    <w:qFormat/>
    <w:locked/>
    <w:uiPriority w:val="0"/>
    <w:rPr>
      <w:sz w:val="18"/>
      <w:szCs w:val="18"/>
    </w:rPr>
  </w:style>
  <w:style w:type="character" w:customStyle="1" w:styleId="314">
    <w:name w:val="标题 Char"/>
    <w:qFormat/>
    <w:uiPriority w:val="0"/>
    <w:rPr>
      <w:rFonts w:ascii="Cambria" w:hAnsi="Cambria"/>
      <w:b/>
      <w:bCs/>
      <w:kern w:val="2"/>
      <w:sz w:val="32"/>
      <w:szCs w:val="32"/>
    </w:rPr>
  </w:style>
  <w:style w:type="character" w:customStyle="1" w:styleId="315">
    <w:name w:val="正文文本缩进 Char"/>
    <w:qFormat/>
    <w:locked/>
    <w:uiPriority w:val="0"/>
  </w:style>
  <w:style w:type="paragraph" w:customStyle="1" w:styleId="316">
    <w:name w:val="_Style 192"/>
    <w:basedOn w:val="1"/>
    <w:next w:val="52"/>
    <w:qFormat/>
    <w:uiPriority w:val="1"/>
    <w:pPr>
      <w:widowControl/>
      <w:spacing w:after="200" w:line="312" w:lineRule="auto"/>
      <w:ind w:firstLine="420"/>
      <w:jc w:val="left"/>
    </w:pPr>
  </w:style>
  <w:style w:type="character" w:customStyle="1" w:styleId="317">
    <w:name w:val="明显引用 Char"/>
    <w:qFormat/>
    <w:uiPriority w:val="0"/>
    <w:rPr>
      <w:b/>
      <w:bCs/>
      <w:i/>
      <w:iCs/>
      <w:color w:val="4F81BD"/>
      <w:kern w:val="2"/>
      <w:sz w:val="21"/>
      <w:szCs w:val="22"/>
    </w:rPr>
  </w:style>
  <w:style w:type="character" w:customStyle="1" w:styleId="318">
    <w:name w:val="页脚 Char"/>
    <w:qFormat/>
    <w:locked/>
    <w:uiPriority w:val="0"/>
    <w:rPr>
      <w:rFonts w:ascii="宋体" w:hAnsi="宋体" w:cs="宋体"/>
      <w:sz w:val="18"/>
      <w:szCs w:val="18"/>
      <w:shd w:val="clear" w:color="auto" w:fill="FFFFFF"/>
    </w:rPr>
  </w:style>
  <w:style w:type="character" w:customStyle="1" w:styleId="319">
    <w:name w:val="正文文本缩进 3 Char"/>
    <w:qFormat/>
    <w:uiPriority w:val="0"/>
    <w:rPr>
      <w:rFonts w:ascii="宋体" w:hAnsi="MS Sans Serif"/>
      <w:color w:val="000000"/>
      <w:sz w:val="24"/>
    </w:rPr>
  </w:style>
  <w:style w:type="character" w:customStyle="1" w:styleId="320">
    <w:name w:val="正文文本 3 Char"/>
    <w:qFormat/>
    <w:uiPriority w:val="0"/>
    <w:rPr>
      <w:sz w:val="16"/>
      <w:szCs w:val="16"/>
    </w:rPr>
  </w:style>
  <w:style w:type="character" w:customStyle="1" w:styleId="321">
    <w:name w:val="文档结构图 Char"/>
    <w:qFormat/>
    <w:uiPriority w:val="0"/>
    <w:rPr>
      <w:kern w:val="2"/>
      <w:sz w:val="21"/>
      <w:szCs w:val="24"/>
      <w:shd w:val="clear" w:color="auto" w:fill="000080"/>
    </w:rPr>
  </w:style>
  <w:style w:type="character" w:customStyle="1" w:styleId="322">
    <w:name w:val="HTML 预设格式 Char"/>
    <w:qFormat/>
    <w:uiPriority w:val="1"/>
    <w:rPr>
      <w:rFonts w:ascii="宋体" w:hAnsi="宋体" w:cs="宋体"/>
      <w:sz w:val="24"/>
      <w:szCs w:val="24"/>
    </w:rPr>
  </w:style>
  <w:style w:type="character" w:customStyle="1" w:styleId="323">
    <w:name w:val="日期 Char"/>
    <w:qFormat/>
    <w:uiPriority w:val="0"/>
    <w:rPr>
      <w:kern w:val="2"/>
      <w:sz w:val="24"/>
    </w:rPr>
  </w:style>
  <w:style w:type="character" w:customStyle="1" w:styleId="324">
    <w:name w:val="正文文本 Char"/>
    <w:qFormat/>
    <w:uiPriority w:val="0"/>
  </w:style>
  <w:style w:type="character" w:customStyle="1" w:styleId="325">
    <w:name w:val="页眉 Char"/>
    <w:qFormat/>
    <w:uiPriority w:val="0"/>
    <w:rPr>
      <w:sz w:val="18"/>
      <w:szCs w:val="18"/>
    </w:rPr>
  </w:style>
  <w:style w:type="character" w:customStyle="1" w:styleId="326">
    <w:name w:val="样式 正文文本缩进 + 首行缩进:  2 字符 Char Char"/>
    <w:link w:val="327"/>
    <w:qFormat/>
    <w:uiPriority w:val="0"/>
    <w:rPr>
      <w:rFonts w:cs="宋体"/>
      <w:sz w:val="24"/>
      <w:szCs w:val="24"/>
    </w:rPr>
  </w:style>
  <w:style w:type="paragraph" w:customStyle="1" w:styleId="327">
    <w:name w:val="样式 正文文本缩进 + 首行缩进:  2 字符 Char"/>
    <w:basedOn w:val="21"/>
    <w:link w:val="326"/>
    <w:qFormat/>
    <w:uiPriority w:val="0"/>
    <w:pPr>
      <w:tabs>
        <w:tab w:val="left" w:pos="9016"/>
      </w:tabs>
      <w:spacing w:line="500" w:lineRule="exact"/>
      <w:ind w:firstLine="480" w:firstLineChars="200"/>
    </w:pPr>
    <w:rPr>
      <w:rFonts w:ascii="Times New Roman" w:eastAsia="宋体" w:cs="宋体"/>
      <w:kern w:val="0"/>
      <w:sz w:val="24"/>
    </w:rPr>
  </w:style>
  <w:style w:type="character" w:customStyle="1" w:styleId="328">
    <w:name w:val="样式4-3 Char"/>
    <w:link w:val="329"/>
    <w:qFormat/>
    <w:uiPriority w:val="0"/>
  </w:style>
  <w:style w:type="paragraph" w:customStyle="1" w:styleId="329">
    <w:name w:val="样式4-3"/>
    <w:basedOn w:val="330"/>
    <w:link w:val="328"/>
    <w:qFormat/>
    <w:uiPriority w:val="0"/>
    <w:pPr>
      <w:ind w:firstLine="482" w:firstLineChars="200"/>
      <w:outlineLvl w:val="3"/>
    </w:pPr>
    <w:rPr>
      <w:rFonts w:ascii="Times New Roman" w:hAnsi="Times New Roman" w:eastAsia="宋体" w:cs="Times New Roman"/>
      <w:b w:val="0"/>
      <w:bCs w:val="0"/>
      <w:color w:val="auto"/>
      <w:sz w:val="20"/>
      <w:szCs w:val="20"/>
    </w:rPr>
  </w:style>
  <w:style w:type="paragraph" w:customStyle="1" w:styleId="330">
    <w:name w:val="样式3-3"/>
    <w:basedOn w:val="331"/>
    <w:link w:val="333"/>
    <w:qFormat/>
    <w:uiPriority w:val="0"/>
    <w:pPr>
      <w:spacing w:before="156" w:after="156"/>
    </w:pPr>
    <w:rPr>
      <w:rFonts w:ascii="黑体" w:hAnsi="华文中宋" w:cs="Arial"/>
      <w:sz w:val="24"/>
    </w:rPr>
  </w:style>
  <w:style w:type="paragraph" w:customStyle="1" w:styleId="331">
    <w:name w:val="样式3-1"/>
    <w:basedOn w:val="1"/>
    <w:link w:val="332"/>
    <w:qFormat/>
    <w:uiPriority w:val="0"/>
    <w:pPr>
      <w:autoSpaceDE w:val="0"/>
      <w:autoSpaceDN w:val="0"/>
      <w:adjustRightInd w:val="0"/>
      <w:snapToGrid w:val="0"/>
      <w:spacing w:beforeLines="50" w:afterLines="50" w:line="240" w:lineRule="auto"/>
      <w:jc w:val="left"/>
      <w:outlineLvl w:val="2"/>
    </w:pPr>
    <w:rPr>
      <w:rFonts w:ascii="Arial" w:hAnsi="Arial" w:eastAsia="黑体"/>
      <w:b/>
      <w:bCs/>
      <w:color w:val="000000"/>
      <w:kern w:val="0"/>
      <w:sz w:val="32"/>
      <w:szCs w:val="32"/>
    </w:rPr>
  </w:style>
  <w:style w:type="character" w:customStyle="1" w:styleId="332">
    <w:name w:val="样式3-1 Char"/>
    <w:link w:val="331"/>
    <w:qFormat/>
    <w:uiPriority w:val="0"/>
    <w:rPr>
      <w:rFonts w:ascii="Arial" w:hAnsi="Arial" w:eastAsia="黑体"/>
      <w:b/>
      <w:bCs/>
      <w:color w:val="000000"/>
      <w:sz w:val="32"/>
      <w:szCs w:val="32"/>
    </w:rPr>
  </w:style>
  <w:style w:type="character" w:customStyle="1" w:styleId="333">
    <w:name w:val="样式3-3 Char"/>
    <w:link w:val="330"/>
    <w:qFormat/>
    <w:uiPriority w:val="0"/>
    <w:rPr>
      <w:rFonts w:ascii="黑体" w:hAnsi="华文中宋" w:eastAsia="黑体" w:cs="Arial"/>
      <w:b/>
      <w:bCs/>
      <w:color w:val="000000"/>
      <w:sz w:val="24"/>
      <w:szCs w:val="32"/>
    </w:rPr>
  </w:style>
  <w:style w:type="character" w:customStyle="1" w:styleId="334">
    <w:name w:val="尾注文本 Char1"/>
    <w:semiHidden/>
    <w:qFormat/>
    <w:uiPriority w:val="99"/>
  </w:style>
  <w:style w:type="character" w:customStyle="1" w:styleId="335">
    <w:name w:val="正文首行缩进 Char"/>
    <w:qFormat/>
    <w:uiPriority w:val="0"/>
    <w:rPr>
      <w:rFonts w:eastAsia="宋体"/>
      <w:kern w:val="2"/>
      <w:sz w:val="21"/>
      <w:szCs w:val="24"/>
      <w:lang w:val="en-US" w:eastAsia="zh-CN" w:bidi="ar-SA"/>
    </w:rPr>
  </w:style>
  <w:style w:type="character" w:customStyle="1" w:styleId="336">
    <w:name w:val="wg正文 仿宋_GB2312 四号"/>
    <w:qFormat/>
    <w:uiPriority w:val="1"/>
    <w:rPr>
      <w:rFonts w:ascii="仿宋_GB2312" w:hAnsi="仿宋_GB2312" w:eastAsia="仿宋_GB2312"/>
      <w:sz w:val="28"/>
    </w:rPr>
  </w:style>
  <w:style w:type="character" w:customStyle="1" w:styleId="337">
    <w:name w:val="样式4 Char Char"/>
    <w:link w:val="338"/>
    <w:qFormat/>
    <w:uiPriority w:val="0"/>
    <w:rPr>
      <w:rFonts w:ascii="宋体"/>
      <w:b/>
      <w:bCs/>
      <w:kern w:val="2"/>
      <w:sz w:val="24"/>
      <w:szCs w:val="24"/>
    </w:rPr>
  </w:style>
  <w:style w:type="paragraph" w:customStyle="1" w:styleId="338">
    <w:name w:val="样式4 Char"/>
    <w:basedOn w:val="19"/>
    <w:link w:val="337"/>
    <w:qFormat/>
    <w:uiPriority w:val="0"/>
    <w:pPr>
      <w:adjustRightInd/>
      <w:spacing w:line="500" w:lineRule="exact"/>
      <w:ind w:firstLine="480" w:firstLineChars="200"/>
    </w:pPr>
    <w:rPr>
      <w:b/>
      <w:iCs w:val="0"/>
      <w:color w:val="auto"/>
      <w:kern w:val="2"/>
      <w:sz w:val="24"/>
      <w:szCs w:val="24"/>
    </w:rPr>
  </w:style>
  <w:style w:type="character" w:customStyle="1" w:styleId="339">
    <w:name w:val="正文首行缩进 2 Char1"/>
    <w:semiHidden/>
    <w:qFormat/>
    <w:uiPriority w:val="99"/>
  </w:style>
  <w:style w:type="character" w:customStyle="1" w:styleId="340">
    <w:name w:val="Char Char10"/>
    <w:qFormat/>
    <w:uiPriority w:val="1"/>
    <w:rPr>
      <w:kern w:val="2"/>
      <w:sz w:val="21"/>
      <w:szCs w:val="22"/>
    </w:rPr>
  </w:style>
  <w:style w:type="character" w:customStyle="1" w:styleId="341">
    <w:name w:val="wg标注 仿宋_GB23121"/>
    <w:qFormat/>
    <w:uiPriority w:val="0"/>
    <w:rPr>
      <w:rFonts w:ascii="仿宋_GB2312" w:hAnsi="仿宋_GB2312" w:eastAsia="仿宋_GB2312"/>
      <w:sz w:val="21"/>
    </w:rPr>
  </w:style>
  <w:style w:type="character" w:customStyle="1" w:styleId="342">
    <w:name w:val="gyy正文 Char"/>
    <w:link w:val="343"/>
    <w:qFormat/>
    <w:uiPriority w:val="1"/>
    <w:rPr>
      <w:rFonts w:ascii="Verdana" w:hAnsi="Verdana"/>
      <w:kern w:val="2"/>
      <w:sz w:val="24"/>
      <w:szCs w:val="24"/>
    </w:rPr>
  </w:style>
  <w:style w:type="paragraph" w:customStyle="1" w:styleId="343">
    <w:name w:val="gyy正文"/>
    <w:basedOn w:val="1"/>
    <w:link w:val="342"/>
    <w:qFormat/>
    <w:uiPriority w:val="1"/>
    <w:pPr>
      <w:ind w:firstLine="480" w:firstLineChars="200"/>
    </w:pPr>
    <w:rPr>
      <w:rFonts w:ascii="Verdana" w:hAnsi="Verdana"/>
      <w:sz w:val="24"/>
    </w:rPr>
  </w:style>
  <w:style w:type="character" w:customStyle="1" w:styleId="344">
    <w:name w:val="样式4-1 Char"/>
    <w:link w:val="345"/>
    <w:qFormat/>
    <w:uiPriority w:val="0"/>
    <w:rPr>
      <w:rFonts w:ascii="Calibri" w:hAnsi="Calibri"/>
      <w:b/>
      <w:kern w:val="2"/>
      <w:sz w:val="28"/>
      <w:szCs w:val="22"/>
    </w:rPr>
  </w:style>
  <w:style w:type="paragraph" w:customStyle="1" w:styleId="345">
    <w:name w:val="样式4-1"/>
    <w:basedOn w:val="346"/>
    <w:link w:val="344"/>
    <w:qFormat/>
    <w:uiPriority w:val="0"/>
    <w:pPr>
      <w:spacing w:before="240" w:after="240"/>
      <w:outlineLvl w:val="3"/>
    </w:pPr>
    <w:rPr>
      <w:b/>
      <w:sz w:val="28"/>
    </w:rPr>
  </w:style>
  <w:style w:type="paragraph" w:customStyle="1" w:styleId="346">
    <w:name w:val="样式正文-1"/>
    <w:basedOn w:val="1"/>
    <w:link w:val="347"/>
    <w:qFormat/>
    <w:uiPriority w:val="0"/>
    <w:pPr>
      <w:adjustRightInd w:val="0"/>
      <w:snapToGrid w:val="0"/>
      <w:spacing w:beforeLines="100" w:afterLines="100" w:line="240" w:lineRule="auto"/>
    </w:pPr>
    <w:rPr>
      <w:rFonts w:ascii="Calibri" w:hAnsi="Calibri"/>
      <w:sz w:val="24"/>
      <w:szCs w:val="22"/>
    </w:rPr>
  </w:style>
  <w:style w:type="character" w:customStyle="1" w:styleId="347">
    <w:name w:val="样式正文-1 Char"/>
    <w:link w:val="346"/>
    <w:qFormat/>
    <w:uiPriority w:val="0"/>
    <w:rPr>
      <w:rFonts w:ascii="Calibri" w:hAnsi="Calibri"/>
      <w:kern w:val="2"/>
      <w:sz w:val="24"/>
      <w:szCs w:val="22"/>
    </w:rPr>
  </w:style>
  <w:style w:type="character" w:customStyle="1" w:styleId="348">
    <w:name w:val="样式3 Char"/>
    <w:link w:val="349"/>
    <w:qFormat/>
    <w:uiPriority w:val="0"/>
    <w:rPr>
      <w:rFonts w:eastAsia="黑体"/>
      <w:sz w:val="24"/>
      <w:szCs w:val="24"/>
    </w:rPr>
  </w:style>
  <w:style w:type="paragraph" w:customStyle="1" w:styleId="349">
    <w:name w:val="样式3"/>
    <w:basedOn w:val="3"/>
    <w:link w:val="348"/>
    <w:qFormat/>
    <w:uiPriority w:val="0"/>
    <w:pPr>
      <w:keepNext w:val="0"/>
      <w:keepLines w:val="0"/>
      <w:widowControl/>
      <w:tabs>
        <w:tab w:val="left" w:pos="0"/>
      </w:tabs>
      <w:spacing w:before="120" w:after="120" w:line="500" w:lineRule="atLeast"/>
      <w:ind w:firstLine="720" w:firstLineChars="300"/>
      <w:contextualSpacing/>
      <w:jc w:val="left"/>
    </w:pPr>
    <w:rPr>
      <w:rFonts w:eastAsia="黑体"/>
      <w:b w:val="0"/>
      <w:bCs w:val="0"/>
      <w:kern w:val="0"/>
      <w:sz w:val="24"/>
      <w:szCs w:val="24"/>
    </w:rPr>
  </w:style>
  <w:style w:type="character" w:customStyle="1" w:styleId="350">
    <w:name w:val="标题 3 Char1"/>
    <w:qFormat/>
    <w:uiPriority w:val="1"/>
    <w:rPr>
      <w:rFonts w:eastAsia="宋体"/>
      <w:b/>
      <w:bCs/>
      <w:kern w:val="2"/>
      <w:sz w:val="21"/>
      <w:szCs w:val="21"/>
      <w:lang w:val="en-US" w:eastAsia="zh-CN" w:bidi="ar-SA"/>
    </w:rPr>
  </w:style>
  <w:style w:type="character" w:customStyle="1" w:styleId="351">
    <w:name w:val="样式 WG标题3 + 行距: 固定值 18 磅 Char Char"/>
    <w:link w:val="352"/>
    <w:qFormat/>
    <w:uiPriority w:val="0"/>
    <w:rPr>
      <w:rFonts w:ascii="宋体" w:hAnsi="宋体" w:cs="宋体"/>
      <w:b/>
      <w:bCs/>
      <w:color w:val="000000"/>
      <w:kern w:val="20"/>
      <w:sz w:val="21"/>
    </w:rPr>
  </w:style>
  <w:style w:type="paragraph" w:customStyle="1" w:styleId="352">
    <w:name w:val="样式 WG标题3 + 行距: 固定值 18 磅"/>
    <w:basedOn w:val="1"/>
    <w:link w:val="351"/>
    <w:qFormat/>
    <w:uiPriority w:val="0"/>
    <w:pPr>
      <w:autoSpaceDE w:val="0"/>
      <w:autoSpaceDN w:val="0"/>
      <w:adjustRightInd w:val="0"/>
      <w:spacing w:line="360" w:lineRule="exact"/>
      <w:textAlignment w:val="baseline"/>
      <w:outlineLvl w:val="2"/>
    </w:pPr>
    <w:rPr>
      <w:rFonts w:ascii="宋体" w:hAnsi="宋体" w:cs="宋体"/>
      <w:b/>
      <w:bCs/>
      <w:color w:val="000000"/>
      <w:kern w:val="20"/>
      <w:szCs w:val="20"/>
    </w:rPr>
  </w:style>
  <w:style w:type="character" w:customStyle="1" w:styleId="353">
    <w:name w:val="CM104 Char"/>
    <w:link w:val="354"/>
    <w:qFormat/>
    <w:uiPriority w:val="1"/>
    <w:rPr>
      <w:rFonts w:ascii="宋体" w:hAnsi="Calibri" w:eastAsia="黑体"/>
      <w:color w:val="000000"/>
      <w:sz w:val="24"/>
      <w:szCs w:val="24"/>
    </w:rPr>
  </w:style>
  <w:style w:type="paragraph" w:customStyle="1" w:styleId="354">
    <w:name w:val="CM104"/>
    <w:basedOn w:val="209"/>
    <w:next w:val="209"/>
    <w:link w:val="353"/>
    <w:qFormat/>
    <w:uiPriority w:val="1"/>
    <w:rPr>
      <w:rFonts w:eastAsia="黑体" w:cs="Times New Roman"/>
      <w:kern w:val="0"/>
      <w:szCs w:val="24"/>
    </w:rPr>
  </w:style>
  <w:style w:type="character" w:customStyle="1" w:styleId="355">
    <w:name w:val="正文首行缩进 Char2"/>
    <w:semiHidden/>
    <w:qFormat/>
    <w:uiPriority w:val="99"/>
  </w:style>
  <w:style w:type="character" w:customStyle="1" w:styleId="356">
    <w:name w:val="1级标题（第一卷） Char"/>
    <w:link w:val="357"/>
    <w:qFormat/>
    <w:uiPriority w:val="1"/>
    <w:rPr>
      <w:rFonts w:ascii="黑体" w:hAnsi="华文中宋" w:eastAsia="黑体"/>
      <w:b/>
      <w:kern w:val="2"/>
      <w:sz w:val="48"/>
      <w:szCs w:val="48"/>
    </w:rPr>
  </w:style>
  <w:style w:type="paragraph" w:customStyle="1" w:styleId="357">
    <w:name w:val="1级标题（第一卷）"/>
    <w:basedOn w:val="1"/>
    <w:link w:val="356"/>
    <w:qFormat/>
    <w:locked/>
    <w:uiPriority w:val="1"/>
    <w:pPr>
      <w:adjustRightInd w:val="0"/>
      <w:snapToGrid w:val="0"/>
      <w:spacing w:beforeLines="100" w:afterLines="100" w:line="240" w:lineRule="auto"/>
      <w:jc w:val="center"/>
      <w:outlineLvl w:val="0"/>
    </w:pPr>
    <w:rPr>
      <w:rFonts w:ascii="黑体" w:hAnsi="华文中宋" w:eastAsia="黑体"/>
      <w:b/>
      <w:sz w:val="48"/>
      <w:szCs w:val="48"/>
    </w:rPr>
  </w:style>
  <w:style w:type="character" w:customStyle="1" w:styleId="358">
    <w:name w:val="2级标题（前附表） Char"/>
    <w:link w:val="359"/>
    <w:qFormat/>
    <w:uiPriority w:val="1"/>
    <w:rPr>
      <w:rFonts w:ascii="黑体" w:eastAsia="黑体"/>
      <w:color w:val="000000"/>
      <w:kern w:val="2"/>
      <w:sz w:val="28"/>
      <w:szCs w:val="28"/>
    </w:rPr>
  </w:style>
  <w:style w:type="paragraph" w:customStyle="1" w:styleId="359">
    <w:name w:val="2级标题（前附表）"/>
    <w:basedOn w:val="1"/>
    <w:link w:val="358"/>
    <w:qFormat/>
    <w:locked/>
    <w:uiPriority w:val="1"/>
    <w:pPr>
      <w:spacing w:line="240" w:lineRule="auto"/>
      <w:outlineLvl w:val="1"/>
    </w:pPr>
    <w:rPr>
      <w:rFonts w:ascii="黑体" w:eastAsia="黑体"/>
      <w:color w:val="000000"/>
      <w:sz w:val="28"/>
      <w:szCs w:val="28"/>
    </w:rPr>
  </w:style>
  <w:style w:type="character" w:customStyle="1" w:styleId="360">
    <w:name w:val="样式5-1 Char"/>
    <w:link w:val="361"/>
    <w:qFormat/>
    <w:uiPriority w:val="0"/>
    <w:rPr>
      <w:rFonts w:ascii="Calibri" w:hAnsi="Calibri"/>
      <w:b/>
      <w:kern w:val="2"/>
      <w:sz w:val="28"/>
      <w:szCs w:val="22"/>
    </w:rPr>
  </w:style>
  <w:style w:type="paragraph" w:customStyle="1" w:styleId="361">
    <w:name w:val="样式5-1"/>
    <w:basedOn w:val="346"/>
    <w:link w:val="360"/>
    <w:qFormat/>
    <w:uiPriority w:val="0"/>
    <w:pPr>
      <w:spacing w:before="240" w:after="240"/>
      <w:outlineLvl w:val="4"/>
    </w:pPr>
    <w:rPr>
      <w:b/>
      <w:sz w:val="28"/>
    </w:rPr>
  </w:style>
  <w:style w:type="character" w:customStyle="1" w:styleId="362">
    <w:name w:val="样式 黑体 小四 自定义颜色(RGB(1500))"/>
    <w:qFormat/>
    <w:uiPriority w:val="0"/>
    <w:rPr>
      <w:rFonts w:ascii="Times New Roman" w:hAnsi="Times New Roman" w:eastAsia="黑体"/>
      <w:color w:val="0F0000"/>
      <w:kern w:val="0"/>
      <w:sz w:val="24"/>
      <w:szCs w:val="24"/>
    </w:rPr>
  </w:style>
  <w:style w:type="character" w:customStyle="1" w:styleId="363">
    <w:name w:val="样式正文-2 Char"/>
    <w:link w:val="364"/>
    <w:qFormat/>
    <w:uiPriority w:val="0"/>
    <w:rPr>
      <w:rFonts w:ascii="Arial" w:hAnsi="Arial" w:cs="宋体"/>
      <w:color w:val="000000"/>
      <w:sz w:val="24"/>
      <w:szCs w:val="24"/>
    </w:rPr>
  </w:style>
  <w:style w:type="paragraph" w:customStyle="1" w:styleId="364">
    <w:name w:val="样式正文-2"/>
    <w:basedOn w:val="209"/>
    <w:link w:val="363"/>
    <w:qFormat/>
    <w:uiPriority w:val="0"/>
    <w:pPr>
      <w:snapToGrid w:val="0"/>
      <w:spacing w:beforeLines="50" w:line="360" w:lineRule="auto"/>
      <w:ind w:firstLine="480" w:firstLineChars="200"/>
    </w:pPr>
    <w:rPr>
      <w:rFonts w:ascii="Arial" w:hAnsi="Arial" w:eastAsia="宋体" w:cs="宋体"/>
      <w:kern w:val="0"/>
      <w:szCs w:val="24"/>
    </w:rPr>
  </w:style>
  <w:style w:type="character" w:customStyle="1" w:styleId="365">
    <w:name w:val="样式5 Char Char"/>
    <w:link w:val="366"/>
    <w:qFormat/>
    <w:uiPriority w:val="0"/>
    <w:rPr>
      <w:rFonts w:ascii="黑体" w:eastAsia="黑体"/>
      <w:b/>
      <w:bCs/>
      <w:kern w:val="2"/>
      <w:sz w:val="32"/>
      <w:szCs w:val="32"/>
    </w:rPr>
  </w:style>
  <w:style w:type="paragraph" w:customStyle="1" w:styleId="366">
    <w:name w:val="样式5 Char"/>
    <w:basedOn w:val="338"/>
    <w:link w:val="365"/>
    <w:qFormat/>
    <w:uiPriority w:val="0"/>
    <w:pPr>
      <w:spacing w:beforeLines="80" w:afterLines="60"/>
      <w:ind w:firstLine="0" w:firstLineChars="0"/>
      <w:jc w:val="center"/>
    </w:pPr>
    <w:rPr>
      <w:rFonts w:ascii="黑体" w:eastAsia="黑体"/>
      <w:sz w:val="32"/>
      <w:szCs w:val="32"/>
    </w:rPr>
  </w:style>
  <w:style w:type="character" w:customStyle="1" w:styleId="367">
    <w:name w:val="页脚 Char1"/>
    <w:qFormat/>
    <w:locked/>
    <w:uiPriority w:val="0"/>
    <w:rPr>
      <w:kern w:val="2"/>
      <w:sz w:val="18"/>
    </w:rPr>
  </w:style>
  <w:style w:type="character" w:customStyle="1" w:styleId="368">
    <w:name w:val="文章正文 Char"/>
    <w:link w:val="369"/>
    <w:qFormat/>
    <w:uiPriority w:val="0"/>
    <w:rPr>
      <w:rFonts w:ascii="宋体" w:hAnsi="宋体"/>
      <w:kern w:val="2"/>
      <w:sz w:val="21"/>
      <w:szCs w:val="21"/>
    </w:rPr>
  </w:style>
  <w:style w:type="paragraph" w:customStyle="1" w:styleId="369">
    <w:name w:val="文章正文"/>
    <w:basedOn w:val="1"/>
    <w:link w:val="368"/>
    <w:qFormat/>
    <w:locked/>
    <w:uiPriority w:val="0"/>
    <w:pPr>
      <w:ind w:firstLine="420" w:firstLineChars="200"/>
    </w:pPr>
    <w:rPr>
      <w:rFonts w:ascii="宋体" w:hAnsi="宋体"/>
      <w:szCs w:val="21"/>
    </w:rPr>
  </w:style>
  <w:style w:type="character" w:customStyle="1" w:styleId="370">
    <w:name w:val="样式4-2 Char"/>
    <w:link w:val="371"/>
    <w:qFormat/>
    <w:uiPriority w:val="0"/>
    <w:rPr>
      <w:rFonts w:ascii="Calibri" w:hAnsi="Calibri"/>
      <w:b/>
      <w:kern w:val="2"/>
      <w:sz w:val="28"/>
      <w:szCs w:val="22"/>
    </w:rPr>
  </w:style>
  <w:style w:type="paragraph" w:customStyle="1" w:styleId="371">
    <w:name w:val="样式4-2"/>
    <w:basedOn w:val="345"/>
    <w:link w:val="370"/>
    <w:qFormat/>
    <w:uiPriority w:val="0"/>
    <w:pPr>
      <w:jc w:val="center"/>
    </w:pPr>
  </w:style>
  <w:style w:type="character" w:customStyle="1" w:styleId="372">
    <w:name w:val="样式5-2 Char"/>
    <w:link w:val="373"/>
    <w:qFormat/>
    <w:uiPriority w:val="0"/>
    <w:rPr>
      <w:rFonts w:ascii="Calibri" w:hAnsi="Calibri"/>
      <w:b/>
      <w:kern w:val="2"/>
      <w:sz w:val="24"/>
      <w:szCs w:val="22"/>
    </w:rPr>
  </w:style>
  <w:style w:type="paragraph" w:customStyle="1" w:styleId="373">
    <w:name w:val="样式5-2"/>
    <w:basedOn w:val="361"/>
    <w:link w:val="372"/>
    <w:qFormat/>
    <w:uiPriority w:val="0"/>
    <w:pPr>
      <w:spacing w:before="312" w:after="312"/>
      <w:ind w:firstLine="482" w:firstLineChars="200"/>
    </w:pPr>
    <w:rPr>
      <w:sz w:val="24"/>
    </w:rPr>
  </w:style>
  <w:style w:type="character" w:customStyle="1" w:styleId="374">
    <w:name w:val="style11"/>
    <w:qFormat/>
    <w:uiPriority w:val="1"/>
    <w:rPr>
      <w:b/>
      <w:bCs/>
    </w:rPr>
  </w:style>
  <w:style w:type="character" w:customStyle="1" w:styleId="375">
    <w:name w:val="样式1-1 Char"/>
    <w:link w:val="376"/>
    <w:qFormat/>
    <w:uiPriority w:val="0"/>
    <w:rPr>
      <w:rFonts w:ascii="华文中宋" w:hAnsi="华文中宋" w:eastAsia="华文中宋"/>
      <w:b/>
      <w:color w:val="000000"/>
      <w:sz w:val="48"/>
      <w:szCs w:val="52"/>
    </w:rPr>
  </w:style>
  <w:style w:type="paragraph" w:customStyle="1" w:styleId="376">
    <w:name w:val="样式1-1"/>
    <w:basedOn w:val="1"/>
    <w:link w:val="375"/>
    <w:qFormat/>
    <w:uiPriority w:val="0"/>
    <w:pPr>
      <w:spacing w:line="240" w:lineRule="auto"/>
      <w:jc w:val="center"/>
      <w:outlineLvl w:val="0"/>
    </w:pPr>
    <w:rPr>
      <w:rFonts w:ascii="华文中宋" w:hAnsi="华文中宋" w:eastAsia="华文中宋"/>
      <w:b/>
      <w:color w:val="000000"/>
      <w:kern w:val="0"/>
      <w:sz w:val="48"/>
      <w:szCs w:val="52"/>
    </w:rPr>
  </w:style>
  <w:style w:type="character" w:customStyle="1" w:styleId="377">
    <w:name w:val="3级标题（总则） Char"/>
    <w:link w:val="378"/>
    <w:qFormat/>
    <w:uiPriority w:val="1"/>
    <w:rPr>
      <w:rFonts w:ascii="宋体" w:hAnsi="宋体"/>
      <w:b/>
      <w:kern w:val="2"/>
      <w:sz w:val="24"/>
      <w:szCs w:val="24"/>
    </w:rPr>
  </w:style>
  <w:style w:type="paragraph" w:customStyle="1" w:styleId="378">
    <w:name w:val="3级标题（总则）"/>
    <w:basedOn w:val="379"/>
    <w:link w:val="377"/>
    <w:qFormat/>
    <w:locked/>
    <w:uiPriority w:val="1"/>
    <w:pPr>
      <w:spacing w:line="360" w:lineRule="auto"/>
      <w:outlineLvl w:val="2"/>
    </w:pPr>
    <w:rPr>
      <w:rFonts w:ascii="宋体" w:hAnsi="宋体" w:eastAsia="宋体" w:cs="Times New Roman"/>
      <w:b/>
      <w:szCs w:val="24"/>
    </w:rPr>
  </w:style>
  <w:style w:type="paragraph" w:customStyle="1" w:styleId="379">
    <w:name w:val="样式2"/>
    <w:basedOn w:val="27"/>
    <w:qFormat/>
    <w:uiPriority w:val="0"/>
    <w:pPr>
      <w:autoSpaceDE/>
      <w:autoSpaceDN/>
      <w:adjustRightInd/>
      <w:spacing w:line="240" w:lineRule="auto"/>
      <w:jc w:val="both"/>
    </w:pPr>
    <w:rPr>
      <w:rFonts w:ascii="黑体" w:hAnsi="Courier New" w:eastAsia="黑体" w:cs="Courier New"/>
      <w:kern w:val="2"/>
      <w:sz w:val="24"/>
      <w:szCs w:val="21"/>
    </w:rPr>
  </w:style>
  <w:style w:type="character" w:customStyle="1" w:styleId="380">
    <w:name w:val="4级标题（1.1项目概况) Char"/>
    <w:link w:val="381"/>
    <w:qFormat/>
    <w:uiPriority w:val="1"/>
    <w:rPr>
      <w:rFonts w:ascii="宋体" w:hAnsi="宋体"/>
      <w:b/>
      <w:kern w:val="2"/>
      <w:sz w:val="21"/>
      <w:szCs w:val="24"/>
    </w:rPr>
  </w:style>
  <w:style w:type="paragraph" w:customStyle="1" w:styleId="381">
    <w:name w:val="4级标题（1.1项目概况)"/>
    <w:basedOn w:val="1"/>
    <w:link w:val="380"/>
    <w:qFormat/>
    <w:locked/>
    <w:uiPriority w:val="1"/>
    <w:pPr>
      <w:outlineLvl w:val="3"/>
    </w:pPr>
    <w:rPr>
      <w:rFonts w:ascii="宋体" w:hAnsi="宋体"/>
      <w:b/>
    </w:rPr>
  </w:style>
  <w:style w:type="character" w:customStyle="1" w:styleId="382">
    <w:name w:val="Char Char6"/>
    <w:qFormat/>
    <w:uiPriority w:val="1"/>
    <w:rPr>
      <w:rFonts w:ascii="黑体" w:hAnsi="宋体" w:eastAsia="黑体"/>
      <w:bCs/>
      <w:kern w:val="2"/>
      <w:sz w:val="28"/>
      <w:szCs w:val="28"/>
      <w:lang w:val="en-US" w:eastAsia="zh-CN" w:bidi="ar-SA"/>
    </w:rPr>
  </w:style>
  <w:style w:type="character" w:customStyle="1" w:styleId="383">
    <w:name w:val="样式2-1 Char"/>
    <w:link w:val="384"/>
    <w:qFormat/>
    <w:uiPriority w:val="0"/>
    <w:rPr>
      <w:rFonts w:ascii="华文中宋" w:hAnsi="华文中宋" w:eastAsia="华文中宋"/>
      <w:b/>
      <w:color w:val="000000"/>
      <w:kern w:val="2"/>
      <w:sz w:val="36"/>
      <w:szCs w:val="44"/>
    </w:rPr>
  </w:style>
  <w:style w:type="paragraph" w:customStyle="1" w:styleId="384">
    <w:name w:val="样式2-1"/>
    <w:basedOn w:val="1"/>
    <w:link w:val="383"/>
    <w:qFormat/>
    <w:uiPriority w:val="0"/>
    <w:pPr>
      <w:adjustRightInd w:val="0"/>
      <w:snapToGrid w:val="0"/>
      <w:spacing w:beforeLines="100" w:afterLines="100" w:line="240" w:lineRule="auto"/>
      <w:jc w:val="center"/>
      <w:outlineLvl w:val="1"/>
    </w:pPr>
    <w:rPr>
      <w:rFonts w:ascii="华文中宋" w:hAnsi="华文中宋" w:eastAsia="华文中宋"/>
      <w:b/>
      <w:color w:val="000000"/>
      <w:sz w:val="36"/>
      <w:szCs w:val="44"/>
    </w:rPr>
  </w:style>
  <w:style w:type="character" w:customStyle="1" w:styleId="385">
    <w:name w:val="HTML Markup"/>
    <w:qFormat/>
    <w:uiPriority w:val="1"/>
    <w:rPr>
      <w:vanish/>
      <w:color w:val="FF0000"/>
    </w:rPr>
  </w:style>
  <w:style w:type="character" w:customStyle="1" w:styleId="386">
    <w:name w:val="样式3-2 Char"/>
    <w:link w:val="387"/>
    <w:qFormat/>
    <w:uiPriority w:val="0"/>
    <w:rPr>
      <w:rFonts w:ascii="黑体" w:eastAsia="黑体" w:cs="黑体"/>
      <w:b/>
      <w:bCs/>
      <w:sz w:val="32"/>
      <w:szCs w:val="32"/>
    </w:rPr>
  </w:style>
  <w:style w:type="paragraph" w:customStyle="1" w:styleId="387">
    <w:name w:val="样式3-2"/>
    <w:basedOn w:val="331"/>
    <w:link w:val="386"/>
    <w:qFormat/>
    <w:uiPriority w:val="0"/>
    <w:pPr>
      <w:spacing w:beforeLines="100" w:afterLines="100"/>
      <w:jc w:val="center"/>
    </w:pPr>
    <w:rPr>
      <w:rFonts w:ascii="黑体" w:hAnsi="Times New Roman" w:cs="黑体"/>
      <w:color w:val="auto"/>
    </w:rPr>
  </w:style>
  <w:style w:type="character" w:customStyle="1" w:styleId="388">
    <w:name w:val="Char Char18"/>
    <w:qFormat/>
    <w:uiPriority w:val="1"/>
    <w:rPr>
      <w:rFonts w:ascii="Cambria" w:hAnsi="Cambria" w:eastAsia="宋体" w:cs="Times New Roman"/>
      <w:b/>
      <w:bCs/>
      <w:kern w:val="2"/>
      <w:sz w:val="32"/>
      <w:szCs w:val="32"/>
    </w:rPr>
  </w:style>
  <w:style w:type="character" w:customStyle="1" w:styleId="389">
    <w:name w:val="样式 段落编号 + (中文) 黑体 两端对齐 Char Char Char Char Char"/>
    <w:link w:val="390"/>
    <w:qFormat/>
    <w:uiPriority w:val="0"/>
    <w:rPr>
      <w:rFonts w:ascii="宋体" w:hAnsi="宋体" w:eastAsia="黑体" w:cs="宋体"/>
      <w:kern w:val="2"/>
      <w:sz w:val="24"/>
      <w:szCs w:val="24"/>
    </w:rPr>
  </w:style>
  <w:style w:type="paragraph" w:customStyle="1" w:styleId="390">
    <w:name w:val="样式 段落编号 + (中文) 黑体 两端对齐 Char Char Char Char"/>
    <w:basedOn w:val="1"/>
    <w:link w:val="389"/>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character" w:customStyle="1" w:styleId="391">
    <w:name w:val="font161"/>
    <w:qFormat/>
    <w:uiPriority w:val="0"/>
    <w:rPr>
      <w:b/>
      <w:bCs/>
      <w:sz w:val="32"/>
      <w:szCs w:val="32"/>
    </w:rPr>
  </w:style>
  <w:style w:type="character" w:customStyle="1" w:styleId="392">
    <w:name w:val="WG标题3 Char1"/>
    <w:link w:val="393"/>
    <w:qFormat/>
    <w:uiPriority w:val="1"/>
    <w:rPr>
      <w:rFonts w:cs="宋体"/>
      <w:b/>
      <w:bCs/>
      <w:color w:val="000000"/>
      <w:kern w:val="20"/>
      <w:sz w:val="24"/>
    </w:rPr>
  </w:style>
  <w:style w:type="paragraph" w:customStyle="1" w:styleId="393">
    <w:name w:val="WG标题3"/>
    <w:basedOn w:val="394"/>
    <w:link w:val="392"/>
    <w:qFormat/>
    <w:uiPriority w:val="1"/>
    <w:pPr>
      <w:spacing w:line="400" w:lineRule="exact"/>
      <w:outlineLvl w:val="2"/>
    </w:pPr>
    <w:rPr>
      <w:rFonts w:ascii="Times New Roman" w:hAnsi="Times New Roman"/>
    </w:rPr>
  </w:style>
  <w:style w:type="paragraph" w:customStyle="1" w:styleId="394">
    <w:name w:val="WG标题2 + 宋体 五号 行距: 固定值 16 磅"/>
    <w:basedOn w:val="1"/>
    <w:qFormat/>
    <w:uiPriority w:val="1"/>
    <w:pPr>
      <w:autoSpaceDE w:val="0"/>
      <w:autoSpaceDN w:val="0"/>
      <w:adjustRightInd w:val="0"/>
      <w:spacing w:line="320" w:lineRule="exact"/>
      <w:textAlignment w:val="baseline"/>
      <w:outlineLvl w:val="1"/>
    </w:pPr>
    <w:rPr>
      <w:rFonts w:ascii="宋体" w:hAnsi="宋体" w:cs="宋体"/>
      <w:b/>
      <w:bCs/>
      <w:color w:val="000000"/>
      <w:kern w:val="20"/>
      <w:sz w:val="24"/>
      <w:szCs w:val="20"/>
    </w:rPr>
  </w:style>
  <w:style w:type="paragraph" w:customStyle="1" w:styleId="395">
    <w:name w:val="CM121"/>
    <w:basedOn w:val="209"/>
    <w:next w:val="209"/>
    <w:qFormat/>
    <w:uiPriority w:val="1"/>
    <w:rPr>
      <w:rFonts w:eastAsia="宋体" w:cs="Times New Roman"/>
      <w:color w:val="auto"/>
      <w:kern w:val="0"/>
      <w:szCs w:val="24"/>
    </w:rPr>
  </w:style>
  <w:style w:type="paragraph" w:customStyle="1" w:styleId="396">
    <w:name w:val="CM15"/>
    <w:basedOn w:val="209"/>
    <w:next w:val="209"/>
    <w:qFormat/>
    <w:uiPriority w:val="1"/>
    <w:pPr>
      <w:spacing w:line="400" w:lineRule="atLeast"/>
    </w:pPr>
    <w:rPr>
      <w:rFonts w:eastAsia="宋体" w:cs="Times New Roman"/>
      <w:color w:val="auto"/>
      <w:kern w:val="0"/>
      <w:szCs w:val="24"/>
    </w:rPr>
  </w:style>
  <w:style w:type="paragraph" w:customStyle="1" w:styleId="397">
    <w:name w:val="CM41"/>
    <w:basedOn w:val="209"/>
    <w:next w:val="209"/>
    <w:qFormat/>
    <w:uiPriority w:val="1"/>
    <w:pPr>
      <w:spacing w:line="400" w:lineRule="atLeast"/>
    </w:pPr>
    <w:rPr>
      <w:rFonts w:eastAsia="宋体" w:cs="Times New Roman"/>
      <w:color w:val="auto"/>
      <w:kern w:val="0"/>
      <w:szCs w:val="24"/>
    </w:rPr>
  </w:style>
  <w:style w:type="paragraph" w:customStyle="1" w:styleId="398">
    <w:name w:val="CM126"/>
    <w:basedOn w:val="209"/>
    <w:next w:val="209"/>
    <w:qFormat/>
    <w:uiPriority w:val="1"/>
    <w:rPr>
      <w:rFonts w:eastAsia="宋体" w:cs="Times New Roman"/>
      <w:color w:val="auto"/>
      <w:kern w:val="0"/>
      <w:szCs w:val="24"/>
    </w:rPr>
  </w:style>
  <w:style w:type="paragraph" w:customStyle="1" w:styleId="399">
    <w:name w:val="第一行"/>
    <w:basedOn w:val="1"/>
    <w:qFormat/>
    <w:uiPriority w:val="0"/>
    <w:pPr>
      <w:spacing w:beforeLines="100"/>
      <w:jc w:val="center"/>
    </w:pPr>
    <w:rPr>
      <w:rFonts w:ascii="宋体"/>
      <w:b/>
      <w:bCs/>
      <w:sz w:val="32"/>
      <w:szCs w:val="32"/>
    </w:rPr>
  </w:style>
  <w:style w:type="paragraph" w:customStyle="1" w:styleId="400">
    <w:name w:val="样式 样式5 + 首行缩进:  2 字符"/>
    <w:basedOn w:val="366"/>
    <w:qFormat/>
    <w:uiPriority w:val="0"/>
    <w:pPr>
      <w:ind w:firstLine="200" w:firstLineChars="200"/>
      <w:jc w:val="both"/>
    </w:pPr>
    <w:rPr>
      <w:rFonts w:ascii="Times New Roman" w:eastAsia="宋体" w:cs="宋体"/>
      <w:sz w:val="24"/>
      <w:szCs w:val="24"/>
    </w:rPr>
  </w:style>
  <w:style w:type="paragraph" w:customStyle="1" w:styleId="401">
    <w:name w:val="WG标题3 居中"/>
    <w:basedOn w:val="19"/>
    <w:qFormat/>
    <w:uiPriority w:val="1"/>
    <w:pPr>
      <w:pageBreakBefore/>
      <w:widowControl/>
      <w:autoSpaceDE w:val="0"/>
      <w:autoSpaceDN w:val="0"/>
      <w:spacing w:line="320" w:lineRule="exact"/>
      <w:ind w:firstLine="629"/>
      <w:jc w:val="center"/>
      <w:textAlignment w:val="baseline"/>
      <w:outlineLvl w:val="2"/>
    </w:pPr>
    <w:rPr>
      <w:rFonts w:hAnsi="宋体"/>
      <w:b/>
      <w:bCs w:val="0"/>
      <w:iCs w:val="0"/>
      <w:color w:val="000000"/>
      <w:kern w:val="0"/>
      <w:szCs w:val="21"/>
    </w:rPr>
  </w:style>
  <w:style w:type="paragraph" w:customStyle="1" w:styleId="402">
    <w:name w:val="CM36"/>
    <w:basedOn w:val="209"/>
    <w:next w:val="209"/>
    <w:qFormat/>
    <w:uiPriority w:val="1"/>
    <w:pPr>
      <w:spacing w:line="400" w:lineRule="atLeast"/>
    </w:pPr>
    <w:rPr>
      <w:rFonts w:eastAsia="宋体" w:cs="Times New Roman"/>
      <w:color w:val="auto"/>
      <w:kern w:val="0"/>
      <w:szCs w:val="24"/>
    </w:rPr>
  </w:style>
  <w:style w:type="paragraph" w:customStyle="1" w:styleId="403">
    <w:name w:val="Char2 Char Char Char Char Char Char"/>
    <w:basedOn w:val="15"/>
    <w:qFormat/>
    <w:uiPriority w:val="1"/>
    <w:pPr>
      <w:spacing w:line="240" w:lineRule="auto"/>
    </w:pPr>
    <w:rPr>
      <w:szCs w:val="20"/>
      <w:shd w:val="clear" w:color="auto" w:fill="auto"/>
    </w:rPr>
  </w:style>
  <w:style w:type="paragraph" w:customStyle="1" w:styleId="404">
    <w:name w:val="CM56"/>
    <w:basedOn w:val="209"/>
    <w:next w:val="209"/>
    <w:qFormat/>
    <w:uiPriority w:val="1"/>
    <w:pPr>
      <w:spacing w:line="468" w:lineRule="atLeast"/>
    </w:pPr>
    <w:rPr>
      <w:rFonts w:eastAsia="宋体" w:cs="Times New Roman"/>
      <w:color w:val="auto"/>
      <w:kern w:val="0"/>
      <w:szCs w:val="24"/>
    </w:rPr>
  </w:style>
  <w:style w:type="paragraph" w:customStyle="1" w:styleId="405">
    <w:name w:val="无间隔1"/>
    <w:qFormat/>
    <w:uiPriority w:val="1"/>
    <w:pPr>
      <w:widowControl w:val="0"/>
      <w:jc w:val="both"/>
    </w:pPr>
    <w:rPr>
      <w:rFonts w:ascii="Cambria" w:hAnsi="Cambria" w:eastAsia="华文楷体" w:cs="Times New Roman"/>
      <w:kern w:val="2"/>
      <w:sz w:val="21"/>
      <w:szCs w:val="22"/>
      <w:lang w:val="en-US" w:eastAsia="zh-CN" w:bidi="ar-SA"/>
    </w:rPr>
  </w:style>
  <w:style w:type="paragraph" w:customStyle="1" w:styleId="406">
    <w:name w:val="CM62"/>
    <w:basedOn w:val="209"/>
    <w:next w:val="209"/>
    <w:qFormat/>
    <w:uiPriority w:val="1"/>
    <w:pPr>
      <w:spacing w:line="468" w:lineRule="atLeast"/>
    </w:pPr>
    <w:rPr>
      <w:rFonts w:eastAsia="宋体" w:cs="Times New Roman"/>
      <w:color w:val="auto"/>
      <w:kern w:val="0"/>
      <w:szCs w:val="24"/>
    </w:rPr>
  </w:style>
  <w:style w:type="paragraph" w:customStyle="1" w:styleId="407">
    <w:name w:val="样式 标题 2 + Times New Roman 四号 非加粗 段前: 5 磅 段后: 0 磅 行距: 固定值 20..."/>
    <w:basedOn w:val="3"/>
    <w:qFormat/>
    <w:uiPriority w:val="0"/>
    <w:pPr>
      <w:spacing w:before="100" w:line="400" w:lineRule="exact"/>
      <w:jc w:val="both"/>
    </w:pPr>
    <w:rPr>
      <w:rFonts w:eastAsia="黑体" w:cs="宋体"/>
      <w:b w:val="0"/>
      <w:bCs w:val="0"/>
      <w:szCs w:val="20"/>
    </w:rPr>
  </w:style>
  <w:style w:type="paragraph" w:customStyle="1" w:styleId="408">
    <w:name w:val="xl69"/>
    <w:basedOn w:val="1"/>
    <w:qFormat/>
    <w:uiPriority w:val="1"/>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kern w:val="0"/>
      <w:sz w:val="22"/>
      <w:szCs w:val="22"/>
    </w:rPr>
  </w:style>
  <w:style w:type="paragraph" w:customStyle="1" w:styleId="409">
    <w:name w:val="CM105"/>
    <w:basedOn w:val="209"/>
    <w:next w:val="209"/>
    <w:qFormat/>
    <w:uiPriority w:val="1"/>
    <w:rPr>
      <w:rFonts w:eastAsia="宋体" w:cs="Times New Roman"/>
      <w:color w:val="auto"/>
      <w:kern w:val="0"/>
      <w:szCs w:val="24"/>
    </w:rPr>
  </w:style>
  <w:style w:type="paragraph" w:customStyle="1" w:styleId="41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411">
    <w:name w:val="CM51"/>
    <w:basedOn w:val="209"/>
    <w:next w:val="209"/>
    <w:qFormat/>
    <w:uiPriority w:val="1"/>
    <w:rPr>
      <w:rFonts w:eastAsia="宋体" w:cs="Times New Roman"/>
      <w:color w:val="auto"/>
      <w:kern w:val="0"/>
      <w:szCs w:val="24"/>
    </w:rPr>
  </w:style>
  <w:style w:type="paragraph" w:customStyle="1" w:styleId="412">
    <w:name w:val="菲页1"/>
    <w:basedOn w:val="3"/>
    <w:qFormat/>
    <w:uiPriority w:val="0"/>
    <w:pPr>
      <w:widowControl/>
      <w:spacing w:before="260" w:after="260" w:line="416" w:lineRule="auto"/>
    </w:pPr>
    <w:rPr>
      <w:rFonts w:ascii="黑体" w:hAnsi="宋体" w:eastAsia="黑体"/>
      <w:b w:val="0"/>
      <w:bCs w:val="0"/>
      <w:kern w:val="0"/>
      <w:sz w:val="52"/>
      <w:szCs w:val="20"/>
    </w:rPr>
  </w:style>
  <w:style w:type="paragraph" w:customStyle="1" w:styleId="413">
    <w:name w:val="样式8"/>
    <w:basedOn w:val="4"/>
    <w:qFormat/>
    <w:uiPriority w:val="0"/>
    <w:pPr>
      <w:widowControl/>
      <w:tabs>
        <w:tab w:val="left" w:pos="720"/>
        <w:tab w:val="left" w:pos="2160"/>
        <w:tab w:val="left" w:pos="3660"/>
        <w:tab w:val="clear" w:pos="360"/>
      </w:tabs>
      <w:spacing w:before="160" w:after="240" w:line="500" w:lineRule="exact"/>
      <w:ind w:left="3660" w:hanging="720"/>
      <w:jc w:val="left"/>
    </w:pPr>
    <w:rPr>
      <w:rFonts w:eastAsia="黑体"/>
      <w:bCs w:val="0"/>
      <w:kern w:val="0"/>
      <w:sz w:val="21"/>
      <w:szCs w:val="21"/>
    </w:rPr>
  </w:style>
  <w:style w:type="paragraph" w:customStyle="1" w:styleId="414">
    <w:name w:val="CM107"/>
    <w:basedOn w:val="209"/>
    <w:next w:val="209"/>
    <w:qFormat/>
    <w:uiPriority w:val="1"/>
    <w:rPr>
      <w:rFonts w:eastAsia="宋体" w:cs="Times New Roman"/>
      <w:color w:val="auto"/>
      <w:kern w:val="0"/>
      <w:szCs w:val="24"/>
    </w:rPr>
  </w:style>
  <w:style w:type="paragraph" w:customStyle="1" w:styleId="415">
    <w:name w:val="样式 标题 1标题 1-GL篇H1h1h11h12h13h14h15h16宋二节 + Times New..."/>
    <w:basedOn w:val="2"/>
    <w:qFormat/>
    <w:uiPriority w:val="0"/>
    <w:pPr>
      <w:tabs>
        <w:tab w:val="left" w:pos="432"/>
      </w:tabs>
      <w:spacing w:before="300" w:after="400" w:line="360" w:lineRule="exact"/>
      <w:textAlignment w:val="baseline"/>
    </w:pPr>
    <w:rPr>
      <w:rFonts w:eastAsia="黑体"/>
      <w:b w:val="0"/>
      <w:kern w:val="2"/>
      <w:sz w:val="36"/>
    </w:rPr>
  </w:style>
  <w:style w:type="paragraph" w:customStyle="1" w:styleId="416">
    <w:name w:val="CM46"/>
    <w:basedOn w:val="209"/>
    <w:next w:val="209"/>
    <w:qFormat/>
    <w:uiPriority w:val="1"/>
    <w:pPr>
      <w:spacing w:line="440" w:lineRule="atLeast"/>
    </w:pPr>
    <w:rPr>
      <w:rFonts w:eastAsia="宋体" w:cs="Times New Roman"/>
      <w:color w:val="auto"/>
      <w:kern w:val="0"/>
      <w:szCs w:val="24"/>
    </w:rPr>
  </w:style>
  <w:style w:type="paragraph" w:customStyle="1" w:styleId="417">
    <w:name w:val="样式 WG标题2 + 行距: 固定值 18 磅"/>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418">
    <w:name w:val="CM86"/>
    <w:basedOn w:val="209"/>
    <w:next w:val="209"/>
    <w:qFormat/>
    <w:uiPriority w:val="1"/>
    <w:pPr>
      <w:spacing w:line="440" w:lineRule="atLeast"/>
    </w:pPr>
    <w:rPr>
      <w:rFonts w:eastAsia="宋体" w:cs="Times New Roman"/>
      <w:color w:val="auto"/>
      <w:kern w:val="0"/>
      <w:szCs w:val="24"/>
    </w:rPr>
  </w:style>
  <w:style w:type="paragraph" w:customStyle="1" w:styleId="419">
    <w:name w:val="编号（1）"/>
    <w:basedOn w:val="1"/>
    <w:qFormat/>
    <w:uiPriority w:val="1"/>
    <w:pPr>
      <w:tabs>
        <w:tab w:val="left" w:pos="420"/>
      </w:tabs>
      <w:ind w:left="450" w:leftChars="200" w:hanging="200" w:hangingChars="200"/>
    </w:pPr>
    <w:rPr>
      <w:rFonts w:ascii="宋体"/>
      <w:szCs w:val="21"/>
    </w:rPr>
  </w:style>
  <w:style w:type="paragraph" w:customStyle="1" w:styleId="420">
    <w:name w:val="CM4"/>
    <w:basedOn w:val="209"/>
    <w:next w:val="209"/>
    <w:qFormat/>
    <w:uiPriority w:val="1"/>
    <w:pPr>
      <w:spacing w:line="433" w:lineRule="atLeast"/>
    </w:pPr>
    <w:rPr>
      <w:rFonts w:eastAsia="宋体" w:cs="Times New Roman"/>
      <w:color w:val="auto"/>
      <w:kern w:val="0"/>
      <w:szCs w:val="24"/>
    </w:rPr>
  </w:style>
  <w:style w:type="paragraph" w:customStyle="1" w:styleId="421">
    <w:name w:val="样式 样式 第四行 + 左侧:  -4 字符 段前: 2 行 + 左侧:  -3 字符 段前: 2 行"/>
    <w:basedOn w:val="422"/>
    <w:qFormat/>
    <w:uiPriority w:val="0"/>
    <w:pPr>
      <w:ind w:left="-200" w:leftChars="-200"/>
    </w:pPr>
  </w:style>
  <w:style w:type="paragraph" w:customStyle="1" w:styleId="422">
    <w:name w:val="样式 第四行 + 左侧:  -4 字符 段前: 2 行"/>
    <w:basedOn w:val="423"/>
    <w:qFormat/>
    <w:uiPriority w:val="0"/>
    <w:pPr>
      <w:ind w:left="-300" w:leftChars="-300"/>
    </w:pPr>
    <w:rPr>
      <w:szCs w:val="20"/>
    </w:rPr>
  </w:style>
  <w:style w:type="paragraph" w:customStyle="1" w:styleId="423">
    <w:name w:val="第四行"/>
    <w:basedOn w:val="1"/>
    <w:qFormat/>
    <w:uiPriority w:val="0"/>
    <w:pPr>
      <w:spacing w:beforeLines="200"/>
      <w:ind w:left="-400" w:leftChars="-400"/>
      <w:jc w:val="center"/>
    </w:pPr>
    <w:rPr>
      <w:rFonts w:ascii="宋体"/>
      <w:b/>
      <w:bCs/>
      <w:sz w:val="28"/>
      <w:szCs w:val="28"/>
    </w:rPr>
  </w:style>
  <w:style w:type="paragraph" w:customStyle="1" w:styleId="424">
    <w:name w:val="CM102"/>
    <w:basedOn w:val="209"/>
    <w:next w:val="209"/>
    <w:qFormat/>
    <w:uiPriority w:val="1"/>
    <w:rPr>
      <w:rFonts w:eastAsia="宋体" w:cs="Times New Roman"/>
      <w:color w:val="auto"/>
      <w:kern w:val="0"/>
      <w:szCs w:val="24"/>
    </w:rPr>
  </w:style>
  <w:style w:type="paragraph" w:customStyle="1" w:styleId="425">
    <w:name w:val="样式 第五行 + 左侧:  -8 字符 段前: 2 行1"/>
    <w:basedOn w:val="426"/>
    <w:qFormat/>
    <w:uiPriority w:val="0"/>
    <w:pPr>
      <w:ind w:left="-300" w:leftChars="-300"/>
    </w:pPr>
    <w:rPr>
      <w:szCs w:val="20"/>
    </w:rPr>
  </w:style>
  <w:style w:type="paragraph" w:customStyle="1" w:styleId="426">
    <w:name w:val="第五行"/>
    <w:basedOn w:val="423"/>
    <w:qFormat/>
    <w:uiPriority w:val="0"/>
    <w:pPr>
      <w:ind w:left="-800" w:leftChars="-800"/>
    </w:pPr>
  </w:style>
  <w:style w:type="paragraph" w:customStyle="1" w:styleId="427">
    <w:name w:val="样式 第五行 + 左侧:  -8 字符 段前: 2 行"/>
    <w:basedOn w:val="426"/>
    <w:qFormat/>
    <w:uiPriority w:val="0"/>
    <w:pPr>
      <w:ind w:left="-600" w:leftChars="-600"/>
    </w:pPr>
    <w:rPr>
      <w:szCs w:val="20"/>
    </w:rPr>
  </w:style>
  <w:style w:type="paragraph" w:customStyle="1" w:styleId="428">
    <w:name w:val="Char Char1 Char Char Char"/>
    <w:basedOn w:val="1"/>
    <w:qFormat/>
    <w:uiPriority w:val="0"/>
    <w:pPr>
      <w:spacing w:line="240" w:lineRule="auto"/>
    </w:pPr>
    <w:rPr>
      <w:kern w:val="0"/>
      <w:sz w:val="20"/>
      <w:szCs w:val="20"/>
    </w:rPr>
  </w:style>
  <w:style w:type="paragraph" w:customStyle="1" w:styleId="429">
    <w:name w:val="无间隔11"/>
    <w:qFormat/>
    <w:uiPriority w:val="1"/>
    <w:pPr>
      <w:widowControl w:val="0"/>
      <w:jc w:val="both"/>
    </w:pPr>
    <w:rPr>
      <w:rFonts w:ascii="Cambria" w:hAnsi="Cambria" w:eastAsia="华文楷体" w:cs="Times New Roman"/>
      <w:kern w:val="2"/>
      <w:sz w:val="21"/>
      <w:szCs w:val="22"/>
      <w:lang w:val="en-US" w:eastAsia="zh-CN" w:bidi="ar-SA"/>
    </w:rPr>
  </w:style>
  <w:style w:type="paragraph" w:customStyle="1" w:styleId="430">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31">
    <w:name w:val="正文11"/>
    <w:basedOn w:val="1"/>
    <w:qFormat/>
    <w:uiPriority w:val="0"/>
    <w:pPr>
      <w:ind w:firstLine="200" w:firstLineChars="200"/>
    </w:pPr>
    <w:rPr>
      <w:rFonts w:ascii="宋体"/>
      <w:szCs w:val="21"/>
    </w:rPr>
  </w:style>
  <w:style w:type="paragraph" w:customStyle="1" w:styleId="432">
    <w:name w:val="样式 样式 样式 第五行 + 左侧:  -8 字符 段前: 2 行 + 左侧:  -6 字符 段前: 2 行 + 左侧:  -4..."/>
    <w:basedOn w:val="433"/>
    <w:qFormat/>
    <w:uiPriority w:val="0"/>
    <w:rPr>
      <w:szCs w:val="28"/>
    </w:rPr>
  </w:style>
  <w:style w:type="paragraph" w:customStyle="1" w:styleId="433">
    <w:name w:val="样式 样式 第五行 + 左侧:  -8 字符 段前: 2 行 + 左侧:  -6 字符 段前: 2 行"/>
    <w:basedOn w:val="427"/>
    <w:qFormat/>
    <w:uiPriority w:val="0"/>
    <w:pPr>
      <w:ind w:left="-400" w:leftChars="-400"/>
    </w:pPr>
  </w:style>
  <w:style w:type="paragraph" w:customStyle="1" w:styleId="434">
    <w:name w:val="CM31"/>
    <w:basedOn w:val="209"/>
    <w:next w:val="209"/>
    <w:qFormat/>
    <w:uiPriority w:val="1"/>
    <w:rPr>
      <w:rFonts w:eastAsia="宋体" w:cs="Times New Roman"/>
      <w:color w:val="auto"/>
      <w:kern w:val="0"/>
      <w:szCs w:val="24"/>
    </w:rPr>
  </w:style>
  <w:style w:type="paragraph" w:customStyle="1" w:styleId="435">
    <w:name w:val="样式 WG标题2 + 行距: 固定值 18 磅1"/>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436">
    <w:name w:val="样式6"/>
    <w:basedOn w:val="437"/>
    <w:qFormat/>
    <w:uiPriority w:val="0"/>
  </w:style>
  <w:style w:type="paragraph" w:customStyle="1" w:styleId="437">
    <w:name w:val="表格内容"/>
    <w:basedOn w:val="1"/>
    <w:qFormat/>
    <w:uiPriority w:val="0"/>
    <w:pPr>
      <w:widowControl/>
      <w:spacing w:line="260" w:lineRule="exact"/>
      <w:jc w:val="center"/>
    </w:pPr>
    <w:rPr>
      <w:kern w:val="0"/>
      <w:sz w:val="20"/>
      <w:szCs w:val="20"/>
    </w:rPr>
  </w:style>
  <w:style w:type="paragraph" w:customStyle="1" w:styleId="438">
    <w:name w:val="Char Char2 Char Char Char Char Char Char Char Char Char Char Char Char Char"/>
    <w:basedOn w:val="1"/>
    <w:qFormat/>
    <w:uiPriority w:val="1"/>
    <w:pPr>
      <w:spacing w:line="240" w:lineRule="auto"/>
      <w:ind w:firstLine="360" w:firstLineChars="150"/>
    </w:pPr>
    <w:rPr>
      <w:rFonts w:ascii="Tahoma" w:hAnsi="Tahoma"/>
      <w:sz w:val="24"/>
      <w:szCs w:val="20"/>
    </w:rPr>
  </w:style>
  <w:style w:type="paragraph" w:customStyle="1" w:styleId="439">
    <w:name w:val="Char Char Char Char Char Char Char Char Char Char1"/>
    <w:basedOn w:val="1"/>
    <w:qFormat/>
    <w:uiPriority w:val="1"/>
    <w:pPr>
      <w:tabs>
        <w:tab w:val="left" w:pos="425"/>
      </w:tabs>
      <w:spacing w:line="240" w:lineRule="auto"/>
      <w:ind w:left="425" w:hanging="425"/>
    </w:pPr>
    <w:rPr>
      <w:rFonts w:ascii="Arial" w:hAnsi="Arial" w:eastAsia="黑体" w:cs="宋体"/>
      <w:b/>
      <w:bCs/>
      <w:sz w:val="32"/>
      <w:szCs w:val="32"/>
    </w:rPr>
  </w:style>
  <w:style w:type="paragraph" w:customStyle="1" w:styleId="440">
    <w:name w:val="样式9"/>
    <w:basedOn w:val="4"/>
    <w:qFormat/>
    <w:uiPriority w:val="0"/>
    <w:pPr>
      <w:widowControl/>
      <w:tabs>
        <w:tab w:val="left" w:pos="720"/>
        <w:tab w:val="left" w:pos="2160"/>
        <w:tab w:val="left" w:pos="3660"/>
        <w:tab w:val="clear" w:pos="360"/>
      </w:tabs>
      <w:spacing w:before="160" w:after="120" w:line="500" w:lineRule="exact"/>
      <w:ind w:left="3660" w:hanging="720"/>
      <w:jc w:val="left"/>
    </w:pPr>
    <w:rPr>
      <w:rFonts w:eastAsia="黑体"/>
      <w:bCs w:val="0"/>
      <w:kern w:val="0"/>
      <w:sz w:val="21"/>
      <w:szCs w:val="21"/>
    </w:rPr>
  </w:style>
  <w:style w:type="paragraph" w:customStyle="1" w:styleId="441">
    <w:name w:val="CM91"/>
    <w:basedOn w:val="209"/>
    <w:next w:val="209"/>
    <w:qFormat/>
    <w:uiPriority w:val="1"/>
    <w:pPr>
      <w:spacing w:line="443" w:lineRule="atLeast"/>
    </w:pPr>
    <w:rPr>
      <w:rFonts w:eastAsia="宋体" w:cs="Times New Roman"/>
      <w:color w:val="auto"/>
      <w:kern w:val="0"/>
      <w:szCs w:val="24"/>
    </w:rPr>
  </w:style>
  <w:style w:type="paragraph" w:customStyle="1" w:styleId="442">
    <w:name w:val="CM59"/>
    <w:basedOn w:val="209"/>
    <w:next w:val="209"/>
    <w:qFormat/>
    <w:uiPriority w:val="1"/>
    <w:rPr>
      <w:rFonts w:eastAsia="宋体" w:cs="Times New Roman"/>
      <w:color w:val="auto"/>
      <w:kern w:val="0"/>
      <w:szCs w:val="24"/>
    </w:rPr>
  </w:style>
  <w:style w:type="paragraph" w:customStyle="1" w:styleId="443">
    <w:name w:val="p12"/>
    <w:basedOn w:val="1"/>
    <w:qFormat/>
    <w:uiPriority w:val="1"/>
    <w:pPr>
      <w:widowControl/>
      <w:spacing w:before="100" w:beforeAutospacing="1" w:after="100" w:afterAutospacing="1" w:line="240" w:lineRule="auto"/>
      <w:jc w:val="left"/>
    </w:pPr>
    <w:rPr>
      <w:color w:val="000000"/>
      <w:kern w:val="0"/>
      <w:sz w:val="24"/>
      <w:szCs w:val="20"/>
    </w:rPr>
  </w:style>
  <w:style w:type="paragraph" w:customStyle="1" w:styleId="44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445">
    <w:name w:val="CM103"/>
    <w:basedOn w:val="209"/>
    <w:next w:val="209"/>
    <w:qFormat/>
    <w:uiPriority w:val="1"/>
    <w:rPr>
      <w:rFonts w:eastAsia="宋体" w:cs="Times New Roman"/>
      <w:color w:val="auto"/>
      <w:kern w:val="0"/>
      <w:szCs w:val="24"/>
    </w:rPr>
  </w:style>
  <w:style w:type="paragraph" w:customStyle="1" w:styleId="446">
    <w:name w:val="CM85"/>
    <w:basedOn w:val="209"/>
    <w:next w:val="209"/>
    <w:qFormat/>
    <w:uiPriority w:val="1"/>
    <w:pPr>
      <w:spacing w:line="440" w:lineRule="atLeast"/>
    </w:pPr>
    <w:rPr>
      <w:rFonts w:eastAsia="宋体" w:cs="Times New Roman"/>
      <w:color w:val="auto"/>
      <w:kern w:val="0"/>
      <w:szCs w:val="24"/>
    </w:rPr>
  </w:style>
  <w:style w:type="paragraph" w:customStyle="1" w:styleId="447">
    <w:name w:val="CM110"/>
    <w:basedOn w:val="209"/>
    <w:next w:val="209"/>
    <w:qFormat/>
    <w:uiPriority w:val="1"/>
    <w:rPr>
      <w:rFonts w:eastAsia="宋体" w:cs="Times New Roman"/>
      <w:color w:val="auto"/>
      <w:kern w:val="0"/>
      <w:szCs w:val="24"/>
    </w:rPr>
  </w:style>
  <w:style w:type="paragraph" w:customStyle="1" w:styleId="448">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449">
    <w:name w:val="修订11"/>
    <w:qFormat/>
    <w:uiPriority w:val="0"/>
    <w:pPr>
      <w:spacing w:after="200" w:line="276" w:lineRule="auto"/>
    </w:pPr>
    <w:rPr>
      <w:rFonts w:ascii="Calibri" w:hAnsi="Calibri" w:eastAsia="宋体" w:cs="Times New Roman"/>
      <w:kern w:val="2"/>
      <w:sz w:val="21"/>
      <w:szCs w:val="24"/>
      <w:lang w:val="en-US" w:eastAsia="zh-CN" w:bidi="ar-SA"/>
    </w:rPr>
  </w:style>
  <w:style w:type="paragraph" w:customStyle="1" w:styleId="450">
    <w:name w:val="CM63"/>
    <w:basedOn w:val="209"/>
    <w:next w:val="209"/>
    <w:qFormat/>
    <w:uiPriority w:val="1"/>
    <w:pPr>
      <w:spacing w:line="468" w:lineRule="atLeast"/>
    </w:pPr>
    <w:rPr>
      <w:rFonts w:eastAsia="宋体" w:cs="Times New Roman"/>
      <w:color w:val="auto"/>
      <w:kern w:val="0"/>
      <w:szCs w:val="24"/>
    </w:rPr>
  </w:style>
  <w:style w:type="paragraph" w:customStyle="1" w:styleId="451">
    <w:name w:val="样式1-正文-缩进"/>
    <w:basedOn w:val="1"/>
    <w:qFormat/>
    <w:uiPriority w:val="0"/>
    <w:pPr>
      <w:ind w:firstLine="480" w:firstLineChars="200"/>
    </w:pPr>
    <w:rPr>
      <w:sz w:val="24"/>
    </w:rPr>
  </w:style>
  <w:style w:type="paragraph" w:customStyle="1" w:styleId="452">
    <w:name w:val="CM14"/>
    <w:basedOn w:val="209"/>
    <w:next w:val="209"/>
    <w:qFormat/>
    <w:uiPriority w:val="1"/>
    <w:pPr>
      <w:spacing w:line="400" w:lineRule="atLeast"/>
    </w:pPr>
    <w:rPr>
      <w:rFonts w:eastAsia="宋体" w:cs="Times New Roman"/>
      <w:color w:val="auto"/>
      <w:kern w:val="0"/>
      <w:szCs w:val="24"/>
    </w:rPr>
  </w:style>
  <w:style w:type="paragraph" w:customStyle="1" w:styleId="453">
    <w:name w:val="CM5"/>
    <w:basedOn w:val="209"/>
    <w:next w:val="209"/>
    <w:qFormat/>
    <w:uiPriority w:val="1"/>
    <w:pPr>
      <w:spacing w:line="313" w:lineRule="atLeast"/>
    </w:pPr>
    <w:rPr>
      <w:rFonts w:eastAsia="宋体" w:cs="Times New Roman"/>
      <w:color w:val="auto"/>
      <w:kern w:val="0"/>
      <w:szCs w:val="24"/>
    </w:rPr>
  </w:style>
  <w:style w:type="paragraph" w:customStyle="1" w:styleId="454">
    <w:name w:val="样式1-正文-缩进-加粗"/>
    <w:basedOn w:val="1"/>
    <w:qFormat/>
    <w:uiPriority w:val="0"/>
    <w:pPr>
      <w:ind w:firstLine="482"/>
    </w:pPr>
    <w:rPr>
      <w:b/>
      <w:bCs/>
      <w:sz w:val="24"/>
    </w:rPr>
  </w:style>
  <w:style w:type="paragraph" w:customStyle="1" w:styleId="455">
    <w:name w:val="CM10"/>
    <w:basedOn w:val="209"/>
    <w:next w:val="209"/>
    <w:qFormat/>
    <w:uiPriority w:val="1"/>
    <w:rPr>
      <w:rFonts w:eastAsia="宋体" w:cs="Times New Roman"/>
      <w:color w:val="auto"/>
      <w:kern w:val="0"/>
      <w:szCs w:val="24"/>
    </w:rPr>
  </w:style>
  <w:style w:type="paragraph" w:customStyle="1" w:styleId="456">
    <w:name w:val="横表名"/>
    <w:basedOn w:val="1"/>
    <w:qFormat/>
    <w:uiPriority w:val="0"/>
    <w:pPr>
      <w:spacing w:beforeLines="50"/>
      <w:jc w:val="center"/>
    </w:pPr>
    <w:rPr>
      <w:rFonts w:ascii="宋体"/>
      <w:b/>
      <w:szCs w:val="21"/>
    </w:rPr>
  </w:style>
  <w:style w:type="paragraph" w:customStyle="1" w:styleId="457">
    <w:name w:val="CM32"/>
    <w:basedOn w:val="209"/>
    <w:next w:val="209"/>
    <w:qFormat/>
    <w:uiPriority w:val="1"/>
    <w:pPr>
      <w:spacing w:line="400" w:lineRule="atLeast"/>
    </w:pPr>
    <w:rPr>
      <w:rFonts w:eastAsia="宋体" w:cs="Times New Roman"/>
      <w:color w:val="auto"/>
      <w:kern w:val="0"/>
      <w:szCs w:val="24"/>
    </w:rPr>
  </w:style>
  <w:style w:type="paragraph" w:customStyle="1" w:styleId="458">
    <w:name w:val="CM71"/>
    <w:basedOn w:val="209"/>
    <w:next w:val="209"/>
    <w:qFormat/>
    <w:uiPriority w:val="1"/>
    <w:pPr>
      <w:spacing w:line="468" w:lineRule="atLeast"/>
    </w:pPr>
    <w:rPr>
      <w:rFonts w:eastAsia="宋体" w:cs="Times New Roman"/>
      <w:color w:val="auto"/>
      <w:kern w:val="0"/>
      <w:szCs w:val="24"/>
    </w:rPr>
  </w:style>
  <w:style w:type="paragraph" w:customStyle="1" w:styleId="459">
    <w:name w:val="菲页(卷)"/>
    <w:basedOn w:val="2"/>
    <w:next w:val="237"/>
    <w:qFormat/>
    <w:uiPriority w:val="0"/>
    <w:pPr>
      <w:widowControl/>
      <w:tabs>
        <w:tab w:val="left" w:pos="425"/>
        <w:tab w:val="left" w:pos="432"/>
      </w:tabs>
      <w:autoSpaceDE/>
      <w:autoSpaceDN/>
      <w:adjustRightInd/>
      <w:spacing w:line="240" w:lineRule="auto"/>
      <w:ind w:left="425" w:hanging="425"/>
      <w:outlineLvl w:val="1"/>
    </w:pPr>
    <w:rPr>
      <w:rFonts w:ascii="黑体" w:eastAsia="黑体"/>
      <w:b w:val="0"/>
      <w:bCs w:val="0"/>
      <w:color w:val="auto"/>
      <w:sz w:val="52"/>
    </w:rPr>
  </w:style>
  <w:style w:type="paragraph" w:customStyle="1" w:styleId="460">
    <w:name w:val="样式 样式 样式 样式 第六行 + 左侧:  -2 字符 段前: 2 行 + 左侧:  -10 字符 段前: 2 行 + 左侧:..."/>
    <w:basedOn w:val="461"/>
    <w:qFormat/>
    <w:uiPriority w:val="0"/>
    <w:pPr>
      <w:ind w:left="-1000" w:leftChars="-1000"/>
    </w:pPr>
  </w:style>
  <w:style w:type="paragraph" w:customStyle="1" w:styleId="461">
    <w:name w:val="样式 样式 样式 第六行 + 左侧:  -2 字符 段前: 2 行 + 左侧:  -10 字符 段前: 2 行 + 左侧:  -..."/>
    <w:basedOn w:val="462"/>
    <w:qFormat/>
    <w:uiPriority w:val="0"/>
    <w:pPr>
      <w:ind w:left="-1200" w:leftChars="-1200"/>
    </w:pPr>
    <w:rPr>
      <w:szCs w:val="20"/>
    </w:rPr>
  </w:style>
  <w:style w:type="paragraph" w:customStyle="1" w:styleId="462">
    <w:name w:val="样式 样式 第六行 + 左侧:  -2 字符 段前: 2 行 + 左侧:  -10 字符 段前: 2 行"/>
    <w:basedOn w:val="463"/>
    <w:qFormat/>
    <w:uiPriority w:val="0"/>
    <w:pPr>
      <w:ind w:left="-1100" w:leftChars="-1100"/>
    </w:pPr>
    <w:rPr>
      <w:szCs w:val="28"/>
    </w:rPr>
  </w:style>
  <w:style w:type="paragraph" w:customStyle="1" w:styleId="463">
    <w:name w:val="样式 第六行 + 左侧:  -2 字符 段前: 2 行"/>
    <w:basedOn w:val="464"/>
    <w:qFormat/>
    <w:uiPriority w:val="0"/>
    <w:pPr>
      <w:ind w:left="-1000" w:leftChars="-1000"/>
    </w:pPr>
    <w:rPr>
      <w:szCs w:val="20"/>
    </w:rPr>
  </w:style>
  <w:style w:type="paragraph" w:customStyle="1" w:styleId="464">
    <w:name w:val="第六行"/>
    <w:basedOn w:val="432"/>
    <w:qFormat/>
    <w:uiPriority w:val="0"/>
    <w:pPr>
      <w:ind w:left="-200" w:leftChars="-200"/>
    </w:pPr>
  </w:style>
  <w:style w:type="paragraph" w:customStyle="1" w:styleId="465">
    <w:name w:val="CM67"/>
    <w:basedOn w:val="209"/>
    <w:next w:val="209"/>
    <w:qFormat/>
    <w:uiPriority w:val="1"/>
    <w:pPr>
      <w:spacing w:line="471" w:lineRule="atLeast"/>
    </w:pPr>
    <w:rPr>
      <w:rFonts w:eastAsia="宋体" w:cs="Times New Roman"/>
      <w:color w:val="auto"/>
      <w:kern w:val="0"/>
      <w:szCs w:val="24"/>
    </w:rPr>
  </w:style>
  <w:style w:type="paragraph" w:customStyle="1" w:styleId="466">
    <w:name w:val="菲页2"/>
    <w:basedOn w:val="4"/>
    <w:qFormat/>
    <w:uiPriority w:val="0"/>
    <w:pPr>
      <w:widowControl/>
      <w:tabs>
        <w:tab w:val="left" w:pos="425"/>
        <w:tab w:val="left" w:pos="2160"/>
        <w:tab w:val="clear" w:pos="360"/>
      </w:tabs>
      <w:spacing w:before="120" w:after="120" w:line="312" w:lineRule="auto"/>
      <w:ind w:left="425" w:hanging="425" w:firstLineChars="200"/>
      <w:jc w:val="both"/>
    </w:pPr>
    <w:rPr>
      <w:rFonts w:ascii="黑体" w:eastAsia="黑体"/>
      <w:kern w:val="0"/>
      <w:sz w:val="44"/>
      <w:szCs w:val="20"/>
    </w:rPr>
  </w:style>
  <w:style w:type="paragraph" w:customStyle="1" w:styleId="467">
    <w:name w:val="CM17"/>
    <w:basedOn w:val="209"/>
    <w:next w:val="209"/>
    <w:qFormat/>
    <w:uiPriority w:val="1"/>
    <w:rPr>
      <w:rFonts w:eastAsia="宋体" w:cs="Times New Roman"/>
      <w:color w:val="auto"/>
      <w:kern w:val="0"/>
      <w:szCs w:val="24"/>
    </w:rPr>
  </w:style>
  <w:style w:type="paragraph" w:customStyle="1" w:styleId="468">
    <w:name w:val="+标题1"/>
    <w:basedOn w:val="2"/>
    <w:qFormat/>
    <w:uiPriority w:val="1"/>
    <w:pPr>
      <w:keepLines/>
      <w:pageBreakBefore/>
      <w:tabs>
        <w:tab w:val="left" w:pos="432"/>
        <w:tab w:val="left" w:pos="927"/>
      </w:tabs>
      <w:autoSpaceDE/>
      <w:autoSpaceDN/>
      <w:adjustRightInd/>
      <w:spacing w:before="240" w:after="240"/>
      <w:ind w:firstLine="567"/>
    </w:pPr>
    <w:rPr>
      <w:rFonts w:eastAsia="黑体"/>
      <w:color w:val="auto"/>
      <w:kern w:val="32"/>
      <w:szCs w:val="32"/>
    </w:rPr>
  </w:style>
  <w:style w:type="paragraph" w:customStyle="1" w:styleId="469">
    <w:name w:val="CM18"/>
    <w:basedOn w:val="209"/>
    <w:next w:val="209"/>
    <w:qFormat/>
    <w:uiPriority w:val="1"/>
    <w:pPr>
      <w:spacing w:line="400" w:lineRule="atLeast"/>
    </w:pPr>
    <w:rPr>
      <w:rFonts w:eastAsia="宋体" w:cs="Times New Roman"/>
      <w:color w:val="auto"/>
      <w:kern w:val="0"/>
      <w:szCs w:val="24"/>
    </w:rPr>
  </w:style>
  <w:style w:type="paragraph" w:customStyle="1" w:styleId="470">
    <w:name w:val="CM37"/>
    <w:basedOn w:val="209"/>
    <w:next w:val="209"/>
    <w:qFormat/>
    <w:uiPriority w:val="1"/>
    <w:rPr>
      <w:rFonts w:eastAsia="宋体" w:cs="Times New Roman"/>
      <w:color w:val="auto"/>
      <w:kern w:val="0"/>
      <w:szCs w:val="24"/>
    </w:rPr>
  </w:style>
  <w:style w:type="paragraph" w:customStyle="1" w:styleId="471">
    <w:name w:val="CM45"/>
    <w:basedOn w:val="209"/>
    <w:next w:val="209"/>
    <w:qFormat/>
    <w:uiPriority w:val="1"/>
    <w:pPr>
      <w:spacing w:line="443" w:lineRule="atLeast"/>
    </w:pPr>
    <w:rPr>
      <w:rFonts w:eastAsia="宋体" w:cs="Times New Roman"/>
      <w:color w:val="auto"/>
      <w:kern w:val="0"/>
      <w:szCs w:val="24"/>
    </w:rPr>
  </w:style>
  <w:style w:type="paragraph" w:customStyle="1" w:styleId="472">
    <w:name w:val="CM23"/>
    <w:basedOn w:val="209"/>
    <w:next w:val="209"/>
    <w:qFormat/>
    <w:uiPriority w:val="1"/>
    <w:pPr>
      <w:spacing w:line="400" w:lineRule="atLeast"/>
    </w:pPr>
    <w:rPr>
      <w:rFonts w:eastAsia="宋体" w:cs="Times New Roman"/>
      <w:color w:val="auto"/>
      <w:kern w:val="0"/>
      <w:szCs w:val="24"/>
    </w:rPr>
  </w:style>
  <w:style w:type="paragraph" w:customStyle="1" w:styleId="473">
    <w:name w:val="CM50"/>
    <w:basedOn w:val="209"/>
    <w:next w:val="209"/>
    <w:qFormat/>
    <w:uiPriority w:val="1"/>
    <w:rPr>
      <w:rFonts w:eastAsia="宋体" w:cs="Times New Roman"/>
      <w:color w:val="auto"/>
      <w:kern w:val="0"/>
      <w:szCs w:val="24"/>
    </w:rPr>
  </w:style>
  <w:style w:type="paragraph" w:customStyle="1" w:styleId="474">
    <w:name w:val="第1行"/>
    <w:basedOn w:val="1"/>
    <w:qFormat/>
    <w:uiPriority w:val="0"/>
    <w:pPr>
      <w:tabs>
        <w:tab w:val="left" w:pos="927"/>
      </w:tabs>
      <w:snapToGrid w:val="0"/>
      <w:spacing w:line="460" w:lineRule="exact"/>
      <w:ind w:firstLine="567"/>
    </w:pPr>
    <w:rPr>
      <w:rFonts w:ascii="宋体" w:hAnsi="宋体"/>
      <w:szCs w:val="28"/>
    </w:rPr>
  </w:style>
  <w:style w:type="paragraph" w:customStyle="1" w:styleId="475">
    <w:name w:val="CM117"/>
    <w:basedOn w:val="209"/>
    <w:next w:val="209"/>
    <w:qFormat/>
    <w:uiPriority w:val="1"/>
    <w:rPr>
      <w:rFonts w:eastAsia="宋体" w:cs="Times New Roman"/>
      <w:color w:val="auto"/>
      <w:kern w:val="0"/>
      <w:szCs w:val="24"/>
    </w:rPr>
  </w:style>
  <w:style w:type="paragraph" w:customStyle="1" w:styleId="476">
    <w:name w:val="CM87"/>
    <w:basedOn w:val="209"/>
    <w:next w:val="209"/>
    <w:qFormat/>
    <w:uiPriority w:val="1"/>
    <w:pPr>
      <w:spacing w:line="440" w:lineRule="atLeast"/>
    </w:pPr>
    <w:rPr>
      <w:rFonts w:eastAsia="宋体" w:cs="Times New Roman"/>
      <w:color w:val="auto"/>
      <w:kern w:val="0"/>
      <w:szCs w:val="24"/>
    </w:rPr>
  </w:style>
  <w:style w:type="paragraph" w:customStyle="1" w:styleId="477">
    <w:name w:val="CM111"/>
    <w:basedOn w:val="209"/>
    <w:next w:val="209"/>
    <w:qFormat/>
    <w:uiPriority w:val="1"/>
    <w:rPr>
      <w:rFonts w:eastAsia="宋体" w:cs="Times New Roman"/>
      <w:color w:val="auto"/>
      <w:kern w:val="0"/>
      <w:szCs w:val="24"/>
    </w:rPr>
  </w:style>
  <w:style w:type="paragraph" w:customStyle="1" w:styleId="478">
    <w:name w:val="CM43"/>
    <w:basedOn w:val="209"/>
    <w:next w:val="209"/>
    <w:qFormat/>
    <w:uiPriority w:val="1"/>
    <w:pPr>
      <w:spacing w:line="440" w:lineRule="atLeast"/>
    </w:pPr>
    <w:rPr>
      <w:rFonts w:eastAsia="宋体" w:cs="Times New Roman"/>
      <w:color w:val="auto"/>
      <w:kern w:val="0"/>
      <w:szCs w:val="24"/>
    </w:rPr>
  </w:style>
  <w:style w:type="paragraph" w:customStyle="1" w:styleId="479">
    <w:name w:val="CM106"/>
    <w:basedOn w:val="209"/>
    <w:next w:val="209"/>
    <w:qFormat/>
    <w:uiPriority w:val="1"/>
    <w:rPr>
      <w:rFonts w:eastAsia="宋体" w:cs="Times New Roman"/>
      <w:color w:val="auto"/>
      <w:kern w:val="0"/>
      <w:szCs w:val="24"/>
    </w:rPr>
  </w:style>
  <w:style w:type="paragraph" w:customStyle="1" w:styleId="480">
    <w:name w:val="CM122"/>
    <w:basedOn w:val="209"/>
    <w:next w:val="209"/>
    <w:qFormat/>
    <w:uiPriority w:val="1"/>
    <w:rPr>
      <w:rFonts w:eastAsia="宋体" w:cs="Times New Roman"/>
      <w:color w:val="auto"/>
      <w:kern w:val="0"/>
      <w:szCs w:val="24"/>
    </w:rPr>
  </w:style>
  <w:style w:type="paragraph" w:customStyle="1" w:styleId="481">
    <w:name w:val="+正文"/>
    <w:basedOn w:val="1"/>
    <w:qFormat/>
    <w:uiPriority w:val="1"/>
    <w:pPr>
      <w:ind w:firstLine="200" w:firstLineChars="200"/>
    </w:pPr>
    <w:rPr>
      <w:sz w:val="24"/>
      <w:szCs w:val="28"/>
    </w:rPr>
  </w:style>
  <w:style w:type="paragraph" w:customStyle="1" w:styleId="482">
    <w:name w:val="CM47"/>
    <w:basedOn w:val="209"/>
    <w:next w:val="209"/>
    <w:qFormat/>
    <w:uiPriority w:val="1"/>
    <w:pPr>
      <w:spacing w:line="400" w:lineRule="atLeast"/>
    </w:pPr>
    <w:rPr>
      <w:rFonts w:eastAsia="宋体" w:cs="Times New Roman"/>
      <w:color w:val="auto"/>
      <w:kern w:val="0"/>
      <w:szCs w:val="24"/>
    </w:rPr>
  </w:style>
  <w:style w:type="paragraph" w:customStyle="1" w:styleId="483">
    <w:name w:val="表格文字"/>
    <w:basedOn w:val="1"/>
    <w:qFormat/>
    <w:uiPriority w:val="0"/>
    <w:pPr>
      <w:widowControl/>
      <w:adjustRightInd w:val="0"/>
      <w:spacing w:after="200" w:line="420" w:lineRule="atLeast"/>
      <w:jc w:val="left"/>
      <w:textAlignment w:val="baseline"/>
    </w:pPr>
    <w:rPr>
      <w:rFonts w:ascii="Calibri" w:hAnsi="Calibri"/>
      <w:kern w:val="0"/>
      <w:sz w:val="22"/>
      <w:szCs w:val="20"/>
    </w:rPr>
  </w:style>
  <w:style w:type="paragraph" w:customStyle="1" w:styleId="484">
    <w:name w:val="CM27"/>
    <w:basedOn w:val="1"/>
    <w:next w:val="1"/>
    <w:qFormat/>
    <w:uiPriority w:val="1"/>
    <w:pPr>
      <w:autoSpaceDE w:val="0"/>
      <w:autoSpaceDN w:val="0"/>
      <w:adjustRightInd w:val="0"/>
      <w:spacing w:after="128" w:line="240" w:lineRule="auto"/>
      <w:jc w:val="left"/>
    </w:pPr>
    <w:rPr>
      <w:rFonts w:ascii="宋体" w:cs="宋体"/>
      <w:kern w:val="0"/>
      <w:sz w:val="24"/>
    </w:rPr>
  </w:style>
  <w:style w:type="paragraph" w:customStyle="1" w:styleId="485">
    <w:name w:val="样式 日期 + 黑体 三号"/>
    <w:basedOn w:val="29"/>
    <w:qFormat/>
    <w:uiPriority w:val="0"/>
    <w:pPr>
      <w:spacing w:line="600" w:lineRule="exact"/>
      <w:ind w:left="0" w:leftChars="0"/>
    </w:pPr>
    <w:rPr>
      <w:rFonts w:ascii="黑体" w:hAnsi="黑体" w:eastAsia="黑体"/>
      <w:sz w:val="32"/>
    </w:rPr>
  </w:style>
  <w:style w:type="paragraph" w:customStyle="1" w:styleId="486">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487">
    <w:name w:val="CM97"/>
    <w:basedOn w:val="209"/>
    <w:next w:val="209"/>
    <w:qFormat/>
    <w:uiPriority w:val="1"/>
    <w:pPr>
      <w:spacing w:line="440" w:lineRule="atLeast"/>
    </w:pPr>
    <w:rPr>
      <w:rFonts w:eastAsia="宋体" w:cs="Times New Roman"/>
      <w:color w:val="auto"/>
      <w:kern w:val="0"/>
      <w:szCs w:val="24"/>
    </w:rPr>
  </w:style>
  <w:style w:type="paragraph" w:customStyle="1" w:styleId="488">
    <w:name w:val="第三行"/>
    <w:basedOn w:val="1"/>
    <w:qFormat/>
    <w:uiPriority w:val="0"/>
    <w:pPr>
      <w:spacing w:beforeLines="200"/>
      <w:jc w:val="center"/>
    </w:pPr>
    <w:rPr>
      <w:rFonts w:ascii="楷体_GB2312" w:eastAsia="楷体_GB2312"/>
      <w:b/>
      <w:bCs/>
      <w:sz w:val="48"/>
      <w:szCs w:val="48"/>
    </w:rPr>
  </w:style>
  <w:style w:type="paragraph" w:customStyle="1" w:styleId="489">
    <w:name w:val="样式 标题 1 + 黑体 三号 非加粗 居中 段前: 6 磅 段后: 6 磅 行距: 固定值 20 磅"/>
    <w:basedOn w:val="2"/>
    <w:qFormat/>
    <w:uiPriority w:val="0"/>
    <w:pPr>
      <w:keepLines/>
      <w:widowControl/>
      <w:tabs>
        <w:tab w:val="left" w:pos="432"/>
      </w:tabs>
      <w:autoSpaceDE/>
      <w:autoSpaceDN/>
      <w:adjustRightInd/>
      <w:spacing w:before="120" w:after="120" w:line="400" w:lineRule="exact"/>
    </w:pPr>
    <w:rPr>
      <w:rFonts w:ascii="黑体" w:hAnsi="黑体" w:eastAsia="黑体"/>
      <w:b w:val="0"/>
      <w:bCs w:val="0"/>
      <w:color w:val="21798E"/>
    </w:rPr>
  </w:style>
  <w:style w:type="paragraph" w:customStyle="1" w:styleId="490">
    <w:name w:val="CM99"/>
    <w:basedOn w:val="209"/>
    <w:next w:val="209"/>
    <w:qFormat/>
    <w:uiPriority w:val="1"/>
    <w:rPr>
      <w:rFonts w:eastAsia="宋体" w:cs="Times New Roman"/>
      <w:color w:val="auto"/>
      <w:kern w:val="0"/>
      <w:szCs w:val="24"/>
    </w:rPr>
  </w:style>
  <w:style w:type="paragraph" w:customStyle="1" w:styleId="491">
    <w:name w:val="样式 正文小四wg + 首行缩进:  2 字符"/>
    <w:basedOn w:val="1"/>
    <w:qFormat/>
    <w:uiPriority w:val="0"/>
    <w:pPr>
      <w:autoSpaceDE w:val="0"/>
      <w:autoSpaceDN w:val="0"/>
      <w:adjustRightInd w:val="0"/>
      <w:spacing w:line="240" w:lineRule="auto"/>
      <w:ind w:firstLine="200" w:firstLineChars="200"/>
      <w:textAlignment w:val="baseline"/>
    </w:pPr>
    <w:rPr>
      <w:rFonts w:ascii="仿宋_GB2312" w:hAnsi="宋体" w:eastAsia="仿宋_GB2312" w:cs="宋体"/>
      <w:color w:val="000000"/>
      <w:kern w:val="20"/>
      <w:sz w:val="24"/>
      <w:szCs w:val="20"/>
    </w:rPr>
  </w:style>
  <w:style w:type="paragraph" w:customStyle="1" w:styleId="492">
    <w:name w:val="样式4"/>
    <w:basedOn w:val="19"/>
    <w:qFormat/>
    <w:uiPriority w:val="0"/>
    <w:pPr>
      <w:adjustRightInd/>
      <w:spacing w:line="500" w:lineRule="exact"/>
      <w:ind w:firstLine="480" w:firstLineChars="200"/>
    </w:pPr>
    <w:rPr>
      <w:rFonts w:ascii="Times New Roman"/>
      <w:bCs w:val="0"/>
      <w:iCs w:val="0"/>
      <w:color w:val="auto"/>
      <w:kern w:val="2"/>
      <w:sz w:val="24"/>
      <w:szCs w:val="24"/>
    </w:rPr>
  </w:style>
  <w:style w:type="paragraph" w:customStyle="1" w:styleId="493">
    <w:name w:val="+列表1"/>
    <w:basedOn w:val="1"/>
    <w:qFormat/>
    <w:uiPriority w:val="1"/>
    <w:pPr>
      <w:spacing w:line="240" w:lineRule="auto"/>
      <w:jc w:val="center"/>
    </w:pPr>
  </w:style>
  <w:style w:type="paragraph" w:customStyle="1" w:styleId="494">
    <w:name w:val="CM52"/>
    <w:basedOn w:val="209"/>
    <w:next w:val="209"/>
    <w:qFormat/>
    <w:uiPriority w:val="1"/>
    <w:pPr>
      <w:spacing w:line="468" w:lineRule="atLeast"/>
    </w:pPr>
    <w:rPr>
      <w:rFonts w:eastAsia="宋体" w:cs="Times New Roman"/>
      <w:color w:val="auto"/>
      <w:kern w:val="0"/>
      <w:szCs w:val="24"/>
    </w:rPr>
  </w:style>
  <w:style w:type="paragraph" w:customStyle="1" w:styleId="495">
    <w:name w:val="CM29"/>
    <w:basedOn w:val="209"/>
    <w:next w:val="209"/>
    <w:qFormat/>
    <w:uiPriority w:val="1"/>
    <w:rPr>
      <w:rFonts w:eastAsia="宋体" w:cs="Times New Roman"/>
      <w:color w:val="auto"/>
      <w:kern w:val="0"/>
      <w:szCs w:val="24"/>
    </w:rPr>
  </w:style>
  <w:style w:type="paragraph" w:customStyle="1" w:styleId="496">
    <w:name w:val="第二行"/>
    <w:basedOn w:val="1"/>
    <w:qFormat/>
    <w:uiPriority w:val="0"/>
    <w:pPr>
      <w:spacing w:beforeLines="100"/>
      <w:jc w:val="center"/>
    </w:pPr>
    <w:rPr>
      <w:rFonts w:ascii="宋体"/>
      <w:b/>
      <w:bCs/>
      <w:sz w:val="36"/>
      <w:szCs w:val="36"/>
    </w:rPr>
  </w:style>
  <w:style w:type="paragraph" w:customStyle="1" w:styleId="497">
    <w:name w:val="Char Char"/>
    <w:basedOn w:val="1"/>
    <w:qFormat/>
    <w:uiPriority w:val="1"/>
    <w:pPr>
      <w:spacing w:line="240" w:lineRule="auto"/>
    </w:pPr>
    <w:rPr>
      <w:rFonts w:ascii="Tahoma" w:hAnsi="Tahoma"/>
      <w:sz w:val="24"/>
      <w:szCs w:val="20"/>
    </w:rPr>
  </w:style>
  <w:style w:type="paragraph" w:customStyle="1" w:styleId="498">
    <w:name w:val="CM3"/>
    <w:basedOn w:val="209"/>
    <w:next w:val="209"/>
    <w:qFormat/>
    <w:uiPriority w:val="1"/>
    <w:pPr>
      <w:spacing w:line="433" w:lineRule="atLeast"/>
    </w:pPr>
    <w:rPr>
      <w:rFonts w:eastAsia="宋体" w:cs="Times New Roman"/>
      <w:color w:val="auto"/>
      <w:kern w:val="0"/>
      <w:szCs w:val="24"/>
    </w:rPr>
  </w:style>
  <w:style w:type="paragraph" w:customStyle="1" w:styleId="499">
    <w:name w:val="CM92"/>
    <w:basedOn w:val="209"/>
    <w:next w:val="209"/>
    <w:qFormat/>
    <w:uiPriority w:val="1"/>
    <w:pPr>
      <w:spacing w:line="440" w:lineRule="atLeast"/>
    </w:pPr>
    <w:rPr>
      <w:rFonts w:eastAsia="宋体" w:cs="Times New Roman"/>
      <w:color w:val="auto"/>
      <w:kern w:val="0"/>
      <w:szCs w:val="24"/>
    </w:rPr>
  </w:style>
  <w:style w:type="paragraph" w:customStyle="1" w:styleId="500">
    <w:name w:val="+标题4"/>
    <w:basedOn w:val="5"/>
    <w:qFormat/>
    <w:uiPriority w:val="1"/>
    <w:pPr>
      <w:tabs>
        <w:tab w:val="left" w:pos="1680"/>
      </w:tabs>
      <w:spacing w:before="120" w:after="120"/>
      <w:ind w:left="1680" w:hanging="420"/>
      <w:jc w:val="both"/>
    </w:pPr>
  </w:style>
  <w:style w:type="paragraph" w:customStyle="1" w:styleId="501">
    <w:name w:val="样式 正文文本缩进 + 首行缩进:  2 字符"/>
    <w:basedOn w:val="21"/>
    <w:qFormat/>
    <w:uiPriority w:val="0"/>
    <w:pPr>
      <w:tabs>
        <w:tab w:val="left" w:pos="9016"/>
      </w:tabs>
      <w:spacing w:line="500" w:lineRule="exact"/>
      <w:ind w:firstLine="480" w:firstLineChars="200"/>
    </w:pPr>
    <w:rPr>
      <w:rFonts w:ascii="Times New Roman" w:eastAsia="宋体" w:cs="宋体"/>
      <w:kern w:val="0"/>
      <w:sz w:val="24"/>
    </w:rPr>
  </w:style>
  <w:style w:type="paragraph" w:customStyle="1" w:styleId="502">
    <w:name w:val="Char11"/>
    <w:basedOn w:val="1"/>
    <w:qFormat/>
    <w:uiPriority w:val="1"/>
    <w:pPr>
      <w:spacing w:line="240" w:lineRule="auto"/>
    </w:pPr>
  </w:style>
  <w:style w:type="paragraph" w:customStyle="1" w:styleId="503">
    <w:name w:val="样式7"/>
    <w:basedOn w:val="437"/>
    <w:qFormat/>
    <w:uiPriority w:val="0"/>
  </w:style>
  <w:style w:type="paragraph" w:customStyle="1" w:styleId="504">
    <w:name w:val="样式 样式 样式 第四行 + 左侧:  -4 字符 段前: 2 行 + 左侧:  -3 字符 段前: 2 行 + 左侧:  -2..."/>
    <w:basedOn w:val="421"/>
    <w:qFormat/>
    <w:uiPriority w:val="0"/>
    <w:pPr>
      <w:ind w:left="0" w:leftChars="0"/>
    </w:pPr>
  </w:style>
  <w:style w:type="paragraph" w:customStyle="1" w:styleId="505">
    <w:name w:val="6'"/>
    <w:basedOn w:val="1"/>
    <w:qFormat/>
    <w:uiPriority w:val="0"/>
    <w:pPr>
      <w:widowControl/>
      <w:autoSpaceDE w:val="0"/>
      <w:autoSpaceDN w:val="0"/>
      <w:adjustRightInd w:val="0"/>
      <w:snapToGrid w:val="0"/>
      <w:spacing w:after="200" w:line="320" w:lineRule="exact"/>
      <w:jc w:val="center"/>
      <w:textAlignment w:val="baseline"/>
    </w:pPr>
    <w:rPr>
      <w:rFonts w:ascii="Calibri" w:hAnsi="Calibri"/>
      <w:spacing w:val="20"/>
      <w:kern w:val="28"/>
      <w:sz w:val="22"/>
      <w:szCs w:val="20"/>
    </w:rPr>
  </w:style>
  <w:style w:type="paragraph" w:customStyle="1" w:styleId="506">
    <w:name w:val="CM24"/>
    <w:basedOn w:val="209"/>
    <w:next w:val="209"/>
    <w:qFormat/>
    <w:uiPriority w:val="1"/>
    <w:pPr>
      <w:spacing w:line="400" w:lineRule="atLeast"/>
    </w:pPr>
    <w:rPr>
      <w:rFonts w:eastAsia="宋体" w:cs="Times New Roman"/>
      <w:color w:val="auto"/>
      <w:kern w:val="0"/>
      <w:szCs w:val="24"/>
    </w:rPr>
  </w:style>
  <w:style w:type="paragraph" w:customStyle="1" w:styleId="507">
    <w:name w:val="CM96"/>
    <w:basedOn w:val="209"/>
    <w:next w:val="209"/>
    <w:qFormat/>
    <w:uiPriority w:val="1"/>
    <w:pPr>
      <w:spacing w:line="626" w:lineRule="atLeast"/>
    </w:pPr>
    <w:rPr>
      <w:rFonts w:eastAsia="宋体" w:cs="Times New Roman"/>
      <w:color w:val="auto"/>
      <w:kern w:val="0"/>
      <w:szCs w:val="24"/>
    </w:rPr>
  </w:style>
  <w:style w:type="paragraph" w:customStyle="1" w:styleId="508">
    <w:name w:val="CM66"/>
    <w:basedOn w:val="209"/>
    <w:next w:val="209"/>
    <w:qFormat/>
    <w:uiPriority w:val="1"/>
    <w:rPr>
      <w:rFonts w:eastAsia="宋体" w:cs="Times New Roman"/>
      <w:color w:val="auto"/>
      <w:kern w:val="0"/>
      <w:szCs w:val="24"/>
    </w:rPr>
  </w:style>
  <w:style w:type="paragraph" w:customStyle="1" w:styleId="509">
    <w:name w:val="CM89"/>
    <w:basedOn w:val="209"/>
    <w:next w:val="209"/>
    <w:qFormat/>
    <w:uiPriority w:val="1"/>
    <w:pPr>
      <w:spacing w:line="440" w:lineRule="atLeast"/>
    </w:pPr>
    <w:rPr>
      <w:rFonts w:eastAsia="宋体" w:cs="Times New Roman"/>
      <w:color w:val="auto"/>
      <w:kern w:val="0"/>
      <w:szCs w:val="24"/>
    </w:rPr>
  </w:style>
  <w:style w:type="paragraph" w:customStyle="1" w:styleId="510">
    <w:name w:val="CM16"/>
    <w:basedOn w:val="209"/>
    <w:next w:val="209"/>
    <w:qFormat/>
    <w:uiPriority w:val="1"/>
    <w:pPr>
      <w:spacing w:line="440" w:lineRule="atLeast"/>
    </w:pPr>
    <w:rPr>
      <w:rFonts w:eastAsia="宋体" w:cs="Times New Roman"/>
      <w:color w:val="auto"/>
      <w:kern w:val="0"/>
      <w:szCs w:val="24"/>
    </w:rPr>
  </w:style>
  <w:style w:type="paragraph" w:customStyle="1" w:styleId="511">
    <w:name w:val="样式 WG标题3居中 + 行距: 固定值 18 磅"/>
    <w:basedOn w:val="512"/>
    <w:qFormat/>
    <w:uiPriority w:val="0"/>
    <w:pPr>
      <w:spacing w:line="360" w:lineRule="exact"/>
      <w:outlineLvl w:val="2"/>
    </w:pPr>
    <w:rPr>
      <w:bCs/>
    </w:rPr>
  </w:style>
  <w:style w:type="paragraph" w:customStyle="1" w:styleId="512">
    <w:name w:val="WG标题4居中"/>
    <w:basedOn w:val="1"/>
    <w:qFormat/>
    <w:uiPriority w:val="1"/>
    <w:pPr>
      <w:spacing w:before="100" w:beforeAutospacing="1" w:after="100" w:afterAutospacing="1" w:line="240" w:lineRule="auto"/>
      <w:jc w:val="center"/>
      <w:outlineLvl w:val="3"/>
    </w:pPr>
    <w:rPr>
      <w:rFonts w:cs="宋体"/>
      <w:b/>
      <w:sz w:val="32"/>
      <w:szCs w:val="20"/>
    </w:rPr>
  </w:style>
  <w:style w:type="paragraph" w:customStyle="1" w:styleId="513">
    <w:name w:val="Char3"/>
    <w:basedOn w:val="1"/>
    <w:qFormat/>
    <w:uiPriority w:val="0"/>
    <w:pPr>
      <w:spacing w:line="240" w:lineRule="auto"/>
      <w:ind w:left="432" w:hanging="432"/>
    </w:pPr>
    <w:rPr>
      <w:sz w:val="24"/>
    </w:rPr>
  </w:style>
  <w:style w:type="paragraph" w:customStyle="1" w:styleId="514">
    <w:name w:val="CM2"/>
    <w:basedOn w:val="209"/>
    <w:next w:val="209"/>
    <w:qFormat/>
    <w:uiPriority w:val="1"/>
    <w:pPr>
      <w:spacing w:line="500" w:lineRule="atLeast"/>
    </w:pPr>
    <w:rPr>
      <w:rFonts w:eastAsia="宋体" w:cs="Times New Roman"/>
      <w:color w:val="auto"/>
      <w:kern w:val="0"/>
      <w:szCs w:val="24"/>
    </w:rPr>
  </w:style>
  <w:style w:type="paragraph" w:customStyle="1" w:styleId="515">
    <w:name w:val="+标题3"/>
    <w:basedOn w:val="4"/>
    <w:qFormat/>
    <w:uiPriority w:val="1"/>
    <w:pPr>
      <w:tabs>
        <w:tab w:val="left" w:pos="1260"/>
        <w:tab w:val="left" w:pos="2160"/>
        <w:tab w:val="clear" w:pos="360"/>
      </w:tabs>
      <w:spacing w:before="120" w:after="120"/>
      <w:ind w:left="1260" w:hanging="420"/>
      <w:jc w:val="both"/>
    </w:pPr>
    <w:rPr>
      <w:sz w:val="21"/>
      <w:szCs w:val="28"/>
    </w:rPr>
  </w:style>
  <w:style w:type="paragraph" w:customStyle="1" w:styleId="516">
    <w:name w:val="CM109"/>
    <w:basedOn w:val="209"/>
    <w:next w:val="209"/>
    <w:qFormat/>
    <w:uiPriority w:val="1"/>
    <w:rPr>
      <w:rFonts w:eastAsia="宋体" w:cs="Times New Roman"/>
      <w:color w:val="auto"/>
      <w:kern w:val="0"/>
      <w:szCs w:val="24"/>
    </w:rPr>
  </w:style>
  <w:style w:type="paragraph" w:customStyle="1" w:styleId="517">
    <w:name w:val="抬头"/>
    <w:basedOn w:val="1"/>
    <w:qFormat/>
    <w:uiPriority w:val="0"/>
    <w:rPr>
      <w:rFonts w:ascii="宋体"/>
      <w:szCs w:val="21"/>
    </w:rPr>
  </w:style>
  <w:style w:type="paragraph" w:customStyle="1" w:styleId="518">
    <w:name w:val="CM116"/>
    <w:basedOn w:val="209"/>
    <w:next w:val="209"/>
    <w:qFormat/>
    <w:uiPriority w:val="1"/>
    <w:rPr>
      <w:rFonts w:eastAsia="宋体" w:cs="Times New Roman"/>
      <w:color w:val="auto"/>
      <w:kern w:val="0"/>
      <w:szCs w:val="24"/>
    </w:rPr>
  </w:style>
  <w:style w:type="paragraph" w:customStyle="1" w:styleId="519">
    <w:name w:val="1级标题（第一章）"/>
    <w:basedOn w:val="1"/>
    <w:qFormat/>
    <w:locked/>
    <w:uiPriority w:val="1"/>
    <w:pPr>
      <w:spacing w:beforeLines="50" w:afterLines="50" w:line="240" w:lineRule="auto"/>
      <w:jc w:val="center"/>
      <w:outlineLvl w:val="0"/>
    </w:pPr>
    <w:rPr>
      <w:rFonts w:ascii="黑体" w:hAnsi="宋体" w:eastAsia="黑体"/>
      <w:sz w:val="32"/>
      <w:szCs w:val="32"/>
    </w:rPr>
  </w:style>
  <w:style w:type="paragraph" w:customStyle="1" w:styleId="520">
    <w:name w:val="普通 (Web)"/>
    <w:basedOn w:val="1"/>
    <w:qFormat/>
    <w:uiPriority w:val="0"/>
    <w:pPr>
      <w:widowControl/>
      <w:spacing w:before="100" w:beforeAutospacing="1" w:after="100" w:afterAutospacing="1" w:line="240" w:lineRule="auto"/>
      <w:jc w:val="left"/>
    </w:pPr>
    <w:rPr>
      <w:rFonts w:ascii="宋体" w:hAnsi="宋体"/>
      <w:kern w:val="0"/>
      <w:sz w:val="24"/>
    </w:rPr>
  </w:style>
  <w:style w:type="paragraph" w:customStyle="1" w:styleId="521">
    <w:name w:val="表头小四wg"/>
    <w:basedOn w:val="1"/>
    <w:qFormat/>
    <w:uiPriority w:val="0"/>
    <w:pPr>
      <w:tabs>
        <w:tab w:val="left" w:pos="5669"/>
      </w:tabs>
      <w:snapToGrid w:val="0"/>
      <w:spacing w:line="240" w:lineRule="auto"/>
      <w:jc w:val="center"/>
    </w:pPr>
    <w:rPr>
      <w:rFonts w:ascii="仿宋_GB2312" w:hAnsi="宋体" w:eastAsia="仿宋_GB2312"/>
      <w:b/>
      <w:bCs/>
      <w:sz w:val="24"/>
      <w:szCs w:val="28"/>
    </w:rPr>
  </w:style>
  <w:style w:type="paragraph" w:customStyle="1" w:styleId="522">
    <w:name w:val="CM11"/>
    <w:basedOn w:val="209"/>
    <w:next w:val="209"/>
    <w:qFormat/>
    <w:uiPriority w:val="1"/>
    <w:pPr>
      <w:spacing w:line="403" w:lineRule="atLeast"/>
    </w:pPr>
    <w:rPr>
      <w:rFonts w:eastAsia="宋体" w:cs="Times New Roman"/>
      <w:color w:val="auto"/>
      <w:kern w:val="0"/>
      <w:szCs w:val="24"/>
    </w:rPr>
  </w:style>
  <w:style w:type="paragraph" w:customStyle="1" w:styleId="523">
    <w:name w:val="CM6"/>
    <w:basedOn w:val="209"/>
    <w:next w:val="209"/>
    <w:qFormat/>
    <w:uiPriority w:val="1"/>
    <w:pPr>
      <w:spacing w:line="313" w:lineRule="atLeast"/>
    </w:pPr>
    <w:rPr>
      <w:rFonts w:eastAsia="宋体" w:cs="Times New Roman"/>
      <w:color w:val="auto"/>
      <w:kern w:val="0"/>
      <w:szCs w:val="24"/>
    </w:rPr>
  </w:style>
  <w:style w:type="paragraph" w:customStyle="1" w:styleId="524">
    <w:name w:val="CM113"/>
    <w:basedOn w:val="209"/>
    <w:next w:val="209"/>
    <w:qFormat/>
    <w:uiPriority w:val="1"/>
    <w:rPr>
      <w:rFonts w:eastAsia="宋体" w:cs="Times New Roman"/>
      <w:color w:val="auto"/>
      <w:kern w:val="0"/>
      <w:szCs w:val="24"/>
    </w:rPr>
  </w:style>
  <w:style w:type="paragraph" w:customStyle="1" w:styleId="525">
    <w:name w:val="样式 样式 样式5 + 首行缩进:  2 字符 + 首行缩进:  2 字符 段前: 0.8 行 段后: 0.6 行"/>
    <w:basedOn w:val="400"/>
    <w:qFormat/>
    <w:uiPriority w:val="0"/>
    <w:pPr>
      <w:spacing w:beforeLines="0" w:afterLines="0"/>
      <w:ind w:firstLine="0" w:firstLineChars="0"/>
    </w:pPr>
    <w:rPr>
      <w:rFonts w:ascii="仿宋_GB2312" w:hAnsi="仿宋" w:eastAsia="仿宋_GB2312"/>
      <w:b w:val="0"/>
      <w:sz w:val="20"/>
      <w:szCs w:val="20"/>
    </w:rPr>
  </w:style>
  <w:style w:type="paragraph" w:customStyle="1" w:styleId="526">
    <w:name w:val="样式1-标题1"/>
    <w:basedOn w:val="1"/>
    <w:next w:val="1"/>
    <w:qFormat/>
    <w:uiPriority w:val="0"/>
    <w:pPr>
      <w:spacing w:beforeLines="100" w:afterLines="100" w:line="240" w:lineRule="auto"/>
      <w:jc w:val="center"/>
      <w:outlineLvl w:val="0"/>
    </w:pPr>
    <w:rPr>
      <w:rFonts w:ascii="华文中宋" w:hAnsi="华文中宋" w:eastAsia="华文中宋"/>
      <w:b/>
      <w:sz w:val="36"/>
    </w:rPr>
  </w:style>
  <w:style w:type="paragraph" w:customStyle="1" w:styleId="527">
    <w:name w:val="3"/>
    <w:basedOn w:val="1"/>
    <w:next w:val="46"/>
    <w:qFormat/>
    <w:uiPriority w:val="1"/>
    <w:pPr>
      <w:spacing w:line="240" w:lineRule="auto"/>
    </w:pPr>
    <w:rPr>
      <w:rFonts w:eastAsia="黑体"/>
      <w:sz w:val="30"/>
      <w:szCs w:val="20"/>
    </w:rPr>
  </w:style>
  <w:style w:type="paragraph" w:customStyle="1" w:styleId="528">
    <w:name w:val="CM108"/>
    <w:basedOn w:val="209"/>
    <w:next w:val="209"/>
    <w:qFormat/>
    <w:uiPriority w:val="1"/>
    <w:rPr>
      <w:rFonts w:eastAsia="宋体" w:cs="Times New Roman"/>
      <w:color w:val="auto"/>
      <w:kern w:val="0"/>
      <w:szCs w:val="24"/>
    </w:rPr>
  </w:style>
  <w:style w:type="paragraph" w:customStyle="1" w:styleId="529">
    <w:name w:val="CM112"/>
    <w:basedOn w:val="209"/>
    <w:next w:val="209"/>
    <w:qFormat/>
    <w:uiPriority w:val="1"/>
    <w:rPr>
      <w:rFonts w:eastAsia="宋体" w:cs="Times New Roman"/>
      <w:color w:val="auto"/>
      <w:kern w:val="0"/>
      <w:szCs w:val="24"/>
    </w:rPr>
  </w:style>
  <w:style w:type="paragraph" w:customStyle="1" w:styleId="530">
    <w:name w:val="CM44"/>
    <w:basedOn w:val="209"/>
    <w:next w:val="209"/>
    <w:qFormat/>
    <w:uiPriority w:val="1"/>
    <w:rPr>
      <w:rFonts w:eastAsia="宋体" w:cs="Times New Roman"/>
      <w:color w:val="auto"/>
      <w:kern w:val="0"/>
      <w:szCs w:val="24"/>
    </w:rPr>
  </w:style>
  <w:style w:type="paragraph" w:customStyle="1" w:styleId="531">
    <w:name w:val="CM54"/>
    <w:basedOn w:val="209"/>
    <w:next w:val="209"/>
    <w:qFormat/>
    <w:uiPriority w:val="1"/>
    <w:pPr>
      <w:spacing w:line="468" w:lineRule="atLeast"/>
    </w:pPr>
    <w:rPr>
      <w:rFonts w:eastAsia="宋体" w:cs="Times New Roman"/>
      <w:color w:val="auto"/>
      <w:kern w:val="0"/>
      <w:szCs w:val="24"/>
    </w:rPr>
  </w:style>
  <w:style w:type="paragraph" w:customStyle="1" w:styleId="532">
    <w:name w:val="样式 表格内容 + 居中"/>
    <w:basedOn w:val="437"/>
    <w:qFormat/>
    <w:uiPriority w:val="0"/>
    <w:rPr>
      <w:rFonts w:cs="宋体"/>
    </w:rPr>
  </w:style>
  <w:style w:type="paragraph" w:customStyle="1" w:styleId="533">
    <w:name w:val="+标题2"/>
    <w:basedOn w:val="3"/>
    <w:qFormat/>
    <w:uiPriority w:val="1"/>
    <w:pPr>
      <w:tabs>
        <w:tab w:val="left" w:pos="840"/>
      </w:tabs>
      <w:spacing w:before="120" w:after="120"/>
      <w:ind w:left="840" w:hanging="420"/>
      <w:jc w:val="both"/>
    </w:pPr>
    <w:rPr>
      <w:sz w:val="24"/>
      <w:szCs w:val="28"/>
    </w:rPr>
  </w:style>
  <w:style w:type="paragraph" w:customStyle="1" w:styleId="534">
    <w:name w:val="目录"/>
    <w:basedOn w:val="1"/>
    <w:qFormat/>
    <w:uiPriority w:val="0"/>
    <w:pPr>
      <w:widowControl/>
      <w:spacing w:line="240" w:lineRule="auto"/>
      <w:jc w:val="center"/>
    </w:pPr>
    <w:rPr>
      <w:rFonts w:ascii="宋体"/>
      <w:b/>
      <w:kern w:val="0"/>
      <w:sz w:val="36"/>
      <w:szCs w:val="20"/>
    </w:rPr>
  </w:style>
  <w:style w:type="paragraph" w:customStyle="1" w:styleId="535">
    <w:name w:val="样式 WG标题2 + Times New Roman 行距: 固定值 18 磅"/>
    <w:basedOn w:val="1"/>
    <w:qFormat/>
    <w:uiPriority w:val="0"/>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536">
    <w:name w:val="scc"/>
    <w:basedOn w:val="1"/>
    <w:qFormat/>
    <w:uiPriority w:val="1"/>
    <w:pPr>
      <w:adjustRightInd w:val="0"/>
      <w:spacing w:line="400" w:lineRule="atLeast"/>
      <w:jc w:val="center"/>
      <w:textAlignment w:val="baseline"/>
    </w:pPr>
    <w:rPr>
      <w:rFonts w:eastAsia="楷体_GB2312"/>
      <w:b/>
      <w:kern w:val="0"/>
      <w:sz w:val="24"/>
      <w:szCs w:val="20"/>
    </w:rPr>
  </w:style>
  <w:style w:type="paragraph" w:customStyle="1" w:styleId="537">
    <w:name w:val="正文21"/>
    <w:basedOn w:val="1"/>
    <w:qFormat/>
    <w:uiPriority w:val="0"/>
    <w:pPr>
      <w:ind w:right="200" w:rightChars="200"/>
      <w:jc w:val="right"/>
    </w:pPr>
    <w:rPr>
      <w:rFonts w:ascii="宋体"/>
      <w:szCs w:val="21"/>
    </w:rPr>
  </w:style>
  <w:style w:type="paragraph" w:customStyle="1" w:styleId="538">
    <w:name w:val="CM9"/>
    <w:basedOn w:val="209"/>
    <w:next w:val="209"/>
    <w:qFormat/>
    <w:uiPriority w:val="1"/>
    <w:pPr>
      <w:spacing w:line="400" w:lineRule="atLeast"/>
    </w:pPr>
    <w:rPr>
      <w:rFonts w:eastAsia="宋体" w:cs="Times New Roman"/>
      <w:color w:val="auto"/>
      <w:kern w:val="0"/>
      <w:szCs w:val="24"/>
    </w:rPr>
  </w:style>
  <w:style w:type="paragraph" w:customStyle="1" w:styleId="539">
    <w:name w:val="CM21"/>
    <w:basedOn w:val="209"/>
    <w:next w:val="209"/>
    <w:qFormat/>
    <w:uiPriority w:val="1"/>
    <w:pPr>
      <w:spacing w:line="400" w:lineRule="atLeast"/>
    </w:pPr>
    <w:rPr>
      <w:rFonts w:eastAsia="宋体" w:cs="Times New Roman"/>
      <w:color w:val="auto"/>
      <w:kern w:val="0"/>
      <w:szCs w:val="24"/>
    </w:rPr>
  </w:style>
  <w:style w:type="paragraph" w:customStyle="1" w:styleId="540">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eastAsia="黑体" w:cs="宋体"/>
      <w:bCs w:val="0"/>
      <w:spacing w:val="4"/>
      <w:kern w:val="0"/>
      <w:szCs w:val="28"/>
    </w:rPr>
  </w:style>
  <w:style w:type="paragraph" w:customStyle="1" w:styleId="541">
    <w:name w:val="CM1"/>
    <w:basedOn w:val="209"/>
    <w:next w:val="209"/>
    <w:qFormat/>
    <w:uiPriority w:val="1"/>
    <w:rPr>
      <w:rFonts w:eastAsia="宋体" w:cs="Times New Roman"/>
      <w:color w:val="auto"/>
      <w:kern w:val="0"/>
      <w:szCs w:val="24"/>
    </w:rPr>
  </w:style>
  <w:style w:type="paragraph" w:customStyle="1" w:styleId="542">
    <w:name w:val="横表格"/>
    <w:basedOn w:val="456"/>
    <w:qFormat/>
    <w:uiPriority w:val="0"/>
    <w:pPr>
      <w:spacing w:beforeLines="0" w:line="240" w:lineRule="auto"/>
    </w:pPr>
    <w:rPr>
      <w:b w:val="0"/>
    </w:rPr>
  </w:style>
  <w:style w:type="paragraph" w:customStyle="1" w:styleId="543">
    <w:name w:val="CM114"/>
    <w:basedOn w:val="209"/>
    <w:next w:val="209"/>
    <w:qFormat/>
    <w:uiPriority w:val="1"/>
    <w:rPr>
      <w:rFonts w:eastAsia="宋体" w:cs="Times New Roman"/>
      <w:color w:val="auto"/>
      <w:kern w:val="0"/>
      <w:szCs w:val="24"/>
    </w:rPr>
  </w:style>
  <w:style w:type="paragraph" w:customStyle="1" w:styleId="544">
    <w:name w:val="WG标题2"/>
    <w:basedOn w:val="491"/>
    <w:qFormat/>
    <w:uiPriority w:val="1"/>
    <w:pPr>
      <w:spacing w:before="60" w:after="60" w:line="360" w:lineRule="exact"/>
      <w:ind w:firstLine="0" w:firstLineChars="0"/>
      <w:outlineLvl w:val="1"/>
    </w:pPr>
    <w:rPr>
      <w:rFonts w:ascii="Times New Roman" w:hAnsi="Times New Roman" w:eastAsia="黑体"/>
      <w:sz w:val="28"/>
    </w:rPr>
  </w:style>
  <w:style w:type="paragraph" w:customStyle="1" w:styleId="545">
    <w:name w:val="Char Char Char Char Char Char Char Char Char"/>
    <w:basedOn w:val="1"/>
    <w:qFormat/>
    <w:uiPriority w:val="0"/>
    <w:pPr>
      <w:widowControl/>
      <w:spacing w:after="160" w:line="240" w:lineRule="exact"/>
      <w:ind w:firstLine="200" w:firstLineChars="200"/>
      <w:jc w:val="left"/>
    </w:pPr>
    <w:rPr>
      <w:rFonts w:ascii="仿宋_GB2312" w:eastAsia="仿宋_GB2312"/>
      <w:sz w:val="32"/>
      <w:szCs w:val="20"/>
    </w:rPr>
  </w:style>
  <w:style w:type="paragraph" w:customStyle="1" w:styleId="546">
    <w:name w:val="纯文本11"/>
    <w:basedOn w:val="1"/>
    <w:qFormat/>
    <w:uiPriority w:val="0"/>
    <w:pPr>
      <w:adjustRightInd w:val="0"/>
      <w:spacing w:line="240" w:lineRule="auto"/>
      <w:jc w:val="left"/>
      <w:textAlignment w:val="baseline"/>
    </w:pPr>
    <w:rPr>
      <w:rFonts w:ascii="宋体" w:hAnsi="Courier New"/>
      <w:sz w:val="24"/>
      <w:szCs w:val="20"/>
    </w:rPr>
  </w:style>
  <w:style w:type="paragraph" w:customStyle="1" w:styleId="547">
    <w:name w:val="Char Char Char Char Char Char Char Char Char11"/>
    <w:basedOn w:val="1"/>
    <w:qFormat/>
    <w:uiPriority w:val="1"/>
    <w:pPr>
      <w:spacing w:line="240" w:lineRule="auto"/>
    </w:pPr>
    <w:rPr>
      <w:rFonts w:ascii="Tahoma" w:hAnsi="Tahoma"/>
      <w:sz w:val="24"/>
      <w:szCs w:val="20"/>
    </w:rPr>
  </w:style>
  <w:style w:type="paragraph" w:customStyle="1" w:styleId="548">
    <w:name w:val="正文3"/>
    <w:qFormat/>
    <w:uiPriority w:val="0"/>
    <w:pPr>
      <w:widowControl w:val="0"/>
      <w:adjustRightInd w:val="0"/>
      <w:spacing w:line="312" w:lineRule="atLeast"/>
      <w:jc w:val="both"/>
    </w:pPr>
    <w:rPr>
      <w:rFonts w:ascii="Times New Roman" w:hAnsi="Times New Roman" w:eastAsia="宋体" w:cs="Times New Roman"/>
      <w:sz w:val="24"/>
      <w:lang w:val="en-US" w:eastAsia="zh-CN" w:bidi="ar-SA"/>
    </w:rPr>
  </w:style>
  <w:style w:type="paragraph" w:customStyle="1" w:styleId="549">
    <w:name w:val="p16"/>
    <w:basedOn w:val="1"/>
    <w:qFormat/>
    <w:uiPriority w:val="1"/>
    <w:pPr>
      <w:widowControl/>
      <w:spacing w:line="240" w:lineRule="auto"/>
      <w:jc w:val="left"/>
    </w:pPr>
    <w:rPr>
      <w:kern w:val="0"/>
      <w:sz w:val="20"/>
      <w:szCs w:val="21"/>
    </w:rPr>
  </w:style>
  <w:style w:type="character" w:customStyle="1" w:styleId="550">
    <w:name w:val="批注文字 字符1"/>
    <w:qFormat/>
    <w:uiPriority w:val="0"/>
    <w:rPr>
      <w:rFonts w:ascii="宋体" w:hAnsi="宋体" w:eastAsia="宋体"/>
      <w:sz w:val="24"/>
      <w:lang w:val="en-US" w:eastAsia="zh-CN" w:bidi="ar-SA"/>
    </w:rPr>
  </w:style>
  <w:style w:type="character" w:customStyle="1" w:styleId="551">
    <w:name w:val="标题 1 字符1"/>
    <w:qFormat/>
    <w:locked/>
    <w:uiPriority w:val="1"/>
    <w:rPr>
      <w:rFonts w:ascii="黑体" w:hAnsi="宋体" w:eastAsia="黑体"/>
      <w:sz w:val="52"/>
    </w:rPr>
  </w:style>
  <w:style w:type="character" w:customStyle="1" w:styleId="552">
    <w:name w:val="正文缩进 Char2"/>
    <w:qFormat/>
    <w:uiPriority w:val="99"/>
    <w:rPr>
      <w:rFonts w:ascii="Times New Roman" w:hAnsi="Times New Roman" w:eastAsia="宋体" w:cs="Times New Roman"/>
    </w:rPr>
  </w:style>
  <w:style w:type="character" w:customStyle="1" w:styleId="553">
    <w:name w:val="纯文本 字符2"/>
    <w:qFormat/>
    <w:uiPriority w:val="0"/>
    <w:rPr>
      <w:rFonts w:ascii="宋体" w:eastAsia="宋体"/>
      <w:kern w:val="2"/>
      <w:sz w:val="21"/>
      <w:lang w:val="en-US" w:eastAsia="zh-CN" w:bidi="ar-SA"/>
    </w:rPr>
  </w:style>
  <w:style w:type="character" w:customStyle="1" w:styleId="554">
    <w:name w:val="标题 3 字符1"/>
    <w:qFormat/>
    <w:uiPriority w:val="1"/>
    <w:rPr>
      <w:sz w:val="32"/>
    </w:rPr>
  </w:style>
  <w:style w:type="character" w:customStyle="1" w:styleId="555">
    <w:name w:val="正文缩进 字符1"/>
    <w:qFormat/>
    <w:uiPriority w:val="0"/>
    <w:rPr>
      <w:rFonts w:eastAsia="宋体"/>
      <w:lang w:val="en-US" w:eastAsia="zh-CN" w:bidi="ar-SA"/>
    </w:rPr>
  </w:style>
  <w:style w:type="character" w:customStyle="1" w:styleId="556">
    <w:name w:val="标题 4 字符1"/>
    <w:qFormat/>
    <w:uiPriority w:val="1"/>
    <w:rPr>
      <w:rFonts w:ascii="Arial" w:hAnsi="Arial" w:eastAsia="黑体"/>
      <w:b/>
      <w:bCs/>
      <w:sz w:val="28"/>
      <w:szCs w:val="28"/>
    </w:rPr>
  </w:style>
  <w:style w:type="character" w:customStyle="1" w:styleId="557">
    <w:name w:val="标题 5 字符1"/>
    <w:qFormat/>
    <w:uiPriority w:val="1"/>
    <w:rPr>
      <w:b/>
      <w:bCs/>
      <w:sz w:val="28"/>
      <w:szCs w:val="28"/>
    </w:rPr>
  </w:style>
  <w:style w:type="character" w:customStyle="1" w:styleId="558">
    <w:name w:val="标题 6 字符1"/>
    <w:qFormat/>
    <w:uiPriority w:val="1"/>
    <w:rPr>
      <w:rFonts w:ascii="Arial" w:hAnsi="Arial" w:eastAsia="黑体"/>
      <w:b/>
      <w:bCs/>
      <w:sz w:val="24"/>
      <w:szCs w:val="24"/>
    </w:rPr>
  </w:style>
  <w:style w:type="character" w:customStyle="1" w:styleId="559">
    <w:name w:val="标题 7 字符1"/>
    <w:qFormat/>
    <w:uiPriority w:val="1"/>
    <w:rPr>
      <w:b/>
      <w:bCs/>
      <w:sz w:val="24"/>
      <w:szCs w:val="24"/>
    </w:rPr>
  </w:style>
  <w:style w:type="character" w:customStyle="1" w:styleId="560">
    <w:name w:val="标题 8 字符1"/>
    <w:qFormat/>
    <w:uiPriority w:val="1"/>
    <w:rPr>
      <w:rFonts w:ascii="Arial" w:hAnsi="Arial" w:eastAsia="黑体"/>
      <w:sz w:val="24"/>
      <w:szCs w:val="24"/>
    </w:rPr>
  </w:style>
  <w:style w:type="character" w:customStyle="1" w:styleId="561">
    <w:name w:val="标题 9 字符1"/>
    <w:qFormat/>
    <w:uiPriority w:val="1"/>
    <w:rPr>
      <w:rFonts w:ascii="Arial" w:hAnsi="Arial" w:eastAsia="黑体"/>
      <w:sz w:val="21"/>
      <w:szCs w:val="21"/>
    </w:rPr>
  </w:style>
  <w:style w:type="character" w:customStyle="1" w:styleId="562">
    <w:name w:val="文档结构图 字符1"/>
    <w:qFormat/>
    <w:uiPriority w:val="99"/>
    <w:rPr>
      <w:sz w:val="24"/>
      <w:shd w:val="clear" w:color="auto" w:fill="000080"/>
    </w:rPr>
  </w:style>
  <w:style w:type="character" w:customStyle="1" w:styleId="563">
    <w:name w:val="正文文本 字符1"/>
    <w:qFormat/>
    <w:uiPriority w:val="99"/>
  </w:style>
  <w:style w:type="character" w:customStyle="1" w:styleId="564">
    <w:name w:val="纯文本 字符1"/>
    <w:qFormat/>
    <w:uiPriority w:val="99"/>
    <w:rPr>
      <w:rFonts w:ascii="宋体" w:hAnsi="Courier New" w:eastAsia="宋体"/>
      <w:kern w:val="2"/>
      <w:sz w:val="21"/>
      <w:lang w:val="en-US" w:eastAsia="zh-CN" w:bidi="ar-SA"/>
    </w:rPr>
  </w:style>
  <w:style w:type="character" w:customStyle="1" w:styleId="565">
    <w:name w:val="日期 字符1"/>
    <w:qFormat/>
    <w:uiPriority w:val="99"/>
    <w:rPr>
      <w:kern w:val="2"/>
      <w:sz w:val="24"/>
    </w:rPr>
  </w:style>
  <w:style w:type="character" w:customStyle="1" w:styleId="566">
    <w:name w:val="页脚 字符1"/>
    <w:qFormat/>
    <w:uiPriority w:val="99"/>
    <w:rPr>
      <w:rFonts w:ascii="宋体" w:hAnsi="宋体" w:cs="宋体"/>
      <w:sz w:val="18"/>
      <w:szCs w:val="18"/>
      <w:shd w:val="clear" w:color="auto" w:fill="FFFFFF"/>
    </w:rPr>
  </w:style>
  <w:style w:type="character" w:customStyle="1" w:styleId="567">
    <w:name w:val="页眉 字符1"/>
    <w:qFormat/>
    <w:uiPriority w:val="99"/>
    <w:rPr>
      <w:sz w:val="18"/>
      <w:szCs w:val="18"/>
    </w:rPr>
  </w:style>
  <w:style w:type="character" w:customStyle="1" w:styleId="568">
    <w:name w:val="副标题 字符1"/>
    <w:qFormat/>
    <w:uiPriority w:val="11"/>
    <w:rPr>
      <w:rFonts w:ascii="Cambria"/>
      <w:b/>
      <w:kern w:val="28"/>
      <w:sz w:val="32"/>
    </w:rPr>
  </w:style>
  <w:style w:type="character" w:customStyle="1" w:styleId="569">
    <w:name w:val="标题 字符1"/>
    <w:qFormat/>
    <w:uiPriority w:val="10"/>
    <w:rPr>
      <w:rFonts w:ascii="Cambria"/>
      <w:b/>
      <w:kern w:val="2"/>
      <w:sz w:val="32"/>
    </w:rPr>
  </w:style>
  <w:style w:type="character" w:customStyle="1" w:styleId="570">
    <w:name w:val="Char Char21"/>
    <w:link w:val="571"/>
    <w:qFormat/>
    <w:uiPriority w:val="0"/>
    <w:rPr>
      <w:rFonts w:ascii="宋体"/>
      <w:sz w:val="18"/>
    </w:rPr>
  </w:style>
  <w:style w:type="paragraph" w:customStyle="1" w:styleId="571">
    <w:name w:val="批注框文本1"/>
    <w:basedOn w:val="1"/>
    <w:link w:val="570"/>
    <w:qFormat/>
    <w:uiPriority w:val="1"/>
    <w:pPr>
      <w:spacing w:line="240" w:lineRule="auto"/>
    </w:pPr>
    <w:rPr>
      <w:rFonts w:ascii="宋体"/>
      <w:kern w:val="0"/>
      <w:sz w:val="18"/>
      <w:szCs w:val="20"/>
    </w:rPr>
  </w:style>
  <w:style w:type="character" w:customStyle="1" w:styleId="572">
    <w:name w:val="明显引用 Char Char Char"/>
    <w:qFormat/>
    <w:uiPriority w:val="0"/>
    <w:rPr>
      <w:rFonts w:hint="default" w:ascii="Times New Roman"/>
      <w:b/>
      <w:i/>
      <w:color w:val="4F81BD"/>
      <w:lang w:val="en-US" w:eastAsia="zh-CN"/>
    </w:rPr>
  </w:style>
  <w:style w:type="character" w:customStyle="1" w:styleId="573">
    <w:name w:val="引用 Char Char Char"/>
    <w:qFormat/>
    <w:uiPriority w:val="0"/>
    <w:rPr>
      <w:rFonts w:hint="default" w:ascii="Times New Roman"/>
      <w:i/>
      <w:color w:val="000000"/>
      <w:lang w:val="en-US" w:eastAsia="zh-CN"/>
    </w:rPr>
  </w:style>
  <w:style w:type="character" w:customStyle="1" w:styleId="574">
    <w:name w:val="Char Char2"/>
    <w:link w:val="575"/>
    <w:qFormat/>
    <w:uiPriority w:val="0"/>
    <w:rPr>
      <w:rFonts w:ascii="宋体"/>
      <w:b/>
      <w:sz w:val="28"/>
    </w:rPr>
  </w:style>
  <w:style w:type="paragraph" w:customStyle="1" w:styleId="575">
    <w:name w:val="批注主题1"/>
    <w:basedOn w:val="17"/>
    <w:next w:val="17"/>
    <w:link w:val="574"/>
    <w:qFormat/>
    <w:uiPriority w:val="1"/>
    <w:pPr>
      <w:spacing w:line="240" w:lineRule="auto"/>
    </w:pPr>
    <w:rPr>
      <w:rFonts w:ascii="宋体"/>
      <w:b/>
      <w:kern w:val="0"/>
      <w:sz w:val="28"/>
    </w:rPr>
  </w:style>
  <w:style w:type="paragraph" w:customStyle="1" w:styleId="576">
    <w:name w:val="普通(网站)2"/>
    <w:basedOn w:val="1"/>
    <w:qFormat/>
    <w:uiPriority w:val="1"/>
    <w:pPr>
      <w:widowControl/>
      <w:spacing w:before="100" w:beforeAutospacing="1" w:after="100" w:afterAutospacing="1" w:line="320" w:lineRule="atLeast"/>
      <w:jc w:val="left"/>
    </w:pPr>
    <w:rPr>
      <w:rFonts w:hint="eastAsia" w:ascii="宋体" w:hAnsi="宋体"/>
      <w:sz w:val="18"/>
    </w:rPr>
  </w:style>
  <w:style w:type="character" w:customStyle="1" w:styleId="577">
    <w:name w:val="标题 2 Char1"/>
    <w:qFormat/>
    <w:uiPriority w:val="1"/>
    <w:rPr>
      <w:rFonts w:ascii="Arial" w:hAnsi="Arial" w:eastAsia="黑体"/>
      <w:b/>
      <w:bCs/>
      <w:sz w:val="32"/>
      <w:szCs w:val="32"/>
    </w:rPr>
  </w:style>
  <w:style w:type="character" w:customStyle="1" w:styleId="578">
    <w:name w:val="标题 4 字符2"/>
    <w:qFormat/>
    <w:uiPriority w:val="1"/>
    <w:rPr>
      <w:rFonts w:ascii="Arial" w:hAnsi="Arial" w:eastAsia="黑体"/>
      <w:b/>
      <w:bCs/>
      <w:sz w:val="28"/>
      <w:szCs w:val="28"/>
    </w:rPr>
  </w:style>
  <w:style w:type="paragraph" w:customStyle="1" w:styleId="579">
    <w:name w:val="正文（缩进）"/>
    <w:basedOn w:val="1"/>
    <w:qFormat/>
    <w:uiPriority w:val="0"/>
    <w:pPr>
      <w:spacing w:before="156" w:after="156" w:line="240" w:lineRule="auto"/>
      <w:ind w:firstLine="480" w:firstLineChars="200"/>
    </w:pPr>
  </w:style>
  <w:style w:type="character" w:customStyle="1" w:styleId="580">
    <w:name w:val="正文文本 (2) + 12 pt"/>
    <w:qFormat/>
    <w:uiPriority w:val="99"/>
    <w:rPr>
      <w:rFonts w:ascii="宋体" w:hAnsi="宋体" w:eastAsia="宋体" w:cs="宋体"/>
      <w:b/>
      <w:bCs/>
      <w:color w:val="000000"/>
      <w:spacing w:val="0"/>
      <w:w w:val="100"/>
      <w:position w:val="0"/>
      <w:sz w:val="24"/>
      <w:szCs w:val="24"/>
      <w:u w:val="none"/>
      <w:lang w:val="zh-CN" w:eastAsia="zh-CN"/>
    </w:rPr>
  </w:style>
  <w:style w:type="character" w:customStyle="1" w:styleId="581">
    <w:name w:val="z-窗体顶端 Char"/>
    <w:link w:val="582"/>
    <w:qFormat/>
    <w:uiPriority w:val="0"/>
    <w:rPr>
      <w:rFonts w:ascii="Arial" w:hAnsi="Arial" w:cs="Arial"/>
      <w:vanish/>
      <w:kern w:val="2"/>
      <w:sz w:val="16"/>
      <w:szCs w:val="16"/>
    </w:rPr>
  </w:style>
  <w:style w:type="paragraph" w:customStyle="1" w:styleId="582">
    <w:name w:val="z-窗体顶端1"/>
    <w:basedOn w:val="1"/>
    <w:next w:val="1"/>
    <w:link w:val="581"/>
    <w:qFormat/>
    <w:uiPriority w:val="0"/>
    <w:pPr>
      <w:pBdr>
        <w:bottom w:val="single" w:color="auto" w:sz="6" w:space="1"/>
      </w:pBdr>
      <w:spacing w:line="240" w:lineRule="auto"/>
      <w:jc w:val="center"/>
    </w:pPr>
    <w:rPr>
      <w:rFonts w:ascii="Arial" w:hAnsi="Arial" w:cs="Arial"/>
      <w:vanish/>
      <w:sz w:val="16"/>
      <w:szCs w:val="16"/>
    </w:rPr>
  </w:style>
  <w:style w:type="character" w:customStyle="1" w:styleId="583">
    <w:name w:val="已访问的超链接1"/>
    <w:qFormat/>
    <w:uiPriority w:val="0"/>
    <w:rPr>
      <w:color w:val="800080"/>
      <w:u w:val="single"/>
    </w:rPr>
  </w:style>
  <w:style w:type="character" w:customStyle="1" w:styleId="584">
    <w:name w:val="纯文本 Char Char"/>
    <w:qFormat/>
    <w:uiPriority w:val="0"/>
    <w:rPr>
      <w:rFonts w:hint="eastAsia" w:ascii="方正书宋简体" w:hAnsi="华文中宋" w:eastAsia="方正书宋简体" w:cs="Courier New"/>
      <w:kern w:val="2"/>
      <w:sz w:val="21"/>
      <w:szCs w:val="21"/>
      <w:lang w:val="en-US" w:eastAsia="zh-CN" w:bidi="ar-SA"/>
    </w:rPr>
  </w:style>
  <w:style w:type="character" w:customStyle="1" w:styleId="585">
    <w:name w:val="font61"/>
    <w:qFormat/>
    <w:uiPriority w:val="0"/>
    <w:rPr>
      <w:rFonts w:hint="eastAsia" w:ascii="宋体" w:hAnsi="宋体" w:eastAsia="宋体" w:cs="宋体"/>
      <w:color w:val="FF0000"/>
      <w:sz w:val="22"/>
      <w:szCs w:val="22"/>
      <w:u w:val="none"/>
    </w:rPr>
  </w:style>
  <w:style w:type="character" w:customStyle="1" w:styleId="586">
    <w:name w:val="z-窗体底端 Char1"/>
    <w:semiHidden/>
    <w:qFormat/>
    <w:uiPriority w:val="99"/>
    <w:rPr>
      <w:rFonts w:ascii="Arial" w:hAnsi="Arial" w:cs="Arial"/>
      <w:vanish/>
      <w:sz w:val="16"/>
      <w:szCs w:val="16"/>
    </w:rPr>
  </w:style>
  <w:style w:type="character" w:customStyle="1" w:styleId="587">
    <w:name w:val="样式 Char Char"/>
    <w:qFormat/>
    <w:uiPriority w:val="0"/>
    <w:rPr>
      <w:rFonts w:ascii="宋体" w:hAnsi="宋体" w:cs="宋体"/>
      <w:sz w:val="24"/>
      <w:szCs w:val="24"/>
      <w:lang w:val="en-US" w:eastAsia="zh-CN" w:bidi="ar-SA"/>
    </w:rPr>
  </w:style>
  <w:style w:type="character" w:customStyle="1" w:styleId="588">
    <w:name w:val="title_emph"/>
    <w:qFormat/>
    <w:uiPriority w:val="0"/>
  </w:style>
  <w:style w:type="character" w:customStyle="1" w:styleId="589">
    <w:name w:val="point_normal"/>
    <w:qFormat/>
    <w:uiPriority w:val="0"/>
  </w:style>
  <w:style w:type="character" w:customStyle="1" w:styleId="590">
    <w:name w:val="Char Char3"/>
    <w:qFormat/>
    <w:uiPriority w:val="0"/>
    <w:rPr>
      <w:sz w:val="18"/>
    </w:rPr>
  </w:style>
  <w:style w:type="character" w:customStyle="1" w:styleId="591">
    <w:name w:val="标题 4 + 宋体 Char"/>
    <w:link w:val="592"/>
    <w:qFormat/>
    <w:uiPriority w:val="0"/>
    <w:rPr>
      <w:rFonts w:ascii="宋体" w:hAnsi="Arial" w:eastAsia="黑体"/>
      <w:b/>
      <w:spacing w:val="8"/>
      <w:sz w:val="28"/>
      <w:szCs w:val="21"/>
    </w:rPr>
  </w:style>
  <w:style w:type="paragraph" w:customStyle="1" w:styleId="592">
    <w:name w:val="标题 4 + 宋体"/>
    <w:basedOn w:val="5"/>
    <w:link w:val="591"/>
    <w:qFormat/>
    <w:uiPriority w:val="0"/>
    <w:pPr>
      <w:jc w:val="both"/>
    </w:pPr>
    <w:rPr>
      <w:rFonts w:ascii="宋体" w:hAnsi="Arial" w:eastAsia="黑体"/>
      <w:bCs w:val="0"/>
      <w:spacing w:val="8"/>
      <w:kern w:val="0"/>
      <w:sz w:val="28"/>
      <w:szCs w:val="21"/>
    </w:rPr>
  </w:style>
  <w:style w:type="character" w:customStyle="1" w:styleId="593">
    <w:name w:val="第一层条 Char"/>
    <w:qFormat/>
    <w:uiPriority w:val="0"/>
    <w:rPr>
      <w:rFonts w:ascii="Arial" w:hAnsi="Arial" w:eastAsia="宋体"/>
      <w:b/>
      <w:sz w:val="30"/>
      <w:lang w:val="en-US" w:eastAsia="zh-CN" w:bidi="ar-SA"/>
    </w:rPr>
  </w:style>
  <w:style w:type="character" w:customStyle="1" w:styleId="594">
    <w:name w:val="Char Char31"/>
    <w:qFormat/>
    <w:uiPriority w:val="0"/>
    <w:rPr>
      <w:sz w:val="18"/>
    </w:rPr>
  </w:style>
  <w:style w:type="character" w:customStyle="1" w:styleId="595">
    <w:name w:val="small1"/>
    <w:qFormat/>
    <w:uiPriority w:val="0"/>
    <w:rPr>
      <w:rFonts w:hint="default" w:ascii="Verdana" w:hAnsi="Verdana"/>
      <w:sz w:val="17"/>
      <w:szCs w:val="17"/>
    </w:rPr>
  </w:style>
  <w:style w:type="character" w:customStyle="1" w:styleId="596">
    <w:name w:val="Para head"/>
    <w:qFormat/>
    <w:uiPriority w:val="0"/>
    <w:rPr>
      <w:rFonts w:hint="default" w:ascii="Arial" w:hAnsi="Arial" w:eastAsia="Times New Roman" w:cs="Arial"/>
      <w:sz w:val="20"/>
    </w:rPr>
  </w:style>
  <w:style w:type="character" w:customStyle="1" w:styleId="597">
    <w:name w:val="z-窗体顶端 Char1"/>
    <w:semiHidden/>
    <w:qFormat/>
    <w:uiPriority w:val="99"/>
    <w:rPr>
      <w:rFonts w:ascii="Arial" w:hAnsi="Arial" w:cs="Arial"/>
      <w:vanish/>
      <w:sz w:val="16"/>
      <w:szCs w:val="16"/>
    </w:rPr>
  </w:style>
  <w:style w:type="character" w:customStyle="1" w:styleId="598">
    <w:name w:val="Char Char4"/>
    <w:qFormat/>
    <w:uiPriority w:val="0"/>
    <w:rPr>
      <w:rFonts w:eastAsia="宋体"/>
      <w:b/>
      <w:bCs/>
      <w:kern w:val="44"/>
      <w:sz w:val="44"/>
      <w:szCs w:val="44"/>
      <w:lang w:val="en-US" w:eastAsia="zh-CN" w:bidi="ar-SA"/>
    </w:rPr>
  </w:style>
  <w:style w:type="character" w:customStyle="1" w:styleId="599">
    <w:name w:val="正文文本 (2)_"/>
    <w:link w:val="600"/>
    <w:qFormat/>
    <w:uiPriority w:val="99"/>
    <w:rPr>
      <w:rFonts w:ascii="宋体" w:hAnsi="宋体" w:cs="宋体"/>
      <w:sz w:val="22"/>
      <w:szCs w:val="22"/>
      <w:shd w:val="clear" w:color="auto" w:fill="FFFFFF"/>
    </w:rPr>
  </w:style>
  <w:style w:type="paragraph" w:customStyle="1" w:styleId="600">
    <w:name w:val="正文文本 (2)1"/>
    <w:basedOn w:val="1"/>
    <w:link w:val="599"/>
    <w:qFormat/>
    <w:uiPriority w:val="99"/>
    <w:pPr>
      <w:shd w:val="clear" w:color="auto" w:fill="FFFFFF"/>
      <w:spacing w:line="240" w:lineRule="atLeast"/>
      <w:ind w:hanging="140"/>
      <w:jc w:val="left"/>
    </w:pPr>
    <w:rPr>
      <w:rFonts w:ascii="宋体" w:hAnsi="宋体" w:cs="宋体"/>
      <w:kern w:val="0"/>
      <w:sz w:val="22"/>
      <w:szCs w:val="22"/>
    </w:rPr>
  </w:style>
  <w:style w:type="character" w:customStyle="1" w:styleId="601">
    <w:name w:val="Footer Char"/>
    <w:qFormat/>
    <w:uiPriority w:val="0"/>
    <w:rPr>
      <w:rFonts w:hint="eastAsia" w:ascii="宋体" w:hAnsi="宋体" w:eastAsia="宋体"/>
      <w:kern w:val="2"/>
      <w:sz w:val="18"/>
      <w:szCs w:val="18"/>
      <w:lang w:val="en-US" w:eastAsia="zh-CN" w:bidi="ar-SA"/>
    </w:rPr>
  </w:style>
  <w:style w:type="character" w:customStyle="1" w:styleId="602">
    <w:name w:val="z-窗体底端 Char"/>
    <w:link w:val="603"/>
    <w:qFormat/>
    <w:uiPriority w:val="0"/>
    <w:rPr>
      <w:rFonts w:ascii="Arial" w:hAnsi="Arial" w:cs="Arial"/>
      <w:vanish/>
      <w:kern w:val="2"/>
      <w:sz w:val="16"/>
      <w:szCs w:val="16"/>
    </w:rPr>
  </w:style>
  <w:style w:type="paragraph" w:customStyle="1" w:styleId="603">
    <w:name w:val="z-窗体底端1"/>
    <w:basedOn w:val="1"/>
    <w:next w:val="1"/>
    <w:link w:val="602"/>
    <w:qFormat/>
    <w:uiPriority w:val="0"/>
    <w:pPr>
      <w:pBdr>
        <w:top w:val="single" w:color="auto" w:sz="6" w:space="1"/>
      </w:pBdr>
      <w:spacing w:line="240" w:lineRule="auto"/>
      <w:jc w:val="center"/>
    </w:pPr>
    <w:rPr>
      <w:rFonts w:ascii="Arial" w:hAnsi="Arial" w:cs="Arial"/>
      <w:vanish/>
      <w:sz w:val="16"/>
      <w:szCs w:val="16"/>
    </w:rPr>
  </w:style>
  <w:style w:type="character" w:customStyle="1" w:styleId="604">
    <w:name w:val="td21"/>
    <w:qFormat/>
    <w:uiPriority w:val="0"/>
    <w:rPr>
      <w:rFonts w:eastAsia="宋体"/>
      <w:sz w:val="18"/>
      <w:szCs w:val="18"/>
      <w:lang w:val="en-US" w:eastAsia="zh-CN" w:bidi="ar-SA"/>
    </w:rPr>
  </w:style>
  <w:style w:type="character" w:customStyle="1" w:styleId="605">
    <w:name w:val="Blockquote Char"/>
    <w:link w:val="186"/>
    <w:qFormat/>
    <w:uiPriority w:val="0"/>
    <w:rPr>
      <w:sz w:val="24"/>
    </w:rPr>
  </w:style>
  <w:style w:type="character" w:customStyle="1" w:styleId="606">
    <w:name w:val="标题1"/>
    <w:basedOn w:val="55"/>
    <w:qFormat/>
    <w:uiPriority w:val="0"/>
  </w:style>
  <w:style w:type="character" w:customStyle="1" w:styleId="607">
    <w:name w:val="v151"/>
    <w:qFormat/>
    <w:uiPriority w:val="0"/>
    <w:rPr>
      <w:sz w:val="18"/>
      <w:szCs w:val="18"/>
    </w:rPr>
  </w:style>
  <w:style w:type="character" w:customStyle="1" w:styleId="608">
    <w:name w:val="无间隔 Char Char"/>
    <w:link w:val="609"/>
    <w:qFormat/>
    <w:uiPriority w:val="0"/>
    <w:rPr>
      <w:sz w:val="22"/>
    </w:rPr>
  </w:style>
  <w:style w:type="paragraph" w:customStyle="1" w:styleId="609">
    <w:name w:val="No Spacing1"/>
    <w:link w:val="608"/>
    <w:qFormat/>
    <w:uiPriority w:val="0"/>
    <w:rPr>
      <w:rFonts w:ascii="Times New Roman" w:hAnsi="Times New Roman" w:eastAsia="宋体" w:cs="Times New Roman"/>
      <w:sz w:val="22"/>
      <w:lang w:val="en-US" w:eastAsia="zh-CN" w:bidi="ar-SA"/>
    </w:rPr>
  </w:style>
  <w:style w:type="character" w:customStyle="1" w:styleId="610">
    <w:name w:val="正文文本 (2) + 10 pt1"/>
    <w:qFormat/>
    <w:uiPriority w:val="99"/>
    <w:rPr>
      <w:rFonts w:ascii="宋体" w:hAnsi="宋体" w:eastAsia="宋体" w:cs="宋体"/>
      <w:color w:val="000000"/>
      <w:spacing w:val="0"/>
      <w:w w:val="100"/>
      <w:position w:val="0"/>
      <w:sz w:val="20"/>
      <w:szCs w:val="20"/>
      <w:u w:val="none"/>
      <w:lang w:val="zh-CN" w:eastAsia="zh-CN"/>
    </w:rPr>
  </w:style>
  <w:style w:type="character" w:customStyle="1" w:styleId="611">
    <w:name w:val="para"/>
    <w:qFormat/>
    <w:uiPriority w:val="0"/>
  </w:style>
  <w:style w:type="character" w:customStyle="1" w:styleId="612">
    <w:name w:val="样式 Char"/>
    <w:link w:val="613"/>
    <w:qFormat/>
    <w:uiPriority w:val="0"/>
    <w:rPr>
      <w:rFonts w:ascii="宋体" w:hAnsi="宋体" w:cs="宋体"/>
      <w:sz w:val="24"/>
      <w:szCs w:val="24"/>
    </w:rPr>
  </w:style>
  <w:style w:type="paragraph" w:customStyle="1" w:styleId="613">
    <w:name w:val="样式"/>
    <w:link w:val="612"/>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614">
    <w:name w:val="Header Char"/>
    <w:qFormat/>
    <w:uiPriority w:val="0"/>
    <w:rPr>
      <w:rFonts w:hint="eastAsia" w:ascii="宋体" w:hAnsi="宋体" w:eastAsia="宋体"/>
      <w:kern w:val="2"/>
      <w:sz w:val="18"/>
      <w:szCs w:val="18"/>
      <w:lang w:val="en-US" w:eastAsia="zh-CN" w:bidi="ar-SA"/>
    </w:rPr>
  </w:style>
  <w:style w:type="paragraph" w:customStyle="1" w:styleId="615">
    <w:name w:val="Normal_3"/>
    <w:qFormat/>
    <w:uiPriority w:val="0"/>
    <w:pPr>
      <w:widowControl w:val="0"/>
      <w:jc w:val="both"/>
    </w:pPr>
    <w:rPr>
      <w:rFonts w:ascii="Calibri" w:hAnsi="Calibri" w:eastAsia="宋体" w:cs="Times New Roman"/>
      <w:lang w:val="en-US" w:eastAsia="zh-CN" w:bidi="ar-SA"/>
    </w:rPr>
  </w:style>
  <w:style w:type="paragraph" w:customStyle="1" w:styleId="616">
    <w:name w:val="Normal_0_0"/>
    <w:qFormat/>
    <w:uiPriority w:val="0"/>
    <w:pPr>
      <w:adjustRightInd w:val="0"/>
      <w:snapToGrid w:val="0"/>
    </w:pPr>
    <w:rPr>
      <w:rFonts w:ascii="Tahoma" w:hAnsi="Tahoma" w:eastAsia="微软雅黑" w:cs="Times New Roman"/>
      <w:lang w:val="en-US" w:eastAsia="zh-CN" w:bidi="ar-SA"/>
    </w:rPr>
  </w:style>
  <w:style w:type="paragraph" w:customStyle="1" w:styleId="617">
    <w:name w:val="Normal_0"/>
    <w:qFormat/>
    <w:uiPriority w:val="0"/>
    <w:pPr>
      <w:widowControl w:val="0"/>
      <w:jc w:val="both"/>
    </w:pPr>
    <w:rPr>
      <w:rFonts w:ascii="Calibri" w:hAnsi="Calibri" w:eastAsia="宋体" w:cs="Times New Roman"/>
      <w:lang w:val="en-US" w:eastAsia="zh-CN" w:bidi="ar-SA"/>
    </w:rPr>
  </w:style>
  <w:style w:type="paragraph" w:customStyle="1" w:styleId="618">
    <w:name w:val="_Style 27"/>
    <w:basedOn w:val="1"/>
    <w:next w:val="24"/>
    <w:qFormat/>
    <w:uiPriority w:val="0"/>
    <w:pPr>
      <w:adjustRightInd w:val="0"/>
      <w:spacing w:line="240" w:lineRule="auto"/>
      <w:ind w:left="420" w:right="33"/>
      <w:jc w:val="left"/>
      <w:textAlignment w:val="baseline"/>
    </w:pPr>
    <w:rPr>
      <w:kern w:val="0"/>
      <w:sz w:val="24"/>
      <w:szCs w:val="20"/>
    </w:rPr>
  </w:style>
  <w:style w:type="paragraph" w:customStyle="1" w:styleId="619">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0">
    <w:name w:val="Organization"/>
    <w:basedOn w:val="1"/>
    <w:qFormat/>
    <w:uiPriority w:val="0"/>
    <w:pPr>
      <w:spacing w:line="600" w:lineRule="exact"/>
    </w:pPr>
    <w:rPr>
      <w:rFonts w:ascii="Calibri" w:hAnsi="Calibri"/>
      <w:color w:val="FFFFFF"/>
      <w:sz w:val="56"/>
      <w:szCs w:val="36"/>
    </w:rPr>
  </w:style>
  <w:style w:type="paragraph" w:customStyle="1" w:styleId="621">
    <w:name w:val="Char Char Char Char Char Char Char Char Char Char Char Char Char Char Char Char Char Char Char Char Char Char Char Char Char Char Char Char Char Char Char Char Char Char"/>
    <w:basedOn w:val="1"/>
    <w:qFormat/>
    <w:uiPriority w:val="0"/>
    <w:pPr>
      <w:spacing w:line="240" w:lineRule="auto"/>
    </w:pPr>
  </w:style>
  <w:style w:type="paragraph" w:customStyle="1" w:styleId="622">
    <w:name w:val="Normal_1"/>
    <w:qFormat/>
    <w:uiPriority w:val="0"/>
    <w:pPr>
      <w:widowControl w:val="0"/>
      <w:jc w:val="both"/>
    </w:pPr>
    <w:rPr>
      <w:rFonts w:ascii="Calibri" w:hAnsi="Calibri" w:eastAsia="宋体" w:cs="Times New Roman"/>
      <w:lang w:val="en-US" w:eastAsia="zh-CN" w:bidi="ar-SA"/>
    </w:rPr>
  </w:style>
  <w:style w:type="paragraph" w:customStyle="1" w:styleId="62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624">
    <w:name w:val="Contact Details"/>
    <w:basedOn w:val="1"/>
    <w:qFormat/>
    <w:uiPriority w:val="0"/>
    <w:pPr>
      <w:spacing w:before="80" w:after="80" w:line="240" w:lineRule="auto"/>
    </w:pPr>
    <w:rPr>
      <w:color w:val="FFFFFF"/>
      <w:sz w:val="16"/>
      <w:szCs w:val="14"/>
    </w:rPr>
  </w:style>
  <w:style w:type="paragraph" w:customStyle="1" w:styleId="625">
    <w:name w:val="Date1"/>
    <w:basedOn w:val="1"/>
    <w:next w:val="1"/>
    <w:qFormat/>
    <w:uiPriority w:val="0"/>
    <w:pPr>
      <w:spacing w:line="240" w:lineRule="auto"/>
      <w:jc w:val="right"/>
    </w:pPr>
    <w:rPr>
      <w:color w:val="5590CC"/>
      <w:sz w:val="24"/>
    </w:rPr>
  </w:style>
  <w:style w:type="paragraph" w:customStyle="1" w:styleId="626">
    <w:name w:val="p"/>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627">
    <w:name w:val="_Style 26"/>
    <w:basedOn w:val="1"/>
    <w:qFormat/>
    <w:uiPriority w:val="1"/>
    <w:pPr>
      <w:widowControl/>
      <w:spacing w:line="240" w:lineRule="auto"/>
      <w:jc w:val="left"/>
    </w:pPr>
    <w:rPr>
      <w:rFonts w:ascii="Verdana" w:hAnsi="Verdana"/>
      <w:kern w:val="0"/>
      <w:sz w:val="24"/>
      <w:szCs w:val="22"/>
      <w:lang w:eastAsia="en-US" w:bidi="en-US"/>
    </w:rPr>
  </w:style>
  <w:style w:type="paragraph" w:customStyle="1" w:styleId="628">
    <w:name w:val="style2"/>
    <w:basedOn w:val="1"/>
    <w:qFormat/>
    <w:uiPriority w:val="0"/>
    <w:pPr>
      <w:widowControl/>
      <w:spacing w:before="150" w:after="150" w:line="240" w:lineRule="auto"/>
      <w:jc w:val="left"/>
    </w:pPr>
    <w:rPr>
      <w:rFonts w:ascii="宋体" w:hAnsi="宋体" w:cs="宋体"/>
      <w:kern w:val="0"/>
      <w:sz w:val="24"/>
    </w:rPr>
  </w:style>
  <w:style w:type="paragraph" w:customStyle="1" w:styleId="629">
    <w:name w:val="p3"/>
    <w:basedOn w:val="1"/>
    <w:qFormat/>
    <w:uiPriority w:val="0"/>
    <w:pPr>
      <w:autoSpaceDE w:val="0"/>
      <w:autoSpaceDN w:val="0"/>
      <w:adjustRightInd w:val="0"/>
      <w:spacing w:line="240" w:lineRule="auto"/>
      <w:jc w:val="left"/>
      <w:textAlignment w:val="baseline"/>
    </w:pPr>
    <w:rPr>
      <w:rFonts w:ascii=".苹方-简" w:hAnsi=".苹方-简" w:eastAsia=".苹方-简"/>
      <w:kern w:val="0"/>
      <w:sz w:val="24"/>
      <w:szCs w:val="20"/>
    </w:rPr>
  </w:style>
  <w:style w:type="paragraph" w:customStyle="1" w:styleId="630">
    <w:name w:val="通用专用"/>
    <w:basedOn w:val="1"/>
    <w:qFormat/>
    <w:uiPriority w:val="0"/>
    <w:pPr>
      <w:spacing w:line="480" w:lineRule="atLeast"/>
      <w:jc w:val="center"/>
    </w:pPr>
    <w:rPr>
      <w:rFonts w:ascii="宋体" w:eastAsia="仿宋_GB2312"/>
      <w:b/>
      <w:sz w:val="28"/>
      <w:szCs w:val="20"/>
    </w:rPr>
  </w:style>
  <w:style w:type="paragraph" w:customStyle="1" w:styleId="631">
    <w:name w:val="前言、引言标题"/>
    <w:next w:val="1"/>
    <w:qFormat/>
    <w:uiPriority w:val="0"/>
    <w:pPr>
      <w:shd w:val="clear" w:color="auto"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632">
    <w:name w:val="Char Char Char Char11"/>
    <w:basedOn w:val="1"/>
    <w:qFormat/>
    <w:uiPriority w:val="0"/>
    <w:pPr>
      <w:spacing w:line="240" w:lineRule="auto"/>
    </w:pPr>
  </w:style>
  <w:style w:type="paragraph" w:customStyle="1" w:styleId="633">
    <w:name w:val="Normal_2"/>
    <w:qFormat/>
    <w:uiPriority w:val="0"/>
    <w:pPr>
      <w:widowControl w:val="0"/>
      <w:jc w:val="both"/>
    </w:pPr>
    <w:rPr>
      <w:rFonts w:ascii="Calibri" w:hAnsi="Calibri" w:eastAsia="宋体" w:cs="Times New Roman"/>
      <w:lang w:val="en-US" w:eastAsia="zh-CN" w:bidi="ar-SA"/>
    </w:rPr>
  </w:style>
  <w:style w:type="paragraph" w:customStyle="1" w:styleId="634">
    <w:name w:val="Normal_2_0"/>
    <w:qFormat/>
    <w:uiPriority w:val="0"/>
    <w:pPr>
      <w:widowControl w:val="0"/>
      <w:jc w:val="both"/>
    </w:pPr>
    <w:rPr>
      <w:rFonts w:ascii="Calibri" w:hAnsi="Calibri" w:eastAsia="宋体" w:cs="Times New Roman"/>
      <w:lang w:val="en-US" w:eastAsia="zh-CN" w:bidi="ar-SA"/>
    </w:rPr>
  </w:style>
  <w:style w:type="paragraph" w:customStyle="1" w:styleId="635">
    <w:name w:val="p14"/>
    <w:basedOn w:val="1"/>
    <w:qFormat/>
    <w:locked/>
    <w:uiPriority w:val="0"/>
    <w:pPr>
      <w:widowControl/>
      <w:spacing w:line="480" w:lineRule="auto"/>
      <w:jc w:val="left"/>
    </w:pPr>
    <w:rPr>
      <w:rFonts w:ascii="宋体" w:hAnsi="宋体" w:cs="宋体"/>
      <w:kern w:val="0"/>
      <w:sz w:val="20"/>
      <w:szCs w:val="21"/>
    </w:rPr>
  </w:style>
  <w:style w:type="paragraph" w:customStyle="1" w:styleId="636">
    <w:name w:val="文档正文 Char"/>
    <w:basedOn w:val="1"/>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637">
    <w:name w:val="newstyle15"/>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638">
    <w:name w:val="Char Char Char Char2"/>
    <w:basedOn w:val="1"/>
    <w:qFormat/>
    <w:uiPriority w:val="0"/>
    <w:pPr>
      <w:spacing w:line="240" w:lineRule="atLeast"/>
      <w:ind w:left="420" w:firstLine="420"/>
    </w:pPr>
    <w:rPr>
      <w:kern w:val="0"/>
      <w:szCs w:val="21"/>
    </w:rPr>
  </w:style>
  <w:style w:type="paragraph" w:customStyle="1" w:styleId="639">
    <w:name w:val="_Style 33"/>
    <w:basedOn w:val="1"/>
    <w:next w:val="19"/>
    <w:qFormat/>
    <w:uiPriority w:val="0"/>
    <w:pPr>
      <w:adjustRightInd w:val="0"/>
      <w:spacing w:line="440" w:lineRule="exact"/>
    </w:pPr>
    <w:rPr>
      <w:rFonts w:ascii="宋体" w:hAnsi="宋体"/>
      <w:bCs/>
      <w:color w:val="000000"/>
      <w:sz w:val="24"/>
      <w:szCs w:val="20"/>
    </w:rPr>
  </w:style>
  <w:style w:type="paragraph" w:customStyle="1" w:styleId="640">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1">
    <w:name w:val="样式 行距: 1.5 倍行距"/>
    <w:basedOn w:val="1"/>
    <w:qFormat/>
    <w:uiPriority w:val="0"/>
    <w:rPr>
      <w:rFonts w:cs="宋体"/>
      <w:szCs w:val="20"/>
    </w:rPr>
  </w:style>
  <w:style w:type="paragraph" w:customStyle="1" w:styleId="642">
    <w:name w:val="三级条标题"/>
    <w:basedOn w:val="265"/>
    <w:next w:val="1"/>
    <w:qFormat/>
    <w:uiPriority w:val="0"/>
    <w:pPr>
      <w:tabs>
        <w:tab w:val="clear" w:pos="1260"/>
        <w:tab w:val="clear" w:pos="2231"/>
      </w:tabs>
      <w:ind w:left="0" w:firstLine="0"/>
      <w:outlineLvl w:val="4"/>
    </w:pPr>
  </w:style>
  <w:style w:type="paragraph" w:customStyle="1" w:styleId="643">
    <w:name w:val="正文_4"/>
    <w:qFormat/>
    <w:uiPriority w:val="0"/>
    <w:rPr>
      <w:rFonts w:ascii="Times New Roman" w:hAnsi="Times New Roman" w:eastAsia="宋体" w:cs="Times New Roman"/>
      <w:lang w:val="en-US" w:eastAsia="zh-CN" w:bidi="ar-SA"/>
    </w:rPr>
  </w:style>
  <w:style w:type="paragraph" w:customStyle="1" w:styleId="644">
    <w:name w:val="Char1 Char Char Char"/>
    <w:basedOn w:val="1"/>
    <w:qFormat/>
    <w:uiPriority w:val="0"/>
    <w:pPr>
      <w:numPr>
        <w:ilvl w:val="0"/>
        <w:numId w:val="3"/>
      </w:numPr>
      <w:tabs>
        <w:tab w:val="left" w:pos="480"/>
        <w:tab w:val="clear" w:pos="840"/>
      </w:tabs>
      <w:spacing w:line="240" w:lineRule="auto"/>
      <w:ind w:left="0" w:firstLine="0"/>
    </w:pPr>
    <w:rPr>
      <w:szCs w:val="20"/>
    </w:rPr>
  </w:style>
  <w:style w:type="paragraph" w:customStyle="1" w:styleId="645">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646">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7">
    <w:name w:val="正文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648">
    <w:name w:val="不明显参考2"/>
    <w:qFormat/>
    <w:uiPriority w:val="0"/>
    <w:rPr>
      <w:smallCaps/>
      <w:color w:val="C0504D"/>
      <w:u w:val="single"/>
    </w:rPr>
  </w:style>
  <w:style w:type="character" w:customStyle="1" w:styleId="649">
    <w:name w:val="书籍标题2"/>
    <w:qFormat/>
    <w:uiPriority w:val="0"/>
    <w:rPr>
      <w:b/>
      <w:bCs/>
      <w:smallCaps/>
      <w:spacing w:val="5"/>
    </w:rPr>
  </w:style>
  <w:style w:type="character" w:customStyle="1" w:styleId="650">
    <w:name w:val="明显强调2"/>
    <w:qFormat/>
    <w:uiPriority w:val="0"/>
    <w:rPr>
      <w:b/>
      <w:bCs/>
      <w:i/>
      <w:iCs/>
      <w:color w:val="4F81BD"/>
    </w:rPr>
  </w:style>
  <w:style w:type="character" w:customStyle="1" w:styleId="651">
    <w:name w:val="未处理的提及2"/>
    <w:unhideWhenUsed/>
    <w:qFormat/>
    <w:uiPriority w:val="99"/>
    <w:rPr>
      <w:color w:val="808080"/>
      <w:shd w:val="clear" w:color="auto" w:fill="E6E6E6"/>
    </w:rPr>
  </w:style>
  <w:style w:type="character" w:customStyle="1" w:styleId="652">
    <w:name w:val="明显参考2"/>
    <w:qFormat/>
    <w:uiPriority w:val="0"/>
    <w:rPr>
      <w:b/>
      <w:bCs/>
      <w:smallCaps/>
      <w:color w:val="C0504D"/>
      <w:spacing w:val="5"/>
      <w:u w:val="single"/>
    </w:rPr>
  </w:style>
  <w:style w:type="character" w:customStyle="1" w:styleId="653">
    <w:name w:val="不明显强调2"/>
    <w:qFormat/>
    <w:uiPriority w:val="0"/>
    <w:rPr>
      <w:i/>
      <w:iCs/>
      <w:color w:val="808080"/>
    </w:rPr>
  </w:style>
  <w:style w:type="character" w:customStyle="1" w:styleId="654">
    <w:name w:val="批注框文本 字符1"/>
    <w:basedOn w:val="55"/>
    <w:semiHidden/>
    <w:qFormat/>
    <w:uiPriority w:val="99"/>
    <w:rPr>
      <w:rFonts w:ascii="Times New Roman" w:hAnsi="Times New Roman" w:eastAsia="宋体" w:cs="Times New Roman"/>
      <w:sz w:val="18"/>
      <w:szCs w:val="18"/>
    </w:rPr>
  </w:style>
  <w:style w:type="character" w:customStyle="1" w:styleId="655">
    <w:name w:val="正文文本 3 字符1"/>
    <w:basedOn w:val="55"/>
    <w:semiHidden/>
    <w:qFormat/>
    <w:uiPriority w:val="99"/>
    <w:rPr>
      <w:rFonts w:ascii="Times New Roman" w:hAnsi="Times New Roman" w:eastAsia="宋体" w:cs="Times New Roman"/>
      <w:sz w:val="16"/>
      <w:szCs w:val="16"/>
    </w:rPr>
  </w:style>
  <w:style w:type="character" w:customStyle="1" w:styleId="656">
    <w:name w:val="批注主题 字符1"/>
    <w:basedOn w:val="550"/>
    <w:semiHidden/>
    <w:qFormat/>
    <w:uiPriority w:val="99"/>
    <w:rPr>
      <w:rFonts w:ascii="Times New Roman" w:hAnsi="Times New Roman" w:eastAsia="宋体" w:cs="Times New Roman"/>
      <w:b/>
      <w:bCs/>
      <w:sz w:val="24"/>
      <w:szCs w:val="24"/>
      <w:lang w:val="en-US" w:eastAsia="zh-CN" w:bidi="ar-SA"/>
    </w:rPr>
  </w:style>
  <w:style w:type="character" w:customStyle="1" w:styleId="657">
    <w:name w:val="HTML 预设格式 字符1"/>
    <w:basedOn w:val="55"/>
    <w:qFormat/>
    <w:uiPriority w:val="99"/>
    <w:rPr>
      <w:rFonts w:ascii="Courier New" w:hAnsi="Courier New" w:cs="Courier New"/>
    </w:rPr>
  </w:style>
  <w:style w:type="character" w:customStyle="1" w:styleId="658">
    <w:name w:val="正文文本 2 字符1"/>
    <w:basedOn w:val="55"/>
    <w:semiHidden/>
    <w:qFormat/>
    <w:uiPriority w:val="99"/>
    <w:rPr>
      <w:rFonts w:ascii="Times New Roman" w:hAnsi="Times New Roman" w:eastAsia="宋体" w:cs="Times New Roman"/>
      <w:szCs w:val="24"/>
    </w:rPr>
  </w:style>
  <w:style w:type="character" w:customStyle="1" w:styleId="659">
    <w:name w:val="脚注文本 字符1"/>
    <w:basedOn w:val="55"/>
    <w:semiHidden/>
    <w:qFormat/>
    <w:uiPriority w:val="99"/>
    <w:rPr>
      <w:rFonts w:ascii="Times New Roman" w:hAnsi="Times New Roman" w:eastAsia="宋体" w:cs="Times New Roman"/>
      <w:sz w:val="18"/>
      <w:szCs w:val="18"/>
    </w:rPr>
  </w:style>
  <w:style w:type="paragraph" w:customStyle="1" w:styleId="660">
    <w:name w:val="修订2"/>
    <w:qFormat/>
    <w:uiPriority w:val="0"/>
    <w:rPr>
      <w:rFonts w:ascii="Times New Roman" w:hAnsi="Times New Roman" w:eastAsia="宋体" w:cs="Times New Roman"/>
      <w:kern w:val="2"/>
      <w:sz w:val="21"/>
      <w:szCs w:val="24"/>
      <w:lang w:val="en-US" w:eastAsia="zh-CN" w:bidi="ar-SA"/>
    </w:rPr>
  </w:style>
  <w:style w:type="paragraph" w:customStyle="1" w:styleId="661">
    <w:name w:val="列表段落1"/>
    <w:basedOn w:val="1"/>
    <w:qFormat/>
    <w:uiPriority w:val="0"/>
    <w:pPr>
      <w:spacing w:line="240" w:lineRule="auto"/>
      <w:ind w:firstLine="420" w:firstLineChars="200"/>
    </w:pPr>
    <w:rPr>
      <w:rFonts w:ascii="Calibri" w:hAnsi="Calibri"/>
      <w:sz w:val="24"/>
      <w:szCs w:val="22"/>
    </w:rPr>
  </w:style>
  <w:style w:type="paragraph" w:customStyle="1" w:styleId="662">
    <w:name w:val="Char Char Char Char Char Char"/>
    <w:basedOn w:val="1"/>
    <w:qFormat/>
    <w:uiPriority w:val="0"/>
    <w:pPr>
      <w:spacing w:line="240" w:lineRule="auto"/>
    </w:pPr>
  </w:style>
  <w:style w:type="paragraph" w:customStyle="1" w:styleId="663">
    <w:name w:val="_Style 23"/>
    <w:basedOn w:val="1"/>
    <w:qFormat/>
    <w:uiPriority w:val="0"/>
    <w:pPr>
      <w:ind w:firstLine="200" w:firstLineChars="200"/>
    </w:pPr>
    <w:rPr>
      <w:position w:val="-6"/>
      <w:szCs w:val="20"/>
    </w:rPr>
  </w:style>
  <w:style w:type="paragraph" w:customStyle="1" w:styleId="664">
    <w:name w:val="TOC 标题3"/>
    <w:basedOn w:val="2"/>
    <w:next w:val="1"/>
    <w:qFormat/>
    <w:uiPriority w:val="39"/>
    <w:pPr>
      <w:keepLines/>
      <w:widowControl/>
      <w:tabs>
        <w:tab w:val="left" w:pos="360"/>
      </w:tabs>
      <w:autoSpaceDE/>
      <w:autoSpaceDN/>
      <w:adjustRightInd/>
      <w:spacing w:before="480" w:beforeLines="0" w:after="50" w:afterLines="50" w:line="276" w:lineRule="auto"/>
      <w:outlineLvl w:val="9"/>
    </w:pPr>
    <w:rPr>
      <w:rFonts w:ascii="Cambria" w:hAnsi="Cambria"/>
      <w:color w:val="365F91"/>
      <w:szCs w:val="28"/>
    </w:rPr>
  </w:style>
  <w:style w:type="paragraph" w:customStyle="1" w:styleId="665">
    <w:name w:val="_Style 5"/>
    <w:basedOn w:val="1"/>
    <w:qFormat/>
    <w:uiPriority w:val="0"/>
    <w:pPr>
      <w:spacing w:line="240" w:lineRule="auto"/>
    </w:pPr>
  </w:style>
  <w:style w:type="paragraph" w:customStyle="1" w:styleId="666">
    <w:name w:val="列表段落2"/>
    <w:basedOn w:val="1"/>
    <w:qFormat/>
    <w:uiPriority w:val="0"/>
    <w:pPr>
      <w:spacing w:line="240" w:lineRule="auto"/>
      <w:ind w:firstLine="420" w:firstLineChars="200"/>
    </w:pPr>
    <w:rPr>
      <w:rFonts w:ascii="Calibri" w:hAnsi="Calibri"/>
      <w:sz w:val="24"/>
      <w:szCs w:val="22"/>
    </w:rPr>
  </w:style>
  <w:style w:type="paragraph" w:customStyle="1" w:styleId="667">
    <w:name w:val="正文_6"/>
    <w:qFormat/>
    <w:uiPriority w:val="0"/>
    <w:pPr>
      <w:widowControl w:val="0"/>
      <w:jc w:val="both"/>
    </w:pPr>
    <w:rPr>
      <w:rFonts w:ascii="等线" w:hAnsi="等线" w:eastAsia="等线" w:cs="Times New Roman"/>
      <w:kern w:val="2"/>
      <w:sz w:val="21"/>
      <w:szCs w:val="22"/>
      <w:lang w:val="en-US" w:eastAsia="zh-CN" w:bidi="ar-SA"/>
    </w:rPr>
  </w:style>
  <w:style w:type="character" w:customStyle="1" w:styleId="668">
    <w:name w:val="NormalCharacter"/>
    <w:semiHidden/>
    <w:qFormat/>
    <w:uiPriority w:val="0"/>
    <w:rPr>
      <w:rFonts w:ascii="Times New Roman" w:hAnsi="Times New Roman" w:eastAsia="宋体" w:cs="Times New Roman"/>
      <w:lang w:val="en-US" w:eastAsia="zh-CN" w:bidi="ar-SA"/>
    </w:rPr>
  </w:style>
  <w:style w:type="paragraph" w:customStyle="1" w:styleId="669">
    <w:name w:val="Heading1"/>
    <w:basedOn w:val="1"/>
    <w:next w:val="1"/>
    <w:qFormat/>
    <w:uiPriority w:val="0"/>
    <w:pPr>
      <w:keepNext/>
      <w:keepLines/>
      <w:pageBreakBefore/>
      <w:widowControl/>
      <w:spacing w:before="100" w:line="700" w:lineRule="exact"/>
      <w:jc w:val="center"/>
      <w:textAlignment w:val="center"/>
    </w:pPr>
    <w:rPr>
      <w:rFonts w:ascii="方正小标宋_GBK" w:hAnsi="方正小标宋_GBK" w:eastAsia="方正小标宋_GBK"/>
      <w:kern w:val="44"/>
      <w:sz w:val="44"/>
    </w:rPr>
  </w:style>
  <w:style w:type="paragraph" w:customStyle="1" w:styleId="670">
    <w:name w:val="图表目录1"/>
    <w:basedOn w:val="671"/>
    <w:next w:val="671"/>
    <w:qFormat/>
    <w:uiPriority w:val="0"/>
    <w:pPr>
      <w:ind w:left="200" w:leftChars="200" w:hanging="200" w:hangingChars="200"/>
    </w:pPr>
    <w:rPr>
      <w:rFonts w:eastAsia="仿宋_GB2312"/>
      <w:sz w:val="32"/>
      <w:szCs w:val="32"/>
    </w:rPr>
  </w:style>
  <w:style w:type="paragraph" w:customStyle="1" w:styleId="671">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670"/>
    <w:qFormat/>
    <w:uiPriority w:val="0"/>
    <w:pPr>
      <w:widowControl/>
      <w:spacing w:line="240" w:lineRule="auto"/>
      <w:jc w:val="left"/>
    </w:pPr>
    <w:rPr>
      <w:rFonts w:cs="宋体"/>
      <w:kern w:val="0"/>
      <w:sz w:val="20"/>
      <w:szCs w:val="20"/>
    </w:rPr>
  </w:style>
  <w:style w:type="paragraph" w:customStyle="1" w:styleId="672">
    <w:name w:val="_正文段落"/>
    <w:basedOn w:val="1"/>
    <w:qFormat/>
    <w:uiPriority w:val="0"/>
    <w:pPr>
      <w:widowControl/>
      <w:spacing w:beforeLines="15" w:afterLines="15"/>
      <w:ind w:firstLine="200" w:firstLineChars="200"/>
      <w:jc w:val="left"/>
    </w:pPr>
    <w:rPr>
      <w:rFonts w:ascii="宋体" w:eastAsia="仿宋_GB2312"/>
      <w:kern w:val="0"/>
      <w:sz w:val="28"/>
      <w:szCs w:val="20"/>
    </w:rPr>
  </w:style>
  <w:style w:type="paragraph" w:customStyle="1" w:styleId="673">
    <w:name w:val="正文缩进1"/>
    <w:basedOn w:val="1"/>
    <w:qFormat/>
    <w:uiPriority w:val="0"/>
    <w:pPr>
      <w:widowControl/>
      <w:spacing w:line="240" w:lineRule="auto"/>
      <w:ind w:firstLine="420"/>
      <w:jc w:val="left"/>
    </w:pPr>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8.wmf"/><Relationship Id="rId25" Type="http://schemas.openxmlformats.org/officeDocument/2006/relationships/oleObject" Target="embeddings/oleObject7.bin"/><Relationship Id="rId24" Type="http://schemas.openxmlformats.org/officeDocument/2006/relationships/image" Target="media/image7.wmf"/><Relationship Id="rId23" Type="http://schemas.openxmlformats.org/officeDocument/2006/relationships/oleObject" Target="embeddings/oleObject6.bin"/><Relationship Id="rId22" Type="http://schemas.openxmlformats.org/officeDocument/2006/relationships/image" Target="media/image6.wmf"/><Relationship Id="rId21" Type="http://schemas.openxmlformats.org/officeDocument/2006/relationships/oleObject" Target="embeddings/oleObject5.bin"/><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4.wmf"/><Relationship Id="rId17" Type="http://schemas.openxmlformats.org/officeDocument/2006/relationships/oleObject" Target="embeddings/oleObject3.bin"/><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C36FDA-AB02-4FA2-85CD-990A1D4BE491}">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97</Pages>
  <Words>370</Words>
  <Characters>413</Characters>
  <Lines>3589</Lines>
  <Paragraphs>3055</Paragraphs>
  <TotalTime>13</TotalTime>
  <ScaleCrop>false</ScaleCrop>
  <LinksUpToDate>false</LinksUpToDate>
  <CharactersWithSpaces>548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2020-08-07T07:15:00Z</dcterms:created>
  <dc:creator>z</dc:creator>
  <cp:lastModifiedBy>羊羊</cp:lastModifiedBy>
  <cp:lastPrinted>2026-03-19T04:26:00Z</cp:lastPrinted>
  <dcterms:modified xsi:type="dcterms:W3CDTF">2026-09-10T06:26:31Z</dcterms:modified>
  <dc:title>询价书</dc:title>
  <cp:revision>1072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4B275780AC5A4BC1842A74886D08B22F_13</vt:lpwstr>
  </property>
  <property fmtid="{D5CDD505-2E9C-101B-9397-08002B2CF9AE}" pid="3" name="KSOProductBuildVer">
    <vt:lpwstr>2052-12.1.0.28505</vt:lpwstr>
  </property>
  <property fmtid="{D5CDD505-2E9C-101B-9397-08002B2CF9AE}" pid="4" name="KSOTemplateDocerSaveRecord">
    <vt:lpwstr>eyJoZGlkIjoiYTc2ZGZiNzZiNDVlOGViOWVmM2JhOTY0NGJkNjUyYzgiLCJ1c2VySWQiOiI1MTIxNTg5OTgifQ==</vt:lpwstr>
  </property>
</Properties>
</file>