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jc w:val="center"/>
        <w:rPr>
          <w:rFonts w:hint="eastAsia" w:ascii="Calibri" w:hAnsi="Calibri" w:eastAsia="宋体" w:cs="宋体"/>
          <w:b/>
          <w:bCs/>
          <w:color w:val="auto"/>
          <w:kern w:val="2"/>
          <w:sz w:val="32"/>
          <w:szCs w:val="32"/>
          <w:highlight w:val="none"/>
          <w:lang w:val="en-US" w:eastAsia="zh-CN" w:bidi="ar-SA"/>
        </w:rPr>
      </w:pPr>
      <w:r>
        <w:rPr>
          <w:rFonts w:hint="eastAsia" w:ascii="Calibri" w:hAnsi="Calibri" w:eastAsia="宋体" w:cs="宋体"/>
          <w:b/>
          <w:bCs/>
          <w:color w:val="auto"/>
          <w:kern w:val="2"/>
          <w:sz w:val="32"/>
          <w:szCs w:val="32"/>
          <w:highlight w:val="none"/>
          <w:lang w:val="en-US" w:eastAsia="zh-CN" w:bidi="ar-SA"/>
        </w:rPr>
        <w:t>谈判公告</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u w:val="single"/>
          <w:lang w:eastAsia="zh-CN"/>
        </w:rPr>
        <w:t>长春师范大学细胞培养实验室建设项目</w:t>
      </w:r>
      <w:r>
        <w:rPr>
          <w:rFonts w:hint="eastAsia" w:ascii="宋体" w:hAnsi="宋体"/>
          <w:color w:val="auto"/>
          <w:szCs w:val="21"/>
          <w:highlight w:val="none"/>
        </w:rPr>
        <w:t>的潜在</w:t>
      </w:r>
      <w:r>
        <w:rPr>
          <w:rFonts w:hint="eastAsia" w:ascii="宋体" w:hAnsi="宋体"/>
          <w:color w:val="auto"/>
          <w:szCs w:val="21"/>
          <w:highlight w:val="none"/>
          <w:lang w:val="en-US" w:eastAsia="zh-CN"/>
        </w:rPr>
        <w:t>供应商</w:t>
      </w:r>
      <w:r>
        <w:rPr>
          <w:rFonts w:hint="eastAsia" w:ascii="宋体" w:hAnsi="宋体"/>
          <w:color w:val="auto"/>
          <w:szCs w:val="21"/>
          <w:highlight w:val="none"/>
        </w:rPr>
        <w:t>应在</w:t>
      </w:r>
      <w:r>
        <w:rPr>
          <w:rFonts w:hint="eastAsia" w:ascii="宋体" w:hAnsi="宋体"/>
          <w:color w:val="auto"/>
          <w:szCs w:val="21"/>
          <w:highlight w:val="none"/>
          <w:lang w:eastAsia="zh-CN"/>
        </w:rPr>
        <w:t>信利达建设咨询集团有限公司</w:t>
      </w:r>
      <w:r>
        <w:rPr>
          <w:rFonts w:hint="eastAsia" w:ascii="宋体" w:hAnsi="宋体"/>
          <w:color w:val="auto"/>
          <w:szCs w:val="21"/>
          <w:highlight w:val="none"/>
        </w:rPr>
        <w:t>（长春市净月经济开发区伟峰东樾D12-104）获取</w:t>
      </w:r>
      <w:r>
        <w:rPr>
          <w:rFonts w:hint="eastAsia" w:ascii="宋体" w:hAnsi="宋体"/>
          <w:color w:val="auto"/>
          <w:szCs w:val="21"/>
          <w:highlight w:val="none"/>
          <w:lang w:eastAsia="zh-CN"/>
        </w:rPr>
        <w:t>竞争性谈判文件</w:t>
      </w:r>
      <w:r>
        <w:rPr>
          <w:rFonts w:hint="eastAsia" w:ascii="宋体" w:hAnsi="宋体"/>
          <w:color w:val="auto"/>
          <w:szCs w:val="21"/>
          <w:highlight w:val="none"/>
        </w:rPr>
        <w:t>，并于202</w:t>
      </w:r>
      <w:r>
        <w:rPr>
          <w:rFonts w:hint="eastAsia" w:ascii="宋体" w:hAnsi="宋体"/>
          <w:color w:val="auto"/>
          <w:szCs w:val="21"/>
          <w:highlight w:val="none"/>
          <w:lang w:val="en-US" w:eastAsia="zh-CN"/>
        </w:rPr>
        <w:t>3</w:t>
      </w:r>
      <w:r>
        <w:rPr>
          <w:rFonts w:hint="eastAsia" w:ascii="宋体" w:hAnsi="宋体"/>
          <w:color w:val="auto"/>
          <w:szCs w:val="21"/>
          <w:highlight w:val="none"/>
        </w:rPr>
        <w:t>年</w:t>
      </w:r>
      <w:r>
        <w:rPr>
          <w:rFonts w:hint="eastAsia" w:ascii="宋体" w:hAnsi="宋体"/>
          <w:color w:val="auto"/>
          <w:szCs w:val="21"/>
          <w:highlight w:val="none"/>
          <w:lang w:val="en-US" w:eastAsia="zh-CN"/>
        </w:rPr>
        <w:t>9</w:t>
      </w:r>
      <w:r>
        <w:rPr>
          <w:rFonts w:hint="eastAsia" w:ascii="宋体" w:hAnsi="宋体"/>
          <w:color w:val="auto"/>
          <w:szCs w:val="21"/>
          <w:highlight w:val="none"/>
        </w:rPr>
        <w:t>月</w:t>
      </w:r>
      <w:r>
        <w:rPr>
          <w:rFonts w:hint="eastAsia" w:ascii="宋体" w:hAnsi="宋体"/>
          <w:color w:val="auto"/>
          <w:szCs w:val="21"/>
          <w:highlight w:val="none"/>
          <w:lang w:val="en-US" w:eastAsia="zh-CN"/>
        </w:rPr>
        <w:t>27</w:t>
      </w:r>
      <w:r>
        <w:rPr>
          <w:rFonts w:hint="eastAsia" w:ascii="宋体" w:hAnsi="宋体"/>
          <w:color w:val="auto"/>
          <w:szCs w:val="21"/>
          <w:highlight w:val="none"/>
        </w:rPr>
        <w:t>日</w:t>
      </w:r>
      <w:r>
        <w:rPr>
          <w:rFonts w:hint="eastAsia" w:ascii="宋体" w:hAnsi="宋体"/>
          <w:color w:val="auto"/>
          <w:szCs w:val="21"/>
          <w:highlight w:val="none"/>
          <w:lang w:val="en-US" w:eastAsia="zh-CN"/>
        </w:rPr>
        <w:t>10</w:t>
      </w:r>
      <w:r>
        <w:rPr>
          <w:rFonts w:hint="eastAsia" w:ascii="宋体" w:hAnsi="宋体"/>
          <w:color w:val="auto"/>
          <w:szCs w:val="21"/>
          <w:highlight w:val="none"/>
        </w:rPr>
        <w:t>点</w:t>
      </w:r>
      <w:r>
        <w:rPr>
          <w:rFonts w:hint="eastAsia" w:ascii="宋体" w:hAnsi="宋体"/>
          <w:color w:val="auto"/>
          <w:szCs w:val="21"/>
          <w:highlight w:val="none"/>
          <w:lang w:val="en-US" w:eastAsia="zh-CN"/>
        </w:rPr>
        <w:t>00</w:t>
      </w:r>
      <w:r>
        <w:rPr>
          <w:rFonts w:hint="eastAsia" w:ascii="宋体" w:hAnsi="宋体"/>
          <w:color w:val="auto"/>
          <w:szCs w:val="21"/>
          <w:highlight w:val="none"/>
        </w:rPr>
        <w:t>分</w:t>
      </w:r>
      <w:r>
        <w:rPr>
          <w:rFonts w:hint="eastAsia" w:ascii="宋体" w:hAnsi="宋体"/>
          <w:bCs/>
          <w:color w:val="auto"/>
          <w:szCs w:val="21"/>
          <w:highlight w:val="none"/>
        </w:rPr>
        <w:t>（北京时间）前递交</w:t>
      </w:r>
      <w:r>
        <w:rPr>
          <w:rFonts w:hint="eastAsia" w:ascii="宋体" w:hAnsi="宋体"/>
          <w:bCs/>
          <w:color w:val="auto"/>
          <w:szCs w:val="21"/>
          <w:highlight w:val="none"/>
          <w:lang w:eastAsia="zh-CN"/>
        </w:rPr>
        <w:t>报价</w:t>
      </w:r>
      <w:r>
        <w:rPr>
          <w:rFonts w:ascii="宋体" w:hAnsi="宋体"/>
          <w:bCs/>
          <w:color w:val="auto"/>
          <w:szCs w:val="21"/>
          <w:highlight w:val="none"/>
        </w:rPr>
        <w:t>文件</w:t>
      </w:r>
      <w:r>
        <w:rPr>
          <w:rFonts w:hint="eastAsia" w:ascii="宋体" w:hAnsi="宋体"/>
          <w:color w:val="auto"/>
          <w:szCs w:val="21"/>
          <w:highlight w:val="none"/>
        </w:rPr>
        <w:t>。</w:t>
      </w:r>
    </w:p>
    <w:p>
      <w:pPr>
        <w:pStyle w:val="4"/>
        <w:spacing w:line="360" w:lineRule="auto"/>
        <w:jc w:val="left"/>
        <w:rPr>
          <w:rFonts w:hint="eastAsia" w:ascii="宋体" w:hAnsi="宋体" w:eastAsia="宋体" w:cs="宋体"/>
          <w:b/>
          <w:bCs w:val="0"/>
          <w:color w:val="auto"/>
          <w:sz w:val="21"/>
          <w:szCs w:val="21"/>
          <w:highlight w:val="none"/>
        </w:rPr>
      </w:pPr>
      <w:bookmarkStart w:id="0" w:name="_Toc35393790"/>
      <w:bookmarkStart w:id="1" w:name="_Toc28359079"/>
      <w:bookmarkStart w:id="2" w:name="_Toc35393621"/>
      <w:bookmarkStart w:id="3" w:name="_Toc28359002"/>
      <w:bookmarkStart w:id="4" w:name="_Hlk24379207"/>
      <w:r>
        <w:rPr>
          <w:rFonts w:hint="eastAsia" w:ascii="宋体" w:hAnsi="宋体" w:eastAsia="宋体" w:cs="宋体"/>
          <w:b/>
          <w:bCs w:val="0"/>
          <w:color w:val="auto"/>
          <w:sz w:val="21"/>
          <w:szCs w:val="21"/>
          <w:highlight w:val="none"/>
        </w:rPr>
        <w:t>一、项目基本情况</w:t>
      </w:r>
      <w:bookmarkEnd w:id="0"/>
      <w:bookmarkEnd w:id="1"/>
      <w:bookmarkEnd w:id="2"/>
      <w:bookmarkEnd w:id="3"/>
    </w:p>
    <w:p>
      <w:pPr>
        <w:snapToGrid w:val="0"/>
        <w:spacing w:line="360" w:lineRule="auto"/>
        <w:ind w:firstLine="420" w:firstLineChars="200"/>
        <w:jc w:val="left"/>
        <w:rPr>
          <w:rFonts w:hint="default"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1.</w:t>
      </w:r>
      <w:r>
        <w:rPr>
          <w:rFonts w:hint="eastAsia" w:ascii="宋体" w:hAnsi="宋体" w:cs="Times New Roman"/>
          <w:color w:val="auto"/>
          <w:szCs w:val="21"/>
          <w:highlight w:val="none"/>
          <w:lang w:eastAsia="zh-CN"/>
        </w:rPr>
        <w:t>项目编号：XLD-ZC2023-0166</w:t>
      </w:r>
    </w:p>
    <w:p>
      <w:pPr>
        <w:snapToGrid w:val="0"/>
        <w:spacing w:line="360" w:lineRule="auto"/>
        <w:ind w:firstLine="420" w:firstLineChars="200"/>
        <w:jc w:val="left"/>
        <w:rPr>
          <w:rFonts w:hint="eastAsia" w:ascii="宋体" w:hAnsi="宋体" w:cs="Times New Roman"/>
          <w:color w:val="auto"/>
          <w:szCs w:val="21"/>
          <w:highlight w:val="none"/>
          <w:lang w:eastAsia="zh-CN"/>
        </w:rPr>
      </w:pPr>
      <w:r>
        <w:rPr>
          <w:rFonts w:hint="eastAsia" w:ascii="宋体" w:hAnsi="宋体" w:cs="Times New Roman"/>
          <w:color w:val="auto"/>
          <w:szCs w:val="21"/>
          <w:highlight w:val="none"/>
          <w:lang w:val="en-US" w:eastAsia="zh-CN"/>
        </w:rPr>
        <w:t>2.</w:t>
      </w:r>
      <w:r>
        <w:rPr>
          <w:rFonts w:hint="eastAsia" w:ascii="宋体" w:hAnsi="宋体" w:cs="Times New Roman"/>
          <w:color w:val="auto"/>
          <w:szCs w:val="21"/>
          <w:highlight w:val="none"/>
          <w:lang w:eastAsia="zh-CN"/>
        </w:rPr>
        <w:t>项目名称：长春师范大学细胞培养实验室建设项目</w:t>
      </w:r>
    </w:p>
    <w:p>
      <w:pPr>
        <w:snapToGrid w:val="0"/>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3.采购方式：竞争性谈判</w:t>
      </w:r>
    </w:p>
    <w:p>
      <w:pPr>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项目概况：</w:t>
      </w:r>
    </w:p>
    <w:p>
      <w:pPr>
        <w:snapToGrid w:val="0"/>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4.1 采购内容：风冷洁净式恒温恒湿机组、实验台采购及安装（详见货物需求及技术规格要求）</w:t>
      </w:r>
    </w:p>
    <w:p>
      <w:pPr>
        <w:snapToGrid w:val="0"/>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4.2 供货期：自合同签订之日起60天</w:t>
      </w:r>
    </w:p>
    <w:p>
      <w:pPr>
        <w:snapToGrid w:val="0"/>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4.3 </w:t>
      </w:r>
      <w:r>
        <w:rPr>
          <w:rFonts w:hint="eastAsia" w:ascii="宋体" w:hAnsi="宋体" w:eastAsia="宋体" w:cs="宋体"/>
          <w:color w:val="auto"/>
          <w:szCs w:val="21"/>
          <w:highlight w:val="none"/>
          <w:lang w:val="zh-CN" w:eastAsia="zh-CN"/>
        </w:rPr>
        <w:t>供货地点：采购人指定</w:t>
      </w:r>
    </w:p>
    <w:p>
      <w:pPr>
        <w:snapToGrid w:val="0"/>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4.4 预算金额（最高限价）：143262元</w:t>
      </w:r>
    </w:p>
    <w:bookmarkEnd w:id="4"/>
    <w:p>
      <w:pPr>
        <w:snapToGrid w:val="0"/>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5.质量标准：符合国家相关行业规定合格标准</w:t>
      </w:r>
    </w:p>
    <w:p>
      <w:pPr>
        <w:pStyle w:val="4"/>
        <w:spacing w:line="360" w:lineRule="auto"/>
        <w:jc w:val="left"/>
        <w:rPr>
          <w:rFonts w:hint="eastAsia" w:ascii="宋体" w:hAnsi="宋体" w:eastAsia="宋体" w:cs="宋体"/>
          <w:b/>
          <w:bCs w:val="0"/>
          <w:color w:val="auto"/>
          <w:sz w:val="21"/>
          <w:szCs w:val="21"/>
          <w:highlight w:val="none"/>
        </w:rPr>
      </w:pPr>
      <w:bookmarkStart w:id="5" w:name="_Toc35393791"/>
      <w:bookmarkStart w:id="6" w:name="_Toc28359003"/>
      <w:bookmarkStart w:id="7" w:name="_Toc28359080"/>
      <w:bookmarkStart w:id="8" w:name="_Toc35393622"/>
      <w:r>
        <w:rPr>
          <w:rFonts w:hint="eastAsia" w:ascii="宋体" w:hAnsi="宋体" w:eastAsia="宋体" w:cs="宋体"/>
          <w:b/>
          <w:bCs w:val="0"/>
          <w:color w:val="auto"/>
          <w:sz w:val="21"/>
          <w:szCs w:val="21"/>
          <w:highlight w:val="none"/>
        </w:rPr>
        <w:t>二、申请人的资格要求：</w:t>
      </w:r>
      <w:bookmarkEnd w:id="5"/>
      <w:bookmarkEnd w:id="6"/>
      <w:bookmarkEnd w:id="7"/>
      <w:bookmarkEnd w:id="8"/>
    </w:p>
    <w:p>
      <w:pPr>
        <w:snapToGrid w:val="0"/>
        <w:spacing w:line="360" w:lineRule="auto"/>
        <w:ind w:firstLine="420" w:firstLineChars="200"/>
        <w:jc w:val="left"/>
        <w:rPr>
          <w:rFonts w:hint="eastAsia" w:ascii="宋体" w:hAnsi="宋体"/>
          <w:color w:val="auto"/>
          <w:szCs w:val="21"/>
          <w:highlight w:val="none"/>
        </w:rPr>
      </w:pPr>
      <w:bookmarkStart w:id="9" w:name="_Toc28359004"/>
      <w:bookmarkStart w:id="10" w:name="_Toc28359081"/>
      <w:r>
        <w:rPr>
          <w:rFonts w:hint="eastAsia" w:ascii="宋体" w:hAnsi="宋体"/>
          <w:color w:val="auto"/>
          <w:szCs w:val="21"/>
          <w:highlight w:val="none"/>
        </w:rPr>
        <w:t>1.满足《中华人民共和国政府采购法》第二十二条规定；</w:t>
      </w:r>
    </w:p>
    <w:p>
      <w:pPr>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合格供应商必须是在中华人民共和国境内注册并取得营业执照的独立法人或其他组织，具备有效的营业执照，</w:t>
      </w:r>
      <w:r>
        <w:rPr>
          <w:rFonts w:hint="eastAsia" w:ascii="宋体" w:hAnsi="宋体"/>
          <w:b w:val="0"/>
          <w:bCs w:val="0"/>
          <w:color w:val="auto"/>
          <w:szCs w:val="21"/>
          <w:highlight w:val="none"/>
          <w:lang w:val="en-US" w:eastAsia="zh-CN"/>
        </w:rPr>
        <w:t>并在人员、资金等方面具有相应的服务能力</w:t>
      </w:r>
      <w:r>
        <w:rPr>
          <w:rFonts w:hint="eastAsia" w:ascii="宋体" w:hAnsi="宋体"/>
          <w:color w:val="auto"/>
          <w:szCs w:val="21"/>
          <w:highlight w:val="none"/>
          <w:lang w:val="en-US" w:eastAsia="zh-CN"/>
        </w:rPr>
        <w:t>；</w:t>
      </w:r>
    </w:p>
    <w:p>
      <w:pPr>
        <w:snapToGrid w:val="0"/>
        <w:spacing w:line="360" w:lineRule="auto"/>
        <w:ind w:firstLine="420" w:firstLineChars="200"/>
        <w:jc w:val="lef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3.供应商有依法缴纳税收和社会保障资金的记录（须提供2023年1月以后任意1个月纳税及参加社会保险（须含养老保险）情况证明</w:t>
      </w:r>
      <w:r>
        <w:rPr>
          <w:rFonts w:hint="eastAsia" w:ascii="宋体" w:hAnsi="宋体" w:cs="宋体"/>
          <w:bCs/>
          <w:color w:val="auto"/>
          <w:szCs w:val="21"/>
          <w:highlight w:val="none"/>
          <w:lang w:val="zh-CN" w:eastAsia="zh-CN"/>
        </w:rPr>
        <w:t>材料</w:t>
      </w:r>
      <w:r>
        <w:rPr>
          <w:rFonts w:hint="eastAsia" w:ascii="宋体" w:hAnsi="宋体"/>
          <w:color w:val="auto"/>
          <w:szCs w:val="21"/>
          <w:highlight w:val="none"/>
          <w:lang w:val="en-US" w:eastAsia="zh-CN"/>
        </w:rPr>
        <w:t>）；</w:t>
      </w:r>
    </w:p>
    <w:p>
      <w:pPr>
        <w:snapToGrid w:val="0"/>
        <w:spacing w:line="360" w:lineRule="auto"/>
        <w:ind w:firstLine="420" w:firstLineChars="200"/>
        <w:jc w:val="left"/>
        <w:rPr>
          <w:rFonts w:hint="eastAsia" w:ascii="宋体" w:hAnsi="宋体"/>
          <w:color w:val="auto"/>
          <w:szCs w:val="21"/>
          <w:highlight w:val="none"/>
          <w:lang w:val="zh-CN"/>
        </w:rPr>
      </w:pPr>
      <w:r>
        <w:rPr>
          <w:rFonts w:hint="eastAsia" w:ascii="宋体" w:hAnsi="宋体"/>
          <w:color w:val="auto"/>
          <w:szCs w:val="21"/>
          <w:highlight w:val="none"/>
          <w:lang w:val="en-US" w:eastAsia="zh-CN"/>
        </w:rPr>
        <w:t>4.供应商近三年（2020年-2022年）具有良好的财务状况。须提供近三年（2020年-2022年）财务审计报告；（若供应商为2020年-2022年之间注册成立的公司，则提供成立以后年份财务审计报告即可；若供应商为2022年以后注册成立的公司，即需提供一份银行资信证明。）</w:t>
      </w:r>
    </w:p>
    <w:p>
      <w:pPr>
        <w:snapToGrid w:val="0"/>
        <w:spacing w:line="360" w:lineRule="auto"/>
        <w:ind w:firstLine="420" w:firstLineChars="200"/>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5.本次采购不接受联合体；</w:t>
      </w:r>
    </w:p>
    <w:p>
      <w:pPr>
        <w:snapToGrid w:val="0"/>
        <w:spacing w:line="360" w:lineRule="auto"/>
        <w:ind w:firstLine="420" w:firstLineChars="200"/>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6.不接受列入政府取消谈判/投标资格记录期间的企业或个人参与；</w:t>
      </w:r>
    </w:p>
    <w:p>
      <w:pPr>
        <w:snapToGrid w:val="0"/>
        <w:spacing w:line="360" w:lineRule="auto"/>
        <w:ind w:firstLine="420" w:firstLineChars="200"/>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7.单位负责人为同一人或者存在控股、管理关系的不同单位，不得参加同一标段投标或者未划分标段的同一招标项目投标。违反规定的，相关投标均无效；</w:t>
      </w:r>
    </w:p>
    <w:p>
      <w:pPr>
        <w:snapToGrid w:val="0"/>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lang w:val="en-US" w:eastAsia="zh-CN"/>
        </w:rPr>
        <w:t>8.在“信用中国”网站（http://www.creditchina.gov.cn/）被列入失信被执行人和重大税收违法案件当事人名单的</w:t>
      </w:r>
      <w:r>
        <w:rPr>
          <w:rFonts w:hint="eastAsia" w:ascii="宋体" w:hAnsi="宋体" w:cs="宋体"/>
          <w:color w:val="auto"/>
          <w:szCs w:val="21"/>
          <w:highlight w:val="none"/>
          <w:lang w:val="en-US" w:eastAsia="zh-CN"/>
        </w:rPr>
        <w:t>供应商</w:t>
      </w:r>
      <w:r>
        <w:rPr>
          <w:rFonts w:hint="eastAsia" w:ascii="宋体" w:hAnsi="宋体"/>
          <w:color w:val="auto"/>
          <w:szCs w:val="21"/>
          <w:highlight w:val="none"/>
          <w:lang w:val="en-US" w:eastAsia="zh-CN"/>
        </w:rPr>
        <w:t>，不得参加投标。</w:t>
      </w:r>
    </w:p>
    <w:p>
      <w:pPr>
        <w:pStyle w:val="4"/>
        <w:spacing w:line="360" w:lineRule="auto"/>
        <w:jc w:val="left"/>
        <w:rPr>
          <w:rFonts w:hint="eastAsia" w:ascii="宋体" w:hAnsi="宋体" w:eastAsia="宋体" w:cs="宋体"/>
          <w:b/>
          <w:bCs w:val="0"/>
          <w:color w:val="auto"/>
          <w:sz w:val="21"/>
          <w:szCs w:val="21"/>
          <w:highlight w:val="none"/>
          <w:lang w:eastAsia="zh-CN"/>
        </w:rPr>
      </w:pPr>
      <w:bookmarkStart w:id="11" w:name="_Toc35393623"/>
      <w:bookmarkStart w:id="12" w:name="_Toc35393792"/>
      <w:r>
        <w:rPr>
          <w:rFonts w:hint="eastAsia" w:ascii="宋体" w:hAnsi="宋体" w:eastAsia="宋体" w:cs="宋体"/>
          <w:b/>
          <w:bCs w:val="0"/>
          <w:color w:val="auto"/>
          <w:sz w:val="21"/>
          <w:szCs w:val="21"/>
          <w:highlight w:val="none"/>
        </w:rPr>
        <w:t>三、获取</w:t>
      </w:r>
      <w:bookmarkEnd w:id="9"/>
      <w:bookmarkEnd w:id="10"/>
      <w:bookmarkEnd w:id="11"/>
      <w:bookmarkEnd w:id="12"/>
      <w:r>
        <w:rPr>
          <w:rFonts w:hint="eastAsia" w:eastAsia="宋体" w:cs="宋体"/>
          <w:b/>
          <w:bCs w:val="0"/>
          <w:color w:val="auto"/>
          <w:sz w:val="21"/>
          <w:szCs w:val="21"/>
          <w:highlight w:val="none"/>
          <w:lang w:eastAsia="zh-CN"/>
        </w:rPr>
        <w:t>竞争性谈判文件</w:t>
      </w:r>
    </w:p>
    <w:p>
      <w:pPr>
        <w:snapToGrid w:val="0"/>
        <w:spacing w:line="360" w:lineRule="auto"/>
        <w:ind w:left="0" w:leftChars="0" w:firstLine="420" w:firstLineChars="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时间：</w:t>
      </w:r>
      <w:r>
        <w:rPr>
          <w:rFonts w:hint="eastAsia" w:ascii="宋体" w:hAnsi="宋体" w:cs="宋体"/>
          <w:color w:val="auto"/>
          <w:szCs w:val="21"/>
          <w:highlight w:val="none"/>
          <w:u w:val="single"/>
        </w:rPr>
        <w:t>202</w:t>
      </w:r>
      <w:r>
        <w:rPr>
          <w:rFonts w:hint="eastAsia" w:ascii="宋体" w:hAnsi="宋体" w:cs="宋体"/>
          <w:color w:val="auto"/>
          <w:szCs w:val="21"/>
          <w:highlight w:val="none"/>
          <w:u w:val="single"/>
          <w:lang w:val="en-US" w:eastAsia="zh-CN"/>
        </w:rPr>
        <w:t>3</w:t>
      </w:r>
      <w:r>
        <w:rPr>
          <w:rFonts w:hint="eastAsia" w:ascii="宋体" w:hAnsi="宋体" w:cs="宋体"/>
          <w:color w:val="auto"/>
          <w:szCs w:val="21"/>
          <w:highlight w:val="none"/>
          <w:u w:val="single"/>
        </w:rPr>
        <w:t>年</w:t>
      </w:r>
      <w:r>
        <w:rPr>
          <w:rFonts w:hint="eastAsia" w:ascii="宋体" w:hAnsi="宋体" w:cs="宋体"/>
          <w:color w:val="auto"/>
          <w:szCs w:val="21"/>
          <w:highlight w:val="none"/>
          <w:u w:val="single"/>
          <w:lang w:val="en-US" w:eastAsia="zh-CN"/>
        </w:rPr>
        <w:t>9</w:t>
      </w:r>
      <w:r>
        <w:rPr>
          <w:rFonts w:hint="eastAsia" w:ascii="宋体" w:hAnsi="宋体" w:cs="宋体"/>
          <w:color w:val="auto"/>
          <w:szCs w:val="21"/>
          <w:highlight w:val="none"/>
          <w:u w:val="single"/>
        </w:rPr>
        <w:t>月</w:t>
      </w:r>
      <w:r>
        <w:rPr>
          <w:rFonts w:hint="eastAsia" w:ascii="宋体" w:hAnsi="宋体" w:cs="宋体"/>
          <w:color w:val="auto"/>
          <w:szCs w:val="21"/>
          <w:highlight w:val="none"/>
          <w:u w:val="single"/>
          <w:lang w:val="en-US" w:eastAsia="zh-CN"/>
        </w:rPr>
        <w:t>19</w:t>
      </w:r>
      <w:r>
        <w:rPr>
          <w:rFonts w:hint="eastAsia" w:ascii="宋体" w:hAnsi="宋体" w:cs="宋体"/>
          <w:color w:val="auto"/>
          <w:szCs w:val="21"/>
          <w:highlight w:val="none"/>
          <w:u w:val="single"/>
        </w:rPr>
        <w:t>日至202</w:t>
      </w:r>
      <w:r>
        <w:rPr>
          <w:rFonts w:hint="eastAsia" w:ascii="宋体" w:hAnsi="宋体" w:cs="宋体"/>
          <w:color w:val="auto"/>
          <w:szCs w:val="21"/>
          <w:highlight w:val="none"/>
          <w:u w:val="single"/>
          <w:lang w:val="en-US" w:eastAsia="zh-CN"/>
        </w:rPr>
        <w:t>3</w:t>
      </w:r>
      <w:r>
        <w:rPr>
          <w:rFonts w:hint="eastAsia" w:ascii="宋体" w:hAnsi="宋体" w:cs="宋体"/>
          <w:color w:val="auto"/>
          <w:szCs w:val="21"/>
          <w:highlight w:val="none"/>
          <w:u w:val="single"/>
        </w:rPr>
        <w:t>年</w:t>
      </w:r>
      <w:r>
        <w:rPr>
          <w:rFonts w:hint="eastAsia" w:ascii="宋体" w:hAnsi="宋体" w:cs="宋体"/>
          <w:color w:val="auto"/>
          <w:szCs w:val="21"/>
          <w:highlight w:val="none"/>
          <w:u w:val="single"/>
          <w:lang w:val="en-US" w:eastAsia="zh-CN"/>
        </w:rPr>
        <w:t>9</w:t>
      </w:r>
      <w:r>
        <w:rPr>
          <w:rFonts w:hint="eastAsia" w:ascii="宋体" w:hAnsi="宋体" w:cs="宋体"/>
          <w:color w:val="auto"/>
          <w:szCs w:val="21"/>
          <w:highlight w:val="none"/>
          <w:u w:val="single"/>
        </w:rPr>
        <w:t>月</w:t>
      </w:r>
      <w:r>
        <w:rPr>
          <w:rFonts w:hint="eastAsia" w:ascii="宋体" w:hAnsi="宋体" w:cs="宋体"/>
          <w:color w:val="auto"/>
          <w:szCs w:val="21"/>
          <w:highlight w:val="none"/>
          <w:u w:val="single"/>
          <w:lang w:val="en-US" w:eastAsia="zh-CN"/>
        </w:rPr>
        <w:t>21</w:t>
      </w:r>
      <w:r>
        <w:rPr>
          <w:rFonts w:hint="eastAsia" w:ascii="宋体" w:hAnsi="宋体" w:cs="宋体"/>
          <w:color w:val="auto"/>
          <w:szCs w:val="21"/>
          <w:highlight w:val="none"/>
          <w:u w:val="single"/>
        </w:rPr>
        <w:t>日</w:t>
      </w:r>
      <w:r>
        <w:rPr>
          <w:rFonts w:hint="eastAsia" w:ascii="宋体" w:hAnsi="宋体" w:cs="宋体"/>
          <w:color w:val="auto"/>
          <w:szCs w:val="21"/>
          <w:highlight w:val="none"/>
        </w:rPr>
        <w:t>，每天上午9:00至11:30，下午13:00至16:00（北京时间，</w:t>
      </w:r>
      <w:r>
        <w:rPr>
          <w:rFonts w:ascii="宋体" w:hAnsi="宋体" w:cs="宋体"/>
          <w:color w:val="auto"/>
          <w:szCs w:val="21"/>
          <w:highlight w:val="none"/>
        </w:rPr>
        <w:t>法定节假日</w:t>
      </w:r>
      <w:r>
        <w:rPr>
          <w:rFonts w:hint="eastAsia" w:ascii="宋体" w:hAnsi="宋体" w:cs="宋体"/>
          <w:color w:val="auto"/>
          <w:szCs w:val="21"/>
          <w:highlight w:val="none"/>
        </w:rPr>
        <w:t>除外）</w:t>
      </w:r>
      <w:r>
        <w:rPr>
          <w:rFonts w:hint="eastAsia" w:ascii="宋体" w:hAnsi="宋体" w:cs="宋体"/>
          <w:color w:val="auto"/>
          <w:szCs w:val="21"/>
          <w:highlight w:val="none"/>
          <w:lang w:eastAsia="zh-CN"/>
        </w:rPr>
        <w:t>；</w:t>
      </w:r>
    </w:p>
    <w:p>
      <w:pPr>
        <w:snapToGrid w:val="0"/>
        <w:spacing w:line="360" w:lineRule="auto"/>
        <w:ind w:left="0" w:leftChars="0" w:firstLine="420" w:firstLineChars="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2.地点：信利达建设咨询集团有限公司；</w:t>
      </w:r>
    </w:p>
    <w:p>
      <w:pPr>
        <w:snapToGrid w:val="0"/>
        <w:spacing w:line="360" w:lineRule="auto"/>
        <w:ind w:left="0" w:leftChars="0" w:firstLine="420" w:firstLineChars="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3.方式：本项目采取网上登记方式；</w:t>
      </w:r>
    </w:p>
    <w:p>
      <w:pPr>
        <w:snapToGrid w:val="0"/>
        <w:spacing w:line="360" w:lineRule="auto"/>
        <w:ind w:left="0" w:leftChars="0" w:firstLine="420" w:firstLineChars="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4.售价：竞争性谈判文件售价为500元，售后不退。</w:t>
      </w:r>
    </w:p>
    <w:p>
      <w:pPr>
        <w:snapToGrid w:val="0"/>
        <w:spacing w:line="360" w:lineRule="auto"/>
        <w:ind w:left="0" w:leftChars="0" w:firstLine="420" w:firstLineChars="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5.提供以下材料：</w:t>
      </w:r>
    </w:p>
    <w:p>
      <w:pPr>
        <w:snapToGrid w:val="0"/>
        <w:spacing w:line="360" w:lineRule="auto"/>
        <w:ind w:left="0" w:leftChars="0" w:firstLine="420" w:firstLineChars="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（1）营业执照（副本）</w:t>
      </w:r>
    </w:p>
    <w:p>
      <w:pPr>
        <w:snapToGrid w:val="0"/>
        <w:spacing w:line="360" w:lineRule="auto"/>
        <w:ind w:left="0" w:leftChars="0" w:firstLine="420" w:firstLineChars="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（2）法人授权书（或单位介绍信）及被授权人身份证</w:t>
      </w:r>
    </w:p>
    <w:p>
      <w:pPr>
        <w:snapToGrid w:val="0"/>
        <w:spacing w:line="360" w:lineRule="auto"/>
        <w:ind w:left="0" w:leftChars="0" w:firstLine="420" w:firstLineChars="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5.1供应商采用网上登记，将第5条要求的内容以清晰可辨的扫描件（PDF格式）加盖单位公章，以邮件的方式发送至采购代理机构邮箱：38886583@qq.com（标题请注明项目名称，并写明投标报名</w:t>
      </w:r>
      <w:r>
        <w:rPr>
          <w:rFonts w:hint="eastAsia" w:ascii="宋体" w:hAnsi="宋体" w:cs="宋体"/>
          <w:b/>
          <w:bCs/>
          <w:color w:val="auto"/>
          <w:szCs w:val="21"/>
          <w:highlight w:val="none"/>
          <w:lang w:val="en-US" w:eastAsia="zh-CN"/>
        </w:rPr>
        <w:t>联系人和联系电话</w:t>
      </w:r>
      <w:r>
        <w:rPr>
          <w:rFonts w:hint="eastAsia" w:ascii="宋体" w:hAnsi="宋体" w:cs="宋体"/>
          <w:color w:val="auto"/>
          <w:szCs w:val="21"/>
          <w:highlight w:val="none"/>
          <w:lang w:val="en-US" w:eastAsia="zh-CN"/>
        </w:rPr>
        <w:t>），并与采购代理机构确认报名资料是否合格。未注明联系人和联系电话导致无法取得联系的，报名无效。</w:t>
      </w:r>
    </w:p>
    <w:p>
      <w:pPr>
        <w:snapToGrid w:val="0"/>
        <w:spacing w:line="360" w:lineRule="auto"/>
        <w:ind w:left="0" w:leftChars="0" w:firstLine="420" w:firstLineChars="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5.2代理机构会对供应商发送至邮箱的资料进行确认，若资料不全会告知供应商进行补充、修改，供应商需在报名截止时间前完成补充、修改；对报名成功的供应商，代理机构将“报名及购买招标（采购）文件登记表”电子版发送至供应商邮箱，供应商按要求填写后，将电子版连同加盖单位公章的清晰可辨的扫描件和文件费支付凭证扫描件发送至代理机构邮箱后，方可联系采购代理机构获取竞争性谈判文件。</w:t>
      </w:r>
    </w:p>
    <w:p>
      <w:pPr>
        <w:snapToGrid w:val="0"/>
        <w:spacing w:line="360" w:lineRule="auto"/>
        <w:ind w:left="0" w:leftChars="0" w:firstLine="420" w:firstLineChars="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6.有效供应商不足三家时，采购人另行组织采购。</w:t>
      </w:r>
    </w:p>
    <w:p>
      <w:pPr>
        <w:pStyle w:val="4"/>
        <w:spacing w:line="360" w:lineRule="auto"/>
        <w:jc w:val="left"/>
        <w:rPr>
          <w:rFonts w:hint="eastAsia" w:ascii="宋体" w:hAnsi="宋体" w:eastAsia="宋体" w:cs="宋体"/>
          <w:b/>
          <w:bCs w:val="0"/>
          <w:color w:val="auto"/>
          <w:sz w:val="21"/>
          <w:szCs w:val="21"/>
          <w:highlight w:val="none"/>
        </w:rPr>
      </w:pPr>
      <w:bookmarkStart w:id="13" w:name="_Toc28359005"/>
      <w:bookmarkStart w:id="14" w:name="_Toc28359082"/>
      <w:bookmarkStart w:id="15" w:name="_Toc35393793"/>
      <w:bookmarkStart w:id="16" w:name="_Toc35393624"/>
      <w:r>
        <w:rPr>
          <w:rFonts w:hint="eastAsia" w:ascii="宋体" w:hAnsi="宋体" w:eastAsia="宋体" w:cs="宋体"/>
          <w:b/>
          <w:bCs w:val="0"/>
          <w:color w:val="auto"/>
          <w:sz w:val="21"/>
          <w:szCs w:val="21"/>
          <w:highlight w:val="none"/>
        </w:rPr>
        <w:t>四、提交</w:t>
      </w:r>
      <w:r>
        <w:rPr>
          <w:rFonts w:hint="eastAsia" w:eastAsia="宋体" w:cs="宋体"/>
          <w:b/>
          <w:bCs w:val="0"/>
          <w:color w:val="auto"/>
          <w:sz w:val="21"/>
          <w:szCs w:val="21"/>
          <w:highlight w:val="none"/>
          <w:lang w:eastAsia="zh-CN"/>
        </w:rPr>
        <w:t>报价</w:t>
      </w:r>
      <w:r>
        <w:rPr>
          <w:rFonts w:hint="eastAsia" w:ascii="宋体" w:hAnsi="宋体" w:eastAsia="宋体" w:cs="宋体"/>
          <w:b/>
          <w:bCs w:val="0"/>
          <w:color w:val="auto"/>
          <w:sz w:val="21"/>
          <w:szCs w:val="21"/>
          <w:highlight w:val="none"/>
        </w:rPr>
        <w:t>文件</w:t>
      </w:r>
      <w:bookmarkEnd w:id="13"/>
      <w:bookmarkEnd w:id="14"/>
      <w:r>
        <w:rPr>
          <w:rFonts w:hint="eastAsia" w:ascii="宋体" w:hAnsi="宋体" w:eastAsia="宋体" w:cs="宋体"/>
          <w:b/>
          <w:bCs w:val="0"/>
          <w:color w:val="auto"/>
          <w:sz w:val="21"/>
          <w:szCs w:val="21"/>
          <w:highlight w:val="none"/>
        </w:rPr>
        <w:t>截止时间、</w:t>
      </w:r>
      <w:r>
        <w:rPr>
          <w:rFonts w:hint="eastAsia" w:eastAsia="宋体" w:cs="宋体"/>
          <w:b/>
          <w:bCs w:val="0"/>
          <w:color w:val="auto"/>
          <w:sz w:val="21"/>
          <w:szCs w:val="21"/>
          <w:highlight w:val="none"/>
          <w:lang w:eastAsia="zh-CN"/>
        </w:rPr>
        <w:t>谈判</w:t>
      </w:r>
      <w:r>
        <w:rPr>
          <w:rFonts w:hint="eastAsia" w:ascii="宋体" w:hAnsi="宋体" w:eastAsia="宋体" w:cs="宋体"/>
          <w:b/>
          <w:bCs w:val="0"/>
          <w:color w:val="auto"/>
          <w:sz w:val="21"/>
          <w:szCs w:val="21"/>
          <w:highlight w:val="none"/>
        </w:rPr>
        <w:t>时间和地点</w:t>
      </w:r>
      <w:bookmarkEnd w:id="15"/>
      <w:bookmarkEnd w:id="16"/>
    </w:p>
    <w:p>
      <w:pPr>
        <w:snapToGrid w:val="0"/>
        <w:spacing w:line="360" w:lineRule="auto"/>
        <w:ind w:firstLine="420" w:firstLineChars="200"/>
        <w:jc w:val="left"/>
        <w:rPr>
          <w:rFonts w:hint="eastAsia" w:ascii="宋体" w:hAnsi="宋体" w:cs="宋体"/>
          <w:iCs/>
          <w:color w:val="auto"/>
          <w:szCs w:val="21"/>
          <w:highlight w:val="none"/>
        </w:rPr>
      </w:pPr>
      <w:r>
        <w:rPr>
          <w:rFonts w:hint="eastAsia" w:ascii="宋体" w:hAnsi="宋体"/>
          <w:bCs/>
          <w:color w:val="auto"/>
          <w:szCs w:val="21"/>
          <w:highlight w:val="none"/>
          <w:lang w:val="en-US" w:eastAsia="zh-CN"/>
        </w:rPr>
        <w:t>1.</w:t>
      </w:r>
      <w:r>
        <w:rPr>
          <w:rFonts w:hint="eastAsia" w:ascii="宋体" w:hAnsi="宋体"/>
          <w:bCs/>
          <w:color w:val="auto"/>
          <w:szCs w:val="21"/>
          <w:highlight w:val="none"/>
          <w:lang w:eastAsia="zh-CN"/>
        </w:rPr>
        <w:t>谈判</w:t>
      </w:r>
      <w:r>
        <w:rPr>
          <w:rFonts w:hint="eastAsia" w:ascii="宋体" w:hAnsi="宋体"/>
          <w:bCs/>
          <w:color w:val="auto"/>
          <w:szCs w:val="21"/>
          <w:highlight w:val="none"/>
        </w:rPr>
        <w:t>时间（投标截止时间）：</w:t>
      </w:r>
      <w:r>
        <w:rPr>
          <w:rFonts w:hint="eastAsia" w:ascii="宋体" w:hAnsi="宋体"/>
          <w:color w:val="auto"/>
          <w:szCs w:val="21"/>
          <w:highlight w:val="none"/>
        </w:rPr>
        <w:t>202</w:t>
      </w:r>
      <w:r>
        <w:rPr>
          <w:rFonts w:hint="eastAsia" w:ascii="宋体" w:hAnsi="宋体"/>
          <w:color w:val="auto"/>
          <w:szCs w:val="21"/>
          <w:highlight w:val="none"/>
          <w:lang w:val="en-US" w:eastAsia="zh-CN"/>
        </w:rPr>
        <w:t>3</w:t>
      </w:r>
      <w:r>
        <w:rPr>
          <w:rFonts w:hint="eastAsia" w:ascii="宋体" w:hAnsi="宋体"/>
          <w:color w:val="auto"/>
          <w:szCs w:val="21"/>
          <w:highlight w:val="none"/>
        </w:rPr>
        <w:t>年</w:t>
      </w:r>
      <w:r>
        <w:rPr>
          <w:rFonts w:hint="eastAsia" w:ascii="宋体" w:hAnsi="宋体"/>
          <w:color w:val="auto"/>
          <w:szCs w:val="21"/>
          <w:highlight w:val="none"/>
          <w:lang w:val="en-US" w:eastAsia="zh-CN"/>
        </w:rPr>
        <w:t>9</w:t>
      </w:r>
      <w:r>
        <w:rPr>
          <w:rFonts w:hint="eastAsia" w:ascii="宋体" w:hAnsi="宋体"/>
          <w:color w:val="auto"/>
          <w:szCs w:val="21"/>
          <w:highlight w:val="none"/>
        </w:rPr>
        <w:t>月</w:t>
      </w:r>
      <w:r>
        <w:rPr>
          <w:rFonts w:hint="eastAsia" w:ascii="宋体" w:hAnsi="宋体"/>
          <w:color w:val="auto"/>
          <w:szCs w:val="21"/>
          <w:highlight w:val="none"/>
          <w:lang w:val="en-US" w:eastAsia="zh-CN"/>
        </w:rPr>
        <w:t>27</w:t>
      </w:r>
      <w:r>
        <w:rPr>
          <w:rFonts w:hint="eastAsia" w:ascii="宋体" w:hAnsi="宋体"/>
          <w:color w:val="auto"/>
          <w:szCs w:val="21"/>
          <w:highlight w:val="none"/>
        </w:rPr>
        <w:t>日</w:t>
      </w:r>
      <w:r>
        <w:rPr>
          <w:rFonts w:hint="eastAsia" w:ascii="宋体" w:hAnsi="宋体"/>
          <w:color w:val="auto"/>
          <w:szCs w:val="21"/>
          <w:highlight w:val="none"/>
          <w:lang w:val="en-US" w:eastAsia="zh-CN"/>
        </w:rPr>
        <w:t>10</w:t>
      </w:r>
      <w:r>
        <w:rPr>
          <w:rFonts w:hint="eastAsia" w:ascii="宋体" w:hAnsi="宋体"/>
          <w:color w:val="auto"/>
          <w:szCs w:val="21"/>
          <w:highlight w:val="none"/>
        </w:rPr>
        <w:t>点</w:t>
      </w:r>
      <w:r>
        <w:rPr>
          <w:rFonts w:hint="eastAsia" w:ascii="宋体" w:hAnsi="宋体"/>
          <w:color w:val="auto"/>
          <w:szCs w:val="21"/>
          <w:highlight w:val="none"/>
          <w:lang w:val="en-US" w:eastAsia="zh-CN"/>
        </w:rPr>
        <w:t>00</w:t>
      </w:r>
      <w:r>
        <w:rPr>
          <w:rFonts w:hint="eastAsia" w:ascii="宋体" w:hAnsi="宋体"/>
          <w:color w:val="auto"/>
          <w:szCs w:val="21"/>
          <w:highlight w:val="none"/>
        </w:rPr>
        <w:t>分</w:t>
      </w:r>
      <w:r>
        <w:rPr>
          <w:rFonts w:hint="eastAsia" w:ascii="宋体" w:hAnsi="宋体"/>
          <w:bCs/>
          <w:color w:val="auto"/>
          <w:szCs w:val="21"/>
          <w:highlight w:val="none"/>
        </w:rPr>
        <w:t>（北京时间）</w:t>
      </w:r>
    </w:p>
    <w:p>
      <w:pPr>
        <w:snapToGri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lang w:eastAsia="zh-CN"/>
        </w:rPr>
        <w:t>谈判</w:t>
      </w:r>
      <w:r>
        <w:rPr>
          <w:rFonts w:hint="eastAsia" w:ascii="宋体" w:hAnsi="宋体"/>
          <w:color w:val="auto"/>
          <w:szCs w:val="21"/>
          <w:highlight w:val="none"/>
        </w:rPr>
        <w:t>地点：</w:t>
      </w:r>
      <w:r>
        <w:rPr>
          <w:rFonts w:hint="eastAsia" w:ascii="宋体" w:hAnsi="宋体"/>
          <w:color w:val="auto"/>
          <w:szCs w:val="21"/>
          <w:highlight w:val="none"/>
          <w:lang w:eastAsia="zh-CN"/>
        </w:rPr>
        <w:t>信利达建设咨询集团有限公司评标</w:t>
      </w:r>
      <w:r>
        <w:rPr>
          <w:rFonts w:hint="eastAsia" w:ascii="宋体" w:hAnsi="宋体"/>
          <w:color w:val="auto"/>
          <w:szCs w:val="21"/>
          <w:highlight w:val="none"/>
        </w:rPr>
        <w:t>室</w:t>
      </w:r>
      <w:r>
        <w:rPr>
          <w:rFonts w:hint="eastAsia" w:ascii="宋体" w:hAnsi="宋体"/>
          <w:color w:val="auto"/>
          <w:szCs w:val="21"/>
          <w:highlight w:val="none"/>
          <w:lang w:eastAsia="zh-CN"/>
        </w:rPr>
        <w:t>。</w:t>
      </w:r>
    </w:p>
    <w:p>
      <w:pPr>
        <w:pStyle w:val="4"/>
        <w:spacing w:line="360" w:lineRule="auto"/>
        <w:jc w:val="left"/>
        <w:rPr>
          <w:rFonts w:hint="eastAsia" w:ascii="宋体" w:hAnsi="宋体" w:eastAsia="宋体" w:cs="宋体"/>
          <w:b/>
          <w:bCs w:val="0"/>
          <w:color w:val="auto"/>
          <w:sz w:val="21"/>
          <w:szCs w:val="21"/>
          <w:highlight w:val="none"/>
        </w:rPr>
      </w:pPr>
      <w:bookmarkStart w:id="17" w:name="_Toc35393625"/>
      <w:bookmarkStart w:id="18" w:name="_Toc35393794"/>
      <w:bookmarkStart w:id="19" w:name="_Toc28359007"/>
      <w:bookmarkStart w:id="20" w:name="_Toc28359084"/>
      <w:r>
        <w:rPr>
          <w:rFonts w:hint="eastAsia" w:ascii="宋体" w:hAnsi="宋体" w:eastAsia="宋体" w:cs="宋体"/>
          <w:b/>
          <w:bCs w:val="0"/>
          <w:color w:val="auto"/>
          <w:sz w:val="21"/>
          <w:szCs w:val="21"/>
          <w:highlight w:val="none"/>
        </w:rPr>
        <w:t>五、公告期限</w:t>
      </w:r>
      <w:bookmarkEnd w:id="17"/>
      <w:bookmarkEnd w:id="18"/>
      <w:bookmarkEnd w:id="19"/>
      <w:bookmarkEnd w:id="20"/>
    </w:p>
    <w:p>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自本公告发布之日起</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个工作日。</w:t>
      </w:r>
    </w:p>
    <w:p>
      <w:pPr>
        <w:pStyle w:val="4"/>
        <w:spacing w:line="360" w:lineRule="auto"/>
        <w:jc w:val="left"/>
        <w:rPr>
          <w:rFonts w:hint="eastAsia" w:ascii="宋体" w:hAnsi="宋体" w:eastAsia="宋体" w:cs="宋体"/>
          <w:b/>
          <w:bCs w:val="0"/>
          <w:color w:val="auto"/>
          <w:sz w:val="21"/>
          <w:szCs w:val="21"/>
          <w:highlight w:val="none"/>
        </w:rPr>
      </w:pPr>
      <w:bookmarkStart w:id="21" w:name="_Toc35393795"/>
      <w:bookmarkStart w:id="22" w:name="_Toc35393626"/>
      <w:r>
        <w:rPr>
          <w:rFonts w:hint="eastAsia" w:ascii="宋体" w:hAnsi="宋体" w:eastAsia="宋体" w:cs="宋体"/>
          <w:b/>
          <w:bCs w:val="0"/>
          <w:color w:val="auto"/>
          <w:sz w:val="21"/>
          <w:szCs w:val="21"/>
          <w:highlight w:val="none"/>
        </w:rPr>
        <w:t>六、其他补充事宜</w:t>
      </w:r>
      <w:bookmarkEnd w:id="21"/>
      <w:bookmarkEnd w:id="22"/>
    </w:p>
    <w:p>
      <w:pPr>
        <w:snapToGrid w:val="0"/>
        <w:spacing w:line="360" w:lineRule="auto"/>
        <w:ind w:left="0" w:leftChars="0" w:firstLine="420" w:firstLineChars="0"/>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1.供应商在投标截止时间前，应按照有关规定提供相应的投标保证金：贰仟元人民币；</w:t>
      </w:r>
    </w:p>
    <w:p>
      <w:pPr>
        <w:snapToGrid w:val="0"/>
        <w:spacing w:line="360" w:lineRule="auto"/>
        <w:ind w:left="0" w:leftChars="0" w:firstLine="420" w:firstLineChars="0"/>
        <w:jc w:val="left"/>
        <w:rPr>
          <w:rFonts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本次采购公告同时在</w:t>
      </w:r>
      <w:r>
        <w:rPr>
          <w:rFonts w:hint="eastAsia" w:ascii="宋体" w:hAnsi="宋体"/>
          <w:color w:val="auto"/>
          <w:szCs w:val="21"/>
          <w:highlight w:val="none"/>
          <w:u w:val="single"/>
        </w:rPr>
        <w:t>中国政府采购网、中国招标投标公共服务平台、</w:t>
      </w:r>
      <w:r>
        <w:rPr>
          <w:rFonts w:hint="eastAsia" w:ascii="宋体" w:hAnsi="宋体"/>
          <w:color w:val="auto"/>
          <w:szCs w:val="21"/>
          <w:highlight w:val="none"/>
          <w:u w:val="single"/>
          <w:lang w:eastAsia="zh-CN"/>
        </w:rPr>
        <w:t>长春师范大学官网</w:t>
      </w:r>
      <w:r>
        <w:rPr>
          <w:rFonts w:hint="eastAsia" w:ascii="宋体" w:hAnsi="宋体"/>
          <w:color w:val="auto"/>
          <w:szCs w:val="21"/>
          <w:highlight w:val="none"/>
        </w:rPr>
        <w:t>上发布。</w:t>
      </w:r>
    </w:p>
    <w:p>
      <w:pPr>
        <w:pStyle w:val="4"/>
        <w:spacing w:line="360" w:lineRule="auto"/>
        <w:jc w:val="left"/>
        <w:rPr>
          <w:rFonts w:hint="eastAsia" w:ascii="宋体" w:hAnsi="宋体" w:eastAsia="宋体" w:cs="宋体"/>
          <w:b/>
          <w:bCs w:val="0"/>
          <w:color w:val="auto"/>
          <w:sz w:val="21"/>
          <w:szCs w:val="21"/>
          <w:highlight w:val="none"/>
        </w:rPr>
      </w:pPr>
      <w:bookmarkStart w:id="23" w:name="_Toc35393796"/>
      <w:bookmarkStart w:id="24" w:name="_Toc28359008"/>
      <w:bookmarkStart w:id="25" w:name="_Toc28359085"/>
      <w:bookmarkStart w:id="26" w:name="_Toc35393627"/>
      <w:r>
        <w:rPr>
          <w:rFonts w:hint="eastAsia" w:ascii="宋体" w:hAnsi="宋体" w:eastAsia="宋体" w:cs="宋体"/>
          <w:b/>
          <w:bCs w:val="0"/>
          <w:color w:val="auto"/>
          <w:sz w:val="21"/>
          <w:szCs w:val="21"/>
          <w:highlight w:val="none"/>
        </w:rPr>
        <w:t>七、对本次采购提出询问，请按以下方式联系。</w:t>
      </w:r>
      <w:bookmarkEnd w:id="23"/>
      <w:bookmarkEnd w:id="24"/>
      <w:bookmarkEnd w:id="25"/>
      <w:bookmarkEnd w:id="26"/>
    </w:p>
    <w:p>
      <w:pPr>
        <w:pStyle w:val="7"/>
        <w:snapToGrid w:val="0"/>
        <w:spacing w:line="360" w:lineRule="auto"/>
        <w:ind w:left="71" w:leftChars="34" w:firstLine="346" w:firstLineChars="165"/>
        <w:rPr>
          <w:rFonts w:ascii="宋体" w:hAnsi="宋体"/>
          <w:color w:val="auto"/>
          <w:szCs w:val="21"/>
          <w:highlight w:val="none"/>
        </w:rPr>
      </w:pPr>
      <w:r>
        <w:rPr>
          <w:rFonts w:hint="eastAsia" w:ascii="宋体" w:hAnsi="宋体"/>
          <w:color w:val="auto"/>
          <w:szCs w:val="21"/>
          <w:highlight w:val="none"/>
        </w:rPr>
        <w:t>1.采购人信息</w:t>
      </w:r>
    </w:p>
    <w:p>
      <w:pPr>
        <w:pStyle w:val="7"/>
        <w:snapToGrid w:val="0"/>
        <w:spacing w:line="360" w:lineRule="auto"/>
        <w:ind w:left="71" w:leftChars="34" w:firstLine="346" w:firstLineChars="165"/>
        <w:rPr>
          <w:rFonts w:hint="eastAsia" w:ascii="宋体" w:hAnsi="宋体" w:eastAsia="宋体"/>
          <w:color w:val="auto"/>
          <w:szCs w:val="21"/>
          <w:highlight w:val="none"/>
          <w:lang w:eastAsia="zh-CN"/>
        </w:rPr>
      </w:pPr>
      <w:r>
        <w:rPr>
          <w:rFonts w:hint="eastAsia" w:ascii="宋体" w:hAnsi="宋体"/>
          <w:color w:val="auto"/>
          <w:szCs w:val="21"/>
          <w:highlight w:val="none"/>
        </w:rPr>
        <w:t>名称：</w:t>
      </w:r>
      <w:r>
        <w:rPr>
          <w:rFonts w:hint="eastAsia" w:ascii="宋体" w:hAnsi="宋体"/>
          <w:color w:val="auto"/>
          <w:szCs w:val="21"/>
          <w:highlight w:val="none"/>
          <w:lang w:eastAsia="zh-CN"/>
        </w:rPr>
        <w:t>长春师范大学</w:t>
      </w:r>
    </w:p>
    <w:p>
      <w:pPr>
        <w:pStyle w:val="7"/>
        <w:snapToGrid w:val="0"/>
        <w:spacing w:line="360" w:lineRule="auto"/>
        <w:ind w:left="71" w:leftChars="34" w:firstLine="346" w:firstLineChars="165"/>
        <w:rPr>
          <w:rFonts w:ascii="宋体" w:hAnsi="宋体"/>
          <w:color w:val="auto"/>
          <w:szCs w:val="21"/>
          <w:highlight w:val="none"/>
        </w:rPr>
      </w:pPr>
      <w:r>
        <w:rPr>
          <w:rFonts w:hint="eastAsia" w:ascii="宋体" w:hAnsi="宋体"/>
          <w:color w:val="auto"/>
          <w:szCs w:val="21"/>
          <w:highlight w:val="none"/>
        </w:rPr>
        <w:t>地址：</w:t>
      </w:r>
      <w:r>
        <w:rPr>
          <w:rFonts w:hint="eastAsia" w:ascii="宋体" w:hAnsi="宋体"/>
          <w:color w:val="auto"/>
          <w:szCs w:val="21"/>
          <w:highlight w:val="none"/>
          <w:lang w:val="en-US" w:eastAsia="zh-CN"/>
        </w:rPr>
        <w:t>长春市长吉北线677号</w:t>
      </w:r>
    </w:p>
    <w:p>
      <w:pPr>
        <w:pStyle w:val="7"/>
        <w:snapToGrid w:val="0"/>
        <w:spacing w:line="360" w:lineRule="auto"/>
        <w:ind w:left="71" w:leftChars="34" w:firstLine="346" w:firstLineChars="165"/>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联系人：</w:t>
      </w:r>
      <w:r>
        <w:rPr>
          <w:rFonts w:hint="eastAsia" w:ascii="宋体" w:hAnsi="宋体"/>
          <w:color w:val="auto"/>
          <w:szCs w:val="21"/>
          <w:highlight w:val="none"/>
          <w:lang w:val="en-US" w:eastAsia="zh-CN"/>
        </w:rPr>
        <w:t>王凯</w:t>
      </w:r>
    </w:p>
    <w:p>
      <w:pPr>
        <w:pStyle w:val="7"/>
        <w:snapToGrid w:val="0"/>
        <w:spacing w:line="360" w:lineRule="auto"/>
        <w:ind w:left="71" w:leftChars="34" w:firstLine="346" w:firstLineChars="165"/>
        <w:rPr>
          <w:rFonts w:hint="eastAsia" w:ascii="宋体" w:hAnsi="宋体"/>
          <w:color w:val="auto"/>
          <w:szCs w:val="21"/>
          <w:highlight w:val="none"/>
        </w:rPr>
      </w:pPr>
      <w:r>
        <w:rPr>
          <w:rFonts w:hint="eastAsia" w:ascii="宋体" w:hAnsi="宋体"/>
          <w:color w:val="auto"/>
          <w:szCs w:val="21"/>
          <w:highlight w:val="none"/>
        </w:rPr>
        <w:t>联系方式：</w:t>
      </w:r>
      <w:bookmarkStart w:id="27" w:name="_Toc28359086"/>
      <w:bookmarkStart w:id="28" w:name="_Toc28359009"/>
      <w:r>
        <w:rPr>
          <w:rFonts w:hint="eastAsia" w:ascii="宋体" w:hAnsi="宋体"/>
          <w:color w:val="auto"/>
          <w:szCs w:val="21"/>
          <w:highlight w:val="none"/>
          <w:lang w:val="en-US" w:eastAsia="zh-CN"/>
        </w:rPr>
        <w:t>0431-86168680</w:t>
      </w:r>
    </w:p>
    <w:p>
      <w:pPr>
        <w:pStyle w:val="7"/>
        <w:snapToGrid w:val="0"/>
        <w:spacing w:line="360" w:lineRule="auto"/>
        <w:ind w:left="71" w:leftChars="34" w:firstLine="346" w:firstLineChars="165"/>
        <w:rPr>
          <w:rFonts w:ascii="宋体" w:hAnsi="宋体"/>
          <w:color w:val="auto"/>
          <w:szCs w:val="21"/>
          <w:highlight w:val="none"/>
        </w:rPr>
      </w:pPr>
      <w:r>
        <w:rPr>
          <w:rFonts w:hint="eastAsia" w:ascii="宋体" w:hAnsi="宋体"/>
          <w:color w:val="auto"/>
          <w:szCs w:val="21"/>
          <w:highlight w:val="none"/>
        </w:rPr>
        <w:t>2.采购代理机构信息</w:t>
      </w:r>
      <w:bookmarkEnd w:id="27"/>
      <w:bookmarkEnd w:id="28"/>
    </w:p>
    <w:p>
      <w:pPr>
        <w:pStyle w:val="7"/>
        <w:snapToGrid w:val="0"/>
        <w:spacing w:line="360" w:lineRule="auto"/>
        <w:ind w:left="71" w:leftChars="34" w:firstLine="346" w:firstLineChars="165"/>
        <w:rPr>
          <w:rFonts w:hint="eastAsia" w:ascii="宋体" w:hAnsi="宋体" w:eastAsia="宋体"/>
          <w:color w:val="auto"/>
          <w:szCs w:val="21"/>
          <w:highlight w:val="none"/>
          <w:lang w:eastAsia="zh-CN"/>
        </w:rPr>
      </w:pPr>
      <w:r>
        <w:rPr>
          <w:rFonts w:hint="eastAsia" w:ascii="宋体" w:hAnsi="宋体"/>
          <w:color w:val="auto"/>
          <w:szCs w:val="21"/>
          <w:highlight w:val="none"/>
        </w:rPr>
        <w:t>名称：</w:t>
      </w:r>
      <w:r>
        <w:rPr>
          <w:rFonts w:hint="eastAsia" w:ascii="宋体" w:hAnsi="宋体"/>
          <w:color w:val="auto"/>
          <w:szCs w:val="21"/>
          <w:highlight w:val="none"/>
          <w:lang w:eastAsia="zh-CN"/>
        </w:rPr>
        <w:t>信利达建设咨询集团有限公司</w:t>
      </w:r>
    </w:p>
    <w:p>
      <w:pPr>
        <w:pStyle w:val="7"/>
        <w:snapToGrid w:val="0"/>
        <w:spacing w:line="360" w:lineRule="auto"/>
        <w:ind w:left="71" w:leftChars="34" w:firstLine="346" w:firstLineChars="165"/>
        <w:rPr>
          <w:rFonts w:ascii="宋体" w:hAnsi="宋体"/>
          <w:color w:val="auto"/>
          <w:szCs w:val="21"/>
          <w:highlight w:val="none"/>
        </w:rPr>
      </w:pPr>
      <w:r>
        <w:rPr>
          <w:rFonts w:hint="eastAsia" w:ascii="宋体" w:hAnsi="宋体"/>
          <w:color w:val="auto"/>
          <w:szCs w:val="21"/>
          <w:highlight w:val="none"/>
        </w:rPr>
        <w:t>地址：长春市净月经济开发区伟峰东樾D12-104</w:t>
      </w:r>
    </w:p>
    <w:p>
      <w:pPr>
        <w:pStyle w:val="7"/>
        <w:snapToGrid w:val="0"/>
        <w:spacing w:line="360" w:lineRule="auto"/>
        <w:ind w:left="71" w:leftChars="34" w:firstLine="346" w:firstLineChars="165"/>
        <w:rPr>
          <w:rFonts w:hint="default" w:ascii="宋体" w:hAnsi="宋体"/>
          <w:color w:val="auto"/>
          <w:szCs w:val="21"/>
          <w:highlight w:val="none"/>
          <w:lang w:val="en-US"/>
        </w:rPr>
      </w:pPr>
      <w:r>
        <w:rPr>
          <w:rFonts w:hint="eastAsia" w:ascii="宋体" w:hAnsi="宋体"/>
          <w:color w:val="auto"/>
          <w:szCs w:val="21"/>
          <w:highlight w:val="none"/>
        </w:rPr>
        <w:t>联系方式：</w:t>
      </w:r>
      <w:bookmarkStart w:id="29" w:name="_Toc28359087"/>
      <w:bookmarkStart w:id="30" w:name="_Toc28359010"/>
      <w:r>
        <w:rPr>
          <w:rFonts w:hint="eastAsia" w:ascii="宋体" w:hAnsi="宋体" w:cs="宋体"/>
          <w:bCs/>
          <w:color w:val="auto"/>
          <w:kern w:val="2"/>
          <w:sz w:val="21"/>
          <w:szCs w:val="21"/>
          <w:highlight w:val="none"/>
          <w:lang w:val="en-US" w:eastAsia="zh-CN"/>
        </w:rPr>
        <w:t>0431-81968899</w:t>
      </w:r>
    </w:p>
    <w:p>
      <w:pPr>
        <w:pStyle w:val="7"/>
        <w:snapToGrid w:val="0"/>
        <w:spacing w:line="360" w:lineRule="auto"/>
        <w:ind w:left="71" w:leftChars="34" w:firstLine="346" w:firstLineChars="165"/>
        <w:rPr>
          <w:rFonts w:ascii="宋体" w:hAnsi="宋体"/>
          <w:color w:val="auto"/>
          <w:szCs w:val="21"/>
          <w:highlight w:val="none"/>
        </w:rPr>
      </w:pPr>
      <w:r>
        <w:rPr>
          <w:rFonts w:hint="eastAsia" w:ascii="宋体" w:hAnsi="宋体"/>
          <w:color w:val="auto"/>
          <w:szCs w:val="21"/>
          <w:highlight w:val="none"/>
        </w:rPr>
        <w:t>3.项目</w:t>
      </w:r>
      <w:r>
        <w:rPr>
          <w:rFonts w:ascii="宋体" w:hAnsi="宋体"/>
          <w:color w:val="auto"/>
          <w:szCs w:val="21"/>
          <w:highlight w:val="none"/>
        </w:rPr>
        <w:t>联系方式</w:t>
      </w:r>
      <w:bookmarkEnd w:id="29"/>
      <w:bookmarkEnd w:id="30"/>
    </w:p>
    <w:p>
      <w:pPr>
        <w:pStyle w:val="7"/>
        <w:snapToGrid w:val="0"/>
        <w:spacing w:line="360" w:lineRule="auto"/>
        <w:ind w:left="71" w:leftChars="34" w:firstLine="346" w:firstLineChars="165"/>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项目联系人</w:t>
      </w:r>
      <w:r>
        <w:rPr>
          <w:rFonts w:hint="eastAsia" w:ascii="宋体" w:hAnsi="宋体"/>
          <w:color w:val="auto"/>
          <w:szCs w:val="21"/>
          <w:highlight w:val="none"/>
        </w:rPr>
        <w:t>：</w:t>
      </w:r>
      <w:r>
        <w:rPr>
          <w:rFonts w:hint="eastAsia" w:ascii="宋体" w:hAnsi="宋体" w:cs="宋体"/>
          <w:bCs/>
          <w:color w:val="auto"/>
          <w:kern w:val="2"/>
          <w:sz w:val="21"/>
          <w:szCs w:val="21"/>
          <w:highlight w:val="none"/>
          <w:lang w:val="zh-CN"/>
        </w:rPr>
        <w:t>叶金泽</w:t>
      </w:r>
    </w:p>
    <w:p>
      <w:pPr>
        <w:ind w:firstLine="420" w:firstLineChars="200"/>
        <w:rPr>
          <w:rFonts w:hint="eastAsia" w:ascii="宋体" w:hAnsi="宋体" w:cs="宋体"/>
          <w:bCs/>
          <w:color w:val="auto"/>
          <w:kern w:val="2"/>
          <w:sz w:val="21"/>
          <w:szCs w:val="21"/>
          <w:highlight w:val="none"/>
          <w:lang w:val="en-US" w:eastAsia="zh-CN"/>
        </w:rPr>
      </w:pPr>
      <w:r>
        <w:rPr>
          <w:rFonts w:hint="eastAsia" w:ascii="宋体" w:hAnsi="宋体"/>
          <w:color w:val="auto"/>
          <w:szCs w:val="21"/>
          <w:highlight w:val="none"/>
          <w:lang w:eastAsia="zh-CN"/>
        </w:rPr>
        <w:t>电话</w:t>
      </w:r>
      <w:r>
        <w:rPr>
          <w:rFonts w:hint="eastAsia" w:ascii="宋体" w:hAnsi="宋体"/>
          <w:color w:val="auto"/>
          <w:szCs w:val="21"/>
          <w:highlight w:val="none"/>
        </w:rPr>
        <w:t>：</w:t>
      </w:r>
      <w:r>
        <w:rPr>
          <w:rFonts w:hint="eastAsia" w:ascii="宋体" w:hAnsi="宋体" w:cs="宋体"/>
          <w:bCs/>
          <w:color w:val="auto"/>
          <w:kern w:val="2"/>
          <w:sz w:val="21"/>
          <w:szCs w:val="21"/>
          <w:highlight w:val="none"/>
          <w:lang w:val="en-US" w:eastAsia="zh-CN"/>
        </w:rPr>
        <w:t>0431-81968899</w:t>
      </w:r>
    </w:p>
    <w:p>
      <w:bookmarkStart w:id="31" w:name="_GoBack"/>
      <w:bookmarkEnd w:id="3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MS Sans Serif">
    <w:altName w:val="Arial"/>
    <w:panose1 w:val="00000000000000000000"/>
    <w:charset w:val="00"/>
    <w:family w:val="swiss"/>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JiMzMzNzM2NDMyNjUzMDMyNzM2Zjc1NDJkMzBhNGEifQ=="/>
  </w:docVars>
  <w:rsids>
    <w:rsidRoot w:val="0C744B49"/>
    <w:rsid w:val="0C744B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1"/>
    <w:qFormat/>
    <w:uiPriority w:val="0"/>
    <w:pPr>
      <w:keepNext/>
      <w:keepLines/>
      <w:widowControl/>
      <w:spacing w:line="360" w:lineRule="auto"/>
      <w:jc w:val="center"/>
      <w:outlineLvl w:val="1"/>
    </w:pPr>
    <w:rPr>
      <w:rFonts w:ascii="宋体" w:hAnsi="宋体" w:eastAsia="宋体" w:cs="Times New Roman"/>
      <w:b/>
      <w:color w:val="000000"/>
      <w:kern w:val="0"/>
      <w:sz w:val="44"/>
      <w:szCs w:val="20"/>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tabs>
        <w:tab w:val="left" w:pos="360"/>
      </w:tabs>
      <w:spacing w:after="120" w:afterLines="0"/>
      <w:ind w:firstLine="420"/>
    </w:pPr>
    <w:rPr>
      <w:rFonts w:ascii="Times New Roman" w:hAnsi="Times New Roman" w:eastAsia="宋体" w:cs="Times New Roman"/>
      <w:kern w:val="2"/>
      <w:sz w:val="24"/>
      <w:szCs w:val="20"/>
      <w:lang w:val="en-US" w:eastAsia="zh-CN"/>
    </w:rPr>
  </w:style>
  <w:style w:type="paragraph" w:styleId="3">
    <w:name w:val="Body Text Indent"/>
    <w:basedOn w:val="1"/>
    <w:next w:val="1"/>
    <w:qFormat/>
    <w:uiPriority w:val="0"/>
    <w:pPr>
      <w:widowControl/>
      <w:overflowPunct w:val="0"/>
      <w:autoSpaceDE w:val="0"/>
      <w:autoSpaceDN w:val="0"/>
      <w:adjustRightInd w:val="0"/>
      <w:spacing w:line="360" w:lineRule="auto"/>
      <w:ind w:firstLine="540"/>
      <w:textAlignment w:val="baseline"/>
    </w:pPr>
    <w:rPr>
      <w:rFonts w:ascii="宋体" w:hAnsi="MS Sans Serif" w:eastAsia="宋体" w:cs="Times New Roman"/>
      <w:spacing w:val="12"/>
      <w:kern w:val="0"/>
      <w:sz w:val="24"/>
      <w:szCs w:val="20"/>
    </w:rPr>
  </w:style>
  <w:style w:type="paragraph" w:styleId="7">
    <w:name w:val="List Paragraph"/>
    <w:basedOn w:val="1"/>
    <w:qFormat/>
    <w:uiPriority w:val="0"/>
    <w:pPr>
      <w:ind w:firstLine="420" w:firstLineChars="200"/>
    </w:pPr>
    <w:rPr>
      <w:rFonts w:ascii="Calibri" w:hAnsi="Calibri" w:eastAsia="宋体" w:cs="Times New Roman"/>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2023-09-18T06:48:00Z</dcterms:created>
  <dc:creator>珊珊</dc:creator>
  <cp:lastModifiedBy>珊珊</cp:lastModifiedBy>
  <dcterms:modified xsi:type="dcterms:W3CDTF">2023-09-18T06:48:35Z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D49DAF6AA7264E65AB51776B9EE36587_11</vt:lpwstr>
  </property>
</Properties>
</file>