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F763D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eastAsia="黑体"/>
          <w:b/>
          <w:color w:val="000000" w:themeColor="text1"/>
          <w:kern w:val="44"/>
          <w:sz w:val="48"/>
          <w:szCs w:val="20"/>
          <w:highlight w:val="none"/>
          <w14:textFill>
            <w14:solidFill>
              <w14:schemeClr w14:val="tx1"/>
            </w14:solidFill>
          </w14:textFill>
        </w:rPr>
      </w:pPr>
      <w:bookmarkStart w:id="0" w:name="_Toc129880039"/>
      <w:r>
        <w:rPr>
          <w:rFonts w:hint="eastAsia"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  <w:t>第八部分 采购需求</w:t>
      </w:r>
      <w:bookmarkEnd w:id="0"/>
    </w:p>
    <w:p w14:paraId="601CD9AC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货物需求一览表</w:t>
      </w:r>
    </w:p>
    <w:p w14:paraId="79178281">
      <w:pPr>
        <w:adjustRightInd w:val="0"/>
        <w:snapToGrid w:val="0"/>
        <w:jc w:val="center"/>
        <w:rPr>
          <w:rFonts w:hint="eastAsia"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6C115C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noWrap w:val="0"/>
            <w:vAlign w:val="center"/>
          </w:tcPr>
          <w:p w14:paraId="1AD5D238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2357" w:type="dxa"/>
            <w:noWrap w:val="0"/>
            <w:vAlign w:val="center"/>
          </w:tcPr>
          <w:p w14:paraId="5EB8419F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货物名称</w:t>
            </w:r>
          </w:p>
        </w:tc>
        <w:tc>
          <w:tcPr>
            <w:tcW w:w="1329" w:type="dxa"/>
            <w:noWrap w:val="0"/>
            <w:vAlign w:val="center"/>
          </w:tcPr>
          <w:p w14:paraId="598AFA2A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2470" w:type="dxa"/>
            <w:noWrap w:val="0"/>
            <w:vAlign w:val="center"/>
          </w:tcPr>
          <w:p w14:paraId="1B183E48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是否接受进口</w:t>
            </w:r>
          </w:p>
        </w:tc>
      </w:tr>
      <w:tr w14:paraId="2AF5F8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noWrap w:val="0"/>
            <w:vAlign w:val="center"/>
          </w:tcPr>
          <w:p w14:paraId="7350DB5E">
            <w:pPr>
              <w:jc w:val="center"/>
              <w:rPr>
                <w:rFonts w:hint="eastAsia" w:asci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57" w:type="dxa"/>
            <w:noWrap w:val="0"/>
            <w:vAlign w:val="center"/>
          </w:tcPr>
          <w:p w14:paraId="5964D329">
            <w:pPr>
              <w:jc w:val="center"/>
              <w:rPr>
                <w:rFonts w:hint="eastAsia" w:ascii="Bookman Old Style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Bookman Old Style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液相色谱高灵敏三重四级杆串联质谱仪</w:t>
            </w:r>
          </w:p>
        </w:tc>
        <w:tc>
          <w:tcPr>
            <w:tcW w:w="1329" w:type="dxa"/>
            <w:noWrap w:val="0"/>
            <w:vAlign w:val="center"/>
          </w:tcPr>
          <w:p w14:paraId="01F5A42C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1台</w:t>
            </w:r>
          </w:p>
        </w:tc>
        <w:tc>
          <w:tcPr>
            <w:tcW w:w="2470" w:type="dxa"/>
            <w:noWrap w:val="0"/>
            <w:vAlign w:val="center"/>
          </w:tcPr>
          <w:p w14:paraId="1A48E736">
            <w:pPr>
              <w:jc w:val="center"/>
              <w:rPr>
                <w:rFonts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</w:tbl>
    <w:p w14:paraId="5CD73542">
      <w:pPr>
        <w:adjustRightInd w:val="0"/>
        <w:snapToGrid w:val="0"/>
        <w:jc w:val="center"/>
        <w:rPr>
          <w:rFonts w:hint="eastAsia"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</w:pPr>
    </w:p>
    <w:p w14:paraId="6B598EE7">
      <w:pPr>
        <w:adjustRightInd w:val="0"/>
        <w:snapToGrid w:val="0"/>
        <w:jc w:val="center"/>
        <w:rPr>
          <w:rFonts w:hint="eastAsia"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</w:pPr>
    </w:p>
    <w:p w14:paraId="0BE139CE">
      <w:pPr>
        <w:rPr>
          <w:rFonts w:hint="eastAsia" w:ascii="Bookman Old Style" w:hAnsi="Bookman Old Style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不完整的投标将视为非响应性投标予以拒绝。</w:t>
      </w:r>
    </w:p>
    <w:p w14:paraId="1E7AAD72">
      <w:pPr>
        <w:adjustRightInd w:val="0"/>
        <w:snapToGrid w:val="0"/>
        <w:rPr>
          <w:rFonts w:hint="eastAsia"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 w14:paraId="33B4B499">
      <w:pPr>
        <w:adjustRightInd w:val="0"/>
        <w:snapToGrid w:val="0"/>
        <w:rPr>
          <w:rFonts w:hint="eastAsia"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 w14:paraId="2ACD9AB6">
      <w:pPr>
        <w:adjustRightInd w:val="0"/>
        <w:snapToGrid w:val="0"/>
        <w:rPr>
          <w:rFonts w:hint="eastAsia"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 w14:paraId="54E12F49">
      <w:pPr>
        <w:adjustRightInd w:val="0"/>
        <w:snapToGrid w:val="0"/>
        <w:spacing w:line="360" w:lineRule="auto"/>
        <w:rPr>
          <w:rFonts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30"/>
          <w:szCs w:val="30"/>
          <w:highlight w:val="none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一、总则</w:t>
      </w:r>
    </w:p>
    <w:p w14:paraId="0F197B77">
      <w:pPr>
        <w:adjustRightInd w:val="0"/>
        <w:snapToGrid w:val="0"/>
        <w:spacing w:line="360" w:lineRule="auto"/>
        <w:rPr>
          <w:rFonts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、投标要求</w:t>
      </w:r>
    </w:p>
    <w:p w14:paraId="57271533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投标人在准备投标书时，务必在所提供的商品的技术规格文件中，标明型号、商标名称、目录号。</w:t>
      </w:r>
    </w:p>
    <w:p w14:paraId="184F110D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12CE91B4">
      <w:pPr>
        <w:spacing w:line="360" w:lineRule="auto"/>
        <w:ind w:left="554" w:hanging="554" w:hangingChars="231"/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1.3  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投标人提供的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产品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样本，必须是“原件”而非复印件，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图表、简图、电路图以及印刷电路板图等都应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清晰易读。买方有权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不付任何附加费用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复制这些资料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以供参考。</w:t>
      </w:r>
    </w:p>
    <w:p w14:paraId="79EFDBAA">
      <w:pPr>
        <w:spacing w:line="360" w:lineRule="auto"/>
        <w:ind w:left="554" w:hanging="554" w:hangingChars="231"/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0F41E4C2">
      <w:pPr>
        <w:adjustRightInd w:val="0"/>
        <w:snapToGrid w:val="0"/>
        <w:spacing w:line="360" w:lineRule="auto"/>
        <w:rPr>
          <w:rFonts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2、评标标准</w:t>
      </w:r>
    </w:p>
    <w:p w14:paraId="309A6420">
      <w:pPr>
        <w:spacing w:line="360" w:lineRule="auto"/>
        <w:ind w:left="554" w:hanging="554" w:hangingChars="231"/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1  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除招标文件中指定的附件和专用工具外，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投标人应提供仪器设备的正常运行和常规保养所需的全套标准附件、专用工具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和消耗品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。投标人在投标书中需列出这些附件和工具的数量和单价的清单，这些附件和工具的报价的总值需计入投标价中。</w:t>
      </w:r>
    </w:p>
    <w:p w14:paraId="09F5BBA5">
      <w:pPr>
        <w:spacing w:line="360" w:lineRule="auto"/>
        <w:ind w:left="554" w:hanging="554" w:hangingChars="231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2.2  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对于标书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技术规范中已列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出的作为查询选件的附件、零配件、专用工具和消耗品，投标书中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595A85A6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60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7CD7CDDC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31F13F66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621D0CB0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3、工作条件</w:t>
      </w:r>
    </w:p>
    <w:p w14:paraId="61113A48">
      <w:pPr>
        <w:spacing w:after="312" w:afterLines="100" w:line="360" w:lineRule="auto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除非在技术规格中另有说明，所有仪器、设备和系统都应符合下列要求：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20925D86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3.1  适于在气温为摄氏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-40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℃～＋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℃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和相对湿度为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90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％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的环境条件下运输和贮存。</w:t>
      </w:r>
    </w:p>
    <w:p w14:paraId="398501E0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3.2  适于在电源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220V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（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sym w:font="Symbol" w:char="F0B1"/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％）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/50Hz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、气温摄氏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+1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℃～＋3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℃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和相对湿度小于</w:t>
      </w:r>
      <w:r>
        <w:rPr>
          <w:rFonts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0％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的环境条件下运行。</w:t>
      </w: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能够连续正常工作。</w:t>
      </w:r>
    </w:p>
    <w:p w14:paraId="0062B933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3.3  配置符合中国有关标准要求的插头，如果没有这样的插头，则需</w:t>
      </w:r>
      <w:r>
        <w:rPr>
          <w:rFonts w:hint="eastAsia" w:asci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提供适当的转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换插座。</w:t>
      </w:r>
    </w:p>
    <w:p w14:paraId="559C7E39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6991D2EE">
      <w:pPr>
        <w:rPr>
          <w:rFonts w:hint="eastAsia" w:eastAsia="黑体"/>
          <w:b/>
          <w:bCs/>
          <w:color w:val="000000" w:themeColor="text1"/>
          <w:kern w:val="44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50B8E3A2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4、验收标准</w:t>
      </w:r>
    </w:p>
    <w:p w14:paraId="6AEAC483">
      <w:pPr>
        <w:spacing w:after="312" w:afterLines="100" w:line="360" w:lineRule="auto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除非在技术规格中另有说明，所有仪器、设备和系统按下列要求进行验收：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2C7DFC31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4.1  仪器设备运抵安装现场后，买方将与卖方共同开箱验收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如卖方届时不派人来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则验收结果应以买方的验收报告为最终验收结果。验收时发现短缺、破损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买方有权要求卖方负责更换。</w:t>
      </w:r>
    </w:p>
    <w:p w14:paraId="2261FC00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4.2  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4E84668F">
      <w:pPr>
        <w:spacing w:line="360" w:lineRule="auto"/>
        <w:ind w:left="554" w:hanging="554" w:hangingChars="231"/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4.3  </w:t>
      </w:r>
      <w:r>
        <w:rPr>
          <w:rFonts w:ascii="宋体" w:hAnsi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验收由采购人、中标人及相关人员依国家有关标准、合同及有关附件要求进行，验收完毕由采购人及中标人在验收报告上签名。</w:t>
      </w:r>
    </w:p>
    <w:p w14:paraId="2FB38709"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23261640">
      <w:pPr>
        <w:adjustRightInd w:val="0"/>
        <w:snapToGrid w:val="0"/>
        <w:spacing w:line="360" w:lineRule="auto"/>
        <w:rPr>
          <w:rFonts w:hint="eastAsia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5、本采购需求书中标注“★”号技术条款的为实质性要求，不满足其投标将视为无效投标被拒绝。</w:t>
      </w:r>
    </w:p>
    <w:p w14:paraId="2BD99779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3C15BFD1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6、如在具体技术规格中有本总则不一致之处，以具体技术规格中的要求为准。</w:t>
      </w:r>
    </w:p>
    <w:p w14:paraId="1A94EFFE">
      <w:pPr>
        <w:adjustRightInd w:val="0"/>
        <w:snapToGrid w:val="0"/>
        <w:spacing w:line="360" w:lineRule="auto"/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宋体" w:hAnsi="宋体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二、具体技术规格</w:t>
      </w:r>
    </w:p>
    <w:p w14:paraId="495ADC36">
      <w:pPr>
        <w:jc w:val="center"/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第1包 液相色谱高灵敏三重四级杆串联质谱仪</w:t>
      </w:r>
    </w:p>
    <w:p w14:paraId="5AA66B16">
      <w:pP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1AF49C04">
      <w:pP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11479056">
      <w:pPr>
        <w:numPr>
          <w:ilvl w:val="0"/>
          <w:numId w:val="1"/>
        </w:numP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技术要求：</w:t>
      </w:r>
    </w:p>
    <w:p w14:paraId="1BF4085A">
      <w:pPr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4A63C5B6">
      <w:pPr>
        <w:numPr>
          <w:ilvl w:val="0"/>
          <w:numId w:val="2"/>
        </w:numPr>
        <w:spacing w:line="360" w:lineRule="auto"/>
        <w:rPr>
          <w:b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工作条件：</w:t>
      </w:r>
    </w:p>
    <w:p w14:paraId="79B912F1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1.1 环境温度：15 -30℃，温度波动小于±2℃。要求安装冷暖空调。相对湿度为35%到80%不凝露。应保持操作环境洁净无尘，工作中产生的化学废气及油气应排出室外。</w:t>
      </w:r>
    </w:p>
    <w:p w14:paraId="5A22E182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</w:p>
    <w:p w14:paraId="1ECB07D7">
      <w:pPr>
        <w:numPr>
          <w:ilvl w:val="0"/>
          <w:numId w:val="2"/>
        </w:numPr>
        <w:spacing w:line="360" w:lineRule="auto"/>
        <w:rPr>
          <w:b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设备用途：</w:t>
      </w:r>
    </w:p>
    <w:p w14:paraId="1ADC1610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2.1 液相色谱高灵敏三重四级杆串联质谱仪，包含液相分离系统和质谱检测系统，广泛应用于代谢组学、脂质组学、药物代谢等科学研究，对复杂基质中痕量目标物进行高特异性、高灵敏度定量分析。 </w:t>
      </w:r>
    </w:p>
    <w:p w14:paraId="63F9A5CB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</w:p>
    <w:p w14:paraId="0057CA8E">
      <w:pPr>
        <w:numPr>
          <w:ilvl w:val="0"/>
          <w:numId w:val="2"/>
        </w:numPr>
        <w:spacing w:line="360" w:lineRule="auto"/>
        <w:rPr>
          <w:b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技术规格：</w:t>
      </w:r>
    </w:p>
    <w:p w14:paraId="3928669C">
      <w:pPr>
        <w:spacing w:line="360" w:lineRule="auto"/>
        <w:rPr>
          <w:rFonts w:cs="Arial"/>
          <w:b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cs="Arial"/>
          <w:b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3.1 高效液相色谱仪</w:t>
      </w:r>
    </w:p>
    <w:p w14:paraId="73E7CD5D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3.1.1 输液泵及脱气机系统</w:t>
      </w:r>
    </w:p>
    <w:p w14:paraId="05B3749B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3.1.1.1 流速范围：0.0001 mL/min – 3.0000 mL/min</w:t>
      </w:r>
    </w:p>
    <w:p w14:paraId="04129E1E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Segoe UI Symbol" w:hAnsi="Segoe UI Symbol" w:cs="Segoe UI Symbol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★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3.1.1.2 最高耐压：≥100 MPa</w:t>
      </w:r>
    </w:p>
    <w:p w14:paraId="3660056E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3.1.1.3 具备在线脱气机 </w:t>
      </w:r>
    </w:p>
    <w:p w14:paraId="6F0B285E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3.1.1.4 梯度形成：高压二元混合</w:t>
      </w:r>
    </w:p>
    <w:p w14:paraId="105555CB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3.1.2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自动进样器</w:t>
      </w:r>
    </w:p>
    <w:p w14:paraId="2A4CEC94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#3.1.2.1 最高耐压：≥100 MPa</w:t>
      </w:r>
    </w:p>
    <w:p w14:paraId="2C8137A4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3.1.2.2 进样量设定范围：0.1 µL – 40 µL</w:t>
      </w:r>
    </w:p>
    <w:p w14:paraId="0B9C1799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3.1.3 柱温箱</w:t>
      </w:r>
    </w:p>
    <w:p w14:paraId="7C0890A5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3.1.3.1 温度设定范围：4℃－70℃</w:t>
      </w:r>
    </w:p>
    <w:p w14:paraId="477DCC0A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3.1.3.2 温度控制精确度：± 0.2℃</w:t>
      </w:r>
    </w:p>
    <w:p w14:paraId="1ED3E1B8">
      <w:pPr>
        <w:spacing w:line="360" w:lineRule="auto"/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</w:p>
    <w:p w14:paraId="38EDCEB9">
      <w:pPr>
        <w:spacing w:line="276" w:lineRule="auto"/>
        <w:rPr>
          <w:b/>
          <w:bCs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 串联四级杆质谱</w:t>
      </w:r>
    </w:p>
    <w:p w14:paraId="7E30E345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3.2.1 质谱仪离子源：</w:t>
      </w:r>
    </w:p>
    <w:p w14:paraId="6F044793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3.2.1.1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配有电喷雾离子源(ESI)、大气压化学电离源(APCI)；更换离子源时无需放空质谱真空系统，清洗、维护方便；</w:t>
      </w:r>
    </w:p>
    <w:p w14:paraId="59CE267A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3.2.1.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离子源最高温度＞700 ℃；</w:t>
      </w:r>
    </w:p>
    <w:p w14:paraId="60EB1DB1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3.2.1.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离子源可接受流速范围：1ul/min～3ml/min；</w:t>
      </w:r>
    </w:p>
    <w:p w14:paraId="1BDD09DB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#3.2.1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.4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离子源和质谱的接口部分采用锥孔技术，以保证高灵敏度和优异的抗污染能力，提供仪器厂商产品彩页证明；</w:t>
      </w:r>
    </w:p>
    <w:p w14:paraId="7629AA37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#3.2.1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.5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离子源锥孔后端的离子传输通道为直线型设计，而非90°转角设计，减少离子源内污染，提高检测灵敏度；</w:t>
      </w:r>
    </w:p>
    <w:p w14:paraId="7BA2270F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3.2.2 质谱仪预四极杆采用高压聚焦技术，有效提高灵敏度；</w:t>
      </w:r>
    </w:p>
    <w:p w14:paraId="6F167B4D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质谱仪质量分析器：串联三重四极杆系统；</w:t>
      </w:r>
    </w:p>
    <w:p w14:paraId="182BE6D4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.1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质量数范围(m/z) : 5～2000 amu；</w:t>
      </w:r>
    </w:p>
    <w:p w14:paraId="3A73C9E2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.2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扫描速度≥ 12,000 amu/sec；</w:t>
      </w:r>
    </w:p>
    <w:p w14:paraId="18524697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Segoe UI Symbol" w:hAnsi="Segoe UI Symbol" w:cs="Segoe UI Symbol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★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.3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ESI正离子灵敏度（峰/峰比）：1pg 利血平过柱S/N ≥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2,0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00,000:1；</w:t>
      </w:r>
    </w:p>
    <w:p w14:paraId="4F11A9A7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#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连续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次色谱进样，ESI正离子模式下柱上1pg利血平609.3-195.1的S/N均可达到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20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00000：1(RMS)，且6次峰面积RSD≤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%，提供厂家原始谱图证明或者第三方检测原始谱图检测报告；</w:t>
      </w:r>
    </w:p>
    <w:p w14:paraId="1B429E37">
      <w:pPr>
        <w:spacing w:line="360" w:lineRule="auto"/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#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.5连续6次色谱进样，ESI正离子模式下利血平609.3-195.1,S/N在3:1（RMS）时：柱上量≤0.06fg；且6次峰面积的RSD≤15%，提供厂家原始谱图证明或者第三方检测原始谱图检测报告。</w:t>
      </w:r>
    </w:p>
    <w:p w14:paraId="2A57D736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#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.6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ESI负离子灵敏度（峰/峰比）：1pg 氯霉素过柱S/N ≥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2,0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00,000:1；</w:t>
      </w:r>
    </w:p>
    <w:p w14:paraId="13786625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#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.7连续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次色谱进样，ESI负离子模式下柱上1pg氯霉素321.0-151.9的S/N均可达到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30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0000：1(RMS)，且6次峰面积的RSD≤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%，提供厂家原始谱图证明或者第三方检测原始谱图检测报告；</w:t>
      </w:r>
    </w:p>
    <w:p w14:paraId="0F330804">
      <w:pPr>
        <w:spacing w:line="360" w:lineRule="auto"/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#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.8连续6次色谱进样，ESI负离子模式下氯霉素321.0-151.9，S/N在3:1（RMS）时：柱上量≤0.05fg，且6次峰面积的RSD≤15%，提供厂家原始谱图证明或者第三方检测原始谱图检测报告。</w:t>
      </w:r>
    </w:p>
    <w:p w14:paraId="2C703F3A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Segoe UI Symbol" w:hAnsi="Segoe UI Symbol" w:cs="Segoe UI Symbol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★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.9正负极性切换时间：≤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ms；</w:t>
      </w:r>
    </w:p>
    <w:p w14:paraId="62124F13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.10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动态线性范围: ＞1×10</w:t>
      </w:r>
      <w:r>
        <w:rPr>
          <w:rFonts w:hint="eastAsia"/>
          <w:color w:val="000000" w:themeColor="text1"/>
          <w:sz w:val="24"/>
          <w:szCs w:val="32"/>
          <w:highlight w:val="none"/>
          <w:vertAlign w:val="superscript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；</w:t>
      </w:r>
    </w:p>
    <w:p w14:paraId="3B7B6F1D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.11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定量重复性: 连续5针进样，RSD＜6%；</w:t>
      </w:r>
    </w:p>
    <w:p w14:paraId="205C2D97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.12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扫描功能：全扫描(Full Scan)、子离子扫描( Product Ion Scan)、母离子扫描(Precursor Ion Scan)、中性丢失扫描(Neutral Loss Scan)、选择离子扫描(SIM)、选择反应扫描(SRM)、多反应监测扫描(MRM)、混合扫描(Mixed Scan Mode) 等；</w:t>
      </w:r>
    </w:p>
    <w:p w14:paraId="3DFD7F27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质谱仪碰撞室：</w:t>
      </w:r>
    </w:p>
    <w:p w14:paraId="29D07B0B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MRM最小离子驻留时间≤1ms；</w:t>
      </w:r>
    </w:p>
    <w:p w14:paraId="0F5BA71A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碰撞室采用高压聚焦技术, 压力＞7mtor；</w:t>
      </w:r>
    </w:p>
    <w:p w14:paraId="50642ADE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Segoe UI Symbol" w:hAnsi="Segoe UI Symbol" w:cs="Segoe UI Symbol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★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3.2.4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.3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碰撞室具有线性加速技术,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采用非直线型设计，弯曲角度≥90°，以提高检测灵敏度，提供仪器厂商产品彩页证明；</w:t>
      </w:r>
    </w:p>
    <w:p w14:paraId="259532F4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#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4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碰撞气：高纯氮气，无需使用稀有气体，节省日常仪器使用成本；</w:t>
      </w:r>
    </w:p>
    <w:p w14:paraId="63B25C38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质谱仪检测器：</w:t>
      </w:r>
    </w:p>
    <w:p w14:paraId="10583954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.1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偏轴高能电子倍增器，±3KV连续可调，±15KV转换电极设计，以保证高质量数的灵敏度；</w:t>
      </w:r>
    </w:p>
    <w:p w14:paraId="180E190C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3.2.6 质谱仪数据系统：</w:t>
      </w:r>
    </w:p>
    <w:p w14:paraId="4A40EEAC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3.2.6.1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软件: Windows操作系统，配备能够进行数据采集、处理、定性分析和定量分析等软件，具备自动分析、自动定量、数据审计追踪等功能。</w:t>
      </w:r>
    </w:p>
    <w:p w14:paraId="562E789E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3.2.6.2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硬件：工作站硬件 配置 CPU≥Intel 4 , 内存≥8GB, 硬盘≥2×500GB，DVD/CD-RW，操作系统Microsoft Windows 及以上的电脑主机；显示器。</w:t>
      </w:r>
    </w:p>
    <w:p w14:paraId="722F3C7D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.2.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7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质谱方法及其他：</w:t>
      </w:r>
    </w:p>
    <w:p w14:paraId="52143F5B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#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.2.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7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.1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在高覆盖靶向脂质组学分析方法中，可以定性和定量不少于2000种脂质分子，提供厂家方法和谱图证明文件。</w:t>
      </w:r>
    </w:p>
    <w:p w14:paraId="22ED2E50">
      <w:pPr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1424D3B4">
      <w:pPr>
        <w:numPr>
          <w:ilvl w:val="0"/>
          <w:numId w:val="2"/>
        </w:numPr>
        <w:spacing w:line="360" w:lineRule="auto"/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产品配置要求</w:t>
      </w:r>
    </w:p>
    <w:p w14:paraId="1F61D821">
      <w:pPr>
        <w:numPr>
          <w:ilvl w:val="1"/>
          <w:numId w:val="2"/>
        </w:numPr>
        <w:spacing w:line="360" w:lineRule="auto"/>
        <w:rPr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产品主体部分说明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3330"/>
        <w:gridCol w:w="549"/>
        <w:gridCol w:w="4048"/>
      </w:tblGrid>
      <w:tr w14:paraId="7B483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vMerge w:val="restart"/>
            <w:noWrap w:val="0"/>
            <w:vAlign w:val="top"/>
          </w:tcPr>
          <w:p w14:paraId="277BDDE4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3E4E0D39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02FD49EE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2EF0B469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主机</w:t>
            </w:r>
          </w:p>
        </w:tc>
        <w:tc>
          <w:tcPr>
            <w:tcW w:w="1954" w:type="pct"/>
            <w:noWrap w:val="0"/>
            <w:vAlign w:val="top"/>
          </w:tcPr>
          <w:p w14:paraId="2478F4E3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配置</w:t>
            </w:r>
          </w:p>
        </w:tc>
        <w:tc>
          <w:tcPr>
            <w:tcW w:w="322" w:type="pct"/>
            <w:noWrap w:val="0"/>
            <w:vAlign w:val="top"/>
          </w:tcPr>
          <w:p w14:paraId="0CDB47BF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2375" w:type="pct"/>
            <w:noWrap w:val="0"/>
            <w:vAlign w:val="top"/>
          </w:tcPr>
          <w:p w14:paraId="7BCCAD22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配置描述</w:t>
            </w:r>
          </w:p>
        </w:tc>
      </w:tr>
      <w:tr w14:paraId="5231C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vMerge w:val="continue"/>
            <w:noWrap w:val="0"/>
            <w:vAlign w:val="top"/>
          </w:tcPr>
          <w:p w14:paraId="483185AE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4" w:type="pct"/>
            <w:noWrap w:val="0"/>
            <w:vAlign w:val="top"/>
          </w:tcPr>
          <w:p w14:paraId="3F117B7D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质谱主机</w:t>
            </w:r>
          </w:p>
        </w:tc>
        <w:tc>
          <w:tcPr>
            <w:tcW w:w="322" w:type="pct"/>
            <w:noWrap w:val="0"/>
            <w:vAlign w:val="top"/>
          </w:tcPr>
          <w:p w14:paraId="2577578B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75" w:type="pct"/>
            <w:noWrap w:val="0"/>
            <w:vAlign w:val="top"/>
          </w:tcPr>
          <w:p w14:paraId="31CC45D3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包含</w:t>
            </w:r>
          </w:p>
          <w:p w14:paraId="44A5972C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1.离子源部件</w:t>
            </w:r>
          </w:p>
          <w:p w14:paraId="6D3168FA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.机械泵</w:t>
            </w:r>
          </w:p>
          <w:p w14:paraId="03CE6D76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.电脑工作站和显示器</w:t>
            </w:r>
          </w:p>
        </w:tc>
      </w:tr>
      <w:tr w14:paraId="23124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vMerge w:val="continue"/>
            <w:noWrap w:val="0"/>
            <w:vAlign w:val="top"/>
          </w:tcPr>
          <w:p w14:paraId="22E0B723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4" w:type="pct"/>
            <w:noWrap w:val="0"/>
            <w:vAlign w:val="top"/>
          </w:tcPr>
          <w:p w14:paraId="6FD55B42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液相主机</w:t>
            </w:r>
          </w:p>
        </w:tc>
        <w:tc>
          <w:tcPr>
            <w:tcW w:w="322" w:type="pct"/>
            <w:noWrap w:val="0"/>
            <w:vAlign w:val="top"/>
          </w:tcPr>
          <w:p w14:paraId="08482CF3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75" w:type="pct"/>
            <w:noWrap w:val="0"/>
            <w:vAlign w:val="top"/>
          </w:tcPr>
          <w:p w14:paraId="7470C40B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包含</w:t>
            </w:r>
          </w:p>
          <w:p w14:paraId="6036A2F0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1.高压二元泵</w:t>
            </w:r>
          </w:p>
          <w:p w14:paraId="7C81E071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2.在线脱气机</w:t>
            </w:r>
          </w:p>
          <w:p w14:paraId="12584618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3.自动进样器</w:t>
            </w:r>
          </w:p>
          <w:p w14:paraId="635A1606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4.柱温箱</w:t>
            </w:r>
          </w:p>
        </w:tc>
      </w:tr>
      <w:tr w14:paraId="15EC4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vMerge w:val="continue"/>
            <w:noWrap w:val="0"/>
            <w:vAlign w:val="top"/>
          </w:tcPr>
          <w:p w14:paraId="36913B58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4" w:type="pct"/>
            <w:noWrap w:val="0"/>
            <w:vAlign w:val="top"/>
          </w:tcPr>
          <w:p w14:paraId="0FD08CE8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软件包</w:t>
            </w:r>
          </w:p>
        </w:tc>
        <w:tc>
          <w:tcPr>
            <w:tcW w:w="322" w:type="pct"/>
            <w:noWrap w:val="0"/>
            <w:vAlign w:val="top"/>
          </w:tcPr>
          <w:p w14:paraId="404DD80E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75" w:type="pct"/>
            <w:noWrap w:val="0"/>
            <w:vAlign w:val="top"/>
          </w:tcPr>
          <w:p w14:paraId="328F9EE6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用于数据采集和处理</w:t>
            </w:r>
          </w:p>
        </w:tc>
      </w:tr>
      <w:tr w14:paraId="435D2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vMerge w:val="continue"/>
            <w:noWrap w:val="0"/>
            <w:vAlign w:val="top"/>
          </w:tcPr>
          <w:p w14:paraId="1DD3ADAB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4" w:type="pct"/>
            <w:noWrap w:val="0"/>
            <w:vAlign w:val="top"/>
          </w:tcPr>
          <w:p w14:paraId="7D59B8CA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Office软件</w:t>
            </w:r>
          </w:p>
        </w:tc>
        <w:tc>
          <w:tcPr>
            <w:tcW w:w="322" w:type="pct"/>
            <w:noWrap w:val="0"/>
            <w:vAlign w:val="top"/>
          </w:tcPr>
          <w:p w14:paraId="6A1A3936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75" w:type="pct"/>
            <w:noWrap w:val="0"/>
            <w:vAlign w:val="top"/>
          </w:tcPr>
          <w:p w14:paraId="24E71198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Office2021正版软件</w:t>
            </w:r>
          </w:p>
        </w:tc>
      </w:tr>
    </w:tbl>
    <w:p w14:paraId="27C9C96A">
      <w:pPr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2FA87CD2">
      <w:pPr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4.2  要求的附件、专用工具和消耗品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3330"/>
        <w:gridCol w:w="549"/>
        <w:gridCol w:w="4048"/>
      </w:tblGrid>
      <w:tr w14:paraId="2418C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noWrap w:val="0"/>
            <w:vAlign w:val="top"/>
          </w:tcPr>
          <w:p w14:paraId="392E7459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4" w:type="pct"/>
            <w:noWrap w:val="0"/>
            <w:vAlign w:val="top"/>
          </w:tcPr>
          <w:p w14:paraId="261D3316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配置</w:t>
            </w:r>
          </w:p>
        </w:tc>
        <w:tc>
          <w:tcPr>
            <w:tcW w:w="322" w:type="pct"/>
            <w:noWrap w:val="0"/>
            <w:vAlign w:val="top"/>
          </w:tcPr>
          <w:p w14:paraId="06F9F336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2375" w:type="pct"/>
            <w:noWrap w:val="0"/>
            <w:vAlign w:val="top"/>
          </w:tcPr>
          <w:p w14:paraId="0C947A7D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配置描述</w:t>
            </w:r>
          </w:p>
        </w:tc>
      </w:tr>
      <w:tr w14:paraId="30FBD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vMerge w:val="restart"/>
            <w:noWrap w:val="0"/>
            <w:vAlign w:val="top"/>
          </w:tcPr>
          <w:p w14:paraId="76E2BB14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64B72E42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附件</w:t>
            </w:r>
          </w:p>
        </w:tc>
        <w:tc>
          <w:tcPr>
            <w:tcW w:w="1954" w:type="pct"/>
            <w:noWrap w:val="0"/>
            <w:vAlign w:val="top"/>
          </w:tcPr>
          <w:p w14:paraId="3DF0911A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泵油</w:t>
            </w:r>
          </w:p>
        </w:tc>
        <w:tc>
          <w:tcPr>
            <w:tcW w:w="322" w:type="pct"/>
            <w:noWrap w:val="0"/>
            <w:vAlign w:val="top"/>
          </w:tcPr>
          <w:p w14:paraId="3E348CDB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375" w:type="pct"/>
            <w:noWrap w:val="0"/>
            <w:vAlign w:val="top"/>
          </w:tcPr>
          <w:p w14:paraId="7A6DA898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机械泵泵油   </w:t>
            </w:r>
          </w:p>
        </w:tc>
      </w:tr>
      <w:tr w14:paraId="2A03E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vMerge w:val="continue"/>
            <w:noWrap w:val="0"/>
            <w:vAlign w:val="top"/>
          </w:tcPr>
          <w:p w14:paraId="6D206888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4" w:type="pct"/>
            <w:noWrap w:val="0"/>
            <w:vAlign w:val="top"/>
          </w:tcPr>
          <w:p w14:paraId="5A7812A2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质谱调试系统化学品</w:t>
            </w:r>
          </w:p>
        </w:tc>
        <w:tc>
          <w:tcPr>
            <w:tcW w:w="322" w:type="pct"/>
            <w:noWrap w:val="0"/>
            <w:vAlign w:val="top"/>
          </w:tcPr>
          <w:p w14:paraId="7889E86F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75" w:type="pct"/>
            <w:noWrap w:val="0"/>
            <w:vAlign w:val="top"/>
          </w:tcPr>
          <w:p w14:paraId="0C56CCF3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不同浓度的聚丙二醇溶液，用于系统调试。</w:t>
            </w:r>
          </w:p>
        </w:tc>
      </w:tr>
      <w:tr w14:paraId="34046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vMerge w:val="continue"/>
            <w:noWrap w:val="0"/>
            <w:vAlign w:val="top"/>
          </w:tcPr>
          <w:p w14:paraId="1D4C6359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4" w:type="pct"/>
            <w:noWrap w:val="0"/>
            <w:vAlign w:val="top"/>
          </w:tcPr>
          <w:p w14:paraId="17985A6D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质谱系统性能测试试剂包</w:t>
            </w:r>
          </w:p>
        </w:tc>
        <w:tc>
          <w:tcPr>
            <w:tcW w:w="322" w:type="pct"/>
            <w:noWrap w:val="0"/>
            <w:vAlign w:val="top"/>
          </w:tcPr>
          <w:p w14:paraId="675E83F7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75" w:type="pct"/>
            <w:noWrap w:val="0"/>
            <w:vAlign w:val="top"/>
          </w:tcPr>
          <w:p w14:paraId="1B4A3DFC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质谱系统性能测试试剂包（三嗪测试标准品）</w:t>
            </w:r>
          </w:p>
        </w:tc>
      </w:tr>
      <w:tr w14:paraId="0474D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vMerge w:val="continue"/>
            <w:noWrap w:val="0"/>
            <w:vAlign w:val="top"/>
          </w:tcPr>
          <w:p w14:paraId="716B6DE8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4" w:type="pct"/>
            <w:noWrap w:val="0"/>
            <w:vAlign w:val="top"/>
          </w:tcPr>
          <w:p w14:paraId="685B848D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色谱配套耗材</w:t>
            </w:r>
          </w:p>
        </w:tc>
        <w:tc>
          <w:tcPr>
            <w:tcW w:w="322" w:type="pct"/>
            <w:noWrap w:val="0"/>
            <w:vAlign w:val="top"/>
          </w:tcPr>
          <w:p w14:paraId="22DBDB64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75" w:type="pct"/>
            <w:noWrap w:val="0"/>
            <w:vAlign w:val="top"/>
          </w:tcPr>
          <w:p w14:paraId="3FCE5627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组学方法开发色谱柱</w:t>
            </w:r>
          </w:p>
        </w:tc>
      </w:tr>
      <w:tr w14:paraId="39703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9" w:type="pct"/>
            <w:vMerge w:val="continue"/>
            <w:noWrap w:val="0"/>
            <w:vAlign w:val="top"/>
          </w:tcPr>
          <w:p w14:paraId="42F0E157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4" w:type="pct"/>
            <w:noWrap w:val="0"/>
            <w:vAlign w:val="top"/>
          </w:tcPr>
          <w:p w14:paraId="204983C6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喷针</w:t>
            </w:r>
          </w:p>
        </w:tc>
        <w:tc>
          <w:tcPr>
            <w:tcW w:w="322" w:type="pct"/>
            <w:noWrap w:val="0"/>
            <w:vAlign w:val="top"/>
          </w:tcPr>
          <w:p w14:paraId="384BDDD9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75" w:type="pct"/>
            <w:noWrap w:val="0"/>
            <w:vAlign w:val="top"/>
          </w:tcPr>
          <w:p w14:paraId="3634F528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ESI源、APCI源各一套</w:t>
            </w:r>
          </w:p>
        </w:tc>
      </w:tr>
    </w:tbl>
    <w:p w14:paraId="7B3A4C31">
      <w:pPr>
        <w:spacing w:line="360" w:lineRule="auto"/>
        <w:ind w:firstLine="480" w:firstLineChars="200"/>
        <w:rPr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7ACCB446">
      <w:pPr>
        <w:numPr>
          <w:ilvl w:val="1"/>
          <w:numId w:val="2"/>
        </w:numPr>
        <w:spacing w:line="360" w:lineRule="auto"/>
        <w:rPr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其它保证仪器设备的正常运行和常规保养所需的附件、专用工具和消耗品。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9"/>
        <w:gridCol w:w="1822"/>
        <w:gridCol w:w="651"/>
        <w:gridCol w:w="5430"/>
      </w:tblGrid>
      <w:tr w14:paraId="2FC13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noWrap w:val="0"/>
            <w:vAlign w:val="top"/>
          </w:tcPr>
          <w:p w14:paraId="7BBDA335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9" w:type="pct"/>
            <w:noWrap w:val="0"/>
            <w:vAlign w:val="top"/>
          </w:tcPr>
          <w:p w14:paraId="566E2406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配置</w:t>
            </w:r>
          </w:p>
        </w:tc>
        <w:tc>
          <w:tcPr>
            <w:tcW w:w="382" w:type="pct"/>
            <w:noWrap w:val="0"/>
            <w:vAlign w:val="top"/>
          </w:tcPr>
          <w:p w14:paraId="45C3E3FE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3186" w:type="pct"/>
            <w:noWrap w:val="0"/>
            <w:vAlign w:val="top"/>
          </w:tcPr>
          <w:p w14:paraId="0DC5BBA6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配置描述</w:t>
            </w:r>
          </w:p>
        </w:tc>
      </w:tr>
      <w:tr w14:paraId="2D025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vMerge w:val="restart"/>
            <w:noWrap w:val="0"/>
            <w:vAlign w:val="top"/>
          </w:tcPr>
          <w:p w14:paraId="106A20B4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附件</w:t>
            </w:r>
          </w:p>
        </w:tc>
        <w:tc>
          <w:tcPr>
            <w:tcW w:w="1069" w:type="pct"/>
            <w:noWrap w:val="0"/>
            <w:vAlign w:val="top"/>
          </w:tcPr>
          <w:p w14:paraId="76334661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UPS不间断电源</w:t>
            </w:r>
          </w:p>
        </w:tc>
        <w:tc>
          <w:tcPr>
            <w:tcW w:w="382" w:type="pct"/>
            <w:noWrap w:val="0"/>
            <w:vAlign w:val="top"/>
          </w:tcPr>
          <w:p w14:paraId="370472BF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86" w:type="pct"/>
            <w:noWrap w:val="0"/>
            <w:vAlign w:val="top"/>
          </w:tcPr>
          <w:p w14:paraId="02E1BE8F"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UPS不间断电源（10KV，1H）</w:t>
            </w:r>
          </w:p>
        </w:tc>
      </w:tr>
      <w:tr w14:paraId="603D3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vMerge w:val="continue"/>
            <w:noWrap w:val="0"/>
            <w:vAlign w:val="top"/>
          </w:tcPr>
          <w:p w14:paraId="34B6A086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9" w:type="pct"/>
            <w:noWrap w:val="0"/>
            <w:vAlign w:val="top"/>
          </w:tcPr>
          <w:p w14:paraId="385321A7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品牌激光打印机</w:t>
            </w:r>
          </w:p>
        </w:tc>
        <w:tc>
          <w:tcPr>
            <w:tcW w:w="382" w:type="pct"/>
            <w:noWrap w:val="0"/>
            <w:vAlign w:val="top"/>
          </w:tcPr>
          <w:p w14:paraId="5CC48AD4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86" w:type="pct"/>
            <w:noWrap w:val="0"/>
            <w:vAlign w:val="top"/>
          </w:tcPr>
          <w:p w14:paraId="1D75EC4E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具有网络打印功能</w:t>
            </w:r>
          </w:p>
        </w:tc>
      </w:tr>
      <w:tr w14:paraId="404DF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" w:type="pct"/>
            <w:vMerge w:val="continue"/>
            <w:noWrap w:val="0"/>
            <w:vAlign w:val="top"/>
          </w:tcPr>
          <w:p w14:paraId="6760791D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9" w:type="pct"/>
            <w:noWrap w:val="0"/>
            <w:vAlign w:val="top"/>
          </w:tcPr>
          <w:p w14:paraId="1ABFD846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组学数据处理工作站</w:t>
            </w:r>
          </w:p>
        </w:tc>
        <w:tc>
          <w:tcPr>
            <w:tcW w:w="382" w:type="pct"/>
            <w:noWrap w:val="0"/>
            <w:vAlign w:val="top"/>
          </w:tcPr>
          <w:p w14:paraId="37335173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86" w:type="pct"/>
            <w:noWrap w:val="0"/>
            <w:vAlign w:val="top"/>
          </w:tcPr>
          <w:p w14:paraId="0D81A59D">
            <w:pPr>
              <w:spacing w:line="360" w:lineRule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【图形工作站台式机】GPU服务器主机 2个金牌6230R丨256G内存丨2T固态+16T硬盘丨RTXA4000-16G显卡，32英寸4K超高清显示器，Windows正版专业操作系统，正版Office软件。或同等配置的其他品牌工作站台式机。</w:t>
            </w:r>
          </w:p>
        </w:tc>
      </w:tr>
    </w:tbl>
    <w:p w14:paraId="454A5F1B">
      <w:pPr>
        <w:spacing w:line="360" w:lineRule="auto"/>
        <w:ind w:left="420" w:firstLine="240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1C85B036">
      <w:pPr>
        <w:spacing w:line="360" w:lineRule="auto"/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5</w:t>
      </w:r>
      <w:r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选购附件、备件及消耗品（请参考总则第2.2条）</w:t>
      </w:r>
    </w:p>
    <w:tbl>
      <w:tblPr>
        <w:tblStyle w:val="4"/>
        <w:tblW w:w="440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846"/>
        <w:gridCol w:w="3582"/>
      </w:tblGrid>
      <w:tr w14:paraId="0F662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pct"/>
            <w:noWrap w:val="0"/>
            <w:vAlign w:val="center"/>
          </w:tcPr>
          <w:p w14:paraId="4C3B1A7A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5" w:type="pct"/>
            <w:noWrap w:val="0"/>
            <w:vAlign w:val="center"/>
          </w:tcPr>
          <w:p w14:paraId="1E42E1D3">
            <w:pPr>
              <w:spacing w:line="360" w:lineRule="auto"/>
              <w:jc w:val="center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配置</w:t>
            </w:r>
          </w:p>
        </w:tc>
        <w:tc>
          <w:tcPr>
            <w:tcW w:w="2385" w:type="pct"/>
            <w:noWrap w:val="0"/>
            <w:vAlign w:val="center"/>
          </w:tcPr>
          <w:p w14:paraId="6774E26D">
            <w:pPr>
              <w:spacing w:line="360" w:lineRule="auto"/>
              <w:jc w:val="center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配置描述</w:t>
            </w:r>
          </w:p>
        </w:tc>
      </w:tr>
      <w:tr w14:paraId="66C75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9" w:type="pct"/>
            <w:noWrap w:val="0"/>
            <w:vAlign w:val="center"/>
          </w:tcPr>
          <w:p w14:paraId="75CE3EA2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5.1附件</w:t>
            </w:r>
          </w:p>
        </w:tc>
        <w:tc>
          <w:tcPr>
            <w:tcW w:w="1895" w:type="pct"/>
            <w:noWrap w:val="0"/>
            <w:vAlign w:val="center"/>
          </w:tcPr>
          <w:p w14:paraId="3D9ECB35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泵油</w:t>
            </w:r>
          </w:p>
        </w:tc>
        <w:tc>
          <w:tcPr>
            <w:tcW w:w="2385" w:type="pct"/>
            <w:noWrap w:val="0"/>
            <w:vAlign w:val="center"/>
          </w:tcPr>
          <w:p w14:paraId="434C0E68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机械泵泵油</w:t>
            </w:r>
          </w:p>
        </w:tc>
      </w:tr>
    </w:tbl>
    <w:p w14:paraId="63CD0F28">
      <w:pPr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7FB76899">
      <w:pPr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5.2  投标人推荐的其它选件 </w:t>
      </w:r>
    </w:p>
    <w:p w14:paraId="3ACECA79">
      <w:pPr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5.3 询价延长保修期半年、1年、2年、3年的价格。且如需延长质保服务，此报价将写进合同，所产生费用以此价格为准。         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      </w:t>
      </w:r>
    </w:p>
    <w:p w14:paraId="11977BEB">
      <w:pPr>
        <w:tabs>
          <w:tab w:val="left" w:pos="540"/>
        </w:tabs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bookmarkStart w:id="1" w:name="_GoBack"/>
      <w:bookmarkEnd w:id="1"/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  </w:t>
      </w:r>
    </w:p>
    <w:p w14:paraId="66FF8397">
      <w:pPr>
        <w:spacing w:line="360" w:lineRule="auto"/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（二）质保及售后服务：</w:t>
      </w:r>
    </w:p>
    <w:p w14:paraId="656A99E5">
      <w:pPr>
        <w:spacing w:line="360" w:lineRule="auto"/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1 设备安装调试</w:t>
      </w:r>
    </w:p>
    <w:p w14:paraId="10ECE49E">
      <w:pPr>
        <w:spacing w:line="276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1.1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厂商应提供详细设备安装条件和要求；</w:t>
      </w:r>
    </w:p>
    <w:p w14:paraId="32087AB2">
      <w:pPr>
        <w:spacing w:line="276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1.2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厂商负责设备的免费安装和调试；</w:t>
      </w:r>
    </w:p>
    <w:p w14:paraId="241BD5D8">
      <w:pPr>
        <w:spacing w:line="360" w:lineRule="auto"/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2. 技术培训</w:t>
      </w:r>
    </w:p>
    <w:p w14:paraId="41C78A8E">
      <w:pPr>
        <w:pStyle w:val="3"/>
        <w:spacing w:line="360" w:lineRule="auto"/>
        <w:rPr>
          <w:rFonts w:hint="eastAsia"/>
          <w:color w:val="000000" w:themeColor="text1"/>
          <w:sz w:val="24"/>
          <w:szCs w:val="22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2"/>
          <w:highlight w:val="none"/>
          <w14:textFill>
            <w14:solidFill>
              <w14:schemeClr w14:val="tx1"/>
            </w14:solidFill>
          </w14:textFill>
        </w:rPr>
        <w:t>2.1</w:t>
      </w:r>
      <w:r>
        <w:rPr>
          <w:rFonts w:hint="eastAsia"/>
          <w:color w:val="000000" w:themeColor="text1"/>
          <w:sz w:val="24"/>
          <w:szCs w:val="22"/>
          <w:highlight w:val="none"/>
          <w14:textFill>
            <w14:solidFill>
              <w14:schemeClr w14:val="tx1"/>
            </w14:solidFill>
          </w14:textFill>
        </w:rPr>
        <w:t>技术培训及支持：对用户进行仪器的技术原理，操作，数据处理，基本维护等培训服务，同时提供相关研究检测项目的技术支持</w:t>
      </w:r>
    </w:p>
    <w:p w14:paraId="2BEBF855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3. 保修期</w:t>
      </w:r>
    </w:p>
    <w:p w14:paraId="2F1B2536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3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.1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设备保修期至少2年，终身维修。</w:t>
      </w:r>
    </w:p>
    <w:p w14:paraId="41A701CB">
      <w:pPr>
        <w:spacing w:line="276" w:lineRule="auto"/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3.2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在中国设有备件仓库，并保证十年以上的供应期。</w:t>
      </w:r>
    </w:p>
    <w:p w14:paraId="29CC8739">
      <w:pPr>
        <w:spacing w:line="360" w:lineRule="auto"/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4. 维修响应时间</w:t>
      </w:r>
    </w:p>
    <w:p w14:paraId="315D7C87">
      <w:pPr>
        <w:spacing w:line="360" w:lineRule="auto"/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.1 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应在4小时内对用户的服务要求做出响应，一般问题应在2个工作日内解决，其他无法迅速解决的问题应在一周内解决或提出明确解决方案。</w:t>
      </w:r>
    </w:p>
    <w:p w14:paraId="49F03EA0">
      <w:pPr>
        <w:spacing w:line="360" w:lineRule="auto"/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5. 要求卖方提供的其它技术服务内容（如软、硬件升级要求等）</w:t>
      </w:r>
    </w:p>
    <w:p w14:paraId="091D99AA">
      <w:pPr>
        <w:spacing w:line="360" w:lineRule="auto"/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质谱系统数据采集软件与数据处理软件，提供长期免费升级服务。</w:t>
      </w:r>
    </w:p>
    <w:p w14:paraId="73C8B850">
      <w:pPr>
        <w:spacing w:line="360" w:lineRule="auto"/>
        <w:ind w:left="600" w:leftChars="-1" w:hanging="602" w:hangingChars="250"/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6</w:t>
      </w:r>
      <w:r>
        <w:rPr>
          <w:b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 xml:space="preserve"> 承诺自装机之日起为用户免费移机一次，包括移机过程中所产生的用户指定点对点设备的运输、搬运、安装、调试等所有费用。</w:t>
      </w:r>
    </w:p>
    <w:p w14:paraId="328D6C9E">
      <w:pPr>
        <w:spacing w:line="360" w:lineRule="auto"/>
        <w:ind w:left="523" w:leftChars="-1" w:hanging="525" w:hangingChars="250"/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 w14:paraId="26E9BE36">
      <w:pPr>
        <w:spacing w:line="360" w:lineRule="auto"/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（三） 订货数量：</w:t>
      </w:r>
    </w:p>
    <w:p w14:paraId="5714FF86">
      <w:pPr>
        <w:spacing w:line="360" w:lineRule="auto"/>
        <w:ind w:firstLine="210" w:firstLineChars="100"/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1台。</w:t>
      </w:r>
    </w:p>
    <w:p w14:paraId="71AB3324">
      <w:pPr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451F4918">
      <w:pPr>
        <w:spacing w:line="360" w:lineRule="auto"/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（四）交货日期和交货地点（项目现场）：</w:t>
      </w:r>
    </w:p>
    <w:p w14:paraId="5E08D06C">
      <w:pPr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  交货日期：签订合同后3个月内</w:t>
      </w:r>
    </w:p>
    <w:p w14:paraId="647D3D86">
      <w:pPr>
        <w:spacing w:line="360" w:lineRule="auto"/>
        <w:rPr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  交货地点：用户指定地点。</w:t>
      </w:r>
    </w:p>
    <w:p w14:paraId="603E5593">
      <w:pPr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69593EA3">
      <w:pPr>
        <w:spacing w:line="360" w:lineRule="auto"/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（五）付款方式：</w:t>
      </w: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                                        </w:t>
      </w:r>
    </w:p>
    <w:p w14:paraId="06319BC9">
      <w:pPr>
        <w:spacing w:line="360" w:lineRule="auto"/>
        <w:rPr>
          <w:rFonts w:hint="eastAsia" w:ascii="宋体" w:hAnsi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>合同签订后，乙方须开具合同金额5</w:t>
      </w:r>
      <w:r>
        <w:rPr>
          <w:rFonts w:ascii="宋体" w:hAnsi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>0%</w:t>
      </w:r>
      <w:r>
        <w:rPr>
          <w:rFonts w:hint="eastAsia" w:ascii="宋体" w:hAnsi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>银行保函，甲方凭银行保函预付</w:t>
      </w:r>
      <w:r>
        <w:rPr>
          <w:rFonts w:ascii="宋体" w:hAnsi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>90%</w:t>
      </w:r>
      <w:r>
        <w:rPr>
          <w:rFonts w:hint="eastAsia" w:ascii="宋体" w:hAnsi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>货款；到货安装完成退回银行保函；技术验收合格后支付1</w:t>
      </w:r>
      <w:r>
        <w:rPr>
          <w:rFonts w:ascii="宋体" w:hAnsi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>0%</w:t>
      </w:r>
      <w:r>
        <w:rPr>
          <w:rFonts w:hint="eastAsia" w:ascii="宋体" w:hAnsi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>尾款。</w:t>
      </w:r>
    </w:p>
    <w:p w14:paraId="5BEEAFDF">
      <w:pPr>
        <w:spacing w:line="360" w:lineRule="auto"/>
        <w:rPr>
          <w:rFonts w:hint="eastAsia" w:ascii="宋体" w:hAnsi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</w:pPr>
    </w:p>
    <w:p w14:paraId="5CB22C58">
      <w:pPr>
        <w:spacing w:line="360" w:lineRule="auto"/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（六）执行的相关标准</w:t>
      </w:r>
    </w:p>
    <w:p w14:paraId="335E1040">
      <w:pPr>
        <w:spacing w:line="360" w:lineRule="auto"/>
        <w:rPr>
          <w:rFonts w:hint="eastAsia" w:ascii="inherit" w:hAnsi="inherit" w:cs="宋体"/>
          <w:color w:val="000000" w:themeColor="text1"/>
          <w:kern w:val="0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inherit" w:hAnsi="inherit" w:cs="宋体"/>
          <w:color w:val="000000" w:themeColor="text1"/>
          <w:kern w:val="0"/>
          <w:sz w:val="24"/>
          <w:highlight w:val="none"/>
          <w14:textFill>
            <w14:solidFill>
              <w14:schemeClr w14:val="tx1"/>
            </w14:solidFill>
          </w14:textFill>
        </w:rPr>
        <w:t xml:space="preserve">   产品应满足相关国家标准及行业标准。</w:t>
      </w:r>
    </w:p>
    <w:p w14:paraId="4F55CC26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eastAsia="黑体"/>
          <w:b/>
          <w:color w:val="000000" w:themeColor="text1"/>
          <w:kern w:val="44"/>
          <w:sz w:val="48"/>
          <w:szCs w:val="20"/>
          <w:highlight w:val="none"/>
          <w14:textFill>
            <w14:solidFill>
              <w14:schemeClr w14:val="tx1"/>
            </w14:solidFill>
          </w14:textFill>
        </w:rPr>
      </w:pPr>
    </w:p>
    <w:p w14:paraId="73E5AE7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0E7C96"/>
    <w:rsid w:val="74FD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/>
      <w:szCs w:val="20"/>
    </w:rPr>
  </w:style>
  <w:style w:type="paragraph" w:styleId="3">
    <w:name w:val="Date"/>
    <w:basedOn w:val="1"/>
    <w:next w:val="1"/>
    <w:qFormat/>
    <w:uiPriority w:val="0"/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2025-10-15T09:26:53Z</dcterms:created>
  <dc:creator>yzjia</dc:creator>
  <cp:lastModifiedBy>godjiao</cp:lastModifiedBy>
  <dcterms:modified xsi:type="dcterms:W3CDTF">2025-10-15T09:27:02Z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eyJoZGlkIjoiY2IxMDc5ODZkZDE5M2E5MjdjM2ZkNDMyYjY0NzE3YmEiLCJ1c2VySWQiOiIyNDgyNzkwNjcifQ==</vt:lpwstr>
  </property>
  <property fmtid="{D5CDD505-2E9C-101B-9397-08002B2CF9AE}" pid="4" name="ICV">
    <vt:lpwstr>319C8A6389F54F1C9AE56ECC67FE861D_12</vt:lpwstr>
  </property>
</Properties>
</file>