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版本号：N510725202500012520250918001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梓潼县一河（湖）一策管理保护方案编制服务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N5107252025000125</w:t>
      </w:r>
    </w:p>
    <w:p>
      <w:pPr>
        <w:pStyle w:val="null3"/>
        <w:jc w:val="left"/>
        <w:outlineLvl w:val="2"/>
      </w:pPr>
      <w:r>
        <w:rPr>
          <w:rFonts w:ascii="仿宋_GB2312" w:hAnsi="仿宋_GB2312" w:cs="仿宋_GB2312" w:eastAsia="仿宋_GB2312"/>
          <w:sz w:val="28"/>
          <w:b/>
        </w:rPr>
        <w:t>梓潼县水利局</w:t>
      </w:r>
    </w:p>
    <w:p>
      <w:pPr>
        <w:pStyle w:val="null3"/>
        <w:jc w:val="center"/>
        <w:outlineLvl w:val="2"/>
      </w:pPr>
      <w:r>
        <w:rPr>
          <w:rFonts w:ascii="仿宋_GB2312" w:hAnsi="仿宋_GB2312" w:cs="仿宋_GB2312" w:eastAsia="仿宋_GB2312"/>
          <w:sz w:val="28"/>
          <w:b/>
        </w:rPr>
        <w:t>四川喜邦科技有限公司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四川喜邦科技有限公司</w:t>
      </w:r>
      <w:r>
        <w:rPr>
          <w:rFonts w:ascii="仿宋_GB2312" w:hAnsi="仿宋_GB2312" w:cs="仿宋_GB2312" w:eastAsia="仿宋_GB2312"/>
        </w:rPr>
        <w:t xml:space="preserve"> （以下简称“代理机构”）受 </w:t>
      </w:r>
      <w:r>
        <w:rPr>
          <w:rFonts w:ascii="仿宋_GB2312" w:hAnsi="仿宋_GB2312" w:cs="仿宋_GB2312" w:eastAsia="仿宋_GB2312"/>
        </w:rPr>
        <w:t>梓潼县水利局</w:t>
      </w:r>
      <w:r>
        <w:rPr>
          <w:rFonts w:ascii="仿宋_GB2312" w:hAnsi="仿宋_GB2312" w:cs="仿宋_GB2312" w:eastAsia="仿宋_GB2312"/>
        </w:rPr>
        <w:t xml:space="preserve"> 委托，拟对 </w:t>
      </w:r>
      <w:r>
        <w:rPr>
          <w:rFonts w:ascii="仿宋_GB2312" w:hAnsi="仿宋_GB2312" w:cs="仿宋_GB2312" w:eastAsia="仿宋_GB2312"/>
        </w:rPr>
        <w:t>梓潼县一河（湖）一策管理保护方案编制服务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绵阳市梓潼县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N5107252025000125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梓潼县一河（湖）一策管理保护方案编制服务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编制梓潼县13条河流（含22座水库）一河（湖）一策管理保护方案（2026—2030年）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1、本项目特殊资质要求（描述：供应商须提供行政主管部门颁发的工程设计水利行业丙级及以上资质或具有水文、水资源调查评价乙级及以上资质。）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梓潼县水利局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四川省绵阳市梓潼县文昌镇五丁路168号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622150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申女士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0816-6177118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四川喜邦科技有限公司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四川省绵阳市科技城科教创业园区园艺山博雅路3附15-2号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莫女士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0816-6271987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代理服务费收费标准：招标代理服务费按照计价格[2002]1980号《招标代理服务收费管理暂行办法》文件标准计收。招标代理费在成交服务商领取中标通知书时由成交投标人一次性支付。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梓潼县水利局</w:t>
      </w:r>
      <w:r>
        <w:rPr>
          <w:rFonts w:ascii="仿宋_GB2312" w:hAnsi="仿宋_GB2312" w:cs="仿宋_GB2312" w:eastAsia="仿宋_GB2312"/>
        </w:rPr>
        <w:t xml:space="preserve"> 和 </w:t>
      </w:r>
      <w:r>
        <w:rPr>
          <w:rFonts w:ascii="仿宋_GB2312" w:hAnsi="仿宋_GB2312" w:cs="仿宋_GB2312" w:eastAsia="仿宋_GB2312"/>
        </w:rPr>
        <w:t>四川喜邦科技有限公司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梓潼县水利局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四川喜邦科技有限公司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方案编制完成</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以双方合同约定为准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以双方合同约定为准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以双方合同约定为准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成交供应商的响应文件及承诺与本合同约定标准进行验收；采购人、成交供应商双方如对质量要求和技术指标的约定标准有相互抵触或异议的事项，由采购人在采购文件与响应文件中按质量要求和技术指标比较优胜的原则确定该项的约定标准进行验收。其他未尽事宜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以双方合同约定为准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四川喜邦科技有限公司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四川喜邦科技有限公司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四川喜邦科技有限公司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联系人：莫女士</w:t>
      </w:r>
    </w:p>
    <w:p>
      <w:pPr>
        <w:pStyle w:val="null3"/>
        <w:jc w:val="left"/>
      </w:pPr>
      <w:r>
        <w:rPr>
          <w:rFonts w:ascii="仿宋_GB2312" w:hAnsi="仿宋_GB2312" w:cs="仿宋_GB2312" w:eastAsia="仿宋_GB2312"/>
        </w:rPr>
        <w:t>联系电话：0816-6271987</w:t>
      </w:r>
    </w:p>
    <w:p>
      <w:pPr>
        <w:pStyle w:val="null3"/>
        <w:jc w:val="left"/>
      </w:pPr>
      <w:r>
        <w:rPr>
          <w:rFonts w:ascii="仿宋_GB2312" w:hAnsi="仿宋_GB2312" w:cs="仿宋_GB2312" w:eastAsia="仿宋_GB2312"/>
        </w:rPr>
        <w:t>地址：四川省绵阳市科技城科教创业园区园艺山博雅路3附15-2号</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600,000.00</w:t>
      </w:r>
    </w:p>
    <w:p>
      <w:pPr>
        <w:pStyle w:val="null3"/>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梓潼县一河（湖）一策管理保护方案编制服务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梓潼县一河（湖）一策管理保护方案编制服务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标的名称：梓潼县一河（湖）一策管理保护方案编制服务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技术服务内容</w:t>
            </w:r>
          </w:p>
        </w:tc>
        <w:tc>
          <w:tcPr>
            <w:tcW w:type="dxa" w:w="5814"/>
          </w:tcPr>
          <w:p>
            <w:pPr>
              <w:pStyle w:val="null3"/>
              <w:ind w:firstLine="562"/>
              <w:jc w:val="both"/>
            </w:pPr>
            <w:r>
              <w:rPr>
                <w:rFonts w:ascii="仿宋_GB2312" w:hAnsi="仿宋_GB2312" w:cs="仿宋_GB2312" w:eastAsia="仿宋_GB2312"/>
                <w:sz w:val="28"/>
              </w:rPr>
              <w:t>编制梓潼县</w:t>
            </w:r>
            <w:r>
              <w:rPr>
                <w:rFonts w:ascii="仿宋_GB2312" w:hAnsi="仿宋_GB2312" w:cs="仿宋_GB2312" w:eastAsia="仿宋_GB2312"/>
                <w:sz w:val="28"/>
              </w:rPr>
              <w:t>13条河流（含22座水库）一河（湖）一策管理保护方案（2026—2030年）。13条河流分别为：梓江（编制回顾性评价报告）、魏城河（编制回顾性评价报告）、宝石河、马鸣河、双板河、石鸡河、太平河、大新河、金天河、石牛河、自强河、文兴河、徐家沟。22座水库分别为：关田坝水库、三清观水库、复兴寺水库、金银垭水库、大埝水库、三埝水库、和平水库、跳墩河水库、云峰水库、松林水库、黄家湾水库、团结水库、安家咀水库、任家沟水库、望瓢山水库、天生堰水库、东方红水库、元窝子水库、油坊沟水库、长梁河水库、大安水库、灯塔水库。</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562"/>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技术要求：按照《四川省河长制办公室关于开展编制一河（湖）一策管理保护方案（2026—2030年）的通知》（川河长制办函〔2024〕95号）、《四川省河长制办公室关于印发四川省一河（湖）一策管理保护方案（2026—2030年）编制大纲的通知》（川河长制办发〔2025〕3号）编制。</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2）成果方案需经主管部门技术审查。</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3）成果文件：提交13条河流（</w:t>
            </w:r>
            <w:r>
              <w:rPr>
                <w:rFonts w:ascii="仿宋_GB2312" w:hAnsi="仿宋_GB2312" w:cs="仿宋_GB2312" w:eastAsia="仿宋_GB2312"/>
                <w:sz w:val="28"/>
                <w:color w:val="000000"/>
              </w:rPr>
              <w:t>含</w:t>
            </w:r>
            <w:r>
              <w:rPr>
                <w:rFonts w:ascii="仿宋_GB2312" w:hAnsi="仿宋_GB2312" w:cs="仿宋_GB2312" w:eastAsia="仿宋_GB2312"/>
                <w:sz w:val="28"/>
                <w:color w:val="000000"/>
              </w:rPr>
              <w:t>22</w:t>
            </w:r>
            <w:r>
              <w:rPr>
                <w:rFonts w:ascii="仿宋_GB2312" w:hAnsi="仿宋_GB2312" w:cs="仿宋_GB2312" w:eastAsia="仿宋_GB2312"/>
                <w:sz w:val="28"/>
                <w:color w:val="000000"/>
              </w:rPr>
              <w:t>座水库）</w:t>
            </w:r>
            <w:r>
              <w:rPr>
                <w:rFonts w:ascii="仿宋_GB2312" w:hAnsi="仿宋_GB2312" w:cs="仿宋_GB2312" w:eastAsia="仿宋_GB2312"/>
                <w:sz w:val="28"/>
                <w:color w:val="000000"/>
              </w:rPr>
              <w:t>一河（湖）一策管理保护方案（</w:t>
            </w:r>
            <w:r>
              <w:rPr>
                <w:rFonts w:ascii="仿宋_GB2312" w:hAnsi="仿宋_GB2312" w:cs="仿宋_GB2312" w:eastAsia="仿宋_GB2312"/>
                <w:sz w:val="28"/>
                <w:color w:val="000000"/>
              </w:rPr>
              <w:t>2026—2030年）报告书10套，电子版文件1套。</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90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梓潼县（采购人指定地点）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以及采购文件的质量要求和技术指标、成交供应商的响应文件及承诺与本合同约定标准进行验收；采购人、成交供应商双方如对质量要求和技术指标的约定标准有相互抵触或异议的事项，由采购人在采购文件与响应文件中按质量要求和技术指标比较优胜的原则确定该项的约定标准进行验收。其他未尽事宜按照《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1、分期付款，以双方合同约定为准，达到付款条件起15日内，据实情况说明为分期付款，以双方合同约定为准</w:t>
            </w:r>
          </w:p>
          <w:p>
            <w:pPr>
              <w:pStyle w:val="null3"/>
              <w:jc w:val="left"/>
            </w:pPr>
            <w:r>
              <w:rPr>
                <w:rFonts w:ascii="仿宋_GB2312" w:hAnsi="仿宋_GB2312" w:cs="仿宋_GB2312" w:eastAsia="仿宋_GB2312"/>
              </w:rPr>
              <w:t>2、分期付款，以双方合同约定为准，达到付款条件起15日内，据实情况说明为分期付款，以双方合同约定为准</w:t>
            </w:r>
          </w:p>
          <w:p>
            <w:pPr>
              <w:pStyle w:val="null3"/>
              <w:jc w:val="left"/>
            </w:pPr>
            <w:r>
              <w:rPr>
                <w:rFonts w:ascii="仿宋_GB2312" w:hAnsi="仿宋_GB2312" w:cs="仿宋_GB2312" w:eastAsia="仿宋_GB2312"/>
              </w:rPr>
              <w:t>3、分期付款，以双方合同约定为准，达到付款条件起15日内，据实情况说明为分期付款，以双方合同约定为准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以双方合同约定为准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如成交，不可因未了解项目现场情况而放弃成交不履行供应商义务。如因供应商不能正常履约，给采购人造成任何损失的，采购人将保留进一步追溯的权利，并要求供应商赔偿由此带来的损失；如放弃成交，所产生的后果按照政府采购相关法律法规执行。 ★(2)安全要求:本项目自签订合同之日起至项目完成之日止，供应商将承担该项目实施过程中的人身安全、财产安全等相应安全责任。因项目实施过程中造成的直接或间接损失，由供应商自行承担。 ★(3)供应商为本项目提供的所有服务和成果不得侵犯任何第三方的专利权，商标权或著作权等。 ★(4)本项目的投标报价包括但不限于人员工资、保险费、加班费、交通费、税费、管理费、利润、各种风险等在内的一切费用；供应商需自行考虑所有不确定因素，如出现因投标报价估算错误等引起的损失由供应商自行承担，采购人不承担任何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8"/>
        </w:rPr>
        <w:t>在磋商过程中，磋商小组可以根据</w:t>
      </w:r>
      <w:r>
        <w:rPr>
          <w:rFonts w:ascii="仿宋_GB2312" w:hAnsi="仿宋_GB2312" w:cs="仿宋_GB2312" w:eastAsia="仿宋_GB2312"/>
          <w:sz w:val="28"/>
        </w:rPr>
        <w:t>磋商文件</w:t>
      </w:r>
      <w:r>
        <w:rPr>
          <w:rFonts w:ascii="仿宋_GB2312" w:hAnsi="仿宋_GB2312" w:cs="仿宋_GB2312" w:eastAsia="仿宋_GB2312"/>
          <w:sz w:val="28"/>
        </w:rPr>
        <w:t>和磋商情况实质性变动以下内容：第三章</w:t>
      </w:r>
      <w:r>
        <w:rPr>
          <w:rFonts w:ascii="仿宋_GB2312" w:hAnsi="仿宋_GB2312" w:cs="仿宋_GB2312" w:eastAsia="仿宋_GB2312"/>
          <w:sz w:val="28"/>
        </w:rPr>
        <w:t>“技术、服务及其他要求”，但不得变动</w:t>
      </w:r>
      <w:r>
        <w:rPr>
          <w:rFonts w:ascii="仿宋_GB2312" w:hAnsi="仿宋_GB2312" w:cs="仿宋_GB2312" w:eastAsia="仿宋_GB2312"/>
          <w:sz w:val="28"/>
        </w:rPr>
        <w:t>磋商文件</w:t>
      </w:r>
      <w:r>
        <w:rPr>
          <w:rFonts w:ascii="仿宋_GB2312" w:hAnsi="仿宋_GB2312" w:cs="仿宋_GB2312" w:eastAsia="仿宋_GB2312"/>
          <w:sz w:val="28"/>
        </w:rPr>
        <w:t>中的其他内容。实质性变动的内容，须经采购人代表确认。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8"/>
        </w:rPr>
        <w:t>在磋商过程中，磋商小组可以根据</w:t>
      </w:r>
      <w:r>
        <w:rPr>
          <w:rFonts w:ascii="仿宋_GB2312" w:hAnsi="仿宋_GB2312" w:cs="仿宋_GB2312" w:eastAsia="仿宋_GB2312"/>
          <w:sz w:val="28"/>
        </w:rPr>
        <w:t>磋商文件</w:t>
      </w:r>
      <w:r>
        <w:rPr>
          <w:rFonts w:ascii="仿宋_GB2312" w:hAnsi="仿宋_GB2312" w:cs="仿宋_GB2312" w:eastAsia="仿宋_GB2312"/>
          <w:sz w:val="28"/>
        </w:rPr>
        <w:t>和磋商情况实质性变动以下内容：第七章</w:t>
      </w:r>
      <w:r>
        <w:rPr>
          <w:rFonts w:ascii="仿宋_GB2312" w:hAnsi="仿宋_GB2312" w:cs="仿宋_GB2312" w:eastAsia="仿宋_GB2312"/>
          <w:sz w:val="28"/>
        </w:rPr>
        <w:t>“拟签订采购合同文本”，但不得变动</w:t>
      </w:r>
      <w:r>
        <w:rPr>
          <w:rFonts w:ascii="仿宋_GB2312" w:hAnsi="仿宋_GB2312" w:cs="仿宋_GB2312" w:eastAsia="仿宋_GB2312"/>
          <w:sz w:val="28"/>
        </w:rPr>
        <w:t>磋商文件</w:t>
      </w:r>
      <w:r>
        <w:rPr>
          <w:rFonts w:ascii="仿宋_GB2312" w:hAnsi="仿宋_GB2312" w:cs="仿宋_GB2312" w:eastAsia="仿宋_GB2312"/>
          <w:sz w:val="28"/>
        </w:rPr>
        <w:t>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复印件”。 注：以上①②③④项均具有同等效力，提供一项即可。投标人需在项目电子化交易系统中按要求上传相应证明文件并进行电子签章。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本项目特殊资质要求</w:t>
            </w:r>
          </w:p>
        </w:tc>
        <w:tc>
          <w:tcPr>
            <w:tcW w:type="dxa" w:w="3322"/>
          </w:tcPr>
          <w:p>
            <w:pPr>
              <w:pStyle w:val="null3"/>
              <w:jc w:val="left"/>
            </w:pPr>
            <w:r>
              <w:rPr>
                <w:rFonts w:ascii="仿宋_GB2312" w:hAnsi="仿宋_GB2312" w:cs="仿宋_GB2312" w:eastAsia="仿宋_GB2312"/>
              </w:rPr>
              <w:t>供应商须提供行政主管部门颁发的工程设计水利行业丙级及以上资质或具有水文、水资源调查评价乙级及以上资质。</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审过程中，评审委员会认为供应商投标报价明显低于其他通过符合性审查供应商的投标报价，有可能影响产品质量或者不能诚信履约的，评审委员会应当要求其在合理的时间内通过项目电子化交易系统进行书面说明，必要时提交相关证明材料，供应商提交的书面说明，应当加盖供应商公章，在评审委员会要求的时间内通过项目电子化交易系统进行提交，否则视为不能证明其投标报价合理性。供应商不能证明其投标报价合理性的，评审委员会应当将其响应文件作为无效响应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供应商应符合本项目磋商文件第三章“3.2技术要求”中的实质性内容，其中标注“★”要求为实质性要求，不允许有负偏离。注:供应商应根据磋商文件的要求进行响应。</w:t>
            </w:r>
          </w:p>
        </w:tc>
        <w:tc>
          <w:tcPr>
            <w:tcW w:type="dxa" w:w="1910"/>
          </w:tcPr>
          <w:p>
            <w:pPr>
              <w:pStyle w:val="null3"/>
              <w:jc w:val="left"/>
            </w:pPr>
            <w:r>
              <w:rPr>
                <w:rFonts w:ascii="仿宋_GB2312" w:hAnsi="仿宋_GB2312" w:cs="仿宋_GB2312" w:eastAsia="仿宋_GB2312"/>
              </w:rPr>
              <w:t>技术要求应答表.docx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服务内容要求</w:t>
            </w:r>
          </w:p>
        </w:tc>
        <w:tc>
          <w:tcPr>
            <w:tcW w:type="dxa" w:w="3322"/>
          </w:tcPr>
          <w:p>
            <w:pPr>
              <w:pStyle w:val="null3"/>
              <w:jc w:val="left"/>
            </w:pPr>
            <w:r>
              <w:rPr>
                <w:rFonts w:ascii="仿宋_GB2312" w:hAnsi="仿宋_GB2312" w:cs="仿宋_GB2312" w:eastAsia="仿宋_GB2312"/>
              </w:rPr>
              <w:t>供应商应符合本项目磋商文件第三章3.3服务要求中“3.3.1服务内容要求”，其中标注“★”要求为实质性要求，不允许有负偏离。注:供应商应根据磋商文件的要求进行响应。</w:t>
            </w:r>
          </w:p>
        </w:tc>
        <w:tc>
          <w:tcPr>
            <w:tcW w:type="dxa" w:w="1910"/>
          </w:tcPr>
          <w:p>
            <w:pPr>
              <w:pStyle w:val="null3"/>
              <w:jc w:val="left"/>
            </w:pPr>
            <w:r>
              <w:rPr>
                <w:rFonts w:ascii="仿宋_GB2312" w:hAnsi="仿宋_GB2312" w:cs="仿宋_GB2312" w:eastAsia="仿宋_GB2312"/>
              </w:rPr>
              <w:t>服务内容要求应答表.docx</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供应商应符合本项目磋商文件第三章“3.3.2商务要求”中的实质性内容，其中标注“★”要求为实质性要求，不允许有负偏离。注:供应商应根据磋商文件的要求进行响应。</w:t>
            </w:r>
          </w:p>
        </w:tc>
        <w:tc>
          <w:tcPr>
            <w:tcW w:type="dxa" w:w="1910"/>
          </w:tcPr>
          <w:p>
            <w:pPr>
              <w:pStyle w:val="null3"/>
              <w:jc w:val="left"/>
            </w:pPr>
            <w:r>
              <w:rPr>
                <w:rFonts w:ascii="仿宋_GB2312" w:hAnsi="仿宋_GB2312" w:cs="仿宋_GB2312" w:eastAsia="仿宋_GB2312"/>
              </w:rPr>
              <w:t>商务要求、其他要求应答表.docx</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其他要求</w:t>
            </w:r>
          </w:p>
        </w:tc>
        <w:tc>
          <w:tcPr>
            <w:tcW w:type="dxa" w:w="3322"/>
          </w:tcPr>
          <w:p>
            <w:pPr>
              <w:pStyle w:val="null3"/>
              <w:jc w:val="left"/>
            </w:pPr>
            <w:r>
              <w:rPr>
                <w:rFonts w:ascii="仿宋_GB2312" w:hAnsi="仿宋_GB2312" w:cs="仿宋_GB2312" w:eastAsia="仿宋_GB2312"/>
              </w:rPr>
              <w:t>供应商应符合本项目磋商文件第三章“3.4其他要求”中的实质性内容，其中标注“★”要求为实质性要求，不允许有负偏离。注:供应商应根据磋商文件的要求进行响应。</w:t>
            </w:r>
          </w:p>
        </w:tc>
        <w:tc>
          <w:tcPr>
            <w:tcW w:type="dxa" w:w="1910"/>
          </w:tcPr>
          <w:p>
            <w:pPr>
              <w:pStyle w:val="null3"/>
              <w:jc w:val="left"/>
            </w:pPr>
            <w:r>
              <w:rPr>
                <w:rFonts w:ascii="仿宋_GB2312" w:hAnsi="仿宋_GB2312" w:cs="仿宋_GB2312" w:eastAsia="仿宋_GB2312"/>
              </w:rPr>
              <w:t>商务要求、其他要求应答表.docx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技术服务方案</w:t>
            </w:r>
          </w:p>
        </w:tc>
        <w:tc>
          <w:tcPr>
            <w:tcW w:type="dxa" w:w="2575"/>
          </w:tcPr>
          <w:p>
            <w:pPr>
              <w:pStyle w:val="null3"/>
              <w:jc w:val="left"/>
            </w:pPr>
            <w:r>
              <w:rPr>
                <w:rFonts w:ascii="仿宋_GB2312" w:hAnsi="仿宋_GB2312" w:cs="仿宋_GB2312" w:eastAsia="仿宋_GB2312"/>
              </w:rPr>
              <w:t>根据供应商提供的技术服务方案：①项目需求分析；②工作流程；③重难点分析；④技术大纲方案；⑤进度保证措施；⑥质量保证措施；⑦相关协调措施及职责分工进行综合评审。以上 7 项内容全部提供且与采购需求相对应，符合本项目实际要求和特点，能保证采购项目质量和采购标的实现，确保良好履约的 56 分，每有一项内容未提供或缺少、遗漏的扣 8 分，每有一处缺陷的扣 4分。 注：“缺陷”指①方案内容与本项目需求无关；②涉及本项目具体需求标准出现负偏离情形，或项目名称错误、地点区域错误；③仅有框架或标题、只有简单复制粘贴采购文件内容，未对本项目实际需求进行具体描述；④方案内容对同一需求的描述前后矛盾或表述前后不一致；⑤涉及或引用的标准（方法）错误等任意一种情形。</w:t>
            </w:r>
          </w:p>
        </w:tc>
        <w:tc>
          <w:tcPr>
            <w:tcW w:type="dxa" w:w="831"/>
          </w:tcPr>
          <w:p>
            <w:pPr>
              <w:pStyle w:val="null3"/>
              <w:jc w:val="center"/>
            </w:pPr>
            <w:r>
              <w:rPr>
                <w:rFonts w:ascii="仿宋_GB2312" w:hAnsi="仿宋_GB2312" w:cs="仿宋_GB2312" w:eastAsia="仿宋_GB2312"/>
              </w:rPr>
              <w:t>56.0000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技术服务方案.docx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供应商提供自2022年1月1日以来的类似项目业绩，每提供1个得2分，本项最多得10分。 注：提供合同复印件或中标（成交）通知书复印件并加盖供应商公章，未提供不得分。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业绩一览表.docx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供应商拟投入本项目实施团队成员中： 1.项目负责人（1人）：具有水利类相关专业教授级高级工程师或正高级工程师资格的得6分；具有水利类相关专业高级工程师资格的得4分，具有水利类相关专业工程师资格的得2分。本项限定1人，最高得6分。 2.技术负责人（1人）：具有水利类相关专业教授级高级工程师或正高级工程师资格的得6分；具有水利类相关专业高级工程师资格的得4分，具有水利类相关专业工程师资格的得2分。本项限定1人，最高得6分。 3.项目团队其它专业技术人员（6人）：具有水利类相关专业教授级高级工程师或正高级工程师资格的得2分；具有水利类相关专业高级工程师资格的得1分，具有水利类相关专业工程师资格的得0.5分。本项限定6人，最高得12分。 注：以上所有成员不重复得分，须提供有效期内的相关证书复印件、身份证复印件及在职证明材料并加盖供应商公章。</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人员配置情况表.docx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满足磋商文件要求且报价最低的为评审基准价，其价格分为满分。其他有效供应商的价格分统一按照下列公式计算：报价得分=(基准价／最后报价)×10。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详见附件：技术服务方案.docx</w:t>
      </w:r>
    </w:p>
    <w:p>
      <w:pPr>
        <w:pStyle w:val="null3"/>
        <w:ind w:firstLine="960"/>
        <w:jc w:val="left"/>
      </w:pPr>
      <w:r>
        <w:rPr>
          <w:rFonts w:ascii="仿宋_GB2312" w:hAnsi="仿宋_GB2312" w:cs="仿宋_GB2312" w:eastAsia="仿宋_GB2312"/>
        </w:rPr>
        <w:t>详见附件：人员配置情况表.docx</w:t>
      </w:r>
    </w:p>
    <w:p>
      <w:pPr>
        <w:pStyle w:val="null3"/>
        <w:ind w:firstLine="960"/>
        <w:jc w:val="left"/>
      </w:pPr>
      <w:r>
        <w:rPr>
          <w:rFonts w:ascii="仿宋_GB2312" w:hAnsi="仿宋_GB2312" w:cs="仿宋_GB2312" w:eastAsia="仿宋_GB2312"/>
        </w:rPr>
        <w:t>详见附件：商务要求、其他要求应答表.docx</w:t>
      </w:r>
    </w:p>
    <w:p>
      <w:pPr>
        <w:pStyle w:val="null3"/>
        <w:ind w:firstLine="960"/>
        <w:jc w:val="left"/>
      </w:pPr>
      <w:r>
        <w:rPr>
          <w:rFonts w:ascii="仿宋_GB2312" w:hAnsi="仿宋_GB2312" w:cs="仿宋_GB2312" w:eastAsia="仿宋_GB2312"/>
        </w:rPr>
        <w:t>详见附件：服务内容要求应答表.docx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