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3FCC0B">
      <w:pPr>
        <w:adjustRightInd w:val="0"/>
        <w:snapToGrid w:val="0"/>
        <w:jc w:val="center"/>
        <w:rPr>
          <w:rFonts w:ascii="宋体" w:hAnsi="宋体"/>
          <w:b/>
          <w:color w:val="auto"/>
          <w:sz w:val="24"/>
        </w:rPr>
      </w:pPr>
      <w:bookmarkStart w:id="3" w:name="_GoBack"/>
    </w:p>
    <w:p w14:paraId="70263D0F">
      <w:pPr>
        <w:adjustRightInd w:val="0"/>
        <w:snapToGrid w:val="0"/>
        <w:jc w:val="center"/>
        <w:rPr>
          <w:rFonts w:ascii="宋体" w:hAnsi="宋体"/>
          <w:b/>
          <w:color w:val="auto"/>
          <w:sz w:val="24"/>
        </w:rPr>
      </w:pPr>
    </w:p>
    <w:p w14:paraId="52D23C79">
      <w:pPr>
        <w:adjustRightInd w:val="0"/>
        <w:snapToGrid w:val="0"/>
        <w:jc w:val="center"/>
        <w:rPr>
          <w:rFonts w:ascii="宋体" w:hAnsi="宋体"/>
          <w:b/>
          <w:color w:val="auto"/>
          <w:sz w:val="24"/>
        </w:rPr>
      </w:pPr>
    </w:p>
    <w:p w14:paraId="737675E6">
      <w:pPr>
        <w:adjustRightInd w:val="0"/>
        <w:snapToGrid w:val="0"/>
        <w:jc w:val="center"/>
        <w:rPr>
          <w:rFonts w:ascii="宋体" w:hAnsi="宋体"/>
          <w:b/>
          <w:color w:val="auto"/>
          <w:sz w:val="24"/>
        </w:rPr>
      </w:pPr>
    </w:p>
    <w:p w14:paraId="40A78532">
      <w:pPr>
        <w:adjustRightInd w:val="0"/>
        <w:snapToGrid w:val="0"/>
        <w:jc w:val="center"/>
        <w:rPr>
          <w:rFonts w:ascii="宋体" w:hAnsi="宋体"/>
          <w:b/>
          <w:color w:val="auto"/>
          <w:sz w:val="24"/>
        </w:rPr>
      </w:pPr>
    </w:p>
    <w:p w14:paraId="434FAEB8">
      <w:pPr>
        <w:adjustRightInd w:val="0"/>
        <w:snapToGrid w:val="0"/>
        <w:jc w:val="center"/>
        <w:rPr>
          <w:rFonts w:ascii="宋体" w:hAnsi="宋体"/>
          <w:b/>
          <w:color w:val="auto"/>
          <w:sz w:val="24"/>
        </w:rPr>
      </w:pPr>
    </w:p>
    <w:p w14:paraId="7C46671D">
      <w:pPr>
        <w:adjustRightInd w:val="0"/>
        <w:snapToGrid w:val="0"/>
        <w:jc w:val="center"/>
        <w:rPr>
          <w:rFonts w:ascii="宋体" w:hAnsi="宋体"/>
          <w:b/>
          <w:color w:val="auto"/>
          <w:sz w:val="24"/>
        </w:rPr>
      </w:pPr>
    </w:p>
    <w:p w14:paraId="3F12A9D3">
      <w:pPr>
        <w:adjustRightInd w:val="0"/>
        <w:snapToGrid w:val="0"/>
        <w:jc w:val="center"/>
        <w:rPr>
          <w:rFonts w:ascii="宋体" w:hAnsi="宋体"/>
          <w:b/>
          <w:color w:val="auto"/>
          <w:sz w:val="24"/>
        </w:rPr>
      </w:pPr>
    </w:p>
    <w:p w14:paraId="00FC8FF2">
      <w:pPr>
        <w:adjustRightInd w:val="0"/>
        <w:snapToGrid w:val="0"/>
        <w:jc w:val="center"/>
        <w:rPr>
          <w:rFonts w:ascii="宋体" w:hAnsi="宋体"/>
          <w:b/>
          <w:color w:val="auto"/>
          <w:sz w:val="24"/>
        </w:rPr>
      </w:pPr>
    </w:p>
    <w:p w14:paraId="67BE71F8">
      <w:pPr>
        <w:adjustRightInd w:val="0"/>
        <w:snapToGrid w:val="0"/>
        <w:jc w:val="center"/>
        <w:rPr>
          <w:rFonts w:ascii="宋体" w:hAnsi="宋体"/>
          <w:b/>
          <w:color w:val="auto"/>
          <w:sz w:val="24"/>
        </w:rPr>
      </w:pPr>
    </w:p>
    <w:p w14:paraId="4A5C7306">
      <w:pPr>
        <w:adjustRightInd w:val="0"/>
        <w:snapToGrid w:val="0"/>
        <w:jc w:val="center"/>
        <w:rPr>
          <w:rFonts w:ascii="宋体" w:hAnsi="宋体"/>
          <w:b/>
          <w:color w:val="auto"/>
          <w:sz w:val="24"/>
        </w:rPr>
      </w:pPr>
    </w:p>
    <w:p w14:paraId="60084287">
      <w:pPr>
        <w:adjustRightInd w:val="0"/>
        <w:snapToGrid w:val="0"/>
        <w:spacing w:before="936" w:beforeLines="300"/>
        <w:jc w:val="center"/>
        <w:rPr>
          <w:rFonts w:ascii="黑体" w:eastAsia="黑体"/>
          <w:b/>
          <w:color w:val="auto"/>
          <w:kern w:val="44"/>
          <w:sz w:val="48"/>
          <w:szCs w:val="20"/>
        </w:rPr>
      </w:pPr>
      <w:r>
        <w:rPr>
          <w:rFonts w:hint="eastAsia" w:ascii="黑体" w:eastAsia="黑体"/>
          <w:b/>
          <w:color w:val="auto"/>
          <w:kern w:val="44"/>
          <w:sz w:val="48"/>
          <w:szCs w:val="20"/>
        </w:rPr>
        <w:t>第八部分  采购需求</w:t>
      </w:r>
      <w:r>
        <w:rPr>
          <w:rFonts w:ascii="黑体" w:eastAsia="黑体"/>
          <w:b/>
          <w:color w:val="auto"/>
          <w:kern w:val="44"/>
          <w:sz w:val="48"/>
          <w:szCs w:val="20"/>
        </w:rPr>
        <w:br w:type="page"/>
      </w:r>
    </w:p>
    <w:p w14:paraId="07ED57E8">
      <w:pPr>
        <w:adjustRightInd w:val="0"/>
        <w:snapToGrid w:val="0"/>
        <w:jc w:val="center"/>
        <w:rPr>
          <w:rFonts w:ascii="宋体" w:hAnsi="宋体"/>
          <w:b/>
          <w:color w:val="auto"/>
          <w:sz w:val="30"/>
          <w:szCs w:val="30"/>
        </w:rPr>
      </w:pPr>
      <w:r>
        <w:rPr>
          <w:rFonts w:hint="eastAsia" w:ascii="宋体" w:hAnsi="宋体"/>
          <w:b/>
          <w:color w:val="auto"/>
          <w:sz w:val="30"/>
          <w:szCs w:val="30"/>
        </w:rPr>
        <w:t>一、货物需求一览表</w:t>
      </w:r>
    </w:p>
    <w:p w14:paraId="7A1C707B">
      <w:pPr>
        <w:adjustRightInd w:val="0"/>
        <w:snapToGrid w:val="0"/>
        <w:jc w:val="center"/>
        <w:rPr>
          <w:rFonts w:ascii="宋体" w:hAnsi="宋体"/>
          <w:b/>
          <w:color w:val="auto"/>
          <w:sz w:val="30"/>
          <w:szCs w:val="30"/>
        </w:rPr>
      </w:pPr>
    </w:p>
    <w:tbl>
      <w:tblPr>
        <w:tblStyle w:val="8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635"/>
        <w:gridCol w:w="1320"/>
        <w:gridCol w:w="1765"/>
        <w:gridCol w:w="2520"/>
      </w:tblGrid>
      <w:tr w14:paraId="4FEA3A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62" w:type="dxa"/>
            <w:vAlign w:val="center"/>
          </w:tcPr>
          <w:p w14:paraId="0F8B433A">
            <w:pPr>
              <w:jc w:val="center"/>
              <w:rPr>
                <w:rFonts w:ascii="宋体" w:hAnsi="Bookman Old Style"/>
                <w:color w:val="auto"/>
              </w:rPr>
            </w:pPr>
            <w:r>
              <w:rPr>
                <w:rFonts w:hint="eastAsia" w:ascii="宋体" w:hAnsi="Bookman Old Style"/>
                <w:color w:val="auto"/>
              </w:rPr>
              <w:t>包号</w:t>
            </w:r>
          </w:p>
        </w:tc>
        <w:tc>
          <w:tcPr>
            <w:tcW w:w="2640" w:type="dxa"/>
            <w:vAlign w:val="center"/>
          </w:tcPr>
          <w:p w14:paraId="5A3A86D2">
            <w:pPr>
              <w:jc w:val="center"/>
              <w:rPr>
                <w:rFonts w:ascii="宋体" w:hAnsi="Bookman Old Style"/>
                <w:color w:val="auto"/>
              </w:rPr>
            </w:pPr>
            <w:r>
              <w:rPr>
                <w:rFonts w:hint="eastAsia" w:ascii="宋体" w:hAnsi="Bookman Old Style"/>
                <w:color w:val="auto"/>
              </w:rPr>
              <w:t>货物名称</w:t>
            </w:r>
          </w:p>
        </w:tc>
        <w:tc>
          <w:tcPr>
            <w:tcW w:w="635" w:type="dxa"/>
            <w:vAlign w:val="center"/>
          </w:tcPr>
          <w:p w14:paraId="7694ACE4">
            <w:pPr>
              <w:jc w:val="center"/>
              <w:rPr>
                <w:rFonts w:ascii="宋体" w:hAnsi="Bookman Old Style"/>
                <w:color w:val="auto"/>
              </w:rPr>
            </w:pPr>
            <w:r>
              <w:rPr>
                <w:rFonts w:hint="eastAsia" w:ascii="宋体" w:hAnsi="Bookman Old Style"/>
                <w:color w:val="auto"/>
              </w:rPr>
              <w:t>数量</w:t>
            </w:r>
          </w:p>
        </w:tc>
        <w:tc>
          <w:tcPr>
            <w:tcW w:w="1320" w:type="dxa"/>
            <w:vAlign w:val="center"/>
          </w:tcPr>
          <w:p w14:paraId="304F6FFC">
            <w:pPr>
              <w:jc w:val="center"/>
              <w:rPr>
                <w:rFonts w:ascii="宋体" w:hAnsi="Bookman Old Style"/>
                <w:color w:val="auto"/>
              </w:rPr>
            </w:pPr>
            <w:r>
              <w:rPr>
                <w:rFonts w:hint="eastAsia" w:ascii="宋体" w:hAnsi="Bookman Old Style"/>
                <w:color w:val="auto"/>
              </w:rPr>
              <w:t>交货期</w:t>
            </w:r>
          </w:p>
        </w:tc>
        <w:tc>
          <w:tcPr>
            <w:tcW w:w="1765" w:type="dxa"/>
            <w:vAlign w:val="center"/>
          </w:tcPr>
          <w:p w14:paraId="0A518D52">
            <w:pPr>
              <w:jc w:val="center"/>
              <w:rPr>
                <w:rFonts w:ascii="宋体" w:hAnsi="Bookman Old Style"/>
                <w:color w:val="auto"/>
              </w:rPr>
            </w:pPr>
            <w:r>
              <w:rPr>
                <w:rFonts w:hint="eastAsia" w:ascii="宋体" w:hAnsi="Bookman Old Style"/>
                <w:color w:val="auto"/>
              </w:rPr>
              <w:t>指定到货港</w:t>
            </w:r>
          </w:p>
        </w:tc>
        <w:tc>
          <w:tcPr>
            <w:tcW w:w="2520" w:type="dxa"/>
            <w:vAlign w:val="center"/>
          </w:tcPr>
          <w:p w14:paraId="5CDBDE5F">
            <w:pPr>
              <w:jc w:val="center"/>
              <w:rPr>
                <w:rFonts w:ascii="宋体" w:hAnsi="Bookman Old Style"/>
                <w:color w:val="auto"/>
                <w:shd w:val="pct10" w:color="auto" w:fill="FFFFFF"/>
              </w:rPr>
            </w:pPr>
            <w:r>
              <w:rPr>
                <w:rFonts w:hint="eastAsia" w:ascii="宋体" w:hAnsi="Bookman Old Style"/>
                <w:color w:val="auto"/>
              </w:rPr>
              <w:t>项目现场（交货地点）</w:t>
            </w:r>
          </w:p>
        </w:tc>
      </w:tr>
      <w:tr w14:paraId="3AF2AE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62" w:type="dxa"/>
            <w:vAlign w:val="center"/>
          </w:tcPr>
          <w:p w14:paraId="307614B9">
            <w:pPr>
              <w:jc w:val="center"/>
              <w:rPr>
                <w:rFonts w:ascii="宋体"/>
                <w:color w:val="auto"/>
              </w:rPr>
            </w:pPr>
            <w:r>
              <w:rPr>
                <w:rFonts w:hint="eastAsia" w:ascii="宋体"/>
                <w:color w:val="auto"/>
              </w:rPr>
              <w:t>1</w:t>
            </w:r>
          </w:p>
        </w:tc>
        <w:tc>
          <w:tcPr>
            <w:tcW w:w="2640" w:type="dxa"/>
            <w:vAlign w:val="center"/>
          </w:tcPr>
          <w:p w14:paraId="10FB6D62">
            <w:pPr>
              <w:jc w:val="center"/>
              <w:rPr>
                <w:rFonts w:ascii="Bookman Old Style" w:hAnsi="Bookman Old Style"/>
                <w:color w:val="auto"/>
              </w:rPr>
            </w:pPr>
            <w:r>
              <w:rPr>
                <w:rFonts w:hint="eastAsia" w:ascii="Bookman Old Style" w:hAnsi="Bookman Old Style"/>
                <w:color w:val="auto"/>
              </w:rPr>
              <w:t>扫描电镜仪</w:t>
            </w:r>
          </w:p>
        </w:tc>
        <w:tc>
          <w:tcPr>
            <w:tcW w:w="635" w:type="dxa"/>
            <w:vAlign w:val="center"/>
          </w:tcPr>
          <w:p w14:paraId="4DC30738">
            <w:pPr>
              <w:jc w:val="center"/>
              <w:rPr>
                <w:rFonts w:ascii="宋体" w:hAnsi="Bookman Old Style"/>
                <w:color w:val="auto"/>
              </w:rPr>
            </w:pPr>
            <w:r>
              <w:rPr>
                <w:rFonts w:hint="eastAsia" w:ascii="宋体" w:hAnsi="Bookman Old Style"/>
                <w:color w:val="auto"/>
              </w:rPr>
              <w:t>1</w:t>
            </w:r>
          </w:p>
        </w:tc>
        <w:tc>
          <w:tcPr>
            <w:tcW w:w="5605" w:type="dxa"/>
            <w:gridSpan w:val="3"/>
            <w:vAlign w:val="center"/>
          </w:tcPr>
          <w:p w14:paraId="026090B6">
            <w:pPr>
              <w:jc w:val="center"/>
              <w:rPr>
                <w:rFonts w:ascii="宋体" w:hAnsi="Bookman Old Style"/>
                <w:color w:val="auto"/>
              </w:rPr>
            </w:pPr>
            <w:r>
              <w:rPr>
                <w:rFonts w:hint="eastAsia" w:ascii="宋体" w:hAnsi="Bookman Old Style"/>
                <w:color w:val="auto"/>
              </w:rPr>
              <w:t>详见具体技术规格</w:t>
            </w:r>
          </w:p>
        </w:tc>
      </w:tr>
    </w:tbl>
    <w:p w14:paraId="7A745734">
      <w:pPr>
        <w:adjustRightInd w:val="0"/>
        <w:snapToGrid w:val="0"/>
        <w:jc w:val="center"/>
        <w:rPr>
          <w:rFonts w:ascii="宋体" w:hAnsi="宋体"/>
          <w:b/>
          <w:color w:val="auto"/>
          <w:sz w:val="30"/>
          <w:szCs w:val="30"/>
        </w:rPr>
      </w:pPr>
    </w:p>
    <w:p w14:paraId="0DCDA583">
      <w:pPr>
        <w:adjustRightInd w:val="0"/>
        <w:snapToGrid w:val="0"/>
        <w:jc w:val="center"/>
        <w:rPr>
          <w:rFonts w:ascii="宋体" w:hAnsi="宋体"/>
          <w:b/>
          <w:color w:val="auto"/>
          <w:sz w:val="30"/>
          <w:szCs w:val="30"/>
        </w:rPr>
      </w:pPr>
    </w:p>
    <w:p w14:paraId="54A63EE7">
      <w:pPr>
        <w:adjustRightInd w:val="0"/>
        <w:snapToGrid w:val="0"/>
        <w:jc w:val="center"/>
        <w:rPr>
          <w:rFonts w:ascii="宋体" w:hAnsi="宋体"/>
          <w:b/>
          <w:color w:val="auto"/>
          <w:sz w:val="30"/>
          <w:szCs w:val="30"/>
        </w:rPr>
      </w:pPr>
    </w:p>
    <w:p w14:paraId="6DDABE9D">
      <w:pPr>
        <w:rPr>
          <w:rFonts w:ascii="Bookman Old Style" w:hAnsi="Bookman Old Style"/>
          <w:color w:val="auto"/>
          <w:sz w:val="24"/>
        </w:rPr>
      </w:pPr>
      <w:r>
        <w:rPr>
          <w:rFonts w:hint="eastAsia"/>
          <w:color w:val="auto"/>
          <w:sz w:val="24"/>
        </w:rPr>
        <w:t>注：投标人须对上述投标内容中完整的一包或几包进行投标，</w:t>
      </w:r>
      <w:r>
        <w:rPr>
          <w:rFonts w:hint="eastAsia" w:ascii="Bookman Old Style" w:hAnsi="Bookman Old Style"/>
          <w:color w:val="auto"/>
          <w:sz w:val="24"/>
        </w:rPr>
        <w:t>不完整的投标将视为非响应性投标予以拒绝。</w:t>
      </w:r>
    </w:p>
    <w:p w14:paraId="34926397">
      <w:pPr>
        <w:adjustRightInd w:val="0"/>
        <w:snapToGrid w:val="0"/>
        <w:rPr>
          <w:rFonts w:ascii="宋体" w:hAnsi="宋体"/>
          <w:color w:val="auto"/>
          <w:szCs w:val="21"/>
        </w:rPr>
      </w:pPr>
    </w:p>
    <w:p w14:paraId="7539E589">
      <w:pPr>
        <w:adjustRightInd w:val="0"/>
        <w:snapToGrid w:val="0"/>
        <w:rPr>
          <w:rFonts w:ascii="宋体" w:hAnsi="宋体"/>
          <w:color w:val="auto"/>
          <w:szCs w:val="21"/>
        </w:rPr>
      </w:pPr>
    </w:p>
    <w:p w14:paraId="317A6DAF">
      <w:pPr>
        <w:adjustRightInd w:val="0"/>
        <w:snapToGrid w:val="0"/>
        <w:rPr>
          <w:rFonts w:ascii="宋体" w:hAnsi="宋体"/>
          <w:color w:val="auto"/>
          <w:szCs w:val="21"/>
        </w:rPr>
      </w:pPr>
    </w:p>
    <w:p w14:paraId="50F25468">
      <w:pPr>
        <w:adjustRightInd w:val="0"/>
        <w:snapToGrid w:val="0"/>
        <w:rPr>
          <w:rFonts w:ascii="宋体" w:hAnsi="宋体"/>
          <w:color w:val="auto"/>
          <w:szCs w:val="21"/>
        </w:rPr>
      </w:pPr>
    </w:p>
    <w:p w14:paraId="6CF91E11">
      <w:pPr>
        <w:adjustRightInd w:val="0"/>
        <w:snapToGrid w:val="0"/>
        <w:rPr>
          <w:rFonts w:ascii="宋体" w:hAnsi="宋体"/>
          <w:color w:val="auto"/>
          <w:szCs w:val="21"/>
        </w:rPr>
      </w:pPr>
    </w:p>
    <w:p w14:paraId="2EF732AB">
      <w:pPr>
        <w:adjustRightInd w:val="0"/>
        <w:snapToGrid w:val="0"/>
        <w:rPr>
          <w:rFonts w:ascii="宋体" w:hAnsi="宋体"/>
          <w:color w:val="auto"/>
          <w:szCs w:val="21"/>
        </w:rPr>
      </w:pPr>
    </w:p>
    <w:p w14:paraId="5CCAA08B">
      <w:pPr>
        <w:adjustRightInd w:val="0"/>
        <w:snapToGrid w:val="0"/>
        <w:rPr>
          <w:rFonts w:ascii="宋体" w:hAnsi="宋体"/>
          <w:color w:val="auto"/>
          <w:szCs w:val="21"/>
        </w:rPr>
      </w:pPr>
    </w:p>
    <w:p w14:paraId="20F9B5CE">
      <w:pPr>
        <w:adjustRightInd w:val="0"/>
        <w:snapToGrid w:val="0"/>
        <w:rPr>
          <w:rFonts w:ascii="宋体" w:hAnsi="宋体"/>
          <w:color w:val="auto"/>
          <w:szCs w:val="21"/>
        </w:rPr>
      </w:pPr>
    </w:p>
    <w:p w14:paraId="2876BEAF">
      <w:pPr>
        <w:adjustRightInd w:val="0"/>
        <w:snapToGrid w:val="0"/>
        <w:rPr>
          <w:rFonts w:ascii="宋体" w:hAnsi="宋体"/>
          <w:color w:val="auto"/>
          <w:szCs w:val="21"/>
        </w:rPr>
      </w:pPr>
    </w:p>
    <w:p w14:paraId="6CE04F2A">
      <w:pPr>
        <w:adjustRightInd w:val="0"/>
        <w:snapToGrid w:val="0"/>
        <w:rPr>
          <w:rFonts w:ascii="宋体" w:hAnsi="宋体"/>
          <w:color w:val="auto"/>
          <w:szCs w:val="21"/>
        </w:rPr>
      </w:pPr>
    </w:p>
    <w:p w14:paraId="2B82B3B8">
      <w:pPr>
        <w:adjustRightInd w:val="0"/>
        <w:snapToGrid w:val="0"/>
        <w:rPr>
          <w:rFonts w:ascii="宋体" w:hAnsi="宋体"/>
          <w:color w:val="auto"/>
          <w:szCs w:val="21"/>
        </w:rPr>
      </w:pPr>
    </w:p>
    <w:p w14:paraId="05A25C50">
      <w:pPr>
        <w:adjustRightInd w:val="0"/>
        <w:snapToGrid w:val="0"/>
        <w:rPr>
          <w:rFonts w:ascii="宋体" w:hAnsi="宋体"/>
          <w:color w:val="auto"/>
          <w:szCs w:val="21"/>
        </w:rPr>
      </w:pPr>
    </w:p>
    <w:p w14:paraId="3B65556F">
      <w:pPr>
        <w:tabs>
          <w:tab w:val="left" w:pos="720"/>
        </w:tabs>
        <w:adjustRightInd w:val="0"/>
        <w:snapToGrid w:val="0"/>
        <w:jc w:val="center"/>
        <w:rPr>
          <w:rFonts w:ascii="宋体" w:hAnsi="宋体"/>
          <w:b/>
          <w:color w:val="auto"/>
          <w:sz w:val="30"/>
          <w:szCs w:val="30"/>
        </w:rPr>
      </w:pPr>
      <w:r>
        <w:rPr>
          <w:rFonts w:ascii="宋体" w:hAnsi="宋体"/>
          <w:b/>
          <w:color w:val="auto"/>
          <w:sz w:val="30"/>
          <w:szCs w:val="30"/>
        </w:rPr>
        <w:br w:type="page"/>
      </w:r>
      <w:r>
        <w:rPr>
          <w:rFonts w:hint="eastAsia" w:ascii="宋体" w:hAnsi="宋体"/>
          <w:b/>
          <w:color w:val="auto"/>
          <w:sz w:val="30"/>
          <w:szCs w:val="30"/>
        </w:rPr>
        <w:t>二、总则</w:t>
      </w:r>
    </w:p>
    <w:p w14:paraId="1108E7E3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</w:rPr>
      </w:pPr>
      <w:r>
        <w:rPr>
          <w:rFonts w:ascii="宋体" w:hAnsi="宋体"/>
          <w:b/>
          <w:color w:val="auto"/>
          <w:sz w:val="28"/>
        </w:rPr>
        <w:t>1</w:t>
      </w:r>
      <w:r>
        <w:rPr>
          <w:rFonts w:hint="eastAsia" w:ascii="宋体" w:hAnsi="宋体"/>
          <w:b/>
          <w:color w:val="auto"/>
          <w:sz w:val="28"/>
        </w:rPr>
        <w:t>、投标要求</w:t>
      </w:r>
    </w:p>
    <w:p w14:paraId="39925E97">
      <w:pPr>
        <w:spacing w:line="360" w:lineRule="auto"/>
        <w:ind w:left="554" w:hanging="554" w:hangingChars="231"/>
        <w:rPr>
          <w:rFonts w:ascii="宋体" w:hAnsi="宋体"/>
          <w:color w:val="auto"/>
          <w:sz w:val="24"/>
        </w:rPr>
      </w:pPr>
      <w:r>
        <w:rPr>
          <w:rFonts w:ascii="宋体" w:hAnsi="宋体"/>
          <w:color w:val="auto"/>
          <w:sz w:val="24"/>
        </w:rPr>
        <w:t xml:space="preserve">1.1 </w:t>
      </w:r>
      <w:r>
        <w:rPr>
          <w:rFonts w:hint="eastAsia" w:ascii="宋体" w:hAnsi="宋体"/>
          <w:color w:val="auto"/>
          <w:sz w:val="24"/>
        </w:rPr>
        <w:t xml:space="preserve"> 投标人在准备投标书时，务必在所提供的商品的技术规格文件中，标明型号、商标名称、目录号。</w:t>
      </w:r>
    </w:p>
    <w:p w14:paraId="41382368">
      <w:pPr>
        <w:spacing w:line="360" w:lineRule="auto"/>
        <w:ind w:left="554" w:hanging="554" w:hangingChars="231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7042C7F8">
      <w:pPr>
        <w:spacing w:line="360" w:lineRule="auto"/>
        <w:ind w:left="554" w:hanging="554" w:hangingChars="231"/>
        <w:rPr>
          <w:rFonts w:asci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1.3  </w:t>
      </w:r>
      <w:r>
        <w:rPr>
          <w:rFonts w:hint="eastAsia"/>
          <w:color w:val="auto"/>
          <w:sz w:val="24"/>
        </w:rPr>
        <w:t>投标人提供的</w:t>
      </w:r>
      <w:r>
        <w:rPr>
          <w:rFonts w:hint="eastAsia" w:ascii="宋体"/>
          <w:color w:val="auto"/>
          <w:sz w:val="24"/>
        </w:rPr>
        <w:t>产品</w:t>
      </w:r>
      <w:r>
        <w:rPr>
          <w:rFonts w:hint="eastAsia"/>
          <w:color w:val="auto"/>
          <w:sz w:val="24"/>
        </w:rPr>
        <w:t>样本，必须是“原件”而非复印件，</w:t>
      </w:r>
      <w:r>
        <w:rPr>
          <w:rFonts w:hint="eastAsia" w:ascii="宋体"/>
          <w:color w:val="auto"/>
          <w:sz w:val="24"/>
        </w:rPr>
        <w:t>图表、简图、电路图以及印刷电路板图等都应</w:t>
      </w:r>
      <w:r>
        <w:rPr>
          <w:rFonts w:hint="eastAsia"/>
          <w:color w:val="auto"/>
          <w:sz w:val="24"/>
        </w:rPr>
        <w:t>清晰易读。买方有权</w:t>
      </w:r>
      <w:r>
        <w:rPr>
          <w:rFonts w:hint="eastAsia" w:ascii="宋体"/>
          <w:color w:val="auto"/>
          <w:sz w:val="24"/>
        </w:rPr>
        <w:t>不付任何附加费用</w:t>
      </w:r>
      <w:r>
        <w:rPr>
          <w:rFonts w:hint="eastAsia"/>
          <w:color w:val="auto"/>
          <w:sz w:val="24"/>
        </w:rPr>
        <w:t>复制这些资料</w:t>
      </w:r>
      <w:r>
        <w:rPr>
          <w:rFonts w:hint="eastAsia" w:ascii="宋体"/>
          <w:color w:val="auto"/>
          <w:sz w:val="24"/>
        </w:rPr>
        <w:t>以供参考。</w:t>
      </w:r>
    </w:p>
    <w:p w14:paraId="30D2E244">
      <w:pPr>
        <w:spacing w:line="360" w:lineRule="auto"/>
        <w:ind w:left="554" w:hanging="554" w:hangingChars="231"/>
        <w:rPr>
          <w:rFonts w:ascii="宋体"/>
          <w:color w:val="auto"/>
          <w:sz w:val="24"/>
        </w:rPr>
      </w:pPr>
      <w:r>
        <w:rPr>
          <w:rFonts w:hint="eastAsia" w:ascii="宋体"/>
          <w:color w:val="auto"/>
          <w:sz w:val="24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3B415B3A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</w:rPr>
      </w:pPr>
      <w:r>
        <w:rPr>
          <w:rFonts w:hint="eastAsia" w:ascii="宋体" w:hAnsi="宋体"/>
          <w:b/>
          <w:color w:val="auto"/>
          <w:sz w:val="28"/>
        </w:rPr>
        <w:t>2、评标标准</w:t>
      </w:r>
    </w:p>
    <w:p w14:paraId="6809ABB2">
      <w:pPr>
        <w:spacing w:line="360" w:lineRule="auto"/>
        <w:ind w:left="554" w:hanging="554" w:hangingChars="231"/>
        <w:rPr>
          <w:rFonts w:ascii="宋体"/>
          <w:color w:val="auto"/>
          <w:sz w:val="24"/>
        </w:rPr>
      </w:pPr>
      <w:r>
        <w:rPr>
          <w:rFonts w:ascii="宋体" w:hAnsi="宋体"/>
          <w:color w:val="auto"/>
          <w:sz w:val="24"/>
        </w:rPr>
        <w:t>2.</w:t>
      </w:r>
      <w:r>
        <w:rPr>
          <w:rFonts w:hint="eastAsia" w:ascii="宋体" w:hAnsi="宋体"/>
          <w:color w:val="auto"/>
          <w:sz w:val="24"/>
        </w:rPr>
        <w:t xml:space="preserve">1  </w:t>
      </w:r>
      <w:r>
        <w:rPr>
          <w:rFonts w:hint="eastAsia"/>
          <w:color w:val="auto"/>
          <w:sz w:val="24"/>
        </w:rPr>
        <w:t>除招标文件中指定的附件和专用工具外，</w:t>
      </w:r>
      <w:r>
        <w:rPr>
          <w:rFonts w:hint="eastAsia" w:ascii="宋体"/>
          <w:color w:val="auto"/>
          <w:sz w:val="24"/>
        </w:rPr>
        <w:t>投标人应提供仪器设备的正常运行和常规保养所需的全套标准附件、专用工具</w:t>
      </w:r>
      <w:r>
        <w:rPr>
          <w:rFonts w:hint="eastAsia"/>
          <w:color w:val="auto"/>
          <w:sz w:val="24"/>
        </w:rPr>
        <w:t>和消耗品</w:t>
      </w:r>
      <w:r>
        <w:rPr>
          <w:rFonts w:hint="eastAsia" w:ascii="宋体"/>
          <w:color w:val="auto"/>
          <w:sz w:val="24"/>
        </w:rPr>
        <w:t>。投标人在投标书中需列出这些附件和工具的数量和单价的清单，这些附件和工具的报价的总值需计入投标价中。</w:t>
      </w:r>
    </w:p>
    <w:p w14:paraId="54E9CC33">
      <w:pPr>
        <w:spacing w:line="360" w:lineRule="auto"/>
        <w:ind w:left="554" w:hanging="554" w:hangingChars="231"/>
        <w:rPr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2.2  </w:t>
      </w:r>
      <w:r>
        <w:rPr>
          <w:rFonts w:hint="eastAsia"/>
          <w:color w:val="auto"/>
          <w:sz w:val="24"/>
        </w:rPr>
        <w:t>对于标书</w:t>
      </w:r>
      <w:r>
        <w:rPr>
          <w:rFonts w:hint="eastAsia" w:ascii="宋体"/>
          <w:color w:val="auto"/>
          <w:sz w:val="24"/>
        </w:rPr>
        <w:t>技术规范中已列</w:t>
      </w:r>
      <w:r>
        <w:rPr>
          <w:rFonts w:hint="eastAsia"/>
          <w:color w:val="auto"/>
          <w:sz w:val="24"/>
        </w:rPr>
        <w:t>出的作为查询选件的附件、零配件、专用工具和消耗品，投标书中</w:t>
      </w:r>
      <w:r>
        <w:rPr>
          <w:rFonts w:hint="eastAsia" w:ascii="宋体"/>
          <w:color w:val="auto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2F0DA8F7">
      <w:pPr>
        <w:spacing w:line="360" w:lineRule="auto"/>
        <w:ind w:left="554" w:hanging="554" w:hangingChars="231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2.3  为便于用户进行接收仪器的准备工作，卖方应在合同生效后</w:t>
      </w:r>
      <w:r>
        <w:rPr>
          <w:rFonts w:hint="eastAsia" w:ascii="宋体" w:hAnsi="宋体"/>
          <w:b/>
          <w:color w:val="auto"/>
          <w:sz w:val="24"/>
        </w:rPr>
        <w:t>60</w:t>
      </w:r>
      <w:r>
        <w:rPr>
          <w:rFonts w:hint="eastAsia" w:ascii="宋体" w:hAnsi="宋体"/>
          <w:color w:val="auto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70667FE3">
      <w:pPr>
        <w:spacing w:line="360" w:lineRule="auto"/>
        <w:ind w:left="554" w:hanging="554" w:hangingChars="231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2</w:t>
      </w:r>
      <w:r>
        <w:rPr>
          <w:rFonts w:ascii="宋体" w:hAnsi="宋体"/>
          <w:color w:val="auto"/>
          <w:sz w:val="24"/>
        </w:rPr>
        <w:t>.</w:t>
      </w:r>
      <w:r>
        <w:rPr>
          <w:rFonts w:hint="eastAsia" w:ascii="宋体" w:hAnsi="宋体"/>
          <w:color w:val="auto"/>
          <w:sz w:val="24"/>
        </w:rPr>
        <w:t>4</w:t>
      </w:r>
      <w:r>
        <w:rPr>
          <w:rFonts w:ascii="宋体" w:hAnsi="宋体"/>
          <w:color w:val="auto"/>
          <w:sz w:val="24"/>
        </w:rPr>
        <w:t xml:space="preserve"> </w:t>
      </w:r>
      <w:r>
        <w:rPr>
          <w:rFonts w:hint="eastAsia" w:ascii="宋体" w:hAnsi="宋体"/>
          <w:color w:val="auto"/>
          <w:sz w:val="24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797DCBBE">
      <w:pPr>
        <w:spacing w:line="360" w:lineRule="auto"/>
        <w:ind w:left="554" w:hanging="554" w:hangingChars="231"/>
        <w:rPr>
          <w:rFonts w:ascii="宋体" w:hAnsi="宋体"/>
          <w:color w:val="auto"/>
          <w:sz w:val="24"/>
        </w:rPr>
      </w:pPr>
      <w:r>
        <w:rPr>
          <w:rFonts w:ascii="宋体" w:hAnsi="宋体"/>
          <w:color w:val="auto"/>
          <w:sz w:val="24"/>
        </w:rPr>
        <w:t>2.</w:t>
      </w:r>
      <w:r>
        <w:rPr>
          <w:rFonts w:hint="eastAsia" w:ascii="宋体" w:hAnsi="宋体"/>
          <w:color w:val="auto"/>
          <w:sz w:val="24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0F66E9B4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</w:rPr>
      </w:pPr>
      <w:r>
        <w:rPr>
          <w:rFonts w:hint="eastAsia" w:ascii="宋体" w:hAnsi="宋体"/>
          <w:b/>
          <w:color w:val="auto"/>
          <w:sz w:val="28"/>
        </w:rPr>
        <w:t>3、工作条件</w:t>
      </w:r>
    </w:p>
    <w:p w14:paraId="45B62BD9">
      <w:pPr>
        <w:spacing w:after="312" w:afterLines="100" w:line="360" w:lineRule="auto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除非在技术规格中另有说明，所有仪器、设备和系统都应符合下列要求：</w:t>
      </w:r>
      <w:r>
        <w:rPr>
          <w:rFonts w:ascii="宋体" w:hAnsi="宋体"/>
          <w:color w:val="auto"/>
          <w:sz w:val="24"/>
        </w:rPr>
        <w:t xml:space="preserve"> </w:t>
      </w:r>
    </w:p>
    <w:p w14:paraId="613AF38F">
      <w:pPr>
        <w:spacing w:line="360" w:lineRule="auto"/>
        <w:ind w:left="554" w:hanging="554" w:hangingChars="231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3.1  适于在气温为摄氏</w:t>
      </w:r>
      <w:r>
        <w:rPr>
          <w:rFonts w:ascii="宋体" w:hAnsi="宋体"/>
          <w:b/>
          <w:color w:val="auto"/>
          <w:sz w:val="24"/>
        </w:rPr>
        <w:t>-40</w:t>
      </w:r>
      <w:r>
        <w:rPr>
          <w:rFonts w:hint="eastAsia" w:ascii="宋体" w:hAnsi="宋体"/>
          <w:b/>
          <w:color w:val="auto"/>
          <w:sz w:val="24"/>
        </w:rPr>
        <w:t>℃～＋</w:t>
      </w:r>
      <w:r>
        <w:rPr>
          <w:rFonts w:ascii="宋体" w:hAnsi="宋体"/>
          <w:b/>
          <w:color w:val="auto"/>
          <w:sz w:val="24"/>
        </w:rPr>
        <w:t>50</w:t>
      </w:r>
      <w:r>
        <w:rPr>
          <w:rFonts w:hint="eastAsia" w:ascii="宋体" w:hAnsi="宋体"/>
          <w:b/>
          <w:color w:val="auto"/>
          <w:sz w:val="24"/>
        </w:rPr>
        <w:t>℃</w:t>
      </w:r>
      <w:r>
        <w:rPr>
          <w:rFonts w:hint="eastAsia" w:ascii="宋体" w:hAnsi="宋体"/>
          <w:color w:val="auto"/>
          <w:sz w:val="24"/>
        </w:rPr>
        <w:t>和相对湿度为</w:t>
      </w:r>
      <w:r>
        <w:rPr>
          <w:rFonts w:ascii="宋体" w:hAnsi="宋体"/>
          <w:b/>
          <w:color w:val="auto"/>
          <w:sz w:val="24"/>
        </w:rPr>
        <w:t>90</w:t>
      </w:r>
      <w:r>
        <w:rPr>
          <w:rFonts w:hint="eastAsia" w:ascii="宋体" w:hAnsi="宋体"/>
          <w:b/>
          <w:color w:val="auto"/>
          <w:sz w:val="24"/>
        </w:rPr>
        <w:t>％</w:t>
      </w:r>
      <w:r>
        <w:rPr>
          <w:rFonts w:hint="eastAsia" w:ascii="宋体" w:hAnsi="宋体"/>
          <w:color w:val="auto"/>
          <w:sz w:val="24"/>
        </w:rPr>
        <w:t>的环境条件下运输和贮存。</w:t>
      </w:r>
    </w:p>
    <w:p w14:paraId="4170BCD7">
      <w:pPr>
        <w:spacing w:line="360" w:lineRule="auto"/>
        <w:ind w:left="554" w:hanging="554" w:hangingChars="231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3.2  适于在电源</w:t>
      </w:r>
      <w:r>
        <w:rPr>
          <w:rFonts w:ascii="宋体" w:hAnsi="宋体"/>
          <w:b/>
          <w:color w:val="auto"/>
          <w:sz w:val="24"/>
        </w:rPr>
        <w:t>220V</w:t>
      </w:r>
      <w:r>
        <w:rPr>
          <w:rFonts w:hint="eastAsia" w:ascii="宋体" w:hAnsi="宋体"/>
          <w:b/>
          <w:color w:val="auto"/>
          <w:sz w:val="24"/>
        </w:rPr>
        <w:t>（</w:t>
      </w:r>
      <w:r>
        <w:rPr>
          <w:rFonts w:ascii="宋体" w:hAnsi="宋体"/>
          <w:b/>
          <w:color w:val="auto"/>
          <w:sz w:val="24"/>
        </w:rPr>
        <w:sym w:font="Symbol" w:char="F0B1"/>
      </w:r>
      <w:r>
        <w:rPr>
          <w:rFonts w:ascii="宋体" w:hAnsi="宋体"/>
          <w:b/>
          <w:color w:val="auto"/>
          <w:sz w:val="24"/>
        </w:rPr>
        <w:t>10</w:t>
      </w:r>
      <w:r>
        <w:rPr>
          <w:rFonts w:hint="eastAsia" w:ascii="宋体" w:hAnsi="宋体"/>
          <w:b/>
          <w:color w:val="auto"/>
          <w:sz w:val="24"/>
        </w:rPr>
        <w:t>％）</w:t>
      </w:r>
      <w:r>
        <w:rPr>
          <w:rFonts w:ascii="宋体" w:hAnsi="宋体"/>
          <w:b/>
          <w:color w:val="auto"/>
          <w:sz w:val="24"/>
        </w:rPr>
        <w:t>/50Hz</w:t>
      </w:r>
      <w:r>
        <w:rPr>
          <w:rFonts w:hint="eastAsia" w:ascii="宋体" w:hAnsi="宋体"/>
          <w:color w:val="auto"/>
          <w:sz w:val="24"/>
        </w:rPr>
        <w:t>、气温摄氏</w:t>
      </w:r>
      <w:r>
        <w:rPr>
          <w:rFonts w:hint="eastAsia" w:ascii="宋体" w:hAnsi="宋体"/>
          <w:b/>
          <w:color w:val="auto"/>
          <w:sz w:val="24"/>
        </w:rPr>
        <w:t>+1</w:t>
      </w:r>
      <w:r>
        <w:rPr>
          <w:rFonts w:ascii="宋体" w:hAnsi="宋体"/>
          <w:b/>
          <w:color w:val="auto"/>
          <w:sz w:val="24"/>
        </w:rPr>
        <w:t>5</w:t>
      </w:r>
      <w:r>
        <w:rPr>
          <w:rFonts w:hint="eastAsia" w:ascii="宋体" w:hAnsi="宋体"/>
          <w:b/>
          <w:color w:val="auto"/>
          <w:sz w:val="24"/>
        </w:rPr>
        <w:t>℃～＋3</w:t>
      </w:r>
      <w:r>
        <w:rPr>
          <w:rFonts w:ascii="宋体" w:hAnsi="宋体"/>
          <w:b/>
          <w:color w:val="auto"/>
          <w:sz w:val="24"/>
        </w:rPr>
        <w:t>0</w:t>
      </w:r>
      <w:r>
        <w:rPr>
          <w:rFonts w:hint="eastAsia" w:ascii="宋体" w:hAnsi="宋体"/>
          <w:b/>
          <w:color w:val="auto"/>
          <w:sz w:val="24"/>
        </w:rPr>
        <w:t>℃</w:t>
      </w:r>
      <w:r>
        <w:rPr>
          <w:rFonts w:hint="eastAsia" w:ascii="宋体" w:hAnsi="宋体"/>
          <w:color w:val="auto"/>
          <w:sz w:val="24"/>
        </w:rPr>
        <w:t>和相对湿度小于</w:t>
      </w:r>
      <w:r>
        <w:rPr>
          <w:rFonts w:ascii="宋体" w:hAnsi="宋体"/>
          <w:b/>
          <w:color w:val="auto"/>
          <w:sz w:val="24"/>
        </w:rPr>
        <w:t>8</w:t>
      </w:r>
      <w:r>
        <w:rPr>
          <w:rFonts w:hint="eastAsia" w:ascii="宋体" w:hAnsi="宋体"/>
          <w:b/>
          <w:color w:val="auto"/>
          <w:sz w:val="24"/>
        </w:rPr>
        <w:t>0％</w:t>
      </w:r>
      <w:r>
        <w:rPr>
          <w:rFonts w:hint="eastAsia" w:ascii="宋体" w:hAnsi="宋体"/>
          <w:color w:val="auto"/>
          <w:sz w:val="24"/>
        </w:rPr>
        <w:t>的环境条件下运行。</w:t>
      </w:r>
      <w:r>
        <w:rPr>
          <w:rFonts w:hint="eastAsia" w:ascii="宋体" w:hAnsi="宋体"/>
          <w:b/>
          <w:color w:val="auto"/>
          <w:sz w:val="24"/>
        </w:rPr>
        <w:t>能够连续正常工作。</w:t>
      </w:r>
    </w:p>
    <w:p w14:paraId="08227364">
      <w:pPr>
        <w:spacing w:line="360" w:lineRule="auto"/>
        <w:ind w:left="554" w:hanging="554" w:hangingChars="231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3.3  配置符合中国有关标准要求的插头，如果没有这样的插头，则需</w:t>
      </w:r>
      <w:r>
        <w:rPr>
          <w:rFonts w:hint="eastAsia" w:ascii="宋体"/>
          <w:color w:val="auto"/>
          <w:sz w:val="24"/>
        </w:rPr>
        <w:t>提供适当的转</w:t>
      </w:r>
      <w:r>
        <w:rPr>
          <w:rFonts w:hint="eastAsia" w:ascii="宋体" w:hAnsi="宋体"/>
          <w:color w:val="auto"/>
          <w:sz w:val="24"/>
        </w:rPr>
        <w:t>换插座。</w:t>
      </w:r>
    </w:p>
    <w:p w14:paraId="1996C2A1">
      <w:pPr>
        <w:spacing w:line="360" w:lineRule="auto"/>
        <w:ind w:left="554" w:hanging="554" w:hangingChars="231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1A5864DD">
      <w:pPr>
        <w:rPr>
          <w:rFonts w:eastAsia="黑体"/>
          <w:b/>
          <w:bCs/>
          <w:color w:val="auto"/>
          <w:kern w:val="44"/>
          <w:sz w:val="24"/>
        </w:rPr>
      </w:pPr>
    </w:p>
    <w:p w14:paraId="17F840E3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</w:rPr>
      </w:pPr>
      <w:r>
        <w:rPr>
          <w:rFonts w:hint="eastAsia" w:ascii="宋体" w:hAnsi="宋体"/>
          <w:b/>
          <w:color w:val="auto"/>
          <w:sz w:val="28"/>
        </w:rPr>
        <w:t>4、验收标准</w:t>
      </w:r>
    </w:p>
    <w:p w14:paraId="487EA8F4">
      <w:pPr>
        <w:spacing w:after="312" w:afterLines="100" w:line="360" w:lineRule="auto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除非在技术规格中另有说明，所有仪器、设备和系统按下列要求进行验收：</w:t>
      </w:r>
      <w:r>
        <w:rPr>
          <w:rFonts w:ascii="宋体" w:hAnsi="宋体"/>
          <w:color w:val="auto"/>
          <w:sz w:val="24"/>
        </w:rPr>
        <w:t xml:space="preserve"> </w:t>
      </w:r>
    </w:p>
    <w:p w14:paraId="5E3CA2EA">
      <w:pPr>
        <w:spacing w:line="360" w:lineRule="auto"/>
        <w:ind w:left="554" w:hanging="554" w:hangingChars="231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4.1  仪器设备运抵安装现场后，买方将与卖方共同开箱验收, 如卖方届时不派人来, 则验收结果应以买方的验收报告为最终验收结果。买方发现所提供的仪器品质和技术规范不符合合同要求时，或有明显损坏，买方有权要求卖方负责更换。卖方应承担相应责任并负责赔偿全部损失，并承担由此给买方带来延期使用等方面造成的损失。</w:t>
      </w:r>
    </w:p>
    <w:p w14:paraId="47DBD01D">
      <w:pPr>
        <w:spacing w:line="360" w:lineRule="auto"/>
        <w:ind w:left="554" w:hanging="554" w:hangingChars="231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4.2  </w:t>
      </w:r>
      <w:r>
        <w:rPr>
          <w:rFonts w:hint="eastAsia"/>
          <w:color w:val="auto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如因乙方原因使仪器不能正常使用，乙方应承担全部责任。</w:t>
      </w:r>
    </w:p>
    <w:p w14:paraId="77D171E6">
      <w:pPr>
        <w:spacing w:line="360" w:lineRule="auto"/>
        <w:ind w:left="554" w:hanging="554" w:hangingChars="231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4.3  验收由采购人、中标人及相关人员依国家有关标准、合同及有关附件要求进行，验收完毕由采购人及中标人在验收报告上签名。</w:t>
      </w:r>
    </w:p>
    <w:p w14:paraId="0F331E71">
      <w:pPr>
        <w:spacing w:line="360" w:lineRule="auto"/>
        <w:ind w:left="554" w:hanging="554" w:hangingChars="231"/>
        <w:rPr>
          <w:rFonts w:hAnsi="宋体"/>
          <w:b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4.4  乙方需要配合甲方完成学校组织技术专家在场的验收,并出具验收报告。最终验收以学校验收为准。</w:t>
      </w:r>
    </w:p>
    <w:p w14:paraId="51E1B44F">
      <w:pPr>
        <w:pStyle w:val="4"/>
        <w:spacing w:line="360" w:lineRule="auto"/>
        <w:rPr>
          <w:rFonts w:hAnsi="宋体"/>
          <w:b/>
          <w:color w:val="auto"/>
          <w:sz w:val="24"/>
          <w:szCs w:val="24"/>
        </w:rPr>
      </w:pPr>
      <w:r>
        <w:rPr>
          <w:rFonts w:hint="eastAsia" w:hAnsi="宋体"/>
          <w:b/>
          <w:color w:val="auto"/>
          <w:sz w:val="24"/>
          <w:szCs w:val="24"/>
        </w:rPr>
        <w:t>5、本技术规格书中标注“*”号的为实质性要求，不满足其投标将被拒绝。</w:t>
      </w:r>
    </w:p>
    <w:p w14:paraId="0DD6DB34">
      <w:pPr>
        <w:pStyle w:val="4"/>
        <w:spacing w:line="360" w:lineRule="auto"/>
        <w:rPr>
          <w:rFonts w:hAnsi="宋体"/>
          <w:b/>
          <w:color w:val="auto"/>
          <w:sz w:val="24"/>
          <w:szCs w:val="24"/>
        </w:rPr>
      </w:pPr>
    </w:p>
    <w:p w14:paraId="5CAB88EE">
      <w:pPr>
        <w:pStyle w:val="4"/>
        <w:numPr>
          <w:ilvl w:val="0"/>
          <w:numId w:val="1"/>
        </w:numPr>
        <w:spacing w:line="360" w:lineRule="auto"/>
        <w:rPr>
          <w:rFonts w:hAnsi="宋体"/>
          <w:b/>
          <w:color w:val="auto"/>
          <w:sz w:val="24"/>
          <w:szCs w:val="24"/>
        </w:rPr>
      </w:pPr>
      <w:r>
        <w:rPr>
          <w:rFonts w:hint="eastAsia" w:hAnsi="宋体"/>
          <w:b/>
          <w:color w:val="auto"/>
          <w:sz w:val="24"/>
          <w:szCs w:val="24"/>
        </w:rPr>
        <w:t>如在具体技术规格中有本总则不一致之处，以具体技术规格中的要求为准。</w:t>
      </w:r>
    </w:p>
    <w:p w14:paraId="3778ED09">
      <w:pPr>
        <w:pStyle w:val="4"/>
        <w:spacing w:line="360" w:lineRule="auto"/>
        <w:rPr>
          <w:rFonts w:hAnsi="宋体"/>
          <w:b/>
          <w:color w:val="auto"/>
          <w:sz w:val="24"/>
          <w:szCs w:val="24"/>
        </w:rPr>
      </w:pPr>
    </w:p>
    <w:p w14:paraId="25A642EC">
      <w:pPr>
        <w:spacing w:after="156" w:afterLines="50"/>
        <w:ind w:left="601" w:hanging="601"/>
        <w:rPr>
          <w:rFonts w:ascii="宋体" w:hAnsi="宋体"/>
          <w:b/>
          <w:color w:val="auto"/>
          <w:sz w:val="28"/>
        </w:rPr>
        <w:sectPr>
          <w:footerReference r:id="rId5" w:type="first"/>
          <w:headerReference r:id="rId3" w:type="default"/>
          <w:footerReference r:id="rId4" w:type="default"/>
          <w:pgSz w:w="11906" w:h="16838"/>
          <w:pgMar w:top="1418" w:right="1418" w:bottom="1418" w:left="1418" w:header="851" w:footer="992" w:gutter="0"/>
          <w:pgNumType w:start="0"/>
          <w:cols w:space="720" w:num="1"/>
          <w:titlePg/>
          <w:docGrid w:type="lines" w:linePitch="312" w:charSpace="0"/>
        </w:sectPr>
      </w:pPr>
    </w:p>
    <w:p w14:paraId="11A3FDA8">
      <w:pPr>
        <w:spacing w:after="156" w:afterLines="50"/>
        <w:ind w:left="601" w:hanging="601"/>
        <w:rPr>
          <w:color w:val="auto"/>
          <w:sz w:val="24"/>
        </w:rPr>
      </w:pPr>
      <w:bookmarkStart w:id="0" w:name="_Hlk169624354"/>
      <w:r>
        <w:rPr>
          <w:rFonts w:hint="eastAsia" w:ascii="宋体" w:hAnsi="宋体"/>
          <w:b/>
          <w:color w:val="auto"/>
          <w:sz w:val="28"/>
        </w:rPr>
        <w:t>三、具体技术规格</w:t>
      </w:r>
      <w:bookmarkEnd w:id="0"/>
    </w:p>
    <w:p w14:paraId="505037FA">
      <w:pPr>
        <w:jc w:val="center"/>
        <w:rPr>
          <w:b/>
          <w:color w:val="auto"/>
          <w:sz w:val="24"/>
        </w:rPr>
      </w:pPr>
      <w:bookmarkStart w:id="1" w:name="_Hlk169624737"/>
      <w:r>
        <w:rPr>
          <w:rFonts w:hint="eastAsia"/>
          <w:b/>
          <w:color w:val="auto"/>
          <w:sz w:val="24"/>
        </w:rPr>
        <w:t>第1包 扫描电镜仪</w:t>
      </w:r>
    </w:p>
    <w:p w14:paraId="7A441119">
      <w:pPr>
        <w:rPr>
          <w:b/>
          <w:color w:val="auto"/>
          <w:sz w:val="24"/>
        </w:rPr>
      </w:pPr>
    </w:p>
    <w:p w14:paraId="3632AA64">
      <w:pPr>
        <w:rPr>
          <w:b/>
          <w:color w:val="auto"/>
          <w:sz w:val="24"/>
        </w:rPr>
      </w:pPr>
    </w:p>
    <w:p w14:paraId="2A1F4823">
      <w:pPr>
        <w:numPr>
          <w:ilvl w:val="0"/>
          <w:numId w:val="2"/>
        </w:numPr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</w:rPr>
        <w:t>技术要求：</w:t>
      </w:r>
    </w:p>
    <w:p w14:paraId="5395C876">
      <w:pPr>
        <w:rPr>
          <w:b/>
          <w:color w:val="auto"/>
          <w:sz w:val="24"/>
        </w:rPr>
      </w:pPr>
    </w:p>
    <w:p w14:paraId="24D12CD6">
      <w:pPr>
        <w:numPr>
          <w:ilvl w:val="0"/>
          <w:numId w:val="3"/>
        </w:numPr>
        <w:spacing w:line="360" w:lineRule="auto"/>
        <w:rPr>
          <w:color w:val="auto"/>
          <w:sz w:val="24"/>
        </w:rPr>
      </w:pPr>
      <w:r>
        <w:rPr>
          <w:rFonts w:hint="eastAsia"/>
          <w:b/>
          <w:color w:val="auto"/>
          <w:sz w:val="24"/>
        </w:rPr>
        <w:t>工作条件：</w:t>
      </w:r>
    </w:p>
    <w:p w14:paraId="6974921B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1.1 电源：110~240伏, 50/60赫兹,≤300瓦</w:t>
      </w:r>
    </w:p>
    <w:p w14:paraId="546AFFC9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1.2 温度：操作环境15℃ - 30℃</w:t>
      </w:r>
    </w:p>
    <w:p w14:paraId="6CC40AFD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1.3 湿度：&lt;80%RH</w:t>
      </w:r>
    </w:p>
    <w:p w14:paraId="77BF17F1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1.4 总体要求：科研组样品表面形貌快速检测。要求科研技术人员自己可以上手操作测试自己的样品，以加快实验进度。因此要求设备在满足分辨率的前提下，成像快速，放置环境要求低，可随意搬动。</w:t>
      </w:r>
    </w:p>
    <w:p w14:paraId="09BBD23D">
      <w:pPr>
        <w:spacing w:line="360" w:lineRule="auto"/>
        <w:rPr>
          <w:color w:val="auto"/>
          <w:sz w:val="24"/>
        </w:rPr>
      </w:pPr>
    </w:p>
    <w:p w14:paraId="78F31198">
      <w:pPr>
        <w:numPr>
          <w:ilvl w:val="0"/>
          <w:numId w:val="3"/>
        </w:numPr>
        <w:spacing w:line="360" w:lineRule="auto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</w:rPr>
        <w:t>设备用途：</w:t>
      </w:r>
    </w:p>
    <w:p w14:paraId="280A24F8">
      <w:pPr>
        <w:spacing w:line="360" w:lineRule="auto"/>
        <w:ind w:firstLine="480" w:firstLineChars="200"/>
        <w:rPr>
          <w:color w:val="auto"/>
          <w:sz w:val="24"/>
        </w:rPr>
      </w:pPr>
      <w:r>
        <w:rPr>
          <w:rFonts w:hint="eastAsia"/>
          <w:color w:val="auto"/>
          <w:sz w:val="24"/>
        </w:rPr>
        <w:t>用于采集致密砂、页岩等非常规岩石样品的微区形貌、结构及成分的观察和分析。</w:t>
      </w:r>
    </w:p>
    <w:p w14:paraId="4F5A9DBE">
      <w:pPr>
        <w:spacing w:line="360" w:lineRule="auto"/>
        <w:rPr>
          <w:color w:val="auto"/>
          <w:sz w:val="24"/>
        </w:rPr>
      </w:pPr>
    </w:p>
    <w:p w14:paraId="4C98B8B2">
      <w:pPr>
        <w:numPr>
          <w:ilvl w:val="0"/>
          <w:numId w:val="3"/>
        </w:numPr>
        <w:spacing w:line="360" w:lineRule="auto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</w:rPr>
        <w:t>技术规格：</w:t>
      </w:r>
    </w:p>
    <w:p w14:paraId="2F99638C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#3.1 内置集成可调焦彩色光学显微镜，具备明场、暗场相。光学放大最低倍数：≤5×，最高放大：≥15×，电子放大：≥150000×(响应文件中需要提供最低放大倍数低于5倍，最高放大倍数高于15倍、光学导航明场、暗场相的软件截图)；</w:t>
      </w:r>
    </w:p>
    <w:p w14:paraId="7A5588AC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3.2 仪器分辨率：二次电子探测器分辨率：≤7nm@10KV；</w:t>
      </w:r>
    </w:p>
    <w:p w14:paraId="6C3A307E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#3.3 加速电压：5~15kV连续可调，高级模式加速电压4.8~20kV连续可调，电压设置步进间隔：≤0.1kV，≥100种电压选择；</w:t>
      </w:r>
    </w:p>
    <w:p w14:paraId="6D978B40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#3.4 束斑直径选择：普通模式可选择四种模式，高级模式束斑直径0～5.1连续可调；</w:t>
      </w:r>
    </w:p>
    <w:p w14:paraId="4AD18194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*3.5 灯丝材料：采用高亮度CeB6、LaB6或场发射灯丝；</w:t>
      </w:r>
    </w:p>
    <w:p w14:paraId="162D09C1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#3.6 单根灯丝寿命：&gt;1400h，灯丝使用时间在软件中实时显示（需提供单根灯丝使用时间&gt;1400h截图证明文件）；</w:t>
      </w:r>
    </w:p>
    <w:p w14:paraId="48F180E1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 xml:space="preserve">*3.7 抽真空时间：每次换样抽真空时间：&lt;35s；从开始载样到呈现扫描电镜图像时间：&lt;45s； </w:t>
      </w:r>
    </w:p>
    <w:p w14:paraId="3F524B27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3.8 支持样品实时观测分辨率质量选择功能：图像像素可选456×456、684×684、912×912、1024×1024；图像质量可选从低到高的至少四种模式；图像像素和图像质量两个参数可以任意搭配成至少16种组合；</w:t>
      </w:r>
    </w:p>
    <w:p w14:paraId="0CE6061E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#3.9 样品台移动控制方式：样品台采用步进马达全自动控制，配合样品光学、电子双重导航。需支持光学全景导航、电子图像局部导航与扫描实时成像在同一操作界面显示，以便于快速确定样品位置；</w:t>
      </w:r>
    </w:p>
    <w:p w14:paraId="72D3D04E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3.10 真空系统：配置涡轮分子泵和无油隔膜干泵；</w:t>
      </w:r>
    </w:p>
    <w:p w14:paraId="47EB9F5A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3.11 观察模式：至少支持具备全面(形貌和成份)模式BSD Full、形貌模式A、形貌模式B、二次电子模式SED等四种模式，二次电子和背散射混合模式。5种模式在同一个操作界面任意切换；</w:t>
      </w:r>
    </w:p>
    <w:p w14:paraId="0E3DD8B2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#3.12 图像分辨率：960 x 600，1920 x 1200，3840 x 2400和7680 x 4800像素；</w:t>
      </w:r>
    </w:p>
    <w:p w14:paraId="0A7E576C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#3.13 探测器：需配备高真空二次电子探测器和四分割背散射电子探测器；</w:t>
      </w:r>
    </w:p>
    <w:p w14:paraId="75B2CD7D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*3.14 最大样品尺寸：≥95mm，可容纳≥36个直径12mm的样品；</w:t>
      </w:r>
    </w:p>
    <w:p w14:paraId="7AADAFF2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*3.15 样品台行程：X≥90mm，Y≥90mm，Z≥35mm；</w:t>
      </w:r>
    </w:p>
    <w:p w14:paraId="2F1FE250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3.16 支持远程检测功能，可远程诊断设备状况，以便维修工程师快速判断响应。</w:t>
      </w:r>
    </w:p>
    <w:p w14:paraId="56FE9CCD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#3.17 避震及移动性：仪器可移动，以摆放于普通实验室桌面使用。应具有较好的防震设计，不需要建立专用的抗震实验室或独立的抗震台来防止，不需减震装置即可放置在二楼以上楼层实验室；</w:t>
      </w:r>
    </w:p>
    <w:p w14:paraId="5D5E2845"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#3.18 全景图像拼合功能：可自动连续扫描指定大小区域，采集速率：≥100张/分钟(1024×1024分辨率图像)，所得图像应自动拼合为一幅全景图像，最大分辨率≥1亿像素（需提供一张扫描视野范围大于长度10mm，宽度大于7mm照片以及全景拼图软件操作界面截图。）</w:t>
      </w:r>
    </w:p>
    <w:p w14:paraId="29E70647">
      <w:pPr>
        <w:spacing w:line="360" w:lineRule="auto"/>
        <w:rPr>
          <w:color w:val="auto"/>
          <w:sz w:val="24"/>
        </w:rPr>
      </w:pPr>
    </w:p>
    <w:p w14:paraId="23A3F9AF">
      <w:pPr>
        <w:numPr>
          <w:ilvl w:val="0"/>
          <w:numId w:val="3"/>
        </w:numPr>
        <w:spacing w:line="360" w:lineRule="auto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</w:rPr>
        <w:t>产品配置要求</w:t>
      </w:r>
    </w:p>
    <w:tbl>
      <w:tblPr>
        <w:tblStyle w:val="8"/>
        <w:tblpPr w:leftFromText="180" w:rightFromText="180" w:vertAnchor="text" w:horzAnchor="margin" w:tblpXSpec="center" w:tblpY="45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5954"/>
        <w:gridCol w:w="1071"/>
      </w:tblGrid>
      <w:tr w14:paraId="43988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A01DDF">
            <w:pPr>
              <w:tabs>
                <w:tab w:val="left" w:pos="851"/>
              </w:tabs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序号</w:t>
            </w:r>
          </w:p>
        </w:tc>
        <w:tc>
          <w:tcPr>
            <w:tcW w:w="5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9A0EF1">
            <w:pPr>
              <w:tabs>
                <w:tab w:val="left" w:pos="851"/>
              </w:tabs>
              <w:snapToGrid w:val="0"/>
              <w:spacing w:before="156" w:beforeLines="50" w:line="360" w:lineRule="auto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项目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1AADA8">
            <w:pPr>
              <w:tabs>
                <w:tab w:val="left" w:pos="851"/>
              </w:tabs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数量</w:t>
            </w:r>
          </w:p>
        </w:tc>
      </w:tr>
      <w:tr w14:paraId="5C109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D1A741">
            <w:pPr>
              <w:tabs>
                <w:tab w:val="left" w:pos="851"/>
              </w:tabs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1</w:t>
            </w:r>
          </w:p>
        </w:tc>
        <w:tc>
          <w:tcPr>
            <w:tcW w:w="5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B6E47E">
            <w:pPr>
              <w:snapToGrid w:val="0"/>
              <w:spacing w:before="156" w:beforeLines="50" w:line="360" w:lineRule="auto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主机</w:t>
            </w:r>
            <w:r>
              <w:rPr>
                <w:rFonts w:hint="eastAsia"/>
                <w:color w:val="auto"/>
                <w:sz w:val="24"/>
                <w:szCs w:val="22"/>
              </w:rPr>
              <w:t>系统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BA8F9D">
            <w:pPr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1套</w:t>
            </w:r>
          </w:p>
        </w:tc>
      </w:tr>
      <w:tr w14:paraId="6520E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A2B1E5">
            <w:pPr>
              <w:tabs>
                <w:tab w:val="left" w:pos="851"/>
              </w:tabs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3</w:t>
            </w:r>
          </w:p>
        </w:tc>
        <w:tc>
          <w:tcPr>
            <w:tcW w:w="5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4D6D91">
            <w:pPr>
              <w:snapToGrid w:val="0"/>
              <w:spacing w:before="156" w:beforeLines="50" w:line="360" w:lineRule="auto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内置涡轮分子泵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694CD5">
            <w:pPr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1套</w:t>
            </w:r>
          </w:p>
        </w:tc>
      </w:tr>
      <w:tr w14:paraId="548EA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F9F07B">
            <w:pPr>
              <w:tabs>
                <w:tab w:val="left" w:pos="851"/>
              </w:tabs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4</w:t>
            </w:r>
          </w:p>
        </w:tc>
        <w:tc>
          <w:tcPr>
            <w:tcW w:w="5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87C5CE">
            <w:pPr>
              <w:snapToGrid w:val="0"/>
              <w:spacing w:before="156" w:beforeLines="50" w:line="360" w:lineRule="auto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外置隔膜真空泵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D56C41">
            <w:pPr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1套</w:t>
            </w:r>
          </w:p>
        </w:tc>
      </w:tr>
      <w:tr w14:paraId="0CE02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D07A9F">
            <w:pPr>
              <w:tabs>
                <w:tab w:val="left" w:pos="851"/>
              </w:tabs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5</w:t>
            </w:r>
          </w:p>
        </w:tc>
        <w:tc>
          <w:tcPr>
            <w:tcW w:w="5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CFAEE3">
            <w:pPr>
              <w:snapToGrid w:val="0"/>
              <w:spacing w:before="156" w:beforeLines="50" w:line="360" w:lineRule="auto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带芯片识别的标准样品杯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E467E6">
            <w:pPr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1套</w:t>
            </w:r>
          </w:p>
        </w:tc>
      </w:tr>
      <w:tr w14:paraId="24015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7CFAD3">
            <w:pPr>
              <w:tabs>
                <w:tab w:val="left" w:pos="851"/>
              </w:tabs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7</w:t>
            </w:r>
          </w:p>
        </w:tc>
        <w:tc>
          <w:tcPr>
            <w:tcW w:w="5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5E9315">
            <w:pPr>
              <w:snapToGrid w:val="0"/>
              <w:spacing w:before="156" w:beforeLines="50" w:line="360" w:lineRule="auto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内置带全景导航自动马达样品台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6B89A6">
            <w:pPr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1套</w:t>
            </w:r>
          </w:p>
        </w:tc>
      </w:tr>
      <w:tr w14:paraId="620DE3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8B7111">
            <w:pPr>
              <w:tabs>
                <w:tab w:val="left" w:pos="851"/>
              </w:tabs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8</w:t>
            </w:r>
          </w:p>
        </w:tc>
        <w:tc>
          <w:tcPr>
            <w:tcW w:w="5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B9709C">
            <w:pPr>
              <w:snapToGrid w:val="0"/>
              <w:spacing w:before="156" w:beforeLines="50" w:line="360" w:lineRule="auto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 xml:space="preserve">电镜控制和图像分析软件 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9A141D">
            <w:pPr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1套</w:t>
            </w:r>
          </w:p>
        </w:tc>
      </w:tr>
      <w:tr w14:paraId="41A60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7E50CB">
            <w:pPr>
              <w:tabs>
                <w:tab w:val="left" w:pos="851"/>
              </w:tabs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10</w:t>
            </w:r>
          </w:p>
        </w:tc>
        <w:tc>
          <w:tcPr>
            <w:tcW w:w="5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63117">
            <w:pPr>
              <w:snapToGrid w:val="0"/>
              <w:spacing w:before="156" w:beforeLines="50" w:line="360" w:lineRule="auto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操作培训手册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F7D5EC">
            <w:pPr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1套</w:t>
            </w:r>
          </w:p>
        </w:tc>
      </w:tr>
      <w:tr w14:paraId="0F2F4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935F60">
            <w:pPr>
              <w:tabs>
                <w:tab w:val="left" w:pos="851"/>
              </w:tabs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11</w:t>
            </w:r>
          </w:p>
        </w:tc>
        <w:tc>
          <w:tcPr>
            <w:tcW w:w="5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5736F">
            <w:pPr>
              <w:snapToGrid w:val="0"/>
              <w:spacing w:before="156" w:beforeLines="50" w:line="360" w:lineRule="auto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背散射电子探测器（内置）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F91E60">
            <w:pPr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1套</w:t>
            </w:r>
          </w:p>
        </w:tc>
      </w:tr>
      <w:tr w14:paraId="6497C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22E90D">
            <w:pPr>
              <w:tabs>
                <w:tab w:val="left" w:pos="851"/>
              </w:tabs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12</w:t>
            </w:r>
          </w:p>
        </w:tc>
        <w:tc>
          <w:tcPr>
            <w:tcW w:w="5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859ED7">
            <w:pPr>
              <w:snapToGrid w:val="0"/>
              <w:spacing w:before="156" w:beforeLines="50" w:line="360" w:lineRule="auto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二次电子探测器（内置）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1F17B1">
            <w:pPr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1套</w:t>
            </w:r>
          </w:p>
        </w:tc>
      </w:tr>
      <w:tr w14:paraId="1397B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107998">
            <w:pPr>
              <w:tabs>
                <w:tab w:val="left" w:pos="851"/>
              </w:tabs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1</w:t>
            </w:r>
            <w:r>
              <w:rPr>
                <w:rFonts w:hint="eastAsia"/>
                <w:color w:val="auto"/>
                <w:sz w:val="24"/>
                <w:szCs w:val="22"/>
              </w:rPr>
              <w:t>3</w:t>
            </w:r>
          </w:p>
        </w:tc>
        <w:tc>
          <w:tcPr>
            <w:tcW w:w="5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5B5977">
            <w:pPr>
              <w:tabs>
                <w:tab w:val="left" w:pos="851"/>
              </w:tabs>
              <w:snapToGrid w:val="0"/>
              <w:spacing w:before="156" w:beforeLines="50" w:line="360" w:lineRule="auto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全景拼图软件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4EA0E8">
            <w:pPr>
              <w:tabs>
                <w:tab w:val="left" w:pos="851"/>
              </w:tabs>
              <w:snapToGrid w:val="0"/>
              <w:spacing w:before="156" w:beforeLines="50" w:line="360" w:lineRule="auto"/>
              <w:jc w:val="center"/>
              <w:rPr>
                <w:color w:val="auto"/>
                <w:sz w:val="24"/>
                <w:szCs w:val="22"/>
              </w:rPr>
            </w:pPr>
            <w:r>
              <w:rPr>
                <w:color w:val="auto"/>
                <w:sz w:val="24"/>
                <w:szCs w:val="22"/>
              </w:rPr>
              <w:t>1套</w:t>
            </w:r>
          </w:p>
        </w:tc>
      </w:tr>
      <w:bookmarkEnd w:id="1"/>
    </w:tbl>
    <w:p w14:paraId="7241737E">
      <w:pPr>
        <w:spacing w:line="360" w:lineRule="auto"/>
        <w:rPr>
          <w:color w:val="auto"/>
          <w:sz w:val="24"/>
        </w:rPr>
      </w:pPr>
    </w:p>
    <w:p w14:paraId="403778E2">
      <w:pPr>
        <w:spacing w:line="360" w:lineRule="auto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</w:rPr>
        <w:t>（二）质保及售后服务：</w:t>
      </w:r>
    </w:p>
    <w:p w14:paraId="19AC2B6C">
      <w:pPr>
        <w:pStyle w:val="10"/>
        <w:adjustRightInd w:val="0"/>
        <w:snapToGrid w:val="0"/>
        <w:spacing w:line="360" w:lineRule="auto"/>
        <w:ind w:firstLine="0" w:firstLineChars="0"/>
        <w:rPr>
          <w:rFonts w:eastAsia="宋体" w:cs="宋体"/>
          <w:b/>
          <w:bCs/>
          <w:color w:val="auto"/>
          <w:sz w:val="24"/>
          <w:szCs w:val="24"/>
        </w:rPr>
      </w:pPr>
      <w:bookmarkStart w:id="2" w:name="_Hlk169622759"/>
      <w:r>
        <w:rPr>
          <w:rFonts w:hint="eastAsia" w:eastAsia="宋体" w:cs="宋体"/>
          <w:b/>
          <w:bCs/>
          <w:color w:val="auto"/>
          <w:sz w:val="24"/>
          <w:szCs w:val="24"/>
        </w:rPr>
        <w:t>1. 仪器安装调试：</w:t>
      </w:r>
    </w:p>
    <w:p w14:paraId="25822F87">
      <w:pPr>
        <w:adjustRightInd w:val="0"/>
        <w:snapToGrid w:val="0"/>
        <w:spacing w:line="360" w:lineRule="auto"/>
        <w:ind w:firstLine="420"/>
        <w:rPr>
          <w:rFonts w:cs="宋体"/>
          <w:color w:val="auto"/>
          <w:sz w:val="24"/>
        </w:rPr>
      </w:pPr>
      <w:r>
        <w:rPr>
          <w:rFonts w:hint="eastAsia" w:cs="宋体"/>
          <w:color w:val="auto"/>
          <w:sz w:val="24"/>
        </w:rPr>
        <w:t>安装调试由供货方免费提供，仪器到达用户所在地后，在接到用户通知后7天内执行安装调试。</w:t>
      </w:r>
    </w:p>
    <w:p w14:paraId="642FB62E">
      <w:pPr>
        <w:pStyle w:val="11"/>
        <w:adjustRightInd w:val="0"/>
        <w:snapToGrid w:val="0"/>
        <w:spacing w:line="360" w:lineRule="auto"/>
        <w:ind w:firstLine="0" w:firstLineChars="0"/>
        <w:rPr>
          <w:rFonts w:eastAsia="宋体" w:cs="宋体"/>
          <w:b/>
          <w:bCs/>
          <w:color w:val="auto"/>
          <w:sz w:val="24"/>
          <w:szCs w:val="24"/>
        </w:rPr>
      </w:pPr>
      <w:r>
        <w:rPr>
          <w:rFonts w:hint="eastAsia" w:eastAsia="宋体" w:cs="宋体"/>
          <w:b/>
          <w:bCs/>
          <w:color w:val="auto"/>
          <w:sz w:val="24"/>
          <w:szCs w:val="24"/>
        </w:rPr>
        <w:t>2. 人员培训：</w:t>
      </w:r>
    </w:p>
    <w:p w14:paraId="6239ECA6">
      <w:pPr>
        <w:adjustRightInd w:val="0"/>
        <w:snapToGrid w:val="0"/>
        <w:spacing w:line="360" w:lineRule="auto"/>
        <w:ind w:firstLine="420"/>
        <w:rPr>
          <w:rFonts w:cs="宋体"/>
          <w:color w:val="auto"/>
          <w:sz w:val="24"/>
        </w:rPr>
      </w:pPr>
      <w:r>
        <w:rPr>
          <w:rFonts w:hint="eastAsia" w:cs="宋体"/>
          <w:color w:val="auto"/>
          <w:sz w:val="24"/>
        </w:rPr>
        <w:t>供货方对操作人员进行技术培训，使操作人员能够掌握有关系统设备的使用、维护和管理技能，达到能独立进行管理、故障处理、日常测试维护等工作的目的，保障设备能够正常、安全地运行。培训内容包含：扫描电镜的基本原理；仪器各项功能及操作方法；样品制备及注意事项；如何拍摄高质量图片；各项选配软硬件的操作使用；设备的日常简单保养等。</w:t>
      </w:r>
    </w:p>
    <w:p w14:paraId="2FB5F017">
      <w:pPr>
        <w:pStyle w:val="11"/>
        <w:adjustRightInd w:val="0"/>
        <w:snapToGrid w:val="0"/>
        <w:spacing w:line="360" w:lineRule="auto"/>
        <w:ind w:firstLine="0" w:firstLineChars="0"/>
        <w:rPr>
          <w:rFonts w:eastAsia="宋体" w:cs="宋体"/>
          <w:b/>
          <w:bCs/>
          <w:color w:val="auto"/>
          <w:sz w:val="24"/>
          <w:szCs w:val="24"/>
        </w:rPr>
      </w:pPr>
      <w:r>
        <w:rPr>
          <w:rFonts w:hint="eastAsia" w:eastAsia="宋体" w:cs="宋体"/>
          <w:b/>
          <w:bCs/>
          <w:color w:val="auto"/>
          <w:sz w:val="24"/>
          <w:szCs w:val="24"/>
        </w:rPr>
        <w:t>3. 仪器验收:</w:t>
      </w:r>
    </w:p>
    <w:p w14:paraId="7DFA47ED">
      <w:pPr>
        <w:adjustRightInd w:val="0"/>
        <w:snapToGrid w:val="0"/>
        <w:spacing w:line="360" w:lineRule="auto"/>
        <w:ind w:firstLine="420"/>
        <w:rPr>
          <w:rFonts w:cs="宋体"/>
          <w:color w:val="auto"/>
          <w:sz w:val="24"/>
        </w:rPr>
      </w:pPr>
      <w:r>
        <w:rPr>
          <w:rFonts w:hint="eastAsia" w:cs="宋体"/>
          <w:color w:val="auto"/>
          <w:sz w:val="24"/>
        </w:rPr>
        <w:t>仪器安装调试和人员培训结束后，需在操作现场进行最终验收，其验收标准满足技术指标相关要求。仪器分辨率指标通过Image软件测试得出，采用金颗粒或锡球标样在最高放大倍数下测试。</w:t>
      </w:r>
    </w:p>
    <w:p w14:paraId="66260099">
      <w:pPr>
        <w:pStyle w:val="11"/>
        <w:adjustRightInd w:val="0"/>
        <w:snapToGrid w:val="0"/>
        <w:spacing w:line="360" w:lineRule="auto"/>
        <w:ind w:firstLine="0" w:firstLineChars="0"/>
        <w:rPr>
          <w:rFonts w:eastAsia="宋体" w:cs="宋体"/>
          <w:b/>
          <w:bCs/>
          <w:color w:val="auto"/>
          <w:sz w:val="24"/>
          <w:szCs w:val="24"/>
        </w:rPr>
      </w:pPr>
      <w:r>
        <w:rPr>
          <w:rFonts w:hint="eastAsia" w:eastAsia="宋体" w:cs="宋体"/>
          <w:b/>
          <w:bCs/>
          <w:color w:val="auto"/>
          <w:sz w:val="24"/>
          <w:szCs w:val="24"/>
        </w:rPr>
        <w:t>4. 维护保修:</w:t>
      </w:r>
    </w:p>
    <w:p w14:paraId="320BA842">
      <w:pPr>
        <w:pStyle w:val="10"/>
        <w:adjustRightInd w:val="0"/>
        <w:snapToGrid w:val="0"/>
        <w:spacing w:line="360" w:lineRule="auto"/>
        <w:ind w:firstLine="0" w:firstLineChars="0"/>
        <w:rPr>
          <w:rFonts w:eastAsia="宋体" w:cs="宋体"/>
          <w:color w:val="auto"/>
          <w:sz w:val="24"/>
          <w:szCs w:val="24"/>
        </w:rPr>
      </w:pPr>
      <w:r>
        <w:rPr>
          <w:rFonts w:hint="eastAsia" w:eastAsia="宋体" w:cs="宋体"/>
          <w:color w:val="auto"/>
          <w:sz w:val="24"/>
          <w:szCs w:val="24"/>
        </w:rPr>
        <w:t>4.1 保修期：自设备验收合格之日起12个月</w:t>
      </w:r>
    </w:p>
    <w:p w14:paraId="31D88497">
      <w:pPr>
        <w:pStyle w:val="10"/>
        <w:adjustRightInd w:val="0"/>
        <w:snapToGrid w:val="0"/>
        <w:spacing w:line="360" w:lineRule="auto"/>
        <w:ind w:firstLine="0" w:firstLineChars="0"/>
        <w:rPr>
          <w:rFonts w:eastAsia="宋体" w:cs="宋体"/>
          <w:color w:val="auto"/>
          <w:sz w:val="24"/>
          <w:szCs w:val="24"/>
        </w:rPr>
      </w:pPr>
      <w:r>
        <w:rPr>
          <w:rFonts w:hint="eastAsia" w:eastAsia="宋体" w:cs="宋体"/>
          <w:color w:val="auto"/>
          <w:sz w:val="24"/>
          <w:szCs w:val="24"/>
        </w:rPr>
        <w:t>4.2 供货方需提供成交货物齐全的资料，包括CE证书，安装使用手册，常见故障排除手册等。</w:t>
      </w:r>
    </w:p>
    <w:p w14:paraId="3889057C">
      <w:pPr>
        <w:pStyle w:val="10"/>
        <w:adjustRightInd w:val="0"/>
        <w:snapToGrid w:val="0"/>
        <w:spacing w:line="360" w:lineRule="auto"/>
        <w:ind w:firstLine="0" w:firstLineChars="0"/>
        <w:rPr>
          <w:rFonts w:eastAsia="宋体" w:cs="宋体"/>
          <w:color w:val="auto"/>
          <w:sz w:val="24"/>
          <w:szCs w:val="24"/>
        </w:rPr>
      </w:pPr>
      <w:r>
        <w:rPr>
          <w:rFonts w:hint="eastAsia" w:eastAsia="宋体" w:cs="宋体"/>
          <w:color w:val="auto"/>
          <w:sz w:val="24"/>
          <w:szCs w:val="24"/>
        </w:rPr>
        <w:t>4.3 供货方需提供及时优质的服务，保证采购人能够及时买到货物所需的备品备件和易损件。</w:t>
      </w:r>
    </w:p>
    <w:p w14:paraId="68F38819">
      <w:pPr>
        <w:pStyle w:val="10"/>
        <w:adjustRightInd w:val="0"/>
        <w:snapToGrid w:val="0"/>
        <w:spacing w:line="360" w:lineRule="auto"/>
        <w:ind w:firstLine="0" w:firstLineChars="0"/>
        <w:rPr>
          <w:rFonts w:eastAsia="宋体" w:cs="宋体"/>
          <w:color w:val="auto"/>
          <w:sz w:val="24"/>
          <w:szCs w:val="24"/>
        </w:rPr>
      </w:pPr>
      <w:r>
        <w:rPr>
          <w:rFonts w:hint="eastAsia" w:eastAsia="宋体" w:cs="宋体"/>
          <w:color w:val="auto"/>
          <w:sz w:val="24"/>
          <w:szCs w:val="24"/>
        </w:rPr>
        <w:t>4.4 货物出现故障后，供货方8小时给出初步反馈，如有必要到现场，工程师在8小时内到现场进行维修，尽快排除故障。</w:t>
      </w:r>
    </w:p>
    <w:p w14:paraId="3AE0FDD6">
      <w:pPr>
        <w:pStyle w:val="10"/>
        <w:adjustRightInd w:val="0"/>
        <w:snapToGrid w:val="0"/>
        <w:spacing w:line="360" w:lineRule="auto"/>
        <w:ind w:firstLine="0" w:firstLineChars="0"/>
        <w:rPr>
          <w:rFonts w:eastAsia="宋体" w:cs="宋体"/>
          <w:color w:val="auto"/>
          <w:sz w:val="24"/>
          <w:szCs w:val="24"/>
        </w:rPr>
      </w:pPr>
      <w:r>
        <w:rPr>
          <w:rFonts w:hint="eastAsia" w:eastAsia="宋体" w:cs="宋体"/>
          <w:color w:val="auto"/>
          <w:sz w:val="24"/>
          <w:szCs w:val="24"/>
        </w:rPr>
        <w:t>4.5 在用户方提供外部网络的前提下，供货方将提供终身免费远程诊断检修服务。</w:t>
      </w:r>
    </w:p>
    <w:p w14:paraId="538C06A1">
      <w:pPr>
        <w:pStyle w:val="10"/>
        <w:adjustRightInd w:val="0"/>
        <w:snapToGrid w:val="0"/>
        <w:spacing w:line="360" w:lineRule="auto"/>
        <w:ind w:firstLine="0" w:firstLineChars="0"/>
        <w:rPr>
          <w:rFonts w:eastAsia="宋体" w:cs="宋体"/>
          <w:color w:val="auto"/>
          <w:sz w:val="24"/>
          <w:szCs w:val="24"/>
        </w:rPr>
      </w:pPr>
      <w:r>
        <w:rPr>
          <w:rFonts w:hint="eastAsia" w:eastAsia="宋体" w:cs="宋体"/>
          <w:color w:val="auto"/>
          <w:sz w:val="24"/>
          <w:szCs w:val="24"/>
        </w:rPr>
        <w:t>4.6 供货方对电镜系统运行的软件提供终身免费升级服务。</w:t>
      </w:r>
    </w:p>
    <w:bookmarkEnd w:id="2"/>
    <w:p w14:paraId="5F806B9E">
      <w:pPr>
        <w:spacing w:line="360" w:lineRule="auto"/>
        <w:rPr>
          <w:b/>
          <w:color w:val="auto"/>
          <w:sz w:val="24"/>
        </w:rPr>
      </w:pPr>
    </w:p>
    <w:p w14:paraId="508D19F3">
      <w:pPr>
        <w:spacing w:line="360" w:lineRule="auto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</w:rPr>
        <w:t>（三） 订货数量：</w:t>
      </w:r>
    </w:p>
    <w:p w14:paraId="111FC25E">
      <w:pPr>
        <w:spacing w:line="360" w:lineRule="auto"/>
        <w:ind w:firstLine="420"/>
        <w:rPr>
          <w:color w:val="auto"/>
          <w:sz w:val="24"/>
        </w:rPr>
      </w:pPr>
      <w:r>
        <w:rPr>
          <w:rFonts w:hint="eastAsia"/>
          <w:color w:val="auto"/>
          <w:sz w:val="24"/>
        </w:rPr>
        <w:t>1套</w:t>
      </w:r>
    </w:p>
    <w:p w14:paraId="0431FEC0">
      <w:pPr>
        <w:spacing w:line="360" w:lineRule="auto"/>
        <w:rPr>
          <w:color w:val="auto"/>
          <w:sz w:val="24"/>
        </w:rPr>
      </w:pPr>
    </w:p>
    <w:p w14:paraId="47AA6727">
      <w:pPr>
        <w:spacing w:line="360" w:lineRule="auto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</w:rPr>
        <w:t>（四） 交货地点：</w:t>
      </w:r>
    </w:p>
    <w:p w14:paraId="2E7F6488">
      <w:pPr>
        <w:spacing w:line="360" w:lineRule="auto"/>
        <w:ind w:firstLine="480" w:firstLineChars="200"/>
        <w:rPr>
          <w:color w:val="auto"/>
          <w:sz w:val="24"/>
        </w:rPr>
      </w:pPr>
      <w:r>
        <w:rPr>
          <w:rFonts w:hint="eastAsia"/>
          <w:color w:val="auto"/>
          <w:sz w:val="24"/>
        </w:rPr>
        <w:t>中国石油大学（北京）</w:t>
      </w:r>
    </w:p>
    <w:p w14:paraId="07B0DA56">
      <w:pPr>
        <w:spacing w:line="360" w:lineRule="auto"/>
        <w:ind w:firstLine="480" w:firstLineChars="200"/>
        <w:rPr>
          <w:color w:val="auto"/>
          <w:sz w:val="24"/>
        </w:rPr>
      </w:pPr>
    </w:p>
    <w:p w14:paraId="41182867">
      <w:pPr>
        <w:spacing w:line="360" w:lineRule="auto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</w:rPr>
        <w:t>（五）交货日期：</w:t>
      </w:r>
    </w:p>
    <w:p w14:paraId="6935E5F0">
      <w:pPr>
        <w:rPr>
          <w:color w:val="auto"/>
        </w:rPr>
      </w:pPr>
      <w:r>
        <w:rPr>
          <w:rFonts w:hint="eastAsia"/>
          <w:color w:val="auto"/>
          <w:sz w:val="24"/>
        </w:rPr>
        <w:t xml:space="preserve">合同签订后2个月内交货  </w:t>
      </w:r>
    </w:p>
    <w:bookmarkEnd w:id="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C4C837">
    <w:pPr>
      <w:pStyle w:val="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26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B14FE7">
    <w:pPr>
      <w:pStyle w:val="5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C687BD">
    <w:pPr>
      <w:pStyle w:val="6"/>
      <w:jc w:val="both"/>
    </w:pPr>
    <w:r>
      <w:rPr>
        <w:rFonts w:hint="eastAsia"/>
        <w:i/>
      </w:rPr>
      <w:t>东方国际招标有限责任公司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D987D5"/>
    <w:multiLevelType w:val="multilevel"/>
    <w:tmpl w:val="8BD987D5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BCC1ED11"/>
    <w:multiLevelType w:val="singleLevel"/>
    <w:tmpl w:val="BCC1ED11"/>
    <w:lvl w:ilvl="0" w:tentative="0">
      <w:start w:val="6"/>
      <w:numFmt w:val="decimal"/>
      <w:suff w:val="nothing"/>
      <w:lvlText w:val="%1、"/>
      <w:lvlJc w:val="left"/>
    </w:lvl>
  </w:abstractNum>
  <w:abstractNum w:abstractNumId="2">
    <w:nsid w:val="6E7B0EEB"/>
    <w:multiLevelType w:val="singleLevel"/>
    <w:tmpl w:val="6E7B0EEB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IxMDc5ODZkZDE5M2E5MjdjM2ZkNDMyYjY0NzE3YmEifQ=="/>
  </w:docVars>
  <w:rsids>
    <w:rsidRoot w:val="26DF0C9D"/>
    <w:rsid w:val="05557F4F"/>
    <w:rsid w:val="26DF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9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2">
    <w:name w:val="heading 4"/>
    <w:basedOn w:val="3"/>
    <w:next w:val="1"/>
    <w:qFormat/>
    <w:uiPriority w:val="0"/>
    <w:pPr>
      <w:spacing w:before="280" w:after="290" w:line="376" w:lineRule="auto"/>
      <w:outlineLvl w:val="3"/>
    </w:pPr>
    <w:rPr>
      <w:bCs/>
      <w:sz w:val="28"/>
      <w:szCs w:val="28"/>
    </w:rPr>
  </w:style>
  <w:style w:type="character" w:default="1" w:styleId="9">
    <w:name w:val="Default Paragraph Font"/>
    <w:semiHidden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/>
      <w:szCs w:val="20"/>
    </w:rPr>
  </w:style>
  <w:style w:type="paragraph" w:styleId="5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next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4"/>
    <w:basedOn w:val="1"/>
    <w:next w:val="1"/>
    <w:qFormat/>
    <w:uiPriority w:val="99"/>
    <w:pPr>
      <w:ind w:left="1260" w:leftChars="600"/>
    </w:pPr>
  </w:style>
  <w:style w:type="paragraph" w:customStyle="1" w:styleId="10">
    <w:name w:val="列出段落2"/>
    <w:basedOn w:val="1"/>
    <w:qFormat/>
    <w:uiPriority w:val="99"/>
    <w:pPr>
      <w:ind w:firstLine="420" w:firstLineChars="200"/>
    </w:pPr>
    <w:rPr>
      <w:rFonts w:eastAsiaTheme="minorEastAsia"/>
      <w:szCs w:val="20"/>
    </w:rPr>
  </w:style>
  <w:style w:type="paragraph" w:customStyle="1" w:styleId="11">
    <w:name w:val="列表段落1"/>
    <w:basedOn w:val="1"/>
    <w:qFormat/>
    <w:uiPriority w:val="99"/>
    <w:pPr>
      <w:ind w:firstLine="420" w:firstLineChars="200"/>
    </w:pPr>
    <w:rPr>
      <w:rFonts w:eastAsiaTheme="minorEastAsia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2024-08-01T04:33:00Z</dcterms:created>
  <dc:creator>godjiao</dc:creator>
  <cp:lastModifiedBy>godjiao</cp:lastModifiedBy>
  <dcterms:modified xsi:type="dcterms:W3CDTF">2024-08-01T04:34:12Z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079698F884CA4C168A1EF157620B7611_11</vt:lpwstr>
  </property>
</Properties>
</file>