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156" w:beforeLines="50" w:after="156" w:afterLines="50" w:line="440" w:lineRule="exact"/>
        <w:textAlignment w:val="auto"/>
        <w:outlineLvl w:val="1"/>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附件：合同文本主要条款</w:t>
      </w:r>
    </w:p>
    <w:p>
      <w:pPr>
        <w:pStyle w:val="7"/>
        <w:rPr>
          <w:rFonts w:hint="eastAsia" w:ascii="宋体" w:hAnsi="宋体" w:eastAsia="宋体" w:cs="宋体"/>
          <w:sz w:val="24"/>
          <w:szCs w:val="24"/>
          <w:highlight w:val="none"/>
        </w:rPr>
      </w:pPr>
    </w:p>
    <w:p>
      <w:pPr>
        <w:widowControl w:val="0"/>
        <w:spacing w:line="360"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 xml:space="preserve">合同编号：XXX                                         </w:t>
      </w:r>
    </w:p>
    <w:p>
      <w:pPr>
        <w:widowControl w:val="0"/>
        <w:spacing w:line="360"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 xml:space="preserve">签订地点：XXX                      </w:t>
      </w:r>
      <w:bookmarkStart w:id="0" w:name="_GoBack"/>
      <w:bookmarkEnd w:id="0"/>
      <w:r>
        <w:rPr>
          <w:rFonts w:hint="eastAsia" w:ascii="宋体" w:hAnsi="宋体" w:eastAsia="宋体" w:cs="宋体"/>
          <w:kern w:val="2"/>
          <w:sz w:val="24"/>
          <w:szCs w:val="24"/>
          <w:highlight w:val="none"/>
          <w:lang w:val="en-US" w:eastAsia="zh-CN" w:bidi="ar-SA"/>
        </w:rPr>
        <w:t xml:space="preserve">                   </w:t>
      </w:r>
    </w:p>
    <w:p>
      <w:pPr>
        <w:widowControl w:val="0"/>
        <w:spacing w:line="360" w:lineRule="auto"/>
        <w:ind w:firstLine="480" w:firstLineChars="200"/>
        <w:jc w:val="both"/>
        <w:rPr>
          <w:rFonts w:hint="eastAsia" w:ascii="宋体" w:hAnsi="宋体" w:eastAsia="宋体" w:cs="宋体"/>
          <w:kern w:val="2"/>
          <w:sz w:val="24"/>
          <w:szCs w:val="24"/>
          <w:highlight w:val="none"/>
          <w:lang w:val="en-US" w:eastAsia="zh-CN" w:bidi="ar-SA"/>
        </w:rPr>
      </w:pPr>
    </w:p>
    <w:p>
      <w:pPr>
        <w:widowControl w:val="0"/>
        <w:spacing w:line="360"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 xml:space="preserve">采购人：XXX（以下简称甲方）                                          </w:t>
      </w:r>
    </w:p>
    <w:p>
      <w:pPr>
        <w:widowControl w:val="0"/>
        <w:spacing w:line="360"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 xml:space="preserve">成交供应商：XXX（以下简称乙方）                                          </w:t>
      </w:r>
    </w:p>
    <w:p>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 xml:space="preserve">                                </w:t>
      </w:r>
    </w:p>
    <w:p>
      <w:pPr>
        <w:widowControl w:val="0"/>
        <w:snapToGrid w:val="0"/>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2"/>
          <w:sz w:val="24"/>
          <w:szCs w:val="24"/>
          <w:highlight w:val="none"/>
          <w:lang w:val="en-US" w:eastAsia="zh-CN" w:bidi="ar"/>
        </w:rPr>
        <w:t>根据《中华人民共和国政府采购法》、《中华人民共和国民法典》XXX采购项目（项目编号：XXX）的询价通知书、乙方的响应文件及</w:t>
      </w:r>
      <w:r>
        <w:rPr>
          <w:rFonts w:hint="eastAsia" w:ascii="宋体" w:hAnsi="宋体" w:eastAsia="宋体" w:cs="宋体"/>
          <w:kern w:val="2"/>
          <w:sz w:val="24"/>
          <w:szCs w:val="24"/>
          <w:highlight w:val="none"/>
          <w:lang w:val="en-US" w:eastAsia="zh-CN" w:bidi="ar-SA"/>
        </w:rPr>
        <w:t>甲方发出的</w:t>
      </w:r>
      <w:r>
        <w:rPr>
          <w:rFonts w:hint="eastAsia" w:ascii="宋体" w:hAnsi="宋体" w:eastAsia="宋体" w:cs="宋体"/>
          <w:kern w:val="2"/>
          <w:sz w:val="24"/>
          <w:szCs w:val="24"/>
          <w:highlight w:val="none"/>
          <w:lang w:val="en-US" w:eastAsia="zh-CN" w:bidi="ar"/>
        </w:rPr>
        <w:t>《成交通知书》，甲、乙双方同意签订本合同。详细技术说明及其他有关合同项目的特定信息由合同附件予以说明，合同附件及本项目的询价通知书、响应文件、《成交通知书》等均为本合同不可分割的部分。双方同意共同遵守如下条款：</w:t>
      </w:r>
    </w:p>
    <w:p>
      <w:pPr>
        <w:numPr>
          <w:ilvl w:val="0"/>
          <w:numId w:val="3"/>
        </w:numPr>
        <w:snapToGrid w:val="0"/>
        <w:spacing w:line="360" w:lineRule="auto"/>
        <w:ind w:left="0" w:firstLine="482" w:firstLineChars="200"/>
        <w:rPr>
          <w:rFonts w:hint="eastAsia" w:ascii="宋体" w:hAnsi="宋体" w:eastAsia="宋体" w:cs="宋体"/>
          <w:b/>
          <w:sz w:val="24"/>
          <w:szCs w:val="24"/>
          <w:highlight w:val="none"/>
        </w:rPr>
      </w:pPr>
      <w:r>
        <w:rPr>
          <w:rFonts w:hint="eastAsia" w:ascii="宋体" w:hAnsi="宋体" w:eastAsia="宋体" w:cs="宋体"/>
          <w:b/>
          <w:bCs/>
          <w:color w:val="auto"/>
          <w:kern w:val="2"/>
          <w:sz w:val="24"/>
          <w:szCs w:val="24"/>
          <w:highlight w:val="none"/>
          <w:lang w:val="en-US" w:eastAsia="zh-CN" w:bidi="ar-SA"/>
        </w:rPr>
        <w:t>合同货物</w:t>
      </w:r>
    </w:p>
    <w:p>
      <w:pPr>
        <w:keepNext w:val="0"/>
        <w:keepLines w:val="0"/>
        <w:pageBreakBefore w:val="0"/>
        <w:widowControl w:val="0"/>
        <w:kinsoku/>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广汉市殡仪馆拟采购车间火化用油一批，本项目为1个包。</w:t>
      </w:r>
    </w:p>
    <w:tbl>
      <w:tblPr>
        <w:tblStyle w:val="8"/>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0"/>
        <w:gridCol w:w="738"/>
        <w:gridCol w:w="983"/>
        <w:gridCol w:w="2667"/>
        <w:gridCol w:w="33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446" w:type="pct"/>
            <w:tcBorders>
              <w:top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标的名称</w:t>
            </w:r>
          </w:p>
        </w:tc>
        <w:tc>
          <w:tcPr>
            <w:tcW w:w="433"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576"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565"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技术要求</w:t>
            </w:r>
          </w:p>
        </w:tc>
        <w:tc>
          <w:tcPr>
            <w:tcW w:w="1978" w:type="pct"/>
            <w:tcBorders>
              <w:top w:val="single" w:color="auto" w:sz="4" w:space="0"/>
              <w:left w:val="single" w:color="auto" w:sz="4" w:space="0"/>
              <w:bottom w:val="single" w:color="auto" w:sz="4" w:space="0"/>
              <w:right w:val="single" w:color="auto" w:sz="4" w:space="0"/>
            </w:tcBorders>
            <w:vAlign w:val="center"/>
          </w:tcPr>
          <w:p>
            <w:pPr>
              <w:spacing w:line="400" w:lineRule="exact"/>
              <w:ind w:firstLine="120" w:firstLineChars="5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成交折扣率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2" w:hRule="atLeast"/>
          <w:jc w:val="center"/>
        </w:trPr>
        <w:tc>
          <w:tcPr>
            <w:tcW w:w="446" w:type="pct"/>
            <w:tcBorders>
              <w:top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车间火化用油</w:t>
            </w:r>
          </w:p>
        </w:tc>
        <w:tc>
          <w:tcPr>
            <w:tcW w:w="433"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highlight w:val="none"/>
                <w:lang w:eastAsia="zh-CN"/>
              </w:rPr>
            </w:pPr>
            <w:r>
              <w:rPr>
                <w:rFonts w:hint="eastAsia" w:ascii="宋体" w:hAnsi="宋体" w:eastAsia="宋体" w:cs="宋体"/>
                <w:color w:val="auto"/>
                <w:sz w:val="24"/>
                <w:szCs w:val="24"/>
                <w:highlight w:val="none"/>
                <w:lang w:val="en-US" w:eastAsia="zh-CN"/>
              </w:rPr>
              <w:t>吨（T）</w:t>
            </w:r>
          </w:p>
        </w:tc>
        <w:tc>
          <w:tcPr>
            <w:tcW w:w="576"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根据</w:t>
            </w:r>
            <w:r>
              <w:rPr>
                <w:rFonts w:hint="eastAsia" w:ascii="宋体" w:hAnsi="宋体" w:eastAsia="宋体" w:cs="宋体"/>
                <w:b w:val="0"/>
                <w:bCs/>
                <w:sz w:val="24"/>
                <w:szCs w:val="24"/>
                <w:highlight w:val="none"/>
                <w:lang w:eastAsia="zh-CN" w:bidi="ar"/>
              </w:rPr>
              <w:t>实际配送量</w:t>
            </w:r>
            <w:r>
              <w:rPr>
                <w:rFonts w:hint="eastAsia" w:ascii="宋体" w:hAnsi="宋体" w:eastAsia="宋体" w:cs="宋体"/>
                <w:sz w:val="24"/>
                <w:szCs w:val="24"/>
                <w:highlight w:val="none"/>
              </w:rPr>
              <w:t>确定</w:t>
            </w:r>
          </w:p>
        </w:tc>
        <w:tc>
          <w:tcPr>
            <w:tcW w:w="1565"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符合 《《车用柴油》国家标准第1号修改单》（GB 19147-2016）</w:t>
            </w:r>
            <w:r>
              <w:rPr>
                <w:rFonts w:hint="eastAsia" w:ascii="宋体" w:hAnsi="宋体" w:eastAsia="宋体" w:cs="宋体"/>
                <w:sz w:val="24"/>
                <w:szCs w:val="24"/>
                <w:highlight w:val="none"/>
                <w:lang w:eastAsia="zh-CN"/>
              </w:rPr>
              <w:t>要求</w:t>
            </w:r>
            <w:r>
              <w:rPr>
                <w:rFonts w:hint="eastAsia" w:ascii="宋体" w:hAnsi="宋体" w:eastAsia="宋体" w:cs="宋体"/>
                <w:sz w:val="24"/>
                <w:szCs w:val="24"/>
                <w:highlight w:val="none"/>
              </w:rPr>
              <w:t>的0﹟车用柴油（国Ⅵ）（注：非生物柴油）。</w:t>
            </w:r>
          </w:p>
        </w:tc>
        <w:tc>
          <w:tcPr>
            <w:tcW w:w="19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tc>
      </w:tr>
    </w:tbl>
    <w:p>
      <w:pPr>
        <w:keepNext w:val="0"/>
        <w:keepLines w:val="0"/>
        <w:pageBreakBefore w:val="0"/>
        <w:widowControl w:val="0"/>
        <w:kinsoku/>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注：包括货物费、运输、装卸、人工、检测、过磅、保险、税费、招标代理费以及其它一切完成本项目相关费用。</w:t>
      </w:r>
    </w:p>
    <w:p>
      <w:pPr>
        <w:numPr>
          <w:ilvl w:val="0"/>
          <w:numId w:val="3"/>
        </w:numPr>
        <w:snapToGrid w:val="0"/>
        <w:spacing w:line="360" w:lineRule="auto"/>
        <w:ind w:left="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bidi="ar"/>
        </w:rPr>
        <w:t>交货地点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广汉市殡仪馆（广汉市小汉镇成都大道北六段10号）油库区域，由甲方指派工作人员验收入库。</w:t>
      </w:r>
    </w:p>
    <w:p>
      <w:pPr>
        <w:numPr>
          <w:ilvl w:val="0"/>
          <w:numId w:val="3"/>
        </w:numPr>
        <w:snapToGrid w:val="0"/>
        <w:spacing w:line="360" w:lineRule="auto"/>
        <w:ind w:left="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bidi="ar"/>
        </w:rPr>
        <w:t>付款条件（进度和方式）</w:t>
      </w:r>
    </w:p>
    <w:p>
      <w:pPr>
        <w:keepNext w:val="0"/>
        <w:keepLines w:val="0"/>
        <w:pageBreakBefore w:val="0"/>
        <w:widowControl w:val="0"/>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b w:val="0"/>
          <w:bCs/>
          <w:sz w:val="24"/>
          <w:szCs w:val="24"/>
          <w:highlight w:val="none"/>
          <w:lang w:eastAsia="zh-CN" w:bidi="ar"/>
        </w:rPr>
      </w:pPr>
      <w:r>
        <w:rPr>
          <w:rFonts w:hint="eastAsia" w:ascii="宋体" w:hAnsi="宋体" w:eastAsia="宋体" w:cs="宋体"/>
          <w:b w:val="0"/>
          <w:bCs/>
          <w:sz w:val="24"/>
          <w:szCs w:val="24"/>
          <w:highlight w:val="none"/>
          <w:lang w:bidi="ar"/>
        </w:rPr>
        <w:t>付款条件（进度和方式）</w:t>
      </w:r>
      <w:r>
        <w:rPr>
          <w:rFonts w:hint="eastAsia" w:ascii="宋体" w:hAnsi="宋体" w:eastAsia="宋体" w:cs="宋体"/>
          <w:b w:val="0"/>
          <w:bCs/>
          <w:sz w:val="24"/>
          <w:szCs w:val="24"/>
          <w:highlight w:val="none"/>
          <w:lang w:eastAsia="zh-CN" w:bidi="ar"/>
        </w:rPr>
        <w:t>：</w:t>
      </w:r>
      <w:r>
        <w:rPr>
          <w:rFonts w:hint="eastAsia" w:ascii="宋体" w:hAnsi="宋体" w:eastAsia="宋体" w:cs="宋体"/>
          <w:b w:val="0"/>
          <w:bCs/>
          <w:color w:val="auto"/>
          <w:sz w:val="24"/>
          <w:szCs w:val="24"/>
          <w:highlight w:val="none"/>
          <w:lang w:eastAsia="zh-CN" w:bidi="ar"/>
        </w:rPr>
        <w:t>据实结算</w:t>
      </w:r>
      <w:r>
        <w:rPr>
          <w:rFonts w:hint="eastAsia" w:ascii="宋体" w:hAnsi="宋体" w:eastAsia="宋体" w:cs="宋体"/>
          <w:b w:val="0"/>
          <w:bCs/>
          <w:sz w:val="24"/>
          <w:szCs w:val="24"/>
          <w:highlight w:val="none"/>
          <w:lang w:eastAsia="zh-CN" w:bidi="ar"/>
        </w:rPr>
        <w:t>；</w:t>
      </w:r>
    </w:p>
    <w:p>
      <w:pPr>
        <w:keepNext w:val="0"/>
        <w:keepLines w:val="0"/>
        <w:pageBreakBefore w:val="0"/>
        <w:widowControl w:val="0"/>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根据每次验收合格的供货数量据实付款，乙方在每次结算前须向甲方出具发票、过磅单、油品质量合格证明文件、成品油提油单或出库单、供油时对应的四川省发改委关于成品油价格调整通知，达到付款条件起30日内，据实情况说明为（1）结算金额=基础价格×成交折扣率×实际配送量；（2）基础价格为：当月当批次供货时对应的，最新一期四川省发展和改革委员会关于成品油价格调整通知规定的一价区0#车用柴油最高批发价格。（3）每次供货数量据实结算。达到付款条件（乙方完成单次供货并验收合格，且提供合法有效票据）起30日内，支付本次供货金额的100.00%，累计金额达到采购预算后合同自动终止。</w:t>
      </w:r>
    </w:p>
    <w:p>
      <w:pPr>
        <w:numPr>
          <w:ilvl w:val="0"/>
          <w:numId w:val="3"/>
        </w:numPr>
        <w:tabs>
          <w:tab w:val="left" w:pos="0"/>
          <w:tab w:val="left" w:pos="780"/>
        </w:tabs>
        <w:snapToGrid w:val="0"/>
        <w:spacing w:line="360" w:lineRule="auto"/>
        <w:ind w:left="0" w:firstLine="482"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包装方式及运输</w:t>
      </w:r>
    </w:p>
    <w:p>
      <w:pPr>
        <w:pStyle w:val="10"/>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包装：涉及的商品包装和快递包装，均应符合《商品包装政府采购需求标准（试行）》《快递包装政府采购需求标准（试行）》的要求，包装应适应于远距离运输，以确保货物安全无损运抵指定地点。</w:t>
      </w:r>
    </w:p>
    <w:p>
      <w:pPr>
        <w:pStyle w:val="10"/>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运输：所供柴油的承运主体具备国家关于危险化学品道路运输规定的相关资质要求，配备符合相关资质的驾驶员、押运员。在供货时须向</w:t>
      </w:r>
      <w:r>
        <w:rPr>
          <w:rFonts w:hint="eastAsia" w:ascii="宋体" w:hAnsi="宋体" w:eastAsia="宋体" w:cs="宋体"/>
          <w:sz w:val="24"/>
          <w:szCs w:val="24"/>
          <w:lang w:eastAsia="zh-CN"/>
        </w:rPr>
        <w:t>甲方</w:t>
      </w:r>
      <w:r>
        <w:rPr>
          <w:rFonts w:hint="eastAsia" w:ascii="宋体" w:hAnsi="宋体" w:eastAsia="宋体" w:cs="宋体"/>
          <w:sz w:val="24"/>
          <w:szCs w:val="24"/>
        </w:rPr>
        <w:t>提供相应资质文件。</w:t>
      </w:r>
    </w:p>
    <w:p>
      <w:pPr>
        <w:numPr>
          <w:ilvl w:val="0"/>
          <w:numId w:val="3"/>
        </w:numPr>
        <w:tabs>
          <w:tab w:val="left" w:pos="0"/>
          <w:tab w:val="left" w:pos="780"/>
        </w:tabs>
        <w:snapToGrid w:val="0"/>
        <w:spacing w:line="360" w:lineRule="auto"/>
        <w:ind w:left="0" w:firstLine="482" w:firstLineChars="200"/>
        <w:rPr>
          <w:rFonts w:hint="eastAsia" w:ascii="宋体" w:hAnsi="宋体" w:eastAsia="宋体" w:cs="宋体"/>
          <w:b/>
          <w:sz w:val="24"/>
          <w:szCs w:val="24"/>
          <w:highlight w:val="none"/>
          <w:lang w:bidi="ar"/>
        </w:rPr>
      </w:pPr>
      <w:r>
        <w:rPr>
          <w:rFonts w:hint="eastAsia" w:ascii="宋体" w:hAnsi="宋体" w:eastAsia="宋体" w:cs="宋体"/>
          <w:b/>
          <w:sz w:val="24"/>
          <w:szCs w:val="24"/>
          <w:highlight w:val="none"/>
          <w:lang w:eastAsia="zh-CN" w:bidi="ar"/>
        </w:rPr>
        <w:t>交货及</w:t>
      </w:r>
      <w:r>
        <w:rPr>
          <w:rFonts w:hint="eastAsia" w:ascii="宋体" w:hAnsi="宋体" w:eastAsia="宋体" w:cs="宋体"/>
          <w:b/>
          <w:sz w:val="24"/>
          <w:szCs w:val="24"/>
          <w:highlight w:val="none"/>
          <w:lang w:bidi="ar"/>
        </w:rPr>
        <w:t>验收</w:t>
      </w:r>
    </w:p>
    <w:p>
      <w:pPr>
        <w:pStyle w:val="10"/>
        <w:keepNext w:val="0"/>
        <w:keepLines w:val="0"/>
        <w:pageBreakBefore w:val="0"/>
        <w:widowControl/>
        <w:numPr>
          <w:ilvl w:val="0"/>
          <w:numId w:val="5"/>
        </w:numPr>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b w:val="0"/>
          <w:bCs w:val="0"/>
          <w:color w:val="auto"/>
          <w:kern w:val="2"/>
          <w:sz w:val="24"/>
          <w:szCs w:val="24"/>
          <w:highlight w:val="none"/>
          <w:lang w:eastAsia="zh-CN" w:bidi="ar-SA"/>
        </w:rPr>
        <w:t>交货时间：合同签订生效后一年或累计结算金额达到合同金额后合同自动终止。合同期限内，乙方在甲方通知供油需求后（以电话、微信、短信等记录为时间起点）24小时内，乙方将柴油供应到指定地点。</w:t>
      </w:r>
    </w:p>
    <w:p>
      <w:pPr>
        <w:pStyle w:val="10"/>
        <w:keepNext w:val="0"/>
        <w:keepLines w:val="0"/>
        <w:pageBreakBefore w:val="0"/>
        <w:widowControl/>
        <w:numPr>
          <w:ilvl w:val="0"/>
          <w:numId w:val="5"/>
        </w:numPr>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val="0"/>
          <w:bCs w:val="0"/>
          <w:color w:val="000000"/>
          <w:kern w:val="2"/>
          <w:sz w:val="24"/>
          <w:szCs w:val="24"/>
          <w:lang w:val="en-US" w:eastAsia="zh-CN" w:bidi="ar-SA"/>
        </w:rPr>
        <w:t>验收标准和方法</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（1）验收组织方式：自行验收</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（2）是否邀请本项目的其他供应商：否</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（3）是否邀请专家：否</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（4）是否邀请服务对象：否</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（5）是否邀请第三方检测机构：否</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（6）履约验收程序：分期/分段验收</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（7）履约验收时间：</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1）、乙方在每次验收前须向甲方出具该批次柴油过磅单、油品质量合格证明文件、成品油提油单或出库单等验收文件资料。2）、 送达随即验收。3）、甲方若要求对乙方提供的油品进行抽样检测的，取得检测报告后再对该批次油品进行验收。；</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（8）验收组织的其他事项：无。</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（9）技术履约验收内容：根据《财政部关于进一步加强政府采购需求和履约验收管理的指导意见》（财库〔2016〕205 号）的规定，甲方组织验收人员组成验收小组，乙方予以配合，结合本项目采购文件、响应文件及采购合同的要求进行技术履约验收。</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（10）商务履约验收内容：根据《财政部关于进一步加强政府采购需求和履约验收管理的指导意见》（财库〔2016〕205 号）的规定，甲方组织验收人员组成验收小组，乙方予以配合，结合本项目采购文件、响应文件及采购合同的要求进行商务履约验收。</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11）履约验收标准：按国家相关法律、行业标准验收。若本项目配送货物未按照采购文件要求提供相应的质量合格证明等验收文件资料，甲方有权拒绝验收，并要求乙方及时按采购文件供货（期间对甲方造成的经济损失由乙方承担），如乙方不予配合的，甲方具有终止合同的权利。</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（12）履约验收其他事项：未尽事宜将按照《财政部关于进一步加强政府采购需求和履约验收管理的指导意见》(财库(2016) 205号)、《政府采购需求管理办法》(财库(2021) 22号)的要求及国家行业主管部门规定的标准、方法和内容进行验收。</w:t>
      </w:r>
    </w:p>
    <w:p>
      <w:pPr>
        <w:numPr>
          <w:ilvl w:val="0"/>
          <w:numId w:val="3"/>
        </w:numPr>
        <w:snapToGrid w:val="0"/>
        <w:spacing w:line="360" w:lineRule="auto"/>
        <w:ind w:left="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保险</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按国家相关规定执行。</w:t>
      </w:r>
    </w:p>
    <w:p>
      <w:pPr>
        <w:numPr>
          <w:ilvl w:val="0"/>
          <w:numId w:val="3"/>
        </w:numPr>
        <w:snapToGrid w:val="0"/>
        <w:spacing w:line="360" w:lineRule="auto"/>
        <w:ind w:left="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bidi="ar"/>
        </w:rPr>
        <w:t>知识产权</w:t>
      </w:r>
    </w:p>
    <w:p>
      <w:pPr>
        <w:keepNext w:val="0"/>
        <w:keepLines w:val="0"/>
        <w:pageBreakBefore w:val="0"/>
        <w:widowControl w:val="0"/>
        <w:numPr>
          <w:ilvl w:val="0"/>
          <w:numId w:val="0"/>
        </w:numPr>
        <w:tabs>
          <w:tab w:val="left" w:pos="144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eastAsia="zh-CN" w:bidi="ar"/>
        </w:rPr>
        <w:t>乙方</w:t>
      </w:r>
      <w:r>
        <w:rPr>
          <w:rFonts w:hint="eastAsia" w:ascii="宋体" w:hAnsi="宋体" w:eastAsia="宋体" w:cs="宋体"/>
          <w:sz w:val="24"/>
          <w:szCs w:val="24"/>
          <w:highlight w:val="none"/>
          <w:lang w:bidi="ar"/>
        </w:rPr>
        <w:t>应保证在本项目中使用的任何技术、产品和服务（包括部分使用），不会产生因第三方提出侵犯其专利权、商标权或其它知识产权而引起的法律和经济纠纷，如因专利权、商标权或其它知识产权而引起法律和经济纠纷，由</w:t>
      </w:r>
      <w:r>
        <w:rPr>
          <w:rFonts w:hint="eastAsia" w:ascii="宋体" w:hAnsi="宋体" w:eastAsia="宋体" w:cs="宋体"/>
          <w:sz w:val="24"/>
          <w:szCs w:val="24"/>
          <w:highlight w:val="none"/>
          <w:lang w:eastAsia="zh-CN" w:bidi="ar"/>
        </w:rPr>
        <w:t>乙方</w:t>
      </w:r>
      <w:r>
        <w:rPr>
          <w:rFonts w:hint="eastAsia" w:ascii="宋体" w:hAnsi="宋体" w:eastAsia="宋体" w:cs="宋体"/>
          <w:sz w:val="24"/>
          <w:szCs w:val="24"/>
          <w:highlight w:val="none"/>
          <w:lang w:bidi="ar"/>
        </w:rPr>
        <w:t>承担所有相关责任，并且赔偿由此给</w:t>
      </w:r>
      <w:r>
        <w:rPr>
          <w:rFonts w:hint="eastAsia" w:ascii="宋体" w:hAnsi="宋体" w:eastAsia="宋体" w:cs="宋体"/>
          <w:sz w:val="24"/>
          <w:szCs w:val="24"/>
          <w:highlight w:val="none"/>
          <w:lang w:eastAsia="zh-CN" w:bidi="ar"/>
        </w:rPr>
        <w:t>甲方</w:t>
      </w:r>
      <w:r>
        <w:rPr>
          <w:rFonts w:hint="eastAsia" w:ascii="宋体" w:hAnsi="宋体" w:eastAsia="宋体" w:cs="宋体"/>
          <w:sz w:val="24"/>
          <w:szCs w:val="24"/>
          <w:highlight w:val="none"/>
          <w:lang w:bidi="ar"/>
        </w:rPr>
        <w:t>带来的损失。</w:t>
      </w:r>
      <w:r>
        <w:rPr>
          <w:rFonts w:hint="eastAsia" w:ascii="宋体" w:hAnsi="宋体" w:eastAsia="宋体" w:cs="宋体"/>
          <w:sz w:val="24"/>
          <w:szCs w:val="24"/>
          <w:highlight w:val="none"/>
          <w:lang w:eastAsia="zh-CN" w:bidi="ar"/>
        </w:rPr>
        <w:t>甲方</w:t>
      </w:r>
      <w:r>
        <w:rPr>
          <w:rFonts w:hint="eastAsia" w:ascii="宋体" w:hAnsi="宋体" w:eastAsia="宋体" w:cs="宋体"/>
          <w:sz w:val="24"/>
          <w:szCs w:val="24"/>
          <w:highlight w:val="none"/>
          <w:lang w:bidi="ar"/>
        </w:rPr>
        <w:t>享有本项目实施过程中产生的知识成果及知识产权。</w:t>
      </w:r>
    </w:p>
    <w:p>
      <w:pPr>
        <w:numPr>
          <w:ilvl w:val="0"/>
          <w:numId w:val="3"/>
        </w:numPr>
        <w:snapToGrid w:val="0"/>
        <w:spacing w:line="360" w:lineRule="auto"/>
        <w:ind w:left="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bidi="ar"/>
        </w:rPr>
        <w:t>无权利瑕疵条款</w:t>
      </w:r>
    </w:p>
    <w:p>
      <w:pPr>
        <w:snapToGrid w:val="0"/>
        <w:spacing w:line="360" w:lineRule="auto"/>
        <w:ind w:firstLine="480" w:firstLineChars="200"/>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乙方保证所提供的</w:t>
      </w:r>
      <w:r>
        <w:rPr>
          <w:rFonts w:hint="eastAsia" w:ascii="宋体" w:hAnsi="宋体" w:eastAsia="宋体" w:cs="宋体"/>
          <w:sz w:val="24"/>
          <w:szCs w:val="24"/>
          <w:highlight w:val="none"/>
          <w:lang w:eastAsia="zh-CN" w:bidi="ar"/>
        </w:rPr>
        <w:t>产品</w:t>
      </w:r>
      <w:r>
        <w:rPr>
          <w:rFonts w:hint="eastAsia" w:ascii="宋体" w:hAnsi="宋体" w:eastAsia="宋体" w:cs="宋体"/>
          <w:sz w:val="24"/>
          <w:szCs w:val="24"/>
          <w:highlight w:val="none"/>
          <w:lang w:bidi="ar"/>
        </w:rPr>
        <w:t>所有权完全属于乙方且无任何抵押、查封等权利瑕疵。如有权利瑕疵的，视为乙方违约，乙方应负担由此而产生的一切损失。</w:t>
      </w:r>
    </w:p>
    <w:p>
      <w:pPr>
        <w:numPr>
          <w:ilvl w:val="0"/>
          <w:numId w:val="3"/>
        </w:numPr>
        <w:snapToGrid w:val="0"/>
        <w:spacing w:line="360" w:lineRule="auto"/>
        <w:ind w:left="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bidi="ar"/>
        </w:rPr>
        <w:t>违约责任</w:t>
      </w:r>
    </w:p>
    <w:p>
      <w:pPr>
        <w:numPr>
          <w:ilvl w:val="0"/>
          <w:numId w:val="6"/>
        </w:numPr>
        <w:spacing w:line="5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双方必须遵守合同并执行合同中的各项规定，保证合同的正常履行。</w:t>
      </w:r>
    </w:p>
    <w:p>
      <w:pPr>
        <w:numPr>
          <w:ilvl w:val="0"/>
          <w:numId w:val="6"/>
        </w:numPr>
        <w:spacing w:line="500" w:lineRule="exact"/>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kern w:val="2"/>
          <w:sz w:val="24"/>
          <w:szCs w:val="24"/>
          <w:highlight w:val="none"/>
          <w:lang w:val="en-US" w:eastAsia="zh-CN" w:bidi="ar-SA"/>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numPr>
          <w:ilvl w:val="0"/>
          <w:numId w:val="3"/>
        </w:numPr>
        <w:snapToGrid w:val="0"/>
        <w:spacing w:line="360" w:lineRule="auto"/>
        <w:ind w:left="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bidi="ar"/>
        </w:rPr>
        <w:t>不可抗力事件处理</w:t>
      </w:r>
    </w:p>
    <w:p>
      <w:pPr>
        <w:tabs>
          <w:tab w:val="left" w:pos="0"/>
        </w:tabs>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1、在合同有效期内，任何一方因不可抗力事件导致不能履行合同，则合同履行期可延长，其延长期与不可抗力影响期相同。</w:t>
      </w:r>
    </w:p>
    <w:p>
      <w:pPr>
        <w:tabs>
          <w:tab w:val="left" w:pos="0"/>
        </w:tabs>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2、不可抗力事件发生后，应立即通知对方，并寄送有关权威机构出具的证明。</w:t>
      </w:r>
    </w:p>
    <w:p>
      <w:pPr>
        <w:tabs>
          <w:tab w:val="left" w:pos="0"/>
        </w:tabs>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3、不可抗力事件延续</w:t>
      </w:r>
      <w:r>
        <w:rPr>
          <w:rFonts w:hint="eastAsia" w:ascii="宋体" w:hAnsi="宋体" w:eastAsia="宋体" w:cs="宋体"/>
          <w:sz w:val="24"/>
          <w:szCs w:val="24"/>
          <w:highlight w:val="none"/>
          <w:u w:val="single"/>
          <w:lang w:bidi="ar"/>
        </w:rPr>
        <w:t xml:space="preserve"> 30 </w:t>
      </w:r>
      <w:r>
        <w:rPr>
          <w:rFonts w:hint="eastAsia" w:ascii="宋体" w:hAnsi="宋体" w:eastAsia="宋体" w:cs="宋体"/>
          <w:sz w:val="24"/>
          <w:szCs w:val="24"/>
          <w:highlight w:val="none"/>
          <w:lang w:bidi="ar"/>
        </w:rPr>
        <w:t>天以上，双方应通过友好协商，确定是否继续履行合同。</w:t>
      </w:r>
    </w:p>
    <w:p>
      <w:pPr>
        <w:numPr>
          <w:ilvl w:val="0"/>
          <w:numId w:val="3"/>
        </w:numPr>
        <w:snapToGrid w:val="0"/>
        <w:spacing w:line="360" w:lineRule="auto"/>
        <w:ind w:left="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bidi="ar"/>
        </w:rPr>
        <w:t>解决争议的方法</w:t>
      </w:r>
    </w:p>
    <w:p>
      <w:pPr>
        <w:spacing w:line="500" w:lineRule="exact"/>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1、合同履行期间,若双方发生争议，可协商或由有关部门调解解决，协商或调解不成的，由当事人向甲方项目所在地人民法院提起诉讼。</w:t>
      </w:r>
    </w:p>
    <w:p>
      <w:pPr>
        <w:numPr>
          <w:ilvl w:val="0"/>
          <w:numId w:val="3"/>
        </w:numPr>
        <w:snapToGrid w:val="0"/>
        <w:spacing w:line="360" w:lineRule="auto"/>
        <w:ind w:left="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合同解除情形</w:t>
      </w:r>
    </w:p>
    <w:p>
      <w:pPr>
        <w:spacing w:line="500" w:lineRule="exact"/>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（1）因国家政策原因终止本项目，合同自行解除，双方互不承担违约责任。</w:t>
      </w:r>
    </w:p>
    <w:p>
      <w:pPr>
        <w:spacing w:line="500" w:lineRule="exact"/>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（2）因自然灾害等不可抗力因素导致合同无法继续履行的，双方协商解决。</w:t>
      </w:r>
    </w:p>
    <w:p>
      <w:pPr>
        <w:spacing w:line="500" w:lineRule="exact"/>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3）甲方组织抽检结果低于采购文件要求，甲方有权要求乙方及时更换货物（甲方对不合格货物无退还义务，期间对甲方造成的经济损失由乙方承担），如乙方不予配合，甲方有权解除合同，并由该乙方承担所有法律责任；此外甲方若认为乙方有不符合本次采购和采购合同要求的行为，有权要求乙方限期整改，限期未达到整改要求的，甲方有权解除合同，由乙方承担所有法律责任。</w:t>
      </w:r>
    </w:p>
    <w:p>
      <w:pPr>
        <w:numPr>
          <w:ilvl w:val="0"/>
          <w:numId w:val="3"/>
        </w:numPr>
        <w:snapToGrid w:val="0"/>
        <w:spacing w:line="360" w:lineRule="auto"/>
        <w:ind w:left="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bidi="ar"/>
        </w:rPr>
        <w:t>合同生效及其他</w:t>
      </w:r>
    </w:p>
    <w:p>
      <w:pPr>
        <w:widowControl/>
        <w:snapToGrid w:val="0"/>
        <w:spacing w:line="360"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1、合同经双方法定代表人（负责人）或委托代理人签字并加盖单位公章后生效。</w:t>
      </w:r>
    </w:p>
    <w:p>
      <w:pPr>
        <w:widowControl/>
        <w:snapToGrid w:val="0"/>
        <w:spacing w:line="360"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2、合同执行中涉及采购资金和采购内容修改或补充的，须经政府采购监管部门审批，并签书面补充协议报政府采购监督管理部门备案，方可作为主合同不可分割的一部分。</w:t>
      </w:r>
    </w:p>
    <w:p>
      <w:pPr>
        <w:widowControl/>
        <w:snapToGrid w:val="0"/>
        <w:spacing w:line="360"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3、本合同一式</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份，甲方</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份、乙方</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份、政府采购管理部门</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份、采购代理机构</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份，具有同等法律效力。</w:t>
      </w:r>
    </w:p>
    <w:p>
      <w:pPr>
        <w:widowControl/>
        <w:snapToGrid w:val="0"/>
        <w:spacing w:line="360"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4、本合同的附件作为本合同的组成部分，与本合同具有同等法律效力。</w:t>
      </w:r>
    </w:p>
    <w:p>
      <w:pPr>
        <w:snapToGri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bidi="ar"/>
        </w:rPr>
        <w:t>附件：</w:t>
      </w:r>
    </w:p>
    <w:p>
      <w:pPr>
        <w:widowControl/>
        <w:snapToGrid w:val="0"/>
        <w:spacing w:line="360" w:lineRule="auto"/>
        <w:ind w:firstLine="0" w:firstLineChars="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
        </w:rPr>
        <w:t xml:space="preserve">甲方：   （盖章）   </w:t>
      </w:r>
      <w:r>
        <w:rPr>
          <w:rFonts w:hint="eastAsia" w:ascii="宋体" w:hAnsi="宋体" w:eastAsia="宋体" w:cs="宋体"/>
          <w:kern w:val="2"/>
          <w:sz w:val="24"/>
          <w:szCs w:val="24"/>
          <w:highlight w:val="none"/>
          <w:lang w:val="en-US" w:eastAsia="zh-CN" w:bidi="ar"/>
        </w:rPr>
        <w:tab/>
      </w:r>
      <w:r>
        <w:rPr>
          <w:rFonts w:hint="eastAsia" w:ascii="宋体" w:hAnsi="宋体" w:eastAsia="宋体" w:cs="宋体"/>
          <w:kern w:val="2"/>
          <w:sz w:val="24"/>
          <w:szCs w:val="24"/>
          <w:highlight w:val="none"/>
          <w:lang w:val="en-US" w:eastAsia="zh-CN" w:bidi="ar"/>
        </w:rPr>
        <w:tab/>
      </w:r>
      <w:r>
        <w:rPr>
          <w:rFonts w:hint="eastAsia" w:ascii="宋体" w:hAnsi="宋体" w:eastAsia="宋体" w:cs="宋体"/>
          <w:kern w:val="2"/>
          <w:sz w:val="24"/>
          <w:szCs w:val="24"/>
          <w:highlight w:val="none"/>
          <w:lang w:val="en-US" w:eastAsia="zh-CN" w:bidi="ar"/>
        </w:rPr>
        <w:tab/>
      </w:r>
      <w:r>
        <w:rPr>
          <w:rFonts w:hint="eastAsia" w:ascii="宋体" w:hAnsi="宋体" w:eastAsia="宋体" w:cs="宋体"/>
          <w:kern w:val="2"/>
          <w:sz w:val="24"/>
          <w:szCs w:val="24"/>
          <w:highlight w:val="none"/>
          <w:lang w:val="en-US" w:eastAsia="zh-CN" w:bidi="ar"/>
        </w:rPr>
        <w:t xml:space="preserve">         乙方：   （盖章）</w:t>
      </w:r>
    </w:p>
    <w:p>
      <w:pPr>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法定代表人（负责人）（委托代理人）：   法定代表人（负责人）（委托代理人）：</w:t>
      </w:r>
    </w:p>
    <w:p>
      <w:pPr>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地    址：                           地    址：</w:t>
      </w:r>
    </w:p>
    <w:p>
      <w:pPr>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开户银行：                           开户银行：</w:t>
      </w:r>
    </w:p>
    <w:p>
      <w:pPr>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账号：                               账号：</w:t>
      </w:r>
    </w:p>
    <w:p>
      <w:pPr>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 xml:space="preserve">电    话：       传    真：          电    话：         传    真：                         </w:t>
      </w:r>
    </w:p>
    <w:p>
      <w:pPr>
        <w:spacing w:line="360" w:lineRule="auto"/>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签约日期：</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lang w:bidi="ar"/>
        </w:rPr>
        <w:t>年</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lang w:bidi="ar"/>
        </w:rPr>
        <w:t>月</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lang w:bidi="ar"/>
        </w:rPr>
        <w:t>日          签约日期：</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lang w:bidi="ar"/>
        </w:rPr>
        <w:t>年</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lang w:bidi="ar"/>
        </w:rPr>
        <w:t>月</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lang w:bidi="ar"/>
        </w:rPr>
        <w:t>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kern w:val="0"/>
          <w:sz w:val="24"/>
          <w:szCs w:val="24"/>
          <w:highlight w:val="none"/>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D85546"/>
    <w:multiLevelType w:val="singleLevel"/>
    <w:tmpl w:val="BFD85546"/>
    <w:lvl w:ilvl="0" w:tentative="0">
      <w:start w:val="1"/>
      <w:numFmt w:val="decimal"/>
      <w:suff w:val="nothing"/>
      <w:lvlText w:val="%1、"/>
      <w:lvlJc w:val="left"/>
    </w:lvl>
  </w:abstractNum>
  <w:abstractNum w:abstractNumId="1">
    <w:nsid w:val="10C5921D"/>
    <w:multiLevelType w:val="singleLevel"/>
    <w:tmpl w:val="10C5921D"/>
    <w:lvl w:ilvl="0" w:tentative="0">
      <w:start w:val="1"/>
      <w:numFmt w:val="decimal"/>
      <w:suff w:val="nothing"/>
      <w:lvlText w:val="%1."/>
      <w:lvlJc w:val="left"/>
    </w:lvl>
  </w:abstractNum>
  <w:abstractNum w:abstractNumId="2">
    <w:nsid w:val="30942FA6"/>
    <w:multiLevelType w:val="singleLevel"/>
    <w:tmpl w:val="30942FA6"/>
    <w:lvl w:ilvl="0" w:tentative="0">
      <w:start w:val="1"/>
      <w:numFmt w:val="decimal"/>
      <w:pStyle w:val="5"/>
      <w:lvlText w:val="%1."/>
      <w:lvlJc w:val="left"/>
      <w:pPr>
        <w:ind w:left="425" w:hanging="425"/>
      </w:pPr>
      <w:rPr>
        <w:rFonts w:hint="default"/>
      </w:rPr>
    </w:lvl>
  </w:abstractNum>
  <w:abstractNum w:abstractNumId="3">
    <w:nsid w:val="54F57462"/>
    <w:multiLevelType w:val="singleLevel"/>
    <w:tmpl w:val="54F57462"/>
    <w:lvl w:ilvl="0" w:tentative="0">
      <w:start w:val="1"/>
      <w:numFmt w:val="decimal"/>
      <w:suff w:val="nothing"/>
      <w:lvlText w:val="（%1）"/>
      <w:lvlJc w:val="left"/>
    </w:lvl>
  </w:abstractNum>
  <w:abstractNum w:abstractNumId="4">
    <w:nsid w:val="5760A708"/>
    <w:multiLevelType w:val="multilevel"/>
    <w:tmpl w:val="5760A708"/>
    <w:lvl w:ilvl="0" w:tentative="0">
      <w:start w:val="2"/>
      <w:numFmt w:val="decimal"/>
      <w:suff w:val="nothing"/>
      <w:lvlText w:val="%1、"/>
      <w:lvlJc w:val="left"/>
      <w:rPr>
        <w:rFonts w:cs="Times New Roman"/>
      </w:rPr>
    </w:lvl>
    <w:lvl w:ilvl="1" w:tentative="0">
      <w:start w:val="1"/>
      <w:numFmt w:val="decimal"/>
      <w:lvlText w:val="(%2)"/>
      <w:lvlJc w:val="left"/>
      <w:pPr>
        <w:tabs>
          <w:tab w:val="left" w:pos="840"/>
        </w:tabs>
        <w:ind w:left="840" w:hanging="420"/>
      </w:pPr>
      <w:rPr>
        <w:rFonts w:hint="default" w:cs="Times New Roman"/>
      </w:rPr>
    </w:lvl>
    <w:lvl w:ilvl="2" w:tentative="0">
      <w:start w:val="1"/>
      <w:numFmt w:val="decimalEnclosedCircleChinese"/>
      <w:lvlText w:val="%3"/>
      <w:lvlJc w:val="left"/>
      <w:pPr>
        <w:tabs>
          <w:tab w:val="left" w:pos="1260"/>
        </w:tabs>
        <w:ind w:left="1260" w:hanging="420"/>
      </w:pPr>
      <w:rPr>
        <w:rFonts w:hint="default" w:cs="Times New Roman"/>
      </w:rPr>
    </w:lvl>
    <w:lvl w:ilvl="3" w:tentative="0">
      <w:start w:val="1"/>
      <w:numFmt w:val="decimal"/>
      <w:lvlText w:val="%4)"/>
      <w:lvlJc w:val="left"/>
      <w:pPr>
        <w:tabs>
          <w:tab w:val="left" w:pos="1680"/>
        </w:tabs>
        <w:ind w:left="1680" w:hanging="420"/>
      </w:pPr>
      <w:rPr>
        <w:rFonts w:hint="default" w:cs="Times New Roman"/>
      </w:rPr>
    </w:lvl>
    <w:lvl w:ilvl="4" w:tentative="0">
      <w:start w:val="1"/>
      <w:numFmt w:val="lowerLetter"/>
      <w:pStyle w:val="2"/>
      <w:lvlText w:val="%5."/>
      <w:lvlJc w:val="left"/>
      <w:pPr>
        <w:tabs>
          <w:tab w:val="left" w:pos="2100"/>
        </w:tabs>
        <w:ind w:left="2100" w:hanging="420"/>
      </w:pPr>
      <w:rPr>
        <w:rFonts w:hint="default" w:cs="Times New Roman"/>
      </w:rPr>
    </w:lvl>
    <w:lvl w:ilvl="5" w:tentative="0">
      <w:start w:val="1"/>
      <w:numFmt w:val="lowerLetter"/>
      <w:lvlText w:val="%6)"/>
      <w:lvlJc w:val="left"/>
      <w:pPr>
        <w:tabs>
          <w:tab w:val="left" w:pos="2520"/>
        </w:tabs>
        <w:ind w:left="2520" w:hanging="420"/>
      </w:pPr>
      <w:rPr>
        <w:rFonts w:hint="default" w:cs="Times New Roman"/>
      </w:rPr>
    </w:lvl>
    <w:lvl w:ilvl="6" w:tentative="0">
      <w:start w:val="1"/>
      <w:numFmt w:val="lowerRoman"/>
      <w:lvlText w:val="%7."/>
      <w:lvlJc w:val="left"/>
      <w:pPr>
        <w:tabs>
          <w:tab w:val="left" w:pos="2940"/>
        </w:tabs>
        <w:ind w:left="2940" w:hanging="420"/>
      </w:pPr>
      <w:rPr>
        <w:rFonts w:hint="default" w:cs="Times New Roman"/>
      </w:rPr>
    </w:lvl>
    <w:lvl w:ilvl="7" w:tentative="0">
      <w:start w:val="1"/>
      <w:numFmt w:val="lowerRoman"/>
      <w:lvlText w:val="%8)"/>
      <w:lvlJc w:val="left"/>
      <w:pPr>
        <w:tabs>
          <w:tab w:val="left" w:pos="3360"/>
        </w:tabs>
        <w:ind w:left="3360" w:hanging="420"/>
      </w:pPr>
      <w:rPr>
        <w:rFonts w:hint="default" w:cs="Times New Roman"/>
      </w:rPr>
    </w:lvl>
    <w:lvl w:ilvl="8" w:tentative="0">
      <w:start w:val="1"/>
      <w:numFmt w:val="lowerLetter"/>
      <w:lvlText w:val="%9."/>
      <w:lvlJc w:val="left"/>
      <w:pPr>
        <w:tabs>
          <w:tab w:val="left" w:pos="3780"/>
        </w:tabs>
        <w:ind w:left="3780" w:hanging="420"/>
      </w:pPr>
      <w:rPr>
        <w:rFonts w:hint="default" w:cs="Times New Roman"/>
      </w:rPr>
    </w:lvl>
  </w:abstractNum>
  <w:abstractNum w:abstractNumId="5">
    <w:nsid w:val="5AB90C2A"/>
    <w:multiLevelType w:val="multilevel"/>
    <w:tmpl w:val="5AB90C2A"/>
    <w:lvl w:ilvl="0" w:tentative="0">
      <w:start w:val="1"/>
      <w:numFmt w:val="japaneseCounting"/>
      <w:lvlText w:val="第%1条"/>
      <w:lvlJc w:val="left"/>
      <w:pPr>
        <w:tabs>
          <w:tab w:val="left" w:pos="1521"/>
        </w:tabs>
        <w:ind w:left="1521" w:hanging="109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lZjNhNjUxNGU4NjQwZmFiZmU5MmIxZjYzMmNkMDEifQ=="/>
  </w:docVars>
  <w:rsids>
    <w:rsidRoot w:val="316E2D97"/>
    <w:rsid w:val="00B96130"/>
    <w:rsid w:val="0C0310D5"/>
    <w:rsid w:val="138A6F39"/>
    <w:rsid w:val="260128FC"/>
    <w:rsid w:val="2DF75755"/>
    <w:rsid w:val="316E2D97"/>
    <w:rsid w:val="4D313F7B"/>
    <w:rsid w:val="4D4D6122"/>
    <w:rsid w:val="50670E7C"/>
    <w:rsid w:val="6C1A4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标题 5（有编号）（绿盟科技）"/>
    <w:basedOn w:val="3"/>
    <w:next w:val="6"/>
    <w:qFormat/>
    <w:uiPriority w:val="99"/>
    <w:pPr>
      <w:keepNext/>
      <w:keepLines/>
      <w:numPr>
        <w:ilvl w:val="4"/>
        <w:numId w:val="1"/>
      </w:numPr>
      <w:spacing w:before="280" w:after="156" w:line="376" w:lineRule="auto"/>
      <w:outlineLvl w:val="4"/>
    </w:pPr>
    <w:rPr>
      <w:rFonts w:ascii="Arial" w:hAnsi="Arial" w:eastAsia="黑体" w:cs="Arial"/>
      <w:b/>
      <w:bCs/>
    </w:rPr>
  </w:style>
  <w:style w:type="paragraph" w:customStyle="1" w:styleId="3">
    <w:name w:val="正文1"/>
    <w:next w:val="4"/>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
    <w:name w:val="正文文本1"/>
    <w:basedOn w:val="5"/>
    <w:next w:val="3"/>
    <w:qFormat/>
    <w:uiPriority w:val="0"/>
    <w:pPr>
      <w:spacing w:afterLines="50"/>
    </w:pPr>
  </w:style>
  <w:style w:type="paragraph" w:customStyle="1" w:styleId="5">
    <w:name w:val="表格内1"/>
    <w:next w:val="4"/>
    <w:qFormat/>
    <w:uiPriority w:val="0"/>
    <w:pPr>
      <w:widowControl w:val="0"/>
      <w:numPr>
        <w:ilvl w:val="0"/>
        <w:numId w:val="2"/>
      </w:numPr>
      <w:jc w:val="both"/>
    </w:pPr>
    <w:rPr>
      <w:rFonts w:ascii="Calibri" w:hAnsi="Calibri" w:eastAsia="宋体" w:cs="黑体"/>
      <w:b/>
      <w:kern w:val="2"/>
      <w:sz w:val="21"/>
      <w:szCs w:val="22"/>
      <w:lang w:val="en-US" w:eastAsia="zh-CN" w:bidi="ar-SA"/>
    </w:rPr>
  </w:style>
  <w:style w:type="paragraph" w:customStyle="1" w:styleId="6">
    <w:name w:val="正文（绿盟科技）"/>
    <w:qFormat/>
    <w:uiPriority w:val="0"/>
    <w:pPr>
      <w:autoSpaceDN w:val="0"/>
      <w:spacing w:line="300" w:lineRule="auto"/>
    </w:pPr>
    <w:rPr>
      <w:rFonts w:ascii="Arial" w:hAnsi="Arial" w:eastAsia="宋体" w:cs="黑体"/>
      <w:sz w:val="21"/>
      <w:szCs w:val="21"/>
      <w:lang w:val="en-US" w:eastAsia="zh-CN" w:bidi="ar-SA"/>
    </w:rPr>
  </w:style>
  <w:style w:type="paragraph" w:styleId="7">
    <w:name w:val="Body Text"/>
    <w:basedOn w:val="1"/>
    <w:next w:val="1"/>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2025-06-30T02:47:00Z</dcterms:created>
  <dc:creator>斤斤</dc:creator>
  <cp:lastModifiedBy>斤斤</cp:lastModifiedBy>
  <dcterms:modified xsi:type="dcterms:W3CDTF">2025-06-30T02:47:27Z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30BED00F03F74D009B57CB5DBEF5DF9E_11</vt:lpwstr>
  </property>
</Properties>
</file>