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629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bdr w:val="none" w:color="auto" w:sz="0" w:space="0"/>
          <w:shd w:val="clear" w:fill="FFFFFF"/>
        </w:rPr>
        <w:t>第三章 技术、服务及其他要求</w:t>
      </w:r>
    </w:p>
    <w:p w14:paraId="605782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583E0D2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p>
    <w:p w14:paraId="17EA74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32A78D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采购包预算金额（元）: 1,700,000.00</w:t>
      </w:r>
    </w:p>
    <w:p w14:paraId="6592EC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采购包最高限价（元）: 1,700,000.00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2"/>
        <w:gridCol w:w="934"/>
        <w:gridCol w:w="1004"/>
        <w:gridCol w:w="1075"/>
        <w:gridCol w:w="1077"/>
        <w:gridCol w:w="690"/>
        <w:gridCol w:w="665"/>
        <w:gridCol w:w="665"/>
        <w:gridCol w:w="665"/>
        <w:gridCol w:w="609"/>
        <w:gridCol w:w="610"/>
      </w:tblGrid>
      <w:tr w14:paraId="0938EB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9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4EA68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86489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F5A53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0671E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91857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58225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0C68F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13E11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A9959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3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FBBFB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3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101E1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0BE6BAB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C98B8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D3D98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C23120301 车辆维修和保养服务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2D976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环卫特种作业车辆维修服务采购项目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0CC983">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3D86DB">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1,700,000.00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F1F2E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1347F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44344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1C584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FC1B4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067EE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14:paraId="3C2CB9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是否适用本国产品标准：否</w:t>
      </w:r>
    </w:p>
    <w:p w14:paraId="08661E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185EE0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8"/>
        <w:gridCol w:w="843"/>
        <w:gridCol w:w="659"/>
        <w:gridCol w:w="659"/>
        <w:gridCol w:w="774"/>
        <w:gridCol w:w="659"/>
        <w:gridCol w:w="4364"/>
      </w:tblGrid>
      <w:tr w14:paraId="749DA2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45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370F0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3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48F1F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0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451EB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计量单位</w:t>
            </w:r>
          </w:p>
        </w:tc>
        <w:tc>
          <w:tcPr>
            <w:tcW w:w="20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6B818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报价单位</w:t>
            </w:r>
          </w:p>
        </w:tc>
        <w:tc>
          <w:tcPr>
            <w:tcW w:w="312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091DF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0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CE460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31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A3AA9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395457F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57B39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CC006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材料综合管理费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65D0F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93FAE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74A8E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B3716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百分比</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0EBC5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维修材料费＝维修材料实际买入价格×（1+供应商材料综合管理费收取比例的报价）。维修材料费包括维修材料实际买入价格（含税）、材料运杂费、资金利息、管理费等购置材料所产生的所有费用。如某项维修材料的实际买入价格为100元，供应商的材料综合管理费报价比例为15%，则供应商的收取的维修材料费＝100元×（1+15%）＝115元。</w:t>
            </w:r>
          </w:p>
        </w:tc>
      </w:tr>
      <w:tr w14:paraId="0F747E0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61DD6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C9B3D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工时单价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06546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DEA19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91557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67BF2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百分比</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229BF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维修工时费＝工时定额×工时单价。①工时定额：本项目工时定额按四川省交通运输厅推荐的《四川省机动车维修工时定额标准》（T/CQFX001—2024）工时定额标准执行。②工时单价: 工时单价＝基准工时单价×综合调整系数×供应商工时单价百分比的报价。</w:t>
            </w:r>
          </w:p>
        </w:tc>
      </w:tr>
    </w:tbl>
    <w:p w14:paraId="067820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★注：本采购包涉及采购货物的，供应商响应产品应当明确品牌和规格型号并指向唯一产品，不能指向唯一产品的，应通过报价表唯一产品说明栏补充说明。</w:t>
      </w:r>
    </w:p>
    <w:p w14:paraId="207E8A5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1472F4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656F8C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0508A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17BFE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D4893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C172C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0D9910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8E53F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256288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注：涉及核心产品的，具体评审规定见第五章。</w:t>
      </w:r>
    </w:p>
    <w:p w14:paraId="6F6BB0E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171D65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5752E7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2B0EC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9645A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96C31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19D75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FD37D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A408D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7FA3601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★注：不涉及采购进口产品时，供应商不得提供进口产品进行响应；涉及采购进口产品时，如国产产品满足采购需求，也可提供国产产品进行响应。</w:t>
      </w:r>
    </w:p>
    <w:p w14:paraId="39078D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022701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4FEC19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E2BD9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BEAE6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D288E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B3E04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066B6F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B5508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79820D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BE303E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330B11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3D9B54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C3B4F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52D47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7415D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3A0AC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F948C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4A592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401E89C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7895807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7119EB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4E8D6C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D8B4C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5B18D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FF94F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4E291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56DC4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9B7F2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11FD4A5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3FCA2F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5BEF93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04DE69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标的名称：环卫特种作业车辆维修服务采购项目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38"/>
        <w:gridCol w:w="439"/>
        <w:gridCol w:w="439"/>
        <w:gridCol w:w="7230"/>
      </w:tblGrid>
      <w:tr w14:paraId="13DB49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3D6C7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0F200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62BEA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2526E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26663F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D32A3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134A7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48517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技术要求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7B45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（一）服务内容</w:t>
            </w:r>
          </w:p>
          <w:p w14:paraId="2D50D4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1.服务清单：本采购项目服务范围为乐山市市中区市容管理局环卫作业车辆维保维修服务，采购人现有各类环卫作业车辆约 350 辆。纯电动厢式垃圾车(对接车)16辆、纯电动压缩式垃圾车(18T)5辆、纯电动压缩式垃圾车(12T)10辆、纯电动平板车4辆、纯电动勾臂式垃圾运输车2辆、道路污染清除车(18T)3辆、新能源扫地车(18T)15辆、新能源扫地车(12T)3辆、洒水车4辆、新能源四轮垃圾收集车162辆、新能源多功能路面养护车30辆、新能源后装船型车20辆、新能源小型扫地车7辆、新能源大件垃圾收运车20辆、新能源垃圾分类运输车7辆、新能源护栏清洗车3辆、新能源吸粪车1辆、新能源水车（18T）15辆、新能源装载机2辆、新能源勾臂车（18T）3辆、新能源雾炮车（18T）4辆等部分油车。本次列明车型为现有车辆初步统计清单，项目成交后采购人向成交服务商移交完整车辆维修台账清单，作为服务执行基准。</w:t>
            </w:r>
          </w:p>
          <w:p w14:paraId="606C28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服务内容：（1）车辆的整车修理、总成修理、整车维护、小修、维修救援和专项修理工作（包括发动机、液压系统车身、变速箱、后桥总成、货箱液压系统、电气系统、制动系统、转向系统、自动变速器维修及车身清洁维护、涂漆、轮胎动平衡和修补、四轮定位检测调整、供油系统维护和油品更换、喷油泵和喷油器维修、曲轴修磨、气缸镗磨、散热器（水箱）、空调维修、车辆玻璃安装、轮胎更换、整车内饰等专项工作）。</w:t>
            </w:r>
          </w:p>
          <w:p w14:paraId="33A885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（2）洒水车、扫地车、垃圾车等所有车辆整车及各类维护保养、外观清洗、小修、大修。</w:t>
            </w:r>
          </w:p>
          <w:p w14:paraId="0EA34B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（3）和其他有关汽车维修的服务项目及承担采购人承担主要事故责任的涉交通事故车辆专项维修服务。</w:t>
            </w:r>
          </w:p>
          <w:p w14:paraId="57644D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（4）车辆加水水桩、车辆外观清洗设备、垃圾对接车设备维修。</w:t>
            </w:r>
          </w:p>
          <w:p w14:paraId="2C8A0A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（二）服务要求</w:t>
            </w:r>
          </w:p>
          <w:p w14:paraId="5E96FC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供应商根据采购人出具的车辆维修审批单上注明的问题，依据相关标准和维修手册对车辆进行检测，检测完毕后确定切合实际的维修方案，在征得采购人同意后按维修方案实施维修（维修方案因实际情况改变须征得采购人同意），维修竣工后在打印的维修清单上注明详细维修清单明细、维修工时费、材料费、完成维修的时间、维修总金额等内容，材料综合管理费必须在维修清单中明确单独列出，并通知采购人前来办理车辆交接手续，供应商出具维修出厂合格证和维修清单，采购人仔细检查竣工车辆，若无异议在维修清单上签字确认。</w:t>
            </w:r>
          </w:p>
          <w:p w14:paraId="2084BE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2.供应商负责维修期间的车辆安全和维修质量。在车辆维修期间发生失火、被盗、交通事故及其它损失，由供应商承担一切后果。已经维修合格出厂的车辆按《机动车维修管理规定》（交通运输部令2023年第14号）执行。若采购人对车辆维修质量有异议，可以向供应商提出，若供应商不能给予令人信服的答复，采购人可报请法定检验机构进行鉴定。维修质量符合标准的，鉴定费由采购人承担；维修质量不符合质量标准的，鉴定费由供应商承担。</w:t>
            </w:r>
          </w:p>
          <w:p w14:paraId="29686A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3.供应商为采购人定点维修的车辆每季度免费检测调整制动、灯光、空调等系统。</w:t>
            </w:r>
          </w:p>
          <w:p w14:paraId="05CC07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供应商依据《机动车维修管理规定》（交通运输部令2023年第14号）对送修车辆建立用户档案和台帐记录，须对每辆维修的汽车建立档案进行跟踪服务，按单车建立维修档案(含维修、换件图片），详细记录所维修车辆型号、车牌号、维修部件、更换件、计价情况、维修时间等，以备采购监管部门检查。供应商应当建立机动车维修档案，并实行档案电子化管理。维修档案应当包括：维修合同（托修单）、维修项目、维修人员及维修结算清单等。</w:t>
            </w:r>
          </w:p>
          <w:p w14:paraId="7D1690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5.供应商须为本项目配备专业维修团队，维修人员包含但不限于底盘工、焊工、液压维修工、电工等工种。所有人员持证上岗，其中不少于2名维修服务人员持有有效的《中华人民共和国特种作业操作证（低压电工特种作业操作证）》，不少于2名维修服务人员持有有效的焊工证。（投标时提供相关人员证书复印件加盖公章。）</w:t>
            </w:r>
          </w:p>
          <w:p w14:paraId="628499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6.供应商须指定专职车辆维修对接联系人，并开通 7×24 小时报修服务专线。采购人发起报修申请后，供应商应在 20 分钟内完成响应处置；除极端恶劣天气、严重交通拥堵等不可抗力情形外，乐山市城区范围内须 30 分钟内抵达故障现场开展施救服务，乐山市城区以外区域须 60 分钟内抵达现场处置。本项目报价已综合涵盖乐山市全域范围内应急救援配套人力、救援车辆及相关施救配套支出，采购人无需另行支付该类救援相关费用。</w:t>
            </w:r>
          </w:p>
          <w:p w14:paraId="412822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7.管理制度：供应商应有健全的维修管理制度。包括质量管理制度、安全生产管理制度、维修档案管理制度、人员培训制度、设备管理制度及配件管理制度。具体要求按照国家标准《汽车维修开业条件》（GB/T16739）最新相关条款的规定执行。</w:t>
            </w:r>
          </w:p>
          <w:p w14:paraId="5C9FC1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8.响应时间：小修不超过2天，大修不超过10天，总成修理不超过5天。说明：（1）小修指通过修理或更换个别零件，消除车辆在运行过程或维护过程中发生或发现的故障或隐患，恢复车辆工作能力的作业；（2）大修指通过修复或更换零部件（包括基础件），恢复车辆完好技术状况和完全（或接近完全）恢复车辆寿命修理；（3）总成修理指恢复车辆总成完好技术状况(或工作能力)和寿命进行的作业。</w:t>
            </w:r>
          </w:p>
          <w:p w14:paraId="4B0AFF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9.环保要求：供应商应对废机油、废电池等维修废物进行妥善保管并移交给采购人处理。危化品仓库、废弃物处理间等产生污染物的场所，供应商应独立设置。供应商库房、车间地面无油液，洗车废水经过处理后排放或回收再利用。供应商提供维修服务所涉及的设施设备更换应优先选用绿色、环保、节能产品。供应商实施绿色供应链和碳排放管理。涂装工艺的涂料应符合《车辆涂料中有害物质限量》（GB24409-2020）相关要求。工艺废气管理应符合《挥发性有机物无组织排放控制标准》（GB37822-2019）相关要求。供应商应保证服务场地环境卫生，照明、水冲、盥洗、通风设备完好。</w:t>
            </w:r>
          </w:p>
          <w:p w14:paraId="49DE53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（三）服务标准及质量要求</w:t>
            </w:r>
          </w:p>
          <w:p w14:paraId="04ECAB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所采用的零部件、配件等材料应符合国家或部门标准和行业标准以及汽车维修相关标准。应有合法的进货渠道，不得使用假冒伪劣产品以次充好。供应商可以使用同质配件维修机动车。同质配件是指产品质量等同或者高于装车零部件标准要求，且具有良好装车性能的配件。供应商应当将原厂配件、同质配件和修复配件分别标识、明码标价，供采购人选择。如果因特殊情况要用替代件或旧件的，必须经采购人同意，维修单位还应在材料清单中加以注明，否则不得使用。</w:t>
            </w:r>
          </w:p>
          <w:p w14:paraId="253898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2.机动车维修配件实行追溯制度。</w:t>
            </w:r>
          </w:p>
          <w:p w14:paraId="480AC0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供应商对于换下的配件、总成，应当交采购人自行处理（涉安全环保相关部件除外）。供应商必须有正规的零配件进货渠道，健全的出入库登记制度，并供监督部门检查；维修撤换下的旧件必须专人专库保管，登记后分批次交由采购人查验，建帐备查，进行处置。</w:t>
            </w:r>
          </w:p>
          <w:p w14:paraId="5C6911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3.车辆维修后，未达到规定的质量标准和技术要求的，返修不得再计价收费。车辆维修竣工出厂执行质量保证期制度，遵守中华人民共和国交通运输部颁布的《交通运输部关于修改〈机动车维修管理规定〉的决定》（中华人民共和国交通运输部令〔2023〕14号）的标准。</w:t>
            </w:r>
          </w:p>
          <w:p w14:paraId="6FAD11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4.维修质量必须符合或达到现行国家规定标准或通用国际标准之一所规定的质量指标体系；所有投标企业必须遵守《机动车维修管理规定》（国家交通部令，2023年第14号）及其最新修正规定和最新版的《四川省机动车维修管理办法》的规定。在保修期内，因维修质量和使用不合格配件造成的运行事故、机械故障及电器事故并由此造成的经济损失，由负责维修车辆的供应商承担。</w:t>
            </w:r>
          </w:p>
          <w:p w14:paraId="318594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维修合格出厂车辆的质量保证期为：①发动机大修：车辆行驶30000公里或者1年：②整车修理或总成修理：车辆行驶20000公里或者100日；③二级维护：车辆行驶5000公里或者30日；④一级维护、小修及专项修理（修复）：车辆行驶2000公里或者10日：在此期间反复出现重复故障，供应商免费换件和修理。质量保证期中行驶里程和日期指标，以先达到者为准。机动车维修质量保证期，从维修竣工出厂之日起计算。</w:t>
            </w:r>
          </w:p>
          <w:p w14:paraId="3E0562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质保期内返修：在质量保证期和承诺的质量保证期内，因维修质量原因造成机动车无法正常使用，且供应商在3日内不能或者无法提供因非维修原因而造成机动车无法使用的相关证据的，供应商应当及时无偿返修，不得故意拖延或者无理由拒绝。</w:t>
            </w:r>
          </w:p>
          <w:p w14:paraId="151A98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（四）服务相关要求</w:t>
            </w:r>
          </w:p>
          <w:p w14:paraId="06F616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供应商必须配备车辆拆装、发动机总成修理、底盘各总成修理、电器修理、车身总成修理作业设备以及通用设备、计量器具、现代化检测设备等主要工具，且设备技术状况完好。从事汽车维修经营业务或者其他机动车维修经营业务的，有与其经营业务相适应的设备、设施。所配备的计量设备应当符合国家有关技术标准要求，并经法定检测机构检定合格。从事汽车维修经营业务的设备、设施的具体要求按照国家标准《汽车维修业开业条件》（GB/T16739）最新相关条款的规定执行。</w:t>
            </w:r>
          </w:p>
          <w:p w14:paraId="326D3A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2.技术力量、维修设备、设施、技术标准必须满足维修要求，在维修过程中维修设备、设施等不能满足维修需要时需无条件增加。</w:t>
            </w:r>
          </w:p>
          <w:p w14:paraId="4DC92F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3.供应商必须严格执行国家、行业汽车维修标准，技术资料完善、检测手段齐备。</w:t>
            </w:r>
          </w:p>
          <w:p w14:paraId="56D186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4.供应商在采购合同履约期间，因自身原因造成采购合同终止的，因此产生的所有经济损失由供应商自行承担，如给采购人造成经济损失的，采购人将依法追究其法</w:t>
            </w:r>
          </w:p>
          <w:p w14:paraId="68E715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律责任。</w:t>
            </w:r>
          </w:p>
          <w:p w14:paraId="044D16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5.供应商须遵守本项目各项规定，保证本项目的正常履行。如因供应商服务人员在履行职务过程中的疏忽、失职、过错等故意或者过失原因给采购人造成损失或侵权，包括但不限于采购人本身的财产损失、由此而导致的采购人对第三方的法律责任等，供应商对此均应承担全部的赔偿责任。</w:t>
            </w:r>
          </w:p>
          <w:p w14:paraId="5CC1F2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6.供应商须全面负责项目安全生产管理责任，配备必要的安全生产和劳动保护设施，加强对项目作业人员的安全教育和培训，确保项目从业人员安全作业，及时消除安全生产隐患，杜绝安全事故发生。</w:t>
            </w:r>
          </w:p>
          <w:p w14:paraId="4799F9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7.按照项目实际工作需要，服务期内成交供应商在乐山市主城区范围内（按照乐山市人民政府关于进一步明确乐山市主城区范围的通告，包含海棠街道、绿心街道、通江街道、大佛街道、全福街道、安谷镇、苏稽镇、棉竹镇、水口镇、牟子镇、冠英镇）有自己的维修服务点或成交后承诺在上述辖区内设置维修服务点，维修服务点面积不小于500平方米。投标时须提供相关资料（投标人若在上述辖区内自有维修服务点，须提供加盖公章的场地产权或覆盖全服务期的租赁合同、场地面积佐证图纸、网点实景照片、网点经营相关证明；若成交后在上述辖区内新设维修服务点，须提供法定代表人签字并加盖公章的专项设点承诺函。）</w:t>
            </w:r>
          </w:p>
          <w:p w14:paraId="0DFD4A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（五）维修费用的结算方式</w:t>
            </w:r>
          </w:p>
          <w:p w14:paraId="7D96EB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1.维修工时费： 维修工时费＝工时定额×工时单价。维修工时费包括供应商完成某一项机动车维修作业项目所占用的场地，所消耗的人工成本、设施设备损耗、水电成本、企业管理及环保成本等综合折算的所需的所有费用。①工时定额：本项目工时定额按四川省交通运输厅推荐的《四川省机动车维修工时定额标准》（T/CQFX001—2024）工时定额标准执行。②工时单价: 工时单价＝基准工时单价×综合调整系数×供应商工时单价百分比的报价。本项目基准工时单价执行四川省交通运输厅推荐的《四川省机动车维修工时定额标准》（T/CQFX 001—2024），即36元/工时。本项目一类汽车维修企业综合调整系数都为1.4。如供应商为一类汽车维修企业，工时单价百分比的响应报价为40%，则供应商的维修工时单价＝36元/工时×1.4×40%＝20.16元/工时，</w:t>
            </w:r>
          </w:p>
          <w:p w14:paraId="6FCE89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2.维修材料费：维修材料费＝维修材料实际买入价格×（1+供应商材料综合管理费收取比例的报价）。维修材料费包括维修材料实际买入价格（含税）、材料运杂费、资金利息、管理费等购置材料所产生的所有费用。如供应商某项维修材料的实际买入价格为100元，供应商的材料综合管理费收取比例的报价为15%，则供应商的收取的维修材料费＝100元×（1+15%）＝115元。</w:t>
            </w:r>
          </w:p>
          <w:p w14:paraId="7F024B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3.维修费=维修工时费+维修材料费。</w:t>
            </w:r>
          </w:p>
          <w:p w14:paraId="25E086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（六）考核机制</w:t>
            </w:r>
          </w:p>
          <w:p w14:paraId="20F776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1.考核主体：由乐山市市中区市容管理局（采购人）成立考核小组，可邀请使用部门代表参与。</w:t>
            </w:r>
          </w:p>
          <w:p w14:paraId="2C29E4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2.考核周期：每季度考核1次，并在合同履约结束后进行年度综合评定。</w:t>
            </w:r>
          </w:p>
          <w:p w14:paraId="64A0B0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3.在项目实施过程中，采购人可根据项目实施情况对考核细则进行细化和完善。</w:t>
            </w:r>
          </w:p>
          <w:p w14:paraId="32DBD7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4.考核细则</w:t>
            </w:r>
          </w:p>
          <w:tbl>
            <w:tblPr>
              <w:tblW w:w="8475"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249"/>
              <w:gridCol w:w="2664"/>
              <w:gridCol w:w="662"/>
              <w:gridCol w:w="2755"/>
              <w:gridCol w:w="587"/>
              <w:gridCol w:w="558"/>
            </w:tblGrid>
            <w:tr w14:paraId="03B67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tcBorders>
                    <w:top w:val="single" w:color="000000" w:sz="6" w:space="0"/>
                    <w:left w:val="single" w:color="000000" w:sz="6" w:space="0"/>
                    <w:bottom w:val="single" w:color="000000" w:sz="6" w:space="0"/>
                    <w:right w:val="single" w:color="000000" w:sz="6" w:space="0"/>
                  </w:tcBorders>
                  <w:shd w:val="clear"/>
                  <w:tcMar>
                    <w:top w:w="15" w:type="dxa"/>
                    <w:left w:w="15" w:type="dxa"/>
                    <w:bottom w:w="15" w:type="dxa"/>
                    <w:right w:w="15" w:type="dxa"/>
                  </w:tcMar>
                  <w:vAlign w:val="center"/>
                </w:tcPr>
                <w:p w14:paraId="292284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考核维度</w:t>
                  </w:r>
                </w:p>
              </w:tc>
              <w:tc>
                <w:tcPr>
                  <w:tcW w:w="2655" w:type="dxa"/>
                  <w:tcBorders>
                    <w:top w:val="single" w:color="000000" w:sz="6" w:space="0"/>
                    <w:left w:val="nil"/>
                    <w:bottom w:val="single" w:color="000000" w:sz="6" w:space="0"/>
                    <w:right w:val="single" w:color="000000" w:sz="6" w:space="0"/>
                  </w:tcBorders>
                  <w:shd w:val="clear"/>
                  <w:tcMar>
                    <w:top w:w="15" w:type="dxa"/>
                    <w:left w:w="15" w:type="dxa"/>
                    <w:bottom w:w="15" w:type="dxa"/>
                    <w:right w:w="15" w:type="dxa"/>
                  </w:tcMar>
                  <w:vAlign w:val="center"/>
                </w:tcPr>
                <w:p w14:paraId="7A119C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考核内容及标准</w:t>
                  </w:r>
                </w:p>
              </w:tc>
              <w:tc>
                <w:tcPr>
                  <w:tcW w:w="660" w:type="dxa"/>
                  <w:tcBorders>
                    <w:top w:val="single" w:color="000000" w:sz="6" w:space="0"/>
                    <w:left w:val="nil"/>
                    <w:bottom w:val="single" w:color="000000" w:sz="6" w:space="0"/>
                    <w:right w:val="single" w:color="000000" w:sz="6" w:space="0"/>
                  </w:tcBorders>
                  <w:shd w:val="clear"/>
                  <w:tcMar>
                    <w:top w:w="15" w:type="dxa"/>
                    <w:left w:w="15" w:type="dxa"/>
                    <w:bottom w:w="15" w:type="dxa"/>
                    <w:right w:w="15" w:type="dxa"/>
                  </w:tcMar>
                  <w:vAlign w:val="center"/>
                </w:tcPr>
                <w:p w14:paraId="6B2B1D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分值</w:t>
                  </w:r>
                </w:p>
              </w:tc>
              <w:tc>
                <w:tcPr>
                  <w:tcW w:w="2745" w:type="dxa"/>
                  <w:tcBorders>
                    <w:top w:val="single" w:color="000000" w:sz="6" w:space="0"/>
                    <w:left w:val="nil"/>
                    <w:bottom w:val="single" w:color="000000" w:sz="6" w:space="0"/>
                    <w:right w:val="single" w:color="000000" w:sz="6" w:space="0"/>
                  </w:tcBorders>
                  <w:shd w:val="clear"/>
                  <w:tcMar>
                    <w:top w:w="15" w:type="dxa"/>
                    <w:left w:w="15" w:type="dxa"/>
                    <w:bottom w:w="15" w:type="dxa"/>
                    <w:right w:w="15" w:type="dxa"/>
                  </w:tcMar>
                  <w:vAlign w:val="center"/>
                </w:tcPr>
                <w:p w14:paraId="008501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评分细则</w:t>
                  </w:r>
                </w:p>
              </w:tc>
              <w:tc>
                <w:tcPr>
                  <w:tcW w:w="585" w:type="dxa"/>
                  <w:tcBorders>
                    <w:top w:val="single" w:color="000000" w:sz="6" w:space="0"/>
                    <w:left w:val="nil"/>
                    <w:bottom w:val="single" w:color="000000" w:sz="6" w:space="0"/>
                    <w:right w:val="single" w:color="000000" w:sz="6" w:space="0"/>
                  </w:tcBorders>
                  <w:shd w:val="clear"/>
                  <w:tcMar>
                    <w:top w:w="15" w:type="dxa"/>
                    <w:left w:w="15" w:type="dxa"/>
                    <w:bottom w:w="15" w:type="dxa"/>
                    <w:right w:w="15" w:type="dxa"/>
                  </w:tcMar>
                  <w:vAlign w:val="center"/>
                </w:tcPr>
                <w:p w14:paraId="57C148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备注</w:t>
                  </w:r>
                </w:p>
              </w:tc>
              <w:tc>
                <w:tcPr>
                  <w:tcW w:w="555" w:type="dxa"/>
                  <w:tcBorders>
                    <w:top w:val="single" w:color="000000" w:sz="6" w:space="0"/>
                    <w:left w:val="nil"/>
                    <w:bottom w:val="single" w:color="000000" w:sz="6" w:space="0"/>
                    <w:right w:val="single" w:color="000000" w:sz="6" w:space="0"/>
                  </w:tcBorders>
                  <w:shd w:val="clear"/>
                  <w:tcMar>
                    <w:top w:w="15" w:type="dxa"/>
                    <w:left w:w="15" w:type="dxa"/>
                    <w:bottom w:w="15" w:type="dxa"/>
                    <w:right w:w="15" w:type="dxa"/>
                  </w:tcMar>
                  <w:vAlign w:val="center"/>
                </w:tcPr>
                <w:p w14:paraId="6ECA75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得分</w:t>
                  </w:r>
                </w:p>
              </w:tc>
            </w:tr>
            <w:tr w14:paraId="6E669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restart"/>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637744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服务质量与规范（40分）</w:t>
                  </w: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5366A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1.维修质量保证：维修后的车辆是否符合国家及行业标准（《机动车维修管理规定》等）。</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0F6ECC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14</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663DCD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质量保证期内出现重复故障（非人为原因），每车次扣2分；使用假冒伪劣配件，经查实该项不得分，并承担相应法律责任。</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00E4C1B4">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0487F2A">
                  <w:pPr>
                    <w:rPr>
                      <w:rFonts w:hint="default" w:ascii="Times New Roman" w:hAnsi="Times New Roman" w:cs="Times New Roman"/>
                      <w:sz w:val="24"/>
                      <w:szCs w:val="24"/>
                    </w:rPr>
                  </w:pPr>
                </w:p>
              </w:tc>
            </w:tr>
            <w:tr w14:paraId="72E0F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245" w:type="dxa"/>
                  <w:vMerge w:val="continue"/>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0E92A8BF">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559A07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2. 维修档案管理：是否按单车建立维修档案（含维修审批单、维修过程图片、更换件图片、结算清单等），并实现电子化管理。</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6E2EA3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10</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0DB04A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档案缺失或不完整，每车次扣1分；未提供维修过程图片，每次扣1分。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5439F6C4">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408FDE8A">
                  <w:pPr>
                    <w:rPr>
                      <w:rFonts w:hint="default" w:ascii="Times New Roman" w:hAnsi="Times New Roman" w:cs="Times New Roman"/>
                      <w:sz w:val="24"/>
                      <w:szCs w:val="24"/>
                    </w:rPr>
                  </w:pPr>
                </w:p>
              </w:tc>
            </w:tr>
            <w:tr w14:paraId="01688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continue"/>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5A8B001B">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009B4F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3. 维修合规性：是否在维修清单中明确区分工时费、材料费及材料综合管理费；换下的旧件是否交由采购人处理（涉安全环保部件除外）。</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4AD9FE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10</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A28C4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费用清单不明细，每次扣2分；未按规定归还旧件，每次扣2分。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1B2D4CA0">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5A8FEBB">
                  <w:pPr>
                    <w:rPr>
                      <w:rFonts w:hint="default" w:ascii="Times New Roman" w:hAnsi="Times New Roman" w:cs="Times New Roman"/>
                      <w:sz w:val="24"/>
                      <w:szCs w:val="24"/>
                    </w:rPr>
                  </w:pPr>
                </w:p>
              </w:tc>
            </w:tr>
            <w:tr w14:paraId="55839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continue"/>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2514C387">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2B930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4. 环保与卫生：车间地面有无油污，危化品是否独立设置，废油废电池是否规范处置；烤漆房是否符合环保标准。</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1AE313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6</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68BA01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环境卫生脏乱差，发现一次扣1分；环保处置不合规，发现一次该项不得分。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D11CF85">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471D28E0">
                  <w:pPr>
                    <w:rPr>
                      <w:rFonts w:hint="default" w:ascii="Times New Roman" w:hAnsi="Times New Roman" w:cs="Times New Roman"/>
                      <w:sz w:val="24"/>
                      <w:szCs w:val="24"/>
                    </w:rPr>
                  </w:pPr>
                </w:p>
              </w:tc>
            </w:tr>
            <w:tr w14:paraId="27759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restart"/>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705689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响应时效与履约（30分）</w:t>
                  </w: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B5FED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5. 应急响应时间：是否设立24小时服务电话；接到报修后是否在要求时间内到达现场（城区30分钟，城外60分钟）。</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62B0B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15</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58D41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电话无人接听或无法联系，每次扣2分；到达现场超时，每次扣3分。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269399E">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0E1C0477">
                  <w:pPr>
                    <w:rPr>
                      <w:rFonts w:hint="default" w:ascii="Times New Roman" w:hAnsi="Times New Roman" w:cs="Times New Roman"/>
                      <w:sz w:val="24"/>
                      <w:szCs w:val="24"/>
                    </w:rPr>
                  </w:pPr>
                </w:p>
              </w:tc>
            </w:tr>
            <w:tr w14:paraId="41BED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continue"/>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6E0EA701">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690F38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6. 维修完成时限：是否在规定时限内完成维修（小修≤2天，大修≤5天，总成修理≤10天）。</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1A465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10</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29D0A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未按时完工且未提前沟通说明，每次扣2分；影响环卫作业正常开展的，该项不得分。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25BA89E">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19788CA8">
                  <w:pPr>
                    <w:rPr>
                      <w:rFonts w:hint="default" w:ascii="Times New Roman" w:hAnsi="Times New Roman" w:cs="Times New Roman"/>
                      <w:sz w:val="24"/>
                      <w:szCs w:val="24"/>
                    </w:rPr>
                  </w:pPr>
                </w:p>
              </w:tc>
            </w:tr>
            <w:tr w14:paraId="72291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continue"/>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4CAB0381">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90808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7. 免费救援服务：乐山市区域内的道路救援是否免费（极端天气等不可抗力除外）。</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E17E8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5</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0B6B2E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违规收取救援费用，经查实每次扣5分。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63F93A19">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BE4DE59">
                  <w:pPr>
                    <w:rPr>
                      <w:rFonts w:hint="default" w:ascii="Times New Roman" w:hAnsi="Times New Roman" w:cs="Times New Roman"/>
                      <w:sz w:val="24"/>
                      <w:szCs w:val="24"/>
                    </w:rPr>
                  </w:pPr>
                </w:p>
              </w:tc>
            </w:tr>
            <w:tr w14:paraId="26F0E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restart"/>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3F4B20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人员与设备配置（20分）</w:t>
                  </w: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1FACEE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8. 人员资质：是否配备不少于2名持有《特种作业操作证（低压电工作业）》的专职维修人员。</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2F1E6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10</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471E6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人员配备不足或证书失效，每人次扣5分；维修人员服务态度恶劣，每次扣2分。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16169C2">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1D84E18B">
                  <w:pPr>
                    <w:rPr>
                      <w:rFonts w:hint="default" w:ascii="Times New Roman" w:hAnsi="Times New Roman" w:cs="Times New Roman"/>
                      <w:sz w:val="24"/>
                      <w:szCs w:val="24"/>
                    </w:rPr>
                  </w:pPr>
                </w:p>
              </w:tc>
            </w:tr>
            <w:tr w14:paraId="208AE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continue"/>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1B82850A">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10D03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9. 设备完好率：主要维修设备、计量器具是否按规定检定合格且状态完好（举升机、诊断仪等）。</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24C5A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10</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62DA40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因设备问题导致维修延误或质量缺陷，每次扣2分。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1FC13671">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3A55E13">
                  <w:pPr>
                    <w:rPr>
                      <w:rFonts w:hint="default" w:ascii="Times New Roman" w:hAnsi="Times New Roman" w:cs="Times New Roman"/>
                      <w:sz w:val="24"/>
                      <w:szCs w:val="24"/>
                    </w:rPr>
                  </w:pPr>
                </w:p>
              </w:tc>
            </w:tr>
            <w:tr w14:paraId="694FB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245" w:type="dxa"/>
                  <w:vMerge w:val="restart"/>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0E7B2F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价格管理（10分）</w:t>
                  </w: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3D83F1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10. 费用结算：结算时是否提供合法发票及完整的维修申报表、通知单、材料进货单等凭证资料。</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5E506F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5</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C40F7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结算凭证不全，每次扣1分；未按时提交结算资料影响支付，每次扣1分。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44501E93">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7A607DB4">
                  <w:pPr>
                    <w:rPr>
                      <w:rFonts w:hint="default" w:ascii="Times New Roman" w:hAnsi="Times New Roman" w:cs="Times New Roman"/>
                      <w:sz w:val="24"/>
                      <w:szCs w:val="24"/>
                    </w:rPr>
                  </w:pPr>
                </w:p>
              </w:tc>
            </w:tr>
            <w:tr w14:paraId="40646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245" w:type="dxa"/>
                  <w:vMerge w:val="continue"/>
                  <w:tcBorders>
                    <w:top w:val="nil"/>
                    <w:left w:val="single" w:color="000000" w:sz="6" w:space="0"/>
                    <w:bottom w:val="nil"/>
                    <w:right w:val="single" w:color="000000" w:sz="6" w:space="0"/>
                  </w:tcBorders>
                  <w:shd w:val="clear"/>
                  <w:tcMar>
                    <w:top w:w="15" w:type="dxa"/>
                    <w:left w:w="15" w:type="dxa"/>
                    <w:bottom w:w="15" w:type="dxa"/>
                    <w:right w:w="15" w:type="dxa"/>
                  </w:tcMar>
                  <w:vAlign w:val="center"/>
                </w:tcPr>
                <w:p w14:paraId="0A89E0D8">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0DD4F7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11. 配件来源：零配件进货渠道是否正规，是否实行追溯制度，是否明码标价。</w:t>
                  </w:r>
                </w:p>
              </w:tc>
              <w:tc>
                <w:tcPr>
                  <w:tcW w:w="660"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67BC45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5</w:t>
                  </w:r>
                </w:p>
              </w:tc>
              <w:tc>
                <w:tcPr>
                  <w:tcW w:w="274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595181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使用"三无"配件，发现一次该项不得分</w:t>
                  </w:r>
                </w:p>
              </w:tc>
              <w:tc>
                <w:tcPr>
                  <w:tcW w:w="58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4926B46B">
                  <w:pPr>
                    <w:rPr>
                      <w:rFonts w:hint="default" w:ascii="Times New Roman" w:hAnsi="Times New Roman" w:cs="Times New Roman"/>
                      <w:sz w:val="24"/>
                      <w:szCs w:val="24"/>
                    </w:rPr>
                  </w:pPr>
                </w:p>
              </w:tc>
              <w:tc>
                <w:tcPr>
                  <w:tcW w:w="555" w:type="dxa"/>
                  <w:tcBorders>
                    <w:top w:val="nil"/>
                    <w:left w:val="nil"/>
                    <w:bottom w:val="single" w:color="000000" w:sz="6" w:space="0"/>
                    <w:right w:val="single" w:color="000000" w:sz="6" w:space="0"/>
                  </w:tcBorders>
                  <w:shd w:val="clear"/>
                  <w:tcMar>
                    <w:top w:w="15" w:type="dxa"/>
                    <w:left w:w="15" w:type="dxa"/>
                    <w:bottom w:w="15" w:type="dxa"/>
                    <w:right w:w="15" w:type="dxa"/>
                  </w:tcMar>
                  <w:vAlign w:val="center"/>
                </w:tcPr>
                <w:p w14:paraId="25D6804B">
                  <w:pPr>
                    <w:rPr>
                      <w:rFonts w:hint="default" w:ascii="Times New Roman" w:hAnsi="Times New Roman" w:cs="Times New Roman"/>
                      <w:sz w:val="24"/>
                      <w:szCs w:val="24"/>
                    </w:rPr>
                  </w:pPr>
                </w:p>
              </w:tc>
            </w:tr>
          </w:tbl>
          <w:p w14:paraId="751F66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5" w:right="0" w:hanging="12"/>
              <w:jc w:val="left"/>
              <w:rPr>
                <w:sz w:val="24"/>
                <w:szCs w:val="24"/>
              </w:rPr>
            </w:pPr>
            <w:r>
              <w:rPr>
                <w:rFonts w:hint="eastAsia" w:ascii="宋体" w:hAnsi="宋体" w:eastAsia="宋体" w:cs="宋体"/>
                <w:sz w:val="24"/>
                <w:szCs w:val="24"/>
                <w:bdr w:val="none" w:color="auto" w:sz="0" w:space="0"/>
              </w:rPr>
              <w:t>5.考核运用</w:t>
            </w:r>
          </w:p>
          <w:p w14:paraId="5C3C55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5" w:right="0" w:hanging="12"/>
              <w:jc w:val="left"/>
              <w:rPr>
                <w:sz w:val="24"/>
                <w:szCs w:val="24"/>
              </w:rPr>
            </w:pPr>
            <w:r>
              <w:rPr>
                <w:rFonts w:hint="eastAsia" w:ascii="宋体" w:hAnsi="宋体" w:eastAsia="宋体" w:cs="宋体"/>
                <w:sz w:val="24"/>
                <w:szCs w:val="24"/>
                <w:bdr w:val="none" w:color="auto" w:sz="0" w:space="0"/>
              </w:rPr>
              <w:t>（1）合格标准：</w:t>
            </w:r>
          </w:p>
          <w:p w14:paraId="0FDF80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5" w:right="0" w:hanging="12"/>
              <w:jc w:val="left"/>
              <w:rPr>
                <w:sz w:val="24"/>
                <w:szCs w:val="24"/>
              </w:rPr>
            </w:pPr>
            <w:r>
              <w:rPr>
                <w:rFonts w:hint="eastAsia" w:ascii="宋体" w:hAnsi="宋体" w:eastAsia="宋体" w:cs="宋体"/>
                <w:sz w:val="24"/>
                <w:szCs w:val="24"/>
                <w:bdr w:val="none" w:color="auto" w:sz="0" w:space="0"/>
              </w:rPr>
              <w:t>①考核得分90分及以上为优秀，全额支付当期服务费，可考虑优先续签或推荐。</w:t>
            </w:r>
          </w:p>
          <w:p w14:paraId="166BBA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5" w:right="0" w:hanging="12"/>
              <w:jc w:val="left"/>
              <w:rPr>
                <w:sz w:val="24"/>
                <w:szCs w:val="24"/>
              </w:rPr>
            </w:pPr>
            <w:r>
              <w:rPr>
                <w:rFonts w:hint="eastAsia" w:ascii="宋体" w:hAnsi="宋体" w:eastAsia="宋体" w:cs="宋体"/>
                <w:sz w:val="24"/>
                <w:szCs w:val="24"/>
                <w:bdr w:val="none" w:color="auto" w:sz="0" w:space="0"/>
              </w:rPr>
              <w:t>②考核得分80-89分为良好，全额支付当期服务费。</w:t>
            </w:r>
          </w:p>
          <w:p w14:paraId="31357D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5" w:right="0" w:hanging="12"/>
              <w:jc w:val="left"/>
              <w:rPr>
                <w:sz w:val="24"/>
                <w:szCs w:val="24"/>
              </w:rPr>
            </w:pPr>
            <w:r>
              <w:rPr>
                <w:rFonts w:hint="eastAsia" w:ascii="宋体" w:hAnsi="宋体" w:eastAsia="宋体" w:cs="宋体"/>
                <w:sz w:val="24"/>
                <w:szCs w:val="24"/>
                <w:bdr w:val="none" w:color="auto" w:sz="0" w:space="0"/>
              </w:rPr>
              <w:t>③考核得分70-79分为合格，支付当期服务费的90%，并发出书面警告，限期整改。</w:t>
            </w:r>
          </w:p>
          <w:p w14:paraId="7C5081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5" w:right="0" w:hanging="12"/>
              <w:jc w:val="left"/>
              <w:rPr>
                <w:sz w:val="24"/>
                <w:szCs w:val="24"/>
              </w:rPr>
            </w:pPr>
            <w:r>
              <w:rPr>
                <w:rFonts w:hint="eastAsia" w:ascii="宋体" w:hAnsi="宋体" w:eastAsia="宋体" w:cs="宋体"/>
                <w:sz w:val="24"/>
                <w:szCs w:val="24"/>
                <w:bdr w:val="none" w:color="auto" w:sz="0" w:space="0"/>
              </w:rPr>
              <w:t>④考核得分＜70分为不合格，支付当期服务费的70%，采购人约谈供应商并限30日内整改；连续两次考核不合格（两次均＜70分），采购人有权单方解除合同，并延迟3个月支付合同款项。</w:t>
            </w:r>
          </w:p>
          <w:p w14:paraId="377BA8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5" w:right="0" w:hanging="12"/>
              <w:jc w:val="left"/>
              <w:rPr>
                <w:sz w:val="24"/>
                <w:szCs w:val="24"/>
              </w:rPr>
            </w:pPr>
            <w:r>
              <w:rPr>
                <w:rFonts w:hint="eastAsia" w:ascii="宋体" w:hAnsi="宋体" w:eastAsia="宋体" w:cs="宋体"/>
                <w:sz w:val="24"/>
                <w:szCs w:val="24"/>
                <w:bdr w:val="none" w:color="auto" w:sz="0" w:space="0"/>
              </w:rPr>
              <w:t>（2）特殊情况处理：若发生重大安全事故（导致人员伤亡或直接经济损失超过10万元）、使用假冒伪劣配件（经法定机构鉴定）或存在严重骗取采购资金行为的，实行“一票否决”，直接评定为不合格，并终止合同。</w:t>
            </w:r>
          </w:p>
        </w:tc>
      </w:tr>
    </w:tbl>
    <w:p w14:paraId="46E8F8A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5FEA13C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634C2E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1"/>
        <w:gridCol w:w="799"/>
        <w:gridCol w:w="1616"/>
        <w:gridCol w:w="5480"/>
      </w:tblGrid>
      <w:tr w14:paraId="68AA58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636D9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256D9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638E2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9A452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2A282F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68D7A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无</w:t>
            </w:r>
          </w:p>
        </w:tc>
      </w:tr>
    </w:tbl>
    <w:p w14:paraId="640EA0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7F5117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54"/>
        <w:gridCol w:w="855"/>
        <w:gridCol w:w="2137"/>
        <w:gridCol w:w="4700"/>
      </w:tblGrid>
      <w:tr w14:paraId="62A7BE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2996D8">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78B2FC">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12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684D78">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27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BA04E5">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2F8887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0F5C2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41827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66E6F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服务期限</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090B4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本项目服务期限为自合同签订之日起2年，合同一年一签。</w:t>
            </w:r>
          </w:p>
        </w:tc>
      </w:tr>
      <w:tr w14:paraId="61D395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0CA7C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E69BE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A403A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3AF5A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供应商维修服务点</w:t>
            </w:r>
          </w:p>
        </w:tc>
      </w:tr>
      <w:tr w14:paraId="695109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E376F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B8496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DCE9C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FB70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按照《财政部关于进一步加强政府采购需求和履约验收管理的指导意见》（财库〔2016〕205号）、采购文件要求、投标文件响应情况进行验收；</w:t>
            </w:r>
          </w:p>
        </w:tc>
      </w:tr>
      <w:tr w14:paraId="3D5089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2EDDC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A182E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F86D8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26AB8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6F646C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1C8CB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4B28A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DAFE8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ED3C9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 ${payTypeName}付款条件：结算时成交供应商向采购人出具合法有效的发票及车辆维修申报表、车辆维修通知单、车辆维修清单、材料进货单等相关凭证资料。达到该付款条件起30个工作日内，据实情况为按季度据实支付。结算时成交供应商向采购人出具合法有效的发票及车辆维修申报表、车辆维修通知单、车辆维修清单、材料进货单等相关凭证资料，采购人在收到上诉资料后30个工作日进行支付结算</w:t>
            </w:r>
          </w:p>
        </w:tc>
      </w:tr>
      <w:tr w14:paraId="08A43CE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F8FCB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7D839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A54EE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B9015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违约责任：①甲乙双方必须遵守本合同并执行合同中的各项规定，保证本合同的正常履行。②如因乙方工作人员在履行职务过程中的疏忽、失职、过错等故意或者过失原因给甲方造成损失或侵害，包括但不限于甲方本身的财产损失、由此而导致的甲方对任何第三方的法律责任等，乙方对此均应承担全部的赔偿责任。③因乙方违约行为给甲方造成损失的，违约金不足以弥补甲方损失的，甲方有权向乙方主张全部损失，包含但不限于：鉴定费、公证费、律师费、诉讼费、保全费、保全担保费等实现债权的全 部费用。 （2）解决争议的方法：合同履行期间，若双方发生争议，可协商或由有关部门调解解决，协商或调解不成的，由当事人依法向甲方所在地人民法院起诉。</w:t>
            </w:r>
          </w:p>
        </w:tc>
      </w:tr>
    </w:tbl>
    <w:p w14:paraId="4B3558D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458805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3E1D85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供应商对此约定要求可不作文字响应，但供应商参与本项目投标则视同供应商对以下要求已完全知晓、理解并同意接受或按相关规定提供相应证明材料：1.本文件引用技术规范或标准有误或截止投标已废止的，供应商在响应时可自行修正并作出说明，也可按文件引用技术规范或标准进行响应待合同签订时予以修正。截止合同签订时才废止的，也按现行有效、更新的技术规范或标准执行。供应商不得以此为由拒绝签订或履行合同。 2、本项目为综合评分法： （1）技术、服务要求中未提出的其他要求在评分细则中列出，供应商应对应评分细则予以提供和响应，评委/评审小组将根据评分细则给予评分。 （2）供应商在资格要求中承诺了具有履行合同所必需的设备和专业技术能力以及响应了项目技术、服务要求的相关要求，只是证明供应商满足了“必需、基本”的配置要求，本项目鼓励供应商优于此要求配置，详见评分细则。3.供应商应对所提供材料、承诺或声明的真实性、合法性及有效性负责。除本项目采购文件已明确要求在投标/响应文件中提供证明材料外，在合同签订前，采购人将重点对中标/成交供应商提供的包括但不限于检验（测）报告、资质证书、强制节能产品认证证书、强制性产品认证证书（3C认证）、产品备案或生产许可材料等采取原件核查或法定第三方平台查询或发函核实等方式进行真实性、合法性及有效性核查。经核查发现不能提供或未查询到或应作无效的，将报同级财政部门处理，供应商自行承担不利后果和相关责任。</w:t>
      </w:r>
    </w:p>
    <w:p w14:paraId="739B9D7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FA3C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2026-08-06T01:44:17Z</dcterms:created>
  <dc:creator>Administrator</dc:creator>
  <cp:lastModifiedBy>陈璇</cp:lastModifiedBy>
  <dcterms:modified xsi:type="dcterms:W3CDTF">2026-08-06T01:44:22Z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eyJoZGlkIjoiYzkzNjNkNjkyMzNmODA5ZDEyODRkMTYzNjFmMzRjNmYiLCJ1c2VySWQiOiIxNzc3ODg2MjA3In0=</vt:lpwstr>
  </property>
  <property fmtid="{D5CDD505-2E9C-101B-9397-08002B2CF9AE}" pid="4" name="ICV">
    <vt:lpwstr>D356D9BF35994389A377496E492128C4_12</vt:lpwstr>
  </property>
</Properties>
</file>