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469C2">
      <w:pPr>
        <w:ind w:left="0" w:leftChars="0" w:right="0" w:rightChars="0" w:firstLine="0" w:firstLineChars="0"/>
        <w:jc w:val="center"/>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drawing>
          <wp:inline distT="0" distB="0" distL="114300" distR="114300">
            <wp:extent cx="5913755" cy="8849995"/>
            <wp:effectExtent l="0" t="0" r="0" b="0"/>
            <wp:docPr id="2" name="图片 2" descr="20250317180929867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50317180929867_00"/>
                    <pic:cNvPicPr>
                      <a:picLocks noChangeAspect="1"/>
                    </pic:cNvPicPr>
                  </pic:nvPicPr>
                  <pic:blipFill>
                    <a:blip r:embed="rId12">
                      <a:lum bright="6000"/>
                    </a:blip>
                    <a:srcRect l="9943" t="5303" r="7907" b="7772"/>
                    <a:stretch>
                      <a:fillRect/>
                    </a:stretch>
                  </pic:blipFill>
                  <pic:spPr>
                    <a:xfrm>
                      <a:off x="0" y="0"/>
                      <a:ext cx="5913755" cy="8849995"/>
                    </a:xfrm>
                    <a:prstGeom prst="rect">
                      <a:avLst/>
                    </a:prstGeom>
                  </pic:spPr>
                </pic:pic>
              </a:graphicData>
            </a:graphic>
          </wp:inline>
        </w:drawing>
      </w:r>
    </w:p>
    <w:p w14:paraId="1402BB77">
      <w:pPr>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drawing>
          <wp:inline distT="0" distB="0" distL="114300" distR="114300">
            <wp:extent cx="6012180" cy="8138795"/>
            <wp:effectExtent l="0" t="0" r="7620" b="14605"/>
            <wp:docPr id="8" name="图片 8" descr="2025031718092986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0250317180929867_01"/>
                    <pic:cNvPicPr>
                      <a:picLocks noChangeAspect="1"/>
                    </pic:cNvPicPr>
                  </pic:nvPicPr>
                  <pic:blipFill>
                    <a:blip r:embed="rId13">
                      <a:lum bright="6000"/>
                    </a:blip>
                    <a:srcRect l="6198" t="8665" r="5752" b="7055"/>
                    <a:stretch>
                      <a:fillRect/>
                    </a:stretch>
                  </pic:blipFill>
                  <pic:spPr>
                    <a:xfrm>
                      <a:off x="0" y="0"/>
                      <a:ext cx="6012180" cy="8138795"/>
                    </a:xfrm>
                    <a:prstGeom prst="rect">
                      <a:avLst/>
                    </a:prstGeom>
                  </pic:spPr>
                </pic:pic>
              </a:graphicData>
            </a:graphic>
          </wp:inline>
        </w:drawing>
      </w:r>
      <w:r>
        <w:rPr>
          <w:rFonts w:hint="eastAsia" w:ascii="宋体" w:hAnsi="宋体" w:eastAsia="宋体" w:cs="宋体"/>
          <w:kern w:val="2"/>
          <w:sz w:val="21"/>
          <w:szCs w:val="24"/>
          <w:lang w:val="en-US" w:eastAsia="zh-CN" w:bidi="ar-SA"/>
        </w:rPr>
        <w:drawing>
          <wp:inline distT="0" distB="0" distL="114300" distR="114300">
            <wp:extent cx="5989955" cy="8126730"/>
            <wp:effectExtent l="0" t="0" r="14605" b="11430"/>
            <wp:docPr id="10" name="图片 10" descr="20250317180929867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0250317180929867_02"/>
                    <pic:cNvPicPr>
                      <a:picLocks noChangeAspect="1"/>
                    </pic:cNvPicPr>
                  </pic:nvPicPr>
                  <pic:blipFill>
                    <a:blip r:embed="rId14">
                      <a:lum bright="6000"/>
                    </a:blip>
                    <a:srcRect l="5893" t="8450" r="5839" b="6878"/>
                    <a:stretch>
                      <a:fillRect/>
                    </a:stretch>
                  </pic:blipFill>
                  <pic:spPr>
                    <a:xfrm>
                      <a:off x="0" y="0"/>
                      <a:ext cx="5989955" cy="8126730"/>
                    </a:xfrm>
                    <a:prstGeom prst="rect">
                      <a:avLst/>
                    </a:prstGeom>
                  </pic:spPr>
                </pic:pic>
              </a:graphicData>
            </a:graphic>
          </wp:inline>
        </w:drawing>
      </w:r>
    </w:p>
    <w:p w14:paraId="73FE3162">
      <w:pPr>
        <w:rPr>
          <w:rFonts w:hint="eastAsia" w:ascii="宋体" w:hAnsi="宋体" w:eastAsia="宋体" w:cs="宋体"/>
          <w:kern w:val="2"/>
          <w:sz w:val="21"/>
          <w:szCs w:val="24"/>
          <w:lang w:val="en-US" w:eastAsia="zh-CN" w:bidi="ar-SA"/>
        </w:rPr>
      </w:pPr>
    </w:p>
    <w:p w14:paraId="6F3D5AFF">
      <w:pPr>
        <w:rPr>
          <w:rFonts w:hint="eastAsia" w:ascii="宋体" w:hAnsi="宋体" w:eastAsia="宋体" w:cs="宋体"/>
          <w:kern w:val="2"/>
          <w:sz w:val="21"/>
          <w:szCs w:val="24"/>
          <w:lang w:val="en-US" w:eastAsia="zh-CN" w:bidi="ar-SA"/>
        </w:rPr>
      </w:pPr>
    </w:p>
    <w:sdt>
      <w:sdtPr>
        <w:rPr>
          <w:rFonts w:ascii="宋体" w:hAnsi="宋体" w:eastAsia="宋体" w:cs="Times New Roman"/>
          <w:kern w:val="2"/>
          <w:sz w:val="21"/>
          <w:szCs w:val="24"/>
          <w:lang w:val="en-US" w:eastAsia="zh-CN" w:bidi="ar-SA"/>
        </w:rPr>
        <w:id w:val="147455209"/>
        <w15:color w:val="DBDBDB"/>
        <w:docPartObj>
          <w:docPartGallery w:val="Table of Contents"/>
          <w:docPartUnique/>
        </w:docPartObj>
      </w:sdtPr>
      <w:sdtEndPr>
        <w:rPr>
          <w:rFonts w:ascii="宋体" w:hAnsi="宋体" w:eastAsia="宋体" w:cs="Times New Roman"/>
          <w:b/>
          <w:kern w:val="2"/>
          <w:sz w:val="21"/>
          <w:szCs w:val="24"/>
          <w:lang w:val="en-US" w:eastAsia="zh-CN" w:bidi="ar-SA"/>
        </w:rPr>
      </w:sdtEndPr>
      <w:sdtContent>
        <w:p w14:paraId="59C8E8B5">
          <w:pPr>
            <w:spacing w:before="0" w:beforeLines="0" w:after="0" w:afterLines="0" w:line="240" w:lineRule="auto"/>
            <w:ind w:left="0" w:leftChars="0" w:right="0" w:rightChars="0" w:firstLine="0" w:firstLineChars="0"/>
            <w:jc w:val="center"/>
            <w:rPr>
              <w:b/>
              <w:bCs/>
            </w:rPr>
          </w:pPr>
          <w:bookmarkStart w:id="0" w:name="_Toc1527"/>
          <w:bookmarkStart w:id="1" w:name="_Toc15509"/>
          <w:bookmarkStart w:id="2" w:name="_Toc31054"/>
          <w:bookmarkStart w:id="3" w:name="_Toc10751"/>
          <w:bookmarkStart w:id="4" w:name="_Toc23411"/>
          <w:r>
            <w:rPr>
              <w:rFonts w:ascii="宋体" w:hAnsi="宋体" w:eastAsia="宋体"/>
              <w:b/>
              <w:bCs/>
              <w:sz w:val="21"/>
            </w:rPr>
            <w:t>目录</w:t>
          </w:r>
        </w:p>
        <w:p w14:paraId="37F71B18">
          <w:pPr>
            <w:pStyle w:val="48"/>
            <w:tabs>
              <w:tab w:val="right" w:leader="dot" w:pos="9184"/>
            </w:tabs>
            <w:rPr>
              <w:b/>
            </w:rPr>
          </w:pPr>
          <w:r>
            <w:fldChar w:fldCharType="begin"/>
          </w:r>
          <w:r>
            <w:instrText xml:space="preserve">TOC \o "1-2" \h \u </w:instrText>
          </w:r>
          <w:r>
            <w:fldChar w:fldCharType="separate"/>
          </w:r>
        </w:p>
        <w:p w14:paraId="1A65FC47">
          <w:pPr>
            <w:pStyle w:val="48"/>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rPr>
              <w:b/>
            </w:rPr>
            <w:fldChar w:fldCharType="begin"/>
          </w:r>
          <w:r>
            <w:rPr>
              <w:b/>
            </w:rPr>
            <w:instrText xml:space="preserve"> HYPERLINK \l _Toc3799 </w:instrText>
          </w:r>
          <w:r>
            <w:rPr>
              <w:b/>
            </w:rPr>
            <w:fldChar w:fldCharType="separate"/>
          </w:r>
          <w:r>
            <w:rPr>
              <w:rFonts w:hint="eastAsia" w:ascii="宋体" w:hAnsi="宋体" w:eastAsia="宋体" w:cs="宋体"/>
              <w:b/>
              <w:bCs w:val="0"/>
              <w:kern w:val="44"/>
              <w:szCs w:val="30"/>
              <w:highlight w:val="none"/>
            </w:rPr>
            <w:t xml:space="preserve">第一章  </w:t>
          </w:r>
          <w:r>
            <w:rPr>
              <w:rFonts w:hint="eastAsia" w:ascii="宋体" w:hAnsi="宋体" w:eastAsia="宋体" w:cs="宋体"/>
              <w:b/>
              <w:bCs w:val="0"/>
              <w:kern w:val="44"/>
              <w:szCs w:val="30"/>
              <w:highlight w:val="none"/>
              <w:lang w:eastAsia="zh-CN"/>
            </w:rPr>
            <w:t>竞争性磋商公告</w:t>
          </w:r>
          <w:r>
            <w:rPr>
              <w:b/>
            </w:rPr>
            <w:tab/>
          </w:r>
          <w:r>
            <w:rPr>
              <w:b/>
            </w:rPr>
            <w:fldChar w:fldCharType="begin"/>
          </w:r>
          <w:r>
            <w:rPr>
              <w:b/>
            </w:rPr>
            <w:instrText xml:space="preserve"> PAGEREF _Toc3799 \h </w:instrText>
          </w:r>
          <w:r>
            <w:rPr>
              <w:b/>
            </w:rPr>
            <w:fldChar w:fldCharType="separate"/>
          </w:r>
          <w:r>
            <w:rPr>
              <w:b/>
            </w:rPr>
            <w:t>1</w:t>
          </w:r>
          <w:r>
            <w:rPr>
              <w:b/>
            </w:rPr>
            <w:fldChar w:fldCharType="end"/>
          </w:r>
          <w:r>
            <w:rPr>
              <w:b/>
            </w:rPr>
            <w:fldChar w:fldCharType="end"/>
          </w:r>
        </w:p>
        <w:p w14:paraId="0C91BC1E">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_Toc26103 </w:instrText>
          </w:r>
          <w:r>
            <w:fldChar w:fldCharType="separate"/>
          </w:r>
          <w:r>
            <w:rPr>
              <w:rFonts w:hint="eastAsia" w:ascii="宋体" w:hAnsi="宋体" w:eastAsia="宋体" w:cs="宋体"/>
              <w:highlight w:val="none"/>
            </w:rPr>
            <w:t>一、项目基本情况</w:t>
          </w:r>
          <w:r>
            <w:tab/>
          </w:r>
          <w:r>
            <w:fldChar w:fldCharType="begin"/>
          </w:r>
          <w:r>
            <w:instrText xml:space="preserve"> PAGEREF _Toc26103 \h </w:instrText>
          </w:r>
          <w:r>
            <w:fldChar w:fldCharType="separate"/>
          </w:r>
          <w:r>
            <w:t>1</w:t>
          </w:r>
          <w:r>
            <w:fldChar w:fldCharType="end"/>
          </w:r>
          <w:r>
            <w:fldChar w:fldCharType="end"/>
          </w:r>
        </w:p>
        <w:p w14:paraId="6AA350A0">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_Toc28687 </w:instrText>
          </w:r>
          <w:r>
            <w:fldChar w:fldCharType="separate"/>
          </w:r>
          <w:r>
            <w:rPr>
              <w:rFonts w:hint="eastAsia" w:ascii="宋体" w:hAnsi="宋体" w:eastAsia="宋体" w:cs="宋体"/>
              <w:highlight w:val="none"/>
            </w:rPr>
            <w:t>二、</w:t>
          </w:r>
          <w:r>
            <w:rPr>
              <w:rFonts w:hint="eastAsia" w:ascii="宋体" w:hAnsi="宋体" w:eastAsia="宋体" w:cs="宋体"/>
              <w:highlight w:val="none"/>
              <w:lang w:eastAsia="zh-CN"/>
            </w:rPr>
            <w:t>供应商</w:t>
          </w:r>
          <w:r>
            <w:rPr>
              <w:rFonts w:hint="eastAsia" w:ascii="宋体" w:hAnsi="宋体" w:eastAsia="宋体" w:cs="宋体"/>
              <w:highlight w:val="none"/>
            </w:rPr>
            <w:t>资格要求</w:t>
          </w:r>
          <w:r>
            <w:tab/>
          </w:r>
          <w:r>
            <w:fldChar w:fldCharType="begin"/>
          </w:r>
          <w:r>
            <w:instrText xml:space="preserve"> PAGEREF _Toc28687 \h </w:instrText>
          </w:r>
          <w:r>
            <w:fldChar w:fldCharType="separate"/>
          </w:r>
          <w:r>
            <w:t>1</w:t>
          </w:r>
          <w:r>
            <w:fldChar w:fldCharType="end"/>
          </w:r>
          <w:r>
            <w:fldChar w:fldCharType="end"/>
          </w:r>
        </w:p>
        <w:p w14:paraId="023F7135">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_Toc11123 </w:instrText>
          </w:r>
          <w:r>
            <w:fldChar w:fldCharType="separate"/>
          </w:r>
          <w:r>
            <w:rPr>
              <w:rFonts w:hint="eastAsia" w:ascii="宋体" w:hAnsi="宋体" w:eastAsia="宋体" w:cs="宋体"/>
              <w:bCs/>
              <w:highlight w:val="none"/>
            </w:rPr>
            <w:t>三、获取</w:t>
          </w:r>
          <w:r>
            <w:rPr>
              <w:rFonts w:hint="eastAsia" w:ascii="宋体" w:hAnsi="宋体" w:eastAsia="宋体" w:cs="宋体"/>
              <w:bCs/>
              <w:highlight w:val="none"/>
              <w:lang w:eastAsia="zh-CN"/>
            </w:rPr>
            <w:t>竞争性磋商</w:t>
          </w:r>
          <w:r>
            <w:rPr>
              <w:rFonts w:hint="eastAsia" w:ascii="宋体" w:hAnsi="宋体" w:eastAsia="宋体" w:cs="宋体"/>
              <w:bCs/>
              <w:highlight w:val="none"/>
            </w:rPr>
            <w:t>文件</w:t>
          </w:r>
          <w:r>
            <w:tab/>
          </w:r>
          <w:r>
            <w:fldChar w:fldCharType="begin"/>
          </w:r>
          <w:r>
            <w:instrText xml:space="preserve"> PAGEREF _Toc11123 \h </w:instrText>
          </w:r>
          <w:r>
            <w:fldChar w:fldCharType="separate"/>
          </w:r>
          <w:r>
            <w:t>3</w:t>
          </w:r>
          <w:r>
            <w:fldChar w:fldCharType="end"/>
          </w:r>
          <w:r>
            <w:fldChar w:fldCharType="end"/>
          </w:r>
        </w:p>
        <w:p w14:paraId="25F56AAC">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_Toc3247 </w:instrText>
          </w:r>
          <w:r>
            <w:fldChar w:fldCharType="separate"/>
          </w:r>
          <w:r>
            <w:rPr>
              <w:rFonts w:hint="eastAsia" w:ascii="宋体" w:hAnsi="宋体" w:eastAsia="宋体" w:cs="宋体"/>
              <w:bCs/>
              <w:highlight w:val="none"/>
              <w:lang w:eastAsia="zh-CN"/>
            </w:rPr>
            <w:t>四、响应文件</w:t>
          </w:r>
          <w:r>
            <w:rPr>
              <w:rFonts w:hint="eastAsia" w:ascii="宋体" w:hAnsi="宋体" w:eastAsia="宋体" w:cs="宋体"/>
              <w:bCs/>
              <w:highlight w:val="none"/>
              <w:lang w:val="en-US" w:eastAsia="zh-CN"/>
            </w:rPr>
            <w:t>提交</w:t>
          </w:r>
          <w:r>
            <w:tab/>
          </w:r>
          <w:r>
            <w:fldChar w:fldCharType="begin"/>
          </w:r>
          <w:r>
            <w:instrText xml:space="preserve"> PAGEREF _Toc3247 \h </w:instrText>
          </w:r>
          <w:r>
            <w:fldChar w:fldCharType="separate"/>
          </w:r>
          <w:r>
            <w:t>4</w:t>
          </w:r>
          <w:r>
            <w:fldChar w:fldCharType="end"/>
          </w:r>
          <w:r>
            <w:fldChar w:fldCharType="end"/>
          </w:r>
        </w:p>
        <w:p w14:paraId="7EEDAA82">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_Toc3443 </w:instrText>
          </w:r>
          <w:r>
            <w:fldChar w:fldCharType="separate"/>
          </w:r>
          <w:r>
            <w:rPr>
              <w:rFonts w:hint="eastAsia" w:ascii="宋体" w:hAnsi="宋体" w:eastAsia="宋体" w:cs="宋体"/>
              <w:bCs/>
              <w:highlight w:val="none"/>
              <w:lang w:eastAsia="zh-CN"/>
            </w:rPr>
            <w:t>五</w:t>
          </w:r>
          <w:r>
            <w:rPr>
              <w:rFonts w:hint="eastAsia" w:ascii="宋体" w:hAnsi="宋体" w:eastAsia="宋体" w:cs="宋体"/>
              <w:bCs/>
              <w:highlight w:val="none"/>
            </w:rPr>
            <w:t>、</w:t>
          </w:r>
          <w:r>
            <w:rPr>
              <w:rFonts w:hint="eastAsia" w:ascii="宋体" w:hAnsi="宋体" w:eastAsia="宋体" w:cs="宋体"/>
              <w:bCs/>
              <w:highlight w:val="none"/>
              <w:lang w:val="en-US" w:eastAsia="zh-CN"/>
            </w:rPr>
            <w:t>开启</w:t>
          </w:r>
          <w:r>
            <w:tab/>
          </w:r>
          <w:r>
            <w:fldChar w:fldCharType="begin"/>
          </w:r>
          <w:r>
            <w:instrText xml:space="preserve"> PAGEREF _Toc3443 \h </w:instrText>
          </w:r>
          <w:r>
            <w:fldChar w:fldCharType="separate"/>
          </w:r>
          <w:r>
            <w:t>5</w:t>
          </w:r>
          <w:r>
            <w:fldChar w:fldCharType="end"/>
          </w:r>
          <w:r>
            <w:fldChar w:fldCharType="end"/>
          </w:r>
        </w:p>
        <w:p w14:paraId="12EBF47F">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_Toc16813 </w:instrText>
          </w:r>
          <w:r>
            <w:fldChar w:fldCharType="separate"/>
          </w:r>
          <w:r>
            <w:rPr>
              <w:rFonts w:hint="eastAsia" w:ascii="宋体" w:hAnsi="宋体" w:eastAsia="宋体" w:cs="宋体"/>
              <w:bCs/>
              <w:highlight w:val="none"/>
              <w:lang w:val="en-US" w:eastAsia="zh-CN"/>
            </w:rPr>
            <w:t>六、</w:t>
          </w:r>
          <w:r>
            <w:rPr>
              <w:rFonts w:hint="eastAsia" w:ascii="宋体" w:hAnsi="宋体" w:eastAsia="宋体" w:cs="宋体"/>
              <w:bCs/>
              <w:highlight w:val="none"/>
              <w:lang w:eastAsia="zh-CN"/>
            </w:rPr>
            <w:t>公告期限</w:t>
          </w:r>
          <w:r>
            <w:tab/>
          </w:r>
          <w:r>
            <w:fldChar w:fldCharType="begin"/>
          </w:r>
          <w:r>
            <w:instrText xml:space="preserve"> PAGEREF _Toc16813 \h </w:instrText>
          </w:r>
          <w:r>
            <w:fldChar w:fldCharType="separate"/>
          </w:r>
          <w:r>
            <w:t>5</w:t>
          </w:r>
          <w:r>
            <w:fldChar w:fldCharType="end"/>
          </w:r>
          <w:r>
            <w:fldChar w:fldCharType="end"/>
          </w:r>
        </w:p>
        <w:p w14:paraId="14517DCD">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_Toc21914 </w:instrText>
          </w:r>
          <w:r>
            <w:fldChar w:fldCharType="separate"/>
          </w:r>
          <w:r>
            <w:rPr>
              <w:rFonts w:hint="eastAsia" w:ascii="宋体" w:hAnsi="宋体" w:eastAsia="宋体" w:cs="宋体"/>
              <w:bCs/>
              <w:highlight w:val="none"/>
              <w:lang w:val="en-US" w:eastAsia="zh-CN"/>
            </w:rPr>
            <w:t>七、其他补充事宜</w:t>
          </w:r>
          <w:r>
            <w:tab/>
          </w:r>
          <w:r>
            <w:fldChar w:fldCharType="begin"/>
          </w:r>
          <w:r>
            <w:instrText xml:space="preserve"> PAGEREF _Toc21914 \h </w:instrText>
          </w:r>
          <w:r>
            <w:fldChar w:fldCharType="separate"/>
          </w:r>
          <w:r>
            <w:t>5</w:t>
          </w:r>
          <w:r>
            <w:fldChar w:fldCharType="end"/>
          </w:r>
          <w:r>
            <w:fldChar w:fldCharType="end"/>
          </w:r>
          <w:bookmarkStart w:id="942" w:name="_GoBack"/>
          <w:bookmarkEnd w:id="942"/>
        </w:p>
        <w:p w14:paraId="346605A3">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_Toc19317 </w:instrText>
          </w:r>
          <w:r>
            <w:fldChar w:fldCharType="separate"/>
          </w:r>
          <w:r>
            <w:rPr>
              <w:rFonts w:hint="eastAsia" w:ascii="宋体" w:hAnsi="宋体" w:eastAsia="宋体" w:cs="宋体"/>
              <w:bCs/>
              <w:szCs w:val="24"/>
              <w:highlight w:val="none"/>
              <w:lang w:val="en-US" w:eastAsia="zh-CN"/>
            </w:rPr>
            <w:t>八</w:t>
          </w:r>
          <w:r>
            <w:rPr>
              <w:rFonts w:hint="eastAsia" w:ascii="宋体" w:hAnsi="宋体" w:eastAsia="宋体" w:cs="宋体"/>
              <w:bCs/>
              <w:szCs w:val="24"/>
              <w:highlight w:val="none"/>
              <w:lang w:eastAsia="zh-CN"/>
            </w:rPr>
            <w:t>、凡对本次采购提出询问，请按以下方式联系</w:t>
          </w:r>
          <w:r>
            <w:tab/>
          </w:r>
          <w:r>
            <w:fldChar w:fldCharType="begin"/>
          </w:r>
          <w:r>
            <w:instrText xml:space="preserve"> PAGEREF _Toc19317 \h </w:instrText>
          </w:r>
          <w:r>
            <w:fldChar w:fldCharType="separate"/>
          </w:r>
          <w:r>
            <w:t>6</w:t>
          </w:r>
          <w:r>
            <w:fldChar w:fldCharType="end"/>
          </w:r>
          <w:r>
            <w:fldChar w:fldCharType="end"/>
          </w:r>
        </w:p>
        <w:p w14:paraId="2DA1D62F">
          <w:pPr>
            <w:pStyle w:val="48"/>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rPr>
              <w:b/>
            </w:rPr>
          </w:pPr>
          <w:r>
            <w:rPr>
              <w:b/>
            </w:rPr>
            <w:fldChar w:fldCharType="begin"/>
          </w:r>
          <w:r>
            <w:rPr>
              <w:b/>
            </w:rPr>
            <w:instrText xml:space="preserve"> HYPERLINK \l _Toc19118 </w:instrText>
          </w:r>
          <w:r>
            <w:rPr>
              <w:b/>
            </w:rPr>
            <w:fldChar w:fldCharType="separate"/>
          </w:r>
          <w:r>
            <w:rPr>
              <w:rFonts w:hint="eastAsia" w:ascii="宋体" w:hAnsi="宋体" w:eastAsia="宋体" w:cs="宋体"/>
              <w:b/>
              <w:szCs w:val="30"/>
              <w:highlight w:val="none"/>
            </w:rPr>
            <w:t xml:space="preserve">第二章  </w:t>
          </w:r>
          <w:r>
            <w:rPr>
              <w:rFonts w:hint="eastAsia" w:ascii="宋体" w:hAnsi="宋体" w:eastAsia="宋体" w:cs="宋体"/>
              <w:b/>
              <w:szCs w:val="30"/>
              <w:highlight w:val="none"/>
              <w:lang w:val="en-US" w:eastAsia="zh-CN"/>
            </w:rPr>
            <w:t>供应商</w:t>
          </w:r>
          <w:r>
            <w:rPr>
              <w:rFonts w:hint="eastAsia" w:ascii="宋体" w:hAnsi="宋体" w:eastAsia="宋体" w:cs="宋体"/>
              <w:b/>
              <w:szCs w:val="30"/>
              <w:highlight w:val="none"/>
            </w:rPr>
            <w:t>须知</w:t>
          </w:r>
          <w:r>
            <w:rPr>
              <w:b/>
            </w:rPr>
            <w:tab/>
          </w:r>
          <w:r>
            <w:rPr>
              <w:b/>
            </w:rPr>
            <w:fldChar w:fldCharType="begin"/>
          </w:r>
          <w:r>
            <w:rPr>
              <w:b/>
            </w:rPr>
            <w:instrText xml:space="preserve"> PAGEREF _Toc19118 \h </w:instrText>
          </w:r>
          <w:r>
            <w:rPr>
              <w:b/>
            </w:rPr>
            <w:fldChar w:fldCharType="separate"/>
          </w:r>
          <w:r>
            <w:rPr>
              <w:b/>
            </w:rPr>
            <w:t>7</w:t>
          </w:r>
          <w:r>
            <w:rPr>
              <w:b/>
            </w:rPr>
            <w:fldChar w:fldCharType="end"/>
          </w:r>
          <w:r>
            <w:rPr>
              <w:b/>
            </w:rPr>
            <w:fldChar w:fldCharType="end"/>
          </w:r>
        </w:p>
        <w:p w14:paraId="560EAA5A">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_Toc14952 </w:instrText>
          </w:r>
          <w:r>
            <w:fldChar w:fldCharType="separate"/>
          </w:r>
          <w:r>
            <w:rPr>
              <w:rFonts w:hint="eastAsia" w:ascii="宋体" w:hAnsi="宋体" w:eastAsia="宋体" w:cs="宋体"/>
              <w:szCs w:val="28"/>
              <w:highlight w:val="none"/>
              <w:lang w:val="en-US" w:eastAsia="zh-CN"/>
            </w:rPr>
            <w:t>供应商</w:t>
          </w:r>
          <w:r>
            <w:rPr>
              <w:rFonts w:hint="eastAsia" w:ascii="宋体" w:hAnsi="宋体" w:eastAsia="宋体" w:cs="宋体"/>
              <w:szCs w:val="28"/>
              <w:highlight w:val="none"/>
            </w:rPr>
            <w:t>须知前附表</w:t>
          </w:r>
          <w:r>
            <w:tab/>
          </w:r>
          <w:r>
            <w:fldChar w:fldCharType="begin"/>
          </w:r>
          <w:r>
            <w:instrText xml:space="preserve"> PAGEREF _Toc14952 \h </w:instrText>
          </w:r>
          <w:r>
            <w:fldChar w:fldCharType="separate"/>
          </w:r>
          <w:r>
            <w:t>7</w:t>
          </w:r>
          <w:r>
            <w:fldChar w:fldCharType="end"/>
          </w:r>
          <w:r>
            <w:fldChar w:fldCharType="end"/>
          </w:r>
        </w:p>
        <w:p w14:paraId="32CB4E9D">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_Toc13775 </w:instrText>
          </w:r>
          <w:r>
            <w:fldChar w:fldCharType="separate"/>
          </w:r>
          <w:r>
            <w:rPr>
              <w:rFonts w:hint="eastAsia" w:ascii="宋体" w:hAnsi="宋体" w:eastAsia="宋体" w:cs="宋体"/>
              <w:szCs w:val="28"/>
              <w:highlight w:val="none"/>
              <w:lang w:val="zh-CN"/>
            </w:rPr>
            <w:t>一、总</w:t>
          </w:r>
          <w:r>
            <w:rPr>
              <w:rFonts w:hint="eastAsia" w:ascii="宋体" w:hAnsi="宋体" w:eastAsia="宋体" w:cs="宋体"/>
              <w:szCs w:val="28"/>
              <w:highlight w:val="none"/>
            </w:rPr>
            <w:t xml:space="preserve">  </w:t>
          </w:r>
          <w:r>
            <w:rPr>
              <w:rFonts w:hint="eastAsia" w:ascii="宋体" w:hAnsi="宋体" w:eastAsia="宋体" w:cs="宋体"/>
              <w:szCs w:val="28"/>
              <w:highlight w:val="none"/>
              <w:lang w:val="zh-CN"/>
            </w:rPr>
            <w:t>则</w:t>
          </w:r>
          <w:r>
            <w:tab/>
          </w:r>
          <w:r>
            <w:fldChar w:fldCharType="begin"/>
          </w:r>
          <w:r>
            <w:instrText xml:space="preserve"> PAGEREF _Toc13775 \h </w:instrText>
          </w:r>
          <w:r>
            <w:fldChar w:fldCharType="separate"/>
          </w:r>
          <w:r>
            <w:t>15</w:t>
          </w:r>
          <w:r>
            <w:fldChar w:fldCharType="end"/>
          </w:r>
          <w:r>
            <w:fldChar w:fldCharType="end"/>
          </w:r>
        </w:p>
        <w:p w14:paraId="735D1483">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_Toc22165 </w:instrText>
          </w:r>
          <w:r>
            <w:fldChar w:fldCharType="separate"/>
          </w:r>
          <w:r>
            <w:rPr>
              <w:rFonts w:hint="eastAsia" w:ascii="宋体" w:hAnsi="宋体" w:eastAsia="宋体" w:cs="宋体"/>
              <w:bCs/>
              <w:kern w:val="1"/>
              <w:highlight w:val="none"/>
              <w:lang w:val="zh-CN" w:bidi="ar"/>
            </w:rPr>
            <w:t>二、竞争性磋商文件</w:t>
          </w:r>
          <w:r>
            <w:tab/>
          </w:r>
          <w:r>
            <w:fldChar w:fldCharType="begin"/>
          </w:r>
          <w:r>
            <w:instrText xml:space="preserve"> PAGEREF _Toc22165 \h </w:instrText>
          </w:r>
          <w:r>
            <w:fldChar w:fldCharType="separate"/>
          </w:r>
          <w:r>
            <w:t>16</w:t>
          </w:r>
          <w:r>
            <w:fldChar w:fldCharType="end"/>
          </w:r>
          <w:r>
            <w:fldChar w:fldCharType="end"/>
          </w:r>
        </w:p>
        <w:p w14:paraId="3828B9DD">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_Toc17734 </w:instrText>
          </w:r>
          <w:r>
            <w:fldChar w:fldCharType="separate"/>
          </w:r>
          <w:r>
            <w:rPr>
              <w:rFonts w:hint="eastAsia" w:ascii="宋体" w:hAnsi="宋体" w:eastAsia="宋体" w:cs="宋体"/>
              <w:bCs/>
              <w:kern w:val="1"/>
              <w:highlight w:val="none"/>
              <w:lang w:val="zh-CN" w:bidi="ar"/>
            </w:rPr>
            <w:t>三、响应文件的编制</w:t>
          </w:r>
          <w:r>
            <w:tab/>
          </w:r>
          <w:r>
            <w:fldChar w:fldCharType="begin"/>
          </w:r>
          <w:r>
            <w:instrText xml:space="preserve"> PAGEREF _Toc17734 \h </w:instrText>
          </w:r>
          <w:r>
            <w:fldChar w:fldCharType="separate"/>
          </w:r>
          <w:r>
            <w:t>17</w:t>
          </w:r>
          <w:r>
            <w:fldChar w:fldCharType="end"/>
          </w:r>
          <w:r>
            <w:fldChar w:fldCharType="end"/>
          </w:r>
        </w:p>
        <w:p w14:paraId="4265F176">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_Toc10330 </w:instrText>
          </w:r>
          <w:r>
            <w:fldChar w:fldCharType="separate"/>
          </w:r>
          <w:r>
            <w:rPr>
              <w:rFonts w:hint="eastAsia" w:ascii="宋体" w:hAnsi="宋体" w:eastAsia="宋体" w:cs="宋体"/>
              <w:bCs/>
              <w:kern w:val="2"/>
              <w:szCs w:val="24"/>
              <w:highlight w:val="none"/>
              <w:lang w:val="en-US" w:eastAsia="zh-CN" w:bidi="ar-SA"/>
            </w:rPr>
            <w:t>四、响应文件的递交</w:t>
          </w:r>
          <w:r>
            <w:rPr>
              <w:rFonts w:hint="eastAsia" w:ascii="宋体" w:hAnsi="宋体" w:cs="宋体"/>
              <w:bCs/>
              <w:kern w:val="2"/>
              <w:szCs w:val="24"/>
              <w:highlight w:val="none"/>
              <w:lang w:val="en-US" w:eastAsia="zh-CN" w:bidi="ar-SA"/>
            </w:rPr>
            <w:t>及解密</w:t>
          </w:r>
          <w:r>
            <w:tab/>
          </w:r>
          <w:r>
            <w:fldChar w:fldCharType="begin"/>
          </w:r>
          <w:r>
            <w:instrText xml:space="preserve"> PAGEREF _Toc10330 \h </w:instrText>
          </w:r>
          <w:r>
            <w:fldChar w:fldCharType="separate"/>
          </w:r>
          <w:r>
            <w:t>20</w:t>
          </w:r>
          <w:r>
            <w:fldChar w:fldCharType="end"/>
          </w:r>
          <w:r>
            <w:fldChar w:fldCharType="end"/>
          </w:r>
        </w:p>
        <w:p w14:paraId="185B6342">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_Toc19222 </w:instrText>
          </w:r>
          <w:r>
            <w:fldChar w:fldCharType="separate"/>
          </w:r>
          <w:r>
            <w:rPr>
              <w:rFonts w:hint="eastAsia" w:ascii="宋体" w:hAnsi="宋体" w:eastAsia="宋体" w:cs="宋体"/>
              <w:bCs w:val="0"/>
              <w:highlight w:val="none"/>
              <w:lang w:eastAsia="zh-CN"/>
            </w:rPr>
            <w:t>五、开标与评标</w:t>
          </w:r>
          <w:r>
            <w:tab/>
          </w:r>
          <w:r>
            <w:fldChar w:fldCharType="begin"/>
          </w:r>
          <w:r>
            <w:instrText xml:space="preserve"> PAGEREF _Toc19222 \h </w:instrText>
          </w:r>
          <w:r>
            <w:fldChar w:fldCharType="separate"/>
          </w:r>
          <w:r>
            <w:t>21</w:t>
          </w:r>
          <w:r>
            <w:fldChar w:fldCharType="end"/>
          </w:r>
          <w:r>
            <w:fldChar w:fldCharType="end"/>
          </w:r>
        </w:p>
        <w:p w14:paraId="7ADCEC38">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_Toc12967 </w:instrText>
          </w:r>
          <w:r>
            <w:fldChar w:fldCharType="separate"/>
          </w:r>
          <w:r>
            <w:rPr>
              <w:rFonts w:hint="eastAsia" w:ascii="宋体" w:hAnsi="宋体" w:eastAsia="宋体" w:cs="宋体"/>
              <w:bCs/>
              <w:kern w:val="1"/>
              <w:highlight w:val="none"/>
              <w:lang w:val="en-US" w:eastAsia="zh-CN" w:bidi="ar"/>
            </w:rPr>
            <w:t>六、中标通知和合同授予</w:t>
          </w:r>
          <w:r>
            <w:tab/>
          </w:r>
          <w:r>
            <w:fldChar w:fldCharType="begin"/>
          </w:r>
          <w:r>
            <w:instrText xml:space="preserve"> PAGEREF _Toc12967 \h </w:instrText>
          </w:r>
          <w:r>
            <w:fldChar w:fldCharType="separate"/>
          </w:r>
          <w:r>
            <w:t>24</w:t>
          </w:r>
          <w:r>
            <w:fldChar w:fldCharType="end"/>
          </w:r>
          <w:r>
            <w:fldChar w:fldCharType="end"/>
          </w:r>
        </w:p>
        <w:p w14:paraId="3EDE927E">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_Toc12694 </w:instrText>
          </w:r>
          <w:r>
            <w:fldChar w:fldCharType="separate"/>
          </w:r>
          <w:r>
            <w:rPr>
              <w:rFonts w:hint="eastAsia" w:ascii="宋体" w:hAnsi="宋体" w:eastAsia="宋体" w:cs="宋体"/>
              <w:bCs/>
              <w:szCs w:val="24"/>
              <w:highlight w:val="none"/>
              <w:lang w:val="zh-CN"/>
            </w:rPr>
            <w:t>七、纪律和监督</w:t>
          </w:r>
          <w:r>
            <w:tab/>
          </w:r>
          <w:r>
            <w:fldChar w:fldCharType="begin"/>
          </w:r>
          <w:r>
            <w:instrText xml:space="preserve"> PAGEREF _Toc12694 \h </w:instrText>
          </w:r>
          <w:r>
            <w:fldChar w:fldCharType="separate"/>
          </w:r>
          <w:r>
            <w:t>25</w:t>
          </w:r>
          <w:r>
            <w:fldChar w:fldCharType="end"/>
          </w:r>
          <w:r>
            <w:fldChar w:fldCharType="end"/>
          </w:r>
        </w:p>
        <w:p w14:paraId="631CD4EA">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_Toc25873 </w:instrText>
          </w:r>
          <w:r>
            <w:fldChar w:fldCharType="separate"/>
          </w:r>
          <w:r>
            <w:rPr>
              <w:rFonts w:hint="eastAsia" w:ascii="宋体" w:hAnsi="宋体" w:eastAsia="宋体" w:cs="宋体"/>
              <w:bCs/>
              <w:szCs w:val="24"/>
              <w:lang w:val="zh-CN"/>
            </w:rPr>
            <w:t>八、</w:t>
          </w:r>
          <w:r>
            <w:rPr>
              <w:rFonts w:hint="eastAsia" w:ascii="宋体" w:hAnsi="宋体" w:eastAsia="宋体" w:cs="宋体"/>
              <w:bCs/>
              <w:szCs w:val="24"/>
              <w:highlight w:val="none"/>
              <w:lang w:val="zh-CN"/>
            </w:rPr>
            <w:t>质疑和投诉</w:t>
          </w:r>
          <w:r>
            <w:tab/>
          </w:r>
          <w:r>
            <w:fldChar w:fldCharType="begin"/>
          </w:r>
          <w:r>
            <w:instrText xml:space="preserve"> PAGEREF _Toc25873 \h </w:instrText>
          </w:r>
          <w:r>
            <w:fldChar w:fldCharType="separate"/>
          </w:r>
          <w:r>
            <w:t>26</w:t>
          </w:r>
          <w:r>
            <w:fldChar w:fldCharType="end"/>
          </w:r>
          <w:r>
            <w:fldChar w:fldCharType="end"/>
          </w:r>
        </w:p>
        <w:p w14:paraId="7BF31664">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_Toc1593 </w:instrText>
          </w:r>
          <w:r>
            <w:fldChar w:fldCharType="separate"/>
          </w:r>
          <w:r>
            <w:rPr>
              <w:rFonts w:hint="eastAsia" w:ascii="宋体" w:hAnsi="宋体" w:eastAsia="宋体" w:cs="宋体"/>
              <w:bCs/>
              <w:kern w:val="0"/>
              <w:highlight w:val="none"/>
              <w:lang w:val="zh-CN" w:eastAsia="zh-CN"/>
            </w:rPr>
            <w:t>九、解释权</w:t>
          </w:r>
          <w:r>
            <w:tab/>
          </w:r>
          <w:r>
            <w:fldChar w:fldCharType="begin"/>
          </w:r>
          <w:r>
            <w:instrText xml:space="preserve"> PAGEREF _Toc1593 \h </w:instrText>
          </w:r>
          <w:r>
            <w:fldChar w:fldCharType="separate"/>
          </w:r>
          <w:r>
            <w:t>27</w:t>
          </w:r>
          <w:r>
            <w:fldChar w:fldCharType="end"/>
          </w:r>
          <w:r>
            <w:fldChar w:fldCharType="end"/>
          </w:r>
        </w:p>
        <w:p w14:paraId="2FB46882">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_Toc19116 </w:instrText>
          </w:r>
          <w:r>
            <w:fldChar w:fldCharType="separate"/>
          </w:r>
          <w:r>
            <w:rPr>
              <w:rFonts w:hint="eastAsia" w:ascii="宋体" w:hAnsi="宋体" w:eastAsia="宋体" w:cs="宋体"/>
              <w:bCs/>
              <w:kern w:val="0"/>
              <w:highlight w:val="none"/>
              <w:lang w:val="zh-CN" w:eastAsia="zh-CN"/>
            </w:rPr>
            <w:t>十、相关费用</w:t>
          </w:r>
          <w:r>
            <w:tab/>
          </w:r>
          <w:r>
            <w:fldChar w:fldCharType="begin"/>
          </w:r>
          <w:r>
            <w:instrText xml:space="preserve"> PAGEREF _Toc19116 \h </w:instrText>
          </w:r>
          <w:r>
            <w:fldChar w:fldCharType="separate"/>
          </w:r>
          <w:r>
            <w:t>27</w:t>
          </w:r>
          <w:r>
            <w:fldChar w:fldCharType="end"/>
          </w:r>
          <w:r>
            <w:fldChar w:fldCharType="end"/>
          </w:r>
        </w:p>
        <w:p w14:paraId="7F1E4835">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_Toc13698 </w:instrText>
          </w:r>
          <w:r>
            <w:fldChar w:fldCharType="separate"/>
          </w:r>
          <w:r>
            <w:rPr>
              <w:rFonts w:hint="eastAsia" w:ascii="宋体" w:hAnsi="宋体" w:eastAsia="宋体" w:cs="宋体"/>
              <w:bCs/>
              <w:kern w:val="0"/>
              <w:szCs w:val="24"/>
              <w:highlight w:val="none"/>
              <w:lang w:val="zh-CN" w:eastAsia="zh-CN"/>
            </w:rPr>
            <w:t>十一、</w:t>
          </w:r>
          <w:r>
            <w:rPr>
              <w:rFonts w:hint="eastAsia" w:ascii="宋体" w:hAnsi="宋体" w:eastAsia="宋体" w:cs="宋体"/>
              <w:bCs/>
              <w:szCs w:val="24"/>
              <w:highlight w:val="none"/>
            </w:rPr>
            <w:t>其他</w:t>
          </w:r>
          <w:r>
            <w:tab/>
          </w:r>
          <w:r>
            <w:fldChar w:fldCharType="begin"/>
          </w:r>
          <w:r>
            <w:instrText xml:space="preserve"> PAGEREF _Toc13698 \h </w:instrText>
          </w:r>
          <w:r>
            <w:fldChar w:fldCharType="separate"/>
          </w:r>
          <w:r>
            <w:t>27</w:t>
          </w:r>
          <w:r>
            <w:fldChar w:fldCharType="end"/>
          </w:r>
          <w:r>
            <w:fldChar w:fldCharType="end"/>
          </w:r>
        </w:p>
        <w:p w14:paraId="1110D946">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_Toc31909 </w:instrText>
          </w:r>
          <w:r>
            <w:fldChar w:fldCharType="separate"/>
          </w:r>
          <w:r>
            <w:rPr>
              <w:rFonts w:hint="eastAsia" w:ascii="宋体" w:hAnsi="宋体" w:eastAsia="宋体" w:cs="宋体"/>
              <w:bCs/>
              <w:kern w:val="0"/>
              <w:szCs w:val="24"/>
              <w:highlight w:val="none"/>
              <w:lang w:val="zh-CN" w:eastAsia="zh-CN"/>
            </w:rPr>
            <w:t>十二、解释权</w:t>
          </w:r>
          <w:r>
            <w:tab/>
          </w:r>
          <w:r>
            <w:fldChar w:fldCharType="begin"/>
          </w:r>
          <w:r>
            <w:instrText xml:space="preserve"> PAGEREF _Toc31909 \h </w:instrText>
          </w:r>
          <w:r>
            <w:fldChar w:fldCharType="separate"/>
          </w:r>
          <w:r>
            <w:t>29</w:t>
          </w:r>
          <w:r>
            <w:fldChar w:fldCharType="end"/>
          </w:r>
          <w:r>
            <w:fldChar w:fldCharType="end"/>
          </w:r>
        </w:p>
        <w:p w14:paraId="1BD03C46">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_Toc16316 </w:instrText>
          </w:r>
          <w:r>
            <w:fldChar w:fldCharType="separate"/>
          </w:r>
          <w:r>
            <w:rPr>
              <w:rFonts w:hint="eastAsia" w:ascii="宋体" w:hAnsi="宋体" w:eastAsia="宋体" w:cs="宋体"/>
              <w:bCs/>
              <w:kern w:val="0"/>
              <w:szCs w:val="24"/>
              <w:highlight w:val="none"/>
              <w:lang w:val="zh-CN" w:eastAsia="zh-CN"/>
            </w:rPr>
            <w:t>十三、相关费用</w:t>
          </w:r>
          <w:r>
            <w:tab/>
          </w:r>
          <w:r>
            <w:fldChar w:fldCharType="begin"/>
          </w:r>
          <w:r>
            <w:instrText xml:space="preserve"> PAGEREF _Toc16316 \h </w:instrText>
          </w:r>
          <w:r>
            <w:fldChar w:fldCharType="separate"/>
          </w:r>
          <w:r>
            <w:t>29</w:t>
          </w:r>
          <w:r>
            <w:fldChar w:fldCharType="end"/>
          </w:r>
          <w:r>
            <w:fldChar w:fldCharType="end"/>
          </w:r>
        </w:p>
        <w:p w14:paraId="1799A658">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_Toc24227 </w:instrText>
          </w:r>
          <w:r>
            <w:fldChar w:fldCharType="separate"/>
          </w:r>
          <w:r>
            <w:rPr>
              <w:rFonts w:hint="eastAsia" w:ascii="宋体" w:hAnsi="宋体" w:eastAsia="宋体" w:cs="宋体"/>
              <w:bCs/>
              <w:kern w:val="0"/>
              <w:szCs w:val="24"/>
              <w:highlight w:val="none"/>
              <w:lang w:val="zh-CN" w:eastAsia="zh-CN"/>
            </w:rPr>
            <w:t>十四、未尽事宜</w:t>
          </w:r>
          <w:r>
            <w:tab/>
          </w:r>
          <w:r>
            <w:fldChar w:fldCharType="begin"/>
          </w:r>
          <w:r>
            <w:instrText xml:space="preserve"> PAGEREF _Toc24227 \h </w:instrText>
          </w:r>
          <w:r>
            <w:fldChar w:fldCharType="separate"/>
          </w:r>
          <w:r>
            <w:t>29</w:t>
          </w:r>
          <w:r>
            <w:fldChar w:fldCharType="end"/>
          </w:r>
          <w:r>
            <w:fldChar w:fldCharType="end"/>
          </w:r>
        </w:p>
        <w:p w14:paraId="48F14D7F">
          <w:pPr>
            <w:pStyle w:val="48"/>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rPr>
              <w:b/>
            </w:rPr>
          </w:pPr>
          <w:r>
            <w:rPr>
              <w:b/>
            </w:rPr>
            <w:fldChar w:fldCharType="begin"/>
          </w:r>
          <w:r>
            <w:rPr>
              <w:b/>
            </w:rPr>
            <w:instrText xml:space="preserve"> HYPERLINK \l _Toc29782 </w:instrText>
          </w:r>
          <w:r>
            <w:rPr>
              <w:b/>
            </w:rPr>
            <w:fldChar w:fldCharType="separate"/>
          </w:r>
          <w:r>
            <w:rPr>
              <w:rFonts w:hint="eastAsia" w:ascii="宋体" w:hAnsi="宋体" w:eastAsia="宋体" w:cs="宋体"/>
              <w:b/>
              <w:szCs w:val="30"/>
              <w:highlight w:val="none"/>
            </w:rPr>
            <w:t>问题澄清通知</w:t>
          </w:r>
          <w:r>
            <w:rPr>
              <w:b/>
            </w:rPr>
            <w:tab/>
          </w:r>
          <w:r>
            <w:rPr>
              <w:b/>
            </w:rPr>
            <w:fldChar w:fldCharType="begin"/>
          </w:r>
          <w:r>
            <w:rPr>
              <w:b/>
            </w:rPr>
            <w:instrText xml:space="preserve"> PAGEREF _Toc29782 \h </w:instrText>
          </w:r>
          <w:r>
            <w:rPr>
              <w:b/>
            </w:rPr>
            <w:fldChar w:fldCharType="separate"/>
          </w:r>
          <w:r>
            <w:rPr>
              <w:b/>
            </w:rPr>
            <w:t>30</w:t>
          </w:r>
          <w:r>
            <w:rPr>
              <w:b/>
            </w:rPr>
            <w:fldChar w:fldCharType="end"/>
          </w:r>
          <w:r>
            <w:rPr>
              <w:b/>
            </w:rPr>
            <w:fldChar w:fldCharType="end"/>
          </w:r>
        </w:p>
        <w:p w14:paraId="527A4A97">
          <w:pPr>
            <w:pStyle w:val="48"/>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rPr>
              <w:b/>
            </w:rPr>
          </w:pPr>
          <w:r>
            <w:rPr>
              <w:b/>
            </w:rPr>
            <w:fldChar w:fldCharType="begin"/>
          </w:r>
          <w:r>
            <w:rPr>
              <w:b/>
            </w:rPr>
            <w:instrText xml:space="preserve"> HYPERLINK \l _Toc6971 </w:instrText>
          </w:r>
          <w:r>
            <w:rPr>
              <w:b/>
            </w:rPr>
            <w:fldChar w:fldCharType="separate"/>
          </w:r>
          <w:r>
            <w:rPr>
              <w:rFonts w:hint="eastAsia" w:ascii="宋体" w:hAnsi="宋体" w:eastAsia="宋体" w:cs="宋体"/>
              <w:b/>
              <w:bCs w:val="0"/>
              <w:kern w:val="44"/>
              <w:szCs w:val="30"/>
              <w:highlight w:val="none"/>
            </w:rPr>
            <w:t>第三章  评审办法</w:t>
          </w:r>
          <w:r>
            <w:rPr>
              <w:b/>
            </w:rPr>
            <w:tab/>
          </w:r>
          <w:r>
            <w:rPr>
              <w:b/>
            </w:rPr>
            <w:fldChar w:fldCharType="begin"/>
          </w:r>
          <w:r>
            <w:rPr>
              <w:b/>
            </w:rPr>
            <w:instrText xml:space="preserve"> PAGEREF _Toc6971 \h </w:instrText>
          </w:r>
          <w:r>
            <w:rPr>
              <w:b/>
            </w:rPr>
            <w:fldChar w:fldCharType="separate"/>
          </w:r>
          <w:r>
            <w:rPr>
              <w:b/>
            </w:rPr>
            <w:t>33</w:t>
          </w:r>
          <w:r>
            <w:rPr>
              <w:b/>
            </w:rPr>
            <w:fldChar w:fldCharType="end"/>
          </w:r>
          <w:r>
            <w:rPr>
              <w:b/>
            </w:rPr>
            <w:fldChar w:fldCharType="end"/>
          </w:r>
        </w:p>
        <w:p w14:paraId="39564790">
          <w:pPr>
            <w:pStyle w:val="48"/>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rPr>
              <w:b/>
            </w:rPr>
            <w:fldChar w:fldCharType="begin"/>
          </w:r>
          <w:r>
            <w:rPr>
              <w:b/>
            </w:rPr>
            <w:instrText xml:space="preserve"> HYPERLINK \l _Toc9434 </w:instrText>
          </w:r>
          <w:r>
            <w:rPr>
              <w:b/>
            </w:rPr>
            <w:fldChar w:fldCharType="separate"/>
          </w:r>
          <w:r>
            <w:rPr>
              <w:rFonts w:hint="eastAsia" w:ascii="宋体" w:hAnsi="宋体" w:eastAsia="宋体" w:cs="宋体"/>
              <w:b/>
              <w:bCs/>
              <w:szCs w:val="30"/>
              <w:highlight w:val="none"/>
            </w:rPr>
            <w:t xml:space="preserve">第四章 </w:t>
          </w:r>
          <w:r>
            <w:rPr>
              <w:rFonts w:hint="eastAsia" w:ascii="宋体" w:hAnsi="宋体" w:cs="宋体"/>
              <w:b/>
              <w:bCs/>
              <w:szCs w:val="30"/>
              <w:highlight w:val="none"/>
              <w:lang w:val="en-US" w:eastAsia="zh-CN"/>
            </w:rPr>
            <w:t xml:space="preserve"> </w:t>
          </w:r>
          <w:r>
            <w:rPr>
              <w:rFonts w:hint="eastAsia" w:ascii="宋体" w:hAnsi="宋体" w:eastAsia="宋体" w:cs="宋体"/>
              <w:b/>
              <w:bCs/>
              <w:szCs w:val="30"/>
              <w:highlight w:val="none"/>
            </w:rPr>
            <w:t>合同条款及格式</w:t>
          </w:r>
          <w:r>
            <w:rPr>
              <w:b/>
            </w:rPr>
            <w:tab/>
          </w:r>
          <w:r>
            <w:rPr>
              <w:b/>
            </w:rPr>
            <w:fldChar w:fldCharType="begin"/>
          </w:r>
          <w:r>
            <w:rPr>
              <w:b/>
            </w:rPr>
            <w:instrText xml:space="preserve"> PAGEREF _Toc9434 \h </w:instrText>
          </w:r>
          <w:r>
            <w:rPr>
              <w:b/>
            </w:rPr>
            <w:fldChar w:fldCharType="separate"/>
          </w:r>
          <w:r>
            <w:rPr>
              <w:b/>
            </w:rPr>
            <w:t>41</w:t>
          </w:r>
          <w:r>
            <w:rPr>
              <w:b/>
            </w:rPr>
            <w:fldChar w:fldCharType="end"/>
          </w:r>
          <w:r>
            <w:rPr>
              <w:b/>
            </w:rPr>
            <w:fldChar w:fldCharType="end"/>
          </w:r>
        </w:p>
        <w:p w14:paraId="10E4D320">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_Toc6573 </w:instrText>
          </w:r>
          <w:r>
            <w:fldChar w:fldCharType="separate"/>
          </w:r>
          <w:r>
            <w:rPr>
              <w:rFonts w:hint="eastAsia" w:ascii="宋体" w:hAnsi="宋体" w:eastAsia="宋体" w:cs="宋体"/>
              <w:bCs/>
              <w:kern w:val="0"/>
              <w:szCs w:val="28"/>
              <w:highlight w:val="none"/>
            </w:rPr>
            <w:t>第一部分 合同协议书</w:t>
          </w:r>
          <w:r>
            <w:tab/>
          </w:r>
          <w:r>
            <w:fldChar w:fldCharType="begin"/>
          </w:r>
          <w:r>
            <w:instrText xml:space="preserve"> PAGEREF _Toc6573 \h </w:instrText>
          </w:r>
          <w:r>
            <w:fldChar w:fldCharType="separate"/>
          </w:r>
          <w:r>
            <w:t>42</w:t>
          </w:r>
          <w:r>
            <w:fldChar w:fldCharType="end"/>
          </w:r>
          <w:r>
            <w:fldChar w:fldCharType="end"/>
          </w:r>
        </w:p>
        <w:p w14:paraId="272BEE85">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_Toc5132 </w:instrText>
          </w:r>
          <w:r>
            <w:fldChar w:fldCharType="separate"/>
          </w:r>
          <w:r>
            <w:rPr>
              <w:rFonts w:hint="eastAsia" w:ascii="宋体" w:hAnsi="宋体" w:eastAsia="宋体" w:cs="宋体"/>
              <w:bCs/>
              <w:kern w:val="0"/>
              <w:szCs w:val="28"/>
              <w:highlight w:val="none"/>
            </w:rPr>
            <w:t>第二部分 通用合同条款</w:t>
          </w:r>
          <w:r>
            <w:tab/>
          </w:r>
          <w:r>
            <w:fldChar w:fldCharType="begin"/>
          </w:r>
          <w:r>
            <w:instrText xml:space="preserve"> PAGEREF _Toc5132 \h </w:instrText>
          </w:r>
          <w:r>
            <w:fldChar w:fldCharType="separate"/>
          </w:r>
          <w:r>
            <w:t>46</w:t>
          </w:r>
          <w:r>
            <w:fldChar w:fldCharType="end"/>
          </w:r>
          <w:r>
            <w:fldChar w:fldCharType="end"/>
          </w:r>
        </w:p>
        <w:p w14:paraId="1AD0A606">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_Toc17246 </w:instrText>
          </w:r>
          <w:r>
            <w:fldChar w:fldCharType="separate"/>
          </w:r>
          <w:r>
            <w:rPr>
              <w:rFonts w:hint="eastAsia" w:ascii="宋体" w:hAnsi="宋体" w:eastAsia="宋体" w:cs="宋体"/>
              <w:kern w:val="0"/>
              <w:szCs w:val="28"/>
              <w:highlight w:val="none"/>
            </w:rPr>
            <w:t>第三部分 专用合同条款</w:t>
          </w:r>
          <w:r>
            <w:tab/>
          </w:r>
          <w:r>
            <w:fldChar w:fldCharType="begin"/>
          </w:r>
          <w:r>
            <w:instrText xml:space="preserve"> PAGEREF _Toc17246 \h </w:instrText>
          </w:r>
          <w:r>
            <w:fldChar w:fldCharType="separate"/>
          </w:r>
          <w:r>
            <w:t>47</w:t>
          </w:r>
          <w:r>
            <w:fldChar w:fldCharType="end"/>
          </w:r>
          <w:r>
            <w:fldChar w:fldCharType="end"/>
          </w:r>
        </w:p>
        <w:p w14:paraId="00299F02">
          <w:pPr>
            <w:pStyle w:val="48"/>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rPr>
              <w:b/>
            </w:rPr>
          </w:pPr>
          <w:r>
            <w:rPr>
              <w:b/>
            </w:rPr>
            <w:fldChar w:fldCharType="begin"/>
          </w:r>
          <w:r>
            <w:rPr>
              <w:b/>
            </w:rPr>
            <w:instrText xml:space="preserve"> HYPERLINK \l _Toc3166 </w:instrText>
          </w:r>
          <w:r>
            <w:rPr>
              <w:b/>
            </w:rPr>
            <w:fldChar w:fldCharType="separate"/>
          </w:r>
          <w:r>
            <w:rPr>
              <w:rFonts w:hint="eastAsia" w:ascii="宋体" w:hAnsi="宋体" w:eastAsia="宋体" w:cs="宋体"/>
              <w:b/>
              <w:szCs w:val="30"/>
              <w:highlight w:val="none"/>
            </w:rPr>
            <w:t xml:space="preserve">第五章 </w:t>
          </w:r>
          <w:r>
            <w:rPr>
              <w:rFonts w:hint="eastAsia" w:ascii="宋体" w:hAnsi="宋体" w:eastAsia="宋体" w:cs="宋体"/>
              <w:b/>
              <w:szCs w:val="30"/>
              <w:highlight w:val="none"/>
              <w:lang w:val="en-US" w:eastAsia="zh-CN"/>
            </w:rPr>
            <w:t xml:space="preserve"> </w:t>
          </w:r>
          <w:r>
            <w:rPr>
              <w:rFonts w:hint="eastAsia" w:ascii="宋体" w:hAnsi="宋体" w:eastAsia="宋体" w:cs="宋体"/>
              <w:b/>
              <w:szCs w:val="30"/>
              <w:highlight w:val="none"/>
              <w:lang w:eastAsia="zh-CN"/>
            </w:rPr>
            <w:t>响应</w:t>
          </w:r>
          <w:r>
            <w:rPr>
              <w:rFonts w:hint="eastAsia" w:ascii="宋体" w:hAnsi="宋体" w:eastAsia="宋体" w:cs="宋体"/>
              <w:b/>
              <w:szCs w:val="30"/>
              <w:highlight w:val="none"/>
            </w:rPr>
            <w:t>文件格式</w:t>
          </w:r>
          <w:r>
            <w:rPr>
              <w:b/>
            </w:rPr>
            <w:tab/>
          </w:r>
          <w:r>
            <w:rPr>
              <w:b/>
            </w:rPr>
            <w:fldChar w:fldCharType="begin"/>
          </w:r>
          <w:r>
            <w:rPr>
              <w:b/>
            </w:rPr>
            <w:instrText xml:space="preserve"> PAGEREF _Toc3166 \h </w:instrText>
          </w:r>
          <w:r>
            <w:rPr>
              <w:b/>
            </w:rPr>
            <w:fldChar w:fldCharType="separate"/>
          </w:r>
          <w:r>
            <w:rPr>
              <w:b/>
            </w:rPr>
            <w:t>81</w:t>
          </w:r>
          <w:r>
            <w:rPr>
              <w:b/>
            </w:rPr>
            <w:fldChar w:fldCharType="end"/>
          </w:r>
          <w:r>
            <w:rPr>
              <w:b/>
            </w:rPr>
            <w:fldChar w:fldCharType="end"/>
          </w:r>
        </w:p>
        <w:p w14:paraId="3D8F97CA">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_Toc14039 </w:instrText>
          </w:r>
          <w:r>
            <w:fldChar w:fldCharType="separate"/>
          </w:r>
          <w:r>
            <w:rPr>
              <w:rFonts w:hint="eastAsia" w:ascii="宋体" w:hAnsi="宋体" w:eastAsia="宋体" w:cs="宋体"/>
              <w:kern w:val="0"/>
              <w:szCs w:val="28"/>
              <w:highlight w:val="none"/>
            </w:rPr>
            <w:t>一、</w:t>
          </w:r>
          <w:r>
            <w:rPr>
              <w:rFonts w:hint="eastAsia" w:ascii="宋体" w:hAnsi="宋体" w:eastAsia="宋体" w:cs="宋体"/>
              <w:kern w:val="0"/>
              <w:szCs w:val="28"/>
              <w:highlight w:val="none"/>
              <w:lang w:eastAsia="zh-CN"/>
            </w:rPr>
            <w:t>投标</w:t>
          </w:r>
          <w:r>
            <w:rPr>
              <w:rFonts w:hint="eastAsia" w:ascii="宋体" w:hAnsi="宋体" w:eastAsia="宋体" w:cs="宋体"/>
              <w:kern w:val="0"/>
              <w:szCs w:val="28"/>
              <w:highlight w:val="none"/>
            </w:rPr>
            <w:t>报价一览表</w:t>
          </w:r>
          <w:r>
            <w:tab/>
          </w:r>
          <w:r>
            <w:fldChar w:fldCharType="begin"/>
          </w:r>
          <w:r>
            <w:instrText xml:space="preserve"> PAGEREF _Toc14039 \h </w:instrText>
          </w:r>
          <w:r>
            <w:fldChar w:fldCharType="separate"/>
          </w:r>
          <w:r>
            <w:t>83</w:t>
          </w:r>
          <w:r>
            <w:fldChar w:fldCharType="end"/>
          </w:r>
          <w:r>
            <w:fldChar w:fldCharType="end"/>
          </w:r>
        </w:p>
        <w:p w14:paraId="6C2AEA75">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_Toc17828 </w:instrText>
          </w:r>
          <w:r>
            <w:fldChar w:fldCharType="separate"/>
          </w:r>
          <w:r>
            <w:rPr>
              <w:rFonts w:hint="eastAsia" w:ascii="宋体" w:hAnsi="宋体" w:eastAsia="宋体" w:cs="宋体"/>
              <w:szCs w:val="30"/>
              <w:highlight w:val="none"/>
              <w:lang w:val="zh-CN"/>
            </w:rPr>
            <w:t>二、磋商函</w:t>
          </w:r>
          <w:r>
            <w:tab/>
          </w:r>
          <w:r>
            <w:fldChar w:fldCharType="begin"/>
          </w:r>
          <w:r>
            <w:instrText xml:space="preserve"> PAGEREF _Toc17828 \h </w:instrText>
          </w:r>
          <w:r>
            <w:fldChar w:fldCharType="separate"/>
          </w:r>
          <w:r>
            <w:t>84</w:t>
          </w:r>
          <w:r>
            <w:fldChar w:fldCharType="end"/>
          </w:r>
          <w:r>
            <w:fldChar w:fldCharType="end"/>
          </w:r>
        </w:p>
        <w:p w14:paraId="249C32B5">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_Toc7425 </w:instrText>
          </w:r>
          <w:r>
            <w:fldChar w:fldCharType="separate"/>
          </w:r>
          <w:r>
            <w:rPr>
              <w:rFonts w:hint="eastAsia" w:ascii="宋体" w:hAnsi="宋体" w:cs="宋体"/>
              <w:bCs/>
              <w:szCs w:val="30"/>
              <w:highlight w:val="none"/>
              <w:lang w:val="en-US" w:eastAsia="zh-CN"/>
            </w:rPr>
            <w:t>三</w:t>
          </w:r>
          <w:r>
            <w:rPr>
              <w:rFonts w:hint="eastAsia" w:ascii="宋体" w:hAnsi="宋体" w:eastAsia="宋体" w:cs="宋体"/>
              <w:bCs/>
              <w:szCs w:val="30"/>
              <w:highlight w:val="none"/>
              <w:lang w:val="zh-CN"/>
            </w:rPr>
            <w:t>、</w:t>
          </w:r>
          <w:r>
            <w:rPr>
              <w:rFonts w:hint="eastAsia" w:ascii="宋体" w:hAnsi="宋体" w:eastAsia="宋体" w:cs="宋体"/>
              <w:bCs/>
              <w:szCs w:val="30"/>
              <w:highlight w:val="none"/>
            </w:rPr>
            <w:t>声明函</w:t>
          </w:r>
          <w:r>
            <w:tab/>
          </w:r>
          <w:r>
            <w:fldChar w:fldCharType="begin"/>
          </w:r>
          <w:r>
            <w:instrText xml:space="preserve"> PAGEREF _Toc7425 \h </w:instrText>
          </w:r>
          <w:r>
            <w:fldChar w:fldCharType="separate"/>
          </w:r>
          <w:r>
            <w:t>85</w:t>
          </w:r>
          <w:r>
            <w:fldChar w:fldCharType="end"/>
          </w:r>
          <w:r>
            <w:fldChar w:fldCharType="end"/>
          </w:r>
        </w:p>
        <w:p w14:paraId="7524DFCA">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_Toc16458 </w:instrText>
          </w:r>
          <w:r>
            <w:fldChar w:fldCharType="separate"/>
          </w:r>
          <w:r>
            <w:rPr>
              <w:rFonts w:hint="eastAsia" w:ascii="宋体" w:hAnsi="宋体" w:cs="宋体"/>
              <w:bCs/>
              <w:szCs w:val="30"/>
              <w:highlight w:val="none"/>
              <w:lang w:val="en-US" w:eastAsia="zh-CN"/>
            </w:rPr>
            <w:t>四</w:t>
          </w:r>
          <w:r>
            <w:rPr>
              <w:rFonts w:hint="eastAsia" w:ascii="宋体" w:hAnsi="宋体" w:eastAsia="宋体" w:cs="宋体"/>
              <w:bCs/>
              <w:szCs w:val="30"/>
              <w:highlight w:val="none"/>
              <w:lang w:val="zh-CN"/>
            </w:rPr>
            <w:t>、供应商基本情况表</w:t>
          </w:r>
          <w:r>
            <w:tab/>
          </w:r>
          <w:r>
            <w:fldChar w:fldCharType="begin"/>
          </w:r>
          <w:r>
            <w:instrText xml:space="preserve"> PAGEREF _Toc16458 \h </w:instrText>
          </w:r>
          <w:r>
            <w:fldChar w:fldCharType="separate"/>
          </w:r>
          <w:r>
            <w:t>88</w:t>
          </w:r>
          <w:r>
            <w:fldChar w:fldCharType="end"/>
          </w:r>
          <w:r>
            <w:fldChar w:fldCharType="end"/>
          </w:r>
        </w:p>
        <w:p w14:paraId="7538A3DE">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_Toc31808 </w:instrText>
          </w:r>
          <w:r>
            <w:fldChar w:fldCharType="separate"/>
          </w:r>
          <w:r>
            <w:rPr>
              <w:rFonts w:hint="eastAsia" w:ascii="宋体" w:hAnsi="宋体" w:cs="宋体"/>
              <w:bCs w:val="0"/>
              <w:szCs w:val="30"/>
              <w:highlight w:val="none"/>
              <w:lang w:val="en-US" w:eastAsia="zh-CN"/>
            </w:rPr>
            <w:t>五</w:t>
          </w:r>
          <w:r>
            <w:rPr>
              <w:rFonts w:hint="eastAsia" w:ascii="宋体" w:hAnsi="宋体" w:eastAsia="宋体" w:cs="宋体"/>
              <w:bCs w:val="0"/>
              <w:szCs w:val="30"/>
              <w:highlight w:val="none"/>
            </w:rPr>
            <w:t>、资格证明材料</w:t>
          </w:r>
          <w:r>
            <w:tab/>
          </w:r>
          <w:r>
            <w:fldChar w:fldCharType="begin"/>
          </w:r>
          <w:r>
            <w:instrText xml:space="preserve"> PAGEREF _Toc31808 \h </w:instrText>
          </w:r>
          <w:r>
            <w:fldChar w:fldCharType="separate"/>
          </w:r>
          <w:r>
            <w:t>89</w:t>
          </w:r>
          <w:r>
            <w:fldChar w:fldCharType="end"/>
          </w:r>
          <w:r>
            <w:fldChar w:fldCharType="end"/>
          </w:r>
        </w:p>
        <w:p w14:paraId="0E0775AC">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_Toc17876 </w:instrText>
          </w:r>
          <w:r>
            <w:fldChar w:fldCharType="separate"/>
          </w:r>
          <w:r>
            <w:rPr>
              <w:rFonts w:hint="eastAsia" w:ascii="宋体" w:hAnsi="宋体" w:cs="宋体"/>
              <w:bCs/>
              <w:kern w:val="0"/>
              <w:szCs w:val="28"/>
              <w:highlight w:val="none"/>
              <w:lang w:val="en-US" w:eastAsia="zh-CN"/>
            </w:rPr>
            <w:t>六</w:t>
          </w:r>
          <w:r>
            <w:rPr>
              <w:rFonts w:hint="eastAsia" w:ascii="宋体" w:hAnsi="宋体" w:eastAsia="宋体" w:cs="宋体"/>
              <w:bCs/>
              <w:kern w:val="0"/>
              <w:szCs w:val="28"/>
              <w:highlight w:val="none"/>
              <w:lang w:val="en-US" w:eastAsia="zh-CN"/>
            </w:rPr>
            <w:t>、供应商关于资格的声明函（格式）</w:t>
          </w:r>
          <w:r>
            <w:tab/>
          </w:r>
          <w:r>
            <w:fldChar w:fldCharType="begin"/>
          </w:r>
          <w:r>
            <w:instrText xml:space="preserve"> PAGEREF _Toc17876 \h </w:instrText>
          </w:r>
          <w:r>
            <w:fldChar w:fldCharType="separate"/>
          </w:r>
          <w:r>
            <w:t>93</w:t>
          </w:r>
          <w:r>
            <w:fldChar w:fldCharType="end"/>
          </w:r>
          <w:r>
            <w:fldChar w:fldCharType="end"/>
          </w:r>
        </w:p>
        <w:p w14:paraId="0FE21096">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_Toc31859 </w:instrText>
          </w:r>
          <w:r>
            <w:fldChar w:fldCharType="separate"/>
          </w:r>
          <w:r>
            <w:rPr>
              <w:rFonts w:hint="eastAsia" w:ascii="宋体" w:hAnsi="宋体" w:cs="宋体"/>
              <w:bCs/>
              <w:szCs w:val="30"/>
              <w:highlight w:val="none"/>
              <w:lang w:val="en-US" w:eastAsia="zh-CN" w:bidi="ar"/>
            </w:rPr>
            <w:t>七</w:t>
          </w:r>
          <w:r>
            <w:rPr>
              <w:rFonts w:hint="eastAsia" w:ascii="宋体" w:hAnsi="宋体" w:eastAsia="宋体" w:cs="宋体"/>
              <w:bCs/>
              <w:szCs w:val="30"/>
              <w:highlight w:val="none"/>
              <w:lang w:val="zh-CN" w:bidi="ar"/>
            </w:rPr>
            <w:t>、</w:t>
          </w:r>
          <w:r>
            <w:rPr>
              <w:rFonts w:hint="eastAsia" w:ascii="宋体" w:hAnsi="宋体" w:eastAsia="宋体" w:cs="宋体"/>
              <w:bCs/>
              <w:szCs w:val="30"/>
              <w:highlight w:val="none"/>
              <w:lang w:val="zh-CN"/>
            </w:rPr>
            <w:t>承诺书</w:t>
          </w:r>
          <w:r>
            <w:tab/>
          </w:r>
          <w:r>
            <w:fldChar w:fldCharType="begin"/>
          </w:r>
          <w:r>
            <w:instrText xml:space="preserve"> PAGEREF _Toc31859 \h </w:instrText>
          </w:r>
          <w:r>
            <w:fldChar w:fldCharType="separate"/>
          </w:r>
          <w:r>
            <w:t>94</w:t>
          </w:r>
          <w:r>
            <w:fldChar w:fldCharType="end"/>
          </w:r>
          <w:r>
            <w:fldChar w:fldCharType="end"/>
          </w:r>
        </w:p>
        <w:p w14:paraId="6EBEE3D8">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_Toc8532 </w:instrText>
          </w:r>
          <w:r>
            <w:fldChar w:fldCharType="separate"/>
          </w:r>
          <w:r>
            <w:rPr>
              <w:rFonts w:hint="eastAsia" w:ascii="宋体" w:hAnsi="宋体" w:eastAsia="宋体" w:cs="宋体"/>
              <w:kern w:val="1"/>
              <w:szCs w:val="30"/>
              <w:highlight w:val="none"/>
              <w:lang w:val="en-US" w:eastAsia="zh-CN" w:bidi="ar"/>
            </w:rPr>
            <w:t>八</w:t>
          </w:r>
          <w:r>
            <w:rPr>
              <w:rFonts w:hint="eastAsia" w:ascii="宋体" w:hAnsi="宋体" w:eastAsia="宋体" w:cs="宋体"/>
              <w:kern w:val="1"/>
              <w:szCs w:val="30"/>
              <w:highlight w:val="none"/>
              <w:lang w:val="zh-TW" w:eastAsia="zh-CN" w:bidi="ar"/>
            </w:rPr>
            <w:t>、施工组织设计</w:t>
          </w:r>
          <w:r>
            <w:tab/>
          </w:r>
          <w:r>
            <w:fldChar w:fldCharType="begin"/>
          </w:r>
          <w:r>
            <w:instrText xml:space="preserve"> PAGEREF _Toc8532 \h </w:instrText>
          </w:r>
          <w:r>
            <w:fldChar w:fldCharType="separate"/>
          </w:r>
          <w:r>
            <w:t>95</w:t>
          </w:r>
          <w:r>
            <w:fldChar w:fldCharType="end"/>
          </w:r>
          <w:r>
            <w:fldChar w:fldCharType="end"/>
          </w:r>
        </w:p>
        <w:p w14:paraId="1BDA1762">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_Toc31973 </w:instrText>
          </w:r>
          <w:r>
            <w:fldChar w:fldCharType="separate"/>
          </w:r>
          <w:r>
            <w:rPr>
              <w:rFonts w:hint="eastAsia" w:ascii="宋体" w:hAnsi="宋体" w:cs="宋体"/>
              <w:kern w:val="1"/>
              <w:szCs w:val="30"/>
              <w:highlight w:val="none"/>
              <w:lang w:val="en-US" w:eastAsia="zh-CN" w:bidi="ar"/>
            </w:rPr>
            <w:t>九</w:t>
          </w:r>
          <w:r>
            <w:rPr>
              <w:rFonts w:hint="eastAsia" w:ascii="宋体" w:hAnsi="宋体" w:eastAsia="宋体" w:cs="宋体"/>
              <w:kern w:val="1"/>
              <w:szCs w:val="30"/>
              <w:highlight w:val="none"/>
              <w:lang w:bidi="ar"/>
            </w:rPr>
            <w:t>、</w:t>
          </w:r>
          <w:r>
            <w:rPr>
              <w:rFonts w:hint="eastAsia" w:ascii="宋体" w:hAnsi="宋体" w:eastAsia="宋体" w:cs="宋体"/>
              <w:szCs w:val="30"/>
              <w:highlight w:val="none"/>
              <w:lang w:eastAsia="zh-CN"/>
            </w:rPr>
            <w:t>近三年已完成的类似项目情况表</w:t>
          </w:r>
          <w:r>
            <w:tab/>
          </w:r>
          <w:r>
            <w:fldChar w:fldCharType="begin"/>
          </w:r>
          <w:r>
            <w:instrText xml:space="preserve"> PAGEREF _Toc31973 \h </w:instrText>
          </w:r>
          <w:r>
            <w:fldChar w:fldCharType="separate"/>
          </w:r>
          <w:r>
            <w:t>96</w:t>
          </w:r>
          <w:r>
            <w:fldChar w:fldCharType="end"/>
          </w:r>
          <w:r>
            <w:fldChar w:fldCharType="end"/>
          </w:r>
        </w:p>
        <w:p w14:paraId="2F5D3C88">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_Toc24131 </w:instrText>
          </w:r>
          <w:r>
            <w:fldChar w:fldCharType="separate"/>
          </w:r>
          <w:r>
            <w:rPr>
              <w:rFonts w:hint="eastAsia" w:ascii="宋体" w:hAnsi="宋体" w:eastAsia="宋体" w:cs="宋体"/>
              <w:kern w:val="0"/>
              <w:szCs w:val="28"/>
              <w:highlight w:val="none"/>
              <w:lang w:val="en-US" w:eastAsia="zh-CN"/>
            </w:rPr>
            <w:t>十</w:t>
          </w:r>
          <w:r>
            <w:rPr>
              <w:rFonts w:hint="eastAsia" w:ascii="宋体" w:hAnsi="宋体" w:eastAsia="宋体" w:cs="宋体"/>
              <w:kern w:val="0"/>
              <w:szCs w:val="28"/>
              <w:highlight w:val="none"/>
            </w:rPr>
            <w:t>、</w:t>
          </w:r>
          <w:r>
            <w:rPr>
              <w:rFonts w:hint="eastAsia" w:ascii="宋体" w:hAnsi="宋体" w:eastAsia="宋体" w:cs="宋体"/>
              <w:szCs w:val="30"/>
              <w:highlight w:val="none"/>
              <w:lang w:val="zh-CN"/>
            </w:rPr>
            <w:t>已标价工程量清单</w:t>
          </w:r>
          <w:r>
            <w:tab/>
          </w:r>
          <w:r>
            <w:fldChar w:fldCharType="begin"/>
          </w:r>
          <w:r>
            <w:instrText xml:space="preserve"> PAGEREF _Toc24131 \h </w:instrText>
          </w:r>
          <w:r>
            <w:fldChar w:fldCharType="separate"/>
          </w:r>
          <w:r>
            <w:t>97</w:t>
          </w:r>
          <w:r>
            <w:fldChar w:fldCharType="end"/>
          </w:r>
          <w:r>
            <w:fldChar w:fldCharType="end"/>
          </w:r>
        </w:p>
        <w:p w14:paraId="14EA6D20">
          <w:pPr>
            <w:pStyle w:val="53"/>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pPr>
          <w:r>
            <w:fldChar w:fldCharType="begin"/>
          </w:r>
          <w:r>
            <w:instrText xml:space="preserve"> HYPERLINK \l _Toc9701 </w:instrText>
          </w:r>
          <w:r>
            <w:fldChar w:fldCharType="separate"/>
          </w:r>
          <w:r>
            <w:rPr>
              <w:rFonts w:hint="eastAsia" w:ascii="宋体" w:hAnsi="宋体" w:eastAsia="宋体" w:cs="宋体"/>
              <w:kern w:val="1"/>
              <w:szCs w:val="30"/>
              <w:highlight w:val="none"/>
              <w:lang w:bidi="ar"/>
            </w:rPr>
            <w:t>十</w:t>
          </w:r>
          <w:r>
            <w:rPr>
              <w:rFonts w:hint="eastAsia" w:ascii="宋体" w:hAnsi="宋体" w:eastAsia="宋体" w:cs="宋体"/>
              <w:kern w:val="1"/>
              <w:szCs w:val="30"/>
              <w:highlight w:val="none"/>
              <w:lang w:eastAsia="zh-CN" w:bidi="ar"/>
            </w:rPr>
            <w:t>一</w:t>
          </w:r>
          <w:r>
            <w:rPr>
              <w:rFonts w:hint="eastAsia" w:ascii="宋体" w:hAnsi="宋体" w:eastAsia="宋体" w:cs="宋体"/>
              <w:kern w:val="1"/>
              <w:szCs w:val="30"/>
              <w:highlight w:val="none"/>
              <w:lang w:bidi="ar"/>
            </w:rPr>
            <w:t>、</w:t>
          </w:r>
          <w:r>
            <w:rPr>
              <w:rFonts w:hint="eastAsia" w:ascii="宋体" w:hAnsi="宋体" w:eastAsia="宋体" w:cs="宋体"/>
              <w:kern w:val="1"/>
              <w:szCs w:val="30"/>
              <w:highlight w:val="none"/>
              <w:lang w:eastAsia="zh-CN" w:bidi="ar"/>
            </w:rPr>
            <w:t>供应商</w:t>
          </w:r>
          <w:r>
            <w:rPr>
              <w:rFonts w:hint="eastAsia" w:ascii="宋体" w:hAnsi="宋体" w:eastAsia="宋体" w:cs="宋体"/>
              <w:kern w:val="1"/>
              <w:szCs w:val="30"/>
              <w:highlight w:val="none"/>
              <w:lang w:bidi="ar"/>
            </w:rPr>
            <w:t>认为需要</w:t>
          </w:r>
          <w:r>
            <w:rPr>
              <w:rFonts w:hint="eastAsia" w:ascii="宋体" w:hAnsi="宋体" w:eastAsia="宋体" w:cs="宋体"/>
              <w:szCs w:val="30"/>
              <w:highlight w:val="none"/>
            </w:rPr>
            <w:t>提供的其他相关资料</w:t>
          </w:r>
          <w:r>
            <w:tab/>
          </w:r>
          <w:r>
            <w:fldChar w:fldCharType="begin"/>
          </w:r>
          <w:r>
            <w:instrText xml:space="preserve"> PAGEREF _Toc9701 \h </w:instrText>
          </w:r>
          <w:r>
            <w:fldChar w:fldCharType="separate"/>
          </w:r>
          <w:r>
            <w:t>98</w:t>
          </w:r>
          <w:r>
            <w:fldChar w:fldCharType="end"/>
          </w:r>
          <w:r>
            <w:fldChar w:fldCharType="end"/>
          </w:r>
        </w:p>
        <w:p w14:paraId="0208B855">
          <w:pPr>
            <w:pStyle w:val="48"/>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rPr>
              <w:b/>
            </w:rPr>
          </w:pPr>
          <w:r>
            <w:rPr>
              <w:b/>
            </w:rPr>
            <w:fldChar w:fldCharType="begin"/>
          </w:r>
          <w:r>
            <w:rPr>
              <w:b/>
            </w:rPr>
            <w:instrText xml:space="preserve"> HYPERLINK \l _Toc8758 </w:instrText>
          </w:r>
          <w:r>
            <w:rPr>
              <w:b/>
            </w:rPr>
            <w:fldChar w:fldCharType="separate"/>
          </w:r>
          <w:r>
            <w:rPr>
              <w:rFonts w:hint="eastAsia" w:ascii="宋体" w:hAnsi="宋体" w:eastAsia="宋体" w:cs="宋体"/>
              <w:b/>
              <w:bCs/>
              <w:szCs w:val="30"/>
              <w:highlight w:val="none"/>
            </w:rPr>
            <w:t>第六章</w:t>
          </w:r>
          <w:r>
            <w:rPr>
              <w:rFonts w:hint="eastAsia" w:ascii="宋体" w:hAnsi="宋体" w:eastAsia="宋体" w:cs="宋体"/>
              <w:b/>
              <w:bCs/>
              <w:szCs w:val="30"/>
              <w:highlight w:val="none"/>
              <w:lang w:val="en-US" w:eastAsia="zh-CN"/>
            </w:rPr>
            <w:t xml:space="preserve">  工程量清单</w:t>
          </w:r>
          <w:r>
            <w:rPr>
              <w:b/>
            </w:rPr>
            <w:tab/>
          </w:r>
          <w:r>
            <w:rPr>
              <w:b/>
            </w:rPr>
            <w:fldChar w:fldCharType="begin"/>
          </w:r>
          <w:r>
            <w:rPr>
              <w:b/>
            </w:rPr>
            <w:instrText xml:space="preserve"> PAGEREF _Toc8758 \h </w:instrText>
          </w:r>
          <w:r>
            <w:rPr>
              <w:b/>
            </w:rPr>
            <w:fldChar w:fldCharType="separate"/>
          </w:r>
          <w:r>
            <w:rPr>
              <w:b/>
            </w:rPr>
            <w:t>99</w:t>
          </w:r>
          <w:r>
            <w:rPr>
              <w:b/>
            </w:rPr>
            <w:fldChar w:fldCharType="end"/>
          </w:r>
          <w:r>
            <w:rPr>
              <w:b/>
            </w:rPr>
            <w:fldChar w:fldCharType="end"/>
          </w:r>
        </w:p>
        <w:p w14:paraId="649AD526">
          <w:pPr>
            <w:pStyle w:val="48"/>
            <w:keepNext w:val="0"/>
            <w:keepLines w:val="0"/>
            <w:pageBreakBefore w:val="0"/>
            <w:widowControl/>
            <w:tabs>
              <w:tab w:val="right" w:leader="dot" w:pos="9184"/>
            </w:tabs>
            <w:kinsoku/>
            <w:wordWrap/>
            <w:overflowPunct/>
            <w:topLinePunct w:val="0"/>
            <w:autoSpaceDE/>
            <w:autoSpaceDN/>
            <w:bidi w:val="0"/>
            <w:adjustRightInd/>
            <w:snapToGrid/>
            <w:spacing w:line="280" w:lineRule="exact"/>
            <w:textAlignment w:val="auto"/>
            <w:rPr>
              <w:b/>
            </w:rPr>
          </w:pPr>
          <w:r>
            <w:rPr>
              <w:b/>
            </w:rPr>
            <w:fldChar w:fldCharType="begin"/>
          </w:r>
          <w:r>
            <w:rPr>
              <w:b/>
            </w:rPr>
            <w:instrText xml:space="preserve"> HYPERLINK \l _Toc30651 </w:instrText>
          </w:r>
          <w:r>
            <w:rPr>
              <w:b/>
            </w:rPr>
            <w:fldChar w:fldCharType="separate"/>
          </w:r>
          <w:r>
            <w:rPr>
              <w:rFonts w:hint="eastAsia" w:ascii="宋体" w:hAnsi="宋体" w:eastAsia="宋体" w:cs="宋体"/>
              <w:b/>
              <w:szCs w:val="44"/>
              <w:highlight w:val="none"/>
              <w:lang w:bidi="ar"/>
            </w:rPr>
            <w:t>二次报价表</w:t>
          </w:r>
          <w:r>
            <w:rPr>
              <w:b/>
            </w:rPr>
            <w:tab/>
          </w:r>
          <w:r>
            <w:rPr>
              <w:b/>
            </w:rPr>
            <w:fldChar w:fldCharType="begin"/>
          </w:r>
          <w:r>
            <w:rPr>
              <w:b/>
            </w:rPr>
            <w:instrText xml:space="preserve"> PAGEREF _Toc30651 \h </w:instrText>
          </w:r>
          <w:r>
            <w:rPr>
              <w:b/>
            </w:rPr>
            <w:fldChar w:fldCharType="separate"/>
          </w:r>
          <w:r>
            <w:rPr>
              <w:b/>
            </w:rPr>
            <w:t>100</w:t>
          </w:r>
          <w:r>
            <w:rPr>
              <w:b/>
            </w:rPr>
            <w:fldChar w:fldCharType="end"/>
          </w:r>
          <w:r>
            <w:rPr>
              <w:b/>
            </w:rPr>
            <w:fldChar w:fldCharType="end"/>
          </w:r>
        </w:p>
        <w:p w14:paraId="545FF74C">
          <w:pPr>
            <w:rPr>
              <w:b/>
            </w:rPr>
          </w:pPr>
          <w:r>
            <w:rPr>
              <w:b/>
            </w:rPr>
            <w:fldChar w:fldCharType="end"/>
          </w:r>
        </w:p>
      </w:sdtContent>
    </w:sdt>
    <w:p w14:paraId="04AC05CC">
      <w:pPr>
        <w:rPr>
          <w:b/>
        </w:rPr>
      </w:pPr>
    </w:p>
    <w:p w14:paraId="7B817DF5">
      <w:pPr>
        <w:spacing w:line="560" w:lineRule="exact"/>
        <w:jc w:val="center"/>
        <w:outlineLvl w:val="0"/>
        <w:rPr>
          <w:rFonts w:hint="eastAsia" w:ascii="宋体" w:hAnsi="宋体" w:eastAsia="宋体" w:cs="宋体"/>
          <w:b/>
          <w:bCs w:val="0"/>
          <w:color w:val="auto"/>
          <w:kern w:val="44"/>
          <w:sz w:val="30"/>
          <w:szCs w:val="30"/>
          <w:highlight w:val="none"/>
        </w:rPr>
        <w:sectPr>
          <w:headerReference r:id="rId3" w:type="default"/>
          <w:footerReference r:id="rId4" w:type="default"/>
          <w:pgSz w:w="11906" w:h="16838"/>
          <w:pgMar w:top="1440" w:right="1361" w:bottom="1440" w:left="1361" w:header="964" w:footer="964" w:gutter="0"/>
          <w:pgBorders>
            <w:top w:val="none" w:sz="0" w:space="0"/>
            <w:left w:val="none" w:sz="0" w:space="0"/>
            <w:bottom w:val="none" w:sz="0" w:space="0"/>
            <w:right w:val="none" w:sz="0" w:space="0"/>
          </w:pgBorders>
          <w:pgNumType w:fmt="decimal" w:start="1"/>
          <w:cols w:space="708" w:num="1"/>
          <w:titlePg/>
          <w:docGrid w:type="lines" w:linePitch="312" w:charSpace="0"/>
        </w:sectPr>
      </w:pPr>
      <w:bookmarkStart w:id="5" w:name="_Toc3799"/>
    </w:p>
    <w:p w14:paraId="634F9AF6">
      <w:pPr>
        <w:spacing w:line="560" w:lineRule="exact"/>
        <w:jc w:val="center"/>
        <w:outlineLvl w:val="0"/>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kern w:val="44"/>
          <w:sz w:val="30"/>
          <w:szCs w:val="30"/>
          <w:highlight w:val="none"/>
        </w:rPr>
        <w:t xml:space="preserve">第一章  </w:t>
      </w:r>
      <w:r>
        <w:rPr>
          <w:rFonts w:hint="eastAsia" w:ascii="宋体" w:hAnsi="宋体" w:eastAsia="宋体" w:cs="宋体"/>
          <w:b/>
          <w:bCs w:val="0"/>
          <w:color w:val="auto"/>
          <w:kern w:val="44"/>
          <w:sz w:val="30"/>
          <w:szCs w:val="30"/>
          <w:highlight w:val="none"/>
          <w:lang w:eastAsia="zh-CN"/>
        </w:rPr>
        <w:t>竞争性磋商公告</w:t>
      </w:r>
      <w:bookmarkEnd w:id="0"/>
      <w:bookmarkEnd w:id="1"/>
      <w:bookmarkEnd w:id="2"/>
      <w:bookmarkEnd w:id="5"/>
    </w:p>
    <w:p w14:paraId="30A565E4">
      <w:pPr>
        <w:tabs>
          <w:tab w:val="center" w:pos="4879"/>
          <w:tab w:val="left" w:pos="7424"/>
        </w:tabs>
        <w:spacing w:line="560" w:lineRule="exact"/>
        <w:jc w:val="center"/>
        <w:outlineLvl w:val="1"/>
        <w:rPr>
          <w:rFonts w:hint="eastAsia" w:ascii="宋体" w:hAnsi="宋体" w:eastAsia="宋体" w:cs="宋体"/>
          <w:b/>
          <w:color w:val="auto"/>
          <w:sz w:val="28"/>
          <w:szCs w:val="28"/>
          <w:highlight w:val="none"/>
          <w:lang w:eastAsia="zh-CN"/>
        </w:rPr>
      </w:pPr>
      <w:bookmarkStart w:id="6" w:name="_Toc11143"/>
      <w:bookmarkStart w:id="7" w:name="_Toc10655"/>
      <w:bookmarkStart w:id="8" w:name="_Toc10618"/>
      <w:bookmarkStart w:id="9" w:name="_Toc3299"/>
      <w:bookmarkStart w:id="10" w:name="_Toc7887"/>
      <w:bookmarkStart w:id="11" w:name="_Toc7043"/>
      <w:bookmarkStart w:id="12" w:name="_Toc13355"/>
      <w:bookmarkStart w:id="13" w:name="_Toc3444"/>
      <w:bookmarkStart w:id="14" w:name="_Toc14896"/>
      <w:bookmarkStart w:id="15" w:name="_Toc7164"/>
      <w:bookmarkStart w:id="16" w:name="_Toc553"/>
      <w:r>
        <w:rPr>
          <w:rFonts w:hint="eastAsia" w:ascii="宋体" w:hAnsi="宋体" w:eastAsia="宋体" w:cs="宋体"/>
          <w:b/>
          <w:color w:val="auto"/>
          <w:sz w:val="28"/>
          <w:szCs w:val="28"/>
          <w:highlight w:val="none"/>
          <w:lang w:eastAsia="zh-CN"/>
        </w:rPr>
        <w:t>景洪市第四中学行政楼、主教学楼及学生宿舍楼修缮建设项目</w:t>
      </w:r>
      <w:bookmarkEnd w:id="6"/>
      <w:bookmarkEnd w:id="7"/>
      <w:bookmarkEnd w:id="8"/>
      <w:bookmarkEnd w:id="9"/>
      <w:bookmarkEnd w:id="10"/>
    </w:p>
    <w:p w14:paraId="45DF7B65">
      <w:pPr>
        <w:tabs>
          <w:tab w:val="center" w:pos="4879"/>
          <w:tab w:val="left" w:pos="7424"/>
        </w:tabs>
        <w:spacing w:line="560" w:lineRule="exact"/>
        <w:jc w:val="center"/>
        <w:outlineLvl w:val="1"/>
        <w:rPr>
          <w:rFonts w:hint="eastAsia" w:ascii="宋体" w:hAnsi="宋体" w:eastAsia="宋体" w:cs="宋体"/>
          <w:bCs/>
          <w:color w:val="auto"/>
          <w:sz w:val="28"/>
          <w:szCs w:val="28"/>
          <w:highlight w:val="none"/>
        </w:rPr>
      </w:pPr>
      <w:bookmarkStart w:id="17" w:name="_Toc15666"/>
      <w:bookmarkStart w:id="18" w:name="_Toc20720"/>
      <w:bookmarkStart w:id="19" w:name="_Toc23172"/>
      <w:bookmarkStart w:id="20" w:name="_Toc17696"/>
      <w:bookmarkStart w:id="21" w:name="_Toc18556"/>
      <w:r>
        <w:rPr>
          <w:rFonts w:hint="eastAsia" w:ascii="宋体" w:hAnsi="宋体" w:eastAsia="宋体" w:cs="宋体"/>
          <w:b/>
          <w:color w:val="auto"/>
          <w:sz w:val="28"/>
          <w:szCs w:val="28"/>
          <w:highlight w:val="none"/>
          <w:lang w:eastAsia="zh-CN"/>
        </w:rPr>
        <w:t>竞争性磋商</w:t>
      </w:r>
      <w:r>
        <w:rPr>
          <w:rFonts w:hint="eastAsia" w:ascii="宋体" w:hAnsi="宋体" w:eastAsia="宋体" w:cs="宋体"/>
          <w:b/>
          <w:color w:val="auto"/>
          <w:sz w:val="28"/>
          <w:szCs w:val="28"/>
          <w:highlight w:val="none"/>
        </w:rPr>
        <w:t>公告</w:t>
      </w:r>
      <w:bookmarkEnd w:id="11"/>
      <w:bookmarkEnd w:id="12"/>
      <w:bookmarkEnd w:id="13"/>
      <w:bookmarkEnd w:id="14"/>
      <w:bookmarkEnd w:id="15"/>
      <w:bookmarkEnd w:id="16"/>
      <w:bookmarkEnd w:id="17"/>
      <w:bookmarkEnd w:id="18"/>
      <w:bookmarkEnd w:id="19"/>
      <w:bookmarkEnd w:id="20"/>
      <w:bookmarkEnd w:id="21"/>
    </w:p>
    <w:p w14:paraId="2DB5AEB9">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40" w:lineRule="exac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项目概况</w:t>
      </w:r>
    </w:p>
    <w:p w14:paraId="355F9C1F">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景洪市第四中学行政楼、主教学楼及学生宿舍楼修缮建设项目 </w:t>
      </w:r>
      <w:r>
        <w:rPr>
          <w:rFonts w:hint="eastAsia" w:ascii="宋体" w:hAnsi="宋体" w:eastAsia="宋体" w:cs="宋体"/>
          <w:color w:val="auto"/>
          <w:sz w:val="24"/>
          <w:highlight w:val="none"/>
        </w:rPr>
        <w:t>的潜在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应在</w:t>
      </w:r>
      <w:r>
        <w:rPr>
          <w:rFonts w:hint="eastAsia" w:ascii="宋体" w:hAnsi="宋体" w:eastAsia="宋体" w:cs="宋体"/>
          <w:color w:val="auto"/>
          <w:sz w:val="24"/>
          <w:highlight w:val="none"/>
          <w:u w:val="single"/>
        </w:rPr>
        <w:t xml:space="preserve"> 政采云平台（</w:t>
      </w:r>
      <w:r>
        <w:rPr>
          <w:rFonts w:hint="eastAsia" w:ascii="宋体" w:hAnsi="宋体" w:cs="宋体"/>
          <w:color w:val="auto"/>
          <w:sz w:val="24"/>
          <w:highlight w:val="none"/>
          <w:u w:val="single"/>
          <w:lang w:val="en-US" w:eastAsia="zh-CN"/>
        </w:rPr>
        <w:t>网址：</w:t>
      </w:r>
      <w:r>
        <w:rPr>
          <w:rFonts w:hint="eastAsia" w:ascii="宋体" w:hAnsi="宋体" w:eastAsia="宋体" w:cs="宋体"/>
          <w:color w:val="auto"/>
          <w:sz w:val="24"/>
          <w:highlight w:val="none"/>
          <w:u w:val="single"/>
        </w:rPr>
        <w:t>https://www.zcygov.cn）</w:t>
      </w:r>
      <w:r>
        <w:rPr>
          <w:rFonts w:hint="eastAsia" w:ascii="宋体" w:hAnsi="宋体" w:cs="宋体"/>
          <w:color w:val="auto"/>
          <w:sz w:val="24"/>
          <w:highlight w:val="none"/>
          <w:u w:val="none"/>
          <w:lang w:val="en-US" w:eastAsia="zh-CN"/>
        </w:rPr>
        <w:t>线上</w:t>
      </w:r>
      <w:r>
        <w:rPr>
          <w:rFonts w:hint="eastAsia" w:ascii="宋体" w:hAnsi="宋体" w:eastAsia="宋体" w:cs="宋体"/>
          <w:color w:val="auto"/>
          <w:sz w:val="24"/>
          <w:highlight w:val="none"/>
        </w:rPr>
        <w:t>获取</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，并于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2025</w:t>
      </w:r>
      <w:r>
        <w:rPr>
          <w:rFonts w:hint="eastAsia" w:ascii="宋体" w:hAnsi="宋体" w:eastAsia="宋体" w:cs="宋体"/>
          <w:bCs/>
          <w:color w:val="auto"/>
          <w:sz w:val="24"/>
          <w:highlight w:val="none"/>
          <w:u w:val="single"/>
        </w:rPr>
        <w:t>年</w:t>
      </w:r>
      <w:r>
        <w:rPr>
          <w:rFonts w:hint="eastAsia" w:ascii="宋体" w:hAnsi="宋体" w:cs="宋体"/>
          <w:bCs/>
          <w:color w:val="auto"/>
          <w:sz w:val="24"/>
          <w:highlight w:val="none"/>
          <w:u w:val="single"/>
          <w:lang w:val="en-US" w:eastAsia="zh-CN"/>
        </w:rPr>
        <w:t>03</w:t>
      </w:r>
      <w:r>
        <w:rPr>
          <w:rFonts w:hint="eastAsia" w:ascii="宋体" w:hAnsi="宋体" w:eastAsia="宋体" w:cs="宋体"/>
          <w:bCs/>
          <w:color w:val="auto"/>
          <w:sz w:val="24"/>
          <w:highlight w:val="none"/>
          <w:u w:val="single"/>
        </w:rPr>
        <w:t>月</w:t>
      </w:r>
      <w:r>
        <w:rPr>
          <w:rFonts w:hint="eastAsia" w:ascii="宋体" w:hAnsi="宋体" w:cs="宋体"/>
          <w:bCs/>
          <w:color w:val="auto"/>
          <w:sz w:val="24"/>
          <w:highlight w:val="none"/>
          <w:u w:val="single"/>
          <w:lang w:val="en-US" w:eastAsia="zh-CN"/>
        </w:rPr>
        <w:t>28</w:t>
      </w:r>
      <w:r>
        <w:rPr>
          <w:rFonts w:hint="eastAsia" w:ascii="宋体" w:hAnsi="宋体" w:eastAsia="宋体" w:cs="宋体"/>
          <w:bCs/>
          <w:color w:val="auto"/>
          <w:sz w:val="24"/>
          <w:highlight w:val="none"/>
          <w:u w:val="single"/>
        </w:rPr>
        <w:t>日</w:t>
      </w:r>
      <w:r>
        <w:rPr>
          <w:rFonts w:hint="eastAsia" w:ascii="宋体" w:hAnsi="宋体" w:eastAsia="宋体" w:cs="宋体"/>
          <w:bCs/>
          <w:color w:val="auto"/>
          <w:sz w:val="24"/>
          <w:highlight w:val="none"/>
          <w:u w:val="single"/>
          <w:lang w:val="en-US" w:eastAsia="zh-CN"/>
        </w:rPr>
        <w:t>09</w:t>
      </w:r>
      <w:r>
        <w:rPr>
          <w:rFonts w:hint="eastAsia" w:ascii="宋体" w:hAnsi="宋体" w:eastAsia="宋体" w:cs="宋体"/>
          <w:bCs/>
          <w:color w:val="auto"/>
          <w:sz w:val="24"/>
          <w:highlight w:val="none"/>
          <w:u w:val="single"/>
        </w:rPr>
        <w:t>时</w:t>
      </w:r>
      <w:r>
        <w:rPr>
          <w:rFonts w:hint="eastAsia" w:ascii="宋体" w:hAnsi="宋体" w:eastAsia="宋体" w:cs="宋体"/>
          <w:bCs/>
          <w:color w:val="auto"/>
          <w:sz w:val="24"/>
          <w:highlight w:val="none"/>
          <w:u w:val="single"/>
          <w:lang w:val="en-US" w:eastAsia="zh-CN"/>
        </w:rPr>
        <w:t>00</w:t>
      </w:r>
      <w:r>
        <w:rPr>
          <w:rFonts w:hint="eastAsia" w:ascii="宋体" w:hAnsi="宋体" w:eastAsia="宋体" w:cs="宋体"/>
          <w:bCs/>
          <w:color w:val="auto"/>
          <w:sz w:val="24"/>
          <w:highlight w:val="none"/>
          <w:u w:val="single"/>
        </w:rPr>
        <w:t>分</w:t>
      </w:r>
      <w:r>
        <w:rPr>
          <w:rFonts w:hint="eastAsia" w:ascii="宋体" w:hAnsi="宋体" w:eastAsia="宋体" w:cs="宋体"/>
          <w:bCs/>
          <w:color w:val="auto"/>
          <w:sz w:val="24"/>
          <w:highlight w:val="none"/>
        </w:rPr>
        <w:t>（北京时间）前提交</w:t>
      </w:r>
      <w:r>
        <w:rPr>
          <w:rFonts w:hint="eastAsia" w:ascii="宋体" w:hAnsi="宋体" w:eastAsia="宋体" w:cs="宋体"/>
          <w:bCs/>
          <w:color w:val="auto"/>
          <w:sz w:val="24"/>
          <w:highlight w:val="none"/>
          <w:lang w:eastAsia="zh-CN"/>
        </w:rPr>
        <w:t>响应</w:t>
      </w:r>
      <w:r>
        <w:rPr>
          <w:rFonts w:hint="eastAsia" w:ascii="宋体" w:hAnsi="宋体" w:eastAsia="宋体" w:cs="宋体"/>
          <w:bCs/>
          <w:color w:val="auto"/>
          <w:sz w:val="24"/>
          <w:highlight w:val="none"/>
        </w:rPr>
        <w:t>文件</w:t>
      </w:r>
      <w:r>
        <w:rPr>
          <w:rFonts w:hint="eastAsia" w:ascii="宋体" w:hAnsi="宋体" w:eastAsia="宋体" w:cs="宋体"/>
          <w:color w:val="auto"/>
          <w:sz w:val="24"/>
          <w:highlight w:val="none"/>
        </w:rPr>
        <w:t>。</w:t>
      </w:r>
    </w:p>
    <w:p w14:paraId="5F7E9015">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4"/>
          <w:highlight w:val="none"/>
        </w:rPr>
      </w:pPr>
      <w:bookmarkStart w:id="22" w:name="_Toc28359012"/>
      <w:bookmarkStart w:id="23" w:name="_Toc35393798"/>
      <w:bookmarkStart w:id="24" w:name="_Toc3084"/>
      <w:bookmarkStart w:id="25" w:name="_Toc2347"/>
      <w:bookmarkStart w:id="26" w:name="_Toc35393629"/>
      <w:bookmarkStart w:id="27" w:name="_Toc26103"/>
      <w:bookmarkStart w:id="28" w:name="_Toc28359089"/>
      <w:bookmarkStart w:id="29" w:name="_Toc21545"/>
      <w:r>
        <w:rPr>
          <w:rFonts w:hint="eastAsia" w:ascii="宋体" w:hAnsi="宋体" w:eastAsia="宋体" w:cs="宋体"/>
          <w:b/>
          <w:color w:val="auto"/>
          <w:sz w:val="24"/>
          <w:highlight w:val="none"/>
        </w:rPr>
        <w:t>一、项目基本情况</w:t>
      </w:r>
      <w:bookmarkEnd w:id="22"/>
      <w:bookmarkEnd w:id="23"/>
      <w:bookmarkEnd w:id="24"/>
      <w:bookmarkEnd w:id="25"/>
      <w:bookmarkEnd w:id="26"/>
      <w:bookmarkEnd w:id="27"/>
      <w:bookmarkEnd w:id="28"/>
      <w:bookmarkEnd w:id="29"/>
    </w:p>
    <w:p w14:paraId="316FCEA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bCs w:val="0"/>
          <w:color w:val="auto"/>
          <w:sz w:val="24"/>
          <w:highlight w:val="none"/>
        </w:rPr>
        <w:t>1.项目编号：</w:t>
      </w:r>
      <w:r>
        <w:rPr>
          <w:rFonts w:hint="eastAsia" w:ascii="宋体" w:hAnsi="宋体" w:eastAsia="宋体" w:cs="宋体"/>
          <w:b w:val="0"/>
          <w:bCs/>
          <w:color w:val="auto"/>
          <w:sz w:val="24"/>
          <w:highlight w:val="none"/>
        </w:rPr>
        <w:t>YNXC2</w:t>
      </w:r>
      <w:r>
        <w:rPr>
          <w:rFonts w:hint="eastAsia" w:ascii="宋体" w:hAnsi="宋体" w:cs="宋体"/>
          <w:b w:val="0"/>
          <w:bCs/>
          <w:color w:val="auto"/>
          <w:sz w:val="24"/>
          <w:highlight w:val="none"/>
          <w:lang w:val="en-US" w:eastAsia="zh-CN"/>
        </w:rPr>
        <w:t>5</w:t>
      </w:r>
      <w:r>
        <w:rPr>
          <w:rFonts w:hint="eastAsia" w:ascii="宋体" w:hAnsi="宋体" w:eastAsia="宋体" w:cs="宋体"/>
          <w:b w:val="0"/>
          <w:bCs/>
          <w:color w:val="auto"/>
          <w:sz w:val="24"/>
          <w:highlight w:val="none"/>
        </w:rPr>
        <w:t>-</w:t>
      </w:r>
      <w:r>
        <w:rPr>
          <w:rFonts w:hint="eastAsia" w:ascii="宋体" w:hAnsi="宋体" w:cs="宋体"/>
          <w:b w:val="0"/>
          <w:bCs/>
          <w:color w:val="auto"/>
          <w:sz w:val="24"/>
          <w:highlight w:val="none"/>
          <w:lang w:val="en-US" w:eastAsia="zh-CN"/>
        </w:rPr>
        <w:t>06</w:t>
      </w:r>
      <w:r>
        <w:rPr>
          <w:rFonts w:hint="eastAsia" w:ascii="宋体" w:hAnsi="宋体" w:eastAsia="宋体" w:cs="宋体"/>
          <w:b w:val="0"/>
          <w:bCs/>
          <w:color w:val="auto"/>
          <w:sz w:val="24"/>
          <w:highlight w:val="none"/>
        </w:rPr>
        <w:t>号</w:t>
      </w:r>
      <w:r>
        <w:rPr>
          <w:rFonts w:hint="eastAsia" w:ascii="宋体" w:hAnsi="宋体" w:cs="宋体"/>
          <w:b w:val="0"/>
          <w:bCs/>
          <w:color w:val="auto"/>
          <w:sz w:val="24"/>
          <w:highlight w:val="none"/>
          <w:lang w:val="en-US" w:eastAsia="zh-CN"/>
        </w:rPr>
        <w:t xml:space="preserve"> </w:t>
      </w:r>
    </w:p>
    <w:p w14:paraId="799F605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b/>
          <w:bCs w:val="0"/>
          <w:color w:val="auto"/>
          <w:sz w:val="24"/>
          <w:highlight w:val="none"/>
        </w:rPr>
        <w:t>2.项目名称：</w:t>
      </w:r>
      <w:r>
        <w:rPr>
          <w:rFonts w:hint="eastAsia" w:ascii="宋体" w:hAnsi="宋体" w:eastAsia="宋体" w:cs="宋体"/>
          <w:color w:val="auto"/>
          <w:sz w:val="24"/>
          <w:highlight w:val="none"/>
          <w:lang w:val="en-US" w:eastAsia="zh-CN"/>
        </w:rPr>
        <w:t>景洪市第四中学行政楼、主教学楼及学生宿舍楼修缮建设项目</w:t>
      </w:r>
    </w:p>
    <w:p w14:paraId="44D83FB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3.采购方式：</w:t>
      </w:r>
      <w:r>
        <w:rPr>
          <w:rFonts w:hint="eastAsia" w:ascii="宋体" w:hAnsi="宋体" w:eastAsia="宋体" w:cs="宋体"/>
          <w:color w:val="auto"/>
          <w:sz w:val="24"/>
          <w:highlight w:val="none"/>
          <w:lang w:val="en-US" w:eastAsia="zh-CN"/>
        </w:rPr>
        <w:t>竞争性磋商</w:t>
      </w:r>
    </w:p>
    <w:p w14:paraId="661E57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color w:val="auto"/>
          <w:sz w:val="24"/>
          <w:highlight w:val="none"/>
          <w:u w:val="none"/>
          <w:lang w:val="en-US" w:eastAsia="zh-CN"/>
        </w:rPr>
      </w:pPr>
      <w:r>
        <w:rPr>
          <w:rFonts w:hint="eastAsia" w:ascii="宋体" w:hAnsi="宋体" w:eastAsia="宋体" w:cs="宋体"/>
          <w:b/>
          <w:bCs/>
          <w:color w:val="auto"/>
          <w:sz w:val="24"/>
          <w:highlight w:val="none"/>
          <w:lang w:val="en-US" w:eastAsia="zh-CN"/>
        </w:rPr>
        <w:t>4.预算金额（万元）</w:t>
      </w:r>
      <w:r>
        <w:rPr>
          <w:rFonts w:hint="eastAsia" w:ascii="宋体" w:hAnsi="宋体" w:eastAsia="宋体" w:cs="宋体"/>
          <w:b/>
          <w:bCs/>
          <w:color w:val="auto"/>
          <w:sz w:val="24"/>
          <w:highlight w:val="none"/>
        </w:rPr>
        <w:t>：</w:t>
      </w:r>
      <w:r>
        <w:rPr>
          <w:rFonts w:hint="eastAsia" w:ascii="宋体" w:hAnsi="宋体" w:cs="宋体"/>
          <w:color w:val="auto"/>
          <w:sz w:val="24"/>
          <w:highlight w:val="none"/>
          <w:u w:val="none"/>
          <w:lang w:val="en-US" w:eastAsia="zh-CN"/>
        </w:rPr>
        <w:t>280.00</w:t>
      </w:r>
    </w:p>
    <w:p w14:paraId="1EEA2B5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val="0"/>
          <w:bCs w:val="0"/>
          <w:color w:val="auto"/>
          <w:sz w:val="24"/>
          <w:highlight w:val="cyan"/>
          <w:lang w:val="en-US" w:eastAsia="zh-CN"/>
        </w:rPr>
      </w:pP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.最高限价（万元）：</w:t>
      </w:r>
      <w:r>
        <w:rPr>
          <w:rFonts w:hint="eastAsia" w:ascii="宋体" w:hAnsi="宋体" w:cs="宋体"/>
          <w:b w:val="0"/>
          <w:bCs w:val="0"/>
          <w:color w:val="auto"/>
          <w:sz w:val="24"/>
          <w:highlight w:val="none"/>
          <w:lang w:val="en-US" w:eastAsia="zh-CN"/>
        </w:rPr>
        <w:t>269.935458</w:t>
      </w:r>
    </w:p>
    <w:p w14:paraId="6ED77D2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.采购需求：</w:t>
      </w:r>
    </w:p>
    <w:p w14:paraId="025A0CB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b w:val="0"/>
          <w:bCs/>
          <w:color w:val="auto"/>
          <w:sz w:val="24"/>
          <w:highlight w:val="none"/>
          <w:lang w:val="en-US" w:eastAsia="zh-CN"/>
        </w:rPr>
      </w:pPr>
      <w:r>
        <w:rPr>
          <w:rFonts w:hint="eastAsia" w:ascii="宋体" w:hAnsi="宋体" w:eastAsia="宋体" w:cs="宋体"/>
          <w:b w:val="0"/>
          <w:bCs w:val="0"/>
          <w:color w:val="auto"/>
          <w:sz w:val="24"/>
          <w:highlight w:val="none"/>
          <w:lang w:val="en-US" w:eastAsia="zh-CN"/>
        </w:rPr>
        <w:t>6.1采购需求：按</w:t>
      </w:r>
      <w:r>
        <w:rPr>
          <w:rFonts w:hint="eastAsia" w:ascii="宋体" w:hAnsi="宋体" w:eastAsia="宋体" w:cs="宋体"/>
          <w:color w:val="auto"/>
          <w:sz w:val="24"/>
          <w:highlight w:val="none"/>
          <w:lang w:val="en-US" w:eastAsia="zh-CN"/>
        </w:rPr>
        <w:t>采购人要求完成</w:t>
      </w:r>
      <w:r>
        <w:rPr>
          <w:rFonts w:hint="eastAsia" w:ascii="宋体" w:hAnsi="宋体" w:eastAsia="宋体" w:cs="宋体"/>
          <w:b w:val="0"/>
          <w:bCs/>
          <w:color w:val="auto"/>
          <w:sz w:val="24"/>
          <w:highlight w:val="none"/>
          <w:lang w:val="en-US" w:eastAsia="zh-CN"/>
        </w:rPr>
        <w:t>本项目修缮一栋行政楼，五层框架结构，总建筑面积4937.25平方米;修缮一栋主教学楼，五层框架结构，总建筑面积19764.2平方米;修缮一栋学生宿舍楼，五层框架结构，总建筑面积17721.72平方米。具体以发布的工程量清单为准。</w:t>
      </w:r>
    </w:p>
    <w:p w14:paraId="2593A1F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6.2质量要求：符合现行国家有关工程施工验收规范和标准的要求，一次性验收合格。</w:t>
      </w:r>
    </w:p>
    <w:p w14:paraId="27170DD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color w:val="auto"/>
          <w:sz w:val="24"/>
          <w:highlight w:val="none"/>
          <w:lang w:val="en-US" w:eastAsia="zh-CN"/>
        </w:rPr>
      </w:pPr>
      <w:r>
        <w:rPr>
          <w:rFonts w:hint="eastAsia" w:ascii="宋体" w:hAnsi="宋体" w:eastAsia="宋体" w:cs="宋体"/>
          <w:b w:val="0"/>
          <w:bCs/>
          <w:color w:val="auto"/>
          <w:sz w:val="24"/>
          <w:highlight w:val="none"/>
          <w:lang w:val="en-US" w:eastAsia="zh-CN"/>
        </w:rPr>
        <w:t>6.3项目地点：景洪市第四中学校园内。</w:t>
      </w:r>
    </w:p>
    <w:p w14:paraId="3926C75B">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val="en-US" w:eastAsia="zh-CN"/>
        </w:rPr>
        <w:t>工期</w:t>
      </w:r>
      <w:r>
        <w:rPr>
          <w:rFonts w:hint="eastAsia" w:ascii="宋体" w:hAnsi="宋体" w:eastAsia="宋体" w:cs="宋体"/>
          <w:b/>
          <w:bCs/>
          <w:color w:val="auto"/>
          <w:sz w:val="24"/>
          <w:highlight w:val="none"/>
          <w:lang w:eastAsia="zh-CN"/>
        </w:rPr>
        <w:t>：</w:t>
      </w:r>
      <w:r>
        <w:rPr>
          <w:rFonts w:hint="eastAsia" w:ascii="宋体" w:hAnsi="宋体" w:cs="宋体"/>
          <w:color w:val="auto"/>
          <w:sz w:val="24"/>
          <w:highlight w:val="none"/>
          <w:lang w:eastAsia="zh-CN"/>
        </w:rPr>
        <w:t>合同签订后，按招标人实际通知开工日期起计算60日历天内完工。</w:t>
      </w:r>
    </w:p>
    <w:p w14:paraId="4FD8DA7D">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8.本项目（是/否）接受联合体：</w:t>
      </w:r>
      <w:r>
        <w:rPr>
          <w:rFonts w:hint="eastAsia" w:ascii="宋体" w:hAnsi="宋体" w:eastAsia="宋体" w:cs="宋体"/>
          <w:color w:val="auto"/>
          <w:sz w:val="24"/>
          <w:highlight w:val="none"/>
          <w:lang w:val="en-US" w:eastAsia="zh-CN"/>
        </w:rPr>
        <w:t>否。</w:t>
      </w:r>
    </w:p>
    <w:p w14:paraId="0BC076C2">
      <w:pPr>
        <w:keepNext w:val="0"/>
        <w:keepLines w:val="0"/>
        <w:pageBreakBefore w:val="0"/>
        <w:widowControl w:val="0"/>
        <w:kinsoku/>
        <w:wordWrap/>
        <w:overflowPunct/>
        <w:topLinePunct w:val="0"/>
        <w:autoSpaceDE/>
        <w:autoSpaceDN/>
        <w:bidi w:val="0"/>
        <w:spacing w:line="500" w:lineRule="exact"/>
        <w:textAlignment w:val="auto"/>
        <w:outlineLvl w:val="1"/>
        <w:rPr>
          <w:rFonts w:hint="eastAsia" w:ascii="宋体" w:hAnsi="宋体" w:eastAsia="宋体" w:cs="宋体"/>
          <w:color w:val="auto"/>
          <w:sz w:val="24"/>
          <w:highlight w:val="none"/>
        </w:rPr>
      </w:pPr>
      <w:bookmarkStart w:id="30" w:name="_Toc21939"/>
      <w:bookmarkStart w:id="31" w:name="_Toc28687"/>
      <w:bookmarkStart w:id="32" w:name="_Toc35393630"/>
      <w:bookmarkStart w:id="33" w:name="_Toc28359090"/>
      <w:bookmarkStart w:id="34" w:name="_Toc9505"/>
      <w:bookmarkStart w:id="35" w:name="_Toc26002"/>
      <w:bookmarkStart w:id="36" w:name="_Toc28359013"/>
      <w:bookmarkStart w:id="37" w:name="_Toc35393799"/>
      <w:r>
        <w:rPr>
          <w:rFonts w:hint="eastAsia" w:ascii="宋体" w:hAnsi="宋体" w:eastAsia="宋体" w:cs="宋体"/>
          <w:b/>
          <w:color w:val="auto"/>
          <w:sz w:val="24"/>
          <w:highlight w:val="none"/>
        </w:rPr>
        <w:t>二、</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资格要求：</w:t>
      </w:r>
      <w:bookmarkEnd w:id="30"/>
      <w:bookmarkEnd w:id="31"/>
      <w:bookmarkEnd w:id="32"/>
      <w:bookmarkEnd w:id="33"/>
      <w:bookmarkEnd w:id="34"/>
      <w:bookmarkEnd w:id="35"/>
      <w:bookmarkEnd w:id="36"/>
      <w:bookmarkEnd w:id="37"/>
    </w:p>
    <w:p w14:paraId="7A8E8E47">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1.满足《中华人民共和国政府采购法》第二十二条规定；</w:t>
      </w:r>
    </w:p>
    <w:p w14:paraId="74257445">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1.1 具有独立承担民事责任的能力</w:t>
      </w:r>
      <w:r>
        <w:rPr>
          <w:rFonts w:hint="eastAsia" w:ascii="宋体" w:hAnsi="宋体" w:eastAsia="宋体" w:cs="宋体"/>
          <w:b w:val="0"/>
          <w:bCs w:val="0"/>
          <w:color w:val="auto"/>
          <w:sz w:val="24"/>
          <w:highlight w:val="none"/>
          <w:lang w:val="en-US" w:eastAsia="zh-CN"/>
        </w:rPr>
        <w:t>（供应商提供声明函）</w:t>
      </w:r>
      <w:r>
        <w:rPr>
          <w:rFonts w:hint="eastAsia" w:ascii="宋体" w:hAnsi="宋体" w:eastAsia="宋体" w:cs="宋体"/>
          <w:b w:val="0"/>
          <w:bCs w:val="0"/>
          <w:color w:val="auto"/>
          <w:sz w:val="24"/>
          <w:highlight w:val="none"/>
        </w:rPr>
        <w:t>。</w:t>
      </w:r>
    </w:p>
    <w:p w14:paraId="5ECE2BB2">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1.2 具有良好的商业信誉和健全的财务会计制度</w:t>
      </w:r>
      <w:r>
        <w:rPr>
          <w:rFonts w:hint="eastAsia" w:ascii="宋体" w:hAnsi="宋体" w:eastAsia="宋体" w:cs="宋体"/>
          <w:b w:val="0"/>
          <w:bCs w:val="0"/>
          <w:color w:val="auto"/>
          <w:sz w:val="24"/>
          <w:highlight w:val="none"/>
          <w:lang w:val="en-US" w:eastAsia="zh-CN"/>
        </w:rPr>
        <w:t>（供应商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提供2023年度经审计的审计报告及财务报表（注：根据相关文件规定，企业法人、事业单位法人的会计制度各不相同，各会计制度中要求的财务报告的会计报表组成也不相同。因此，投标人根据其单位所属类别的会计制度规定提供完整的经审计的审计报告及财务报告即可，本项目对财务报告的组成报表不作具体要求），或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bCs/>
          <w:color w:val="000000" w:themeColor="text1"/>
          <w:sz w:val="24"/>
          <w:szCs w:val="24"/>
          <w:highlight w:val="none"/>
          <w:lang w:eastAsia="zh-CN"/>
          <w14:textFill>
            <w14:solidFill>
              <w14:schemeClr w14:val="tx1"/>
            </w14:solidFill>
          </w14:textFill>
        </w:rPr>
        <w:t>文件提交截止时间前三个月内基本开户银行出具的资信证明，或者财政部门认可专业担保机构出具的投标担保函（</w:t>
      </w:r>
      <w:r>
        <w:rPr>
          <w:rFonts w:hint="eastAsia" w:ascii="宋体" w:hAnsi="宋体" w:eastAsia="宋体" w:cs="宋体"/>
          <w:color w:val="000000" w:themeColor="text1"/>
          <w:sz w:val="24"/>
          <w:szCs w:val="24"/>
          <w:highlight w:val="none"/>
          <w14:textFill>
            <w14:solidFill>
              <w14:schemeClr w14:val="tx1"/>
            </w14:solidFill>
          </w14:textFill>
        </w:rPr>
        <w:t>若成立时间不足3个月的应作出说明</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7E86E3A0">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1.3 具有履行合同所必需的设备和专业技术能力的声明函及证明材料。</w:t>
      </w:r>
    </w:p>
    <w:p w14:paraId="69887EA7">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1.4 </w:t>
      </w:r>
      <w:r>
        <w:rPr>
          <w:rFonts w:hint="eastAsia" w:ascii="宋体" w:hAnsi="宋体" w:eastAsia="宋体" w:cs="宋体"/>
          <w:b w:val="0"/>
          <w:bCs w:val="0"/>
          <w:color w:val="auto"/>
          <w:sz w:val="24"/>
          <w:highlight w:val="none"/>
          <w:lang w:val="en-US" w:eastAsia="zh-CN"/>
        </w:rPr>
        <w:t>具</w:t>
      </w:r>
      <w:r>
        <w:rPr>
          <w:rFonts w:hint="eastAsia" w:ascii="宋体" w:hAnsi="宋体" w:eastAsia="宋体" w:cs="宋体"/>
          <w:b w:val="0"/>
          <w:bCs w:val="0"/>
          <w:color w:val="auto"/>
          <w:sz w:val="24"/>
          <w:highlight w:val="none"/>
        </w:rPr>
        <w:t>有依法缴纳税收和社会保障资金的良好记录</w:t>
      </w:r>
      <w:r>
        <w:rPr>
          <w:rFonts w:hint="eastAsia" w:ascii="宋体" w:hAnsi="宋体" w:eastAsia="宋体" w:cs="宋体"/>
          <w:b w:val="0"/>
          <w:bCs w:val="0"/>
          <w:color w:val="auto"/>
          <w:sz w:val="24"/>
          <w:highlight w:val="none"/>
          <w:lang w:val="en-US" w:eastAsia="zh-CN"/>
        </w:rPr>
        <w:t>（供应商提供</w:t>
      </w:r>
      <w:r>
        <w:rPr>
          <w:rFonts w:hint="eastAsia" w:ascii="宋体" w:hAnsi="宋体" w:eastAsia="宋体" w:cs="宋体"/>
          <w:bCs/>
          <w:color w:val="auto"/>
          <w:sz w:val="24"/>
          <w:highlight w:val="none"/>
        </w:rPr>
        <w:t>①参加政府采购活动前段时间（</w:t>
      </w:r>
      <w:r>
        <w:rPr>
          <w:rFonts w:hint="eastAsia" w:ascii="宋体" w:hAnsi="宋体" w:eastAsia="宋体" w:cs="宋体"/>
          <w:bCs/>
          <w:color w:val="auto"/>
          <w:sz w:val="24"/>
          <w:highlight w:val="none"/>
          <w:lang w:val="en-US" w:eastAsia="zh-CN"/>
        </w:rPr>
        <w:t>20</w:t>
      </w:r>
      <w:r>
        <w:rPr>
          <w:rFonts w:hint="eastAsia" w:ascii="宋体" w:hAnsi="宋体" w:cs="宋体"/>
          <w:bCs/>
          <w:color w:val="auto"/>
          <w:sz w:val="24"/>
          <w:highlight w:val="none"/>
          <w:lang w:val="en-US" w:eastAsia="zh-CN"/>
        </w:rPr>
        <w:t>24</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月至今连续</w:t>
      </w: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rPr>
        <w:t>个月）依法缴纳税收凭据（税收是指增值税或者营业税或者企业所得税），税务局税收通用缴款书或银行电子缴税(费)凭证或税务局出具纳税情况缴税的证明，如在参加政府采购活动前段时间（</w:t>
      </w:r>
      <w:r>
        <w:rPr>
          <w:rFonts w:hint="eastAsia" w:ascii="宋体" w:hAnsi="宋体" w:eastAsia="宋体" w:cs="宋体"/>
          <w:bCs/>
          <w:color w:val="auto"/>
          <w:sz w:val="24"/>
          <w:highlight w:val="none"/>
          <w:lang w:val="en-US" w:eastAsia="zh-CN"/>
        </w:rPr>
        <w:t>20</w:t>
      </w:r>
      <w:r>
        <w:rPr>
          <w:rFonts w:hint="eastAsia" w:ascii="宋体" w:hAnsi="宋体" w:cs="宋体"/>
          <w:bCs/>
          <w:color w:val="auto"/>
          <w:sz w:val="24"/>
          <w:highlight w:val="none"/>
          <w:lang w:val="en-US" w:eastAsia="zh-CN"/>
        </w:rPr>
        <w:t>24</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月至今）上税为零，提供该段时间税收为零的《增值税或者营业税或者企业所得税申报表》或者《增值税或者营业税或者企业所得税网上办税受理通知单》的复印件。依法免税的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，提供相应的免税文件证明资料（若为新成立的公司应作出说明）；②提供缴费所属时间在（20</w:t>
      </w: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月至今连续</w:t>
      </w: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rPr>
        <w:t>个月）依法缴纳社会保障资金</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养老、医疗、工伤、失业</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凭据（社会保险缴纳清单或社会保障专用收据或社保管理部门出具的有效的缴款证明等）。依法不需要缴纳的，提供不需要缴纳社会保障资金文件证明资料的（若为新成立的公司应作出说明）</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eastAsia="zh-CN"/>
        </w:rPr>
        <w:t>。</w:t>
      </w:r>
    </w:p>
    <w:p w14:paraId="34241F36">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1.5 参加政府采购活动前三年内，在经营活动中没有重大违法记录</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供应商提供书面声明</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w:t>
      </w:r>
    </w:p>
    <w:p w14:paraId="460E39CF">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1.6 法律、行政法规规定的其他条件</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供应商提供满足</w:t>
      </w:r>
      <w:r>
        <w:rPr>
          <w:rFonts w:hint="eastAsia" w:ascii="宋体" w:hAnsi="宋体" w:eastAsia="宋体" w:cs="宋体"/>
          <w:b w:val="0"/>
          <w:bCs w:val="0"/>
          <w:color w:val="auto"/>
          <w:sz w:val="24"/>
          <w:highlight w:val="none"/>
        </w:rPr>
        <w:t>法律、行政法规规定的其他条件</w:t>
      </w:r>
      <w:r>
        <w:rPr>
          <w:rFonts w:hint="eastAsia" w:ascii="宋体" w:hAnsi="宋体" w:eastAsia="宋体" w:cs="宋体"/>
          <w:b w:val="0"/>
          <w:bCs w:val="0"/>
          <w:color w:val="auto"/>
          <w:sz w:val="24"/>
          <w:highlight w:val="none"/>
          <w:lang w:val="en-US" w:eastAsia="zh-CN"/>
        </w:rPr>
        <w:t>声明函</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w:t>
      </w:r>
    </w:p>
    <w:p w14:paraId="6E0B310B">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auto"/>
          <w:sz w:val="24"/>
          <w:highlight w:val="none"/>
        </w:rPr>
        <w:t>2.落实政府采购政策需满足的资格要求：</w:t>
      </w:r>
      <w:r>
        <w:rPr>
          <w:rFonts w:hint="eastAsia" w:ascii="宋体" w:hAnsi="宋体" w:eastAsia="宋体" w:cs="宋体"/>
          <w:color w:val="000000" w:themeColor="text1"/>
          <w:sz w:val="24"/>
          <w:highlight w:val="none"/>
          <w:lang w:val="en-US" w:eastAsia="zh-CN"/>
          <w14:textFill>
            <w14:solidFill>
              <w14:schemeClr w14:val="tx1"/>
            </w14:solidFill>
          </w14:textFill>
        </w:rPr>
        <w:t>本项目专门面向中小企业采购</w:t>
      </w:r>
    </w:p>
    <w:p w14:paraId="41462872">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根据《政府采购促进中小企业发展管理办法》（财库〔2020〕46号）、《关于进一步加大政府采购支持中小企业力度的通知》（财库〔2022〕19号）、《财政部司法部关于政府采购支持监狱企业发展有关问题的通知》 (财库〔2014〕68 号)、《关于促进残疾人就业政府采购政策的通知》（财库〔2017〕141 号）和《云南省财政厅关于促进政府采购公平竞争优化营商环境的实施意见》（云财规〔2019〕5号）等文件</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本项目专门面向中小企业采购，供应商必须为中型企业、小型企业、微型企业；监狱企业、残疾人福利性单位视同小型企业、微型企业</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提供监狱企业、残疾人福利性单位相关证明材料和中小企业声明函内容不实的，属于提供虚假材料谋取中标，将依照《中华人民共和国政府采购法》等国家有关规定追究相应责任。本项目所属行业为：建筑业。  </w:t>
      </w:r>
    </w:p>
    <w:p w14:paraId="0ADF3DBC">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3.本项目的特定资格要求：</w:t>
      </w:r>
    </w:p>
    <w:p w14:paraId="2BB8385D">
      <w:pPr>
        <w:keepNext w:val="0"/>
        <w:keepLines w:val="0"/>
        <w:pageBreakBefore w:val="0"/>
        <w:widowControl w:val="0"/>
        <w:kinsoku/>
        <w:wordWrap/>
        <w:overflowPunct/>
        <w:topLinePunct w:val="0"/>
        <w:autoSpaceDE/>
        <w:autoSpaceDN/>
        <w:bidi w:val="0"/>
        <w:spacing w:line="500" w:lineRule="exact"/>
        <w:ind w:firstLine="484" w:firstLineChars="20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3.1企业资质：</w:t>
      </w:r>
      <w:r>
        <w:rPr>
          <w:rFonts w:hint="eastAsia" w:ascii="宋体" w:hAnsi="宋体" w:eastAsia="宋体" w:cs="宋体"/>
          <w:color w:val="auto"/>
          <w:sz w:val="24"/>
          <w:szCs w:val="24"/>
          <w:highlight w:val="none"/>
          <w:lang w:val="en-US" w:eastAsia="zh-CN"/>
        </w:rPr>
        <w:t>供应商须具备建筑工程施工总承包叁级及以上资质，并具有有效的安全生产许可证，并在人员、设备等方面具备施工能力。</w:t>
      </w:r>
    </w:p>
    <w:p w14:paraId="64D86626">
      <w:pPr>
        <w:keepNext w:val="0"/>
        <w:keepLines w:val="0"/>
        <w:pageBreakBefore w:val="0"/>
        <w:widowControl w:val="0"/>
        <w:kinsoku/>
        <w:wordWrap/>
        <w:overflowPunct/>
        <w:topLinePunct w:val="0"/>
        <w:autoSpaceDE/>
        <w:autoSpaceDN/>
        <w:bidi w:val="0"/>
        <w:spacing w:line="500" w:lineRule="exact"/>
        <w:ind w:firstLine="484" w:firstLineChars="20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3.2项目负责人要求：供</w:t>
      </w:r>
      <w:r>
        <w:rPr>
          <w:rFonts w:hint="eastAsia" w:ascii="宋体" w:hAnsi="宋体" w:eastAsia="宋体" w:cs="宋体"/>
          <w:color w:val="auto"/>
          <w:sz w:val="24"/>
          <w:szCs w:val="24"/>
          <w:highlight w:val="none"/>
          <w:lang w:val="en-US" w:eastAsia="zh-CN"/>
        </w:rPr>
        <w:t>应商拟派的项目负责人须具备有效的建筑工程专业二级及以上注册建造师执业资格证书（不含临时）和有效的安全生产考核合格证书</w:t>
      </w:r>
      <w:r>
        <w:rPr>
          <w:rFonts w:hint="eastAsia" w:ascii="宋体" w:hAnsi="宋体" w:eastAsia="宋体" w:cs="宋体"/>
          <w:b w:val="0"/>
          <w:bCs w:val="0"/>
          <w:color w:val="auto"/>
          <w:sz w:val="24"/>
          <w:szCs w:val="24"/>
          <w:highlight w:val="none"/>
          <w:lang w:val="en-US" w:eastAsia="zh-CN"/>
        </w:rPr>
        <w:t>（B证）</w:t>
      </w:r>
      <w:r>
        <w:rPr>
          <w:rFonts w:hint="eastAsia" w:ascii="宋体" w:hAnsi="宋体" w:eastAsia="宋体" w:cs="宋体"/>
          <w:color w:val="auto"/>
          <w:sz w:val="24"/>
          <w:szCs w:val="24"/>
          <w:highlight w:val="none"/>
          <w:lang w:val="en-US" w:eastAsia="zh-CN"/>
        </w:rPr>
        <w:t>，且不能担任其他在建工程的项目负责人，拟任项目负责人一经委派，不得擅自更换。</w:t>
      </w:r>
    </w:p>
    <w:p w14:paraId="1F741ADA">
      <w:pPr>
        <w:keepNext w:val="0"/>
        <w:keepLines w:val="0"/>
        <w:pageBreakBefore w:val="0"/>
        <w:widowControl w:val="0"/>
        <w:kinsoku/>
        <w:wordWrap/>
        <w:overflowPunct/>
        <w:topLinePunct w:val="0"/>
        <w:autoSpaceDE/>
        <w:autoSpaceDN/>
        <w:bidi w:val="0"/>
        <w:spacing w:line="500" w:lineRule="exact"/>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供应商信誉良好，</w:t>
      </w:r>
      <w:r>
        <w:rPr>
          <w:rFonts w:hint="eastAsia" w:ascii="宋体" w:hAnsi="宋体" w:eastAsia="宋体" w:cs="宋体"/>
          <w:color w:val="000000" w:themeColor="text1"/>
          <w:sz w:val="24"/>
          <w:szCs w:val="24"/>
          <w:highlight w:val="none"/>
          <w14:textFill>
            <w14:solidFill>
              <w14:schemeClr w14:val="tx1"/>
            </w14:solidFill>
          </w14:textFill>
        </w:rPr>
        <w:t>根据《财政部关于在政府采购活动中查询及使用信用记录有关问题的通知-财库〔2016〕125号》相关要求，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在中国执行信息公开网（http://zxgk.court.gov.cn）未被列入失信被执行人，在“信用中国”未被列入网站政府采购严重违法失信行为记录名单和重大税收违法失信主体，</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在国家企业信用信息公示系统（http://www.gsxt.gov.cn）未被列入经营异常名录和严重违法失信企业名单（黑名单），在中国政府采购网( www.ccgp.gov.cn)无政府采购严重违法失信行为记录</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供应商需提供信誉承诺书</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。对列入失信被执行人、为税收违法失信主体、经营异常名录和严重违法失信企业名单（黑名单）、政府采购严重违法失信行为记录名单的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，拒绝参与本项目采购活动（查询结果以采购人、采购代理机构查询结果为准）。</w:t>
      </w:r>
    </w:p>
    <w:p w14:paraId="27BDC352">
      <w:pPr>
        <w:keepNext w:val="0"/>
        <w:keepLines w:val="0"/>
        <w:pageBreakBefore w:val="0"/>
        <w:widowControl w:val="0"/>
        <w:kinsoku/>
        <w:wordWrap/>
        <w:overflowPunct/>
        <w:topLinePunct w:val="0"/>
        <w:autoSpaceDE/>
        <w:autoSpaceDN/>
        <w:bidi w:val="0"/>
        <w:spacing w:line="500" w:lineRule="exact"/>
        <w:ind w:firstLine="484" w:firstLineChars="202"/>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根据《中华人民共和国政府采购法实施条例》第十八条规定：（1）单位负责人为同一人或者存在直接控股、管理关系的不同供应商，不得参加同一合同项下的政府采购活动。（2）除单一来源采购项目外，为采购项目提供整体设计、规范编制或者项目管理、监理、检测等服务的供应商，不得再参加该采购项目的其他采购活动。</w:t>
      </w:r>
    </w:p>
    <w:p w14:paraId="03AE10AD">
      <w:pPr>
        <w:keepNext w:val="0"/>
        <w:keepLines w:val="0"/>
        <w:pageBreakBefore w:val="0"/>
        <w:widowControl w:val="0"/>
        <w:kinsoku/>
        <w:wordWrap/>
        <w:overflowPunct/>
        <w:topLinePunct w:val="0"/>
        <w:autoSpaceDE/>
        <w:autoSpaceDN/>
        <w:bidi w:val="0"/>
        <w:spacing w:line="500" w:lineRule="exact"/>
        <w:textAlignment w:val="auto"/>
        <w:outlineLvl w:val="1"/>
        <w:rPr>
          <w:rFonts w:hint="eastAsia" w:ascii="宋体" w:hAnsi="宋体" w:eastAsia="宋体" w:cs="宋体"/>
          <w:b/>
          <w:bCs/>
          <w:color w:val="auto"/>
          <w:sz w:val="24"/>
          <w:highlight w:val="none"/>
        </w:rPr>
      </w:pPr>
      <w:bookmarkStart w:id="38" w:name="_Toc25467"/>
      <w:bookmarkStart w:id="39" w:name="_Toc21044"/>
      <w:bookmarkStart w:id="40" w:name="_Toc27638"/>
      <w:bookmarkStart w:id="41" w:name="_Toc11123"/>
      <w:r>
        <w:rPr>
          <w:rFonts w:hint="eastAsia" w:ascii="宋体" w:hAnsi="宋体" w:eastAsia="宋体" w:cs="宋体"/>
          <w:b/>
          <w:bCs/>
          <w:color w:val="auto"/>
          <w:sz w:val="24"/>
          <w:highlight w:val="none"/>
        </w:rPr>
        <w:t>三、获取</w:t>
      </w:r>
      <w:r>
        <w:rPr>
          <w:rFonts w:hint="eastAsia" w:ascii="宋体" w:hAnsi="宋体" w:eastAsia="宋体" w:cs="宋体"/>
          <w:b/>
          <w:bCs/>
          <w:color w:val="auto"/>
          <w:sz w:val="24"/>
          <w:highlight w:val="none"/>
          <w:lang w:eastAsia="zh-CN"/>
        </w:rPr>
        <w:t>竞争性磋商</w:t>
      </w:r>
      <w:r>
        <w:rPr>
          <w:rFonts w:hint="eastAsia" w:ascii="宋体" w:hAnsi="宋体" w:eastAsia="宋体" w:cs="宋体"/>
          <w:b/>
          <w:bCs/>
          <w:color w:val="auto"/>
          <w:sz w:val="24"/>
          <w:highlight w:val="none"/>
        </w:rPr>
        <w:t>文件</w:t>
      </w:r>
      <w:bookmarkEnd w:id="38"/>
      <w:bookmarkEnd w:id="39"/>
      <w:bookmarkEnd w:id="40"/>
      <w:bookmarkEnd w:id="41"/>
    </w:p>
    <w:p w14:paraId="140C67E2">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hint="eastAsia" w:ascii="宋体" w:hAnsi="宋体" w:eastAsia="宋体" w:cs="宋体"/>
          <w:i w:val="0"/>
          <w:iCs w:val="0"/>
          <w:caps w:val="0"/>
          <w:color w:val="auto"/>
          <w:spacing w:val="0"/>
          <w:sz w:val="24"/>
          <w:szCs w:val="24"/>
          <w:highlight w:val="none"/>
          <w:shd w:val="clear" w:color="auto" w:fill="FFFFFF"/>
        </w:rPr>
      </w:pPr>
      <w:bookmarkStart w:id="42" w:name="_Toc35393632"/>
      <w:bookmarkStart w:id="43" w:name="_Toc28359015"/>
      <w:bookmarkStart w:id="44" w:name="_Toc28359092"/>
      <w:bookmarkStart w:id="45" w:name="_Toc35393801"/>
      <w:r>
        <w:rPr>
          <w:rFonts w:hint="eastAsia" w:ascii="宋体" w:hAnsi="宋体" w:eastAsia="宋体" w:cs="宋体"/>
          <w:b/>
          <w:bCs/>
          <w:color w:val="auto"/>
          <w:sz w:val="24"/>
          <w:highlight w:val="none"/>
        </w:rPr>
        <w:t>1.时间：</w:t>
      </w:r>
      <w:r>
        <w:rPr>
          <w:rFonts w:hint="eastAsia" w:ascii="宋体" w:hAnsi="宋体" w:cs="宋体"/>
          <w:color w:val="auto"/>
          <w:sz w:val="24"/>
          <w:highlight w:val="none"/>
          <w:lang w:val="en-US" w:eastAsia="zh-CN"/>
        </w:rPr>
        <w:t>2025</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03</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18</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eastAsia="宋体" w:cs="宋体"/>
          <w:i w:val="0"/>
          <w:iCs w:val="0"/>
          <w:caps w:val="0"/>
          <w:color w:val="auto"/>
          <w:spacing w:val="0"/>
          <w:sz w:val="24"/>
          <w:szCs w:val="24"/>
          <w:highlight w:val="none"/>
          <w:shd w:val="clear" w:color="auto" w:fill="FFFFFF"/>
          <w:lang w:val="en-US" w:eastAsia="zh-CN"/>
        </w:rPr>
        <w:t>00</w:t>
      </w:r>
      <w:r>
        <w:rPr>
          <w:rFonts w:hint="eastAsia" w:ascii="宋体" w:hAnsi="宋体" w:eastAsia="宋体" w:cs="宋体"/>
          <w:i w:val="0"/>
          <w:iCs w:val="0"/>
          <w:caps w:val="0"/>
          <w:color w:val="auto"/>
          <w:spacing w:val="0"/>
          <w:sz w:val="24"/>
          <w:szCs w:val="24"/>
          <w:highlight w:val="none"/>
          <w:shd w:val="clear" w:color="auto" w:fill="FFFFFF"/>
        </w:rPr>
        <w:t>时</w:t>
      </w:r>
      <w:r>
        <w:rPr>
          <w:rFonts w:hint="eastAsia" w:ascii="宋体" w:hAnsi="宋体" w:eastAsia="宋体" w:cs="宋体"/>
          <w:i w:val="0"/>
          <w:iCs w:val="0"/>
          <w:caps w:val="0"/>
          <w:color w:val="auto"/>
          <w:spacing w:val="0"/>
          <w:sz w:val="24"/>
          <w:szCs w:val="24"/>
          <w:highlight w:val="none"/>
          <w:shd w:val="clear" w:color="auto" w:fill="FFFFFF"/>
          <w:lang w:val="en-US" w:eastAsia="zh-CN"/>
        </w:rPr>
        <w:t>00</w:t>
      </w:r>
      <w:r>
        <w:rPr>
          <w:rFonts w:hint="eastAsia" w:ascii="宋体" w:hAnsi="宋体" w:eastAsia="宋体" w:cs="宋体"/>
          <w:i w:val="0"/>
          <w:iCs w:val="0"/>
          <w:caps w:val="0"/>
          <w:color w:val="auto"/>
          <w:spacing w:val="0"/>
          <w:sz w:val="24"/>
          <w:szCs w:val="24"/>
          <w:highlight w:val="none"/>
          <w:shd w:val="clear" w:color="auto" w:fill="FFFFFF"/>
        </w:rPr>
        <w:t>分至2</w:t>
      </w:r>
      <w:r>
        <w:rPr>
          <w:rFonts w:hint="eastAsia" w:ascii="宋体" w:hAnsi="宋体" w:cs="宋体"/>
          <w:i w:val="0"/>
          <w:iCs w:val="0"/>
          <w:caps w:val="0"/>
          <w:color w:val="auto"/>
          <w:spacing w:val="0"/>
          <w:sz w:val="24"/>
          <w:szCs w:val="24"/>
          <w:highlight w:val="none"/>
          <w:shd w:val="clear" w:color="auto" w:fill="FFFFFF"/>
          <w:lang w:val="en-US" w:eastAsia="zh-CN"/>
        </w:rPr>
        <w:t>025</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03</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25</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23</w:t>
      </w:r>
      <w:r>
        <w:rPr>
          <w:rFonts w:hint="eastAsia" w:ascii="宋体" w:hAnsi="宋体" w:eastAsia="宋体" w:cs="宋体"/>
          <w:i w:val="0"/>
          <w:iCs w:val="0"/>
          <w:caps w:val="0"/>
          <w:color w:val="auto"/>
          <w:spacing w:val="0"/>
          <w:sz w:val="24"/>
          <w:szCs w:val="24"/>
          <w:highlight w:val="none"/>
          <w:shd w:val="clear" w:color="auto" w:fill="FFFFFF"/>
        </w:rPr>
        <w:t>时</w:t>
      </w:r>
      <w:r>
        <w:rPr>
          <w:rFonts w:hint="eastAsia" w:ascii="宋体" w:hAnsi="宋体" w:cs="宋体"/>
          <w:i w:val="0"/>
          <w:iCs w:val="0"/>
          <w:caps w:val="0"/>
          <w:color w:val="auto"/>
          <w:spacing w:val="0"/>
          <w:sz w:val="24"/>
          <w:szCs w:val="24"/>
          <w:highlight w:val="none"/>
          <w:shd w:val="clear" w:color="auto" w:fill="FFFFFF"/>
          <w:lang w:val="en-US" w:eastAsia="zh-CN"/>
        </w:rPr>
        <w:t>59</w:t>
      </w:r>
      <w:r>
        <w:rPr>
          <w:rFonts w:hint="eastAsia" w:ascii="宋体" w:hAnsi="宋体" w:eastAsia="宋体" w:cs="宋体"/>
          <w:i w:val="0"/>
          <w:iCs w:val="0"/>
          <w:caps w:val="0"/>
          <w:color w:val="auto"/>
          <w:spacing w:val="0"/>
          <w:sz w:val="24"/>
          <w:szCs w:val="24"/>
          <w:highlight w:val="none"/>
          <w:shd w:val="clear" w:color="auto" w:fill="FFFFFF"/>
        </w:rPr>
        <w:t>分</w:t>
      </w:r>
      <w:r>
        <w:rPr>
          <w:rFonts w:hint="eastAsia" w:ascii="宋体" w:hAnsi="宋体" w:eastAsia="宋体" w:cs="宋体"/>
          <w:i w:val="0"/>
          <w:iCs w:val="0"/>
          <w:caps w:val="0"/>
          <w:color w:val="auto"/>
          <w:spacing w:val="0"/>
          <w:sz w:val="24"/>
          <w:szCs w:val="24"/>
          <w:highlight w:val="none"/>
          <w:shd w:val="clear" w:color="auto" w:fill="FFFFFF"/>
          <w:lang w:eastAsia="zh-CN"/>
        </w:rPr>
        <w:t>，每天上午00:00至12:00，下午12:00至</w:t>
      </w:r>
      <w:r>
        <w:rPr>
          <w:rFonts w:hint="eastAsia" w:ascii="宋体" w:hAnsi="宋体" w:cs="宋体"/>
          <w:i w:val="0"/>
          <w:iCs w:val="0"/>
          <w:caps w:val="0"/>
          <w:color w:val="auto"/>
          <w:spacing w:val="0"/>
          <w:sz w:val="24"/>
          <w:szCs w:val="24"/>
          <w:highlight w:val="none"/>
          <w:shd w:val="clear" w:color="auto" w:fill="FFFFFF"/>
          <w:lang w:val="en-US" w:eastAsia="zh-CN"/>
        </w:rPr>
        <w:t>23</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cs="宋体"/>
          <w:i w:val="0"/>
          <w:iCs w:val="0"/>
          <w:caps w:val="0"/>
          <w:color w:val="auto"/>
          <w:spacing w:val="0"/>
          <w:sz w:val="24"/>
          <w:szCs w:val="24"/>
          <w:highlight w:val="none"/>
          <w:shd w:val="clear" w:color="auto" w:fill="FFFFFF"/>
          <w:lang w:val="en-US" w:eastAsia="zh-CN"/>
        </w:rPr>
        <w:t>59</w:t>
      </w:r>
      <w:r>
        <w:rPr>
          <w:rFonts w:hint="eastAsia" w:ascii="宋体" w:hAnsi="宋体" w:eastAsia="宋体" w:cs="宋体"/>
          <w:i w:val="0"/>
          <w:iCs w:val="0"/>
          <w:caps w:val="0"/>
          <w:color w:val="auto"/>
          <w:spacing w:val="0"/>
          <w:sz w:val="24"/>
          <w:szCs w:val="24"/>
          <w:highlight w:val="none"/>
          <w:shd w:val="clear" w:color="auto" w:fill="FFFFFF"/>
          <w:lang w:eastAsia="zh-CN"/>
        </w:rPr>
        <w:t>（北京时间，法定节假日除外）</w:t>
      </w:r>
      <w:r>
        <w:rPr>
          <w:rFonts w:hint="eastAsia" w:ascii="宋体" w:hAnsi="宋体" w:eastAsia="宋体" w:cs="宋体"/>
          <w:i w:val="0"/>
          <w:iCs w:val="0"/>
          <w:caps w:val="0"/>
          <w:color w:val="auto"/>
          <w:spacing w:val="0"/>
          <w:sz w:val="24"/>
          <w:szCs w:val="24"/>
          <w:highlight w:val="none"/>
          <w:shd w:val="clear" w:color="auto" w:fill="FFFFFF"/>
        </w:rPr>
        <w:t>。</w:t>
      </w:r>
    </w:p>
    <w:p w14:paraId="1170BB28">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hint="eastAsia" w:ascii="宋体" w:hAnsi="宋体" w:eastAsia="宋体" w:cs="宋体"/>
          <w:b w:val="0"/>
          <w:bCs/>
          <w:i w:val="0"/>
          <w:iCs w:val="0"/>
          <w:caps w:val="0"/>
          <w:color w:val="auto"/>
          <w:spacing w:val="0"/>
          <w:w w:val="98"/>
          <w:sz w:val="24"/>
          <w:szCs w:val="24"/>
          <w:highlight w:val="none"/>
          <w:shd w:val="clear" w:color="auto" w:fill="FFFFFF"/>
          <w:lang w:val="en-US" w:eastAsia="zh-CN"/>
        </w:rPr>
      </w:pPr>
      <w:r>
        <w:rPr>
          <w:rStyle w:val="32"/>
          <w:rFonts w:hint="eastAsia" w:ascii="宋体" w:hAnsi="宋体" w:eastAsia="宋体" w:cs="宋体"/>
          <w:i w:val="0"/>
          <w:iCs w:val="0"/>
          <w:caps w:val="0"/>
          <w:color w:val="auto"/>
          <w:spacing w:val="0"/>
          <w:sz w:val="24"/>
          <w:szCs w:val="24"/>
          <w:highlight w:val="none"/>
          <w:shd w:val="clear" w:color="auto" w:fill="FFFFFF"/>
        </w:rPr>
        <w:t>2.地点：</w:t>
      </w:r>
      <w:r>
        <w:rPr>
          <w:rStyle w:val="32"/>
          <w:rFonts w:hint="eastAsia" w:ascii="宋体" w:hAnsi="宋体" w:eastAsia="宋体" w:cs="宋体"/>
          <w:b w:val="0"/>
          <w:bCs/>
          <w:i w:val="0"/>
          <w:iCs w:val="0"/>
          <w:caps w:val="0"/>
          <w:color w:val="auto"/>
          <w:spacing w:val="0"/>
          <w:sz w:val="24"/>
          <w:szCs w:val="24"/>
          <w:highlight w:val="none"/>
          <w:shd w:val="clear" w:color="auto" w:fill="FFFFFF"/>
        </w:rPr>
        <w:t>政采云平台（https://www.zcygov.cn）</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上下载</w:t>
      </w:r>
      <w:r>
        <w:rPr>
          <w:rFonts w:hint="eastAsia" w:ascii="宋体" w:hAnsi="宋体" w:eastAsia="宋体" w:cs="宋体"/>
          <w:b w:val="0"/>
          <w:bCs/>
          <w:i w:val="0"/>
          <w:iCs w:val="0"/>
          <w:caps w:val="0"/>
          <w:color w:val="auto"/>
          <w:spacing w:val="0"/>
          <w:w w:val="98"/>
          <w:sz w:val="24"/>
          <w:szCs w:val="24"/>
          <w:highlight w:val="none"/>
          <w:shd w:val="clear" w:color="auto" w:fill="FFFFFF"/>
          <w:lang w:eastAsia="zh-CN"/>
        </w:rPr>
        <w:t>。</w:t>
      </w:r>
      <w:r>
        <w:rPr>
          <w:rFonts w:hint="eastAsia" w:ascii="宋体" w:hAnsi="宋体" w:eastAsia="宋体" w:cs="宋体"/>
          <w:b w:val="0"/>
          <w:bCs/>
          <w:i w:val="0"/>
          <w:iCs w:val="0"/>
          <w:caps w:val="0"/>
          <w:color w:val="auto"/>
          <w:spacing w:val="0"/>
          <w:w w:val="98"/>
          <w:sz w:val="24"/>
          <w:szCs w:val="24"/>
          <w:highlight w:val="none"/>
          <w:shd w:val="clear" w:color="auto" w:fill="FFFFFF"/>
          <w:lang w:val="en-US" w:eastAsia="zh-CN"/>
        </w:rPr>
        <w:t xml:space="preserve"> </w:t>
      </w:r>
    </w:p>
    <w:p w14:paraId="144DA0AB">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2"/>
        <w:rPr>
          <w:rStyle w:val="32"/>
          <w:rFonts w:hint="eastAsia" w:ascii="宋体" w:hAnsi="宋体" w:eastAsia="宋体" w:cs="宋体"/>
          <w:b w:val="0"/>
          <w:bCs/>
          <w:i w:val="0"/>
          <w:iCs w:val="0"/>
          <w:caps w:val="0"/>
          <w:color w:val="auto"/>
          <w:spacing w:val="0"/>
          <w:sz w:val="24"/>
          <w:szCs w:val="24"/>
          <w:highlight w:val="none"/>
          <w:shd w:val="clear" w:color="auto" w:fill="FFFFFF"/>
          <w:lang w:eastAsia="zh-CN"/>
        </w:rPr>
      </w:pPr>
      <w:r>
        <w:rPr>
          <w:rStyle w:val="32"/>
          <w:rFonts w:hint="eastAsia" w:ascii="宋体" w:hAnsi="宋体" w:eastAsia="宋体" w:cs="宋体"/>
          <w:i w:val="0"/>
          <w:iCs w:val="0"/>
          <w:caps w:val="0"/>
          <w:color w:val="auto"/>
          <w:spacing w:val="0"/>
          <w:sz w:val="24"/>
          <w:szCs w:val="24"/>
          <w:highlight w:val="none"/>
          <w:shd w:val="clear" w:color="auto" w:fill="FFFFFF"/>
        </w:rPr>
        <w:t>3.方式：</w:t>
      </w:r>
      <w:r>
        <w:rPr>
          <w:rStyle w:val="32"/>
          <w:rFonts w:hint="eastAsia" w:ascii="宋体" w:hAnsi="宋体" w:eastAsia="宋体" w:cs="宋体"/>
          <w:b w:val="0"/>
          <w:bCs/>
          <w:i w:val="0"/>
          <w:iCs w:val="0"/>
          <w:caps w:val="0"/>
          <w:color w:val="auto"/>
          <w:spacing w:val="0"/>
          <w:sz w:val="24"/>
          <w:szCs w:val="24"/>
          <w:highlight w:val="none"/>
          <w:shd w:val="clear" w:color="auto" w:fill="FFFFFF"/>
        </w:rPr>
        <w:t>网上下载。本项目不发放纸质</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竞争性磋商</w:t>
      </w:r>
      <w:r>
        <w:rPr>
          <w:rStyle w:val="32"/>
          <w:rFonts w:hint="eastAsia" w:ascii="宋体" w:hAnsi="宋体" w:eastAsia="宋体" w:cs="宋体"/>
          <w:b w:val="0"/>
          <w:bCs/>
          <w:i w:val="0"/>
          <w:iCs w:val="0"/>
          <w:caps w:val="0"/>
          <w:color w:val="auto"/>
          <w:spacing w:val="0"/>
          <w:sz w:val="24"/>
          <w:szCs w:val="24"/>
          <w:highlight w:val="none"/>
          <w:shd w:val="clear" w:color="auto" w:fill="FFFFFF"/>
        </w:rPr>
        <w:t>文件，供应商可自行在“政采云”平台（http：//www.zcygov.cn）下载采购文件（操作路径：登录“政采云”平台-项目采购-获取采购文件-找到本项目-点击“申请获取采购文件”），电子响应文件制作需要基于“政采云”平台（http：//www.zcygov.cn）获取的采购文件编制</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p>
    <w:p w14:paraId="15949095">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Style w:val="32"/>
          <w:rFonts w:hint="eastAsia" w:ascii="宋体" w:hAnsi="宋体" w:eastAsia="宋体" w:cs="宋体"/>
          <w:b w:val="0"/>
          <w:bCs/>
          <w:i w:val="0"/>
          <w:iCs w:val="0"/>
          <w:caps w:val="0"/>
          <w:color w:val="auto"/>
          <w:spacing w:val="0"/>
          <w:sz w:val="24"/>
          <w:szCs w:val="24"/>
          <w:highlight w:val="none"/>
          <w:shd w:val="clear" w:color="auto" w:fill="FFFFFF"/>
          <w:lang w:eastAsia="zh-CN"/>
        </w:rPr>
      </w:pPr>
      <w:r>
        <w:rPr>
          <w:rStyle w:val="32"/>
          <w:rFonts w:hint="eastAsia" w:ascii="宋体" w:hAnsi="宋体" w:cs="宋体"/>
          <w:b w:val="0"/>
          <w:bCs/>
          <w:i w:val="0"/>
          <w:iCs w:val="0"/>
          <w:caps w:val="0"/>
          <w:color w:val="auto"/>
          <w:spacing w:val="0"/>
          <w:sz w:val="24"/>
          <w:szCs w:val="24"/>
          <w:highlight w:val="none"/>
          <w:shd w:val="clear" w:color="auto" w:fill="FFFFFF"/>
          <w:lang w:val="en-US" w:eastAsia="zh-CN"/>
        </w:rPr>
        <w:t>3.1</w:t>
      </w:r>
      <w:r>
        <w:rPr>
          <w:rStyle w:val="32"/>
          <w:rFonts w:hint="eastAsia" w:ascii="宋体" w:hAnsi="宋体" w:eastAsia="宋体" w:cs="宋体"/>
          <w:b w:val="0"/>
          <w:bCs/>
          <w:i w:val="0"/>
          <w:iCs w:val="0"/>
          <w:caps w:val="0"/>
          <w:color w:val="auto"/>
          <w:spacing w:val="0"/>
          <w:sz w:val="24"/>
          <w:szCs w:val="24"/>
          <w:highlight w:val="none"/>
          <w:shd w:val="clear" w:color="auto" w:fill="FFFFFF"/>
        </w:rPr>
        <w:t>凡有意参加磋商者，须在政采云平台绑定数字证书（CA）后在网上获取采购文件及其它采购资料，数字证书（CA）办理流程</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如下</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p>
    <w:p w14:paraId="3E18FCF8">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Style w:val="32"/>
          <w:rFonts w:hint="eastAsia" w:ascii="宋体" w:hAnsi="宋体" w:eastAsia="宋体" w:cs="宋体"/>
          <w:b w:val="0"/>
          <w:bCs/>
          <w:i w:val="0"/>
          <w:iCs w:val="0"/>
          <w:caps w:val="0"/>
          <w:color w:val="auto"/>
          <w:spacing w:val="0"/>
          <w:sz w:val="24"/>
          <w:szCs w:val="24"/>
          <w:highlight w:val="none"/>
          <w:shd w:val="clear" w:color="auto" w:fill="FFFFFF"/>
        </w:rPr>
      </w:pP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1</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eastAsia="宋体" w:cs="宋体"/>
          <w:b w:val="0"/>
          <w:bCs/>
          <w:i w:val="0"/>
          <w:iCs w:val="0"/>
          <w:caps w:val="0"/>
          <w:color w:val="auto"/>
          <w:spacing w:val="0"/>
          <w:sz w:val="24"/>
          <w:szCs w:val="24"/>
          <w:highlight w:val="none"/>
          <w:shd w:val="clear" w:color="auto" w:fill="FFFFFF"/>
        </w:rPr>
        <w:t>供应商已在云南省公共资源交易系统（CA办理）（https://ggzy.yn.gov.cn/ynggfwpt-home-web/#/caGuide）办理数字证书（CA）的，可直接在政采云平台绑定数字证书（CA），无需重复办理</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eastAsia="宋体" w:cs="宋体"/>
          <w:b w:val="0"/>
          <w:bCs/>
          <w:i w:val="0"/>
          <w:iCs w:val="0"/>
          <w:caps w:val="0"/>
          <w:color w:val="auto"/>
          <w:spacing w:val="0"/>
          <w:sz w:val="24"/>
          <w:szCs w:val="24"/>
          <w:highlight w:val="none"/>
          <w:shd w:val="clear" w:color="auto" w:fill="FFFFFF"/>
        </w:rPr>
        <w:t>数字证书在政采云平台绑定后，方能获取采购文件和编辑响应文件。</w:t>
      </w:r>
    </w:p>
    <w:p w14:paraId="30694BC3">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Style w:val="32"/>
          <w:rFonts w:hint="eastAsia" w:ascii="宋体" w:hAnsi="宋体" w:eastAsia="宋体" w:cs="宋体"/>
          <w:b w:val="0"/>
          <w:bCs/>
          <w:i w:val="0"/>
          <w:iCs w:val="0"/>
          <w:caps w:val="0"/>
          <w:color w:val="auto"/>
          <w:spacing w:val="0"/>
          <w:sz w:val="24"/>
          <w:szCs w:val="24"/>
          <w:highlight w:val="none"/>
          <w:shd w:val="clear" w:color="auto" w:fill="FFFFFF"/>
        </w:rPr>
      </w:pP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2</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eastAsia="宋体" w:cs="宋体"/>
          <w:b w:val="0"/>
          <w:bCs/>
          <w:i w:val="0"/>
          <w:iCs w:val="0"/>
          <w:caps w:val="0"/>
          <w:color w:val="auto"/>
          <w:spacing w:val="0"/>
          <w:sz w:val="24"/>
          <w:szCs w:val="24"/>
          <w:highlight w:val="none"/>
          <w:shd w:val="clear" w:color="auto" w:fill="FFFFFF"/>
        </w:rPr>
        <w:t>供应商未办理企业数字证书（CA）的，可以选择在政采云平台注册账号（商家入驻）并登录，登录后进行数字证书（CA）申领及绑定，政采云服务热线95763（0871-67276028/19988166369）；也可以选择在云南省公共资源交易系统（CA办理）（https://ggzy.yn.gov.cn/ynggfwpt-home-web/#/caGuide）办理数字证书（CA），并在政采云平台绑定数字证书（CA），云南省公共资源交易系统数字证书（CA）办理相关问题咨询电话400-6727-666。</w:t>
      </w:r>
    </w:p>
    <w:p w14:paraId="058BE325">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Style w:val="32"/>
          <w:rFonts w:hint="eastAsia" w:ascii="宋体" w:hAnsi="宋体" w:eastAsia="宋体" w:cs="宋体"/>
          <w:b w:val="0"/>
          <w:bCs/>
          <w:i w:val="0"/>
          <w:iCs w:val="0"/>
          <w:caps w:val="0"/>
          <w:color w:val="auto"/>
          <w:spacing w:val="0"/>
          <w:sz w:val="24"/>
          <w:szCs w:val="24"/>
          <w:highlight w:val="none"/>
          <w:shd w:val="clear" w:color="auto" w:fill="FFFFFF"/>
        </w:rPr>
      </w:pPr>
      <w:r>
        <w:rPr>
          <w:rStyle w:val="32"/>
          <w:rFonts w:hint="eastAsia" w:ascii="宋体" w:hAnsi="宋体" w:cs="宋体"/>
          <w:b w:val="0"/>
          <w:bCs/>
          <w:i w:val="0"/>
          <w:iCs w:val="0"/>
          <w:caps w:val="0"/>
          <w:color w:val="auto"/>
          <w:spacing w:val="0"/>
          <w:sz w:val="24"/>
          <w:szCs w:val="24"/>
          <w:highlight w:val="none"/>
          <w:shd w:val="clear" w:color="auto" w:fill="FFFFFF"/>
          <w:lang w:val="en-US" w:eastAsia="zh-CN"/>
        </w:rPr>
        <w:t>3.2</w:t>
      </w:r>
      <w:r>
        <w:rPr>
          <w:rStyle w:val="32"/>
          <w:rFonts w:hint="eastAsia" w:ascii="宋体" w:hAnsi="宋体" w:eastAsia="宋体" w:cs="宋体"/>
          <w:b w:val="0"/>
          <w:bCs/>
          <w:i w:val="0"/>
          <w:iCs w:val="0"/>
          <w:caps w:val="0"/>
          <w:color w:val="auto"/>
          <w:spacing w:val="0"/>
          <w:sz w:val="24"/>
          <w:szCs w:val="24"/>
          <w:highlight w:val="none"/>
          <w:shd w:val="clear" w:color="auto" w:fill="FFFFFF"/>
        </w:rPr>
        <w:t>按上述要求获取文件的供应商视为合法获取了本项目采购文件，具备本项目的磋商资格。</w:t>
      </w:r>
    </w:p>
    <w:p w14:paraId="2A0E3B8A">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2"/>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lang w:eastAsia="zh-CN"/>
        </w:rPr>
        <w:t>4.售价：</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lang w:eastAsia="zh-CN"/>
        </w:rPr>
        <w:t>元。</w:t>
      </w:r>
    </w:p>
    <w:p w14:paraId="718F7422">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1"/>
        <w:rPr>
          <w:rFonts w:hint="eastAsia" w:ascii="宋体" w:hAnsi="宋体" w:eastAsia="宋体" w:cs="宋体"/>
          <w:b/>
          <w:bCs/>
          <w:color w:val="auto"/>
          <w:sz w:val="24"/>
          <w:highlight w:val="none"/>
          <w:lang w:eastAsia="zh-CN"/>
        </w:rPr>
      </w:pPr>
      <w:bookmarkStart w:id="46" w:name="_Toc525890862"/>
      <w:bookmarkStart w:id="47" w:name="_Toc22488"/>
      <w:bookmarkStart w:id="48" w:name="_Toc20461"/>
      <w:bookmarkStart w:id="49" w:name="_Toc3247"/>
      <w:bookmarkStart w:id="50" w:name="_Toc21624"/>
      <w:r>
        <w:rPr>
          <w:rFonts w:hint="eastAsia" w:ascii="宋体" w:hAnsi="宋体" w:eastAsia="宋体" w:cs="宋体"/>
          <w:b/>
          <w:bCs/>
          <w:color w:val="auto"/>
          <w:sz w:val="24"/>
          <w:highlight w:val="none"/>
          <w:lang w:eastAsia="zh-CN"/>
        </w:rPr>
        <w:t>四、</w:t>
      </w:r>
      <w:bookmarkEnd w:id="46"/>
      <w:bookmarkEnd w:id="47"/>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lang w:val="en-US" w:eastAsia="zh-CN"/>
        </w:rPr>
        <w:t>提交</w:t>
      </w:r>
      <w:bookmarkEnd w:id="48"/>
      <w:bookmarkEnd w:id="49"/>
      <w:bookmarkEnd w:id="50"/>
    </w:p>
    <w:p w14:paraId="60065C95">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1.截止时间：</w:t>
      </w:r>
      <w:r>
        <w:rPr>
          <w:rFonts w:hint="eastAsia" w:ascii="宋体" w:hAnsi="宋体" w:cs="宋体"/>
          <w:color w:val="auto"/>
          <w:sz w:val="24"/>
          <w:szCs w:val="24"/>
          <w:highlight w:val="none"/>
          <w:lang w:val="en-US" w:eastAsia="zh-CN"/>
        </w:rPr>
        <w:t>2025</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分（北京时间）。</w:t>
      </w:r>
    </w:p>
    <w:p w14:paraId="7FC96171">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auto"/>
          <w:sz w:val="24"/>
          <w:szCs w:val="24"/>
          <w:highlight w:val="none"/>
          <w:lang w:eastAsia="zh-CN"/>
        </w:rPr>
        <w:t>2.地点：</w:t>
      </w:r>
      <w:r>
        <w:rPr>
          <w:rFonts w:hint="eastAsia" w:ascii="宋体" w:hAnsi="宋体" w:eastAsia="宋体" w:cs="宋体"/>
          <w:color w:val="auto"/>
          <w:sz w:val="24"/>
          <w:szCs w:val="24"/>
          <w:highlight w:val="none"/>
          <w:lang w:val="en-US" w:eastAsia="zh-CN"/>
        </w:rPr>
        <w:t>通过“政采云”平台 （http：//www.zcygov.cn）实行在线电子响应</w:t>
      </w:r>
      <w:r>
        <w:rPr>
          <w:rFonts w:hint="eastAsia" w:ascii="宋体" w:hAnsi="宋体" w:cs="宋体"/>
          <w:color w:val="auto"/>
          <w:sz w:val="24"/>
          <w:szCs w:val="24"/>
          <w:highlight w:val="none"/>
          <w:lang w:val="en-US" w:eastAsia="zh-CN"/>
        </w:rPr>
        <w:t>提交</w:t>
      </w:r>
      <w:r>
        <w:rPr>
          <w:rFonts w:hint="eastAsia" w:ascii="宋体" w:hAnsi="宋体" w:eastAsia="宋体" w:cs="宋体"/>
          <w:color w:val="000000"/>
          <w:kern w:val="0"/>
          <w:sz w:val="24"/>
          <w:szCs w:val="24"/>
          <w:lang w:val="en-US" w:eastAsia="zh-CN" w:bidi="ar"/>
        </w:rPr>
        <w:t>。供应商应按照本项目采购文件和“政采云”平台的要求编制、加密后在投标截止时间前通过网络上传至“政采云”平台，供应商在“政采云”平 台提交电子版响应文件时，请填写参加采购活动经办人联系方式。</w:t>
      </w:r>
    </w:p>
    <w:p w14:paraId="756F07AB">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注：</w:t>
      </w:r>
      <w:r>
        <w:rPr>
          <w:rFonts w:hint="eastAsia" w:ascii="宋体" w:hAnsi="宋体" w:cs="宋体"/>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w:t>
      </w:r>
      <w:r>
        <w:rPr>
          <w:rFonts w:hint="eastAsia" w:ascii="宋体" w:hAnsi="宋体" w:cs="宋体"/>
          <w:color w:val="000000"/>
          <w:kern w:val="0"/>
          <w:sz w:val="24"/>
          <w:szCs w:val="24"/>
          <w:lang w:val="en-US" w:eastAsia="zh-CN" w:bidi="ar"/>
        </w:rPr>
        <w:t>。</w:t>
      </w:r>
    </w:p>
    <w:p w14:paraId="1C8609C2">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(2)若 对 项 目 采 购 电 子 交 易 系 统 操 作 有 疑 问 ， 可 登 录 “ 政 采 云 ” 平 台（https://www.zcygov.cn/），点击右侧咨询小采，获取采小蜜智能服务管家帮助，或拨打政采云服务热线 95763 获取热线服务帮助。</w:t>
      </w:r>
    </w:p>
    <w:bookmarkEnd w:id="42"/>
    <w:bookmarkEnd w:id="43"/>
    <w:bookmarkEnd w:id="44"/>
    <w:bookmarkEnd w:id="45"/>
    <w:p w14:paraId="480A7A8E">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1"/>
        <w:rPr>
          <w:rFonts w:hint="eastAsia" w:ascii="宋体" w:hAnsi="宋体" w:eastAsia="宋体" w:cs="宋体"/>
          <w:b/>
          <w:bCs/>
          <w:color w:val="auto"/>
          <w:sz w:val="24"/>
          <w:highlight w:val="none"/>
          <w:lang w:val="en-US" w:eastAsia="zh-CN"/>
        </w:rPr>
      </w:pPr>
      <w:bookmarkStart w:id="51" w:name="_Toc19489"/>
      <w:bookmarkStart w:id="52" w:name="_Toc3443"/>
      <w:bookmarkStart w:id="53" w:name="_Toc2451"/>
      <w:bookmarkStart w:id="54" w:name="_Toc24083"/>
      <w:r>
        <w:rPr>
          <w:rFonts w:hint="eastAsia" w:ascii="宋体" w:hAnsi="宋体" w:eastAsia="宋体" w:cs="宋体"/>
          <w:b/>
          <w:bCs/>
          <w:color w:val="auto"/>
          <w:sz w:val="24"/>
          <w:highlight w:val="none"/>
          <w:lang w:eastAsia="zh-CN"/>
        </w:rPr>
        <w:t>五</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开启</w:t>
      </w:r>
      <w:bookmarkEnd w:id="51"/>
      <w:bookmarkEnd w:id="52"/>
      <w:bookmarkEnd w:id="53"/>
    </w:p>
    <w:p w14:paraId="36748734">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1.时间：</w:t>
      </w:r>
      <w:r>
        <w:rPr>
          <w:rFonts w:hint="eastAsia" w:ascii="宋体" w:hAnsi="宋体" w:cs="宋体"/>
          <w:color w:val="auto"/>
          <w:sz w:val="24"/>
          <w:highlight w:val="none"/>
          <w:lang w:val="en-US" w:eastAsia="zh-CN"/>
        </w:rPr>
        <w:t>2025</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03</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lang w:eastAsia="zh-CN"/>
        </w:rPr>
        <w:t>日</w:t>
      </w:r>
      <w:r>
        <w:rPr>
          <w:rFonts w:hint="eastAsia" w:ascii="宋体" w:hAnsi="宋体" w:eastAsia="宋体" w:cs="宋体"/>
          <w:color w:val="auto"/>
          <w:sz w:val="24"/>
          <w:highlight w:val="none"/>
          <w:lang w:val="en-US" w:eastAsia="zh-CN"/>
        </w:rPr>
        <w:t>09</w:t>
      </w:r>
      <w:r>
        <w:rPr>
          <w:rFonts w:hint="eastAsia" w:ascii="宋体" w:hAnsi="宋体" w:eastAsia="宋体" w:cs="宋体"/>
          <w:color w:val="auto"/>
          <w:sz w:val="24"/>
          <w:highlight w:val="none"/>
          <w:lang w:eastAsia="zh-CN"/>
        </w:rPr>
        <w:t>时</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lang w:eastAsia="zh-CN"/>
        </w:rPr>
        <w:t>分（北京时间）。</w:t>
      </w:r>
    </w:p>
    <w:p w14:paraId="4ED82519">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lang w:val="en-US" w:eastAsia="zh-CN"/>
        </w:rPr>
      </w:pPr>
      <w:r>
        <w:rPr>
          <w:rFonts w:hint="eastAsia" w:ascii="宋体" w:hAnsi="宋体" w:eastAsia="宋体" w:cs="宋体"/>
          <w:color w:val="auto"/>
          <w:sz w:val="24"/>
          <w:highlight w:val="none"/>
          <w:lang w:eastAsia="zh-CN"/>
        </w:rPr>
        <w:t>2.地点：云南星骋项目管理有限公司</w:t>
      </w:r>
      <w:r>
        <w:rPr>
          <w:rFonts w:hint="eastAsia" w:ascii="宋体" w:hAnsi="宋体" w:cs="宋体"/>
          <w:color w:val="auto"/>
          <w:sz w:val="24"/>
          <w:highlight w:val="none"/>
          <w:lang w:val="en-US" w:eastAsia="zh-CN"/>
        </w:rPr>
        <w:t>开标室</w:t>
      </w:r>
      <w:r>
        <w:rPr>
          <w:rFonts w:hint="eastAsia" w:ascii="宋体" w:hAnsi="宋体" w:eastAsia="宋体" w:cs="宋体"/>
          <w:color w:val="auto"/>
          <w:sz w:val="24"/>
          <w:highlight w:val="none"/>
          <w:lang w:eastAsia="zh-CN"/>
        </w:rPr>
        <w:t xml:space="preserve"> (景洪市西双十二城国际公馆1栋306)</w:t>
      </w:r>
      <w:r>
        <w:rPr>
          <w:rFonts w:hint="eastAsia" w:ascii="宋体" w:hAnsi="宋体" w:eastAsia="宋体" w:cs="宋体"/>
          <w:color w:val="auto"/>
          <w:sz w:val="24"/>
          <w:highlight w:val="none"/>
          <w:lang w:val="en-US" w:eastAsia="zh-CN"/>
        </w:rPr>
        <w:t>。</w:t>
      </w:r>
    </w:p>
    <w:p w14:paraId="46D6E27F">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1"/>
        <w:rPr>
          <w:rFonts w:hint="eastAsia" w:ascii="宋体" w:hAnsi="宋体" w:eastAsia="宋体" w:cs="宋体"/>
          <w:b/>
          <w:bCs/>
          <w:color w:val="auto"/>
          <w:sz w:val="24"/>
          <w:highlight w:val="none"/>
          <w:lang w:eastAsia="zh-CN"/>
        </w:rPr>
      </w:pPr>
      <w:bookmarkStart w:id="55" w:name="_Toc16813"/>
      <w:bookmarkStart w:id="56" w:name="_Toc16175"/>
      <w:bookmarkStart w:id="57" w:name="_Toc9464"/>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highlight w:val="none"/>
          <w:lang w:eastAsia="zh-CN"/>
        </w:rPr>
        <w:t>公告期限</w:t>
      </w:r>
      <w:bookmarkEnd w:id="54"/>
      <w:bookmarkEnd w:id="55"/>
      <w:bookmarkEnd w:id="56"/>
      <w:bookmarkEnd w:id="57"/>
    </w:p>
    <w:p w14:paraId="552999FF">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自本公告发布之日起5个工作日。</w:t>
      </w:r>
    </w:p>
    <w:p w14:paraId="771E346C">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1"/>
        <w:rPr>
          <w:rFonts w:hint="eastAsia" w:ascii="宋体" w:hAnsi="宋体" w:eastAsia="宋体" w:cs="宋体"/>
          <w:b/>
          <w:bCs/>
          <w:color w:val="auto"/>
          <w:sz w:val="24"/>
          <w:highlight w:val="none"/>
          <w:lang w:val="en-US" w:eastAsia="zh-CN"/>
        </w:rPr>
      </w:pPr>
      <w:bookmarkStart w:id="58" w:name="_Toc16495"/>
      <w:bookmarkStart w:id="59" w:name="_Toc32030"/>
      <w:bookmarkStart w:id="60" w:name="_Toc26992"/>
      <w:bookmarkStart w:id="61" w:name="_Toc21914"/>
      <w:bookmarkStart w:id="62" w:name="_Toc35393636"/>
      <w:bookmarkStart w:id="63" w:name="_Toc28359018"/>
      <w:bookmarkStart w:id="64" w:name="_Toc35393805"/>
      <w:bookmarkStart w:id="65" w:name="_Toc28359095"/>
      <w:r>
        <w:rPr>
          <w:rFonts w:hint="eastAsia" w:ascii="宋体" w:hAnsi="宋体" w:eastAsia="宋体" w:cs="宋体"/>
          <w:b/>
          <w:bCs/>
          <w:color w:val="auto"/>
          <w:sz w:val="24"/>
          <w:highlight w:val="none"/>
          <w:lang w:val="en-US" w:eastAsia="zh-CN"/>
        </w:rPr>
        <w:t>七、其他补充事宜</w:t>
      </w:r>
      <w:bookmarkEnd w:id="58"/>
      <w:bookmarkEnd w:id="59"/>
      <w:bookmarkEnd w:id="60"/>
      <w:bookmarkEnd w:id="61"/>
    </w:p>
    <w:p w14:paraId="7402657A">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1.响应文件的解密方式</w:t>
      </w:r>
    </w:p>
    <w:p w14:paraId="1B8CD5DF">
      <w:pPr>
        <w:keepNext w:val="0"/>
        <w:keepLines w:val="0"/>
        <w:pageBreakBefore w:val="0"/>
        <w:widowControl w:val="0"/>
        <w:kinsoku/>
        <w:wordWrap/>
        <w:overflowPunct/>
        <w:topLinePunct w:val="0"/>
        <w:autoSpaceDE/>
        <w:autoSpaceDN/>
        <w:bidi w:val="0"/>
        <w:spacing w:line="500" w:lineRule="exact"/>
        <w:ind w:firstLine="484" w:firstLineChars="20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本项目开标采用“网上开标”的方式，开标网址为：“政采云”平台 （http：//www.zcygov.cn），供应商须在投标截止时间前完成所有投标文件的上传，网上确认电子签名，投标截止时间前未完成投标文件传输的，视为撤回投标文件。</w:t>
      </w:r>
    </w:p>
    <w:p w14:paraId="33EF5883">
      <w:pPr>
        <w:keepNext w:val="0"/>
        <w:keepLines w:val="0"/>
        <w:pageBreakBefore w:val="0"/>
        <w:widowControl w:val="0"/>
        <w:kinsoku/>
        <w:wordWrap/>
        <w:overflowPunct/>
        <w:topLinePunct w:val="0"/>
        <w:autoSpaceDE/>
        <w:autoSpaceDN/>
        <w:bidi w:val="0"/>
        <w:spacing w:line="500" w:lineRule="exact"/>
        <w:ind w:firstLine="484" w:firstLineChars="202"/>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t>注：供应商开标的操作流程详见“政采云”平台 （http：//www.zcygov.cn）供应商操作指南，供应商无须到现场开标，请供应商仔细阅读以保证开标顺利进行，供应商须在投标文件递交截止时间前“政采云”平台 （http：//www.zcygov.cn）。根据网上远程解密、开标的要求，须在规定时间内完成在线解密确认等相关操作。未在规定的时间完成以上相关操作的，则视为撤销其投标文件，不再进入评标阶段。</w:t>
      </w:r>
    </w:p>
    <w:p w14:paraId="7EBA544D">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2"/>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2.是否需要缴纳投标保证金</w:t>
      </w:r>
      <w:r>
        <w:rPr>
          <w:rFonts w:hint="eastAsia" w:ascii="宋体" w:hAnsi="宋体" w:eastAsia="宋体" w:cs="宋体"/>
          <w:color w:val="auto"/>
          <w:sz w:val="24"/>
          <w:highlight w:val="none"/>
          <w:lang w:val="en-US" w:eastAsia="zh-CN"/>
        </w:rPr>
        <w:t>：是</w:t>
      </w:r>
    </w:p>
    <w:p w14:paraId="1A00EC34">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2.1保证金金额：15000.00（元）</w:t>
      </w:r>
    </w:p>
    <w:p w14:paraId="4033E335">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2.2保证金缴纳方式：支票、汇票、本票、保函、银行转账等非现金形式提交</w:t>
      </w:r>
      <w:r>
        <w:rPr>
          <w:rFonts w:hint="eastAsia" w:ascii="宋体" w:hAnsi="宋体" w:eastAsia="宋体" w:cs="宋体"/>
          <w:color w:val="auto"/>
          <w:sz w:val="24"/>
          <w:highlight w:val="none"/>
          <w:lang w:val="en-US" w:eastAsia="zh-CN"/>
        </w:rPr>
        <w:br w:type="textWrapping"/>
      </w:r>
      <w:r>
        <w:rPr>
          <w:rFonts w:hint="eastAsia" w:ascii="宋体" w:hAnsi="宋体" w:eastAsia="宋体" w:cs="宋体"/>
          <w:color w:val="auto"/>
          <w:sz w:val="24"/>
          <w:highlight w:val="none"/>
          <w:lang w:val="en-US" w:eastAsia="zh-CN"/>
        </w:rPr>
        <w:t>  保证金缴纳截止时间：</w:t>
      </w:r>
      <w:r>
        <w:rPr>
          <w:rFonts w:hint="eastAsia" w:ascii="宋体" w:hAnsi="宋体" w:cs="宋体"/>
          <w:color w:val="auto"/>
          <w:sz w:val="24"/>
          <w:highlight w:val="none"/>
          <w:lang w:val="en-US" w:eastAsia="zh-CN"/>
        </w:rPr>
        <w:t>2025</w:t>
      </w:r>
      <w:r>
        <w:rPr>
          <w:rFonts w:hint="eastAsia" w:ascii="宋体" w:hAnsi="宋体" w:eastAsia="宋体" w:cs="宋体"/>
          <w:color w:val="auto"/>
          <w:sz w:val="24"/>
          <w:highlight w:val="none"/>
          <w:lang w:val="en-US" w:eastAsia="zh-CN"/>
        </w:rPr>
        <w:t>年</w:t>
      </w:r>
      <w:r>
        <w:rPr>
          <w:rFonts w:hint="eastAsia" w:ascii="宋体" w:hAnsi="宋体" w:cs="宋体"/>
          <w:color w:val="auto"/>
          <w:sz w:val="24"/>
          <w:highlight w:val="none"/>
          <w:lang w:val="en-US" w:eastAsia="zh-CN"/>
        </w:rPr>
        <w:t>03</w:t>
      </w:r>
      <w:r>
        <w:rPr>
          <w:rFonts w:hint="eastAsia" w:ascii="宋体" w:hAnsi="宋体" w:eastAsia="宋体" w:cs="宋体"/>
          <w:color w:val="auto"/>
          <w:sz w:val="24"/>
          <w:highlight w:val="none"/>
          <w:lang w:val="en-US" w:eastAsia="zh-CN"/>
        </w:rPr>
        <w:t>月</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lang w:val="en-US" w:eastAsia="zh-CN"/>
        </w:rPr>
        <w:t>日09时00分</w:t>
      </w:r>
    </w:p>
    <w:p w14:paraId="6A8F7673">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outlineLvl w:val="2"/>
        <w:rPr>
          <w:rFonts w:hint="eastAsia" w:ascii="宋体" w:hAnsi="宋体" w:eastAsia="宋体" w:cs="宋体"/>
          <w:b/>
          <w:bCs w:val="0"/>
          <w:i w:val="0"/>
          <w:iCs w:val="0"/>
          <w:color w:val="auto"/>
          <w:kern w:val="2"/>
          <w:sz w:val="24"/>
          <w:szCs w:val="24"/>
          <w:highlight w:val="none"/>
          <w:lang w:val="en-US" w:eastAsia="zh-CN" w:bidi="ar-SA"/>
        </w:rPr>
      </w:pPr>
      <w:r>
        <w:rPr>
          <w:rFonts w:hint="eastAsia" w:ascii="宋体" w:hAnsi="宋体" w:eastAsia="宋体" w:cs="宋体"/>
          <w:b/>
          <w:bCs w:val="0"/>
          <w:i w:val="0"/>
          <w:iCs w:val="0"/>
          <w:color w:val="auto"/>
          <w:kern w:val="2"/>
          <w:sz w:val="24"/>
          <w:szCs w:val="24"/>
          <w:highlight w:val="none"/>
          <w:lang w:val="en-US" w:eastAsia="zh-CN" w:bidi="ar-SA"/>
        </w:rPr>
        <w:t>3.发布公告的媒体</w:t>
      </w:r>
    </w:p>
    <w:p w14:paraId="462034D4">
      <w:pPr>
        <w:spacing w:line="5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本次招标公告在</w:t>
      </w:r>
      <w:r>
        <w:rPr>
          <w:rFonts w:hint="eastAsia" w:ascii="宋体" w:hAnsi="宋体" w:eastAsia="宋体" w:cs="宋体"/>
          <w:color w:val="auto"/>
          <w:sz w:val="24"/>
          <w:szCs w:val="24"/>
          <w:highlight w:val="none"/>
          <w:lang w:eastAsia="zh-CN"/>
        </w:rPr>
        <w:t>云南省政府采购网（</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"http://www.yngp.com/"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http://www.yngp.com</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上公开发布，请各供应商在递交响应文件前随时查看，以获取最新信息，采购人、采购代理机构对其他网站或媒体转载的公告及公告内容不承担任何责任。</w:t>
      </w:r>
      <w:bookmarkStart w:id="66" w:name="_Toc5263"/>
      <w:bookmarkStart w:id="67" w:name="_Toc12085"/>
      <w:bookmarkStart w:id="68" w:name="_Toc7272"/>
      <w:bookmarkStart w:id="69" w:name="_Toc23838"/>
      <w:bookmarkStart w:id="70" w:name="_Toc21431"/>
      <w:bookmarkStart w:id="71" w:name="_Toc17342"/>
      <w:bookmarkStart w:id="72" w:name="_Toc25343"/>
    </w:p>
    <w:p w14:paraId="7A1A0EBD">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outlineLvl w:val="2"/>
        <w:rPr>
          <w:rFonts w:hint="eastAsia" w:ascii="宋体" w:hAnsi="宋体" w:eastAsia="宋体" w:cs="宋体"/>
          <w:b/>
          <w:bCs w:val="0"/>
          <w:i w:val="0"/>
          <w:iCs w:val="0"/>
          <w:color w:val="auto"/>
          <w:kern w:val="2"/>
          <w:sz w:val="24"/>
          <w:szCs w:val="24"/>
          <w:highlight w:val="none"/>
          <w:lang w:val="en-US" w:eastAsia="zh-CN" w:bidi="ar-SA"/>
        </w:rPr>
      </w:pPr>
      <w:r>
        <w:rPr>
          <w:rFonts w:hint="eastAsia" w:ascii="宋体" w:hAnsi="宋体" w:eastAsia="宋体" w:cs="宋体"/>
          <w:b/>
          <w:bCs w:val="0"/>
          <w:i w:val="0"/>
          <w:iCs w:val="0"/>
          <w:color w:val="auto"/>
          <w:kern w:val="2"/>
          <w:sz w:val="24"/>
          <w:szCs w:val="24"/>
          <w:highlight w:val="none"/>
          <w:lang w:val="en-US" w:eastAsia="zh-CN" w:bidi="ar-SA"/>
        </w:rPr>
        <w:t>4.投诉监督电话</w:t>
      </w:r>
      <w:bookmarkEnd w:id="66"/>
      <w:bookmarkEnd w:id="67"/>
      <w:bookmarkEnd w:id="68"/>
      <w:bookmarkEnd w:id="69"/>
    </w:p>
    <w:p w14:paraId="0E80DB0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2"/>
        <w:rPr>
          <w:rFonts w:hint="eastAsia" w:ascii="宋体" w:hAnsi="宋体" w:eastAsia="宋体" w:cs="宋体"/>
          <w:b w:val="0"/>
          <w:bCs/>
          <w:color w:val="auto"/>
          <w:sz w:val="24"/>
          <w:szCs w:val="24"/>
          <w:highlight w:val="none"/>
          <w:lang w:val="en-US" w:eastAsia="zh-CN"/>
        </w:rPr>
      </w:pPr>
      <w:r>
        <w:rPr>
          <w:rFonts w:hint="eastAsia" w:ascii="宋体" w:hAnsi="宋体" w:cs="宋体"/>
          <w:b w:val="0"/>
          <w:bCs/>
          <w:i w:val="0"/>
          <w:iCs w:val="0"/>
          <w:color w:val="auto"/>
          <w:kern w:val="2"/>
          <w:sz w:val="24"/>
          <w:szCs w:val="24"/>
          <w:highlight w:val="none"/>
          <w:lang w:val="en-US" w:eastAsia="zh-CN" w:bidi="ar-SA"/>
        </w:rPr>
        <w:t>景洪市</w:t>
      </w:r>
      <w:r>
        <w:rPr>
          <w:rFonts w:hint="eastAsia" w:ascii="宋体" w:hAnsi="宋体" w:eastAsia="宋体" w:cs="宋体"/>
          <w:b w:val="0"/>
          <w:bCs/>
          <w:i w:val="0"/>
          <w:iCs w:val="0"/>
          <w:color w:val="auto"/>
          <w:kern w:val="2"/>
          <w:sz w:val="24"/>
          <w:szCs w:val="24"/>
          <w:highlight w:val="none"/>
          <w:lang w:val="en-US" w:eastAsia="zh-CN" w:bidi="ar-SA"/>
        </w:rPr>
        <w:t>财政局：0691-2153585</w:t>
      </w:r>
    </w:p>
    <w:p w14:paraId="5B669634">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bCs/>
          <w:color w:val="auto"/>
          <w:sz w:val="24"/>
          <w:szCs w:val="24"/>
          <w:highlight w:val="none"/>
          <w:lang w:eastAsia="zh-CN"/>
        </w:rPr>
      </w:pPr>
      <w:bookmarkStart w:id="73" w:name="_Toc19317"/>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eastAsia="zh-CN"/>
        </w:rPr>
        <w:t>、凡对本次采购提出询问，请按以下方式联系。</w:t>
      </w:r>
      <w:bookmarkEnd w:id="62"/>
      <w:bookmarkEnd w:id="63"/>
      <w:bookmarkEnd w:id="64"/>
      <w:bookmarkEnd w:id="65"/>
      <w:bookmarkEnd w:id="70"/>
      <w:bookmarkEnd w:id="71"/>
      <w:bookmarkEnd w:id="72"/>
      <w:bookmarkEnd w:id="73"/>
    </w:p>
    <w:p w14:paraId="64399D2B">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outlineLvl w:val="2"/>
        <w:rPr>
          <w:rFonts w:hint="eastAsia" w:ascii="宋体" w:hAnsi="宋体" w:eastAsia="宋体" w:cs="宋体"/>
          <w:b/>
          <w:bCs/>
          <w:color w:val="auto"/>
          <w:sz w:val="24"/>
          <w:szCs w:val="24"/>
          <w:highlight w:val="none"/>
          <w:lang w:eastAsia="zh-CN"/>
        </w:rPr>
      </w:pPr>
      <w:bookmarkStart w:id="74" w:name="_Toc35393637"/>
      <w:bookmarkStart w:id="75" w:name="_Toc28359019"/>
      <w:bookmarkStart w:id="76" w:name="_Toc28359096"/>
      <w:bookmarkStart w:id="77" w:name="_Toc35393806"/>
      <w:r>
        <w:rPr>
          <w:rFonts w:hint="eastAsia" w:ascii="宋体" w:hAnsi="宋体" w:eastAsia="宋体" w:cs="宋体"/>
          <w:b/>
          <w:bCs/>
          <w:color w:val="auto"/>
          <w:sz w:val="24"/>
          <w:szCs w:val="24"/>
          <w:highlight w:val="none"/>
          <w:lang w:eastAsia="zh-CN"/>
        </w:rPr>
        <w:t>1.采购人信息</w:t>
      </w:r>
      <w:bookmarkEnd w:id="74"/>
      <w:bookmarkEnd w:id="75"/>
      <w:bookmarkEnd w:id="76"/>
      <w:bookmarkEnd w:id="77"/>
    </w:p>
    <w:p w14:paraId="092A03F7">
      <w:pPr>
        <w:keepNext w:val="0"/>
        <w:keepLines w:val="0"/>
        <w:pageBreakBefore w:val="0"/>
        <w:widowControl w:val="0"/>
        <w:kinsoku/>
        <w:wordWrap/>
        <w:overflowPunct/>
        <w:topLinePunct w:val="0"/>
        <w:autoSpaceDE/>
        <w:autoSpaceDN/>
        <w:bidi w:val="0"/>
        <w:spacing w:line="500" w:lineRule="exact"/>
        <w:ind w:left="1079" w:leftChars="371" w:hanging="300" w:hangingChars="12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val="en-US" w:eastAsia="zh-CN"/>
        </w:rPr>
        <w:t>景洪市第四中学</w:t>
      </w:r>
      <w:r>
        <w:rPr>
          <w:rFonts w:hint="eastAsia" w:ascii="宋体" w:hAnsi="宋体" w:eastAsia="宋体" w:cs="宋体"/>
          <w:color w:val="auto"/>
          <w:sz w:val="24"/>
          <w:highlight w:val="none"/>
        </w:rPr>
        <w:t>　　　　　　　　　　　</w:t>
      </w:r>
    </w:p>
    <w:p w14:paraId="107FACBC">
      <w:pPr>
        <w:keepNext w:val="0"/>
        <w:keepLines w:val="0"/>
        <w:pageBreakBefore w:val="0"/>
        <w:widowControl w:val="0"/>
        <w:kinsoku/>
        <w:wordWrap/>
        <w:overflowPunct/>
        <w:topLinePunct w:val="0"/>
        <w:autoSpaceDE/>
        <w:autoSpaceDN/>
        <w:bidi w:val="0"/>
        <w:spacing w:line="500" w:lineRule="exact"/>
        <w:ind w:left="1079" w:leftChars="371" w:hanging="300" w:hangingChars="12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址：景洪市王震路6号　　　　　　　　　　　</w:t>
      </w:r>
    </w:p>
    <w:p w14:paraId="08096152">
      <w:pPr>
        <w:keepNext w:val="0"/>
        <w:keepLines w:val="0"/>
        <w:pageBreakBefore w:val="0"/>
        <w:widowControl w:val="0"/>
        <w:kinsoku/>
        <w:wordWrap/>
        <w:overflowPunct/>
        <w:topLinePunct w:val="0"/>
        <w:autoSpaceDE/>
        <w:autoSpaceDN/>
        <w:bidi w:val="0"/>
        <w:spacing w:line="500" w:lineRule="exact"/>
        <w:ind w:left="1079" w:leftChars="371" w:hanging="300" w:hangingChars="12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r>
        <w:rPr>
          <w:rFonts w:hint="eastAsia" w:ascii="宋体" w:hAnsi="宋体" w:cs="宋体"/>
          <w:color w:val="auto"/>
          <w:sz w:val="24"/>
          <w:highlight w:val="none"/>
          <w:lang w:val="en-US" w:eastAsia="zh-CN"/>
        </w:rPr>
        <w:t>刘 舜13988151859</w:t>
      </w:r>
      <w:r>
        <w:rPr>
          <w:rFonts w:hint="eastAsia" w:ascii="宋体" w:hAnsi="宋体" w:eastAsia="宋体" w:cs="宋体"/>
          <w:color w:val="auto"/>
          <w:sz w:val="24"/>
          <w:highlight w:val="none"/>
        </w:rPr>
        <w:t xml:space="preserve">　　　　　　　 　　　 </w:t>
      </w:r>
      <w:bookmarkStart w:id="78" w:name="_Toc28359097"/>
      <w:bookmarkStart w:id="79" w:name="_Toc35393638"/>
      <w:bookmarkStart w:id="80" w:name="_Toc28359020"/>
      <w:bookmarkStart w:id="81" w:name="_Toc35393807"/>
    </w:p>
    <w:p w14:paraId="48F29FED">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9"/>
        <w:rPr>
          <w:rFonts w:hint="eastAsia" w:ascii="宋体" w:hAnsi="宋体" w:eastAsia="宋体" w:cs="宋体"/>
          <w:b/>
          <w:bCs/>
          <w:color w:val="auto"/>
          <w:sz w:val="24"/>
          <w:highlight w:val="none"/>
        </w:rPr>
      </w:pPr>
    </w:p>
    <w:p w14:paraId="7D0B9439">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2.采购代理机构信息</w:t>
      </w:r>
      <w:bookmarkEnd w:id="78"/>
      <w:bookmarkEnd w:id="79"/>
      <w:bookmarkEnd w:id="80"/>
      <w:bookmarkEnd w:id="81"/>
    </w:p>
    <w:p w14:paraId="4CFA6904">
      <w:pPr>
        <w:keepNext w:val="0"/>
        <w:keepLines w:val="0"/>
        <w:pageBreakBefore w:val="0"/>
        <w:widowControl w:val="0"/>
        <w:kinsoku/>
        <w:wordWrap/>
        <w:overflowPunct/>
        <w:topLinePunct w:val="0"/>
        <w:autoSpaceDE/>
        <w:autoSpaceDN/>
        <w:bidi w:val="0"/>
        <w:spacing w:line="500" w:lineRule="exact"/>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val="en-US" w:eastAsia="zh-CN"/>
        </w:rPr>
        <w:t>云南星骋项目管理有限公司</w:t>
      </w:r>
      <w:r>
        <w:rPr>
          <w:rFonts w:hint="eastAsia" w:ascii="宋体" w:hAnsi="宋体" w:eastAsia="宋体" w:cs="宋体"/>
          <w:color w:val="auto"/>
          <w:sz w:val="24"/>
          <w:highlight w:val="none"/>
        </w:rPr>
        <w:t>　　　</w:t>
      </w:r>
    </w:p>
    <w:p w14:paraId="3C7EAAE8">
      <w:pPr>
        <w:keepNext w:val="0"/>
        <w:keepLines w:val="0"/>
        <w:pageBreakBefore w:val="0"/>
        <w:widowControl w:val="0"/>
        <w:kinsoku/>
        <w:wordWrap/>
        <w:overflowPunct/>
        <w:topLinePunct w:val="0"/>
        <w:autoSpaceDE/>
        <w:autoSpaceDN/>
        <w:bidi w:val="0"/>
        <w:spacing w:line="500" w:lineRule="exact"/>
        <w:ind w:firstLine="720" w:firstLineChars="300"/>
        <w:textAlignment w:val="auto"/>
        <w:rPr>
          <w:rFonts w:hint="eastAsia" w:ascii="宋体" w:hAnsi="宋体" w:eastAsia="宋体" w:cs="宋体"/>
          <w:color w:val="auto"/>
          <w:w w:val="95"/>
          <w:sz w:val="24"/>
          <w:highlight w:val="none"/>
          <w:lang w:val="en-US" w:eastAsia="zh-CN"/>
        </w:rPr>
      </w:pPr>
      <w:r>
        <w:rPr>
          <w:rFonts w:hint="eastAsia" w:ascii="宋体" w:hAnsi="宋体" w:eastAsia="宋体" w:cs="宋体"/>
          <w:color w:val="auto"/>
          <w:sz w:val="24"/>
          <w:highlight w:val="none"/>
        </w:rPr>
        <w:t>地</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址：</w:t>
      </w:r>
      <w:r>
        <w:rPr>
          <w:rFonts w:hint="eastAsia" w:ascii="宋体" w:hAnsi="宋体" w:eastAsia="宋体" w:cs="宋体"/>
          <w:color w:val="auto"/>
          <w:sz w:val="24"/>
          <w:highlight w:val="none"/>
          <w:lang w:val="en-US" w:eastAsia="zh-CN"/>
        </w:rPr>
        <w:t>景洪市西双十二城国际公馆1栋306室　　</w:t>
      </w:r>
    </w:p>
    <w:p w14:paraId="54BEBD81">
      <w:pPr>
        <w:keepNext w:val="0"/>
        <w:keepLines w:val="0"/>
        <w:pageBreakBefore w:val="0"/>
        <w:widowControl w:val="0"/>
        <w:kinsoku/>
        <w:wordWrap/>
        <w:overflowPunct/>
        <w:topLinePunct w:val="0"/>
        <w:autoSpaceDE/>
        <w:autoSpaceDN/>
        <w:bidi w:val="0"/>
        <w:spacing w:line="500" w:lineRule="exact"/>
        <w:ind w:firstLine="720" w:firstLineChars="3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val="en-US" w:eastAsia="zh-CN"/>
        </w:rPr>
        <w:t>郑丽凯0691-2588800、15198499967　　</w:t>
      </w:r>
    </w:p>
    <w:p w14:paraId="7560CD22">
      <w:pPr>
        <w:keepNext w:val="0"/>
        <w:keepLines w:val="0"/>
        <w:pageBreakBefore w:val="0"/>
        <w:widowControl w:val="0"/>
        <w:kinsoku/>
        <w:wordWrap/>
        <w:overflowPunct/>
        <w:topLinePunct w:val="0"/>
        <w:autoSpaceDE/>
        <w:autoSpaceDN/>
        <w:bidi w:val="0"/>
        <w:spacing w:line="500" w:lineRule="exact"/>
        <w:ind w:firstLine="720" w:firstLineChars="300"/>
        <w:textAlignment w:val="auto"/>
        <w:rPr>
          <w:rFonts w:hint="eastAsia" w:ascii="宋体" w:hAnsi="宋体" w:eastAsia="宋体" w:cs="宋体"/>
          <w:color w:val="auto"/>
          <w:sz w:val="24"/>
          <w:highlight w:val="none"/>
          <w:lang w:val="en-US" w:eastAsia="zh-CN"/>
        </w:rPr>
      </w:pPr>
      <w:bookmarkStart w:id="82" w:name="_Toc35393808"/>
      <w:bookmarkStart w:id="83" w:name="_Toc28359021"/>
      <w:bookmarkStart w:id="84" w:name="_Toc35393639"/>
      <w:bookmarkStart w:id="85" w:name="_Toc28359098"/>
    </w:p>
    <w:p w14:paraId="6537E571">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3.项目联系方式</w:t>
      </w:r>
      <w:bookmarkEnd w:id="82"/>
      <w:bookmarkEnd w:id="83"/>
      <w:bookmarkEnd w:id="84"/>
      <w:bookmarkEnd w:id="85"/>
    </w:p>
    <w:p w14:paraId="71E35493">
      <w:pPr>
        <w:pStyle w:val="17"/>
        <w:keepNext w:val="0"/>
        <w:keepLines w:val="0"/>
        <w:pageBreakBefore w:val="0"/>
        <w:widowControl w:val="0"/>
        <w:kinsoku/>
        <w:wordWrap/>
        <w:overflowPunct/>
        <w:topLinePunct w:val="0"/>
        <w:autoSpaceDE/>
        <w:autoSpaceDN/>
        <w:bidi w:val="0"/>
        <w:spacing w:line="50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项目联系人：郑丽凯</w:t>
      </w:r>
    </w:p>
    <w:p w14:paraId="0B38CA5D">
      <w:pPr>
        <w:keepNext w:val="0"/>
        <w:keepLines w:val="0"/>
        <w:pageBreakBefore w:val="0"/>
        <w:widowControl w:val="0"/>
        <w:kinsoku/>
        <w:wordWrap/>
        <w:overflowPunct/>
        <w:topLinePunct w:val="0"/>
        <w:autoSpaceDE/>
        <w:autoSpaceDN/>
        <w:bidi w:val="0"/>
        <w:spacing w:line="500" w:lineRule="exact"/>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话：0691-2588800、15198499967</w:t>
      </w:r>
    </w:p>
    <w:p w14:paraId="4A5677D1">
      <w:pPr>
        <w:keepNext w:val="0"/>
        <w:keepLines w:val="0"/>
        <w:pageBreakBefore w:val="0"/>
        <w:widowControl w:val="0"/>
        <w:kinsoku/>
        <w:wordWrap/>
        <w:overflowPunct/>
        <w:topLinePunct w:val="0"/>
        <w:autoSpaceDE/>
        <w:autoSpaceDN/>
        <w:bidi w:val="0"/>
        <w:spacing w:line="500" w:lineRule="exact"/>
        <w:ind w:firstLine="720" w:firstLineChars="300"/>
        <w:jc w:val="right"/>
        <w:textAlignment w:val="auto"/>
        <w:rPr>
          <w:rFonts w:hint="default" w:ascii="宋体" w:hAnsi="宋体" w:eastAsia="宋体" w:cs="宋体"/>
          <w:color w:val="auto"/>
          <w:sz w:val="24"/>
          <w:highlight w:val="none"/>
          <w:lang w:val="en-US" w:eastAsia="zh-CN"/>
        </w:rPr>
        <w:sectPr>
          <w:footerReference r:id="rId5" w:type="default"/>
          <w:pgSz w:w="11906" w:h="16838"/>
          <w:pgMar w:top="1440" w:right="1361" w:bottom="1440" w:left="1361" w:header="964" w:footer="964" w:gutter="0"/>
          <w:pgBorders>
            <w:top w:val="none" w:sz="0" w:space="0"/>
            <w:left w:val="none" w:sz="0" w:space="0"/>
            <w:bottom w:val="none" w:sz="0" w:space="0"/>
            <w:right w:val="none" w:sz="0" w:space="0"/>
          </w:pgBorders>
          <w:pgNumType w:fmt="decimal" w:start="1"/>
          <w:cols w:space="708" w:num="1"/>
          <w:docGrid w:type="lines" w:linePitch="312" w:charSpace="0"/>
        </w:sectPr>
      </w:pPr>
      <w:r>
        <w:rPr>
          <w:rFonts w:hint="eastAsia" w:ascii="宋体" w:hAnsi="宋体" w:cs="宋体"/>
          <w:color w:val="auto"/>
          <w:sz w:val="24"/>
          <w:highlight w:val="none"/>
          <w:lang w:val="en-US" w:eastAsia="zh-CN"/>
        </w:rPr>
        <w:t>2025年03月18日</w:t>
      </w:r>
    </w:p>
    <w:p w14:paraId="7C9B4220">
      <w:pPr>
        <w:pStyle w:val="3"/>
        <w:keepNext w:val="0"/>
        <w:keepLines w:val="0"/>
        <w:tabs>
          <w:tab w:val="left" w:pos="840"/>
          <w:tab w:val="center" w:pos="4620"/>
        </w:tabs>
        <w:spacing w:before="312" w:beforeLines="100" w:after="312" w:afterLines="100" w:line="500" w:lineRule="exact"/>
        <w:jc w:val="center"/>
        <w:rPr>
          <w:rFonts w:hint="eastAsia" w:ascii="宋体" w:hAnsi="宋体" w:eastAsia="宋体" w:cs="宋体"/>
          <w:color w:val="auto"/>
          <w:sz w:val="30"/>
          <w:szCs w:val="30"/>
          <w:highlight w:val="none"/>
        </w:rPr>
      </w:pPr>
      <w:bookmarkStart w:id="86" w:name="_Toc19118"/>
      <w:bookmarkStart w:id="87" w:name="_Toc22700"/>
      <w:bookmarkStart w:id="88" w:name="_Toc16286"/>
      <w:r>
        <w:rPr>
          <w:rFonts w:hint="eastAsia" w:ascii="宋体" w:hAnsi="宋体" w:eastAsia="宋体" w:cs="宋体"/>
          <w:color w:val="auto"/>
          <w:sz w:val="30"/>
          <w:szCs w:val="30"/>
          <w:highlight w:val="none"/>
        </w:rPr>
        <w:t xml:space="preserve">第二章 </w:t>
      </w:r>
      <w:bookmarkEnd w:id="3"/>
      <w:bookmarkStart w:id="89" w:name="_Toc122530370"/>
      <w:bookmarkStart w:id="90" w:name="_Toc431853127"/>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w:t>
      </w:r>
      <w:bookmarkEnd w:id="4"/>
      <w:bookmarkEnd w:id="86"/>
      <w:bookmarkEnd w:id="87"/>
      <w:bookmarkEnd w:id="88"/>
      <w:bookmarkEnd w:id="89"/>
      <w:bookmarkEnd w:id="90"/>
    </w:p>
    <w:p w14:paraId="38373114">
      <w:pPr>
        <w:spacing w:line="500" w:lineRule="exact"/>
        <w:jc w:val="center"/>
        <w:outlineLvl w:val="1"/>
        <w:rPr>
          <w:rFonts w:hint="eastAsia" w:ascii="宋体" w:hAnsi="宋体" w:eastAsia="宋体" w:cs="宋体"/>
          <w:color w:val="auto"/>
          <w:sz w:val="28"/>
          <w:szCs w:val="28"/>
          <w:highlight w:val="none"/>
        </w:rPr>
      </w:pPr>
      <w:bookmarkStart w:id="91" w:name="_Toc26068"/>
      <w:bookmarkStart w:id="92" w:name="_Toc14952"/>
      <w:bookmarkStart w:id="93" w:name="_Toc16833"/>
      <w:r>
        <w:rPr>
          <w:rFonts w:hint="eastAsia" w:ascii="宋体" w:hAnsi="宋体" w:eastAsia="宋体" w:cs="宋体"/>
          <w:color w:val="auto"/>
          <w:sz w:val="28"/>
          <w:szCs w:val="28"/>
          <w:highlight w:val="none"/>
          <w:lang w:val="en-US" w:eastAsia="zh-CN"/>
        </w:rPr>
        <w:t>供应商</w:t>
      </w:r>
      <w:r>
        <w:rPr>
          <w:rFonts w:hint="eastAsia" w:ascii="宋体" w:hAnsi="宋体" w:eastAsia="宋体" w:cs="宋体"/>
          <w:color w:val="auto"/>
          <w:sz w:val="28"/>
          <w:szCs w:val="28"/>
          <w:highlight w:val="none"/>
        </w:rPr>
        <w:t>须知前附表</w:t>
      </w:r>
      <w:bookmarkEnd w:id="91"/>
      <w:bookmarkEnd w:id="92"/>
      <w:bookmarkEnd w:id="93"/>
    </w:p>
    <w:tbl>
      <w:tblPr>
        <w:tblStyle w:val="29"/>
        <w:tblW w:w="97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5"/>
        <w:gridCol w:w="1895"/>
        <w:gridCol w:w="6997"/>
      </w:tblGrid>
      <w:tr w14:paraId="295A19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blHeader/>
          <w:jc w:val="center"/>
        </w:trPr>
        <w:tc>
          <w:tcPr>
            <w:tcW w:w="82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1DBA8AA">
            <w:pPr>
              <w:spacing w:line="38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项号</w:t>
            </w:r>
          </w:p>
        </w:tc>
        <w:tc>
          <w:tcPr>
            <w:tcW w:w="189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D71AA84">
            <w:pPr>
              <w:spacing w:line="38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内    容</w:t>
            </w:r>
          </w:p>
        </w:tc>
        <w:tc>
          <w:tcPr>
            <w:tcW w:w="699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FBDC8E0">
            <w:pPr>
              <w:spacing w:line="38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说明与要求</w:t>
            </w:r>
          </w:p>
        </w:tc>
      </w:tr>
      <w:tr w14:paraId="62CFF6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19D0C0FD">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1</w:t>
            </w:r>
          </w:p>
        </w:tc>
        <w:tc>
          <w:tcPr>
            <w:tcW w:w="1895" w:type="dxa"/>
            <w:tcBorders>
              <w:top w:val="single" w:color="auto" w:sz="4" w:space="0"/>
              <w:left w:val="single" w:color="auto" w:sz="4" w:space="0"/>
              <w:bottom w:val="single" w:color="auto" w:sz="4" w:space="0"/>
              <w:right w:val="single" w:color="auto" w:sz="4" w:space="0"/>
            </w:tcBorders>
            <w:vAlign w:val="center"/>
          </w:tcPr>
          <w:p w14:paraId="6C19BC85">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lang w:eastAsia="zh-CN"/>
              </w:rPr>
              <w:t>采</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eastAsia="zh-CN"/>
              </w:rPr>
              <w:t>购</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eastAsia="zh-CN"/>
              </w:rPr>
              <w:t>人</w:t>
            </w:r>
          </w:p>
        </w:tc>
        <w:tc>
          <w:tcPr>
            <w:tcW w:w="6997" w:type="dxa"/>
            <w:tcBorders>
              <w:top w:val="single" w:color="auto" w:sz="4" w:space="0"/>
              <w:left w:val="single" w:color="auto" w:sz="4" w:space="0"/>
              <w:bottom w:val="single" w:color="auto" w:sz="4" w:space="0"/>
              <w:right w:val="single" w:color="auto" w:sz="4" w:space="0"/>
            </w:tcBorders>
            <w:vAlign w:val="center"/>
          </w:tcPr>
          <w:p w14:paraId="6784482D">
            <w:pPr>
              <w:pStyle w:val="17"/>
              <w:keepNext w:val="0"/>
              <w:keepLines w:val="0"/>
              <w:pageBreakBefore w:val="0"/>
              <w:kinsoku/>
              <w:wordWrap/>
              <w:overflowPunct/>
              <w:autoSpaceDE/>
              <w:autoSpaceDN/>
              <w:bidi w:val="0"/>
              <w:snapToGrid/>
              <w:spacing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采 购 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景洪市第四中学</w:t>
            </w:r>
          </w:p>
          <w:p w14:paraId="0CBEA51A">
            <w:pPr>
              <w:pStyle w:val="17"/>
              <w:keepNext w:val="0"/>
              <w:keepLines w:val="0"/>
              <w:pageBreakBefore w:val="0"/>
              <w:kinsoku/>
              <w:wordWrap/>
              <w:overflowPunct/>
              <w:autoSpaceDE/>
              <w:autoSpaceDN/>
              <w:bidi w:val="0"/>
              <w:snapToGrid/>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    址：景洪市王震路6号</w:t>
            </w:r>
          </w:p>
          <w:p w14:paraId="6F9C556A">
            <w:pPr>
              <w:pStyle w:val="17"/>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联系</w:t>
            </w:r>
            <w:r>
              <w:rPr>
                <w:rFonts w:hint="eastAsia" w:ascii="宋体" w:hAnsi="宋体" w:eastAsia="宋体" w:cs="宋体"/>
                <w:bCs/>
                <w:color w:val="auto"/>
                <w:sz w:val="24"/>
                <w:szCs w:val="24"/>
                <w:highlight w:val="none"/>
                <w:lang w:val="en-US" w:eastAsia="zh-CN"/>
              </w:rPr>
              <w:t>方式</w:t>
            </w:r>
            <w:r>
              <w:rPr>
                <w:rFonts w:hint="eastAsia" w:ascii="宋体" w:hAnsi="宋体" w:eastAsia="宋体" w:cs="宋体"/>
                <w:bCs/>
                <w:color w:val="auto"/>
                <w:sz w:val="24"/>
                <w:szCs w:val="24"/>
                <w:highlight w:val="none"/>
              </w:rPr>
              <w:t>：</w:t>
            </w:r>
            <w:r>
              <w:rPr>
                <w:rFonts w:hint="eastAsia" w:ascii="宋体" w:hAnsi="宋体" w:cs="宋体"/>
                <w:color w:val="auto"/>
                <w:sz w:val="24"/>
                <w:highlight w:val="none"/>
                <w:lang w:val="en-US" w:eastAsia="zh-CN"/>
              </w:rPr>
              <w:t>刘 舜13988151859</w:t>
            </w:r>
            <w:r>
              <w:rPr>
                <w:rFonts w:hint="eastAsia" w:ascii="宋体" w:hAnsi="宋体" w:eastAsia="宋体" w:cs="宋体"/>
                <w:bCs/>
                <w:color w:val="auto"/>
                <w:sz w:val="24"/>
                <w:szCs w:val="24"/>
                <w:highlight w:val="none"/>
              </w:rPr>
              <w:t xml:space="preserve">         </w:t>
            </w:r>
          </w:p>
        </w:tc>
      </w:tr>
      <w:tr w14:paraId="01C5DA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2"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75D934A">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2</w:t>
            </w:r>
          </w:p>
        </w:tc>
        <w:tc>
          <w:tcPr>
            <w:tcW w:w="1895" w:type="dxa"/>
            <w:tcBorders>
              <w:top w:val="single" w:color="auto" w:sz="4" w:space="0"/>
              <w:left w:val="single" w:color="auto" w:sz="4" w:space="0"/>
              <w:bottom w:val="single" w:color="auto" w:sz="4" w:space="0"/>
              <w:right w:val="single" w:color="auto" w:sz="4" w:space="0"/>
            </w:tcBorders>
            <w:vAlign w:val="center"/>
          </w:tcPr>
          <w:p w14:paraId="49C66ADF">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eastAsia="zh-CN"/>
              </w:rPr>
              <w:t>采购代理机构</w:t>
            </w:r>
          </w:p>
        </w:tc>
        <w:tc>
          <w:tcPr>
            <w:tcW w:w="6997" w:type="dxa"/>
            <w:tcBorders>
              <w:top w:val="single" w:color="auto" w:sz="4" w:space="0"/>
              <w:left w:val="single" w:color="auto" w:sz="4" w:space="0"/>
              <w:bottom w:val="single" w:color="auto" w:sz="4" w:space="0"/>
              <w:right w:val="single" w:color="auto" w:sz="4" w:space="0"/>
            </w:tcBorders>
            <w:vAlign w:val="center"/>
          </w:tcPr>
          <w:p w14:paraId="375DE5AE">
            <w:pPr>
              <w:pStyle w:val="17"/>
              <w:keepNext w:val="0"/>
              <w:keepLines w:val="0"/>
              <w:pageBreakBefore w:val="0"/>
              <w:kinsoku/>
              <w:wordWrap/>
              <w:overflowPunct/>
              <w:autoSpaceDE/>
              <w:autoSpaceDN/>
              <w:bidi w:val="0"/>
              <w:snapToGrid/>
              <w:spacing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en-US" w:eastAsia="zh-CN"/>
              </w:rPr>
              <w:t>云南星骋项目管理有限公司</w:t>
            </w:r>
          </w:p>
          <w:p w14:paraId="619EAD51">
            <w:pPr>
              <w:pStyle w:val="17"/>
              <w:keepNext w:val="0"/>
              <w:keepLines w:val="0"/>
              <w:pageBreakBefore w:val="0"/>
              <w:kinsoku/>
              <w:wordWrap/>
              <w:overflowPunct/>
              <w:autoSpaceDE/>
              <w:autoSpaceDN/>
              <w:bidi w:val="0"/>
              <w:snapToGrid/>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址：景洪市西双十二城国际公馆1栋306室</w:t>
            </w:r>
          </w:p>
          <w:p w14:paraId="419F5537">
            <w:pPr>
              <w:pStyle w:val="17"/>
              <w:keepNext w:val="0"/>
              <w:keepLines w:val="0"/>
              <w:pageBreakBefore w:val="0"/>
              <w:kinsoku/>
              <w:wordWrap/>
              <w:overflowPunct/>
              <w:autoSpaceDE/>
              <w:autoSpaceDN/>
              <w:bidi w:val="0"/>
              <w:snapToGrid/>
              <w:spacing w:line="480" w:lineRule="exact"/>
              <w:rPr>
                <w:rFonts w:hint="eastAsia" w:ascii="宋体" w:hAnsi="宋体" w:eastAsia="宋体" w:cs="宋体"/>
                <w:color w:val="auto"/>
                <w:sz w:val="22"/>
                <w:highlight w:val="none"/>
              </w:rPr>
            </w:pPr>
            <w:r>
              <w:rPr>
                <w:rFonts w:hint="eastAsia" w:ascii="宋体" w:hAnsi="宋体" w:eastAsia="宋体" w:cs="宋体"/>
                <w:bCs/>
                <w:color w:val="auto"/>
                <w:sz w:val="24"/>
                <w:szCs w:val="24"/>
                <w:highlight w:val="none"/>
              </w:rPr>
              <w:t>联系</w:t>
            </w:r>
            <w:r>
              <w:rPr>
                <w:rFonts w:hint="eastAsia" w:ascii="宋体" w:hAnsi="宋体" w:eastAsia="宋体" w:cs="宋体"/>
                <w:bCs/>
                <w:color w:val="auto"/>
                <w:sz w:val="24"/>
                <w:szCs w:val="24"/>
                <w:highlight w:val="none"/>
                <w:lang w:val="en-US" w:eastAsia="zh-CN"/>
              </w:rPr>
              <w:t>方式</w:t>
            </w:r>
            <w:r>
              <w:rPr>
                <w:rFonts w:hint="eastAsia" w:ascii="宋体" w:hAnsi="宋体" w:eastAsia="宋体" w:cs="宋体"/>
                <w:bCs/>
                <w:color w:val="auto"/>
                <w:sz w:val="24"/>
                <w:szCs w:val="24"/>
                <w:highlight w:val="none"/>
              </w:rPr>
              <w:t>：郑丽凯</w:t>
            </w:r>
            <w:r>
              <w:rPr>
                <w:rFonts w:hint="eastAsia" w:ascii="宋体" w:hAnsi="宋体" w:eastAsia="宋体" w:cs="宋体"/>
                <w:color w:val="auto"/>
                <w:sz w:val="24"/>
                <w:szCs w:val="24"/>
                <w:highlight w:val="none"/>
              </w:rPr>
              <w:t xml:space="preserve">0691-2588800 、15198499967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w:t>
            </w:r>
          </w:p>
        </w:tc>
      </w:tr>
      <w:tr w14:paraId="2DE6BC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3AE35B98">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3</w:t>
            </w:r>
          </w:p>
        </w:tc>
        <w:tc>
          <w:tcPr>
            <w:tcW w:w="1895" w:type="dxa"/>
            <w:tcBorders>
              <w:top w:val="single" w:color="auto" w:sz="4" w:space="0"/>
              <w:left w:val="single" w:color="auto" w:sz="4" w:space="0"/>
              <w:bottom w:val="single" w:color="auto" w:sz="4" w:space="0"/>
              <w:right w:val="single" w:color="auto" w:sz="4" w:space="0"/>
            </w:tcBorders>
            <w:vAlign w:val="center"/>
          </w:tcPr>
          <w:p w14:paraId="4F2F00C9">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项目名称</w:t>
            </w:r>
          </w:p>
        </w:tc>
        <w:tc>
          <w:tcPr>
            <w:tcW w:w="6997" w:type="dxa"/>
            <w:tcBorders>
              <w:top w:val="single" w:color="auto" w:sz="4" w:space="0"/>
              <w:left w:val="single" w:color="auto" w:sz="4" w:space="0"/>
              <w:bottom w:val="single" w:color="auto" w:sz="4" w:space="0"/>
              <w:right w:val="single" w:color="auto" w:sz="4" w:space="0"/>
            </w:tcBorders>
            <w:vAlign w:val="center"/>
          </w:tcPr>
          <w:p w14:paraId="58D7ABE0">
            <w:pPr>
              <w:keepNext w:val="0"/>
              <w:keepLines w:val="0"/>
              <w:pageBreakBefore w:val="0"/>
              <w:kinsoku/>
              <w:wordWrap/>
              <w:overflowPunct/>
              <w:autoSpaceDE/>
              <w:autoSpaceDN/>
              <w:bidi w:val="0"/>
              <w:snapToGrid/>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景洪市第四中学行政楼、主教学楼及学生宿舍楼修缮建设项目</w:t>
            </w:r>
          </w:p>
        </w:tc>
      </w:tr>
      <w:tr w14:paraId="53874E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1FA85E31">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4</w:t>
            </w:r>
          </w:p>
        </w:tc>
        <w:tc>
          <w:tcPr>
            <w:tcW w:w="1895" w:type="dxa"/>
            <w:tcBorders>
              <w:top w:val="single" w:color="auto" w:sz="4" w:space="0"/>
              <w:left w:val="single" w:color="auto" w:sz="4" w:space="0"/>
              <w:bottom w:val="single" w:color="auto" w:sz="4" w:space="0"/>
              <w:right w:val="single" w:color="auto" w:sz="4" w:space="0"/>
            </w:tcBorders>
            <w:vAlign w:val="center"/>
          </w:tcPr>
          <w:p w14:paraId="533181FD">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项目编号</w:t>
            </w:r>
          </w:p>
        </w:tc>
        <w:tc>
          <w:tcPr>
            <w:tcW w:w="6997" w:type="dxa"/>
            <w:tcBorders>
              <w:top w:val="single" w:color="auto" w:sz="4" w:space="0"/>
              <w:left w:val="single" w:color="auto" w:sz="4" w:space="0"/>
              <w:bottom w:val="single" w:color="auto" w:sz="4" w:space="0"/>
              <w:right w:val="single" w:color="auto" w:sz="4" w:space="0"/>
            </w:tcBorders>
            <w:vAlign w:val="center"/>
          </w:tcPr>
          <w:p w14:paraId="63404981">
            <w:pPr>
              <w:keepNext w:val="0"/>
              <w:keepLines w:val="0"/>
              <w:pageBreakBefore w:val="0"/>
              <w:kinsoku/>
              <w:wordWrap/>
              <w:overflowPunct/>
              <w:autoSpaceDE/>
              <w:autoSpaceDN/>
              <w:bidi w:val="0"/>
              <w:snapToGrid/>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YNXC</w:t>
            </w:r>
            <w:r>
              <w:rPr>
                <w:rFonts w:hint="eastAsia" w:ascii="宋体" w:hAnsi="宋体" w:cs="宋体"/>
                <w:color w:val="auto"/>
                <w:sz w:val="24"/>
                <w:highlight w:val="none"/>
                <w:lang w:val="en-US" w:eastAsia="zh-CN"/>
              </w:rPr>
              <w:t>25</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06</w:t>
            </w:r>
            <w:r>
              <w:rPr>
                <w:rFonts w:hint="eastAsia" w:ascii="宋体" w:hAnsi="宋体" w:eastAsia="宋体" w:cs="宋体"/>
                <w:color w:val="auto"/>
                <w:sz w:val="24"/>
                <w:highlight w:val="none"/>
              </w:rPr>
              <w:t>号</w:t>
            </w:r>
          </w:p>
        </w:tc>
      </w:tr>
      <w:tr w14:paraId="08E3FD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6A10FCF5">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5</w:t>
            </w:r>
          </w:p>
        </w:tc>
        <w:tc>
          <w:tcPr>
            <w:tcW w:w="1895" w:type="dxa"/>
            <w:tcBorders>
              <w:top w:val="single" w:color="auto" w:sz="4" w:space="0"/>
              <w:left w:val="single" w:color="auto" w:sz="4" w:space="0"/>
              <w:bottom w:val="single" w:color="auto" w:sz="4" w:space="0"/>
              <w:right w:val="single" w:color="auto" w:sz="4" w:space="0"/>
            </w:tcBorders>
            <w:vAlign w:val="center"/>
          </w:tcPr>
          <w:p w14:paraId="1A70C6F7">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采购</w:t>
            </w:r>
            <w:r>
              <w:rPr>
                <w:rFonts w:hint="eastAsia" w:ascii="宋体" w:hAnsi="宋体" w:eastAsia="宋体" w:cs="宋体"/>
                <w:bCs/>
                <w:color w:val="auto"/>
                <w:sz w:val="24"/>
                <w:highlight w:val="none"/>
              </w:rPr>
              <w:t>方式</w:t>
            </w:r>
          </w:p>
        </w:tc>
        <w:tc>
          <w:tcPr>
            <w:tcW w:w="6997" w:type="dxa"/>
            <w:tcBorders>
              <w:top w:val="single" w:color="auto" w:sz="4" w:space="0"/>
              <w:left w:val="single" w:color="auto" w:sz="4" w:space="0"/>
              <w:bottom w:val="single" w:color="auto" w:sz="4" w:space="0"/>
              <w:right w:val="single" w:color="auto" w:sz="4" w:space="0"/>
            </w:tcBorders>
            <w:vAlign w:val="center"/>
          </w:tcPr>
          <w:p w14:paraId="6EB77188">
            <w:pPr>
              <w:keepNext w:val="0"/>
              <w:keepLines w:val="0"/>
              <w:pageBreakBefore w:val="0"/>
              <w:kinsoku/>
              <w:wordWrap/>
              <w:overflowPunct/>
              <w:autoSpaceDE/>
              <w:autoSpaceDN/>
              <w:bidi w:val="0"/>
              <w:snapToGrid/>
              <w:spacing w:line="48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竞争性磋商</w:t>
            </w:r>
          </w:p>
        </w:tc>
      </w:tr>
      <w:tr w14:paraId="0157F4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026E56AA">
            <w:pPr>
              <w:spacing w:line="44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w:t>
            </w:r>
          </w:p>
        </w:tc>
        <w:tc>
          <w:tcPr>
            <w:tcW w:w="1895" w:type="dxa"/>
            <w:tcBorders>
              <w:top w:val="single" w:color="auto" w:sz="4" w:space="0"/>
              <w:left w:val="single" w:color="auto" w:sz="4" w:space="0"/>
              <w:bottom w:val="single" w:color="auto" w:sz="4" w:space="0"/>
              <w:right w:val="single" w:color="auto" w:sz="4" w:space="0"/>
            </w:tcBorders>
            <w:vAlign w:val="center"/>
          </w:tcPr>
          <w:p w14:paraId="3A4468BD">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采购预算</w:t>
            </w:r>
            <w:r>
              <w:rPr>
                <w:rFonts w:hint="eastAsia" w:ascii="宋体" w:hAnsi="宋体" w:eastAsia="宋体" w:cs="宋体"/>
                <w:color w:val="auto"/>
                <w:sz w:val="24"/>
                <w:highlight w:val="none"/>
              </w:rPr>
              <w:t>金额</w:t>
            </w:r>
          </w:p>
        </w:tc>
        <w:tc>
          <w:tcPr>
            <w:tcW w:w="6997" w:type="dxa"/>
            <w:tcBorders>
              <w:top w:val="single" w:color="auto" w:sz="4" w:space="0"/>
              <w:left w:val="single" w:color="auto" w:sz="4" w:space="0"/>
              <w:bottom w:val="single" w:color="auto" w:sz="4" w:space="0"/>
              <w:right w:val="single" w:color="auto" w:sz="4" w:space="0"/>
            </w:tcBorders>
            <w:vAlign w:val="center"/>
          </w:tcPr>
          <w:p w14:paraId="7997528B">
            <w:pPr>
              <w:keepNext w:val="0"/>
              <w:keepLines w:val="0"/>
              <w:pageBreakBefore w:val="0"/>
              <w:widowControl/>
              <w:kinsoku/>
              <w:wordWrap/>
              <w:overflowPunct/>
              <w:topLinePunct w:val="0"/>
              <w:autoSpaceDE/>
              <w:autoSpaceDN/>
              <w:bidi w:val="0"/>
              <w:adjustRightInd/>
              <w:snapToGrid/>
              <w:spacing w:line="460" w:lineRule="exac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小写：</w:t>
            </w:r>
            <w:r>
              <w:rPr>
                <w:rFonts w:hint="eastAsia" w:ascii="宋体" w:hAnsi="宋体" w:cs="宋体"/>
                <w:color w:val="auto"/>
                <w:sz w:val="24"/>
                <w:highlight w:val="none"/>
                <w:u w:val="none"/>
                <w:lang w:val="en-US" w:eastAsia="zh-CN"/>
              </w:rPr>
              <w:t>2800000.00元</w:t>
            </w:r>
            <w:r>
              <w:rPr>
                <w:rFonts w:hint="eastAsia" w:ascii="宋体" w:hAnsi="宋体" w:eastAsia="宋体" w:cs="宋体"/>
                <w:color w:val="auto"/>
                <w:sz w:val="24"/>
                <w:highlight w:val="none"/>
              </w:rPr>
              <w:t>（大写：人民币</w:t>
            </w:r>
            <w:r>
              <w:rPr>
                <w:rFonts w:hint="eastAsia" w:ascii="宋体" w:hAnsi="宋体" w:cs="宋体"/>
                <w:color w:val="auto"/>
                <w:sz w:val="24"/>
                <w:highlight w:val="none"/>
                <w:lang w:val="en-US" w:eastAsia="zh-CN"/>
              </w:rPr>
              <w:t>贰佰捌拾万元整</w:t>
            </w:r>
            <w:r>
              <w:rPr>
                <w:rFonts w:hint="eastAsia" w:ascii="宋体" w:hAnsi="宋体" w:eastAsia="宋体" w:cs="宋体"/>
                <w:color w:val="auto"/>
                <w:sz w:val="24"/>
                <w:highlight w:val="none"/>
              </w:rPr>
              <w:t>）</w:t>
            </w:r>
          </w:p>
        </w:tc>
      </w:tr>
      <w:tr w14:paraId="639394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5DFA137A">
            <w:pPr>
              <w:spacing w:line="44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7</w:t>
            </w:r>
          </w:p>
        </w:tc>
        <w:tc>
          <w:tcPr>
            <w:tcW w:w="1895" w:type="dxa"/>
            <w:tcBorders>
              <w:top w:val="single" w:color="auto" w:sz="4" w:space="0"/>
              <w:left w:val="single" w:color="auto" w:sz="4" w:space="0"/>
              <w:bottom w:val="single" w:color="auto" w:sz="4" w:space="0"/>
              <w:right w:val="single" w:color="auto" w:sz="4" w:space="0"/>
            </w:tcBorders>
            <w:vAlign w:val="center"/>
          </w:tcPr>
          <w:p w14:paraId="053AC44C">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最高投标限价</w:t>
            </w:r>
          </w:p>
        </w:tc>
        <w:tc>
          <w:tcPr>
            <w:tcW w:w="6997" w:type="dxa"/>
            <w:tcBorders>
              <w:top w:val="single" w:color="auto" w:sz="4" w:space="0"/>
              <w:left w:val="single" w:color="auto" w:sz="4" w:space="0"/>
              <w:bottom w:val="single" w:color="auto" w:sz="4" w:space="0"/>
              <w:right w:val="single" w:color="auto" w:sz="4" w:space="0"/>
            </w:tcBorders>
            <w:vAlign w:val="center"/>
          </w:tcPr>
          <w:p w14:paraId="171815AF">
            <w:pPr>
              <w:keepNext w:val="0"/>
              <w:keepLines w:val="0"/>
              <w:pageBreakBefore w:val="0"/>
              <w:widowControl/>
              <w:kinsoku/>
              <w:wordWrap/>
              <w:overflowPunct/>
              <w:topLinePunct w:val="0"/>
              <w:autoSpaceDE/>
              <w:autoSpaceDN/>
              <w:bidi w:val="0"/>
              <w:adjustRightInd/>
              <w:snapToGrid/>
              <w:spacing w:line="460" w:lineRule="exac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小写：2699354.58元（大写：人民币贰佰陆拾玖万玖仟叁佰伍拾肆元伍角捌分）</w:t>
            </w:r>
          </w:p>
        </w:tc>
      </w:tr>
      <w:tr w14:paraId="769B6A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147DED38">
            <w:pPr>
              <w:keepNext w:val="0"/>
              <w:keepLines w:val="0"/>
              <w:pageBreakBefore w:val="0"/>
              <w:kinsoku/>
              <w:wordWrap/>
              <w:overflowPunct/>
              <w:autoSpaceDE/>
              <w:autoSpaceDN/>
              <w:bidi w:val="0"/>
              <w:spacing w:line="50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1895" w:type="dxa"/>
            <w:tcBorders>
              <w:top w:val="single" w:color="auto" w:sz="4" w:space="0"/>
              <w:left w:val="single" w:color="auto" w:sz="4" w:space="0"/>
              <w:bottom w:val="single" w:color="auto" w:sz="4" w:space="0"/>
              <w:right w:val="single" w:color="auto" w:sz="4" w:space="0"/>
            </w:tcBorders>
            <w:vAlign w:val="center"/>
          </w:tcPr>
          <w:p w14:paraId="5F2ADDB3">
            <w:pPr>
              <w:keepNext w:val="0"/>
              <w:keepLines w:val="0"/>
              <w:pageBreakBefore w:val="0"/>
              <w:widowControl/>
              <w:kinsoku/>
              <w:wordWrap/>
              <w:overflowPunct/>
              <w:topLinePunct w:val="0"/>
              <w:autoSpaceDE/>
              <w:autoSpaceDN/>
              <w:bidi w:val="0"/>
              <w:adjustRightInd/>
              <w:snapToGrid/>
              <w:spacing w:line="460" w:lineRule="exact"/>
              <w:jc w:val="center"/>
              <w:textAlignment w:val="center"/>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lang w:eastAsia="zh-CN"/>
              </w:rPr>
              <w:t>项目资金来源</w:t>
            </w:r>
          </w:p>
        </w:tc>
        <w:tc>
          <w:tcPr>
            <w:tcW w:w="6997" w:type="dxa"/>
            <w:tcBorders>
              <w:top w:val="single" w:color="auto" w:sz="4" w:space="0"/>
              <w:left w:val="single" w:color="auto" w:sz="4" w:space="0"/>
              <w:bottom w:val="single" w:color="auto" w:sz="4" w:space="0"/>
              <w:right w:val="single" w:color="auto" w:sz="4" w:space="0"/>
            </w:tcBorders>
            <w:vAlign w:val="center"/>
          </w:tcPr>
          <w:p w14:paraId="7208ACE0">
            <w:pPr>
              <w:keepNext w:val="0"/>
              <w:keepLines w:val="0"/>
              <w:pageBreakBefore w:val="0"/>
              <w:widowControl/>
              <w:kinsoku/>
              <w:wordWrap/>
              <w:overflowPunct/>
              <w:topLinePunct w:val="0"/>
              <w:autoSpaceDE/>
              <w:autoSpaceDN/>
              <w:bidi w:val="0"/>
              <w:adjustRightInd/>
              <w:snapToGrid/>
              <w:spacing w:line="460" w:lineRule="exac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2024年改善普通高中办学条件中央资金</w:t>
            </w:r>
          </w:p>
        </w:tc>
      </w:tr>
      <w:tr w14:paraId="462884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03B925AF">
            <w:pPr>
              <w:keepNext w:val="0"/>
              <w:keepLines w:val="0"/>
              <w:pageBreakBefore w:val="0"/>
              <w:kinsoku/>
              <w:wordWrap/>
              <w:overflowPunct/>
              <w:autoSpaceDE/>
              <w:autoSpaceDN/>
              <w:bidi w:val="0"/>
              <w:spacing w:line="50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9</w:t>
            </w:r>
          </w:p>
        </w:tc>
        <w:tc>
          <w:tcPr>
            <w:tcW w:w="1895" w:type="dxa"/>
            <w:tcBorders>
              <w:top w:val="single" w:color="auto" w:sz="4" w:space="0"/>
              <w:left w:val="single" w:color="auto" w:sz="4" w:space="0"/>
              <w:bottom w:val="single" w:color="auto" w:sz="4" w:space="0"/>
              <w:right w:val="single" w:color="auto" w:sz="4" w:space="0"/>
            </w:tcBorders>
            <w:vAlign w:val="center"/>
          </w:tcPr>
          <w:p w14:paraId="2BF39C71">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资金落实情况</w:t>
            </w:r>
          </w:p>
        </w:tc>
        <w:tc>
          <w:tcPr>
            <w:tcW w:w="6997" w:type="dxa"/>
            <w:tcBorders>
              <w:top w:val="single" w:color="auto" w:sz="4" w:space="0"/>
              <w:left w:val="single" w:color="auto" w:sz="4" w:space="0"/>
              <w:bottom w:val="single" w:color="auto" w:sz="4" w:space="0"/>
              <w:right w:val="single" w:color="auto" w:sz="4" w:space="0"/>
            </w:tcBorders>
            <w:vAlign w:val="center"/>
          </w:tcPr>
          <w:p w14:paraId="56A52417">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cyan"/>
              </w:rPr>
            </w:pPr>
            <w:r>
              <w:rPr>
                <w:rFonts w:hint="eastAsia" w:ascii="宋体" w:hAnsi="宋体" w:eastAsia="宋体" w:cs="宋体"/>
                <w:bCs/>
                <w:color w:val="auto"/>
                <w:sz w:val="24"/>
                <w:highlight w:val="none"/>
              </w:rPr>
              <w:t>已落实</w:t>
            </w:r>
          </w:p>
        </w:tc>
      </w:tr>
      <w:tr w14:paraId="021D68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54C014F8">
            <w:pPr>
              <w:spacing w:line="44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10</w:t>
            </w:r>
          </w:p>
        </w:tc>
        <w:tc>
          <w:tcPr>
            <w:tcW w:w="1895" w:type="dxa"/>
            <w:tcBorders>
              <w:top w:val="single" w:color="auto" w:sz="4" w:space="0"/>
              <w:left w:val="single" w:color="auto" w:sz="4" w:space="0"/>
              <w:bottom w:val="single" w:color="auto" w:sz="4" w:space="0"/>
              <w:right w:val="single" w:color="auto" w:sz="4" w:space="0"/>
            </w:tcBorders>
            <w:vAlign w:val="center"/>
          </w:tcPr>
          <w:p w14:paraId="5F2BE0AD">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采购需求</w:t>
            </w:r>
          </w:p>
        </w:tc>
        <w:tc>
          <w:tcPr>
            <w:tcW w:w="6997" w:type="dxa"/>
            <w:tcBorders>
              <w:top w:val="single" w:color="auto" w:sz="4" w:space="0"/>
              <w:left w:val="single" w:color="auto" w:sz="4" w:space="0"/>
              <w:bottom w:val="single" w:color="auto" w:sz="4" w:space="0"/>
              <w:right w:val="single" w:color="auto" w:sz="4" w:space="0"/>
            </w:tcBorders>
            <w:vAlign w:val="center"/>
          </w:tcPr>
          <w:p w14:paraId="237B6F69">
            <w:pPr>
              <w:keepNext w:val="0"/>
              <w:keepLines w:val="0"/>
              <w:pageBreakBefore w:val="0"/>
              <w:widowControl/>
              <w:kinsoku/>
              <w:wordWrap/>
              <w:overflowPunct/>
              <w:topLinePunct w:val="0"/>
              <w:autoSpaceDE/>
              <w:autoSpaceDN/>
              <w:bidi w:val="0"/>
              <w:adjustRightInd/>
              <w:snapToGrid/>
              <w:spacing w:line="460" w:lineRule="exact"/>
              <w:textAlignment w:val="center"/>
              <w:rPr>
                <w:rFonts w:hint="eastAsia" w:ascii="宋体" w:hAnsi="宋体" w:eastAsia="宋体" w:cs="宋体"/>
                <w:color w:val="auto"/>
                <w:sz w:val="24"/>
                <w:highlight w:val="cyan"/>
                <w:lang w:val="en-US" w:eastAsia="zh-CN"/>
              </w:rPr>
            </w:pPr>
            <w:r>
              <w:rPr>
                <w:rFonts w:hint="eastAsia" w:ascii="宋体" w:hAnsi="宋体" w:eastAsia="宋体" w:cs="宋体"/>
                <w:color w:val="auto"/>
                <w:sz w:val="24"/>
                <w:highlight w:val="cyan"/>
                <w:lang w:val="en-US" w:eastAsia="zh-CN"/>
              </w:rPr>
              <w:t>按采购人要求完成本项目修缮一栋行政楼，五层框架结构，总建筑面积4937.25平方米;修缮一栋主教学楼，五层框架结构，总建筑面积19764.2平方米;修缮一栋学生宿舍楼，五层框架结构，总建筑面积17721.72平方米。具体以发布的工程量清单为准。</w:t>
            </w:r>
          </w:p>
        </w:tc>
      </w:tr>
      <w:tr w14:paraId="7087A2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18373DF">
            <w:pPr>
              <w:keepNext w:val="0"/>
              <w:keepLines w:val="0"/>
              <w:pageBreakBefore w:val="0"/>
              <w:kinsoku/>
              <w:wordWrap/>
              <w:overflowPunct/>
              <w:autoSpaceDE/>
              <w:autoSpaceDN/>
              <w:bidi w:val="0"/>
              <w:spacing w:line="5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1895" w:type="dxa"/>
            <w:tcBorders>
              <w:top w:val="single" w:color="auto" w:sz="4" w:space="0"/>
              <w:left w:val="single" w:color="auto" w:sz="4" w:space="0"/>
              <w:bottom w:val="single" w:color="auto" w:sz="4" w:space="0"/>
              <w:right w:val="single" w:color="auto" w:sz="4" w:space="0"/>
            </w:tcBorders>
            <w:vAlign w:val="center"/>
          </w:tcPr>
          <w:p w14:paraId="42749B95">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质量要求</w:t>
            </w:r>
          </w:p>
        </w:tc>
        <w:tc>
          <w:tcPr>
            <w:tcW w:w="6997" w:type="dxa"/>
            <w:tcBorders>
              <w:top w:val="single" w:color="auto" w:sz="4" w:space="0"/>
              <w:left w:val="single" w:color="auto" w:sz="4" w:space="0"/>
              <w:bottom w:val="single" w:color="auto" w:sz="4" w:space="0"/>
              <w:right w:val="single" w:color="auto" w:sz="4" w:space="0"/>
            </w:tcBorders>
            <w:vAlign w:val="center"/>
          </w:tcPr>
          <w:p w14:paraId="0BB30763">
            <w:pPr>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eastAsia="zh-CN"/>
              </w:rPr>
              <w:t>符合现行国家有关工程施工验收规范和标准的要求，一次性验收合格。</w:t>
            </w:r>
          </w:p>
        </w:tc>
      </w:tr>
      <w:tr w14:paraId="0F48E7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136E473C">
            <w:pPr>
              <w:keepNext w:val="0"/>
              <w:keepLines w:val="0"/>
              <w:pageBreakBefore w:val="0"/>
              <w:kinsoku/>
              <w:wordWrap/>
              <w:overflowPunct/>
              <w:autoSpaceDE/>
              <w:autoSpaceDN/>
              <w:bidi w:val="0"/>
              <w:spacing w:line="50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1895" w:type="dxa"/>
            <w:tcBorders>
              <w:top w:val="single" w:color="auto" w:sz="4" w:space="0"/>
              <w:left w:val="single" w:color="auto" w:sz="4" w:space="0"/>
              <w:bottom w:val="single" w:color="auto" w:sz="4" w:space="0"/>
              <w:right w:val="single" w:color="auto" w:sz="4" w:space="0"/>
            </w:tcBorders>
            <w:vAlign w:val="center"/>
          </w:tcPr>
          <w:p w14:paraId="0DEB7EA8">
            <w:pPr>
              <w:keepNext w:val="0"/>
              <w:keepLines w:val="0"/>
              <w:pageBreakBefore w:val="0"/>
              <w:widowControl w:val="0"/>
              <w:kinsoku/>
              <w:wordWrap/>
              <w:overflowPunct/>
              <w:autoSpaceDE/>
              <w:autoSpaceDN/>
              <w:bidi w:val="0"/>
              <w:adjustRightInd/>
              <w:snapToGrid/>
              <w:spacing w:line="440" w:lineRule="exact"/>
              <w:jc w:val="center"/>
              <w:textAlignment w:val="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工期</w:t>
            </w:r>
          </w:p>
        </w:tc>
        <w:tc>
          <w:tcPr>
            <w:tcW w:w="6997" w:type="dxa"/>
            <w:tcBorders>
              <w:top w:val="single" w:color="auto" w:sz="4" w:space="0"/>
              <w:left w:val="single" w:color="auto" w:sz="4" w:space="0"/>
              <w:bottom w:val="single" w:color="auto" w:sz="4" w:space="0"/>
              <w:right w:val="single" w:color="auto" w:sz="4" w:space="0"/>
            </w:tcBorders>
            <w:vAlign w:val="center"/>
          </w:tcPr>
          <w:p w14:paraId="6F4ED569">
            <w:pPr>
              <w:keepNext w:val="0"/>
              <w:keepLines w:val="0"/>
              <w:pageBreakBefore w:val="0"/>
              <w:kinsoku/>
              <w:wordWrap/>
              <w:overflowPunct/>
              <w:autoSpaceDE/>
              <w:autoSpaceDN/>
              <w:bidi w:val="0"/>
              <w:snapToGrid/>
              <w:spacing w:line="480" w:lineRule="exact"/>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合同签订后，按招标人实际通知开工日期起计算60日历天内完工。</w:t>
            </w:r>
          </w:p>
        </w:tc>
      </w:tr>
      <w:tr w14:paraId="23071A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2"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00487039">
            <w:pPr>
              <w:keepNext w:val="0"/>
              <w:keepLines w:val="0"/>
              <w:pageBreakBefore w:val="0"/>
              <w:kinsoku/>
              <w:wordWrap/>
              <w:overflowPunct/>
              <w:autoSpaceDE/>
              <w:autoSpaceDN/>
              <w:bidi w:val="0"/>
              <w:spacing w:line="50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13</w:t>
            </w:r>
          </w:p>
        </w:tc>
        <w:tc>
          <w:tcPr>
            <w:tcW w:w="1895" w:type="dxa"/>
            <w:tcBorders>
              <w:top w:val="single" w:color="auto" w:sz="4" w:space="0"/>
              <w:left w:val="single" w:color="auto" w:sz="4" w:space="0"/>
              <w:bottom w:val="single" w:color="auto" w:sz="4" w:space="0"/>
              <w:right w:val="single" w:color="auto" w:sz="4" w:space="0"/>
            </w:tcBorders>
            <w:vAlign w:val="center"/>
          </w:tcPr>
          <w:p w14:paraId="23302223">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质量保修期</w:t>
            </w:r>
          </w:p>
        </w:tc>
        <w:tc>
          <w:tcPr>
            <w:tcW w:w="6997" w:type="dxa"/>
            <w:tcBorders>
              <w:top w:val="single" w:color="auto" w:sz="4" w:space="0"/>
              <w:left w:val="single" w:color="auto" w:sz="4" w:space="0"/>
              <w:bottom w:val="single" w:color="auto" w:sz="4" w:space="0"/>
              <w:right w:val="single" w:color="auto" w:sz="4" w:space="0"/>
            </w:tcBorders>
            <w:vAlign w:val="center"/>
          </w:tcPr>
          <w:p w14:paraId="1B8C03DF">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根据国务院279号令规定执行。</w:t>
            </w:r>
          </w:p>
        </w:tc>
      </w:tr>
      <w:tr w14:paraId="199E61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248BC5D">
            <w:pPr>
              <w:keepNext w:val="0"/>
              <w:keepLines w:val="0"/>
              <w:pageBreakBefore w:val="0"/>
              <w:kinsoku/>
              <w:wordWrap/>
              <w:overflowPunct/>
              <w:autoSpaceDE/>
              <w:autoSpaceDN/>
              <w:bidi w:val="0"/>
              <w:spacing w:line="500" w:lineRule="exact"/>
              <w:jc w:val="center"/>
              <w:rPr>
                <w:rFonts w:hint="default" w:ascii="宋体" w:hAnsi="宋体" w:eastAsia="宋体" w:cs="宋体"/>
                <w:color w:val="auto"/>
                <w:highlight w:val="none"/>
                <w:lang w:val="en-US" w:eastAsia="zh-CN"/>
              </w:rPr>
            </w:pPr>
            <w:r>
              <w:rPr>
                <w:rFonts w:hint="eastAsia" w:ascii="宋体" w:hAnsi="宋体" w:cs="宋体"/>
                <w:color w:val="auto"/>
                <w:sz w:val="24"/>
                <w:highlight w:val="none"/>
                <w:lang w:val="en-US" w:eastAsia="zh-CN"/>
              </w:rPr>
              <w:t>14</w:t>
            </w:r>
          </w:p>
        </w:tc>
        <w:tc>
          <w:tcPr>
            <w:tcW w:w="1895" w:type="dxa"/>
            <w:tcBorders>
              <w:top w:val="single" w:color="auto" w:sz="4" w:space="0"/>
              <w:left w:val="single" w:color="auto" w:sz="4" w:space="0"/>
              <w:bottom w:val="single" w:color="auto" w:sz="4" w:space="0"/>
              <w:right w:val="single" w:color="auto" w:sz="4" w:space="0"/>
            </w:tcBorders>
            <w:vAlign w:val="center"/>
          </w:tcPr>
          <w:p w14:paraId="023FB91C">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项目</w:t>
            </w:r>
            <w:r>
              <w:rPr>
                <w:rFonts w:hint="eastAsia" w:ascii="宋体" w:hAnsi="宋体" w:eastAsia="宋体" w:cs="宋体"/>
                <w:bCs/>
                <w:color w:val="auto"/>
                <w:sz w:val="24"/>
                <w:highlight w:val="none"/>
              </w:rPr>
              <w:t>地点</w:t>
            </w:r>
          </w:p>
        </w:tc>
        <w:tc>
          <w:tcPr>
            <w:tcW w:w="6997" w:type="dxa"/>
            <w:tcBorders>
              <w:top w:val="single" w:color="auto" w:sz="4" w:space="0"/>
              <w:left w:val="single" w:color="auto" w:sz="4" w:space="0"/>
              <w:bottom w:val="single" w:color="auto" w:sz="4" w:space="0"/>
              <w:right w:val="single" w:color="auto" w:sz="4" w:space="0"/>
            </w:tcBorders>
            <w:vAlign w:val="center"/>
          </w:tcPr>
          <w:p w14:paraId="1B0ABCC9">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景洪市第四中学校园内。</w:t>
            </w:r>
          </w:p>
        </w:tc>
      </w:tr>
      <w:tr w14:paraId="48202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09460A54">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color w:val="auto"/>
                <w:sz w:val="24"/>
                <w:highlight w:val="none"/>
                <w:lang w:val="en-US" w:eastAsia="zh-CN"/>
              </w:rPr>
              <w:t>15</w:t>
            </w:r>
          </w:p>
        </w:tc>
        <w:tc>
          <w:tcPr>
            <w:tcW w:w="1895" w:type="dxa"/>
            <w:tcBorders>
              <w:top w:val="single" w:color="auto" w:sz="4" w:space="0"/>
              <w:left w:val="single" w:color="auto" w:sz="4" w:space="0"/>
              <w:bottom w:val="single" w:color="auto" w:sz="4" w:space="0"/>
              <w:right w:val="single" w:color="auto" w:sz="4" w:space="0"/>
            </w:tcBorders>
            <w:vAlign w:val="center"/>
          </w:tcPr>
          <w:p w14:paraId="5C38DF5E">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供应商资格要求</w:t>
            </w:r>
          </w:p>
        </w:tc>
        <w:tc>
          <w:tcPr>
            <w:tcW w:w="6997" w:type="dxa"/>
            <w:tcBorders>
              <w:top w:val="single" w:color="auto" w:sz="4" w:space="0"/>
              <w:left w:val="single" w:color="auto" w:sz="4" w:space="0"/>
              <w:bottom w:val="single" w:color="auto" w:sz="4" w:space="0"/>
              <w:right w:val="single" w:color="auto" w:sz="4" w:space="0"/>
            </w:tcBorders>
            <w:vAlign w:val="center"/>
          </w:tcPr>
          <w:p w14:paraId="353B4487">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详见“第一章 竞争性磋商公告”。</w:t>
            </w:r>
          </w:p>
        </w:tc>
      </w:tr>
      <w:tr w14:paraId="5A4B9E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76"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613CC8EE">
            <w:pPr>
              <w:spacing w:line="440" w:lineRule="exact"/>
              <w:jc w:val="center"/>
              <w:rPr>
                <w:rFonts w:hint="default" w:ascii="宋体" w:hAnsi="宋体" w:eastAsia="宋体" w:cs="宋体"/>
                <w:color w:val="auto"/>
                <w:sz w:val="24"/>
                <w:highlight w:val="none"/>
                <w:lang w:val="en-US" w:eastAsia="zh-CN"/>
              </w:rPr>
            </w:pPr>
            <w:r>
              <w:rPr>
                <w:rFonts w:hint="eastAsia" w:ascii="宋体" w:hAnsi="宋体" w:cs="宋体"/>
                <w:bCs/>
                <w:color w:val="auto"/>
                <w:sz w:val="24"/>
                <w:highlight w:val="none"/>
                <w:lang w:val="en-US" w:eastAsia="zh-CN"/>
              </w:rPr>
              <w:t>16</w:t>
            </w:r>
          </w:p>
        </w:tc>
        <w:tc>
          <w:tcPr>
            <w:tcW w:w="1895" w:type="dxa"/>
            <w:tcBorders>
              <w:top w:val="single" w:color="auto" w:sz="4" w:space="0"/>
              <w:left w:val="single" w:color="auto" w:sz="4" w:space="0"/>
              <w:bottom w:val="single" w:color="auto" w:sz="4" w:space="0"/>
              <w:right w:val="single" w:color="auto" w:sz="4" w:space="0"/>
            </w:tcBorders>
            <w:vAlign w:val="center"/>
          </w:tcPr>
          <w:p w14:paraId="14F79687">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lang w:eastAsia="zh-CN"/>
              </w:rPr>
              <w:t>供应商不得存在的其他情形</w:t>
            </w:r>
          </w:p>
        </w:tc>
        <w:tc>
          <w:tcPr>
            <w:tcW w:w="6997" w:type="dxa"/>
            <w:tcBorders>
              <w:top w:val="single" w:color="auto" w:sz="4" w:space="0"/>
              <w:left w:val="single" w:color="auto" w:sz="4" w:space="0"/>
              <w:bottom w:val="single" w:color="auto" w:sz="4" w:space="0"/>
              <w:right w:val="single" w:color="auto" w:sz="4" w:space="0"/>
            </w:tcBorders>
            <w:vAlign w:val="center"/>
          </w:tcPr>
          <w:p w14:paraId="2CFC29FA">
            <w:pPr>
              <w:keepNext w:val="0"/>
              <w:keepLines w:val="0"/>
              <w:pageBreakBefore w:val="0"/>
              <w:kinsoku/>
              <w:wordWrap/>
              <w:overflowPunct/>
              <w:autoSpaceDE/>
              <w:autoSpaceDN/>
              <w:bidi w:val="0"/>
              <w:snapToGrid/>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根据《中华人民共和国政府采购法实施条例》第十八条规定：</w:t>
            </w:r>
          </w:p>
          <w:p w14:paraId="1EED8A4E">
            <w:pPr>
              <w:keepNext w:val="0"/>
              <w:keepLines w:val="0"/>
              <w:pageBreakBefore w:val="0"/>
              <w:numPr>
                <w:ilvl w:val="0"/>
                <w:numId w:val="2"/>
              </w:numPr>
              <w:kinsoku/>
              <w:wordWrap/>
              <w:overflowPunct/>
              <w:autoSpaceDE/>
              <w:autoSpaceDN/>
              <w:bidi w:val="0"/>
              <w:snapToGrid/>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单位负责人为同一人或者存在直接控股、管理关系的不同供应商，不得参加同一合同项下的政府采购活动。</w:t>
            </w:r>
          </w:p>
          <w:p w14:paraId="2DB86D41">
            <w:pPr>
              <w:keepNext w:val="0"/>
              <w:keepLines w:val="0"/>
              <w:pageBreakBefore w:val="0"/>
              <w:kinsoku/>
              <w:wordWrap/>
              <w:overflowPunct/>
              <w:autoSpaceDE/>
              <w:autoSpaceDN/>
              <w:bidi w:val="0"/>
              <w:snapToGrid/>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（2）除单一来源采购项目外，为采购项目提供整体设计、规范编制或者项目管理、监理、检测等服务的供应商，不得再参加该采购项目的其他采购活动。</w:t>
            </w:r>
          </w:p>
          <w:p w14:paraId="013E9706">
            <w:pPr>
              <w:keepNext w:val="0"/>
              <w:keepLines w:val="0"/>
              <w:pageBreakBefore w:val="0"/>
              <w:kinsoku/>
              <w:wordWrap/>
              <w:overflowPunct/>
              <w:autoSpaceDE/>
              <w:autoSpaceDN/>
              <w:bidi w:val="0"/>
              <w:snapToGrid/>
              <w:spacing w:line="48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highlight w:val="none"/>
                <w:lang w:eastAsia="zh-CN"/>
              </w:rPr>
              <w:t>注：供应商须</w:t>
            </w:r>
            <w:r>
              <w:rPr>
                <w:rFonts w:hint="eastAsia" w:ascii="宋体" w:hAnsi="宋体" w:eastAsia="宋体" w:cs="宋体"/>
                <w:bCs/>
                <w:color w:val="auto"/>
                <w:sz w:val="24"/>
                <w:highlight w:val="none"/>
              </w:rPr>
              <w:t>针对</w:t>
            </w:r>
            <w:r>
              <w:rPr>
                <w:rFonts w:hint="eastAsia" w:ascii="宋体" w:hAnsi="宋体" w:eastAsia="宋体" w:cs="宋体"/>
                <w:bCs/>
                <w:color w:val="auto"/>
                <w:sz w:val="24"/>
                <w:highlight w:val="none"/>
                <w:lang w:val="en-US" w:eastAsia="zh-CN"/>
              </w:rPr>
              <w:t>以上</w:t>
            </w:r>
            <w:r>
              <w:rPr>
                <w:rFonts w:hint="eastAsia" w:ascii="宋体" w:hAnsi="宋体" w:eastAsia="宋体" w:cs="宋体"/>
                <w:bCs/>
                <w:color w:val="auto"/>
                <w:sz w:val="24"/>
                <w:highlight w:val="none"/>
              </w:rPr>
              <w:t>内容提供书面承诺</w:t>
            </w:r>
            <w:r>
              <w:rPr>
                <w:rFonts w:hint="eastAsia" w:ascii="宋体" w:hAnsi="宋体" w:eastAsia="宋体" w:cs="宋体"/>
                <w:bCs/>
                <w:color w:val="auto"/>
                <w:sz w:val="24"/>
                <w:highlight w:val="none"/>
                <w:lang w:eastAsia="zh-CN"/>
              </w:rPr>
              <w:t>。</w:t>
            </w:r>
          </w:p>
        </w:tc>
      </w:tr>
      <w:tr w14:paraId="1E16F1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04"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5BAFDF40">
            <w:pPr>
              <w:spacing w:line="44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17</w:t>
            </w:r>
          </w:p>
        </w:tc>
        <w:tc>
          <w:tcPr>
            <w:tcW w:w="1895" w:type="dxa"/>
            <w:tcBorders>
              <w:top w:val="single" w:color="auto" w:sz="4" w:space="0"/>
              <w:left w:val="single" w:color="auto" w:sz="4" w:space="0"/>
              <w:bottom w:val="single" w:color="auto" w:sz="4" w:space="0"/>
              <w:right w:val="single" w:color="auto" w:sz="4" w:space="0"/>
            </w:tcBorders>
            <w:vAlign w:val="center"/>
          </w:tcPr>
          <w:p w14:paraId="781383CE">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信用信息查询</w:t>
            </w:r>
          </w:p>
        </w:tc>
        <w:tc>
          <w:tcPr>
            <w:tcW w:w="6997" w:type="dxa"/>
            <w:tcBorders>
              <w:top w:val="single" w:color="auto" w:sz="4" w:space="0"/>
              <w:left w:val="single" w:color="auto" w:sz="4" w:space="0"/>
              <w:bottom w:val="single" w:color="auto" w:sz="4" w:space="0"/>
              <w:right w:val="single" w:color="auto" w:sz="4" w:space="0"/>
            </w:tcBorders>
            <w:vAlign w:val="center"/>
          </w:tcPr>
          <w:p w14:paraId="761DF5EE">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lang w:eastAsia="zh-CN"/>
              </w:rPr>
              <w:t>由采购人或采购代理机构在评审结束后，在网站</w:t>
            </w:r>
            <w:r>
              <w:rPr>
                <w:rFonts w:hint="eastAsia" w:ascii="宋体" w:hAnsi="宋体" w:cs="宋体"/>
                <w:bCs/>
                <w:color w:val="auto"/>
                <w:sz w:val="24"/>
                <w:highlight w:val="none"/>
                <w:lang w:val="en-US" w:eastAsia="zh-CN"/>
              </w:rPr>
              <w:t>上</w:t>
            </w:r>
            <w:r>
              <w:rPr>
                <w:rFonts w:hint="eastAsia" w:ascii="宋体" w:hAnsi="宋体" w:eastAsia="宋体" w:cs="宋体"/>
                <w:bCs/>
                <w:color w:val="auto"/>
                <w:sz w:val="24"/>
                <w:highlight w:val="none"/>
                <w:lang w:eastAsia="zh-CN"/>
              </w:rPr>
              <w:t>对</w:t>
            </w:r>
            <w:r>
              <w:rPr>
                <w:rFonts w:hint="eastAsia" w:ascii="宋体" w:hAnsi="宋体" w:eastAsia="宋体" w:cs="宋体"/>
                <w:bCs/>
                <w:color w:val="auto"/>
                <w:sz w:val="24"/>
                <w:highlight w:val="none"/>
                <w:lang w:val="en-US" w:eastAsia="zh-CN"/>
              </w:rPr>
              <w:t>成交供应商</w:t>
            </w:r>
            <w:r>
              <w:rPr>
                <w:rFonts w:hint="eastAsia" w:ascii="宋体" w:hAnsi="宋体" w:eastAsia="宋体" w:cs="宋体"/>
                <w:bCs/>
                <w:color w:val="auto"/>
                <w:sz w:val="24"/>
                <w:highlight w:val="none"/>
                <w:lang w:eastAsia="zh-CN"/>
              </w:rPr>
              <w:t>的信用信息进行查询。</w:t>
            </w:r>
          </w:p>
          <w:p w14:paraId="2ABCBA30">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lang w:eastAsia="zh-CN"/>
              </w:rPr>
              <w:t>信用信息的使用规则：采购人或者采购代理机构对供应商信用记录进行甄别，一旦查询到供应商存在以下情形，将按照相关法律法规进行处理：</w:t>
            </w:r>
          </w:p>
          <w:p w14:paraId="0CD9B509">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（1）被列入失信被执行人；</w:t>
            </w:r>
          </w:p>
          <w:p w14:paraId="0842F07B">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（2）被列入重大税收违法失信主体；</w:t>
            </w:r>
          </w:p>
          <w:p w14:paraId="33BEAF29">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（3）被列入</w:t>
            </w:r>
            <w:r>
              <w:rPr>
                <w:rFonts w:hint="eastAsia" w:ascii="宋体" w:hAnsi="宋体" w:eastAsia="宋体" w:cs="宋体"/>
                <w:bCs/>
                <w:color w:val="auto"/>
                <w:sz w:val="24"/>
                <w:highlight w:val="none"/>
                <w:lang w:val="en-US" w:eastAsia="zh-CN"/>
              </w:rPr>
              <w:t>政府采购严重违法失信行为记录名单</w:t>
            </w:r>
            <w:r>
              <w:rPr>
                <w:rFonts w:hint="eastAsia" w:ascii="宋体" w:hAnsi="宋体" w:eastAsia="宋体" w:cs="宋体"/>
                <w:bCs/>
                <w:color w:val="auto"/>
                <w:sz w:val="24"/>
                <w:highlight w:val="none"/>
                <w:lang w:eastAsia="zh-CN"/>
              </w:rPr>
              <w:t>；</w:t>
            </w:r>
          </w:p>
          <w:p w14:paraId="3307DD28">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（4）被列入经营异常名录</w:t>
            </w:r>
            <w:r>
              <w:rPr>
                <w:rFonts w:hint="eastAsia" w:ascii="宋体" w:hAnsi="宋体" w:eastAsia="宋体" w:cs="宋体"/>
                <w:bCs/>
                <w:color w:val="auto"/>
                <w:sz w:val="24"/>
                <w:highlight w:val="none"/>
                <w:lang w:val="en-US" w:eastAsia="zh-CN"/>
              </w:rPr>
              <w:t>（移出的除外）</w:t>
            </w:r>
            <w:r>
              <w:rPr>
                <w:rFonts w:hint="eastAsia" w:ascii="宋体" w:hAnsi="宋体" w:eastAsia="宋体" w:cs="宋体"/>
                <w:bCs/>
                <w:color w:val="auto"/>
                <w:sz w:val="24"/>
                <w:highlight w:val="none"/>
                <w:lang w:eastAsia="zh-CN"/>
              </w:rPr>
              <w:t>；</w:t>
            </w:r>
          </w:p>
          <w:p w14:paraId="4794794D">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lang w:eastAsia="zh-CN"/>
              </w:rPr>
              <w:t>）被列入</w:t>
            </w:r>
            <w:r>
              <w:rPr>
                <w:rFonts w:hint="eastAsia" w:ascii="宋体" w:hAnsi="宋体" w:eastAsia="宋体" w:cs="宋体"/>
                <w:bCs/>
                <w:color w:val="auto"/>
                <w:sz w:val="24"/>
                <w:highlight w:val="none"/>
                <w:lang w:val="en-US" w:eastAsia="zh-CN"/>
              </w:rPr>
              <w:t>严重违法失信名单（黑名单）（移出的除外）</w:t>
            </w:r>
            <w:r>
              <w:rPr>
                <w:rFonts w:hint="eastAsia" w:ascii="宋体" w:hAnsi="宋体" w:eastAsia="宋体" w:cs="宋体"/>
                <w:bCs/>
                <w:color w:val="auto"/>
                <w:sz w:val="24"/>
                <w:highlight w:val="none"/>
                <w:lang w:eastAsia="zh-CN"/>
              </w:rPr>
              <w:t>；</w:t>
            </w:r>
          </w:p>
          <w:p w14:paraId="049A1B7A">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lang w:eastAsia="zh-CN"/>
              </w:rPr>
              <w:t>）其他不符合《中华人民共和国政府采购法》第二十二条规定条件。</w:t>
            </w:r>
          </w:p>
          <w:p w14:paraId="238B7AF7">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lang w:eastAsia="zh-CN"/>
              </w:rPr>
              <w:t>信用信息查询记录和证据留存的具体方式：采购代理机构采取</w:t>
            </w:r>
            <w:r>
              <w:rPr>
                <w:rFonts w:hint="eastAsia" w:ascii="宋体" w:hAnsi="宋体" w:eastAsia="宋体" w:cs="宋体"/>
                <w:bCs/>
                <w:color w:val="auto"/>
                <w:sz w:val="24"/>
                <w:highlight w:val="none"/>
                <w:lang w:val="en-US" w:eastAsia="zh-CN"/>
              </w:rPr>
              <w:t>纸质</w:t>
            </w:r>
            <w:r>
              <w:rPr>
                <w:rFonts w:hint="eastAsia" w:ascii="宋体" w:hAnsi="宋体" w:eastAsia="宋体" w:cs="宋体"/>
                <w:bCs/>
                <w:color w:val="auto"/>
                <w:sz w:val="24"/>
                <w:highlight w:val="none"/>
                <w:lang w:eastAsia="zh-CN"/>
              </w:rPr>
              <w:t>文档方式将</w:t>
            </w:r>
            <w:r>
              <w:rPr>
                <w:rFonts w:hint="eastAsia" w:ascii="宋体" w:hAnsi="宋体" w:eastAsia="宋体" w:cs="宋体"/>
                <w:bCs/>
                <w:color w:val="auto"/>
                <w:sz w:val="24"/>
                <w:highlight w:val="none"/>
                <w:lang w:val="en-US" w:eastAsia="zh-CN"/>
              </w:rPr>
              <w:t>成交供应商</w:t>
            </w:r>
            <w:r>
              <w:rPr>
                <w:rFonts w:hint="eastAsia" w:ascii="宋体" w:hAnsi="宋体" w:eastAsia="宋体" w:cs="宋体"/>
                <w:bCs/>
                <w:color w:val="auto"/>
                <w:sz w:val="24"/>
                <w:highlight w:val="none"/>
                <w:lang w:eastAsia="zh-CN"/>
              </w:rPr>
              <w:t>的信用信息查询记录和证据留存。</w:t>
            </w:r>
          </w:p>
        </w:tc>
      </w:tr>
      <w:tr w14:paraId="31A073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51C4D37">
            <w:pPr>
              <w:keepNext w:val="0"/>
              <w:keepLines w:val="0"/>
              <w:pageBreakBefore w:val="0"/>
              <w:kinsoku/>
              <w:wordWrap/>
              <w:overflowPunct/>
              <w:autoSpaceDE/>
              <w:autoSpaceDN/>
              <w:bidi w:val="0"/>
              <w:spacing w:line="500" w:lineRule="exact"/>
              <w:jc w:val="center"/>
              <w:rPr>
                <w:rFonts w:hint="default" w:ascii="宋体" w:hAnsi="宋体" w:eastAsia="宋体" w:cs="宋体"/>
                <w:color w:val="auto"/>
                <w:highlight w:val="none"/>
                <w:lang w:val="en-US" w:eastAsia="zh-CN"/>
              </w:rPr>
            </w:pPr>
            <w:r>
              <w:rPr>
                <w:rFonts w:hint="eastAsia" w:ascii="宋体" w:hAnsi="宋体" w:cs="宋体"/>
                <w:bCs/>
                <w:color w:val="auto"/>
                <w:sz w:val="24"/>
                <w:highlight w:val="none"/>
                <w:lang w:val="en-US" w:eastAsia="zh-CN"/>
              </w:rPr>
              <w:t>18</w:t>
            </w:r>
          </w:p>
        </w:tc>
        <w:tc>
          <w:tcPr>
            <w:tcW w:w="1895" w:type="dxa"/>
            <w:tcBorders>
              <w:top w:val="single" w:color="auto" w:sz="4" w:space="0"/>
              <w:left w:val="single" w:color="auto" w:sz="4" w:space="0"/>
              <w:bottom w:val="single" w:color="auto" w:sz="4" w:space="0"/>
              <w:right w:val="single" w:color="auto" w:sz="4" w:space="0"/>
            </w:tcBorders>
            <w:vAlign w:val="center"/>
          </w:tcPr>
          <w:p w14:paraId="356919D6">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磋商</w:t>
            </w:r>
            <w:r>
              <w:rPr>
                <w:rFonts w:hint="eastAsia" w:ascii="宋体" w:hAnsi="宋体" w:eastAsia="宋体" w:cs="宋体"/>
                <w:bCs/>
                <w:color w:val="auto"/>
                <w:sz w:val="24"/>
                <w:highlight w:val="none"/>
              </w:rPr>
              <w:t>有效期</w:t>
            </w:r>
          </w:p>
        </w:tc>
        <w:tc>
          <w:tcPr>
            <w:tcW w:w="6997" w:type="dxa"/>
            <w:tcBorders>
              <w:top w:val="single" w:color="auto" w:sz="4" w:space="0"/>
              <w:left w:val="single" w:color="auto" w:sz="4" w:space="0"/>
              <w:bottom w:val="single" w:color="auto" w:sz="4" w:space="0"/>
              <w:right w:val="single" w:color="auto" w:sz="4" w:space="0"/>
            </w:tcBorders>
            <w:vAlign w:val="center"/>
          </w:tcPr>
          <w:p w14:paraId="7F339E40">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90日历天(提交</w:t>
            </w:r>
            <w:r>
              <w:rPr>
                <w:rFonts w:hint="eastAsia" w:ascii="宋体" w:hAnsi="宋体" w:eastAsia="宋体" w:cs="宋体"/>
                <w:bCs/>
                <w:color w:val="auto"/>
                <w:sz w:val="24"/>
                <w:highlight w:val="none"/>
                <w:lang w:val="en-US" w:eastAsia="zh-CN"/>
              </w:rPr>
              <w:t>响应</w:t>
            </w:r>
            <w:r>
              <w:rPr>
                <w:rFonts w:hint="eastAsia" w:ascii="宋体" w:hAnsi="宋体" w:eastAsia="宋体" w:cs="宋体"/>
                <w:bCs/>
                <w:color w:val="auto"/>
                <w:sz w:val="24"/>
                <w:highlight w:val="none"/>
              </w:rPr>
              <w:t>文件截止之日起计算)。</w:t>
            </w:r>
          </w:p>
        </w:tc>
      </w:tr>
      <w:tr w14:paraId="6BBBA7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0"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40E6F5D0">
            <w:pPr>
              <w:keepNext w:val="0"/>
              <w:keepLines w:val="0"/>
              <w:pageBreakBefore w:val="0"/>
              <w:kinsoku/>
              <w:wordWrap/>
              <w:overflowPunct/>
              <w:autoSpaceDE/>
              <w:autoSpaceDN/>
              <w:bidi w:val="0"/>
              <w:spacing w:line="500" w:lineRule="exact"/>
              <w:jc w:val="center"/>
              <w:rPr>
                <w:rFonts w:hint="default" w:ascii="宋体" w:hAnsi="宋体" w:eastAsia="宋体" w:cs="宋体"/>
                <w:color w:val="auto"/>
                <w:highlight w:val="none"/>
                <w:lang w:val="en-US" w:eastAsia="zh-CN"/>
              </w:rPr>
            </w:pPr>
            <w:r>
              <w:rPr>
                <w:rFonts w:hint="eastAsia" w:ascii="宋体" w:hAnsi="宋体" w:cs="宋体"/>
                <w:bCs/>
                <w:color w:val="auto"/>
                <w:sz w:val="24"/>
                <w:highlight w:val="none"/>
                <w:lang w:val="en-US" w:eastAsia="zh-CN"/>
              </w:rPr>
              <w:t>19</w:t>
            </w:r>
          </w:p>
        </w:tc>
        <w:tc>
          <w:tcPr>
            <w:tcW w:w="1895" w:type="dxa"/>
            <w:tcBorders>
              <w:top w:val="single" w:color="auto" w:sz="4" w:space="0"/>
              <w:left w:val="single" w:color="auto" w:sz="4" w:space="0"/>
              <w:bottom w:val="single" w:color="auto" w:sz="4" w:space="0"/>
              <w:right w:val="single" w:color="auto" w:sz="4" w:space="0"/>
            </w:tcBorders>
            <w:vAlign w:val="center"/>
          </w:tcPr>
          <w:p w14:paraId="2FCC6078">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cs="宋体"/>
                <w:bCs/>
                <w:color w:val="auto"/>
                <w:sz w:val="24"/>
                <w:highlight w:val="none"/>
                <w:lang w:val="en-US" w:eastAsia="zh-CN"/>
              </w:rPr>
              <w:t>投标</w:t>
            </w:r>
            <w:r>
              <w:rPr>
                <w:rFonts w:hint="eastAsia" w:ascii="宋体" w:hAnsi="宋体" w:eastAsia="宋体" w:cs="宋体"/>
                <w:bCs/>
                <w:color w:val="auto"/>
                <w:sz w:val="24"/>
                <w:highlight w:val="none"/>
              </w:rPr>
              <w:t>保证金</w:t>
            </w:r>
          </w:p>
        </w:tc>
        <w:tc>
          <w:tcPr>
            <w:tcW w:w="6997" w:type="dxa"/>
            <w:tcBorders>
              <w:top w:val="single" w:color="auto" w:sz="4" w:space="0"/>
              <w:left w:val="single" w:color="auto" w:sz="4" w:space="0"/>
              <w:bottom w:val="single" w:color="auto" w:sz="4" w:space="0"/>
              <w:right w:val="single" w:color="auto" w:sz="4" w:space="0"/>
            </w:tcBorders>
            <w:vAlign w:val="center"/>
          </w:tcPr>
          <w:p w14:paraId="4FBD04D9">
            <w:pPr>
              <w:pStyle w:val="40"/>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lang w:eastAsia="zh-CN"/>
              </w:rPr>
            </w:pP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保证金缴纳金额：小写：</w:t>
            </w:r>
            <w:r>
              <w:rPr>
                <w:rFonts w:hint="eastAsia" w:hAnsi="宋体" w:cs="宋体"/>
                <w:bCs/>
                <w:color w:val="auto"/>
                <w:kern w:val="2"/>
                <w:highlight w:val="none"/>
                <w:shd w:val="clear" w:color="auto" w:fill="FFFFFF"/>
                <w:lang w:val="en-US" w:eastAsia="zh-CN"/>
              </w:rPr>
              <w:t>15000.00</w:t>
            </w:r>
            <w:r>
              <w:rPr>
                <w:rFonts w:hint="eastAsia" w:ascii="宋体" w:hAnsi="宋体" w:eastAsia="宋体" w:cs="宋体"/>
                <w:bCs/>
                <w:color w:val="auto"/>
                <w:kern w:val="2"/>
                <w:highlight w:val="none"/>
                <w:shd w:val="clear" w:color="auto" w:fill="FFFFFF"/>
              </w:rPr>
              <w:t>元，（大写：人民币</w:t>
            </w:r>
            <w:r>
              <w:rPr>
                <w:rFonts w:hint="eastAsia" w:hAnsi="宋体" w:cs="宋体"/>
                <w:bCs/>
                <w:color w:val="auto"/>
                <w:kern w:val="2"/>
                <w:highlight w:val="none"/>
                <w:shd w:val="clear" w:color="auto" w:fill="FFFFFF"/>
                <w:lang w:val="en-US" w:eastAsia="zh-CN"/>
              </w:rPr>
              <w:t>壹万伍仟元整</w:t>
            </w:r>
            <w:r>
              <w:rPr>
                <w:rFonts w:hint="eastAsia" w:ascii="宋体" w:hAnsi="宋体" w:eastAsia="宋体" w:cs="宋体"/>
                <w:bCs/>
                <w:color w:val="auto"/>
                <w:kern w:val="2"/>
                <w:highlight w:val="none"/>
                <w:shd w:val="clear" w:color="auto" w:fill="FFFFFF"/>
              </w:rPr>
              <w:t>）</w:t>
            </w:r>
            <w:r>
              <w:rPr>
                <w:rFonts w:hint="eastAsia" w:ascii="宋体" w:hAnsi="宋体" w:eastAsia="宋体" w:cs="宋体"/>
                <w:bCs/>
                <w:color w:val="auto"/>
                <w:kern w:val="2"/>
                <w:highlight w:val="none"/>
                <w:shd w:val="clear" w:color="auto" w:fill="FFFFFF"/>
                <w:lang w:eastAsia="zh-CN"/>
              </w:rPr>
              <w:t>。</w:t>
            </w:r>
          </w:p>
          <w:p w14:paraId="5DDE5143">
            <w:pPr>
              <w:pStyle w:val="40"/>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保证金的提交方式：银行转账、保证保险、银行保函，</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可根据实际情况，选择保证金的提供或缴纳方式。</w:t>
            </w:r>
          </w:p>
          <w:p w14:paraId="5648E19F">
            <w:pPr>
              <w:pStyle w:val="40"/>
              <w:keepNext w:val="0"/>
              <w:keepLines w:val="0"/>
              <w:pageBreakBefore w:val="0"/>
              <w:numPr>
                <w:ilvl w:val="0"/>
                <w:numId w:val="3"/>
              </w:numPr>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采用银行转账方式：</w:t>
            </w: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保证金应以</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自身的名义提交，并且必须从其基本账户转出，不得以分支机构其他名义提交（按照规定，</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可以为自然人的项目除外）。</w:t>
            </w:r>
          </w:p>
          <w:p w14:paraId="476435D6">
            <w:pPr>
              <w:pStyle w:val="40"/>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户    名：</w:t>
            </w:r>
            <w:r>
              <w:rPr>
                <w:rFonts w:hint="eastAsia" w:ascii="宋体" w:hAnsi="宋体" w:eastAsia="宋体" w:cs="宋体"/>
                <w:bCs/>
                <w:color w:val="auto"/>
                <w:kern w:val="2"/>
                <w:highlight w:val="none"/>
                <w:shd w:val="clear" w:color="auto" w:fill="FFFFFF"/>
                <w:lang w:val="en-US" w:eastAsia="zh-CN"/>
              </w:rPr>
              <w:t>云南星骋项目管理有限公司</w:t>
            </w:r>
          </w:p>
          <w:p w14:paraId="2266EE81">
            <w:pPr>
              <w:pStyle w:val="40"/>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开户银行：</w:t>
            </w:r>
            <w:r>
              <w:rPr>
                <w:rFonts w:hint="eastAsia" w:ascii="宋体" w:hAnsi="宋体" w:eastAsia="宋体" w:cs="宋体"/>
                <w:bCs/>
                <w:color w:val="auto"/>
                <w:kern w:val="2"/>
                <w:highlight w:val="none"/>
                <w:shd w:val="clear" w:color="auto" w:fill="FFFFFF"/>
                <w:lang w:val="en-US" w:eastAsia="zh-CN"/>
              </w:rPr>
              <w:t>中国工商银行股份有限公司景洪牡丹支行</w:t>
            </w:r>
          </w:p>
          <w:p w14:paraId="522F725D">
            <w:pPr>
              <w:pStyle w:val="40"/>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账    号：</w:t>
            </w:r>
            <w:r>
              <w:rPr>
                <w:rFonts w:hint="eastAsia" w:ascii="宋体" w:hAnsi="宋体" w:eastAsia="宋体" w:cs="宋体"/>
                <w:bCs/>
                <w:color w:val="auto"/>
                <w:kern w:val="2"/>
                <w:highlight w:val="none"/>
                <w:shd w:val="clear" w:color="auto" w:fill="FFFFFF"/>
                <w:lang w:val="en-US" w:eastAsia="zh-CN"/>
              </w:rPr>
              <w:t>2509023209200249691</w:t>
            </w:r>
            <w:r>
              <w:rPr>
                <w:rFonts w:hint="eastAsia" w:ascii="宋体" w:hAnsi="宋体" w:eastAsia="宋体" w:cs="宋体"/>
                <w:bCs/>
                <w:color w:val="auto"/>
                <w:kern w:val="2"/>
                <w:highlight w:val="none"/>
                <w:shd w:val="clear" w:color="auto" w:fill="FFFFFF"/>
              </w:rPr>
              <w:t xml:space="preserve">   </w:t>
            </w:r>
          </w:p>
          <w:p w14:paraId="675A0CC1">
            <w:pPr>
              <w:pStyle w:val="40"/>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（二）采用投标保证保险方式：1.当</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未能按照响应文件要求履行投标义务而导致采购人受到损失时，由保险公司按照保险合同对采购人的损失承担代偿责任。2.</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在支付</w:t>
            </w: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保证金保险费时，必须使用基本账号资金支付购买，未从基本账户转出支付保费造成经济纠纷的应由企业自行承担。3.在</w:t>
            </w: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保证保险中，</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 xml:space="preserve">为投保人，采购人为被保险人。 </w:t>
            </w:r>
          </w:p>
          <w:p w14:paraId="5E702772">
            <w:pPr>
              <w:pStyle w:val="40"/>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保证保险办理方式：</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可凭CA登陆电子保函服务平台（www.gcbaoxian.com）办理。若</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无CA的可以凭手机号注册登陆，咨询电话：400-626-0600或400-666-0263</w:t>
            </w:r>
          </w:p>
          <w:p w14:paraId="0B2469AC">
            <w:pPr>
              <w:pStyle w:val="40"/>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（三）采用银行保函方式：</w:t>
            </w:r>
            <w:r>
              <w:rPr>
                <w:rFonts w:hint="eastAsia" w:ascii="宋体" w:hAnsi="宋体" w:eastAsia="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需要使用数字证书（CA）在投标保函管理模块下找到对应项目，选择银行，购买银行保函，并进行分配打印确认回执；若出现未分配导致无法确认的请及时联系相关出函机构。</w:t>
            </w:r>
          </w:p>
          <w:p w14:paraId="76FE7242">
            <w:pPr>
              <w:pStyle w:val="40"/>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交纳保证金后</w:t>
            </w:r>
            <w:r>
              <w:rPr>
                <w:rFonts w:hint="eastAsia" w:ascii="宋体" w:hAnsi="宋体" w:eastAsia="宋体" w:cs="宋体"/>
                <w:bCs/>
                <w:color w:val="auto"/>
                <w:kern w:val="2"/>
                <w:highlight w:val="none"/>
                <w:shd w:val="clear" w:color="auto" w:fill="FFFFFF"/>
                <w:lang w:val="en-US" w:eastAsia="zh-CN"/>
              </w:rPr>
              <w:t>请联系云南星骋项目管理有限公司开具投标</w:t>
            </w:r>
            <w:r>
              <w:rPr>
                <w:rFonts w:hint="eastAsia" w:ascii="宋体" w:hAnsi="宋体" w:eastAsia="宋体" w:cs="宋体"/>
                <w:bCs/>
                <w:color w:val="auto"/>
                <w:kern w:val="2"/>
                <w:highlight w:val="none"/>
                <w:shd w:val="clear" w:color="auto" w:fill="FFFFFF"/>
              </w:rPr>
              <w:t>保证金收据，联系人：郑丽凯，电话：15198499967。</w:t>
            </w:r>
          </w:p>
          <w:p w14:paraId="2AC6906F">
            <w:pPr>
              <w:keepNext w:val="0"/>
              <w:keepLines w:val="0"/>
              <w:pageBreakBefore w:val="0"/>
              <w:kinsoku/>
              <w:wordWrap/>
              <w:overflowPunct/>
              <w:topLinePunct w:val="0"/>
              <w:autoSpaceDE/>
              <w:autoSpaceDN/>
              <w:bidi w:val="0"/>
              <w:adjustRightInd w:val="0"/>
              <w:snapToGrid/>
              <w:spacing w:line="480" w:lineRule="exact"/>
              <w:textAlignment w:val="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shd w:val="clear" w:color="auto" w:fill="FFFFFF"/>
                <w:lang w:val="en-US" w:eastAsia="zh-CN"/>
              </w:rPr>
              <w:t>投标</w:t>
            </w:r>
            <w:r>
              <w:rPr>
                <w:rFonts w:hint="eastAsia" w:ascii="宋体" w:hAnsi="宋体" w:eastAsia="宋体" w:cs="宋体"/>
                <w:bCs/>
                <w:color w:val="auto"/>
                <w:sz w:val="24"/>
                <w:szCs w:val="24"/>
                <w:highlight w:val="none"/>
                <w:shd w:val="clear" w:color="auto" w:fill="FFFFFF"/>
              </w:rPr>
              <w:t>保证金交纳截止时间：202</w:t>
            </w:r>
            <w:r>
              <w:rPr>
                <w:rFonts w:hint="eastAsia" w:ascii="宋体" w:hAnsi="宋体" w:eastAsia="宋体" w:cs="宋体"/>
                <w:bCs/>
                <w:color w:val="auto"/>
                <w:sz w:val="24"/>
                <w:szCs w:val="24"/>
                <w:highlight w:val="none"/>
                <w:shd w:val="clear" w:color="auto" w:fill="FFFFFF"/>
                <w:lang w:val="en-US" w:eastAsia="zh-CN"/>
              </w:rPr>
              <w:t>5</w:t>
            </w:r>
            <w:r>
              <w:rPr>
                <w:rFonts w:hint="eastAsia" w:ascii="宋体" w:hAnsi="宋体" w:eastAsia="宋体" w:cs="宋体"/>
                <w:bCs/>
                <w:color w:val="auto"/>
                <w:sz w:val="24"/>
                <w:szCs w:val="24"/>
                <w:highlight w:val="none"/>
                <w:shd w:val="clear" w:color="auto" w:fill="FFFFFF"/>
              </w:rPr>
              <w:t>年</w:t>
            </w:r>
            <w:r>
              <w:rPr>
                <w:rFonts w:hint="eastAsia" w:ascii="宋体" w:hAnsi="宋体" w:eastAsia="宋体" w:cs="宋体"/>
                <w:bCs/>
                <w:color w:val="auto"/>
                <w:sz w:val="24"/>
                <w:szCs w:val="24"/>
                <w:highlight w:val="none"/>
                <w:shd w:val="clear" w:color="auto" w:fill="FFFFFF"/>
                <w:lang w:val="en-US" w:eastAsia="zh-CN"/>
              </w:rPr>
              <w:t>03</w:t>
            </w:r>
            <w:r>
              <w:rPr>
                <w:rFonts w:hint="eastAsia" w:ascii="宋体" w:hAnsi="宋体" w:eastAsia="宋体" w:cs="宋体"/>
                <w:bCs/>
                <w:color w:val="auto"/>
                <w:sz w:val="24"/>
                <w:szCs w:val="24"/>
                <w:highlight w:val="none"/>
                <w:shd w:val="clear" w:color="auto" w:fill="FFFFFF"/>
              </w:rPr>
              <w:t>月</w:t>
            </w:r>
            <w:r>
              <w:rPr>
                <w:rFonts w:hint="eastAsia" w:ascii="宋体" w:hAnsi="宋体" w:cs="宋体"/>
                <w:bCs/>
                <w:color w:val="auto"/>
                <w:sz w:val="24"/>
                <w:szCs w:val="24"/>
                <w:highlight w:val="none"/>
                <w:shd w:val="clear" w:color="auto" w:fill="FFFFFF"/>
                <w:lang w:val="en-US" w:eastAsia="zh-CN"/>
              </w:rPr>
              <w:t>28</w:t>
            </w:r>
            <w:r>
              <w:rPr>
                <w:rFonts w:hint="eastAsia" w:ascii="宋体" w:hAnsi="宋体" w:eastAsia="宋体" w:cs="宋体"/>
                <w:bCs/>
                <w:color w:val="auto"/>
                <w:sz w:val="24"/>
                <w:szCs w:val="24"/>
                <w:highlight w:val="none"/>
                <w:shd w:val="clear" w:color="auto" w:fill="FFFFFF"/>
              </w:rPr>
              <w:t>日</w:t>
            </w:r>
            <w:r>
              <w:rPr>
                <w:rFonts w:hint="eastAsia" w:ascii="宋体" w:hAnsi="宋体" w:eastAsia="宋体" w:cs="宋体"/>
                <w:bCs/>
                <w:color w:val="auto"/>
                <w:sz w:val="24"/>
                <w:szCs w:val="24"/>
                <w:highlight w:val="none"/>
                <w:shd w:val="clear" w:color="auto" w:fill="FFFFFF"/>
                <w:lang w:val="en-US" w:eastAsia="zh-CN"/>
              </w:rPr>
              <w:t>09</w:t>
            </w:r>
            <w:r>
              <w:rPr>
                <w:rFonts w:hint="eastAsia" w:ascii="宋体" w:hAnsi="宋体" w:eastAsia="宋体" w:cs="宋体"/>
                <w:bCs/>
                <w:color w:val="auto"/>
                <w:sz w:val="24"/>
                <w:szCs w:val="24"/>
                <w:highlight w:val="none"/>
                <w:shd w:val="clear" w:color="auto" w:fill="FFFFFF"/>
              </w:rPr>
              <w:t>时00分。</w:t>
            </w:r>
          </w:p>
        </w:tc>
      </w:tr>
      <w:tr w14:paraId="3B462B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0"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5A02623D">
            <w:pPr>
              <w:keepNext w:val="0"/>
              <w:keepLines w:val="0"/>
              <w:pageBreakBefore w:val="0"/>
              <w:kinsoku/>
              <w:wordWrap/>
              <w:overflowPunct/>
              <w:autoSpaceDE/>
              <w:autoSpaceDN/>
              <w:bidi w:val="0"/>
              <w:spacing w:line="500" w:lineRule="exact"/>
              <w:jc w:val="center"/>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20</w:t>
            </w:r>
          </w:p>
        </w:tc>
        <w:tc>
          <w:tcPr>
            <w:tcW w:w="1895" w:type="dxa"/>
            <w:tcBorders>
              <w:top w:val="single" w:color="auto" w:sz="4" w:space="0"/>
              <w:left w:val="single" w:color="auto" w:sz="4" w:space="0"/>
              <w:bottom w:val="single" w:color="auto" w:sz="4" w:space="0"/>
              <w:right w:val="single" w:color="auto" w:sz="4" w:space="0"/>
            </w:tcBorders>
            <w:vAlign w:val="center"/>
          </w:tcPr>
          <w:p w14:paraId="18419FBB">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cs="宋体"/>
                <w:bCs/>
                <w:color w:val="auto"/>
                <w:sz w:val="24"/>
                <w:highlight w:val="none"/>
                <w:lang w:val="en-US" w:eastAsia="zh-CN"/>
              </w:rPr>
            </w:pPr>
            <w:r>
              <w:rPr>
                <w:rFonts w:hint="eastAsia" w:ascii="宋体" w:hAnsi="宋体" w:eastAsia="宋体" w:cs="宋体"/>
                <w:bCs/>
                <w:color w:val="000000" w:themeColor="text1"/>
                <w:sz w:val="24"/>
                <w:highlight w:val="none"/>
                <w:lang w:val="en-US" w:eastAsia="zh-CN"/>
                <w14:textFill>
                  <w14:solidFill>
                    <w14:schemeClr w14:val="tx1"/>
                  </w14:solidFill>
                </w14:textFill>
              </w:rPr>
              <w:t>投标保证金的退还</w:t>
            </w:r>
          </w:p>
        </w:tc>
        <w:tc>
          <w:tcPr>
            <w:tcW w:w="6997" w:type="dxa"/>
            <w:tcBorders>
              <w:top w:val="single" w:color="auto" w:sz="4" w:space="0"/>
              <w:left w:val="single" w:color="auto" w:sz="4" w:space="0"/>
              <w:bottom w:val="single" w:color="auto" w:sz="4" w:space="0"/>
              <w:right w:val="single" w:color="auto" w:sz="4" w:space="0"/>
            </w:tcBorders>
            <w:vAlign w:val="center"/>
          </w:tcPr>
          <w:p w14:paraId="3EF6E56E">
            <w:pPr>
              <w:keepNext w:val="0"/>
              <w:keepLines w:val="0"/>
              <w:pageBreakBefore w:val="0"/>
              <w:kinsoku/>
              <w:wordWrap/>
              <w:overflowPunct/>
              <w:topLinePunct w:val="0"/>
              <w:autoSpaceDE/>
              <w:autoSpaceDN/>
              <w:bidi w:val="0"/>
              <w:adjustRightInd w:val="0"/>
              <w:snapToGrid/>
              <w:spacing w:line="44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1.未成交</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的投标保证金在成交结果公示期满后5个工作日内，由代理机构退还。</w:t>
            </w:r>
          </w:p>
          <w:p w14:paraId="629A8CAE">
            <w:pPr>
              <w:keepNext w:val="0"/>
              <w:keepLines w:val="0"/>
              <w:pageBreakBefore w:val="0"/>
              <w:kinsoku/>
              <w:wordWrap/>
              <w:overflowPunct/>
              <w:topLinePunct w:val="0"/>
              <w:autoSpaceDE/>
              <w:autoSpaceDN/>
              <w:bidi w:val="0"/>
              <w:adjustRightInd w:val="0"/>
              <w:snapToGrid/>
              <w:spacing w:line="44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2.成交人的投标保证金在合同签订并上传至交易系统备案后5个工作日内，由代理机构在退还。</w:t>
            </w:r>
          </w:p>
          <w:p w14:paraId="13FADF67">
            <w:pPr>
              <w:keepNext w:val="0"/>
              <w:keepLines w:val="0"/>
              <w:pageBreakBefore w:val="0"/>
              <w:kinsoku/>
              <w:wordWrap/>
              <w:overflowPunct/>
              <w:topLinePunct w:val="0"/>
              <w:autoSpaceDE/>
              <w:autoSpaceDN/>
              <w:bidi w:val="0"/>
              <w:adjustRightInd w:val="0"/>
              <w:snapToGrid/>
              <w:spacing w:line="44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3.流标项目经代理机构发布招标异常公告后，5个工作日内由代理机构退还。</w:t>
            </w:r>
          </w:p>
          <w:p w14:paraId="7F58A636">
            <w:pPr>
              <w:keepNext w:val="0"/>
              <w:keepLines w:val="0"/>
              <w:pageBreakBefore w:val="0"/>
              <w:kinsoku/>
              <w:wordWrap/>
              <w:overflowPunct/>
              <w:topLinePunct w:val="0"/>
              <w:autoSpaceDE/>
              <w:autoSpaceDN/>
              <w:bidi w:val="0"/>
              <w:adjustRightInd w:val="0"/>
              <w:snapToGrid/>
              <w:spacing w:line="440" w:lineRule="exact"/>
              <w:textAlignment w:val="auto"/>
              <w:rPr>
                <w:rFonts w:hint="eastAsia" w:ascii="宋体" w:hAnsi="宋体" w:eastAsia="宋体" w:cs="宋体"/>
                <w:bCs/>
                <w:color w:val="auto"/>
                <w:sz w:val="24"/>
                <w:szCs w:val="24"/>
                <w:highlight w:val="none"/>
                <w:shd w:val="clear" w:color="auto" w:fill="FFFFFF"/>
                <w:lang w:val="en-US" w:eastAsia="zh-CN"/>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在投标截止前放弃投标且已交纳投标保证金的，联系代理公司退还。</w:t>
            </w:r>
          </w:p>
        </w:tc>
      </w:tr>
      <w:tr w14:paraId="7FB79B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1"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4698A82F">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21</w:t>
            </w:r>
          </w:p>
        </w:tc>
        <w:tc>
          <w:tcPr>
            <w:tcW w:w="1895" w:type="dxa"/>
            <w:tcBorders>
              <w:top w:val="single" w:color="auto" w:sz="4" w:space="0"/>
              <w:left w:val="single" w:color="auto" w:sz="4" w:space="0"/>
              <w:bottom w:val="single" w:color="auto" w:sz="4" w:space="0"/>
              <w:right w:val="single" w:color="auto" w:sz="4" w:space="0"/>
            </w:tcBorders>
            <w:vAlign w:val="center"/>
          </w:tcPr>
          <w:p w14:paraId="3AABB180">
            <w:pPr>
              <w:keepNext w:val="0"/>
              <w:keepLines w:val="0"/>
              <w:pageBreakBefore w:val="0"/>
              <w:kinsoku/>
              <w:wordWrap/>
              <w:overflowPunct/>
              <w:autoSpaceDE/>
              <w:autoSpaceDN/>
              <w:bidi w:val="0"/>
              <w:spacing w:line="50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磋商报价的相关要求</w:t>
            </w:r>
          </w:p>
        </w:tc>
        <w:tc>
          <w:tcPr>
            <w:tcW w:w="6997" w:type="dxa"/>
            <w:tcBorders>
              <w:top w:val="single" w:color="auto" w:sz="4" w:space="0"/>
              <w:left w:val="single" w:color="auto" w:sz="4" w:space="0"/>
              <w:bottom w:val="single" w:color="auto" w:sz="4" w:space="0"/>
              <w:right w:val="single" w:color="auto" w:sz="4" w:space="0"/>
            </w:tcBorders>
            <w:vAlign w:val="center"/>
          </w:tcPr>
          <w:p w14:paraId="53057394">
            <w:pPr>
              <w:keepNext w:val="0"/>
              <w:keepLines w:val="0"/>
              <w:pageBreakBefore w:val="0"/>
              <w:kinsoku/>
              <w:wordWrap/>
              <w:overflowPunct/>
              <w:autoSpaceDE/>
              <w:autoSpaceDN/>
              <w:bidi w:val="0"/>
              <w:spacing w:line="500" w:lineRule="exact"/>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（1）采购人保留对严重不平衡报价进行调整的权利。</w:t>
            </w:r>
          </w:p>
          <w:p w14:paraId="71B2A861">
            <w:pPr>
              <w:keepNext w:val="0"/>
              <w:keepLines w:val="0"/>
              <w:pageBreakBefore w:val="0"/>
              <w:kinsoku/>
              <w:wordWrap/>
              <w:overflowPunct/>
              <w:autoSpaceDE/>
              <w:autoSpaceDN/>
              <w:bidi w:val="0"/>
              <w:spacing w:line="500" w:lineRule="exact"/>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本工程的报价采用工程量清单计价。供应商所报价格应是完成本项目采购需求规定的全部施工内容并提供相关文件规定的全部费用，包括完成该工程项目的分部分项工程费、措施费、其他项目费、规费、税金、政策性文件规定费用等所有费用。</w:t>
            </w:r>
          </w:p>
          <w:p w14:paraId="6E6CBBF6">
            <w:pPr>
              <w:keepNext w:val="0"/>
              <w:keepLines w:val="0"/>
              <w:pageBreakBefore w:val="0"/>
              <w:kinsoku/>
              <w:wordWrap/>
              <w:overflowPunct/>
              <w:autoSpaceDE/>
              <w:autoSpaceDN/>
              <w:bidi w:val="0"/>
              <w:spacing w:line="500" w:lineRule="exact"/>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（3）供应商不能随意调整采购人公布的工程量清单。</w:t>
            </w:r>
          </w:p>
          <w:p w14:paraId="7B7CA3DD">
            <w:pPr>
              <w:keepNext w:val="0"/>
              <w:keepLines w:val="0"/>
              <w:pageBreakBefore w:val="0"/>
              <w:kinsoku/>
              <w:wordWrap/>
              <w:overflowPunct/>
              <w:autoSpaceDE/>
              <w:autoSpaceDN/>
              <w:bidi w:val="0"/>
              <w:spacing w:line="500" w:lineRule="exact"/>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（4）供应商须根据竞争性磋商文件所提出的各项要求，以及自身具体情况，并考虑对采购人的优惠可能进行报价（含税价）。</w:t>
            </w:r>
          </w:p>
          <w:p w14:paraId="4CAE4837">
            <w:pPr>
              <w:keepNext w:val="0"/>
              <w:keepLines w:val="0"/>
              <w:pageBreakBefore w:val="0"/>
              <w:kinsoku/>
              <w:wordWrap/>
              <w:overflowPunct/>
              <w:autoSpaceDE/>
              <w:autoSpaceDN/>
              <w:bidi w:val="0"/>
              <w:spacing w:line="500" w:lineRule="exact"/>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（5）供应商可先到工地踏勘以充分了解工地位置、情况、道路、储存空间、装卸限制及任何其他足以影响承包价的情况，任何因忽视或误解工地情况而导致的索赔或工期延长申请将不被批准。</w:t>
            </w:r>
          </w:p>
          <w:p w14:paraId="4B1DB749">
            <w:pPr>
              <w:keepNext w:val="0"/>
              <w:keepLines w:val="0"/>
              <w:pageBreakBefore w:val="0"/>
              <w:kinsoku/>
              <w:wordWrap/>
              <w:overflowPunct/>
              <w:autoSpaceDE/>
              <w:autoSpaceDN/>
              <w:bidi w:val="0"/>
              <w:spacing w:line="500" w:lineRule="exact"/>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（6）供应商须全面考虑在将来施工过程中因市场价格波动带来的风险因素。如施工中出现设计修改、材料变更或工程量变更必须经采购人及监理单位（如有）的审核与签证，按实际审定结果进行调整。</w:t>
            </w:r>
          </w:p>
          <w:p w14:paraId="095803DA">
            <w:pPr>
              <w:keepNext w:val="0"/>
              <w:keepLines w:val="0"/>
              <w:pageBreakBefore w:val="0"/>
              <w:kinsoku/>
              <w:wordWrap/>
              <w:overflowPunct/>
              <w:autoSpaceDE/>
              <w:autoSpaceDN/>
              <w:bidi w:val="0"/>
              <w:spacing w:line="500" w:lineRule="exact"/>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（7）供应商应在响应文件“</w:t>
            </w:r>
            <w:r>
              <w:rPr>
                <w:rFonts w:hint="eastAsia" w:ascii="宋体" w:hAnsi="宋体" w:cs="宋体"/>
                <w:bCs/>
                <w:color w:val="auto"/>
                <w:sz w:val="24"/>
                <w:highlight w:val="none"/>
                <w:lang w:val="en-US" w:eastAsia="zh-CN"/>
              </w:rPr>
              <w:t>投标</w:t>
            </w:r>
            <w:r>
              <w:rPr>
                <w:rFonts w:hint="eastAsia" w:ascii="宋体" w:hAnsi="宋体" w:eastAsia="宋体" w:cs="宋体"/>
                <w:bCs/>
                <w:color w:val="auto"/>
                <w:sz w:val="24"/>
                <w:highlight w:val="none"/>
                <w:lang w:val="en-US" w:eastAsia="zh-CN"/>
              </w:rPr>
              <w:t>报价一览表”和“已标价工程量清单”中进行首次报价，其响应文件通过初步评审后，供应商根据磋商内容，进行最后报价及确认。</w:t>
            </w:r>
          </w:p>
          <w:p w14:paraId="09CEB61F">
            <w:pPr>
              <w:keepNext w:val="0"/>
              <w:keepLines w:val="0"/>
              <w:pageBreakBefore w:val="0"/>
              <w:kinsoku/>
              <w:wordWrap/>
              <w:overflowPunct/>
              <w:autoSpaceDE/>
              <w:autoSpaceDN/>
              <w:bidi w:val="0"/>
              <w:spacing w:line="500" w:lineRule="exact"/>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（8）供应商的首轮报价和二次报价均不得超过最高限价，报价保留小数点后二位，第三位四舍五入，否则其响应文件视为无效标书。</w:t>
            </w:r>
          </w:p>
        </w:tc>
      </w:tr>
      <w:tr w14:paraId="5DB667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8"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3AEF7EE5">
            <w:pPr>
              <w:keepNext w:val="0"/>
              <w:keepLines w:val="0"/>
              <w:pageBreakBefore w:val="0"/>
              <w:widowControl w:val="0"/>
              <w:kinsoku/>
              <w:wordWrap/>
              <w:overflowPunct/>
              <w:autoSpaceDE/>
              <w:autoSpaceDN/>
              <w:bidi w:val="0"/>
              <w:adjustRightInd/>
              <w:snapToGrid/>
              <w:spacing w:line="440" w:lineRule="exact"/>
              <w:jc w:val="center"/>
              <w:textAlignment w:val="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22</w:t>
            </w:r>
          </w:p>
        </w:tc>
        <w:tc>
          <w:tcPr>
            <w:tcW w:w="1895" w:type="dxa"/>
            <w:tcBorders>
              <w:top w:val="single" w:color="auto" w:sz="4" w:space="0"/>
              <w:left w:val="single" w:color="auto" w:sz="4" w:space="0"/>
              <w:bottom w:val="single" w:color="auto" w:sz="4" w:space="0"/>
              <w:right w:val="single" w:color="auto" w:sz="4" w:space="0"/>
            </w:tcBorders>
            <w:vAlign w:val="center"/>
          </w:tcPr>
          <w:p w14:paraId="1851D06C">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响应文件的份数</w:t>
            </w:r>
          </w:p>
        </w:tc>
        <w:tc>
          <w:tcPr>
            <w:tcW w:w="6997" w:type="dxa"/>
            <w:tcBorders>
              <w:top w:val="single" w:color="auto" w:sz="4" w:space="0"/>
              <w:left w:val="single" w:color="auto" w:sz="4" w:space="0"/>
              <w:bottom w:val="single" w:color="auto" w:sz="4" w:space="0"/>
              <w:right w:val="single" w:color="auto" w:sz="4" w:space="0"/>
            </w:tcBorders>
            <w:vAlign w:val="center"/>
          </w:tcPr>
          <w:p w14:paraId="6F76EC71">
            <w:pPr>
              <w:keepNext w:val="0"/>
              <w:keepLines w:val="0"/>
              <w:pageBreakBefore w:val="0"/>
              <w:widowControl w:val="0"/>
              <w:kinsoku/>
              <w:wordWrap/>
              <w:overflowPunct/>
              <w:autoSpaceDE/>
              <w:autoSpaceDN/>
              <w:bidi w:val="0"/>
              <w:adjustRightInd/>
              <w:snapToGrid/>
              <w:spacing w:line="440" w:lineRule="exact"/>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电子响应文件</w:t>
            </w:r>
            <w:r>
              <w:rPr>
                <w:rFonts w:hint="eastAsia" w:ascii="宋体" w:hAnsi="宋体" w:eastAsia="宋体" w:cs="宋体"/>
                <w:bCs/>
                <w:color w:val="auto"/>
                <w:sz w:val="24"/>
                <w:highlight w:val="none"/>
                <w:lang w:val="en-US" w:eastAsia="zh-CN"/>
              </w:rPr>
              <w:t>一份</w:t>
            </w:r>
            <w:r>
              <w:rPr>
                <w:rFonts w:hint="eastAsia" w:ascii="宋体" w:hAnsi="宋体" w:eastAsia="宋体" w:cs="宋体"/>
                <w:bCs/>
                <w:color w:val="auto"/>
                <w:sz w:val="24"/>
                <w:highlight w:val="none"/>
                <w:lang w:eastAsia="zh-CN"/>
              </w:rPr>
              <w:t>，上传至政采云平台（https://www.zcygov.cn）即可。</w:t>
            </w:r>
          </w:p>
        </w:tc>
      </w:tr>
      <w:tr w14:paraId="2A65EE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4ABF28CE">
            <w:pPr>
              <w:keepNext w:val="0"/>
              <w:keepLines w:val="0"/>
              <w:pageBreakBefore w:val="0"/>
              <w:kinsoku/>
              <w:wordWrap/>
              <w:overflowPunct/>
              <w:autoSpaceDE/>
              <w:autoSpaceDN/>
              <w:bidi w:val="0"/>
              <w:spacing w:line="500" w:lineRule="exact"/>
              <w:jc w:val="center"/>
              <w:rPr>
                <w:rFonts w:hint="default" w:ascii="宋体" w:hAnsi="宋体" w:eastAsia="宋体" w:cs="宋体"/>
                <w:color w:val="auto"/>
                <w:sz w:val="24"/>
                <w:szCs w:val="24"/>
                <w:highlight w:val="none"/>
                <w:lang w:val="en-US" w:eastAsia="zh-CN"/>
              </w:rPr>
            </w:pPr>
            <w:r>
              <w:rPr>
                <w:rFonts w:hint="eastAsia" w:ascii="宋体" w:hAnsi="宋体" w:cs="宋体"/>
                <w:bCs/>
                <w:color w:val="auto"/>
                <w:sz w:val="24"/>
                <w:highlight w:val="none"/>
                <w:lang w:val="en-US" w:eastAsia="zh-CN"/>
              </w:rPr>
              <w:t>23</w:t>
            </w:r>
          </w:p>
        </w:tc>
        <w:tc>
          <w:tcPr>
            <w:tcW w:w="1895" w:type="dxa"/>
            <w:tcBorders>
              <w:top w:val="single" w:color="auto" w:sz="4" w:space="0"/>
              <w:left w:val="single" w:color="auto" w:sz="4" w:space="0"/>
              <w:bottom w:val="single" w:color="auto" w:sz="4" w:space="0"/>
              <w:right w:val="single" w:color="auto" w:sz="4" w:space="0"/>
            </w:tcBorders>
            <w:vAlign w:val="center"/>
          </w:tcPr>
          <w:p w14:paraId="5CEB4BA8">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编制</w:t>
            </w:r>
          </w:p>
          <w:p w14:paraId="37F4CA81">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要求</w:t>
            </w:r>
          </w:p>
        </w:tc>
        <w:tc>
          <w:tcPr>
            <w:tcW w:w="6997" w:type="dxa"/>
            <w:tcBorders>
              <w:top w:val="single" w:color="auto" w:sz="4" w:space="0"/>
              <w:left w:val="single" w:color="auto" w:sz="4" w:space="0"/>
              <w:bottom w:val="single" w:color="auto" w:sz="4" w:space="0"/>
              <w:right w:val="single" w:color="auto" w:sz="4" w:space="0"/>
            </w:tcBorders>
            <w:vAlign w:val="center"/>
          </w:tcPr>
          <w:p w14:paraId="2AB7C991">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必须使用“政采云电子投标客户端”编制电子响应文件，编制要求详见附件3“电子响应文件编制及报送要求”。</w:t>
            </w:r>
          </w:p>
          <w:p w14:paraId="54C0EDD1">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特别注意：</w:t>
            </w:r>
          </w:p>
          <w:p w14:paraId="7A8F20CD">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1）供应商不得对竞争性磋商文件格式中的内容进行删减或修改，否则作为无效投标处理。</w:t>
            </w:r>
          </w:p>
          <w:p w14:paraId="521306B7">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2）供应商可以在格式内容之外另行说明和增加相关内容，作为响应文件的组成部分。另行说明或自行增加的内容，不得与竞争性磋商文件的强制性审查标准和禁止性规定相抵触。</w:t>
            </w:r>
          </w:p>
          <w:p w14:paraId="7D67B09A">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3）按竞争性磋商文件格式在空格（下划线）由供应商填写的内容，确实没有需要填写的，可以在空格中用“/”标示，也可以不填（空白）。但竞争性磋商文件中另有规定的从其规定。</w:t>
            </w:r>
          </w:p>
          <w:p w14:paraId="0A60FA36">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4）响应文件应对竞争性磋商文件提出的所有实质性要求和条件作出实质性响应，并且实质性响应的内容不得互相矛盾。若供应商未按要求作出响应的，将不予通过资格审查。</w:t>
            </w:r>
          </w:p>
          <w:p w14:paraId="33504E8C">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000000" w:themeColor="text1"/>
                <w:sz w:val="24"/>
                <w:highlight w:val="none"/>
                <w:lang w:val="en-US" w:eastAsia="zh-CN"/>
                <w14:textFill>
                  <w14:solidFill>
                    <w14:schemeClr w14:val="tx1"/>
                  </w14:solidFill>
                </w14:textFill>
              </w:rPr>
              <w:t>响应文件</w:t>
            </w:r>
            <w:r>
              <w:rPr>
                <w:rFonts w:hint="eastAsia" w:ascii="宋体" w:hAnsi="宋体" w:cs="宋体"/>
                <w:color w:val="000000" w:themeColor="text1"/>
                <w:sz w:val="24"/>
                <w:highlight w:val="none"/>
                <w:lang w:val="en-US" w:eastAsia="zh-CN"/>
                <w14:textFill>
                  <w14:solidFill>
                    <w14:schemeClr w14:val="tx1"/>
                  </w14:solidFill>
                </w14:textFill>
              </w:rPr>
              <w:t>的编制</w:t>
            </w:r>
            <w:r>
              <w:rPr>
                <w:rFonts w:hint="eastAsia" w:ascii="宋体" w:hAnsi="宋体" w:eastAsia="宋体" w:cs="宋体"/>
                <w:color w:val="000000" w:themeColor="text1"/>
                <w:sz w:val="24"/>
                <w:highlight w:val="none"/>
                <w:lang w:val="en-US" w:eastAsia="zh-CN"/>
                <w14:textFill>
                  <w14:solidFill>
                    <w14:schemeClr w14:val="tx1"/>
                  </w14:solidFill>
                </w14:textFill>
              </w:rPr>
              <w:t>时间</w:t>
            </w:r>
            <w:r>
              <w:rPr>
                <w:rFonts w:hint="eastAsia" w:ascii="宋体" w:hAnsi="宋体" w:cs="宋体"/>
                <w:color w:val="000000" w:themeColor="text1"/>
                <w:sz w:val="24"/>
                <w:highlight w:val="none"/>
                <w:lang w:val="en-US" w:eastAsia="zh-CN"/>
                <w14:textFill>
                  <w14:solidFill>
                    <w14:schemeClr w14:val="tx1"/>
                  </w14:solidFill>
                </w14:textFill>
              </w:rPr>
              <w:t>为：</w:t>
            </w:r>
            <w:r>
              <w:rPr>
                <w:rFonts w:hint="eastAsia" w:ascii="宋体" w:hAnsi="宋体" w:cs="宋体"/>
                <w:color w:val="000000" w:themeColor="text1"/>
                <w:sz w:val="24"/>
                <w:highlight w:val="none"/>
                <w14:textFill>
                  <w14:solidFill>
                    <w14:schemeClr w14:val="tx1"/>
                  </w14:solidFill>
                </w14:textFill>
              </w:rPr>
              <w:t>自</w:t>
            </w:r>
            <w:r>
              <w:rPr>
                <w:rFonts w:hint="eastAsia" w:ascii="宋体" w:hAnsi="宋体" w:cs="宋体"/>
                <w:color w:val="000000" w:themeColor="text1"/>
                <w:sz w:val="24"/>
                <w:highlight w:val="none"/>
                <w:lang w:val="en-US" w:eastAsia="zh-CN"/>
                <w14:textFill>
                  <w14:solidFill>
                    <w14:schemeClr w14:val="tx1"/>
                  </w14:solidFill>
                </w14:textFill>
              </w:rPr>
              <w:t>竞争性磋商公告</w:t>
            </w:r>
            <w:r>
              <w:rPr>
                <w:rFonts w:hint="eastAsia" w:ascii="宋体" w:hAnsi="宋体" w:cs="宋体"/>
                <w:color w:val="000000" w:themeColor="text1"/>
                <w:sz w:val="24"/>
                <w:highlight w:val="none"/>
                <w14:textFill>
                  <w14:solidFill>
                    <w14:schemeClr w14:val="tx1"/>
                  </w14:solidFill>
                </w14:textFill>
              </w:rPr>
              <w:t>发布之日起至投标截止时间前</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不得在开标当天，</w:t>
            </w:r>
            <w:r>
              <w:rPr>
                <w:rFonts w:hint="eastAsia" w:ascii="宋体" w:hAnsi="宋体" w:eastAsia="宋体" w:cs="宋体"/>
                <w:color w:val="000000" w:themeColor="text1"/>
                <w:sz w:val="24"/>
                <w:highlight w:val="none"/>
                <w:lang w:val="en-US" w:eastAsia="zh-CN"/>
                <w14:textFill>
                  <w14:solidFill>
                    <w14:schemeClr w14:val="tx1"/>
                  </w14:solidFill>
                </w14:textFill>
              </w:rPr>
              <w:t>如未按要求编制的</w:t>
            </w:r>
            <w:r>
              <w:rPr>
                <w:rFonts w:hint="eastAsia" w:ascii="宋体" w:hAnsi="宋体" w:eastAsia="宋体" w:cs="宋体"/>
                <w:color w:val="000000" w:themeColor="text1"/>
                <w:sz w:val="24"/>
                <w:highlight w:val="none"/>
                <w:lang w:eastAsia="zh-CN"/>
                <w14:textFill>
                  <w14:solidFill>
                    <w14:schemeClr w14:val="tx1"/>
                  </w14:solidFill>
                </w14:textFill>
              </w:rPr>
              <w:t>投标无效。</w:t>
            </w:r>
          </w:p>
        </w:tc>
      </w:tr>
      <w:tr w14:paraId="28E899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3BAA9A03">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24</w:t>
            </w:r>
          </w:p>
        </w:tc>
        <w:tc>
          <w:tcPr>
            <w:tcW w:w="1895" w:type="dxa"/>
            <w:tcBorders>
              <w:top w:val="single" w:color="auto" w:sz="4" w:space="0"/>
              <w:left w:val="single" w:color="auto" w:sz="4" w:space="0"/>
              <w:bottom w:val="single" w:color="auto" w:sz="4" w:space="0"/>
              <w:right w:val="single" w:color="auto" w:sz="4" w:space="0"/>
            </w:tcBorders>
            <w:vAlign w:val="center"/>
          </w:tcPr>
          <w:p w14:paraId="384DFFCF">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sz w:val="24"/>
                <w:highlight w:val="none"/>
              </w:rPr>
              <w:t>的签署</w:t>
            </w:r>
          </w:p>
        </w:tc>
        <w:tc>
          <w:tcPr>
            <w:tcW w:w="6997" w:type="dxa"/>
            <w:tcBorders>
              <w:top w:val="single" w:color="auto" w:sz="4" w:space="0"/>
              <w:left w:val="single" w:color="auto" w:sz="4" w:space="0"/>
              <w:bottom w:val="single" w:color="auto" w:sz="4" w:space="0"/>
              <w:right w:val="single" w:color="auto" w:sz="4" w:space="0"/>
            </w:tcBorders>
            <w:vAlign w:val="center"/>
          </w:tcPr>
          <w:p w14:paraId="461A1640">
            <w:pPr>
              <w:pStyle w:val="17"/>
              <w:keepNext w:val="0"/>
              <w:keepLines w:val="0"/>
              <w:pageBreakBefore w:val="0"/>
              <w:kinsoku/>
              <w:wordWrap/>
              <w:overflowPunct/>
              <w:autoSpaceDE/>
              <w:autoSpaceDN/>
              <w:bidi w:val="0"/>
              <w:snapToGrid/>
              <w:spacing w:line="480" w:lineRule="exact"/>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响应文件中要求加盖供应商单位公章的地方应加盖供应商单位电子签章或单位公章，要求法定代表人或其委托代理人签字的地方应加盖个人电子签名章或签字。响应文件由委托代理人加盖个人电子签名章或签字的，应提供法定代表人签署的法定代表人授权委托书。</w:t>
            </w:r>
          </w:p>
          <w:p w14:paraId="2D3F9A9A">
            <w:pPr>
              <w:pStyle w:val="17"/>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注：</w:t>
            </w:r>
            <w:r>
              <w:rPr>
                <w:rFonts w:hint="eastAsia" w:ascii="宋体" w:hAnsi="宋体" w:eastAsia="宋体" w:cs="宋体"/>
                <w:color w:val="auto"/>
                <w:sz w:val="24"/>
                <w:szCs w:val="24"/>
                <w:highlight w:val="none"/>
              </w:rPr>
              <w:t>本项目对造价工程师和造价人员签字盖章不作要求。</w:t>
            </w:r>
          </w:p>
        </w:tc>
      </w:tr>
      <w:tr w14:paraId="225ACB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61DDD0F4">
            <w:pPr>
              <w:keepNext w:val="0"/>
              <w:keepLines w:val="0"/>
              <w:pageBreakBefore w:val="0"/>
              <w:kinsoku/>
              <w:wordWrap/>
              <w:overflowPunct/>
              <w:autoSpaceDE/>
              <w:autoSpaceDN/>
              <w:bidi w:val="0"/>
              <w:spacing w:line="500" w:lineRule="exact"/>
              <w:jc w:val="center"/>
              <w:rPr>
                <w:rFonts w:hint="default" w:ascii="宋体" w:hAnsi="宋体" w:eastAsia="宋体" w:cs="宋体"/>
                <w:color w:val="auto"/>
                <w:highlight w:val="none"/>
                <w:lang w:val="en-US" w:eastAsia="zh-CN"/>
              </w:rPr>
            </w:pPr>
            <w:r>
              <w:rPr>
                <w:rFonts w:hint="eastAsia" w:ascii="宋体" w:hAnsi="宋体" w:cs="宋体"/>
                <w:color w:val="auto"/>
                <w:sz w:val="24"/>
                <w:szCs w:val="24"/>
                <w:highlight w:val="none"/>
                <w:lang w:val="en-US" w:eastAsia="zh-CN"/>
              </w:rPr>
              <w:t>25</w:t>
            </w:r>
          </w:p>
        </w:tc>
        <w:tc>
          <w:tcPr>
            <w:tcW w:w="1895" w:type="dxa"/>
            <w:tcBorders>
              <w:top w:val="single" w:color="auto" w:sz="4" w:space="0"/>
              <w:left w:val="single" w:color="auto" w:sz="4" w:space="0"/>
              <w:bottom w:val="single" w:color="auto" w:sz="4" w:space="0"/>
              <w:right w:val="single" w:color="auto" w:sz="4" w:space="0"/>
            </w:tcBorders>
            <w:vAlign w:val="center"/>
          </w:tcPr>
          <w:p w14:paraId="25310DAE">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递交及有关内容</w:t>
            </w:r>
          </w:p>
        </w:tc>
        <w:tc>
          <w:tcPr>
            <w:tcW w:w="6997" w:type="dxa"/>
            <w:tcBorders>
              <w:top w:val="single" w:color="auto" w:sz="4" w:space="0"/>
              <w:left w:val="single" w:color="auto" w:sz="4" w:space="0"/>
              <w:bottom w:val="single" w:color="auto" w:sz="4" w:space="0"/>
              <w:right w:val="single" w:color="auto" w:sz="4" w:space="0"/>
            </w:tcBorders>
            <w:vAlign w:val="center"/>
          </w:tcPr>
          <w:p w14:paraId="335518AF">
            <w:pPr>
              <w:keepNext w:val="0"/>
              <w:keepLines w:val="0"/>
              <w:pageBreakBefore w:val="0"/>
              <w:kinsoku/>
              <w:wordWrap/>
              <w:overflowPunct/>
              <w:autoSpaceDE/>
              <w:autoSpaceDN/>
              <w:bidi w:val="0"/>
              <w:adjustRightInd w:val="0"/>
              <w:snapToGrid/>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为网上递交：网上递交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应根据</w:t>
            </w:r>
            <w:r>
              <w:rPr>
                <w:rFonts w:hint="eastAsia" w:ascii="宋体" w:hAnsi="宋体" w:eastAsia="宋体" w:cs="宋体"/>
                <w:color w:val="auto"/>
                <w:sz w:val="24"/>
                <w:highlight w:val="none"/>
                <w:lang w:eastAsia="zh-CN"/>
              </w:rPr>
              <w:t>竞争性磋商</w:t>
            </w:r>
            <w:r>
              <w:rPr>
                <w:rFonts w:hint="eastAsia" w:ascii="宋体" w:hAnsi="宋体" w:eastAsia="宋体" w:cs="宋体"/>
                <w:color w:val="auto"/>
                <w:sz w:val="24"/>
                <w:highlight w:val="none"/>
              </w:rPr>
              <w:t>文件要求，在投标截止时间前将电子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通过政采云平台（https://www.zcygov.cn）上传至指定的开标项目，并打印“上传</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回执”，以表明上传成功。同时，应自行核验下载上传成功的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，并进行查看和解密以确保上传</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的正确性。</w:t>
            </w:r>
          </w:p>
        </w:tc>
      </w:tr>
      <w:tr w14:paraId="1478C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AE9F241">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color w:val="auto"/>
                <w:sz w:val="24"/>
                <w:szCs w:val="24"/>
                <w:highlight w:val="none"/>
                <w:lang w:val="en-US" w:eastAsia="zh-CN"/>
              </w:rPr>
              <w:t>26</w:t>
            </w:r>
          </w:p>
        </w:tc>
        <w:tc>
          <w:tcPr>
            <w:tcW w:w="1895" w:type="dxa"/>
            <w:tcBorders>
              <w:top w:val="single" w:color="auto" w:sz="4" w:space="0"/>
              <w:left w:val="single" w:color="auto" w:sz="4" w:space="0"/>
              <w:bottom w:val="single" w:color="auto" w:sz="4" w:space="0"/>
              <w:right w:val="single" w:color="auto" w:sz="4" w:space="0"/>
            </w:tcBorders>
            <w:vAlign w:val="center"/>
          </w:tcPr>
          <w:p w14:paraId="2CC9B70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eastAsia="zh-CN"/>
              </w:rPr>
              <w:t>响应文件提交</w:t>
            </w:r>
            <w:r>
              <w:rPr>
                <w:rFonts w:hint="eastAsia" w:ascii="宋体" w:hAnsi="宋体" w:eastAsia="宋体" w:cs="宋体"/>
                <w:color w:val="auto"/>
                <w:sz w:val="24"/>
                <w:szCs w:val="24"/>
                <w:highlight w:val="none"/>
              </w:rPr>
              <w:t>截止时间及开标时间</w:t>
            </w:r>
          </w:p>
        </w:tc>
        <w:tc>
          <w:tcPr>
            <w:tcW w:w="6997" w:type="dxa"/>
            <w:tcBorders>
              <w:top w:val="single" w:color="auto" w:sz="4" w:space="0"/>
              <w:left w:val="single" w:color="auto" w:sz="4" w:space="0"/>
              <w:bottom w:val="single" w:color="auto" w:sz="4" w:space="0"/>
              <w:right w:val="single" w:color="auto" w:sz="4" w:space="0"/>
            </w:tcBorders>
            <w:vAlign w:val="center"/>
          </w:tcPr>
          <w:p w14:paraId="2359D5CC">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u w:val="single"/>
              </w:rPr>
              <w:t>202</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03</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28</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09</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00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分（北京时间）</w:t>
            </w:r>
          </w:p>
        </w:tc>
      </w:tr>
      <w:tr w14:paraId="477B09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D372F6C">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27</w:t>
            </w:r>
          </w:p>
        </w:tc>
        <w:tc>
          <w:tcPr>
            <w:tcW w:w="1895" w:type="dxa"/>
            <w:tcBorders>
              <w:top w:val="single" w:color="auto" w:sz="4" w:space="0"/>
              <w:left w:val="single" w:color="auto" w:sz="4" w:space="0"/>
              <w:bottom w:val="single" w:color="auto" w:sz="4" w:space="0"/>
              <w:right w:val="single" w:color="auto" w:sz="4" w:space="0"/>
            </w:tcBorders>
            <w:vAlign w:val="center"/>
          </w:tcPr>
          <w:p w14:paraId="6BEE2F4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响应文件提交地点</w:t>
            </w:r>
          </w:p>
        </w:tc>
        <w:tc>
          <w:tcPr>
            <w:tcW w:w="6997" w:type="dxa"/>
            <w:tcBorders>
              <w:top w:val="single" w:color="auto" w:sz="4" w:space="0"/>
              <w:left w:val="single" w:color="auto" w:sz="4" w:space="0"/>
              <w:bottom w:val="single" w:color="auto" w:sz="4" w:space="0"/>
              <w:right w:val="single" w:color="auto" w:sz="4" w:space="0"/>
            </w:tcBorders>
            <w:vAlign w:val="center"/>
          </w:tcPr>
          <w:p w14:paraId="747EF260">
            <w:pPr>
              <w:keepNext w:val="0"/>
              <w:keepLines w:val="0"/>
              <w:pageBreakBefore w:val="0"/>
              <w:kinsoku/>
              <w:wordWrap/>
              <w:overflowPunct/>
              <w:autoSpaceDE/>
              <w:autoSpaceDN/>
              <w:bidi w:val="0"/>
              <w:snapToGrid/>
              <w:spacing w:line="480" w:lineRule="exact"/>
              <w:jc w:val="left"/>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eastAsia="zh-CN"/>
              </w:rPr>
              <w:t>政采云平台（https://www.zcygov.cn）（</w:t>
            </w:r>
            <w:r>
              <w:rPr>
                <w:rFonts w:hint="eastAsia" w:ascii="宋体" w:hAnsi="宋体" w:eastAsia="宋体" w:cs="宋体"/>
                <w:color w:val="auto"/>
                <w:sz w:val="24"/>
                <w:highlight w:val="none"/>
                <w:lang w:val="en-US" w:eastAsia="zh-CN"/>
              </w:rPr>
              <w:t>网上提交</w:t>
            </w:r>
            <w:r>
              <w:rPr>
                <w:rFonts w:hint="eastAsia" w:ascii="宋体" w:hAnsi="宋体" w:eastAsia="宋体" w:cs="宋体"/>
                <w:color w:val="auto"/>
                <w:sz w:val="24"/>
                <w:highlight w:val="none"/>
                <w:lang w:eastAsia="zh-CN"/>
              </w:rPr>
              <w:t>）</w:t>
            </w:r>
          </w:p>
        </w:tc>
      </w:tr>
      <w:tr w14:paraId="5DEB9E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187E03D6">
            <w:pPr>
              <w:keepNext w:val="0"/>
              <w:keepLines w:val="0"/>
              <w:pageBreakBefore w:val="0"/>
              <w:kinsoku/>
              <w:wordWrap/>
              <w:overflowPunct/>
              <w:autoSpaceDE/>
              <w:autoSpaceDN/>
              <w:bidi w:val="0"/>
              <w:spacing w:line="500" w:lineRule="exact"/>
              <w:jc w:val="center"/>
              <w:rPr>
                <w:rFonts w:hint="default" w:ascii="宋体" w:hAnsi="宋体" w:eastAsia="宋体" w:cs="宋体"/>
                <w:color w:val="auto"/>
                <w:highlight w:val="none"/>
                <w:lang w:val="en-US" w:eastAsia="zh-CN"/>
              </w:rPr>
            </w:pPr>
            <w:r>
              <w:rPr>
                <w:rFonts w:hint="eastAsia" w:ascii="宋体" w:hAnsi="宋体" w:cs="宋体"/>
                <w:bCs/>
                <w:color w:val="auto"/>
                <w:sz w:val="24"/>
                <w:highlight w:val="none"/>
                <w:lang w:val="en-US" w:eastAsia="zh-CN"/>
              </w:rPr>
              <w:t>28</w:t>
            </w:r>
          </w:p>
        </w:tc>
        <w:tc>
          <w:tcPr>
            <w:tcW w:w="1895" w:type="dxa"/>
            <w:tcBorders>
              <w:top w:val="single" w:color="auto" w:sz="4" w:space="0"/>
              <w:left w:val="single" w:color="auto" w:sz="4" w:space="0"/>
              <w:bottom w:val="single" w:color="auto" w:sz="4" w:space="0"/>
              <w:right w:val="single" w:color="auto" w:sz="4" w:space="0"/>
            </w:tcBorders>
            <w:vAlign w:val="center"/>
          </w:tcPr>
          <w:p w14:paraId="32E19AA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响应文件开启地点</w:t>
            </w:r>
          </w:p>
        </w:tc>
        <w:tc>
          <w:tcPr>
            <w:tcW w:w="6997" w:type="dxa"/>
            <w:tcBorders>
              <w:top w:val="single" w:color="auto" w:sz="4" w:space="0"/>
              <w:left w:val="single" w:color="auto" w:sz="4" w:space="0"/>
              <w:bottom w:val="single" w:color="auto" w:sz="4" w:space="0"/>
              <w:right w:val="single" w:color="auto" w:sz="4" w:space="0"/>
            </w:tcBorders>
            <w:vAlign w:val="center"/>
          </w:tcPr>
          <w:p w14:paraId="2F043C19">
            <w:pPr>
              <w:keepNext w:val="0"/>
              <w:keepLines w:val="0"/>
              <w:pageBreakBefore w:val="0"/>
              <w:kinsoku/>
              <w:wordWrap/>
              <w:overflowPunct/>
              <w:autoSpaceDE/>
              <w:autoSpaceDN/>
              <w:bidi w:val="0"/>
              <w:snapToGrid/>
              <w:spacing w:line="480" w:lineRule="exact"/>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开标时间：20</w:t>
            </w:r>
            <w:r>
              <w:rPr>
                <w:rFonts w:hint="eastAsia" w:ascii="宋体" w:hAnsi="宋体" w:cs="宋体"/>
                <w:color w:val="auto"/>
                <w:sz w:val="24"/>
                <w:highlight w:val="none"/>
                <w:lang w:val="en-US" w:eastAsia="zh-CN"/>
              </w:rPr>
              <w:t>25</w:t>
            </w:r>
            <w:r>
              <w:rPr>
                <w:rFonts w:hint="eastAsia" w:ascii="宋体" w:hAnsi="宋体" w:eastAsia="宋体" w:cs="宋体"/>
                <w:color w:val="auto"/>
                <w:sz w:val="24"/>
                <w:highlight w:val="none"/>
                <w:lang w:val="en-US" w:eastAsia="zh-CN"/>
              </w:rPr>
              <w:t>年</w:t>
            </w:r>
            <w:r>
              <w:rPr>
                <w:rFonts w:hint="eastAsia" w:ascii="宋体" w:hAnsi="宋体" w:cs="宋体"/>
                <w:color w:val="auto"/>
                <w:sz w:val="24"/>
                <w:highlight w:val="none"/>
                <w:lang w:val="en-US" w:eastAsia="zh-CN"/>
              </w:rPr>
              <w:t>03</w:t>
            </w:r>
            <w:r>
              <w:rPr>
                <w:rFonts w:hint="eastAsia" w:ascii="宋体" w:hAnsi="宋体" w:eastAsia="宋体" w:cs="宋体"/>
                <w:color w:val="auto"/>
                <w:sz w:val="24"/>
                <w:highlight w:val="none"/>
                <w:lang w:val="en-US" w:eastAsia="zh-CN"/>
              </w:rPr>
              <w:t>月</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lang w:val="en-US" w:eastAsia="zh-CN"/>
              </w:rPr>
              <w:t>日09时00分（北京时间）。</w:t>
            </w:r>
          </w:p>
          <w:p w14:paraId="75C26DEF">
            <w:pPr>
              <w:keepNext w:val="0"/>
              <w:keepLines w:val="0"/>
              <w:pageBreakBefore w:val="0"/>
              <w:kinsoku/>
              <w:wordWrap/>
              <w:overflowPunct/>
              <w:autoSpaceDE/>
              <w:autoSpaceDN/>
              <w:bidi w:val="0"/>
              <w:snapToGrid/>
              <w:spacing w:line="480" w:lineRule="exact"/>
              <w:jc w:val="both"/>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开标地点：</w:t>
            </w:r>
            <w:r>
              <w:rPr>
                <w:rFonts w:hint="eastAsia" w:ascii="宋体" w:hAnsi="宋体" w:eastAsia="宋体" w:cs="宋体"/>
                <w:color w:val="000000"/>
                <w:sz w:val="24"/>
                <w:szCs w:val="24"/>
                <w:highlight w:val="none"/>
                <w:u w:val="single"/>
                <w:lang w:val="en-US" w:eastAsia="zh-CN"/>
              </w:rPr>
              <w:t>云南星骋项目管理有限公司</w:t>
            </w:r>
            <w:r>
              <w:rPr>
                <w:rFonts w:hint="eastAsia" w:ascii="宋体" w:hAnsi="宋体" w:cs="宋体"/>
                <w:color w:val="000000"/>
                <w:sz w:val="24"/>
                <w:szCs w:val="24"/>
                <w:highlight w:val="none"/>
                <w:u w:val="single"/>
                <w:lang w:val="en-US" w:eastAsia="zh-CN"/>
              </w:rPr>
              <w:t>开标室</w:t>
            </w:r>
            <w:r>
              <w:rPr>
                <w:rFonts w:hint="eastAsia" w:ascii="宋体" w:hAnsi="宋体" w:eastAsia="宋体" w:cs="宋体"/>
                <w:color w:val="000000"/>
                <w:sz w:val="24"/>
                <w:szCs w:val="24"/>
                <w:highlight w:val="none"/>
                <w:u w:val="single"/>
              </w:rPr>
              <w:t xml:space="preserve"> (景洪市西双十二城国际公馆1栋306)</w:t>
            </w:r>
            <w:r>
              <w:rPr>
                <w:rFonts w:hint="eastAsia" w:ascii="宋体" w:hAnsi="宋体" w:cs="宋体"/>
                <w:color w:val="000000"/>
                <w:sz w:val="24"/>
                <w:szCs w:val="24"/>
                <w:highlight w:val="none"/>
                <w:u w:val="single"/>
                <w:lang w:val="en-US" w:eastAsia="zh-CN"/>
              </w:rPr>
              <w:t>开标室</w:t>
            </w:r>
            <w:r>
              <w:rPr>
                <w:rFonts w:hint="eastAsia" w:ascii="宋体" w:hAnsi="宋体" w:eastAsia="宋体" w:cs="宋体"/>
                <w:color w:val="auto"/>
                <w:sz w:val="24"/>
                <w:highlight w:val="none"/>
                <w:lang w:val="en-US" w:eastAsia="zh-CN"/>
              </w:rPr>
              <w:t>。</w:t>
            </w:r>
          </w:p>
        </w:tc>
      </w:tr>
      <w:tr w14:paraId="5ED5DC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3755A35">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29</w:t>
            </w:r>
          </w:p>
        </w:tc>
        <w:tc>
          <w:tcPr>
            <w:tcW w:w="1895" w:type="dxa"/>
            <w:tcBorders>
              <w:top w:val="single" w:color="auto" w:sz="4" w:space="0"/>
              <w:left w:val="single" w:color="auto" w:sz="4" w:space="0"/>
              <w:bottom w:val="single" w:color="auto" w:sz="4" w:space="0"/>
              <w:right w:val="single" w:color="auto" w:sz="4" w:space="0"/>
            </w:tcBorders>
            <w:vAlign w:val="center"/>
          </w:tcPr>
          <w:p w14:paraId="03C8218E">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响应文件的解密及方式</w:t>
            </w:r>
          </w:p>
        </w:tc>
        <w:tc>
          <w:tcPr>
            <w:tcW w:w="6997" w:type="dxa"/>
            <w:tcBorders>
              <w:top w:val="single" w:color="auto" w:sz="4" w:space="0"/>
              <w:left w:val="single" w:color="auto" w:sz="4" w:space="0"/>
              <w:bottom w:val="single" w:color="auto" w:sz="4" w:space="0"/>
              <w:right w:val="single" w:color="auto" w:sz="4" w:space="0"/>
            </w:tcBorders>
            <w:vAlign w:val="center"/>
          </w:tcPr>
          <w:p w14:paraId="1487A005">
            <w:pPr>
              <w:keepNext w:val="0"/>
              <w:keepLines w:val="0"/>
              <w:pageBreakBefore w:val="0"/>
              <w:kinsoku/>
              <w:wordWrap/>
              <w:overflowPunct/>
              <w:autoSpaceDE/>
              <w:autoSpaceDN/>
              <w:bidi w:val="0"/>
              <w:snapToGrid/>
              <w:spacing w:line="480" w:lineRule="exact"/>
              <w:jc w:val="left"/>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上传响应文件时加密使用的CA数字证书是开标时对响应文件进行解密的必要工具，否则将不能解密。因供应商自身原因导致所递交的响应文件无法解密、导入失败的，均视为其撤销响应文件，则视为无效投标，不再进入评标阶段。                       </w:t>
            </w:r>
            <w:r>
              <w:rPr>
                <w:rFonts w:hint="eastAsia" w:ascii="宋体" w:hAnsi="宋体" w:eastAsia="宋体" w:cs="宋体"/>
                <w:b/>
                <w:bCs/>
                <w:color w:val="auto"/>
                <w:sz w:val="24"/>
                <w:highlight w:val="none"/>
                <w:lang w:val="en-US" w:eastAsia="zh-CN"/>
              </w:rPr>
              <w:t>响应文件的解密方式：</w:t>
            </w:r>
          </w:p>
          <w:p w14:paraId="7CC8B0EF">
            <w:pPr>
              <w:keepNext w:val="0"/>
              <w:keepLines w:val="0"/>
              <w:pageBreakBefore w:val="0"/>
              <w:kinsoku/>
              <w:wordWrap/>
              <w:overflowPunct/>
              <w:autoSpaceDE/>
              <w:autoSpaceDN/>
              <w:bidi w:val="0"/>
              <w:snapToGrid/>
              <w:spacing w:line="48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远程</w:t>
            </w:r>
            <w:r>
              <w:rPr>
                <w:rFonts w:hint="eastAsia" w:ascii="宋体" w:hAnsi="宋体" w:eastAsia="宋体" w:cs="宋体"/>
                <w:color w:val="auto"/>
                <w:sz w:val="24"/>
                <w:highlight w:val="none"/>
                <w:lang w:val="en-US" w:eastAsia="zh-CN"/>
              </w:rPr>
              <w:t>解密：供应商登录政府采购云平台（https://www.zcygov.cn），按照《供应商电子交易平台操作指南》完成远程解密等相关操作。若供应商未在规定时间完成所有投标文件解密，则视为无效投标，不再进入评审阶段。因开标系统、解密投标文件现场网络、设备及其他特殊原因，导致不能正常解密投标文件的，经核实和上报相关部门同意后，可再次下达网上解密指令来延长解密时间。解密过程中如有问题，可以在线提出异议，由采购代理机构给予回复。在规定的异议询问时间内未提出异议的，则视为对投标文件解密结果无异议。</w:t>
            </w:r>
          </w:p>
        </w:tc>
      </w:tr>
      <w:tr w14:paraId="612408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5"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380420A8">
            <w:pPr>
              <w:keepNext w:val="0"/>
              <w:keepLines w:val="0"/>
              <w:pageBreakBefore w:val="0"/>
              <w:kinsoku/>
              <w:wordWrap/>
              <w:overflowPunct/>
              <w:autoSpaceDE/>
              <w:autoSpaceDN/>
              <w:bidi w:val="0"/>
              <w:spacing w:line="5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1895" w:type="dxa"/>
            <w:tcBorders>
              <w:top w:val="single" w:color="auto" w:sz="4" w:space="0"/>
              <w:left w:val="single" w:color="auto" w:sz="4" w:space="0"/>
              <w:bottom w:val="single" w:color="auto" w:sz="4" w:space="0"/>
              <w:right w:val="single" w:color="auto" w:sz="4" w:space="0"/>
            </w:tcBorders>
            <w:vAlign w:val="center"/>
          </w:tcPr>
          <w:p w14:paraId="2AC052D7">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开标顺序</w:t>
            </w:r>
          </w:p>
        </w:tc>
        <w:tc>
          <w:tcPr>
            <w:tcW w:w="6997" w:type="dxa"/>
            <w:tcBorders>
              <w:top w:val="single" w:color="auto" w:sz="4" w:space="0"/>
              <w:left w:val="single" w:color="auto" w:sz="4" w:space="0"/>
              <w:bottom w:val="single" w:color="auto" w:sz="4" w:space="0"/>
              <w:right w:val="single" w:color="auto" w:sz="4" w:space="0"/>
            </w:tcBorders>
            <w:vAlign w:val="center"/>
          </w:tcPr>
          <w:p w14:paraId="007C711E">
            <w:pPr>
              <w:keepNext w:val="0"/>
              <w:keepLines w:val="0"/>
              <w:pageBreakBefore w:val="0"/>
              <w:kinsoku/>
              <w:wordWrap/>
              <w:overflowPunct/>
              <w:autoSpaceDE/>
              <w:autoSpaceDN/>
              <w:bidi w:val="0"/>
              <w:snapToGrid/>
              <w:spacing w:line="480" w:lineRule="exact"/>
              <w:jc w:val="left"/>
              <w:rPr>
                <w:rFonts w:hint="eastAsia" w:ascii="宋体" w:hAnsi="宋体" w:eastAsia="宋体" w:cs="宋体"/>
                <w:b/>
                <w:color w:val="auto"/>
                <w:sz w:val="24"/>
                <w:szCs w:val="24"/>
                <w:highlight w:val="none"/>
              </w:rPr>
            </w:pPr>
            <w:r>
              <w:rPr>
                <w:rFonts w:hint="eastAsia" w:ascii="宋体" w:hAnsi="宋体" w:eastAsia="宋体" w:cs="宋体"/>
                <w:bCs/>
                <w:color w:val="auto"/>
                <w:sz w:val="24"/>
                <w:highlight w:val="none"/>
                <w:lang w:val="en-US" w:eastAsia="zh-CN"/>
              </w:rPr>
              <w:t>按照</w:t>
            </w:r>
            <w:r>
              <w:rPr>
                <w:rFonts w:hint="eastAsia" w:ascii="宋体" w:hAnsi="宋体" w:eastAsia="宋体" w:cs="宋体"/>
                <w:color w:val="auto"/>
                <w:sz w:val="24"/>
                <w:highlight w:val="none"/>
                <w:lang w:eastAsia="zh-CN"/>
              </w:rPr>
              <w:t>政采云平台（https://www.zcygov.cn）</w:t>
            </w:r>
            <w:r>
              <w:rPr>
                <w:rFonts w:hint="eastAsia" w:ascii="宋体" w:hAnsi="宋体" w:eastAsia="宋体" w:cs="宋体"/>
                <w:bCs/>
                <w:color w:val="auto"/>
                <w:sz w:val="24"/>
                <w:highlight w:val="none"/>
                <w:lang w:val="en-US" w:eastAsia="zh-CN"/>
              </w:rPr>
              <w:t>平台自动提取所有供应商的顺序开标。</w:t>
            </w:r>
          </w:p>
        </w:tc>
      </w:tr>
      <w:tr w14:paraId="6DBB4F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63B1D07">
            <w:pPr>
              <w:spacing w:line="440" w:lineRule="exact"/>
              <w:jc w:val="center"/>
              <w:rPr>
                <w:rFonts w:hint="default" w:ascii="宋体" w:hAnsi="宋体" w:eastAsia="宋体" w:cs="宋体"/>
                <w:color w:val="auto"/>
                <w:highlight w:val="none"/>
                <w:lang w:val="en-US" w:eastAsia="zh-CN"/>
              </w:rPr>
            </w:pPr>
            <w:r>
              <w:rPr>
                <w:rFonts w:hint="eastAsia" w:ascii="宋体" w:hAnsi="宋体" w:cs="宋体"/>
                <w:bCs/>
                <w:color w:val="auto"/>
                <w:sz w:val="24"/>
                <w:highlight w:val="none"/>
                <w:lang w:val="en-US" w:eastAsia="zh-CN"/>
              </w:rPr>
              <w:t>31</w:t>
            </w:r>
          </w:p>
        </w:tc>
        <w:tc>
          <w:tcPr>
            <w:tcW w:w="1895" w:type="dxa"/>
            <w:tcBorders>
              <w:top w:val="single" w:color="auto" w:sz="4" w:space="0"/>
              <w:left w:val="single" w:color="auto" w:sz="4" w:space="0"/>
              <w:bottom w:val="single" w:color="auto" w:sz="4" w:space="0"/>
              <w:right w:val="single" w:color="auto" w:sz="4" w:space="0"/>
            </w:tcBorders>
            <w:vAlign w:val="center"/>
          </w:tcPr>
          <w:p w14:paraId="6CF6AB5A">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评审方法</w:t>
            </w:r>
          </w:p>
        </w:tc>
        <w:tc>
          <w:tcPr>
            <w:tcW w:w="6997" w:type="dxa"/>
            <w:tcBorders>
              <w:top w:val="single" w:color="auto" w:sz="4" w:space="0"/>
              <w:left w:val="single" w:color="auto" w:sz="4" w:space="0"/>
              <w:bottom w:val="single" w:color="auto" w:sz="4" w:space="0"/>
              <w:right w:val="single" w:color="auto" w:sz="4" w:space="0"/>
            </w:tcBorders>
            <w:vAlign w:val="center"/>
          </w:tcPr>
          <w:p w14:paraId="43F752E2">
            <w:pPr>
              <w:keepNext w:val="0"/>
              <w:keepLines w:val="0"/>
              <w:pageBreakBefore w:val="0"/>
              <w:kinsoku/>
              <w:wordWrap/>
              <w:overflowPunct/>
              <w:autoSpaceDE/>
              <w:autoSpaceDN/>
              <w:bidi w:val="0"/>
              <w:snapToGrid/>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综合评分法</w:t>
            </w:r>
          </w:p>
        </w:tc>
      </w:tr>
      <w:tr w14:paraId="0311A8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6C74D68C">
            <w:pPr>
              <w:spacing w:line="44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32</w:t>
            </w:r>
          </w:p>
        </w:tc>
        <w:tc>
          <w:tcPr>
            <w:tcW w:w="1895" w:type="dxa"/>
            <w:tcBorders>
              <w:top w:val="single" w:color="auto" w:sz="4" w:space="0"/>
              <w:left w:val="single" w:color="auto" w:sz="4" w:space="0"/>
              <w:bottom w:val="single" w:color="auto" w:sz="4" w:space="0"/>
              <w:right w:val="single" w:color="auto" w:sz="4" w:space="0"/>
            </w:tcBorders>
            <w:vAlign w:val="center"/>
          </w:tcPr>
          <w:p w14:paraId="0D5E32ED">
            <w:pPr>
              <w:pStyle w:val="18"/>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的组建</w:t>
            </w:r>
          </w:p>
        </w:tc>
        <w:tc>
          <w:tcPr>
            <w:tcW w:w="6997" w:type="dxa"/>
            <w:tcBorders>
              <w:top w:val="single" w:color="auto" w:sz="4" w:space="0"/>
              <w:left w:val="single" w:color="auto" w:sz="4" w:space="0"/>
              <w:bottom w:val="single" w:color="auto" w:sz="4" w:space="0"/>
              <w:right w:val="single" w:color="auto" w:sz="4" w:space="0"/>
            </w:tcBorders>
            <w:vAlign w:val="center"/>
          </w:tcPr>
          <w:p w14:paraId="35ECF4C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磋商小组人数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3</w:t>
            </w:r>
            <w:r>
              <w:rPr>
                <w:rFonts w:hint="eastAsia" w:ascii="宋体" w:hAnsi="宋体" w:eastAsia="宋体" w:cs="宋体"/>
                <w:color w:val="auto"/>
                <w:sz w:val="24"/>
                <w:highlight w:val="none"/>
              </w:rPr>
              <w:t>人，其中采购人代表</w:t>
            </w:r>
            <w:r>
              <w:rPr>
                <w:rFonts w:hint="eastAsia" w:ascii="宋体" w:hAnsi="宋体" w:eastAsia="宋体" w:cs="宋体"/>
                <w:color w:val="auto"/>
                <w:sz w:val="24"/>
                <w:highlight w:val="none"/>
                <w:u w:val="single"/>
              </w:rPr>
              <w:t>1</w:t>
            </w:r>
            <w:r>
              <w:rPr>
                <w:rFonts w:hint="eastAsia" w:ascii="宋体" w:hAnsi="宋体" w:eastAsia="宋体" w:cs="宋体"/>
                <w:color w:val="auto"/>
                <w:sz w:val="24"/>
                <w:highlight w:val="none"/>
              </w:rPr>
              <w:t>人，相关专业技术、经济方面专家</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rPr>
              <w:t>人。</w:t>
            </w:r>
          </w:p>
          <w:p w14:paraId="393905CE">
            <w:pPr>
              <w:pStyle w:val="17"/>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确定方式：</w:t>
            </w:r>
            <w:r>
              <w:rPr>
                <w:rFonts w:hint="eastAsia" w:ascii="宋体" w:hAnsi="宋体" w:eastAsia="宋体" w:cs="宋体"/>
                <w:color w:val="auto"/>
                <w:sz w:val="24"/>
                <w:szCs w:val="24"/>
                <w:highlight w:val="none"/>
                <w:u w:val="single"/>
              </w:rPr>
              <w:t>由1名采购人代表和</w:t>
            </w:r>
            <w:r>
              <w:rPr>
                <w:rFonts w:hint="eastAsia" w:ascii="宋体" w:hAnsi="宋体" w:eastAsia="宋体" w:cs="宋体"/>
                <w:color w:val="auto"/>
                <w:sz w:val="24"/>
                <w:szCs w:val="24"/>
                <w:highlight w:val="none"/>
                <w:u w:val="single"/>
                <w:lang w:eastAsia="zh-CN"/>
              </w:rPr>
              <w:t>云南省政府采购网</w:t>
            </w:r>
            <w:r>
              <w:rPr>
                <w:rFonts w:hint="eastAsia" w:ascii="宋体" w:hAnsi="宋体" w:eastAsia="宋体" w:cs="宋体"/>
                <w:color w:val="auto"/>
                <w:sz w:val="24"/>
                <w:szCs w:val="24"/>
                <w:highlight w:val="none"/>
                <w:u w:val="single"/>
              </w:rPr>
              <w:t>评标专家库中抽取的</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名专家组成</w:t>
            </w:r>
            <w:r>
              <w:rPr>
                <w:rFonts w:hint="eastAsia" w:ascii="宋体" w:hAnsi="宋体" w:eastAsia="宋体" w:cs="宋体"/>
                <w:color w:val="auto"/>
                <w:sz w:val="24"/>
                <w:szCs w:val="24"/>
                <w:highlight w:val="none"/>
              </w:rPr>
              <w:t>。</w:t>
            </w:r>
          </w:p>
        </w:tc>
      </w:tr>
      <w:tr w14:paraId="57610C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6AB7DC6">
            <w:pPr>
              <w:spacing w:line="44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33</w:t>
            </w:r>
          </w:p>
        </w:tc>
        <w:tc>
          <w:tcPr>
            <w:tcW w:w="1895" w:type="dxa"/>
            <w:tcBorders>
              <w:top w:val="single" w:color="auto" w:sz="4" w:space="0"/>
              <w:left w:val="single" w:color="auto" w:sz="4" w:space="0"/>
              <w:bottom w:val="single" w:color="auto" w:sz="4" w:space="0"/>
              <w:right w:val="single" w:color="auto" w:sz="4" w:space="0"/>
            </w:tcBorders>
            <w:vAlign w:val="center"/>
          </w:tcPr>
          <w:p w14:paraId="3DBEBC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公示</w:t>
            </w:r>
          </w:p>
        </w:tc>
        <w:tc>
          <w:tcPr>
            <w:tcW w:w="6997" w:type="dxa"/>
            <w:tcBorders>
              <w:top w:val="single" w:color="auto" w:sz="4" w:space="0"/>
              <w:left w:val="single" w:color="auto" w:sz="4" w:space="0"/>
              <w:bottom w:val="single" w:color="auto" w:sz="4" w:space="0"/>
              <w:right w:val="single" w:color="auto" w:sz="4" w:space="0"/>
            </w:tcBorders>
            <w:vAlign w:val="center"/>
          </w:tcPr>
          <w:p w14:paraId="4BB7FE1B">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公告媒介：</w:t>
            </w:r>
            <w:r>
              <w:rPr>
                <w:rFonts w:hint="eastAsia" w:ascii="宋体" w:hAnsi="宋体" w:eastAsia="宋体" w:cs="宋体"/>
                <w:color w:val="auto"/>
                <w:sz w:val="24"/>
                <w:highlight w:val="none"/>
              </w:rPr>
              <w:t>同</w:t>
            </w:r>
            <w:r>
              <w:rPr>
                <w:rFonts w:hint="eastAsia" w:ascii="宋体" w:hAnsi="宋体" w:cs="宋体"/>
                <w:color w:val="auto"/>
                <w:sz w:val="24"/>
                <w:highlight w:val="none"/>
                <w:lang w:val="en-US" w:eastAsia="zh-CN"/>
              </w:rPr>
              <w:t>竞争性磋商公告</w:t>
            </w:r>
            <w:r>
              <w:rPr>
                <w:rFonts w:hint="eastAsia" w:ascii="宋体" w:hAnsi="宋体" w:eastAsia="宋体" w:cs="宋体"/>
                <w:color w:val="auto"/>
                <w:sz w:val="24"/>
                <w:highlight w:val="none"/>
              </w:rPr>
              <w:t>媒介相同</w:t>
            </w:r>
            <w:r>
              <w:rPr>
                <w:rFonts w:hint="eastAsia" w:ascii="宋体" w:hAnsi="宋体" w:eastAsia="宋体" w:cs="宋体"/>
                <w:color w:val="auto"/>
                <w:sz w:val="24"/>
                <w:highlight w:val="none"/>
                <w:lang w:eastAsia="zh-CN"/>
              </w:rPr>
              <w:t>。</w:t>
            </w:r>
          </w:p>
          <w:p w14:paraId="7C2868F0">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公告期限</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1个工作日。</w:t>
            </w:r>
          </w:p>
        </w:tc>
      </w:tr>
      <w:tr w14:paraId="534A04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2CA452D">
            <w:pPr>
              <w:keepNext w:val="0"/>
              <w:keepLines w:val="0"/>
              <w:pageBreakBefore w:val="0"/>
              <w:kinsoku/>
              <w:wordWrap/>
              <w:overflowPunct/>
              <w:autoSpaceDE/>
              <w:autoSpaceDN/>
              <w:bidi w:val="0"/>
              <w:spacing w:line="500" w:lineRule="exact"/>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34</w:t>
            </w:r>
          </w:p>
        </w:tc>
        <w:tc>
          <w:tcPr>
            <w:tcW w:w="1895" w:type="dxa"/>
            <w:tcBorders>
              <w:top w:val="single" w:color="auto" w:sz="4" w:space="0"/>
              <w:left w:val="single" w:color="auto" w:sz="4" w:space="0"/>
              <w:bottom w:val="single" w:color="auto" w:sz="4" w:space="0"/>
              <w:right w:val="single" w:color="auto" w:sz="4" w:space="0"/>
            </w:tcBorders>
            <w:vAlign w:val="center"/>
          </w:tcPr>
          <w:p w14:paraId="48A1B5C1">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highlight w:val="none"/>
                <w:lang w:eastAsia="zh-CN"/>
              </w:rPr>
            </w:pPr>
            <w:r>
              <w:rPr>
                <w:rFonts w:hint="eastAsia" w:ascii="宋体" w:hAnsi="宋体" w:eastAsia="宋体" w:cs="宋体"/>
                <w:bCs/>
                <w:color w:val="auto"/>
                <w:sz w:val="24"/>
                <w:szCs w:val="24"/>
                <w:highlight w:val="none"/>
              </w:rPr>
              <w:t>代理服务费</w:t>
            </w:r>
          </w:p>
        </w:tc>
        <w:tc>
          <w:tcPr>
            <w:tcW w:w="6997" w:type="dxa"/>
            <w:tcBorders>
              <w:top w:val="single" w:color="auto" w:sz="4" w:space="0"/>
              <w:left w:val="single" w:color="auto" w:sz="4" w:space="0"/>
              <w:bottom w:val="single" w:color="auto" w:sz="4" w:space="0"/>
              <w:right w:val="single" w:color="auto" w:sz="4" w:space="0"/>
            </w:tcBorders>
            <w:vAlign w:val="center"/>
          </w:tcPr>
          <w:p w14:paraId="52A4F107">
            <w:pPr>
              <w:keepNext w:val="0"/>
              <w:keepLines w:val="0"/>
              <w:pageBreakBefore w:val="0"/>
              <w:kinsoku/>
              <w:wordWrap/>
              <w:overflowPunct/>
              <w:autoSpaceDE/>
              <w:autoSpaceDN/>
              <w:bidi w:val="0"/>
              <w:snapToGrid/>
              <w:spacing w:line="440" w:lineRule="exact"/>
              <w:jc w:val="left"/>
              <w:rPr>
                <w:rFonts w:hint="eastAsia" w:ascii="宋体" w:hAnsi="宋体" w:eastAsia="宋体" w:cs="宋体"/>
                <w:color w:val="auto"/>
                <w:sz w:val="24"/>
                <w:highlight w:val="none"/>
              </w:rPr>
            </w:pPr>
            <w:r>
              <w:rPr>
                <w:rFonts w:hint="eastAsia" w:ascii="宋体" w:hAnsi="宋体" w:cs="宋体"/>
                <w:bCs/>
                <w:color w:val="auto"/>
                <w:sz w:val="24"/>
                <w:lang w:val="en-US" w:eastAsia="zh-CN"/>
              </w:rPr>
              <w:t>参照</w:t>
            </w:r>
            <w:r>
              <w:rPr>
                <w:rFonts w:hint="eastAsia" w:ascii="宋体" w:hAnsi="宋体" w:eastAsia="宋体" w:cs="宋体"/>
                <w:bCs/>
                <w:color w:val="auto"/>
                <w:sz w:val="24"/>
              </w:rPr>
              <w:t>《云南省建设工程招标投标行业协会关于印发〈云南省建设工程招标代理服务收费</w:t>
            </w:r>
            <w:r>
              <w:rPr>
                <w:rFonts w:hint="eastAsia" w:ascii="宋体" w:hAnsi="宋体" w:eastAsia="宋体" w:cs="宋体"/>
                <w:bCs/>
                <w:color w:val="auto"/>
                <w:sz w:val="24"/>
                <w:lang w:val="en-US" w:eastAsia="zh-CN"/>
              </w:rPr>
              <w:t>参考意见</w:t>
            </w:r>
            <w:r>
              <w:rPr>
                <w:rFonts w:hint="eastAsia" w:ascii="宋体" w:hAnsi="宋体" w:eastAsia="宋体" w:cs="宋体"/>
                <w:bCs/>
                <w:color w:val="auto"/>
                <w:sz w:val="24"/>
              </w:rPr>
              <w:t>》</w:t>
            </w:r>
            <w:r>
              <w:rPr>
                <w:rFonts w:hint="eastAsia" w:ascii="宋体" w:hAnsi="宋体" w:eastAsia="宋体" w:cs="宋体"/>
                <w:bCs/>
                <w:color w:val="auto"/>
                <w:sz w:val="24"/>
                <w:lang w:eastAsia="zh-CN"/>
              </w:rPr>
              <w:t>的</w:t>
            </w:r>
            <w:r>
              <w:rPr>
                <w:rFonts w:hint="eastAsia" w:ascii="宋体" w:hAnsi="宋体" w:eastAsia="宋体" w:cs="宋体"/>
                <w:bCs/>
                <w:color w:val="auto"/>
                <w:sz w:val="24"/>
                <w:lang w:val="en-US" w:eastAsia="zh-CN"/>
              </w:rPr>
              <w:t>通知</w:t>
            </w:r>
            <w:r>
              <w:rPr>
                <w:rFonts w:hint="eastAsia" w:ascii="宋体" w:hAnsi="宋体" w:eastAsia="宋体" w:cs="宋体"/>
                <w:bCs/>
                <w:color w:val="auto"/>
                <w:sz w:val="24"/>
              </w:rPr>
              <w:t>（云建招协〔</w:t>
            </w:r>
            <w:r>
              <w:rPr>
                <w:rFonts w:hint="eastAsia" w:ascii="宋体" w:hAnsi="宋体" w:eastAsia="宋体" w:cs="宋体"/>
                <w:bCs/>
                <w:color w:val="auto"/>
                <w:sz w:val="24"/>
                <w:lang w:val="en-US" w:eastAsia="zh-CN"/>
              </w:rPr>
              <w:t>2024</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58</w:t>
            </w:r>
            <w:r>
              <w:rPr>
                <w:rFonts w:hint="eastAsia" w:ascii="宋体" w:hAnsi="宋体" w:eastAsia="宋体" w:cs="宋体"/>
                <w:bCs/>
                <w:color w:val="auto"/>
                <w:sz w:val="24"/>
              </w:rPr>
              <w:t>号）的收费标准计算，招标代理服务费让利下</w:t>
            </w:r>
            <w:r>
              <w:rPr>
                <w:rFonts w:hint="eastAsia" w:ascii="宋体" w:hAnsi="宋体" w:eastAsia="宋体" w:cs="宋体"/>
                <w:bCs/>
                <w:color w:val="000000" w:themeColor="text1"/>
                <w:sz w:val="24"/>
                <w14:textFill>
                  <w14:solidFill>
                    <w14:schemeClr w14:val="tx1"/>
                  </w14:solidFill>
                </w14:textFill>
              </w:rPr>
              <w:t>浮</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lang w:val="en-US" w:eastAsia="zh-CN"/>
                <w14:textFill>
                  <w14:solidFill>
                    <w14:schemeClr w14:val="tx1"/>
                  </w14:solidFill>
                </w14:textFill>
              </w:rPr>
              <w:t>10</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w:t>
            </w:r>
            <w:r>
              <w:rPr>
                <w:rFonts w:hint="eastAsia" w:ascii="宋体" w:hAnsi="宋体" w:eastAsia="宋体" w:cs="宋体"/>
                <w:bCs/>
                <w:color w:val="000000" w:themeColor="text1"/>
                <w:sz w:val="24"/>
                <w:lang w:eastAsia="zh-CN"/>
                <w14:textFill>
                  <w14:solidFill>
                    <w14:schemeClr w14:val="tx1"/>
                  </w14:solidFill>
                </w14:textFill>
              </w:rPr>
              <w:t>，</w:t>
            </w:r>
            <w:r>
              <w:rPr>
                <w:rFonts w:hint="eastAsia" w:ascii="宋体" w:hAnsi="宋体" w:eastAsia="宋体" w:cs="宋体"/>
                <w:bCs/>
                <w:color w:val="000000" w:themeColor="text1"/>
                <w:sz w:val="24"/>
                <w:lang w:val="en-US" w:eastAsia="zh-CN"/>
                <w14:textFill>
                  <w14:solidFill>
                    <w14:schemeClr w14:val="tx1"/>
                  </w14:solidFill>
                </w14:textFill>
              </w:rPr>
              <w:t>代</w:t>
            </w:r>
            <w:r>
              <w:rPr>
                <w:rFonts w:hint="eastAsia" w:ascii="宋体" w:hAnsi="宋体" w:eastAsia="宋体" w:cs="宋体"/>
                <w:bCs/>
                <w:color w:val="auto"/>
                <w:sz w:val="24"/>
                <w:lang w:val="en-US" w:eastAsia="zh-CN"/>
              </w:rPr>
              <w:t>理服务费由中标人支付。</w:t>
            </w:r>
          </w:p>
        </w:tc>
      </w:tr>
      <w:tr w14:paraId="38D7CD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4"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6570549F">
            <w:pPr>
              <w:spacing w:line="3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35</w:t>
            </w:r>
          </w:p>
        </w:tc>
        <w:tc>
          <w:tcPr>
            <w:tcW w:w="8892" w:type="dxa"/>
            <w:gridSpan w:val="2"/>
            <w:tcBorders>
              <w:top w:val="single" w:color="auto" w:sz="4" w:space="0"/>
              <w:left w:val="single" w:color="auto" w:sz="4" w:space="0"/>
              <w:bottom w:val="single" w:color="auto" w:sz="4" w:space="0"/>
              <w:right w:val="single" w:color="auto" w:sz="4" w:space="0"/>
            </w:tcBorders>
            <w:vAlign w:val="center"/>
          </w:tcPr>
          <w:p w14:paraId="578B6BEE">
            <w:pPr>
              <w:pStyle w:val="13"/>
              <w:topLinePunct/>
              <w:spacing w:line="38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需要补充的其他内容</w:t>
            </w:r>
          </w:p>
        </w:tc>
      </w:tr>
      <w:tr w14:paraId="76B455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3"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57DFC865">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1895" w:type="dxa"/>
            <w:tcBorders>
              <w:top w:val="single" w:color="auto" w:sz="4" w:space="0"/>
              <w:left w:val="single" w:color="auto" w:sz="4" w:space="0"/>
              <w:bottom w:val="single" w:color="auto" w:sz="4" w:space="0"/>
              <w:right w:val="single" w:color="auto" w:sz="4" w:space="0"/>
            </w:tcBorders>
            <w:vAlign w:val="center"/>
          </w:tcPr>
          <w:p w14:paraId="64426E72">
            <w:pPr>
              <w:pStyle w:val="17"/>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技术支持</w:t>
            </w:r>
          </w:p>
        </w:tc>
        <w:tc>
          <w:tcPr>
            <w:tcW w:w="6997" w:type="dxa"/>
            <w:tcBorders>
              <w:top w:val="single" w:color="auto" w:sz="4" w:space="0"/>
              <w:left w:val="single" w:color="auto" w:sz="4" w:space="0"/>
              <w:bottom w:val="single" w:color="auto" w:sz="4" w:space="0"/>
              <w:right w:val="single" w:color="auto" w:sz="4" w:space="0"/>
            </w:tcBorders>
            <w:vAlign w:val="center"/>
          </w:tcPr>
          <w:p w14:paraId="76B56BE1">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000000" w:themeColor="text1"/>
                <w:sz w:val="24"/>
                <w:highlight w:val="none"/>
                <w:lang w:val="zh-CN"/>
                <w14:textFill>
                  <w14:solidFill>
                    <w14:schemeClr w14:val="tx1"/>
                  </w14:solidFill>
                </w14:textFill>
              </w:rPr>
              <w:t>若 对 项 目 采 购 电 子 交 易 系 统 操 作 有 疑 问 ， 可 登 录 “ 政 采 云 ” 平 台（https://www.zcygov.cn/），点击右侧咨询小采，获取采小蜜智能服务管家帮助，或拨打政采云服务热线 95763 获取热线服务帮助（服务时间：工作日8：00-20：00）。</w:t>
            </w:r>
          </w:p>
        </w:tc>
      </w:tr>
      <w:tr w14:paraId="7CA47C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34CBA4D6">
            <w:pPr>
              <w:spacing w:line="40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1895" w:type="dxa"/>
            <w:tcBorders>
              <w:top w:val="single" w:color="auto" w:sz="4" w:space="0"/>
              <w:left w:val="single" w:color="auto" w:sz="4" w:space="0"/>
              <w:bottom w:val="single" w:color="auto" w:sz="4" w:space="0"/>
              <w:right w:val="single" w:color="auto" w:sz="4" w:space="0"/>
            </w:tcBorders>
            <w:vAlign w:val="center"/>
          </w:tcPr>
          <w:p w14:paraId="507AA6CA">
            <w:pPr>
              <w:pStyle w:val="17"/>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采购标的对应的中小企业划分标准所属行业</w:t>
            </w:r>
          </w:p>
        </w:tc>
        <w:tc>
          <w:tcPr>
            <w:tcW w:w="6997" w:type="dxa"/>
            <w:tcBorders>
              <w:top w:val="single" w:color="auto" w:sz="4" w:space="0"/>
              <w:left w:val="single" w:color="auto" w:sz="4" w:space="0"/>
              <w:bottom w:val="single" w:color="auto" w:sz="4" w:space="0"/>
              <w:right w:val="single" w:color="auto" w:sz="4" w:space="0"/>
            </w:tcBorders>
            <w:vAlign w:val="center"/>
          </w:tcPr>
          <w:p w14:paraId="6A0F07D0">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标的名称：景洪市第四中学行政楼、主教学楼及学生宿舍楼修缮建设项目。</w:t>
            </w:r>
          </w:p>
          <w:p w14:paraId="54762B6D">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本项目对应的中小企业划分标准所属行业为</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lang w:val="en-US" w:eastAsia="zh-CN"/>
              </w:rPr>
              <w:t>建筑业</w:t>
            </w:r>
            <w:r>
              <w:rPr>
                <w:rFonts w:hint="eastAsia" w:ascii="宋体" w:hAnsi="宋体" w:eastAsia="宋体" w:cs="宋体"/>
                <w:b/>
                <w:bCs/>
                <w:color w:val="auto"/>
                <w:sz w:val="24"/>
                <w:szCs w:val="24"/>
                <w:highlight w:val="none"/>
                <w:lang w:val="zh-CN"/>
              </w:rPr>
              <w:t>”</w:t>
            </w:r>
            <w:r>
              <w:rPr>
                <w:rFonts w:hint="eastAsia" w:ascii="宋体" w:hAnsi="宋体" w:eastAsia="宋体" w:cs="宋体"/>
                <w:color w:val="auto"/>
                <w:sz w:val="24"/>
                <w:szCs w:val="24"/>
                <w:highlight w:val="none"/>
                <w:lang w:val="zh-CN"/>
              </w:rPr>
              <w:t>。</w:t>
            </w:r>
          </w:p>
          <w:p w14:paraId="2A01BD77">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根据营业收入、资产总额等指标确定，具体详见《关于印发中小企业划型标准规定的通知》（工信部联企业〔2011〕300 号）文件。</w:t>
            </w:r>
          </w:p>
          <w:p w14:paraId="099D5332">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highlight w:val="none"/>
                <w:lang w:eastAsia="zh-CN"/>
              </w:rPr>
              <w:t>建筑业：</w:t>
            </w:r>
            <w:r>
              <w:rPr>
                <w:rFonts w:hint="eastAsia" w:ascii="宋体" w:hAnsi="宋体" w:eastAsia="宋体" w:cs="宋体"/>
                <w:color w:val="auto"/>
                <w:sz w:val="24"/>
                <w:highlight w:val="none"/>
                <w:lang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039E0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926B4F6">
            <w:pPr>
              <w:spacing w:line="44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lang w:val="en-US" w:eastAsia="zh-CN"/>
              </w:rPr>
              <w:t>）</w:t>
            </w:r>
          </w:p>
        </w:tc>
        <w:tc>
          <w:tcPr>
            <w:tcW w:w="1895" w:type="dxa"/>
            <w:tcBorders>
              <w:top w:val="single" w:color="auto" w:sz="4" w:space="0"/>
              <w:left w:val="single" w:color="auto" w:sz="4" w:space="0"/>
              <w:bottom w:val="single" w:color="auto" w:sz="4" w:space="0"/>
              <w:right w:val="single" w:color="auto" w:sz="4" w:space="0"/>
            </w:tcBorders>
            <w:vAlign w:val="center"/>
          </w:tcPr>
          <w:p w14:paraId="58C71C65">
            <w:pPr>
              <w:pStyle w:val="17"/>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投标费用</w:t>
            </w:r>
          </w:p>
        </w:tc>
        <w:tc>
          <w:tcPr>
            <w:tcW w:w="6997" w:type="dxa"/>
            <w:tcBorders>
              <w:top w:val="single" w:color="auto" w:sz="4" w:space="0"/>
              <w:left w:val="single" w:color="auto" w:sz="4" w:space="0"/>
              <w:bottom w:val="single" w:color="auto" w:sz="4" w:space="0"/>
              <w:right w:val="single" w:color="auto" w:sz="4" w:space="0"/>
            </w:tcBorders>
            <w:vAlign w:val="center"/>
          </w:tcPr>
          <w:p w14:paraId="53D73B45">
            <w:pPr>
              <w:pStyle w:val="17"/>
              <w:keepNext w:val="0"/>
              <w:keepLines w:val="0"/>
              <w:pageBreakBefore w:val="0"/>
              <w:kinsoku/>
              <w:wordWrap/>
              <w:overflowPunct/>
              <w:autoSpaceDE/>
              <w:autoSpaceDN/>
              <w:bidi w:val="0"/>
              <w:snapToGrid/>
              <w:spacing w:line="480" w:lineRule="exact"/>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不论投标结果如何，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均应自行承担所有关与编写和提交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有关的全部费用。</w:t>
            </w:r>
          </w:p>
        </w:tc>
      </w:tr>
      <w:tr w14:paraId="2DF3C9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2"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3522C914">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w:t>
            </w:r>
          </w:p>
        </w:tc>
        <w:tc>
          <w:tcPr>
            <w:tcW w:w="1895" w:type="dxa"/>
            <w:tcBorders>
              <w:top w:val="single" w:color="auto" w:sz="4" w:space="0"/>
              <w:left w:val="single" w:color="auto" w:sz="4" w:space="0"/>
              <w:bottom w:val="single" w:color="auto" w:sz="4" w:space="0"/>
              <w:right w:val="single" w:color="auto" w:sz="4" w:space="0"/>
            </w:tcBorders>
            <w:vAlign w:val="center"/>
          </w:tcPr>
          <w:p w14:paraId="6BF9E0E9">
            <w:pPr>
              <w:pStyle w:val="17"/>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细微偏差澄清</w:t>
            </w:r>
          </w:p>
        </w:tc>
        <w:tc>
          <w:tcPr>
            <w:tcW w:w="6997" w:type="dxa"/>
            <w:tcBorders>
              <w:top w:val="single" w:color="auto" w:sz="4" w:space="0"/>
              <w:left w:val="single" w:color="auto" w:sz="4" w:space="0"/>
              <w:bottom w:val="single" w:color="auto" w:sz="4" w:space="0"/>
              <w:right w:val="single" w:color="auto" w:sz="4" w:space="0"/>
            </w:tcBorders>
            <w:vAlign w:val="center"/>
          </w:tcPr>
          <w:p w14:paraId="4E6828D9">
            <w:pPr>
              <w:pStyle w:val="17"/>
              <w:keepNext w:val="0"/>
              <w:keepLines w:val="0"/>
              <w:pageBreakBefore w:val="0"/>
              <w:kinsoku/>
              <w:wordWrap/>
              <w:overflowPunct/>
              <w:autoSpaceDE/>
              <w:autoSpaceDN/>
              <w:bidi w:val="0"/>
              <w:snapToGrid/>
              <w:spacing w:line="48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采购人将以书面方式要求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中的细微偏差内容作为必要的澄清或补正。对此，</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不得拒绝。澄清或补正应以书面方式进行并不得超过</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的范围或改变</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实质内容。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的澄清或补正内容将作为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的组成部分。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拒不按照要求对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进行澄清或补正的，采购人将按否决投标处理，并没收其投标担保。采购人不接受</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主动提出的澄清或补正。</w:t>
            </w:r>
          </w:p>
        </w:tc>
      </w:tr>
      <w:tr w14:paraId="2302A7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6"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ED827C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w:t>
            </w:r>
          </w:p>
        </w:tc>
        <w:tc>
          <w:tcPr>
            <w:tcW w:w="1895" w:type="dxa"/>
            <w:tcBorders>
              <w:top w:val="single" w:color="auto" w:sz="4" w:space="0"/>
              <w:left w:val="single" w:color="auto" w:sz="4" w:space="0"/>
              <w:bottom w:val="single" w:color="auto" w:sz="4" w:space="0"/>
              <w:right w:val="single" w:color="auto" w:sz="4" w:space="0"/>
            </w:tcBorders>
            <w:vAlign w:val="center"/>
          </w:tcPr>
          <w:p w14:paraId="59763ECE">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评审实质性要求和条件</w:t>
            </w:r>
          </w:p>
        </w:tc>
        <w:tc>
          <w:tcPr>
            <w:tcW w:w="6997" w:type="dxa"/>
            <w:tcBorders>
              <w:top w:val="single" w:color="auto" w:sz="4" w:space="0"/>
              <w:left w:val="single" w:color="auto" w:sz="4" w:space="0"/>
              <w:bottom w:val="single" w:color="auto" w:sz="4" w:space="0"/>
              <w:right w:val="single" w:color="auto" w:sz="4" w:space="0"/>
            </w:tcBorders>
            <w:vAlign w:val="center"/>
          </w:tcPr>
          <w:p w14:paraId="3A9B4DFE">
            <w:pPr>
              <w:keepNext w:val="0"/>
              <w:keepLines w:val="0"/>
              <w:pageBreakBefore w:val="0"/>
              <w:kinsoku/>
              <w:wordWrap/>
              <w:overflowPunct/>
              <w:autoSpaceDE/>
              <w:autoSpaceDN/>
              <w:bidi w:val="0"/>
              <w:snapToGrid/>
              <w:spacing w:line="48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具体内容：</w:t>
            </w:r>
          </w:p>
          <w:p w14:paraId="188DAE3A">
            <w:pPr>
              <w:keepNext w:val="0"/>
              <w:keepLines w:val="0"/>
              <w:pageBreakBefore w:val="0"/>
              <w:kinsoku/>
              <w:wordWrap/>
              <w:overflowPunct/>
              <w:autoSpaceDE/>
              <w:autoSpaceDN/>
              <w:bidi w:val="0"/>
              <w:snapToGrid/>
              <w:spacing w:line="48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资格条件</w:t>
            </w:r>
          </w:p>
          <w:p w14:paraId="7D133D94">
            <w:pPr>
              <w:keepNext w:val="0"/>
              <w:keepLines w:val="0"/>
              <w:pageBreakBefore w:val="0"/>
              <w:kinsoku/>
              <w:wordWrap/>
              <w:overflowPunct/>
              <w:autoSpaceDE/>
              <w:autoSpaceDN/>
              <w:bidi w:val="0"/>
              <w:snapToGrid/>
              <w:spacing w:line="48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签署和盖章要求</w:t>
            </w:r>
          </w:p>
          <w:p w14:paraId="136097C4">
            <w:pPr>
              <w:keepNext w:val="0"/>
              <w:keepLines w:val="0"/>
              <w:pageBreakBefore w:val="0"/>
              <w:kinsoku/>
              <w:wordWrap/>
              <w:overflowPunct/>
              <w:autoSpaceDE/>
              <w:autoSpaceDN/>
              <w:bidi w:val="0"/>
              <w:snapToGrid/>
              <w:spacing w:line="48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3)投标保证金缴纳要求</w:t>
            </w:r>
          </w:p>
          <w:p w14:paraId="44EB4AF2">
            <w:pPr>
              <w:keepNext w:val="0"/>
              <w:keepLines w:val="0"/>
              <w:pageBreakBefore w:val="0"/>
              <w:kinsoku/>
              <w:wordWrap/>
              <w:overflowPunct/>
              <w:autoSpaceDE/>
              <w:autoSpaceDN/>
              <w:bidi w:val="0"/>
              <w:snapToGrid/>
              <w:spacing w:line="48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4)投标报价要求</w:t>
            </w:r>
          </w:p>
          <w:p w14:paraId="49B89113">
            <w:pPr>
              <w:keepNext w:val="0"/>
              <w:keepLines w:val="0"/>
              <w:pageBreakBefore w:val="0"/>
              <w:kinsoku/>
              <w:wordWrap/>
              <w:overflowPunct/>
              <w:autoSpaceDE/>
              <w:autoSpaceDN/>
              <w:bidi w:val="0"/>
              <w:snapToGrid/>
              <w:spacing w:line="48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格式要求</w:t>
            </w:r>
          </w:p>
          <w:p w14:paraId="72EFFBEA">
            <w:pPr>
              <w:keepNext w:val="0"/>
              <w:keepLines w:val="0"/>
              <w:pageBreakBefore w:val="0"/>
              <w:kinsoku/>
              <w:wordWrap/>
              <w:overflowPunct/>
              <w:autoSpaceDE/>
              <w:autoSpaceDN/>
              <w:bidi w:val="0"/>
              <w:snapToGrid/>
              <w:spacing w:line="480" w:lineRule="exact"/>
              <w:jc w:val="lef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6)</w:t>
            </w:r>
            <w:r>
              <w:rPr>
                <w:rFonts w:hint="eastAsia" w:ascii="宋体" w:hAnsi="宋体" w:eastAsia="宋体" w:cs="宋体"/>
                <w:bCs/>
                <w:color w:val="auto"/>
                <w:sz w:val="24"/>
                <w:highlight w:val="none"/>
                <w:lang w:eastAsia="zh-CN"/>
              </w:rPr>
              <w:t>竞争性磋商文件</w:t>
            </w:r>
            <w:r>
              <w:rPr>
                <w:rFonts w:hint="eastAsia" w:ascii="宋体" w:hAnsi="宋体" w:eastAsia="宋体" w:cs="宋体"/>
                <w:bCs/>
                <w:color w:val="auto"/>
                <w:sz w:val="24"/>
                <w:highlight w:val="none"/>
              </w:rPr>
              <w:t>要求</w:t>
            </w:r>
            <w:r>
              <w:rPr>
                <w:rFonts w:hint="eastAsia" w:ascii="宋体" w:hAnsi="宋体" w:eastAsia="宋体" w:cs="宋体"/>
                <w:bCs/>
                <w:color w:val="auto"/>
                <w:sz w:val="24"/>
                <w:highlight w:val="none"/>
                <w:lang w:eastAsia="zh-CN"/>
              </w:rPr>
              <w:t>的承诺书及</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rPr>
              <w:t>提交的材料</w:t>
            </w:r>
          </w:p>
        </w:tc>
      </w:tr>
      <w:tr w14:paraId="7C76FA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656406CF">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w:t>
            </w:r>
          </w:p>
        </w:tc>
        <w:tc>
          <w:tcPr>
            <w:tcW w:w="1895" w:type="dxa"/>
            <w:tcBorders>
              <w:top w:val="single" w:color="auto" w:sz="4" w:space="0"/>
              <w:left w:val="single" w:color="auto" w:sz="4" w:space="0"/>
              <w:bottom w:val="single" w:color="auto" w:sz="4" w:space="0"/>
              <w:right w:val="single" w:color="auto" w:sz="4" w:space="0"/>
            </w:tcBorders>
            <w:vAlign w:val="center"/>
          </w:tcPr>
          <w:p w14:paraId="2BE92D2B">
            <w:pPr>
              <w:pStyle w:val="17"/>
              <w:spacing w:line="480" w:lineRule="exact"/>
              <w:jc w:val="center"/>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实质性要求</w:t>
            </w:r>
          </w:p>
        </w:tc>
        <w:tc>
          <w:tcPr>
            <w:tcW w:w="6997" w:type="dxa"/>
            <w:tcBorders>
              <w:top w:val="single" w:color="auto" w:sz="4" w:space="0"/>
              <w:left w:val="single" w:color="auto" w:sz="4" w:space="0"/>
              <w:bottom w:val="single" w:color="auto" w:sz="4" w:space="0"/>
              <w:right w:val="single" w:color="auto" w:sz="4" w:space="0"/>
            </w:tcBorders>
            <w:vAlign w:val="center"/>
          </w:tcPr>
          <w:p w14:paraId="286C28BA">
            <w:pPr>
              <w:pStyle w:val="17"/>
              <w:spacing w:line="480" w:lineRule="exact"/>
              <w:jc w:val="left"/>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是指本</w:t>
            </w:r>
            <w:r>
              <w:rPr>
                <w:rFonts w:hint="eastAsia" w:ascii="宋体" w:hAnsi="宋体" w:eastAsia="宋体" w:cs="宋体"/>
                <w:color w:val="auto"/>
                <w:sz w:val="24"/>
                <w:szCs w:val="24"/>
                <w:highlight w:val="none"/>
                <w:lang w:val="en-US" w:eastAsia="zh-CN"/>
              </w:rPr>
              <w:t>竞争性磋商文件</w:t>
            </w:r>
            <w:r>
              <w:rPr>
                <w:rFonts w:hint="eastAsia" w:ascii="宋体" w:hAnsi="宋体" w:eastAsia="宋体" w:cs="宋体"/>
                <w:color w:val="auto"/>
                <w:sz w:val="24"/>
                <w:szCs w:val="24"/>
                <w:highlight w:val="none"/>
              </w:rPr>
              <w:t>中对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所提出的相关要求。</w:t>
            </w:r>
          </w:p>
        </w:tc>
      </w:tr>
      <w:tr w14:paraId="334D23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2"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12F35EEB">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w:t>
            </w:r>
          </w:p>
        </w:tc>
        <w:tc>
          <w:tcPr>
            <w:tcW w:w="1895" w:type="dxa"/>
            <w:tcBorders>
              <w:top w:val="single" w:color="auto" w:sz="4" w:space="0"/>
              <w:left w:val="single" w:color="auto" w:sz="4" w:space="0"/>
              <w:bottom w:val="single" w:color="auto" w:sz="4" w:space="0"/>
              <w:right w:val="single" w:color="auto" w:sz="4" w:space="0"/>
            </w:tcBorders>
            <w:vAlign w:val="center"/>
          </w:tcPr>
          <w:p w14:paraId="401083AD">
            <w:pPr>
              <w:pStyle w:val="17"/>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词义解释</w:t>
            </w:r>
          </w:p>
        </w:tc>
        <w:tc>
          <w:tcPr>
            <w:tcW w:w="6997" w:type="dxa"/>
            <w:tcBorders>
              <w:top w:val="single" w:color="auto" w:sz="4" w:space="0"/>
              <w:left w:val="single" w:color="auto" w:sz="4" w:space="0"/>
              <w:bottom w:val="single" w:color="auto" w:sz="4" w:space="0"/>
              <w:right w:val="single" w:color="auto" w:sz="4" w:space="0"/>
            </w:tcBorders>
            <w:vAlign w:val="center"/>
          </w:tcPr>
          <w:p w14:paraId="331B6C42">
            <w:pPr>
              <w:pStyle w:val="17"/>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文件上下文中出现的</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、采购人等均指：采购人；</w:t>
            </w:r>
          </w:p>
          <w:p w14:paraId="0A3AFCAF">
            <w:pPr>
              <w:pStyle w:val="17"/>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文件上下文中出现的</w:t>
            </w:r>
            <w:r>
              <w:rPr>
                <w:rFonts w:hint="eastAsia" w:ascii="宋体" w:hAnsi="宋体" w:eastAsia="宋体" w:cs="宋体"/>
                <w:color w:val="auto"/>
                <w:sz w:val="24"/>
                <w:szCs w:val="24"/>
                <w:highlight w:val="none"/>
                <w:lang w:eastAsia="zh-CN"/>
              </w:rPr>
              <w:t>招标代理机构</w:t>
            </w:r>
            <w:r>
              <w:rPr>
                <w:rFonts w:hint="eastAsia" w:ascii="宋体" w:hAnsi="宋体" w:eastAsia="宋体" w:cs="宋体"/>
                <w:color w:val="auto"/>
                <w:sz w:val="24"/>
                <w:szCs w:val="24"/>
                <w:highlight w:val="none"/>
              </w:rPr>
              <w:t>、采购代理机构均指：采购代理机构</w:t>
            </w:r>
            <w:r>
              <w:rPr>
                <w:rFonts w:hint="eastAsia" w:ascii="宋体" w:hAnsi="宋体" w:eastAsia="宋体" w:cs="宋体"/>
                <w:color w:val="auto"/>
                <w:sz w:val="24"/>
                <w:szCs w:val="24"/>
                <w:highlight w:val="none"/>
                <w:lang w:eastAsia="zh-CN"/>
              </w:rPr>
              <w:t>。</w:t>
            </w:r>
          </w:p>
          <w:p w14:paraId="047BD06A">
            <w:pPr>
              <w:pStyle w:val="17"/>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文件上下文中出现的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、供应商、竞标人等均指：</w:t>
            </w:r>
            <w:r>
              <w:rPr>
                <w:rFonts w:hint="eastAsia" w:ascii="宋体" w:hAnsi="宋体" w:eastAsia="宋体" w:cs="宋体"/>
                <w:color w:val="auto"/>
                <w:sz w:val="24"/>
                <w:szCs w:val="24"/>
                <w:highlight w:val="none"/>
                <w:lang w:eastAsia="zh-CN"/>
              </w:rPr>
              <w:t>供应商。</w:t>
            </w:r>
          </w:p>
        </w:tc>
      </w:tr>
    </w:tbl>
    <w:p w14:paraId="4986DC68">
      <w:pPr>
        <w:spacing w:before="468" w:beforeLines="150" w:line="600" w:lineRule="exact"/>
        <w:jc w:val="center"/>
        <w:rPr>
          <w:rFonts w:hint="eastAsia" w:ascii="宋体" w:hAnsi="宋体" w:eastAsia="宋体" w:cs="宋体"/>
          <w:b/>
          <w:bCs/>
          <w:color w:val="auto"/>
          <w:spacing w:val="14"/>
          <w:sz w:val="30"/>
          <w:szCs w:val="30"/>
          <w:highlight w:val="none"/>
          <w:lang w:val="en-US" w:eastAsia="zh-CN"/>
        </w:rPr>
      </w:pPr>
    </w:p>
    <w:p w14:paraId="21081225">
      <w:pPr>
        <w:spacing w:before="468" w:beforeLines="150" w:line="600" w:lineRule="exact"/>
        <w:jc w:val="center"/>
        <w:rPr>
          <w:rFonts w:hint="eastAsia" w:ascii="宋体" w:hAnsi="宋体" w:eastAsia="宋体" w:cs="宋体"/>
          <w:b/>
          <w:bCs/>
          <w:color w:val="auto"/>
          <w:spacing w:val="14"/>
          <w:sz w:val="30"/>
          <w:szCs w:val="30"/>
          <w:highlight w:val="none"/>
          <w:lang w:val="en-US" w:eastAsia="zh-CN"/>
        </w:rPr>
      </w:pPr>
    </w:p>
    <w:p w14:paraId="68DC426F">
      <w:pPr>
        <w:spacing w:before="468" w:beforeLines="150" w:line="600" w:lineRule="exact"/>
        <w:jc w:val="center"/>
        <w:rPr>
          <w:rFonts w:hint="eastAsia" w:ascii="宋体" w:hAnsi="宋体" w:eastAsia="宋体" w:cs="宋体"/>
          <w:b/>
          <w:bCs/>
          <w:color w:val="auto"/>
          <w:spacing w:val="14"/>
          <w:sz w:val="30"/>
          <w:szCs w:val="30"/>
          <w:highlight w:val="none"/>
        </w:rPr>
      </w:pPr>
      <w:r>
        <w:rPr>
          <w:rFonts w:hint="eastAsia" w:ascii="宋体" w:hAnsi="宋体" w:eastAsia="宋体" w:cs="宋体"/>
          <w:b/>
          <w:bCs/>
          <w:color w:val="auto"/>
          <w:spacing w:val="14"/>
          <w:sz w:val="30"/>
          <w:szCs w:val="30"/>
          <w:highlight w:val="none"/>
          <w:lang w:val="en-US" w:eastAsia="zh-CN"/>
        </w:rPr>
        <w:t>供应商</w:t>
      </w:r>
      <w:r>
        <w:rPr>
          <w:rFonts w:hint="eastAsia" w:ascii="宋体" w:hAnsi="宋体" w:eastAsia="宋体" w:cs="宋体"/>
          <w:b/>
          <w:bCs/>
          <w:color w:val="auto"/>
          <w:spacing w:val="14"/>
          <w:sz w:val="30"/>
          <w:szCs w:val="30"/>
          <w:highlight w:val="none"/>
        </w:rPr>
        <w:t>须知</w:t>
      </w:r>
    </w:p>
    <w:p w14:paraId="718BB8AE">
      <w:pPr>
        <w:pStyle w:val="5"/>
        <w:pageBreakBefore w:val="0"/>
        <w:widowControl/>
        <w:tabs>
          <w:tab w:val="left" w:pos="576"/>
        </w:tabs>
        <w:kinsoku/>
        <w:wordWrap/>
        <w:overflowPunct/>
        <w:topLinePunct w:val="0"/>
        <w:autoSpaceDE/>
        <w:autoSpaceDN/>
        <w:bidi w:val="0"/>
        <w:adjustRightInd/>
        <w:snapToGrid/>
        <w:spacing w:before="0" w:after="0" w:line="600" w:lineRule="exact"/>
        <w:ind w:right="15" w:rightChars="7"/>
        <w:textAlignment w:val="auto"/>
        <w:outlineLvl w:val="1"/>
        <w:rPr>
          <w:rFonts w:hint="eastAsia" w:ascii="宋体" w:hAnsi="宋体" w:eastAsia="宋体" w:cs="宋体"/>
          <w:color w:val="auto"/>
          <w:sz w:val="28"/>
          <w:szCs w:val="28"/>
          <w:highlight w:val="none"/>
          <w:lang w:val="zh-CN"/>
        </w:rPr>
      </w:pPr>
      <w:bookmarkStart w:id="94" w:name="_Toc13775"/>
      <w:bookmarkStart w:id="95" w:name="_Toc280780634"/>
      <w:bookmarkStart w:id="96" w:name="_Toc14113"/>
      <w:bookmarkStart w:id="97" w:name="_Toc10263"/>
      <w:r>
        <w:rPr>
          <w:rFonts w:hint="eastAsia" w:ascii="宋体" w:hAnsi="宋体" w:eastAsia="宋体" w:cs="宋体"/>
          <w:color w:val="auto"/>
          <w:sz w:val="28"/>
          <w:szCs w:val="28"/>
          <w:highlight w:val="none"/>
          <w:lang w:val="zh-CN"/>
        </w:rPr>
        <w:t>一、总</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则</w:t>
      </w:r>
      <w:bookmarkEnd w:id="94"/>
      <w:bookmarkEnd w:id="95"/>
      <w:bookmarkEnd w:id="96"/>
      <w:bookmarkEnd w:id="97"/>
    </w:p>
    <w:p w14:paraId="4126BAA9">
      <w:pPr>
        <w:pageBreakBefore w:val="0"/>
        <w:kinsoku/>
        <w:wordWrap/>
        <w:overflowPunct/>
        <w:topLinePunct w:val="0"/>
        <w:autoSpaceDE/>
        <w:autoSpaceDN/>
        <w:bidi w:val="0"/>
        <w:adjustRightInd/>
        <w:snapToGrid/>
        <w:spacing w:line="580" w:lineRule="exact"/>
        <w:ind w:right="15" w:rightChars="7"/>
        <w:textAlignment w:val="auto"/>
        <w:rPr>
          <w:rFonts w:hint="eastAsia" w:ascii="宋体" w:hAnsi="宋体" w:eastAsia="宋体" w:cs="宋体"/>
          <w:b/>
          <w:bCs/>
          <w:color w:val="auto"/>
          <w:kern w:val="1"/>
          <w:sz w:val="24"/>
          <w:highlight w:val="none"/>
          <w:lang w:bidi="ar"/>
        </w:rPr>
      </w:pPr>
      <w:bookmarkStart w:id="98" w:name="_Toc453658154"/>
      <w:bookmarkStart w:id="99" w:name="_Toc485249599"/>
      <w:r>
        <w:rPr>
          <w:rFonts w:hint="eastAsia" w:ascii="宋体" w:hAnsi="宋体" w:eastAsia="宋体" w:cs="宋体"/>
          <w:b/>
          <w:bCs/>
          <w:color w:val="auto"/>
          <w:kern w:val="1"/>
          <w:sz w:val="24"/>
          <w:highlight w:val="none"/>
          <w:lang w:val="en-US" w:eastAsia="zh-CN" w:bidi="ar"/>
        </w:rPr>
        <w:t>1.</w:t>
      </w:r>
      <w:r>
        <w:rPr>
          <w:rFonts w:hint="eastAsia" w:ascii="宋体" w:hAnsi="宋体" w:eastAsia="宋体" w:cs="宋体"/>
          <w:b/>
          <w:bCs/>
          <w:color w:val="auto"/>
          <w:kern w:val="1"/>
          <w:sz w:val="24"/>
          <w:highlight w:val="none"/>
          <w:lang w:bidi="ar"/>
        </w:rPr>
        <w:t>项目概况</w:t>
      </w:r>
      <w:bookmarkEnd w:id="98"/>
      <w:bookmarkEnd w:id="99"/>
    </w:p>
    <w:p w14:paraId="6AE5EA69">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1.1 根据中华人民共和国财政部令第74号《政府采购非招标采购方式管理办法》</w:t>
      </w:r>
      <w:r>
        <w:rPr>
          <w:rFonts w:hint="eastAsia" w:ascii="宋体" w:hAnsi="宋体" w:cs="宋体"/>
          <w:color w:val="auto"/>
          <w:kern w:val="1"/>
          <w:sz w:val="24"/>
          <w:highlight w:val="none"/>
          <w:lang w:eastAsia="zh-CN" w:bidi="ar"/>
        </w:rPr>
        <w:t>、</w:t>
      </w:r>
      <w:r>
        <w:rPr>
          <w:rFonts w:hint="eastAsia" w:ascii="宋体" w:hAnsi="宋体" w:eastAsia="宋体" w:cs="宋体"/>
          <w:color w:val="auto"/>
          <w:kern w:val="1"/>
          <w:sz w:val="24"/>
          <w:highlight w:val="none"/>
          <w:lang w:bidi="ar"/>
        </w:rPr>
        <w:t>《政府采购竞争性磋商采购方式管理暂行办法》等有关法律、法规和规章的规定，本项目已获主管部门批准，现对本项目采用竞争性磋商方式进行采购。</w:t>
      </w:r>
    </w:p>
    <w:p w14:paraId="759CD383">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1.2 本项目采购人、采购代理机构：见“供应商须知前附表 ”。</w:t>
      </w:r>
    </w:p>
    <w:p w14:paraId="22C5482F">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1.3 项目名称及项目编号：见“供应商须知前附表 ”。</w:t>
      </w:r>
    </w:p>
    <w:p w14:paraId="2C4EC77D">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1.4 本项目采购需求：见“供应商须知前附表 ”。</w:t>
      </w:r>
    </w:p>
    <w:p w14:paraId="4AB80FE9">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1.5 本项目资金来源：见“供应商须知前附表 ”。</w:t>
      </w:r>
    </w:p>
    <w:p w14:paraId="2397DAD7">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1.6 本项目质量要求：见“供应商须知前附表 ”。</w:t>
      </w:r>
    </w:p>
    <w:p w14:paraId="61D8AE3B">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 xml:space="preserve">1.7 </w:t>
      </w:r>
      <w:r>
        <w:rPr>
          <w:rFonts w:hint="eastAsia" w:ascii="宋体" w:hAnsi="宋体" w:cs="宋体"/>
          <w:color w:val="auto"/>
          <w:kern w:val="1"/>
          <w:sz w:val="24"/>
          <w:highlight w:val="none"/>
          <w:lang w:val="en-US" w:eastAsia="zh-CN" w:bidi="ar"/>
        </w:rPr>
        <w:t>本项目地点</w:t>
      </w:r>
      <w:r>
        <w:rPr>
          <w:rFonts w:hint="eastAsia" w:ascii="宋体" w:hAnsi="宋体" w:eastAsia="宋体" w:cs="宋体"/>
          <w:color w:val="auto"/>
          <w:kern w:val="1"/>
          <w:sz w:val="24"/>
          <w:highlight w:val="none"/>
          <w:lang w:bidi="ar"/>
        </w:rPr>
        <w:t>：见“供应商须知前附表 ”。</w:t>
      </w:r>
    </w:p>
    <w:p w14:paraId="30975E36">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 xml:space="preserve">1.8 </w:t>
      </w:r>
      <w:r>
        <w:rPr>
          <w:rFonts w:hint="eastAsia" w:ascii="宋体" w:hAnsi="宋体" w:cs="宋体"/>
          <w:color w:val="auto"/>
          <w:kern w:val="1"/>
          <w:sz w:val="24"/>
          <w:highlight w:val="none"/>
          <w:lang w:val="en-US" w:eastAsia="zh-CN" w:bidi="ar"/>
        </w:rPr>
        <w:t>本项目工期</w:t>
      </w:r>
      <w:r>
        <w:rPr>
          <w:rFonts w:hint="eastAsia" w:ascii="宋体" w:hAnsi="宋体" w:eastAsia="宋体" w:cs="宋体"/>
          <w:color w:val="auto"/>
          <w:kern w:val="1"/>
          <w:sz w:val="24"/>
          <w:highlight w:val="none"/>
          <w:lang w:bidi="ar"/>
        </w:rPr>
        <w:t>：见“供应商须知前附表 ”。</w:t>
      </w:r>
    </w:p>
    <w:p w14:paraId="5F76FD6F">
      <w:pPr>
        <w:pageBreakBefore w:val="0"/>
        <w:kinsoku/>
        <w:wordWrap/>
        <w:overflowPunct/>
        <w:topLinePunct w:val="0"/>
        <w:bidi w:val="0"/>
        <w:snapToGrid/>
        <w:spacing w:line="580" w:lineRule="exact"/>
        <w:ind w:right="15" w:rightChars="7"/>
        <w:textAlignment w:val="auto"/>
        <w:outlineLvl w:val="2"/>
        <w:rPr>
          <w:rFonts w:hint="eastAsia" w:ascii="宋体" w:hAnsi="宋体" w:eastAsia="宋体" w:cs="宋体"/>
          <w:b/>
          <w:bCs/>
          <w:color w:val="auto"/>
          <w:kern w:val="1"/>
          <w:sz w:val="24"/>
          <w:highlight w:val="none"/>
          <w:lang w:val="zh-CN" w:bidi="ar"/>
        </w:rPr>
      </w:pPr>
      <w:bookmarkStart w:id="100" w:name="_Toc7770"/>
      <w:bookmarkStart w:id="101" w:name="_Toc3035"/>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2</w:t>
      </w:r>
      <w:r>
        <w:rPr>
          <w:rFonts w:hint="eastAsia" w:ascii="宋体" w:hAnsi="宋体" w:eastAsia="宋体" w:cs="宋体"/>
          <w:b/>
          <w:bCs/>
          <w:color w:val="auto"/>
          <w:kern w:val="1"/>
          <w:sz w:val="24"/>
          <w:highlight w:val="none"/>
          <w:lang w:val="zh-CN" w:bidi="ar"/>
        </w:rPr>
        <w:t xml:space="preserve"> 供应商资格要求</w:t>
      </w:r>
    </w:p>
    <w:p w14:paraId="49182330">
      <w:pPr>
        <w:pageBreakBefore w:val="0"/>
        <w:kinsoku/>
        <w:wordWrap/>
        <w:overflowPunct/>
        <w:topLinePunct w:val="0"/>
        <w:bidi w:val="0"/>
        <w:snapToGrid/>
        <w:spacing w:line="58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(1)资格要求：见供应商须知前附表；</w:t>
      </w:r>
    </w:p>
    <w:p w14:paraId="255C8DBE">
      <w:pPr>
        <w:pageBreakBefore w:val="0"/>
        <w:kinsoku/>
        <w:wordWrap/>
        <w:overflowPunct/>
        <w:topLinePunct w:val="0"/>
        <w:bidi w:val="0"/>
        <w:snapToGrid/>
        <w:spacing w:line="58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w:t>
      </w:r>
      <w:r>
        <w:rPr>
          <w:rFonts w:hint="eastAsia" w:ascii="宋体" w:hAnsi="宋体" w:eastAsia="宋体" w:cs="宋体"/>
          <w:b w:val="0"/>
          <w:bCs w:val="0"/>
          <w:color w:val="auto"/>
          <w:kern w:val="1"/>
          <w:sz w:val="24"/>
          <w:highlight w:val="none"/>
          <w:lang w:val="en-US" w:eastAsia="zh-CN" w:bidi="ar"/>
        </w:rPr>
        <w:t>2</w:t>
      </w:r>
      <w:r>
        <w:rPr>
          <w:rFonts w:hint="eastAsia" w:ascii="宋体" w:hAnsi="宋体" w:eastAsia="宋体" w:cs="宋体"/>
          <w:b w:val="0"/>
          <w:bCs w:val="0"/>
          <w:color w:val="auto"/>
          <w:kern w:val="1"/>
          <w:sz w:val="24"/>
          <w:highlight w:val="none"/>
          <w:lang w:val="zh-CN" w:bidi="ar"/>
        </w:rPr>
        <w:t>)其他要求：见供应商须知前附表。</w:t>
      </w:r>
    </w:p>
    <w:p w14:paraId="198EA752">
      <w:pPr>
        <w:pageBreakBefore w:val="0"/>
        <w:kinsoku/>
        <w:wordWrap/>
        <w:overflowPunct/>
        <w:topLinePunct w:val="0"/>
        <w:bidi w:val="0"/>
        <w:snapToGrid/>
        <w:spacing w:line="58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3</w:t>
      </w:r>
      <w:r>
        <w:rPr>
          <w:rFonts w:hint="eastAsia" w:ascii="宋体" w:hAnsi="宋体" w:eastAsia="宋体" w:cs="宋体"/>
          <w:b/>
          <w:bCs/>
          <w:color w:val="auto"/>
          <w:kern w:val="1"/>
          <w:sz w:val="24"/>
          <w:highlight w:val="none"/>
          <w:lang w:val="zh-CN" w:bidi="ar"/>
        </w:rPr>
        <w:t xml:space="preserve"> 费用承担</w:t>
      </w:r>
    </w:p>
    <w:p w14:paraId="4EF50424">
      <w:pPr>
        <w:pageBreakBefore w:val="0"/>
        <w:kinsoku/>
        <w:wordWrap/>
        <w:overflowPunct/>
        <w:topLinePunct w:val="0"/>
        <w:bidi w:val="0"/>
        <w:snapToGrid/>
        <w:spacing w:line="580" w:lineRule="exact"/>
        <w:ind w:right="15" w:rightChars="7" w:firstLine="480" w:firstLineChars="200"/>
        <w:textAlignment w:val="auto"/>
        <w:rPr>
          <w:rFonts w:hint="eastAsia" w:ascii="宋体" w:hAnsi="宋体" w:eastAsia="宋体" w:cs="宋体"/>
          <w:b/>
          <w:bCs/>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供应商准备和参加投标活动发生的费用自理。</w:t>
      </w:r>
    </w:p>
    <w:p w14:paraId="27F63B30">
      <w:pPr>
        <w:pageBreakBefore w:val="0"/>
        <w:kinsoku/>
        <w:wordWrap/>
        <w:overflowPunct/>
        <w:topLinePunct w:val="0"/>
        <w:bidi w:val="0"/>
        <w:snapToGrid/>
        <w:spacing w:line="58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4</w:t>
      </w:r>
      <w:r>
        <w:rPr>
          <w:rFonts w:hint="eastAsia" w:ascii="宋体" w:hAnsi="宋体" w:eastAsia="宋体" w:cs="宋体"/>
          <w:b/>
          <w:bCs/>
          <w:color w:val="auto"/>
          <w:kern w:val="1"/>
          <w:sz w:val="24"/>
          <w:highlight w:val="none"/>
          <w:lang w:val="zh-CN" w:bidi="ar"/>
        </w:rPr>
        <w:t xml:space="preserve"> 保密</w:t>
      </w:r>
    </w:p>
    <w:p w14:paraId="0B2DD98B">
      <w:pPr>
        <w:pageBreakBefore w:val="0"/>
        <w:kinsoku/>
        <w:wordWrap/>
        <w:overflowPunct/>
        <w:topLinePunct w:val="0"/>
        <w:bidi w:val="0"/>
        <w:snapToGrid/>
        <w:spacing w:line="580" w:lineRule="exact"/>
        <w:ind w:right="15" w:rightChars="7" w:firstLine="480" w:firstLineChars="200"/>
        <w:textAlignment w:val="auto"/>
        <w:rPr>
          <w:rFonts w:hint="eastAsia" w:ascii="宋体" w:hAnsi="宋体" w:eastAsia="宋体" w:cs="宋体"/>
          <w:b/>
          <w:bCs/>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参与招标投标活动的各方应对竞争性磋商文件和响应文件中的商业和技术等秘密保密，则应承担相应的法律责任。</w:t>
      </w:r>
    </w:p>
    <w:p w14:paraId="064F8591">
      <w:pPr>
        <w:pageBreakBefore w:val="0"/>
        <w:kinsoku/>
        <w:wordWrap/>
        <w:overflowPunct/>
        <w:topLinePunct w:val="0"/>
        <w:bidi w:val="0"/>
        <w:snapToGrid/>
        <w:spacing w:line="58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5</w:t>
      </w:r>
      <w:r>
        <w:rPr>
          <w:rFonts w:hint="eastAsia" w:ascii="宋体" w:hAnsi="宋体" w:eastAsia="宋体" w:cs="宋体"/>
          <w:b/>
          <w:bCs/>
          <w:color w:val="auto"/>
          <w:kern w:val="1"/>
          <w:sz w:val="24"/>
          <w:highlight w:val="none"/>
          <w:lang w:val="zh-CN" w:bidi="ar"/>
        </w:rPr>
        <w:t>语言文字</w:t>
      </w:r>
    </w:p>
    <w:p w14:paraId="30FE9144">
      <w:pPr>
        <w:pageBreakBefore w:val="0"/>
        <w:kinsoku/>
        <w:wordWrap/>
        <w:overflowPunct/>
        <w:topLinePunct w:val="0"/>
        <w:bidi w:val="0"/>
        <w:snapToGrid/>
        <w:spacing w:line="58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响应文件使用的语言文字为中文。专用术语使用外文的，应附有中文注释。</w:t>
      </w:r>
    </w:p>
    <w:p w14:paraId="1B7A7CFB">
      <w:pPr>
        <w:pageBreakBefore w:val="0"/>
        <w:kinsoku/>
        <w:wordWrap/>
        <w:overflowPunct/>
        <w:topLinePunct w:val="0"/>
        <w:bidi w:val="0"/>
        <w:snapToGrid/>
        <w:spacing w:line="58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6</w:t>
      </w:r>
      <w:r>
        <w:rPr>
          <w:rFonts w:hint="eastAsia" w:ascii="宋体" w:hAnsi="宋体" w:eastAsia="宋体" w:cs="宋体"/>
          <w:b/>
          <w:bCs/>
          <w:color w:val="auto"/>
          <w:kern w:val="1"/>
          <w:sz w:val="24"/>
          <w:highlight w:val="none"/>
          <w:lang w:val="zh-CN" w:bidi="ar"/>
        </w:rPr>
        <w:t xml:space="preserve"> 计量单位</w:t>
      </w:r>
    </w:p>
    <w:p w14:paraId="372480CE">
      <w:pPr>
        <w:pageBreakBefore w:val="0"/>
        <w:kinsoku/>
        <w:wordWrap/>
        <w:overflowPunct/>
        <w:topLinePunct w:val="0"/>
        <w:bidi w:val="0"/>
        <w:snapToGrid/>
        <w:spacing w:line="580" w:lineRule="exact"/>
        <w:ind w:right="15" w:rightChars="7" w:firstLine="240" w:firstLineChars="1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所有计量均采用中华人民共和国法定计量单位。</w:t>
      </w:r>
    </w:p>
    <w:p w14:paraId="2DCAF841">
      <w:pPr>
        <w:pageBreakBefore w:val="0"/>
        <w:kinsoku/>
        <w:wordWrap/>
        <w:overflowPunct/>
        <w:topLinePunct w:val="0"/>
        <w:bidi w:val="0"/>
        <w:snapToGrid/>
        <w:spacing w:line="58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7</w:t>
      </w:r>
      <w:r>
        <w:rPr>
          <w:rFonts w:hint="eastAsia" w:ascii="宋体" w:hAnsi="宋体" w:eastAsia="宋体" w:cs="宋体"/>
          <w:b/>
          <w:bCs/>
          <w:color w:val="auto"/>
          <w:kern w:val="1"/>
          <w:sz w:val="24"/>
          <w:highlight w:val="none"/>
          <w:lang w:val="zh-CN" w:bidi="ar"/>
        </w:rPr>
        <w:t xml:space="preserve"> 现场踏勘</w:t>
      </w:r>
    </w:p>
    <w:p w14:paraId="760AFDF0">
      <w:pPr>
        <w:pageBreakBefore w:val="0"/>
        <w:kinsoku/>
        <w:wordWrap/>
        <w:overflowPunct/>
        <w:topLinePunct w:val="0"/>
        <w:bidi w:val="0"/>
        <w:snapToGrid/>
        <w:spacing w:line="58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本项目不组织现场踏勘</w:t>
      </w:r>
    </w:p>
    <w:p w14:paraId="4C7B41EF">
      <w:pPr>
        <w:pageBreakBefore w:val="0"/>
        <w:kinsoku/>
        <w:wordWrap/>
        <w:overflowPunct/>
        <w:topLinePunct w:val="0"/>
        <w:bidi w:val="0"/>
        <w:snapToGrid/>
        <w:spacing w:line="580" w:lineRule="exact"/>
        <w:ind w:right="15" w:rightChars="7"/>
        <w:textAlignment w:val="auto"/>
        <w:outlineLvl w:val="2"/>
        <w:rPr>
          <w:rFonts w:hint="eastAsia" w:ascii="宋体" w:hAnsi="宋体" w:eastAsia="宋体" w:cs="宋体"/>
          <w:b/>
          <w:bCs/>
          <w:color w:val="auto"/>
          <w:kern w:val="1"/>
          <w:sz w:val="24"/>
          <w:highlight w:val="none"/>
          <w:lang w:val="zh-CN" w:bidi="ar"/>
        </w:rPr>
      </w:pPr>
      <w:r>
        <w:rPr>
          <w:rFonts w:hint="eastAsia" w:ascii="宋体" w:hAnsi="宋体" w:eastAsia="宋体" w:cs="宋体"/>
          <w:b/>
          <w:bCs/>
          <w:color w:val="auto"/>
          <w:kern w:val="1"/>
          <w:sz w:val="24"/>
          <w:highlight w:val="none"/>
          <w:lang w:val="zh-CN" w:bidi="ar"/>
        </w:rPr>
        <w:t>1.</w:t>
      </w:r>
      <w:r>
        <w:rPr>
          <w:rFonts w:hint="eastAsia" w:ascii="宋体" w:hAnsi="宋体" w:eastAsia="宋体" w:cs="宋体"/>
          <w:b/>
          <w:bCs/>
          <w:color w:val="auto"/>
          <w:kern w:val="1"/>
          <w:sz w:val="24"/>
          <w:highlight w:val="none"/>
          <w:lang w:val="en-US" w:eastAsia="zh-CN" w:bidi="ar"/>
        </w:rPr>
        <w:t>8</w:t>
      </w:r>
      <w:r>
        <w:rPr>
          <w:rFonts w:hint="eastAsia" w:ascii="宋体" w:hAnsi="宋体" w:eastAsia="宋体" w:cs="宋体"/>
          <w:b/>
          <w:bCs/>
          <w:color w:val="auto"/>
          <w:kern w:val="1"/>
          <w:sz w:val="24"/>
          <w:highlight w:val="none"/>
          <w:lang w:val="zh-CN" w:bidi="ar"/>
        </w:rPr>
        <w:t>开标前答疑会</w:t>
      </w:r>
    </w:p>
    <w:p w14:paraId="78E04348">
      <w:pPr>
        <w:pageBreakBefore w:val="0"/>
        <w:kinsoku/>
        <w:wordWrap/>
        <w:overflowPunct/>
        <w:topLinePunct w:val="0"/>
        <w:bidi w:val="0"/>
        <w:snapToGrid/>
        <w:spacing w:line="58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本项目不召开标前答疑会</w:t>
      </w:r>
    </w:p>
    <w:p w14:paraId="07707B76">
      <w:pPr>
        <w:pageBreakBefore w:val="0"/>
        <w:kinsoku/>
        <w:wordWrap/>
        <w:overflowPunct/>
        <w:topLinePunct w:val="0"/>
        <w:bidi w:val="0"/>
        <w:snapToGrid/>
        <w:spacing w:line="580" w:lineRule="exact"/>
        <w:ind w:right="15" w:rightChars="7"/>
        <w:textAlignment w:val="auto"/>
        <w:outlineLvl w:val="1"/>
        <w:rPr>
          <w:rFonts w:hint="eastAsia" w:ascii="宋体" w:hAnsi="宋体" w:eastAsia="宋体" w:cs="宋体"/>
          <w:b/>
          <w:bCs/>
          <w:color w:val="auto"/>
          <w:kern w:val="1"/>
          <w:sz w:val="24"/>
          <w:highlight w:val="none"/>
          <w:lang w:val="zh-CN" w:bidi="ar"/>
        </w:rPr>
      </w:pPr>
      <w:bookmarkStart w:id="102" w:name="_Toc26979"/>
      <w:bookmarkStart w:id="103" w:name="_Toc22165"/>
      <w:bookmarkStart w:id="104" w:name="_Toc796"/>
      <w:bookmarkStart w:id="105" w:name="_Toc13318"/>
      <w:r>
        <w:rPr>
          <w:rFonts w:hint="eastAsia" w:ascii="宋体" w:hAnsi="宋体" w:eastAsia="宋体" w:cs="宋体"/>
          <w:b/>
          <w:bCs/>
          <w:color w:val="auto"/>
          <w:kern w:val="1"/>
          <w:sz w:val="24"/>
          <w:highlight w:val="none"/>
          <w:lang w:val="zh-CN" w:bidi="ar"/>
        </w:rPr>
        <w:t>二、</w:t>
      </w:r>
      <w:bookmarkEnd w:id="102"/>
      <w:r>
        <w:rPr>
          <w:rFonts w:hint="eastAsia" w:ascii="宋体" w:hAnsi="宋体" w:eastAsia="宋体" w:cs="宋体"/>
          <w:b/>
          <w:bCs/>
          <w:color w:val="auto"/>
          <w:kern w:val="1"/>
          <w:sz w:val="24"/>
          <w:highlight w:val="none"/>
          <w:lang w:val="zh-CN" w:bidi="ar"/>
        </w:rPr>
        <w:t>竞争性磋商文件</w:t>
      </w:r>
      <w:bookmarkEnd w:id="103"/>
      <w:bookmarkEnd w:id="104"/>
      <w:bookmarkEnd w:id="105"/>
    </w:p>
    <w:p w14:paraId="5FF39BA8">
      <w:pPr>
        <w:pStyle w:val="6"/>
        <w:pageBreakBefore w:val="0"/>
        <w:widowControl/>
        <w:kinsoku/>
        <w:wordWrap/>
        <w:overflowPunct/>
        <w:topLinePunct w:val="0"/>
        <w:bidi w:val="0"/>
        <w:snapToGrid/>
        <w:spacing w:before="0" w:after="0" w:line="580" w:lineRule="exact"/>
        <w:ind w:right="15" w:rightChars="7"/>
        <w:textAlignment w:val="auto"/>
        <w:outlineLvl w:val="2"/>
        <w:rPr>
          <w:rFonts w:hint="eastAsia" w:ascii="宋体" w:hAnsi="宋体" w:eastAsia="宋体" w:cs="宋体"/>
          <w:color w:val="auto"/>
          <w:kern w:val="1"/>
          <w:sz w:val="24"/>
          <w:szCs w:val="24"/>
          <w:highlight w:val="none"/>
        </w:rPr>
      </w:pPr>
      <w:bookmarkStart w:id="106" w:name="_Toc485249602"/>
      <w:bookmarkStart w:id="107" w:name="_Toc453658158"/>
      <w:r>
        <w:rPr>
          <w:rFonts w:hint="eastAsia" w:ascii="宋体" w:hAnsi="宋体" w:eastAsia="宋体" w:cs="宋体"/>
          <w:color w:val="auto"/>
          <w:kern w:val="1"/>
          <w:sz w:val="24"/>
          <w:szCs w:val="24"/>
          <w:highlight w:val="none"/>
        </w:rPr>
        <w:t>2.1</w:t>
      </w:r>
      <w:r>
        <w:rPr>
          <w:rFonts w:hint="eastAsia" w:ascii="宋体" w:hAnsi="宋体" w:eastAsia="宋体" w:cs="宋体"/>
          <w:color w:val="auto"/>
          <w:kern w:val="1"/>
          <w:sz w:val="24"/>
          <w:szCs w:val="24"/>
          <w:highlight w:val="none"/>
          <w:lang w:eastAsia="zh-CN"/>
        </w:rPr>
        <w:t>竞争性磋商文件</w:t>
      </w:r>
      <w:r>
        <w:rPr>
          <w:rFonts w:hint="eastAsia" w:ascii="宋体" w:hAnsi="宋体" w:eastAsia="宋体" w:cs="宋体"/>
          <w:color w:val="auto"/>
          <w:kern w:val="1"/>
          <w:sz w:val="24"/>
          <w:szCs w:val="24"/>
          <w:highlight w:val="none"/>
        </w:rPr>
        <w:t>的构成</w:t>
      </w:r>
      <w:bookmarkEnd w:id="106"/>
      <w:bookmarkEnd w:id="107"/>
    </w:p>
    <w:p w14:paraId="708C3A86">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2.1.1</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由目录所列内容和根据本须知所发出的答疑和补遗等组成。</w:t>
      </w:r>
    </w:p>
    <w:p w14:paraId="6FAA8855">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2.1.2</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应认真阅读</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中全部内容，如果</w:t>
      </w:r>
      <w:r>
        <w:rPr>
          <w:rFonts w:hint="eastAsia" w:ascii="宋体" w:hAnsi="宋体" w:eastAsia="宋体" w:cs="宋体"/>
          <w:color w:val="auto"/>
          <w:sz w:val="24"/>
          <w:highlight w:val="none"/>
          <w:lang w:eastAsia="zh-CN"/>
        </w:rPr>
        <w:t>供应商</w:t>
      </w:r>
      <w:r>
        <w:rPr>
          <w:rFonts w:hint="eastAsia" w:ascii="宋体" w:hAnsi="宋体" w:eastAsia="宋体" w:cs="宋体"/>
          <w:color w:val="auto"/>
          <w:kern w:val="1"/>
          <w:sz w:val="24"/>
          <w:highlight w:val="none"/>
          <w:lang w:bidi="ar"/>
        </w:rPr>
        <w:t>没有按照</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要求提交全部资料或者</w:t>
      </w:r>
      <w:r>
        <w:rPr>
          <w:rFonts w:hint="eastAsia" w:ascii="宋体" w:hAnsi="宋体" w:eastAsia="宋体" w:cs="宋体"/>
          <w:color w:val="auto"/>
          <w:kern w:val="1"/>
          <w:sz w:val="24"/>
          <w:highlight w:val="none"/>
          <w:lang w:eastAsia="zh-CN" w:bidi="ar"/>
        </w:rPr>
        <w:t>响应文件</w:t>
      </w:r>
      <w:r>
        <w:rPr>
          <w:rFonts w:hint="eastAsia" w:ascii="宋体" w:hAnsi="宋体" w:eastAsia="宋体" w:cs="宋体"/>
          <w:color w:val="auto"/>
          <w:kern w:val="1"/>
          <w:sz w:val="24"/>
          <w:highlight w:val="none"/>
          <w:lang w:bidi="ar"/>
        </w:rPr>
        <w:t>没有对</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在各方面都做出实质性响应，则其</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将被拒绝。</w:t>
      </w:r>
    </w:p>
    <w:p w14:paraId="617216F8">
      <w:pPr>
        <w:pStyle w:val="6"/>
        <w:pageBreakBefore w:val="0"/>
        <w:widowControl/>
        <w:kinsoku/>
        <w:wordWrap/>
        <w:overflowPunct/>
        <w:topLinePunct w:val="0"/>
        <w:bidi w:val="0"/>
        <w:snapToGrid/>
        <w:spacing w:before="0" w:after="0" w:line="580" w:lineRule="exact"/>
        <w:ind w:right="15" w:rightChars="7"/>
        <w:textAlignment w:val="auto"/>
        <w:outlineLvl w:val="2"/>
        <w:rPr>
          <w:rFonts w:hint="default" w:ascii="宋体" w:hAnsi="宋体" w:eastAsia="宋体" w:cs="宋体"/>
          <w:color w:val="auto"/>
          <w:kern w:val="1"/>
          <w:sz w:val="24"/>
          <w:szCs w:val="24"/>
          <w:highlight w:val="none"/>
          <w:lang w:val="en-US" w:eastAsia="zh-CN"/>
        </w:rPr>
      </w:pPr>
      <w:bookmarkStart w:id="108" w:name="_Toc485249603"/>
      <w:bookmarkStart w:id="109" w:name="_Toc453658159"/>
      <w:r>
        <w:rPr>
          <w:rFonts w:hint="eastAsia" w:ascii="宋体" w:hAnsi="宋体" w:eastAsia="宋体" w:cs="宋体"/>
          <w:color w:val="auto"/>
          <w:kern w:val="1"/>
          <w:sz w:val="24"/>
          <w:szCs w:val="24"/>
          <w:highlight w:val="none"/>
        </w:rPr>
        <w:t>2.2</w:t>
      </w:r>
      <w:r>
        <w:rPr>
          <w:rFonts w:hint="eastAsia" w:ascii="宋体" w:hAnsi="宋体" w:eastAsia="宋体" w:cs="宋体"/>
          <w:color w:val="auto"/>
          <w:kern w:val="1"/>
          <w:sz w:val="24"/>
          <w:szCs w:val="24"/>
          <w:highlight w:val="none"/>
          <w:lang w:eastAsia="zh-CN"/>
        </w:rPr>
        <w:t>竞争性磋商文件</w:t>
      </w:r>
      <w:r>
        <w:rPr>
          <w:rFonts w:hint="eastAsia" w:ascii="宋体" w:hAnsi="宋体" w:eastAsia="宋体" w:cs="宋体"/>
          <w:color w:val="auto"/>
          <w:kern w:val="1"/>
          <w:sz w:val="24"/>
          <w:szCs w:val="24"/>
          <w:highlight w:val="none"/>
        </w:rPr>
        <w:t>的澄清</w:t>
      </w:r>
      <w:bookmarkEnd w:id="108"/>
      <w:bookmarkEnd w:id="109"/>
      <w:r>
        <w:rPr>
          <w:rFonts w:hint="eastAsia" w:ascii="宋体" w:hAnsi="宋体" w:eastAsia="宋体" w:cs="宋体"/>
          <w:color w:val="auto"/>
          <w:kern w:val="1"/>
          <w:sz w:val="24"/>
          <w:szCs w:val="24"/>
          <w:highlight w:val="none"/>
          <w:lang w:eastAsia="zh-CN"/>
        </w:rPr>
        <w:t>、</w:t>
      </w:r>
      <w:r>
        <w:rPr>
          <w:rFonts w:hint="eastAsia" w:ascii="宋体" w:hAnsi="宋体" w:eastAsia="宋体" w:cs="宋体"/>
          <w:color w:val="auto"/>
          <w:kern w:val="1"/>
          <w:sz w:val="24"/>
          <w:szCs w:val="24"/>
          <w:highlight w:val="none"/>
          <w:lang w:val="en-US" w:eastAsia="zh-CN"/>
        </w:rPr>
        <w:t>修改</w:t>
      </w:r>
    </w:p>
    <w:p w14:paraId="32FA44CE">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val="zh-CN" w:eastAsia="zh-CN" w:bidi="ar"/>
        </w:rPr>
      </w:pPr>
      <w:bookmarkStart w:id="110" w:name="_Toc11018"/>
      <w:bookmarkStart w:id="111" w:name="_Toc31860"/>
      <w:bookmarkStart w:id="112" w:name="_Toc25339"/>
      <w:bookmarkStart w:id="113" w:name="_Toc453658161"/>
      <w:bookmarkStart w:id="114" w:name="_Toc485249605"/>
      <w:r>
        <w:rPr>
          <w:rFonts w:hint="eastAsia" w:ascii="宋体" w:hAnsi="宋体" w:eastAsia="宋体" w:cs="宋体"/>
          <w:color w:val="auto"/>
          <w:kern w:val="1"/>
          <w:sz w:val="24"/>
          <w:highlight w:val="none"/>
          <w:lang w:val="zh-CN" w:eastAsia="zh-CN" w:bidi="ar"/>
        </w:rPr>
        <w:t>2.</w:t>
      </w:r>
      <w:r>
        <w:rPr>
          <w:rFonts w:hint="eastAsia" w:ascii="宋体" w:hAnsi="宋体" w:cs="宋体"/>
          <w:color w:val="auto"/>
          <w:kern w:val="1"/>
          <w:sz w:val="24"/>
          <w:highlight w:val="none"/>
          <w:lang w:val="en-US" w:eastAsia="zh-CN" w:bidi="ar"/>
        </w:rPr>
        <w:t>2</w:t>
      </w:r>
      <w:r>
        <w:rPr>
          <w:rFonts w:hint="eastAsia" w:ascii="宋体" w:hAnsi="宋体" w:eastAsia="宋体" w:cs="宋体"/>
          <w:color w:val="auto"/>
          <w:kern w:val="1"/>
          <w:sz w:val="24"/>
          <w:highlight w:val="none"/>
          <w:lang w:val="zh-CN" w:eastAsia="zh-CN" w:bidi="ar"/>
        </w:rPr>
        <w:t>.1供应商应仔细阅读和检查竞争性磋商文件的全部内容。如发现缺页或附件不全，应及时向采购人提出，以便补齐。供应商对竞争性磋商文件有疑问的，凭企业数字证书（CA）登录政采云平台（https://www.zcygov.cn），通过在线方式向采购人、采购代理机构提出询问；采购人、采购代理机构在3个工作日内对供应商依法提出的询问作出答复，但答复的内容不得涉及商业秘密。</w:t>
      </w:r>
    </w:p>
    <w:p w14:paraId="41CF4987">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val="zh-CN" w:eastAsia="zh-CN" w:bidi="ar"/>
        </w:rPr>
      </w:pPr>
      <w:r>
        <w:rPr>
          <w:rFonts w:hint="eastAsia" w:ascii="宋体" w:hAnsi="宋体" w:eastAsia="宋体" w:cs="宋体"/>
          <w:color w:val="auto"/>
          <w:kern w:val="1"/>
          <w:sz w:val="24"/>
          <w:highlight w:val="none"/>
          <w:lang w:val="zh-CN" w:eastAsia="zh-CN" w:bidi="ar"/>
        </w:rPr>
        <w:t>2.</w:t>
      </w:r>
      <w:r>
        <w:rPr>
          <w:rFonts w:hint="eastAsia" w:ascii="宋体" w:hAnsi="宋体" w:cs="宋体"/>
          <w:color w:val="auto"/>
          <w:kern w:val="1"/>
          <w:sz w:val="24"/>
          <w:highlight w:val="none"/>
          <w:lang w:val="en-US" w:eastAsia="zh-CN" w:bidi="ar"/>
        </w:rPr>
        <w:t>2</w:t>
      </w:r>
      <w:r>
        <w:rPr>
          <w:rFonts w:hint="eastAsia" w:ascii="宋体" w:hAnsi="宋体" w:eastAsia="宋体" w:cs="宋体"/>
          <w:color w:val="auto"/>
          <w:kern w:val="1"/>
          <w:sz w:val="24"/>
          <w:highlight w:val="none"/>
          <w:lang w:val="zh-CN" w:eastAsia="zh-CN" w:bidi="ar"/>
        </w:rPr>
        <w:t>.2采购人、采购代理机构可以对已发出的竞争性磋商文件进行必要的澄清或者修改，澄清或者修改的内容作为竞争性磋商文件的组成部分。澄清或者修改的内容可能影响响应文件编制的，采购人、采购代理机构在提交响应文件截止时间5日前，通过政采云平台（https://www.zcygov.cn）通知所有获取竞争性磋商文件的供应商；不足5日的，采购人、采购代理机构将顺延提交响应文件截止时间。</w:t>
      </w:r>
    </w:p>
    <w:p w14:paraId="67E2711E">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val="zh-CN" w:eastAsia="zh-CN" w:bidi="ar"/>
        </w:rPr>
      </w:pPr>
      <w:r>
        <w:rPr>
          <w:rFonts w:hint="eastAsia" w:ascii="宋体" w:hAnsi="宋体" w:eastAsia="宋体" w:cs="宋体"/>
          <w:color w:val="auto"/>
          <w:kern w:val="1"/>
          <w:sz w:val="24"/>
          <w:highlight w:val="none"/>
          <w:lang w:val="zh-CN" w:eastAsia="zh-CN" w:bidi="ar"/>
        </w:rPr>
        <w:t>2.</w:t>
      </w:r>
      <w:r>
        <w:rPr>
          <w:rFonts w:hint="eastAsia" w:ascii="宋体" w:hAnsi="宋体" w:cs="宋体"/>
          <w:color w:val="auto"/>
          <w:kern w:val="1"/>
          <w:sz w:val="24"/>
          <w:highlight w:val="none"/>
          <w:lang w:val="en-US" w:eastAsia="zh-CN" w:bidi="ar"/>
        </w:rPr>
        <w:t>2</w:t>
      </w:r>
      <w:r>
        <w:rPr>
          <w:rFonts w:hint="eastAsia" w:ascii="宋体" w:hAnsi="宋体" w:eastAsia="宋体" w:cs="宋体"/>
          <w:color w:val="auto"/>
          <w:kern w:val="1"/>
          <w:sz w:val="24"/>
          <w:highlight w:val="none"/>
          <w:lang w:val="zh-CN" w:eastAsia="zh-CN" w:bidi="ar"/>
        </w:rPr>
        <w:t>.3供应商应及时登录政采云平台（https://www.zcygov.cn）中查看有关该项目竞争性磋商文件的澄清或者修改内容。因供应商自身原因未及时获知澄清或者修改内容而导致的任何后果将由供应商自行承担。</w:t>
      </w:r>
    </w:p>
    <w:p w14:paraId="6E4CD5AF">
      <w:pPr>
        <w:pageBreakBefore w:val="0"/>
        <w:kinsoku/>
        <w:wordWrap/>
        <w:overflowPunct/>
        <w:topLinePunct w:val="0"/>
        <w:bidi w:val="0"/>
        <w:snapToGrid/>
        <w:spacing w:line="580" w:lineRule="exact"/>
        <w:ind w:right="15" w:rightChars="7"/>
        <w:textAlignment w:val="auto"/>
        <w:outlineLvl w:val="1"/>
        <w:rPr>
          <w:rFonts w:hint="eastAsia" w:ascii="宋体" w:hAnsi="宋体" w:eastAsia="宋体" w:cs="宋体"/>
          <w:b/>
          <w:bCs/>
          <w:color w:val="auto"/>
          <w:kern w:val="1"/>
          <w:sz w:val="24"/>
          <w:highlight w:val="none"/>
          <w:lang w:val="zh-CN" w:bidi="ar"/>
        </w:rPr>
      </w:pPr>
      <w:bookmarkStart w:id="115" w:name="_Toc10326"/>
      <w:bookmarkStart w:id="116" w:name="_Toc17734"/>
      <w:r>
        <w:rPr>
          <w:rFonts w:hint="eastAsia" w:ascii="宋体" w:hAnsi="宋体" w:eastAsia="宋体" w:cs="宋体"/>
          <w:b/>
          <w:bCs/>
          <w:color w:val="auto"/>
          <w:kern w:val="1"/>
          <w:sz w:val="24"/>
          <w:highlight w:val="none"/>
          <w:lang w:val="zh-CN" w:bidi="ar"/>
        </w:rPr>
        <w:t>三、响应文件的编制</w:t>
      </w:r>
      <w:bookmarkEnd w:id="110"/>
      <w:bookmarkEnd w:id="111"/>
      <w:bookmarkEnd w:id="112"/>
      <w:bookmarkEnd w:id="113"/>
      <w:bookmarkEnd w:id="114"/>
      <w:bookmarkEnd w:id="115"/>
      <w:bookmarkEnd w:id="116"/>
    </w:p>
    <w:p w14:paraId="3235916F">
      <w:pPr>
        <w:pageBreakBefore w:val="0"/>
        <w:kinsoku/>
        <w:wordWrap/>
        <w:overflowPunct/>
        <w:topLinePunct w:val="0"/>
        <w:bidi w:val="0"/>
        <w:snapToGrid/>
        <w:spacing w:line="580" w:lineRule="exact"/>
        <w:ind w:right="15" w:rightChars="7"/>
        <w:textAlignment w:val="auto"/>
        <w:outlineLvl w:val="2"/>
        <w:rPr>
          <w:rFonts w:hint="eastAsia" w:ascii="宋体" w:hAnsi="宋体" w:eastAsia="宋体" w:cs="宋体"/>
          <w:b/>
          <w:bCs/>
          <w:color w:val="auto"/>
          <w:kern w:val="1"/>
          <w:sz w:val="24"/>
          <w:highlight w:val="none"/>
          <w:lang w:val="zh-CN" w:bidi="ar"/>
        </w:rPr>
      </w:pPr>
      <w:bookmarkStart w:id="117" w:name="_Toc453658162"/>
      <w:bookmarkStart w:id="118" w:name="_Toc485249606"/>
      <w:r>
        <w:rPr>
          <w:rFonts w:hint="eastAsia" w:ascii="宋体" w:hAnsi="宋体" w:eastAsia="宋体" w:cs="宋体"/>
          <w:b/>
          <w:bCs/>
          <w:color w:val="auto"/>
          <w:kern w:val="1"/>
          <w:sz w:val="24"/>
          <w:highlight w:val="none"/>
          <w:lang w:val="zh-CN" w:bidi="ar"/>
        </w:rPr>
        <w:t>3.1</w:t>
      </w:r>
      <w:r>
        <w:rPr>
          <w:rFonts w:hint="eastAsia" w:ascii="宋体" w:hAnsi="宋体" w:eastAsia="宋体" w:cs="宋体"/>
          <w:b/>
          <w:bCs/>
          <w:color w:val="auto"/>
          <w:kern w:val="1"/>
          <w:sz w:val="24"/>
          <w:highlight w:val="none"/>
          <w:lang w:val="zh-CN" w:eastAsia="zh-CN" w:bidi="ar"/>
        </w:rPr>
        <w:t>投标</w:t>
      </w:r>
      <w:r>
        <w:rPr>
          <w:rFonts w:hint="eastAsia" w:ascii="宋体" w:hAnsi="宋体" w:eastAsia="宋体" w:cs="宋体"/>
          <w:b/>
          <w:bCs/>
          <w:color w:val="auto"/>
          <w:kern w:val="1"/>
          <w:sz w:val="24"/>
          <w:highlight w:val="none"/>
          <w:lang w:val="zh-CN" w:bidi="ar"/>
        </w:rPr>
        <w:t>的语言及度量衡单位</w:t>
      </w:r>
      <w:bookmarkEnd w:id="117"/>
      <w:bookmarkEnd w:id="118"/>
    </w:p>
    <w:p w14:paraId="710C7D76">
      <w:pPr>
        <w:pageBreakBefore w:val="0"/>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rPr>
      </w:pPr>
      <w:r>
        <w:rPr>
          <w:rFonts w:hint="eastAsia" w:ascii="宋体" w:hAnsi="宋体" w:eastAsia="宋体" w:cs="宋体"/>
          <w:b w:val="0"/>
          <w:bCs w:val="0"/>
          <w:color w:val="auto"/>
          <w:kern w:val="1"/>
          <w:sz w:val="24"/>
          <w:highlight w:val="none"/>
          <w:lang w:val="zh-CN" w:bidi="ar"/>
        </w:rPr>
        <w:t>3.1.1</w:t>
      </w:r>
      <w:r>
        <w:rPr>
          <w:rFonts w:hint="eastAsia" w:ascii="宋体" w:hAnsi="宋体" w:eastAsia="宋体" w:cs="宋体"/>
          <w:b w:val="0"/>
          <w:bCs w:val="0"/>
          <w:color w:val="auto"/>
          <w:kern w:val="1"/>
          <w:sz w:val="24"/>
          <w:highlight w:val="none"/>
          <w:lang w:val="zh-CN" w:eastAsia="zh-CN" w:bidi="ar"/>
        </w:rPr>
        <w:t>供应商</w:t>
      </w:r>
      <w:r>
        <w:rPr>
          <w:rFonts w:hint="eastAsia" w:ascii="宋体" w:hAnsi="宋体" w:eastAsia="宋体" w:cs="宋体"/>
          <w:b w:val="0"/>
          <w:bCs w:val="0"/>
          <w:color w:val="auto"/>
          <w:kern w:val="1"/>
          <w:sz w:val="24"/>
          <w:highlight w:val="none"/>
          <w:lang w:val="zh-CN" w:bidi="ar"/>
        </w:rPr>
        <w:t>提交的</w:t>
      </w:r>
      <w:r>
        <w:rPr>
          <w:rFonts w:hint="eastAsia" w:ascii="宋体" w:hAnsi="宋体" w:eastAsia="宋体" w:cs="宋体"/>
          <w:b w:val="0"/>
          <w:bCs w:val="0"/>
          <w:color w:val="auto"/>
          <w:kern w:val="1"/>
          <w:sz w:val="24"/>
          <w:highlight w:val="none"/>
          <w:lang w:val="zh-CN" w:eastAsia="zh-CN" w:bidi="ar"/>
        </w:rPr>
        <w:t>响应文件</w:t>
      </w:r>
      <w:r>
        <w:rPr>
          <w:rFonts w:hint="eastAsia" w:ascii="宋体" w:hAnsi="宋体" w:eastAsia="宋体" w:cs="宋体"/>
          <w:color w:val="auto"/>
          <w:kern w:val="1"/>
          <w:sz w:val="24"/>
          <w:highlight w:val="none"/>
          <w:lang w:bidi="ar"/>
        </w:rPr>
        <w:t>以及</w:t>
      </w:r>
      <w:r>
        <w:rPr>
          <w:rFonts w:hint="eastAsia" w:ascii="宋体" w:hAnsi="宋体" w:eastAsia="宋体" w:cs="宋体"/>
          <w:color w:val="auto"/>
          <w:sz w:val="24"/>
          <w:highlight w:val="none"/>
          <w:lang w:eastAsia="zh-CN"/>
        </w:rPr>
        <w:t>供应商</w:t>
      </w:r>
      <w:r>
        <w:rPr>
          <w:rFonts w:hint="eastAsia" w:ascii="宋体" w:hAnsi="宋体" w:eastAsia="宋体" w:cs="宋体"/>
          <w:color w:val="auto"/>
          <w:kern w:val="1"/>
          <w:sz w:val="24"/>
          <w:highlight w:val="none"/>
          <w:lang w:bidi="ar"/>
        </w:rPr>
        <w:t>与采购代理机构就有关</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活动的所有来往函电均应使用中文。</w:t>
      </w:r>
      <w:r>
        <w:rPr>
          <w:rFonts w:hint="eastAsia" w:ascii="宋体" w:hAnsi="宋体" w:eastAsia="宋体" w:cs="宋体"/>
          <w:color w:val="auto"/>
          <w:sz w:val="24"/>
          <w:highlight w:val="none"/>
          <w:lang w:eastAsia="zh-CN"/>
        </w:rPr>
        <w:t>供应商</w:t>
      </w:r>
      <w:r>
        <w:rPr>
          <w:rFonts w:hint="eastAsia" w:ascii="宋体" w:hAnsi="宋体" w:eastAsia="宋体" w:cs="宋体"/>
          <w:color w:val="auto"/>
          <w:kern w:val="1"/>
          <w:sz w:val="24"/>
          <w:highlight w:val="none"/>
          <w:lang w:bidi="ar"/>
        </w:rPr>
        <w:t>可以提交用其他语言打印的资料，但有关的段落必须翻译成中文，在有差异和矛盾时以中文为准。字体要便于辨识，以正楷、宋体为好。</w:t>
      </w:r>
    </w:p>
    <w:p w14:paraId="426F01AA">
      <w:pPr>
        <w:pageBreakBefore w:val="0"/>
        <w:kinsoku/>
        <w:wordWrap/>
        <w:overflowPunct/>
        <w:topLinePunct w:val="0"/>
        <w:bidi w:val="0"/>
        <w:snapToGrid/>
        <w:spacing w:line="580" w:lineRule="exact"/>
        <w:ind w:right="15" w:rightChars="7" w:firstLine="51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3.1.2用非中文版印刷的产品说明书、技术资料等，</w:t>
      </w:r>
      <w:r>
        <w:rPr>
          <w:rFonts w:hint="eastAsia" w:ascii="宋体" w:hAnsi="宋体" w:eastAsia="宋体" w:cs="宋体"/>
          <w:color w:val="auto"/>
          <w:sz w:val="24"/>
          <w:highlight w:val="none"/>
          <w:lang w:eastAsia="zh-CN"/>
        </w:rPr>
        <w:t>供应商</w:t>
      </w:r>
      <w:r>
        <w:rPr>
          <w:rFonts w:hint="eastAsia" w:ascii="宋体" w:hAnsi="宋体" w:eastAsia="宋体" w:cs="宋体"/>
          <w:color w:val="auto"/>
          <w:kern w:val="1"/>
          <w:sz w:val="24"/>
          <w:highlight w:val="none"/>
          <w:lang w:bidi="ar"/>
        </w:rPr>
        <w:t>应提供符合我国有关法律、法规的中文译本，并以中文译本为准。</w:t>
      </w:r>
    </w:p>
    <w:p w14:paraId="59B46BAE">
      <w:pPr>
        <w:pageBreakBefore w:val="0"/>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3.1.3</w:t>
      </w:r>
      <w:r>
        <w:rPr>
          <w:rFonts w:hint="eastAsia" w:ascii="宋体" w:hAnsi="宋体" w:eastAsia="宋体" w:cs="宋体"/>
          <w:color w:val="auto"/>
          <w:kern w:val="1"/>
          <w:sz w:val="24"/>
          <w:highlight w:val="none"/>
          <w:lang w:eastAsia="zh-CN" w:bidi="ar"/>
        </w:rPr>
        <w:t>响应文件</w:t>
      </w:r>
      <w:r>
        <w:rPr>
          <w:rFonts w:hint="eastAsia" w:ascii="宋体" w:hAnsi="宋体" w:eastAsia="宋体" w:cs="宋体"/>
          <w:color w:val="auto"/>
          <w:kern w:val="1"/>
          <w:sz w:val="24"/>
          <w:highlight w:val="none"/>
          <w:lang w:bidi="ar"/>
        </w:rPr>
        <w:t>中所使用的度量衡单位，除</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中有特殊要求外，所有计量均采用中华人民共和国法定计量单位。</w:t>
      </w:r>
    </w:p>
    <w:p w14:paraId="62B362B5">
      <w:pPr>
        <w:pStyle w:val="6"/>
        <w:pageBreakBefore w:val="0"/>
        <w:widowControl/>
        <w:kinsoku/>
        <w:wordWrap/>
        <w:overflowPunct/>
        <w:topLinePunct w:val="0"/>
        <w:bidi w:val="0"/>
        <w:snapToGrid/>
        <w:spacing w:before="0" w:after="0" w:line="580" w:lineRule="exact"/>
        <w:ind w:right="15" w:rightChars="7"/>
        <w:textAlignment w:val="auto"/>
        <w:outlineLvl w:val="2"/>
        <w:rPr>
          <w:rFonts w:hint="eastAsia" w:ascii="宋体" w:hAnsi="宋体" w:eastAsia="宋体" w:cs="宋体"/>
          <w:color w:val="auto"/>
          <w:kern w:val="1"/>
          <w:sz w:val="24"/>
          <w:szCs w:val="24"/>
          <w:highlight w:val="none"/>
        </w:rPr>
      </w:pPr>
      <w:bookmarkStart w:id="119" w:name="_Toc485249607"/>
      <w:bookmarkStart w:id="120" w:name="_Toc453658163"/>
      <w:r>
        <w:rPr>
          <w:rFonts w:hint="eastAsia" w:ascii="宋体" w:hAnsi="宋体" w:eastAsia="宋体" w:cs="宋体"/>
          <w:color w:val="auto"/>
          <w:kern w:val="1"/>
          <w:sz w:val="24"/>
          <w:szCs w:val="24"/>
          <w:highlight w:val="none"/>
        </w:rPr>
        <w:t>3.2</w:t>
      </w:r>
      <w:r>
        <w:rPr>
          <w:rFonts w:hint="eastAsia" w:ascii="宋体" w:hAnsi="宋体" w:eastAsia="宋体" w:cs="宋体"/>
          <w:color w:val="auto"/>
          <w:kern w:val="1"/>
          <w:sz w:val="24"/>
          <w:szCs w:val="24"/>
          <w:highlight w:val="none"/>
          <w:lang w:eastAsia="zh-CN"/>
        </w:rPr>
        <w:t>响应文件</w:t>
      </w:r>
      <w:r>
        <w:rPr>
          <w:rFonts w:hint="eastAsia" w:ascii="宋体" w:hAnsi="宋体" w:eastAsia="宋体" w:cs="宋体"/>
          <w:color w:val="auto"/>
          <w:kern w:val="1"/>
          <w:sz w:val="24"/>
          <w:szCs w:val="24"/>
          <w:highlight w:val="none"/>
        </w:rPr>
        <w:t>的构成</w:t>
      </w:r>
      <w:bookmarkEnd w:id="119"/>
      <w:bookmarkEnd w:id="120"/>
    </w:p>
    <w:p w14:paraId="7771F0F5">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kern w:val="1"/>
          <w:sz w:val="24"/>
          <w:highlight w:val="none"/>
          <w:lang w:bidi="ar"/>
        </w:rPr>
      </w:pPr>
      <w:r>
        <w:rPr>
          <w:rFonts w:hint="eastAsia" w:ascii="宋体" w:hAnsi="宋体" w:eastAsia="宋体" w:cs="宋体"/>
          <w:bCs/>
          <w:color w:val="auto"/>
          <w:kern w:val="1"/>
          <w:sz w:val="24"/>
          <w:highlight w:val="none"/>
          <w:lang w:bidi="ar"/>
        </w:rPr>
        <w:t>3.2.1</w:t>
      </w:r>
      <w:bookmarkStart w:id="121" w:name="_Toc144974546"/>
      <w:r>
        <w:rPr>
          <w:rFonts w:hint="eastAsia" w:ascii="宋体" w:hAnsi="宋体" w:eastAsia="宋体" w:cs="宋体"/>
          <w:color w:val="auto"/>
          <w:kern w:val="1"/>
          <w:sz w:val="24"/>
          <w:highlight w:val="none"/>
          <w:lang w:eastAsia="zh-CN"/>
        </w:rPr>
        <w:t>响应文件</w:t>
      </w:r>
      <w:r>
        <w:rPr>
          <w:rFonts w:hint="eastAsia" w:ascii="宋体" w:hAnsi="宋体" w:eastAsia="宋体" w:cs="宋体"/>
          <w:color w:val="auto"/>
          <w:kern w:val="1"/>
          <w:sz w:val="24"/>
          <w:highlight w:val="none"/>
        </w:rPr>
        <w:t>应</w:t>
      </w:r>
      <w:r>
        <w:rPr>
          <w:rFonts w:hint="eastAsia" w:ascii="宋体" w:hAnsi="宋体" w:eastAsia="宋体" w:cs="宋体"/>
          <w:bCs/>
          <w:color w:val="auto"/>
          <w:kern w:val="1"/>
          <w:sz w:val="24"/>
          <w:highlight w:val="none"/>
          <w:lang w:bidi="ar"/>
        </w:rPr>
        <w:t>按照</w:t>
      </w:r>
      <w:r>
        <w:rPr>
          <w:rFonts w:hint="eastAsia" w:ascii="宋体" w:hAnsi="宋体" w:eastAsia="宋体" w:cs="宋体"/>
          <w:bCs/>
          <w:color w:val="auto"/>
          <w:kern w:val="1"/>
          <w:sz w:val="24"/>
          <w:highlight w:val="none"/>
          <w:lang w:eastAsia="zh-CN" w:bidi="ar"/>
        </w:rPr>
        <w:t>竞争性磋商文件</w:t>
      </w:r>
      <w:r>
        <w:rPr>
          <w:rFonts w:hint="eastAsia" w:ascii="宋体" w:hAnsi="宋体" w:eastAsia="宋体" w:cs="宋体"/>
          <w:bCs/>
          <w:color w:val="auto"/>
          <w:kern w:val="1"/>
          <w:sz w:val="24"/>
          <w:highlight w:val="none"/>
          <w:lang w:bidi="ar"/>
        </w:rPr>
        <w:t>第</w:t>
      </w:r>
      <w:r>
        <w:rPr>
          <w:rFonts w:hint="eastAsia" w:ascii="宋体" w:hAnsi="宋体" w:eastAsia="宋体" w:cs="宋体"/>
          <w:bCs/>
          <w:color w:val="auto"/>
          <w:kern w:val="1"/>
          <w:sz w:val="24"/>
          <w:highlight w:val="none"/>
          <w:lang w:eastAsia="zh-CN" w:bidi="ar"/>
        </w:rPr>
        <w:t>五</w:t>
      </w:r>
      <w:r>
        <w:rPr>
          <w:rFonts w:hint="eastAsia" w:ascii="宋体" w:hAnsi="宋体" w:eastAsia="宋体" w:cs="宋体"/>
          <w:bCs/>
          <w:color w:val="auto"/>
          <w:kern w:val="1"/>
          <w:sz w:val="24"/>
          <w:highlight w:val="none"/>
          <w:lang w:bidi="ar"/>
        </w:rPr>
        <w:t>章“</w:t>
      </w:r>
      <w:r>
        <w:rPr>
          <w:rFonts w:hint="eastAsia" w:ascii="宋体" w:hAnsi="宋体" w:eastAsia="宋体" w:cs="宋体"/>
          <w:bCs/>
          <w:color w:val="auto"/>
          <w:kern w:val="1"/>
          <w:sz w:val="24"/>
          <w:highlight w:val="none"/>
          <w:lang w:eastAsia="zh-CN" w:bidi="ar"/>
        </w:rPr>
        <w:t>响应文件</w:t>
      </w:r>
      <w:r>
        <w:rPr>
          <w:rFonts w:hint="eastAsia" w:ascii="宋体" w:hAnsi="宋体" w:eastAsia="宋体" w:cs="宋体"/>
          <w:bCs/>
          <w:color w:val="auto"/>
          <w:kern w:val="1"/>
          <w:sz w:val="24"/>
          <w:highlight w:val="none"/>
          <w:lang w:bidi="ar"/>
        </w:rPr>
        <w:t>”格式进行编写，如有必要，可以增加附页，作为</w:t>
      </w:r>
      <w:r>
        <w:rPr>
          <w:rFonts w:hint="eastAsia" w:ascii="宋体" w:hAnsi="宋体" w:eastAsia="宋体" w:cs="宋体"/>
          <w:bCs/>
          <w:color w:val="auto"/>
          <w:kern w:val="1"/>
          <w:sz w:val="24"/>
          <w:highlight w:val="none"/>
          <w:lang w:eastAsia="zh-CN" w:bidi="ar"/>
        </w:rPr>
        <w:t>响应文件</w:t>
      </w:r>
      <w:r>
        <w:rPr>
          <w:rFonts w:hint="eastAsia" w:ascii="宋体" w:hAnsi="宋体" w:eastAsia="宋体" w:cs="宋体"/>
          <w:bCs/>
          <w:color w:val="auto"/>
          <w:kern w:val="1"/>
          <w:sz w:val="24"/>
          <w:highlight w:val="none"/>
          <w:lang w:bidi="ar"/>
        </w:rPr>
        <w:t>的组成部分。</w:t>
      </w:r>
    </w:p>
    <w:p w14:paraId="396C5766">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kern w:val="1"/>
          <w:sz w:val="24"/>
          <w:highlight w:val="none"/>
          <w:lang w:bidi="ar"/>
        </w:rPr>
      </w:pPr>
      <w:r>
        <w:rPr>
          <w:rFonts w:hint="eastAsia" w:ascii="宋体" w:hAnsi="宋体" w:eastAsia="宋体" w:cs="宋体"/>
          <w:bCs/>
          <w:color w:val="auto"/>
          <w:kern w:val="1"/>
          <w:sz w:val="24"/>
          <w:highlight w:val="none"/>
          <w:lang w:bidi="ar"/>
        </w:rPr>
        <w:t>3.2.2</w:t>
      </w:r>
      <w:r>
        <w:rPr>
          <w:rFonts w:hint="eastAsia" w:ascii="宋体" w:hAnsi="宋体" w:eastAsia="宋体" w:cs="宋体"/>
          <w:bCs/>
          <w:color w:val="auto"/>
          <w:kern w:val="1"/>
          <w:sz w:val="24"/>
          <w:highlight w:val="none"/>
          <w:lang w:eastAsia="zh-CN" w:bidi="ar"/>
        </w:rPr>
        <w:t>第五章</w:t>
      </w:r>
      <w:r>
        <w:rPr>
          <w:rFonts w:hint="eastAsia" w:ascii="宋体" w:hAnsi="宋体" w:eastAsia="宋体" w:cs="宋体"/>
          <w:bCs/>
          <w:color w:val="auto"/>
          <w:kern w:val="1"/>
          <w:sz w:val="24"/>
          <w:highlight w:val="none"/>
          <w:lang w:bidi="ar"/>
        </w:rPr>
        <w:t>中未提供格式的由</w:t>
      </w:r>
      <w:r>
        <w:rPr>
          <w:rFonts w:hint="eastAsia" w:ascii="宋体" w:hAnsi="宋体" w:eastAsia="宋体" w:cs="宋体"/>
          <w:bCs/>
          <w:color w:val="auto"/>
          <w:kern w:val="1"/>
          <w:sz w:val="24"/>
          <w:highlight w:val="none"/>
          <w:lang w:eastAsia="zh-CN" w:bidi="ar"/>
        </w:rPr>
        <w:t>供应商</w:t>
      </w:r>
      <w:r>
        <w:rPr>
          <w:rFonts w:hint="eastAsia" w:ascii="宋体" w:hAnsi="宋体" w:eastAsia="宋体" w:cs="宋体"/>
          <w:bCs/>
          <w:color w:val="auto"/>
          <w:kern w:val="1"/>
          <w:sz w:val="24"/>
          <w:highlight w:val="none"/>
          <w:lang w:bidi="ar"/>
        </w:rPr>
        <w:t>自拟。</w:t>
      </w:r>
      <w:r>
        <w:rPr>
          <w:rFonts w:hint="eastAsia" w:ascii="宋体" w:hAnsi="宋体" w:eastAsia="宋体" w:cs="宋体"/>
          <w:bCs/>
          <w:color w:val="auto"/>
          <w:kern w:val="1"/>
          <w:sz w:val="24"/>
          <w:highlight w:val="none"/>
          <w:lang w:eastAsia="zh-CN" w:bidi="ar"/>
        </w:rPr>
        <w:t>响应文件</w:t>
      </w:r>
      <w:r>
        <w:rPr>
          <w:rFonts w:hint="eastAsia" w:ascii="宋体" w:hAnsi="宋体" w:eastAsia="宋体" w:cs="宋体"/>
          <w:bCs/>
          <w:color w:val="auto"/>
          <w:kern w:val="1"/>
          <w:sz w:val="24"/>
          <w:highlight w:val="none"/>
          <w:lang w:bidi="ar"/>
        </w:rPr>
        <w:t>中提供的所有证明材料均为彩色扫描件，且清晰可辨，</w:t>
      </w:r>
      <w:r>
        <w:rPr>
          <w:rFonts w:hint="eastAsia" w:ascii="宋体" w:hAnsi="宋体" w:eastAsia="宋体" w:cs="宋体"/>
          <w:bCs/>
          <w:color w:val="000000" w:themeColor="text1"/>
          <w:kern w:val="1"/>
          <w:sz w:val="24"/>
          <w:highlight w:val="none"/>
          <w:lang w:eastAsia="zh-CN" w:bidi="ar"/>
          <w14:textFill>
            <w14:solidFill>
              <w14:schemeClr w14:val="tx1"/>
            </w14:solidFill>
          </w14:textFill>
        </w:rPr>
        <w:t>并对所提供的</w:t>
      </w:r>
      <w:r>
        <w:rPr>
          <w:rFonts w:hint="eastAsia" w:ascii="宋体" w:hAnsi="宋体" w:eastAsia="宋体" w:cs="宋体"/>
          <w:bCs/>
          <w:color w:val="000000" w:themeColor="text1"/>
          <w:kern w:val="1"/>
          <w:sz w:val="24"/>
          <w:highlight w:val="none"/>
          <w:lang w:bidi="ar"/>
          <w14:textFill>
            <w14:solidFill>
              <w14:schemeClr w14:val="tx1"/>
            </w14:solidFill>
          </w14:textFill>
        </w:rPr>
        <w:t>投标材料真实有效</w:t>
      </w:r>
      <w:r>
        <w:rPr>
          <w:rFonts w:hint="eastAsia" w:ascii="宋体" w:hAnsi="宋体" w:eastAsia="宋体" w:cs="宋体"/>
          <w:bCs/>
          <w:color w:val="000000" w:themeColor="text1"/>
          <w:kern w:val="1"/>
          <w:sz w:val="24"/>
          <w:highlight w:val="none"/>
          <w:lang w:eastAsia="zh-CN" w:bidi="ar"/>
          <w14:textFill>
            <w14:solidFill>
              <w14:schemeClr w14:val="tx1"/>
            </w14:solidFill>
          </w14:textFill>
        </w:rPr>
        <w:t>性进行承诺，</w:t>
      </w:r>
      <w:r>
        <w:rPr>
          <w:rFonts w:hint="eastAsia" w:ascii="宋体" w:hAnsi="宋体" w:eastAsia="宋体" w:cs="宋体"/>
          <w:bCs/>
          <w:color w:val="auto"/>
          <w:kern w:val="1"/>
          <w:sz w:val="24"/>
          <w:highlight w:val="none"/>
          <w:lang w:bidi="ar"/>
        </w:rPr>
        <w:t>如因</w:t>
      </w:r>
      <w:r>
        <w:rPr>
          <w:rFonts w:hint="eastAsia" w:ascii="宋体" w:hAnsi="宋体" w:eastAsia="宋体" w:cs="宋体"/>
          <w:bCs/>
          <w:color w:val="auto"/>
          <w:kern w:val="1"/>
          <w:sz w:val="24"/>
          <w:highlight w:val="none"/>
          <w:lang w:eastAsia="zh-CN" w:bidi="ar"/>
        </w:rPr>
        <w:t>供应商</w:t>
      </w:r>
      <w:r>
        <w:rPr>
          <w:rFonts w:hint="eastAsia" w:ascii="宋体" w:hAnsi="宋体" w:eastAsia="宋体" w:cs="宋体"/>
          <w:bCs/>
          <w:color w:val="auto"/>
          <w:kern w:val="1"/>
          <w:sz w:val="24"/>
          <w:highlight w:val="none"/>
          <w:lang w:bidi="ar"/>
        </w:rPr>
        <w:t>提供的证明材料模糊或不可辨认，造成废标或不被评标委员会认定为评审依据，后果自行承担。</w:t>
      </w:r>
    </w:p>
    <w:p w14:paraId="4BC37AA4">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kern w:val="1"/>
          <w:sz w:val="24"/>
          <w:highlight w:val="none"/>
          <w:lang w:bidi="ar"/>
        </w:rPr>
      </w:pPr>
      <w:r>
        <w:rPr>
          <w:rFonts w:hint="eastAsia" w:ascii="宋体" w:hAnsi="宋体" w:eastAsia="宋体" w:cs="宋体"/>
          <w:bCs/>
          <w:color w:val="auto"/>
          <w:kern w:val="1"/>
          <w:sz w:val="24"/>
          <w:highlight w:val="none"/>
          <w:lang w:bidi="ar"/>
        </w:rPr>
        <w:t>响应文件中的任何改动之处应加盖供应商企业电子签章或单位公章，并由供应商的法定代表人或其委托代理人个人电子签名章或签字确认。响应文件中提供的所有扫描件均为彩色扫描件应加盖供应商企业电子签章或单位公章，竞争性磋商文件要求在响应文件中提供的所有书面承诺均应加盖法定代表人电子签名章或签字并加盖供应商企业电子签章或单位公章，响应文件签字和盖章的其他要求见供应商须知前附表。</w:t>
      </w:r>
    </w:p>
    <w:p w14:paraId="51C63BB7">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kern w:val="1"/>
          <w:sz w:val="24"/>
          <w:highlight w:val="none"/>
          <w:lang w:bidi="ar"/>
        </w:rPr>
      </w:pPr>
      <w:r>
        <w:rPr>
          <w:rFonts w:hint="eastAsia" w:ascii="宋体" w:hAnsi="宋体" w:eastAsia="宋体" w:cs="宋体"/>
          <w:bCs/>
          <w:color w:val="auto"/>
          <w:kern w:val="1"/>
          <w:sz w:val="24"/>
          <w:highlight w:val="none"/>
          <w:lang w:val="en-US" w:eastAsia="zh-CN" w:bidi="ar"/>
        </w:rPr>
        <w:t>3.2.3第五章响应文件格式</w:t>
      </w:r>
      <w:r>
        <w:rPr>
          <w:rFonts w:hint="eastAsia" w:ascii="宋体" w:hAnsi="宋体" w:eastAsia="宋体" w:cs="宋体"/>
          <w:bCs/>
          <w:color w:val="auto"/>
          <w:kern w:val="1"/>
          <w:sz w:val="24"/>
          <w:highlight w:val="none"/>
          <w:lang w:bidi="ar"/>
        </w:rPr>
        <w:t>“十一、供应商认为需要提供的其他相关资料”中除</w:t>
      </w:r>
      <w:r>
        <w:rPr>
          <w:rFonts w:hint="eastAsia" w:ascii="宋体" w:hAnsi="宋体" w:eastAsia="宋体" w:cs="宋体"/>
          <w:bCs/>
          <w:color w:val="auto"/>
          <w:kern w:val="1"/>
          <w:sz w:val="24"/>
          <w:highlight w:val="none"/>
          <w:lang w:val="en-US" w:eastAsia="zh-CN" w:bidi="ar"/>
        </w:rPr>
        <w:t>供应商</w:t>
      </w:r>
      <w:r>
        <w:rPr>
          <w:rFonts w:hint="eastAsia" w:ascii="宋体" w:hAnsi="宋体" w:eastAsia="宋体" w:cs="宋体"/>
          <w:bCs/>
          <w:color w:val="auto"/>
          <w:kern w:val="1"/>
          <w:sz w:val="24"/>
          <w:highlight w:val="none"/>
          <w:lang w:bidi="ar"/>
        </w:rPr>
        <w:t>认为需提供的资料以外还须包括：廉洁自律承诺书、政府采购诚信承诺书</w:t>
      </w:r>
      <w:r>
        <w:rPr>
          <w:rFonts w:hint="eastAsia" w:ascii="宋体" w:hAnsi="宋体" w:eastAsia="宋体" w:cs="宋体"/>
          <w:bCs/>
          <w:color w:val="auto"/>
          <w:kern w:val="1"/>
          <w:sz w:val="24"/>
          <w:highlight w:val="none"/>
          <w:lang w:eastAsia="zh-CN" w:bidi="ar"/>
        </w:rPr>
        <w:t>、</w:t>
      </w:r>
      <w:r>
        <w:rPr>
          <w:rFonts w:hint="eastAsia" w:ascii="宋体" w:hAnsi="宋体" w:eastAsia="宋体" w:cs="宋体"/>
          <w:bCs/>
          <w:color w:val="auto"/>
          <w:kern w:val="1"/>
          <w:sz w:val="24"/>
          <w:highlight w:val="none"/>
          <w:lang w:val="en-US" w:eastAsia="zh-CN" w:bidi="ar"/>
        </w:rPr>
        <w:t>供应商</w:t>
      </w:r>
      <w:r>
        <w:rPr>
          <w:rFonts w:hint="eastAsia" w:ascii="宋体" w:hAnsi="宋体" w:eastAsia="宋体" w:cs="宋体"/>
          <w:bCs/>
          <w:color w:val="auto"/>
          <w:kern w:val="1"/>
          <w:sz w:val="24"/>
          <w:highlight w:val="none"/>
          <w:lang w:bidi="ar"/>
        </w:rPr>
        <w:t>信誉承诺书、投标材料真实有效承诺书。上述承诺书格式自拟，但必须有明确肯定的实质性内容，</w:t>
      </w:r>
      <w:r>
        <w:rPr>
          <w:rFonts w:hint="eastAsia" w:ascii="宋体" w:hAnsi="宋体" w:eastAsia="宋体" w:cs="宋体"/>
          <w:bCs/>
          <w:color w:val="auto"/>
          <w:kern w:val="1"/>
          <w:sz w:val="24"/>
          <w:highlight w:val="none"/>
          <w:lang w:eastAsia="zh-CN" w:bidi="ar"/>
        </w:rPr>
        <w:t>未按要求提供的不予通过资格审查</w:t>
      </w:r>
      <w:r>
        <w:rPr>
          <w:rFonts w:hint="eastAsia" w:ascii="宋体" w:hAnsi="宋体" w:eastAsia="宋体" w:cs="宋体"/>
          <w:bCs/>
          <w:color w:val="auto"/>
          <w:kern w:val="1"/>
          <w:sz w:val="24"/>
          <w:highlight w:val="none"/>
          <w:lang w:bidi="ar"/>
        </w:rPr>
        <w:t>。</w:t>
      </w:r>
    </w:p>
    <w:p w14:paraId="49F8058B">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bCs/>
          <w:color w:val="auto"/>
          <w:kern w:val="1"/>
          <w:sz w:val="24"/>
          <w:highlight w:val="none"/>
          <w:lang w:bidi="ar"/>
        </w:rPr>
        <w:t>3.2.</w:t>
      </w:r>
      <w:r>
        <w:rPr>
          <w:rFonts w:hint="eastAsia" w:ascii="宋体" w:hAnsi="宋体" w:cs="宋体"/>
          <w:bCs/>
          <w:color w:val="auto"/>
          <w:kern w:val="1"/>
          <w:sz w:val="24"/>
          <w:highlight w:val="none"/>
          <w:lang w:val="en-US" w:eastAsia="zh-CN" w:bidi="ar"/>
        </w:rPr>
        <w:t>4</w:t>
      </w:r>
      <w:r>
        <w:rPr>
          <w:rFonts w:hint="eastAsia" w:ascii="宋体" w:hAnsi="宋体" w:eastAsia="宋体" w:cs="宋体"/>
          <w:bCs/>
          <w:color w:val="auto"/>
          <w:kern w:val="1"/>
          <w:sz w:val="24"/>
          <w:highlight w:val="none"/>
          <w:lang w:eastAsia="zh-CN" w:bidi="ar"/>
        </w:rPr>
        <w:t>响应文件</w:t>
      </w:r>
      <w:r>
        <w:rPr>
          <w:rFonts w:hint="eastAsia" w:ascii="宋体" w:hAnsi="宋体" w:eastAsia="宋体" w:cs="宋体"/>
          <w:bCs/>
          <w:color w:val="auto"/>
          <w:kern w:val="1"/>
          <w:sz w:val="24"/>
          <w:highlight w:val="none"/>
          <w:lang w:bidi="ar"/>
        </w:rPr>
        <w:t>应对</w:t>
      </w:r>
      <w:r>
        <w:rPr>
          <w:rFonts w:hint="eastAsia" w:ascii="宋体" w:hAnsi="宋体" w:eastAsia="宋体" w:cs="宋体"/>
          <w:bCs/>
          <w:color w:val="auto"/>
          <w:kern w:val="1"/>
          <w:sz w:val="24"/>
          <w:highlight w:val="none"/>
          <w:lang w:eastAsia="zh-CN" w:bidi="ar"/>
        </w:rPr>
        <w:t>竞争性磋商文件</w:t>
      </w:r>
      <w:r>
        <w:rPr>
          <w:rFonts w:hint="eastAsia" w:ascii="宋体" w:hAnsi="宋体" w:eastAsia="宋体" w:cs="宋体"/>
          <w:bCs/>
          <w:color w:val="auto"/>
          <w:kern w:val="1"/>
          <w:sz w:val="24"/>
          <w:highlight w:val="none"/>
          <w:lang w:bidi="ar"/>
        </w:rPr>
        <w:t>有关的</w:t>
      </w:r>
      <w:r>
        <w:rPr>
          <w:rFonts w:hint="eastAsia" w:ascii="宋体" w:hAnsi="宋体" w:cs="宋体"/>
          <w:bCs/>
          <w:color w:val="auto"/>
          <w:kern w:val="1"/>
          <w:sz w:val="24"/>
          <w:highlight w:val="none"/>
          <w:lang w:val="en-US" w:eastAsia="zh-CN" w:bidi="ar"/>
        </w:rPr>
        <w:t>采购需求</w:t>
      </w:r>
      <w:r>
        <w:rPr>
          <w:rFonts w:hint="eastAsia" w:ascii="宋体" w:hAnsi="宋体" w:eastAsia="宋体" w:cs="宋体"/>
          <w:bCs/>
          <w:color w:val="auto"/>
          <w:kern w:val="1"/>
          <w:sz w:val="24"/>
          <w:highlight w:val="none"/>
          <w:lang w:bidi="ar"/>
        </w:rPr>
        <w:t>、投标有效期、</w:t>
      </w:r>
      <w:r>
        <w:rPr>
          <w:rFonts w:hint="eastAsia" w:ascii="宋体" w:hAnsi="宋体" w:eastAsia="宋体" w:cs="宋体"/>
          <w:bCs/>
          <w:color w:val="auto"/>
          <w:kern w:val="1"/>
          <w:sz w:val="24"/>
          <w:highlight w:val="none"/>
          <w:lang w:eastAsia="zh-CN" w:bidi="ar"/>
        </w:rPr>
        <w:t>质量要求</w:t>
      </w:r>
      <w:r>
        <w:rPr>
          <w:rFonts w:hint="eastAsia" w:ascii="宋体" w:hAnsi="宋体" w:eastAsia="宋体" w:cs="宋体"/>
          <w:bCs/>
          <w:color w:val="auto"/>
          <w:kern w:val="1"/>
          <w:sz w:val="24"/>
          <w:highlight w:val="none"/>
          <w:lang w:bidi="ar"/>
        </w:rPr>
        <w:t>、</w:t>
      </w:r>
      <w:r>
        <w:rPr>
          <w:rFonts w:hint="eastAsia" w:ascii="宋体" w:hAnsi="宋体" w:cs="宋体"/>
          <w:bCs/>
          <w:color w:val="auto"/>
          <w:kern w:val="1"/>
          <w:sz w:val="24"/>
          <w:highlight w:val="none"/>
          <w:lang w:val="en-US" w:eastAsia="zh-CN" w:bidi="ar"/>
        </w:rPr>
        <w:t>工期</w:t>
      </w:r>
      <w:r>
        <w:rPr>
          <w:rFonts w:hint="eastAsia" w:ascii="宋体" w:hAnsi="宋体" w:eastAsia="宋体" w:cs="宋体"/>
          <w:bCs/>
          <w:color w:val="auto"/>
          <w:kern w:val="1"/>
          <w:sz w:val="24"/>
          <w:highlight w:val="none"/>
          <w:lang w:bidi="ar"/>
        </w:rPr>
        <w:t>、</w:t>
      </w:r>
      <w:r>
        <w:rPr>
          <w:rFonts w:hint="eastAsia" w:ascii="宋体" w:hAnsi="宋体" w:cs="宋体"/>
          <w:bCs/>
          <w:color w:val="auto"/>
          <w:kern w:val="1"/>
          <w:sz w:val="24"/>
          <w:highlight w:val="none"/>
          <w:lang w:val="en-US" w:eastAsia="zh-CN" w:bidi="ar"/>
        </w:rPr>
        <w:t>项目</w:t>
      </w:r>
      <w:r>
        <w:rPr>
          <w:rFonts w:hint="eastAsia" w:ascii="宋体" w:hAnsi="宋体" w:eastAsia="宋体" w:cs="宋体"/>
          <w:bCs/>
          <w:color w:val="auto"/>
          <w:kern w:val="1"/>
          <w:sz w:val="24"/>
          <w:highlight w:val="none"/>
          <w:lang w:bidi="ar"/>
        </w:rPr>
        <w:t>地点等作出响应承诺</w:t>
      </w:r>
      <w:r>
        <w:rPr>
          <w:rFonts w:hint="eastAsia" w:ascii="宋体" w:hAnsi="宋体" w:eastAsia="宋体" w:cs="宋体"/>
          <w:bCs/>
          <w:color w:val="auto"/>
          <w:kern w:val="1"/>
          <w:sz w:val="24"/>
          <w:highlight w:val="none"/>
          <w:lang w:eastAsia="zh-CN" w:bidi="ar"/>
        </w:rPr>
        <w:t>，否则将不予通过</w:t>
      </w:r>
      <w:r>
        <w:rPr>
          <w:rFonts w:hint="eastAsia" w:ascii="宋体" w:hAnsi="宋体" w:eastAsia="宋体" w:cs="宋体"/>
          <w:color w:val="auto"/>
          <w:kern w:val="1"/>
          <w:sz w:val="24"/>
          <w:highlight w:val="none"/>
          <w:lang w:eastAsia="zh-CN"/>
        </w:rPr>
        <w:t>资格审查</w:t>
      </w:r>
      <w:r>
        <w:rPr>
          <w:rFonts w:hint="eastAsia" w:ascii="宋体" w:hAnsi="宋体" w:eastAsia="宋体" w:cs="宋体"/>
          <w:color w:val="auto"/>
          <w:kern w:val="1"/>
          <w:sz w:val="24"/>
          <w:highlight w:val="none"/>
        </w:rPr>
        <w:t>。</w:t>
      </w:r>
    </w:p>
    <w:p w14:paraId="18DC70D8">
      <w:pPr>
        <w:pStyle w:val="6"/>
        <w:pageBreakBefore w:val="0"/>
        <w:widowControl/>
        <w:kinsoku/>
        <w:wordWrap/>
        <w:overflowPunct/>
        <w:topLinePunct w:val="0"/>
        <w:bidi w:val="0"/>
        <w:snapToGrid/>
        <w:spacing w:before="0" w:after="0" w:line="580" w:lineRule="exact"/>
        <w:ind w:right="15" w:rightChars="7"/>
        <w:textAlignment w:val="auto"/>
        <w:outlineLvl w:val="2"/>
        <w:rPr>
          <w:rFonts w:hint="eastAsia" w:ascii="宋体" w:hAnsi="宋体" w:eastAsia="宋体" w:cs="宋体"/>
          <w:color w:val="auto"/>
          <w:kern w:val="1"/>
          <w:sz w:val="24"/>
          <w:szCs w:val="24"/>
          <w:highlight w:val="none"/>
        </w:rPr>
      </w:pPr>
      <w:bookmarkStart w:id="122" w:name="_Toc485249608"/>
      <w:bookmarkStart w:id="123" w:name="_Toc453658164"/>
      <w:r>
        <w:rPr>
          <w:rFonts w:hint="eastAsia" w:ascii="宋体" w:hAnsi="宋体" w:eastAsia="宋体" w:cs="宋体"/>
          <w:color w:val="auto"/>
          <w:kern w:val="1"/>
          <w:sz w:val="24"/>
          <w:szCs w:val="24"/>
          <w:highlight w:val="none"/>
        </w:rPr>
        <w:t>3.3</w:t>
      </w:r>
      <w:r>
        <w:rPr>
          <w:rFonts w:hint="eastAsia" w:ascii="宋体" w:hAnsi="宋体" w:eastAsia="宋体" w:cs="宋体"/>
          <w:color w:val="auto"/>
          <w:kern w:val="1"/>
          <w:sz w:val="24"/>
          <w:szCs w:val="24"/>
          <w:highlight w:val="none"/>
          <w:lang w:val="en-US" w:eastAsia="zh-CN"/>
        </w:rPr>
        <w:t>磋商</w:t>
      </w:r>
      <w:r>
        <w:rPr>
          <w:rFonts w:hint="eastAsia" w:ascii="宋体" w:hAnsi="宋体" w:eastAsia="宋体" w:cs="宋体"/>
          <w:color w:val="auto"/>
          <w:kern w:val="1"/>
          <w:sz w:val="24"/>
          <w:szCs w:val="24"/>
          <w:highlight w:val="none"/>
        </w:rPr>
        <w:t>报价</w:t>
      </w:r>
      <w:bookmarkEnd w:id="122"/>
      <w:bookmarkEnd w:id="123"/>
    </w:p>
    <w:p w14:paraId="5F200BF4">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3.3.1磋商报价编制依据为竞争性磋商文件和</w:t>
      </w:r>
      <w:r>
        <w:rPr>
          <w:rFonts w:hint="eastAsia" w:ascii="宋体" w:hAnsi="宋体" w:cs="宋体"/>
          <w:color w:val="auto"/>
          <w:kern w:val="1"/>
          <w:sz w:val="24"/>
          <w:highlight w:val="none"/>
          <w:lang w:val="en-US" w:eastAsia="zh-CN" w:bidi="ar"/>
        </w:rPr>
        <w:t>施工图</w:t>
      </w:r>
      <w:r>
        <w:rPr>
          <w:rFonts w:hint="eastAsia" w:ascii="宋体" w:hAnsi="宋体" w:eastAsia="宋体" w:cs="宋体"/>
          <w:color w:val="auto"/>
          <w:kern w:val="1"/>
          <w:sz w:val="24"/>
          <w:highlight w:val="none"/>
          <w:lang w:val="en-US" w:eastAsia="zh-CN" w:bidi="ar"/>
        </w:rPr>
        <w:t>，还应按照以下计价依据进行编制：</w:t>
      </w:r>
    </w:p>
    <w:p w14:paraId="2C0D039E">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cs="宋体"/>
          <w:color w:val="auto"/>
          <w:kern w:val="1"/>
          <w:sz w:val="24"/>
          <w:highlight w:val="none"/>
          <w:lang w:val="en-US" w:eastAsia="zh-CN" w:bidi="ar"/>
        </w:rPr>
        <w:t>（1）</w:t>
      </w:r>
      <w:r>
        <w:rPr>
          <w:rFonts w:hint="eastAsia" w:ascii="宋体" w:hAnsi="宋体" w:eastAsia="宋体" w:cs="宋体"/>
          <w:color w:val="auto"/>
          <w:kern w:val="1"/>
          <w:sz w:val="24"/>
          <w:highlight w:val="none"/>
          <w:lang w:val="en-US" w:eastAsia="zh-CN" w:bidi="ar"/>
        </w:rPr>
        <w:t>编制依据：</w:t>
      </w:r>
    </w:p>
    <w:p w14:paraId="1EF8E5E9">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default" w:ascii="宋体" w:hAnsi="宋体" w:eastAsia="宋体" w:cs="宋体"/>
          <w:color w:val="auto"/>
          <w:kern w:val="1"/>
          <w:sz w:val="24"/>
          <w:highlight w:val="none"/>
          <w:lang w:val="en-US" w:eastAsia="zh-CN" w:bidi="ar"/>
        </w:rPr>
        <w:t>①</w:t>
      </w:r>
      <w:r>
        <w:rPr>
          <w:rFonts w:hint="eastAsia" w:ascii="宋体" w:hAnsi="宋体" w:eastAsia="宋体" w:cs="宋体"/>
          <w:color w:val="auto"/>
          <w:kern w:val="1"/>
          <w:sz w:val="24"/>
          <w:highlight w:val="none"/>
          <w:lang w:val="en-US" w:eastAsia="zh-CN" w:bidi="ar"/>
        </w:rPr>
        <w:t>建设单位提供的《景洪市第四中学行政楼、主教学楼及学生宿舍楼修缮建设项目》的施工图纸。</w:t>
      </w:r>
    </w:p>
    <w:p w14:paraId="02DB1FC3">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default" w:ascii="宋体" w:hAnsi="宋体" w:eastAsia="宋体" w:cs="宋体"/>
          <w:color w:val="auto"/>
          <w:kern w:val="1"/>
          <w:sz w:val="24"/>
          <w:highlight w:val="none"/>
          <w:lang w:val="en-US" w:eastAsia="zh-CN" w:bidi="ar"/>
        </w:rPr>
        <w:t>②</w:t>
      </w:r>
      <w:r>
        <w:rPr>
          <w:rFonts w:hint="eastAsia" w:ascii="宋体" w:hAnsi="宋体" w:eastAsia="宋体" w:cs="宋体"/>
          <w:color w:val="auto"/>
          <w:kern w:val="1"/>
          <w:sz w:val="24"/>
          <w:highlight w:val="none"/>
          <w:lang w:val="en-US" w:eastAsia="zh-CN" w:bidi="ar"/>
        </w:rPr>
        <w:t>《建设工程工程量清单计价规范》GB50500-2013、《房屋建筑与装饰工程工程量计算规范》GB50854-2013、《通用安装工程工程量计算规范》GB50856-2013、《园林绿化工程工程量计算规范》GB50858-2013及相关配套费用文件及解释和勘误。</w:t>
      </w:r>
    </w:p>
    <w:p w14:paraId="706617A3">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default" w:ascii="宋体" w:hAnsi="宋体" w:eastAsia="宋体" w:cs="宋体"/>
          <w:color w:val="auto"/>
          <w:kern w:val="1"/>
          <w:sz w:val="24"/>
          <w:highlight w:val="none"/>
          <w:lang w:val="en-US" w:eastAsia="zh-CN" w:bidi="ar"/>
        </w:rPr>
        <w:t>③</w:t>
      </w:r>
      <w:r>
        <w:rPr>
          <w:rFonts w:hint="eastAsia" w:ascii="宋体" w:hAnsi="宋体" w:eastAsia="宋体" w:cs="宋体"/>
          <w:color w:val="auto"/>
          <w:kern w:val="1"/>
          <w:sz w:val="24"/>
          <w:highlight w:val="none"/>
          <w:lang w:val="en-US" w:eastAsia="zh-CN" w:bidi="ar"/>
        </w:rPr>
        <w:t>《建筑工程施工发包与承包计价管理办法》（建设部令【2013】第16号）。</w:t>
      </w:r>
    </w:p>
    <w:p w14:paraId="1ABF229A">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fldChar w:fldCharType="begin"/>
      </w:r>
      <w:r>
        <w:rPr>
          <w:rFonts w:hint="eastAsia" w:ascii="宋体" w:hAnsi="宋体" w:eastAsia="宋体" w:cs="宋体"/>
          <w:color w:val="auto"/>
          <w:kern w:val="1"/>
          <w:sz w:val="24"/>
          <w:highlight w:val="none"/>
          <w:lang w:val="en-US" w:eastAsia="zh-CN" w:bidi="ar"/>
        </w:rPr>
        <w:instrText xml:space="preserve"> = 4 \* GB3 \* MERGEFORMAT </w:instrText>
      </w:r>
      <w:r>
        <w:rPr>
          <w:rFonts w:hint="eastAsia" w:ascii="宋体" w:hAnsi="宋体" w:eastAsia="宋体" w:cs="宋体"/>
          <w:color w:val="auto"/>
          <w:kern w:val="1"/>
          <w:sz w:val="24"/>
          <w:highlight w:val="none"/>
          <w:lang w:val="en-US" w:eastAsia="zh-CN" w:bidi="ar"/>
        </w:rPr>
        <w:fldChar w:fldCharType="separate"/>
      </w:r>
      <w:r>
        <w:rPr>
          <w:rFonts w:hint="eastAsia" w:ascii="宋体" w:hAnsi="宋体" w:eastAsia="宋体" w:cs="宋体"/>
          <w:color w:val="auto"/>
          <w:kern w:val="1"/>
          <w:sz w:val="24"/>
          <w:highlight w:val="none"/>
          <w:lang w:val="en-US" w:eastAsia="zh-CN" w:bidi="ar"/>
        </w:rPr>
        <w:t>④</w:t>
      </w:r>
      <w:r>
        <w:rPr>
          <w:rFonts w:hint="eastAsia" w:ascii="宋体" w:hAnsi="宋体" w:eastAsia="宋体" w:cs="宋体"/>
          <w:color w:val="auto"/>
          <w:kern w:val="1"/>
          <w:sz w:val="24"/>
          <w:highlight w:val="none"/>
          <w:lang w:val="en-US" w:eastAsia="zh-CN" w:bidi="ar"/>
        </w:rPr>
        <w:fldChar w:fldCharType="end"/>
      </w:r>
      <w:r>
        <w:rPr>
          <w:rFonts w:hint="eastAsia" w:ascii="宋体" w:hAnsi="宋体" w:eastAsia="宋体" w:cs="宋体"/>
          <w:color w:val="auto"/>
          <w:kern w:val="1"/>
          <w:sz w:val="24"/>
          <w:highlight w:val="none"/>
          <w:lang w:val="en-US" w:eastAsia="zh-CN" w:bidi="ar"/>
        </w:rPr>
        <w:t>《云南省建设厅关于将意外伤害保险、安全防护文明施工费列入建安工程造价的通知》（云建标（2005）第661号）。</w:t>
      </w:r>
    </w:p>
    <w:p w14:paraId="585A87BC">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fldChar w:fldCharType="begin"/>
      </w:r>
      <w:r>
        <w:rPr>
          <w:rFonts w:hint="eastAsia" w:ascii="宋体" w:hAnsi="宋体" w:eastAsia="宋体" w:cs="宋体"/>
          <w:color w:val="auto"/>
          <w:kern w:val="1"/>
          <w:sz w:val="24"/>
          <w:highlight w:val="none"/>
          <w:lang w:val="en-US" w:eastAsia="zh-CN" w:bidi="ar"/>
        </w:rPr>
        <w:instrText xml:space="preserve"> = 5 \* GB3 \* MERGEFORMAT </w:instrText>
      </w:r>
      <w:r>
        <w:rPr>
          <w:rFonts w:hint="eastAsia" w:ascii="宋体" w:hAnsi="宋体" w:eastAsia="宋体" w:cs="宋体"/>
          <w:color w:val="auto"/>
          <w:kern w:val="1"/>
          <w:sz w:val="24"/>
          <w:highlight w:val="none"/>
          <w:lang w:val="en-US" w:eastAsia="zh-CN" w:bidi="ar"/>
        </w:rPr>
        <w:fldChar w:fldCharType="separate"/>
      </w:r>
      <w:r>
        <w:rPr>
          <w:rFonts w:hint="eastAsia" w:ascii="宋体" w:hAnsi="宋体" w:eastAsia="宋体" w:cs="宋体"/>
          <w:color w:val="auto"/>
          <w:kern w:val="1"/>
          <w:sz w:val="24"/>
          <w:highlight w:val="none"/>
          <w:lang w:val="en-US" w:eastAsia="zh-CN" w:bidi="ar"/>
        </w:rPr>
        <w:t>⑤</w:t>
      </w:r>
      <w:r>
        <w:rPr>
          <w:rFonts w:hint="eastAsia" w:ascii="宋体" w:hAnsi="宋体" w:eastAsia="宋体" w:cs="宋体"/>
          <w:color w:val="auto"/>
          <w:kern w:val="1"/>
          <w:sz w:val="24"/>
          <w:highlight w:val="none"/>
          <w:lang w:val="en-US" w:eastAsia="zh-CN" w:bidi="ar"/>
        </w:rPr>
        <w:fldChar w:fldCharType="end"/>
      </w:r>
      <w:r>
        <w:rPr>
          <w:rFonts w:hint="eastAsia" w:ascii="宋体" w:hAnsi="宋体" w:eastAsia="宋体" w:cs="宋体"/>
          <w:color w:val="auto"/>
          <w:kern w:val="1"/>
          <w:sz w:val="24"/>
          <w:highlight w:val="none"/>
          <w:lang w:val="en-US" w:eastAsia="zh-CN" w:bidi="ar"/>
        </w:rPr>
        <w:t>《云南省建设厅关于进一步规范建设工程材料价格波动风险条款约定及工程合同价款调整等事宜的通知》（云建标（2008）201号）。</w:t>
      </w:r>
    </w:p>
    <w:p w14:paraId="36B8E8C8">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fldChar w:fldCharType="begin"/>
      </w:r>
      <w:r>
        <w:rPr>
          <w:rFonts w:hint="eastAsia" w:ascii="宋体" w:hAnsi="宋体" w:eastAsia="宋体" w:cs="宋体"/>
          <w:color w:val="auto"/>
          <w:kern w:val="1"/>
          <w:sz w:val="24"/>
          <w:highlight w:val="none"/>
          <w:lang w:val="en-US" w:eastAsia="zh-CN" w:bidi="ar"/>
        </w:rPr>
        <w:instrText xml:space="preserve"> = 6 \* GB3 \* MERGEFORMAT </w:instrText>
      </w:r>
      <w:r>
        <w:rPr>
          <w:rFonts w:hint="eastAsia" w:ascii="宋体" w:hAnsi="宋体" w:eastAsia="宋体" w:cs="宋体"/>
          <w:color w:val="auto"/>
          <w:kern w:val="1"/>
          <w:sz w:val="24"/>
          <w:highlight w:val="none"/>
          <w:lang w:val="en-US" w:eastAsia="zh-CN" w:bidi="ar"/>
        </w:rPr>
        <w:fldChar w:fldCharType="separate"/>
      </w:r>
      <w:r>
        <w:rPr>
          <w:rFonts w:hint="eastAsia" w:ascii="宋体" w:hAnsi="宋体" w:eastAsia="宋体" w:cs="宋体"/>
          <w:color w:val="auto"/>
          <w:kern w:val="1"/>
          <w:sz w:val="24"/>
          <w:highlight w:val="none"/>
          <w:lang w:val="en-US" w:eastAsia="zh-CN" w:bidi="ar"/>
        </w:rPr>
        <w:t>⑥</w:t>
      </w:r>
      <w:r>
        <w:rPr>
          <w:rFonts w:hint="eastAsia" w:ascii="宋体" w:hAnsi="宋体" w:eastAsia="宋体" w:cs="宋体"/>
          <w:color w:val="auto"/>
          <w:kern w:val="1"/>
          <w:sz w:val="24"/>
          <w:highlight w:val="none"/>
          <w:lang w:val="en-US" w:eastAsia="zh-CN" w:bidi="ar"/>
        </w:rPr>
        <w:fldChar w:fldCharType="end"/>
      </w:r>
      <w:r>
        <w:rPr>
          <w:rFonts w:hint="eastAsia" w:ascii="宋体" w:hAnsi="宋体" w:eastAsia="宋体" w:cs="宋体"/>
          <w:color w:val="auto"/>
          <w:kern w:val="1"/>
          <w:sz w:val="24"/>
          <w:highlight w:val="none"/>
          <w:lang w:val="en-US" w:eastAsia="zh-CN" w:bidi="ar"/>
        </w:rPr>
        <w:t>《云南省建设厅关于停止征收工程定额测定费有关事项的通知》（云建标（2008）713号）。</w:t>
      </w:r>
    </w:p>
    <w:p w14:paraId="2D74E537">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fldChar w:fldCharType="begin"/>
      </w:r>
      <w:r>
        <w:rPr>
          <w:rFonts w:hint="eastAsia" w:ascii="宋体" w:hAnsi="宋体" w:eastAsia="宋体" w:cs="宋体"/>
          <w:color w:val="auto"/>
          <w:kern w:val="1"/>
          <w:sz w:val="24"/>
          <w:highlight w:val="none"/>
          <w:lang w:val="en-US" w:eastAsia="zh-CN" w:bidi="ar"/>
        </w:rPr>
        <w:instrText xml:space="preserve"> = 7 \* GB3 \* MERGEFORMAT </w:instrText>
      </w:r>
      <w:r>
        <w:rPr>
          <w:rFonts w:hint="eastAsia" w:ascii="宋体" w:hAnsi="宋体" w:eastAsia="宋体" w:cs="宋体"/>
          <w:color w:val="auto"/>
          <w:kern w:val="1"/>
          <w:sz w:val="24"/>
          <w:highlight w:val="none"/>
          <w:lang w:val="en-US" w:eastAsia="zh-CN" w:bidi="ar"/>
        </w:rPr>
        <w:fldChar w:fldCharType="separate"/>
      </w:r>
      <w:r>
        <w:rPr>
          <w:rFonts w:hint="eastAsia" w:ascii="宋体" w:hAnsi="宋体" w:eastAsia="宋体" w:cs="宋体"/>
          <w:color w:val="auto"/>
          <w:kern w:val="1"/>
          <w:sz w:val="24"/>
          <w:highlight w:val="none"/>
          <w:lang w:val="en-US" w:eastAsia="zh-CN" w:bidi="ar"/>
        </w:rPr>
        <w:t>⑦</w:t>
      </w:r>
      <w:r>
        <w:rPr>
          <w:rFonts w:hint="eastAsia" w:ascii="宋体" w:hAnsi="宋体" w:eastAsia="宋体" w:cs="宋体"/>
          <w:color w:val="auto"/>
          <w:kern w:val="1"/>
          <w:sz w:val="24"/>
          <w:highlight w:val="none"/>
          <w:lang w:val="en-US" w:eastAsia="zh-CN" w:bidi="ar"/>
        </w:rPr>
        <w:fldChar w:fldCharType="end"/>
      </w:r>
      <w:r>
        <w:rPr>
          <w:rFonts w:hint="eastAsia" w:ascii="宋体" w:hAnsi="宋体" w:eastAsia="宋体" w:cs="宋体"/>
          <w:color w:val="auto"/>
          <w:kern w:val="1"/>
          <w:sz w:val="24"/>
          <w:highlight w:val="none"/>
          <w:lang w:val="en-US" w:eastAsia="zh-CN" w:bidi="ar"/>
        </w:rPr>
        <w:t>云建科涵【2019】62号文《关于重新调整云南省建设工程造价计价依据中税金综合税率的通知》。</w:t>
      </w:r>
    </w:p>
    <w:p w14:paraId="6A94175E">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fldChar w:fldCharType="begin"/>
      </w:r>
      <w:r>
        <w:rPr>
          <w:rFonts w:hint="eastAsia" w:ascii="宋体" w:hAnsi="宋体" w:eastAsia="宋体" w:cs="宋体"/>
          <w:color w:val="auto"/>
          <w:kern w:val="1"/>
          <w:sz w:val="24"/>
          <w:highlight w:val="none"/>
          <w:lang w:val="en-US" w:eastAsia="zh-CN" w:bidi="ar"/>
        </w:rPr>
        <w:instrText xml:space="preserve"> = 8 \* GB3 \* MERGEFORMAT </w:instrText>
      </w:r>
      <w:r>
        <w:rPr>
          <w:rFonts w:hint="eastAsia" w:ascii="宋体" w:hAnsi="宋体" w:eastAsia="宋体" w:cs="宋体"/>
          <w:color w:val="auto"/>
          <w:kern w:val="1"/>
          <w:sz w:val="24"/>
          <w:highlight w:val="none"/>
          <w:lang w:val="en-US" w:eastAsia="zh-CN" w:bidi="ar"/>
        </w:rPr>
        <w:fldChar w:fldCharType="separate"/>
      </w:r>
      <w:r>
        <w:rPr>
          <w:rFonts w:hint="eastAsia" w:ascii="宋体" w:hAnsi="宋体" w:eastAsia="宋体" w:cs="宋体"/>
          <w:color w:val="auto"/>
          <w:kern w:val="1"/>
          <w:sz w:val="24"/>
          <w:highlight w:val="none"/>
          <w:lang w:val="en-US" w:eastAsia="zh-CN" w:bidi="ar"/>
        </w:rPr>
        <w:t>⑧</w:t>
      </w:r>
      <w:r>
        <w:rPr>
          <w:rFonts w:hint="eastAsia" w:ascii="宋体" w:hAnsi="宋体" w:eastAsia="宋体" w:cs="宋体"/>
          <w:color w:val="auto"/>
          <w:kern w:val="1"/>
          <w:sz w:val="24"/>
          <w:highlight w:val="none"/>
          <w:lang w:val="en-US" w:eastAsia="zh-CN" w:bidi="ar"/>
        </w:rPr>
        <w:fldChar w:fldCharType="end"/>
      </w:r>
      <w:r>
        <w:rPr>
          <w:rFonts w:hint="eastAsia" w:ascii="宋体" w:hAnsi="宋体" w:eastAsia="宋体" w:cs="宋体"/>
          <w:color w:val="auto"/>
          <w:kern w:val="1"/>
          <w:sz w:val="24"/>
          <w:highlight w:val="none"/>
          <w:lang w:val="en-US" w:eastAsia="zh-CN" w:bidi="ar"/>
        </w:rPr>
        <w:t>云南省住房和城乡建设厅《关于云南省建设工程造价计价标准(2020版)》发布实施的通知(云建科[2021]15号)及其相关配套的计价文件的规定，消耗量定额主要采用《云南省建筑工程计价标准》DBJ 53/T-61-2020、《云南省通用安装工程计价标准》DBJ 53/T-63-2020《云南省市政工程计价标准》DBJ 53/T-59-2020、《云南省建设工程造价计价规则及机械仪器仪表台班费用定额》DBJ 53/T-58-2020。</w:t>
      </w:r>
    </w:p>
    <w:p w14:paraId="1D04EC3E">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fldChar w:fldCharType="begin"/>
      </w:r>
      <w:r>
        <w:rPr>
          <w:rFonts w:hint="eastAsia" w:ascii="宋体" w:hAnsi="宋体" w:eastAsia="宋体" w:cs="宋体"/>
          <w:color w:val="auto"/>
          <w:kern w:val="1"/>
          <w:sz w:val="24"/>
          <w:highlight w:val="none"/>
          <w:lang w:val="en-US" w:eastAsia="zh-CN" w:bidi="ar"/>
        </w:rPr>
        <w:instrText xml:space="preserve"> = 9 \* GB3 \* MERGEFORMAT </w:instrText>
      </w:r>
      <w:r>
        <w:rPr>
          <w:rFonts w:hint="eastAsia" w:ascii="宋体" w:hAnsi="宋体" w:eastAsia="宋体" w:cs="宋体"/>
          <w:color w:val="auto"/>
          <w:kern w:val="1"/>
          <w:sz w:val="24"/>
          <w:highlight w:val="none"/>
          <w:lang w:val="en-US" w:eastAsia="zh-CN" w:bidi="ar"/>
        </w:rPr>
        <w:fldChar w:fldCharType="separate"/>
      </w:r>
      <w:r>
        <w:rPr>
          <w:rFonts w:hint="eastAsia" w:ascii="宋体" w:hAnsi="宋体" w:eastAsia="宋体" w:cs="宋体"/>
          <w:color w:val="auto"/>
          <w:kern w:val="1"/>
          <w:sz w:val="24"/>
          <w:highlight w:val="none"/>
          <w:lang w:val="en-US" w:eastAsia="zh-CN" w:bidi="ar"/>
        </w:rPr>
        <w:t>⑨</w:t>
      </w:r>
      <w:r>
        <w:rPr>
          <w:rFonts w:hint="eastAsia" w:ascii="宋体" w:hAnsi="宋体" w:eastAsia="宋体" w:cs="宋体"/>
          <w:color w:val="auto"/>
          <w:kern w:val="1"/>
          <w:sz w:val="24"/>
          <w:highlight w:val="none"/>
          <w:lang w:val="en-US" w:eastAsia="zh-CN" w:bidi="ar"/>
        </w:rPr>
        <w:fldChar w:fldCharType="end"/>
      </w:r>
      <w:r>
        <w:rPr>
          <w:rFonts w:hint="eastAsia" w:ascii="宋体" w:hAnsi="宋体" w:eastAsia="宋体" w:cs="宋体"/>
          <w:color w:val="auto"/>
          <w:kern w:val="1"/>
          <w:sz w:val="24"/>
          <w:highlight w:val="none"/>
          <w:lang w:val="en-US" w:eastAsia="zh-CN" w:bidi="ar"/>
        </w:rPr>
        <w:t>主要材料价格参考《西双版纳州建设材料价格信息》2025年01-02月西双版纳地区景洪市材料价,并结合施工当地的市场供应状况综合取定。</w:t>
      </w:r>
    </w:p>
    <w:p w14:paraId="45A65CE5">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cs="宋体"/>
          <w:color w:val="auto"/>
          <w:kern w:val="1"/>
          <w:sz w:val="24"/>
          <w:highlight w:val="none"/>
          <w:lang w:val="en-US" w:eastAsia="zh-CN" w:bidi="ar"/>
        </w:rPr>
        <w:t>（2）</w:t>
      </w:r>
      <w:r>
        <w:rPr>
          <w:rFonts w:hint="eastAsia" w:ascii="宋体" w:hAnsi="宋体" w:eastAsia="宋体" w:cs="宋体"/>
          <w:color w:val="auto"/>
          <w:kern w:val="1"/>
          <w:sz w:val="24"/>
          <w:highlight w:val="none"/>
          <w:lang w:val="en-US" w:eastAsia="zh-CN" w:bidi="ar"/>
        </w:rPr>
        <w:t>其它说明：</w:t>
      </w:r>
    </w:p>
    <w:p w14:paraId="614A7A59">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default" w:ascii="宋体" w:hAnsi="宋体" w:eastAsia="宋体" w:cs="宋体"/>
          <w:color w:val="auto"/>
          <w:kern w:val="1"/>
          <w:sz w:val="24"/>
          <w:highlight w:val="none"/>
          <w:lang w:val="en-US" w:eastAsia="zh-CN" w:bidi="ar"/>
        </w:rPr>
        <w:t>①</w:t>
      </w:r>
      <w:r>
        <w:rPr>
          <w:rFonts w:hint="eastAsia" w:ascii="宋体" w:hAnsi="宋体" w:eastAsia="宋体" w:cs="宋体"/>
          <w:color w:val="auto"/>
          <w:kern w:val="1"/>
          <w:sz w:val="24"/>
          <w:highlight w:val="none"/>
          <w:lang w:val="en-US" w:eastAsia="zh-CN" w:bidi="ar"/>
        </w:rPr>
        <w:t>行政楼暂列金额13万元，主教学楼暂列金额30万元，宿舍楼暂列金额20万元</w:t>
      </w:r>
      <w:r>
        <w:rPr>
          <w:rFonts w:hint="eastAsia" w:ascii="宋体" w:hAnsi="宋体" w:cs="宋体"/>
          <w:color w:val="auto"/>
          <w:kern w:val="1"/>
          <w:sz w:val="24"/>
          <w:highlight w:val="none"/>
          <w:lang w:val="en-US" w:eastAsia="zh-CN" w:bidi="ar"/>
        </w:rPr>
        <w:t>。</w:t>
      </w:r>
    </w:p>
    <w:p w14:paraId="5FC43F00">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default" w:ascii="宋体" w:hAnsi="宋体" w:eastAsia="宋体" w:cs="宋体"/>
          <w:color w:val="auto"/>
          <w:kern w:val="1"/>
          <w:sz w:val="24"/>
          <w:highlight w:val="none"/>
          <w:lang w:val="en-US" w:eastAsia="zh-CN" w:bidi="ar"/>
        </w:rPr>
        <w:t>②</w:t>
      </w:r>
      <w:r>
        <w:rPr>
          <w:rFonts w:hint="eastAsia" w:ascii="宋体" w:hAnsi="宋体" w:eastAsia="宋体" w:cs="宋体"/>
          <w:color w:val="auto"/>
          <w:kern w:val="1"/>
          <w:sz w:val="24"/>
          <w:highlight w:val="none"/>
          <w:lang w:val="en-US" w:eastAsia="zh-CN" w:bidi="ar"/>
        </w:rPr>
        <w:t>工程量清单应与</w:t>
      </w:r>
      <w:r>
        <w:rPr>
          <w:rFonts w:hint="eastAsia" w:ascii="宋体" w:hAnsi="宋体" w:cs="宋体"/>
          <w:color w:val="auto"/>
          <w:kern w:val="1"/>
          <w:sz w:val="24"/>
          <w:highlight w:val="none"/>
          <w:lang w:val="en-US" w:eastAsia="zh-CN" w:bidi="ar"/>
        </w:rPr>
        <w:t>招标文件</w:t>
      </w:r>
      <w:r>
        <w:rPr>
          <w:rFonts w:hint="eastAsia" w:ascii="宋体" w:hAnsi="宋体" w:eastAsia="宋体" w:cs="宋体"/>
          <w:color w:val="auto"/>
          <w:kern w:val="1"/>
          <w:sz w:val="24"/>
          <w:highlight w:val="none"/>
          <w:lang w:val="en-US" w:eastAsia="zh-CN" w:bidi="ar"/>
        </w:rPr>
        <w:t>、本投标报价须知、合同条款、技术规范及图纸等文件结合起来查阅与理解。</w:t>
      </w:r>
    </w:p>
    <w:p w14:paraId="6F4D7352">
      <w:pPr>
        <w:pageBreakBefore w:val="0"/>
        <w:numPr>
          <w:ilvl w:val="0"/>
          <w:numId w:val="0"/>
        </w:numPr>
        <w:kinsoku/>
        <w:wordWrap/>
        <w:overflowPunct/>
        <w:topLinePunct w:val="0"/>
        <w:bidi w:val="0"/>
        <w:snapToGrid/>
        <w:spacing w:line="580" w:lineRule="exact"/>
        <w:ind w:right="15" w:rightChars="7" w:firstLine="480" w:firstLineChars="200"/>
        <w:textAlignment w:val="auto"/>
        <w:rPr>
          <w:rFonts w:hint="eastAsia" w:ascii="宋体" w:hAnsi="宋体" w:eastAsia="宋体" w:cs="宋体"/>
          <w:color w:val="auto"/>
          <w:kern w:val="1"/>
          <w:sz w:val="24"/>
          <w:highlight w:val="none"/>
          <w:lang w:val="en-US" w:eastAsia="zh-CN" w:bidi="ar"/>
        </w:rPr>
      </w:pPr>
      <w:r>
        <w:rPr>
          <w:rFonts w:hint="default" w:ascii="宋体" w:hAnsi="宋体" w:eastAsia="宋体" w:cs="宋体"/>
          <w:color w:val="auto"/>
          <w:kern w:val="1"/>
          <w:sz w:val="24"/>
          <w:highlight w:val="none"/>
          <w:lang w:val="en-US" w:eastAsia="zh-CN" w:bidi="ar"/>
        </w:rPr>
        <w:t>③</w:t>
      </w:r>
      <w:r>
        <w:rPr>
          <w:rFonts w:hint="eastAsia" w:ascii="宋体" w:hAnsi="宋体" w:eastAsia="宋体" w:cs="宋体"/>
          <w:color w:val="auto"/>
          <w:kern w:val="1"/>
          <w:sz w:val="24"/>
          <w:highlight w:val="none"/>
          <w:lang w:val="en-US" w:eastAsia="zh-CN" w:bidi="ar"/>
        </w:rPr>
        <w:t>工程量清单中所列工程数量为设计图纸计算数量及估算数量，仅作为投标的共同基础，不能作为最终结算与支付的依据，结算时按实际发生工程量结算。</w:t>
      </w:r>
    </w:p>
    <w:p w14:paraId="72A7D542">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val="en-US" w:eastAsia="zh-CN" w:bidi="ar"/>
        </w:rPr>
      </w:pPr>
      <w:r>
        <w:rPr>
          <w:rFonts w:hint="eastAsia" w:ascii="宋体" w:hAnsi="宋体" w:eastAsia="宋体" w:cs="宋体"/>
          <w:color w:val="auto"/>
          <w:kern w:val="1"/>
          <w:sz w:val="24"/>
          <w:highlight w:val="none"/>
          <w:lang w:val="en-US" w:eastAsia="zh-CN" w:bidi="ar"/>
        </w:rPr>
        <w:t>3.3.2 磋商报价的相关要求：详见供应商须知前附表。</w:t>
      </w:r>
    </w:p>
    <w:p w14:paraId="5DB6F5E0">
      <w:pPr>
        <w:pStyle w:val="6"/>
        <w:pageBreakBefore w:val="0"/>
        <w:widowControl/>
        <w:kinsoku/>
        <w:wordWrap/>
        <w:overflowPunct/>
        <w:topLinePunct w:val="0"/>
        <w:bidi w:val="0"/>
        <w:snapToGrid/>
        <w:spacing w:before="0" w:after="0" w:line="580" w:lineRule="exact"/>
        <w:ind w:right="15" w:rightChars="7"/>
        <w:textAlignment w:val="auto"/>
        <w:outlineLvl w:val="2"/>
        <w:rPr>
          <w:rFonts w:hint="eastAsia" w:ascii="宋体" w:hAnsi="宋体" w:eastAsia="宋体" w:cs="宋体"/>
          <w:color w:val="auto"/>
          <w:kern w:val="1"/>
          <w:sz w:val="24"/>
          <w:szCs w:val="24"/>
          <w:highlight w:val="none"/>
        </w:rPr>
      </w:pPr>
      <w:bookmarkStart w:id="124" w:name="_Toc485249609"/>
      <w:r>
        <w:rPr>
          <w:rFonts w:hint="eastAsia" w:ascii="宋体" w:hAnsi="宋体" w:eastAsia="宋体" w:cs="宋体"/>
          <w:color w:val="auto"/>
          <w:kern w:val="1"/>
          <w:sz w:val="24"/>
          <w:szCs w:val="24"/>
          <w:highlight w:val="none"/>
        </w:rPr>
        <w:t>3.4</w:t>
      </w:r>
      <w:r>
        <w:rPr>
          <w:rFonts w:hint="eastAsia" w:ascii="宋体" w:hAnsi="宋体" w:eastAsia="宋体" w:cs="宋体"/>
          <w:color w:val="auto"/>
          <w:kern w:val="1"/>
          <w:sz w:val="24"/>
          <w:szCs w:val="24"/>
          <w:highlight w:val="none"/>
          <w:lang w:val="en-US" w:eastAsia="zh-CN"/>
        </w:rPr>
        <w:t>磋商</w:t>
      </w:r>
      <w:r>
        <w:rPr>
          <w:rFonts w:hint="eastAsia" w:ascii="宋体" w:hAnsi="宋体" w:eastAsia="宋体" w:cs="宋体"/>
          <w:color w:val="auto"/>
          <w:kern w:val="1"/>
          <w:sz w:val="24"/>
          <w:szCs w:val="24"/>
          <w:highlight w:val="none"/>
        </w:rPr>
        <w:t>保证金</w:t>
      </w:r>
      <w:bookmarkEnd w:id="124"/>
    </w:p>
    <w:p w14:paraId="4395F277">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3.4.1</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须在</w:t>
      </w:r>
      <w:r>
        <w:rPr>
          <w:rFonts w:hint="eastAsia" w:ascii="宋体" w:hAnsi="宋体" w:eastAsia="宋体" w:cs="宋体"/>
          <w:color w:val="auto"/>
          <w:kern w:val="1"/>
          <w:sz w:val="24"/>
          <w:highlight w:val="none"/>
          <w:lang w:eastAsia="zh-CN" w:bidi="ar"/>
        </w:rPr>
        <w:t>响应文件</w:t>
      </w:r>
      <w:r>
        <w:rPr>
          <w:rFonts w:hint="eastAsia" w:ascii="宋体" w:hAnsi="宋体" w:eastAsia="宋体" w:cs="宋体"/>
          <w:color w:val="auto"/>
          <w:kern w:val="1"/>
          <w:sz w:val="24"/>
          <w:highlight w:val="none"/>
          <w:lang w:bidi="ar"/>
        </w:rPr>
        <w:t>递交截止日期前提供</w:t>
      </w:r>
      <w:r>
        <w:rPr>
          <w:rFonts w:hint="eastAsia" w:ascii="宋体" w:hAnsi="宋体" w:cs="宋体"/>
          <w:color w:val="auto"/>
          <w:kern w:val="1"/>
          <w:sz w:val="24"/>
          <w:highlight w:val="none"/>
          <w:lang w:val="en-US" w:eastAsia="zh-CN" w:bidi="ar"/>
        </w:rPr>
        <w:t>磋商</w:t>
      </w:r>
      <w:r>
        <w:rPr>
          <w:rFonts w:hint="eastAsia" w:ascii="宋体" w:hAnsi="宋体" w:eastAsia="宋体" w:cs="宋体"/>
          <w:color w:val="auto"/>
          <w:kern w:val="1"/>
          <w:sz w:val="24"/>
          <w:highlight w:val="none"/>
          <w:lang w:bidi="ar"/>
        </w:rPr>
        <w:t>保证金。</w:t>
      </w:r>
    </w:p>
    <w:p w14:paraId="7C121951">
      <w:pPr>
        <w:pageBreakBefore w:val="0"/>
        <w:kinsoku/>
        <w:wordWrap/>
        <w:overflowPunct/>
        <w:topLinePunct w:val="0"/>
        <w:autoSpaceDE w:val="0"/>
        <w:autoSpaceDN w:val="0"/>
        <w:bidi w:val="0"/>
        <w:snapToGrid/>
        <w:spacing w:line="580" w:lineRule="exact"/>
        <w:ind w:left="57" w:leftChars="27" w:right="15" w:rightChars="7" w:firstLine="480" w:firstLineChars="200"/>
        <w:textAlignment w:val="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t xml:space="preserve">3.4.2 </w:t>
      </w:r>
      <w:r>
        <w:rPr>
          <w:rFonts w:hint="eastAsia" w:ascii="宋体" w:hAnsi="宋体" w:eastAsia="宋体" w:cs="宋体"/>
          <w:bCs/>
          <w:color w:val="auto"/>
          <w:sz w:val="24"/>
          <w:highlight w:val="none"/>
          <w:lang w:eastAsia="zh-CN" w:bidi="ar"/>
        </w:rPr>
        <w:t>投标</w:t>
      </w:r>
      <w:r>
        <w:rPr>
          <w:rFonts w:hint="eastAsia" w:ascii="宋体" w:hAnsi="宋体" w:eastAsia="宋体" w:cs="宋体"/>
          <w:bCs/>
          <w:color w:val="auto"/>
          <w:sz w:val="24"/>
          <w:highlight w:val="none"/>
          <w:lang w:bidi="ar"/>
        </w:rPr>
        <w:t>保证金的形式及金额：见</w:t>
      </w:r>
      <w:r>
        <w:rPr>
          <w:rFonts w:hint="eastAsia" w:ascii="宋体" w:hAnsi="宋体" w:eastAsia="宋体" w:cs="宋体"/>
          <w:bCs/>
          <w:color w:val="auto"/>
          <w:sz w:val="24"/>
          <w:highlight w:val="none"/>
          <w:lang w:eastAsia="zh-CN" w:bidi="ar"/>
        </w:rPr>
        <w:t>供应商</w:t>
      </w:r>
      <w:r>
        <w:rPr>
          <w:rFonts w:hint="eastAsia" w:ascii="宋体" w:hAnsi="宋体" w:eastAsia="宋体" w:cs="宋体"/>
          <w:bCs/>
          <w:color w:val="auto"/>
          <w:sz w:val="24"/>
          <w:highlight w:val="none"/>
          <w:lang w:bidi="ar"/>
        </w:rPr>
        <w:t>须知前附表。</w:t>
      </w:r>
    </w:p>
    <w:p w14:paraId="7A2D7BB2">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3.4.3未按上述3.4.1规定提交磋商保证金的，其响应文件作无效标书处理。</w:t>
      </w:r>
    </w:p>
    <w:p w14:paraId="5DCF367E">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3.</w:t>
      </w:r>
      <w:r>
        <w:rPr>
          <w:rFonts w:hint="eastAsia" w:ascii="宋体" w:hAnsi="宋体" w:cs="宋体"/>
          <w:color w:val="auto"/>
          <w:kern w:val="1"/>
          <w:sz w:val="24"/>
          <w:highlight w:val="none"/>
          <w:lang w:val="en-US" w:eastAsia="zh-CN" w:bidi="ar"/>
        </w:rPr>
        <w:t>4</w:t>
      </w:r>
      <w:r>
        <w:rPr>
          <w:rFonts w:hint="eastAsia" w:ascii="宋体" w:hAnsi="宋体" w:eastAsia="宋体" w:cs="宋体"/>
          <w:color w:val="auto"/>
          <w:kern w:val="1"/>
          <w:sz w:val="24"/>
          <w:highlight w:val="none"/>
          <w:lang w:bidi="ar"/>
        </w:rPr>
        <w:t>.</w:t>
      </w:r>
      <w:r>
        <w:rPr>
          <w:rFonts w:hint="eastAsia" w:ascii="宋体" w:hAnsi="宋体" w:cs="宋体"/>
          <w:color w:val="auto"/>
          <w:kern w:val="1"/>
          <w:sz w:val="24"/>
          <w:highlight w:val="none"/>
          <w:lang w:val="en-US" w:eastAsia="zh-CN" w:bidi="ar"/>
        </w:rPr>
        <w:t>4</w:t>
      </w:r>
      <w:r>
        <w:rPr>
          <w:rFonts w:hint="eastAsia" w:ascii="宋体" w:hAnsi="宋体" w:eastAsia="宋体" w:cs="宋体"/>
          <w:color w:val="auto"/>
          <w:kern w:val="1"/>
          <w:sz w:val="24"/>
          <w:highlight w:val="none"/>
          <w:lang w:bidi="ar"/>
        </w:rPr>
        <w:t xml:space="preserve"> 采购代理机构应当在成交通知书发出后5个工作日内退还未成交供应商的磋商保证金，在采购合同签订后5个工作日内退还成交供应商的磋商保证金。</w:t>
      </w:r>
    </w:p>
    <w:p w14:paraId="7E03015D">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3.4.</w:t>
      </w:r>
      <w:r>
        <w:rPr>
          <w:rFonts w:hint="eastAsia" w:ascii="宋体" w:hAnsi="宋体" w:cs="宋体"/>
          <w:color w:val="auto"/>
          <w:kern w:val="1"/>
          <w:sz w:val="24"/>
          <w:highlight w:val="none"/>
          <w:lang w:val="en-US" w:eastAsia="zh-CN" w:bidi="ar"/>
        </w:rPr>
        <w:t>5</w:t>
      </w:r>
      <w:r>
        <w:rPr>
          <w:rFonts w:hint="eastAsia" w:ascii="宋体" w:hAnsi="宋体" w:eastAsia="宋体" w:cs="宋体"/>
          <w:color w:val="auto"/>
          <w:kern w:val="1"/>
          <w:sz w:val="24"/>
          <w:highlight w:val="none"/>
          <w:lang w:bidi="ar"/>
        </w:rPr>
        <w:t>下列任何情况之一发生时，</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保证金将被没收:</w:t>
      </w:r>
    </w:p>
    <w:p w14:paraId="07F7848F">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 xml:space="preserve">(1) </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在</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中规定的</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有效期内撤回其</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w:t>
      </w:r>
    </w:p>
    <w:p w14:paraId="4D1DE47C">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(2) 成交人未在规定时间内交纳</w:t>
      </w:r>
      <w:r>
        <w:rPr>
          <w:rFonts w:hint="eastAsia" w:ascii="宋体" w:hAnsi="宋体" w:eastAsia="宋体" w:cs="宋体"/>
          <w:color w:val="auto"/>
          <w:kern w:val="1"/>
          <w:sz w:val="24"/>
          <w:highlight w:val="none"/>
          <w:lang w:eastAsia="zh-CN" w:bidi="ar"/>
        </w:rPr>
        <w:t>竞争性磋商文件</w:t>
      </w:r>
      <w:r>
        <w:rPr>
          <w:rFonts w:hint="eastAsia" w:ascii="宋体" w:hAnsi="宋体" w:eastAsia="宋体" w:cs="宋体"/>
          <w:color w:val="auto"/>
          <w:kern w:val="1"/>
          <w:sz w:val="24"/>
          <w:highlight w:val="none"/>
          <w:lang w:bidi="ar"/>
        </w:rPr>
        <w:t>所规定的费用的；</w:t>
      </w:r>
    </w:p>
    <w:p w14:paraId="6FDDE06D">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eastAsia="zh-CN" w:bidi="ar"/>
        </w:rPr>
      </w:pPr>
      <w:r>
        <w:rPr>
          <w:rFonts w:hint="eastAsia" w:ascii="宋体" w:hAnsi="宋体" w:eastAsia="宋体" w:cs="宋体"/>
          <w:color w:val="auto"/>
          <w:kern w:val="1"/>
          <w:sz w:val="24"/>
          <w:highlight w:val="none"/>
          <w:lang w:bidi="ar"/>
        </w:rPr>
        <w:t>(3) 成交人未能在规定期限内（自发成交通知书之日30日历天）签订合同的</w:t>
      </w:r>
      <w:r>
        <w:rPr>
          <w:rFonts w:hint="eastAsia" w:ascii="宋体" w:hAnsi="宋体" w:cs="宋体"/>
          <w:color w:val="auto"/>
          <w:kern w:val="1"/>
          <w:sz w:val="24"/>
          <w:highlight w:val="none"/>
          <w:lang w:eastAsia="zh-CN" w:bidi="ar"/>
        </w:rPr>
        <w:t>；</w:t>
      </w:r>
    </w:p>
    <w:p w14:paraId="29A859AE">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w:t>
      </w:r>
      <w:r>
        <w:rPr>
          <w:rFonts w:hint="eastAsia" w:ascii="宋体" w:hAnsi="宋体" w:cs="宋体"/>
          <w:color w:val="auto"/>
          <w:kern w:val="1"/>
          <w:sz w:val="24"/>
          <w:highlight w:val="none"/>
          <w:lang w:val="en-US" w:eastAsia="zh-CN" w:bidi="ar"/>
        </w:rPr>
        <w:t>4</w:t>
      </w:r>
      <w:r>
        <w:rPr>
          <w:rFonts w:hint="eastAsia" w:ascii="宋体" w:hAnsi="宋体" w:eastAsia="宋体" w:cs="宋体"/>
          <w:color w:val="auto"/>
          <w:kern w:val="1"/>
          <w:sz w:val="24"/>
          <w:highlight w:val="none"/>
          <w:lang w:bidi="ar"/>
        </w:rPr>
        <w:t>)供应商与采购人、其他供应商或者采购代理机构恶意串通的。</w:t>
      </w:r>
    </w:p>
    <w:p w14:paraId="5D7643A9">
      <w:pPr>
        <w:pStyle w:val="6"/>
        <w:pageBreakBefore w:val="0"/>
        <w:widowControl/>
        <w:kinsoku/>
        <w:wordWrap/>
        <w:overflowPunct/>
        <w:topLinePunct w:val="0"/>
        <w:bidi w:val="0"/>
        <w:snapToGrid/>
        <w:spacing w:before="0" w:after="0" w:line="580" w:lineRule="exact"/>
        <w:ind w:right="15" w:rightChars="7"/>
        <w:textAlignment w:val="auto"/>
        <w:outlineLvl w:val="2"/>
        <w:rPr>
          <w:rFonts w:hint="eastAsia" w:ascii="宋体" w:hAnsi="宋体" w:eastAsia="宋体" w:cs="宋体"/>
          <w:color w:val="auto"/>
          <w:kern w:val="1"/>
          <w:sz w:val="24"/>
          <w:szCs w:val="24"/>
          <w:highlight w:val="none"/>
        </w:rPr>
      </w:pPr>
      <w:bookmarkStart w:id="125" w:name="_Toc453658165"/>
      <w:bookmarkStart w:id="126" w:name="_Toc485249610"/>
      <w:r>
        <w:rPr>
          <w:rFonts w:hint="eastAsia" w:ascii="宋体" w:hAnsi="宋体" w:eastAsia="宋体" w:cs="宋体"/>
          <w:color w:val="auto"/>
          <w:kern w:val="1"/>
          <w:sz w:val="24"/>
          <w:szCs w:val="24"/>
          <w:highlight w:val="none"/>
        </w:rPr>
        <w:t>3.5</w:t>
      </w:r>
      <w:r>
        <w:rPr>
          <w:rFonts w:hint="eastAsia" w:ascii="宋体" w:hAnsi="宋体" w:eastAsia="宋体" w:cs="宋体"/>
          <w:color w:val="auto"/>
          <w:kern w:val="1"/>
          <w:sz w:val="24"/>
          <w:szCs w:val="24"/>
          <w:highlight w:val="none"/>
          <w:lang w:eastAsia="zh-CN"/>
        </w:rPr>
        <w:t>投标</w:t>
      </w:r>
      <w:r>
        <w:rPr>
          <w:rFonts w:hint="eastAsia" w:ascii="宋体" w:hAnsi="宋体" w:eastAsia="宋体" w:cs="宋体"/>
          <w:color w:val="auto"/>
          <w:kern w:val="1"/>
          <w:sz w:val="24"/>
          <w:szCs w:val="24"/>
          <w:highlight w:val="none"/>
        </w:rPr>
        <w:t>有效期</w:t>
      </w:r>
      <w:bookmarkEnd w:id="125"/>
      <w:bookmarkEnd w:id="126"/>
    </w:p>
    <w:p w14:paraId="103A47EC">
      <w:pPr>
        <w:pageBreakBefore w:val="0"/>
        <w:kinsoku/>
        <w:wordWrap/>
        <w:overflowPunct/>
        <w:topLinePunct w:val="0"/>
        <w:bidi w:val="0"/>
        <w:snapToGrid/>
        <w:spacing w:line="580" w:lineRule="exact"/>
        <w:ind w:right="15" w:rightChars="7" w:firstLine="480"/>
        <w:textAlignment w:val="auto"/>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3.5.1</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的</w:t>
      </w:r>
      <w:r>
        <w:rPr>
          <w:rFonts w:hint="eastAsia" w:ascii="宋体" w:hAnsi="宋体" w:eastAsia="宋体" w:cs="宋体"/>
          <w:color w:val="auto"/>
          <w:kern w:val="1"/>
          <w:sz w:val="24"/>
          <w:highlight w:val="none"/>
          <w:lang w:eastAsia="zh-CN" w:bidi="ar"/>
        </w:rPr>
        <w:t>响应文件</w:t>
      </w:r>
      <w:r>
        <w:rPr>
          <w:rFonts w:hint="eastAsia" w:ascii="宋体" w:hAnsi="宋体" w:eastAsia="宋体" w:cs="宋体"/>
          <w:color w:val="auto"/>
          <w:kern w:val="1"/>
          <w:sz w:val="24"/>
          <w:highlight w:val="none"/>
          <w:lang w:bidi="ar"/>
        </w:rPr>
        <w:t>应从规定的开标之日起，在“</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须知前附表”第</w:t>
      </w:r>
      <w:r>
        <w:rPr>
          <w:rFonts w:hint="eastAsia" w:ascii="宋体" w:hAnsi="宋体" w:cs="宋体"/>
          <w:color w:val="auto"/>
          <w:kern w:val="1"/>
          <w:sz w:val="24"/>
          <w:highlight w:val="none"/>
          <w:lang w:val="en-US" w:eastAsia="zh-CN" w:bidi="ar"/>
        </w:rPr>
        <w:t>18</w:t>
      </w:r>
      <w:r>
        <w:rPr>
          <w:rFonts w:hint="eastAsia" w:ascii="宋体" w:hAnsi="宋体" w:eastAsia="宋体" w:cs="宋体"/>
          <w:color w:val="auto"/>
          <w:kern w:val="1"/>
          <w:sz w:val="24"/>
          <w:highlight w:val="none"/>
          <w:lang w:bidi="ar"/>
        </w:rPr>
        <w:t>项所规定的以日历天计算的</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有效期内有效。</w:t>
      </w:r>
      <w:r>
        <w:rPr>
          <w:rFonts w:hint="eastAsia" w:ascii="宋体" w:hAnsi="宋体" w:eastAsia="宋体" w:cs="宋体"/>
          <w:color w:val="auto"/>
          <w:kern w:val="1"/>
          <w:sz w:val="24"/>
          <w:highlight w:val="none"/>
          <w:lang w:eastAsia="zh-CN" w:bidi="ar"/>
        </w:rPr>
        <w:t>投标</w:t>
      </w:r>
      <w:r>
        <w:rPr>
          <w:rFonts w:hint="eastAsia" w:ascii="宋体" w:hAnsi="宋体" w:eastAsia="宋体" w:cs="宋体"/>
          <w:color w:val="auto"/>
          <w:kern w:val="1"/>
          <w:sz w:val="24"/>
          <w:highlight w:val="none"/>
          <w:lang w:bidi="ar"/>
        </w:rPr>
        <w:t>有效期比规定的时间短的应视为非响应标予以拒绝。</w:t>
      </w:r>
    </w:p>
    <w:p w14:paraId="2571066E">
      <w:pPr>
        <w:pageBreakBefore w:val="0"/>
        <w:kinsoku/>
        <w:wordWrap/>
        <w:overflowPunct/>
        <w:topLinePunct w:val="0"/>
        <w:bidi w:val="0"/>
        <w:snapToGrid/>
        <w:spacing w:line="580" w:lineRule="exact"/>
        <w:ind w:firstLine="540" w:firstLineChars="225"/>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kern w:val="1"/>
          <w:sz w:val="24"/>
          <w:highlight w:val="none"/>
          <w:lang w:bidi="ar"/>
        </w:rPr>
        <w:t>3.5.2因特殊情况需要延长有效期的，采购代理机构以网上公布形式通知所有</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b w:val="0"/>
          <w:bCs w:val="0"/>
          <w:color w:val="auto"/>
          <w:kern w:val="2"/>
          <w:sz w:val="24"/>
          <w:szCs w:val="24"/>
          <w:highlight w:val="none"/>
          <w:lang w:val="en-US" w:eastAsia="zh-CN" w:bidi="ar-SA"/>
        </w:rPr>
        <w:t>延长有效期，并在发布公告的媒介进行公示。</w:t>
      </w:r>
    </w:p>
    <w:p w14:paraId="175848E0">
      <w:pPr>
        <w:pageBreakBefore w:val="0"/>
        <w:kinsoku/>
        <w:wordWrap/>
        <w:overflowPunct/>
        <w:topLinePunct w:val="0"/>
        <w:bidi w:val="0"/>
        <w:snapToGrid/>
        <w:spacing w:line="580" w:lineRule="exact"/>
        <w:textAlignment w:val="auto"/>
        <w:outlineLvl w:val="1"/>
        <w:rPr>
          <w:rFonts w:hint="eastAsia" w:ascii="宋体" w:hAnsi="宋体" w:eastAsia="宋体" w:cs="宋体"/>
          <w:b w:val="0"/>
          <w:bCs w:val="0"/>
          <w:color w:val="auto"/>
          <w:kern w:val="2"/>
          <w:sz w:val="24"/>
          <w:szCs w:val="24"/>
          <w:highlight w:val="none"/>
          <w:lang w:val="en-US" w:eastAsia="zh-CN" w:bidi="ar-SA"/>
        </w:rPr>
      </w:pPr>
      <w:bookmarkStart w:id="127" w:name="_Toc11631"/>
      <w:bookmarkStart w:id="128" w:name="_Toc25026"/>
      <w:bookmarkStart w:id="129" w:name="_Toc10330"/>
      <w:bookmarkStart w:id="130" w:name="_Toc17466"/>
      <w:bookmarkStart w:id="131" w:name="_Toc319592623"/>
      <w:bookmarkStart w:id="132" w:name="_Toc347844139"/>
      <w:bookmarkStart w:id="133" w:name="_Toc347742318"/>
      <w:bookmarkStart w:id="134" w:name="_Toc347844276"/>
      <w:r>
        <w:rPr>
          <w:rFonts w:hint="eastAsia" w:ascii="宋体" w:hAnsi="宋体" w:eastAsia="宋体" w:cs="宋体"/>
          <w:b/>
          <w:bCs/>
          <w:color w:val="auto"/>
          <w:kern w:val="2"/>
          <w:sz w:val="24"/>
          <w:szCs w:val="24"/>
          <w:highlight w:val="none"/>
          <w:lang w:val="en-US" w:eastAsia="zh-CN" w:bidi="ar-SA"/>
        </w:rPr>
        <w:t>四、响应文件的递交</w:t>
      </w:r>
      <w:bookmarkEnd w:id="127"/>
      <w:bookmarkEnd w:id="128"/>
      <w:r>
        <w:rPr>
          <w:rFonts w:hint="eastAsia" w:ascii="宋体" w:hAnsi="宋体" w:cs="宋体"/>
          <w:b/>
          <w:bCs/>
          <w:color w:val="auto"/>
          <w:kern w:val="2"/>
          <w:sz w:val="24"/>
          <w:szCs w:val="24"/>
          <w:highlight w:val="none"/>
          <w:lang w:val="en-US" w:eastAsia="zh-CN" w:bidi="ar-SA"/>
        </w:rPr>
        <w:t>及解密</w:t>
      </w:r>
      <w:bookmarkEnd w:id="129"/>
      <w:bookmarkEnd w:id="130"/>
    </w:p>
    <w:p w14:paraId="51F4584B">
      <w:pPr>
        <w:pageBreakBefore w:val="0"/>
        <w:kinsoku/>
        <w:wordWrap/>
        <w:overflowPunct/>
        <w:topLinePunct w:val="0"/>
        <w:bidi w:val="0"/>
        <w:snapToGrid/>
        <w:spacing w:line="580" w:lineRule="exact"/>
        <w:textAlignment w:val="auto"/>
        <w:outlineLvl w:val="2"/>
        <w:rPr>
          <w:rFonts w:hint="eastAsia" w:ascii="宋体" w:hAnsi="宋体" w:eastAsia="宋体" w:cs="宋体"/>
          <w:b/>
          <w:bCs/>
          <w:color w:val="auto"/>
          <w:kern w:val="2"/>
          <w:sz w:val="24"/>
          <w:szCs w:val="24"/>
          <w:highlight w:val="none"/>
          <w:lang w:val="en-US" w:eastAsia="zh-CN" w:bidi="ar-SA"/>
        </w:rPr>
      </w:pPr>
      <w:bookmarkStart w:id="135" w:name="_Toc347844138"/>
      <w:bookmarkStart w:id="136" w:name="_Toc152045558"/>
      <w:bookmarkStart w:id="137" w:name="_Toc319592622"/>
      <w:bookmarkStart w:id="138" w:name="_Toc347844275"/>
      <w:bookmarkStart w:id="139" w:name="_Toc347742317"/>
      <w:bookmarkStart w:id="140" w:name="_Toc308439043"/>
      <w:bookmarkStart w:id="141" w:name="_Toc152042334"/>
      <w:bookmarkStart w:id="142" w:name="_Toc179632576"/>
      <w:bookmarkStart w:id="143" w:name="_Toc144974526"/>
      <w:r>
        <w:rPr>
          <w:rFonts w:hint="eastAsia" w:ascii="宋体" w:hAnsi="宋体" w:eastAsia="宋体" w:cs="宋体"/>
          <w:b/>
          <w:bCs/>
          <w:color w:val="auto"/>
          <w:kern w:val="2"/>
          <w:sz w:val="24"/>
          <w:szCs w:val="24"/>
          <w:highlight w:val="none"/>
          <w:lang w:val="en-US" w:eastAsia="zh-CN" w:bidi="ar-SA"/>
        </w:rPr>
        <w:t>4.1响应文件的递交</w:t>
      </w:r>
    </w:p>
    <w:p w14:paraId="732D7E70">
      <w:pPr>
        <w:pageBreakBefore w:val="0"/>
        <w:kinsoku/>
        <w:wordWrap/>
        <w:overflowPunct/>
        <w:topLinePunct w:val="0"/>
        <w:bidi w:val="0"/>
        <w:snapToGrid/>
        <w:spacing w:line="58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b w:val="0"/>
          <w:bCs w:val="0"/>
          <w:color w:val="auto"/>
          <w:kern w:val="2"/>
          <w:sz w:val="24"/>
          <w:szCs w:val="24"/>
          <w:highlight w:val="none"/>
          <w:lang w:val="en-US" w:eastAsia="zh-CN" w:bidi="ar-SA"/>
        </w:rPr>
        <w:t>4.1.1供应商</w:t>
      </w:r>
      <w:r>
        <w:rPr>
          <w:rFonts w:hint="eastAsia" w:ascii="宋体" w:hAnsi="宋体" w:eastAsia="宋体" w:cs="宋体"/>
          <w:color w:val="auto"/>
          <w:sz w:val="24"/>
          <w:highlight w:val="none"/>
        </w:rPr>
        <w:t>应在</w:t>
      </w:r>
      <w:r>
        <w:rPr>
          <w:rFonts w:hint="eastAsia" w:ascii="宋体" w:hAnsi="宋体" w:eastAsia="宋体" w:cs="宋体"/>
          <w:color w:val="auto"/>
          <w:kern w:val="1"/>
          <w:sz w:val="24"/>
          <w:highlight w:val="none"/>
          <w:lang w:bidi="ar"/>
        </w:rPr>
        <w:t>“</w:t>
      </w: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须知前附表”</w:t>
      </w:r>
      <w:r>
        <w:rPr>
          <w:rFonts w:hint="eastAsia" w:ascii="宋体" w:hAnsi="宋体" w:eastAsia="宋体" w:cs="宋体"/>
          <w:color w:val="auto"/>
          <w:sz w:val="24"/>
          <w:highlight w:val="none"/>
        </w:rPr>
        <w:t>第</w:t>
      </w:r>
      <w:r>
        <w:rPr>
          <w:rFonts w:hint="eastAsia" w:ascii="宋体" w:hAnsi="宋体" w:cs="宋体"/>
          <w:b w:val="0"/>
          <w:bCs w:val="0"/>
          <w:color w:val="auto"/>
          <w:kern w:val="2"/>
          <w:sz w:val="24"/>
          <w:szCs w:val="24"/>
          <w:highlight w:val="none"/>
          <w:lang w:val="en-US" w:eastAsia="zh-CN" w:bidi="ar-SA"/>
        </w:rPr>
        <w:t>26</w:t>
      </w:r>
      <w:r>
        <w:rPr>
          <w:rFonts w:hint="eastAsia" w:ascii="宋体" w:hAnsi="宋体" w:eastAsia="宋体" w:cs="宋体"/>
          <w:b w:val="0"/>
          <w:bCs w:val="0"/>
          <w:color w:val="auto"/>
          <w:kern w:val="2"/>
          <w:sz w:val="24"/>
          <w:szCs w:val="24"/>
          <w:highlight w:val="none"/>
          <w:lang w:val="en-US" w:eastAsia="zh-CN" w:bidi="ar-SA"/>
        </w:rPr>
        <w:t>项规定的</w:t>
      </w:r>
      <w:r>
        <w:rPr>
          <w:rFonts w:hint="eastAsia" w:ascii="宋体" w:hAnsi="宋体" w:eastAsia="宋体" w:cs="宋体"/>
          <w:color w:val="auto"/>
          <w:sz w:val="24"/>
          <w:highlight w:val="none"/>
        </w:rPr>
        <w:t>投标截止时间前递交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p>
    <w:p w14:paraId="3A3685BB">
      <w:pPr>
        <w:pageBreakBefore w:val="0"/>
        <w:kinsoku/>
        <w:wordWrap/>
        <w:overflowPunct/>
        <w:topLinePunct w:val="0"/>
        <w:bidi w:val="0"/>
        <w:snapToGrid/>
        <w:spacing w:line="58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4.1.2网上</w:t>
      </w:r>
      <w:r>
        <w:rPr>
          <w:rFonts w:hint="eastAsia" w:ascii="宋体" w:hAnsi="宋体" w:eastAsia="宋体" w:cs="宋体"/>
          <w:color w:val="auto"/>
          <w:sz w:val="24"/>
          <w:highlight w:val="none"/>
          <w:lang w:eastAsia="zh-CN"/>
        </w:rPr>
        <w:t>递交</w:t>
      </w:r>
      <w:r>
        <w:rPr>
          <w:rFonts w:hint="eastAsia" w:ascii="宋体" w:hAnsi="宋体" w:eastAsia="宋体" w:cs="宋体"/>
          <w:color w:val="auto"/>
          <w:sz w:val="24"/>
          <w:highlight w:val="none"/>
        </w:rPr>
        <w:t>：</w:t>
      </w:r>
      <w:r>
        <w:rPr>
          <w:rFonts w:hint="eastAsia" w:ascii="宋体" w:hAnsi="宋体" w:eastAsia="宋体" w:cs="宋体"/>
          <w:b w:val="0"/>
          <w:bCs w:val="0"/>
          <w:color w:val="auto"/>
          <w:sz w:val="24"/>
          <w:highlight w:val="none"/>
          <w:lang w:val="en-US" w:eastAsia="zh-CN"/>
        </w:rPr>
        <w:t>网上递交网址为：政采云平台（https://www.zcygov.cn），供应商须在投标截止时间前完</w:t>
      </w:r>
      <w:r>
        <w:rPr>
          <w:rFonts w:hint="eastAsia" w:ascii="宋体" w:hAnsi="宋体" w:eastAsia="宋体" w:cs="宋体"/>
          <w:b w:val="0"/>
          <w:bCs w:val="0"/>
          <w:color w:val="auto"/>
          <w:kern w:val="2"/>
          <w:sz w:val="24"/>
          <w:szCs w:val="24"/>
          <w:highlight w:val="none"/>
          <w:lang w:val="en-US" w:eastAsia="zh-CN" w:bidi="ar-SA"/>
        </w:rPr>
        <w:t>成所有响应文件的上传，网上确认电子签名，并打印“上传响应文件回执”，投标截止时间前未完成响应文件传输的，视为撤回响应文件（如因</w:t>
      </w:r>
      <w:r>
        <w:rPr>
          <w:rFonts w:hint="eastAsia" w:ascii="宋体" w:hAnsi="宋体" w:eastAsia="宋体" w:cs="宋体"/>
          <w:color w:val="auto"/>
          <w:sz w:val="24"/>
          <w:szCs w:val="24"/>
          <w:highlight w:val="none"/>
        </w:rPr>
        <w:t>修改重新上传</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后，需再次确认并打印回执）</w:t>
      </w:r>
      <w:r>
        <w:rPr>
          <w:rFonts w:hint="eastAsia" w:ascii="宋体" w:hAnsi="宋体" w:eastAsia="宋体" w:cs="宋体"/>
          <w:color w:val="auto"/>
          <w:sz w:val="24"/>
          <w:highlight w:val="none"/>
        </w:rPr>
        <w:t>。</w:t>
      </w:r>
    </w:p>
    <w:p w14:paraId="62494C7D">
      <w:pPr>
        <w:pageBreakBefore w:val="0"/>
        <w:kinsoku/>
        <w:wordWrap/>
        <w:overflowPunct/>
        <w:topLinePunct w:val="0"/>
        <w:bidi w:val="0"/>
        <w:snapToGrid/>
        <w:spacing w:line="580" w:lineRule="exact"/>
        <w:ind w:firstLine="540" w:firstLineChars="225"/>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4.1.3</w:t>
      </w:r>
      <w:r>
        <w:rPr>
          <w:rFonts w:hint="eastAsia" w:ascii="宋体" w:hAnsi="宋体" w:eastAsia="宋体" w:cs="宋体"/>
          <w:color w:val="auto"/>
          <w:sz w:val="24"/>
          <w:highlight w:val="none"/>
        </w:rPr>
        <w:t xml:space="preserve"> 响应文件开启地点：见供应商须知前附表。</w:t>
      </w:r>
    </w:p>
    <w:p w14:paraId="28913D95">
      <w:pPr>
        <w:pageBreakBefore w:val="0"/>
        <w:kinsoku/>
        <w:wordWrap/>
        <w:overflowPunct/>
        <w:topLinePunct w:val="0"/>
        <w:bidi w:val="0"/>
        <w:snapToGrid/>
        <w:spacing w:line="580" w:lineRule="exact"/>
        <w:ind w:firstLine="540" w:firstLineChars="225"/>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4.1.4</w:t>
      </w:r>
      <w:r>
        <w:rPr>
          <w:rFonts w:hint="eastAsia" w:ascii="宋体" w:hAnsi="宋体" w:eastAsia="宋体" w:cs="宋体"/>
          <w:color w:val="auto"/>
          <w:sz w:val="24"/>
          <w:highlight w:val="none"/>
        </w:rPr>
        <w:t>响应文件解密方式：见供应商须知前附表。</w:t>
      </w:r>
    </w:p>
    <w:p w14:paraId="4705F88E">
      <w:pPr>
        <w:pageBreakBefore w:val="0"/>
        <w:kinsoku/>
        <w:wordWrap/>
        <w:overflowPunct/>
        <w:topLinePunct w:val="0"/>
        <w:bidi w:val="0"/>
        <w:snapToGrid/>
        <w:spacing w:line="580" w:lineRule="exact"/>
        <w:textAlignment w:val="auto"/>
        <w:outlineLvl w:val="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4.2响应文件的修改与撤回</w:t>
      </w:r>
    </w:p>
    <w:p w14:paraId="36EB17EE">
      <w:pPr>
        <w:pageBreakBefore w:val="0"/>
        <w:kinsoku/>
        <w:wordWrap/>
        <w:overflowPunct/>
        <w:topLinePunct w:val="0"/>
        <w:bidi w:val="0"/>
        <w:snapToGrid/>
        <w:spacing w:line="580" w:lineRule="exact"/>
        <w:ind w:firstLine="540" w:firstLineChars="225"/>
        <w:textAlignment w:val="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val="en-US" w:eastAsia="zh-CN"/>
        </w:rPr>
        <w:t>4.2.1</w:t>
      </w:r>
      <w:r>
        <w:rPr>
          <w:rFonts w:hint="eastAsia" w:ascii="宋体" w:hAnsi="宋体" w:eastAsia="宋体" w:cs="宋体"/>
          <w:b w:val="0"/>
          <w:bCs w:val="0"/>
          <w:color w:val="auto"/>
          <w:sz w:val="24"/>
          <w:highlight w:val="none"/>
          <w:lang w:val="en-US" w:eastAsia="zh-CN"/>
        </w:rPr>
        <w:t>在投标截止时间前，供应商可以修改或撤回已递交的响应文件，已递交的响应文件，无须以书面形式通知</w:t>
      </w:r>
      <w:r>
        <w:rPr>
          <w:rFonts w:hint="eastAsia" w:ascii="宋体" w:hAnsi="宋体" w:eastAsia="宋体" w:cs="宋体"/>
          <w:color w:val="auto"/>
          <w:sz w:val="24"/>
          <w:highlight w:val="none"/>
        </w:rPr>
        <w:t>采购人。</w:t>
      </w:r>
    </w:p>
    <w:p w14:paraId="372D1D01">
      <w:pPr>
        <w:pageBreakBefore w:val="0"/>
        <w:kinsoku/>
        <w:wordWrap/>
        <w:overflowPunct/>
        <w:topLinePunct w:val="0"/>
        <w:bidi w:val="0"/>
        <w:snapToGrid/>
        <w:spacing w:line="580" w:lineRule="exact"/>
        <w:ind w:firstLine="540" w:firstLineChars="225"/>
        <w:textAlignment w:val="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4.2.2修改的响应文件应按照附件3“电子响应文件编制及报送要求”规定进行编制及提交。</w:t>
      </w:r>
    </w:p>
    <w:bookmarkEnd w:id="135"/>
    <w:bookmarkEnd w:id="136"/>
    <w:bookmarkEnd w:id="137"/>
    <w:bookmarkEnd w:id="138"/>
    <w:bookmarkEnd w:id="139"/>
    <w:bookmarkEnd w:id="140"/>
    <w:bookmarkEnd w:id="141"/>
    <w:bookmarkEnd w:id="142"/>
    <w:bookmarkEnd w:id="143"/>
    <w:p w14:paraId="15699597">
      <w:pPr>
        <w:pStyle w:val="6"/>
        <w:pageBreakBefore w:val="0"/>
        <w:widowControl/>
        <w:kinsoku/>
        <w:wordWrap/>
        <w:overflowPunct/>
        <w:topLinePunct w:val="0"/>
        <w:bidi w:val="0"/>
        <w:snapToGrid/>
        <w:spacing w:before="0" w:after="0" w:line="580" w:lineRule="exact"/>
        <w:ind w:right="15" w:rightChars="7"/>
        <w:textAlignment w:val="auto"/>
        <w:outlineLvl w:val="2"/>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 xml:space="preserve">4.3 </w:t>
      </w:r>
      <w:r>
        <w:rPr>
          <w:rFonts w:hint="eastAsia" w:ascii="宋体" w:hAnsi="宋体" w:eastAsia="宋体" w:cs="宋体"/>
          <w:color w:val="auto"/>
          <w:kern w:val="1"/>
          <w:sz w:val="24"/>
          <w:szCs w:val="24"/>
          <w:highlight w:val="none"/>
          <w:lang w:eastAsia="zh-CN"/>
        </w:rPr>
        <w:t>响应文件</w:t>
      </w:r>
      <w:r>
        <w:rPr>
          <w:rFonts w:hint="eastAsia" w:ascii="宋体" w:hAnsi="宋体" w:eastAsia="宋体" w:cs="宋体"/>
          <w:color w:val="auto"/>
          <w:kern w:val="1"/>
          <w:sz w:val="24"/>
          <w:szCs w:val="24"/>
          <w:highlight w:val="none"/>
        </w:rPr>
        <w:t>计算错误的修正</w:t>
      </w:r>
      <w:bookmarkEnd w:id="131"/>
      <w:bookmarkEnd w:id="132"/>
      <w:bookmarkEnd w:id="133"/>
      <w:bookmarkEnd w:id="134"/>
    </w:p>
    <w:p w14:paraId="54AD5895">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rPr>
      </w:pPr>
      <w:bookmarkStart w:id="144" w:name="_Toc338336056"/>
      <w:bookmarkStart w:id="145" w:name="_Toc338754059"/>
      <w:bookmarkStart w:id="146" w:name="_Toc338431215"/>
      <w:r>
        <w:rPr>
          <w:rFonts w:hint="eastAsia" w:ascii="宋体" w:hAnsi="宋体" w:eastAsia="宋体" w:cs="宋体"/>
          <w:bCs/>
          <w:color w:val="auto"/>
          <w:sz w:val="24"/>
          <w:highlight w:val="none"/>
        </w:rPr>
        <w:t>4.3.1</w:t>
      </w:r>
      <w:r>
        <w:rPr>
          <w:rFonts w:hint="eastAsia" w:ascii="宋体" w:hAnsi="宋体" w:cs="宋体"/>
          <w:bCs/>
          <w:color w:val="auto"/>
          <w:sz w:val="24"/>
          <w:highlight w:val="none"/>
          <w:lang w:eastAsia="zh-CN"/>
        </w:rPr>
        <w:t>磋商小组</w:t>
      </w:r>
      <w:r>
        <w:rPr>
          <w:rFonts w:hint="eastAsia" w:ascii="宋体" w:hAnsi="宋体" w:eastAsia="宋体" w:cs="宋体"/>
          <w:bCs/>
          <w:color w:val="auto"/>
          <w:sz w:val="24"/>
          <w:highlight w:val="none"/>
        </w:rPr>
        <w:t>将对确定为实质上响应</w:t>
      </w:r>
      <w:r>
        <w:rPr>
          <w:rFonts w:hint="eastAsia" w:ascii="宋体" w:hAnsi="宋体" w:eastAsia="宋体" w:cs="宋体"/>
          <w:bCs/>
          <w:color w:val="auto"/>
          <w:sz w:val="24"/>
          <w:highlight w:val="none"/>
          <w:lang w:eastAsia="zh-CN"/>
        </w:rPr>
        <w:t>竞争性磋商文件</w:t>
      </w:r>
      <w:r>
        <w:rPr>
          <w:rFonts w:hint="eastAsia" w:ascii="宋体" w:hAnsi="宋体" w:eastAsia="宋体" w:cs="宋体"/>
          <w:bCs/>
          <w:color w:val="auto"/>
          <w:sz w:val="24"/>
          <w:highlight w:val="none"/>
        </w:rPr>
        <w:t>要求的</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进行校核，看其是否有计算或表达上的错误，修正错误的原则如下：</w:t>
      </w:r>
    </w:p>
    <w:bookmarkEnd w:id="144"/>
    <w:bookmarkEnd w:id="145"/>
    <w:bookmarkEnd w:id="146"/>
    <w:p w14:paraId="39CF479B">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rPr>
      </w:pPr>
      <w:bookmarkStart w:id="147" w:name="_Toc342589815"/>
      <w:bookmarkStart w:id="148" w:name="_Toc339869497"/>
      <w:bookmarkStart w:id="149" w:name="_Toc339895575"/>
      <w:bookmarkStart w:id="150" w:name="_Toc338754061"/>
      <w:bookmarkStart w:id="151" w:name="_Toc339114211"/>
      <w:bookmarkStart w:id="152" w:name="_Toc338336058"/>
      <w:bookmarkStart w:id="153" w:name="_Toc342416490"/>
      <w:bookmarkStart w:id="154" w:name="_Toc344110666"/>
      <w:bookmarkStart w:id="155" w:name="_Toc338431217"/>
      <w:r>
        <w:rPr>
          <w:rFonts w:hint="eastAsia" w:ascii="宋体" w:hAnsi="宋体" w:eastAsia="宋体" w:cs="宋体"/>
          <w:bCs/>
          <w:color w:val="auto"/>
          <w:sz w:val="24"/>
          <w:highlight w:val="none"/>
        </w:rPr>
        <w:t>4.3.2</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的大写金额和小写金额不一致的，以大写金额为准；总价金额与按单价汇总金额不一致的，以单价金额计算结果为准；单价金额小数点有明显错位的，应以总价为准，并修改单价；对不同文本</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的解释发生异议的，以中文文本为准。</w:t>
      </w:r>
    </w:p>
    <w:bookmarkEnd w:id="147"/>
    <w:bookmarkEnd w:id="148"/>
    <w:bookmarkEnd w:id="149"/>
    <w:bookmarkEnd w:id="150"/>
    <w:bookmarkEnd w:id="151"/>
    <w:bookmarkEnd w:id="152"/>
    <w:bookmarkEnd w:id="153"/>
    <w:bookmarkEnd w:id="154"/>
    <w:bookmarkEnd w:id="155"/>
    <w:p w14:paraId="721E71AD">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rPr>
      </w:pPr>
      <w:bookmarkStart w:id="156" w:name="_Toc338336060"/>
      <w:bookmarkStart w:id="157" w:name="_Toc338754063"/>
      <w:bookmarkStart w:id="158" w:name="_Toc338431219"/>
      <w:bookmarkStart w:id="159" w:name="_Toc342416492"/>
      <w:bookmarkStart w:id="160" w:name="_Toc339869499"/>
      <w:bookmarkStart w:id="161" w:name="_Toc339895577"/>
      <w:bookmarkStart w:id="162" w:name="_Toc344110668"/>
      <w:bookmarkStart w:id="163" w:name="_Toc339114213"/>
      <w:bookmarkStart w:id="164" w:name="_Toc342589817"/>
      <w:r>
        <w:rPr>
          <w:rFonts w:hint="eastAsia" w:ascii="宋体" w:hAnsi="宋体" w:eastAsia="宋体" w:cs="宋体"/>
          <w:bCs/>
          <w:color w:val="auto"/>
          <w:sz w:val="24"/>
          <w:highlight w:val="none"/>
        </w:rPr>
        <w:t>4.3.3按上述修正错误的原则及方法调整或修正</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的投标报价，</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同意后，调整后的投标报价对</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起约束作用。</w:t>
      </w:r>
    </w:p>
    <w:bookmarkEnd w:id="156"/>
    <w:bookmarkEnd w:id="157"/>
    <w:bookmarkEnd w:id="158"/>
    <w:bookmarkEnd w:id="159"/>
    <w:bookmarkEnd w:id="160"/>
    <w:bookmarkEnd w:id="161"/>
    <w:bookmarkEnd w:id="162"/>
    <w:bookmarkEnd w:id="163"/>
    <w:bookmarkEnd w:id="164"/>
    <w:p w14:paraId="5659C57A">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4.3.4对</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中含义不明确、同类问题表述不一致的或者有明显文字和计算错误的内容，</w:t>
      </w:r>
      <w:r>
        <w:rPr>
          <w:rFonts w:hint="eastAsia" w:ascii="宋体" w:hAnsi="宋体" w:cs="宋体"/>
          <w:bCs/>
          <w:color w:val="auto"/>
          <w:sz w:val="24"/>
          <w:highlight w:val="none"/>
          <w:lang w:val="en-US" w:eastAsia="zh-CN"/>
        </w:rPr>
        <w:t>磋商小组</w:t>
      </w:r>
      <w:r>
        <w:rPr>
          <w:rFonts w:hint="eastAsia" w:ascii="宋体" w:hAnsi="宋体" w:eastAsia="宋体" w:cs="宋体"/>
          <w:bCs/>
          <w:color w:val="auto"/>
          <w:sz w:val="24"/>
          <w:highlight w:val="none"/>
        </w:rPr>
        <w:t>可以电子形式（应当由</w:t>
      </w:r>
      <w:r>
        <w:rPr>
          <w:rFonts w:hint="eastAsia" w:ascii="宋体" w:hAnsi="宋体" w:cs="宋体"/>
          <w:bCs/>
          <w:color w:val="auto"/>
          <w:sz w:val="24"/>
          <w:highlight w:val="none"/>
          <w:lang w:val="en-US" w:eastAsia="zh-CN"/>
        </w:rPr>
        <w:t>磋商小组成员</w:t>
      </w:r>
      <w:r>
        <w:rPr>
          <w:rFonts w:hint="eastAsia" w:ascii="宋体" w:hAnsi="宋体" w:eastAsia="宋体" w:cs="宋体"/>
          <w:bCs/>
          <w:color w:val="auto"/>
          <w:sz w:val="24"/>
          <w:highlight w:val="none"/>
        </w:rPr>
        <w:t>签字）要求</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作出必要的澄清、说明或者纠正。</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的澄清、说明或者补正应当采用电子形式，由其授权的代</w:t>
      </w:r>
      <w:r>
        <w:rPr>
          <w:rFonts w:hint="eastAsia" w:ascii="宋体" w:hAnsi="宋体" w:eastAsia="宋体" w:cs="宋体"/>
          <w:bCs/>
          <w:color w:val="auto"/>
          <w:sz w:val="24"/>
          <w:highlight w:val="none"/>
          <w:lang w:eastAsia="zh-CN"/>
        </w:rPr>
        <w:t>表签字，并不得超出响应文件的范围或者改变响应文件的实质性内容。</w:t>
      </w:r>
    </w:p>
    <w:p w14:paraId="4622A7AD">
      <w:pPr>
        <w:pageBreakBefore w:val="0"/>
        <w:kinsoku/>
        <w:wordWrap/>
        <w:overflowPunct/>
        <w:topLinePunct w:val="0"/>
        <w:bidi w:val="0"/>
        <w:snapToGrid/>
        <w:spacing w:line="580" w:lineRule="exact"/>
        <w:textAlignment w:val="auto"/>
        <w:outlineLvl w:val="1"/>
        <w:rPr>
          <w:rFonts w:hint="eastAsia" w:ascii="宋体" w:hAnsi="宋体" w:eastAsia="宋体" w:cs="宋体"/>
          <w:bCs/>
          <w:color w:val="auto"/>
          <w:sz w:val="24"/>
          <w:highlight w:val="none"/>
          <w:lang w:eastAsia="zh-CN"/>
        </w:rPr>
      </w:pPr>
      <w:bookmarkStart w:id="165" w:name="_Toc16966"/>
      <w:bookmarkStart w:id="166" w:name="_Toc19222"/>
      <w:bookmarkStart w:id="167" w:name="_Toc641"/>
      <w:bookmarkStart w:id="168" w:name="_Toc9699"/>
      <w:bookmarkStart w:id="169" w:name="_Toc152042346"/>
      <w:bookmarkStart w:id="170" w:name="_Toc347844288"/>
      <w:bookmarkStart w:id="171" w:name="_Toc319592635"/>
      <w:bookmarkStart w:id="172" w:name="_Toc179632588"/>
      <w:bookmarkStart w:id="173" w:name="_Toc347844151"/>
      <w:bookmarkStart w:id="174" w:name="_Toc152045570"/>
      <w:bookmarkStart w:id="175" w:name="_Toc308439055"/>
      <w:bookmarkStart w:id="176" w:name="_Toc347742330"/>
      <w:bookmarkStart w:id="177" w:name="_Toc144974538"/>
      <w:r>
        <w:rPr>
          <w:rFonts w:hint="eastAsia" w:ascii="宋体" w:hAnsi="宋体" w:eastAsia="宋体" w:cs="宋体"/>
          <w:b/>
          <w:bCs w:val="0"/>
          <w:color w:val="auto"/>
          <w:sz w:val="24"/>
          <w:highlight w:val="none"/>
          <w:lang w:eastAsia="zh-CN"/>
        </w:rPr>
        <w:t>五、开标与评标</w:t>
      </w:r>
      <w:bookmarkEnd w:id="165"/>
      <w:bookmarkEnd w:id="166"/>
      <w:bookmarkEnd w:id="167"/>
      <w:bookmarkEnd w:id="168"/>
    </w:p>
    <w:p w14:paraId="371CFBF1">
      <w:pPr>
        <w:pageBreakBefore w:val="0"/>
        <w:kinsoku/>
        <w:wordWrap/>
        <w:overflowPunct/>
        <w:topLinePunct w:val="0"/>
        <w:bidi w:val="0"/>
        <w:snapToGrid/>
        <w:spacing w:line="580" w:lineRule="exact"/>
        <w:textAlignment w:val="auto"/>
        <w:outlineLvl w:val="2"/>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5.1开标</w:t>
      </w:r>
    </w:p>
    <w:p w14:paraId="2B160543">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5.1.1开标方式：见供应商须知前附表。采购代理机构将在规定的开标时间和地点组织公开开标。采购人代表、</w:t>
      </w:r>
      <w:r>
        <w:rPr>
          <w:rFonts w:hint="eastAsia" w:ascii="宋体" w:hAnsi="宋体" w:cs="宋体"/>
          <w:bCs/>
          <w:color w:val="auto"/>
          <w:sz w:val="24"/>
          <w:highlight w:val="none"/>
          <w:lang w:val="en-US" w:eastAsia="zh-CN"/>
        </w:rPr>
        <w:t>供应商代表、</w:t>
      </w:r>
      <w:r>
        <w:rPr>
          <w:rFonts w:hint="eastAsia" w:ascii="宋体" w:hAnsi="宋体" w:eastAsia="宋体" w:cs="宋体"/>
          <w:bCs/>
          <w:color w:val="auto"/>
          <w:sz w:val="24"/>
          <w:highlight w:val="none"/>
          <w:lang w:eastAsia="zh-CN"/>
        </w:rPr>
        <w:t>有关监督部门及有关工作人员参加。</w:t>
      </w:r>
    </w:p>
    <w:p w14:paraId="47DDBE5E">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lang w:eastAsia="zh-CN"/>
        </w:rPr>
      </w:pPr>
      <w:bookmarkStart w:id="178" w:name="_Toc31887"/>
      <w:bookmarkStart w:id="179" w:name="_Toc24882"/>
      <w:bookmarkStart w:id="180" w:name="_Toc2500"/>
      <w:bookmarkStart w:id="181" w:name="_Toc460"/>
      <w:bookmarkStart w:id="182" w:name="_Toc2396"/>
      <w:bookmarkStart w:id="183" w:name="_Toc25470"/>
      <w:bookmarkStart w:id="184" w:name="_Toc12303"/>
      <w:r>
        <w:rPr>
          <w:rFonts w:hint="eastAsia" w:ascii="宋体" w:hAnsi="宋体" w:eastAsia="宋体" w:cs="宋体"/>
          <w:bCs/>
          <w:color w:val="auto"/>
          <w:sz w:val="24"/>
          <w:highlight w:val="none"/>
          <w:lang w:val="en-US" w:eastAsia="zh-CN"/>
        </w:rPr>
        <w:t>5.1.2</w:t>
      </w:r>
      <w:r>
        <w:rPr>
          <w:rFonts w:hint="eastAsia" w:ascii="宋体" w:hAnsi="宋体" w:eastAsia="宋体" w:cs="宋体"/>
          <w:bCs/>
          <w:color w:val="auto"/>
          <w:sz w:val="24"/>
          <w:highlight w:val="none"/>
          <w:lang w:eastAsia="zh-CN"/>
        </w:rPr>
        <w:t>开标地点：云南星骋项目管理有限公司</w:t>
      </w:r>
      <w:r>
        <w:rPr>
          <w:rFonts w:hint="eastAsia" w:ascii="宋体" w:hAnsi="宋体" w:cs="宋体"/>
          <w:bCs/>
          <w:color w:val="auto"/>
          <w:sz w:val="24"/>
          <w:highlight w:val="none"/>
          <w:lang w:val="en-US" w:eastAsia="zh-CN"/>
        </w:rPr>
        <w:t>开标室</w:t>
      </w:r>
      <w:r>
        <w:rPr>
          <w:rFonts w:hint="eastAsia" w:ascii="宋体" w:hAnsi="宋体" w:eastAsia="宋体" w:cs="宋体"/>
          <w:bCs/>
          <w:color w:val="auto"/>
          <w:sz w:val="24"/>
          <w:highlight w:val="none"/>
          <w:lang w:eastAsia="zh-CN"/>
        </w:rPr>
        <w:t>(云南省西双版纳傣族自治州景洪市勐海路西双十二城国际公馆1栋306)。</w:t>
      </w:r>
      <w:bookmarkEnd w:id="178"/>
      <w:bookmarkEnd w:id="179"/>
      <w:bookmarkEnd w:id="180"/>
      <w:bookmarkEnd w:id="181"/>
      <w:bookmarkEnd w:id="182"/>
      <w:bookmarkEnd w:id="183"/>
      <w:bookmarkEnd w:id="184"/>
    </w:p>
    <w:p w14:paraId="3B87D4EB">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lang w:val="en-US" w:eastAsia="zh-CN"/>
        </w:rPr>
      </w:pPr>
      <w:bookmarkStart w:id="185" w:name="_Toc25223"/>
      <w:bookmarkStart w:id="186" w:name="_Toc18264"/>
      <w:bookmarkStart w:id="187" w:name="_Toc21807"/>
      <w:bookmarkStart w:id="188" w:name="_Toc8445"/>
      <w:bookmarkStart w:id="189" w:name="_Toc22064"/>
      <w:bookmarkStart w:id="190" w:name="_Toc15268"/>
      <w:bookmarkStart w:id="191" w:name="_Toc24691"/>
      <w:r>
        <w:rPr>
          <w:rFonts w:hint="eastAsia" w:ascii="宋体" w:hAnsi="宋体" w:eastAsia="宋体" w:cs="宋体"/>
          <w:bCs/>
          <w:color w:val="auto"/>
          <w:sz w:val="24"/>
          <w:highlight w:val="none"/>
          <w:lang w:eastAsia="zh-CN"/>
        </w:rPr>
        <w:t>5.1.</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lang w:eastAsia="zh-CN"/>
        </w:rPr>
        <w:t>开标时间：</w:t>
      </w:r>
      <w:r>
        <w:rPr>
          <w:rFonts w:hint="eastAsia" w:ascii="宋体" w:hAnsi="宋体" w:eastAsia="宋体" w:cs="宋体"/>
          <w:bCs/>
          <w:color w:val="auto"/>
          <w:sz w:val="24"/>
          <w:highlight w:val="none"/>
          <w:lang w:val="en-US" w:eastAsia="zh-CN"/>
        </w:rPr>
        <w:t>20</w:t>
      </w:r>
      <w:r>
        <w:rPr>
          <w:rFonts w:hint="eastAsia" w:ascii="宋体" w:hAnsi="宋体" w:cs="宋体"/>
          <w:bCs/>
          <w:color w:val="auto"/>
          <w:sz w:val="24"/>
          <w:highlight w:val="none"/>
          <w:lang w:val="en-US" w:eastAsia="zh-CN"/>
        </w:rPr>
        <w:t>25</w:t>
      </w:r>
      <w:r>
        <w:rPr>
          <w:rFonts w:hint="eastAsia" w:ascii="宋体" w:hAnsi="宋体" w:eastAsia="宋体" w:cs="宋体"/>
          <w:bCs/>
          <w:color w:val="auto"/>
          <w:sz w:val="24"/>
          <w:highlight w:val="none"/>
          <w:lang w:eastAsia="zh-CN"/>
        </w:rPr>
        <w:t>年</w:t>
      </w:r>
      <w:r>
        <w:rPr>
          <w:rFonts w:hint="eastAsia" w:ascii="宋体" w:hAnsi="宋体" w:cs="宋体"/>
          <w:bCs/>
          <w:color w:val="auto"/>
          <w:sz w:val="24"/>
          <w:highlight w:val="none"/>
          <w:lang w:val="en-US" w:eastAsia="zh-CN"/>
        </w:rPr>
        <w:t>03</w:t>
      </w:r>
      <w:r>
        <w:rPr>
          <w:rFonts w:hint="eastAsia" w:ascii="宋体" w:hAnsi="宋体" w:eastAsia="宋体" w:cs="宋体"/>
          <w:bCs/>
          <w:color w:val="auto"/>
          <w:sz w:val="24"/>
          <w:highlight w:val="none"/>
          <w:lang w:eastAsia="zh-CN"/>
        </w:rPr>
        <w:t>月</w:t>
      </w:r>
      <w:r>
        <w:rPr>
          <w:rFonts w:hint="eastAsia" w:ascii="宋体" w:hAnsi="宋体" w:cs="宋体"/>
          <w:bCs/>
          <w:color w:val="auto"/>
          <w:sz w:val="24"/>
          <w:highlight w:val="none"/>
          <w:lang w:val="en-US" w:eastAsia="zh-CN"/>
        </w:rPr>
        <w:t>28</w:t>
      </w:r>
      <w:r>
        <w:rPr>
          <w:rFonts w:hint="eastAsia" w:ascii="宋体" w:hAnsi="宋体" w:eastAsia="宋体" w:cs="宋体"/>
          <w:bCs/>
          <w:color w:val="auto"/>
          <w:sz w:val="24"/>
          <w:highlight w:val="none"/>
          <w:lang w:eastAsia="zh-CN"/>
        </w:rPr>
        <w:t>日</w:t>
      </w:r>
      <w:r>
        <w:rPr>
          <w:rFonts w:hint="eastAsia" w:ascii="宋体" w:hAnsi="宋体" w:eastAsia="宋体" w:cs="宋体"/>
          <w:bCs/>
          <w:color w:val="auto"/>
          <w:sz w:val="24"/>
          <w:highlight w:val="none"/>
          <w:lang w:val="en-US" w:eastAsia="zh-CN"/>
        </w:rPr>
        <w:t>09</w:t>
      </w:r>
      <w:r>
        <w:rPr>
          <w:rFonts w:hint="eastAsia" w:ascii="宋体" w:hAnsi="宋体" w:eastAsia="宋体" w:cs="宋体"/>
          <w:bCs/>
          <w:color w:val="auto"/>
          <w:sz w:val="24"/>
          <w:highlight w:val="none"/>
          <w:lang w:eastAsia="zh-CN"/>
        </w:rPr>
        <w:t>时</w:t>
      </w:r>
      <w:r>
        <w:rPr>
          <w:rFonts w:hint="eastAsia" w:ascii="宋体" w:hAnsi="宋体" w:eastAsia="宋体" w:cs="宋体"/>
          <w:bCs/>
          <w:color w:val="auto"/>
          <w:sz w:val="24"/>
          <w:highlight w:val="none"/>
          <w:lang w:val="en-US" w:eastAsia="zh-CN"/>
        </w:rPr>
        <w:t>00</w:t>
      </w:r>
      <w:r>
        <w:rPr>
          <w:rFonts w:hint="eastAsia" w:ascii="宋体" w:hAnsi="宋体" w:eastAsia="宋体" w:cs="宋体"/>
          <w:bCs/>
          <w:color w:val="auto"/>
          <w:sz w:val="24"/>
          <w:highlight w:val="none"/>
          <w:lang w:eastAsia="zh-CN"/>
        </w:rPr>
        <w:t>分</w:t>
      </w:r>
      <w:bookmarkEnd w:id="185"/>
      <w:bookmarkEnd w:id="186"/>
      <w:bookmarkEnd w:id="187"/>
      <w:bookmarkEnd w:id="188"/>
      <w:bookmarkEnd w:id="189"/>
      <w:bookmarkEnd w:id="190"/>
      <w:bookmarkEnd w:id="191"/>
      <w:r>
        <w:rPr>
          <w:rFonts w:hint="eastAsia" w:ascii="宋体" w:hAnsi="宋体" w:eastAsia="宋体" w:cs="宋体"/>
          <w:bCs/>
          <w:color w:val="auto"/>
          <w:sz w:val="24"/>
          <w:highlight w:val="none"/>
          <w:lang w:eastAsia="zh-CN"/>
        </w:rPr>
        <w:t>。</w:t>
      </w:r>
    </w:p>
    <w:p w14:paraId="79F994A0">
      <w:pPr>
        <w:keepNext w:val="0"/>
        <w:keepLines w:val="0"/>
        <w:pageBreakBefore w:val="0"/>
        <w:widowControl w:val="0"/>
        <w:kinsoku/>
        <w:wordWrap/>
        <w:overflowPunct/>
        <w:topLinePunct w:val="0"/>
        <w:autoSpaceDE/>
        <w:autoSpaceDN/>
        <w:bidi w:val="0"/>
        <w:adjustRightInd/>
        <w:snapToGrid/>
        <w:spacing w:line="580" w:lineRule="exact"/>
        <w:ind w:firstLine="482" w:firstLineChars="200"/>
        <w:contextualSpacing/>
        <w:jc w:val="left"/>
        <w:textAlignment w:val="auto"/>
        <w:rPr>
          <w:rFonts w:hint="eastAsia" w:ascii="宋体" w:hAnsi="宋体" w:eastAsia="宋体" w:cs="宋体"/>
          <w:b/>
          <w:bCs/>
          <w:color w:val="auto"/>
          <w:spacing w:val="6"/>
          <w:sz w:val="24"/>
          <w:szCs w:val="24"/>
          <w:highlight w:val="none"/>
          <w:lang w:val="en-US"/>
        </w:rPr>
      </w:pPr>
      <w:r>
        <w:rPr>
          <w:rFonts w:hint="eastAsia" w:ascii="宋体" w:hAnsi="宋体" w:eastAsia="宋体" w:cs="宋体"/>
          <w:b/>
          <w:bCs/>
          <w:color w:val="auto"/>
          <w:sz w:val="24"/>
          <w:szCs w:val="24"/>
          <w:highlight w:val="none"/>
          <w:lang w:val="en-US" w:eastAsia="zh-CN"/>
        </w:rPr>
        <w:t>5.1.</w:t>
      </w:r>
      <w:r>
        <w:rPr>
          <w:rFonts w:hint="eastAsia" w:ascii="宋体" w:hAnsi="宋体" w:cs="宋体"/>
          <w:b/>
          <w:bCs/>
          <w:color w:val="auto"/>
          <w:sz w:val="24"/>
          <w:szCs w:val="24"/>
          <w:highlight w:val="none"/>
          <w:lang w:val="en-US" w:eastAsia="zh-CN"/>
        </w:rPr>
        <w:t>4</w:t>
      </w:r>
      <w:r>
        <w:rPr>
          <w:rFonts w:hint="eastAsia" w:ascii="宋体" w:hAnsi="宋体" w:cs="宋体"/>
          <w:b/>
          <w:bCs/>
          <w:color w:val="auto"/>
          <w:spacing w:val="6"/>
          <w:sz w:val="24"/>
          <w:szCs w:val="24"/>
          <w:highlight w:val="none"/>
          <w:lang w:eastAsia="zh-CN"/>
        </w:rPr>
        <w:t>无效响应文件情形</w:t>
      </w:r>
      <w:r>
        <w:rPr>
          <w:rFonts w:hint="eastAsia" w:ascii="宋体" w:hAnsi="宋体" w:eastAsia="宋体" w:cs="宋体"/>
          <w:b/>
          <w:bCs/>
          <w:color w:val="auto"/>
          <w:spacing w:val="6"/>
          <w:sz w:val="24"/>
          <w:szCs w:val="24"/>
          <w:highlight w:val="none"/>
          <w:lang w:val="en-US" w:eastAsia="zh-CN"/>
        </w:rPr>
        <w:t>。</w:t>
      </w:r>
    </w:p>
    <w:p w14:paraId="3D2A7744">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（1）不符合本竞争性磋商文件第三章“评审办法”中资格审查和符合性审查要求之一的，属于无效响应文件的情形。</w:t>
      </w:r>
    </w:p>
    <w:p w14:paraId="0209A36B">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lang w:val="en-US" w:eastAsia="zh-CN"/>
        </w:rPr>
        <w:t>竞争性磋商小组认为供应商的最后报价明显低于其他供应商的报价，有可能影响产品质量或者不能诚信履约的，应当要求其在评审现场合理的时间内提供书面说明，必要时提交相关证明材料；竞争性磋商小组要求提交的相关证明材料包含但不限于以下内容：（1）成本构成，包含本身成本、人工费用、机械费用、材料费、税收等说明。（2）在满足竞争性磋商文件各项需求的前提下，能支撑低报价的优势说明等；供应商不能证明其报价合理性的，竞争性磋商小组应当将其响应文件作无效文件处理。</w:t>
      </w:r>
    </w:p>
    <w:p w14:paraId="31A3146E">
      <w:pPr>
        <w:pStyle w:val="17"/>
        <w:pageBreakBefore w:val="0"/>
        <w:widowControl w:val="0"/>
        <w:kinsoku/>
        <w:wordWrap/>
        <w:overflowPunct/>
        <w:topLinePunct w:val="0"/>
        <w:autoSpaceDE/>
        <w:autoSpaceDN/>
        <w:bidi w:val="0"/>
        <w:adjustRightInd w:val="0"/>
        <w:snapToGrid/>
        <w:spacing w:line="580" w:lineRule="exact"/>
        <w:contextualSpacing/>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5.2</w:t>
      </w:r>
      <w:r>
        <w:rPr>
          <w:rFonts w:hint="eastAsia" w:ascii="宋体" w:hAnsi="宋体" w:eastAsia="宋体" w:cs="宋体"/>
          <w:b/>
          <w:color w:val="auto"/>
          <w:sz w:val="24"/>
          <w:szCs w:val="24"/>
          <w:highlight w:val="none"/>
        </w:rPr>
        <w:t>评标</w:t>
      </w:r>
    </w:p>
    <w:p w14:paraId="0ADCB68A">
      <w:pPr>
        <w:pStyle w:val="17"/>
        <w:pageBreakBefore w:val="0"/>
        <w:widowControl w:val="0"/>
        <w:kinsoku/>
        <w:wordWrap/>
        <w:overflowPunct/>
        <w:topLinePunct w:val="0"/>
        <w:autoSpaceDE/>
        <w:autoSpaceDN/>
        <w:bidi w:val="0"/>
        <w:adjustRightInd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5.2.1</w:t>
      </w:r>
      <w:r>
        <w:rPr>
          <w:rFonts w:hint="eastAsia" w:ascii="宋体" w:hAnsi="宋体" w:eastAsia="宋体" w:cs="宋体"/>
          <w:color w:val="auto"/>
          <w:sz w:val="24"/>
          <w:szCs w:val="24"/>
          <w:highlight w:val="none"/>
        </w:rPr>
        <w:t xml:space="preserve"> 竞争性磋商小组</w:t>
      </w:r>
    </w:p>
    <w:p w14:paraId="6C932352">
      <w:pPr>
        <w:pStyle w:val="17"/>
        <w:pageBreakBefore w:val="0"/>
        <w:widowControl w:val="0"/>
        <w:kinsoku/>
        <w:wordWrap/>
        <w:overflowPunct/>
        <w:topLinePunct w:val="0"/>
        <w:autoSpaceDE/>
        <w:autoSpaceDN/>
        <w:bidi w:val="0"/>
        <w:adjustRightInd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 评审由采购人依法组建的竞争性磋商小组负责，竞争性磋商小组由3人以上（含3人）单数组成。</w:t>
      </w:r>
    </w:p>
    <w:p w14:paraId="1341F1B1">
      <w:pPr>
        <w:pStyle w:val="17"/>
        <w:pageBreakBefore w:val="0"/>
        <w:widowControl w:val="0"/>
        <w:kinsoku/>
        <w:wordWrap/>
        <w:overflowPunct/>
        <w:topLinePunct w:val="0"/>
        <w:autoSpaceDE/>
        <w:autoSpaceDN/>
        <w:bidi w:val="0"/>
        <w:adjustRightInd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 竞争性磋商小组成员与参加采购活动的供应商存在下列利害关系之一的，应当回避:</w:t>
      </w:r>
    </w:p>
    <w:p w14:paraId="26422601">
      <w:pPr>
        <w:pStyle w:val="17"/>
        <w:pageBreakBefore w:val="0"/>
        <w:widowControl w:val="0"/>
        <w:kinsoku/>
        <w:wordWrap/>
        <w:overflowPunct/>
        <w:topLinePunct w:val="0"/>
        <w:autoSpaceDE/>
        <w:autoSpaceDN/>
        <w:bidi w:val="0"/>
        <w:adjustRightInd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(1)参加采购活动前三年内，与供应商存在劳动关系，或者担任过供应商的董事、监事，或者是供应商的控股股东或实际控制人。</w:t>
      </w:r>
    </w:p>
    <w:p w14:paraId="335C8A70">
      <w:pPr>
        <w:pStyle w:val="17"/>
        <w:pageBreakBefore w:val="0"/>
        <w:widowControl w:val="0"/>
        <w:kinsoku/>
        <w:wordWrap/>
        <w:overflowPunct/>
        <w:topLinePunct w:val="0"/>
        <w:autoSpaceDE/>
        <w:autoSpaceDN/>
        <w:bidi w:val="0"/>
        <w:adjustRightInd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(2)与供应商的法定代表人或者负责人有夫妻、直系血亲、三代以内旁系血亲或者近姻亲关系。</w:t>
      </w:r>
    </w:p>
    <w:p w14:paraId="11B05BAD">
      <w:pPr>
        <w:pStyle w:val="17"/>
        <w:pageBreakBefore w:val="0"/>
        <w:widowControl w:val="0"/>
        <w:kinsoku/>
        <w:wordWrap/>
        <w:overflowPunct/>
        <w:topLinePunct w:val="0"/>
        <w:autoSpaceDE/>
        <w:autoSpaceDN/>
        <w:bidi w:val="0"/>
        <w:adjustRightInd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(3)与供应商有其他可能影响政府采购活动公平、公正进行的关系。</w:t>
      </w:r>
    </w:p>
    <w:p w14:paraId="1B296239">
      <w:pPr>
        <w:pStyle w:val="17"/>
        <w:pageBreakBefore w:val="0"/>
        <w:widowControl w:val="0"/>
        <w:kinsoku/>
        <w:wordWrap/>
        <w:overflowPunct/>
        <w:topLinePunct w:val="0"/>
        <w:autoSpaceDE/>
        <w:autoSpaceDN/>
        <w:bidi w:val="0"/>
        <w:adjustRightInd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竞争性磋商小组成员发现本人与参加采购活动的供应商有利害关系的，应当主动提出回避。采购人或者采购代理机构发现竞争性磋商小组成员与参加采购活动的供应商有利害关系的，应当要求其回避。</w:t>
      </w:r>
    </w:p>
    <w:p w14:paraId="077E47F7">
      <w:pPr>
        <w:pStyle w:val="17"/>
        <w:pageBreakBefore w:val="0"/>
        <w:widowControl w:val="0"/>
        <w:kinsoku/>
        <w:wordWrap/>
        <w:overflowPunct/>
        <w:topLinePunct w:val="0"/>
        <w:autoSpaceDE/>
        <w:autoSpaceDN/>
        <w:bidi w:val="0"/>
        <w:adjustRightInd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4.1.3 评审中因竞争性磋商小组成员缺席、回避或者健康等特殊原因导致竞争性磋商小组组成不符合竞争性磋商文件规定的，采购人或者采购代理机构应当按规定补足后继续评审。被更换的竞争性磋商小组成员所作出的评审意见无效。无法及时补足竞争性磋商小组成员的，采购人或者采购代理机构应当停止评审活动，封存所有响应文件和评审资料，重新组建竞争性磋商小组进行评审。原竞争性磋商小组所作出的评审意见无效。采购人或者采购代理机构应当将变更、重新组建竞争性磋商小组的情况予以记录，并随竞争性磋商文件一并存档。</w:t>
      </w:r>
    </w:p>
    <w:p w14:paraId="61E01976">
      <w:pPr>
        <w:pStyle w:val="17"/>
        <w:pageBreakBefore w:val="0"/>
        <w:widowControl w:val="0"/>
        <w:kinsoku/>
        <w:wordWrap/>
        <w:overflowPunct/>
        <w:topLinePunct w:val="0"/>
        <w:autoSpaceDE/>
        <w:autoSpaceDN/>
        <w:bidi w:val="0"/>
        <w:adjustRightInd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5.2.2</w:t>
      </w:r>
      <w:r>
        <w:rPr>
          <w:rFonts w:hint="eastAsia" w:ascii="宋体" w:hAnsi="宋体" w:eastAsia="宋体" w:cs="宋体"/>
          <w:color w:val="auto"/>
          <w:sz w:val="24"/>
          <w:szCs w:val="24"/>
          <w:highlight w:val="none"/>
        </w:rPr>
        <w:t>评标原则：评标活动遵循“公开、公平、公正、诚实信用”的原则。</w:t>
      </w:r>
    </w:p>
    <w:p w14:paraId="263247AE">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5.2.3</w:t>
      </w:r>
      <w:r>
        <w:rPr>
          <w:rFonts w:hint="eastAsia" w:ascii="宋体" w:hAnsi="宋体" w:eastAsia="宋体" w:cs="宋体"/>
          <w:color w:val="auto"/>
          <w:sz w:val="24"/>
          <w:szCs w:val="24"/>
          <w:highlight w:val="none"/>
        </w:rPr>
        <w:t>评标</w:t>
      </w:r>
      <w:r>
        <w:rPr>
          <w:rFonts w:hint="eastAsia" w:ascii="宋体" w:hAnsi="宋体" w:eastAsia="宋体" w:cs="宋体"/>
          <w:color w:val="auto"/>
          <w:sz w:val="24"/>
          <w:szCs w:val="24"/>
          <w:highlight w:val="none"/>
          <w:lang w:eastAsia="zh-CN"/>
        </w:rPr>
        <w:t>程序</w:t>
      </w:r>
      <w:r>
        <w:rPr>
          <w:rFonts w:hint="eastAsia" w:ascii="宋体" w:hAnsi="宋体" w:eastAsia="宋体" w:cs="宋体"/>
          <w:color w:val="auto"/>
          <w:sz w:val="24"/>
          <w:szCs w:val="24"/>
          <w:highlight w:val="none"/>
        </w:rPr>
        <w:t>：</w:t>
      </w:r>
    </w:p>
    <w:p w14:paraId="22C9F3A8">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竞争性磋商小组对</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的响应文件进行初步评审，包括资格性检查及符合性检查。</w:t>
      </w:r>
    </w:p>
    <w:p w14:paraId="53135E32">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竞争性磋商小组所有成员集中与单一</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分别进行磋商，并给予所有参加磋商的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平等的磋商机会，通过初步评审的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才能进行磋商。</w:t>
      </w:r>
    </w:p>
    <w:p w14:paraId="4FC24E1D">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竞争性磋商小组要求所有实质性响应的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在规定的时间内提交最后报价，以及对磋商过程中需补充的有关内容进行承诺，并在报价和承诺上签字。</w:t>
      </w:r>
    </w:p>
    <w:p w14:paraId="3FDE05AF">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经磋商确定最终采购需求和提交最后报价的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后，由竞争性磋商小组采用综合评分法对提交最后报价的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的响应文件和最后报价进行综合评分。</w:t>
      </w:r>
    </w:p>
    <w:p w14:paraId="21FC01B0">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竞争性磋商小组编写评审报告。</w:t>
      </w:r>
    </w:p>
    <w:p w14:paraId="60FC3872">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评审会议结束。</w:t>
      </w:r>
    </w:p>
    <w:p w14:paraId="4A168785">
      <w:pPr>
        <w:pStyle w:val="17"/>
        <w:pageBreakBefore w:val="0"/>
        <w:widowControl w:val="0"/>
        <w:kinsoku/>
        <w:wordWrap/>
        <w:overflowPunct/>
        <w:topLinePunct w:val="0"/>
        <w:autoSpaceDE/>
        <w:autoSpaceDN/>
        <w:bidi w:val="0"/>
        <w:adjustRightInd w:val="0"/>
        <w:snapToGrid/>
        <w:spacing w:line="580" w:lineRule="exact"/>
        <w:ind w:firstLine="482" w:firstLineChars="200"/>
        <w:contextualSpacing/>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5.2.4</w:t>
      </w:r>
      <w:r>
        <w:rPr>
          <w:rFonts w:hint="eastAsia" w:ascii="宋体" w:hAnsi="宋体" w:eastAsia="宋体" w:cs="宋体"/>
          <w:b/>
          <w:color w:val="auto"/>
          <w:sz w:val="24"/>
          <w:szCs w:val="24"/>
          <w:highlight w:val="none"/>
        </w:rPr>
        <w:t xml:space="preserve"> 终止采购活动的情形：</w:t>
      </w:r>
    </w:p>
    <w:p w14:paraId="21DEB8CF">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因情况变化，不再符合规定的竞争性磋商采购方式适用情形的。</w:t>
      </w:r>
    </w:p>
    <w:p w14:paraId="176615CF">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出现影响采购公正的违法、违规行为的。</w:t>
      </w:r>
    </w:p>
    <w:p w14:paraId="623F4C52">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除市场竞争不充分的科研项目和需要扶持的科技成果转化项目外，在采购过程中符合要求的供应商或者报价未超过采购预算的供应商不足3家的。</w:t>
      </w:r>
    </w:p>
    <w:p w14:paraId="4B8E6C81">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将终止竞争性磋商采购活动，发布项目终止公告并说明原因，重新开展采购活动。</w:t>
      </w:r>
    </w:p>
    <w:p w14:paraId="0AA3759E">
      <w:pPr>
        <w:keepNext w:val="0"/>
        <w:keepLines w:val="0"/>
        <w:pageBreakBefore w:val="0"/>
        <w:widowControl w:val="0"/>
        <w:kinsoku/>
        <w:wordWrap/>
        <w:overflowPunct/>
        <w:topLinePunct w:val="0"/>
        <w:autoSpaceDE/>
        <w:autoSpaceDN/>
        <w:bidi w:val="0"/>
        <w:adjustRightInd/>
        <w:snapToGrid/>
        <w:spacing w:line="580" w:lineRule="exact"/>
        <w:ind w:firstLine="506" w:firstLineChars="200"/>
        <w:contextualSpacing/>
        <w:jc w:val="left"/>
        <w:textAlignment w:val="auto"/>
        <w:rPr>
          <w:rFonts w:hint="eastAsia" w:ascii="宋体" w:hAnsi="宋体" w:eastAsia="宋体" w:cs="宋体"/>
          <w:b/>
          <w:bCs/>
          <w:color w:val="auto"/>
          <w:spacing w:val="6"/>
          <w:sz w:val="24"/>
          <w:szCs w:val="24"/>
          <w:highlight w:val="none"/>
          <w:lang w:val="zh-CN"/>
        </w:rPr>
      </w:pPr>
      <w:r>
        <w:rPr>
          <w:rFonts w:hint="eastAsia" w:ascii="宋体" w:hAnsi="宋体" w:eastAsia="宋体" w:cs="宋体"/>
          <w:b/>
          <w:bCs/>
          <w:color w:val="auto"/>
          <w:spacing w:val="6"/>
          <w:sz w:val="24"/>
          <w:szCs w:val="24"/>
          <w:highlight w:val="none"/>
          <w:lang w:val="en-US" w:eastAsia="zh-CN"/>
        </w:rPr>
        <w:t>5.2.5</w:t>
      </w:r>
      <w:r>
        <w:rPr>
          <w:rFonts w:hint="eastAsia" w:ascii="宋体" w:hAnsi="宋体" w:eastAsia="宋体" w:cs="宋体"/>
          <w:b/>
          <w:bCs/>
          <w:color w:val="auto"/>
          <w:spacing w:val="6"/>
          <w:sz w:val="24"/>
          <w:szCs w:val="24"/>
          <w:highlight w:val="none"/>
          <w:lang w:val="zh-CN"/>
        </w:rPr>
        <w:t xml:space="preserve"> 供应商存在下列情况之一的，</w:t>
      </w:r>
      <w:r>
        <w:rPr>
          <w:rFonts w:hint="eastAsia" w:ascii="宋体" w:hAnsi="宋体" w:eastAsia="宋体" w:cs="宋体"/>
          <w:b/>
          <w:bCs/>
          <w:color w:val="auto"/>
          <w:spacing w:val="6"/>
          <w:sz w:val="24"/>
          <w:szCs w:val="24"/>
          <w:highlight w:val="none"/>
          <w:lang w:val="zh-CN" w:eastAsia="zh-CN"/>
        </w:rPr>
        <w:t>其</w:t>
      </w:r>
      <w:r>
        <w:rPr>
          <w:rFonts w:hint="eastAsia" w:ascii="宋体" w:hAnsi="宋体" w:eastAsia="宋体" w:cs="宋体"/>
          <w:b/>
          <w:bCs/>
          <w:color w:val="auto"/>
          <w:spacing w:val="6"/>
          <w:sz w:val="24"/>
          <w:szCs w:val="24"/>
          <w:highlight w:val="none"/>
          <w:lang w:val="zh-CN"/>
        </w:rPr>
        <w:t>投标无效</w:t>
      </w:r>
      <w:r>
        <w:rPr>
          <w:rFonts w:hint="eastAsia" w:ascii="宋体" w:hAnsi="宋体" w:eastAsia="宋体" w:cs="宋体"/>
          <w:b/>
          <w:bCs/>
          <w:color w:val="auto"/>
          <w:spacing w:val="6"/>
          <w:sz w:val="24"/>
          <w:szCs w:val="24"/>
          <w:highlight w:val="none"/>
          <w:lang w:val="en-US" w:eastAsia="zh-CN"/>
        </w:rPr>
        <w:t>。</w:t>
      </w:r>
    </w:p>
    <w:p w14:paraId="08940E3E">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 未按照竞争性磋商文件的规定提交投标保证金的；</w:t>
      </w:r>
    </w:p>
    <w:p w14:paraId="5DA92FA4">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 响应文件未按竞争性磋商文件要求签署、盖章的；</w:t>
      </w:r>
    </w:p>
    <w:p w14:paraId="26BB8684">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 不具备竞争性磋商文件中规定的资格要求的；</w:t>
      </w:r>
    </w:p>
    <w:p w14:paraId="3A85F0DB">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 报价超过竞争性磋商文件中规定的预算金额或者最高限价的；</w:t>
      </w:r>
    </w:p>
    <w:p w14:paraId="76B1A9A7">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 响应文件含有采购人不能接受的附加条件的；</w:t>
      </w:r>
    </w:p>
    <w:p w14:paraId="775FCE14">
      <w:pPr>
        <w:pageBreakBefore w:val="0"/>
        <w:widowControl w:val="0"/>
        <w:kinsoku/>
        <w:wordWrap/>
        <w:overflowPunct/>
        <w:topLinePunct w:val="0"/>
        <w:autoSpaceDE/>
        <w:autoSpaceDN/>
        <w:bidi w:val="0"/>
        <w:snapToGrid/>
        <w:spacing w:line="580" w:lineRule="exact"/>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 法律、法规和竞争性磋商文件规定的其他无效情形。</w:t>
      </w:r>
    </w:p>
    <w:p w14:paraId="35CC4D00">
      <w:pPr>
        <w:keepNext w:val="0"/>
        <w:keepLines w:val="0"/>
        <w:pageBreakBefore w:val="0"/>
        <w:widowControl w:val="0"/>
        <w:kinsoku/>
        <w:wordWrap/>
        <w:overflowPunct/>
        <w:topLinePunct w:val="0"/>
        <w:autoSpaceDE/>
        <w:autoSpaceDN/>
        <w:bidi w:val="0"/>
        <w:adjustRightInd/>
        <w:snapToGrid/>
        <w:spacing w:line="580" w:lineRule="exact"/>
        <w:ind w:firstLine="506" w:firstLineChars="200"/>
        <w:contextualSpacing/>
        <w:jc w:val="left"/>
        <w:textAlignment w:val="auto"/>
        <w:rPr>
          <w:rFonts w:hint="eastAsia" w:ascii="宋体" w:hAnsi="宋体" w:eastAsia="宋体" w:cs="宋体"/>
          <w:b/>
          <w:bCs/>
          <w:color w:val="auto"/>
          <w:spacing w:val="6"/>
          <w:sz w:val="24"/>
          <w:szCs w:val="24"/>
          <w:highlight w:val="none"/>
          <w:lang w:val="zh-CN" w:eastAsia="zh-CN"/>
        </w:rPr>
      </w:pPr>
      <w:r>
        <w:rPr>
          <w:rFonts w:hint="eastAsia" w:ascii="宋体" w:hAnsi="宋体" w:eastAsia="宋体" w:cs="宋体"/>
          <w:b/>
          <w:bCs/>
          <w:color w:val="auto"/>
          <w:spacing w:val="6"/>
          <w:sz w:val="24"/>
          <w:szCs w:val="24"/>
          <w:highlight w:val="none"/>
          <w:lang w:val="en-US" w:eastAsia="zh-CN"/>
        </w:rPr>
        <w:t>5.2.6</w:t>
      </w:r>
      <w:r>
        <w:rPr>
          <w:rFonts w:hint="eastAsia" w:ascii="宋体" w:hAnsi="宋体" w:eastAsia="宋体" w:cs="宋体"/>
          <w:b/>
          <w:bCs/>
          <w:color w:val="auto"/>
          <w:spacing w:val="6"/>
          <w:sz w:val="24"/>
          <w:szCs w:val="24"/>
          <w:highlight w:val="none"/>
          <w:lang w:val="zh-CN" w:eastAsia="zh-CN"/>
        </w:rPr>
        <w:t>有下列情形之一的，视为供应商串通投标，其投标无效</w:t>
      </w:r>
      <w:r>
        <w:rPr>
          <w:rFonts w:hint="eastAsia" w:ascii="宋体" w:hAnsi="宋体" w:eastAsia="宋体" w:cs="宋体"/>
          <w:b/>
          <w:bCs/>
          <w:color w:val="auto"/>
          <w:spacing w:val="6"/>
          <w:sz w:val="24"/>
          <w:szCs w:val="24"/>
          <w:highlight w:val="none"/>
          <w:lang w:val="en-US" w:eastAsia="zh-CN"/>
        </w:rPr>
        <w:t>。</w:t>
      </w:r>
    </w:p>
    <w:p w14:paraId="2DE83CCD">
      <w:pPr>
        <w:pageBreakBefore w:val="0"/>
        <w:widowControl w:val="0"/>
        <w:kinsoku/>
        <w:wordWrap/>
        <w:overflowPunct/>
        <w:topLinePunct w:val="0"/>
        <w:autoSpaceDE/>
        <w:autoSpaceDN/>
        <w:bidi w:val="0"/>
        <w:snapToGrid/>
        <w:spacing w:line="58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(1)不同供应商的响应文件由同一单位或者个人编制；</w:t>
      </w:r>
    </w:p>
    <w:p w14:paraId="38C392CE">
      <w:pPr>
        <w:pageBreakBefore w:val="0"/>
        <w:widowControl w:val="0"/>
        <w:kinsoku/>
        <w:wordWrap/>
        <w:overflowPunct/>
        <w:topLinePunct w:val="0"/>
        <w:autoSpaceDE/>
        <w:autoSpaceDN/>
        <w:bidi w:val="0"/>
        <w:snapToGrid/>
        <w:spacing w:line="58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(2)不同供应商委托同一单位或者个人办理投标事宜；</w:t>
      </w:r>
    </w:p>
    <w:p w14:paraId="09721D96">
      <w:pPr>
        <w:pageBreakBefore w:val="0"/>
        <w:widowControl w:val="0"/>
        <w:kinsoku/>
        <w:wordWrap/>
        <w:overflowPunct/>
        <w:topLinePunct w:val="0"/>
        <w:autoSpaceDE/>
        <w:autoSpaceDN/>
        <w:bidi w:val="0"/>
        <w:snapToGrid/>
        <w:spacing w:line="58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(3)不同供应商的响应文件载明的项目管理成员或者联系人员为同一人；</w:t>
      </w:r>
    </w:p>
    <w:p w14:paraId="41051178">
      <w:pPr>
        <w:pageBreakBefore w:val="0"/>
        <w:widowControl w:val="0"/>
        <w:kinsoku/>
        <w:wordWrap/>
        <w:overflowPunct/>
        <w:topLinePunct w:val="0"/>
        <w:autoSpaceDE/>
        <w:autoSpaceDN/>
        <w:bidi w:val="0"/>
        <w:snapToGrid/>
        <w:spacing w:line="58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(4)不同供应商的响应文件异常一致或者投标报价呈规律性差异；</w:t>
      </w:r>
    </w:p>
    <w:p w14:paraId="280665CE">
      <w:pPr>
        <w:pageBreakBefore w:val="0"/>
        <w:widowControl w:val="0"/>
        <w:kinsoku/>
        <w:wordWrap/>
        <w:overflowPunct/>
        <w:topLinePunct w:val="0"/>
        <w:autoSpaceDE/>
        <w:autoSpaceDN/>
        <w:bidi w:val="0"/>
        <w:snapToGrid/>
        <w:spacing w:line="580" w:lineRule="exact"/>
        <w:ind w:right="15" w:rightChars="7" w:firstLine="480" w:firstLineChars="200"/>
        <w:textAlignment w:val="auto"/>
        <w:rPr>
          <w:rFonts w:hint="eastAsia" w:ascii="宋体" w:hAnsi="宋体" w:eastAsia="宋体" w:cs="宋体"/>
          <w:b w:val="0"/>
          <w:bCs w:val="0"/>
          <w:color w:val="auto"/>
          <w:kern w:val="1"/>
          <w:sz w:val="24"/>
          <w:highlight w:val="none"/>
          <w:lang w:val="zh-CN" w:bidi="ar"/>
        </w:rPr>
      </w:pPr>
      <w:r>
        <w:rPr>
          <w:rFonts w:hint="eastAsia" w:ascii="宋体" w:hAnsi="宋体" w:eastAsia="宋体" w:cs="宋体"/>
          <w:b w:val="0"/>
          <w:bCs w:val="0"/>
          <w:color w:val="auto"/>
          <w:kern w:val="1"/>
          <w:sz w:val="24"/>
          <w:highlight w:val="none"/>
          <w:lang w:val="zh-CN" w:bidi="ar"/>
        </w:rPr>
        <w:t>(5)不同供应商的响应文件相互混装；</w:t>
      </w:r>
    </w:p>
    <w:p w14:paraId="4C86AB97">
      <w:pPr>
        <w:pageBreakBefore w:val="0"/>
        <w:widowControl w:val="0"/>
        <w:kinsoku/>
        <w:wordWrap/>
        <w:overflowPunct/>
        <w:topLinePunct w:val="0"/>
        <w:autoSpaceDE/>
        <w:autoSpaceDN/>
        <w:bidi w:val="0"/>
        <w:snapToGrid/>
        <w:spacing w:line="580" w:lineRule="exact"/>
        <w:ind w:right="15" w:rightChars="7"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val="0"/>
          <w:color w:val="auto"/>
          <w:kern w:val="1"/>
          <w:sz w:val="24"/>
          <w:highlight w:val="none"/>
          <w:lang w:val="zh-CN" w:bidi="ar"/>
        </w:rPr>
        <w:t>(6)不同供应商的</w:t>
      </w:r>
      <w:r>
        <w:rPr>
          <w:rFonts w:hint="eastAsia" w:ascii="宋体" w:hAnsi="宋体" w:cs="宋体"/>
          <w:b w:val="0"/>
          <w:bCs w:val="0"/>
          <w:color w:val="auto"/>
          <w:kern w:val="1"/>
          <w:sz w:val="24"/>
          <w:highlight w:val="none"/>
          <w:lang w:val="en-US" w:eastAsia="zh-CN" w:bidi="ar"/>
        </w:rPr>
        <w:t>磋商</w:t>
      </w:r>
      <w:r>
        <w:rPr>
          <w:rFonts w:hint="eastAsia" w:ascii="宋体" w:hAnsi="宋体" w:eastAsia="宋体" w:cs="宋体"/>
          <w:b w:val="0"/>
          <w:bCs w:val="0"/>
          <w:color w:val="auto"/>
          <w:kern w:val="1"/>
          <w:sz w:val="24"/>
          <w:highlight w:val="none"/>
          <w:lang w:val="zh-CN" w:bidi="ar"/>
        </w:rPr>
        <w:t>保证金从同一单位或者个人的账户转出。</w:t>
      </w:r>
    </w:p>
    <w:p w14:paraId="72A3B0ED">
      <w:pPr>
        <w:pStyle w:val="17"/>
        <w:pageBreakBefore w:val="0"/>
        <w:widowControl w:val="0"/>
        <w:kinsoku/>
        <w:wordWrap/>
        <w:overflowPunct/>
        <w:topLinePunct w:val="0"/>
        <w:autoSpaceDE/>
        <w:autoSpaceDN/>
        <w:bidi w:val="0"/>
        <w:adjustRightInd w:val="0"/>
        <w:snapToGrid/>
        <w:spacing w:line="580" w:lineRule="exact"/>
        <w:ind w:firstLine="482" w:firstLineChars="200"/>
        <w:contextualSpacing/>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5.2.7</w:t>
      </w:r>
      <w:r>
        <w:rPr>
          <w:rFonts w:hint="eastAsia" w:ascii="宋体" w:hAnsi="宋体" w:eastAsia="宋体" w:cs="宋体"/>
          <w:b/>
          <w:color w:val="auto"/>
          <w:sz w:val="24"/>
          <w:szCs w:val="24"/>
          <w:highlight w:val="none"/>
        </w:rPr>
        <w:t>评标过程的保密性</w:t>
      </w:r>
    </w:p>
    <w:p w14:paraId="1D5DDFC0">
      <w:pPr>
        <w:pageBreakBefore w:val="0"/>
        <w:widowControl w:val="0"/>
        <w:kinsoku/>
        <w:wordWrap/>
        <w:overflowPunct/>
        <w:topLinePunct w:val="0"/>
        <w:autoSpaceDE/>
        <w:autoSpaceDN/>
        <w:bidi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开标后，直至向中标的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授予合同时止，凡与审查、澄清、评价和比较投标的有关资料以及授标意见等，均不得向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及评标无关的其他人透露。</w:t>
      </w:r>
    </w:p>
    <w:p w14:paraId="65438CB7">
      <w:pPr>
        <w:pageBreakBefore w:val="0"/>
        <w:widowControl w:val="0"/>
        <w:kinsoku/>
        <w:wordWrap/>
        <w:overflowPunct/>
        <w:topLinePunct w:val="0"/>
        <w:autoSpaceDE/>
        <w:autoSpaceDN/>
        <w:bidi w:val="0"/>
        <w:snapToGrid/>
        <w:spacing w:line="580" w:lineRule="exact"/>
        <w:ind w:right="15" w:rightChars="7"/>
        <w:textAlignment w:val="auto"/>
        <w:outlineLvl w:val="1"/>
        <w:rPr>
          <w:rFonts w:hint="eastAsia" w:ascii="宋体" w:hAnsi="宋体" w:eastAsia="宋体" w:cs="宋体"/>
          <w:b/>
          <w:bCs/>
          <w:color w:val="auto"/>
          <w:kern w:val="1"/>
          <w:sz w:val="24"/>
          <w:highlight w:val="none"/>
          <w:lang w:val="en-US" w:eastAsia="zh-CN" w:bidi="ar"/>
        </w:rPr>
      </w:pPr>
      <w:bookmarkStart w:id="192" w:name="_Toc12591"/>
      <w:bookmarkStart w:id="193" w:name="_Toc8738"/>
      <w:bookmarkStart w:id="194" w:name="_Toc23685"/>
      <w:bookmarkStart w:id="195" w:name="_Toc12967"/>
      <w:r>
        <w:rPr>
          <w:rFonts w:hint="eastAsia" w:ascii="宋体" w:hAnsi="宋体" w:eastAsia="宋体" w:cs="宋体"/>
          <w:b/>
          <w:bCs/>
          <w:color w:val="auto"/>
          <w:kern w:val="1"/>
          <w:sz w:val="24"/>
          <w:highlight w:val="none"/>
          <w:lang w:val="en-US" w:eastAsia="zh-CN" w:bidi="ar"/>
        </w:rPr>
        <w:t>六、中标通知和合同授予</w:t>
      </w:r>
      <w:bookmarkEnd w:id="192"/>
      <w:bookmarkEnd w:id="193"/>
      <w:bookmarkEnd w:id="194"/>
      <w:bookmarkEnd w:id="195"/>
    </w:p>
    <w:p w14:paraId="08131F17">
      <w:pPr>
        <w:pStyle w:val="5"/>
        <w:pageBreakBefore w:val="0"/>
        <w:widowControl w:val="0"/>
        <w:kinsoku/>
        <w:wordWrap/>
        <w:overflowPunct/>
        <w:topLinePunct w:val="0"/>
        <w:autoSpaceDE/>
        <w:autoSpaceDN/>
        <w:bidi w:val="0"/>
        <w:adjustRightInd/>
        <w:snapToGrid/>
        <w:spacing w:before="0" w:after="0" w:line="580" w:lineRule="exact"/>
        <w:ind w:firstLine="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w:t>
      </w:r>
      <w:r>
        <w:rPr>
          <w:rFonts w:hint="eastAsia" w:ascii="宋体" w:hAnsi="宋体" w:eastAsia="宋体" w:cs="宋体"/>
          <w:color w:val="auto"/>
          <w:sz w:val="24"/>
          <w:szCs w:val="24"/>
          <w:highlight w:val="none"/>
        </w:rPr>
        <w:t>定标</w:t>
      </w:r>
    </w:p>
    <w:p w14:paraId="04826E72">
      <w:pPr>
        <w:pageBreakBefore w:val="0"/>
        <w:widowControl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6.1.1</w:t>
      </w:r>
      <w:r>
        <w:rPr>
          <w:rFonts w:hint="eastAsia" w:ascii="宋体" w:hAnsi="宋体" w:cs="宋体"/>
          <w:bCs/>
          <w:color w:val="auto"/>
          <w:sz w:val="24"/>
          <w:highlight w:val="none"/>
          <w:lang w:val="en-US" w:eastAsia="zh-CN"/>
        </w:rPr>
        <w:t>竞争性磋商小组</w:t>
      </w:r>
      <w:r>
        <w:rPr>
          <w:rFonts w:hint="eastAsia" w:ascii="宋体" w:hAnsi="宋体" w:eastAsia="宋体" w:cs="宋体"/>
          <w:bCs/>
          <w:color w:val="auto"/>
          <w:sz w:val="24"/>
          <w:highlight w:val="none"/>
        </w:rPr>
        <w:t>成员</w:t>
      </w:r>
      <w:r>
        <w:rPr>
          <w:rFonts w:hint="eastAsia" w:ascii="宋体" w:hAnsi="宋体" w:eastAsia="宋体" w:cs="宋体"/>
          <w:color w:val="auto"/>
          <w:sz w:val="24"/>
          <w:szCs w:val="24"/>
          <w:highlight w:val="none"/>
        </w:rPr>
        <w:t>根据评标原则和评标办法择优确定推荐中标单位，采购人将按推荐顺序进行最终审查后确定中标单位。</w:t>
      </w:r>
    </w:p>
    <w:p w14:paraId="7439E0A1">
      <w:pPr>
        <w:pageBreakBefore w:val="0"/>
        <w:widowControl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6.1.2</w:t>
      </w:r>
      <w:r>
        <w:rPr>
          <w:rFonts w:hint="eastAsia" w:ascii="宋体" w:hAnsi="宋体" w:eastAsia="宋体" w:cs="宋体"/>
          <w:color w:val="auto"/>
          <w:sz w:val="24"/>
          <w:szCs w:val="24"/>
          <w:highlight w:val="none"/>
        </w:rPr>
        <w:t>本次招标合同将授予满足</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要求、投标价合理、技术支持和服务能力好的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14:paraId="60A97C85">
      <w:pPr>
        <w:pStyle w:val="5"/>
        <w:pageBreakBefore w:val="0"/>
        <w:widowControl w:val="0"/>
        <w:kinsoku/>
        <w:wordWrap/>
        <w:overflowPunct/>
        <w:topLinePunct w:val="0"/>
        <w:autoSpaceDE/>
        <w:autoSpaceDN/>
        <w:bidi w:val="0"/>
        <w:adjustRightInd/>
        <w:snapToGrid/>
        <w:spacing w:before="0" w:after="0" w:line="580" w:lineRule="exact"/>
        <w:ind w:firstLine="0"/>
        <w:contextualSpacing/>
        <w:textAlignment w:val="auto"/>
        <w:rPr>
          <w:rFonts w:hint="eastAsia" w:ascii="宋体" w:hAnsi="宋体" w:eastAsia="宋体" w:cs="宋体"/>
          <w:color w:val="auto"/>
          <w:sz w:val="24"/>
          <w:szCs w:val="24"/>
          <w:highlight w:val="none"/>
        </w:rPr>
      </w:pPr>
      <w:bookmarkStart w:id="196" w:name="_Toc124133181"/>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4"/>
          <w:highlight w:val="none"/>
        </w:rPr>
        <w:t>中标通知</w:t>
      </w:r>
      <w:bookmarkEnd w:id="196"/>
    </w:p>
    <w:p w14:paraId="617CFEB4">
      <w:pPr>
        <w:pageBreakBefore w:val="0"/>
        <w:widowControl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6.2.1</w:t>
      </w:r>
      <w:r>
        <w:rPr>
          <w:rFonts w:hint="eastAsia" w:ascii="宋体" w:hAnsi="宋体" w:eastAsia="宋体" w:cs="宋体"/>
          <w:color w:val="auto"/>
          <w:sz w:val="24"/>
          <w:szCs w:val="24"/>
          <w:highlight w:val="none"/>
        </w:rPr>
        <w:t>招标代理公司根据评标结果和采购人定标确认后，在</w:t>
      </w:r>
      <w:r>
        <w:rPr>
          <w:rFonts w:hint="eastAsia" w:ascii="宋体" w:hAnsi="宋体" w:eastAsia="宋体" w:cs="宋体"/>
          <w:color w:val="auto"/>
          <w:sz w:val="24"/>
          <w:szCs w:val="24"/>
          <w:highlight w:val="none"/>
          <w:lang w:eastAsia="zh-CN"/>
        </w:rPr>
        <w:t>相关媒介</w:t>
      </w:r>
      <w:r>
        <w:rPr>
          <w:rFonts w:hint="eastAsia" w:ascii="宋体" w:hAnsi="宋体" w:eastAsia="宋体" w:cs="宋体"/>
          <w:color w:val="auto"/>
          <w:sz w:val="24"/>
          <w:szCs w:val="24"/>
          <w:highlight w:val="none"/>
        </w:rPr>
        <w:t>上发布中标公告，中标公告期限为1个工作日，同时</w:t>
      </w:r>
      <w:r>
        <w:rPr>
          <w:rFonts w:hint="eastAsia" w:ascii="宋体" w:hAnsi="宋体" w:eastAsia="宋体" w:cs="宋体"/>
          <w:color w:val="auto"/>
          <w:sz w:val="24"/>
          <w:szCs w:val="24"/>
          <w:highlight w:val="none"/>
          <w:lang w:eastAsia="zh-CN"/>
        </w:rPr>
        <w:t>招标代理公司</w:t>
      </w:r>
      <w:r>
        <w:rPr>
          <w:rFonts w:hint="eastAsia" w:ascii="宋体" w:hAnsi="宋体" w:eastAsia="宋体" w:cs="宋体"/>
          <w:color w:val="auto"/>
          <w:sz w:val="24"/>
          <w:szCs w:val="24"/>
          <w:highlight w:val="none"/>
        </w:rPr>
        <w:t>根据招标结果和采购人定标确认后向中标人发出《中标通知书》。</w:t>
      </w:r>
    </w:p>
    <w:p w14:paraId="7D77873B">
      <w:pPr>
        <w:pageBreakBefore w:val="0"/>
        <w:widowControl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6.2.2</w:t>
      </w:r>
      <w:r>
        <w:rPr>
          <w:rFonts w:hint="eastAsia" w:ascii="宋体" w:hAnsi="宋体" w:eastAsia="宋体" w:cs="宋体"/>
          <w:color w:val="auto"/>
          <w:sz w:val="24"/>
          <w:szCs w:val="24"/>
          <w:highlight w:val="none"/>
        </w:rPr>
        <w:t>《中标通知书》为合同的组成部分。</w:t>
      </w:r>
    </w:p>
    <w:p w14:paraId="78E7C8F0">
      <w:pPr>
        <w:pStyle w:val="5"/>
        <w:pageBreakBefore w:val="0"/>
        <w:widowControl w:val="0"/>
        <w:kinsoku/>
        <w:wordWrap/>
        <w:overflowPunct/>
        <w:topLinePunct w:val="0"/>
        <w:autoSpaceDE/>
        <w:autoSpaceDN/>
        <w:bidi w:val="0"/>
        <w:adjustRightInd/>
        <w:snapToGrid/>
        <w:spacing w:before="0" w:after="0" w:line="580" w:lineRule="exact"/>
        <w:ind w:firstLine="0"/>
        <w:contextualSpacing/>
        <w:textAlignment w:val="auto"/>
        <w:rPr>
          <w:rFonts w:hint="eastAsia" w:ascii="宋体" w:hAnsi="宋体" w:eastAsia="宋体" w:cs="宋体"/>
          <w:color w:val="auto"/>
          <w:sz w:val="24"/>
          <w:szCs w:val="24"/>
          <w:highlight w:val="none"/>
        </w:rPr>
      </w:pPr>
      <w:bookmarkStart w:id="197" w:name="_Toc124133182"/>
      <w:r>
        <w:rPr>
          <w:rFonts w:hint="eastAsia" w:ascii="宋体" w:hAnsi="宋体" w:eastAsia="宋体" w:cs="宋体"/>
          <w:color w:val="auto"/>
          <w:sz w:val="24"/>
          <w:szCs w:val="24"/>
          <w:highlight w:val="none"/>
          <w:lang w:val="en-US" w:eastAsia="zh-CN"/>
        </w:rPr>
        <w:t>6.3</w:t>
      </w:r>
      <w:r>
        <w:rPr>
          <w:rFonts w:hint="eastAsia" w:ascii="宋体" w:hAnsi="宋体" w:eastAsia="宋体" w:cs="宋体"/>
          <w:color w:val="auto"/>
          <w:sz w:val="24"/>
          <w:szCs w:val="24"/>
          <w:highlight w:val="none"/>
        </w:rPr>
        <w:t>签订合同</w:t>
      </w:r>
      <w:bookmarkEnd w:id="197"/>
    </w:p>
    <w:p w14:paraId="734103C9">
      <w:pPr>
        <w:pageBreakBefore w:val="0"/>
        <w:widowControl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6.3.1</w:t>
      </w:r>
      <w:r>
        <w:rPr>
          <w:rFonts w:hint="eastAsia" w:ascii="宋体" w:hAnsi="宋体" w:eastAsia="宋体" w:cs="宋体"/>
          <w:color w:val="auto"/>
          <w:sz w:val="24"/>
          <w:szCs w:val="24"/>
          <w:highlight w:val="none"/>
        </w:rPr>
        <w:t xml:space="preserve"> 采购人应当自中标通知书发出之日起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日内，按照</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和中标人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的规定，与中标人签订书面合同。所签订的合同不得对</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确定的事项和中标人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作实质性修改。</w:t>
      </w:r>
    </w:p>
    <w:p w14:paraId="6B759E28">
      <w:pPr>
        <w:pageBreakBefore w:val="0"/>
        <w:widowControl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6.3.2</w:t>
      </w:r>
      <w:r>
        <w:rPr>
          <w:rFonts w:hint="eastAsia" w:ascii="宋体" w:hAnsi="宋体" w:eastAsia="宋体" w:cs="宋体"/>
          <w:color w:val="auto"/>
          <w:sz w:val="24"/>
          <w:szCs w:val="24"/>
          <w:highlight w:val="none"/>
        </w:rPr>
        <w:t>中标候选人放弃中标、因不可抗力不能履行合同、不按照</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 xml:space="preserve">要求提交履约保证金，或者被查实存在影响中标结果的违法行为等情形，不符合中标条件的，采购人将按照竞争性磋商小组成员提出的中标候选人名单排序依次确定其他中标候选人为中标人，也可以重新招标。 </w:t>
      </w:r>
    </w:p>
    <w:p w14:paraId="76C9BE95">
      <w:pPr>
        <w:pageBreakBefore w:val="0"/>
        <w:widowControl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6.3.</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中标人不得以任何形式将本项目转包和分包。</w:t>
      </w:r>
    </w:p>
    <w:bookmarkEnd w:id="169"/>
    <w:bookmarkEnd w:id="170"/>
    <w:bookmarkEnd w:id="171"/>
    <w:bookmarkEnd w:id="172"/>
    <w:bookmarkEnd w:id="173"/>
    <w:bookmarkEnd w:id="174"/>
    <w:bookmarkEnd w:id="175"/>
    <w:bookmarkEnd w:id="176"/>
    <w:bookmarkEnd w:id="177"/>
    <w:p w14:paraId="2DC28EB9">
      <w:pPr>
        <w:pageBreakBefore w:val="0"/>
        <w:widowControl w:val="0"/>
        <w:kinsoku/>
        <w:wordWrap/>
        <w:overflowPunct/>
        <w:topLinePunct w:val="0"/>
        <w:autoSpaceDE/>
        <w:autoSpaceDN/>
        <w:bidi w:val="0"/>
        <w:adjustRightInd/>
        <w:snapToGrid/>
        <w:spacing w:line="580" w:lineRule="exact"/>
        <w:contextualSpacing/>
        <w:textAlignment w:val="auto"/>
        <w:outlineLvl w:val="1"/>
        <w:rPr>
          <w:rFonts w:hint="eastAsia" w:ascii="宋体" w:hAnsi="宋体" w:eastAsia="宋体" w:cs="宋体"/>
          <w:b/>
          <w:bCs/>
          <w:color w:val="auto"/>
          <w:sz w:val="24"/>
          <w:szCs w:val="24"/>
          <w:highlight w:val="none"/>
          <w:lang w:val="zh-CN"/>
        </w:rPr>
      </w:pPr>
      <w:bookmarkStart w:id="198" w:name="_Toc308439059"/>
      <w:bookmarkStart w:id="199" w:name="_Toc152045574"/>
      <w:bookmarkStart w:id="200" w:name="_Toc9795"/>
      <w:bookmarkStart w:id="201" w:name="_Toc12694"/>
      <w:bookmarkStart w:id="202" w:name="_Toc28643"/>
      <w:bookmarkStart w:id="203" w:name="_Toc144974542"/>
      <w:bookmarkStart w:id="204" w:name="_Toc347844293"/>
      <w:bookmarkStart w:id="205" w:name="_Toc179632592"/>
      <w:bookmarkStart w:id="206" w:name="_Toc18994"/>
      <w:bookmarkStart w:id="207" w:name="_Toc319592639"/>
      <w:bookmarkStart w:id="208" w:name="_Toc347742335"/>
      <w:bookmarkStart w:id="209" w:name="_Toc347844156"/>
      <w:bookmarkStart w:id="210" w:name="_Toc152042350"/>
      <w:r>
        <w:rPr>
          <w:rFonts w:hint="eastAsia" w:ascii="宋体" w:hAnsi="宋体" w:eastAsia="宋体" w:cs="宋体"/>
          <w:b/>
          <w:bCs/>
          <w:color w:val="auto"/>
          <w:sz w:val="24"/>
          <w:szCs w:val="24"/>
          <w:highlight w:val="none"/>
          <w:lang w:val="zh-CN"/>
        </w:rPr>
        <w:t>七、纪律和监督</w:t>
      </w:r>
      <w:bookmarkEnd w:id="198"/>
      <w:bookmarkEnd w:id="199"/>
      <w:bookmarkEnd w:id="200"/>
      <w:bookmarkEnd w:id="201"/>
      <w:bookmarkEnd w:id="202"/>
      <w:bookmarkEnd w:id="203"/>
      <w:bookmarkEnd w:id="204"/>
      <w:bookmarkEnd w:id="205"/>
      <w:bookmarkEnd w:id="206"/>
      <w:bookmarkEnd w:id="207"/>
      <w:bookmarkEnd w:id="208"/>
      <w:bookmarkEnd w:id="209"/>
      <w:bookmarkEnd w:id="210"/>
    </w:p>
    <w:p w14:paraId="61CC65C3">
      <w:pPr>
        <w:pageBreakBefore w:val="0"/>
        <w:widowControl w:val="0"/>
        <w:kinsoku/>
        <w:wordWrap/>
        <w:overflowPunct/>
        <w:topLinePunct w:val="0"/>
        <w:autoSpaceDE/>
        <w:autoSpaceDN/>
        <w:bidi w:val="0"/>
        <w:adjustRightInd/>
        <w:snapToGrid/>
        <w:spacing w:line="580" w:lineRule="exact"/>
        <w:ind w:firstLine="480" w:firstLineChars="200"/>
        <w:contextualSpacing/>
        <w:textAlignment w:val="auto"/>
        <w:outlineLvl w:val="2"/>
        <w:rPr>
          <w:rFonts w:hint="eastAsia" w:ascii="宋体" w:hAnsi="宋体" w:eastAsia="宋体" w:cs="宋体"/>
          <w:b w:val="0"/>
          <w:bCs w:val="0"/>
          <w:color w:val="auto"/>
          <w:sz w:val="24"/>
          <w:szCs w:val="24"/>
          <w:highlight w:val="none"/>
        </w:rPr>
      </w:pPr>
      <w:bookmarkStart w:id="211" w:name="_Toc319592640"/>
      <w:bookmarkStart w:id="212" w:name="_Toc347742336"/>
      <w:bookmarkStart w:id="213" w:name="_Toc152045575"/>
      <w:bookmarkStart w:id="214" w:name="_Toc347844294"/>
      <w:bookmarkStart w:id="215" w:name="_Toc308439060"/>
      <w:bookmarkStart w:id="216" w:name="_Toc152042351"/>
      <w:bookmarkStart w:id="217" w:name="_Toc144974543"/>
      <w:bookmarkStart w:id="218" w:name="_Toc179632593"/>
      <w:bookmarkStart w:id="219" w:name="_Toc347844157"/>
      <w:r>
        <w:rPr>
          <w:rFonts w:hint="eastAsia" w:ascii="宋体" w:hAnsi="宋体" w:eastAsia="宋体" w:cs="宋体"/>
          <w:b w:val="0"/>
          <w:bCs w:val="0"/>
          <w:color w:val="auto"/>
          <w:sz w:val="24"/>
          <w:szCs w:val="24"/>
          <w:highlight w:val="none"/>
          <w:lang w:val="en-US" w:eastAsia="zh-CN"/>
        </w:rPr>
        <w:t>7.1</w:t>
      </w:r>
      <w:r>
        <w:rPr>
          <w:rFonts w:hint="eastAsia" w:ascii="宋体" w:hAnsi="宋体" w:eastAsia="宋体" w:cs="宋体"/>
          <w:b w:val="0"/>
          <w:bCs w:val="0"/>
          <w:color w:val="auto"/>
          <w:sz w:val="24"/>
          <w:szCs w:val="24"/>
          <w:highlight w:val="none"/>
        </w:rPr>
        <w:t>对采购人的纪律要求</w:t>
      </w:r>
      <w:bookmarkEnd w:id="211"/>
      <w:bookmarkEnd w:id="212"/>
      <w:bookmarkEnd w:id="213"/>
      <w:bookmarkEnd w:id="214"/>
      <w:bookmarkEnd w:id="215"/>
      <w:bookmarkEnd w:id="216"/>
      <w:bookmarkEnd w:id="217"/>
      <w:bookmarkEnd w:id="218"/>
      <w:bookmarkEnd w:id="219"/>
    </w:p>
    <w:p w14:paraId="1A4CA7F5">
      <w:pPr>
        <w:pageBreakBefore w:val="0"/>
        <w:widowControl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采购人不得泄漏招标投标活动中应当保密的情况和资料，不得与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串通损害国家利益、社会公共利益或者他人合法权益。</w:t>
      </w:r>
    </w:p>
    <w:p w14:paraId="1F1C2A55">
      <w:pPr>
        <w:pStyle w:val="47"/>
        <w:keepNext w:val="0"/>
        <w:keepLines w:val="0"/>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Cs w:val="24"/>
          <w:highlight w:val="none"/>
        </w:rPr>
      </w:pPr>
      <w:bookmarkStart w:id="220" w:name="_Toc319592641"/>
      <w:bookmarkStart w:id="221" w:name="_Toc347844295"/>
      <w:bookmarkStart w:id="222" w:name="_Toc152042352"/>
      <w:bookmarkStart w:id="223" w:name="_Toc347844158"/>
      <w:bookmarkStart w:id="224" w:name="_Toc347742337"/>
      <w:bookmarkStart w:id="225" w:name="_Toc179632594"/>
      <w:bookmarkStart w:id="226" w:name="_Toc308439061"/>
      <w:bookmarkStart w:id="227" w:name="_Toc144974544"/>
      <w:bookmarkStart w:id="228" w:name="_Toc152045576"/>
      <w:r>
        <w:rPr>
          <w:rFonts w:hint="eastAsia" w:ascii="宋体" w:hAnsi="宋体" w:eastAsia="宋体" w:cs="宋体"/>
          <w:bCs/>
          <w:color w:val="auto"/>
          <w:szCs w:val="24"/>
          <w:highlight w:val="none"/>
          <w:lang w:val="en-US" w:eastAsia="zh-CN"/>
        </w:rPr>
        <w:t>7.2</w:t>
      </w:r>
      <w:r>
        <w:rPr>
          <w:rFonts w:hint="eastAsia" w:ascii="宋体" w:hAnsi="宋体" w:eastAsia="宋体" w:cs="宋体"/>
          <w:bCs/>
          <w:color w:val="auto"/>
          <w:szCs w:val="24"/>
          <w:highlight w:val="none"/>
        </w:rPr>
        <w:t>对</w:t>
      </w:r>
      <w:r>
        <w:rPr>
          <w:rFonts w:hint="eastAsia" w:ascii="宋体" w:hAnsi="宋体" w:eastAsia="宋体" w:cs="宋体"/>
          <w:bCs/>
          <w:color w:val="auto"/>
          <w:szCs w:val="24"/>
          <w:highlight w:val="none"/>
          <w:lang w:eastAsia="zh-CN"/>
        </w:rPr>
        <w:t>供应商</w:t>
      </w:r>
      <w:r>
        <w:rPr>
          <w:rFonts w:hint="eastAsia" w:ascii="宋体" w:hAnsi="宋体" w:eastAsia="宋体" w:cs="宋体"/>
          <w:bCs/>
          <w:color w:val="auto"/>
          <w:szCs w:val="24"/>
          <w:highlight w:val="none"/>
        </w:rPr>
        <w:t>的纪律要求</w:t>
      </w:r>
      <w:bookmarkEnd w:id="220"/>
      <w:bookmarkEnd w:id="221"/>
      <w:bookmarkEnd w:id="222"/>
      <w:bookmarkEnd w:id="223"/>
      <w:bookmarkEnd w:id="224"/>
      <w:bookmarkEnd w:id="225"/>
      <w:bookmarkEnd w:id="226"/>
      <w:bookmarkEnd w:id="227"/>
      <w:bookmarkEnd w:id="228"/>
    </w:p>
    <w:p w14:paraId="2562812B">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不得相互串通投标或者与</w:t>
      </w:r>
      <w:r>
        <w:rPr>
          <w:rFonts w:hint="eastAsia" w:ascii="宋体" w:hAnsi="宋体" w:eastAsia="宋体" w:cs="宋体"/>
          <w:bCs/>
          <w:color w:val="auto"/>
          <w:sz w:val="24"/>
          <w:highlight w:val="none"/>
          <w:lang w:eastAsia="zh-CN"/>
        </w:rPr>
        <w:t>采购人</w:t>
      </w:r>
      <w:r>
        <w:rPr>
          <w:rFonts w:hint="eastAsia" w:ascii="宋体" w:hAnsi="宋体" w:eastAsia="宋体" w:cs="宋体"/>
          <w:bCs/>
          <w:color w:val="auto"/>
          <w:sz w:val="24"/>
          <w:highlight w:val="none"/>
        </w:rPr>
        <w:t>串通投标，不得向采购人或者</w:t>
      </w:r>
      <w:r>
        <w:rPr>
          <w:rFonts w:hint="eastAsia" w:ascii="宋体" w:hAnsi="宋体" w:cs="宋体"/>
          <w:bCs/>
          <w:color w:val="auto"/>
          <w:sz w:val="24"/>
          <w:highlight w:val="none"/>
          <w:lang w:val="en-US" w:eastAsia="zh-CN"/>
        </w:rPr>
        <w:t>竞争性磋商小组</w:t>
      </w:r>
      <w:r>
        <w:rPr>
          <w:rFonts w:hint="eastAsia" w:ascii="宋体" w:hAnsi="宋体" w:eastAsia="宋体" w:cs="宋体"/>
          <w:bCs/>
          <w:color w:val="auto"/>
          <w:sz w:val="24"/>
          <w:highlight w:val="none"/>
        </w:rPr>
        <w:t>成员行贿谋取中标，不得以他人名义投标或者以其他方式弄虚作假骗取中标；</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不得以任何方式干扰、影响评标工作。</w:t>
      </w:r>
    </w:p>
    <w:p w14:paraId="73A7F660">
      <w:pPr>
        <w:pStyle w:val="47"/>
        <w:keepNext w:val="0"/>
        <w:keepLines w:val="0"/>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Cs w:val="24"/>
          <w:highlight w:val="none"/>
        </w:rPr>
      </w:pPr>
      <w:bookmarkStart w:id="229" w:name="_Toc152045577"/>
      <w:bookmarkStart w:id="230" w:name="_Toc308439062"/>
      <w:bookmarkStart w:id="231" w:name="_Toc319592642"/>
      <w:bookmarkStart w:id="232" w:name="_Toc179632595"/>
      <w:bookmarkStart w:id="233" w:name="_Toc347742338"/>
      <w:bookmarkStart w:id="234" w:name="_Toc347844159"/>
      <w:bookmarkStart w:id="235" w:name="_Toc144974545"/>
      <w:bookmarkStart w:id="236" w:name="_Toc347844296"/>
      <w:bookmarkStart w:id="237" w:name="_Toc152042353"/>
      <w:r>
        <w:rPr>
          <w:rFonts w:hint="eastAsia" w:ascii="宋体" w:hAnsi="宋体" w:eastAsia="宋体" w:cs="宋体"/>
          <w:bCs/>
          <w:color w:val="auto"/>
          <w:szCs w:val="24"/>
          <w:highlight w:val="none"/>
          <w:lang w:val="en-US" w:eastAsia="zh-CN"/>
        </w:rPr>
        <w:t>7.3</w:t>
      </w:r>
      <w:r>
        <w:rPr>
          <w:rFonts w:hint="eastAsia" w:ascii="宋体" w:hAnsi="宋体" w:eastAsia="宋体" w:cs="宋体"/>
          <w:bCs/>
          <w:color w:val="auto"/>
          <w:szCs w:val="24"/>
          <w:highlight w:val="none"/>
        </w:rPr>
        <w:t xml:space="preserve"> 对竞争性磋商小组成员的纪律要求</w:t>
      </w:r>
      <w:bookmarkEnd w:id="229"/>
      <w:bookmarkEnd w:id="230"/>
      <w:bookmarkEnd w:id="231"/>
      <w:bookmarkEnd w:id="232"/>
      <w:bookmarkEnd w:id="233"/>
      <w:bookmarkEnd w:id="234"/>
      <w:bookmarkEnd w:id="235"/>
      <w:bookmarkEnd w:id="236"/>
      <w:bookmarkEnd w:id="237"/>
    </w:p>
    <w:p w14:paraId="4DAC2616">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竞争性磋商小组</w:t>
      </w:r>
      <w:r>
        <w:rPr>
          <w:rFonts w:hint="eastAsia" w:ascii="宋体" w:hAnsi="宋体" w:eastAsia="宋体" w:cs="宋体"/>
          <w:bCs/>
          <w:color w:val="auto"/>
          <w:sz w:val="24"/>
          <w:highlight w:val="none"/>
        </w:rPr>
        <w:t>成员不得收受他人的财物或者其他好处，不得向他人透漏对响应文件的评审和比较、成交候选人的推荐情况以及评标有关的其他情况。在评审活动中，</w:t>
      </w:r>
      <w:r>
        <w:rPr>
          <w:rFonts w:hint="eastAsia" w:ascii="宋体" w:hAnsi="宋体" w:cs="宋体"/>
          <w:bCs/>
          <w:color w:val="auto"/>
          <w:sz w:val="24"/>
          <w:highlight w:val="none"/>
          <w:lang w:val="en-US" w:eastAsia="zh-CN"/>
        </w:rPr>
        <w:t>竞争性磋商小组</w:t>
      </w:r>
      <w:r>
        <w:rPr>
          <w:rFonts w:hint="eastAsia" w:ascii="宋体" w:hAnsi="宋体" w:eastAsia="宋体" w:cs="宋体"/>
          <w:bCs/>
          <w:color w:val="auto"/>
          <w:sz w:val="24"/>
          <w:highlight w:val="none"/>
        </w:rPr>
        <w:t>成员不得擅离职守，影响评标程序正常进行，不得使用评标办法没有规定的评审因素和标准进行评标。</w:t>
      </w:r>
    </w:p>
    <w:p w14:paraId="6A086863">
      <w:pPr>
        <w:pStyle w:val="47"/>
        <w:keepNext w:val="0"/>
        <w:keepLines w:val="0"/>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Cs w:val="24"/>
          <w:highlight w:val="none"/>
        </w:rPr>
      </w:pPr>
      <w:bookmarkStart w:id="238" w:name="_Toc347844160"/>
      <w:bookmarkStart w:id="239" w:name="_Toc152042354"/>
      <w:bookmarkStart w:id="240" w:name="_Toc319592643"/>
      <w:bookmarkStart w:id="241" w:name="_Toc308439063"/>
      <w:bookmarkStart w:id="242" w:name="_Toc179632596"/>
      <w:bookmarkStart w:id="243" w:name="_Toc347844297"/>
      <w:bookmarkStart w:id="244" w:name="_Toc152045578"/>
      <w:bookmarkStart w:id="245" w:name="_Toc347742339"/>
      <w:r>
        <w:rPr>
          <w:rFonts w:hint="eastAsia" w:ascii="宋体" w:hAnsi="宋体" w:eastAsia="宋体" w:cs="宋体"/>
          <w:bCs/>
          <w:color w:val="auto"/>
          <w:szCs w:val="24"/>
          <w:highlight w:val="none"/>
          <w:lang w:val="en-US" w:eastAsia="zh-CN"/>
        </w:rPr>
        <w:t>7.4</w:t>
      </w:r>
      <w:r>
        <w:rPr>
          <w:rFonts w:hint="eastAsia" w:ascii="宋体" w:hAnsi="宋体" w:eastAsia="宋体" w:cs="宋体"/>
          <w:bCs/>
          <w:color w:val="auto"/>
          <w:szCs w:val="24"/>
          <w:highlight w:val="none"/>
        </w:rPr>
        <w:t xml:space="preserve"> 对与评标活动有关的工作人员的纪律要求</w:t>
      </w:r>
      <w:bookmarkEnd w:id="238"/>
      <w:bookmarkEnd w:id="239"/>
      <w:bookmarkEnd w:id="240"/>
      <w:bookmarkEnd w:id="241"/>
      <w:bookmarkEnd w:id="242"/>
      <w:bookmarkEnd w:id="243"/>
      <w:bookmarkEnd w:id="244"/>
      <w:bookmarkEnd w:id="245"/>
    </w:p>
    <w:p w14:paraId="2AB6D5F4">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auto"/>
          <w:sz w:val="24"/>
          <w:highlight w:val="none"/>
        </w:rPr>
      </w:pPr>
      <w:bookmarkStart w:id="246" w:name="_Toc152042355"/>
      <w:r>
        <w:rPr>
          <w:rFonts w:hint="eastAsia" w:ascii="宋体" w:hAnsi="宋体" w:eastAsia="宋体" w:cs="宋体"/>
          <w:bCs/>
          <w:color w:val="auto"/>
          <w:sz w:val="24"/>
          <w:highlight w:val="none"/>
        </w:rPr>
        <w:t>与评标活动有关的工作人员不得收受他人的财物或者其他好处，不得向他人透漏对</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的评审和比较、成交候选人的推荐情况以及评标有关的其他情况。在评标活动中，与评标活动有关的工作人员不得擅离职守，影响评标程序正常进行。</w:t>
      </w:r>
      <w:bookmarkEnd w:id="246"/>
      <w:bookmarkStart w:id="247" w:name="_Toc10510"/>
      <w:bookmarkStart w:id="248" w:name="_Toc13255"/>
    </w:p>
    <w:p w14:paraId="621A4188">
      <w:pPr>
        <w:pageBreakBefore w:val="0"/>
        <w:numPr>
          <w:ilvl w:val="0"/>
          <w:numId w:val="4"/>
        </w:numPr>
        <w:kinsoku/>
        <w:wordWrap/>
        <w:overflowPunct/>
        <w:topLinePunct w:val="0"/>
        <w:bidi w:val="0"/>
        <w:snapToGrid/>
        <w:spacing w:line="580" w:lineRule="exact"/>
        <w:textAlignment w:val="auto"/>
        <w:outlineLvl w:val="1"/>
        <w:rPr>
          <w:rFonts w:hint="eastAsia" w:ascii="宋体" w:hAnsi="宋体" w:eastAsia="宋体" w:cs="宋体"/>
          <w:b/>
          <w:bCs/>
          <w:color w:val="auto"/>
          <w:sz w:val="24"/>
          <w:szCs w:val="24"/>
          <w:highlight w:val="none"/>
          <w:lang w:val="zh-CN"/>
        </w:rPr>
      </w:pPr>
      <w:bookmarkStart w:id="249" w:name="_Toc25873"/>
      <w:bookmarkStart w:id="250" w:name="_Toc29112"/>
      <w:bookmarkStart w:id="251" w:name="_Toc17255"/>
      <w:bookmarkStart w:id="252" w:name="_Toc30452"/>
      <w:r>
        <w:rPr>
          <w:rFonts w:hint="eastAsia" w:ascii="宋体" w:hAnsi="宋体" w:eastAsia="宋体" w:cs="宋体"/>
          <w:b/>
          <w:bCs/>
          <w:color w:val="auto"/>
          <w:sz w:val="24"/>
          <w:szCs w:val="24"/>
          <w:highlight w:val="none"/>
          <w:lang w:val="zh-CN"/>
        </w:rPr>
        <w:t>质疑和投诉</w:t>
      </w:r>
      <w:bookmarkEnd w:id="247"/>
      <w:bookmarkEnd w:id="248"/>
      <w:bookmarkEnd w:id="249"/>
      <w:bookmarkEnd w:id="250"/>
      <w:bookmarkEnd w:id="251"/>
      <w:bookmarkEnd w:id="252"/>
    </w:p>
    <w:p w14:paraId="1F0AA3FB">
      <w:pPr>
        <w:pageBreakBefore w:val="0"/>
        <w:numPr>
          <w:ilvl w:val="0"/>
          <w:numId w:val="0"/>
        </w:numPr>
        <w:kinsoku/>
        <w:wordWrap/>
        <w:overflowPunct/>
        <w:topLinePunct w:val="0"/>
        <w:bidi w:val="0"/>
        <w:snapToGrid/>
        <w:spacing w:line="580" w:lineRule="exact"/>
        <w:ind w:firstLine="480" w:firstLineChars="200"/>
        <w:textAlignment w:val="auto"/>
        <w:rPr>
          <w:rFonts w:hint="eastAsia" w:ascii="宋体" w:hAnsi="宋体" w:eastAsia="宋体" w:cs="宋体"/>
          <w:color w:val="auto"/>
          <w:kern w:val="1"/>
          <w:sz w:val="24"/>
          <w:highlight w:val="none"/>
          <w:lang w:val="zh-CN" w:bidi="ar"/>
        </w:rPr>
      </w:pPr>
      <w:r>
        <w:rPr>
          <w:rFonts w:hint="eastAsia" w:ascii="宋体" w:hAnsi="宋体" w:eastAsia="宋体" w:cs="宋体"/>
          <w:color w:val="auto"/>
          <w:kern w:val="1"/>
          <w:sz w:val="24"/>
          <w:highlight w:val="none"/>
          <w:lang w:val="en-US" w:eastAsia="zh-CN" w:bidi="ar"/>
        </w:rPr>
        <w:t>8.1</w:t>
      </w:r>
      <w:r>
        <w:rPr>
          <w:rFonts w:hint="eastAsia" w:ascii="宋体" w:hAnsi="宋体" w:eastAsia="宋体" w:cs="宋体"/>
          <w:color w:val="auto"/>
          <w:kern w:val="1"/>
          <w:sz w:val="24"/>
          <w:highlight w:val="none"/>
          <w:lang w:val="zh-CN" w:bidi="ar"/>
        </w:rPr>
        <w:t>供应商对政府事项、采购活动有疑问的，可以向采购人或者采购代理机构提出询问，并及时作出答复，但答复的内容不得涉及商业秘密。供应商认为招标过程和成交结果使自己的合法权益受到损害的，应当在知道或者应知其权益受到损害之日起七个工作日内，以书面形式向采购人或者本代理机构提出质疑，质疑内容不得含有虚假、恶意成分。依照谁主张谁举证的原则，提出质疑时必须同时提交相关证据材料和证明事实的确切来源。供应商须在法定质疑期内一次性提出针对同一采购程序环节的质疑。</w:t>
      </w:r>
    </w:p>
    <w:p w14:paraId="361426A4">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1"/>
          <w:sz w:val="24"/>
          <w:highlight w:val="none"/>
          <w:lang w:val="zh-CN" w:bidi="ar"/>
        </w:rPr>
        <w:t>质疑受理单位：</w:t>
      </w:r>
      <w:r>
        <w:rPr>
          <w:rFonts w:hint="eastAsia" w:ascii="宋体" w:hAnsi="宋体" w:eastAsia="宋体" w:cs="宋体"/>
          <w:color w:val="auto"/>
          <w:sz w:val="24"/>
          <w:highlight w:val="none"/>
          <w:lang w:val="en-US" w:eastAsia="zh-CN"/>
        </w:rPr>
        <w:t>云南星骋项目管理有限公司</w:t>
      </w:r>
      <w:r>
        <w:rPr>
          <w:rFonts w:hint="eastAsia" w:ascii="宋体" w:hAnsi="宋体" w:eastAsia="宋体" w:cs="宋体"/>
          <w:color w:val="auto"/>
          <w:kern w:val="1"/>
          <w:sz w:val="24"/>
          <w:highlight w:val="none"/>
          <w:lang w:val="zh-CN" w:bidi="ar"/>
        </w:rPr>
        <w:t>，电话：</w:t>
      </w:r>
      <w:r>
        <w:rPr>
          <w:rFonts w:hint="eastAsia" w:ascii="宋体" w:hAnsi="宋体" w:eastAsia="宋体" w:cs="宋体"/>
          <w:color w:val="auto"/>
          <w:kern w:val="1"/>
          <w:sz w:val="24"/>
          <w:highlight w:val="none"/>
          <w:lang w:bidi="ar"/>
        </w:rPr>
        <w:t>15198499967</w:t>
      </w:r>
      <w:r>
        <w:rPr>
          <w:rFonts w:hint="eastAsia" w:ascii="宋体" w:hAnsi="宋体" w:eastAsia="宋体" w:cs="宋体"/>
          <w:color w:val="auto"/>
          <w:kern w:val="0"/>
          <w:sz w:val="24"/>
          <w:highlight w:val="none"/>
        </w:rPr>
        <w:t>。</w:t>
      </w:r>
    </w:p>
    <w:p w14:paraId="5F59434E">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提出质疑应当提交质疑函和必要的证明材料。质疑函应当包括下列内容：</w:t>
      </w:r>
    </w:p>
    <w:p w14:paraId="2995C8AC">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的姓名或者名称、地址、邮编、联系人及联系电话；</w:t>
      </w:r>
    </w:p>
    <w:p w14:paraId="0E852F9B">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（二）质疑项目的名称、编号；</w:t>
      </w:r>
    </w:p>
    <w:p w14:paraId="1FEB0079">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（三）具体、明确的质疑事项和与质疑事项相关的请求；</w:t>
      </w:r>
    </w:p>
    <w:p w14:paraId="515ECE7F">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（四）事实依据；</w:t>
      </w:r>
    </w:p>
    <w:p w14:paraId="492AA1FB">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（五）必要的法律依据；</w:t>
      </w:r>
    </w:p>
    <w:p w14:paraId="32A8C74E">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（六）提出质疑的日期。</w:t>
      </w:r>
    </w:p>
    <w:p w14:paraId="4443C98D">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为自然人的，应当由本人签字；</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为法人或者其他组织的，应当由法定代表人、主要负责人，或者其授权代表签字或者盖章，并加盖公章。</w:t>
      </w:r>
    </w:p>
    <w:p w14:paraId="76DA33F7">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质疑书需提供盖鲜章的原件，并实行实名制，应由法定代表人或其授权代理人签字并加盖单位鲜章，拒绝接受其他任何形式的质疑文件，质疑书需派人亲自送达质疑受理单位。</w:t>
      </w:r>
    </w:p>
    <w:p w14:paraId="77D14C4A">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采购人、采购代理机构将在收到</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的书面质疑后七个工作日内做出书面答复，但答复的内容不涉及商业秘密。</w:t>
      </w:r>
    </w:p>
    <w:p w14:paraId="5B1ED1B5">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1"/>
          <w:sz w:val="24"/>
          <w:highlight w:val="none"/>
          <w:lang w:val="en-US" w:eastAsia="zh-CN" w:bidi="ar"/>
        </w:rPr>
        <w:t>8.2</w:t>
      </w:r>
      <w:r>
        <w:rPr>
          <w:rFonts w:hint="eastAsia" w:ascii="宋体" w:hAnsi="宋体" w:eastAsia="宋体" w:cs="宋体"/>
          <w:color w:val="auto"/>
          <w:kern w:val="0"/>
          <w:sz w:val="24"/>
          <w:highlight w:val="none"/>
        </w:rPr>
        <w:t>投诉人必须首先经过质疑程序，在对采购人、采购代理机构的答复不满意，或者采购人、采购代理机构未在规定的时间内做出答复的，可以在答复期满后十五个工作日内书面向</w:t>
      </w:r>
      <w:r>
        <w:rPr>
          <w:rFonts w:hint="eastAsia" w:ascii="宋体" w:hAnsi="宋体" w:cs="宋体"/>
          <w:color w:val="auto"/>
          <w:kern w:val="0"/>
          <w:sz w:val="24"/>
          <w:highlight w:val="none"/>
          <w:lang w:val="en-US" w:eastAsia="zh-CN"/>
        </w:rPr>
        <w:t>景洪市</w:t>
      </w:r>
      <w:r>
        <w:rPr>
          <w:rFonts w:hint="eastAsia" w:ascii="宋体" w:hAnsi="宋体" w:eastAsia="宋体" w:cs="宋体"/>
          <w:color w:val="auto"/>
          <w:kern w:val="0"/>
          <w:sz w:val="24"/>
          <w:highlight w:val="none"/>
        </w:rPr>
        <w:t>采购局政府采购管理办公室投诉</w:t>
      </w:r>
      <w:r>
        <w:rPr>
          <w:rFonts w:hint="eastAsia" w:ascii="宋体" w:hAnsi="宋体" w:eastAsia="宋体" w:cs="宋体"/>
          <w:color w:val="auto"/>
          <w:kern w:val="0"/>
          <w:sz w:val="24"/>
          <w:highlight w:val="none"/>
          <w:lang w:eastAsia="zh-CN"/>
        </w:rPr>
        <w:t>。</w:t>
      </w:r>
    </w:p>
    <w:p w14:paraId="2B873E94">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诉书应当署名签字并加盖单位公章后送达，派人送达投诉机关时需由法定代表人或委托代理人在送达日期下签字确认。其中：由法定代表人直接投诉的，投诉书需由法定代表人的署名签字。法定代表人直接递交的需携带本人身份证明、营业执照副本两项材料的原件（原件核对后退回）及加盖公章的复印件，以上材料也可以提供经公证的公证书。</w:t>
      </w:r>
    </w:p>
    <w:p w14:paraId="6CF8E4AB">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由委托代理人代理投诉的，投诉书需有法定代表人和委托代理人的署名签字。委托代理人需持法定代表人授权委托书（包括法定代表人身份证明复印件）、代理人身份证明、营业执照副本三项材料的原件（代理人身份证明和营业执照副本原件核对后退回）及加盖单位公章的复印件，以上材料也可提供经公证的公证书。</w:t>
      </w:r>
    </w:p>
    <w:p w14:paraId="0CDF0D02">
      <w:pPr>
        <w:pageBreakBefore w:val="0"/>
        <w:widowControl/>
        <w:kinsoku/>
        <w:wordWrap/>
        <w:overflowPunct/>
        <w:topLinePunct w:val="0"/>
        <w:bidi w:val="0"/>
        <w:snapToGrid/>
        <w:spacing w:line="580" w:lineRule="exact"/>
        <w:textAlignment w:val="auto"/>
        <w:outlineLvl w:val="1"/>
        <w:rPr>
          <w:rFonts w:hint="eastAsia" w:ascii="宋体" w:hAnsi="宋体" w:eastAsia="宋体" w:cs="宋体"/>
          <w:b/>
          <w:bCs/>
          <w:color w:val="auto"/>
          <w:kern w:val="0"/>
          <w:sz w:val="24"/>
          <w:highlight w:val="none"/>
          <w:lang w:val="zh-CN" w:eastAsia="zh-CN"/>
        </w:rPr>
      </w:pPr>
      <w:bookmarkStart w:id="253" w:name="_Toc1593"/>
      <w:bookmarkStart w:id="254" w:name="_Toc21783"/>
      <w:bookmarkStart w:id="255" w:name="_Toc17529"/>
      <w:bookmarkStart w:id="256" w:name="_Toc6102"/>
      <w:r>
        <w:rPr>
          <w:rFonts w:hint="eastAsia" w:ascii="宋体" w:hAnsi="宋体" w:eastAsia="宋体" w:cs="宋体"/>
          <w:b/>
          <w:bCs/>
          <w:color w:val="auto"/>
          <w:kern w:val="0"/>
          <w:sz w:val="24"/>
          <w:highlight w:val="none"/>
          <w:lang w:val="zh-CN" w:eastAsia="zh-CN"/>
        </w:rPr>
        <w:t>九、解释权</w:t>
      </w:r>
      <w:bookmarkEnd w:id="253"/>
      <w:bookmarkEnd w:id="254"/>
      <w:bookmarkEnd w:id="255"/>
      <w:bookmarkEnd w:id="256"/>
    </w:p>
    <w:p w14:paraId="3DBEDAE8">
      <w:pPr>
        <w:pageBreakBefore w:val="0"/>
        <w:widowControl/>
        <w:kinsoku/>
        <w:wordWrap/>
        <w:overflowPunct/>
        <w:topLinePunct w:val="0"/>
        <w:bidi w:val="0"/>
        <w:snapToGrid/>
        <w:spacing w:line="58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本竞争性磋商文件的解释权属于采购人及采购代理机构。</w:t>
      </w:r>
    </w:p>
    <w:p w14:paraId="3333410D">
      <w:pPr>
        <w:pageBreakBefore w:val="0"/>
        <w:widowControl/>
        <w:kinsoku/>
        <w:wordWrap/>
        <w:overflowPunct/>
        <w:topLinePunct w:val="0"/>
        <w:bidi w:val="0"/>
        <w:snapToGrid/>
        <w:spacing w:line="580" w:lineRule="exact"/>
        <w:textAlignment w:val="auto"/>
        <w:outlineLvl w:val="1"/>
        <w:rPr>
          <w:rFonts w:hint="eastAsia" w:ascii="宋体" w:hAnsi="宋体" w:eastAsia="宋体" w:cs="宋体"/>
          <w:color w:val="auto"/>
          <w:kern w:val="0"/>
          <w:sz w:val="24"/>
          <w:highlight w:val="none"/>
          <w:lang w:val="zh-CN" w:eastAsia="zh-CN"/>
        </w:rPr>
      </w:pPr>
      <w:bookmarkStart w:id="257" w:name="_Toc3809"/>
      <w:bookmarkStart w:id="258" w:name="_Toc19116"/>
      <w:bookmarkStart w:id="259" w:name="_Toc17495"/>
      <w:bookmarkStart w:id="260" w:name="_Toc21435"/>
      <w:r>
        <w:rPr>
          <w:rFonts w:hint="eastAsia" w:ascii="宋体" w:hAnsi="宋体" w:eastAsia="宋体" w:cs="宋体"/>
          <w:b/>
          <w:bCs/>
          <w:color w:val="auto"/>
          <w:kern w:val="0"/>
          <w:sz w:val="24"/>
          <w:highlight w:val="none"/>
          <w:lang w:val="zh-CN" w:eastAsia="zh-CN"/>
        </w:rPr>
        <w:t>十、相关费用</w:t>
      </w:r>
      <w:bookmarkEnd w:id="257"/>
      <w:bookmarkEnd w:id="258"/>
      <w:bookmarkEnd w:id="259"/>
      <w:bookmarkEnd w:id="260"/>
    </w:p>
    <w:p w14:paraId="459D0F8C">
      <w:pPr>
        <w:keepNext w:val="0"/>
        <w:keepLines w:val="0"/>
        <w:pageBreakBefore w:val="0"/>
        <w:widowControl/>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lang w:val="en-US" w:eastAsia="zh-CN"/>
        </w:rPr>
        <w:t>供应商准备和参加投标活动的费用自理。不管投标结果如何，采购代理机构和委托方均无义务承担任何责任。代理服务费由中标人</w:t>
      </w:r>
      <w:r>
        <w:rPr>
          <w:rFonts w:hint="eastAsia" w:ascii="宋体" w:hAnsi="宋体" w:eastAsia="宋体" w:cs="宋体"/>
          <w:color w:val="auto"/>
          <w:kern w:val="0"/>
          <w:sz w:val="24"/>
          <w:highlight w:val="none"/>
        </w:rPr>
        <w:t>支付，请各</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在投标时考虑相关费</w:t>
      </w:r>
      <w:r>
        <w:rPr>
          <w:rFonts w:hint="eastAsia" w:ascii="宋体" w:hAnsi="宋体" w:eastAsia="宋体" w:cs="宋体"/>
          <w:color w:val="auto"/>
          <w:kern w:val="0"/>
          <w:sz w:val="24"/>
          <w:szCs w:val="24"/>
          <w:highlight w:val="none"/>
        </w:rPr>
        <w:t>用进行报价。</w:t>
      </w:r>
    </w:p>
    <w:p w14:paraId="1E1644A5">
      <w:pPr>
        <w:keepNext w:val="0"/>
        <w:keepLines w:val="0"/>
        <w:pageBreakBefore w:val="0"/>
        <w:kinsoku/>
        <w:wordWrap/>
        <w:overflowPunct/>
        <w:topLinePunct w:val="0"/>
        <w:autoSpaceDE/>
        <w:autoSpaceDN/>
        <w:bidi w:val="0"/>
        <w:adjustRightInd/>
        <w:snapToGrid/>
        <w:spacing w:line="580" w:lineRule="exact"/>
        <w:contextualSpacing/>
        <w:jc w:val="both"/>
        <w:textAlignment w:val="auto"/>
        <w:outlineLvl w:val="1"/>
        <w:rPr>
          <w:rFonts w:hint="eastAsia" w:ascii="宋体" w:hAnsi="宋体" w:eastAsia="宋体" w:cs="宋体"/>
          <w:b/>
          <w:bCs/>
          <w:color w:val="auto"/>
          <w:sz w:val="24"/>
          <w:szCs w:val="24"/>
          <w:highlight w:val="none"/>
        </w:rPr>
      </w:pPr>
      <w:bookmarkStart w:id="261" w:name="_Toc16888"/>
      <w:bookmarkStart w:id="262" w:name="_Toc18152"/>
      <w:bookmarkStart w:id="263" w:name="_Toc19395"/>
      <w:bookmarkStart w:id="264" w:name="_Toc13698"/>
      <w:bookmarkStart w:id="265" w:name="_Toc12186"/>
      <w:bookmarkStart w:id="266" w:name="_Toc15670"/>
      <w:r>
        <w:rPr>
          <w:rFonts w:hint="eastAsia" w:ascii="宋体" w:hAnsi="宋体" w:eastAsia="宋体" w:cs="宋体"/>
          <w:b/>
          <w:bCs/>
          <w:color w:val="auto"/>
          <w:kern w:val="0"/>
          <w:sz w:val="24"/>
          <w:szCs w:val="24"/>
          <w:highlight w:val="none"/>
          <w:lang w:val="zh-CN" w:eastAsia="zh-CN"/>
        </w:rPr>
        <w:t>十一、</w:t>
      </w:r>
      <w:bookmarkEnd w:id="261"/>
      <w:bookmarkEnd w:id="262"/>
      <w:r>
        <w:rPr>
          <w:rFonts w:hint="eastAsia" w:ascii="宋体" w:hAnsi="宋体" w:eastAsia="宋体" w:cs="宋体"/>
          <w:b/>
          <w:bCs/>
          <w:color w:val="auto"/>
          <w:sz w:val="24"/>
          <w:szCs w:val="24"/>
          <w:highlight w:val="none"/>
        </w:rPr>
        <w:t>其他</w:t>
      </w:r>
      <w:bookmarkEnd w:id="263"/>
      <w:bookmarkEnd w:id="264"/>
      <w:bookmarkEnd w:id="265"/>
      <w:bookmarkEnd w:id="266"/>
    </w:p>
    <w:p w14:paraId="312EEBA7">
      <w:pPr>
        <w:keepNext w:val="0"/>
        <w:keepLines w:val="0"/>
        <w:pageBreakBefore w:val="0"/>
        <w:kinsoku/>
        <w:wordWrap/>
        <w:overflowPunct/>
        <w:topLinePunct w:val="0"/>
        <w:autoSpaceDE/>
        <w:autoSpaceDN/>
        <w:bidi w:val="0"/>
        <w:adjustRightInd/>
        <w:snapToGrid/>
        <w:spacing w:line="580" w:lineRule="exact"/>
        <w:ind w:firstLine="482" w:firstLineChars="200"/>
        <w:contextualSpacing/>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11.1</w:t>
      </w:r>
      <w:r>
        <w:rPr>
          <w:rFonts w:hint="eastAsia" w:ascii="宋体" w:hAnsi="宋体" w:eastAsia="宋体" w:cs="宋体"/>
          <w:b/>
          <w:color w:val="auto"/>
          <w:sz w:val="24"/>
          <w:szCs w:val="24"/>
          <w:highlight w:val="none"/>
        </w:rPr>
        <w:t>补充：</w:t>
      </w:r>
    </w:p>
    <w:p w14:paraId="674D24EF">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11.1.1</w:t>
      </w: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须知前附表”第</w:t>
      </w:r>
      <w:r>
        <w:rPr>
          <w:rFonts w:hint="eastAsia" w:ascii="宋体" w:hAnsi="宋体" w:cs="宋体"/>
          <w:color w:val="auto"/>
          <w:sz w:val="24"/>
          <w:szCs w:val="24"/>
          <w:highlight w:val="none"/>
          <w:lang w:val="en-US" w:eastAsia="zh-CN"/>
        </w:rPr>
        <w:t>35</w:t>
      </w:r>
      <w:r>
        <w:rPr>
          <w:rFonts w:hint="eastAsia" w:ascii="宋体" w:hAnsi="宋体" w:eastAsia="宋体" w:cs="宋体"/>
          <w:color w:val="auto"/>
          <w:sz w:val="24"/>
          <w:szCs w:val="24"/>
          <w:highlight w:val="none"/>
        </w:rPr>
        <w:t>项：需要补充的其他内容。</w:t>
      </w:r>
    </w:p>
    <w:p w14:paraId="13C27419">
      <w:pPr>
        <w:keepNext w:val="0"/>
        <w:keepLines w:val="0"/>
        <w:pageBreakBefore w:val="0"/>
        <w:kinsoku/>
        <w:wordWrap/>
        <w:overflowPunct/>
        <w:topLinePunct w:val="0"/>
        <w:autoSpaceDE/>
        <w:autoSpaceDN/>
        <w:bidi w:val="0"/>
        <w:adjustRightInd/>
        <w:snapToGrid/>
        <w:spacing w:line="580" w:lineRule="exact"/>
        <w:ind w:firstLine="510"/>
        <w:contextualSpacing/>
        <w:textAlignment w:val="auto"/>
        <w:outlineLvl w:val="2"/>
        <w:rPr>
          <w:rFonts w:hint="eastAsia" w:ascii="宋体" w:hAnsi="宋体" w:eastAsia="宋体" w:cs="宋体"/>
          <w:color w:val="auto"/>
          <w:sz w:val="24"/>
          <w:szCs w:val="24"/>
          <w:highlight w:val="none"/>
        </w:rPr>
      </w:pPr>
      <w:bookmarkStart w:id="267" w:name="_Toc500772213"/>
      <w:r>
        <w:rPr>
          <w:rFonts w:hint="eastAsia" w:ascii="宋体" w:hAnsi="宋体" w:eastAsia="宋体" w:cs="宋体"/>
          <w:color w:val="auto"/>
          <w:sz w:val="24"/>
          <w:szCs w:val="24"/>
          <w:highlight w:val="none"/>
          <w:lang w:val="en-US" w:eastAsia="zh-CN"/>
        </w:rPr>
        <w:t>11.2</w:t>
      </w:r>
      <w:r>
        <w:rPr>
          <w:rFonts w:hint="eastAsia" w:ascii="宋体" w:hAnsi="宋体" w:eastAsia="宋体" w:cs="宋体"/>
          <w:b/>
          <w:bCs/>
          <w:color w:val="auto"/>
          <w:sz w:val="24"/>
          <w:szCs w:val="24"/>
          <w:highlight w:val="none"/>
        </w:rPr>
        <w:t>关于中小企业</w:t>
      </w:r>
      <w:bookmarkEnd w:id="267"/>
    </w:p>
    <w:p w14:paraId="3D56106E">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11.2.1</w:t>
      </w:r>
      <w:r>
        <w:rPr>
          <w:rFonts w:hint="eastAsia" w:ascii="宋体" w:hAnsi="宋体" w:eastAsia="宋体" w:cs="宋体"/>
          <w:color w:val="auto"/>
          <w:sz w:val="24"/>
          <w:szCs w:val="24"/>
          <w:highlight w:val="none"/>
        </w:rPr>
        <w:t>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C711D9E">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11.2.2</w:t>
      </w:r>
      <w:r>
        <w:rPr>
          <w:rFonts w:hint="eastAsia" w:ascii="宋体" w:hAnsi="宋体" w:eastAsia="宋体" w:cs="宋体"/>
          <w:color w:val="auto"/>
          <w:sz w:val="24"/>
          <w:szCs w:val="24"/>
          <w:highlight w:val="none"/>
        </w:rPr>
        <w:t xml:space="preserve"> 在政府采购活动中，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提供的货物、工程或者服务符合下列情形的，享受本办法规定的中小企业扶持政策：</w:t>
      </w:r>
    </w:p>
    <w:p w14:paraId="03F959AC">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14:paraId="2B50CAED">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14:paraId="5EAD1DF5">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（三）在服务采购项目中，服务由中小企业承接，即提供服务的人员为中小企业依照《中华人民共和国劳动合同法》订立劳动合同的从业人员。</w:t>
      </w:r>
    </w:p>
    <w:p w14:paraId="10E4B703">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提供的货物既有中小企业制造货物，也有大型企业制造货物的，不享受本办法规定的中小企业扶持政策。</w:t>
      </w:r>
    </w:p>
    <w:p w14:paraId="37751DCD">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2FB9FD92">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11.2.2</w:t>
      </w:r>
      <w:r>
        <w:rPr>
          <w:rFonts w:hint="eastAsia" w:ascii="宋体" w:hAnsi="宋体" w:eastAsia="宋体" w:cs="宋体"/>
          <w:color w:val="auto"/>
          <w:sz w:val="24"/>
          <w:szCs w:val="24"/>
          <w:highlight w:val="none"/>
        </w:rPr>
        <w:t>中小企业参加政府采购活动，应当出具本办法规定的《中小企业声明函》，否则不得享受相关中小企业扶持政策。任何单位和个人不得要求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提供《中小企业声明函》之外的中小企业身份证明文件。</w:t>
      </w:r>
    </w:p>
    <w:p w14:paraId="4FE0F444">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11.2.3</w:t>
      </w:r>
      <w:r>
        <w:rPr>
          <w:rFonts w:hint="eastAsia" w:ascii="宋体" w:hAnsi="宋体" w:eastAsia="宋体" w:cs="宋体"/>
          <w:color w:val="auto"/>
          <w:sz w:val="24"/>
          <w:szCs w:val="24"/>
          <w:highlight w:val="none"/>
        </w:rPr>
        <w:t>依据《关于印发&lt;政府采购促进中小企业发展管理办法&gt;的通知》（财库〔2020〕46号）的规定，享受扶持政策获得政府采购合同的，小微企业不得将合同分包给大中型企业，中型企业不得将合同分包给大型企业。</w:t>
      </w:r>
    </w:p>
    <w:p w14:paraId="5FB48D22">
      <w:pPr>
        <w:keepNext w:val="0"/>
        <w:keepLines w:val="0"/>
        <w:pageBreakBefore w:val="0"/>
        <w:kinsoku/>
        <w:wordWrap/>
        <w:overflowPunct/>
        <w:topLinePunct w:val="0"/>
        <w:autoSpaceDE/>
        <w:autoSpaceDN/>
        <w:bidi w:val="0"/>
        <w:adjustRightInd/>
        <w:snapToGrid/>
        <w:spacing w:line="580" w:lineRule="exact"/>
        <w:ind w:firstLine="510"/>
        <w:contextualSpacing/>
        <w:textAlignment w:val="auto"/>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11.3</w:t>
      </w:r>
      <w:r>
        <w:rPr>
          <w:rFonts w:hint="eastAsia" w:ascii="宋体" w:hAnsi="宋体" w:eastAsia="宋体" w:cs="宋体"/>
          <w:b/>
          <w:bCs/>
          <w:color w:val="auto"/>
          <w:sz w:val="24"/>
          <w:szCs w:val="24"/>
          <w:highlight w:val="none"/>
        </w:rPr>
        <w:t>残疾人福利性单位声明</w:t>
      </w:r>
    </w:p>
    <w:p w14:paraId="7E7DB6BF">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14:paraId="1BD42CEC">
      <w:pPr>
        <w:keepNext w:val="0"/>
        <w:keepLines w:val="0"/>
        <w:pageBreakBefore w:val="0"/>
        <w:kinsoku/>
        <w:wordWrap/>
        <w:overflowPunct/>
        <w:topLinePunct w:val="0"/>
        <w:autoSpaceDE/>
        <w:autoSpaceDN/>
        <w:bidi w:val="0"/>
        <w:adjustRightInd/>
        <w:snapToGrid/>
        <w:spacing w:line="580" w:lineRule="exact"/>
        <w:ind w:firstLine="510"/>
        <w:contextualSpacing/>
        <w:textAlignment w:val="auto"/>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11.4</w:t>
      </w:r>
      <w:r>
        <w:rPr>
          <w:rFonts w:hint="eastAsia" w:ascii="宋体" w:hAnsi="宋体" w:eastAsia="宋体" w:cs="宋体"/>
          <w:b/>
          <w:bCs/>
          <w:color w:val="auto"/>
          <w:sz w:val="24"/>
          <w:szCs w:val="24"/>
          <w:highlight w:val="none"/>
        </w:rPr>
        <w:t>关于监狱企业</w:t>
      </w:r>
    </w:p>
    <w:p w14:paraId="6E656909">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77CED3">
      <w:pPr>
        <w:keepNext w:val="0"/>
        <w:keepLines w:val="0"/>
        <w:pageBreakBefore w:val="0"/>
        <w:kinsoku/>
        <w:wordWrap/>
        <w:overflowPunct/>
        <w:topLinePunct w:val="0"/>
        <w:autoSpaceDE/>
        <w:autoSpaceDN/>
        <w:bidi w:val="0"/>
        <w:adjustRightInd/>
        <w:snapToGrid/>
        <w:spacing w:line="580" w:lineRule="exact"/>
        <w:ind w:firstLine="51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监狱企业视同小型、微型企业，享受评审中价格扣除等政策。监狱企业参加政府采购活动时，应当提供由省级以上监狱管理局、戒毒管理局（含新疆生产建设兵团）出具的属于监狱企业的证明文件。</w:t>
      </w:r>
    </w:p>
    <w:p w14:paraId="0DEDE8C9">
      <w:pPr>
        <w:keepNext w:val="0"/>
        <w:keepLines w:val="0"/>
        <w:pageBreakBefore w:val="0"/>
        <w:kinsoku/>
        <w:wordWrap/>
        <w:overflowPunct/>
        <w:topLinePunct w:val="0"/>
        <w:autoSpaceDE/>
        <w:autoSpaceDN/>
        <w:bidi w:val="0"/>
        <w:adjustRightInd/>
        <w:snapToGrid/>
        <w:spacing w:line="580" w:lineRule="exact"/>
        <w:contextualSpacing/>
        <w:jc w:val="both"/>
        <w:textAlignment w:val="auto"/>
        <w:outlineLvl w:val="1"/>
        <w:rPr>
          <w:rFonts w:hint="eastAsia" w:ascii="宋体" w:hAnsi="宋体" w:eastAsia="宋体" w:cs="宋体"/>
          <w:b/>
          <w:bCs/>
          <w:color w:val="auto"/>
          <w:kern w:val="0"/>
          <w:sz w:val="24"/>
          <w:szCs w:val="24"/>
          <w:highlight w:val="none"/>
          <w:lang w:val="zh-CN" w:eastAsia="zh-CN"/>
        </w:rPr>
      </w:pPr>
      <w:bookmarkStart w:id="268" w:name="_Toc31909"/>
      <w:bookmarkStart w:id="269" w:name="_Toc27594"/>
      <w:bookmarkStart w:id="270" w:name="_Toc1700"/>
      <w:r>
        <w:rPr>
          <w:rFonts w:hint="eastAsia" w:ascii="宋体" w:hAnsi="宋体" w:eastAsia="宋体" w:cs="宋体"/>
          <w:b/>
          <w:bCs/>
          <w:color w:val="auto"/>
          <w:kern w:val="0"/>
          <w:sz w:val="24"/>
          <w:szCs w:val="24"/>
          <w:highlight w:val="none"/>
          <w:lang w:val="zh-CN" w:eastAsia="zh-CN"/>
        </w:rPr>
        <w:t>十二、解释权</w:t>
      </w:r>
      <w:bookmarkEnd w:id="268"/>
      <w:bookmarkEnd w:id="269"/>
      <w:bookmarkEnd w:id="270"/>
    </w:p>
    <w:p w14:paraId="6E69C71D">
      <w:pPr>
        <w:pageBreakBefore w:val="0"/>
        <w:kinsoku/>
        <w:wordWrap/>
        <w:overflowPunct/>
        <w:topLinePunct w:val="0"/>
        <w:bidi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本竞争性磋商文件的解释权属于采购人及</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代理机构。</w:t>
      </w:r>
    </w:p>
    <w:p w14:paraId="3DA12BE8">
      <w:pPr>
        <w:keepNext w:val="0"/>
        <w:keepLines w:val="0"/>
        <w:pageBreakBefore w:val="0"/>
        <w:kinsoku/>
        <w:wordWrap/>
        <w:overflowPunct/>
        <w:topLinePunct w:val="0"/>
        <w:autoSpaceDE/>
        <w:autoSpaceDN/>
        <w:bidi w:val="0"/>
        <w:adjustRightInd/>
        <w:snapToGrid/>
        <w:spacing w:line="580" w:lineRule="exact"/>
        <w:contextualSpacing/>
        <w:jc w:val="both"/>
        <w:textAlignment w:val="auto"/>
        <w:outlineLvl w:val="1"/>
        <w:rPr>
          <w:rFonts w:hint="eastAsia" w:ascii="宋体" w:hAnsi="宋体" w:eastAsia="宋体" w:cs="宋体"/>
          <w:b/>
          <w:bCs/>
          <w:color w:val="auto"/>
          <w:kern w:val="0"/>
          <w:sz w:val="24"/>
          <w:szCs w:val="24"/>
          <w:highlight w:val="none"/>
          <w:lang w:val="zh-CN" w:eastAsia="zh-CN"/>
        </w:rPr>
      </w:pPr>
      <w:bookmarkStart w:id="271" w:name="_Toc16555"/>
      <w:bookmarkStart w:id="272" w:name="_Toc581"/>
      <w:bookmarkStart w:id="273" w:name="_Toc16316"/>
      <w:r>
        <w:rPr>
          <w:rFonts w:hint="eastAsia" w:ascii="宋体" w:hAnsi="宋体" w:eastAsia="宋体" w:cs="宋体"/>
          <w:b/>
          <w:bCs/>
          <w:color w:val="auto"/>
          <w:kern w:val="0"/>
          <w:sz w:val="24"/>
          <w:szCs w:val="24"/>
          <w:highlight w:val="none"/>
          <w:lang w:val="zh-CN" w:eastAsia="zh-CN"/>
        </w:rPr>
        <w:t>十三、相关费用</w:t>
      </w:r>
      <w:bookmarkEnd w:id="271"/>
      <w:bookmarkEnd w:id="272"/>
      <w:bookmarkEnd w:id="273"/>
    </w:p>
    <w:p w14:paraId="512F45A4">
      <w:pPr>
        <w:pageBreakBefore w:val="0"/>
        <w:kinsoku/>
        <w:wordWrap/>
        <w:overflowPunct/>
        <w:topLinePunct w:val="0"/>
        <w:bidi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准备和参加投标活动的费用自理。不管投标结果如何，</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和委托方均无义务承担任何责任。代理服务费由中标人支付，请各</w:t>
      </w:r>
      <w:r>
        <w:rPr>
          <w:rFonts w:hint="eastAsia" w:ascii="宋体" w:hAnsi="宋体" w:eastAsia="宋体" w:cs="宋体"/>
          <w:color w:val="auto"/>
          <w:sz w:val="24"/>
          <w:szCs w:val="24"/>
          <w:highlight w:val="none"/>
          <w:lang w:eastAsia="zh-CN"/>
        </w:rPr>
        <w:t>竞标人</w:t>
      </w:r>
      <w:r>
        <w:rPr>
          <w:rFonts w:hint="eastAsia" w:ascii="宋体" w:hAnsi="宋体" w:eastAsia="宋体" w:cs="宋体"/>
          <w:color w:val="auto"/>
          <w:sz w:val="24"/>
          <w:szCs w:val="24"/>
          <w:highlight w:val="none"/>
        </w:rPr>
        <w:t>在投标时考虑相关费用进行报价。</w:t>
      </w:r>
    </w:p>
    <w:p w14:paraId="6567C35C">
      <w:pPr>
        <w:keepNext w:val="0"/>
        <w:keepLines w:val="0"/>
        <w:pageBreakBefore w:val="0"/>
        <w:kinsoku/>
        <w:wordWrap/>
        <w:overflowPunct/>
        <w:topLinePunct w:val="0"/>
        <w:autoSpaceDE/>
        <w:autoSpaceDN/>
        <w:bidi w:val="0"/>
        <w:adjustRightInd/>
        <w:snapToGrid/>
        <w:spacing w:line="580" w:lineRule="exact"/>
        <w:contextualSpacing/>
        <w:jc w:val="both"/>
        <w:textAlignment w:val="auto"/>
        <w:outlineLvl w:val="1"/>
        <w:rPr>
          <w:rFonts w:hint="eastAsia" w:ascii="宋体" w:hAnsi="宋体" w:eastAsia="宋体" w:cs="宋体"/>
          <w:b/>
          <w:bCs/>
          <w:color w:val="auto"/>
          <w:kern w:val="0"/>
          <w:sz w:val="24"/>
          <w:szCs w:val="24"/>
          <w:highlight w:val="none"/>
          <w:lang w:val="zh-CN" w:eastAsia="zh-CN"/>
        </w:rPr>
      </w:pPr>
      <w:bookmarkStart w:id="274" w:name="_Toc24227"/>
      <w:bookmarkStart w:id="275" w:name="_Toc30801"/>
      <w:bookmarkStart w:id="276" w:name="_Toc28256"/>
      <w:r>
        <w:rPr>
          <w:rFonts w:hint="eastAsia" w:ascii="宋体" w:hAnsi="宋体" w:eastAsia="宋体" w:cs="宋体"/>
          <w:b/>
          <w:bCs/>
          <w:color w:val="auto"/>
          <w:kern w:val="0"/>
          <w:sz w:val="24"/>
          <w:szCs w:val="24"/>
          <w:highlight w:val="none"/>
          <w:lang w:val="zh-CN" w:eastAsia="zh-CN"/>
        </w:rPr>
        <w:t>十四、未尽事宜</w:t>
      </w:r>
      <w:bookmarkEnd w:id="274"/>
      <w:bookmarkEnd w:id="275"/>
      <w:bookmarkEnd w:id="276"/>
    </w:p>
    <w:p w14:paraId="2D147E35">
      <w:pPr>
        <w:pageBreakBefore w:val="0"/>
        <w:kinsoku/>
        <w:wordWrap/>
        <w:overflowPunct/>
        <w:topLinePunct w:val="0"/>
        <w:bidi w:val="0"/>
        <w:snapToGrid/>
        <w:spacing w:line="58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未尽</w:t>
      </w:r>
      <w:r>
        <w:rPr>
          <w:rFonts w:hint="eastAsia" w:ascii="宋体" w:hAnsi="宋体" w:eastAsia="宋体" w:cs="宋体"/>
          <w:color w:val="auto"/>
          <w:kern w:val="1"/>
          <w:sz w:val="24"/>
          <w:szCs w:val="24"/>
          <w:highlight w:val="none"/>
          <w:lang w:bidi="ar"/>
        </w:rPr>
        <w:t>事宜，按</w:t>
      </w:r>
      <w:r>
        <w:rPr>
          <w:rFonts w:hint="eastAsia" w:ascii="宋体" w:hAnsi="宋体" w:eastAsia="宋体" w:cs="宋体"/>
          <w:color w:val="auto"/>
          <w:sz w:val="24"/>
          <w:szCs w:val="24"/>
          <w:highlight w:val="none"/>
        </w:rPr>
        <w:t>《政府采购竞争性磋商采购方式管理暂行办法》</w:t>
      </w:r>
      <w:r>
        <w:rPr>
          <w:rFonts w:hint="eastAsia" w:ascii="宋体" w:hAnsi="宋体" w:eastAsia="宋体" w:cs="宋体"/>
          <w:color w:val="auto"/>
          <w:kern w:val="1"/>
          <w:sz w:val="24"/>
          <w:szCs w:val="24"/>
          <w:highlight w:val="none"/>
          <w:lang w:bidi="ar"/>
        </w:rPr>
        <w:t>及有关法律法规的规定执行。</w:t>
      </w:r>
    </w:p>
    <w:p w14:paraId="55A1B59E">
      <w:pPr>
        <w:widowControl/>
        <w:spacing w:line="600" w:lineRule="exact"/>
        <w:ind w:firstLine="480" w:firstLineChars="200"/>
        <w:rPr>
          <w:rFonts w:hint="eastAsia" w:ascii="宋体" w:hAnsi="宋体" w:eastAsia="宋体" w:cs="宋体"/>
          <w:color w:val="auto"/>
          <w:kern w:val="0"/>
          <w:sz w:val="24"/>
          <w:highlight w:val="none"/>
          <w:lang w:eastAsia="zh-CN"/>
        </w:rPr>
      </w:pPr>
    </w:p>
    <w:p w14:paraId="04E07601">
      <w:pPr>
        <w:pStyle w:val="2"/>
        <w:rPr>
          <w:rFonts w:hint="eastAsia" w:ascii="宋体" w:hAnsi="宋体" w:eastAsia="宋体" w:cs="宋体"/>
          <w:color w:val="auto"/>
          <w:kern w:val="0"/>
          <w:sz w:val="24"/>
          <w:highlight w:val="none"/>
          <w:lang w:eastAsia="zh-CN"/>
        </w:rPr>
      </w:pPr>
    </w:p>
    <w:p w14:paraId="1E92F3FE">
      <w:pPr>
        <w:rPr>
          <w:rFonts w:hint="eastAsia" w:ascii="宋体" w:hAnsi="宋体" w:eastAsia="宋体" w:cs="宋体"/>
          <w:lang w:eastAsia="zh-CN"/>
        </w:rPr>
      </w:pPr>
    </w:p>
    <w:bookmarkEnd w:id="121"/>
    <w:p w14:paraId="529DEE01">
      <w:pPr>
        <w:spacing w:line="500" w:lineRule="exact"/>
        <w:outlineLvl w:val="9"/>
        <w:rPr>
          <w:rFonts w:hint="eastAsia" w:ascii="宋体" w:hAnsi="宋体" w:eastAsia="宋体" w:cs="宋体"/>
          <w:b/>
          <w:color w:val="auto"/>
          <w:kern w:val="44"/>
          <w:sz w:val="32"/>
          <w:szCs w:val="32"/>
          <w:highlight w:val="none"/>
        </w:rPr>
      </w:pPr>
    </w:p>
    <w:p w14:paraId="3060CDC5">
      <w:pPr>
        <w:spacing w:line="500" w:lineRule="exact"/>
        <w:jc w:val="center"/>
        <w:outlineLvl w:val="9"/>
        <w:rPr>
          <w:rFonts w:hint="eastAsia" w:ascii="宋体" w:hAnsi="宋体" w:eastAsia="宋体" w:cs="宋体"/>
          <w:b/>
          <w:color w:val="auto"/>
          <w:kern w:val="44"/>
          <w:sz w:val="32"/>
          <w:szCs w:val="32"/>
          <w:highlight w:val="none"/>
          <w:lang w:eastAsia="zh-CN"/>
        </w:rPr>
      </w:pPr>
    </w:p>
    <w:p w14:paraId="59E672A1">
      <w:pPr>
        <w:spacing w:line="500" w:lineRule="exact"/>
        <w:jc w:val="center"/>
        <w:outlineLvl w:val="9"/>
        <w:rPr>
          <w:rFonts w:hint="eastAsia" w:ascii="宋体" w:hAnsi="宋体" w:eastAsia="宋体" w:cs="宋体"/>
          <w:b/>
          <w:color w:val="auto"/>
          <w:kern w:val="44"/>
          <w:sz w:val="32"/>
          <w:szCs w:val="32"/>
          <w:highlight w:val="none"/>
          <w:lang w:eastAsia="zh-CN"/>
        </w:rPr>
      </w:pPr>
    </w:p>
    <w:p w14:paraId="21D95EE0">
      <w:pPr>
        <w:spacing w:line="500" w:lineRule="exact"/>
        <w:jc w:val="center"/>
        <w:outlineLvl w:val="9"/>
        <w:rPr>
          <w:rFonts w:hint="eastAsia" w:ascii="宋体" w:hAnsi="宋体" w:eastAsia="宋体" w:cs="宋体"/>
          <w:b/>
          <w:color w:val="auto"/>
          <w:kern w:val="44"/>
          <w:sz w:val="32"/>
          <w:szCs w:val="32"/>
          <w:highlight w:val="none"/>
          <w:lang w:eastAsia="zh-CN"/>
        </w:rPr>
      </w:pPr>
    </w:p>
    <w:p w14:paraId="15789268">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77" w:name="_Toc7280"/>
      <w:bookmarkStart w:id="278" w:name="_Toc1870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C7F4FCF">
      <w:pPr>
        <w:pageBreakBefore w:val="0"/>
        <w:kinsoku/>
        <w:wordWrap/>
        <w:overflowPunct/>
        <w:topLinePunct w:val="0"/>
        <w:autoSpaceDE/>
        <w:bidi w:val="0"/>
        <w:adjustRightInd/>
        <w:spacing w:before="15" w:line="500" w:lineRule="exact"/>
        <w:ind w:right="13"/>
        <w:jc w:val="center"/>
        <w:textAlignment w:val="auto"/>
        <w:outlineLvl w:val="0"/>
        <w:rPr>
          <w:rFonts w:hint="eastAsia" w:ascii="宋体" w:hAnsi="宋体" w:eastAsia="宋体" w:cs="宋体"/>
          <w:b/>
          <w:color w:val="000000" w:themeColor="text1"/>
          <w:sz w:val="30"/>
          <w:szCs w:val="30"/>
          <w:highlight w:val="none"/>
          <w14:textFill>
            <w14:solidFill>
              <w14:schemeClr w14:val="tx1"/>
            </w14:solidFill>
          </w14:textFill>
        </w:rPr>
      </w:pPr>
      <w:bookmarkStart w:id="279" w:name="_Toc29782"/>
      <w:bookmarkStart w:id="280" w:name="_Toc5588"/>
      <w:bookmarkStart w:id="281" w:name="_Toc26148"/>
      <w:r>
        <w:rPr>
          <w:rFonts w:hint="eastAsia" w:ascii="宋体" w:hAnsi="宋体" w:eastAsia="宋体" w:cs="宋体"/>
          <w:b/>
          <w:color w:val="000000" w:themeColor="text1"/>
          <w:sz w:val="30"/>
          <w:szCs w:val="30"/>
          <w:highlight w:val="none"/>
          <w14:textFill>
            <w14:solidFill>
              <w14:schemeClr w14:val="tx1"/>
            </w14:solidFill>
          </w14:textFill>
        </w:rPr>
        <w:t>问题澄清通知</w:t>
      </w:r>
      <w:bookmarkEnd w:id="279"/>
      <w:bookmarkEnd w:id="280"/>
      <w:bookmarkEnd w:id="281"/>
    </w:p>
    <w:p w14:paraId="68297567">
      <w:pPr>
        <w:pStyle w:val="2"/>
        <w:pageBreakBefore w:val="0"/>
        <w:tabs>
          <w:tab w:val="left" w:pos="2937"/>
        </w:tabs>
        <w:kinsoku/>
        <w:wordWrap/>
        <w:overflowPunct/>
        <w:topLinePunct w:val="0"/>
        <w:autoSpaceDE/>
        <w:bidi w:val="0"/>
        <w:adjustRightInd/>
        <w:spacing w:before="157" w:line="500" w:lineRule="exact"/>
        <w:ind w:right="2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w:t>
      </w:r>
    </w:p>
    <w:p w14:paraId="5C52D487">
      <w:pPr>
        <w:pStyle w:val="2"/>
        <w:pageBreakBefore w:val="0"/>
        <w:kinsoku/>
        <w:wordWrap/>
        <w:overflowPunct/>
        <w:topLinePunct w:val="0"/>
        <w:autoSpaceDE/>
        <w:bidi w:val="0"/>
        <w:adjustRightInd/>
        <w:spacing w:before="4" w:line="50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p>
    <w:p w14:paraId="038CA803">
      <w:pPr>
        <w:pStyle w:val="2"/>
        <w:pageBreakBefore w:val="0"/>
        <w:tabs>
          <w:tab w:val="left" w:pos="2305"/>
        </w:tabs>
        <w:kinsoku/>
        <w:wordWrap/>
        <w:overflowPunct/>
        <w:topLinePunct w:val="0"/>
        <w:autoSpaceDE/>
        <w:bidi w:val="0"/>
        <w:adjustRightInd/>
        <w:spacing w:before="37" w:line="500" w:lineRule="exact"/>
        <w:ind w:left="100" w:right="113"/>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供应商</w:t>
      </w:r>
      <w:r>
        <w:rPr>
          <w:rFonts w:hint="eastAsia" w:ascii="宋体" w:hAnsi="宋体" w:eastAsia="宋体" w:cs="宋体"/>
          <w:color w:val="000000" w:themeColor="text1"/>
          <w:spacing w:val="0"/>
          <w:sz w:val="24"/>
          <w:szCs w:val="24"/>
          <w:highlight w:val="none"/>
          <w14:textFill>
            <w14:solidFill>
              <w14:schemeClr w14:val="tx1"/>
            </w14:solidFill>
          </w14:textFill>
        </w:rPr>
        <w:t>名称）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p>
    <w:p w14:paraId="4498C5F5">
      <w:pPr>
        <w:pStyle w:val="2"/>
        <w:pageBreakBefore w:val="0"/>
        <w:kinsoku/>
        <w:wordWrap/>
        <w:overflowPunct/>
        <w:topLinePunct w:val="0"/>
        <w:autoSpaceDE/>
        <w:bidi w:val="0"/>
        <w:adjustRightInd/>
        <w:spacing w:before="7" w:line="5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3171047B">
      <w:pPr>
        <w:pStyle w:val="2"/>
        <w:keepNext w:val="0"/>
        <w:keepLines w:val="0"/>
        <w:pageBreakBefore w:val="0"/>
        <w:widowControl w:val="0"/>
        <w:kinsoku/>
        <w:wordWrap/>
        <w:overflowPunct/>
        <w:topLinePunct w:val="0"/>
        <w:autoSpaceDE/>
        <w:autoSpaceDN/>
        <w:bidi w:val="0"/>
        <w:adjustRightInd/>
        <w:snapToGrid/>
        <w:spacing w:before="37" w:line="500" w:lineRule="exact"/>
        <w:ind w:left="100" w:right="113" w:firstLine="42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对你方的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进行了仔细的审查，现需你方对下列问题以书面形式予以澄清、说明或</w:t>
      </w:r>
      <w:r>
        <w:rPr>
          <w:rFonts w:hint="eastAsia" w:ascii="宋体" w:hAnsi="宋体" w:eastAsia="宋体" w:cs="宋体"/>
          <w:color w:val="000000" w:themeColor="text1"/>
          <w:sz w:val="24"/>
          <w:szCs w:val="24"/>
          <w:highlight w:val="none"/>
          <w:lang w:val="en-US" w:eastAsia="zh-CN"/>
          <w14:textFill>
            <w14:solidFill>
              <w14:schemeClr w14:val="tx1"/>
            </w14:solidFill>
          </w14:textFill>
        </w:rPr>
        <w:t>更正</w:t>
      </w:r>
      <w:r>
        <w:rPr>
          <w:rFonts w:hint="eastAsia" w:ascii="宋体" w:hAnsi="宋体" w:eastAsia="宋体" w:cs="宋体"/>
          <w:color w:val="000000" w:themeColor="text1"/>
          <w:sz w:val="24"/>
          <w:szCs w:val="24"/>
          <w:highlight w:val="none"/>
          <w14:textFill>
            <w14:solidFill>
              <w14:schemeClr w14:val="tx1"/>
            </w14:solidFill>
          </w14:textFill>
        </w:rPr>
        <w:t>：</w:t>
      </w:r>
    </w:p>
    <w:p w14:paraId="79BA45B7">
      <w:pPr>
        <w:pStyle w:val="2"/>
        <w:keepNext w:val="0"/>
        <w:keepLines w:val="0"/>
        <w:pageBreakBefore w:val="0"/>
        <w:widowControl w:val="0"/>
        <w:kinsoku/>
        <w:wordWrap/>
        <w:overflowPunct/>
        <w:topLinePunct w:val="0"/>
        <w:autoSpaceDE/>
        <w:autoSpaceDN/>
        <w:bidi w:val="0"/>
        <w:adjustRightInd/>
        <w:snapToGrid/>
        <w:spacing w:line="500" w:lineRule="exact"/>
        <w:ind w:left="522" w:right="113"/>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p w14:paraId="01415628">
      <w:pPr>
        <w:pStyle w:val="2"/>
        <w:keepNext w:val="0"/>
        <w:keepLines w:val="0"/>
        <w:pageBreakBefore w:val="0"/>
        <w:widowControl w:val="0"/>
        <w:kinsoku/>
        <w:wordWrap/>
        <w:overflowPunct/>
        <w:topLinePunct w:val="0"/>
        <w:autoSpaceDE/>
        <w:autoSpaceDN/>
        <w:bidi w:val="0"/>
        <w:adjustRightInd/>
        <w:snapToGrid/>
        <w:spacing w:line="500" w:lineRule="exact"/>
        <w:ind w:left="522" w:right="113"/>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p w14:paraId="4F7672F0">
      <w:pPr>
        <w:pStyle w:val="2"/>
        <w:keepNext w:val="0"/>
        <w:keepLines w:val="0"/>
        <w:pageBreakBefore w:val="0"/>
        <w:widowControl w:val="0"/>
        <w:kinsoku/>
        <w:wordWrap/>
        <w:overflowPunct/>
        <w:topLinePunct w:val="0"/>
        <w:autoSpaceDE/>
        <w:autoSpaceDN/>
        <w:bidi w:val="0"/>
        <w:adjustRightInd/>
        <w:snapToGrid/>
        <w:spacing w:line="500" w:lineRule="exact"/>
        <w:ind w:left="522" w:right="113"/>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350FC642">
      <w:pPr>
        <w:pStyle w:val="2"/>
        <w:keepNext w:val="0"/>
        <w:keepLines w:val="0"/>
        <w:pageBreakBefore w:val="0"/>
        <w:widowControl w:val="0"/>
        <w:kinsoku/>
        <w:wordWrap/>
        <w:overflowPunct/>
        <w:topLinePunct w:val="0"/>
        <w:autoSpaceDE/>
        <w:autoSpaceDN/>
        <w:bidi w:val="0"/>
        <w:adjustRightInd/>
        <w:snapToGrid/>
        <w:spacing w:line="500" w:lineRule="exact"/>
        <w:ind w:right="113" w:firstLine="360" w:firstLineChars="15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请将上述问题的澄清、说明或</w:t>
      </w:r>
      <w:r>
        <w:rPr>
          <w:rFonts w:hint="eastAsia" w:ascii="宋体" w:hAnsi="宋体" w:eastAsia="宋体" w:cs="宋体"/>
          <w:color w:val="000000" w:themeColor="text1"/>
          <w:sz w:val="24"/>
          <w:szCs w:val="24"/>
          <w:highlight w:val="none"/>
          <w:lang w:val="en-US" w:eastAsia="zh-CN"/>
          <w14:textFill>
            <w14:solidFill>
              <w14:schemeClr w14:val="tx1"/>
            </w14:solidFill>
          </w14:textFill>
        </w:rPr>
        <w:t>更正</w:t>
      </w:r>
      <w:r>
        <w:rPr>
          <w:rFonts w:hint="eastAsia" w:ascii="宋体" w:hAnsi="宋体" w:eastAsia="宋体" w:cs="宋体"/>
          <w:color w:val="000000" w:themeColor="text1"/>
          <w:sz w:val="24"/>
          <w:szCs w:val="24"/>
          <w:highlight w:val="none"/>
          <w14:textFill>
            <w14:solidFill>
              <w14:schemeClr w14:val="tx1"/>
            </w14:solidFill>
          </w14:textFill>
        </w:rPr>
        <w:t>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pacing w:val="-3"/>
          <w:sz w:val="24"/>
          <w:szCs w:val="24"/>
          <w:highlight w:val="none"/>
          <w14:textFill>
            <w14:solidFill>
              <w14:schemeClr w14:val="tx1"/>
            </w14:solidFill>
          </w14:textFill>
        </w:rPr>
        <w:t>日</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u w:val="single"/>
          <w14:textFill>
            <w14:solidFill>
              <w14:schemeClr w14:val="tx1"/>
            </w14:solidFill>
          </w14:textFill>
        </w:rPr>
        <w:tab/>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时前递交至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（详细地址）或传真至</w:t>
      </w:r>
      <w:r>
        <w:rPr>
          <w:rFonts w:hint="eastAsia" w:ascii="宋体" w:hAnsi="宋体" w:eastAsia="宋体" w:cs="宋体"/>
          <w:color w:val="000000" w:themeColor="text1"/>
          <w:spacing w:val="-5"/>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u w:val="single"/>
          <w14:textFill>
            <w14:solidFill>
              <w14:schemeClr w14:val="tx1"/>
            </w14:solidFill>
          </w14:textFill>
        </w:rPr>
        <w:tab/>
      </w:r>
      <w:r>
        <w:rPr>
          <w:rFonts w:hint="eastAsia" w:ascii="宋体" w:hAnsi="宋体" w:eastAsia="宋体" w:cs="宋体"/>
          <w:color w:val="000000" w:themeColor="text1"/>
          <w:spacing w:val="-5"/>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（传真号码）</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采用传真方式的，应在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14:textFill>
            <w14:solidFill>
              <w14:schemeClr w14:val="tx1"/>
            </w14:solidFill>
          </w14:textFill>
        </w:rPr>
        <w:t>时</w:t>
      </w:r>
      <w:r>
        <w:rPr>
          <w:rFonts w:hint="eastAsia" w:ascii="宋体" w:hAnsi="宋体" w:eastAsia="宋体" w:cs="宋体"/>
          <w:color w:val="000000" w:themeColor="text1"/>
          <w:sz w:val="24"/>
          <w:szCs w:val="24"/>
          <w:highlight w:val="none"/>
          <w14:textFill>
            <w14:solidFill>
              <w14:schemeClr w14:val="tx1"/>
            </w14:solidFill>
          </w14:textFill>
        </w:rPr>
        <w:t>前</w:t>
      </w:r>
      <w:r>
        <w:rPr>
          <w:rFonts w:hint="eastAsia" w:ascii="宋体" w:hAnsi="宋体" w:eastAsia="宋体" w:cs="宋体"/>
          <w:color w:val="000000" w:themeColor="text1"/>
          <w:spacing w:val="-3"/>
          <w:sz w:val="24"/>
          <w:szCs w:val="24"/>
          <w:highlight w:val="none"/>
          <w14:textFill>
            <w14:solidFill>
              <w14:schemeClr w14:val="tx1"/>
            </w14:solidFill>
          </w14:textFill>
        </w:rPr>
        <w:t>将</w:t>
      </w:r>
      <w:r>
        <w:rPr>
          <w:rFonts w:hint="eastAsia" w:ascii="宋体" w:hAnsi="宋体" w:eastAsia="宋体" w:cs="宋体"/>
          <w:color w:val="000000" w:themeColor="text1"/>
          <w:sz w:val="24"/>
          <w:szCs w:val="24"/>
          <w:highlight w:val="none"/>
          <w14:textFill>
            <w14:solidFill>
              <w14:schemeClr w14:val="tx1"/>
            </w14:solidFill>
          </w14:textFill>
        </w:rPr>
        <w:t>原件</w:t>
      </w:r>
      <w:r>
        <w:rPr>
          <w:rFonts w:hint="eastAsia" w:ascii="宋体" w:hAnsi="宋体" w:eastAsia="宋体" w:cs="宋体"/>
          <w:color w:val="000000" w:themeColor="text1"/>
          <w:spacing w:val="-3"/>
          <w:sz w:val="24"/>
          <w:szCs w:val="24"/>
          <w:highlight w:val="none"/>
          <w14:textFill>
            <w14:solidFill>
              <w14:schemeClr w14:val="tx1"/>
            </w14:solidFill>
          </w14:textFill>
        </w:rPr>
        <w:t>递</w:t>
      </w:r>
      <w:r>
        <w:rPr>
          <w:rFonts w:hint="eastAsia" w:ascii="宋体" w:hAnsi="宋体" w:eastAsia="宋体" w:cs="宋体"/>
          <w:color w:val="000000" w:themeColor="text1"/>
          <w:sz w:val="24"/>
          <w:szCs w:val="24"/>
          <w:highlight w:val="none"/>
          <w14:textFill>
            <w14:solidFill>
              <w14:schemeClr w14:val="tx1"/>
            </w14:solidFill>
          </w14:textFill>
        </w:rPr>
        <w:t>交</w:t>
      </w:r>
      <w:r>
        <w:rPr>
          <w:rFonts w:hint="eastAsia" w:ascii="宋体" w:hAnsi="宋体" w:eastAsia="宋体" w:cs="宋体"/>
          <w:color w:val="000000" w:themeColor="text1"/>
          <w:spacing w:val="-3"/>
          <w:sz w:val="24"/>
          <w:szCs w:val="24"/>
          <w:highlight w:val="none"/>
          <w14:textFill>
            <w14:solidFill>
              <w14:schemeClr w14:val="tx1"/>
            </w14:solidFill>
          </w14:textFill>
        </w:rPr>
        <w:t>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详</w:t>
      </w:r>
      <w:r>
        <w:rPr>
          <w:rFonts w:hint="eastAsia" w:ascii="宋体" w:hAnsi="宋体" w:eastAsia="宋体" w:cs="宋体"/>
          <w:color w:val="000000" w:themeColor="text1"/>
          <w:spacing w:val="-3"/>
          <w:sz w:val="24"/>
          <w:szCs w:val="24"/>
          <w:highlight w:val="none"/>
          <w14:textFill>
            <w14:solidFill>
              <w14:schemeClr w14:val="tx1"/>
            </w14:solidFill>
          </w14:textFill>
        </w:rPr>
        <w:t>细</w:t>
      </w:r>
      <w:r>
        <w:rPr>
          <w:rFonts w:hint="eastAsia" w:ascii="宋体" w:hAnsi="宋体" w:eastAsia="宋体" w:cs="宋体"/>
          <w:color w:val="000000" w:themeColor="text1"/>
          <w:sz w:val="24"/>
          <w:szCs w:val="24"/>
          <w:highlight w:val="none"/>
          <w14:textFill>
            <w14:solidFill>
              <w14:schemeClr w14:val="tx1"/>
            </w14:solidFill>
          </w14:textFill>
        </w:rPr>
        <w:t>地</w:t>
      </w:r>
      <w:r>
        <w:rPr>
          <w:rFonts w:hint="eastAsia" w:ascii="宋体" w:hAnsi="宋体" w:eastAsia="宋体" w:cs="宋体"/>
          <w:color w:val="000000" w:themeColor="text1"/>
          <w:spacing w:val="-3"/>
          <w:sz w:val="24"/>
          <w:szCs w:val="24"/>
          <w:highlight w:val="none"/>
          <w14:textFill>
            <w14:solidFill>
              <w14:schemeClr w14:val="tx1"/>
            </w14:solidFill>
          </w14:textFill>
        </w:rPr>
        <w:t>址）</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w:t>
      </w:r>
    </w:p>
    <w:p w14:paraId="27CDDB56">
      <w:pPr>
        <w:pStyle w:val="2"/>
        <w:keepNext w:val="0"/>
        <w:keepLines w:val="0"/>
        <w:pageBreakBefore w:val="0"/>
        <w:widowControl w:val="0"/>
        <w:kinsoku/>
        <w:wordWrap/>
        <w:overflowPunct/>
        <w:topLinePunct w:val="0"/>
        <w:autoSpaceDE/>
        <w:autoSpaceDN/>
        <w:bidi w:val="0"/>
        <w:adjustRightInd/>
        <w:snapToGrid/>
        <w:spacing w:line="500" w:lineRule="exact"/>
        <w:ind w:right="113" w:firstLine="360" w:firstLineChars="150"/>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109A69DD">
      <w:pPr>
        <w:pageBreakBefore w:val="0"/>
        <w:kinsoku/>
        <w:wordWrap/>
        <w:overflowPunct/>
        <w:topLinePunct w:val="0"/>
        <w:autoSpaceDE/>
        <w:bidi w:val="0"/>
        <w:adjustRightInd/>
        <w:spacing w:line="5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69AEF753">
      <w:pPr>
        <w:pStyle w:val="6"/>
        <w:pageBreakBefore w:val="0"/>
        <w:kinsoku/>
        <w:wordWrap/>
        <w:overflowPunct/>
        <w:topLinePunct w:val="0"/>
        <w:autoSpaceDE/>
        <w:bidi w:val="0"/>
        <w:adjustRightInd/>
        <w:spacing w:line="500" w:lineRule="exac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p>
    <w:p w14:paraId="0A63D965">
      <w:pPr>
        <w:pStyle w:val="2"/>
        <w:keepNext w:val="0"/>
        <w:keepLines w:val="0"/>
        <w:pageBreakBefore w:val="0"/>
        <w:widowControl w:val="0"/>
        <w:tabs>
          <w:tab w:val="left" w:pos="7032"/>
        </w:tabs>
        <w:kinsoku/>
        <w:wordWrap/>
        <w:overflowPunct/>
        <w:topLinePunct w:val="0"/>
        <w:autoSpaceDE/>
        <w:autoSpaceDN/>
        <w:bidi w:val="0"/>
        <w:adjustRightInd/>
        <w:snapToGrid/>
        <w:spacing w:before="37" w:line="500" w:lineRule="exact"/>
        <w:ind w:right="0"/>
        <w:jc w:val="righ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授权的</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人或</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代理机构：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（签字或盖</w:t>
      </w:r>
      <w:r>
        <w:rPr>
          <w:rFonts w:hint="eastAsia" w:ascii="宋体" w:hAnsi="宋体" w:eastAsia="宋体" w:cs="宋体"/>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color w:val="000000" w:themeColor="text1"/>
          <w:sz w:val="24"/>
          <w:szCs w:val="24"/>
          <w:highlight w:val="none"/>
          <w14:textFill>
            <w14:solidFill>
              <w14:schemeClr w14:val="tx1"/>
            </w14:solidFill>
          </w14:textFill>
        </w:rPr>
        <w:t>章）</w:t>
      </w:r>
    </w:p>
    <w:p w14:paraId="6711E224">
      <w:pPr>
        <w:pStyle w:val="2"/>
        <w:keepNext w:val="0"/>
        <w:keepLines w:val="0"/>
        <w:pageBreakBefore w:val="0"/>
        <w:widowControl w:val="0"/>
        <w:tabs>
          <w:tab w:val="left" w:pos="6080"/>
          <w:tab w:val="left" w:pos="6890"/>
          <w:tab w:val="left" w:pos="7555"/>
        </w:tabs>
        <w:kinsoku/>
        <w:wordWrap/>
        <w:overflowPunct/>
        <w:topLinePunct w:val="0"/>
        <w:autoSpaceDE/>
        <w:autoSpaceDN/>
        <w:bidi w:val="0"/>
        <w:adjustRightInd/>
        <w:snapToGrid/>
        <w:spacing w:before="36" w:line="500" w:lineRule="exact"/>
        <w:ind w:left="4960" w:leftChars="2362" w:right="113" w:firstLine="360" w:firstLineChars="150"/>
        <w:jc w:val="righ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pacing w:val="-3"/>
          <w:sz w:val="24"/>
          <w:szCs w:val="24"/>
          <w:highlight w:val="none"/>
          <w14:textFill>
            <w14:solidFill>
              <w14:schemeClr w14:val="tx1"/>
            </w14:solidFill>
          </w14:textFill>
        </w:rPr>
        <w:t>年</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日</w:t>
      </w:r>
    </w:p>
    <w:p w14:paraId="7E9A9E37">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282" w:name="_bookmark78"/>
      <w:bookmarkEnd w:id="282"/>
    </w:p>
    <w:p w14:paraId="1D446D46">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5968F193">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7083E16D">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3D36BB5C">
      <w:pPr>
        <w:pageBreakBefore w:val="0"/>
        <w:kinsoku/>
        <w:wordWrap/>
        <w:overflowPunct/>
        <w:topLinePunct w:val="0"/>
        <w:autoSpaceDE/>
        <w:bidi w:val="0"/>
        <w:adjustRightInd/>
        <w:spacing w:line="5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p>
    <w:p w14:paraId="1E257219">
      <w:pPr>
        <w:pageBreakBefore w:val="0"/>
        <w:kinsoku/>
        <w:wordWrap/>
        <w:overflowPunct/>
        <w:topLinePunct w:val="0"/>
        <w:autoSpaceDE/>
        <w:bidi w:val="0"/>
        <w:adjustRightInd/>
        <w:spacing w:before="168" w:line="500" w:lineRule="exact"/>
        <w:ind w:right="16"/>
        <w:jc w:val="center"/>
        <w:textAlignment w:val="auto"/>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问题的澄清</w:t>
      </w:r>
    </w:p>
    <w:p w14:paraId="7A92C605">
      <w:pPr>
        <w:pStyle w:val="2"/>
        <w:pageBreakBefore w:val="0"/>
        <w:tabs>
          <w:tab w:val="left" w:pos="5947"/>
        </w:tabs>
        <w:kinsoku/>
        <w:wordWrap/>
        <w:overflowPunct/>
        <w:topLinePunct w:val="0"/>
        <w:autoSpaceDE/>
        <w:bidi w:val="0"/>
        <w:adjustRightInd/>
        <w:spacing w:before="113" w:line="500" w:lineRule="exact"/>
        <w:ind w:left="3566" w:right="113"/>
        <w:textAlignment w:val="auto"/>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（编号：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92BC7C9">
      <w:pPr>
        <w:pStyle w:val="2"/>
        <w:pageBreakBefore w:val="0"/>
        <w:kinsoku/>
        <w:wordWrap/>
        <w:overflowPunct/>
        <w:topLinePunct w:val="0"/>
        <w:autoSpaceDE/>
        <w:bidi w:val="0"/>
        <w:adjustRightInd/>
        <w:spacing w:before="37" w:line="500" w:lineRule="exact"/>
        <w:ind w:right="113"/>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w:t>
      </w:r>
    </w:p>
    <w:p w14:paraId="7CE595B9">
      <w:pPr>
        <w:pStyle w:val="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问题澄清通知（编号：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）已收悉，现澄清、说明或</w:t>
      </w:r>
      <w:r>
        <w:rPr>
          <w:rFonts w:hint="eastAsia" w:ascii="宋体" w:hAnsi="宋体" w:eastAsia="宋体" w:cs="宋体"/>
          <w:color w:val="000000" w:themeColor="text1"/>
          <w:sz w:val="24"/>
          <w:szCs w:val="24"/>
          <w:highlight w:val="none"/>
          <w:lang w:eastAsia="zh-CN"/>
          <w14:textFill>
            <w14:solidFill>
              <w14:schemeClr w14:val="tx1"/>
            </w14:solidFill>
          </w14:textFill>
        </w:rPr>
        <w:t>更正</w:t>
      </w:r>
      <w:r>
        <w:rPr>
          <w:rFonts w:hint="eastAsia" w:ascii="宋体" w:hAnsi="宋体" w:eastAsia="宋体" w:cs="宋体"/>
          <w:color w:val="000000" w:themeColor="text1"/>
          <w:sz w:val="24"/>
          <w:szCs w:val="24"/>
          <w:highlight w:val="none"/>
          <w14:textFill>
            <w14:solidFill>
              <w14:schemeClr w14:val="tx1"/>
            </w14:solidFill>
          </w14:textFill>
        </w:rPr>
        <w:t>如下：</w:t>
      </w:r>
    </w:p>
    <w:p w14:paraId="7AD85F76">
      <w:pPr>
        <w:pStyle w:val="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p w14:paraId="7449B0AE">
      <w:pPr>
        <w:pStyle w:val="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p w14:paraId="472B89FB">
      <w:pPr>
        <w:pStyle w:val="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033B8E33">
      <w:pPr>
        <w:pStyle w:val="2"/>
        <w:pageBreakBefore w:val="0"/>
        <w:kinsoku/>
        <w:wordWrap/>
        <w:overflowPunct/>
        <w:topLinePunct w:val="0"/>
        <w:autoSpaceDE/>
        <w:bidi w:val="0"/>
        <w:adjustRightInd/>
        <w:spacing w:before="1" w:line="500" w:lineRule="exact"/>
        <w:ind w:left="100" w:right="113" w:firstLine="419"/>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上述问题澄清、说明或</w:t>
      </w:r>
      <w:r>
        <w:rPr>
          <w:rFonts w:hint="eastAsia" w:ascii="宋体" w:hAnsi="宋体" w:eastAsia="宋体" w:cs="宋体"/>
          <w:color w:val="000000" w:themeColor="text1"/>
          <w:sz w:val="24"/>
          <w:szCs w:val="24"/>
          <w:highlight w:val="none"/>
          <w:lang w:eastAsia="zh-CN"/>
          <w14:textFill>
            <w14:solidFill>
              <w14:schemeClr w14:val="tx1"/>
            </w14:solidFill>
          </w14:textFill>
        </w:rPr>
        <w:t>更正</w:t>
      </w:r>
      <w:r>
        <w:rPr>
          <w:rFonts w:hint="eastAsia" w:ascii="宋体" w:hAnsi="宋体" w:eastAsia="宋体" w:cs="宋体"/>
          <w:color w:val="000000" w:themeColor="text1"/>
          <w:sz w:val="24"/>
          <w:szCs w:val="24"/>
          <w:highlight w:val="none"/>
          <w14:textFill>
            <w14:solidFill>
              <w14:schemeClr w14:val="tx1"/>
            </w14:solidFill>
          </w14:textFill>
        </w:rPr>
        <w:t>，不改变我方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的实质性内容，构成我方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的组成部分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01ADE8C">
      <w:pPr>
        <w:pStyle w:val="2"/>
        <w:pageBreakBefore w:val="0"/>
        <w:kinsoku/>
        <w:wordWrap/>
        <w:overflowPunct/>
        <w:topLinePunct w:val="0"/>
        <w:autoSpaceDE/>
        <w:bidi w:val="0"/>
        <w:adjustRightInd/>
        <w:spacing w:before="5" w:line="5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17B5E30B">
      <w:pPr>
        <w:pageBreakBefore w:val="0"/>
        <w:kinsoku/>
        <w:wordWrap/>
        <w:overflowPunct/>
        <w:topLinePunct w:val="0"/>
        <w:autoSpaceDE/>
        <w:bidi w:val="0"/>
        <w:adjustRightInd/>
        <w:spacing w:line="5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2FE11C7E">
      <w:pPr>
        <w:pStyle w:val="2"/>
        <w:pageBreakBefore w:val="0"/>
        <w:tabs>
          <w:tab w:val="left" w:pos="7382"/>
        </w:tabs>
        <w:kinsoku/>
        <w:wordWrap/>
        <w:overflowPunct/>
        <w:topLinePunct w:val="0"/>
        <w:autoSpaceDE/>
        <w:bidi w:val="0"/>
        <w:adjustRightInd/>
        <w:spacing w:line="500" w:lineRule="exact"/>
        <w:ind w:left="3043" w:right="113"/>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71A576AE">
      <w:pPr>
        <w:pStyle w:val="2"/>
        <w:pageBreakBefore w:val="0"/>
        <w:tabs>
          <w:tab w:val="left" w:pos="6612"/>
        </w:tabs>
        <w:kinsoku/>
        <w:wordWrap/>
        <w:overflowPunct/>
        <w:topLinePunct w:val="0"/>
        <w:autoSpaceDE/>
        <w:bidi w:val="0"/>
        <w:adjustRightInd/>
        <w:spacing w:before="36" w:line="500" w:lineRule="exact"/>
        <w:ind w:left="3041" w:right="113"/>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w:t>
      </w:r>
      <w:r>
        <w:rPr>
          <w:rFonts w:hint="eastAsia" w:ascii="宋体" w:hAnsi="宋体" w:eastAsia="宋体" w:cs="宋体"/>
          <w:color w:val="000000" w:themeColor="text1"/>
          <w:kern w:val="1"/>
          <w:sz w:val="24"/>
          <w:szCs w:val="24"/>
          <w:highlight w:val="none"/>
          <w:lang w:val="en-US" w:eastAsia="zh-CN" w:bidi="ar-SA"/>
          <w14:textFill>
            <w14:solidFill>
              <w14:schemeClr w14:val="tx1"/>
            </w14:solidFill>
          </w14:textFill>
        </w:rPr>
        <w:t>或其授权代表</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0320A13">
      <w:pPr>
        <w:pStyle w:val="2"/>
        <w:pageBreakBefore w:val="0"/>
        <w:tabs>
          <w:tab w:val="left" w:pos="6434"/>
          <w:tab w:val="left" w:pos="7483"/>
          <w:tab w:val="left" w:pos="8533"/>
        </w:tabs>
        <w:kinsoku/>
        <w:wordWrap/>
        <w:overflowPunct/>
        <w:topLinePunct w:val="0"/>
        <w:autoSpaceDE/>
        <w:bidi w:val="0"/>
        <w:adjustRightInd/>
        <w:spacing w:before="37" w:line="500" w:lineRule="exact"/>
        <w:ind w:left="5595"/>
        <w:textAlignment w:val="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pacing w:val="-3"/>
          <w:sz w:val="24"/>
          <w:szCs w:val="24"/>
          <w:highlight w:val="none"/>
          <w14:textFill>
            <w14:solidFill>
              <w14:schemeClr w14:val="tx1"/>
            </w14:solidFill>
          </w14:textFill>
        </w:rPr>
        <w:t>年</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日</w:t>
      </w:r>
    </w:p>
    <w:p w14:paraId="3C56C8C3">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1677CD5A">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000000" w:themeColor="text1"/>
          <w:kern w:val="1"/>
          <w:sz w:val="28"/>
          <w:szCs w:val="28"/>
          <w:highlight w:val="none"/>
          <w:lang w:val="en-US" w:eastAsia="zh-CN" w:bidi="ar-SA"/>
          <w14:textFill>
            <w14:solidFill>
              <w14:schemeClr w14:val="tx1"/>
            </w14:solidFill>
          </w14:textFill>
        </w:rPr>
      </w:pPr>
    </w:p>
    <w:p w14:paraId="572DE7CC">
      <w:pPr>
        <w:pageBreakBefore w:val="0"/>
        <w:kinsoku/>
        <w:wordWrap/>
        <w:overflowPunct/>
        <w:topLinePunct w:val="0"/>
        <w:autoSpaceDE/>
        <w:autoSpaceDN w:val="0"/>
        <w:bidi w:val="0"/>
        <w:adjustRightInd/>
        <w:spacing w:line="500" w:lineRule="exact"/>
        <w:ind w:firstLine="482" w:firstLineChars="200"/>
        <w:jc w:val="left"/>
        <w:textAlignment w:val="auto"/>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供应商的澄清、说明或者更正应当由法定代表人或其授权代表签字或者加盖公章。由授权代表签字的，应当附法定代表人授权书。</w:t>
      </w:r>
    </w:p>
    <w:p w14:paraId="3EB098FF">
      <w:pPr>
        <w:keepNext w:val="0"/>
        <w:keepLines w:val="0"/>
        <w:pageBreakBefore w:val="0"/>
        <w:widowControl w:val="0"/>
        <w:kinsoku/>
        <w:wordWrap/>
        <w:overflowPunct/>
        <w:topLinePunct w:val="0"/>
        <w:autoSpaceDE/>
        <w:autoSpaceDN w:val="0"/>
        <w:bidi w:val="0"/>
        <w:adjustRightInd/>
        <w:snapToGrid/>
        <w:spacing w:line="470" w:lineRule="exact"/>
        <w:jc w:val="left"/>
        <w:textAlignment w:val="auto"/>
        <w:outlineLvl w:val="9"/>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br w:type="page"/>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附件</w:t>
      </w:r>
      <w:r>
        <w:rPr>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3</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w:t>
      </w:r>
    </w:p>
    <w:p w14:paraId="581A6B19">
      <w:pPr>
        <w:keepNext w:val="0"/>
        <w:keepLines w:val="0"/>
        <w:pageBreakBefore w:val="0"/>
        <w:widowControl w:val="0"/>
        <w:kinsoku/>
        <w:wordWrap/>
        <w:overflowPunct/>
        <w:topLinePunct w:val="0"/>
        <w:autoSpaceDE/>
        <w:autoSpaceDN w:val="0"/>
        <w:bidi w:val="0"/>
        <w:adjustRightInd/>
        <w:snapToGrid/>
        <w:spacing w:after="240" w:afterLines="100" w:line="470" w:lineRule="exact"/>
        <w:jc w:val="center"/>
        <w:textAlignment w:val="auto"/>
        <w:outlineLvl w:val="9"/>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t>电子</w:t>
      </w:r>
      <w:r>
        <w:rPr>
          <w:rFonts w:hint="eastAsia" w:asciiTheme="minorEastAsia" w:hAnsiTheme="minorEastAsia" w:eastAsiaTheme="minorEastAsia" w:cstheme="minorEastAsia"/>
          <w:b/>
          <w:bCs/>
          <w:color w:val="000000" w:themeColor="text1"/>
          <w:sz w:val="30"/>
          <w:szCs w:val="30"/>
          <w:highlight w:val="none"/>
          <w:lang w:eastAsia="zh-CN"/>
          <w14:textFill>
            <w14:solidFill>
              <w14:schemeClr w14:val="tx1"/>
            </w14:solidFill>
          </w14:textFill>
        </w:rPr>
        <w:t>响应</w:t>
      </w:r>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t>文件编制及</w:t>
      </w:r>
      <w:r>
        <w:rPr>
          <w:rFonts w:hint="eastAsia" w:asciiTheme="minorEastAsia" w:hAnsiTheme="minorEastAsia" w:eastAsiaTheme="minorEastAsia" w:cstheme="minorEastAsia"/>
          <w:b/>
          <w:bCs/>
          <w:color w:val="000000" w:themeColor="text1"/>
          <w:sz w:val="30"/>
          <w:szCs w:val="30"/>
          <w:highlight w:val="none"/>
          <w:lang w:eastAsia="zh-CN"/>
          <w14:textFill>
            <w14:solidFill>
              <w14:schemeClr w14:val="tx1"/>
            </w14:solidFill>
          </w14:textFill>
        </w:rPr>
        <w:t>报送</w:t>
      </w:r>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t>要求</w:t>
      </w:r>
    </w:p>
    <w:p w14:paraId="3B9243D1">
      <w:pPr>
        <w:pStyle w:val="2"/>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供应商必须使用“政采云电子投标客户端”编制电子响应文件，并生成电子签名的响应文件（此文件必须网上提交）。</w:t>
      </w:r>
    </w:p>
    <w:p w14:paraId="1502E47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政采云电子投标客户端”提供数字证书（CA）对响应文件进行加密功能。供应商应对网上提交的电子响应文件进行加密，并使用加密的数字证书（CA）对其提交的电子响应文件进行解密。供应商对其提交的电子响应文件不进行加密的，视为无效文件。供应商使用某个数字证书（CA）对响应文件进行了数字证书（CA）加密，需要在解密响应文件时使用该数字证书（CA）进行解密，才能读取或导入响应文件，因供应商原因造成电子响应文件未解密的视为无效，不再进入评审阶段。</w:t>
      </w:r>
    </w:p>
    <w:p w14:paraId="11796CAD">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电子响应文件网上提交网址为：政采云平台（https://www.zcygov.cn），供应商须在提交响应文件截止时间前完成所有响应文件的上传，网上确认电子签名，响应文件提交截止时间前未完成响应文件传输的，视为未按要求提交响应文件。</w:t>
      </w:r>
    </w:p>
    <w:p w14:paraId="08EA6E08">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4.供应商须按本附件“电子响应文件编制及报送要求”规定编制及网上递交电子响应文件。</w:t>
      </w:r>
    </w:p>
    <w:p w14:paraId="402A37F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5.该响应文件制作及报送要求如果与竞争性磋商文件规定不一致，以此“电子响应文件编制及报送要求”为准。</w:t>
      </w:r>
    </w:p>
    <w:p w14:paraId="058A83E6">
      <w:pPr>
        <w:pStyle w:val="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注：不同单位的响应文件若芯片序列号、硬盘序列号、网卡序列号一致，视为由同一台电脑编制！</w:t>
      </w:r>
    </w:p>
    <w:p w14:paraId="01C2A096">
      <w:pPr>
        <w:pStyle w:val="54"/>
        <w:keepNext w:val="0"/>
        <w:keepLines w:val="0"/>
        <w:pageBreakBefore w:val="0"/>
        <w:widowControl w:val="0"/>
        <w:kinsoku/>
        <w:wordWrap w:val="0"/>
        <w:overflowPunct/>
        <w:topLinePunct w:val="0"/>
        <w:autoSpaceDE/>
        <w:autoSpaceDN/>
        <w:bidi w:val="0"/>
        <w:adjustRightInd/>
        <w:snapToGrid/>
        <w:spacing w:before="0" w:after="0" w:line="470" w:lineRule="exact"/>
        <w:ind w:firstLine="482" w:firstLineChars="200"/>
        <w:jc w:val="left"/>
        <w:textAlignment w:val="auto"/>
        <w:outlineLvl w:val="9"/>
        <w:rPr>
          <w:rFonts w:hint="eastAsia" w:ascii="宋体" w:hAnsi="宋体" w:eastAsia="宋体" w:cs="宋体"/>
          <w:color w:val="auto"/>
          <w:sz w:val="24"/>
          <w:szCs w:val="24"/>
          <w:highlight w:val="none"/>
        </w:rPr>
      </w:pPr>
    </w:p>
    <w:p w14:paraId="73BF1FA7">
      <w:pPr>
        <w:pStyle w:val="54"/>
        <w:keepNext w:val="0"/>
        <w:keepLines w:val="0"/>
        <w:pageBreakBefore w:val="0"/>
        <w:widowControl w:val="0"/>
        <w:kinsoku/>
        <w:wordWrap w:val="0"/>
        <w:overflowPunct/>
        <w:topLinePunct w:val="0"/>
        <w:autoSpaceDE/>
        <w:autoSpaceDN/>
        <w:bidi w:val="0"/>
        <w:adjustRightInd/>
        <w:snapToGrid/>
        <w:spacing w:before="0" w:after="0" w:line="470" w:lineRule="exact"/>
        <w:ind w:firstLine="482" w:firstLineChars="200"/>
        <w:jc w:val="left"/>
        <w:textAlignment w:val="auto"/>
        <w:outlineLvl w:val="9"/>
        <w:rPr>
          <w:rFonts w:hint="eastAsia" w:ascii="宋体" w:hAnsi="宋体" w:eastAsia="宋体" w:cs="宋体"/>
          <w:color w:val="auto"/>
          <w:sz w:val="24"/>
          <w:szCs w:val="24"/>
          <w:highlight w:val="none"/>
        </w:rPr>
      </w:pPr>
    </w:p>
    <w:bookmarkEnd w:id="277"/>
    <w:bookmarkEnd w:id="278"/>
    <w:p w14:paraId="632012DD">
      <w:pPr>
        <w:spacing w:line="500" w:lineRule="exact"/>
        <w:jc w:val="center"/>
        <w:outlineLvl w:val="9"/>
        <w:rPr>
          <w:rFonts w:hint="eastAsia" w:ascii="宋体" w:hAnsi="宋体" w:eastAsia="宋体" w:cs="宋体"/>
          <w:b/>
          <w:color w:val="auto"/>
          <w:kern w:val="44"/>
          <w:sz w:val="32"/>
          <w:szCs w:val="32"/>
          <w:highlight w:val="none"/>
        </w:rPr>
      </w:pPr>
    </w:p>
    <w:p w14:paraId="7F72409A">
      <w:pPr>
        <w:spacing w:line="500" w:lineRule="exact"/>
        <w:jc w:val="both"/>
        <w:outlineLvl w:val="9"/>
        <w:rPr>
          <w:rFonts w:hint="eastAsia" w:ascii="宋体" w:hAnsi="宋体" w:eastAsia="宋体" w:cs="宋体"/>
          <w:b/>
          <w:color w:val="auto"/>
          <w:kern w:val="44"/>
          <w:sz w:val="32"/>
          <w:szCs w:val="32"/>
          <w:highlight w:val="none"/>
        </w:rPr>
      </w:pPr>
    </w:p>
    <w:p w14:paraId="1B9BF870">
      <w:pPr>
        <w:spacing w:line="500" w:lineRule="exact"/>
        <w:jc w:val="center"/>
        <w:outlineLvl w:val="9"/>
        <w:rPr>
          <w:rFonts w:hint="eastAsia" w:ascii="宋体" w:hAnsi="宋体" w:eastAsia="宋体" w:cs="宋体"/>
          <w:b/>
          <w:bCs w:val="0"/>
          <w:color w:val="auto"/>
          <w:kern w:val="44"/>
          <w:sz w:val="30"/>
          <w:szCs w:val="30"/>
          <w:highlight w:val="none"/>
        </w:rPr>
      </w:pPr>
      <w:bookmarkStart w:id="283" w:name="_Toc19792"/>
    </w:p>
    <w:p w14:paraId="7F467EE8">
      <w:pPr>
        <w:spacing w:line="500" w:lineRule="exact"/>
        <w:jc w:val="center"/>
        <w:outlineLvl w:val="9"/>
        <w:rPr>
          <w:rFonts w:hint="eastAsia" w:ascii="宋体" w:hAnsi="宋体" w:eastAsia="宋体" w:cs="宋体"/>
          <w:b/>
          <w:bCs w:val="0"/>
          <w:color w:val="auto"/>
          <w:kern w:val="44"/>
          <w:sz w:val="30"/>
          <w:szCs w:val="30"/>
          <w:highlight w:val="none"/>
        </w:rPr>
      </w:pPr>
    </w:p>
    <w:p w14:paraId="6C88CD9C">
      <w:pPr>
        <w:spacing w:line="500" w:lineRule="exact"/>
        <w:jc w:val="center"/>
        <w:outlineLvl w:val="9"/>
        <w:rPr>
          <w:rFonts w:hint="eastAsia" w:ascii="宋体" w:hAnsi="宋体" w:eastAsia="宋体" w:cs="宋体"/>
          <w:b/>
          <w:bCs w:val="0"/>
          <w:color w:val="auto"/>
          <w:kern w:val="44"/>
          <w:sz w:val="30"/>
          <w:szCs w:val="30"/>
          <w:highlight w:val="none"/>
        </w:rPr>
      </w:pPr>
    </w:p>
    <w:p w14:paraId="17827FD5">
      <w:pPr>
        <w:spacing w:line="500" w:lineRule="exact"/>
        <w:jc w:val="center"/>
        <w:outlineLvl w:val="9"/>
        <w:rPr>
          <w:rFonts w:hint="eastAsia" w:ascii="宋体" w:hAnsi="宋体" w:eastAsia="宋体" w:cs="宋体"/>
          <w:b/>
          <w:bCs w:val="0"/>
          <w:color w:val="auto"/>
          <w:kern w:val="44"/>
          <w:sz w:val="30"/>
          <w:szCs w:val="30"/>
          <w:highlight w:val="none"/>
        </w:rPr>
      </w:pPr>
    </w:p>
    <w:p w14:paraId="411D2F72">
      <w:pPr>
        <w:spacing w:line="500" w:lineRule="exact"/>
        <w:jc w:val="center"/>
        <w:outlineLvl w:val="0"/>
        <w:rPr>
          <w:rFonts w:hint="eastAsia" w:ascii="宋体" w:hAnsi="宋体" w:eastAsia="宋体" w:cs="宋体"/>
          <w:b/>
          <w:bCs w:val="0"/>
          <w:color w:val="auto"/>
          <w:sz w:val="30"/>
          <w:szCs w:val="30"/>
          <w:highlight w:val="none"/>
        </w:rPr>
      </w:pPr>
      <w:bookmarkStart w:id="284" w:name="_Toc19592"/>
      <w:bookmarkStart w:id="285" w:name="_Toc6971"/>
      <w:r>
        <w:rPr>
          <w:rFonts w:hint="eastAsia" w:ascii="宋体" w:hAnsi="宋体" w:eastAsia="宋体" w:cs="宋体"/>
          <w:b/>
          <w:bCs w:val="0"/>
          <w:color w:val="auto"/>
          <w:kern w:val="44"/>
          <w:sz w:val="30"/>
          <w:szCs w:val="30"/>
          <w:highlight w:val="none"/>
        </w:rPr>
        <w:t>第三章  评审办法</w:t>
      </w:r>
      <w:bookmarkEnd w:id="100"/>
      <w:bookmarkEnd w:id="101"/>
      <w:bookmarkEnd w:id="283"/>
      <w:bookmarkEnd w:id="284"/>
      <w:bookmarkEnd w:id="285"/>
    </w:p>
    <w:p w14:paraId="0861316F">
      <w:pPr>
        <w:pStyle w:val="2"/>
        <w:spacing w:line="400" w:lineRule="exact"/>
        <w:rPr>
          <w:rFonts w:hint="eastAsia" w:ascii="宋体" w:hAnsi="宋体" w:eastAsia="宋体" w:cs="宋体"/>
          <w:b/>
          <w:color w:val="auto"/>
          <w:sz w:val="28"/>
          <w:szCs w:val="28"/>
          <w:highlight w:val="none"/>
        </w:rPr>
      </w:pPr>
    </w:p>
    <w:p w14:paraId="4AEE5D00">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szCs w:val="24"/>
          <w:highlight w:val="none"/>
        </w:rPr>
        <w:t>1.根据《中华人民共和国政府采购法》、《中华人民共和国政府采购法实施条例》</w:t>
      </w:r>
      <w:r>
        <w:rPr>
          <w:rFonts w:hint="eastAsia" w:ascii="宋体" w:hAnsi="宋体" w:cs="宋体"/>
          <w:b/>
          <w:color w:val="auto"/>
          <w:sz w:val="24"/>
          <w:szCs w:val="24"/>
          <w:highlight w:val="none"/>
          <w:lang w:val="en-US" w:eastAsia="zh-CN"/>
        </w:rPr>
        <w:t>及</w:t>
      </w:r>
      <w:r>
        <w:rPr>
          <w:rFonts w:hint="eastAsia" w:ascii="宋体" w:hAnsi="宋体" w:eastAsia="宋体" w:cs="宋体"/>
          <w:b/>
          <w:color w:val="auto"/>
          <w:sz w:val="24"/>
          <w:szCs w:val="24"/>
          <w:highlight w:val="none"/>
        </w:rPr>
        <w:t>《政府采购竞争性磋商采购方式管理暂行办法》等有关法律法规的规定，结合本项目实际情况制定本办法。</w:t>
      </w:r>
    </w:p>
    <w:p w14:paraId="0F8A4D53">
      <w:pPr>
        <w:keepNext w:val="0"/>
        <w:keepLines w:val="0"/>
        <w:pageBreakBefore w:val="0"/>
        <w:widowControl w:val="0"/>
        <w:numPr>
          <w:ilvl w:val="1"/>
          <w:numId w:val="6"/>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将根据本项目的性质和特点依法组建竞争性磋商小组，竞争性磋商小组3人，由采购人代表1人和评审专家2人组成，竞争性磋商小组按照法律、法规的规定，在全封闭的保密条件下进行评审，任何个人和单位不得干扰竞争性磋商小组的正常工作。</w:t>
      </w:r>
    </w:p>
    <w:p w14:paraId="1519CC60">
      <w:pPr>
        <w:keepNext w:val="0"/>
        <w:keepLines w:val="0"/>
        <w:pageBreakBefore w:val="0"/>
        <w:widowControl w:val="0"/>
        <w:numPr>
          <w:ilvl w:val="1"/>
          <w:numId w:val="6"/>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评审原则：竞争性磋商小组成员应当按照客观、公正、审慎的原则，根据磋商文件规定的评审程序、评审方法和评审标准进行独立评审。</w:t>
      </w:r>
    </w:p>
    <w:p w14:paraId="7E02EEE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1.3竞争性磋商小组在进行评审前，应认真阅读竞争性磋商文件，了解和熟悉以下内容：</w:t>
      </w:r>
    </w:p>
    <w:p w14:paraId="3B77578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①采购目的； </w:t>
      </w:r>
    </w:p>
    <w:p w14:paraId="49906D2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②采购项目的范围及性质；</w:t>
      </w:r>
    </w:p>
    <w:p w14:paraId="4EFC3D8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③竞争性磋商文件中规定的主要工作要求、标准和报价；</w:t>
      </w:r>
    </w:p>
    <w:p w14:paraId="29509F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④竞争性磋商文件规定的评审办法和评审过程中考虑的相关因素。</w:t>
      </w:r>
    </w:p>
    <w:p w14:paraId="110D35E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 评审过程中如遇特殊问题，由竞争性磋商小组根据有关法律、法规研究决定。</w:t>
      </w:r>
    </w:p>
    <w:p w14:paraId="1697CCF3">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1"/>
        <w:rPr>
          <w:rFonts w:hint="eastAsia" w:ascii="宋体" w:hAnsi="宋体" w:eastAsia="宋体" w:cs="宋体"/>
          <w:b/>
          <w:color w:val="auto"/>
          <w:sz w:val="24"/>
          <w:highlight w:val="none"/>
        </w:rPr>
      </w:pPr>
      <w:bookmarkStart w:id="286" w:name="_Toc5923"/>
      <w:bookmarkStart w:id="287" w:name="_Toc32562"/>
      <w:bookmarkStart w:id="288" w:name="_Toc28929"/>
      <w:bookmarkStart w:id="289" w:name="_Toc427"/>
      <w:r>
        <w:rPr>
          <w:rFonts w:hint="eastAsia" w:ascii="宋体" w:hAnsi="宋体" w:eastAsia="宋体" w:cs="宋体"/>
          <w:b/>
          <w:color w:val="auto"/>
          <w:sz w:val="24"/>
          <w:highlight w:val="none"/>
        </w:rPr>
        <w:t>2.评审程序</w:t>
      </w:r>
      <w:bookmarkEnd w:id="286"/>
      <w:bookmarkEnd w:id="287"/>
      <w:bookmarkEnd w:id="288"/>
      <w:bookmarkEnd w:id="289"/>
    </w:p>
    <w:p w14:paraId="05B0EB5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 初步评审阶段(包含资格性检查和符合性检查两部分)</w:t>
      </w:r>
    </w:p>
    <w:p w14:paraId="6A6E096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2.1.1 资格性检查：竞争性磋商小组首先对</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进行资格性检查，通过资格性检查的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方可进入符合性检查。符合以下检查标准的，通过资格性检查：</w:t>
      </w:r>
    </w:p>
    <w:p w14:paraId="50537975">
      <w:pPr>
        <w:spacing w:line="384" w:lineRule="auto"/>
        <w:ind w:firstLine="480"/>
        <w:contextualSpacing/>
        <w:rPr>
          <w:rFonts w:hint="eastAsia" w:ascii="宋体" w:hAnsi="宋体" w:eastAsia="宋体" w:cs="宋体"/>
          <w:color w:val="auto"/>
          <w:sz w:val="24"/>
          <w:szCs w:val="24"/>
          <w:highlight w:val="none"/>
        </w:rPr>
      </w:pPr>
    </w:p>
    <w:p w14:paraId="3C3EDC91">
      <w:pPr>
        <w:spacing w:line="540" w:lineRule="exact"/>
        <w:ind w:firstLine="480" w:firstLineChars="200"/>
        <w:rPr>
          <w:rFonts w:hint="eastAsia" w:ascii="宋体" w:hAnsi="宋体" w:eastAsia="宋体" w:cs="宋体"/>
          <w:bCs/>
          <w:color w:val="auto"/>
          <w:sz w:val="24"/>
          <w:highlight w:val="none"/>
        </w:rPr>
      </w:pPr>
    </w:p>
    <w:p w14:paraId="000E7ED8">
      <w:pPr>
        <w:spacing w:line="540" w:lineRule="exact"/>
        <w:ind w:firstLine="480" w:firstLineChars="200"/>
        <w:rPr>
          <w:rFonts w:hint="eastAsia" w:ascii="宋体" w:hAnsi="宋体" w:eastAsia="宋体" w:cs="宋体"/>
          <w:bCs/>
          <w:color w:val="auto"/>
          <w:sz w:val="24"/>
          <w:highlight w:val="none"/>
        </w:rPr>
      </w:pPr>
    </w:p>
    <w:p w14:paraId="5DB39BD4">
      <w:pPr>
        <w:pStyle w:val="28"/>
        <w:ind w:firstLine="0"/>
        <w:rPr>
          <w:rFonts w:hint="eastAsia" w:ascii="宋体" w:hAnsi="宋体" w:eastAsia="宋体" w:cs="宋体"/>
          <w:bCs/>
          <w:color w:val="auto"/>
          <w:sz w:val="24"/>
          <w:highlight w:val="none"/>
        </w:rPr>
      </w:pPr>
    </w:p>
    <w:p w14:paraId="495176E0">
      <w:pPr>
        <w:pStyle w:val="28"/>
        <w:ind w:firstLine="0"/>
        <w:rPr>
          <w:rFonts w:hint="eastAsia" w:ascii="宋体" w:hAnsi="宋体" w:eastAsia="宋体" w:cs="宋体"/>
          <w:bCs/>
          <w:color w:val="auto"/>
          <w:sz w:val="24"/>
          <w:highlight w:val="none"/>
        </w:rPr>
      </w:pPr>
    </w:p>
    <w:p w14:paraId="303EEEF9">
      <w:pPr>
        <w:pStyle w:val="28"/>
        <w:ind w:firstLine="0"/>
        <w:rPr>
          <w:rFonts w:hint="eastAsia" w:ascii="宋体" w:hAnsi="宋体" w:eastAsia="宋体" w:cs="宋体"/>
          <w:bCs/>
          <w:color w:val="auto"/>
          <w:sz w:val="24"/>
          <w:highlight w:val="none"/>
        </w:rPr>
      </w:pPr>
    </w:p>
    <w:p w14:paraId="7EFCF56A">
      <w:pPr>
        <w:pStyle w:val="9"/>
        <w:spacing w:line="384" w:lineRule="auto"/>
        <w:ind w:left="0" w:leftChars="0" w:firstLine="0" w:firstLineChars="0"/>
        <w:jc w:val="center"/>
        <w:rPr>
          <w:rFonts w:hint="eastAsia" w:ascii="宋体" w:hAnsi="宋体" w:eastAsia="宋体" w:cs="宋体"/>
          <w:bCs/>
          <w:color w:val="auto"/>
          <w:sz w:val="30"/>
          <w:szCs w:val="30"/>
          <w:highlight w:val="none"/>
        </w:rPr>
      </w:pPr>
      <w:r>
        <w:rPr>
          <w:rFonts w:hint="eastAsia" w:ascii="宋体" w:hAnsi="宋体" w:eastAsia="宋体" w:cs="宋体"/>
          <w:b/>
          <w:bCs/>
          <w:color w:val="auto"/>
          <w:sz w:val="30"/>
          <w:szCs w:val="30"/>
          <w:highlight w:val="none"/>
        </w:rPr>
        <w:t>资格</w:t>
      </w:r>
      <w:r>
        <w:rPr>
          <w:rFonts w:hint="eastAsia" w:ascii="宋体" w:hAnsi="宋体" w:eastAsia="宋体" w:cs="宋体"/>
          <w:b/>
          <w:bCs/>
          <w:color w:val="auto"/>
          <w:sz w:val="30"/>
          <w:szCs w:val="30"/>
          <w:highlight w:val="none"/>
          <w:lang w:eastAsia="zh-CN"/>
        </w:rPr>
        <w:t>性审查表</w:t>
      </w:r>
    </w:p>
    <w:tbl>
      <w:tblPr>
        <w:tblStyle w:val="29"/>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1726"/>
        <w:gridCol w:w="6634"/>
      </w:tblGrid>
      <w:tr w14:paraId="6A5A2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868" w:type="dxa"/>
            <w:gridSpan w:val="2"/>
            <w:vAlign w:val="center"/>
          </w:tcPr>
          <w:p w14:paraId="5662599C">
            <w:pPr>
              <w:autoSpaceDE w:val="0"/>
              <w:autoSpaceDN w:val="0"/>
              <w:adjustRightInd w:val="0"/>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6634" w:type="dxa"/>
            <w:vAlign w:val="center"/>
          </w:tcPr>
          <w:p w14:paraId="3383D975">
            <w:pPr>
              <w:autoSpaceDE w:val="0"/>
              <w:autoSpaceDN w:val="0"/>
              <w:adjustRightInd w:val="0"/>
              <w:snapToGrid w:val="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65A2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142" w:type="dxa"/>
            <w:vMerge w:val="restart"/>
            <w:vAlign w:val="center"/>
          </w:tcPr>
          <w:p w14:paraId="2D27AEA3">
            <w:pPr>
              <w:snapToGrid w:val="0"/>
              <w:spacing w:line="300" w:lineRule="exact"/>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资格性</w:t>
            </w:r>
            <w:r>
              <w:rPr>
                <w:rFonts w:hint="eastAsia" w:ascii="宋体" w:hAnsi="宋体" w:eastAsia="宋体" w:cs="宋体"/>
                <w:color w:val="auto"/>
                <w:sz w:val="24"/>
                <w:szCs w:val="24"/>
                <w:highlight w:val="none"/>
                <w:lang w:eastAsia="zh-CN"/>
              </w:rPr>
              <w:t>审查</w:t>
            </w:r>
            <w:r>
              <w:rPr>
                <w:rFonts w:hint="eastAsia" w:ascii="宋体" w:hAnsi="宋体" w:eastAsia="宋体" w:cs="宋体"/>
                <w:color w:val="auto"/>
                <w:sz w:val="24"/>
                <w:szCs w:val="24"/>
                <w:highlight w:val="none"/>
              </w:rPr>
              <w:t>标准</w:t>
            </w:r>
          </w:p>
        </w:tc>
        <w:tc>
          <w:tcPr>
            <w:tcW w:w="1726" w:type="dxa"/>
            <w:vAlign w:val="center"/>
          </w:tcPr>
          <w:p w14:paraId="7E93C30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6634" w:type="dxa"/>
            <w:vAlign w:val="center"/>
          </w:tcPr>
          <w:p w14:paraId="3E983E07">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提供具有独立承担民事责任的能力声明函和《营业执照》或《社会团体法人登记证书》或《事业单位法人证》或自然人的身份证明或其他类似法定凭证。</w:t>
            </w:r>
          </w:p>
        </w:tc>
      </w:tr>
      <w:tr w14:paraId="261E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jc w:val="center"/>
        </w:trPr>
        <w:tc>
          <w:tcPr>
            <w:tcW w:w="1142" w:type="dxa"/>
            <w:vMerge w:val="continue"/>
            <w:vAlign w:val="center"/>
          </w:tcPr>
          <w:p w14:paraId="45A9F2C5">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26B1A75A">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重大违法记录</w:t>
            </w:r>
            <w:r>
              <w:rPr>
                <w:rFonts w:hint="eastAsia" w:ascii="宋体" w:hAnsi="宋体" w:eastAsia="宋体" w:cs="宋体"/>
                <w:color w:val="auto"/>
                <w:sz w:val="24"/>
                <w:szCs w:val="24"/>
                <w:highlight w:val="none"/>
                <w:lang w:val="en-US" w:eastAsia="zh-CN"/>
              </w:rPr>
              <w:t>声明</w:t>
            </w:r>
          </w:p>
        </w:tc>
        <w:tc>
          <w:tcPr>
            <w:tcW w:w="6634" w:type="dxa"/>
            <w:vAlign w:val="center"/>
          </w:tcPr>
          <w:p w14:paraId="0124D93B">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提供参加政府采购活动前三年（</w:t>
            </w:r>
            <w:r>
              <w:rPr>
                <w:rFonts w:hint="eastAsia" w:ascii="宋体" w:hAnsi="宋体" w:eastAsia="宋体" w:cs="宋体"/>
                <w:color w:val="auto"/>
                <w:sz w:val="24"/>
                <w:szCs w:val="24"/>
                <w:highlight w:val="none"/>
                <w:lang w:val="en-US" w:eastAsia="zh-CN"/>
              </w:rPr>
              <w:t>2022</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lang w:val="en-US" w:eastAsia="zh-CN"/>
              </w:rPr>
              <w:t>2025年</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rPr>
              <w:t>）在经营活动中没有重大违法记录的承诺（重大违法记录是指供应商因违法经营受到刑事处罚或者责令停产停业、吊销许可证或者执照、较大数额罚款等行政处罚）。</w:t>
            </w:r>
            <w:r>
              <w:rPr>
                <w:rFonts w:hint="eastAsia" w:ascii="宋体" w:hAnsi="宋体" w:eastAsia="宋体" w:cs="宋体"/>
                <w:color w:val="auto"/>
                <w:sz w:val="24"/>
                <w:szCs w:val="24"/>
                <w:highlight w:val="none"/>
                <w:lang w:val="en-US" w:eastAsia="zh-CN"/>
              </w:rPr>
              <w:t>2022</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rPr>
              <w:t>后登记注册企业的声明时间为自工商注册登记之日起。</w:t>
            </w:r>
          </w:p>
        </w:tc>
      </w:tr>
      <w:tr w14:paraId="4D9AF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142" w:type="dxa"/>
            <w:vMerge w:val="continue"/>
            <w:vAlign w:val="center"/>
          </w:tcPr>
          <w:p w14:paraId="75FCEED4">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04F4B04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具有履行合同和专业技术</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能力</w:t>
            </w:r>
          </w:p>
        </w:tc>
        <w:tc>
          <w:tcPr>
            <w:tcW w:w="6634" w:type="dxa"/>
            <w:vAlign w:val="center"/>
          </w:tcPr>
          <w:p w14:paraId="78F2A751">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提供具有履行合同所必需的设备和专业技术能力的声明函</w:t>
            </w:r>
            <w:r>
              <w:rPr>
                <w:rFonts w:hint="eastAsia" w:ascii="宋体" w:hAnsi="宋体" w:eastAsia="宋体" w:cs="宋体"/>
                <w:color w:val="auto"/>
                <w:sz w:val="24"/>
                <w:szCs w:val="24"/>
                <w:highlight w:val="none"/>
                <w:lang w:val="en-US" w:eastAsia="zh-CN"/>
              </w:rPr>
              <w:t>及证明材料（包含设备及人员清单）</w:t>
            </w:r>
            <w:r>
              <w:rPr>
                <w:rFonts w:hint="eastAsia" w:ascii="宋体" w:hAnsi="宋体" w:eastAsia="宋体" w:cs="宋体"/>
                <w:color w:val="auto"/>
                <w:sz w:val="24"/>
                <w:szCs w:val="24"/>
                <w:highlight w:val="none"/>
              </w:rPr>
              <w:t>。</w:t>
            </w:r>
          </w:p>
        </w:tc>
      </w:tr>
      <w:tr w14:paraId="6F214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42" w:type="dxa"/>
            <w:vMerge w:val="continue"/>
            <w:vAlign w:val="center"/>
          </w:tcPr>
          <w:p w14:paraId="72BF9A52">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727DD48D">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财务要求</w:t>
            </w:r>
          </w:p>
        </w:tc>
        <w:tc>
          <w:tcPr>
            <w:tcW w:w="6634" w:type="dxa"/>
            <w:vAlign w:val="center"/>
          </w:tcPr>
          <w:p w14:paraId="005E524E">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具有良好的商业信誉和健全的财务会计制度，提供2023年度经审计的审计报告及财务报表（注：根据相关文件规定，企业法人、事业单位法人的会计制度各不相同，各会计制度中要求的财务报告的会计报表组成也不相同。因此，投标人根据其单位所属类别的会计制度规定提供完整的经审计的审计报告及财务报告即可，本项目对财务报告的组成报表不作具体要求），或者投标文件提交截止时间前三个月内基本开户银行出具的资信证明，或者财政部门认可专业担保机构出具的投标担保函（</w:t>
            </w:r>
            <w:r>
              <w:rPr>
                <w:rFonts w:hint="eastAsia" w:ascii="宋体" w:hAnsi="宋体" w:eastAsia="宋体" w:cs="宋体"/>
                <w:color w:val="auto"/>
                <w:sz w:val="24"/>
                <w:szCs w:val="24"/>
                <w:highlight w:val="none"/>
              </w:rPr>
              <w:t>若成立时间不足3个月的应作出说明</w:t>
            </w:r>
            <w:r>
              <w:rPr>
                <w:rFonts w:hint="eastAsia" w:ascii="宋体" w:hAnsi="宋体" w:eastAsia="宋体" w:cs="宋体"/>
                <w:color w:val="auto"/>
                <w:sz w:val="24"/>
                <w:szCs w:val="24"/>
                <w:highlight w:val="none"/>
                <w:lang w:eastAsia="zh-CN"/>
              </w:rPr>
              <w:t>）。</w:t>
            </w:r>
          </w:p>
        </w:tc>
      </w:tr>
      <w:tr w14:paraId="14F3B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142" w:type="dxa"/>
            <w:vMerge w:val="continue"/>
            <w:vAlign w:val="center"/>
          </w:tcPr>
          <w:p w14:paraId="0932E4CC">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36C5C6E6">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纳税证明要求</w:t>
            </w:r>
          </w:p>
        </w:tc>
        <w:tc>
          <w:tcPr>
            <w:tcW w:w="6634" w:type="dxa"/>
            <w:vAlign w:val="center"/>
          </w:tcPr>
          <w:p w14:paraId="0EC8FDDF">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提供参加政府采购活动前段时间（202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月至今连续</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个月）依法缴纳税收凭据（税收是指增值税或者营业税或者企业所得税），税务局税收通用缴款书或银行电子缴税(费)凭证或税务局出具纳税情况缴税的证明，如在参加政府采购活动前段时间（</w:t>
            </w:r>
            <w:r>
              <w:rPr>
                <w:rFonts w:hint="eastAsia" w:ascii="宋体" w:hAnsi="宋体" w:eastAsia="宋体" w:cs="宋体"/>
                <w:bCs/>
                <w:color w:val="auto"/>
                <w:sz w:val="24"/>
                <w:szCs w:val="24"/>
                <w:highlight w:val="none"/>
                <w:lang w:val="en-US" w:eastAsia="zh-CN"/>
              </w:rPr>
              <w:t>202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月至今）上税为零，提供该段时间税收为零的《增值税或者营业税或者企业所得税申报表》或者《增值税或者营业税或者企业所得税网上办税受理通知单》的复印件。依法免税的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，提供相应的免税文件证明资料（若为新成立的公司应作出说明）。</w:t>
            </w:r>
          </w:p>
        </w:tc>
      </w:tr>
      <w:tr w14:paraId="12E7C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142" w:type="dxa"/>
            <w:vMerge w:val="continue"/>
            <w:vAlign w:val="center"/>
          </w:tcPr>
          <w:p w14:paraId="317BE325">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079EAE3F">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社保证明要求</w:t>
            </w:r>
          </w:p>
        </w:tc>
        <w:tc>
          <w:tcPr>
            <w:tcW w:w="6634" w:type="dxa"/>
            <w:vAlign w:val="center"/>
          </w:tcPr>
          <w:p w14:paraId="671DE239">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提供缴费所属时间在（202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月至今连续</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个月）依法缴纳社会保障资金</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养老、医疗、工伤、失业</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凭据（社会保险缴纳清单或社会保障专用收据或社保管理部门出具的有效的缴款证明等）。依法不需要缴纳的，提供不需要缴纳社会保障资金文件证明资料的（若为新成立的公司应作出说明）</w:t>
            </w:r>
            <w:r>
              <w:rPr>
                <w:rFonts w:hint="eastAsia" w:ascii="宋体" w:hAnsi="宋体" w:eastAsia="宋体" w:cs="宋体"/>
                <w:bCs/>
                <w:color w:val="auto"/>
                <w:sz w:val="24"/>
                <w:szCs w:val="24"/>
                <w:highlight w:val="none"/>
                <w:lang w:eastAsia="zh-CN"/>
              </w:rPr>
              <w:t>。</w:t>
            </w:r>
          </w:p>
        </w:tc>
      </w:tr>
      <w:tr w14:paraId="3F2A3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42" w:type="dxa"/>
            <w:vMerge w:val="continue"/>
            <w:vAlign w:val="center"/>
          </w:tcPr>
          <w:p w14:paraId="4CEA4D8C">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514B4CF7">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企业</w:t>
            </w:r>
            <w:r>
              <w:rPr>
                <w:rFonts w:hint="eastAsia" w:ascii="宋体" w:hAnsi="宋体" w:eastAsia="宋体" w:cs="宋体"/>
                <w:bCs/>
                <w:color w:val="auto"/>
                <w:sz w:val="24"/>
                <w:szCs w:val="24"/>
                <w:highlight w:val="none"/>
                <w:lang w:eastAsia="zh-CN"/>
              </w:rPr>
              <w:t>资质</w:t>
            </w:r>
          </w:p>
        </w:tc>
        <w:tc>
          <w:tcPr>
            <w:tcW w:w="6634" w:type="dxa"/>
            <w:vAlign w:val="center"/>
          </w:tcPr>
          <w:p w14:paraId="1BD8453A">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提供有效的建筑工程施工总承包叁级及以上资质、有效的安全生产许可证扫描件。提供的扫描件须清晰可辨，否则视为未提供。</w:t>
            </w:r>
          </w:p>
        </w:tc>
      </w:tr>
      <w:tr w14:paraId="6030C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42" w:type="dxa"/>
            <w:vMerge w:val="continue"/>
            <w:vAlign w:val="center"/>
          </w:tcPr>
          <w:p w14:paraId="4938DBC8">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0766F6C8">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项目</w:t>
            </w:r>
            <w:r>
              <w:rPr>
                <w:rFonts w:hint="eastAsia" w:ascii="宋体" w:hAnsi="宋体" w:cs="宋体"/>
                <w:bCs/>
                <w:color w:val="auto"/>
                <w:sz w:val="24"/>
                <w:szCs w:val="24"/>
                <w:highlight w:val="none"/>
                <w:lang w:val="en-US" w:eastAsia="zh-CN"/>
              </w:rPr>
              <w:t>负责人</w:t>
            </w:r>
            <w:r>
              <w:rPr>
                <w:rFonts w:hint="eastAsia" w:ascii="宋体" w:hAnsi="宋体" w:eastAsia="宋体" w:cs="宋体"/>
                <w:bCs/>
                <w:color w:val="auto"/>
                <w:sz w:val="24"/>
                <w:szCs w:val="24"/>
                <w:highlight w:val="none"/>
                <w:lang w:val="en-US" w:eastAsia="zh-CN"/>
              </w:rPr>
              <w:t>资格</w:t>
            </w:r>
          </w:p>
        </w:tc>
        <w:tc>
          <w:tcPr>
            <w:tcW w:w="6634" w:type="dxa"/>
            <w:vAlign w:val="center"/>
          </w:tcPr>
          <w:p w14:paraId="2ED50869">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提供有效的建筑工程专业二级及以上注册建造师执业资格证书（不含临时）和有效的安全生产考核合格证书（B证）扫描件，且提供未担任其他在建工程的项目负责人、拟任项目负责人一经委派，不得擅自更换承诺书。提供的扫描件须清晰可辨，否则视为未提供。</w:t>
            </w:r>
          </w:p>
        </w:tc>
      </w:tr>
      <w:tr w14:paraId="47435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142" w:type="dxa"/>
            <w:vMerge w:val="continue"/>
            <w:vAlign w:val="center"/>
          </w:tcPr>
          <w:p w14:paraId="08F8DB1C">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6566005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中小企业</w:t>
            </w:r>
          </w:p>
        </w:tc>
        <w:tc>
          <w:tcPr>
            <w:tcW w:w="6634" w:type="dxa"/>
            <w:vAlign w:val="center"/>
          </w:tcPr>
          <w:p w14:paraId="1744EAAD">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提供中小企业声明函。</w:t>
            </w:r>
          </w:p>
        </w:tc>
      </w:tr>
      <w:tr w14:paraId="6C31B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42" w:type="dxa"/>
            <w:vMerge w:val="continue"/>
            <w:vAlign w:val="center"/>
          </w:tcPr>
          <w:p w14:paraId="53E5B1EC">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60E2CB5A">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法律、行政法规规定的其他条件</w:t>
            </w:r>
          </w:p>
        </w:tc>
        <w:tc>
          <w:tcPr>
            <w:tcW w:w="6634" w:type="dxa"/>
            <w:vAlign w:val="center"/>
          </w:tcPr>
          <w:p w14:paraId="38CA7AE7">
            <w:pPr>
              <w:keepNext w:val="0"/>
              <w:keepLines w:val="0"/>
              <w:pageBreakBefore w:val="0"/>
              <w:widowControl w:val="0"/>
              <w:kinsoku/>
              <w:wordWrap/>
              <w:overflowPunct/>
              <w:topLinePunct w:val="0"/>
              <w:autoSpaceDE/>
              <w:autoSpaceDN/>
              <w:bidi w:val="0"/>
              <w:adjustRightInd/>
              <w:spacing w:line="400" w:lineRule="exact"/>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提供书面声明</w:t>
            </w:r>
          </w:p>
        </w:tc>
      </w:tr>
      <w:tr w14:paraId="52F5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42" w:type="dxa"/>
            <w:vMerge w:val="continue"/>
            <w:vAlign w:val="center"/>
          </w:tcPr>
          <w:p w14:paraId="5AE6007F">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363B92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未被禁止参加政府采购活动的书面承诺</w:t>
            </w:r>
          </w:p>
        </w:tc>
        <w:tc>
          <w:tcPr>
            <w:tcW w:w="6634" w:type="dxa"/>
            <w:vAlign w:val="center"/>
          </w:tcPr>
          <w:p w14:paraId="2CFB6250">
            <w:pPr>
              <w:keepNext w:val="0"/>
              <w:keepLines w:val="0"/>
              <w:pageBreakBefore w:val="0"/>
              <w:widowControl w:val="0"/>
              <w:kinsoku/>
              <w:wordWrap/>
              <w:overflowPunct/>
              <w:topLinePunct w:val="0"/>
              <w:autoSpaceDE/>
              <w:autoSpaceDN/>
              <w:bidi w:val="0"/>
              <w:adjustRightInd/>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提供供应商未在被禁止参加政府采购活动的处罚期限内的书面承诺。</w:t>
            </w:r>
          </w:p>
        </w:tc>
      </w:tr>
      <w:tr w14:paraId="0D8B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42" w:type="dxa"/>
            <w:vMerge w:val="continue"/>
            <w:vAlign w:val="center"/>
          </w:tcPr>
          <w:p w14:paraId="4A67E090">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48386B7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rPr>
              <w:t>保证金</w:t>
            </w:r>
            <w:r>
              <w:rPr>
                <w:rFonts w:hint="eastAsia" w:ascii="宋体" w:hAnsi="宋体" w:eastAsia="宋体" w:cs="宋体"/>
                <w:bCs/>
                <w:color w:val="auto"/>
                <w:sz w:val="24"/>
                <w:szCs w:val="24"/>
                <w:highlight w:val="none"/>
                <w:lang w:val="en-US" w:eastAsia="zh-CN"/>
              </w:rPr>
              <w:t>缴纳</w:t>
            </w:r>
          </w:p>
        </w:tc>
        <w:tc>
          <w:tcPr>
            <w:tcW w:w="6634" w:type="dxa"/>
            <w:vAlign w:val="center"/>
          </w:tcPr>
          <w:p w14:paraId="1519FD3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w:t>
            </w:r>
            <w:r>
              <w:rPr>
                <w:rFonts w:hint="eastAsia" w:ascii="宋体" w:hAnsi="宋体" w:eastAsia="宋体" w:cs="宋体"/>
                <w:bCs/>
                <w:color w:val="auto"/>
                <w:sz w:val="24"/>
                <w:szCs w:val="24"/>
                <w:highlight w:val="none"/>
                <w:lang w:val="en-US" w:eastAsia="zh-CN"/>
              </w:rPr>
              <w:t>竞争性磋商文件</w:t>
            </w:r>
            <w:r>
              <w:rPr>
                <w:rFonts w:hint="eastAsia" w:ascii="宋体" w:hAnsi="宋体" w:eastAsia="宋体" w:cs="宋体"/>
                <w:bCs/>
                <w:color w:val="auto"/>
                <w:sz w:val="24"/>
                <w:szCs w:val="24"/>
                <w:highlight w:val="none"/>
              </w:rPr>
              <w:t>要求</w:t>
            </w:r>
            <w:r>
              <w:rPr>
                <w:rFonts w:hint="eastAsia" w:ascii="宋体" w:hAnsi="宋体" w:eastAsia="宋体" w:cs="宋体"/>
                <w:bCs/>
                <w:color w:val="auto"/>
                <w:sz w:val="24"/>
                <w:szCs w:val="24"/>
                <w:highlight w:val="none"/>
                <w:lang w:val="en-US" w:eastAsia="zh-CN"/>
              </w:rPr>
              <w:t>提供投标保证金凭据，符合竞争性磋商文件的规定</w:t>
            </w:r>
            <w:r>
              <w:rPr>
                <w:rFonts w:hint="eastAsia" w:ascii="宋体" w:hAnsi="宋体" w:eastAsia="宋体" w:cs="宋体"/>
                <w:bCs/>
                <w:color w:val="auto"/>
                <w:sz w:val="24"/>
                <w:szCs w:val="24"/>
                <w:highlight w:val="none"/>
              </w:rPr>
              <w:t>。</w:t>
            </w:r>
          </w:p>
        </w:tc>
      </w:tr>
      <w:tr w14:paraId="0BC95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42" w:type="dxa"/>
            <w:vMerge w:val="continue"/>
            <w:vAlign w:val="center"/>
          </w:tcPr>
          <w:p w14:paraId="4D8B43EB">
            <w:pPr>
              <w:snapToGrid w:val="0"/>
              <w:spacing w:line="300" w:lineRule="exact"/>
              <w:jc w:val="center"/>
              <w:rPr>
                <w:rFonts w:hint="eastAsia" w:ascii="宋体" w:hAnsi="宋体" w:eastAsia="宋体" w:cs="宋体"/>
                <w:color w:val="auto"/>
                <w:sz w:val="24"/>
                <w:szCs w:val="24"/>
                <w:highlight w:val="none"/>
              </w:rPr>
            </w:pPr>
          </w:p>
        </w:tc>
        <w:tc>
          <w:tcPr>
            <w:tcW w:w="1726" w:type="dxa"/>
            <w:vAlign w:val="center"/>
          </w:tcPr>
          <w:p w14:paraId="2A9589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实质性响应</w:t>
            </w:r>
          </w:p>
        </w:tc>
        <w:tc>
          <w:tcPr>
            <w:tcW w:w="6634" w:type="dxa"/>
            <w:vAlign w:val="center"/>
          </w:tcPr>
          <w:p w14:paraId="5AE1D1B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提供符合</w:t>
            </w:r>
            <w:r>
              <w:rPr>
                <w:rFonts w:hint="eastAsia" w:ascii="宋体" w:hAnsi="宋体" w:eastAsia="宋体" w:cs="宋体"/>
                <w:bCs/>
                <w:color w:val="auto"/>
                <w:sz w:val="24"/>
                <w:szCs w:val="24"/>
                <w:highlight w:val="none"/>
                <w:lang w:val="en-US" w:eastAsia="zh-CN"/>
              </w:rPr>
              <w:t>竞争性磋商文件</w:t>
            </w:r>
            <w:r>
              <w:rPr>
                <w:rFonts w:hint="eastAsia" w:ascii="宋体" w:hAnsi="宋体" w:eastAsia="宋体" w:cs="宋体"/>
                <w:bCs/>
                <w:color w:val="auto"/>
                <w:sz w:val="24"/>
                <w:szCs w:val="24"/>
                <w:highlight w:val="none"/>
              </w:rPr>
              <w:t>规定的相关承诺书</w:t>
            </w:r>
            <w:r>
              <w:rPr>
                <w:rFonts w:hint="eastAsia" w:ascii="宋体" w:hAnsi="宋体" w:eastAsia="宋体" w:cs="宋体"/>
                <w:bCs/>
                <w:color w:val="auto"/>
                <w:sz w:val="24"/>
                <w:szCs w:val="24"/>
                <w:highlight w:val="none"/>
                <w:lang w:val="en-US" w:eastAsia="zh-CN"/>
              </w:rPr>
              <w:t>。</w:t>
            </w:r>
          </w:p>
        </w:tc>
      </w:tr>
    </w:tbl>
    <w:p w14:paraId="693DEB66">
      <w:pPr>
        <w:pStyle w:val="40"/>
        <w:rPr>
          <w:rFonts w:hint="eastAsia" w:ascii="宋体" w:hAnsi="宋体" w:eastAsia="宋体" w:cs="宋体"/>
          <w:color w:val="auto"/>
          <w:highlight w:val="none"/>
        </w:rPr>
      </w:pPr>
    </w:p>
    <w:p w14:paraId="7940A57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2.1.2 符合性检查：竞争性磋商小组成员要认真审阅</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的响应文件，对响应文件中含义不明确、表述不一致或有明细文字和计算错误的内容做必要的澄清，通过符合性检查的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方可进行磋商。符合以下检查标准的，通过符合性检查：</w:t>
      </w:r>
    </w:p>
    <w:p w14:paraId="2F9EAA6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p>
    <w:p w14:paraId="0137DB1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p>
    <w:p w14:paraId="73A3605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p>
    <w:p w14:paraId="0AD6B82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p>
    <w:p w14:paraId="150187E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bCs/>
          <w:color w:val="auto"/>
          <w:sz w:val="28"/>
          <w:szCs w:val="28"/>
          <w:highlight w:val="none"/>
          <w:lang w:eastAsia="zh-CN"/>
        </w:rPr>
      </w:pPr>
    </w:p>
    <w:p w14:paraId="78ADB74B">
      <w:pPr>
        <w:pStyle w:val="40"/>
        <w:jc w:val="center"/>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符合性审查表</w:t>
      </w:r>
    </w:p>
    <w:tbl>
      <w:tblPr>
        <w:tblStyle w:val="29"/>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2341"/>
        <w:gridCol w:w="5743"/>
      </w:tblGrid>
      <w:tr w14:paraId="669A3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135" w:type="dxa"/>
            <w:vMerge w:val="restart"/>
            <w:vAlign w:val="center"/>
          </w:tcPr>
          <w:p w14:paraId="16F6E991">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color w:val="auto"/>
                <w:spacing w:val="-4"/>
                <w:sz w:val="24"/>
                <w:szCs w:val="24"/>
                <w:highlight w:val="none"/>
              </w:rPr>
              <w:t>符合性评审标准</w:t>
            </w:r>
          </w:p>
        </w:tc>
        <w:tc>
          <w:tcPr>
            <w:tcW w:w="2341" w:type="dxa"/>
            <w:vAlign w:val="center"/>
          </w:tcPr>
          <w:p w14:paraId="00A5E05B">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w:t>
            </w:r>
            <w:r>
              <w:rPr>
                <w:rFonts w:hint="eastAsia" w:ascii="宋体" w:hAnsi="宋体" w:eastAsia="宋体" w:cs="宋体"/>
                <w:bCs/>
                <w:color w:val="auto"/>
                <w:sz w:val="24"/>
                <w:szCs w:val="24"/>
                <w:highlight w:val="none"/>
                <w:lang w:eastAsia="zh-CN"/>
              </w:rPr>
              <w:t>身份</w:t>
            </w:r>
            <w:r>
              <w:rPr>
                <w:rFonts w:hint="eastAsia" w:ascii="宋体" w:hAnsi="宋体" w:eastAsia="宋体" w:cs="宋体"/>
                <w:bCs/>
                <w:color w:val="auto"/>
                <w:sz w:val="24"/>
                <w:szCs w:val="24"/>
                <w:highlight w:val="none"/>
              </w:rPr>
              <w:t>证明书</w:t>
            </w:r>
          </w:p>
        </w:tc>
        <w:tc>
          <w:tcPr>
            <w:tcW w:w="5743" w:type="dxa"/>
            <w:vAlign w:val="center"/>
          </w:tcPr>
          <w:p w14:paraId="7CA1F457">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给定格式及内容,并按要求盖章。</w:t>
            </w:r>
          </w:p>
        </w:tc>
      </w:tr>
      <w:tr w14:paraId="060E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135" w:type="dxa"/>
            <w:vMerge w:val="continue"/>
            <w:vAlign w:val="center"/>
          </w:tcPr>
          <w:p w14:paraId="46B354FF">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Merge w:val="restart"/>
            <w:vAlign w:val="center"/>
          </w:tcPr>
          <w:p w14:paraId="1C1DCB20">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法定代表人授权委托书</w:t>
            </w:r>
          </w:p>
        </w:tc>
        <w:tc>
          <w:tcPr>
            <w:tcW w:w="5743" w:type="dxa"/>
            <w:vAlign w:val="center"/>
          </w:tcPr>
          <w:p w14:paraId="11237D47">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有法定代表人及其委托代理人签字或盖章，并按要求盖章；符合</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 xml:space="preserve">给定格式及内容。 </w:t>
            </w:r>
          </w:p>
        </w:tc>
      </w:tr>
      <w:tr w14:paraId="48C53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135" w:type="dxa"/>
            <w:vMerge w:val="continue"/>
            <w:vAlign w:val="center"/>
          </w:tcPr>
          <w:p w14:paraId="69D88CDA">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Merge w:val="continue"/>
            <w:vAlign w:val="center"/>
          </w:tcPr>
          <w:p w14:paraId="5B4516C2">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5743" w:type="dxa"/>
            <w:vAlign w:val="center"/>
          </w:tcPr>
          <w:p w14:paraId="1BD7519F">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（包括评标过程中的澄清、说明或者补正）由法定代表人签署的，不审查该项。</w:t>
            </w:r>
          </w:p>
        </w:tc>
      </w:tr>
      <w:tr w14:paraId="6BCCA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135" w:type="dxa"/>
            <w:vMerge w:val="continue"/>
            <w:vAlign w:val="center"/>
          </w:tcPr>
          <w:p w14:paraId="13060BFA">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Align w:val="center"/>
          </w:tcPr>
          <w:p w14:paraId="25D3D1DF">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w:t>
            </w:r>
          </w:p>
        </w:tc>
        <w:tc>
          <w:tcPr>
            <w:tcW w:w="5743" w:type="dxa"/>
            <w:vAlign w:val="center"/>
          </w:tcPr>
          <w:p w14:paraId="24E7A21C">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完整且只有一个有效报价</w:t>
            </w:r>
            <w:r>
              <w:rPr>
                <w:rFonts w:hint="eastAsia" w:ascii="宋体" w:hAnsi="宋体" w:eastAsia="宋体" w:cs="宋体"/>
                <w:bCs/>
                <w:color w:val="auto"/>
                <w:sz w:val="24"/>
                <w:szCs w:val="24"/>
                <w:highlight w:val="none"/>
                <w:lang w:eastAsia="zh-CN"/>
              </w:rPr>
              <w:t>。</w:t>
            </w:r>
          </w:p>
        </w:tc>
      </w:tr>
      <w:tr w14:paraId="51460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135" w:type="dxa"/>
            <w:vMerge w:val="continue"/>
            <w:vAlign w:val="center"/>
          </w:tcPr>
          <w:p w14:paraId="579B5D57">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Align w:val="center"/>
          </w:tcPr>
          <w:p w14:paraId="0CBD33FF">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投标有效期</w:t>
            </w:r>
          </w:p>
        </w:tc>
        <w:tc>
          <w:tcPr>
            <w:tcW w:w="5743" w:type="dxa"/>
            <w:vAlign w:val="center"/>
          </w:tcPr>
          <w:p w14:paraId="3834F8C9">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符合第二章“</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须知”规定</w:t>
            </w:r>
            <w:r>
              <w:rPr>
                <w:rFonts w:hint="eastAsia" w:ascii="宋体" w:hAnsi="宋体" w:eastAsia="宋体" w:cs="宋体"/>
                <w:bCs/>
                <w:color w:val="auto"/>
                <w:sz w:val="24"/>
                <w:szCs w:val="24"/>
                <w:highlight w:val="none"/>
                <w:lang w:eastAsia="zh-CN"/>
              </w:rPr>
              <w:t>。</w:t>
            </w:r>
          </w:p>
        </w:tc>
      </w:tr>
      <w:tr w14:paraId="7B826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35" w:type="dxa"/>
            <w:vMerge w:val="continue"/>
            <w:vAlign w:val="center"/>
          </w:tcPr>
          <w:p w14:paraId="604F7116">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Align w:val="center"/>
          </w:tcPr>
          <w:p w14:paraId="6A114CE4">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内容、格式及签字盖章</w:t>
            </w:r>
          </w:p>
        </w:tc>
        <w:tc>
          <w:tcPr>
            <w:tcW w:w="5743" w:type="dxa"/>
            <w:vAlign w:val="center"/>
          </w:tcPr>
          <w:p w14:paraId="2368EA0C">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w:t>
            </w:r>
            <w:r>
              <w:rPr>
                <w:rFonts w:hint="eastAsia" w:ascii="宋体" w:hAnsi="宋体" w:eastAsia="宋体" w:cs="宋体"/>
                <w:bCs/>
                <w:color w:val="auto"/>
                <w:sz w:val="24"/>
                <w:szCs w:val="24"/>
                <w:highlight w:val="none"/>
                <w:lang w:eastAsia="zh-CN"/>
              </w:rPr>
              <w:t>竞争性磋商文件</w:t>
            </w:r>
            <w:r>
              <w:rPr>
                <w:rFonts w:hint="eastAsia" w:ascii="宋体" w:hAnsi="宋体" w:eastAsia="宋体" w:cs="宋体"/>
                <w:bCs/>
                <w:color w:val="auto"/>
                <w:sz w:val="24"/>
                <w:szCs w:val="24"/>
                <w:highlight w:val="none"/>
              </w:rPr>
              <w:t>要求的内容及规定的格式进行填写并按规定进行签字、盖章，未存在内容不全或者关键内容字迹模糊，无法辨认的。</w:t>
            </w:r>
          </w:p>
        </w:tc>
      </w:tr>
      <w:tr w14:paraId="0A0F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35" w:type="dxa"/>
            <w:vMerge w:val="continue"/>
            <w:vAlign w:val="center"/>
          </w:tcPr>
          <w:p w14:paraId="7ECEEF87">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
                <w:color w:val="auto"/>
                <w:sz w:val="24"/>
                <w:szCs w:val="24"/>
                <w:highlight w:val="none"/>
              </w:rPr>
            </w:pPr>
          </w:p>
        </w:tc>
        <w:tc>
          <w:tcPr>
            <w:tcW w:w="2341" w:type="dxa"/>
            <w:vAlign w:val="center"/>
          </w:tcPr>
          <w:p w14:paraId="18A472B5">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未出现的情形</w:t>
            </w:r>
          </w:p>
        </w:tc>
        <w:tc>
          <w:tcPr>
            <w:tcW w:w="5743" w:type="dxa"/>
            <w:vAlign w:val="center"/>
          </w:tcPr>
          <w:p w14:paraId="2CB2A0C2">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未出现其他实质性情形（</w:t>
            </w:r>
            <w:r>
              <w:rPr>
                <w:rFonts w:hint="eastAsia" w:ascii="宋体" w:hAnsi="宋体" w:eastAsia="宋体" w:cs="宋体"/>
                <w:bCs/>
                <w:color w:val="auto"/>
                <w:sz w:val="24"/>
                <w:szCs w:val="24"/>
                <w:highlight w:val="none"/>
                <w:lang w:eastAsia="zh-CN"/>
              </w:rPr>
              <w:t>竞争性磋商文件</w:t>
            </w:r>
            <w:r>
              <w:rPr>
                <w:rFonts w:hint="eastAsia" w:ascii="宋体" w:hAnsi="宋体" w:eastAsia="宋体" w:cs="宋体"/>
                <w:bCs/>
                <w:color w:val="auto"/>
                <w:sz w:val="24"/>
                <w:szCs w:val="24"/>
                <w:highlight w:val="none"/>
              </w:rPr>
              <w:t>第二章第</w:t>
            </w:r>
            <w:r>
              <w:rPr>
                <w:rFonts w:hint="eastAsia" w:ascii="宋体" w:hAnsi="宋体" w:eastAsia="宋体" w:cs="宋体"/>
                <w:bCs/>
                <w:color w:val="auto"/>
                <w:sz w:val="24"/>
                <w:szCs w:val="24"/>
                <w:highlight w:val="none"/>
                <w:lang w:val="en-US" w:eastAsia="zh-CN"/>
              </w:rPr>
              <w:t>5.2.5</w:t>
            </w:r>
            <w:r>
              <w:rPr>
                <w:rFonts w:hint="eastAsia" w:ascii="宋体" w:hAnsi="宋体" w:eastAsia="宋体" w:cs="宋体"/>
                <w:bCs/>
                <w:color w:val="auto"/>
                <w:sz w:val="24"/>
                <w:szCs w:val="24"/>
                <w:highlight w:val="none"/>
              </w:rPr>
              <w:t>条、第</w:t>
            </w:r>
            <w:r>
              <w:rPr>
                <w:rFonts w:hint="eastAsia" w:ascii="宋体" w:hAnsi="宋体" w:eastAsia="宋体" w:cs="宋体"/>
                <w:bCs/>
                <w:color w:val="auto"/>
                <w:sz w:val="24"/>
                <w:szCs w:val="24"/>
                <w:highlight w:val="none"/>
                <w:lang w:val="en-US" w:eastAsia="zh-CN"/>
              </w:rPr>
              <w:t>5.2.6</w:t>
            </w:r>
            <w:r>
              <w:rPr>
                <w:rFonts w:hint="eastAsia" w:ascii="宋体" w:hAnsi="宋体" w:eastAsia="宋体" w:cs="宋体"/>
                <w:bCs/>
                <w:color w:val="auto"/>
                <w:sz w:val="24"/>
                <w:szCs w:val="24"/>
                <w:highlight w:val="none"/>
              </w:rPr>
              <w:t>条）</w:t>
            </w:r>
            <w:r>
              <w:rPr>
                <w:rFonts w:hint="eastAsia" w:ascii="宋体" w:hAnsi="宋体" w:eastAsia="宋体" w:cs="宋体"/>
                <w:bCs/>
                <w:color w:val="auto"/>
                <w:sz w:val="24"/>
                <w:szCs w:val="24"/>
                <w:highlight w:val="none"/>
                <w:lang w:eastAsia="zh-CN"/>
              </w:rPr>
              <w:t>。</w:t>
            </w:r>
          </w:p>
        </w:tc>
      </w:tr>
    </w:tbl>
    <w:p w14:paraId="1D3F240D">
      <w:pPr>
        <w:pStyle w:val="40"/>
        <w:rPr>
          <w:rFonts w:hint="eastAsia" w:ascii="宋体" w:hAnsi="宋体" w:eastAsia="宋体" w:cs="宋体"/>
          <w:color w:val="auto"/>
          <w:highlight w:val="none"/>
        </w:rPr>
      </w:pPr>
    </w:p>
    <w:p w14:paraId="7EAF358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 磋商阶段</w:t>
      </w:r>
    </w:p>
    <w:p w14:paraId="619FFE9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2.2.1竞争性磋商小组所有成员集中与单一</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分别进行磋商，并给予所有参加磋商的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平等的磋商机会，才能进行磋商。</w:t>
      </w:r>
    </w:p>
    <w:p w14:paraId="08AAB92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竞争性磋商小组要求所有实质性响应</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通过初步评审</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在规定的时间内提交最后报价，以及对磋商过程中需补充的有关内容进行承诺，并在报价和承诺上签字（</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进行磋商的人员需为法定代表人或有权调整报价及承诺事项的委托代理人）。</w:t>
      </w:r>
    </w:p>
    <w:p w14:paraId="3451262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w:t>
      </w: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rPr>
        <w:t xml:space="preserve"> 在磋商过程中，竞争性磋商小组可以根据磋商文件和磋商情况实质性变动采购需求中的技术、服务要求以及合同草案条款，但不得变动竞争性磋商文件中的其他内容。实质性变动的内容，须经采购人代表确认。</w:t>
      </w:r>
    </w:p>
    <w:p w14:paraId="365BE50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rPr>
        <w:t xml:space="preserve"> 对竞争性磋商文件作出的实质性变动是竞争性磋商文件的有效组成部分，竞争性磋商小组应当及时以书面形式同时通知所有参加磋商的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w:t>
      </w:r>
    </w:p>
    <w:p w14:paraId="6B33FD5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应当按照竞争性磋商文件的变动情况和竞争性磋商小组的要求重新提交响应文件，并由其法定代表人或授权代理人签字或者盖公章。由授权代表签字的，应当附法定代表人授权书。</w:t>
      </w:r>
    </w:p>
    <w:p w14:paraId="3BCA5D0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 详细评审阶段</w:t>
      </w:r>
    </w:p>
    <w:p w14:paraId="1B0EBE7A">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2.3.1 本项目的评审方法为综合评分法，是指响应文件满足</w:t>
      </w:r>
      <w:r>
        <w:rPr>
          <w:rFonts w:hint="eastAsia" w:ascii="宋体" w:hAnsi="宋体" w:cs="宋体"/>
          <w:b/>
          <w:color w:val="auto"/>
          <w:sz w:val="24"/>
          <w:highlight w:val="none"/>
          <w:lang w:val="en-US" w:eastAsia="zh-CN"/>
        </w:rPr>
        <w:t>竞争性</w:t>
      </w:r>
      <w:r>
        <w:rPr>
          <w:rFonts w:hint="eastAsia" w:ascii="宋体" w:hAnsi="宋体" w:eastAsia="宋体" w:cs="宋体"/>
          <w:b/>
          <w:color w:val="auto"/>
          <w:sz w:val="24"/>
          <w:highlight w:val="none"/>
        </w:rPr>
        <w:t>磋商文件全部实质性要求且按评审因素的量化指标评审得分最高的</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为成交候选</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的评审方法。评审时，竞争性磋商小组各成员应当独立对每个有效响应的文件进行评价、打分，然后汇总每个</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每项评分因素的得分。</w:t>
      </w:r>
    </w:p>
    <w:p w14:paraId="7D12BC5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综合评分的满分为100分，其中报价部分为</w:t>
      </w:r>
      <w:r>
        <w:rPr>
          <w:rFonts w:hint="eastAsia" w:ascii="宋体" w:hAnsi="宋体" w:eastAsia="宋体" w:cs="宋体"/>
          <w:bCs/>
          <w:color w:val="auto"/>
          <w:sz w:val="24"/>
          <w:highlight w:val="none"/>
          <w:lang w:val="en-US" w:eastAsia="zh-CN"/>
        </w:rPr>
        <w:t>30</w:t>
      </w:r>
      <w:r>
        <w:rPr>
          <w:rFonts w:hint="eastAsia" w:ascii="宋体" w:hAnsi="宋体" w:eastAsia="宋体" w:cs="宋体"/>
          <w:bCs/>
          <w:color w:val="auto"/>
          <w:sz w:val="24"/>
          <w:highlight w:val="none"/>
        </w:rPr>
        <w:t>分，技术部分为</w:t>
      </w:r>
      <w:r>
        <w:rPr>
          <w:rFonts w:hint="eastAsia" w:ascii="宋体" w:hAnsi="宋体" w:cs="宋体"/>
          <w:bCs/>
          <w:color w:val="auto"/>
          <w:sz w:val="24"/>
          <w:highlight w:val="none"/>
          <w:lang w:val="en-US" w:eastAsia="zh-CN"/>
        </w:rPr>
        <w:t>62</w:t>
      </w:r>
      <w:r>
        <w:rPr>
          <w:rFonts w:hint="eastAsia" w:ascii="宋体" w:hAnsi="宋体" w:eastAsia="宋体" w:cs="宋体"/>
          <w:bCs/>
          <w:color w:val="auto"/>
          <w:sz w:val="24"/>
          <w:highlight w:val="none"/>
        </w:rPr>
        <w:t>分，商务部分为</w:t>
      </w:r>
      <w:r>
        <w:rPr>
          <w:rFonts w:hint="eastAsia" w:ascii="宋体" w:hAnsi="宋体" w:cs="宋体"/>
          <w:bCs/>
          <w:color w:val="auto"/>
          <w:sz w:val="24"/>
          <w:highlight w:val="none"/>
          <w:lang w:val="en-US" w:eastAsia="zh-CN"/>
        </w:rPr>
        <w:t>8</w:t>
      </w:r>
      <w:r>
        <w:rPr>
          <w:rFonts w:hint="eastAsia" w:ascii="宋体" w:hAnsi="宋体" w:eastAsia="宋体" w:cs="宋体"/>
          <w:bCs/>
          <w:color w:val="auto"/>
          <w:sz w:val="24"/>
          <w:highlight w:val="none"/>
        </w:rPr>
        <w:t>分，分值保留小数点后两位。</w:t>
      </w:r>
    </w:p>
    <w:p w14:paraId="1753F3E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2.3.2 评审标准</w:t>
      </w:r>
    </w:p>
    <w:p w14:paraId="4353EC4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（1）竞争性磋商小组对提交最后报价的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的响应文件和最后报价进行综合评分。</w:t>
      </w:r>
    </w:p>
    <w:p w14:paraId="5D39D7B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的技术部分和商务部分的得分为所有评委评分的算术平均值。</w:t>
      </w:r>
    </w:p>
    <w:p w14:paraId="274A8B1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最后得分为技术部分得分、商务部分得分及报价部分得分的总和。</w:t>
      </w:r>
    </w:p>
    <w:p w14:paraId="6832BB33">
      <w:pPr>
        <w:pStyle w:val="9"/>
        <w:spacing w:line="384" w:lineRule="auto"/>
        <w:ind w:firstLine="0"/>
        <w:rPr>
          <w:rFonts w:hint="eastAsia" w:ascii="宋体" w:hAnsi="宋体" w:eastAsia="宋体" w:cs="宋体"/>
          <w:b/>
          <w:bCs/>
          <w:color w:val="auto"/>
          <w:sz w:val="24"/>
          <w:szCs w:val="21"/>
          <w:highlight w:val="none"/>
        </w:rPr>
      </w:pPr>
    </w:p>
    <w:p w14:paraId="58EE4F01">
      <w:pPr>
        <w:pStyle w:val="9"/>
        <w:spacing w:line="384" w:lineRule="auto"/>
        <w:ind w:firstLine="0"/>
        <w:rPr>
          <w:rFonts w:hint="eastAsia" w:ascii="宋体" w:hAnsi="宋体" w:eastAsia="宋体" w:cs="宋体"/>
          <w:b/>
          <w:bCs/>
          <w:color w:val="auto"/>
          <w:sz w:val="24"/>
          <w:szCs w:val="21"/>
          <w:highlight w:val="none"/>
        </w:rPr>
      </w:pPr>
    </w:p>
    <w:p w14:paraId="4DB9149B">
      <w:pPr>
        <w:pStyle w:val="9"/>
        <w:spacing w:line="384" w:lineRule="auto"/>
        <w:ind w:firstLine="0"/>
        <w:rPr>
          <w:rFonts w:hint="eastAsia" w:ascii="宋体" w:hAnsi="宋体" w:eastAsia="宋体" w:cs="宋体"/>
          <w:b/>
          <w:bCs/>
          <w:color w:val="auto"/>
          <w:sz w:val="24"/>
          <w:szCs w:val="21"/>
          <w:highlight w:val="none"/>
        </w:rPr>
      </w:pPr>
    </w:p>
    <w:p w14:paraId="6C220F88">
      <w:pPr>
        <w:pStyle w:val="9"/>
        <w:spacing w:line="384" w:lineRule="auto"/>
        <w:ind w:firstLine="0"/>
        <w:rPr>
          <w:rFonts w:hint="eastAsia" w:ascii="宋体" w:hAnsi="宋体" w:eastAsia="宋体" w:cs="宋体"/>
          <w:b/>
          <w:bCs/>
          <w:color w:val="auto"/>
          <w:sz w:val="24"/>
          <w:szCs w:val="21"/>
          <w:highlight w:val="none"/>
        </w:rPr>
      </w:pPr>
    </w:p>
    <w:p w14:paraId="484749D6">
      <w:pPr>
        <w:pStyle w:val="9"/>
        <w:spacing w:line="384" w:lineRule="auto"/>
        <w:ind w:firstLine="0"/>
        <w:rPr>
          <w:rFonts w:hint="eastAsia" w:ascii="宋体" w:hAnsi="宋体" w:eastAsia="宋体" w:cs="宋体"/>
          <w:b/>
          <w:bCs/>
          <w:color w:val="auto"/>
          <w:sz w:val="24"/>
          <w:szCs w:val="21"/>
          <w:highlight w:val="none"/>
        </w:rPr>
      </w:pPr>
    </w:p>
    <w:p w14:paraId="752D06DB">
      <w:pPr>
        <w:pStyle w:val="9"/>
        <w:spacing w:line="384" w:lineRule="auto"/>
        <w:ind w:firstLine="0"/>
        <w:rPr>
          <w:rFonts w:hint="eastAsia" w:ascii="宋体" w:hAnsi="宋体" w:eastAsia="宋体" w:cs="宋体"/>
          <w:b/>
          <w:bCs/>
          <w:color w:val="auto"/>
          <w:sz w:val="24"/>
          <w:szCs w:val="21"/>
          <w:highlight w:val="none"/>
        </w:rPr>
      </w:pPr>
    </w:p>
    <w:p w14:paraId="17DE8A4E">
      <w:pPr>
        <w:pStyle w:val="9"/>
        <w:spacing w:line="384" w:lineRule="auto"/>
        <w:ind w:firstLine="0"/>
        <w:rPr>
          <w:rFonts w:hint="eastAsia" w:ascii="宋体" w:hAnsi="宋体" w:eastAsia="宋体" w:cs="宋体"/>
          <w:b/>
          <w:bCs/>
          <w:color w:val="auto"/>
          <w:sz w:val="24"/>
          <w:szCs w:val="21"/>
          <w:highlight w:val="none"/>
        </w:rPr>
      </w:pPr>
    </w:p>
    <w:p w14:paraId="619310EA">
      <w:pPr>
        <w:pStyle w:val="9"/>
        <w:spacing w:line="384" w:lineRule="auto"/>
        <w:ind w:firstLine="0"/>
        <w:rPr>
          <w:rFonts w:hint="eastAsia" w:ascii="宋体" w:hAnsi="宋体" w:eastAsia="宋体" w:cs="宋体"/>
          <w:b/>
          <w:bCs/>
          <w:color w:val="auto"/>
          <w:sz w:val="24"/>
          <w:szCs w:val="21"/>
          <w:highlight w:val="none"/>
        </w:rPr>
      </w:pPr>
    </w:p>
    <w:p w14:paraId="1E201F66">
      <w:pPr>
        <w:pStyle w:val="9"/>
        <w:spacing w:line="384" w:lineRule="auto"/>
        <w:ind w:firstLine="0"/>
        <w:rPr>
          <w:rFonts w:hint="eastAsia" w:ascii="宋体" w:hAnsi="宋体" w:eastAsia="宋体" w:cs="宋体"/>
          <w:b/>
          <w:bCs/>
          <w:color w:val="auto"/>
          <w:sz w:val="24"/>
          <w:szCs w:val="21"/>
          <w:highlight w:val="none"/>
        </w:rPr>
      </w:pPr>
    </w:p>
    <w:p w14:paraId="180229C1">
      <w:pPr>
        <w:pStyle w:val="9"/>
        <w:spacing w:line="384" w:lineRule="auto"/>
        <w:ind w:firstLine="0"/>
        <w:rPr>
          <w:rFonts w:hint="eastAsia" w:ascii="宋体" w:hAnsi="宋体" w:eastAsia="宋体" w:cs="宋体"/>
          <w:b/>
          <w:bCs/>
          <w:color w:val="auto"/>
          <w:sz w:val="24"/>
          <w:szCs w:val="21"/>
          <w:highlight w:val="none"/>
        </w:rPr>
      </w:pPr>
    </w:p>
    <w:p w14:paraId="3B2DB079">
      <w:pPr>
        <w:pStyle w:val="9"/>
        <w:spacing w:line="384" w:lineRule="auto"/>
        <w:ind w:firstLine="0"/>
        <w:rPr>
          <w:rFonts w:hint="eastAsia" w:ascii="宋体" w:hAnsi="宋体" w:eastAsia="宋体" w:cs="宋体"/>
          <w:b/>
          <w:bCs/>
          <w:color w:val="auto"/>
          <w:sz w:val="24"/>
          <w:szCs w:val="21"/>
          <w:highlight w:val="none"/>
        </w:rPr>
      </w:pPr>
    </w:p>
    <w:p w14:paraId="1F2B16EE">
      <w:pPr>
        <w:pStyle w:val="9"/>
        <w:spacing w:line="384" w:lineRule="auto"/>
        <w:ind w:firstLine="0"/>
        <w:rPr>
          <w:rFonts w:hint="eastAsia" w:ascii="宋体" w:hAnsi="宋体" w:eastAsia="宋体" w:cs="宋体"/>
          <w:b/>
          <w:bCs/>
          <w:color w:val="auto"/>
          <w:sz w:val="24"/>
          <w:szCs w:val="21"/>
          <w:highlight w:val="none"/>
        </w:rPr>
      </w:pPr>
    </w:p>
    <w:p w14:paraId="7732BD36">
      <w:pPr>
        <w:pStyle w:val="9"/>
        <w:spacing w:line="384" w:lineRule="auto"/>
        <w:ind w:firstLine="0"/>
        <w:rPr>
          <w:rFonts w:hint="eastAsia" w:ascii="宋体" w:hAnsi="宋体" w:eastAsia="宋体" w:cs="宋体"/>
          <w:b/>
          <w:bCs/>
          <w:color w:val="auto"/>
          <w:sz w:val="24"/>
          <w:szCs w:val="21"/>
          <w:highlight w:val="none"/>
        </w:rPr>
      </w:pPr>
    </w:p>
    <w:p w14:paraId="4B16D4BB">
      <w:pPr>
        <w:pStyle w:val="9"/>
        <w:spacing w:line="384" w:lineRule="auto"/>
        <w:ind w:firstLine="0"/>
        <w:rPr>
          <w:rFonts w:hint="eastAsia" w:ascii="宋体" w:hAnsi="宋体" w:eastAsia="宋体" w:cs="宋体"/>
          <w:b/>
          <w:bCs/>
          <w:color w:val="auto"/>
          <w:sz w:val="24"/>
          <w:szCs w:val="21"/>
          <w:highlight w:val="none"/>
        </w:rPr>
      </w:pPr>
    </w:p>
    <w:p w14:paraId="1398E71D">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0"/>
        <w:rPr>
          <w:rFonts w:hint="eastAsia" w:ascii="宋体" w:hAnsi="宋体" w:eastAsia="宋体" w:cs="宋体"/>
          <w:b/>
          <w:bCs w:val="0"/>
          <w:color w:val="auto"/>
          <w:sz w:val="32"/>
          <w:szCs w:val="32"/>
          <w:highlight w:val="none"/>
        </w:rPr>
      </w:pPr>
      <w:bookmarkStart w:id="290" w:name="_Toc5478"/>
      <w:bookmarkStart w:id="291" w:name="_Toc6963"/>
      <w:bookmarkStart w:id="292" w:name="_Toc4843"/>
      <w:bookmarkStart w:id="293" w:name="_Toc18684"/>
      <w:bookmarkStart w:id="294" w:name="_Toc22711"/>
      <w:bookmarkStart w:id="295" w:name="_Toc10059"/>
      <w:r>
        <w:rPr>
          <w:rFonts w:hint="eastAsia" w:ascii="宋体" w:hAnsi="宋体" w:eastAsia="宋体" w:cs="宋体"/>
          <w:b/>
          <w:bCs w:val="0"/>
          <w:color w:val="auto"/>
          <w:sz w:val="28"/>
          <w:szCs w:val="28"/>
          <w:highlight w:val="none"/>
        </w:rPr>
        <w:t>评分标准（满分100分）</w:t>
      </w:r>
      <w:bookmarkEnd w:id="290"/>
      <w:bookmarkEnd w:id="291"/>
      <w:bookmarkEnd w:id="292"/>
      <w:bookmarkEnd w:id="293"/>
      <w:bookmarkEnd w:id="294"/>
      <w:bookmarkEnd w:id="295"/>
    </w:p>
    <w:tbl>
      <w:tblPr>
        <w:tblStyle w:val="29"/>
        <w:tblW w:w="9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5"/>
        <w:gridCol w:w="1189"/>
        <w:gridCol w:w="7637"/>
      </w:tblGrid>
      <w:tr w14:paraId="60E1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exact"/>
          <w:jc w:val="center"/>
        </w:trPr>
        <w:tc>
          <w:tcPr>
            <w:tcW w:w="2304" w:type="dxa"/>
            <w:gridSpan w:val="2"/>
            <w:noWrap w:val="0"/>
            <w:vAlign w:val="center"/>
          </w:tcPr>
          <w:p w14:paraId="17DD3F4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评分因素</w:t>
            </w:r>
          </w:p>
        </w:tc>
        <w:tc>
          <w:tcPr>
            <w:tcW w:w="7637" w:type="dxa"/>
            <w:noWrap w:val="0"/>
            <w:vAlign w:val="center"/>
          </w:tcPr>
          <w:p w14:paraId="589C880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评分基准</w:t>
            </w:r>
          </w:p>
        </w:tc>
      </w:tr>
      <w:tr w14:paraId="77616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exact"/>
          <w:jc w:val="center"/>
        </w:trPr>
        <w:tc>
          <w:tcPr>
            <w:tcW w:w="1115" w:type="dxa"/>
            <w:vMerge w:val="restart"/>
            <w:noWrap w:val="0"/>
            <w:vAlign w:val="center"/>
          </w:tcPr>
          <w:p w14:paraId="7C84682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报价部分评分</w:t>
            </w:r>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rPr>
              <w:t>分</w:t>
            </w:r>
          </w:p>
        </w:tc>
        <w:tc>
          <w:tcPr>
            <w:tcW w:w="1189" w:type="dxa"/>
            <w:vMerge w:val="restart"/>
            <w:noWrap w:val="0"/>
            <w:vAlign w:val="center"/>
          </w:tcPr>
          <w:p w14:paraId="616BD18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报价分</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rPr>
              <w:t>分)</w:t>
            </w:r>
          </w:p>
        </w:tc>
        <w:tc>
          <w:tcPr>
            <w:tcW w:w="7637" w:type="dxa"/>
            <w:noWrap w:val="0"/>
            <w:vAlign w:val="center"/>
          </w:tcPr>
          <w:p w14:paraId="050AB18E">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报价评分统一按照下列公式计算：</w:t>
            </w:r>
          </w:p>
          <w:p w14:paraId="7D99C903">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color w:val="auto"/>
                <w:sz w:val="24"/>
                <w:szCs w:val="24"/>
                <w:highlight w:val="none"/>
              </w:rPr>
              <w:t>投标报价得分=（评标基准价/投标报价）×</w:t>
            </w:r>
            <w:r>
              <w:rPr>
                <w:rFonts w:hint="eastAsia" w:ascii="宋体" w:hAnsi="宋体" w:eastAsia="宋体" w:cs="宋体"/>
                <w:bCs/>
                <w:color w:val="auto"/>
                <w:sz w:val="24"/>
                <w:szCs w:val="24"/>
                <w:highlight w:val="none"/>
                <w:lang w:val="en-US" w:eastAsia="zh-CN"/>
              </w:rPr>
              <w:t>30</w:t>
            </w:r>
          </w:p>
        </w:tc>
      </w:tr>
      <w:tr w14:paraId="5387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4" w:hRule="exact"/>
          <w:jc w:val="center"/>
        </w:trPr>
        <w:tc>
          <w:tcPr>
            <w:tcW w:w="1115" w:type="dxa"/>
            <w:vMerge w:val="continue"/>
            <w:noWrap w:val="0"/>
            <w:vAlign w:val="center"/>
          </w:tcPr>
          <w:p w14:paraId="009C187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1189" w:type="dxa"/>
            <w:vMerge w:val="continue"/>
            <w:noWrap w:val="0"/>
            <w:vAlign w:val="center"/>
          </w:tcPr>
          <w:p w14:paraId="16F21CF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7637" w:type="dxa"/>
            <w:noWrap w:val="0"/>
            <w:vAlign w:val="center"/>
          </w:tcPr>
          <w:p w14:paraId="039A42C2">
            <w:pPr>
              <w:keepNext w:val="0"/>
              <w:keepLines w:val="0"/>
              <w:pageBreakBefore w:val="0"/>
              <w:widowControl w:val="0"/>
              <w:shd w:val="clear" w:color="auto" w:fill="auto"/>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评标基准价：满足</w:t>
            </w:r>
            <w:r>
              <w:rPr>
                <w:rFonts w:hint="eastAsia" w:ascii="宋体" w:hAnsi="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文件要求且投标</w:t>
            </w:r>
            <w:r>
              <w:rPr>
                <w:rFonts w:hint="eastAsia" w:ascii="宋体" w:hAnsi="宋体" w:cs="宋体"/>
                <w:color w:val="auto"/>
                <w:sz w:val="24"/>
                <w:szCs w:val="24"/>
                <w:highlight w:val="none"/>
                <w:lang w:val="en-US" w:eastAsia="zh-CN"/>
              </w:rPr>
              <w:t>报价</w:t>
            </w:r>
            <w:r>
              <w:rPr>
                <w:rFonts w:hint="eastAsia" w:ascii="宋体" w:hAnsi="宋体" w:eastAsia="宋体" w:cs="宋体"/>
                <w:color w:val="auto"/>
                <w:sz w:val="24"/>
                <w:szCs w:val="24"/>
                <w:highlight w:val="none"/>
              </w:rPr>
              <w:t>最低的为评标基准价，其报价为满分</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注：1、</w:t>
            </w:r>
            <w:r>
              <w:rPr>
                <w:rFonts w:hint="eastAsia" w:ascii="宋体" w:hAnsi="宋体" w:eastAsia="宋体" w:cs="宋体"/>
                <w:color w:val="auto"/>
                <w:sz w:val="24"/>
                <w:szCs w:val="24"/>
                <w:highlight w:val="none"/>
                <w:lang w:val="en-US" w:eastAsia="zh-CN"/>
              </w:rPr>
              <w:t>本项目专门针对中小企业采购，不在享受优惠政策</w:t>
            </w:r>
            <w:r>
              <w:rPr>
                <w:rFonts w:hint="eastAsia" w:ascii="宋体" w:hAnsi="宋体" w:eastAsia="宋体" w:cs="宋体"/>
                <w:color w:val="auto"/>
                <w:sz w:val="24"/>
                <w:szCs w:val="24"/>
                <w:highlight w:val="none"/>
                <w:lang w:eastAsia="zh-CN"/>
              </w:rPr>
              <w:t>。</w:t>
            </w:r>
          </w:p>
          <w:p w14:paraId="1D4826BB">
            <w:pPr>
              <w:keepNext w:val="0"/>
              <w:keepLines w:val="0"/>
              <w:pageBreakBefore w:val="0"/>
              <w:widowControl w:val="0"/>
              <w:shd w:val="clear" w:color="auto" w:fill="auto"/>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2、残疾人福利性单位、监狱企业视同小型、微型企业。</w:t>
            </w:r>
          </w:p>
          <w:p w14:paraId="0AB3724D">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依据财政部87号令第六十条</w:t>
            </w:r>
            <w:r>
              <w:rPr>
                <w:rFonts w:hint="eastAsia" w:ascii="宋体" w:hAnsi="宋体" w:cs="宋体"/>
                <w:color w:val="auto"/>
                <w:sz w:val="24"/>
                <w:szCs w:val="24"/>
                <w:highlight w:val="none"/>
                <w:lang w:val="en-US" w:eastAsia="zh-CN"/>
              </w:rPr>
              <w:t>竞争性磋商小组</w:t>
            </w:r>
            <w:r>
              <w:rPr>
                <w:rFonts w:hint="eastAsia" w:ascii="宋体" w:hAnsi="宋体" w:eastAsia="宋体" w:cs="宋体"/>
                <w:color w:val="auto"/>
                <w:sz w:val="24"/>
                <w:szCs w:val="24"/>
                <w:highlight w:val="none"/>
              </w:rPr>
              <w:t>认为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的报价明显低于其他通过符合性审查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的报价，有可能影响服务质量或者不能诚信履约的，应当要求其在评标现场合理的时间内提供书面说明，必要时提交相关证明材料；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不能证明其报价合理性的，</w:t>
            </w:r>
            <w:r>
              <w:rPr>
                <w:rFonts w:hint="eastAsia" w:ascii="宋体" w:hAnsi="宋体" w:cs="宋体"/>
                <w:color w:val="auto"/>
                <w:sz w:val="24"/>
                <w:szCs w:val="24"/>
                <w:highlight w:val="none"/>
                <w:lang w:val="en-US" w:eastAsia="zh-CN"/>
              </w:rPr>
              <w:t>竞争性磋商小组</w:t>
            </w:r>
            <w:r>
              <w:rPr>
                <w:rFonts w:hint="eastAsia" w:ascii="宋体" w:hAnsi="宋体" w:eastAsia="宋体" w:cs="宋体"/>
                <w:color w:val="auto"/>
                <w:sz w:val="24"/>
                <w:szCs w:val="24"/>
                <w:highlight w:val="none"/>
              </w:rPr>
              <w:t>应当将其作为无效投标处理。</w:t>
            </w:r>
          </w:p>
          <w:p w14:paraId="1DF3B212">
            <w:pPr>
              <w:pStyle w:val="2"/>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p>
          <w:p w14:paraId="2D1752A4">
            <w:pPr>
              <w:pStyle w:val="2"/>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p>
        </w:tc>
      </w:tr>
      <w:tr w14:paraId="78D0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2" w:hRule="exact"/>
          <w:jc w:val="center"/>
        </w:trPr>
        <w:tc>
          <w:tcPr>
            <w:tcW w:w="1115" w:type="dxa"/>
            <w:vMerge w:val="restart"/>
            <w:noWrap w:val="0"/>
            <w:vAlign w:val="center"/>
          </w:tcPr>
          <w:p w14:paraId="4BFF111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技术部分评分</w:t>
            </w:r>
            <w:r>
              <w:rPr>
                <w:rFonts w:hint="eastAsia" w:ascii="宋体" w:hAnsi="宋体" w:cs="宋体"/>
                <w:b w:val="0"/>
                <w:bCs w:val="0"/>
                <w:color w:val="auto"/>
                <w:sz w:val="24"/>
                <w:szCs w:val="24"/>
                <w:highlight w:val="none"/>
                <w:lang w:val="en-US" w:eastAsia="zh-CN"/>
              </w:rPr>
              <w:t>62</w:t>
            </w:r>
            <w:r>
              <w:rPr>
                <w:rFonts w:hint="eastAsia" w:ascii="宋体" w:hAnsi="宋体" w:eastAsia="宋体" w:cs="宋体"/>
                <w:b w:val="0"/>
                <w:bCs w:val="0"/>
                <w:color w:val="auto"/>
                <w:sz w:val="24"/>
                <w:szCs w:val="24"/>
                <w:highlight w:val="none"/>
              </w:rPr>
              <w:t>分</w:t>
            </w:r>
          </w:p>
        </w:tc>
        <w:tc>
          <w:tcPr>
            <w:tcW w:w="1189" w:type="dxa"/>
            <w:noWrap w:val="0"/>
            <w:vAlign w:val="center"/>
          </w:tcPr>
          <w:p w14:paraId="0200FBE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对项目的理解、重难点分析及合理化建议</w:t>
            </w:r>
          </w:p>
          <w:p w14:paraId="33742E5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（9分）</w:t>
            </w:r>
          </w:p>
        </w:tc>
        <w:tc>
          <w:tcPr>
            <w:tcW w:w="7637" w:type="dxa"/>
            <w:noWrap w:val="0"/>
            <w:vAlign w:val="center"/>
          </w:tcPr>
          <w:p w14:paraId="4B44F00D">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1.对项目的关键技术、工艺有较明确、深入的表述，对施工重点、难点、经济、安全的解决方案和保证措施方案及合理化建议</w:t>
            </w:r>
            <w:r>
              <w:rPr>
                <w:rFonts w:hint="eastAsia" w:ascii="宋体" w:hAnsi="宋体" w:cs="宋体"/>
                <w:b w:val="0"/>
                <w:bCs w:val="0"/>
                <w:color w:val="auto"/>
                <w:sz w:val="24"/>
                <w:szCs w:val="24"/>
                <w:highlight w:val="none"/>
                <w:lang w:val="en-US" w:eastAsia="zh-CN"/>
              </w:rPr>
              <w:t>较为</w:t>
            </w:r>
            <w:r>
              <w:rPr>
                <w:rFonts w:hint="eastAsia" w:ascii="宋体" w:hAnsi="宋体" w:eastAsia="宋体" w:cs="宋体"/>
                <w:b w:val="0"/>
                <w:bCs w:val="0"/>
                <w:color w:val="auto"/>
                <w:sz w:val="24"/>
                <w:szCs w:val="24"/>
                <w:highlight w:val="none"/>
                <w:lang w:val="en-US" w:eastAsia="zh-CN"/>
              </w:rPr>
              <w:t>切实可行</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val="en-US" w:eastAsia="zh-CN"/>
              </w:rPr>
              <w:t>，得</w:t>
            </w:r>
            <w:r>
              <w:rPr>
                <w:rFonts w:hint="eastAsia" w:ascii="宋体"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en-US" w:eastAsia="zh-CN"/>
              </w:rPr>
              <w:t>分。</w:t>
            </w:r>
          </w:p>
          <w:p w14:paraId="34294010">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2.对项目的关键技术、工艺有表述，对施工重点、难点的解决方案和保证措施方案及合理化建议</w:t>
            </w:r>
            <w:r>
              <w:rPr>
                <w:rFonts w:hint="eastAsia" w:ascii="宋体" w:hAnsi="宋体" w:cs="宋体"/>
                <w:b w:val="0"/>
                <w:bCs w:val="0"/>
                <w:color w:val="auto"/>
                <w:sz w:val="24"/>
                <w:szCs w:val="24"/>
                <w:highlight w:val="none"/>
                <w:lang w:val="en-US" w:eastAsia="zh-CN"/>
              </w:rPr>
              <w:t>基本</w:t>
            </w:r>
            <w:r>
              <w:rPr>
                <w:rFonts w:hint="eastAsia" w:ascii="宋体" w:hAnsi="宋体" w:eastAsia="宋体" w:cs="宋体"/>
                <w:b w:val="0"/>
                <w:bCs w:val="0"/>
                <w:color w:val="auto"/>
                <w:sz w:val="24"/>
                <w:szCs w:val="24"/>
                <w:highlight w:val="none"/>
                <w:lang w:val="en-US" w:eastAsia="zh-CN"/>
              </w:rPr>
              <w:t>可行</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val="en-US" w:eastAsia="zh-CN"/>
              </w:rPr>
              <w:t>，得</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分。</w:t>
            </w:r>
          </w:p>
          <w:p w14:paraId="63FE5821">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3.对项目的关键技术、工艺的表述不够明确，对施工重点、难点的解决方案和保证措施方案及合理化建议</w:t>
            </w:r>
            <w:r>
              <w:rPr>
                <w:rFonts w:hint="eastAsia" w:ascii="宋体" w:hAnsi="宋体" w:cs="宋体"/>
                <w:b w:val="0"/>
                <w:bCs w:val="0"/>
                <w:color w:val="auto"/>
                <w:sz w:val="24"/>
                <w:szCs w:val="24"/>
                <w:highlight w:val="none"/>
                <w:lang w:val="en-US" w:eastAsia="zh-CN"/>
              </w:rPr>
              <w:t>部分存在缺陷的</w:t>
            </w:r>
            <w:r>
              <w:rPr>
                <w:rFonts w:hint="eastAsia" w:ascii="宋体" w:hAnsi="宋体" w:eastAsia="宋体" w:cs="宋体"/>
                <w:b w:val="0"/>
                <w:bCs w:val="0"/>
                <w:color w:val="auto"/>
                <w:sz w:val="24"/>
                <w:szCs w:val="24"/>
                <w:highlight w:val="none"/>
                <w:lang w:val="en-US" w:eastAsia="zh-CN"/>
              </w:rPr>
              <w:t>，得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分。</w:t>
            </w:r>
          </w:p>
          <w:p w14:paraId="23EA0A4A">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4.未提供对项目的理解、重难点分析及合理化建议，得0分。</w:t>
            </w:r>
          </w:p>
        </w:tc>
      </w:tr>
      <w:tr w14:paraId="19D8F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9" w:hRule="exact"/>
          <w:jc w:val="center"/>
        </w:trPr>
        <w:tc>
          <w:tcPr>
            <w:tcW w:w="1115" w:type="dxa"/>
            <w:vMerge w:val="continue"/>
            <w:noWrap w:val="0"/>
            <w:vAlign w:val="center"/>
          </w:tcPr>
          <w:p w14:paraId="6E22158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1189" w:type="dxa"/>
            <w:noWrap w:val="0"/>
            <w:vAlign w:val="center"/>
          </w:tcPr>
          <w:p w14:paraId="5B05C48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施工技术方案</w:t>
            </w:r>
          </w:p>
          <w:p w14:paraId="4274CAC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（12分）</w:t>
            </w:r>
          </w:p>
        </w:tc>
        <w:tc>
          <w:tcPr>
            <w:tcW w:w="7637" w:type="dxa"/>
            <w:noWrap w:val="0"/>
            <w:vAlign w:val="center"/>
          </w:tcPr>
          <w:p w14:paraId="1EFC1801">
            <w:pPr>
              <w:keepNext w:val="0"/>
              <w:keepLines w:val="0"/>
              <w:pageBreakBefore w:val="0"/>
              <w:widowControl w:val="0"/>
              <w:numPr>
                <w:ilvl w:val="0"/>
                <w:numId w:val="7"/>
              </w:numPr>
              <w:kinsoku/>
              <w:wordWrap/>
              <w:overflowPunct/>
              <w:topLinePunct w:val="0"/>
              <w:autoSpaceDE/>
              <w:autoSpaceDN/>
              <w:bidi w:val="0"/>
              <w:adjustRightInd/>
              <w:snapToGrid/>
              <w:spacing w:line="42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施工技术方案、施工程序及施工大纲表述较清晰、完整且能指导施工，施工措施具体且有针对性，施工部署全面；针对该施工方案有详细的描述,重点突出，针对性强，能满足本项目需求的，得12分。</w:t>
            </w:r>
          </w:p>
          <w:p w14:paraId="2275952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2.有详细、合理的施工技术方案，内容全面，施工技术措施及保障措施合理，能基本满足施工的质量、进度和关键点的，得9分。</w:t>
            </w:r>
          </w:p>
          <w:p w14:paraId="1F7465F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3.施工技术方案、施工程序及施工大纲合理，施工措施、施工部署基本合理的，得6分。</w:t>
            </w:r>
          </w:p>
          <w:p w14:paraId="75F0CD1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4.施工技术方案、施工程序及施工大纲基本合理，但对施工缺乏指导性，施工措施、施工部署基本合理但存在一些问题的，得3分。</w:t>
            </w:r>
          </w:p>
          <w:p w14:paraId="49DAD73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5.未提供施工技术方案的，得0分。</w:t>
            </w:r>
          </w:p>
        </w:tc>
      </w:tr>
      <w:tr w14:paraId="63B96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15" w:type="dxa"/>
            <w:vMerge w:val="continue"/>
            <w:noWrap w:val="0"/>
            <w:vAlign w:val="center"/>
          </w:tcPr>
          <w:p w14:paraId="2057EDE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1189" w:type="dxa"/>
            <w:noWrap w:val="0"/>
            <w:vAlign w:val="center"/>
          </w:tcPr>
          <w:p w14:paraId="0909EEDB">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质量保证措施及承诺 (</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c>
          <w:tcPr>
            <w:tcW w:w="7637" w:type="dxa"/>
            <w:noWrap w:val="0"/>
            <w:vAlign w:val="center"/>
          </w:tcPr>
          <w:p w14:paraId="4D64CD0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质量保证措施及承诺详实完整，保证措施</w:t>
            </w:r>
            <w:r>
              <w:rPr>
                <w:rFonts w:hint="eastAsia" w:ascii="宋体" w:hAnsi="宋体" w:cs="宋体"/>
                <w:color w:val="auto"/>
                <w:sz w:val="24"/>
                <w:szCs w:val="24"/>
                <w:highlight w:val="none"/>
                <w:lang w:val="en-US" w:eastAsia="zh-CN"/>
              </w:rPr>
              <w:t>较为</w:t>
            </w:r>
            <w:r>
              <w:rPr>
                <w:rFonts w:hint="eastAsia" w:ascii="宋体" w:hAnsi="宋体" w:eastAsia="宋体" w:cs="宋体"/>
                <w:color w:val="auto"/>
                <w:sz w:val="24"/>
                <w:szCs w:val="24"/>
                <w:highlight w:val="none"/>
              </w:rPr>
              <w:t>合理、可行，有具体的违约责任承诺且违约处罚措施明确合理的</w:t>
            </w:r>
            <w:r>
              <w:rPr>
                <w:rFonts w:hint="eastAsia" w:ascii="宋体" w:hAnsi="宋体" w:eastAsia="宋体" w:cs="宋体"/>
                <w:color w:val="auto"/>
                <w:sz w:val="24"/>
                <w:szCs w:val="24"/>
                <w:highlight w:val="none"/>
                <w:lang w:eastAsia="zh-CN"/>
              </w:rPr>
              <w:t>，得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 xml:space="preserve"> </w:t>
            </w:r>
          </w:p>
          <w:p w14:paraId="47854FE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质量保证措施及承诺基本完整，保证措施基本合理，有违约责任承诺的</w:t>
            </w:r>
            <w:r>
              <w:rPr>
                <w:rFonts w:hint="eastAsia" w:ascii="宋体" w:hAnsi="宋体" w:eastAsia="宋体" w:cs="宋体"/>
                <w:color w:val="auto"/>
                <w:sz w:val="24"/>
                <w:szCs w:val="24"/>
                <w:highlight w:val="none"/>
                <w:lang w:eastAsia="zh-CN"/>
              </w:rPr>
              <w:t>，得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p>
          <w:p w14:paraId="2052545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质量保证措施及承诺基本完整，保证措施基本合理，有违约责任承诺但未明确违约处罚措施的</w:t>
            </w:r>
            <w:r>
              <w:rPr>
                <w:rFonts w:hint="eastAsia" w:ascii="宋体" w:hAnsi="宋体" w:eastAsia="宋体" w:cs="宋体"/>
                <w:color w:val="auto"/>
                <w:sz w:val="24"/>
                <w:szCs w:val="24"/>
                <w:highlight w:val="none"/>
                <w:lang w:eastAsia="zh-CN"/>
              </w:rPr>
              <w:t>，得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p>
          <w:p w14:paraId="0269C1B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质量保证措施及承诺不完整或较简略，保证措施不合理或不可行，</w:t>
            </w:r>
            <w:r>
              <w:rPr>
                <w:rFonts w:hint="eastAsia" w:ascii="宋体" w:hAnsi="宋体" w:cs="宋体"/>
                <w:color w:val="auto"/>
                <w:sz w:val="24"/>
                <w:szCs w:val="24"/>
                <w:highlight w:val="none"/>
                <w:lang w:val="en-US" w:eastAsia="zh-CN"/>
              </w:rPr>
              <w:t>无</w:t>
            </w:r>
            <w:r>
              <w:rPr>
                <w:rFonts w:hint="eastAsia" w:ascii="宋体" w:hAnsi="宋体" w:eastAsia="宋体" w:cs="宋体"/>
                <w:color w:val="auto"/>
                <w:sz w:val="24"/>
                <w:szCs w:val="24"/>
                <w:highlight w:val="none"/>
              </w:rPr>
              <w:t>违约责任承诺的</w:t>
            </w:r>
            <w:r>
              <w:rPr>
                <w:rFonts w:hint="eastAsia" w:ascii="宋体" w:hAnsi="宋体" w:eastAsia="宋体" w:cs="宋体"/>
                <w:color w:val="auto"/>
                <w:sz w:val="24"/>
                <w:szCs w:val="24"/>
                <w:highlight w:val="none"/>
                <w:lang w:eastAsia="zh-CN"/>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p>
          <w:p w14:paraId="3BF4BC1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无质量保证措施及承诺的</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0分</w:t>
            </w:r>
            <w:r>
              <w:rPr>
                <w:rFonts w:hint="eastAsia" w:ascii="宋体" w:hAnsi="宋体" w:eastAsia="宋体" w:cs="宋体"/>
                <w:color w:val="auto"/>
                <w:sz w:val="24"/>
                <w:szCs w:val="24"/>
                <w:highlight w:val="none"/>
              </w:rPr>
              <w:t>。</w:t>
            </w:r>
          </w:p>
        </w:tc>
      </w:tr>
      <w:tr w14:paraId="1F12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jc w:val="center"/>
        </w:trPr>
        <w:tc>
          <w:tcPr>
            <w:tcW w:w="1115" w:type="dxa"/>
            <w:vMerge w:val="continue"/>
            <w:noWrap w:val="0"/>
            <w:vAlign w:val="center"/>
          </w:tcPr>
          <w:p w14:paraId="05E2BA9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1189" w:type="dxa"/>
            <w:noWrap w:val="0"/>
            <w:vAlign w:val="center"/>
          </w:tcPr>
          <w:p w14:paraId="72D71D3A">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环境保护安全管理体系与措施</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分）</w:t>
            </w:r>
          </w:p>
        </w:tc>
        <w:tc>
          <w:tcPr>
            <w:tcW w:w="7637" w:type="dxa"/>
            <w:noWrap w:val="0"/>
            <w:vAlign w:val="center"/>
          </w:tcPr>
          <w:p w14:paraId="7758B01A">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1.有较为具体、完整、可行的环境保护安全管理体系与措施，且较为合理、先进、针对性好的，得6分。</w:t>
            </w:r>
          </w:p>
          <w:p w14:paraId="352C8E72">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2.有环境保护安全管理体系与措施，但针对性一般、不太具体的，得4分。</w:t>
            </w:r>
          </w:p>
          <w:p w14:paraId="627CEA64">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3.有环境保护安全管理体系与措施，无针对性、可行性较差的，得2分。</w:t>
            </w:r>
          </w:p>
          <w:p w14:paraId="01925EAA">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4.未提供环境保护安全管理体系与措施的，得0分。</w:t>
            </w:r>
          </w:p>
        </w:tc>
      </w:tr>
      <w:tr w14:paraId="3104A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jc w:val="center"/>
        </w:trPr>
        <w:tc>
          <w:tcPr>
            <w:tcW w:w="1115" w:type="dxa"/>
            <w:vMerge w:val="continue"/>
            <w:noWrap w:val="0"/>
            <w:vAlign w:val="center"/>
          </w:tcPr>
          <w:p w14:paraId="0A4AADB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1189" w:type="dxa"/>
            <w:noWrap w:val="0"/>
            <w:vAlign w:val="center"/>
          </w:tcPr>
          <w:p w14:paraId="130D89C8">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工程进度计划与保证措施</w:t>
            </w:r>
          </w:p>
          <w:p w14:paraId="64EDF494">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分）</w:t>
            </w:r>
          </w:p>
        </w:tc>
        <w:tc>
          <w:tcPr>
            <w:tcW w:w="7637" w:type="dxa"/>
            <w:noWrap w:val="0"/>
            <w:vAlign w:val="center"/>
          </w:tcPr>
          <w:p w14:paraId="6DF955CE">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1.工期满足竞争性磋商文件要求，施工进度计划内容较全面，且有具体的违约责任承诺的，得9分。</w:t>
            </w:r>
          </w:p>
          <w:p w14:paraId="7A9F88E0">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2.工期满足竞争性磋商文件要求，施工进度计划内容合理，措施基本可行，有违约责任承诺的，得6分。</w:t>
            </w:r>
          </w:p>
          <w:p w14:paraId="385946FE">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3.工期满足竞争性磋商文件要求，施工进度计划内容不够全面，奖罚条件和施工进度计划有缺陷，保证措施一般的，得3分。</w:t>
            </w:r>
          </w:p>
          <w:p w14:paraId="72F79C1A">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4.未提供工程进度计划与保证措施的，得0分。</w:t>
            </w:r>
          </w:p>
        </w:tc>
      </w:tr>
      <w:tr w14:paraId="48C09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1115" w:type="dxa"/>
            <w:vMerge w:val="continue"/>
            <w:noWrap w:val="0"/>
            <w:vAlign w:val="center"/>
          </w:tcPr>
          <w:p w14:paraId="36AEDB1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1189" w:type="dxa"/>
            <w:noWrap w:val="0"/>
            <w:vAlign w:val="center"/>
          </w:tcPr>
          <w:p w14:paraId="7187154C">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yellow"/>
                <w:lang w:val="zh-CN"/>
              </w:rPr>
            </w:pPr>
            <w:r>
              <w:rPr>
                <w:rFonts w:hint="eastAsia" w:ascii="宋体" w:hAnsi="宋体" w:eastAsia="宋体" w:cs="宋体"/>
                <w:color w:val="auto"/>
                <w:sz w:val="24"/>
                <w:szCs w:val="24"/>
                <w:highlight w:val="yellow"/>
                <w:lang w:val="zh-CN"/>
              </w:rPr>
              <w:t>资源配备计划</w:t>
            </w:r>
          </w:p>
          <w:p w14:paraId="2A8CFA97">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yellow"/>
                <w:lang w:val="zh-CN"/>
              </w:rPr>
            </w:pPr>
            <w:r>
              <w:rPr>
                <w:rFonts w:hint="eastAsia" w:ascii="宋体" w:hAnsi="宋体" w:eastAsia="宋体" w:cs="宋体"/>
                <w:color w:val="auto"/>
                <w:sz w:val="24"/>
                <w:szCs w:val="24"/>
                <w:highlight w:val="yellow"/>
                <w:lang w:val="zh-CN" w:eastAsia="zh-CN"/>
              </w:rPr>
              <w:t>（</w:t>
            </w:r>
            <w:r>
              <w:rPr>
                <w:rFonts w:hint="eastAsia" w:ascii="宋体" w:hAnsi="宋体" w:cs="宋体"/>
                <w:color w:val="auto"/>
                <w:sz w:val="24"/>
                <w:szCs w:val="24"/>
                <w:highlight w:val="yellow"/>
                <w:lang w:val="en-US" w:eastAsia="zh-CN"/>
              </w:rPr>
              <w:t>8</w:t>
            </w:r>
            <w:r>
              <w:rPr>
                <w:rFonts w:hint="eastAsia" w:ascii="宋体" w:hAnsi="宋体" w:eastAsia="宋体" w:cs="宋体"/>
                <w:color w:val="auto"/>
                <w:sz w:val="24"/>
                <w:szCs w:val="24"/>
                <w:highlight w:val="yellow"/>
                <w:lang w:val="zh-CN" w:eastAsia="zh-CN"/>
              </w:rPr>
              <w:t>分）</w:t>
            </w:r>
          </w:p>
        </w:tc>
        <w:tc>
          <w:tcPr>
            <w:tcW w:w="7637" w:type="dxa"/>
            <w:noWrap w:val="0"/>
            <w:vAlign w:val="center"/>
          </w:tcPr>
          <w:p w14:paraId="12613472">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1.劳动力计划、施工</w:t>
            </w:r>
            <w:r>
              <w:rPr>
                <w:rFonts w:hint="eastAsia" w:ascii="宋体" w:hAnsi="宋体" w:cs="宋体"/>
                <w:color w:val="auto"/>
                <w:sz w:val="24"/>
                <w:szCs w:val="24"/>
                <w:highlight w:val="yellow"/>
                <w:lang w:val="en-US" w:eastAsia="zh-CN"/>
              </w:rPr>
              <w:t>机械</w:t>
            </w:r>
            <w:r>
              <w:rPr>
                <w:rFonts w:hint="eastAsia" w:ascii="宋体" w:hAnsi="宋体" w:eastAsia="宋体" w:cs="宋体"/>
                <w:color w:val="auto"/>
                <w:sz w:val="24"/>
                <w:szCs w:val="24"/>
                <w:highlight w:val="yellow"/>
                <w:lang w:val="en-US" w:eastAsia="zh-CN"/>
              </w:rPr>
              <w:t>计划、主要材料计划等资源投入计划与施工部署、施工方法及进度计划呼应，</w:t>
            </w:r>
            <w:r>
              <w:rPr>
                <w:rFonts w:hint="eastAsia" w:ascii="宋体" w:hAnsi="宋体" w:cs="宋体"/>
                <w:color w:val="auto"/>
                <w:sz w:val="24"/>
                <w:szCs w:val="24"/>
                <w:highlight w:val="yellow"/>
                <w:lang w:val="en-US" w:eastAsia="zh-CN"/>
              </w:rPr>
              <w:t>能较</w:t>
            </w:r>
            <w:r>
              <w:rPr>
                <w:rFonts w:hint="eastAsia" w:ascii="宋体" w:hAnsi="宋体" w:eastAsia="宋体" w:cs="宋体"/>
                <w:color w:val="auto"/>
                <w:sz w:val="24"/>
                <w:szCs w:val="24"/>
                <w:highlight w:val="yellow"/>
                <w:lang w:val="en-US" w:eastAsia="zh-CN"/>
              </w:rPr>
              <w:t>好的满足施工需要</w:t>
            </w:r>
            <w:r>
              <w:rPr>
                <w:rFonts w:hint="eastAsia" w:ascii="宋体" w:hAnsi="宋体" w:cs="宋体"/>
                <w:color w:val="auto"/>
                <w:sz w:val="24"/>
                <w:szCs w:val="24"/>
                <w:highlight w:val="yellow"/>
                <w:lang w:val="en-US" w:eastAsia="zh-CN"/>
              </w:rPr>
              <w:t>，</w:t>
            </w:r>
            <w:r>
              <w:rPr>
                <w:rFonts w:hint="eastAsia" w:ascii="宋体" w:hAnsi="宋体" w:eastAsia="宋体" w:cs="宋体"/>
                <w:color w:val="auto"/>
                <w:sz w:val="24"/>
                <w:szCs w:val="24"/>
                <w:highlight w:val="yellow"/>
                <w:lang w:val="en-US" w:eastAsia="zh-CN"/>
              </w:rPr>
              <w:t>调配投入计划</w:t>
            </w:r>
            <w:r>
              <w:rPr>
                <w:rFonts w:hint="eastAsia" w:ascii="宋体" w:hAnsi="宋体" w:cs="宋体"/>
                <w:color w:val="auto"/>
                <w:sz w:val="24"/>
                <w:szCs w:val="24"/>
                <w:highlight w:val="yellow"/>
                <w:lang w:val="en-US" w:eastAsia="zh-CN"/>
              </w:rPr>
              <w:t>较为</w:t>
            </w:r>
            <w:r>
              <w:rPr>
                <w:rFonts w:hint="eastAsia" w:ascii="宋体" w:hAnsi="宋体" w:eastAsia="宋体" w:cs="宋体"/>
                <w:color w:val="auto"/>
                <w:sz w:val="24"/>
                <w:szCs w:val="24"/>
                <w:highlight w:val="yellow"/>
                <w:lang w:val="en-US" w:eastAsia="zh-CN"/>
              </w:rPr>
              <w:t>合理、准确全面</w:t>
            </w:r>
            <w:r>
              <w:rPr>
                <w:rFonts w:hint="eastAsia" w:ascii="宋体" w:hAnsi="宋体" w:cs="宋体"/>
                <w:color w:val="auto"/>
                <w:sz w:val="24"/>
                <w:szCs w:val="24"/>
                <w:highlight w:val="yellow"/>
                <w:lang w:val="en-US" w:eastAsia="zh-CN"/>
              </w:rPr>
              <w:t>的</w:t>
            </w:r>
            <w:r>
              <w:rPr>
                <w:rFonts w:hint="eastAsia" w:ascii="宋体" w:hAnsi="宋体" w:eastAsia="宋体" w:cs="宋体"/>
                <w:color w:val="auto"/>
                <w:sz w:val="24"/>
                <w:szCs w:val="24"/>
                <w:highlight w:val="yellow"/>
                <w:lang w:val="en-US" w:eastAsia="zh-CN"/>
              </w:rPr>
              <w:t>，得</w:t>
            </w:r>
            <w:r>
              <w:rPr>
                <w:rFonts w:hint="eastAsia" w:ascii="宋体" w:hAnsi="宋体" w:cs="宋体"/>
                <w:color w:val="auto"/>
                <w:sz w:val="24"/>
                <w:szCs w:val="24"/>
                <w:highlight w:val="yellow"/>
                <w:lang w:val="en-US" w:eastAsia="zh-CN"/>
              </w:rPr>
              <w:t>8</w:t>
            </w:r>
            <w:r>
              <w:rPr>
                <w:rFonts w:hint="eastAsia" w:ascii="宋体" w:hAnsi="宋体" w:eastAsia="宋体" w:cs="宋体"/>
                <w:color w:val="auto"/>
                <w:sz w:val="24"/>
                <w:szCs w:val="24"/>
                <w:highlight w:val="yellow"/>
                <w:lang w:val="en-US" w:eastAsia="zh-CN"/>
              </w:rPr>
              <w:t>分。</w:t>
            </w:r>
          </w:p>
          <w:p w14:paraId="04D722FC">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2.劳动力计划、施工</w:t>
            </w:r>
            <w:r>
              <w:rPr>
                <w:rFonts w:hint="eastAsia" w:ascii="宋体" w:hAnsi="宋体" w:cs="宋体"/>
                <w:color w:val="auto"/>
                <w:sz w:val="24"/>
                <w:szCs w:val="24"/>
                <w:highlight w:val="yellow"/>
                <w:lang w:val="en-US" w:eastAsia="zh-CN"/>
              </w:rPr>
              <w:t>机械</w:t>
            </w:r>
            <w:r>
              <w:rPr>
                <w:rFonts w:hint="eastAsia" w:ascii="宋体" w:hAnsi="宋体" w:eastAsia="宋体" w:cs="宋体"/>
                <w:color w:val="auto"/>
                <w:sz w:val="24"/>
                <w:szCs w:val="24"/>
                <w:highlight w:val="yellow"/>
                <w:lang w:val="en-US" w:eastAsia="zh-CN"/>
              </w:rPr>
              <w:t>计划、主要材料</w:t>
            </w:r>
            <w:r>
              <w:rPr>
                <w:rFonts w:hint="eastAsia" w:ascii="宋体" w:hAnsi="宋体" w:cs="宋体"/>
                <w:color w:val="auto"/>
                <w:sz w:val="24"/>
                <w:szCs w:val="24"/>
                <w:highlight w:val="yellow"/>
                <w:lang w:val="en-US" w:eastAsia="zh-CN"/>
              </w:rPr>
              <w:t>计划</w:t>
            </w:r>
            <w:r>
              <w:rPr>
                <w:rFonts w:hint="eastAsia" w:ascii="宋体" w:hAnsi="宋体" w:eastAsia="宋体" w:cs="宋体"/>
                <w:color w:val="auto"/>
                <w:sz w:val="24"/>
                <w:szCs w:val="24"/>
                <w:highlight w:val="yellow"/>
                <w:lang w:val="en-US" w:eastAsia="zh-CN"/>
              </w:rPr>
              <w:t>等资源投入计划与施工部署、施工方法及进度计划</w:t>
            </w:r>
            <w:r>
              <w:rPr>
                <w:rFonts w:hint="eastAsia" w:ascii="宋体" w:hAnsi="宋体" w:cs="宋体"/>
                <w:color w:val="auto"/>
                <w:sz w:val="24"/>
                <w:szCs w:val="24"/>
                <w:highlight w:val="yellow"/>
                <w:lang w:val="en-US" w:eastAsia="zh-CN"/>
              </w:rPr>
              <w:t>基本合理</w:t>
            </w:r>
            <w:r>
              <w:rPr>
                <w:rFonts w:hint="eastAsia" w:ascii="宋体" w:hAnsi="宋体" w:eastAsia="宋体" w:cs="宋体"/>
                <w:color w:val="auto"/>
                <w:sz w:val="24"/>
                <w:szCs w:val="24"/>
                <w:highlight w:val="yellow"/>
                <w:lang w:val="en-US" w:eastAsia="zh-CN"/>
              </w:rPr>
              <w:t>，</w:t>
            </w:r>
            <w:r>
              <w:rPr>
                <w:rFonts w:hint="eastAsia" w:ascii="宋体" w:hAnsi="宋体" w:cs="宋体"/>
                <w:color w:val="auto"/>
                <w:sz w:val="24"/>
                <w:szCs w:val="24"/>
                <w:highlight w:val="yellow"/>
                <w:lang w:val="en-US" w:eastAsia="zh-CN"/>
              </w:rPr>
              <w:t>能</w:t>
            </w:r>
            <w:r>
              <w:rPr>
                <w:rFonts w:hint="eastAsia" w:ascii="宋体" w:hAnsi="宋体" w:eastAsia="宋体" w:cs="宋体"/>
                <w:color w:val="auto"/>
                <w:sz w:val="24"/>
                <w:szCs w:val="24"/>
                <w:highlight w:val="yellow"/>
                <w:lang w:val="en-US" w:eastAsia="zh-CN"/>
              </w:rPr>
              <w:t>满足施工需要，调配投入计划</w:t>
            </w:r>
            <w:r>
              <w:rPr>
                <w:rFonts w:hint="eastAsia" w:ascii="宋体" w:hAnsi="宋体" w:cs="宋体"/>
                <w:color w:val="auto"/>
                <w:sz w:val="24"/>
                <w:szCs w:val="24"/>
                <w:highlight w:val="yellow"/>
                <w:lang w:val="en-US" w:eastAsia="zh-CN"/>
              </w:rPr>
              <w:t>基本</w:t>
            </w:r>
            <w:r>
              <w:rPr>
                <w:rFonts w:hint="eastAsia" w:ascii="宋体" w:hAnsi="宋体" w:eastAsia="宋体" w:cs="宋体"/>
                <w:color w:val="auto"/>
                <w:sz w:val="24"/>
                <w:szCs w:val="24"/>
                <w:highlight w:val="yellow"/>
                <w:lang w:val="en-US" w:eastAsia="zh-CN"/>
              </w:rPr>
              <w:t>合理</w:t>
            </w:r>
            <w:r>
              <w:rPr>
                <w:rFonts w:hint="eastAsia" w:ascii="宋体" w:hAnsi="宋体" w:cs="宋体"/>
                <w:color w:val="auto"/>
                <w:sz w:val="24"/>
                <w:szCs w:val="24"/>
                <w:highlight w:val="yellow"/>
                <w:lang w:val="en-US" w:eastAsia="zh-CN"/>
              </w:rPr>
              <w:t>的</w:t>
            </w:r>
            <w:r>
              <w:rPr>
                <w:rFonts w:hint="eastAsia" w:ascii="宋体" w:hAnsi="宋体" w:eastAsia="宋体" w:cs="宋体"/>
                <w:color w:val="auto"/>
                <w:sz w:val="24"/>
                <w:szCs w:val="24"/>
                <w:highlight w:val="yellow"/>
                <w:lang w:val="en-US" w:eastAsia="zh-CN"/>
              </w:rPr>
              <w:t>，得</w:t>
            </w:r>
            <w:r>
              <w:rPr>
                <w:rFonts w:hint="eastAsia" w:ascii="宋体" w:hAnsi="宋体" w:cs="宋体"/>
                <w:color w:val="auto"/>
                <w:sz w:val="24"/>
                <w:szCs w:val="24"/>
                <w:highlight w:val="yellow"/>
                <w:lang w:val="en-US" w:eastAsia="zh-CN"/>
              </w:rPr>
              <w:t>6</w:t>
            </w:r>
            <w:r>
              <w:rPr>
                <w:rFonts w:hint="eastAsia" w:ascii="宋体" w:hAnsi="宋体" w:eastAsia="宋体" w:cs="宋体"/>
                <w:color w:val="auto"/>
                <w:sz w:val="24"/>
                <w:szCs w:val="24"/>
                <w:highlight w:val="yellow"/>
                <w:lang w:val="en-US" w:eastAsia="zh-CN"/>
              </w:rPr>
              <w:t>分。</w:t>
            </w:r>
          </w:p>
          <w:p w14:paraId="1DB1E460">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3.劳动力计划、施工</w:t>
            </w:r>
            <w:r>
              <w:rPr>
                <w:rFonts w:hint="eastAsia" w:ascii="宋体" w:hAnsi="宋体" w:cs="宋体"/>
                <w:color w:val="auto"/>
                <w:sz w:val="24"/>
                <w:szCs w:val="24"/>
                <w:highlight w:val="yellow"/>
                <w:lang w:val="en-US" w:eastAsia="zh-CN"/>
              </w:rPr>
              <w:t>机械</w:t>
            </w:r>
            <w:r>
              <w:rPr>
                <w:rFonts w:hint="eastAsia" w:ascii="宋体" w:hAnsi="宋体" w:eastAsia="宋体" w:cs="宋体"/>
                <w:color w:val="auto"/>
                <w:sz w:val="24"/>
                <w:szCs w:val="24"/>
                <w:highlight w:val="yellow"/>
                <w:lang w:val="en-US" w:eastAsia="zh-CN"/>
              </w:rPr>
              <w:t>计划、主要材料</w:t>
            </w:r>
            <w:r>
              <w:rPr>
                <w:rFonts w:hint="eastAsia" w:ascii="宋体" w:hAnsi="宋体" w:cs="宋体"/>
                <w:color w:val="auto"/>
                <w:sz w:val="24"/>
                <w:szCs w:val="24"/>
                <w:highlight w:val="yellow"/>
                <w:lang w:val="en-US" w:eastAsia="zh-CN"/>
              </w:rPr>
              <w:t>计划等</w:t>
            </w:r>
            <w:r>
              <w:rPr>
                <w:rFonts w:hint="eastAsia" w:ascii="宋体" w:hAnsi="宋体" w:eastAsia="宋体" w:cs="宋体"/>
                <w:color w:val="auto"/>
                <w:sz w:val="24"/>
                <w:szCs w:val="24"/>
                <w:highlight w:val="yellow"/>
                <w:lang w:val="en-US" w:eastAsia="zh-CN"/>
              </w:rPr>
              <w:t>资源投入计划与施工部署、施工方法及进度计划</w:t>
            </w:r>
            <w:r>
              <w:rPr>
                <w:rFonts w:hint="eastAsia" w:ascii="宋体" w:hAnsi="宋体" w:cs="宋体"/>
                <w:color w:val="auto"/>
                <w:sz w:val="24"/>
                <w:szCs w:val="24"/>
                <w:highlight w:val="yellow"/>
                <w:lang w:val="en-US" w:eastAsia="zh-CN"/>
              </w:rPr>
              <w:t>存在部分不合理的</w:t>
            </w:r>
            <w:r>
              <w:rPr>
                <w:rFonts w:hint="eastAsia" w:ascii="宋体" w:hAnsi="宋体" w:eastAsia="宋体" w:cs="宋体"/>
                <w:color w:val="auto"/>
                <w:sz w:val="24"/>
                <w:szCs w:val="24"/>
                <w:highlight w:val="yellow"/>
                <w:lang w:val="en-US" w:eastAsia="zh-CN"/>
              </w:rPr>
              <w:t>，得</w:t>
            </w:r>
            <w:r>
              <w:rPr>
                <w:rFonts w:hint="eastAsia" w:ascii="宋体" w:hAnsi="宋体" w:cs="宋体"/>
                <w:color w:val="auto"/>
                <w:sz w:val="24"/>
                <w:szCs w:val="24"/>
                <w:highlight w:val="yellow"/>
                <w:lang w:val="en-US" w:eastAsia="zh-CN"/>
              </w:rPr>
              <w:t>3</w:t>
            </w:r>
            <w:r>
              <w:rPr>
                <w:rFonts w:hint="eastAsia" w:ascii="宋体" w:hAnsi="宋体" w:eastAsia="宋体" w:cs="宋体"/>
                <w:color w:val="auto"/>
                <w:sz w:val="24"/>
                <w:szCs w:val="24"/>
                <w:highlight w:val="yellow"/>
                <w:lang w:val="en-US" w:eastAsia="zh-CN"/>
              </w:rPr>
              <w:t>分。</w:t>
            </w:r>
          </w:p>
          <w:p w14:paraId="4AEEA512">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4.未提供</w:t>
            </w:r>
            <w:r>
              <w:rPr>
                <w:rFonts w:hint="eastAsia" w:ascii="宋体" w:hAnsi="宋体" w:cs="宋体"/>
                <w:color w:val="auto"/>
                <w:sz w:val="24"/>
                <w:szCs w:val="24"/>
                <w:highlight w:val="yellow"/>
                <w:lang w:val="en-US" w:eastAsia="zh-CN"/>
              </w:rPr>
              <w:t>的，</w:t>
            </w:r>
            <w:r>
              <w:rPr>
                <w:rFonts w:hint="eastAsia" w:ascii="宋体" w:hAnsi="宋体" w:eastAsia="宋体" w:cs="宋体"/>
                <w:color w:val="auto"/>
                <w:sz w:val="24"/>
                <w:szCs w:val="24"/>
                <w:highlight w:val="yellow"/>
                <w:lang w:val="en-US" w:eastAsia="zh-CN"/>
              </w:rPr>
              <w:t>得0分。</w:t>
            </w:r>
          </w:p>
        </w:tc>
      </w:tr>
      <w:tr w14:paraId="02131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jc w:val="center"/>
        </w:trPr>
        <w:tc>
          <w:tcPr>
            <w:tcW w:w="1115" w:type="dxa"/>
            <w:vMerge w:val="continue"/>
            <w:noWrap w:val="0"/>
            <w:vAlign w:val="center"/>
          </w:tcPr>
          <w:p w14:paraId="238D983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none"/>
              </w:rPr>
            </w:pPr>
          </w:p>
        </w:tc>
        <w:tc>
          <w:tcPr>
            <w:tcW w:w="1189" w:type="dxa"/>
            <w:noWrap w:val="0"/>
            <w:vAlign w:val="center"/>
          </w:tcPr>
          <w:p w14:paraId="558FDCE5">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项目管理机构配置</w:t>
            </w:r>
          </w:p>
          <w:p w14:paraId="74CA83E6">
            <w:pPr>
              <w:keepNext w:val="0"/>
              <w:keepLines w:val="0"/>
              <w:pageBreakBefore w:val="0"/>
              <w:widowControl w:val="0"/>
              <w:tabs>
                <w:tab w:val="center" w:pos="4153"/>
                <w:tab w:val="right" w:pos="8306"/>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分）</w:t>
            </w:r>
          </w:p>
        </w:tc>
        <w:tc>
          <w:tcPr>
            <w:tcW w:w="7637" w:type="dxa"/>
            <w:noWrap w:val="0"/>
            <w:vAlign w:val="center"/>
          </w:tcPr>
          <w:p w14:paraId="67CDE80F">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1.项目管理人员针对工程实际配置且合理，能满足工程管理需要且有针对性，项目主要管理人员持证上岗</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13EDFF2A">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2.项目管理人员配置合理，能满足工程管理需要，但专业配置针对性一般，项目主要管理人员持证上岗</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2A59A7F7">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3.项目管理人员配置基本满足工程管理需要，专业配置缺乏针对性，项目主要管理人员</w:t>
            </w:r>
            <w:r>
              <w:rPr>
                <w:rFonts w:hint="eastAsia" w:ascii="宋体" w:hAnsi="宋体" w:cs="宋体"/>
                <w:color w:val="auto"/>
                <w:sz w:val="24"/>
                <w:szCs w:val="24"/>
                <w:highlight w:val="none"/>
                <w:lang w:val="en-US" w:eastAsia="zh-CN"/>
              </w:rPr>
              <w:t>部分能</w:t>
            </w:r>
            <w:r>
              <w:rPr>
                <w:rFonts w:hint="eastAsia" w:ascii="宋体" w:hAnsi="宋体" w:eastAsia="宋体" w:cs="宋体"/>
                <w:color w:val="auto"/>
                <w:sz w:val="24"/>
                <w:szCs w:val="24"/>
                <w:highlight w:val="none"/>
                <w:lang w:val="en-US" w:eastAsia="zh-CN"/>
              </w:rPr>
              <w:t>持证上岗</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0F24F9C2">
            <w:pPr>
              <w:keepNext w:val="0"/>
              <w:keepLines w:val="0"/>
              <w:pageBreakBefore w:val="0"/>
              <w:widowControl w:val="0"/>
              <w:tabs>
                <w:tab w:val="center" w:pos="4153"/>
                <w:tab w:val="right" w:pos="8306"/>
              </w:tabs>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4.未提供项目管理机构配置，或对项目管理人员没有说明的，得0分。</w:t>
            </w:r>
          </w:p>
        </w:tc>
      </w:tr>
      <w:tr w14:paraId="29011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7" w:hRule="atLeast"/>
          <w:jc w:val="center"/>
        </w:trPr>
        <w:tc>
          <w:tcPr>
            <w:tcW w:w="1115" w:type="dxa"/>
            <w:noWrap w:val="0"/>
            <w:vAlign w:val="center"/>
          </w:tcPr>
          <w:p w14:paraId="7D4A86D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sz w:val="24"/>
                <w:szCs w:val="24"/>
                <w:highlight w:val="yellow"/>
                <w:lang w:eastAsia="zh-CN"/>
              </w:rPr>
            </w:pPr>
            <w:r>
              <w:rPr>
                <w:rFonts w:hint="eastAsia" w:ascii="宋体" w:hAnsi="宋体" w:eastAsia="宋体" w:cs="宋体"/>
                <w:b w:val="0"/>
                <w:bCs w:val="0"/>
                <w:color w:val="auto"/>
                <w:sz w:val="24"/>
                <w:szCs w:val="24"/>
                <w:highlight w:val="yellow"/>
                <w:lang w:eastAsia="zh-CN"/>
              </w:rPr>
              <w:t>商务部分评分</w:t>
            </w:r>
            <w:r>
              <w:rPr>
                <w:rFonts w:hint="eastAsia" w:ascii="宋体" w:hAnsi="宋体" w:cs="宋体"/>
                <w:b w:val="0"/>
                <w:bCs w:val="0"/>
                <w:color w:val="auto"/>
                <w:sz w:val="24"/>
                <w:szCs w:val="24"/>
                <w:highlight w:val="yellow"/>
                <w:lang w:val="en-US" w:eastAsia="zh-CN"/>
              </w:rPr>
              <w:t>8</w:t>
            </w:r>
            <w:r>
              <w:rPr>
                <w:rFonts w:hint="eastAsia" w:ascii="宋体" w:hAnsi="宋体" w:eastAsia="宋体" w:cs="宋体"/>
                <w:b w:val="0"/>
                <w:bCs w:val="0"/>
                <w:color w:val="auto"/>
                <w:sz w:val="24"/>
                <w:szCs w:val="24"/>
                <w:highlight w:val="yellow"/>
                <w:lang w:val="en-US" w:eastAsia="zh-CN"/>
              </w:rPr>
              <w:t>分</w:t>
            </w:r>
          </w:p>
        </w:tc>
        <w:tc>
          <w:tcPr>
            <w:tcW w:w="1189" w:type="dxa"/>
            <w:noWrap w:val="0"/>
            <w:vAlign w:val="center"/>
          </w:tcPr>
          <w:p w14:paraId="67F4AC34">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b w:val="0"/>
                <w:bCs/>
                <w:color w:val="auto"/>
                <w:sz w:val="24"/>
                <w:szCs w:val="24"/>
                <w:highlight w:val="yellow"/>
                <w:vertAlign w:val="baseline"/>
                <w:lang w:eastAsia="zh-CN"/>
              </w:rPr>
            </w:pPr>
            <w:r>
              <w:rPr>
                <w:rFonts w:hint="eastAsia" w:ascii="宋体" w:hAnsi="宋体" w:eastAsia="宋体" w:cs="宋体"/>
                <w:b w:val="0"/>
                <w:bCs/>
                <w:color w:val="auto"/>
                <w:sz w:val="24"/>
                <w:szCs w:val="24"/>
                <w:highlight w:val="yellow"/>
                <w:vertAlign w:val="baseline"/>
                <w:lang w:eastAsia="zh-CN"/>
              </w:rPr>
              <w:t>类似业绩</w:t>
            </w:r>
          </w:p>
          <w:p w14:paraId="18F4B08B">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yellow"/>
              </w:rPr>
            </w:pPr>
            <w:r>
              <w:rPr>
                <w:rFonts w:hint="eastAsia" w:ascii="宋体" w:hAnsi="宋体" w:eastAsia="宋体" w:cs="宋体"/>
                <w:b w:val="0"/>
                <w:bCs/>
                <w:color w:val="auto"/>
                <w:sz w:val="24"/>
                <w:szCs w:val="24"/>
                <w:highlight w:val="yellow"/>
                <w:vertAlign w:val="baseline"/>
                <w:lang w:eastAsia="zh-CN"/>
              </w:rPr>
              <w:t>（</w:t>
            </w:r>
            <w:r>
              <w:rPr>
                <w:rFonts w:hint="eastAsia" w:ascii="宋体" w:hAnsi="宋体" w:cs="宋体"/>
                <w:b w:val="0"/>
                <w:bCs/>
                <w:color w:val="auto"/>
                <w:sz w:val="24"/>
                <w:szCs w:val="24"/>
                <w:highlight w:val="yellow"/>
                <w:vertAlign w:val="baseline"/>
                <w:lang w:val="en-US" w:eastAsia="zh-CN"/>
              </w:rPr>
              <w:t>8</w:t>
            </w:r>
            <w:r>
              <w:rPr>
                <w:rFonts w:hint="eastAsia" w:ascii="宋体" w:hAnsi="宋体" w:eastAsia="宋体" w:cs="宋体"/>
                <w:b w:val="0"/>
                <w:bCs/>
                <w:color w:val="auto"/>
                <w:sz w:val="24"/>
                <w:szCs w:val="24"/>
                <w:highlight w:val="yellow"/>
                <w:vertAlign w:val="baseline"/>
                <w:lang w:eastAsia="zh-CN"/>
              </w:rPr>
              <w:t>分）</w:t>
            </w:r>
          </w:p>
        </w:tc>
        <w:tc>
          <w:tcPr>
            <w:tcW w:w="7637" w:type="dxa"/>
            <w:noWrap w:val="0"/>
            <w:vAlign w:val="center"/>
          </w:tcPr>
          <w:p w14:paraId="68F6692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Cs/>
                <w:color w:val="auto"/>
                <w:sz w:val="24"/>
                <w:szCs w:val="24"/>
                <w:highlight w:val="yellow"/>
              </w:rPr>
            </w:pPr>
            <w:r>
              <w:rPr>
                <w:rFonts w:hint="eastAsia" w:ascii="宋体" w:hAnsi="宋体" w:eastAsia="宋体" w:cs="宋体"/>
                <w:b w:val="0"/>
                <w:bCs/>
                <w:color w:val="auto"/>
                <w:sz w:val="24"/>
                <w:szCs w:val="24"/>
                <w:highlight w:val="yellow"/>
                <w:vertAlign w:val="baseline"/>
                <w:lang w:eastAsia="zh-CN"/>
              </w:rPr>
              <w:t>供应商</w:t>
            </w:r>
            <w:r>
              <w:rPr>
                <w:rFonts w:hint="eastAsia" w:ascii="宋体" w:hAnsi="宋体" w:cs="宋体"/>
                <w:b w:val="0"/>
                <w:bCs/>
                <w:color w:val="auto"/>
                <w:sz w:val="24"/>
                <w:szCs w:val="24"/>
                <w:highlight w:val="yellow"/>
                <w:vertAlign w:val="baseline"/>
                <w:lang w:val="en-US" w:eastAsia="zh-CN"/>
              </w:rPr>
              <w:t>2022</w:t>
            </w:r>
            <w:r>
              <w:rPr>
                <w:rFonts w:hint="eastAsia" w:ascii="宋体" w:hAnsi="宋体" w:eastAsia="宋体" w:cs="宋体"/>
                <w:b w:val="0"/>
                <w:bCs/>
                <w:color w:val="auto"/>
                <w:sz w:val="24"/>
                <w:szCs w:val="24"/>
                <w:highlight w:val="yellow"/>
                <w:vertAlign w:val="baseline"/>
                <w:lang w:eastAsia="zh-CN"/>
              </w:rPr>
              <w:t>年</w:t>
            </w:r>
            <w:r>
              <w:rPr>
                <w:rFonts w:hint="eastAsia" w:ascii="宋体" w:hAnsi="宋体" w:cs="宋体"/>
                <w:b w:val="0"/>
                <w:bCs/>
                <w:color w:val="auto"/>
                <w:sz w:val="24"/>
                <w:szCs w:val="24"/>
                <w:highlight w:val="yellow"/>
                <w:vertAlign w:val="baseline"/>
                <w:lang w:val="en-US" w:eastAsia="zh-CN"/>
              </w:rPr>
              <w:t>01</w:t>
            </w:r>
            <w:r>
              <w:rPr>
                <w:rFonts w:hint="eastAsia" w:ascii="宋体" w:hAnsi="宋体" w:eastAsia="宋体" w:cs="宋体"/>
                <w:b w:val="0"/>
                <w:bCs/>
                <w:color w:val="auto"/>
                <w:sz w:val="24"/>
                <w:szCs w:val="24"/>
                <w:highlight w:val="yellow"/>
                <w:vertAlign w:val="baseline"/>
                <w:lang w:val="en-US" w:eastAsia="zh-CN"/>
              </w:rPr>
              <w:t>月</w:t>
            </w:r>
            <w:r>
              <w:rPr>
                <w:rFonts w:hint="eastAsia" w:ascii="宋体" w:hAnsi="宋体" w:eastAsia="宋体" w:cs="宋体"/>
                <w:b w:val="0"/>
                <w:bCs/>
                <w:color w:val="auto"/>
                <w:sz w:val="24"/>
                <w:szCs w:val="24"/>
                <w:highlight w:val="yellow"/>
                <w:vertAlign w:val="baseline"/>
                <w:lang w:eastAsia="zh-CN"/>
              </w:rPr>
              <w:t>至</w:t>
            </w:r>
            <w:r>
              <w:rPr>
                <w:rFonts w:hint="eastAsia" w:ascii="宋体" w:hAnsi="宋体" w:eastAsia="宋体" w:cs="宋体"/>
                <w:b w:val="0"/>
                <w:bCs/>
                <w:color w:val="auto"/>
                <w:sz w:val="24"/>
                <w:szCs w:val="24"/>
                <w:highlight w:val="yellow"/>
                <w:vertAlign w:val="baseline"/>
                <w:lang w:val="en-US" w:eastAsia="zh-CN"/>
              </w:rPr>
              <w:t>今</w:t>
            </w:r>
            <w:r>
              <w:rPr>
                <w:rFonts w:hint="eastAsia" w:ascii="宋体" w:hAnsi="宋体" w:eastAsia="宋体" w:cs="宋体"/>
                <w:bCs/>
                <w:color w:val="auto"/>
                <w:sz w:val="24"/>
                <w:szCs w:val="24"/>
                <w:highlight w:val="yellow"/>
              </w:rPr>
              <w:t>（以合同签订时间为准）每完成过1个类似项目业绩</w:t>
            </w:r>
            <w:r>
              <w:rPr>
                <w:rFonts w:hint="eastAsia" w:ascii="宋体" w:hAnsi="宋体" w:cs="宋体"/>
                <w:bCs/>
                <w:color w:val="auto"/>
                <w:sz w:val="24"/>
                <w:szCs w:val="24"/>
                <w:highlight w:val="yellow"/>
                <w:lang w:eastAsia="zh-CN"/>
              </w:rPr>
              <w:t>的，</w:t>
            </w:r>
            <w:r>
              <w:rPr>
                <w:rFonts w:hint="eastAsia" w:ascii="宋体" w:hAnsi="宋体" w:eastAsia="宋体" w:cs="宋体"/>
                <w:bCs/>
                <w:color w:val="auto"/>
                <w:sz w:val="24"/>
                <w:szCs w:val="24"/>
                <w:highlight w:val="yellow"/>
              </w:rPr>
              <w:t>得</w:t>
            </w:r>
            <w:r>
              <w:rPr>
                <w:rFonts w:hint="eastAsia" w:ascii="宋体" w:hAnsi="宋体" w:cs="宋体"/>
                <w:bCs/>
                <w:color w:val="auto"/>
                <w:sz w:val="24"/>
                <w:szCs w:val="24"/>
                <w:highlight w:val="yellow"/>
                <w:lang w:val="en-US" w:eastAsia="zh-CN"/>
              </w:rPr>
              <w:t>4</w:t>
            </w:r>
            <w:r>
              <w:rPr>
                <w:rFonts w:hint="eastAsia" w:ascii="宋体" w:hAnsi="宋体" w:eastAsia="宋体" w:cs="宋体"/>
                <w:bCs/>
                <w:color w:val="auto"/>
                <w:sz w:val="24"/>
                <w:szCs w:val="24"/>
                <w:highlight w:val="yellow"/>
              </w:rPr>
              <w:t>分，满分</w:t>
            </w:r>
            <w:r>
              <w:rPr>
                <w:rFonts w:hint="eastAsia" w:ascii="宋体" w:hAnsi="宋体" w:cs="宋体"/>
                <w:bCs/>
                <w:color w:val="auto"/>
                <w:sz w:val="24"/>
                <w:szCs w:val="24"/>
                <w:highlight w:val="yellow"/>
                <w:lang w:val="en-US" w:eastAsia="zh-CN"/>
              </w:rPr>
              <w:t>8</w:t>
            </w:r>
            <w:r>
              <w:rPr>
                <w:rFonts w:hint="eastAsia" w:ascii="宋体" w:hAnsi="宋体" w:eastAsia="宋体" w:cs="宋体"/>
                <w:bCs/>
                <w:color w:val="auto"/>
                <w:sz w:val="24"/>
                <w:szCs w:val="24"/>
                <w:highlight w:val="yellow"/>
              </w:rPr>
              <w:t>分。</w:t>
            </w:r>
          </w:p>
          <w:p w14:paraId="016434F4">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yellow"/>
                <w:lang w:val="en-US"/>
              </w:rPr>
            </w:pPr>
            <w:r>
              <w:rPr>
                <w:rFonts w:hint="eastAsia" w:ascii="宋体" w:hAnsi="宋体" w:eastAsia="宋体" w:cs="宋体"/>
                <w:bCs/>
                <w:color w:val="auto"/>
                <w:sz w:val="24"/>
                <w:szCs w:val="24"/>
                <w:highlight w:val="yellow"/>
              </w:rPr>
              <w:t>注：以提供的类似项目业绩证明材料扫描件为评审依据(类似项目业绩证明材料指：合同或中标通知书)。提供的扫描件须清晰可辨，否则视为未提供。</w:t>
            </w:r>
          </w:p>
        </w:tc>
      </w:tr>
    </w:tbl>
    <w:p w14:paraId="2B840DF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竞争性磋商小组应当根据综合评分情况，按照评审得分由高到低顺序推荐3名成交候选</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，并编写评审报告。评审得分相同的，按照最后报价由低到高的顺序推荐。评审得分及最后报价相同的，按照技术指标优劣顺序推荐。</w:t>
      </w:r>
    </w:p>
    <w:p w14:paraId="65142AA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bCs/>
          <w:color w:val="auto"/>
          <w:sz w:val="24"/>
          <w:highlight w:val="none"/>
          <w:lang w:val="en-US" w:eastAsia="zh-CN"/>
        </w:rPr>
        <w:t>2.5</w:t>
      </w:r>
      <w:r>
        <w:rPr>
          <w:rFonts w:hint="eastAsia" w:ascii="宋体" w:hAnsi="宋体" w:eastAsia="宋体" w:cs="宋体"/>
          <w:bCs/>
          <w:color w:val="auto"/>
          <w:sz w:val="24"/>
          <w:highlight w:val="none"/>
        </w:rPr>
        <w:t>评审报告应当由磋商小组全体人员签字认可。磋商小组成员对评审报告有异议的，磋商小组按照少数服从多数的原则推荐成交候选</w:t>
      </w:r>
      <w:r>
        <w:rPr>
          <w:rFonts w:hint="eastAsia" w:ascii="宋体" w:hAnsi="宋体" w:eastAsia="宋体" w:cs="宋体"/>
          <w:bCs/>
          <w:color w:val="auto"/>
          <w:sz w:val="24"/>
          <w:highlight w:val="none"/>
          <w:lang w:eastAsia="zh-CN"/>
        </w:rPr>
        <w:t>竞标人</w:t>
      </w:r>
      <w:r>
        <w:rPr>
          <w:rFonts w:hint="eastAsia" w:ascii="宋体" w:hAnsi="宋体" w:eastAsia="宋体" w:cs="宋体"/>
          <w:bCs/>
          <w:color w:val="auto"/>
          <w:sz w:val="24"/>
          <w:highlight w:val="none"/>
        </w:rPr>
        <w:t>，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7585D93">
      <w:pPr>
        <w:rPr>
          <w:rFonts w:hint="eastAsia" w:ascii="宋体" w:hAnsi="宋体" w:eastAsia="宋体" w:cs="宋体"/>
          <w:color w:val="auto"/>
          <w:kern w:val="0"/>
          <w:sz w:val="24"/>
          <w:highlight w:val="none"/>
        </w:rPr>
      </w:pPr>
    </w:p>
    <w:p w14:paraId="6DB5F24A">
      <w:pPr>
        <w:pStyle w:val="26"/>
        <w:pageBreakBefore w:val="0"/>
        <w:wordWrap w:val="0"/>
        <w:overflowPunct/>
        <w:spacing w:before="0" w:beforeAutospacing="0" w:after="0" w:afterAutospacing="0" w:line="400" w:lineRule="exact"/>
        <w:jc w:val="center"/>
        <w:outlineLvl w:val="9"/>
        <w:rPr>
          <w:rFonts w:hint="eastAsia" w:ascii="宋体" w:hAnsi="宋体" w:eastAsia="宋体" w:cs="宋体"/>
          <w:b/>
          <w:bCs/>
          <w:color w:val="auto"/>
          <w:sz w:val="30"/>
          <w:szCs w:val="30"/>
          <w:highlight w:val="none"/>
        </w:rPr>
      </w:pPr>
      <w:bookmarkStart w:id="296" w:name="_Toc9735"/>
      <w:bookmarkStart w:id="297" w:name="_Toc26912"/>
      <w:bookmarkStart w:id="298" w:name="_Toc30815"/>
      <w:bookmarkStart w:id="299" w:name="_Toc13513"/>
    </w:p>
    <w:p w14:paraId="554214C7">
      <w:pPr>
        <w:pStyle w:val="26"/>
        <w:pageBreakBefore w:val="0"/>
        <w:wordWrap w:val="0"/>
        <w:overflowPunct/>
        <w:spacing w:before="0" w:beforeAutospacing="0" w:after="0" w:afterAutospacing="0" w:line="400" w:lineRule="exact"/>
        <w:jc w:val="center"/>
        <w:outlineLvl w:val="9"/>
        <w:rPr>
          <w:rFonts w:hint="eastAsia" w:ascii="宋体" w:hAnsi="宋体" w:eastAsia="宋体" w:cs="宋体"/>
          <w:b/>
          <w:bCs/>
          <w:color w:val="auto"/>
          <w:sz w:val="30"/>
          <w:szCs w:val="30"/>
          <w:highlight w:val="none"/>
        </w:rPr>
      </w:pPr>
    </w:p>
    <w:p w14:paraId="5A4ED749">
      <w:pPr>
        <w:pStyle w:val="26"/>
        <w:pageBreakBefore w:val="0"/>
        <w:wordWrap w:val="0"/>
        <w:overflowPunct/>
        <w:spacing w:before="0" w:beforeAutospacing="0" w:after="0" w:afterAutospacing="0" w:line="400" w:lineRule="exact"/>
        <w:jc w:val="center"/>
        <w:outlineLvl w:val="9"/>
        <w:rPr>
          <w:rFonts w:hint="eastAsia" w:ascii="宋体" w:hAnsi="宋体" w:eastAsia="宋体" w:cs="宋体"/>
          <w:b/>
          <w:bCs/>
          <w:color w:val="auto"/>
          <w:sz w:val="30"/>
          <w:szCs w:val="30"/>
          <w:highlight w:val="none"/>
        </w:rPr>
      </w:pPr>
    </w:p>
    <w:p w14:paraId="0668C632">
      <w:pPr>
        <w:pStyle w:val="26"/>
        <w:pageBreakBefore w:val="0"/>
        <w:wordWrap w:val="0"/>
        <w:overflowPunct/>
        <w:spacing w:before="0" w:beforeAutospacing="0" w:after="0" w:afterAutospacing="0" w:line="400" w:lineRule="exact"/>
        <w:jc w:val="center"/>
        <w:outlineLvl w:val="9"/>
        <w:rPr>
          <w:rFonts w:hint="eastAsia" w:ascii="宋体" w:hAnsi="宋体" w:eastAsia="宋体" w:cs="宋体"/>
          <w:b/>
          <w:bCs/>
          <w:color w:val="auto"/>
          <w:sz w:val="30"/>
          <w:szCs w:val="30"/>
          <w:highlight w:val="none"/>
        </w:rPr>
      </w:pPr>
    </w:p>
    <w:p w14:paraId="46D407CA">
      <w:pPr>
        <w:pStyle w:val="26"/>
        <w:pageBreakBefore w:val="0"/>
        <w:wordWrap w:val="0"/>
        <w:overflowPunct/>
        <w:spacing w:before="0" w:beforeAutospacing="0" w:after="0" w:afterAutospacing="0" w:line="400" w:lineRule="exact"/>
        <w:jc w:val="center"/>
        <w:outlineLvl w:val="9"/>
        <w:rPr>
          <w:rFonts w:hint="eastAsia" w:ascii="宋体" w:hAnsi="宋体" w:eastAsia="宋体" w:cs="宋体"/>
          <w:b/>
          <w:bCs/>
          <w:color w:val="auto"/>
          <w:sz w:val="30"/>
          <w:szCs w:val="30"/>
          <w:highlight w:val="none"/>
        </w:rPr>
      </w:pPr>
    </w:p>
    <w:p w14:paraId="22FC2620">
      <w:pPr>
        <w:pStyle w:val="26"/>
        <w:pageBreakBefore w:val="0"/>
        <w:wordWrap w:val="0"/>
        <w:overflowPunct/>
        <w:spacing w:before="0" w:beforeAutospacing="0" w:after="0" w:afterAutospacing="0" w:line="400" w:lineRule="exact"/>
        <w:jc w:val="center"/>
        <w:outlineLvl w:val="9"/>
        <w:rPr>
          <w:rFonts w:hint="eastAsia" w:ascii="宋体" w:hAnsi="宋体" w:eastAsia="宋体" w:cs="宋体"/>
          <w:b/>
          <w:bCs/>
          <w:color w:val="auto"/>
          <w:sz w:val="30"/>
          <w:szCs w:val="30"/>
          <w:highlight w:val="none"/>
        </w:rPr>
      </w:pPr>
    </w:p>
    <w:p w14:paraId="503FD66B">
      <w:pPr>
        <w:rPr>
          <w:rFonts w:hint="eastAsia" w:ascii="宋体" w:hAnsi="宋体" w:eastAsia="宋体" w:cs="宋体"/>
          <w:b/>
          <w:bCs/>
          <w:color w:val="auto"/>
          <w:sz w:val="30"/>
          <w:szCs w:val="30"/>
          <w:highlight w:val="none"/>
        </w:rPr>
      </w:pPr>
      <w:bookmarkStart w:id="300" w:name="_Toc9434"/>
      <w:r>
        <w:rPr>
          <w:rFonts w:hint="eastAsia" w:ascii="宋体" w:hAnsi="宋体" w:eastAsia="宋体" w:cs="宋体"/>
          <w:b/>
          <w:bCs/>
          <w:color w:val="auto"/>
          <w:sz w:val="30"/>
          <w:szCs w:val="30"/>
          <w:highlight w:val="none"/>
        </w:rPr>
        <w:br w:type="page"/>
      </w:r>
    </w:p>
    <w:p w14:paraId="0C81F01C">
      <w:pPr>
        <w:pStyle w:val="26"/>
        <w:pageBreakBefore w:val="0"/>
        <w:wordWrap w:val="0"/>
        <w:overflowPunct/>
        <w:spacing w:before="0" w:beforeAutospacing="0" w:after="0" w:afterAutospacing="0" w:line="400" w:lineRule="exact"/>
        <w:jc w:val="center"/>
        <w:outlineLvl w:val="0"/>
        <w:rPr>
          <w:rFonts w:hint="eastAsia" w:ascii="宋体" w:hAnsi="宋体" w:eastAsia="宋体" w:cs="宋体"/>
          <w:color w:val="auto"/>
          <w:highlight w:val="none"/>
        </w:rPr>
      </w:pPr>
      <w:r>
        <w:rPr>
          <w:rFonts w:hint="eastAsia" w:ascii="宋体" w:hAnsi="宋体" w:eastAsia="宋体" w:cs="宋体"/>
          <w:b/>
          <w:bCs/>
          <w:color w:val="auto"/>
          <w:sz w:val="30"/>
          <w:szCs w:val="30"/>
          <w:highlight w:val="none"/>
        </w:rPr>
        <w:t>第四章 合同条款及格式</w:t>
      </w:r>
      <w:bookmarkEnd w:id="296"/>
      <w:bookmarkEnd w:id="297"/>
      <w:bookmarkEnd w:id="298"/>
      <w:bookmarkEnd w:id="299"/>
      <w:bookmarkEnd w:id="300"/>
    </w:p>
    <w:p w14:paraId="1A05147D">
      <w:pPr>
        <w:pageBreakBefore w:val="0"/>
        <w:wordWrap w:val="0"/>
        <w:overflowPunct/>
        <w:jc w:val="center"/>
        <w:rPr>
          <w:rFonts w:hint="eastAsia" w:ascii="宋体" w:hAnsi="宋体" w:eastAsia="宋体" w:cs="宋体"/>
          <w:b/>
          <w:color w:val="auto"/>
          <w:sz w:val="36"/>
          <w:szCs w:val="36"/>
          <w:highlight w:val="none"/>
          <w:lang w:eastAsia="zh-CN"/>
        </w:rPr>
      </w:pPr>
    </w:p>
    <w:p w14:paraId="7D219E8D">
      <w:pPr>
        <w:pageBreakBefore w:val="0"/>
        <w:wordWrap w:val="0"/>
        <w:overflowPunct/>
        <w:adjustRightInd w:val="0"/>
        <w:snapToGrid w:val="0"/>
        <w:jc w:val="both"/>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注：建设工程施工合同范本仅为合同的参考文本，合同签订双方可根据项目的具体要求进行修订。</w:t>
      </w:r>
    </w:p>
    <w:p w14:paraId="54CBEF0B">
      <w:pPr>
        <w:pStyle w:val="9"/>
        <w:pageBreakBefore w:val="0"/>
        <w:wordWrap w:val="0"/>
        <w:overflowPunct/>
        <w:rPr>
          <w:rFonts w:hint="eastAsia" w:ascii="宋体" w:hAnsi="宋体" w:eastAsia="宋体" w:cs="宋体"/>
          <w:snapToGrid w:val="0"/>
          <w:color w:val="auto"/>
          <w:kern w:val="0"/>
          <w:szCs w:val="21"/>
          <w:highlight w:val="none"/>
        </w:rPr>
      </w:pPr>
    </w:p>
    <w:p w14:paraId="55F852F5">
      <w:pPr>
        <w:pStyle w:val="9"/>
        <w:pageBreakBefore w:val="0"/>
        <w:wordWrap w:val="0"/>
        <w:overflowPunct/>
        <w:rPr>
          <w:rFonts w:hint="eastAsia" w:ascii="宋体" w:hAnsi="宋体" w:eastAsia="宋体" w:cs="宋体"/>
          <w:snapToGrid w:val="0"/>
          <w:color w:val="auto"/>
          <w:kern w:val="0"/>
          <w:szCs w:val="21"/>
          <w:highlight w:val="none"/>
        </w:rPr>
      </w:pPr>
    </w:p>
    <w:p w14:paraId="359BECF2">
      <w:pPr>
        <w:pStyle w:val="9"/>
        <w:pageBreakBefore w:val="0"/>
        <w:wordWrap w:val="0"/>
        <w:overflowPunct/>
        <w:rPr>
          <w:rFonts w:hint="eastAsia" w:ascii="宋体" w:hAnsi="宋体" w:eastAsia="宋体" w:cs="宋体"/>
          <w:snapToGrid w:val="0"/>
          <w:color w:val="auto"/>
          <w:kern w:val="0"/>
          <w:szCs w:val="21"/>
          <w:highlight w:val="none"/>
        </w:rPr>
      </w:pPr>
    </w:p>
    <w:p w14:paraId="21628FA9">
      <w:pPr>
        <w:wordWrap w:val="0"/>
        <w:spacing w:line="360" w:lineRule="auto"/>
        <w:jc w:val="right"/>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合同编号：        </w:t>
      </w:r>
    </w:p>
    <w:p w14:paraId="54FC3F17">
      <w:pPr>
        <w:spacing w:line="360" w:lineRule="auto"/>
        <w:jc w:val="center"/>
        <w:outlineLvl w:val="1"/>
        <w:rPr>
          <w:rFonts w:hint="eastAsia" w:ascii="宋体" w:hAnsi="宋体" w:eastAsia="宋体" w:cs="宋体"/>
          <w:b/>
          <w:bCs/>
          <w:color w:val="000000" w:themeColor="text1"/>
          <w:sz w:val="30"/>
          <w:szCs w:val="30"/>
          <w:highlight w:val="none"/>
          <w14:textFill>
            <w14:solidFill>
              <w14:schemeClr w14:val="tx1"/>
            </w14:solidFill>
          </w14:textFill>
        </w:rPr>
      </w:pPr>
      <w:bookmarkStart w:id="301" w:name="_Toc2080"/>
      <w:bookmarkStart w:id="302" w:name="_Toc15559"/>
      <w:bookmarkStart w:id="303" w:name="_Toc2490"/>
      <w:bookmarkStart w:id="304" w:name="_Toc23613"/>
      <w:bookmarkStart w:id="305" w:name="_Toc571"/>
      <w:r>
        <w:rPr>
          <w:rFonts w:hint="eastAsia" w:ascii="宋体" w:hAnsi="宋体" w:eastAsia="宋体" w:cs="宋体"/>
          <w:b/>
          <w:bCs/>
          <w:color w:val="000000" w:themeColor="text1"/>
          <w:sz w:val="30"/>
          <w:szCs w:val="30"/>
          <w:highlight w:val="none"/>
          <w14:textFill>
            <w14:solidFill>
              <w14:schemeClr w14:val="tx1"/>
            </w14:solidFill>
          </w14:textFill>
        </w:rPr>
        <w:t>景洪市第四中学行政楼、主教学楼及学生宿舍楼修缮建设项目</w:t>
      </w:r>
      <w:bookmarkEnd w:id="301"/>
      <w:bookmarkEnd w:id="302"/>
      <w:bookmarkEnd w:id="303"/>
    </w:p>
    <w:p w14:paraId="349085AF">
      <w:pPr>
        <w:spacing w:line="360" w:lineRule="auto"/>
        <w:jc w:val="both"/>
        <w:outlineLvl w:val="9"/>
        <w:rPr>
          <w:rFonts w:hint="eastAsia" w:ascii="宋体" w:hAnsi="宋体" w:eastAsia="宋体" w:cs="宋体"/>
          <w:b/>
          <w:bCs/>
          <w:color w:val="000000" w:themeColor="text1"/>
          <w:sz w:val="30"/>
          <w:szCs w:val="30"/>
          <w:highlight w:val="none"/>
          <w14:textFill>
            <w14:solidFill>
              <w14:schemeClr w14:val="tx1"/>
            </w14:solidFill>
          </w14:textFill>
        </w:rPr>
      </w:pPr>
    </w:p>
    <w:p w14:paraId="02EFDED5">
      <w:pPr>
        <w:spacing w:line="360" w:lineRule="auto"/>
        <w:jc w:val="center"/>
        <w:outlineLvl w:val="9"/>
        <w:rPr>
          <w:rFonts w:hint="eastAsia" w:ascii="宋体" w:hAnsi="宋体" w:eastAsia="宋体" w:cs="宋体"/>
          <w:b/>
          <w:bCs/>
          <w:color w:val="000000" w:themeColor="text1"/>
          <w:sz w:val="48"/>
          <w:szCs w:val="48"/>
          <w:highlight w:val="none"/>
          <w:lang w:val="en-US" w:eastAsia="zh-CN"/>
          <w14:textFill>
            <w14:solidFill>
              <w14:schemeClr w14:val="tx1"/>
            </w14:solidFill>
          </w14:textFill>
        </w:rPr>
      </w:pPr>
      <w:bookmarkStart w:id="306" w:name="_Toc21696"/>
      <w:bookmarkStart w:id="307" w:name="_Toc1284"/>
    </w:p>
    <w:p w14:paraId="4BDF934E">
      <w:pPr>
        <w:spacing w:line="360" w:lineRule="auto"/>
        <w:jc w:val="center"/>
        <w:outlineLvl w:val="9"/>
        <w:rPr>
          <w:rFonts w:hint="eastAsia" w:ascii="宋体" w:hAnsi="宋体" w:eastAsia="宋体" w:cs="宋体"/>
          <w:b/>
          <w:bCs/>
          <w:color w:val="000000" w:themeColor="text1"/>
          <w:sz w:val="48"/>
          <w:szCs w:val="48"/>
          <w:highlight w:val="none"/>
          <w:lang w:val="en-US" w:eastAsia="zh-CN"/>
          <w14:textFill>
            <w14:solidFill>
              <w14:schemeClr w14:val="tx1"/>
            </w14:solidFill>
          </w14:textFill>
        </w:rPr>
      </w:pPr>
    </w:p>
    <w:p w14:paraId="128B701F">
      <w:pPr>
        <w:spacing w:line="360" w:lineRule="auto"/>
        <w:jc w:val="center"/>
        <w:outlineLvl w:val="9"/>
        <w:rPr>
          <w:rFonts w:hint="eastAsia" w:ascii="宋体" w:hAnsi="宋体" w:eastAsia="宋体" w:cs="宋体"/>
          <w:b/>
          <w:bCs/>
          <w:color w:val="000000" w:themeColor="text1"/>
          <w:sz w:val="48"/>
          <w:szCs w:val="48"/>
          <w:highlight w:val="none"/>
          <w:lang w:val="en-US" w:eastAsia="zh-CN"/>
          <w14:textFill>
            <w14:solidFill>
              <w14:schemeClr w14:val="tx1"/>
            </w14:solidFill>
          </w14:textFill>
        </w:rPr>
      </w:pPr>
    </w:p>
    <w:p w14:paraId="7854E633">
      <w:pPr>
        <w:spacing w:line="360" w:lineRule="auto"/>
        <w:jc w:val="center"/>
        <w:outlineLvl w:val="1"/>
        <w:rPr>
          <w:rFonts w:hint="eastAsia" w:ascii="宋体" w:hAnsi="宋体" w:eastAsia="宋体" w:cs="宋体"/>
          <w:b/>
          <w:bCs/>
          <w:color w:val="000000" w:themeColor="text1"/>
          <w:sz w:val="48"/>
          <w:szCs w:val="48"/>
          <w:highlight w:val="none"/>
          <w:lang w:val="en-US" w:eastAsia="zh-CN"/>
          <w14:textFill>
            <w14:solidFill>
              <w14:schemeClr w14:val="tx1"/>
            </w14:solidFill>
          </w14:textFill>
        </w:rPr>
      </w:pPr>
      <w:bookmarkStart w:id="308" w:name="_Toc29959"/>
      <w:r>
        <w:rPr>
          <w:rFonts w:hint="eastAsia" w:ascii="宋体" w:hAnsi="宋体" w:eastAsia="宋体" w:cs="宋体"/>
          <w:b/>
          <w:bCs/>
          <w:color w:val="000000" w:themeColor="text1"/>
          <w:sz w:val="48"/>
          <w:szCs w:val="48"/>
          <w:highlight w:val="none"/>
          <w:lang w:val="en-US" w:eastAsia="zh-CN"/>
          <w14:textFill>
            <w14:solidFill>
              <w14:schemeClr w14:val="tx1"/>
            </w14:solidFill>
          </w14:textFill>
        </w:rPr>
        <w:t>施</w:t>
      </w:r>
      <w:bookmarkEnd w:id="308"/>
    </w:p>
    <w:p w14:paraId="1AC40E85">
      <w:pPr>
        <w:spacing w:line="360" w:lineRule="auto"/>
        <w:jc w:val="center"/>
        <w:outlineLvl w:val="1"/>
        <w:rPr>
          <w:rFonts w:hint="eastAsia" w:ascii="宋体" w:hAnsi="宋体" w:eastAsia="宋体" w:cs="宋体"/>
          <w:b/>
          <w:bCs/>
          <w:color w:val="000000" w:themeColor="text1"/>
          <w:sz w:val="48"/>
          <w:szCs w:val="48"/>
          <w:highlight w:val="none"/>
          <w:lang w:val="en-US" w:eastAsia="zh-CN"/>
          <w14:textFill>
            <w14:solidFill>
              <w14:schemeClr w14:val="tx1"/>
            </w14:solidFill>
          </w14:textFill>
        </w:rPr>
      </w:pPr>
      <w:bookmarkStart w:id="309" w:name="_Toc15647"/>
      <w:r>
        <w:rPr>
          <w:rFonts w:hint="eastAsia" w:ascii="宋体" w:hAnsi="宋体" w:eastAsia="宋体" w:cs="宋体"/>
          <w:b/>
          <w:bCs/>
          <w:color w:val="000000" w:themeColor="text1"/>
          <w:sz w:val="48"/>
          <w:szCs w:val="48"/>
          <w:highlight w:val="none"/>
          <w:lang w:val="en-US" w:eastAsia="zh-CN"/>
          <w14:textFill>
            <w14:solidFill>
              <w14:schemeClr w14:val="tx1"/>
            </w14:solidFill>
          </w14:textFill>
        </w:rPr>
        <w:t>工</w:t>
      </w:r>
      <w:bookmarkEnd w:id="309"/>
    </w:p>
    <w:p w14:paraId="3CD08AEE">
      <w:pPr>
        <w:spacing w:line="360" w:lineRule="auto"/>
        <w:jc w:val="center"/>
        <w:outlineLvl w:val="1"/>
        <w:rPr>
          <w:rFonts w:hint="eastAsia" w:ascii="宋体" w:hAnsi="宋体" w:eastAsia="宋体" w:cs="宋体"/>
          <w:b/>
          <w:bCs/>
          <w:color w:val="000000" w:themeColor="text1"/>
          <w:sz w:val="48"/>
          <w:szCs w:val="48"/>
          <w:highlight w:val="none"/>
          <w:lang w:val="en-US" w:eastAsia="zh-CN"/>
          <w14:textFill>
            <w14:solidFill>
              <w14:schemeClr w14:val="tx1"/>
            </w14:solidFill>
          </w14:textFill>
        </w:rPr>
      </w:pPr>
      <w:bookmarkStart w:id="310" w:name="_Toc32634"/>
      <w:r>
        <w:rPr>
          <w:rFonts w:hint="eastAsia" w:ascii="宋体" w:hAnsi="宋体" w:eastAsia="宋体" w:cs="宋体"/>
          <w:b/>
          <w:bCs/>
          <w:color w:val="000000" w:themeColor="text1"/>
          <w:sz w:val="48"/>
          <w:szCs w:val="48"/>
          <w:highlight w:val="none"/>
          <w:lang w:val="en-US" w:eastAsia="zh-CN"/>
          <w14:textFill>
            <w14:solidFill>
              <w14:schemeClr w14:val="tx1"/>
            </w14:solidFill>
          </w14:textFill>
        </w:rPr>
        <w:t>合</w:t>
      </w:r>
      <w:bookmarkEnd w:id="310"/>
    </w:p>
    <w:p w14:paraId="6D4B6886">
      <w:pPr>
        <w:spacing w:line="360" w:lineRule="auto"/>
        <w:jc w:val="center"/>
        <w:outlineLvl w:val="1"/>
        <w:rPr>
          <w:rFonts w:hint="eastAsia" w:ascii="宋体" w:hAnsi="宋体" w:eastAsia="宋体" w:cs="宋体"/>
          <w:b/>
          <w:bCs/>
          <w:color w:val="000000" w:themeColor="text1"/>
          <w:sz w:val="32"/>
          <w:szCs w:val="32"/>
          <w:highlight w:val="none"/>
          <w14:textFill>
            <w14:solidFill>
              <w14:schemeClr w14:val="tx1"/>
            </w14:solidFill>
          </w14:textFill>
        </w:rPr>
      </w:pPr>
      <w:bookmarkStart w:id="311" w:name="_Toc24816"/>
      <w:r>
        <w:rPr>
          <w:rFonts w:hint="eastAsia" w:ascii="宋体" w:hAnsi="宋体" w:eastAsia="宋体" w:cs="宋体"/>
          <w:b/>
          <w:bCs/>
          <w:color w:val="000000" w:themeColor="text1"/>
          <w:sz w:val="48"/>
          <w:szCs w:val="48"/>
          <w:highlight w:val="none"/>
          <w:lang w:val="en-US" w:eastAsia="zh-CN"/>
          <w14:textFill>
            <w14:solidFill>
              <w14:schemeClr w14:val="tx1"/>
            </w14:solidFill>
          </w14:textFill>
        </w:rPr>
        <w:t>同</w:t>
      </w:r>
      <w:bookmarkEnd w:id="304"/>
      <w:bookmarkEnd w:id="305"/>
      <w:bookmarkEnd w:id="306"/>
      <w:bookmarkEnd w:id="307"/>
      <w:bookmarkEnd w:id="311"/>
    </w:p>
    <w:p w14:paraId="44B20EF3">
      <w:pPr>
        <w:pStyle w:val="27"/>
        <w:ind w:firstLine="300"/>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p>
    <w:p w14:paraId="4003D0FD">
      <w:pPr>
        <w:pStyle w:val="2"/>
        <w:rPr>
          <w:rFonts w:hint="eastAsia"/>
        </w:rPr>
      </w:pPr>
    </w:p>
    <w:p w14:paraId="3B7B8EEA">
      <w:pPr>
        <w:autoSpaceDE w:val="0"/>
        <w:autoSpaceDN w:val="0"/>
        <w:adjustRightInd w:val="0"/>
        <w:spacing w:line="360" w:lineRule="auto"/>
        <w:jc w:val="left"/>
        <w:rPr>
          <w:rFonts w:hint="eastAsia" w:ascii="宋体" w:hAnsi="宋体" w:eastAsia="宋体" w:cs="宋体"/>
          <w:color w:val="000000" w:themeColor="text1"/>
          <w:kern w:val="0"/>
          <w:sz w:val="28"/>
          <w:szCs w:val="28"/>
          <w:highlight w:val="none"/>
          <w14:textFill>
            <w14:solidFill>
              <w14:schemeClr w14:val="tx1"/>
            </w14:solidFill>
          </w14:textFill>
        </w:rPr>
      </w:pPr>
    </w:p>
    <w:p w14:paraId="66F4D128">
      <w:pPr>
        <w:autoSpaceDE w:val="0"/>
        <w:autoSpaceDN w:val="0"/>
        <w:adjustRightInd w:val="0"/>
        <w:spacing w:line="360" w:lineRule="auto"/>
        <w:jc w:val="left"/>
        <w:rPr>
          <w:rFonts w:hint="eastAsia" w:ascii="宋体" w:hAnsi="宋体" w:eastAsia="宋体" w:cs="宋体"/>
          <w:color w:val="000000" w:themeColor="text1"/>
          <w:kern w:val="0"/>
          <w:sz w:val="28"/>
          <w:szCs w:val="28"/>
          <w:highlight w:val="none"/>
          <w14:textFill>
            <w14:solidFill>
              <w14:schemeClr w14:val="tx1"/>
            </w14:solidFill>
          </w14:textFill>
        </w:rPr>
      </w:pPr>
    </w:p>
    <w:p w14:paraId="2EA37E43">
      <w:pPr>
        <w:autoSpaceDE w:val="0"/>
        <w:autoSpaceDN w:val="0"/>
        <w:adjustRightInd w:val="0"/>
        <w:spacing w:line="360" w:lineRule="auto"/>
        <w:jc w:val="center"/>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住房和城乡建设部</w:t>
      </w:r>
    </w:p>
    <w:p w14:paraId="02D8BA05">
      <w:pPr>
        <w:autoSpaceDE w:val="0"/>
        <w:autoSpaceDN w:val="0"/>
        <w:adjustRightInd w:val="0"/>
        <w:spacing w:line="360" w:lineRule="auto"/>
        <w:ind w:right="1120" w:firstLine="5880" w:firstLineChars="2100"/>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制定</w:t>
      </w:r>
    </w:p>
    <w:p w14:paraId="41B7D59E">
      <w:pPr>
        <w:autoSpaceDE w:val="0"/>
        <w:autoSpaceDN w:val="0"/>
        <w:adjustRightInd w:val="0"/>
        <w:spacing w:line="360" w:lineRule="auto"/>
        <w:jc w:val="center"/>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国家工商行政管理总局</w:t>
      </w:r>
    </w:p>
    <w:p w14:paraId="0A364415">
      <w:pPr>
        <w:pStyle w:val="9"/>
        <w:pageBreakBefore w:val="0"/>
        <w:wordWrap w:val="0"/>
        <w:overflowPunct/>
        <w:rPr>
          <w:rFonts w:hint="eastAsia" w:ascii="宋体" w:hAnsi="宋体" w:eastAsia="宋体" w:cs="宋体"/>
          <w:snapToGrid w:val="0"/>
          <w:color w:val="auto"/>
          <w:kern w:val="0"/>
          <w:szCs w:val="21"/>
          <w:highlight w:val="none"/>
        </w:rPr>
      </w:pPr>
    </w:p>
    <w:p w14:paraId="3ACFF532">
      <w:pPr>
        <w:pStyle w:val="9"/>
        <w:pageBreakBefore w:val="0"/>
        <w:wordWrap w:val="0"/>
        <w:overflowPunct/>
        <w:rPr>
          <w:rFonts w:hint="eastAsia" w:ascii="宋体" w:hAnsi="宋体" w:eastAsia="宋体" w:cs="宋体"/>
          <w:snapToGrid w:val="0"/>
          <w:color w:val="auto"/>
          <w:kern w:val="0"/>
          <w:szCs w:val="21"/>
          <w:highlight w:val="none"/>
        </w:rPr>
      </w:pPr>
    </w:p>
    <w:p w14:paraId="7C087CEC">
      <w:pPr>
        <w:pStyle w:val="9"/>
        <w:pageBreakBefore w:val="0"/>
        <w:wordWrap w:val="0"/>
        <w:overflowPunct/>
        <w:ind w:left="0" w:leftChars="0" w:firstLine="0" w:firstLineChars="0"/>
        <w:rPr>
          <w:rFonts w:hint="eastAsia" w:ascii="宋体" w:hAnsi="宋体" w:eastAsia="宋体" w:cs="宋体"/>
          <w:snapToGrid w:val="0"/>
          <w:color w:val="auto"/>
          <w:kern w:val="0"/>
          <w:szCs w:val="21"/>
          <w:highlight w:val="none"/>
        </w:rPr>
      </w:pPr>
    </w:p>
    <w:p w14:paraId="7F86CFB9">
      <w:pPr>
        <w:keepNext w:val="0"/>
        <w:keepLines w:val="0"/>
        <w:pageBreakBefore w:val="0"/>
        <w:kinsoku/>
        <w:wordWrap w:val="0"/>
        <w:overflowPunct/>
        <w:bidi w:val="0"/>
        <w:adjustRightInd w:val="0"/>
        <w:snapToGrid w:val="0"/>
        <w:spacing w:line="500" w:lineRule="exact"/>
        <w:jc w:val="center"/>
        <w:textAlignment w:val="auto"/>
        <w:outlineLvl w:val="1"/>
        <w:rPr>
          <w:rFonts w:hint="eastAsia" w:ascii="宋体" w:hAnsi="宋体" w:eastAsia="宋体" w:cs="宋体"/>
          <w:b/>
          <w:bCs/>
          <w:color w:val="auto"/>
          <w:kern w:val="0"/>
          <w:sz w:val="28"/>
          <w:szCs w:val="28"/>
          <w:highlight w:val="none"/>
        </w:rPr>
      </w:pPr>
      <w:bookmarkStart w:id="312" w:name="_Toc18274"/>
      <w:bookmarkStart w:id="313" w:name="_Toc28944"/>
      <w:bookmarkStart w:id="314" w:name="_Toc6573"/>
      <w:r>
        <w:rPr>
          <w:rFonts w:hint="eastAsia" w:ascii="宋体" w:hAnsi="宋体" w:eastAsia="宋体" w:cs="宋体"/>
          <w:b/>
          <w:bCs/>
          <w:color w:val="auto"/>
          <w:kern w:val="0"/>
          <w:sz w:val="28"/>
          <w:szCs w:val="28"/>
          <w:highlight w:val="none"/>
        </w:rPr>
        <w:t>第一部分 合同协议书</w:t>
      </w:r>
      <w:bookmarkEnd w:id="312"/>
      <w:bookmarkEnd w:id="313"/>
      <w:bookmarkEnd w:id="314"/>
    </w:p>
    <w:p w14:paraId="49F29111">
      <w:pPr>
        <w:keepNext w:val="0"/>
        <w:keepLines w:val="0"/>
        <w:pageBreakBefore w:val="0"/>
        <w:kinsoku/>
        <w:wordWrap w:val="0"/>
        <w:overflowPunct/>
        <w:bidi w:val="0"/>
        <w:spacing w:line="500" w:lineRule="exact"/>
        <w:textAlignment w:val="auto"/>
        <w:rPr>
          <w:rFonts w:hint="eastAsia" w:ascii="宋体" w:hAnsi="宋体" w:eastAsia="宋体" w:cs="宋体"/>
          <w:b/>
          <w:color w:val="auto"/>
          <w:kern w:val="0"/>
          <w:sz w:val="24"/>
          <w:szCs w:val="24"/>
          <w:highlight w:val="none"/>
          <w:u w:val="single"/>
          <w:lang w:val="en-US" w:eastAsia="zh-CN"/>
        </w:rPr>
      </w:pPr>
      <w:r>
        <w:rPr>
          <w:rFonts w:hint="eastAsia" w:ascii="宋体" w:hAnsi="宋体" w:eastAsia="宋体" w:cs="宋体"/>
          <w:b/>
          <w:color w:val="auto"/>
          <w:kern w:val="0"/>
          <w:sz w:val="24"/>
          <w:szCs w:val="24"/>
          <w:highlight w:val="none"/>
        </w:rPr>
        <w:t>发包人（全称）：</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input658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
          <w:color w:val="auto"/>
          <w:kern w:val="0"/>
          <w:sz w:val="24"/>
          <w:szCs w:val="24"/>
          <w:highlight w:val="none"/>
          <w:u w:val="single"/>
          <w:lang w:val="en-US" w:eastAsia="zh-CN"/>
        </w:rPr>
        <w:t xml:space="preserve">                </w:t>
      </w:r>
    </w:p>
    <w:p w14:paraId="0A388141">
      <w:pPr>
        <w:keepNext w:val="0"/>
        <w:keepLines w:val="0"/>
        <w:pageBreakBefore w:val="0"/>
        <w:kinsoku/>
        <w:wordWrap w:val="0"/>
        <w:overflowPunct/>
        <w:bidi w:val="0"/>
        <w:spacing w:line="500" w:lineRule="exact"/>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rPr>
        <w:t>承包人（全称）：</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input659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p>
    <w:p w14:paraId="320341B3">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根据《中华人民共和国</w:t>
      </w:r>
      <w:r>
        <w:rPr>
          <w:rFonts w:hint="eastAsia" w:ascii="宋体" w:hAnsi="宋体" w:eastAsia="宋体" w:cs="宋体"/>
          <w:color w:val="auto"/>
          <w:kern w:val="0"/>
          <w:sz w:val="24"/>
          <w:szCs w:val="24"/>
          <w:highlight w:val="none"/>
          <w:lang w:eastAsia="zh-CN"/>
        </w:rPr>
        <w:t>民法典</w:t>
      </w:r>
      <w:r>
        <w:rPr>
          <w:rFonts w:hint="eastAsia" w:ascii="宋体" w:hAnsi="宋体" w:eastAsia="宋体" w:cs="宋体"/>
          <w:color w:val="auto"/>
          <w:kern w:val="0"/>
          <w:sz w:val="24"/>
          <w:szCs w:val="24"/>
          <w:highlight w:val="none"/>
        </w:rPr>
        <w:t>》《中华人民共和国建筑法》及有关法律规定，遵循平等、自愿、公平和诚实信用的原则，双方就本建设工程施工及有关事项协商一致，共同达成如下协议：</w:t>
      </w:r>
    </w:p>
    <w:p w14:paraId="2ADAC60A">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一、工程概况</w:t>
      </w:r>
    </w:p>
    <w:p w14:paraId="28519C0F">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bCs/>
          <w:color w:val="auto"/>
          <w:kern w:val="0"/>
          <w:sz w:val="24"/>
          <w:szCs w:val="24"/>
          <w:highlight w:val="none"/>
        </w:rPr>
        <w:t>1.工</w:t>
      </w:r>
      <w:r>
        <w:rPr>
          <w:rFonts w:hint="eastAsia" w:ascii="宋体" w:hAnsi="宋体" w:eastAsia="宋体" w:cs="宋体"/>
          <w:bCs/>
          <w:color w:val="auto"/>
          <w:kern w:val="0"/>
          <w:sz w:val="24"/>
          <w:szCs w:val="24"/>
          <w:highlight w:val="none"/>
          <w:lang w:eastAsia="zh-CN"/>
        </w:rPr>
        <w:t>程名称</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lang w:val="en-US" w:eastAsia="zh-CN"/>
        </w:rPr>
        <w:t xml:space="preserve">  景洪市第四中学行政楼、主教学楼及学生宿舍楼修缮建设项目 </w:t>
      </w:r>
      <w:r>
        <w:rPr>
          <w:rFonts w:hint="eastAsia" w:ascii="宋体" w:hAnsi="宋体" w:eastAsia="宋体" w:cs="宋体"/>
          <w:color w:val="auto"/>
          <w:kern w:val="0"/>
          <w:sz w:val="24"/>
          <w:szCs w:val="24"/>
          <w:highlight w:val="none"/>
          <w:u w:val="single"/>
        </w:rPr>
        <w:t>。</w:t>
      </w:r>
    </w:p>
    <w:p w14:paraId="75442C0E">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2.工程地点：</w:t>
      </w:r>
      <w:r>
        <w:rPr>
          <w:rFonts w:hint="eastAsia" w:ascii="宋体" w:hAnsi="宋体" w:eastAsia="宋体" w:cs="宋体"/>
          <w:bCs/>
          <w:color w:val="auto"/>
          <w:kern w:val="0"/>
          <w:sz w:val="24"/>
          <w:szCs w:val="24"/>
          <w:highlight w:val="none"/>
          <w:u w:val="single"/>
        </w:rPr>
        <w:t>景洪市第四中学</w:t>
      </w:r>
      <w:r>
        <w:rPr>
          <w:rFonts w:hint="eastAsia" w:ascii="宋体" w:hAnsi="宋体" w:cs="宋体"/>
          <w:bCs/>
          <w:color w:val="auto"/>
          <w:kern w:val="0"/>
          <w:sz w:val="24"/>
          <w:szCs w:val="24"/>
          <w:highlight w:val="none"/>
          <w:u w:val="single"/>
          <w:lang w:val="en-US" w:eastAsia="zh-CN"/>
        </w:rPr>
        <w:t>内</w:t>
      </w:r>
      <w:r>
        <w:rPr>
          <w:rFonts w:hint="eastAsia" w:ascii="宋体" w:hAnsi="宋体" w:eastAsia="宋体" w:cs="宋体"/>
          <w:b/>
          <w:color w:val="auto"/>
          <w:kern w:val="0"/>
          <w:sz w:val="24"/>
          <w:szCs w:val="24"/>
          <w:highlight w:val="none"/>
          <w:u w:val="single"/>
          <w:lang w:val="en-US" w:eastAsia="zh-CN"/>
        </w:rPr>
        <w:t>。</w:t>
      </w:r>
    </w:p>
    <w:p w14:paraId="0A0A4621">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3.工程立项批准文号：</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input663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w:t>
      </w:r>
    </w:p>
    <w:p w14:paraId="66485E88">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4.资金来源：</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input664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w:t>
      </w:r>
    </w:p>
    <w:p w14:paraId="1A614F11">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5.工程内容：</w:t>
      </w:r>
      <w:r>
        <w:rPr>
          <w:rFonts w:hint="eastAsia" w:ascii="宋体" w:hAnsi="宋体" w:eastAsia="宋体" w:cs="宋体"/>
          <w:b/>
          <w:bCs w:val="0"/>
          <w:color w:val="auto"/>
          <w:kern w:val="0"/>
          <w:sz w:val="24"/>
          <w:szCs w:val="24"/>
          <w:highlight w:val="none"/>
          <w:u w:val="single"/>
        </w:rPr>
        <w:t>按采购人要求完成本项目修缮一栋行政楼，五层框架结构，总建筑面积4937.25平方米;修缮一栋主教学楼，五层框架结构，总建筑面积19764.2平方米;修缮一栋学生宿舍楼，五层框架结构，总建筑面积17721.72平方米。具体以发布的工程量清单为准。</w:t>
      </w:r>
    </w:p>
    <w:p w14:paraId="231535BE">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rPr>
        <w:t>群体工程应附《承包人承揽工程项目一览表》（附件1）。</w:t>
      </w:r>
    </w:p>
    <w:p w14:paraId="160D18BF">
      <w:pPr>
        <w:keepNext w:val="0"/>
        <w:keepLines w:val="0"/>
        <w:pageBreakBefore w:val="0"/>
        <w:kinsoku/>
        <w:wordWrap w:val="0"/>
        <w:overflowPunct/>
        <w:bidi w:val="0"/>
        <w:spacing w:line="500" w:lineRule="exact"/>
        <w:ind w:firstLine="470" w:firstLineChars="196"/>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6.工程承包范围：</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input666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bCs w:val="0"/>
          <w:color w:val="auto"/>
          <w:kern w:val="0"/>
          <w:sz w:val="24"/>
          <w:szCs w:val="24"/>
          <w:highlight w:val="none"/>
          <w:u w:val="single"/>
        </w:rPr>
        <w:t xml:space="preserve"> 按采购人要求完成本项目修缮一栋行政楼，五层框架结构，总建筑面积4937.25平方米;修缮一栋主教学楼，五层框架结构，总建筑面积19764.2平方米;修缮一栋学生宿舍楼，五层框架结构，总建筑面积17721.72平方米。具体以发布的工程量清单为准。</w:t>
      </w:r>
      <w:r>
        <w:rPr>
          <w:rFonts w:hint="eastAsia" w:ascii="宋体" w:hAnsi="宋体" w:eastAsia="宋体" w:cs="宋体"/>
          <w:b/>
          <w:color w:val="auto"/>
          <w:kern w:val="0"/>
          <w:sz w:val="24"/>
          <w:szCs w:val="24"/>
          <w:highlight w:val="none"/>
          <w:u w:val="single"/>
        </w:rPr>
        <w:fldChar w:fldCharType="end"/>
      </w:r>
    </w:p>
    <w:p w14:paraId="14527128">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 xml:space="preserve">   二、合同工期</w:t>
      </w:r>
    </w:p>
    <w:p w14:paraId="33694519">
      <w:pPr>
        <w:keepNext w:val="0"/>
        <w:keepLines w:val="0"/>
        <w:pageBreakBefore w:val="0"/>
        <w:kinsoku/>
        <w:wordWrap w:val="0"/>
        <w:overflowPunct/>
        <w:bidi w:val="0"/>
        <w:spacing w:line="500" w:lineRule="exact"/>
        <w:ind w:firstLine="459"/>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计划开工日期：</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input667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p>
    <w:p w14:paraId="42E18F1B">
      <w:pPr>
        <w:keepNext w:val="0"/>
        <w:keepLines w:val="0"/>
        <w:pageBreakBefore w:val="0"/>
        <w:kinsoku/>
        <w:wordWrap w:val="0"/>
        <w:overflowPunct/>
        <w:bidi w:val="0"/>
        <w:spacing w:line="500" w:lineRule="exact"/>
        <w:ind w:firstLine="459"/>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计划竣工日期：</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input668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p>
    <w:p w14:paraId="2AC2D3FD">
      <w:pPr>
        <w:keepNext w:val="0"/>
        <w:keepLines w:val="0"/>
        <w:pageBreakBefore w:val="0"/>
        <w:kinsoku/>
        <w:wordWrap w:val="0"/>
        <w:overflowPunct/>
        <w:bidi w:val="0"/>
        <w:spacing w:line="500" w:lineRule="exact"/>
        <w:ind w:firstLine="459"/>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工期总日历天数：</w:t>
      </w:r>
      <w:r>
        <w:rPr>
          <w:rFonts w:hint="eastAsia" w:ascii="宋体" w:hAnsi="宋体" w:cs="宋体"/>
          <w:b/>
          <w:color w:val="auto"/>
          <w:kern w:val="0"/>
          <w:sz w:val="24"/>
          <w:szCs w:val="24"/>
          <w:highlight w:val="none"/>
          <w:u w:val="single"/>
          <w:lang w:val="en-US" w:eastAsia="zh-CN"/>
        </w:rPr>
        <w:t>60</w:t>
      </w:r>
      <w:r>
        <w:rPr>
          <w:rFonts w:hint="eastAsia" w:ascii="宋体" w:hAnsi="宋体" w:eastAsia="宋体" w:cs="宋体"/>
          <w:b/>
          <w:color w:val="auto"/>
          <w:kern w:val="0"/>
          <w:sz w:val="24"/>
          <w:szCs w:val="24"/>
          <w:highlight w:val="none"/>
          <w:u w:val="single"/>
          <w:lang w:val="en-US" w:eastAsia="zh-CN"/>
        </w:rPr>
        <w:t>日历</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天。工期总日历天数与根据前述计划开竣工日期计算的工期天数不一致的，以工期总日历天数为准。</w:t>
      </w:r>
    </w:p>
    <w:p w14:paraId="40620B0D">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三、质量标准</w:t>
      </w:r>
    </w:p>
    <w:p w14:paraId="18835869">
      <w:pPr>
        <w:keepNext w:val="0"/>
        <w:keepLines w:val="0"/>
        <w:pageBreakBefore w:val="0"/>
        <w:kinsoku/>
        <w:wordWrap w:val="0"/>
        <w:overflowPunct/>
        <w:bidi w:val="0"/>
        <w:spacing w:line="500" w:lineRule="exact"/>
        <w:ind w:firstLine="459"/>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lang w:eastAsia="zh-CN"/>
        </w:rPr>
        <w:t>符合现行国家有关工程施工验收规范和标准的要求，一次性验收合格；</w:t>
      </w:r>
    </w:p>
    <w:p w14:paraId="3C34E005">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 xml:space="preserve">    四、签约合同价与合同价格形式</w:t>
      </w:r>
      <w:r>
        <w:rPr>
          <w:rFonts w:hint="eastAsia" w:ascii="宋体" w:hAnsi="宋体" w:eastAsia="宋体" w:cs="宋体"/>
          <w:b/>
          <w:color w:val="auto"/>
          <w:kern w:val="0"/>
          <w:sz w:val="24"/>
          <w:szCs w:val="24"/>
          <w:highlight w:val="none"/>
        </w:rPr>
        <w:tab/>
      </w:r>
    </w:p>
    <w:p w14:paraId="64A54EBA">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1.签约合同价为：</w:t>
      </w:r>
    </w:p>
    <w:p w14:paraId="3479780F">
      <w:pPr>
        <w:keepNext w:val="0"/>
        <w:keepLines w:val="0"/>
        <w:pageBreakBefore w:val="0"/>
        <w:widowControl w:val="0"/>
        <w:kinsoku/>
        <w:wordWrap w:val="0"/>
        <w:overflowPunct/>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暂定</w:t>
      </w:r>
      <w:r>
        <w:rPr>
          <w:rFonts w:hint="eastAsia" w:ascii="宋体" w:hAnsi="宋体" w:eastAsia="宋体" w:cs="宋体"/>
          <w:color w:val="auto"/>
          <w:kern w:val="0"/>
          <w:sz w:val="24"/>
          <w:szCs w:val="24"/>
          <w:highlight w:val="none"/>
        </w:rPr>
        <w:t>合同价款金额</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成交价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元（大写</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人民币</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工程费结算价下浮率：</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eastAsia="zh-CN"/>
        </w:rPr>
        <w:t>结算时工程费结算价下浮率不因任何因素调整，承包人完成本项目约定范围内的工作不再计取其他任何费用。</w:t>
      </w:r>
      <w:r>
        <w:rPr>
          <w:rFonts w:hint="eastAsia" w:ascii="宋体" w:hAnsi="宋体" w:eastAsia="宋体" w:cs="宋体"/>
          <w:color w:val="auto"/>
          <w:kern w:val="0"/>
          <w:sz w:val="24"/>
          <w:szCs w:val="24"/>
          <w:highlight w:val="none"/>
          <w:lang w:val="en-US" w:eastAsia="zh-CN"/>
        </w:rPr>
        <w:t>包含国家规定的增值税税金，并按照发包人的要求提供增值税发票。</w:t>
      </w:r>
    </w:p>
    <w:p w14:paraId="6ADE8FD5">
      <w:pPr>
        <w:keepNext w:val="0"/>
        <w:keepLines w:val="0"/>
        <w:pageBreakBefore w:val="0"/>
        <w:widowControl w:val="0"/>
        <w:kinsoku/>
        <w:wordWrap w:val="0"/>
        <w:overflowPunct/>
        <w:bidi w:val="0"/>
        <w:spacing w:line="500" w:lineRule="exact"/>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2.合同价格形式：</w:t>
      </w:r>
      <w:r>
        <w:rPr>
          <w:rFonts w:hint="eastAsia" w:ascii="宋体" w:hAnsi="宋体" w:eastAsia="宋体" w:cs="宋体"/>
          <w:b/>
          <w:bCs/>
          <w:color w:val="auto"/>
          <w:kern w:val="0"/>
          <w:sz w:val="24"/>
          <w:szCs w:val="24"/>
          <w:highlight w:val="none"/>
          <w:u w:val="single"/>
        </w:rPr>
        <w:t>固定综合单价合同形式</w:t>
      </w:r>
      <w:r>
        <w:rPr>
          <w:rFonts w:hint="eastAsia" w:ascii="宋体" w:hAnsi="宋体" w:eastAsia="宋体" w:cs="宋体"/>
          <w:b/>
          <w:bCs/>
          <w:color w:val="auto"/>
          <w:kern w:val="2"/>
          <w:sz w:val="24"/>
          <w:szCs w:val="24"/>
          <w:highlight w:val="none"/>
          <w:u w:val="single"/>
          <w:lang w:val="en-US" w:eastAsia="zh-CN" w:bidi="ar-SA"/>
        </w:rPr>
        <w:t>。</w:t>
      </w:r>
    </w:p>
    <w:p w14:paraId="5E43DEEB">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 xml:space="preserve">    五、项目经理</w:t>
      </w:r>
    </w:p>
    <w:p w14:paraId="6F41563D">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承包人项目经理：</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input682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color w:val="auto"/>
          <w:kern w:val="0"/>
          <w:sz w:val="24"/>
          <w:szCs w:val="24"/>
          <w:highlight w:val="none"/>
        </w:rPr>
        <w:t>。</w:t>
      </w:r>
    </w:p>
    <w:p w14:paraId="1D348881">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六、合同文件构成</w:t>
      </w:r>
    </w:p>
    <w:p w14:paraId="664D1DEC">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本协议书与下列文件一起构成合同文件：</w:t>
      </w:r>
    </w:p>
    <w:p w14:paraId="54DEBD70">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）项目实施期间签订的补充合同、补充协议、会议纪要；</w:t>
      </w:r>
    </w:p>
    <w:p w14:paraId="533CB237">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成交通知书</w:t>
      </w:r>
      <w:r>
        <w:rPr>
          <w:rFonts w:hint="eastAsia" w:ascii="宋体" w:hAnsi="宋体" w:eastAsia="宋体" w:cs="宋体"/>
          <w:color w:val="auto"/>
          <w:kern w:val="0"/>
          <w:sz w:val="24"/>
          <w:szCs w:val="24"/>
          <w:highlight w:val="none"/>
        </w:rPr>
        <w:t>；</w:t>
      </w:r>
    </w:p>
    <w:p w14:paraId="74465773">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磋商函</w:t>
      </w:r>
      <w:r>
        <w:rPr>
          <w:rFonts w:hint="eastAsia" w:ascii="宋体" w:hAnsi="宋体" w:eastAsia="宋体" w:cs="宋体"/>
          <w:color w:val="auto"/>
          <w:kern w:val="0"/>
          <w:sz w:val="24"/>
          <w:szCs w:val="24"/>
          <w:highlight w:val="none"/>
        </w:rPr>
        <w:t xml:space="preserve">； </w:t>
      </w:r>
    </w:p>
    <w:p w14:paraId="2625216E">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）专用合同条款及其附件；</w:t>
      </w:r>
    </w:p>
    <w:p w14:paraId="39BE1753">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）通用合同条款；</w:t>
      </w:r>
    </w:p>
    <w:p w14:paraId="19592C32">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）技术标准和要求；</w:t>
      </w:r>
    </w:p>
    <w:p w14:paraId="282FAAD6">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）图纸；</w:t>
      </w:r>
    </w:p>
    <w:p w14:paraId="14CED92F">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）已标价工程量清单或预算书；</w:t>
      </w:r>
    </w:p>
    <w:p w14:paraId="3221D652">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）其他合同文件。</w:t>
      </w:r>
    </w:p>
    <w:p w14:paraId="1567FA54">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在合同订立及履行过程中形成的与合同有关的文件均构成合同文件组成部分。</w:t>
      </w:r>
    </w:p>
    <w:p w14:paraId="7FAA909F">
      <w:pPr>
        <w:keepNext w:val="0"/>
        <w:keepLines w:val="0"/>
        <w:pageBreakBefore w:val="0"/>
        <w:kinsoku/>
        <w:wordWrap w:val="0"/>
        <w:overflowPunct/>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2C8777A1">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
          <w:bCs/>
          <w:color w:val="auto"/>
          <w:kern w:val="0"/>
          <w:sz w:val="24"/>
          <w:szCs w:val="24"/>
          <w:highlight w:val="none"/>
        </w:rPr>
      </w:pPr>
      <w:r>
        <w:rPr>
          <w:rFonts w:hint="eastAsia" w:ascii="宋体" w:hAnsi="宋体" w:eastAsia="宋体" w:cs="宋体"/>
          <w:b/>
          <w:color w:val="auto"/>
          <w:kern w:val="0"/>
          <w:sz w:val="24"/>
          <w:szCs w:val="24"/>
          <w:highlight w:val="none"/>
        </w:rPr>
        <w:t xml:space="preserve">    七、承诺</w:t>
      </w:r>
    </w:p>
    <w:p w14:paraId="4EB50524">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1.发包人承诺按照法律规定履行项目审批手续、筹集工程建设资金并按照合同约定的期限和方式支付合同价款。</w:t>
      </w:r>
    </w:p>
    <w:p w14:paraId="731E465A">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2.承包人承诺按照法律规定及合同约定组织完成工程施工，确保工程质量和安全，不进行转包及违法分包，并在缺陷责任期及保修期内承担相应的工程维修责任。</w:t>
      </w:r>
    </w:p>
    <w:p w14:paraId="348E0C48">
      <w:pPr>
        <w:keepNext w:val="0"/>
        <w:keepLines w:val="0"/>
        <w:pageBreakBefore w:val="0"/>
        <w:kinsoku/>
        <w:wordWrap w:val="0"/>
        <w:overflowPunct/>
        <w:bidi w:val="0"/>
        <w:spacing w:line="500" w:lineRule="exact"/>
        <w:textAlignment w:val="auto"/>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八、词语含义</w:t>
      </w:r>
    </w:p>
    <w:p w14:paraId="4FD5C1CC">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本协议书中词语含义与第二部分通用合同条款中赋予的含义相同。</w:t>
      </w:r>
    </w:p>
    <w:p w14:paraId="6A53A105">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九、签订时间</w:t>
      </w:r>
    </w:p>
    <w:p w14:paraId="70D1AAD9">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本合同于</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input683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签订。</w:t>
      </w:r>
    </w:p>
    <w:p w14:paraId="61D51244">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十、签订地点</w:t>
      </w:r>
    </w:p>
    <w:p w14:paraId="49AC6A85">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本合同在</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input684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签订。</w:t>
      </w:r>
    </w:p>
    <w:p w14:paraId="148B1E21">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十一、补充协议</w:t>
      </w:r>
    </w:p>
    <w:p w14:paraId="0F80D831">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Cs/>
          <w:color w:val="auto"/>
          <w:kern w:val="0"/>
          <w:sz w:val="24"/>
          <w:szCs w:val="24"/>
          <w:highlight w:val="none"/>
        </w:rPr>
        <w:t>合同未尽事宜，合同当事人另行签订补充协议，补充协议是合同的组成部分。</w:t>
      </w:r>
    </w:p>
    <w:p w14:paraId="76060272">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十二、合同生效</w:t>
      </w:r>
    </w:p>
    <w:p w14:paraId="11342F59">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本合同自</w:t>
      </w:r>
      <w:r>
        <w:rPr>
          <w:rFonts w:hint="eastAsia" w:ascii="宋体" w:hAnsi="宋体" w:eastAsia="宋体" w:cs="宋体"/>
          <w:b/>
          <w:color w:val="auto"/>
          <w:kern w:val="0"/>
          <w:sz w:val="24"/>
          <w:szCs w:val="24"/>
          <w:highlight w:val="none"/>
          <w:u w:val="single"/>
        </w:rPr>
        <w:fldChar w:fldCharType="begin"/>
      </w:r>
      <w:r>
        <w:rPr>
          <w:rFonts w:hint="eastAsia" w:ascii="宋体" w:hAnsi="宋体" w:eastAsia="宋体" w:cs="宋体"/>
          <w:b/>
          <w:color w:val="auto"/>
          <w:kern w:val="0"/>
          <w:sz w:val="24"/>
          <w:szCs w:val="24"/>
          <w:highlight w:val="none"/>
          <w:u w:val="single"/>
        </w:rPr>
        <w:instrText xml:space="preserve"> AUTOTEXT  input685 \* MERGEFORMAT </w:instrText>
      </w:r>
      <w:r>
        <w:rPr>
          <w:rFonts w:hint="eastAsia" w:ascii="宋体" w:hAnsi="宋体" w:eastAsia="宋体" w:cs="宋体"/>
          <w:b/>
          <w:color w:val="auto"/>
          <w:kern w:val="0"/>
          <w:sz w:val="24"/>
          <w:szCs w:val="24"/>
          <w:highlight w:val="none"/>
          <w:u w:val="single"/>
        </w:rPr>
        <w:fldChar w:fldCharType="separate"/>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生效。</w:t>
      </w:r>
    </w:p>
    <w:p w14:paraId="567F3ED0">
      <w:pPr>
        <w:keepNext w:val="0"/>
        <w:keepLines w:val="0"/>
        <w:pageBreakBefore w:val="0"/>
        <w:kinsoku/>
        <w:wordWrap w:val="0"/>
        <w:overflowPunct/>
        <w:bidi w:val="0"/>
        <w:adjustRightInd w:val="0"/>
        <w:snapToGrid w:val="0"/>
        <w:spacing w:line="500" w:lineRule="exact"/>
        <w:jc w:val="left"/>
        <w:textAlignment w:val="auto"/>
        <w:outlineLvl w:val="2"/>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 xml:space="preserve">    十三、合同份数</w:t>
      </w:r>
    </w:p>
    <w:p w14:paraId="04A37C91">
      <w:pPr>
        <w:keepNext w:val="0"/>
        <w:keepLines w:val="0"/>
        <w:pageBreakBefore w:val="0"/>
        <w:kinsoku/>
        <w:wordWrap w:val="0"/>
        <w:overflowPunct/>
        <w:bidi w:val="0"/>
        <w:spacing w:line="50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本合同一式</w:t>
      </w: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input686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份，均具有同等法律效力，发包人执</w:t>
      </w: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input687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份，承包人执</w:t>
      </w: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input688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bCs/>
          <w:color w:val="auto"/>
          <w:kern w:val="0"/>
          <w:sz w:val="24"/>
          <w:szCs w:val="24"/>
          <w:highlight w:val="none"/>
        </w:rPr>
        <w:t>份。</w:t>
      </w:r>
    </w:p>
    <w:p w14:paraId="2E3E9072">
      <w:pPr>
        <w:keepNext w:val="0"/>
        <w:keepLines w:val="0"/>
        <w:pageBreakBefore w:val="0"/>
        <w:kinsoku/>
        <w:wordWrap w:val="0"/>
        <w:overflowPunct/>
        <w:bidi w:val="0"/>
        <w:spacing w:line="500" w:lineRule="exac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br w:type="page"/>
      </w:r>
    </w:p>
    <w:tbl>
      <w:tblPr>
        <w:tblStyle w:val="29"/>
        <w:tblW w:w="0" w:type="auto"/>
        <w:jc w:val="center"/>
        <w:tblLayout w:type="fixed"/>
        <w:tblCellMar>
          <w:top w:w="0" w:type="dxa"/>
          <w:left w:w="108" w:type="dxa"/>
          <w:bottom w:w="0" w:type="dxa"/>
          <w:right w:w="108" w:type="dxa"/>
        </w:tblCellMar>
      </w:tblPr>
      <w:tblGrid>
        <w:gridCol w:w="2269"/>
        <w:gridCol w:w="2118"/>
        <w:gridCol w:w="2073"/>
        <w:gridCol w:w="2826"/>
      </w:tblGrid>
      <w:tr w14:paraId="0CF058AA">
        <w:tblPrEx>
          <w:tblCellMar>
            <w:top w:w="0" w:type="dxa"/>
            <w:left w:w="108" w:type="dxa"/>
            <w:bottom w:w="0" w:type="dxa"/>
            <w:right w:w="108" w:type="dxa"/>
          </w:tblCellMar>
        </w:tblPrEx>
        <w:trPr>
          <w:cantSplit/>
          <w:jc w:val="center"/>
        </w:trPr>
        <w:tc>
          <w:tcPr>
            <w:tcW w:w="2269" w:type="dxa"/>
            <w:vAlign w:val="center"/>
          </w:tcPr>
          <w:p w14:paraId="2D3590C2">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w:t>
            </w:r>
          </w:p>
        </w:tc>
        <w:tc>
          <w:tcPr>
            <w:tcW w:w="2118" w:type="dxa"/>
            <w:vAlign w:val="center"/>
          </w:tcPr>
          <w:p w14:paraId="21D1224E">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input689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color w:val="auto"/>
                <w:kern w:val="0"/>
                <w:sz w:val="24"/>
                <w:szCs w:val="24"/>
                <w:highlight w:val="none"/>
              </w:rPr>
              <w:t>(公章)</w:t>
            </w:r>
          </w:p>
        </w:tc>
        <w:tc>
          <w:tcPr>
            <w:tcW w:w="2073" w:type="dxa"/>
            <w:vAlign w:val="center"/>
          </w:tcPr>
          <w:p w14:paraId="5EDBD4FA">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w:t>
            </w:r>
          </w:p>
        </w:tc>
        <w:tc>
          <w:tcPr>
            <w:tcW w:w="2826" w:type="dxa"/>
            <w:vAlign w:val="center"/>
          </w:tcPr>
          <w:p w14:paraId="7C5D5ADE">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input690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color w:val="auto"/>
                <w:kern w:val="0"/>
                <w:sz w:val="24"/>
                <w:szCs w:val="24"/>
                <w:highlight w:val="none"/>
              </w:rPr>
              <w:t>(公章)</w:t>
            </w:r>
          </w:p>
        </w:tc>
      </w:tr>
      <w:tr w14:paraId="7EBC377F">
        <w:tblPrEx>
          <w:tblCellMar>
            <w:top w:w="0" w:type="dxa"/>
            <w:left w:w="108" w:type="dxa"/>
            <w:bottom w:w="0" w:type="dxa"/>
            <w:right w:w="108" w:type="dxa"/>
          </w:tblCellMar>
        </w:tblPrEx>
        <w:trPr>
          <w:cantSplit/>
          <w:jc w:val="center"/>
        </w:trPr>
        <w:tc>
          <w:tcPr>
            <w:tcW w:w="2269" w:type="dxa"/>
            <w:vAlign w:val="center"/>
          </w:tcPr>
          <w:p w14:paraId="729A9EB7">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法定代表人或其委托代理人：</w:t>
            </w:r>
          </w:p>
        </w:tc>
        <w:tc>
          <w:tcPr>
            <w:tcW w:w="2118" w:type="dxa"/>
            <w:vAlign w:val="center"/>
          </w:tcPr>
          <w:p w14:paraId="5ADE44C4">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input691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color w:val="auto"/>
                <w:kern w:val="0"/>
                <w:sz w:val="24"/>
                <w:szCs w:val="24"/>
                <w:highlight w:val="none"/>
              </w:rPr>
              <w:t>（签字）</w:t>
            </w:r>
          </w:p>
        </w:tc>
        <w:tc>
          <w:tcPr>
            <w:tcW w:w="2073" w:type="dxa"/>
            <w:vAlign w:val="center"/>
          </w:tcPr>
          <w:p w14:paraId="5D682663">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法定代表人或其委托代理人：</w:t>
            </w:r>
          </w:p>
        </w:tc>
        <w:tc>
          <w:tcPr>
            <w:tcW w:w="2826" w:type="dxa"/>
            <w:vAlign w:val="center"/>
          </w:tcPr>
          <w:p w14:paraId="409029B4">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input692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r>
              <w:rPr>
                <w:rFonts w:hint="eastAsia" w:ascii="宋体" w:hAnsi="宋体" w:eastAsia="宋体" w:cs="宋体"/>
                <w:color w:val="auto"/>
                <w:kern w:val="0"/>
                <w:sz w:val="24"/>
                <w:szCs w:val="24"/>
                <w:highlight w:val="none"/>
              </w:rPr>
              <w:t>（签字）</w:t>
            </w:r>
          </w:p>
        </w:tc>
      </w:tr>
      <w:tr w14:paraId="58B4765E">
        <w:tblPrEx>
          <w:tblCellMar>
            <w:top w:w="0" w:type="dxa"/>
            <w:left w:w="108" w:type="dxa"/>
            <w:bottom w:w="0" w:type="dxa"/>
            <w:right w:w="108" w:type="dxa"/>
          </w:tblCellMar>
        </w:tblPrEx>
        <w:trPr>
          <w:cantSplit/>
          <w:jc w:val="center"/>
        </w:trPr>
        <w:tc>
          <w:tcPr>
            <w:tcW w:w="2269" w:type="dxa"/>
            <w:vAlign w:val="center"/>
          </w:tcPr>
          <w:p w14:paraId="0F0E2116">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p>
        </w:tc>
        <w:tc>
          <w:tcPr>
            <w:tcW w:w="2118" w:type="dxa"/>
            <w:vAlign w:val="center"/>
          </w:tcPr>
          <w:p w14:paraId="7FB02A19">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input693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75A65410">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p>
        </w:tc>
        <w:tc>
          <w:tcPr>
            <w:tcW w:w="2826" w:type="dxa"/>
            <w:vAlign w:val="center"/>
          </w:tcPr>
          <w:p w14:paraId="728578ED">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input694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241CD13B">
        <w:tblPrEx>
          <w:tblCellMar>
            <w:top w:w="0" w:type="dxa"/>
            <w:left w:w="108" w:type="dxa"/>
            <w:bottom w:w="0" w:type="dxa"/>
            <w:right w:w="108" w:type="dxa"/>
          </w:tblCellMar>
        </w:tblPrEx>
        <w:trPr>
          <w:cantSplit/>
          <w:jc w:val="center"/>
        </w:trPr>
        <w:tc>
          <w:tcPr>
            <w:tcW w:w="2269" w:type="dxa"/>
            <w:vAlign w:val="center"/>
          </w:tcPr>
          <w:p w14:paraId="20C9DA4F">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p>
        </w:tc>
        <w:tc>
          <w:tcPr>
            <w:tcW w:w="2118" w:type="dxa"/>
            <w:vAlign w:val="center"/>
          </w:tcPr>
          <w:p w14:paraId="0CCAC519">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input695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77E6F896">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p>
        </w:tc>
        <w:tc>
          <w:tcPr>
            <w:tcW w:w="2826" w:type="dxa"/>
            <w:vAlign w:val="center"/>
          </w:tcPr>
          <w:p w14:paraId="6AACB6FE">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input696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041F7CEE">
        <w:tblPrEx>
          <w:tblCellMar>
            <w:top w:w="0" w:type="dxa"/>
            <w:left w:w="108" w:type="dxa"/>
            <w:bottom w:w="0" w:type="dxa"/>
            <w:right w:w="108" w:type="dxa"/>
          </w:tblCellMar>
        </w:tblPrEx>
        <w:trPr>
          <w:cantSplit/>
          <w:jc w:val="center"/>
        </w:trPr>
        <w:tc>
          <w:tcPr>
            <w:tcW w:w="2269" w:type="dxa"/>
            <w:vAlign w:val="center"/>
          </w:tcPr>
          <w:p w14:paraId="2AA9ED2A">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2118" w:type="dxa"/>
            <w:vAlign w:val="center"/>
          </w:tcPr>
          <w:p w14:paraId="2CEFD84C">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input697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442E46A8">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2826" w:type="dxa"/>
            <w:vAlign w:val="center"/>
          </w:tcPr>
          <w:p w14:paraId="565EF64F">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input698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526A8DDA">
        <w:tblPrEx>
          <w:tblCellMar>
            <w:top w:w="0" w:type="dxa"/>
            <w:left w:w="108" w:type="dxa"/>
            <w:bottom w:w="0" w:type="dxa"/>
            <w:right w:w="108" w:type="dxa"/>
          </w:tblCellMar>
        </w:tblPrEx>
        <w:trPr>
          <w:cantSplit/>
          <w:jc w:val="center"/>
        </w:trPr>
        <w:tc>
          <w:tcPr>
            <w:tcW w:w="2269" w:type="dxa"/>
            <w:vAlign w:val="center"/>
          </w:tcPr>
          <w:p w14:paraId="0E7C45FF">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118" w:type="dxa"/>
            <w:vAlign w:val="center"/>
          </w:tcPr>
          <w:p w14:paraId="10B461D4">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input699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2105DB46">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826" w:type="dxa"/>
            <w:vAlign w:val="center"/>
          </w:tcPr>
          <w:p w14:paraId="1EA59007">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input700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29E68815">
        <w:tblPrEx>
          <w:tblCellMar>
            <w:top w:w="0" w:type="dxa"/>
            <w:left w:w="108" w:type="dxa"/>
            <w:bottom w:w="0" w:type="dxa"/>
            <w:right w:w="108" w:type="dxa"/>
          </w:tblCellMar>
        </w:tblPrEx>
        <w:trPr>
          <w:cantSplit/>
          <w:jc w:val="center"/>
        </w:trPr>
        <w:tc>
          <w:tcPr>
            <w:tcW w:w="2269" w:type="dxa"/>
            <w:vAlign w:val="center"/>
          </w:tcPr>
          <w:p w14:paraId="1494CA25">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委托代理人：</w:t>
            </w:r>
          </w:p>
        </w:tc>
        <w:tc>
          <w:tcPr>
            <w:tcW w:w="2118" w:type="dxa"/>
            <w:vAlign w:val="center"/>
          </w:tcPr>
          <w:p w14:paraId="7442FC9E">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input701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06B6F584">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委托代理人：</w:t>
            </w:r>
          </w:p>
        </w:tc>
        <w:tc>
          <w:tcPr>
            <w:tcW w:w="2826" w:type="dxa"/>
            <w:vAlign w:val="center"/>
          </w:tcPr>
          <w:p w14:paraId="21A8E193">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input702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62153835">
        <w:tblPrEx>
          <w:tblCellMar>
            <w:top w:w="0" w:type="dxa"/>
            <w:left w:w="108" w:type="dxa"/>
            <w:bottom w:w="0" w:type="dxa"/>
            <w:right w:w="108" w:type="dxa"/>
          </w:tblCellMar>
        </w:tblPrEx>
        <w:trPr>
          <w:cantSplit/>
          <w:jc w:val="center"/>
        </w:trPr>
        <w:tc>
          <w:tcPr>
            <w:tcW w:w="2269" w:type="dxa"/>
            <w:vAlign w:val="center"/>
          </w:tcPr>
          <w:p w14:paraId="436483B9">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p>
        </w:tc>
        <w:tc>
          <w:tcPr>
            <w:tcW w:w="2118" w:type="dxa"/>
            <w:vAlign w:val="center"/>
          </w:tcPr>
          <w:p w14:paraId="5F003ADE">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input703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42F99A31">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p>
        </w:tc>
        <w:tc>
          <w:tcPr>
            <w:tcW w:w="2826" w:type="dxa"/>
            <w:vAlign w:val="center"/>
          </w:tcPr>
          <w:p w14:paraId="23C42D6D">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input704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01A32CDF">
        <w:tblPrEx>
          <w:tblCellMar>
            <w:top w:w="0" w:type="dxa"/>
            <w:left w:w="108" w:type="dxa"/>
            <w:bottom w:w="0" w:type="dxa"/>
            <w:right w:w="108" w:type="dxa"/>
          </w:tblCellMar>
        </w:tblPrEx>
        <w:trPr>
          <w:cantSplit/>
          <w:jc w:val="center"/>
        </w:trPr>
        <w:tc>
          <w:tcPr>
            <w:tcW w:w="2269" w:type="dxa"/>
            <w:vAlign w:val="center"/>
          </w:tcPr>
          <w:p w14:paraId="07EDE937">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    真：</w:t>
            </w:r>
          </w:p>
        </w:tc>
        <w:tc>
          <w:tcPr>
            <w:tcW w:w="2118" w:type="dxa"/>
            <w:vAlign w:val="center"/>
          </w:tcPr>
          <w:p w14:paraId="6D8E5165">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input705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45A3A055">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    真：</w:t>
            </w:r>
          </w:p>
        </w:tc>
        <w:tc>
          <w:tcPr>
            <w:tcW w:w="2826" w:type="dxa"/>
            <w:vAlign w:val="center"/>
          </w:tcPr>
          <w:p w14:paraId="2ADCAC54">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input706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7BC0328E">
        <w:tblPrEx>
          <w:tblCellMar>
            <w:top w:w="0" w:type="dxa"/>
            <w:left w:w="108" w:type="dxa"/>
            <w:bottom w:w="0" w:type="dxa"/>
            <w:right w:w="108" w:type="dxa"/>
          </w:tblCellMar>
        </w:tblPrEx>
        <w:trPr>
          <w:cantSplit/>
          <w:jc w:val="center"/>
        </w:trPr>
        <w:tc>
          <w:tcPr>
            <w:tcW w:w="2269" w:type="dxa"/>
            <w:vAlign w:val="center"/>
          </w:tcPr>
          <w:p w14:paraId="256F8F03">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p>
        </w:tc>
        <w:tc>
          <w:tcPr>
            <w:tcW w:w="2118" w:type="dxa"/>
            <w:vAlign w:val="center"/>
          </w:tcPr>
          <w:p w14:paraId="6DA2EDE6">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input707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35243F7B">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p>
        </w:tc>
        <w:tc>
          <w:tcPr>
            <w:tcW w:w="2826" w:type="dxa"/>
            <w:vAlign w:val="center"/>
          </w:tcPr>
          <w:p w14:paraId="2CBA3DDF">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input708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5E641679">
        <w:tblPrEx>
          <w:tblCellMar>
            <w:top w:w="0" w:type="dxa"/>
            <w:left w:w="108" w:type="dxa"/>
            <w:bottom w:w="0" w:type="dxa"/>
            <w:right w:w="108" w:type="dxa"/>
          </w:tblCellMar>
        </w:tblPrEx>
        <w:trPr>
          <w:cantSplit/>
          <w:jc w:val="center"/>
        </w:trPr>
        <w:tc>
          <w:tcPr>
            <w:tcW w:w="2269" w:type="dxa"/>
            <w:vAlign w:val="center"/>
          </w:tcPr>
          <w:p w14:paraId="1DC53253">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p>
        </w:tc>
        <w:tc>
          <w:tcPr>
            <w:tcW w:w="2118" w:type="dxa"/>
            <w:vAlign w:val="center"/>
          </w:tcPr>
          <w:p w14:paraId="1DCF4D4F">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input709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3B30B544">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p>
        </w:tc>
        <w:tc>
          <w:tcPr>
            <w:tcW w:w="2826" w:type="dxa"/>
            <w:vAlign w:val="center"/>
          </w:tcPr>
          <w:p w14:paraId="315CD34F">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input710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r w14:paraId="3DD3CA57">
        <w:tblPrEx>
          <w:tblCellMar>
            <w:top w:w="0" w:type="dxa"/>
            <w:left w:w="108" w:type="dxa"/>
            <w:bottom w:w="0" w:type="dxa"/>
            <w:right w:w="108" w:type="dxa"/>
          </w:tblCellMar>
        </w:tblPrEx>
        <w:trPr>
          <w:cantSplit/>
          <w:jc w:val="center"/>
        </w:trPr>
        <w:tc>
          <w:tcPr>
            <w:tcW w:w="2269" w:type="dxa"/>
            <w:vAlign w:val="center"/>
          </w:tcPr>
          <w:p w14:paraId="13A09321">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    号：</w:t>
            </w:r>
          </w:p>
        </w:tc>
        <w:tc>
          <w:tcPr>
            <w:tcW w:w="2118" w:type="dxa"/>
            <w:vAlign w:val="center"/>
          </w:tcPr>
          <w:p w14:paraId="4F7859A6">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input711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c>
          <w:tcPr>
            <w:tcW w:w="2073" w:type="dxa"/>
            <w:vAlign w:val="center"/>
          </w:tcPr>
          <w:p w14:paraId="6DB6ADE0">
            <w:pPr>
              <w:keepNext w:val="0"/>
              <w:keepLines w:val="0"/>
              <w:pageBreakBefore w:val="0"/>
              <w:kinsoku/>
              <w:wordWrap w:val="0"/>
              <w:overflowPunct/>
              <w:topLinePunct/>
              <w:bidi w:val="0"/>
              <w:adjustRightInd w:val="0"/>
              <w:snapToGrid w:val="0"/>
              <w:spacing w:line="500" w:lineRule="exact"/>
              <w:jc w:val="righ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    号：</w:t>
            </w:r>
          </w:p>
        </w:tc>
        <w:tc>
          <w:tcPr>
            <w:tcW w:w="2826" w:type="dxa"/>
            <w:vAlign w:val="center"/>
          </w:tcPr>
          <w:p w14:paraId="576C5CAD">
            <w:pPr>
              <w:keepNext w:val="0"/>
              <w:keepLines w:val="0"/>
              <w:pageBreakBefore w:val="0"/>
              <w:kinsoku/>
              <w:wordWrap w:val="0"/>
              <w:overflowPunct/>
              <w:topLinePunct/>
              <w:bidi w:val="0"/>
              <w:adjustRightInd w:val="0"/>
              <w:snapToGrid w:val="0"/>
              <w:spacing w:line="500" w:lineRule="exac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fldChar w:fldCharType="begin"/>
            </w:r>
            <w:r>
              <w:rPr>
                <w:rFonts w:hint="eastAsia" w:ascii="宋体" w:hAnsi="宋体" w:eastAsia="宋体" w:cs="宋体"/>
                <w:color w:val="auto"/>
                <w:kern w:val="0"/>
                <w:sz w:val="24"/>
                <w:szCs w:val="24"/>
                <w:highlight w:val="none"/>
                <w:u w:val="single"/>
              </w:rPr>
              <w:instrText xml:space="preserve"> AUTOTEXT  input719 \* MERGEFORMAT </w:instrText>
            </w:r>
            <w:r>
              <w:rPr>
                <w:rFonts w:hint="eastAsia" w:ascii="宋体" w:hAnsi="宋体" w:eastAsia="宋体" w:cs="宋体"/>
                <w:color w:val="auto"/>
                <w:kern w:val="0"/>
                <w:sz w:val="24"/>
                <w:szCs w:val="24"/>
                <w:highlight w:val="none"/>
                <w:u w:val="single"/>
              </w:rPr>
              <w:fldChar w:fldCharType="separate"/>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fldChar w:fldCharType="end"/>
            </w:r>
          </w:p>
        </w:tc>
      </w:tr>
    </w:tbl>
    <w:p w14:paraId="5ED58025">
      <w:pPr>
        <w:keepNext w:val="0"/>
        <w:keepLines w:val="0"/>
        <w:pageBreakBefore w:val="0"/>
        <w:widowControl/>
        <w:kinsoku/>
        <w:wordWrap w:val="0"/>
        <w:overflowPunct/>
        <w:topLinePunct w:val="0"/>
        <w:bidi w:val="0"/>
        <w:spacing w:line="500" w:lineRule="exact"/>
        <w:jc w:val="center"/>
        <w:textAlignment w:val="auto"/>
        <w:outlineLvl w:val="1"/>
        <w:rPr>
          <w:rFonts w:hint="eastAsia" w:ascii="宋体" w:hAnsi="宋体" w:eastAsia="宋体" w:cs="宋体"/>
          <w:b/>
          <w:bCs/>
          <w:color w:val="auto"/>
          <w:kern w:val="0"/>
          <w:sz w:val="28"/>
          <w:szCs w:val="28"/>
          <w:highlight w:val="none"/>
        </w:rPr>
      </w:pPr>
      <w:r>
        <w:rPr>
          <w:rFonts w:hint="eastAsia" w:ascii="宋体" w:hAnsi="宋体" w:eastAsia="宋体" w:cs="宋体"/>
          <w:color w:val="auto"/>
          <w:kern w:val="0"/>
          <w:sz w:val="28"/>
          <w:szCs w:val="28"/>
          <w:highlight w:val="none"/>
        </w:rPr>
        <w:br w:type="page"/>
      </w:r>
      <w:bookmarkStart w:id="315" w:name="_Toc16664"/>
      <w:bookmarkStart w:id="316" w:name="_Toc5132"/>
      <w:bookmarkStart w:id="317" w:name="_Toc4360"/>
      <w:r>
        <w:rPr>
          <w:rFonts w:hint="eastAsia" w:ascii="宋体" w:hAnsi="宋体" w:eastAsia="宋体" w:cs="宋体"/>
          <w:b/>
          <w:bCs/>
          <w:color w:val="auto"/>
          <w:kern w:val="0"/>
          <w:sz w:val="28"/>
          <w:szCs w:val="28"/>
          <w:highlight w:val="none"/>
        </w:rPr>
        <w:t>第二部分 通用合同条款</w:t>
      </w:r>
      <w:bookmarkEnd w:id="315"/>
      <w:bookmarkEnd w:id="316"/>
      <w:bookmarkEnd w:id="317"/>
    </w:p>
    <w:p w14:paraId="402D579A">
      <w:pPr>
        <w:keepNext w:val="0"/>
        <w:keepLines w:val="0"/>
        <w:pageBreakBefore w:val="0"/>
        <w:kinsoku/>
        <w:wordWrap w:val="0"/>
        <w:overflowPunct/>
        <w:topLinePunct w:val="0"/>
        <w:bidi w:val="0"/>
        <w:spacing w:before="0" w:beforeLines="0" w:beforeAutospacing="0" w:after="0" w:afterLines="0" w:afterAutospacing="0" w:line="500" w:lineRule="exact"/>
        <w:ind w:firstLine="482" w:firstLineChars="200"/>
        <w:jc w:val="center"/>
        <w:textAlignment w:val="auto"/>
        <w:outlineLvl w:val="9"/>
        <w:rPr>
          <w:rFonts w:hint="eastAsia" w:ascii="宋体" w:hAnsi="宋体" w:cs="宋体"/>
          <w:b/>
          <w:bCs/>
          <w:color w:val="000000" w:themeColor="text1"/>
          <w:sz w:val="24"/>
          <w:szCs w:val="24"/>
          <w:highlight w:val="none"/>
          <w:lang w:eastAsia="zh-CN"/>
          <w14:textFill>
            <w14:solidFill>
              <w14:schemeClr w14:val="tx1"/>
            </w14:solidFill>
          </w14:textFill>
        </w:rPr>
      </w:pPr>
    </w:p>
    <w:p w14:paraId="7570A9A6">
      <w:pPr>
        <w:keepNext w:val="0"/>
        <w:keepLines w:val="0"/>
        <w:pageBreakBefore w:val="0"/>
        <w:kinsoku/>
        <w:wordWrap w:val="0"/>
        <w:overflowPunct/>
        <w:topLinePunct w:val="0"/>
        <w:bidi w:val="0"/>
        <w:spacing w:before="0" w:beforeLines="0" w:beforeAutospacing="0" w:after="0" w:afterLines="0" w:afterAutospacing="0" w:line="500" w:lineRule="exact"/>
        <w:ind w:firstLine="482" w:firstLineChars="200"/>
        <w:jc w:val="center"/>
        <w:textAlignment w:val="auto"/>
        <w:outlineLvl w:val="9"/>
        <w:rPr>
          <w:rFonts w:hint="eastAsia" w:ascii="宋体" w:hAnsi="宋体" w:eastAsia="宋体" w:cs="宋体"/>
          <w:b/>
          <w:color w:val="auto"/>
          <w:kern w:val="0"/>
          <w:sz w:val="28"/>
          <w:szCs w:val="28"/>
          <w:highlight w:val="none"/>
        </w:rPr>
      </w:pPr>
      <w:r>
        <w:rPr>
          <w:rFonts w:hint="eastAsia" w:ascii="宋体" w:hAnsi="宋体" w:cs="宋体"/>
          <w:b/>
          <w:bCs/>
          <w:color w:val="000000" w:themeColor="text1"/>
          <w:sz w:val="24"/>
          <w:szCs w:val="24"/>
          <w:highlight w:val="none"/>
          <w:lang w:eastAsia="zh-CN"/>
          <w14:textFill>
            <w14:solidFill>
              <w14:schemeClr w14:val="tx1"/>
            </w14:solidFill>
          </w14:textFill>
        </w:rPr>
        <w:t>按</w:t>
      </w:r>
      <w:r>
        <w:rPr>
          <w:rFonts w:hint="eastAsia" w:ascii="宋体" w:hAnsi="宋体" w:eastAsia="宋体" w:cs="宋体"/>
          <w:b/>
          <w:bCs/>
          <w:color w:val="000000" w:themeColor="text1"/>
          <w:sz w:val="24"/>
          <w:szCs w:val="24"/>
          <w:highlight w:val="none"/>
          <w14:textFill>
            <w14:solidFill>
              <w14:schemeClr w14:val="tx1"/>
            </w14:solidFill>
          </w14:textFill>
        </w:rPr>
        <w:t>《建设工程施工合同（示范文本）》（GF-2013-0201）合同通用条款要求执行</w:t>
      </w:r>
    </w:p>
    <w:p w14:paraId="0E163157">
      <w:pPr>
        <w:keepNext w:val="0"/>
        <w:keepLines w:val="0"/>
        <w:pageBreakBefore w:val="0"/>
        <w:kinsoku/>
        <w:wordWrap w:val="0"/>
        <w:overflowPunct/>
        <w:topLinePunct w:val="0"/>
        <w:bidi w:val="0"/>
        <w:spacing w:before="0" w:beforeLines="0" w:beforeAutospacing="0" w:after="0" w:afterLines="0" w:afterAutospacing="0" w:line="500" w:lineRule="exact"/>
        <w:ind w:firstLine="562" w:firstLineChars="200"/>
        <w:jc w:val="center"/>
        <w:textAlignment w:val="auto"/>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br w:type="page"/>
      </w:r>
      <w:bookmarkStart w:id="318" w:name="_Toc3882"/>
      <w:bookmarkStart w:id="319" w:name="_Toc3507"/>
      <w:bookmarkStart w:id="320" w:name="_Toc17246"/>
      <w:r>
        <w:rPr>
          <w:rFonts w:hint="eastAsia" w:ascii="宋体" w:hAnsi="宋体" w:eastAsia="宋体" w:cs="宋体"/>
          <w:b/>
          <w:color w:val="auto"/>
          <w:kern w:val="0"/>
          <w:sz w:val="28"/>
          <w:szCs w:val="28"/>
          <w:highlight w:val="none"/>
        </w:rPr>
        <w:t>第三部分 专用合同条款</w:t>
      </w:r>
      <w:bookmarkEnd w:id="318"/>
      <w:bookmarkEnd w:id="319"/>
      <w:bookmarkEnd w:id="320"/>
    </w:p>
    <w:p w14:paraId="0AC689F3">
      <w:pPr>
        <w:keepNext w:val="0"/>
        <w:keepLines w:val="0"/>
        <w:pageBreakBefore w:val="0"/>
        <w:kinsoku/>
        <w:wordWrap w:val="0"/>
        <w:overflowPunct/>
        <w:topLinePunct w:val="0"/>
        <w:bidi w:val="0"/>
        <w:spacing w:line="500" w:lineRule="exact"/>
        <w:ind w:firstLine="560" w:firstLineChars="200"/>
        <w:textAlignment w:val="auto"/>
        <w:rPr>
          <w:rFonts w:hint="eastAsia" w:ascii="宋体" w:hAnsi="宋体" w:eastAsia="宋体" w:cs="宋体"/>
          <w:color w:val="auto"/>
          <w:kern w:val="0"/>
          <w:sz w:val="28"/>
          <w:szCs w:val="28"/>
          <w:highlight w:val="none"/>
        </w:rPr>
      </w:pPr>
      <w:bookmarkStart w:id="321" w:name="_Toc351203652_0"/>
    </w:p>
    <w:p w14:paraId="70727189">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合同专用合同条款与本合同通用合同条款不一致或相抵触的，按本合同专用合同条款执行。本工程专用合同条款编号与通用合同条款编号是一致的，如果两者的规定发生抵触，以专用合同条款的规定为准。专用合同条款中未做明确规定的条款执行通用合同条款。</w:t>
      </w:r>
    </w:p>
    <w:p w14:paraId="4F45A51A">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color w:val="auto"/>
          <w:kern w:val="0"/>
          <w:sz w:val="24"/>
          <w:szCs w:val="24"/>
          <w:highlight w:val="none"/>
        </w:rPr>
      </w:pPr>
    </w:p>
    <w:p w14:paraId="7CD20A0D">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Start w:id="322" w:name="_Toc292559361"/>
      <w:bookmarkStart w:id="323" w:name="_Toc297048342"/>
      <w:bookmarkStart w:id="324" w:name="_Toc292559866"/>
      <w:bookmarkStart w:id="325" w:name="_Toc296346657"/>
      <w:bookmarkStart w:id="326" w:name="_Toc296890984"/>
      <w:bookmarkStart w:id="327" w:name="_Toc296944495"/>
      <w:bookmarkStart w:id="328" w:name="_Toc296891196"/>
      <w:bookmarkStart w:id="329" w:name="_Toc296503156"/>
      <w:bookmarkStart w:id="330" w:name="_Toc296347155"/>
      <w:bookmarkStart w:id="331" w:name="_Toc297120456"/>
      <w:r>
        <w:rPr>
          <w:rFonts w:hint="eastAsia" w:ascii="宋体" w:hAnsi="宋体" w:eastAsia="宋体" w:cs="宋体"/>
          <w:color w:val="auto"/>
          <w:kern w:val="0"/>
          <w:sz w:val="24"/>
          <w:szCs w:val="24"/>
          <w:highlight w:val="none"/>
        </w:rPr>
        <w:t>. 一般约定</w:t>
      </w:r>
    </w:p>
    <w:bookmarkEnd w:id="322"/>
    <w:bookmarkEnd w:id="323"/>
    <w:bookmarkEnd w:id="324"/>
    <w:bookmarkEnd w:id="325"/>
    <w:bookmarkEnd w:id="326"/>
    <w:bookmarkEnd w:id="327"/>
    <w:bookmarkEnd w:id="328"/>
    <w:bookmarkEnd w:id="329"/>
    <w:bookmarkEnd w:id="330"/>
    <w:bookmarkEnd w:id="331"/>
    <w:p w14:paraId="1F27E5C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 词语定义</w:t>
      </w:r>
    </w:p>
    <w:p w14:paraId="28B28DA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1.1.1合同</w:t>
      </w:r>
    </w:p>
    <w:p w14:paraId="7E8550F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1.1.1.10其他合同文件包括：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履行合同过程中双方确认的对合同有影响的会议纪要、签证、及设计变更等相关资料。</w:t>
      </w:r>
    </w:p>
    <w:p w14:paraId="4E28740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 合同当事人及其他相关方</w:t>
      </w:r>
    </w:p>
    <w:p w14:paraId="6754E16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1.1.2.4监理人：</w:t>
      </w:r>
    </w:p>
    <w:p w14:paraId="0450C0F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    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F3DEDF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资质类别和等级：</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9A11C1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1F463F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177472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8C8339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1.1.2.5 设计人：</w:t>
      </w:r>
    </w:p>
    <w:p w14:paraId="2B1A4D6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    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54246C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资质类别和等级：</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F952F7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44FFA9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C18BC5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35A658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1.1.2.10 造价咨询人：</w:t>
      </w:r>
    </w:p>
    <w:p w14:paraId="464A50E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    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4053D6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资质类别和等级：</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885795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EBCDF1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3C7010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1037E9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 工程和设备</w:t>
      </w:r>
    </w:p>
    <w:p w14:paraId="0363248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1.1.3.7 作为施工现场组成部分的其他场所包括：</w:t>
      </w:r>
      <w:r>
        <w:rPr>
          <w:rFonts w:hint="eastAsia" w:ascii="宋体" w:hAnsi="宋体" w:eastAsia="宋体" w:cs="宋体"/>
          <w:b/>
          <w:color w:val="auto"/>
          <w:kern w:val="0"/>
          <w:sz w:val="24"/>
          <w:szCs w:val="24"/>
          <w:highlight w:val="none"/>
          <w:u w:val="single"/>
        </w:rPr>
        <w:t>现场临时办公及施工场地</w:t>
      </w:r>
      <w:r>
        <w:rPr>
          <w:rFonts w:hint="eastAsia" w:ascii="宋体" w:hAnsi="宋体" w:eastAsia="宋体" w:cs="宋体"/>
          <w:color w:val="auto"/>
          <w:kern w:val="0"/>
          <w:sz w:val="24"/>
          <w:szCs w:val="24"/>
          <w:highlight w:val="none"/>
        </w:rPr>
        <w:t>。</w:t>
      </w:r>
    </w:p>
    <w:p w14:paraId="6FBCC4B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1.1.3.9 永久占地包括：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按照设计图纸确定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40F53A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1.1.3.10 临时占地包括：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合同履行中确定 </w:t>
      </w:r>
      <w:r>
        <w:rPr>
          <w:rFonts w:hint="eastAsia" w:ascii="宋体" w:hAnsi="宋体" w:eastAsia="宋体" w:cs="宋体"/>
          <w:color w:val="auto"/>
          <w:kern w:val="0"/>
          <w:sz w:val="24"/>
          <w:szCs w:val="24"/>
          <w:highlight w:val="none"/>
        </w:rPr>
        <w:t>。</w:t>
      </w:r>
    </w:p>
    <w:p w14:paraId="0A7BCEC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1.3法律 </w:t>
      </w:r>
    </w:p>
    <w:p w14:paraId="30C4AC00">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适用于合同的其他规范性文件：</w:t>
      </w:r>
      <w:r>
        <w:rPr>
          <w:rFonts w:hint="eastAsia" w:ascii="宋体" w:hAnsi="宋体" w:eastAsia="宋体" w:cs="宋体"/>
          <w:b/>
          <w:color w:val="auto"/>
          <w:kern w:val="0"/>
          <w:sz w:val="24"/>
          <w:szCs w:val="24"/>
          <w:highlight w:val="none"/>
          <w:u w:val="single" w:color="000000"/>
        </w:rPr>
        <w:t>《中华人民共和国民法典》《中华人民共和国建筑法》《中华人民共和国</w:t>
      </w:r>
      <w:r>
        <w:rPr>
          <w:rFonts w:hint="eastAsia" w:ascii="宋体" w:hAnsi="宋体" w:eastAsia="宋体" w:cs="宋体"/>
          <w:b/>
          <w:color w:val="auto"/>
          <w:kern w:val="0"/>
          <w:sz w:val="24"/>
          <w:szCs w:val="24"/>
          <w:highlight w:val="none"/>
          <w:u w:val="single" w:color="000000"/>
          <w:lang w:eastAsia="zh-CN"/>
        </w:rPr>
        <w:t>政府采购法</w:t>
      </w:r>
      <w:r>
        <w:rPr>
          <w:rFonts w:hint="eastAsia" w:ascii="宋体" w:hAnsi="宋体" w:eastAsia="宋体" w:cs="宋体"/>
          <w:b/>
          <w:color w:val="auto"/>
          <w:kern w:val="0"/>
          <w:sz w:val="24"/>
          <w:szCs w:val="24"/>
          <w:highlight w:val="none"/>
          <w:u w:val="single" w:color="000000"/>
        </w:rPr>
        <w:t>》《中华人民共和国安全生产法》《建设工程质量管理条例》，以及其他有关法律、法规。</w:t>
      </w:r>
    </w:p>
    <w:p w14:paraId="2DCFBAE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 标准和规范</w:t>
      </w:r>
    </w:p>
    <w:p w14:paraId="4DC3D65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1.4.1适用于工程的标准规范包括：</w:t>
      </w:r>
      <w:r>
        <w:rPr>
          <w:rFonts w:hint="eastAsia" w:ascii="宋体" w:hAnsi="宋体" w:eastAsia="宋体" w:cs="宋体"/>
          <w:b/>
          <w:color w:val="auto"/>
          <w:kern w:val="0"/>
          <w:sz w:val="24"/>
          <w:szCs w:val="24"/>
          <w:highlight w:val="none"/>
          <w:u w:val="single" w:color="000000"/>
        </w:rPr>
        <w:t>国家和地方现行的有关标准、规范、详细施工图</w:t>
      </w:r>
      <w:r>
        <w:rPr>
          <w:rFonts w:hint="eastAsia" w:ascii="宋体" w:hAnsi="宋体" w:eastAsia="宋体" w:cs="宋体"/>
          <w:color w:val="auto"/>
          <w:kern w:val="0"/>
          <w:sz w:val="24"/>
          <w:szCs w:val="24"/>
          <w:highlight w:val="none"/>
          <w:u w:val="single" w:color="000000"/>
        </w:rPr>
        <w:t>。</w:t>
      </w:r>
    </w:p>
    <w:p w14:paraId="36D8E5D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1.4.2 发包人提供国外标准、规范的名称：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无</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1A9A0B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发包人提供国外标准、规范的份数：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无</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9771F2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发包人提供国外标准、规范的名称：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无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EC14D3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1.4.3发包人对工程的技术标准和功能要求的特殊要求：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无  </w:t>
      </w:r>
      <w:r>
        <w:rPr>
          <w:rFonts w:hint="eastAsia" w:ascii="宋体" w:hAnsi="宋体" w:eastAsia="宋体" w:cs="宋体"/>
          <w:b/>
          <w:color w:val="auto"/>
          <w:kern w:val="0"/>
          <w:sz w:val="24"/>
          <w:szCs w:val="24"/>
          <w:highlight w:val="none"/>
        </w:rPr>
        <w:t>。</w:t>
      </w:r>
    </w:p>
    <w:p w14:paraId="1BA6112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 合同文件的优先顺序</w:t>
      </w:r>
    </w:p>
    <w:p w14:paraId="4BA06840">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合同文件组成及优先顺序为：</w:t>
      </w:r>
      <w:r>
        <w:rPr>
          <w:rFonts w:hint="eastAsia" w:ascii="宋体" w:hAnsi="宋体" w:eastAsia="宋体" w:cs="宋体"/>
          <w:b/>
          <w:bCs/>
          <w:color w:val="auto"/>
          <w:kern w:val="0"/>
          <w:sz w:val="24"/>
          <w:szCs w:val="24"/>
          <w:highlight w:val="none"/>
          <w:u w:val="single"/>
        </w:rPr>
        <w:t>（1）项目实施期间签订的补充合同、补充协议、会议纪要；（2）合同协议书；（3）</w:t>
      </w:r>
      <w:r>
        <w:rPr>
          <w:rFonts w:hint="eastAsia" w:ascii="宋体" w:hAnsi="宋体" w:eastAsia="宋体" w:cs="宋体"/>
          <w:b/>
          <w:bCs/>
          <w:color w:val="auto"/>
          <w:kern w:val="0"/>
          <w:sz w:val="24"/>
          <w:szCs w:val="24"/>
          <w:highlight w:val="none"/>
          <w:u w:val="single"/>
          <w:lang w:eastAsia="zh-CN"/>
        </w:rPr>
        <w:t>成交通知书</w:t>
      </w:r>
      <w:r>
        <w:rPr>
          <w:rFonts w:hint="eastAsia" w:ascii="宋体" w:hAnsi="宋体" w:eastAsia="宋体" w:cs="宋体"/>
          <w:b/>
          <w:bCs/>
          <w:color w:val="auto"/>
          <w:kern w:val="0"/>
          <w:sz w:val="24"/>
          <w:szCs w:val="24"/>
          <w:highlight w:val="none"/>
          <w:u w:val="single"/>
        </w:rPr>
        <w:t>；（4）</w:t>
      </w:r>
      <w:r>
        <w:rPr>
          <w:rFonts w:hint="eastAsia" w:ascii="宋体" w:hAnsi="宋体" w:eastAsia="宋体" w:cs="宋体"/>
          <w:b/>
          <w:bCs/>
          <w:color w:val="auto"/>
          <w:kern w:val="0"/>
          <w:sz w:val="24"/>
          <w:szCs w:val="24"/>
          <w:highlight w:val="none"/>
          <w:u w:val="single"/>
          <w:lang w:val="en-US" w:eastAsia="zh-CN"/>
        </w:rPr>
        <w:t>磋商函</w:t>
      </w:r>
      <w:r>
        <w:rPr>
          <w:rFonts w:hint="eastAsia" w:ascii="宋体" w:hAnsi="宋体" w:eastAsia="宋体" w:cs="宋体"/>
          <w:b/>
          <w:bCs/>
          <w:color w:val="auto"/>
          <w:kern w:val="0"/>
          <w:sz w:val="24"/>
          <w:szCs w:val="24"/>
          <w:highlight w:val="none"/>
          <w:u w:val="single"/>
        </w:rPr>
        <w:t>；（5）专用合同条款及其附件；（6）通用合同条款；（7）技术标准和要求；（8）图纸；（9）已标价工程量清单；（10）其他合同文件。</w:t>
      </w:r>
    </w:p>
    <w:p w14:paraId="5BF7CC2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 图纸和承包人文件</w:t>
      </w:r>
      <w:r>
        <w:rPr>
          <w:rFonts w:hint="eastAsia" w:ascii="宋体" w:hAnsi="宋体" w:eastAsia="宋体" w:cs="宋体"/>
          <w:color w:val="auto"/>
          <w:kern w:val="0"/>
          <w:sz w:val="24"/>
          <w:szCs w:val="24"/>
          <w:highlight w:val="none"/>
        </w:rPr>
        <w:tab/>
      </w:r>
    </w:p>
    <w:p w14:paraId="78321E2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 图纸的提供</w:t>
      </w:r>
    </w:p>
    <w:p w14:paraId="4EF004A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发包人向承包人提供图纸的期限：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按发包人要求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33D9AAE">
      <w:pPr>
        <w:keepNext w:val="0"/>
        <w:keepLines w:val="0"/>
        <w:pageBreakBefore w:val="0"/>
        <w:kinsoku/>
        <w:wordWrap w:val="0"/>
        <w:overflowPunct/>
        <w:topLinePunct w:val="0"/>
        <w:autoSpaceDE w:val="0"/>
        <w:autoSpaceDN w:val="0"/>
        <w:bidi w:val="0"/>
        <w:adjustRightInd w:val="0"/>
        <w:spacing w:line="500" w:lineRule="exact"/>
        <w:ind w:left="0" w:leftChars="0" w:right="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发包人向承包人提供图纸的数量：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提供施工图4套</w:t>
      </w:r>
      <w:r>
        <w:rPr>
          <w:rFonts w:hint="eastAsia" w:ascii="宋体" w:hAnsi="宋体" w:eastAsia="宋体" w:cs="宋体"/>
          <w:color w:val="auto"/>
          <w:kern w:val="0"/>
          <w:sz w:val="24"/>
          <w:szCs w:val="24"/>
          <w:highlight w:val="none"/>
          <w:u w:val="single"/>
        </w:rPr>
        <w:t>；</w:t>
      </w:r>
    </w:p>
    <w:p w14:paraId="31EA33E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发包人向承包人提供图纸的内容：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全部施工图纸</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3A62A5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1.6.4 承包人文件</w:t>
      </w:r>
    </w:p>
    <w:p w14:paraId="003134A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需要由承包人提供的文件，包括：</w:t>
      </w:r>
      <w:r>
        <w:rPr>
          <w:rFonts w:hint="eastAsia" w:ascii="宋体" w:hAnsi="宋体" w:eastAsia="宋体" w:cs="宋体"/>
          <w:b/>
          <w:color w:val="auto"/>
          <w:kern w:val="0"/>
          <w:sz w:val="24"/>
          <w:szCs w:val="24"/>
          <w:highlight w:val="none"/>
          <w:u w:val="single"/>
        </w:rPr>
        <w:t>实施性施工组织设计及方案</w:t>
      </w:r>
      <w:r>
        <w:rPr>
          <w:rFonts w:hint="eastAsia" w:ascii="宋体" w:hAnsi="宋体" w:eastAsia="宋体" w:cs="宋体"/>
          <w:color w:val="auto"/>
          <w:kern w:val="0"/>
          <w:sz w:val="24"/>
          <w:szCs w:val="24"/>
          <w:highlight w:val="none"/>
        </w:rPr>
        <w:t>；</w:t>
      </w:r>
    </w:p>
    <w:p w14:paraId="00A76AB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承包人提供的文件的期限为：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开工前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474EDD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承包人提供的文件的数量为：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肆份</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7C715A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承包人提供的文件的形式为：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书面文件</w:t>
      </w:r>
      <w:r>
        <w:rPr>
          <w:rFonts w:hint="eastAsia" w:ascii="宋体" w:hAnsi="宋体" w:eastAsia="宋体" w:cs="宋体"/>
          <w:color w:val="auto"/>
          <w:kern w:val="0"/>
          <w:sz w:val="24"/>
          <w:szCs w:val="24"/>
          <w:highlight w:val="none"/>
        </w:rPr>
        <w:t>；</w:t>
      </w:r>
    </w:p>
    <w:p w14:paraId="1BFFF7C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发包人审批承包人文件的期限：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收到文件后7天内审查完毕</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9E5D23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1.6.5 现场图纸准备</w:t>
      </w:r>
    </w:p>
    <w:p w14:paraId="1325E5E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关于现场图纸准备的约定：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承包人应在施工现场另外保存一套完整的图纸和承包人文件，供发包人、监理人及有关人员进行工程检查时使用</w:t>
      </w:r>
      <w:r>
        <w:rPr>
          <w:rFonts w:hint="eastAsia" w:ascii="宋体" w:hAnsi="宋体" w:eastAsia="宋体" w:cs="宋体"/>
          <w:bCs/>
          <w:color w:val="auto"/>
          <w:kern w:val="0"/>
          <w:sz w:val="24"/>
          <w:szCs w:val="24"/>
          <w:highlight w:val="none"/>
        </w:rPr>
        <w:t>。</w:t>
      </w:r>
    </w:p>
    <w:p w14:paraId="06ECAB7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1.7 联络</w:t>
      </w:r>
    </w:p>
    <w:p w14:paraId="36DCE86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1.7.1发包人和承包人应当在</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5</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天内将与合同有关的通知、批准、证明、证书、指示、指令、要求、请求、同意、意见、确定和决定等书面函件送达对方当事人。</w:t>
      </w:r>
    </w:p>
    <w:p w14:paraId="2024225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 发包人接收文件的地点：</w:t>
      </w:r>
      <w:r>
        <w:rPr>
          <w:rFonts w:hint="eastAsia" w:ascii="宋体" w:hAnsi="宋体" w:eastAsia="宋体" w:cs="宋体"/>
          <w:b/>
          <w:color w:val="auto"/>
          <w:kern w:val="0"/>
          <w:sz w:val="24"/>
          <w:szCs w:val="24"/>
          <w:highlight w:val="none"/>
          <w:u w:val="single"/>
        </w:rPr>
        <w:t>发包人另行通知</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FC063B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发包人指定的接收人为：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5ECC02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承包人接收文件的地点：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现场项目部 </w:t>
      </w:r>
      <w:r>
        <w:rPr>
          <w:rFonts w:hint="eastAsia" w:ascii="宋体" w:hAnsi="宋体" w:eastAsia="宋体" w:cs="宋体"/>
          <w:b/>
          <w:color w:val="auto"/>
          <w:kern w:val="0"/>
          <w:sz w:val="24"/>
          <w:szCs w:val="24"/>
          <w:highlight w:val="none"/>
        </w:rPr>
        <w:t>；</w:t>
      </w:r>
    </w:p>
    <w:p w14:paraId="5520903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承包人指定的接收人为：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27517E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监理人接收文件的地点：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现场监理部 </w:t>
      </w:r>
      <w:r>
        <w:rPr>
          <w:rFonts w:hint="eastAsia" w:ascii="宋体" w:hAnsi="宋体" w:eastAsia="宋体" w:cs="宋体"/>
          <w:b/>
          <w:color w:val="auto"/>
          <w:kern w:val="0"/>
          <w:sz w:val="24"/>
          <w:szCs w:val="24"/>
          <w:highlight w:val="none"/>
        </w:rPr>
        <w:t>；</w:t>
      </w:r>
    </w:p>
    <w:p w14:paraId="3BCCA01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监理人指定的接收人为：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575D77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 交通运输</w:t>
      </w:r>
    </w:p>
    <w:p w14:paraId="73B9E8A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Start w:id="332" w:name="_Toc312677986"/>
      <w:bookmarkStart w:id="333" w:name="_Toc318581155"/>
      <w:bookmarkStart w:id="334" w:name="_Toc304295521"/>
      <w:bookmarkStart w:id="335" w:name="_Toc300934943"/>
      <w:bookmarkStart w:id="336" w:name="_Toc303539100"/>
      <w:r>
        <w:rPr>
          <w:rFonts w:hint="eastAsia" w:ascii="宋体" w:hAnsi="宋体" w:eastAsia="宋体" w:cs="宋体"/>
          <w:color w:val="auto"/>
          <w:kern w:val="0"/>
          <w:sz w:val="24"/>
          <w:szCs w:val="24"/>
          <w:highlight w:val="none"/>
        </w:rPr>
        <w:t>.10.1 出入现场的权利</w:t>
      </w:r>
    </w:p>
    <w:p w14:paraId="32B150B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关于出入现场的权利的约定：</w:t>
      </w:r>
      <w:r>
        <w:rPr>
          <w:rFonts w:hint="eastAsia" w:ascii="宋体" w:hAnsi="宋体" w:eastAsia="宋体" w:cs="宋体"/>
          <w:b/>
          <w:color w:val="auto"/>
          <w:kern w:val="0"/>
          <w:sz w:val="24"/>
          <w:szCs w:val="24"/>
          <w:highlight w:val="none"/>
          <w:u w:val="single"/>
        </w:rPr>
        <w:t>由承包人按照发包人要求负责取得出入施工现场所需的批准手续和全部权利</w:t>
      </w:r>
      <w:r>
        <w:rPr>
          <w:rFonts w:hint="eastAsia" w:ascii="宋体" w:hAnsi="宋体" w:eastAsia="宋体" w:cs="宋体"/>
          <w:bCs/>
          <w:color w:val="auto"/>
          <w:kern w:val="0"/>
          <w:sz w:val="24"/>
          <w:szCs w:val="24"/>
          <w:highlight w:val="none"/>
        </w:rPr>
        <w:t>。</w:t>
      </w:r>
    </w:p>
    <w:bookmarkEnd w:id="332"/>
    <w:bookmarkEnd w:id="333"/>
    <w:bookmarkEnd w:id="334"/>
    <w:bookmarkEnd w:id="335"/>
    <w:bookmarkEnd w:id="336"/>
    <w:p w14:paraId="2B0B027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Start w:id="337" w:name="_Toc303539101"/>
      <w:bookmarkStart w:id="338" w:name="_Toc318581156"/>
      <w:bookmarkStart w:id="339" w:name="_Toc312677987"/>
      <w:bookmarkStart w:id="340" w:name="_Toc300934944"/>
      <w:bookmarkStart w:id="341" w:name="_Toc304295522"/>
      <w:r>
        <w:rPr>
          <w:rFonts w:hint="eastAsia" w:ascii="宋体" w:hAnsi="宋体" w:eastAsia="宋体" w:cs="宋体"/>
          <w:color w:val="auto"/>
          <w:kern w:val="0"/>
          <w:sz w:val="24"/>
          <w:szCs w:val="24"/>
          <w:highlight w:val="none"/>
        </w:rPr>
        <w:t>.10.3 场内交通</w:t>
      </w:r>
    </w:p>
    <w:p w14:paraId="78A071C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关于场外交通和场内交通的边界的约定：</w:t>
      </w:r>
      <w:r>
        <w:rPr>
          <w:rFonts w:hint="eastAsia" w:ascii="宋体" w:hAnsi="宋体" w:eastAsia="宋体" w:cs="宋体"/>
          <w:b/>
          <w:color w:val="auto"/>
          <w:kern w:val="0"/>
          <w:sz w:val="24"/>
          <w:szCs w:val="24"/>
          <w:highlight w:val="none"/>
          <w:u w:val="single"/>
        </w:rPr>
        <w:t>以现场实际施工条件为准</w:t>
      </w:r>
      <w:r>
        <w:rPr>
          <w:rFonts w:hint="eastAsia" w:ascii="宋体" w:hAnsi="宋体" w:eastAsia="宋体" w:cs="宋体"/>
          <w:color w:val="auto"/>
          <w:kern w:val="0"/>
          <w:sz w:val="24"/>
          <w:szCs w:val="24"/>
          <w:highlight w:val="none"/>
        </w:rPr>
        <w:t>。</w:t>
      </w:r>
    </w:p>
    <w:p w14:paraId="6168CDE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关于发包人向承包人免费提供满足工程施工需要的场内道路和交通设施的约定：</w:t>
      </w:r>
      <w:r>
        <w:rPr>
          <w:rFonts w:hint="eastAsia" w:ascii="宋体" w:hAnsi="宋体" w:eastAsia="宋体" w:cs="宋体"/>
          <w:b/>
          <w:color w:val="auto"/>
          <w:kern w:val="0"/>
          <w:sz w:val="24"/>
          <w:szCs w:val="24"/>
          <w:highlight w:val="none"/>
          <w:u w:val="single"/>
        </w:rPr>
        <w:t>以现场实际施工条件为准</w:t>
      </w:r>
      <w:r>
        <w:rPr>
          <w:rFonts w:hint="eastAsia" w:ascii="宋体" w:hAnsi="宋体" w:eastAsia="宋体" w:cs="宋体"/>
          <w:color w:val="auto"/>
          <w:kern w:val="0"/>
          <w:sz w:val="24"/>
          <w:szCs w:val="24"/>
          <w:highlight w:val="none"/>
        </w:rPr>
        <w:t>。</w:t>
      </w:r>
      <w:bookmarkEnd w:id="337"/>
      <w:bookmarkEnd w:id="338"/>
      <w:bookmarkEnd w:id="339"/>
      <w:bookmarkEnd w:id="340"/>
      <w:bookmarkEnd w:id="341"/>
      <w:r>
        <w:rPr>
          <w:rFonts w:hint="eastAsia" w:ascii="宋体" w:hAnsi="宋体" w:eastAsia="宋体" w:cs="宋体"/>
          <w:color w:val="auto"/>
          <w:kern w:val="0"/>
          <w:sz w:val="24"/>
          <w:szCs w:val="24"/>
          <w:highlight w:val="none"/>
        </w:rPr>
        <w:t xml:space="preserve">  </w:t>
      </w:r>
      <w:bookmarkStart w:id="342" w:name="_Toc318581157"/>
    </w:p>
    <w:p w14:paraId="2F7F307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1.10.4超大件和超重件的运输</w:t>
      </w:r>
    </w:p>
    <w:p w14:paraId="5AE8686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运输超大件或超重件所需的道路和桥梁临时加固改造费用和其他有关费用由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承包人 </w:t>
      </w:r>
      <w:r>
        <w:rPr>
          <w:rFonts w:hint="eastAsia" w:ascii="宋体" w:hAnsi="宋体" w:eastAsia="宋体" w:cs="宋体"/>
          <w:color w:val="auto"/>
          <w:kern w:val="0"/>
          <w:sz w:val="24"/>
          <w:szCs w:val="24"/>
          <w:highlight w:val="none"/>
        </w:rPr>
        <w:t>承担。</w:t>
      </w:r>
    </w:p>
    <w:bookmarkEnd w:id="342"/>
    <w:p w14:paraId="05C24DF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 知识产权</w:t>
      </w:r>
    </w:p>
    <w:p w14:paraId="01B17AC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属于发包人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934340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关于发包人提供的上述文件的使用限制的要求：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rPr>
        <w:t>。</w:t>
      </w:r>
    </w:p>
    <w:p w14:paraId="1903416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1.11.2 关于承包人为实施工程所编制文件的著作权的归属：</w:t>
      </w:r>
      <w:r>
        <w:rPr>
          <w:rFonts w:hint="eastAsia" w:ascii="宋体" w:hAnsi="宋体" w:eastAsia="宋体" w:cs="宋体"/>
          <w:b/>
          <w:color w:val="auto"/>
          <w:kern w:val="0"/>
          <w:sz w:val="24"/>
          <w:szCs w:val="24"/>
          <w:highlight w:val="none"/>
          <w:u w:val="single"/>
        </w:rPr>
        <w:t>除署名权以外的著作权属于发包人</w:t>
      </w:r>
      <w:r>
        <w:rPr>
          <w:rFonts w:hint="eastAsia" w:ascii="宋体" w:hAnsi="宋体" w:eastAsia="宋体" w:cs="宋体"/>
          <w:color w:val="auto"/>
          <w:kern w:val="0"/>
          <w:sz w:val="24"/>
          <w:szCs w:val="24"/>
          <w:highlight w:val="none"/>
        </w:rPr>
        <w:t>。</w:t>
      </w:r>
    </w:p>
    <w:p w14:paraId="6A9935D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关于承包人提供的上述文件的使用限制的要求：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rPr>
        <w:t>。</w:t>
      </w:r>
    </w:p>
    <w:p w14:paraId="238DCC8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1.11.4 承包人在施工过程中所采用的专利、专有技术、技术秘密的使用费的承担方式：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D72C8E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1.13工程量清单错误的修正</w:t>
      </w:r>
    </w:p>
    <w:p w14:paraId="4E7F78A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出现工程量清单错误时，是否调整合同价格：</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见变更估价条款约定</w:t>
      </w:r>
      <w:r>
        <w:rPr>
          <w:rFonts w:hint="eastAsia" w:ascii="宋体" w:hAnsi="宋体" w:eastAsia="宋体" w:cs="宋体"/>
          <w:color w:val="auto"/>
          <w:kern w:val="0"/>
          <w:sz w:val="24"/>
          <w:szCs w:val="24"/>
          <w:highlight w:val="none"/>
        </w:rPr>
        <w:t>。</w:t>
      </w:r>
    </w:p>
    <w:p w14:paraId="66D69DC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允许调整合同价格的工程量偏差范围：</w:t>
      </w:r>
      <w:r>
        <w:rPr>
          <w:rFonts w:hint="eastAsia" w:ascii="宋体" w:hAnsi="宋体" w:eastAsia="宋体" w:cs="宋体"/>
          <w:b/>
          <w:bCs/>
          <w:color w:val="auto"/>
          <w:kern w:val="0"/>
          <w:sz w:val="24"/>
          <w:szCs w:val="24"/>
          <w:highlight w:val="none"/>
          <w:u w:val="single"/>
        </w:rPr>
        <w:t>见变更估价条款约定</w:t>
      </w:r>
      <w:r>
        <w:rPr>
          <w:rFonts w:hint="eastAsia" w:ascii="宋体" w:hAnsi="宋体" w:eastAsia="宋体" w:cs="宋体"/>
          <w:color w:val="auto"/>
          <w:kern w:val="0"/>
          <w:sz w:val="24"/>
          <w:szCs w:val="24"/>
          <w:highlight w:val="none"/>
        </w:rPr>
        <w:t>。</w:t>
      </w:r>
    </w:p>
    <w:p w14:paraId="50378986">
      <w:pPr>
        <w:keepNext w:val="0"/>
        <w:keepLines w:val="0"/>
        <w:pageBreakBefore w:val="0"/>
        <w:numPr>
          <w:ilvl w:val="0"/>
          <w:numId w:val="8"/>
        </w:numPr>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343" w:name="_Toc351203634"/>
      <w:bookmarkStart w:id="344" w:name="_Toc296891197"/>
      <w:bookmarkStart w:id="345" w:name="_Toc292559867"/>
      <w:bookmarkStart w:id="346" w:name="_Toc297120457"/>
      <w:bookmarkStart w:id="347" w:name="_Toc292559362"/>
      <w:bookmarkStart w:id="348" w:name="_Toc297048343"/>
      <w:bookmarkStart w:id="349" w:name="_Toc296890985"/>
      <w:bookmarkStart w:id="350" w:name="_Toc296346658"/>
      <w:bookmarkStart w:id="351" w:name="_Toc296944496"/>
      <w:bookmarkStart w:id="352" w:name="_Toc296503157"/>
      <w:bookmarkStart w:id="353" w:name="_Toc296347156"/>
      <w:r>
        <w:rPr>
          <w:rFonts w:hint="eastAsia" w:ascii="宋体" w:hAnsi="宋体" w:eastAsia="宋体" w:cs="宋体"/>
          <w:color w:val="auto"/>
          <w:kern w:val="0"/>
          <w:sz w:val="24"/>
          <w:szCs w:val="24"/>
          <w:highlight w:val="none"/>
        </w:rPr>
        <w:t>发包人</w:t>
      </w:r>
      <w:bookmarkEnd w:id="343"/>
    </w:p>
    <w:p w14:paraId="6616A80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2.1许可或批准</w:t>
      </w:r>
    </w:p>
    <w:p w14:paraId="7A03C95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1BAC0F2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因发包人原因未能及时办理完毕前述许可、批准或备案，由此增加的费用和（或）延误的工期，承包人自行考虑计入</w:t>
      </w:r>
      <w:r>
        <w:rPr>
          <w:rFonts w:hint="eastAsia" w:ascii="宋体" w:hAnsi="宋体" w:eastAsia="宋体" w:cs="宋体"/>
          <w:color w:val="auto"/>
          <w:kern w:val="0"/>
          <w:sz w:val="24"/>
          <w:szCs w:val="24"/>
          <w:highlight w:val="none"/>
          <w:lang w:eastAsia="zh-CN"/>
        </w:rPr>
        <w:t>报价</w:t>
      </w:r>
      <w:r>
        <w:rPr>
          <w:rFonts w:hint="eastAsia" w:ascii="宋体" w:hAnsi="宋体" w:eastAsia="宋体" w:cs="宋体"/>
          <w:color w:val="auto"/>
          <w:kern w:val="0"/>
          <w:sz w:val="24"/>
          <w:szCs w:val="24"/>
          <w:highlight w:val="none"/>
        </w:rPr>
        <w:t>中，发包人不再另行支付。</w:t>
      </w:r>
    </w:p>
    <w:bookmarkEnd w:id="344"/>
    <w:bookmarkEnd w:id="345"/>
    <w:bookmarkEnd w:id="346"/>
    <w:bookmarkEnd w:id="347"/>
    <w:bookmarkEnd w:id="348"/>
    <w:bookmarkEnd w:id="349"/>
    <w:bookmarkEnd w:id="350"/>
    <w:bookmarkEnd w:id="351"/>
    <w:bookmarkEnd w:id="352"/>
    <w:bookmarkEnd w:id="353"/>
    <w:p w14:paraId="07D8E1F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 发包人代表</w:t>
      </w:r>
    </w:p>
    <w:p w14:paraId="3D1CEAD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发包人代表：</w:t>
      </w:r>
    </w:p>
    <w:p w14:paraId="301A5BD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    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B9CAEE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身份证号：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378109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    务：</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AFC1B7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46943C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84FFB1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B91B18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发包人对发包人代表的授权范围如下：</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color="000000"/>
        </w:rPr>
        <w:t>(1)确认承包人提出的顺延工期的签证；(2)对发生的不可抗力造成工程无法施工的处置；(3)设计变更及施工条件变更等有关签证的确认；(4)工程竣工验收报告的确认；(5)工程预付款和进度款的审批；(6)处理和协调外部施工条件；(7)代表发包人行使本合同约定的其它权利和义务。</w:t>
      </w:r>
    </w:p>
    <w:p w14:paraId="4379AB4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 施工现场、施工条件和基础资料的提供</w:t>
      </w:r>
    </w:p>
    <w:p w14:paraId="1D47999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2.4.1 提供施工现场</w:t>
      </w:r>
    </w:p>
    <w:p w14:paraId="4023800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关于发包人移交施工现场的期限要求：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开工前7天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A61A6D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2.4.2 提供施工条件</w:t>
      </w:r>
    </w:p>
    <w:p w14:paraId="06D02FBA">
      <w:pPr>
        <w:keepNext w:val="0"/>
        <w:keepLines w:val="0"/>
        <w:pageBreakBefore w:val="0"/>
        <w:kinsoku/>
        <w:wordWrap w:val="0"/>
        <w:overflowPunct/>
        <w:topLinePunct w:val="0"/>
        <w:autoSpaceDE w:val="0"/>
        <w:autoSpaceDN w:val="0"/>
        <w:bidi w:val="0"/>
        <w:adjustRightInd w:val="0"/>
        <w:spacing w:line="500" w:lineRule="exact"/>
        <w:ind w:left="0" w:leftChars="0" w:right="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关于发包人应负责提供施工所需要的条件，包括：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rPr>
        <w:t>。</w:t>
      </w:r>
    </w:p>
    <w:p w14:paraId="04144AB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 资金来源证明及支付担保</w:t>
      </w:r>
    </w:p>
    <w:p w14:paraId="0B29A88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发包人提供资金来源证明的期限要求：</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109208F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发包人是否提供支付担保：</w:t>
      </w:r>
      <w:r>
        <w:rPr>
          <w:rFonts w:hint="eastAsia" w:ascii="宋体" w:hAnsi="宋体" w:eastAsia="宋体" w:cs="宋体"/>
          <w:color w:val="auto"/>
          <w:kern w:val="0"/>
          <w:sz w:val="24"/>
          <w:szCs w:val="24"/>
          <w:highlight w:val="none"/>
          <w:u w:val="single"/>
        </w:rPr>
        <w:t>否</w:t>
      </w:r>
      <w:r>
        <w:rPr>
          <w:rFonts w:hint="eastAsia" w:ascii="宋体" w:hAnsi="宋体" w:eastAsia="宋体" w:cs="宋体"/>
          <w:color w:val="auto"/>
          <w:kern w:val="0"/>
          <w:sz w:val="24"/>
          <w:szCs w:val="24"/>
          <w:highlight w:val="none"/>
        </w:rPr>
        <w:t>。</w:t>
      </w:r>
    </w:p>
    <w:p w14:paraId="7B87D90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发包人提供支付担保的形式：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CF4F1C4">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354" w:name="_Toc351203635"/>
      <w:r>
        <w:rPr>
          <w:rFonts w:hint="eastAsia" w:ascii="宋体" w:hAnsi="宋体" w:eastAsia="宋体" w:cs="宋体"/>
          <w:color w:val="auto"/>
          <w:kern w:val="0"/>
          <w:sz w:val="24"/>
          <w:szCs w:val="24"/>
          <w:highlight w:val="none"/>
        </w:rPr>
        <w:t>3</w:t>
      </w:r>
      <w:bookmarkStart w:id="355" w:name="_Toc297048344"/>
      <w:bookmarkStart w:id="356" w:name="_Toc292559363"/>
      <w:bookmarkStart w:id="357" w:name="_Toc292559868"/>
      <w:bookmarkStart w:id="358" w:name="_Toc296503158"/>
      <w:bookmarkStart w:id="359" w:name="_Toc296346659"/>
      <w:bookmarkStart w:id="360" w:name="_Toc296890986"/>
      <w:bookmarkStart w:id="361" w:name="_Toc296347157"/>
      <w:bookmarkStart w:id="362" w:name="_Toc297120458"/>
      <w:bookmarkStart w:id="363" w:name="_Toc296944497"/>
      <w:bookmarkStart w:id="364" w:name="_Toc296891198"/>
      <w:r>
        <w:rPr>
          <w:rFonts w:hint="eastAsia" w:ascii="宋体" w:hAnsi="宋体" w:eastAsia="宋体" w:cs="宋体"/>
          <w:color w:val="auto"/>
          <w:kern w:val="0"/>
          <w:sz w:val="24"/>
          <w:szCs w:val="24"/>
          <w:highlight w:val="none"/>
        </w:rPr>
        <w:t>. 承包人</w:t>
      </w:r>
      <w:bookmarkEnd w:id="354"/>
    </w:p>
    <w:bookmarkEnd w:id="355"/>
    <w:bookmarkEnd w:id="356"/>
    <w:bookmarkEnd w:id="357"/>
    <w:bookmarkEnd w:id="358"/>
    <w:bookmarkEnd w:id="359"/>
    <w:bookmarkEnd w:id="360"/>
    <w:bookmarkEnd w:id="361"/>
    <w:bookmarkEnd w:id="362"/>
    <w:bookmarkEnd w:id="363"/>
    <w:bookmarkEnd w:id="364"/>
    <w:p w14:paraId="4977BB0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 承包人的一般义务</w:t>
      </w:r>
    </w:p>
    <w:p w14:paraId="26A0FF1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（9）承包人提交的竣工资料的内容：</w:t>
      </w:r>
      <w:r>
        <w:rPr>
          <w:rFonts w:hint="eastAsia" w:ascii="宋体" w:hAnsi="宋体" w:eastAsia="宋体" w:cs="宋体"/>
          <w:b/>
          <w:color w:val="auto"/>
          <w:kern w:val="0"/>
          <w:sz w:val="24"/>
          <w:szCs w:val="24"/>
          <w:highlight w:val="none"/>
          <w:u w:val="single" w:color="000000"/>
        </w:rPr>
        <w:t>提供符合城建档案部门和行政质检监督部门要求的竣工图及竣工资料</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A1CBEB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承包人需要提交的竣工资料套数：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color="000000"/>
        </w:rPr>
        <w:t>按发包人和城建档案馆要求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36717C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承包人提交的竣工资料的费用承担：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承包人承担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347618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承包人提交的竣工资料移交时间：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color="000000"/>
        </w:rPr>
        <w:t>本工程验收后28日内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4CFCC8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承包人提交的竣工资料形式要求：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书面及电子文档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9C79FF9">
      <w:pPr>
        <w:keepNext w:val="0"/>
        <w:keepLines w:val="0"/>
        <w:pageBreakBefore w:val="0"/>
        <w:kinsoku/>
        <w:wordWrap w:val="0"/>
        <w:overflowPunct/>
        <w:topLinePunct w:val="0"/>
        <w:autoSpaceDE w:val="0"/>
        <w:autoSpaceDN w:val="0"/>
        <w:bidi w:val="0"/>
        <w:adjustRightInd w:val="0"/>
        <w:spacing w:line="500" w:lineRule="exact"/>
        <w:ind w:left="0" w:leftChars="0"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（10）承包人应履行的其他义务：</w:t>
      </w:r>
    </w:p>
    <w:p w14:paraId="1169D1D2">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color="000000"/>
        </w:rPr>
        <w:t>①承包人应按发包人的指令，完成发包人要求的对工程内容的任何增加和删减。</w:t>
      </w:r>
    </w:p>
    <w:p w14:paraId="49D9A2CB">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u w:val="single" w:color="000000"/>
        </w:rPr>
        <w:t>②承包人应积极主动核对图纸中的标高、轴线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74CBAED6">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color="000000"/>
        </w:rPr>
        <w:t>③承包人使用的临时用水、临时用电等设施在合同执行期间，如发包人要求为其他承包人提供分表接口的，承包人应予无条件同意。</w:t>
      </w:r>
    </w:p>
    <w:p w14:paraId="21F3EE41">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color="000000"/>
        </w:rPr>
        <w:t>④</w:t>
      </w:r>
      <w:r>
        <w:rPr>
          <w:rFonts w:hint="eastAsia" w:ascii="宋体" w:hAnsi="宋体" w:eastAsia="宋体" w:cs="宋体"/>
          <w:b/>
          <w:color w:val="auto"/>
          <w:kern w:val="0"/>
          <w:sz w:val="24"/>
          <w:szCs w:val="24"/>
          <w:highlight w:val="none"/>
          <w:u w:val="single"/>
        </w:rPr>
        <w:t>承包人应做好现场安全文明施工及已有成品保护工作。必须制定和执行有效的扬尘处理措施。现场运输材料、堆放材料等造成的路面的污染；现场施工及生活产生的垃圾应该每天有人清除。</w:t>
      </w:r>
    </w:p>
    <w:p w14:paraId="47DF3AB3">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rPr>
        <w:t>⑤必须遵守建设单位的相关制度</w:t>
      </w:r>
      <w:r>
        <w:rPr>
          <w:rFonts w:hint="eastAsia" w:ascii="宋体" w:hAnsi="宋体" w:eastAsia="宋体" w:cs="宋体"/>
          <w:b/>
          <w:color w:val="auto"/>
          <w:kern w:val="0"/>
          <w:sz w:val="24"/>
          <w:szCs w:val="24"/>
          <w:highlight w:val="none"/>
          <w:u w:val="single"/>
          <w:lang w:eastAsia="zh-CN"/>
        </w:rPr>
        <w:t>，</w:t>
      </w:r>
      <w:r>
        <w:rPr>
          <w:rFonts w:hint="eastAsia" w:ascii="宋体" w:hAnsi="宋体" w:eastAsia="宋体" w:cs="宋体"/>
          <w:b/>
          <w:color w:val="auto"/>
          <w:kern w:val="0"/>
          <w:sz w:val="24"/>
          <w:szCs w:val="24"/>
          <w:highlight w:val="none"/>
          <w:u w:val="single"/>
        </w:rPr>
        <w:t>服从管理。</w:t>
      </w:r>
    </w:p>
    <w:p w14:paraId="78DB58A7">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rPr>
        <w:t>⑥</w:t>
      </w:r>
      <w:r>
        <w:rPr>
          <w:rFonts w:hint="eastAsia" w:ascii="宋体" w:hAnsi="宋体" w:eastAsia="宋体" w:cs="宋体"/>
          <w:b/>
          <w:color w:val="auto"/>
          <w:kern w:val="0"/>
          <w:sz w:val="24"/>
          <w:szCs w:val="24"/>
          <w:highlight w:val="none"/>
          <w:u w:val="single" w:color="000000"/>
        </w:rPr>
        <w:t>承包人应在工地配备一定容量的备用电源，作为施工供电中断时的应急电源。</w:t>
      </w:r>
    </w:p>
    <w:p w14:paraId="69A88FEC">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color="000000"/>
        </w:rPr>
        <w:t>⑦</w:t>
      </w:r>
      <w:r>
        <w:rPr>
          <w:rFonts w:hint="eastAsia" w:ascii="宋体" w:hAnsi="宋体" w:eastAsia="宋体" w:cs="宋体"/>
          <w:b/>
          <w:color w:val="auto"/>
          <w:kern w:val="0"/>
          <w:sz w:val="24"/>
          <w:szCs w:val="24"/>
          <w:highlight w:val="none"/>
          <w:u w:val="single" w:color="000000"/>
          <w:lang w:val="en-US" w:eastAsia="zh-CN"/>
        </w:rPr>
        <w:t>承包人应按照政府相关规定，建立健全的雇员工资发放和劳动保障制度。</w:t>
      </w:r>
    </w:p>
    <w:p w14:paraId="184AC016">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lang w:val="en-US" w:eastAsia="zh-CN"/>
        </w:rPr>
        <w:t>⑧</w:t>
      </w:r>
      <w:r>
        <w:rPr>
          <w:rFonts w:hint="eastAsia" w:ascii="宋体" w:hAnsi="宋体" w:eastAsia="宋体" w:cs="宋体"/>
          <w:b/>
          <w:bCs/>
          <w:color w:val="auto"/>
          <w:kern w:val="0"/>
          <w:sz w:val="24"/>
          <w:szCs w:val="24"/>
          <w:highlight w:val="none"/>
          <w:u w:val="single"/>
        </w:rPr>
        <w:t>承包人签订合同后，应</w:t>
      </w:r>
      <w:r>
        <w:rPr>
          <w:rFonts w:hint="eastAsia" w:ascii="宋体" w:hAnsi="宋体" w:eastAsia="宋体" w:cs="宋体"/>
          <w:b/>
          <w:bCs/>
          <w:color w:val="auto"/>
          <w:kern w:val="0"/>
          <w:sz w:val="24"/>
          <w:szCs w:val="24"/>
          <w:highlight w:val="none"/>
          <w:u w:val="single"/>
          <w:shd w:val="clear" w:color="auto" w:fill="FFFFFF"/>
        </w:rPr>
        <w:t>按照有关规定</w:t>
      </w:r>
      <w:r>
        <w:rPr>
          <w:rFonts w:hint="eastAsia" w:ascii="宋体" w:hAnsi="宋体" w:eastAsia="宋体" w:cs="宋体"/>
          <w:b/>
          <w:bCs/>
          <w:color w:val="auto"/>
          <w:kern w:val="0"/>
          <w:sz w:val="24"/>
          <w:szCs w:val="24"/>
          <w:highlight w:val="none"/>
          <w:u w:val="single"/>
        </w:rPr>
        <w:t>在项目所在地银行开设农民工工资专用账户，专项用于支付本项目农民工工资。承包人委托开户银行负责日常监管，并向开户银行书面承诺该账户资金只能用于支付农民工工资，不得挪作他用。发包人直接将人工费用拨付至农民工工资专用账户，并对承包人按时足额支付农民工工资进行监督。</w:t>
      </w:r>
    </w:p>
    <w:p w14:paraId="394DA29E">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lang w:val="en-US" w:eastAsia="zh-CN"/>
        </w:rPr>
        <w:t>⑨</w:t>
      </w:r>
      <w:r>
        <w:rPr>
          <w:rFonts w:hint="eastAsia" w:ascii="宋体" w:hAnsi="宋体" w:eastAsia="宋体" w:cs="宋体"/>
          <w:b/>
          <w:bCs/>
          <w:color w:val="auto"/>
          <w:kern w:val="0"/>
          <w:sz w:val="24"/>
          <w:szCs w:val="24"/>
          <w:highlight w:val="none"/>
          <w:u w:val="single"/>
        </w:rPr>
        <w:t>承包人应按照《保障农民工工资支付条例》的有关规定存储工资保证金，专项用于支付为所承包工程提供劳动的农民工被拖欠的工资。承包人应当对建设工程各环节的农民工工资支付情况履行监控义务，对所承包建设工程的农民工工资支付负总责，在工程项目竣工通过验收并已结清和足额支付农民工工资前不得支取农民工工资保证金。</w:t>
      </w:r>
    </w:p>
    <w:p w14:paraId="2FFE26D5">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lang w:val="en-US" w:eastAsia="zh-CN"/>
        </w:rPr>
        <w:t>⑩</w:t>
      </w:r>
      <w:r>
        <w:rPr>
          <w:rFonts w:hint="eastAsia" w:ascii="宋体" w:hAnsi="宋体" w:eastAsia="宋体" w:cs="宋体"/>
          <w:b/>
          <w:bCs/>
          <w:color w:val="auto"/>
          <w:kern w:val="0"/>
          <w:sz w:val="24"/>
          <w:szCs w:val="24"/>
          <w:highlight w:val="none"/>
          <w:u w:val="single"/>
        </w:rPr>
        <w:t>承包人应按合同约定的工作内容和施工进度的要求，编制施工组织设计和施工措施计划，并对所有施工作业和施工方法的完备性和安全可靠性负责；施工组织设计虽经监理工程师审查确认，但不免除承包人的责任，承包人为满足施工而对施工组织设计和施工措施进行调整与修改所增加的费用不能作为追加合同价款的理由和依据。</w:t>
      </w:r>
    </w:p>
    <w:p w14:paraId="440A1D98">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⑪承包人应从“对所有施工作业和施工方法的完备性和安全可靠性负责”的工程施工目标出发，认真对施工现场和周围环境进行实地踏勘，充分了解工地位置、情况、道路、储存空间、装卸限制及任何其他足以影响承包价的情况，并收集有关地质、水文、气象条件、交通条件、风俗习惯以及其他为完成合同工作有关的当地资料。承包人不能因为发包人在</w:t>
      </w:r>
      <w:r>
        <w:rPr>
          <w:rFonts w:hint="eastAsia" w:ascii="宋体" w:hAnsi="宋体" w:eastAsia="宋体" w:cs="宋体"/>
          <w:b/>
          <w:bCs/>
          <w:color w:val="auto"/>
          <w:kern w:val="0"/>
          <w:sz w:val="24"/>
          <w:szCs w:val="24"/>
          <w:highlight w:val="none"/>
          <w:u w:val="single"/>
          <w:lang w:val="en-US" w:eastAsia="zh-CN"/>
        </w:rPr>
        <w:t>采购</w:t>
      </w:r>
      <w:r>
        <w:rPr>
          <w:rFonts w:hint="eastAsia" w:ascii="宋体" w:hAnsi="宋体" w:eastAsia="宋体" w:cs="宋体"/>
          <w:b/>
          <w:bCs/>
          <w:color w:val="auto"/>
          <w:kern w:val="0"/>
          <w:sz w:val="24"/>
          <w:szCs w:val="24"/>
          <w:highlight w:val="none"/>
          <w:u w:val="single"/>
        </w:rPr>
        <w:t>阶段提供的相关资料的某些不足而推卸自己按本项约定应承担的责任和风险，要求推延工期和增加费用。在全部合同工作中，视为承包人已充分估计了应承担的责任和风险，任何因忽视或误解工地情况而导致的索赔或工期延长申请将不被批准。</w:t>
      </w:r>
    </w:p>
    <w:p w14:paraId="52E792AE">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color="000000"/>
        </w:rPr>
      </w:pPr>
      <w:r>
        <w:rPr>
          <w:rFonts w:hint="eastAsia" w:ascii="宋体" w:hAnsi="宋体" w:eastAsia="宋体" w:cs="宋体"/>
          <w:b/>
          <w:bCs/>
          <w:color w:val="auto"/>
          <w:kern w:val="0"/>
          <w:sz w:val="24"/>
          <w:szCs w:val="24"/>
          <w:highlight w:val="none"/>
          <w:u w:val="single"/>
        </w:rPr>
        <w:t>⑫施工中若出现交叉作业，承包人应无条件服从发包人安排，影响的工期予以相应顺延，由此产生的误工费承包人自行承担。</w:t>
      </w:r>
    </w:p>
    <w:p w14:paraId="54CE7F2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3.2 </w:t>
      </w:r>
      <w:r>
        <w:rPr>
          <w:rFonts w:hint="eastAsia" w:ascii="宋体" w:hAnsi="宋体" w:eastAsia="宋体" w:cs="宋体"/>
          <w:color w:val="auto"/>
          <w:kern w:val="0"/>
          <w:sz w:val="24"/>
          <w:szCs w:val="24"/>
          <w:highlight w:val="none"/>
          <w:lang w:eastAsia="zh-CN"/>
        </w:rPr>
        <w:t>项目经理</w:t>
      </w:r>
    </w:p>
    <w:p w14:paraId="3D9537C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3.2.1 </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w:t>
      </w:r>
    </w:p>
    <w:p w14:paraId="2BE8854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    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1177CC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身份证号：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0A0461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建造师执业资格等级：</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4C0A19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建造师注册证书号：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59FE1D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建造师执业印章号：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439E73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安全生产考核合格证书号：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0A850D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CFF53C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E331A0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0E4C4C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承包人对</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的授权范围如下：</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全权处理本项目的一切事务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7B4D25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每月在施工现场的时间要求：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color="000000"/>
        </w:rPr>
        <w:t>常驻工地。</w:t>
      </w:r>
    </w:p>
    <w:p w14:paraId="2579D70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承包人未提交劳动合同，以及没有为</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缴纳社会保险证明的违约责任：</w:t>
      </w:r>
      <w:r>
        <w:rPr>
          <w:rFonts w:hint="eastAsia" w:ascii="宋体" w:hAnsi="宋体" w:eastAsia="宋体" w:cs="宋体"/>
          <w:b/>
          <w:color w:val="auto"/>
          <w:kern w:val="0"/>
          <w:sz w:val="24"/>
          <w:szCs w:val="24"/>
          <w:highlight w:val="none"/>
          <w:u w:val="single" w:color="000000"/>
        </w:rPr>
        <w:t xml:space="preserve">承包人无条件承担由此产生的风险、负责及经济损失，发包人有权无条件解除合同 </w:t>
      </w:r>
      <w:r>
        <w:rPr>
          <w:rFonts w:hint="eastAsia" w:ascii="宋体" w:hAnsi="宋体" w:eastAsia="宋体" w:cs="宋体"/>
          <w:color w:val="auto"/>
          <w:kern w:val="0"/>
          <w:sz w:val="24"/>
          <w:szCs w:val="24"/>
          <w:highlight w:val="none"/>
        </w:rPr>
        <w:t>。</w:t>
      </w:r>
    </w:p>
    <w:p w14:paraId="42BA88B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未经批准，擅自离开施工现场的违约责任：</w:t>
      </w:r>
      <w:r>
        <w:rPr>
          <w:rFonts w:hint="eastAsia" w:ascii="宋体" w:hAnsi="宋体" w:eastAsia="宋体" w:cs="宋体"/>
          <w:b/>
          <w:color w:val="auto"/>
          <w:kern w:val="0"/>
          <w:sz w:val="24"/>
          <w:szCs w:val="24"/>
          <w:highlight w:val="none"/>
          <w:u w:val="single" w:color="000000"/>
        </w:rPr>
        <w:t>承包人向发包人支付500元/天的违约金。</w:t>
      </w:r>
    </w:p>
    <w:p w14:paraId="21730A8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3.2.3 承包人擅自更换</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的违约责任：</w:t>
      </w:r>
      <w:r>
        <w:rPr>
          <w:rFonts w:hint="eastAsia" w:ascii="宋体" w:hAnsi="宋体" w:eastAsia="宋体" w:cs="宋体"/>
          <w:b/>
          <w:color w:val="auto"/>
          <w:kern w:val="0"/>
          <w:sz w:val="24"/>
          <w:szCs w:val="24"/>
          <w:highlight w:val="none"/>
          <w:u w:val="single" w:color="000000"/>
        </w:rPr>
        <w:t>承包人向发包人支付违约金50000元，并承担由此产生的一切经济风险、责任及经济损失。</w:t>
      </w:r>
    </w:p>
    <w:p w14:paraId="18030BF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color w:val="auto"/>
          <w:kern w:val="0"/>
          <w:sz w:val="24"/>
          <w:szCs w:val="24"/>
          <w:highlight w:val="none"/>
        </w:rPr>
        <w:t>3.2.4 承包人无正当理由拒绝更换</w:t>
      </w:r>
      <w:r>
        <w:rPr>
          <w:rFonts w:hint="eastAsia" w:ascii="宋体" w:hAnsi="宋体" w:eastAsia="宋体" w:cs="宋体"/>
          <w:color w:val="auto"/>
          <w:kern w:val="0"/>
          <w:sz w:val="24"/>
          <w:szCs w:val="24"/>
          <w:highlight w:val="none"/>
          <w:lang w:eastAsia="zh-CN"/>
        </w:rPr>
        <w:t>项目经理</w:t>
      </w:r>
      <w:r>
        <w:rPr>
          <w:rFonts w:hint="eastAsia" w:ascii="宋体" w:hAnsi="宋体" w:eastAsia="宋体" w:cs="宋体"/>
          <w:color w:val="auto"/>
          <w:kern w:val="0"/>
          <w:sz w:val="24"/>
          <w:szCs w:val="24"/>
          <w:highlight w:val="none"/>
        </w:rPr>
        <w:t>的违约责任：</w:t>
      </w:r>
      <w:r>
        <w:rPr>
          <w:rFonts w:hint="eastAsia" w:ascii="宋体" w:hAnsi="宋体" w:eastAsia="宋体" w:cs="宋体"/>
          <w:b/>
          <w:color w:val="auto"/>
          <w:kern w:val="0"/>
          <w:sz w:val="24"/>
          <w:szCs w:val="24"/>
          <w:highlight w:val="none"/>
          <w:u w:val="single" w:color="000000"/>
        </w:rPr>
        <w:t>承包人向发包人支付违约金30000元，并承担由此产生的一切经济风险、责任及经济损失。</w:t>
      </w:r>
    </w:p>
    <w:p w14:paraId="4E4C31A9">
      <w:pPr>
        <w:keepNext w:val="0"/>
        <w:keepLines w:val="0"/>
        <w:pageBreakBefore w:val="0"/>
        <w:kinsoku/>
        <w:wordWrap w:val="0"/>
        <w:overflowPunct/>
        <w:topLinePunct w:val="0"/>
        <w:bidi w:val="0"/>
        <w:spacing w:after="0" w:afterLines="0" w:afterAutospacing="0"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 承包人人员</w:t>
      </w:r>
    </w:p>
    <w:p w14:paraId="370769C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3.3.1 承包人提交项目管理机构及施工现场管理人员安排报告的期限：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开工前2天内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682BEB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3.3.3 承包人无正当理由拒绝撤换主要施工管理人员的违约责任：</w:t>
      </w:r>
      <w:r>
        <w:rPr>
          <w:rFonts w:hint="eastAsia" w:ascii="宋体" w:hAnsi="宋体" w:eastAsia="宋体" w:cs="宋体"/>
          <w:b/>
          <w:bCs/>
          <w:color w:val="auto"/>
          <w:kern w:val="0"/>
          <w:sz w:val="24"/>
          <w:szCs w:val="24"/>
          <w:highlight w:val="none"/>
          <w:u w:val="single"/>
        </w:rPr>
        <w:t>若项目主要施工管理人员不能胜任本项目工作，发包人有权要求更换，承包人应在2天内及时更换能力胜任的项目主要施工管理人员，承包人拒不更换的处以20000元/次的罚款，并且需承担由于承包人未及时更换项目主要施工管理人员造成的一切经济损失</w:t>
      </w:r>
      <w:r>
        <w:rPr>
          <w:rFonts w:hint="eastAsia" w:ascii="宋体" w:hAnsi="宋体" w:eastAsia="宋体" w:cs="宋体"/>
          <w:color w:val="auto"/>
          <w:kern w:val="0"/>
          <w:sz w:val="24"/>
          <w:szCs w:val="24"/>
          <w:highlight w:val="none"/>
        </w:rPr>
        <w:t>。</w:t>
      </w:r>
    </w:p>
    <w:p w14:paraId="5FD7F04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3.3.4 承包人主要施工管理人员离开施工现场的批准要求：</w:t>
      </w:r>
      <w:r>
        <w:rPr>
          <w:rFonts w:hint="eastAsia" w:ascii="宋体" w:hAnsi="宋体" w:eastAsia="宋体" w:cs="宋体"/>
          <w:b/>
          <w:color w:val="auto"/>
          <w:kern w:val="0"/>
          <w:sz w:val="24"/>
          <w:szCs w:val="24"/>
          <w:highlight w:val="none"/>
          <w:u w:val="single"/>
        </w:rPr>
        <w:t xml:space="preserve"> 由总监理工程师批准，发包人认可方可离开。</w:t>
      </w:r>
    </w:p>
    <w:p w14:paraId="265E961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3.3.5承包人擅自更换主要施工管理人员的违约责任：</w:t>
      </w:r>
      <w:r>
        <w:rPr>
          <w:rFonts w:hint="eastAsia" w:ascii="宋体" w:hAnsi="宋体" w:eastAsia="宋体" w:cs="宋体"/>
          <w:b/>
          <w:color w:val="auto"/>
          <w:kern w:val="0"/>
          <w:sz w:val="24"/>
          <w:szCs w:val="24"/>
          <w:highlight w:val="none"/>
          <w:u w:val="single" w:color="000000"/>
        </w:rPr>
        <w:t>承包人向发包人支付违约金5000元/人</w:t>
      </w:r>
      <w:r>
        <w:rPr>
          <w:rFonts w:hint="eastAsia" w:ascii="宋体" w:hAnsi="宋体" w:eastAsia="宋体" w:cs="宋体"/>
          <w:color w:val="auto"/>
          <w:kern w:val="0"/>
          <w:sz w:val="24"/>
          <w:szCs w:val="24"/>
          <w:highlight w:val="none"/>
        </w:rPr>
        <w:t>。</w:t>
      </w:r>
    </w:p>
    <w:p w14:paraId="3AAD529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承包人主要施工管理人员擅自离开施工现场的违约责任：</w:t>
      </w:r>
      <w:r>
        <w:rPr>
          <w:rFonts w:hint="eastAsia" w:ascii="宋体" w:hAnsi="宋体" w:eastAsia="宋体" w:cs="宋体"/>
          <w:b/>
          <w:color w:val="auto"/>
          <w:kern w:val="0"/>
          <w:sz w:val="24"/>
          <w:szCs w:val="24"/>
          <w:highlight w:val="none"/>
          <w:u w:val="single" w:color="000000"/>
        </w:rPr>
        <w:t>承包人向发包人支付500元/人/天的违约金</w:t>
      </w:r>
      <w:r>
        <w:rPr>
          <w:rFonts w:hint="eastAsia" w:ascii="宋体" w:hAnsi="宋体" w:eastAsia="宋体" w:cs="宋体"/>
          <w:color w:val="auto"/>
          <w:kern w:val="0"/>
          <w:sz w:val="24"/>
          <w:szCs w:val="24"/>
          <w:highlight w:val="none"/>
        </w:rPr>
        <w:t>。</w:t>
      </w:r>
    </w:p>
    <w:p w14:paraId="205B123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bookmarkStart w:id="365" w:name="_Toc303539102"/>
      <w:bookmarkStart w:id="366" w:name="_Toc296891199"/>
      <w:bookmarkStart w:id="367" w:name="_Toc300934945"/>
      <w:bookmarkStart w:id="368" w:name="_Toc296503159"/>
      <w:bookmarkStart w:id="369" w:name="_Toc296890987"/>
      <w:bookmarkStart w:id="370" w:name="_Toc312677988"/>
      <w:bookmarkStart w:id="371" w:name="_Toc297123492"/>
      <w:bookmarkStart w:id="372" w:name="_Toc296944498"/>
      <w:bookmarkStart w:id="373" w:name="_Toc297048345"/>
      <w:bookmarkStart w:id="374" w:name="_Toc292559364"/>
      <w:bookmarkStart w:id="375" w:name="_Toc292559869"/>
      <w:bookmarkStart w:id="376" w:name="_Toc296346660"/>
      <w:bookmarkStart w:id="377" w:name="_Toc296347158"/>
      <w:bookmarkStart w:id="378" w:name="_Toc297120459"/>
      <w:bookmarkStart w:id="379" w:name="_Toc304295523"/>
      <w:bookmarkStart w:id="380" w:name="_Toc297216151"/>
      <w:r>
        <w:rPr>
          <w:rFonts w:hint="eastAsia" w:ascii="宋体" w:hAnsi="宋体" w:eastAsia="宋体" w:cs="宋体"/>
          <w:color w:val="auto"/>
          <w:kern w:val="0"/>
          <w:sz w:val="24"/>
          <w:szCs w:val="24"/>
          <w:highlight w:val="none"/>
        </w:rPr>
        <w:t>.5 分包</w:t>
      </w:r>
    </w:p>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14:paraId="515B355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bookmarkStart w:id="381" w:name="_Toc297120460"/>
      <w:bookmarkStart w:id="382" w:name="_Toc297216152"/>
      <w:bookmarkStart w:id="383" w:name="_Toc296346661"/>
      <w:bookmarkStart w:id="384" w:name="_Toc297123493"/>
      <w:bookmarkStart w:id="385" w:name="_Toc318581158"/>
      <w:bookmarkStart w:id="386" w:name="_Toc304295524"/>
      <w:bookmarkStart w:id="387" w:name="_Toc296503160"/>
      <w:bookmarkStart w:id="388" w:name="_Toc297048346"/>
      <w:bookmarkStart w:id="389" w:name="_Toc296890988"/>
      <w:bookmarkStart w:id="390" w:name="_Toc296347159"/>
      <w:bookmarkStart w:id="391" w:name="_Toc312677989"/>
      <w:bookmarkStart w:id="392" w:name="_Toc292559870"/>
      <w:bookmarkStart w:id="393" w:name="_Toc300934946"/>
      <w:bookmarkStart w:id="394" w:name="_Toc296944499"/>
      <w:bookmarkStart w:id="395" w:name="_Toc296891200"/>
      <w:bookmarkStart w:id="396" w:name="_Toc303539103"/>
      <w:bookmarkStart w:id="397" w:name="_Toc292559365"/>
      <w:r>
        <w:rPr>
          <w:rFonts w:hint="eastAsia" w:ascii="宋体" w:hAnsi="宋体" w:eastAsia="宋体" w:cs="宋体"/>
          <w:color w:val="auto"/>
          <w:kern w:val="0"/>
          <w:sz w:val="24"/>
          <w:szCs w:val="24"/>
          <w:highlight w:val="none"/>
        </w:rPr>
        <w:t>.5.1 分包的一般约定</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Start w:id="398" w:name="_Toc312677990"/>
      <w:bookmarkStart w:id="399" w:name="_Toc318581159"/>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p w14:paraId="210146E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3.5.2分包的确定</w:t>
      </w:r>
    </w:p>
    <w:p w14:paraId="4F1614D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允许分包的专业工程包括：</w:t>
      </w:r>
      <w:r>
        <w:rPr>
          <w:rFonts w:hint="eastAsia" w:ascii="宋体" w:hAnsi="宋体" w:eastAsia="宋体" w:cs="宋体"/>
          <w:b/>
          <w:color w:val="auto"/>
          <w:kern w:val="0"/>
          <w:sz w:val="24"/>
          <w:szCs w:val="24"/>
          <w:highlight w:val="none"/>
          <w:u w:val="single"/>
          <w:lang w:val="en-US" w:eastAsia="zh-CN"/>
        </w:rPr>
        <w:t xml:space="preserve">   /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358A48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其他关于分包的约定：</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p w14:paraId="42BDD52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3.5.4 分包合同价款</w:t>
      </w:r>
    </w:p>
    <w:p w14:paraId="3B931C6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关于分包合同价款支付的约定：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398"/>
    <w:bookmarkEnd w:id="399"/>
    <w:p w14:paraId="2A56225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3.6 工程照管与成品、半成品保护</w:t>
      </w:r>
    </w:p>
    <w:p w14:paraId="4DAFE31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承包人负责照管工程及工程相关的材料、工程设备的起始时间：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95549C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3.7 履约担保</w:t>
      </w:r>
    </w:p>
    <w:p w14:paraId="3562292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承包人是否提供履约担保：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是</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97A271F">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承包人提供履约担保的形式、金额及期限的：</w:t>
      </w:r>
    </w:p>
    <w:p w14:paraId="4D936A6D">
      <w:pPr>
        <w:keepNext w:val="0"/>
        <w:keepLines w:val="0"/>
        <w:pageBreakBefore w:val="0"/>
        <w:kinsoku/>
        <w:wordWrap w:val="0"/>
        <w:overflowPunct/>
        <w:topLinePunct w:val="0"/>
        <w:bidi w:val="0"/>
        <w:spacing w:line="500" w:lineRule="exact"/>
        <w:ind w:firstLine="482" w:firstLineChars="200"/>
        <w:textAlignment w:val="auto"/>
        <w:rPr>
          <w:rFonts w:hint="eastAsia" w:ascii="宋体" w:hAnsi="宋体" w:eastAsia="宋体" w:cs="宋体"/>
          <w:b/>
          <w:bCs/>
          <w:color w:val="auto"/>
          <w:kern w:val="0"/>
          <w:sz w:val="24"/>
          <w:szCs w:val="24"/>
          <w:highlight w:val="none"/>
          <w:u w:val="none"/>
          <w:lang w:val="zh-CN"/>
        </w:rPr>
      </w:pPr>
      <w:r>
        <w:rPr>
          <w:rFonts w:hint="eastAsia" w:ascii="宋体" w:hAnsi="宋体" w:eastAsia="宋体" w:cs="宋体"/>
          <w:b/>
          <w:bCs/>
          <w:color w:val="auto"/>
          <w:kern w:val="0"/>
          <w:sz w:val="24"/>
          <w:szCs w:val="24"/>
          <w:highlight w:val="none"/>
          <w:u w:val="none"/>
          <w:lang w:val="zh-CN"/>
        </w:rPr>
        <w:t>（</w:t>
      </w:r>
      <w:r>
        <w:rPr>
          <w:rFonts w:hint="eastAsia" w:ascii="宋体" w:hAnsi="宋体" w:eastAsia="宋体" w:cs="宋体"/>
          <w:b/>
          <w:bCs/>
          <w:color w:val="auto"/>
          <w:kern w:val="0"/>
          <w:sz w:val="24"/>
          <w:szCs w:val="24"/>
          <w:highlight w:val="none"/>
          <w:u w:val="none"/>
          <w:lang w:val="en-US" w:eastAsia="zh-CN"/>
        </w:rPr>
        <w:t>1</w:t>
      </w:r>
      <w:r>
        <w:rPr>
          <w:rFonts w:hint="eastAsia" w:ascii="宋体" w:hAnsi="宋体" w:eastAsia="宋体" w:cs="宋体"/>
          <w:b/>
          <w:bCs/>
          <w:color w:val="auto"/>
          <w:kern w:val="0"/>
          <w:sz w:val="24"/>
          <w:szCs w:val="24"/>
          <w:highlight w:val="none"/>
          <w:u w:val="none"/>
          <w:lang w:val="zh-CN"/>
        </w:rPr>
        <w:t>）履约保证金的形式：</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b/>
          <w:bCs/>
          <w:color w:val="auto"/>
          <w:kern w:val="0"/>
          <w:sz w:val="24"/>
          <w:szCs w:val="24"/>
          <w:highlight w:val="none"/>
          <w:u w:val="none"/>
          <w:lang w:val="zh-CN"/>
        </w:rPr>
        <w:t>（此处根据承包人实际提交履约保证金的形式选填，形式包括：支票、汇票、本票或者金融机构、担保机构出具的保函等非现金形式）。</w:t>
      </w:r>
    </w:p>
    <w:p w14:paraId="42FC8E56">
      <w:pPr>
        <w:keepNext w:val="0"/>
        <w:keepLines w:val="0"/>
        <w:pageBreakBefore w:val="0"/>
        <w:kinsoku/>
        <w:wordWrap w:val="0"/>
        <w:overflowPunct/>
        <w:topLinePunct w:val="0"/>
        <w:bidi w:val="0"/>
        <w:spacing w:line="500" w:lineRule="exact"/>
        <w:ind w:firstLine="482" w:firstLineChars="200"/>
        <w:textAlignment w:val="auto"/>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zh-CN"/>
        </w:rPr>
        <w:t>（</w:t>
      </w:r>
      <w:r>
        <w:rPr>
          <w:rFonts w:hint="eastAsia" w:ascii="宋体" w:hAnsi="宋体" w:eastAsia="宋体" w:cs="宋体"/>
          <w:b/>
          <w:bCs/>
          <w:color w:val="auto"/>
          <w:kern w:val="0"/>
          <w:sz w:val="24"/>
          <w:szCs w:val="24"/>
          <w:highlight w:val="none"/>
          <w:u w:val="none"/>
          <w:lang w:val="en-US" w:eastAsia="zh-CN"/>
        </w:rPr>
        <w:t>2</w:t>
      </w:r>
      <w:r>
        <w:rPr>
          <w:rFonts w:hint="eastAsia" w:ascii="宋体" w:hAnsi="宋体" w:eastAsia="宋体" w:cs="宋体"/>
          <w:b/>
          <w:bCs/>
          <w:color w:val="auto"/>
          <w:kern w:val="0"/>
          <w:sz w:val="24"/>
          <w:szCs w:val="24"/>
          <w:highlight w:val="none"/>
          <w:u w:val="none"/>
          <w:lang w:val="zh-CN"/>
        </w:rPr>
        <w:t>）履约保证金的金额：</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b/>
          <w:bCs/>
          <w:color w:val="auto"/>
          <w:kern w:val="0"/>
          <w:sz w:val="24"/>
          <w:szCs w:val="24"/>
          <w:highlight w:val="none"/>
          <w:u w:val="none"/>
          <w:lang w:val="en-US" w:eastAsia="zh-CN"/>
        </w:rPr>
        <w:t>元（成交总价</w:t>
      </w:r>
      <w:r>
        <w:rPr>
          <w:rFonts w:hint="eastAsia" w:ascii="宋体" w:hAnsi="宋体" w:eastAsia="宋体" w:cs="宋体"/>
          <w:b/>
          <w:bCs/>
          <w:color w:val="auto"/>
          <w:kern w:val="0"/>
          <w:sz w:val="24"/>
          <w:szCs w:val="24"/>
          <w:highlight w:val="none"/>
          <w:u w:val="none"/>
          <w:lang w:val="zh-CN"/>
        </w:rPr>
        <w:t>的</w:t>
      </w:r>
      <w:r>
        <w:rPr>
          <w:rFonts w:hint="eastAsia" w:ascii="宋体" w:hAnsi="宋体" w:eastAsia="宋体" w:cs="宋体"/>
          <w:b/>
          <w:bCs/>
          <w:color w:val="auto"/>
          <w:kern w:val="0"/>
          <w:sz w:val="24"/>
          <w:szCs w:val="24"/>
          <w:highlight w:val="none"/>
          <w:u w:val="none"/>
          <w:lang w:val="en-US" w:eastAsia="zh-CN"/>
        </w:rPr>
        <w:t>10</w:t>
      </w:r>
      <w:r>
        <w:rPr>
          <w:rFonts w:hint="eastAsia" w:ascii="宋体" w:hAnsi="宋体" w:eastAsia="宋体" w:cs="宋体"/>
          <w:b/>
          <w:bCs/>
          <w:color w:val="auto"/>
          <w:kern w:val="0"/>
          <w:sz w:val="24"/>
          <w:szCs w:val="24"/>
          <w:highlight w:val="none"/>
          <w:u w:val="none"/>
          <w:lang w:val="zh-CN"/>
        </w:rPr>
        <w:t>%</w:t>
      </w:r>
      <w:r>
        <w:rPr>
          <w:rFonts w:hint="eastAsia" w:ascii="宋体" w:hAnsi="宋体" w:eastAsia="宋体" w:cs="宋体"/>
          <w:b/>
          <w:bCs/>
          <w:color w:val="auto"/>
          <w:kern w:val="0"/>
          <w:sz w:val="24"/>
          <w:szCs w:val="24"/>
          <w:highlight w:val="none"/>
          <w:u w:val="none"/>
          <w:lang w:val="zh-CN" w:eastAsia="zh-CN"/>
        </w:rPr>
        <w:t>）</w:t>
      </w:r>
      <w:r>
        <w:rPr>
          <w:rFonts w:hint="eastAsia" w:ascii="宋体" w:hAnsi="宋体" w:eastAsia="宋体" w:cs="宋体"/>
          <w:b/>
          <w:bCs/>
          <w:color w:val="auto"/>
          <w:kern w:val="0"/>
          <w:sz w:val="24"/>
          <w:szCs w:val="24"/>
          <w:highlight w:val="none"/>
          <w:u w:val="none"/>
          <w:lang w:val="en-US" w:eastAsia="zh-CN"/>
        </w:rPr>
        <w:t>。</w:t>
      </w:r>
    </w:p>
    <w:p w14:paraId="25916471">
      <w:pPr>
        <w:keepNext w:val="0"/>
        <w:keepLines w:val="0"/>
        <w:pageBreakBefore w:val="0"/>
        <w:kinsoku/>
        <w:wordWrap w:val="0"/>
        <w:overflowPunct/>
        <w:topLinePunct w:val="0"/>
        <w:bidi w:val="0"/>
        <w:spacing w:line="500" w:lineRule="exact"/>
        <w:ind w:firstLine="482" w:firstLineChars="200"/>
        <w:textAlignment w:val="auto"/>
        <w:rPr>
          <w:rFonts w:hint="eastAsia" w:ascii="宋体" w:hAnsi="宋体" w:eastAsia="宋体" w:cs="宋体"/>
          <w:b/>
          <w:bCs/>
          <w:color w:val="auto"/>
          <w:kern w:val="0"/>
          <w:sz w:val="24"/>
          <w:szCs w:val="24"/>
          <w:highlight w:val="none"/>
          <w:u w:val="none"/>
          <w:lang w:val="zh-CN"/>
        </w:rPr>
      </w:pPr>
      <w:r>
        <w:rPr>
          <w:rFonts w:hint="eastAsia" w:ascii="宋体" w:hAnsi="宋体" w:eastAsia="宋体" w:cs="宋体"/>
          <w:b/>
          <w:bCs/>
          <w:color w:val="auto"/>
          <w:kern w:val="0"/>
          <w:sz w:val="24"/>
          <w:szCs w:val="24"/>
          <w:highlight w:val="none"/>
          <w:u w:val="none"/>
          <w:lang w:val="zh-CN"/>
        </w:rPr>
        <w:t>（</w:t>
      </w:r>
      <w:r>
        <w:rPr>
          <w:rFonts w:hint="eastAsia" w:ascii="宋体" w:hAnsi="宋体" w:eastAsia="宋体" w:cs="宋体"/>
          <w:b/>
          <w:bCs/>
          <w:color w:val="auto"/>
          <w:kern w:val="0"/>
          <w:sz w:val="24"/>
          <w:szCs w:val="24"/>
          <w:highlight w:val="none"/>
          <w:u w:val="none"/>
          <w:lang w:val="en-US" w:eastAsia="zh-CN"/>
        </w:rPr>
        <w:t>3</w:t>
      </w:r>
      <w:r>
        <w:rPr>
          <w:rFonts w:hint="eastAsia" w:ascii="宋体" w:hAnsi="宋体" w:eastAsia="宋体" w:cs="宋体"/>
          <w:b/>
          <w:bCs/>
          <w:color w:val="auto"/>
          <w:kern w:val="0"/>
          <w:sz w:val="24"/>
          <w:szCs w:val="24"/>
          <w:highlight w:val="none"/>
          <w:u w:val="none"/>
          <w:lang w:val="zh-CN"/>
        </w:rPr>
        <w:t>）期限：自发包人与承包人签订的合同生效之日起至发包人签发或应签发工程接收证书之日止。</w:t>
      </w:r>
    </w:p>
    <w:p w14:paraId="65FB913D">
      <w:pPr>
        <w:keepNext w:val="0"/>
        <w:keepLines w:val="0"/>
        <w:pageBreakBefore w:val="0"/>
        <w:kinsoku/>
        <w:wordWrap w:val="0"/>
        <w:overflowPunct/>
        <w:topLinePunct w:val="0"/>
        <w:bidi w:val="0"/>
        <w:spacing w:line="500" w:lineRule="exact"/>
        <w:ind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none"/>
          <w:lang w:val="zh-CN"/>
        </w:rPr>
        <w:t>（</w:t>
      </w:r>
      <w:r>
        <w:rPr>
          <w:rFonts w:hint="eastAsia" w:ascii="宋体" w:hAnsi="宋体" w:eastAsia="宋体" w:cs="宋体"/>
          <w:b/>
          <w:bCs/>
          <w:color w:val="auto"/>
          <w:kern w:val="0"/>
          <w:sz w:val="24"/>
          <w:szCs w:val="24"/>
          <w:highlight w:val="none"/>
          <w:u w:val="none"/>
          <w:lang w:val="en-US" w:eastAsia="zh-CN"/>
        </w:rPr>
        <w:t>4</w:t>
      </w:r>
      <w:r>
        <w:rPr>
          <w:rFonts w:hint="eastAsia" w:ascii="宋体" w:hAnsi="宋体" w:eastAsia="宋体" w:cs="宋体"/>
          <w:b/>
          <w:bCs/>
          <w:color w:val="auto"/>
          <w:kern w:val="0"/>
          <w:sz w:val="24"/>
          <w:szCs w:val="24"/>
          <w:highlight w:val="none"/>
          <w:u w:val="none"/>
          <w:lang w:val="zh-CN"/>
        </w:rPr>
        <w:t>）如果承包人不履行合同约定的义务或其履行不符合合同的约定，发包人有权扣划相应金额的履约保证金。采用银行转账的形式提交履约保证金的，履约保证金期满后发包人无息返还剩余部分履约保证金</w:t>
      </w:r>
      <w:r>
        <w:rPr>
          <w:rFonts w:hint="eastAsia" w:ascii="宋体" w:hAnsi="宋体" w:eastAsia="宋体" w:cs="宋体"/>
          <w:b/>
          <w:bCs/>
          <w:color w:val="auto"/>
          <w:kern w:val="0"/>
          <w:sz w:val="24"/>
          <w:szCs w:val="24"/>
          <w:highlight w:val="none"/>
          <w:u w:val="none"/>
          <w:lang w:val="en-US" w:eastAsia="zh-CN"/>
        </w:rPr>
        <w:t>。</w:t>
      </w:r>
    </w:p>
    <w:p w14:paraId="266CE72B">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bCs/>
          <w:color w:val="auto"/>
          <w:kern w:val="0"/>
          <w:sz w:val="24"/>
          <w:szCs w:val="24"/>
          <w:highlight w:val="none"/>
        </w:rPr>
      </w:pPr>
      <w:bookmarkStart w:id="400" w:name="_Toc351203636"/>
      <w:r>
        <w:rPr>
          <w:rFonts w:hint="eastAsia" w:ascii="宋体" w:hAnsi="宋体" w:eastAsia="宋体" w:cs="宋体"/>
          <w:bCs/>
          <w:color w:val="auto"/>
          <w:kern w:val="0"/>
          <w:sz w:val="24"/>
          <w:szCs w:val="24"/>
          <w:highlight w:val="none"/>
        </w:rPr>
        <w:t>4</w:t>
      </w:r>
      <w:bookmarkStart w:id="401" w:name="_Toc296503162"/>
      <w:bookmarkStart w:id="402" w:name="_Toc296944501"/>
      <w:bookmarkStart w:id="403" w:name="_Toc296347161"/>
      <w:bookmarkStart w:id="404" w:name="_Toc297120462"/>
      <w:bookmarkStart w:id="405" w:name="_Toc296891202"/>
      <w:bookmarkStart w:id="406" w:name="_Toc292559871"/>
      <w:bookmarkStart w:id="407" w:name="_Toc296346663"/>
      <w:bookmarkStart w:id="408" w:name="_Toc297048348"/>
      <w:bookmarkStart w:id="409" w:name="_Toc292559366"/>
      <w:bookmarkStart w:id="410" w:name="_Toc296890990"/>
      <w:bookmarkStart w:id="411" w:name="_Toc267251413"/>
      <w:r>
        <w:rPr>
          <w:rFonts w:hint="eastAsia" w:ascii="宋体" w:hAnsi="宋体" w:eastAsia="宋体" w:cs="宋体"/>
          <w:bCs/>
          <w:color w:val="auto"/>
          <w:kern w:val="0"/>
          <w:sz w:val="24"/>
          <w:szCs w:val="24"/>
          <w:highlight w:val="none"/>
        </w:rPr>
        <w:t>. 监</w:t>
      </w:r>
      <w:bookmarkEnd w:id="401"/>
      <w:bookmarkEnd w:id="402"/>
      <w:bookmarkEnd w:id="403"/>
      <w:bookmarkEnd w:id="404"/>
      <w:bookmarkEnd w:id="405"/>
      <w:bookmarkEnd w:id="406"/>
      <w:bookmarkEnd w:id="407"/>
      <w:bookmarkEnd w:id="408"/>
      <w:bookmarkEnd w:id="409"/>
      <w:bookmarkEnd w:id="410"/>
      <w:bookmarkEnd w:id="411"/>
      <w:r>
        <w:rPr>
          <w:rFonts w:hint="eastAsia" w:ascii="宋体" w:hAnsi="宋体" w:eastAsia="宋体" w:cs="宋体"/>
          <w:bCs/>
          <w:color w:val="auto"/>
          <w:kern w:val="0"/>
          <w:sz w:val="24"/>
          <w:szCs w:val="24"/>
          <w:highlight w:val="none"/>
        </w:rPr>
        <w:t>理人</w:t>
      </w:r>
      <w:bookmarkEnd w:id="400"/>
    </w:p>
    <w:p w14:paraId="495AD973">
      <w:pPr>
        <w:keepNext w:val="0"/>
        <w:keepLines w:val="0"/>
        <w:pageBreakBefore w:val="0"/>
        <w:kinsoku/>
        <w:wordWrap w:val="0"/>
        <w:overflowPunct/>
        <w:topLinePunct w:val="0"/>
        <w:bidi w:val="0"/>
        <w:spacing w:beforeAutospacing="0" w:afterAutospacing="0" w:line="500" w:lineRule="exact"/>
        <w:ind w:left="0" w:leftChars="0" w:firstLine="480" w:firstLineChars="200"/>
        <w:textAlignment w:val="auto"/>
        <w:outlineLvl w:val="3"/>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4.1监理人的一般规定</w:t>
      </w:r>
    </w:p>
    <w:p w14:paraId="29A490B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关于监理人的监理内容：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见监理合同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911882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关于监理人的监理权限：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见监理合同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5990472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关于监理人在施工现场的办公场所、生活场所的提供和费用承担的约定：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由承包人承担。</w:t>
      </w:r>
    </w:p>
    <w:p w14:paraId="6716411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 监理人员</w:t>
      </w:r>
    </w:p>
    <w:p w14:paraId="2699F29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总监理工程师：</w:t>
      </w:r>
    </w:p>
    <w:p w14:paraId="2945EAB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    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6BCA40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    务：</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85F99D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监理工程师执业资格证书号：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F8425B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DF3318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电子信箱：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8AD350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通信地址：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831C9C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关于监理人的其他约定：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CA6A12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4.4 商定或确定</w:t>
      </w:r>
    </w:p>
    <w:p w14:paraId="249394A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412" w:name="_Toc267251418"/>
      <w:r>
        <w:rPr>
          <w:rFonts w:hint="eastAsia" w:ascii="宋体" w:hAnsi="宋体" w:eastAsia="宋体" w:cs="宋体"/>
          <w:color w:val="auto"/>
          <w:kern w:val="0"/>
          <w:sz w:val="24"/>
          <w:szCs w:val="24"/>
          <w:highlight w:val="none"/>
        </w:rPr>
        <w:t>在发包人和承包人不能通过协商达成一致意见时，发包人授权监理人对以下事项进行确定：</w:t>
      </w:r>
    </w:p>
    <w:p w14:paraId="6B149727">
      <w:pPr>
        <w:keepNext w:val="0"/>
        <w:keepLines w:val="0"/>
        <w:pageBreakBefore w:val="0"/>
        <w:kinsoku/>
        <w:wordWrap w:val="0"/>
        <w:overflowPunct/>
        <w:topLinePunct w:val="0"/>
        <w:autoSpaceDE w:val="0"/>
        <w:autoSpaceDN w:val="0"/>
        <w:bidi w:val="0"/>
        <w:adjustRightInd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21804AA5">
      <w:pPr>
        <w:keepNext w:val="0"/>
        <w:keepLines w:val="0"/>
        <w:pageBreakBefore w:val="0"/>
        <w:kinsoku/>
        <w:wordWrap w:val="0"/>
        <w:overflowPunct/>
        <w:topLinePunct w:val="0"/>
        <w:autoSpaceDE w:val="0"/>
        <w:autoSpaceDN w:val="0"/>
        <w:bidi w:val="0"/>
        <w:adjustRightInd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3C0183BB">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76012EA5">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413" w:name="_Toc351203637"/>
      <w:r>
        <w:rPr>
          <w:rFonts w:hint="eastAsia" w:ascii="宋体" w:hAnsi="宋体" w:eastAsia="宋体" w:cs="宋体"/>
          <w:color w:val="auto"/>
          <w:kern w:val="0"/>
          <w:sz w:val="24"/>
          <w:szCs w:val="24"/>
          <w:highlight w:val="none"/>
        </w:rPr>
        <w:t>5</w:t>
      </w:r>
      <w:bookmarkEnd w:id="412"/>
      <w:bookmarkStart w:id="414" w:name="_Toc296891203"/>
      <w:bookmarkStart w:id="415" w:name="_Toc296944502"/>
      <w:bookmarkStart w:id="416" w:name="_Toc296890991"/>
      <w:bookmarkStart w:id="417" w:name="_Toc292559367"/>
      <w:bookmarkStart w:id="418" w:name="_Toc296347162"/>
      <w:bookmarkStart w:id="419" w:name="_Toc297120463"/>
      <w:bookmarkStart w:id="420" w:name="_Toc297048349"/>
      <w:bookmarkStart w:id="421" w:name="_Toc296346664"/>
      <w:bookmarkStart w:id="422" w:name="_Toc292559872"/>
      <w:bookmarkStart w:id="423" w:name="_Toc296503163"/>
      <w:r>
        <w:rPr>
          <w:rFonts w:hint="eastAsia" w:ascii="宋体" w:hAnsi="宋体" w:eastAsia="宋体" w:cs="宋体"/>
          <w:color w:val="auto"/>
          <w:kern w:val="0"/>
          <w:sz w:val="24"/>
          <w:szCs w:val="24"/>
          <w:highlight w:val="none"/>
        </w:rPr>
        <w:t>. 工程质量</w:t>
      </w:r>
      <w:bookmarkEnd w:id="413"/>
    </w:p>
    <w:p w14:paraId="312BEB4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 质量要求</w:t>
      </w:r>
    </w:p>
    <w:p w14:paraId="00C4A7C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bookmarkStart w:id="424" w:name="_Toc318581164"/>
      <w:bookmarkStart w:id="425" w:name="_Toc303539106"/>
      <w:bookmarkStart w:id="426" w:name="_Toc304295527"/>
      <w:bookmarkStart w:id="427" w:name="_Toc297216155"/>
      <w:bookmarkStart w:id="428" w:name="_Toc312677997"/>
      <w:bookmarkStart w:id="429" w:name="_Toc297123496"/>
      <w:bookmarkStart w:id="430" w:name="_Toc300934949"/>
      <w:r>
        <w:rPr>
          <w:rFonts w:hint="eastAsia" w:ascii="宋体" w:hAnsi="宋体" w:eastAsia="宋体" w:cs="宋体"/>
          <w:color w:val="auto"/>
          <w:kern w:val="0"/>
          <w:sz w:val="24"/>
          <w:szCs w:val="24"/>
          <w:highlight w:val="none"/>
        </w:rPr>
        <w:t>.1.1 特殊质量标准和要求：</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合格   </w:t>
      </w:r>
      <w:r>
        <w:rPr>
          <w:rFonts w:hint="eastAsia" w:ascii="宋体" w:hAnsi="宋体" w:eastAsia="宋体" w:cs="宋体"/>
          <w:color w:val="auto"/>
          <w:kern w:val="0"/>
          <w:sz w:val="24"/>
          <w:szCs w:val="24"/>
          <w:highlight w:val="none"/>
        </w:rPr>
        <w:t>。</w:t>
      </w:r>
    </w:p>
    <w:p w14:paraId="5EEC307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关于工程奖项的约定：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43E5C41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 隐蔽工程检查</w:t>
      </w:r>
    </w:p>
    <w:p w14:paraId="1142FD6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5.3.2承包人提前通知监理人隐蔽工程检查的期限的约定：</w:t>
      </w:r>
      <w:r>
        <w:rPr>
          <w:rFonts w:hint="eastAsia" w:ascii="宋体" w:hAnsi="宋体" w:eastAsia="宋体" w:cs="宋体"/>
          <w:b/>
          <w:color w:val="auto"/>
          <w:kern w:val="0"/>
          <w:sz w:val="24"/>
          <w:szCs w:val="24"/>
          <w:highlight w:val="none"/>
          <w:u w:val="single"/>
        </w:rPr>
        <w:t>共同检查前48小时书面通知监理人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E16B07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监理人不能按时进行检查时，应提前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12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小时提交书面延期要求。</w:t>
      </w:r>
    </w:p>
    <w:p w14:paraId="0D46C0C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关于延期最长不得超过：</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24</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小时。</w:t>
      </w:r>
    </w:p>
    <w:p w14:paraId="6E6D291A">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431" w:name="_Toc351203638"/>
      <w:r>
        <w:rPr>
          <w:rFonts w:hint="eastAsia" w:ascii="宋体" w:hAnsi="宋体" w:eastAsia="宋体" w:cs="宋体"/>
          <w:color w:val="auto"/>
          <w:kern w:val="0"/>
          <w:sz w:val="24"/>
          <w:szCs w:val="24"/>
          <w:highlight w:val="none"/>
        </w:rPr>
        <w:t>6. 安全文明施工与环境保护</w:t>
      </w:r>
      <w:bookmarkEnd w:id="431"/>
    </w:p>
    <w:p w14:paraId="1F7E1E7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6.1安全文明施工</w:t>
      </w:r>
    </w:p>
    <w:p w14:paraId="231129E9">
      <w:pPr>
        <w:keepNext w:val="0"/>
        <w:keepLines w:val="0"/>
        <w:pageBreakBefore w:val="0"/>
        <w:widowControl/>
        <w:suppressLineNumbers w:val="0"/>
        <w:kinsoku/>
        <w:wordWrap w:val="0"/>
        <w:overflowPunct/>
        <w:topLinePunct w:val="0"/>
        <w:bidi w:val="0"/>
        <w:spacing w:before="0" w:beforeLines="0" w:beforeAutospacing="0" w:after="0" w:afterLines="0" w:afterAutospacing="0" w:line="500" w:lineRule="exact"/>
        <w:ind w:left="0" w:leftChars="0" w:right="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6.1.1 项目安全生产的达标目标及相应事项的约定：</w:t>
      </w:r>
      <w:r>
        <w:rPr>
          <w:rFonts w:hint="eastAsia" w:ascii="宋体" w:hAnsi="宋体" w:eastAsia="宋体" w:cs="宋体"/>
          <w:b/>
          <w:color w:val="auto"/>
          <w:kern w:val="0"/>
          <w:sz w:val="24"/>
          <w:szCs w:val="24"/>
          <w:highlight w:val="none"/>
          <w:u w:val="single" w:color="000000"/>
        </w:rPr>
        <w:t>承包人应遵守工程建设安全生产有关管理规定，严格按现行安全标准组织施工，并随时接受行业安全检查人员依法实施的监督检查，采取必要的安全防护措施，消除事故隐患。其安全文明施工费已经含在签约合同价内。</w:t>
      </w:r>
      <w:r>
        <w:rPr>
          <w:rFonts w:hint="eastAsia" w:ascii="宋体" w:hAnsi="宋体" w:eastAsia="宋体" w:cs="宋体"/>
          <w:b/>
          <w:color w:val="auto"/>
          <w:kern w:val="0"/>
          <w:sz w:val="24"/>
          <w:szCs w:val="24"/>
          <w:highlight w:val="none"/>
          <w:u w:val="single"/>
        </w:rPr>
        <w:t>本工程在整个施工期间杜绝一切人身伤亡和重大质量安全事故，如发生上述事故，应接受政府相关部门处罚并承担由此产生的一切经济和法律责任。</w:t>
      </w:r>
    </w:p>
    <w:p w14:paraId="21EF8302">
      <w:pPr>
        <w:keepNext w:val="0"/>
        <w:keepLines w:val="0"/>
        <w:pageBreakBefore w:val="0"/>
        <w:kinsoku/>
        <w:wordWrap w:val="0"/>
        <w:overflowPunct/>
        <w:topLinePunct w:val="0"/>
        <w:autoSpaceDE w:val="0"/>
        <w:autoSpaceDN w:val="0"/>
        <w:bidi w:val="0"/>
        <w:adjustRightInd w:val="0"/>
        <w:spacing w:line="500" w:lineRule="exact"/>
        <w:ind w:left="0" w:leftChars="0" w:right="0" w:firstLine="480"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color w:val="auto"/>
          <w:kern w:val="0"/>
          <w:sz w:val="24"/>
          <w:szCs w:val="24"/>
          <w:highlight w:val="none"/>
        </w:rPr>
        <w:t>6.1.4 关于治安保卫的特别约定：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D7A1F8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关于编制施工场地治安管理计划的约定：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开工前提供</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924D3C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6.1.5 文明施工</w:t>
      </w:r>
    </w:p>
    <w:p w14:paraId="7E026C9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合同当事人对文明施工的要求：</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rPr>
        <w:t>。</w:t>
      </w:r>
    </w:p>
    <w:p w14:paraId="22C6DC72">
      <w:pPr>
        <w:keepNext w:val="0"/>
        <w:keepLines w:val="0"/>
        <w:pageBreakBefore w:val="0"/>
        <w:kinsoku/>
        <w:wordWrap w:val="0"/>
        <w:overflowPunct/>
        <w:topLinePunct w:val="0"/>
        <w:bidi w:val="0"/>
        <w:snapToGrid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6.1.6 关于安全文明施工费支付比例和支付期限的约定：</w:t>
      </w:r>
      <w:r>
        <w:rPr>
          <w:rFonts w:hint="eastAsia" w:ascii="宋体" w:hAnsi="宋体" w:eastAsia="宋体" w:cs="宋体"/>
          <w:b/>
          <w:bCs/>
          <w:color w:val="auto"/>
          <w:kern w:val="0"/>
          <w:sz w:val="24"/>
          <w:szCs w:val="24"/>
          <w:highlight w:val="none"/>
          <w:u w:val="single"/>
        </w:rPr>
        <w:t>安全文明施工费</w:t>
      </w:r>
      <w:r>
        <w:rPr>
          <w:rFonts w:hint="eastAsia" w:ascii="宋体" w:hAnsi="宋体" w:eastAsia="宋体" w:cs="宋体"/>
          <w:b/>
          <w:color w:val="auto"/>
          <w:kern w:val="0"/>
          <w:sz w:val="24"/>
          <w:szCs w:val="24"/>
          <w:highlight w:val="none"/>
          <w:u w:val="single"/>
        </w:rPr>
        <w:t>按工程进度款约定同期支付。</w:t>
      </w:r>
    </w:p>
    <w:bookmarkEnd w:id="424"/>
    <w:bookmarkEnd w:id="425"/>
    <w:bookmarkEnd w:id="426"/>
    <w:bookmarkEnd w:id="427"/>
    <w:bookmarkEnd w:id="428"/>
    <w:bookmarkEnd w:id="429"/>
    <w:bookmarkEnd w:id="430"/>
    <w:p w14:paraId="5727A8D1">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432" w:name="_Toc351203639"/>
      <w:r>
        <w:rPr>
          <w:rFonts w:hint="eastAsia" w:ascii="宋体" w:hAnsi="宋体" w:eastAsia="宋体" w:cs="宋体"/>
          <w:color w:val="auto"/>
          <w:kern w:val="0"/>
          <w:sz w:val="24"/>
          <w:szCs w:val="24"/>
          <w:highlight w:val="none"/>
        </w:rPr>
        <w:t>7. 工期和进度</w:t>
      </w:r>
      <w:bookmarkEnd w:id="432"/>
    </w:p>
    <w:p w14:paraId="696C689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7.1 施工组织设计</w:t>
      </w:r>
    </w:p>
    <w:p w14:paraId="681ADE56">
      <w:pPr>
        <w:keepNext w:val="0"/>
        <w:keepLines w:val="0"/>
        <w:pageBreakBefore w:val="0"/>
        <w:kinsoku/>
        <w:wordWrap w:val="0"/>
        <w:overflowPunct/>
        <w:topLinePunct w:val="0"/>
        <w:bidi w:val="0"/>
        <w:snapToGrid w:val="0"/>
        <w:spacing w:line="500" w:lineRule="exact"/>
        <w:ind w:left="0" w:leftChars="0" w:firstLine="482"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rPr>
        <w:t xml:space="preserve">（9）合同签订、图纸会审定案后7日内承包人向监理人提供施工组织设计书（含总体进度计划网络图）及施工专项方案各8份，并由监理人报送发包人。发包人和监理人应在监理人收到施工组织设计后7天内确认或提出修改意见，未经监理人批准，承包人不得擅自实施，同时监理人的批准并不免除承包人的合同责任。对发包人和监理人提出的合理意见和要求，承包人应自费修改完善。根据工程实际情况需要修改施工组织设计的，承包人应向发包人和监理人提交修改后的施工组织设计。 </w:t>
      </w:r>
    </w:p>
    <w:p w14:paraId="59634B4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bookmarkStart w:id="433" w:name="_Toc303539123"/>
      <w:bookmarkStart w:id="434" w:name="_Toc304295541"/>
      <w:bookmarkStart w:id="435" w:name="_Toc297123514"/>
      <w:bookmarkStart w:id="436" w:name="_Toc300934966"/>
      <w:bookmarkStart w:id="437" w:name="_Toc297216173"/>
      <w:bookmarkStart w:id="438" w:name="_Toc312678005"/>
      <w:bookmarkStart w:id="439" w:name="_Toc312677479"/>
      <w:r>
        <w:rPr>
          <w:rFonts w:hint="eastAsia" w:ascii="宋体" w:hAnsi="宋体" w:eastAsia="宋体" w:cs="宋体"/>
          <w:color w:val="auto"/>
          <w:kern w:val="0"/>
          <w:sz w:val="24"/>
          <w:szCs w:val="24"/>
          <w:highlight w:val="none"/>
        </w:rPr>
        <w:t>.2 施工进度计划</w:t>
      </w:r>
    </w:p>
    <w:p w14:paraId="365156A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7.2.2 施工进度计划的修订</w:t>
      </w:r>
    </w:p>
    <w:p w14:paraId="69692C69">
      <w:pPr>
        <w:keepNext w:val="0"/>
        <w:keepLines w:val="0"/>
        <w:pageBreakBefore w:val="0"/>
        <w:kinsoku/>
        <w:wordWrap w:val="0"/>
        <w:overflowPunct/>
        <w:topLinePunct w:val="0"/>
        <w:bidi w:val="0"/>
        <w:snapToGrid w:val="0"/>
        <w:spacing w:line="500" w:lineRule="exact"/>
        <w:ind w:left="0" w:leftChars="0" w:firstLine="480"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color w:val="auto"/>
          <w:kern w:val="0"/>
          <w:sz w:val="24"/>
          <w:szCs w:val="24"/>
          <w:highlight w:val="none"/>
        </w:rPr>
        <w:t>发包人和监理人在收到修订的施工进度计划后确认或提出修改意见的期限：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 xml:space="preserve">7天 </w:t>
      </w:r>
      <w:r>
        <w:rPr>
          <w:rFonts w:hint="eastAsia" w:ascii="宋体" w:hAnsi="宋体" w:eastAsia="宋体" w:cs="宋体"/>
          <w:color w:val="auto"/>
          <w:kern w:val="0"/>
          <w:sz w:val="24"/>
          <w:szCs w:val="24"/>
          <w:highlight w:val="none"/>
        </w:rPr>
        <w:t>。</w:t>
      </w:r>
    </w:p>
    <w:p w14:paraId="3825054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7.2.3</w:t>
      </w:r>
      <w:r>
        <w:rPr>
          <w:rFonts w:hint="eastAsia" w:ascii="宋体" w:hAnsi="宋体" w:eastAsia="宋体" w:cs="宋体"/>
          <w:b/>
          <w:bCs/>
          <w:color w:val="auto"/>
          <w:kern w:val="0"/>
          <w:sz w:val="24"/>
          <w:szCs w:val="24"/>
          <w:highlight w:val="none"/>
          <w:u w:val="single"/>
        </w:rPr>
        <w:t>承包人应在每月25日前提供次月施工进度计划表</w:t>
      </w:r>
      <w:r>
        <w:rPr>
          <w:rFonts w:hint="eastAsia" w:ascii="宋体" w:hAnsi="宋体" w:eastAsia="宋体" w:cs="宋体"/>
          <w:color w:val="auto"/>
          <w:kern w:val="0"/>
          <w:sz w:val="24"/>
          <w:szCs w:val="24"/>
          <w:highlight w:val="none"/>
        </w:rPr>
        <w:t>。</w:t>
      </w:r>
    </w:p>
    <w:p w14:paraId="59AE305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 开工</w:t>
      </w:r>
    </w:p>
    <w:p w14:paraId="1438894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7.3.1 开工准备</w:t>
      </w:r>
    </w:p>
    <w:p w14:paraId="455B916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关于承包人提交工程开工报审表的期限：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开工前7天</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A1F79E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关于发包人应完成的其他开工准备工作及期限：</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7686B47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关于承包人应完成的其他开工准备工作及期限：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141B3D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7.3.2开工通知</w:t>
      </w:r>
    </w:p>
    <w:p w14:paraId="0F58A70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因发包人原因造成监理人未能在计划开工日期之日起</w:t>
      </w:r>
      <w:r>
        <w:rPr>
          <w:rFonts w:hint="eastAsia" w:ascii="宋体" w:hAnsi="宋体" w:eastAsia="宋体" w:cs="宋体"/>
          <w:b/>
          <w:color w:val="auto"/>
          <w:kern w:val="0"/>
          <w:sz w:val="24"/>
          <w:szCs w:val="24"/>
          <w:highlight w:val="none"/>
          <w:u w:val="single"/>
        </w:rPr>
        <w:t>180</w:t>
      </w:r>
      <w:r>
        <w:rPr>
          <w:rFonts w:hint="eastAsia" w:ascii="宋体" w:hAnsi="宋体" w:eastAsia="宋体" w:cs="宋体"/>
          <w:color w:val="auto"/>
          <w:kern w:val="0"/>
          <w:sz w:val="24"/>
          <w:szCs w:val="24"/>
          <w:highlight w:val="none"/>
        </w:rPr>
        <w:t>天内发出开工通知的，承包人有权提出价格调整要求，或者解除合同。</w:t>
      </w:r>
    </w:p>
    <w:bookmarkEnd w:id="433"/>
    <w:bookmarkEnd w:id="434"/>
    <w:bookmarkEnd w:id="435"/>
    <w:bookmarkEnd w:id="436"/>
    <w:bookmarkEnd w:id="437"/>
    <w:bookmarkEnd w:id="438"/>
    <w:bookmarkEnd w:id="439"/>
    <w:p w14:paraId="54DFA54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7.4 测量放线</w:t>
      </w:r>
    </w:p>
    <w:p w14:paraId="44F4F5D3">
      <w:pPr>
        <w:keepNext w:val="0"/>
        <w:keepLines w:val="0"/>
        <w:pageBreakBefore w:val="0"/>
        <w:kinsoku/>
        <w:wordWrap w:val="0"/>
        <w:overflowPunct/>
        <w:topLinePunct w:val="0"/>
        <w:bidi w:val="0"/>
        <w:snapToGrid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Cs/>
          <w:color w:val="auto"/>
          <w:kern w:val="0"/>
          <w:sz w:val="24"/>
          <w:szCs w:val="24"/>
          <w:highlight w:val="none"/>
        </w:rPr>
        <w:t>7.4.1</w:t>
      </w:r>
      <w:r>
        <w:rPr>
          <w:rFonts w:hint="eastAsia" w:ascii="宋体" w:hAnsi="宋体" w:eastAsia="宋体" w:cs="宋体"/>
          <w:b/>
          <w:color w:val="auto"/>
          <w:kern w:val="0"/>
          <w:sz w:val="24"/>
          <w:szCs w:val="24"/>
          <w:highlight w:val="none"/>
          <w:u w:val="single"/>
        </w:rPr>
        <w:t>发包人在合同签订后的7天内，通过监理人向承包人提供测量基准点、基准线和水准点及其书面资料。承包人应根据国家测绘基准、测绘系统和工程测量技术规范，按上述基准点（线）以及合同工程精度要求，测设施工控制网，并在开工后14天内，将施工控制网资料报送监理人审批。</w:t>
      </w:r>
    </w:p>
    <w:p w14:paraId="3C21B4C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bookmarkStart w:id="440" w:name="_Toc312677484"/>
      <w:bookmarkStart w:id="441" w:name="_Toc300934968"/>
      <w:bookmarkStart w:id="442" w:name="_Toc303539125"/>
      <w:bookmarkStart w:id="443" w:name="_Toc304295546"/>
      <w:bookmarkStart w:id="444" w:name="_Toc312678010"/>
      <w:bookmarkStart w:id="445" w:name="_Toc297216175"/>
      <w:bookmarkStart w:id="446" w:name="_Toc297123516"/>
      <w:r>
        <w:rPr>
          <w:rFonts w:hint="eastAsia" w:ascii="宋体" w:hAnsi="宋体" w:eastAsia="宋体" w:cs="宋体"/>
          <w:color w:val="auto"/>
          <w:kern w:val="0"/>
          <w:sz w:val="24"/>
          <w:szCs w:val="24"/>
          <w:highlight w:val="none"/>
        </w:rPr>
        <w:t>.5 工期延误</w:t>
      </w:r>
    </w:p>
    <w:bookmarkEnd w:id="440"/>
    <w:bookmarkEnd w:id="441"/>
    <w:bookmarkEnd w:id="442"/>
    <w:bookmarkEnd w:id="443"/>
    <w:bookmarkEnd w:id="444"/>
    <w:bookmarkEnd w:id="445"/>
    <w:bookmarkEnd w:id="446"/>
    <w:p w14:paraId="189A6DD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7.5.1 因发包人原因导致工期延误</w:t>
      </w:r>
    </w:p>
    <w:p w14:paraId="46DC80E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（7）因发包人原因导致工期延误的其他情形：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w:t>
      </w:r>
    </w:p>
    <w:p w14:paraId="1305E80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7</w:t>
      </w:r>
      <w:bookmarkStart w:id="447" w:name="_Toc297216177"/>
      <w:bookmarkStart w:id="448" w:name="_Toc303539127"/>
      <w:bookmarkStart w:id="449" w:name="_Toc312678012"/>
      <w:bookmarkStart w:id="450" w:name="_Toc318581169"/>
      <w:bookmarkStart w:id="451" w:name="_Toc297123518"/>
      <w:bookmarkStart w:id="452" w:name="_Toc300934970"/>
      <w:bookmarkStart w:id="453" w:name="_Toc304295548"/>
      <w:bookmarkStart w:id="454" w:name="_Toc312677486"/>
      <w:r>
        <w:rPr>
          <w:rFonts w:hint="eastAsia" w:ascii="宋体" w:hAnsi="宋体" w:eastAsia="宋体" w:cs="宋体"/>
          <w:color w:val="auto"/>
          <w:kern w:val="0"/>
          <w:sz w:val="24"/>
          <w:szCs w:val="24"/>
          <w:highlight w:val="none"/>
        </w:rPr>
        <w:t>.5.2 因承包人原因造成工期延误，逾期竣工违约金的计算方法为：</w:t>
      </w:r>
      <w:r>
        <w:rPr>
          <w:rFonts w:hint="eastAsia" w:ascii="宋体" w:hAnsi="宋体" w:eastAsia="宋体" w:cs="宋体"/>
          <w:b/>
          <w:color w:val="auto"/>
          <w:kern w:val="0"/>
          <w:sz w:val="24"/>
          <w:szCs w:val="24"/>
          <w:highlight w:val="none"/>
          <w:u w:val="single" w:color="000000"/>
        </w:rPr>
        <w:t>工期每延误一天扣罚</w:t>
      </w:r>
      <w:r>
        <w:rPr>
          <w:rFonts w:hint="eastAsia" w:ascii="宋体" w:hAnsi="宋体" w:eastAsia="宋体" w:cs="宋体"/>
          <w:b/>
          <w:color w:val="auto"/>
          <w:kern w:val="0"/>
          <w:sz w:val="24"/>
          <w:szCs w:val="24"/>
          <w:highlight w:val="none"/>
          <w:u w:val="single" w:color="000000"/>
          <w:lang w:val="en-US" w:eastAsia="zh-CN"/>
        </w:rPr>
        <w:t>1</w:t>
      </w:r>
      <w:r>
        <w:rPr>
          <w:rFonts w:hint="eastAsia" w:ascii="宋体" w:hAnsi="宋体" w:eastAsia="宋体" w:cs="宋体"/>
          <w:b/>
          <w:color w:val="auto"/>
          <w:kern w:val="0"/>
          <w:sz w:val="24"/>
          <w:szCs w:val="24"/>
          <w:highlight w:val="none"/>
          <w:u w:val="single" w:color="000000"/>
        </w:rPr>
        <w:t>000元</w:t>
      </w:r>
      <w:r>
        <w:rPr>
          <w:rFonts w:hint="eastAsia" w:ascii="宋体" w:hAnsi="宋体" w:eastAsia="宋体" w:cs="宋体"/>
          <w:color w:val="auto"/>
          <w:kern w:val="0"/>
          <w:sz w:val="24"/>
          <w:szCs w:val="24"/>
          <w:highlight w:val="none"/>
          <w:u w:val="single"/>
          <w:lang w:eastAsia="zh-CN"/>
        </w:rPr>
        <w:t>，</w:t>
      </w:r>
      <w:r>
        <w:rPr>
          <w:rFonts w:hint="eastAsia" w:ascii="宋体" w:hAnsi="宋体" w:eastAsia="宋体" w:cs="宋体"/>
          <w:b/>
          <w:bCs/>
          <w:color w:val="auto"/>
          <w:kern w:val="0"/>
          <w:sz w:val="24"/>
          <w:szCs w:val="24"/>
          <w:highlight w:val="none"/>
          <w:u w:val="single"/>
        </w:rPr>
        <w:t>并承担因工期延误而造成</w:t>
      </w:r>
      <w:r>
        <w:rPr>
          <w:rFonts w:hint="eastAsia" w:ascii="宋体" w:hAnsi="宋体" w:eastAsia="宋体" w:cs="宋体"/>
          <w:b/>
          <w:bCs/>
          <w:color w:val="auto"/>
          <w:kern w:val="0"/>
          <w:sz w:val="24"/>
          <w:szCs w:val="24"/>
          <w:highlight w:val="none"/>
          <w:u w:val="single"/>
          <w:lang w:val="en-US" w:eastAsia="zh-CN"/>
        </w:rPr>
        <w:t>发包人</w:t>
      </w:r>
      <w:r>
        <w:rPr>
          <w:rFonts w:hint="eastAsia" w:ascii="宋体" w:hAnsi="宋体" w:eastAsia="宋体" w:cs="宋体"/>
          <w:b/>
          <w:bCs/>
          <w:color w:val="auto"/>
          <w:kern w:val="0"/>
          <w:sz w:val="24"/>
          <w:szCs w:val="24"/>
          <w:highlight w:val="none"/>
          <w:u w:val="single"/>
        </w:rPr>
        <w:t>的一切经济损失</w:t>
      </w:r>
      <w:r>
        <w:rPr>
          <w:rFonts w:hint="eastAsia" w:ascii="宋体" w:hAnsi="宋体" w:eastAsia="宋体" w:cs="宋体"/>
          <w:color w:val="auto"/>
          <w:kern w:val="0"/>
          <w:sz w:val="24"/>
          <w:szCs w:val="24"/>
          <w:highlight w:val="none"/>
        </w:rPr>
        <w:t>。因承包人原因造成工期延误，逾期竣工违约金的上限：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逾期</w:t>
      </w:r>
      <w:r>
        <w:rPr>
          <w:rFonts w:hint="eastAsia" w:ascii="宋体" w:hAnsi="宋体" w:eastAsia="宋体" w:cs="宋体"/>
          <w:b/>
          <w:color w:val="auto"/>
          <w:kern w:val="0"/>
          <w:sz w:val="24"/>
          <w:szCs w:val="24"/>
          <w:highlight w:val="none"/>
          <w:u w:val="single"/>
          <w:lang w:val="en-US" w:eastAsia="zh-CN"/>
        </w:rPr>
        <w:t>30</w:t>
      </w:r>
      <w:r>
        <w:rPr>
          <w:rFonts w:hint="eastAsia" w:ascii="宋体" w:hAnsi="宋体" w:eastAsia="宋体" w:cs="宋体"/>
          <w:b/>
          <w:color w:val="auto"/>
          <w:kern w:val="0"/>
          <w:sz w:val="24"/>
          <w:szCs w:val="24"/>
          <w:highlight w:val="none"/>
          <w:u w:val="single"/>
        </w:rPr>
        <w:t>天以内按合同价的5%处罚；逾期</w:t>
      </w:r>
      <w:r>
        <w:rPr>
          <w:rFonts w:hint="eastAsia" w:ascii="宋体" w:hAnsi="宋体" w:eastAsia="宋体" w:cs="宋体"/>
          <w:b/>
          <w:color w:val="auto"/>
          <w:kern w:val="0"/>
          <w:sz w:val="24"/>
          <w:szCs w:val="24"/>
          <w:highlight w:val="none"/>
          <w:u w:val="single"/>
          <w:lang w:val="en-US" w:eastAsia="zh-CN"/>
        </w:rPr>
        <w:t>60</w:t>
      </w:r>
      <w:r>
        <w:rPr>
          <w:rFonts w:hint="eastAsia" w:ascii="宋体" w:hAnsi="宋体" w:eastAsia="宋体" w:cs="宋体"/>
          <w:b/>
          <w:color w:val="auto"/>
          <w:kern w:val="0"/>
          <w:sz w:val="24"/>
          <w:szCs w:val="24"/>
          <w:highlight w:val="none"/>
          <w:u w:val="single"/>
        </w:rPr>
        <w:t>天以上</w:t>
      </w:r>
      <w:r>
        <w:rPr>
          <w:rFonts w:hint="eastAsia" w:ascii="宋体" w:hAnsi="宋体" w:eastAsia="宋体" w:cs="宋体"/>
          <w:b/>
          <w:color w:val="auto"/>
          <w:kern w:val="0"/>
          <w:sz w:val="24"/>
          <w:szCs w:val="24"/>
          <w:highlight w:val="none"/>
          <w:u w:val="single"/>
          <w:lang w:eastAsia="zh-CN"/>
        </w:rPr>
        <w:t>至</w:t>
      </w:r>
      <w:r>
        <w:rPr>
          <w:rFonts w:hint="eastAsia" w:ascii="宋体" w:hAnsi="宋体" w:eastAsia="宋体" w:cs="宋体"/>
          <w:b/>
          <w:color w:val="auto"/>
          <w:kern w:val="0"/>
          <w:sz w:val="24"/>
          <w:szCs w:val="24"/>
          <w:highlight w:val="none"/>
          <w:u w:val="single"/>
          <w:lang w:val="en-US" w:eastAsia="zh-CN"/>
        </w:rPr>
        <w:t>100</w:t>
      </w:r>
      <w:r>
        <w:rPr>
          <w:rFonts w:hint="eastAsia" w:ascii="宋体" w:hAnsi="宋体" w:eastAsia="宋体" w:cs="宋体"/>
          <w:b/>
          <w:color w:val="auto"/>
          <w:kern w:val="0"/>
          <w:sz w:val="24"/>
          <w:szCs w:val="24"/>
          <w:highlight w:val="none"/>
          <w:u w:val="single"/>
        </w:rPr>
        <w:t>天以内按合同价的10%处罚；逾期</w:t>
      </w:r>
      <w:r>
        <w:rPr>
          <w:rFonts w:hint="eastAsia" w:ascii="宋体" w:hAnsi="宋体" w:eastAsia="宋体" w:cs="宋体"/>
          <w:b/>
          <w:color w:val="auto"/>
          <w:kern w:val="0"/>
          <w:sz w:val="24"/>
          <w:szCs w:val="24"/>
          <w:highlight w:val="none"/>
          <w:u w:val="single"/>
          <w:lang w:val="en-US" w:eastAsia="zh-CN"/>
        </w:rPr>
        <w:t>30</w:t>
      </w:r>
      <w:r>
        <w:rPr>
          <w:rFonts w:hint="eastAsia" w:ascii="宋体" w:hAnsi="宋体" w:eastAsia="宋体" w:cs="宋体"/>
          <w:b/>
          <w:color w:val="auto"/>
          <w:kern w:val="0"/>
          <w:sz w:val="24"/>
          <w:szCs w:val="24"/>
          <w:highlight w:val="none"/>
          <w:u w:val="single"/>
        </w:rPr>
        <w:t>天以上，</w:t>
      </w:r>
      <w:r>
        <w:rPr>
          <w:rFonts w:hint="eastAsia" w:ascii="宋体" w:hAnsi="宋体" w:eastAsia="宋体" w:cs="宋体"/>
          <w:b/>
          <w:color w:val="auto"/>
          <w:kern w:val="0"/>
          <w:sz w:val="24"/>
          <w:szCs w:val="24"/>
          <w:highlight w:val="none"/>
          <w:u w:val="single"/>
          <w:lang w:val="en-US" w:eastAsia="zh-CN"/>
        </w:rPr>
        <w:t>发包人</w:t>
      </w:r>
      <w:r>
        <w:rPr>
          <w:rFonts w:hint="eastAsia" w:ascii="宋体" w:hAnsi="宋体" w:eastAsia="宋体" w:cs="宋体"/>
          <w:b/>
          <w:color w:val="auto"/>
          <w:kern w:val="0"/>
          <w:sz w:val="24"/>
          <w:szCs w:val="24"/>
          <w:highlight w:val="none"/>
          <w:u w:val="single"/>
        </w:rPr>
        <w:t>有权解除合同，</w:t>
      </w:r>
      <w:r>
        <w:rPr>
          <w:rFonts w:hint="eastAsia" w:ascii="宋体" w:hAnsi="宋体" w:eastAsia="宋体" w:cs="宋体"/>
          <w:b/>
          <w:color w:val="auto"/>
          <w:kern w:val="0"/>
          <w:sz w:val="24"/>
          <w:szCs w:val="24"/>
          <w:highlight w:val="none"/>
          <w:u w:val="single"/>
          <w:lang w:val="en-US" w:eastAsia="zh-CN"/>
        </w:rPr>
        <w:t>承包人</w:t>
      </w:r>
      <w:r>
        <w:rPr>
          <w:rFonts w:hint="eastAsia" w:ascii="宋体" w:hAnsi="宋体" w:eastAsia="宋体" w:cs="宋体"/>
          <w:b/>
          <w:color w:val="auto"/>
          <w:kern w:val="0"/>
          <w:sz w:val="24"/>
          <w:szCs w:val="24"/>
          <w:highlight w:val="none"/>
          <w:u w:val="single"/>
        </w:rPr>
        <w:t>承担由此造成的损失</w:t>
      </w:r>
      <w:r>
        <w:rPr>
          <w:rFonts w:hint="eastAsia" w:ascii="宋体" w:hAnsi="宋体" w:eastAsia="宋体" w:cs="宋体"/>
          <w:b/>
          <w:bCs/>
          <w:color w:val="auto"/>
          <w:kern w:val="0"/>
          <w:sz w:val="24"/>
          <w:szCs w:val="24"/>
          <w:highlight w:val="none"/>
          <w:u w:val="single"/>
        </w:rPr>
        <w:t>。</w:t>
      </w:r>
    </w:p>
    <w:bookmarkEnd w:id="447"/>
    <w:bookmarkEnd w:id="448"/>
    <w:bookmarkEnd w:id="449"/>
    <w:bookmarkEnd w:id="450"/>
    <w:bookmarkEnd w:id="451"/>
    <w:bookmarkEnd w:id="452"/>
    <w:bookmarkEnd w:id="453"/>
    <w:bookmarkEnd w:id="454"/>
    <w:p w14:paraId="7E504BC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bookmarkStart w:id="455" w:name="_Toc304295549"/>
      <w:bookmarkStart w:id="456" w:name="_Toc297216178"/>
      <w:bookmarkStart w:id="457" w:name="_Toc312678015"/>
      <w:bookmarkStart w:id="458" w:name="_Toc297123519"/>
      <w:bookmarkStart w:id="459" w:name="_Toc300934971"/>
      <w:bookmarkStart w:id="460" w:name="_Toc303539128"/>
      <w:r>
        <w:rPr>
          <w:rFonts w:hint="eastAsia" w:ascii="宋体" w:hAnsi="宋体" w:eastAsia="宋体" w:cs="宋体"/>
          <w:color w:val="auto"/>
          <w:kern w:val="0"/>
          <w:sz w:val="24"/>
          <w:szCs w:val="24"/>
          <w:highlight w:val="none"/>
        </w:rPr>
        <w:t>.6 不</w:t>
      </w:r>
      <w:bookmarkEnd w:id="455"/>
      <w:bookmarkEnd w:id="456"/>
      <w:bookmarkEnd w:id="457"/>
      <w:bookmarkEnd w:id="458"/>
      <w:bookmarkEnd w:id="459"/>
      <w:bookmarkEnd w:id="460"/>
      <w:r>
        <w:rPr>
          <w:rFonts w:hint="eastAsia" w:ascii="宋体" w:hAnsi="宋体" w:eastAsia="宋体" w:cs="宋体"/>
          <w:color w:val="auto"/>
          <w:kern w:val="0"/>
          <w:sz w:val="24"/>
          <w:szCs w:val="24"/>
          <w:highlight w:val="none"/>
        </w:rPr>
        <w:t>利物质条件</w:t>
      </w:r>
    </w:p>
    <w:p w14:paraId="128B6C1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bookmarkStart w:id="461" w:name="_Toc318581172"/>
      <w:bookmarkStart w:id="462" w:name="_Toc297216179"/>
      <w:bookmarkStart w:id="463" w:name="_Toc303539129"/>
      <w:bookmarkStart w:id="464" w:name="_Toc312678016"/>
      <w:bookmarkStart w:id="465" w:name="_Toc297123520"/>
      <w:bookmarkStart w:id="466" w:name="_Toc300934972"/>
      <w:bookmarkStart w:id="467" w:name="_Toc304295550"/>
      <w:r>
        <w:rPr>
          <w:rFonts w:hint="eastAsia" w:ascii="宋体" w:hAnsi="宋体" w:eastAsia="宋体" w:cs="宋体"/>
          <w:color w:val="auto"/>
          <w:kern w:val="0"/>
          <w:sz w:val="24"/>
          <w:szCs w:val="24"/>
          <w:highlight w:val="none"/>
        </w:rPr>
        <w:t>不利物质条件的其他情形和有关约定：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461"/>
    <w:bookmarkEnd w:id="462"/>
    <w:bookmarkEnd w:id="463"/>
    <w:bookmarkEnd w:id="464"/>
    <w:bookmarkEnd w:id="465"/>
    <w:bookmarkEnd w:id="466"/>
    <w:bookmarkEnd w:id="467"/>
    <w:p w14:paraId="48F2C6D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bookmarkStart w:id="468" w:name="_Toc304295551"/>
      <w:bookmarkStart w:id="469" w:name="_Toc303539130"/>
      <w:bookmarkStart w:id="470" w:name="_Toc297216180"/>
      <w:bookmarkStart w:id="471" w:name="_Toc312678017"/>
      <w:bookmarkStart w:id="472" w:name="_Toc297123521"/>
      <w:bookmarkStart w:id="473" w:name="_Toc300934973"/>
      <w:r>
        <w:rPr>
          <w:rFonts w:hint="eastAsia" w:ascii="宋体" w:hAnsi="宋体" w:eastAsia="宋体" w:cs="宋体"/>
          <w:color w:val="auto"/>
          <w:kern w:val="0"/>
          <w:sz w:val="24"/>
          <w:szCs w:val="24"/>
          <w:highlight w:val="none"/>
        </w:rPr>
        <w:t>.7异常恶劣的气候条件</w:t>
      </w:r>
    </w:p>
    <w:bookmarkEnd w:id="468"/>
    <w:bookmarkEnd w:id="469"/>
    <w:bookmarkEnd w:id="470"/>
    <w:bookmarkEnd w:id="471"/>
    <w:bookmarkEnd w:id="472"/>
    <w:bookmarkEnd w:id="473"/>
    <w:p w14:paraId="3AD396F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发包人和承包人同意以下情形视为异常恶劣的气候条件：</w:t>
      </w:r>
    </w:p>
    <w:p w14:paraId="574F46EB">
      <w:pPr>
        <w:keepNext w:val="0"/>
        <w:keepLines w:val="0"/>
        <w:pageBreakBefore w:val="0"/>
        <w:numPr>
          <w:ilvl w:val="0"/>
          <w:numId w:val="9"/>
        </w:numPr>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地震、水灾</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BE6CB93">
      <w:pPr>
        <w:keepNext w:val="0"/>
        <w:keepLines w:val="0"/>
        <w:pageBreakBefore w:val="0"/>
        <w:numPr>
          <w:ilvl w:val="0"/>
          <w:numId w:val="9"/>
        </w:numPr>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DD8C96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D699D7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 暂停施工</w:t>
      </w:r>
    </w:p>
    <w:p w14:paraId="44FBE1F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7.8.1发包人原因引起的暂停施工</w:t>
      </w:r>
    </w:p>
    <w:p w14:paraId="1ECEF7C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因发包人原因引起暂停施工的，监理人经发包人同意后，应及时下达暂停施工指示。情况紧急且监理人未及时下达暂停施工指示的，按照通用合同条款第7.8.4项〔紧急情况下的暂停施工〕执行。</w:t>
      </w:r>
    </w:p>
    <w:p w14:paraId="3D69BC1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由于发包人原因引起的暂停施工造成工期延误的，承包人有权要求发包人延长工期，但发包人不增加任何费用及补偿。</w:t>
      </w:r>
    </w:p>
    <w:p w14:paraId="223055D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7.8.5 暂停施工后的复工</w:t>
      </w:r>
    </w:p>
    <w:p w14:paraId="2C1E94B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0212930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承包人无故拖延和拒绝复工的，由此增加的费用和工期延误损失由承包人承担；因发包人原因无法按时复工的，承包人有权要求发包人延长工期，但发包人不增加任何费用及补偿。</w:t>
      </w:r>
    </w:p>
    <w:p w14:paraId="2A7C39A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7.9.2提前竣工的奖励：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0CDD7BE">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474" w:name="_Toc351203640"/>
      <w:r>
        <w:rPr>
          <w:rFonts w:hint="eastAsia" w:ascii="宋体" w:hAnsi="宋体" w:eastAsia="宋体" w:cs="宋体"/>
          <w:color w:val="auto"/>
          <w:kern w:val="0"/>
          <w:sz w:val="24"/>
          <w:szCs w:val="24"/>
          <w:highlight w:val="none"/>
        </w:rPr>
        <w:t>8. 材料与设备</w:t>
      </w:r>
      <w:bookmarkEnd w:id="474"/>
    </w:p>
    <w:bookmarkEnd w:id="414"/>
    <w:bookmarkEnd w:id="415"/>
    <w:bookmarkEnd w:id="416"/>
    <w:bookmarkEnd w:id="417"/>
    <w:bookmarkEnd w:id="418"/>
    <w:bookmarkEnd w:id="419"/>
    <w:bookmarkEnd w:id="420"/>
    <w:bookmarkEnd w:id="421"/>
    <w:bookmarkEnd w:id="422"/>
    <w:bookmarkEnd w:id="423"/>
    <w:p w14:paraId="0D834AF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8.1发包人供应材料与工程设备</w:t>
      </w:r>
    </w:p>
    <w:p w14:paraId="7AE0E805">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u w:val="single"/>
        </w:rPr>
        <w:t>本工程发包人不提供任何材料和工程设备</w:t>
      </w:r>
      <w:r>
        <w:rPr>
          <w:rFonts w:hint="eastAsia" w:ascii="宋体" w:hAnsi="宋体" w:eastAsia="宋体" w:cs="宋体"/>
          <w:color w:val="auto"/>
          <w:kern w:val="0"/>
          <w:sz w:val="24"/>
          <w:szCs w:val="24"/>
          <w:highlight w:val="none"/>
        </w:rPr>
        <w:t>。</w:t>
      </w:r>
    </w:p>
    <w:p w14:paraId="45A195A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bookmarkStart w:id="475" w:name="_Toc292559877"/>
      <w:bookmarkStart w:id="476" w:name="_Toc304295556"/>
      <w:bookmarkStart w:id="477" w:name="_Toc297048353"/>
      <w:bookmarkStart w:id="478" w:name="_Toc303539136"/>
      <w:bookmarkStart w:id="479" w:name="_Toc297216186"/>
      <w:bookmarkStart w:id="480" w:name="_Toc296890995"/>
      <w:bookmarkStart w:id="481" w:name="_Toc296346668"/>
      <w:bookmarkStart w:id="482" w:name="_Toc296347166"/>
      <w:bookmarkStart w:id="483" w:name="_Toc297120467"/>
      <w:bookmarkStart w:id="484" w:name="_Toc296944506"/>
      <w:bookmarkStart w:id="485" w:name="_Toc280868654"/>
      <w:bookmarkStart w:id="486" w:name="_Toc296503167"/>
      <w:bookmarkStart w:id="487" w:name="_Toc312677493"/>
      <w:bookmarkStart w:id="488" w:name="_Toc296891207"/>
      <w:bookmarkStart w:id="489" w:name="_Toc292559372"/>
      <w:bookmarkStart w:id="490" w:name="_Toc300934979"/>
      <w:bookmarkStart w:id="491" w:name="_Toc297123527"/>
      <w:bookmarkStart w:id="492" w:name="_Toc312678019"/>
      <w:bookmarkStart w:id="493" w:name="_Toc280868656"/>
      <w:bookmarkStart w:id="494" w:name="_Toc267251424"/>
      <w:bookmarkStart w:id="495" w:name="_Toc280868655"/>
      <w:r>
        <w:rPr>
          <w:rFonts w:hint="eastAsia" w:ascii="宋体" w:hAnsi="宋体" w:eastAsia="宋体" w:cs="宋体"/>
          <w:color w:val="auto"/>
          <w:kern w:val="0"/>
          <w:sz w:val="24"/>
          <w:szCs w:val="24"/>
          <w:highlight w:val="none"/>
        </w:rPr>
        <w:t>.4材料与工程设备的保管与使用</w:t>
      </w:r>
    </w:p>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14:paraId="2BE35EF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8</w:t>
      </w:r>
      <w:bookmarkStart w:id="496" w:name="_Toc292559373"/>
      <w:bookmarkStart w:id="497" w:name="_Toc292559878"/>
      <w:bookmarkStart w:id="498" w:name="_Toc296503168"/>
      <w:bookmarkStart w:id="499" w:name="_Toc318581173"/>
      <w:bookmarkStart w:id="500" w:name="_Toc312678020"/>
      <w:bookmarkStart w:id="501" w:name="_Toc297216187"/>
      <w:bookmarkStart w:id="502" w:name="_Toc303539137"/>
      <w:bookmarkStart w:id="503" w:name="_Toc296346669"/>
      <w:bookmarkStart w:id="504" w:name="_Toc296944507"/>
      <w:bookmarkStart w:id="505" w:name="_Toc312677494"/>
      <w:bookmarkStart w:id="506" w:name="_Toc297123528"/>
      <w:bookmarkStart w:id="507" w:name="_Toc300934980"/>
      <w:bookmarkStart w:id="508" w:name="_Toc296890996"/>
      <w:bookmarkStart w:id="509" w:name="_Toc304295557"/>
      <w:bookmarkStart w:id="510" w:name="_Toc296347167"/>
      <w:bookmarkStart w:id="511" w:name="_Toc297048354"/>
      <w:bookmarkStart w:id="512" w:name="_Toc297120468"/>
      <w:bookmarkStart w:id="513" w:name="_Toc296891208"/>
      <w:r>
        <w:rPr>
          <w:rFonts w:hint="eastAsia" w:ascii="宋体" w:hAnsi="宋体" w:eastAsia="宋体" w:cs="宋体"/>
          <w:color w:val="auto"/>
          <w:kern w:val="0"/>
          <w:sz w:val="24"/>
          <w:szCs w:val="24"/>
          <w:highlight w:val="none"/>
        </w:rPr>
        <w:t>.4.1发包人供应的材料设备的保管费用的承担：</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bookmarkEnd w:id="496"/>
      <w:bookmarkEnd w:id="497"/>
    </w:p>
    <w:p w14:paraId="69A58AA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 样品</w:t>
      </w:r>
    </w:p>
    <w:p w14:paraId="0B197D5C">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8.6.1 样品的报送与封存</w:t>
      </w:r>
    </w:p>
    <w:p w14:paraId="4A949A52">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需要承包人报送样品的材料或工程设备，样品的种类、名称、规格、数量要求：</w:t>
      </w:r>
      <w:r>
        <w:rPr>
          <w:rFonts w:hint="eastAsia" w:ascii="宋体" w:hAnsi="宋体" w:eastAsia="宋体" w:cs="宋体"/>
          <w:b/>
          <w:color w:val="auto"/>
          <w:kern w:val="0"/>
          <w:sz w:val="24"/>
          <w:szCs w:val="24"/>
          <w:highlight w:val="none"/>
          <w:u w:val="single"/>
        </w:rPr>
        <w:t xml:space="preserve">按管理部门及发包人要求确定 实行材料先行、样品封样，若实际施工材料与封样材料不一致，没查处一次承包方除了需及时更换为封样产品外，还需承担由此造成的一切经济和工期赔偿 </w:t>
      </w:r>
      <w:r>
        <w:rPr>
          <w:rFonts w:hint="eastAsia" w:ascii="宋体" w:hAnsi="宋体" w:eastAsia="宋体" w:cs="宋体"/>
          <w:b/>
          <w:color w:val="auto"/>
          <w:kern w:val="0"/>
          <w:sz w:val="24"/>
          <w:szCs w:val="24"/>
          <w:highlight w:val="none"/>
        </w:rPr>
        <w:t>。</w:t>
      </w:r>
    </w:p>
    <w:p w14:paraId="54F1FFE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 施工设备和临时设施</w:t>
      </w:r>
    </w:p>
    <w:p w14:paraId="7A2C8354">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8.8.1 承包人提供的施工设备和临时设施</w:t>
      </w:r>
    </w:p>
    <w:p w14:paraId="43A80926">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关于修建临时设施费用承担的约定：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由承包人承担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0D2B380">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8.8.2 发包人不提供施工设备或临时设施。</w:t>
      </w:r>
    </w:p>
    <w:p w14:paraId="7F9D298F">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关于修建临时设施费用承担的约定：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由承包人承担</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14:paraId="463E647D">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514" w:name="_Toc351203641"/>
      <w:r>
        <w:rPr>
          <w:rFonts w:hint="eastAsia" w:ascii="宋体" w:hAnsi="宋体" w:eastAsia="宋体" w:cs="宋体"/>
          <w:color w:val="auto"/>
          <w:kern w:val="0"/>
          <w:sz w:val="24"/>
          <w:szCs w:val="24"/>
          <w:highlight w:val="none"/>
        </w:rPr>
        <w:t>9</w:t>
      </w:r>
      <w:bookmarkEnd w:id="493"/>
      <w:bookmarkEnd w:id="494"/>
      <w:bookmarkEnd w:id="495"/>
      <w:bookmarkStart w:id="515" w:name="_Toc303539139"/>
      <w:bookmarkStart w:id="516" w:name="_Toc300934982"/>
      <w:bookmarkStart w:id="517" w:name="_Toc297216192"/>
      <w:bookmarkStart w:id="518" w:name="_Toc304295559"/>
      <w:bookmarkStart w:id="519" w:name="_Toc312678021"/>
      <w:bookmarkStart w:id="520" w:name="_Toc312677495"/>
      <w:bookmarkStart w:id="521" w:name="_Toc297123533"/>
      <w:bookmarkStart w:id="522" w:name="_Toc297120473"/>
      <w:bookmarkStart w:id="523" w:name="_Toc296503173"/>
      <w:bookmarkStart w:id="524" w:name="_Toc267251427"/>
      <w:bookmarkStart w:id="525" w:name="_Toc296347172"/>
      <w:bookmarkStart w:id="526" w:name="_Toc292559378"/>
      <w:bookmarkStart w:id="527" w:name="_Toc296346674"/>
      <w:bookmarkStart w:id="528" w:name="_Toc267251428"/>
      <w:bookmarkStart w:id="529" w:name="_Toc296891213"/>
      <w:bookmarkStart w:id="530" w:name="_Toc297048359"/>
      <w:bookmarkStart w:id="531" w:name="_Toc296944512"/>
      <w:bookmarkStart w:id="532" w:name="_Toc296891001"/>
      <w:bookmarkStart w:id="533" w:name="_Toc292559883"/>
      <w:r>
        <w:rPr>
          <w:rFonts w:hint="eastAsia" w:ascii="宋体" w:hAnsi="宋体" w:eastAsia="宋体" w:cs="宋体"/>
          <w:color w:val="auto"/>
          <w:kern w:val="0"/>
          <w:sz w:val="24"/>
          <w:szCs w:val="24"/>
          <w:highlight w:val="none"/>
        </w:rPr>
        <w:t>. 试验与检验</w:t>
      </w:r>
      <w:bookmarkEnd w:id="514"/>
    </w:p>
    <w:bookmarkEnd w:id="515"/>
    <w:bookmarkEnd w:id="516"/>
    <w:bookmarkEnd w:id="517"/>
    <w:bookmarkEnd w:id="518"/>
    <w:bookmarkEnd w:id="519"/>
    <w:bookmarkEnd w:id="520"/>
    <w:bookmarkEnd w:id="521"/>
    <w:p w14:paraId="544A0D6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bookmarkStart w:id="534" w:name="_Toc297216193"/>
      <w:bookmarkStart w:id="535" w:name="_Toc304295560"/>
      <w:bookmarkStart w:id="536" w:name="_Toc303539140"/>
      <w:bookmarkStart w:id="537" w:name="_Toc297123534"/>
      <w:bookmarkStart w:id="538" w:name="_Toc300934983"/>
      <w:bookmarkStart w:id="539" w:name="_Toc312677496"/>
      <w:bookmarkStart w:id="540" w:name="_Toc312678022"/>
      <w:r>
        <w:rPr>
          <w:rFonts w:hint="eastAsia" w:ascii="宋体" w:hAnsi="宋体" w:eastAsia="宋体" w:cs="宋体"/>
          <w:color w:val="auto"/>
          <w:kern w:val="0"/>
          <w:sz w:val="24"/>
          <w:szCs w:val="24"/>
          <w:highlight w:val="none"/>
        </w:rPr>
        <w:t>.1试验设备与试验人员</w:t>
      </w:r>
    </w:p>
    <w:bookmarkEnd w:id="534"/>
    <w:bookmarkEnd w:id="535"/>
    <w:bookmarkEnd w:id="536"/>
    <w:bookmarkEnd w:id="537"/>
    <w:bookmarkEnd w:id="538"/>
    <w:bookmarkEnd w:id="539"/>
    <w:bookmarkEnd w:id="540"/>
    <w:p w14:paraId="2583AE8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bookmarkStart w:id="541" w:name="_Toc303539141"/>
      <w:bookmarkStart w:id="542" w:name="_Toc297123535"/>
      <w:bookmarkStart w:id="543" w:name="_Toc312677497"/>
      <w:bookmarkStart w:id="544" w:name="_Toc312678023"/>
      <w:bookmarkStart w:id="545" w:name="_Toc304295561"/>
      <w:bookmarkStart w:id="546" w:name="_Toc297216194"/>
      <w:bookmarkStart w:id="547" w:name="_Toc300934984"/>
      <w:bookmarkStart w:id="548" w:name="_Toc318581174"/>
      <w:r>
        <w:rPr>
          <w:rFonts w:hint="eastAsia" w:ascii="宋体" w:hAnsi="宋体" w:eastAsia="宋体" w:cs="宋体"/>
          <w:color w:val="auto"/>
          <w:kern w:val="0"/>
          <w:sz w:val="24"/>
          <w:szCs w:val="24"/>
          <w:highlight w:val="none"/>
        </w:rPr>
        <w:t>.1.2 试验设备</w:t>
      </w:r>
    </w:p>
    <w:p w14:paraId="27970C2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施工现场需要配置的试验场所：</w:t>
      </w:r>
      <w:bookmarkEnd w:id="541"/>
      <w:bookmarkEnd w:id="542"/>
      <w:bookmarkEnd w:id="543"/>
      <w:bookmarkEnd w:id="544"/>
      <w:bookmarkEnd w:id="545"/>
      <w:bookmarkEnd w:id="546"/>
      <w:bookmarkEnd w:id="547"/>
      <w:bookmarkStart w:id="549" w:name="_Toc312677498"/>
      <w:bookmarkStart w:id="550" w:name="_Toc297216195"/>
      <w:bookmarkStart w:id="551" w:name="_Toc312678024"/>
      <w:bookmarkStart w:id="552" w:name="_Toc297123536"/>
      <w:bookmarkStart w:id="553" w:name="_Toc300934985"/>
      <w:bookmarkStart w:id="554" w:name="_Toc304295562"/>
      <w:bookmarkStart w:id="555" w:name="_Toc303539142"/>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按相关规定执行 </w:t>
      </w:r>
      <w:r>
        <w:rPr>
          <w:rFonts w:hint="eastAsia" w:ascii="宋体" w:hAnsi="宋体" w:eastAsia="宋体" w:cs="宋体"/>
          <w:color w:val="auto"/>
          <w:kern w:val="0"/>
          <w:sz w:val="24"/>
          <w:szCs w:val="24"/>
          <w:highlight w:val="none"/>
        </w:rPr>
        <w:t xml:space="preserve">。 </w:t>
      </w:r>
    </w:p>
    <w:p w14:paraId="0D81CFB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施工现场需要配备的试验设备：</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按相关规定执行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D19CE5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施工现场需要具备的其他试验条件：</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按相关规定行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C3F61D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9.4 现场工艺试验 </w:t>
      </w:r>
    </w:p>
    <w:p w14:paraId="66AB39E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现场工艺试验的有关约定：</w:t>
      </w:r>
      <w:r>
        <w:rPr>
          <w:rFonts w:hint="eastAsia" w:ascii="宋体" w:hAnsi="宋体" w:eastAsia="宋体" w:cs="宋体"/>
          <w:b/>
          <w:color w:val="auto"/>
          <w:kern w:val="0"/>
          <w:sz w:val="24"/>
          <w:szCs w:val="24"/>
          <w:highlight w:val="none"/>
          <w:u w:val="single"/>
        </w:rPr>
        <w:t xml:space="preserve"> 按通用合同条款执行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548"/>
    <w:bookmarkEnd w:id="549"/>
    <w:bookmarkEnd w:id="550"/>
    <w:bookmarkEnd w:id="551"/>
    <w:bookmarkEnd w:id="552"/>
    <w:bookmarkEnd w:id="553"/>
    <w:bookmarkEnd w:id="554"/>
    <w:bookmarkEnd w:id="555"/>
    <w:p w14:paraId="67CAE845">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lang w:eastAsia="zh-CN"/>
        </w:rPr>
      </w:pPr>
      <w:bookmarkStart w:id="556" w:name="_Toc351203642"/>
      <w:r>
        <w:rPr>
          <w:rFonts w:hint="eastAsia" w:ascii="宋体" w:hAnsi="宋体" w:eastAsia="宋体" w:cs="宋体"/>
          <w:color w:val="auto"/>
          <w:kern w:val="0"/>
          <w:sz w:val="24"/>
          <w:szCs w:val="24"/>
          <w:highlight w:val="none"/>
        </w:rPr>
        <w:t>1</w:t>
      </w:r>
      <w:bookmarkEnd w:id="522"/>
      <w:bookmarkEnd w:id="523"/>
      <w:bookmarkEnd w:id="524"/>
      <w:bookmarkEnd w:id="525"/>
      <w:bookmarkEnd w:id="526"/>
      <w:bookmarkEnd w:id="527"/>
      <w:bookmarkEnd w:id="528"/>
      <w:bookmarkEnd w:id="529"/>
      <w:bookmarkEnd w:id="530"/>
      <w:bookmarkEnd w:id="531"/>
      <w:bookmarkEnd w:id="532"/>
      <w:bookmarkEnd w:id="533"/>
      <w:bookmarkStart w:id="557" w:name="_Toc296944532"/>
      <w:bookmarkStart w:id="558" w:name="_Toc292559903"/>
      <w:bookmarkStart w:id="559" w:name="_Toc297048379"/>
      <w:bookmarkStart w:id="560" w:name="_Toc300934989"/>
      <w:bookmarkStart w:id="561" w:name="_Toc296347192"/>
      <w:bookmarkStart w:id="562" w:name="_Toc296503193"/>
      <w:bookmarkStart w:id="563" w:name="_Toc296891233"/>
      <w:bookmarkStart w:id="564" w:name="_Toc296346694"/>
      <w:bookmarkStart w:id="565" w:name="_Toc292559398"/>
      <w:bookmarkStart w:id="566" w:name="_Toc304295566"/>
      <w:bookmarkStart w:id="567" w:name="_Toc297123540"/>
      <w:bookmarkStart w:id="568" w:name="_Toc296891021"/>
      <w:bookmarkStart w:id="569" w:name="_Toc303539146"/>
      <w:bookmarkStart w:id="570" w:name="_Toc297120493"/>
      <w:bookmarkStart w:id="571" w:name="_Toc297216199"/>
      <w:bookmarkStart w:id="572" w:name="_Toc312678025"/>
      <w:bookmarkStart w:id="573" w:name="_Toc312677499"/>
      <w:bookmarkStart w:id="574" w:name="_Toc267251440"/>
      <w:bookmarkStart w:id="575" w:name="_Toc267251439"/>
      <w:bookmarkStart w:id="576" w:name="_Toc267251441"/>
      <w:bookmarkStart w:id="577" w:name="_Toc267251433"/>
      <w:bookmarkStart w:id="578" w:name="_Toc267251437"/>
      <w:bookmarkStart w:id="579" w:name="_Toc267251435"/>
      <w:bookmarkStart w:id="580" w:name="_Toc267251442"/>
      <w:r>
        <w:rPr>
          <w:rFonts w:hint="eastAsia" w:ascii="宋体" w:hAnsi="宋体" w:eastAsia="宋体" w:cs="宋体"/>
          <w:color w:val="auto"/>
          <w:kern w:val="0"/>
          <w:sz w:val="24"/>
          <w:szCs w:val="24"/>
          <w:highlight w:val="none"/>
        </w:rPr>
        <w:t>0.变更</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bookmarkEnd w:id="572"/>
    <w:bookmarkEnd w:id="573"/>
    <w:p w14:paraId="3E41A7F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581" w:name="_Toc292559399"/>
      <w:bookmarkStart w:id="582" w:name="_Toc297123541"/>
      <w:bookmarkStart w:id="583" w:name="_Toc297216200"/>
      <w:bookmarkStart w:id="584" w:name="_Toc296891022"/>
      <w:bookmarkStart w:id="585" w:name="_Toc292559904"/>
      <w:bookmarkStart w:id="586" w:name="_Toc296346695"/>
      <w:bookmarkStart w:id="587" w:name="_Toc296503194"/>
      <w:bookmarkStart w:id="588" w:name="_Toc303539147"/>
      <w:bookmarkStart w:id="589" w:name="_Toc297120494"/>
      <w:bookmarkStart w:id="590" w:name="_Toc297048380"/>
      <w:bookmarkStart w:id="591" w:name="_Toc312678026"/>
      <w:bookmarkStart w:id="592" w:name="_Toc300934990"/>
      <w:bookmarkStart w:id="593" w:name="_Toc296891234"/>
      <w:bookmarkStart w:id="594" w:name="_Toc312677500"/>
      <w:bookmarkStart w:id="595" w:name="_Toc296347193"/>
      <w:bookmarkStart w:id="596" w:name="_Toc296944533"/>
      <w:bookmarkStart w:id="597" w:name="_Toc304295567"/>
      <w:r>
        <w:rPr>
          <w:rFonts w:hint="eastAsia" w:ascii="宋体" w:hAnsi="宋体" w:eastAsia="宋体" w:cs="宋体"/>
          <w:color w:val="auto"/>
          <w:kern w:val="0"/>
          <w:sz w:val="24"/>
          <w:szCs w:val="24"/>
          <w:highlight w:val="none"/>
        </w:rPr>
        <w:t>10.4 变更估价</w:t>
      </w:r>
    </w:p>
    <w:p w14:paraId="158058F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10.4.1 变更估价原则</w:t>
      </w:r>
    </w:p>
    <w:p w14:paraId="69C519F9">
      <w:pPr>
        <w:keepNext w:val="0"/>
        <w:keepLines w:val="0"/>
        <w:pageBreakBefore w:val="0"/>
        <w:kinsoku/>
        <w:wordWrap w:val="0"/>
        <w:overflowPunct/>
        <w:topLinePunct w:val="0"/>
        <w:autoSpaceDE w:val="0"/>
        <w:autoSpaceDN w:val="0"/>
        <w:bidi w:val="0"/>
        <w:adjustRightInd w:val="0"/>
        <w:spacing w:line="500" w:lineRule="exact"/>
        <w:ind w:left="0" w:leftChars="0"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关于变更估价的约定: </w:t>
      </w:r>
    </w:p>
    <w:p w14:paraId="62CFB004">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color="000000"/>
        </w:rPr>
        <w:t>①工程量清单项目的项目特征与</w:t>
      </w:r>
      <w:r>
        <w:rPr>
          <w:rFonts w:hint="eastAsia" w:ascii="宋体" w:hAnsi="宋体" w:eastAsia="宋体" w:cs="宋体"/>
          <w:b/>
          <w:color w:val="auto"/>
          <w:kern w:val="0"/>
          <w:sz w:val="24"/>
          <w:szCs w:val="24"/>
          <w:highlight w:val="none"/>
          <w:u w:val="single" w:color="000000"/>
          <w:lang w:eastAsia="zh-CN"/>
        </w:rPr>
        <w:t>报价</w:t>
      </w:r>
      <w:r>
        <w:rPr>
          <w:rFonts w:hint="eastAsia" w:ascii="宋体" w:hAnsi="宋体" w:eastAsia="宋体" w:cs="宋体"/>
          <w:b/>
          <w:color w:val="auto"/>
          <w:kern w:val="0"/>
          <w:sz w:val="24"/>
          <w:szCs w:val="24"/>
          <w:highlight w:val="none"/>
          <w:u w:val="single" w:color="000000"/>
        </w:rPr>
        <w:t>中项目相同的，按</w:t>
      </w:r>
      <w:r>
        <w:rPr>
          <w:rFonts w:hint="eastAsia" w:ascii="宋体" w:hAnsi="宋体" w:eastAsia="宋体" w:cs="宋体"/>
          <w:b/>
          <w:color w:val="auto"/>
          <w:kern w:val="0"/>
          <w:sz w:val="24"/>
          <w:szCs w:val="24"/>
          <w:highlight w:val="none"/>
          <w:u w:val="single" w:color="000000"/>
          <w:lang w:eastAsia="zh-CN"/>
        </w:rPr>
        <w:t>报价</w:t>
      </w:r>
      <w:r>
        <w:rPr>
          <w:rFonts w:hint="eastAsia" w:ascii="宋体" w:hAnsi="宋体" w:eastAsia="宋体" w:cs="宋体"/>
          <w:b/>
          <w:color w:val="auto"/>
          <w:kern w:val="0"/>
          <w:sz w:val="24"/>
          <w:szCs w:val="24"/>
          <w:highlight w:val="none"/>
          <w:u w:val="single" w:color="000000"/>
        </w:rPr>
        <w:t>的综合单价计算。</w:t>
      </w:r>
    </w:p>
    <w:p w14:paraId="0B4C82DC">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color="000000"/>
        </w:rPr>
        <w:t>②新增工程量清单项目的项目特征与</w:t>
      </w:r>
      <w:r>
        <w:rPr>
          <w:rFonts w:hint="eastAsia" w:ascii="宋体" w:hAnsi="宋体" w:eastAsia="宋体" w:cs="宋体"/>
          <w:b/>
          <w:color w:val="auto"/>
          <w:kern w:val="0"/>
          <w:sz w:val="24"/>
          <w:szCs w:val="24"/>
          <w:highlight w:val="none"/>
          <w:u w:val="single" w:color="000000"/>
          <w:lang w:eastAsia="zh-CN"/>
        </w:rPr>
        <w:t>报价</w:t>
      </w:r>
      <w:r>
        <w:rPr>
          <w:rFonts w:hint="eastAsia" w:ascii="宋体" w:hAnsi="宋体" w:eastAsia="宋体" w:cs="宋体"/>
          <w:b/>
          <w:color w:val="auto"/>
          <w:kern w:val="0"/>
          <w:sz w:val="24"/>
          <w:szCs w:val="24"/>
          <w:highlight w:val="none"/>
          <w:u w:val="single" w:color="000000"/>
        </w:rPr>
        <w:t>中项目类似的，综合单价参照类似项目的单价进行结算。</w:t>
      </w:r>
    </w:p>
    <w:p w14:paraId="53A22AC6">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color="000000"/>
        </w:rPr>
        <w:t>③</w:t>
      </w:r>
      <w:r>
        <w:rPr>
          <w:rFonts w:hint="eastAsia" w:ascii="宋体" w:hAnsi="宋体" w:eastAsia="宋体" w:cs="宋体"/>
          <w:b/>
          <w:color w:val="auto"/>
          <w:kern w:val="0"/>
          <w:sz w:val="24"/>
          <w:szCs w:val="24"/>
          <w:highlight w:val="none"/>
          <w:u w:val="single" w:color="000000"/>
          <w:lang w:eastAsia="zh-CN"/>
        </w:rPr>
        <w:t>报价中没有综合单价的新的工程量清单项目，新增项目的综合单价由承包人提出，由发包人、监理单位确认后，并经</w:t>
      </w:r>
      <w:r>
        <w:rPr>
          <w:rFonts w:hint="eastAsia" w:ascii="宋体" w:hAnsi="宋体" w:eastAsia="宋体" w:cs="宋体"/>
          <w:b/>
          <w:color w:val="auto"/>
          <w:kern w:val="0"/>
          <w:sz w:val="24"/>
          <w:szCs w:val="24"/>
          <w:highlight w:val="none"/>
          <w:u w:val="single" w:color="000000"/>
          <w:lang w:val="en-US" w:eastAsia="zh-CN"/>
        </w:rPr>
        <w:t>有资质的中介机构</w:t>
      </w:r>
      <w:r>
        <w:rPr>
          <w:rFonts w:hint="eastAsia" w:ascii="宋体" w:hAnsi="宋体" w:eastAsia="宋体" w:cs="宋体"/>
          <w:b/>
          <w:color w:val="auto"/>
          <w:kern w:val="0"/>
          <w:sz w:val="24"/>
          <w:szCs w:val="24"/>
          <w:highlight w:val="none"/>
          <w:u w:val="single" w:color="000000"/>
          <w:lang w:eastAsia="zh-CN"/>
        </w:rPr>
        <w:t>审核通过后作为结</w:t>
      </w:r>
      <w:r>
        <w:rPr>
          <w:rFonts w:hint="eastAsia" w:ascii="宋体" w:hAnsi="宋体" w:eastAsia="宋体" w:cs="宋体"/>
          <w:b/>
          <w:color w:val="auto"/>
          <w:kern w:val="0"/>
          <w:sz w:val="24"/>
          <w:szCs w:val="24"/>
          <w:highlight w:val="none"/>
          <w:u w:val="single" w:color="000000"/>
          <w:lang w:val="en-US" w:eastAsia="zh-CN"/>
        </w:rPr>
        <w:t>算价</w:t>
      </w:r>
      <w:r>
        <w:rPr>
          <w:rFonts w:hint="eastAsia" w:ascii="宋体" w:hAnsi="宋体" w:eastAsia="宋体" w:cs="宋体"/>
          <w:b/>
          <w:color w:val="auto"/>
          <w:kern w:val="0"/>
          <w:sz w:val="24"/>
          <w:szCs w:val="24"/>
          <w:highlight w:val="none"/>
          <w:u w:val="single" w:color="000000"/>
          <w:lang w:eastAsia="zh-CN"/>
        </w:rPr>
        <w:t>。</w:t>
      </w:r>
    </w:p>
    <w:p w14:paraId="115336DF">
      <w:pPr>
        <w:keepNext w:val="0"/>
        <w:keepLines w:val="0"/>
        <w:pageBreakBefore w:val="0"/>
        <w:kinsoku/>
        <w:wordWrap w:val="0"/>
        <w:overflowPunct/>
        <w:topLinePunct w:val="0"/>
        <w:autoSpaceDE w:val="0"/>
        <w:autoSpaceDN w:val="0"/>
        <w:bidi w:val="0"/>
        <w:adjustRightInd w:val="0"/>
        <w:spacing w:line="500" w:lineRule="exact"/>
        <w:ind w:left="0" w:leftChars="0" w:right="0" w:firstLine="482" w:firstLineChars="200"/>
        <w:textAlignment w:val="auto"/>
        <w:rPr>
          <w:rFonts w:hint="eastAsia" w:ascii="宋体" w:hAnsi="宋体" w:eastAsia="宋体" w:cs="宋体"/>
          <w:b/>
          <w:color w:val="auto"/>
          <w:kern w:val="0"/>
          <w:sz w:val="24"/>
          <w:szCs w:val="24"/>
          <w:highlight w:val="none"/>
          <w:u w:val="single" w:color="000000"/>
        </w:rPr>
      </w:pPr>
      <w:r>
        <w:rPr>
          <w:rFonts w:hint="eastAsia" w:ascii="宋体" w:hAnsi="宋体" w:eastAsia="宋体" w:cs="宋体"/>
          <w:b/>
          <w:color w:val="auto"/>
          <w:kern w:val="0"/>
          <w:sz w:val="24"/>
          <w:szCs w:val="24"/>
          <w:highlight w:val="none"/>
          <w:u w:val="single" w:color="000000"/>
        </w:rPr>
        <w:t>上述的“与</w:t>
      </w:r>
      <w:r>
        <w:rPr>
          <w:rFonts w:hint="eastAsia" w:ascii="宋体" w:hAnsi="宋体" w:eastAsia="宋体" w:cs="宋体"/>
          <w:b/>
          <w:color w:val="auto"/>
          <w:kern w:val="0"/>
          <w:sz w:val="24"/>
          <w:szCs w:val="24"/>
          <w:highlight w:val="none"/>
          <w:u w:val="single" w:color="000000"/>
          <w:lang w:eastAsia="zh-CN"/>
        </w:rPr>
        <w:t>报价</w:t>
      </w:r>
      <w:r>
        <w:rPr>
          <w:rFonts w:hint="eastAsia" w:ascii="宋体" w:hAnsi="宋体" w:eastAsia="宋体" w:cs="宋体"/>
          <w:b/>
          <w:color w:val="auto"/>
          <w:kern w:val="0"/>
          <w:sz w:val="24"/>
          <w:szCs w:val="24"/>
          <w:highlight w:val="none"/>
          <w:u w:val="single" w:color="000000"/>
        </w:rPr>
        <w:t>中项目类似的”新增项目，指与投标分部分项工程量清单项目编码一至九位完全相同的新增的分部分项工程。</w:t>
      </w:r>
    </w:p>
    <w:p w14:paraId="3BD8CE4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10.4.2变更估价程序</w:t>
      </w:r>
    </w:p>
    <w:p w14:paraId="3BC2703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zh-CN"/>
        </w:rPr>
        <w:t>）承包人应在接到发包人指令单、设计变更单21天内或者签证事件完成之日</w:t>
      </w:r>
      <w:r>
        <w:rPr>
          <w:rFonts w:hint="eastAsia" w:ascii="宋体" w:hAnsi="宋体" w:eastAsia="宋体" w:cs="宋体"/>
          <w:color w:val="auto"/>
          <w:kern w:val="0"/>
          <w:sz w:val="24"/>
          <w:szCs w:val="24"/>
          <w:highlight w:val="none"/>
        </w:rPr>
        <w:t>起</w:t>
      </w:r>
      <w:r>
        <w:rPr>
          <w:rFonts w:hint="eastAsia" w:ascii="宋体" w:hAnsi="宋体" w:eastAsia="宋体" w:cs="宋体"/>
          <w:color w:val="auto"/>
          <w:kern w:val="0"/>
          <w:sz w:val="24"/>
          <w:szCs w:val="24"/>
          <w:highlight w:val="none"/>
          <w:lang w:val="zh-CN"/>
        </w:rPr>
        <w:t>21天内、并在隐蔽前（变更工程被隐蔽无法计量的，发包人、监理人有权拒绝签证）提交补充预算或报发包人、监理人、</w:t>
      </w:r>
      <w:r>
        <w:rPr>
          <w:rFonts w:hint="eastAsia" w:ascii="宋体" w:hAnsi="宋体" w:eastAsia="宋体" w:cs="宋体"/>
          <w:color w:val="auto"/>
          <w:kern w:val="0"/>
          <w:sz w:val="24"/>
          <w:szCs w:val="24"/>
          <w:highlight w:val="none"/>
        </w:rPr>
        <w:t>造价咨询人</w:t>
      </w:r>
      <w:r>
        <w:rPr>
          <w:rFonts w:hint="eastAsia" w:ascii="宋体" w:hAnsi="宋体" w:eastAsia="宋体" w:cs="宋体"/>
          <w:color w:val="auto"/>
          <w:kern w:val="0"/>
          <w:sz w:val="24"/>
          <w:szCs w:val="24"/>
          <w:highlight w:val="none"/>
          <w:lang w:val="zh-CN"/>
        </w:rPr>
        <w:t>签证确认工程量（承包人提交签证单的同时附图纸或图片或现场照片及其说明）。自签证事件完成之日起超过21天承包人仍未按约定申报的，则视为承包人放弃签证。承包人上报的签证超过签证事件完成之日</w:t>
      </w:r>
      <w:r>
        <w:rPr>
          <w:rFonts w:hint="eastAsia" w:ascii="宋体" w:hAnsi="宋体" w:eastAsia="宋体" w:cs="宋体"/>
          <w:color w:val="auto"/>
          <w:kern w:val="0"/>
          <w:sz w:val="24"/>
          <w:szCs w:val="24"/>
          <w:highlight w:val="none"/>
        </w:rPr>
        <w:t>起</w:t>
      </w:r>
      <w:r>
        <w:rPr>
          <w:rFonts w:hint="eastAsia" w:ascii="宋体" w:hAnsi="宋体" w:eastAsia="宋体" w:cs="宋体"/>
          <w:color w:val="auto"/>
          <w:kern w:val="0"/>
          <w:sz w:val="24"/>
          <w:szCs w:val="24"/>
          <w:highlight w:val="none"/>
          <w:lang w:val="zh-CN"/>
        </w:rPr>
        <w:t>21天的，属无效文件，不作为支付工程进度款或者竣工结算的依据。承包人坚持以超过合同约定期限的签证文件向发包人索赔或者要求补偿的，除该文件无效外，承包人须按该签证额向发包人支付等额违约金，在结算时一次性扣除。禁止事后补办，承包人不及时上报审批的，发包人有权不接收、不计算及不支付相关费用。</w:t>
      </w:r>
    </w:p>
    <w:p w14:paraId="6D0D84B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（2）对变更减少部分，承包人若未及时办理变更签证，发包人有权根据实际发生情况进行核查扣减。</w:t>
      </w:r>
    </w:p>
    <w:p w14:paraId="671057D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（3）隐蔽工程的签证必须经承包人、监理人、造价咨询人、发包人四方共同签字确认方能进入结算依据。</w:t>
      </w:r>
    </w:p>
    <w:p w14:paraId="624C1DD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安全文明施工费、临时设施费、冬、雨季施工增加费、生产工具用具使用费、工程定位复测、工程点交、场地清理费等费用按《云南省建设工程造价计价标准（2020版）》及其相关配套的计价文件计取相关费用，不再另行调整。</w:t>
      </w:r>
    </w:p>
    <w:p w14:paraId="767E3F2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Start w:id="598" w:name="_Toc297120497"/>
      <w:bookmarkStart w:id="599" w:name="_Toc303539150"/>
      <w:bookmarkStart w:id="600" w:name="_Toc297048383"/>
      <w:bookmarkStart w:id="601" w:name="_Toc292559907"/>
      <w:bookmarkStart w:id="602" w:name="_Toc296891237"/>
      <w:bookmarkStart w:id="603" w:name="_Toc292559402"/>
      <w:bookmarkStart w:id="604" w:name="_Toc296944536"/>
      <w:bookmarkStart w:id="605" w:name="_Toc296891025"/>
      <w:bookmarkStart w:id="606" w:name="_Toc296503197"/>
      <w:bookmarkStart w:id="607" w:name="_Toc296346698"/>
      <w:bookmarkStart w:id="608" w:name="_Toc296347196"/>
      <w:bookmarkStart w:id="609" w:name="_Toc297216203"/>
      <w:bookmarkStart w:id="610" w:name="_Toc297123544"/>
      <w:bookmarkStart w:id="611" w:name="_Toc300934993"/>
      <w:bookmarkStart w:id="612" w:name="_Toc312678029"/>
      <w:bookmarkStart w:id="613" w:name="_Toc304295570"/>
      <w:bookmarkStart w:id="614" w:name="_Toc312677503"/>
      <w:r>
        <w:rPr>
          <w:rFonts w:hint="eastAsia" w:ascii="宋体" w:hAnsi="宋体" w:eastAsia="宋体" w:cs="宋体"/>
          <w:color w:val="auto"/>
          <w:kern w:val="0"/>
          <w:sz w:val="24"/>
          <w:szCs w:val="24"/>
          <w:highlight w:val="none"/>
        </w:rPr>
        <w:t>0.5承</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Start w:id="615" w:name="_Toc297216204"/>
      <w:bookmarkStart w:id="616" w:name="_Toc296503203"/>
      <w:bookmarkStart w:id="617" w:name="_Toc296346704"/>
      <w:bookmarkStart w:id="618" w:name="_Toc297120503"/>
      <w:bookmarkStart w:id="619" w:name="_Toc297123545"/>
      <w:bookmarkStart w:id="620" w:name="_Toc303539151"/>
      <w:bookmarkStart w:id="621" w:name="_Toc296891031"/>
      <w:bookmarkStart w:id="622" w:name="_Toc292559408"/>
      <w:bookmarkStart w:id="623" w:name="_Toc297048389"/>
      <w:bookmarkStart w:id="624" w:name="_Toc300934994"/>
      <w:bookmarkStart w:id="625" w:name="_Toc292559913"/>
      <w:bookmarkStart w:id="626" w:name="_Toc296347202"/>
      <w:bookmarkStart w:id="627" w:name="_Toc296891243"/>
      <w:bookmarkStart w:id="628" w:name="_Toc296944542"/>
      <w:r>
        <w:rPr>
          <w:rFonts w:hint="eastAsia" w:ascii="宋体" w:hAnsi="宋体" w:eastAsia="宋体" w:cs="宋体"/>
          <w:color w:val="auto"/>
          <w:kern w:val="0"/>
          <w:sz w:val="24"/>
          <w:szCs w:val="24"/>
          <w:highlight w:val="none"/>
        </w:rPr>
        <w:t>包人的合理化建议</w:t>
      </w:r>
    </w:p>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14:paraId="6DD8487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监理人审查承包人合理化建议的期限：</w:t>
      </w:r>
      <w:r>
        <w:rPr>
          <w:rFonts w:hint="eastAsia" w:ascii="宋体" w:hAnsi="宋体" w:eastAsia="宋体" w:cs="宋体"/>
          <w:b/>
          <w:color w:val="auto"/>
          <w:kern w:val="0"/>
          <w:sz w:val="24"/>
          <w:szCs w:val="24"/>
          <w:highlight w:val="none"/>
          <w:u w:val="single"/>
        </w:rPr>
        <w:t xml:space="preserve"> 7天 </w:t>
      </w:r>
      <w:r>
        <w:rPr>
          <w:rFonts w:hint="eastAsia" w:ascii="宋体" w:hAnsi="宋体" w:eastAsia="宋体" w:cs="宋体"/>
          <w:color w:val="auto"/>
          <w:kern w:val="0"/>
          <w:sz w:val="24"/>
          <w:szCs w:val="24"/>
          <w:highlight w:val="none"/>
        </w:rPr>
        <w:t>。</w:t>
      </w:r>
    </w:p>
    <w:p w14:paraId="3932F28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发包人审批承包人合理化建议的期限：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7天    </w:t>
      </w:r>
      <w:r>
        <w:rPr>
          <w:rFonts w:hint="eastAsia" w:ascii="宋体" w:hAnsi="宋体" w:eastAsia="宋体" w:cs="宋体"/>
          <w:color w:val="auto"/>
          <w:kern w:val="0"/>
          <w:sz w:val="24"/>
          <w:szCs w:val="24"/>
          <w:highlight w:val="none"/>
        </w:rPr>
        <w:t>。</w:t>
      </w:r>
    </w:p>
    <w:p w14:paraId="7F23D99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w:t>
      </w:r>
      <w:bookmarkStart w:id="629" w:name="_Toc312677504"/>
      <w:bookmarkStart w:id="630" w:name="_Toc296891244"/>
      <w:bookmarkStart w:id="631" w:name="_Toc303539152"/>
      <w:bookmarkStart w:id="632" w:name="_Toc300934995"/>
      <w:bookmarkStart w:id="633" w:name="_Toc297048390"/>
      <w:bookmarkStart w:id="634" w:name="_Toc296503204"/>
      <w:bookmarkStart w:id="635" w:name="_Toc292559409"/>
      <w:bookmarkStart w:id="636" w:name="_Toc318581175"/>
      <w:bookmarkStart w:id="637" w:name="_Toc297123546"/>
      <w:bookmarkStart w:id="638" w:name="_Toc296891032"/>
      <w:bookmarkStart w:id="639" w:name="_Toc297216205"/>
      <w:bookmarkStart w:id="640" w:name="_Toc296346705"/>
      <w:bookmarkStart w:id="641" w:name="_Toc312678030"/>
      <w:bookmarkStart w:id="642" w:name="_Toc304295571"/>
      <w:bookmarkStart w:id="643" w:name="_Toc297120504"/>
      <w:bookmarkStart w:id="644" w:name="_Toc296347203"/>
      <w:bookmarkStart w:id="645" w:name="_Toc292559914"/>
      <w:bookmarkStart w:id="646" w:name="_Toc296944543"/>
      <w:r>
        <w:rPr>
          <w:rFonts w:hint="eastAsia" w:ascii="宋体" w:hAnsi="宋体" w:eastAsia="宋体" w:cs="宋体"/>
          <w:color w:val="auto"/>
          <w:kern w:val="0"/>
          <w:sz w:val="24"/>
          <w:szCs w:val="24"/>
          <w:highlight w:val="none"/>
        </w:rPr>
        <w:t>包人提出的合理化建议降低了合同价格或者提高了工程经济效益的奖励的方法和金额为：</w:t>
      </w:r>
      <w:r>
        <w:rPr>
          <w:rFonts w:hint="eastAsia" w:ascii="宋体" w:hAnsi="宋体" w:eastAsia="宋体" w:cs="宋体"/>
          <w:b/>
          <w:color w:val="auto"/>
          <w:kern w:val="0"/>
          <w:sz w:val="24"/>
          <w:szCs w:val="24"/>
          <w:highlight w:val="none"/>
          <w:u w:val="single"/>
        </w:rPr>
        <w:t>承包人提出的合理化建议降低了合同价格、缩短了工期或者提高了工程经济效益的，奖励措施由发包人另行确定</w:t>
      </w:r>
      <w:r>
        <w:rPr>
          <w:rFonts w:hint="eastAsia" w:ascii="宋体" w:hAnsi="宋体" w:eastAsia="宋体" w:cs="宋体"/>
          <w:color w:val="auto"/>
          <w:kern w:val="0"/>
          <w:sz w:val="24"/>
          <w:szCs w:val="24"/>
          <w:highlight w:val="none"/>
        </w:rPr>
        <w:t>。</w:t>
      </w:r>
    </w:p>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14:paraId="75CCB49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10.6变更引起的工期调整</w:t>
      </w:r>
    </w:p>
    <w:p w14:paraId="18ECE02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无论变更引起何种变化，合同工期均不作调整。</w:t>
      </w:r>
    </w:p>
    <w:p w14:paraId="22B659B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Start w:id="647" w:name="_Toc296891239"/>
      <w:bookmarkStart w:id="648" w:name="_Toc303539154"/>
      <w:bookmarkStart w:id="649" w:name="_Toc312678033"/>
      <w:bookmarkStart w:id="650" w:name="_Toc296503199"/>
      <w:bookmarkStart w:id="651" w:name="_Toc296891027"/>
      <w:bookmarkStart w:id="652" w:name="_Toc296347198"/>
      <w:bookmarkStart w:id="653" w:name="_Toc297048385"/>
      <w:bookmarkStart w:id="654" w:name="_Toc296346700"/>
      <w:bookmarkStart w:id="655" w:name="_Toc297216207"/>
      <w:bookmarkStart w:id="656" w:name="_Toc297120499"/>
      <w:bookmarkStart w:id="657" w:name="_Toc292559404"/>
      <w:bookmarkStart w:id="658" w:name="_Toc292559909"/>
      <w:bookmarkStart w:id="659" w:name="_Toc304295574"/>
      <w:bookmarkStart w:id="660" w:name="_Toc297123548"/>
      <w:bookmarkStart w:id="661" w:name="_Toc312677507"/>
      <w:bookmarkStart w:id="662" w:name="_Toc300934997"/>
      <w:bookmarkStart w:id="663" w:name="_Toc296944538"/>
      <w:r>
        <w:rPr>
          <w:rFonts w:hint="eastAsia" w:ascii="宋体" w:hAnsi="宋体" w:eastAsia="宋体" w:cs="宋体"/>
          <w:color w:val="auto"/>
          <w:kern w:val="0"/>
          <w:sz w:val="24"/>
          <w:szCs w:val="24"/>
          <w:highlight w:val="none"/>
        </w:rPr>
        <w:t>0.7 暂估价</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14:paraId="0F3A459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w:t>
      </w:r>
      <w:bookmarkStart w:id="664" w:name="_Toc312678034"/>
      <w:bookmarkStart w:id="665" w:name="_Toc312677508"/>
      <w:bookmarkStart w:id="666" w:name="_Toc318581176"/>
      <w:r>
        <w:rPr>
          <w:rFonts w:hint="eastAsia" w:ascii="宋体" w:hAnsi="宋体" w:eastAsia="宋体" w:cs="宋体"/>
          <w:color w:val="auto"/>
          <w:kern w:val="0"/>
          <w:sz w:val="24"/>
          <w:szCs w:val="24"/>
          <w:highlight w:val="none"/>
        </w:rPr>
        <w:t>估价材料和工程设备的明细详见附件11：《暂估价一览表》。</w:t>
      </w:r>
    </w:p>
    <w:bookmarkEnd w:id="664"/>
    <w:bookmarkEnd w:id="665"/>
    <w:bookmarkEnd w:id="666"/>
    <w:p w14:paraId="66B2B37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bookmarkStart w:id="667" w:name="_Toc318581177"/>
      <w:bookmarkStart w:id="668" w:name="_Toc312677509"/>
      <w:bookmarkStart w:id="669" w:name="_Toc312678035"/>
      <w:r>
        <w:rPr>
          <w:rFonts w:hint="eastAsia" w:ascii="宋体" w:hAnsi="宋体" w:eastAsia="宋体" w:cs="宋体"/>
          <w:color w:val="auto"/>
          <w:kern w:val="0"/>
          <w:sz w:val="24"/>
          <w:szCs w:val="24"/>
          <w:highlight w:val="none"/>
        </w:rPr>
        <w:t>0.7.1 依法必须招标的暂估价项目</w:t>
      </w:r>
    </w:p>
    <w:bookmarkEnd w:id="667"/>
    <w:bookmarkEnd w:id="668"/>
    <w:bookmarkEnd w:id="669"/>
    <w:p w14:paraId="44D6883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对于依法必须招标的暂估价项目的确认和批准采取第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2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种方式确定。</w:t>
      </w:r>
    </w:p>
    <w:p w14:paraId="2B4AD6D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第2种方式：对于依法必须招标的暂估价项目，由发包人和承包人共同招标确定暂估价</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或分包人的，承包人应按照施工进度计划，在招标工作启动前14天通知发包人，并提交暂估价招标方案和工作分工。发包人应在收到后7天内确认。确定</w:t>
      </w:r>
      <w:r>
        <w:rPr>
          <w:rFonts w:hint="eastAsia" w:ascii="宋体" w:hAnsi="宋体" w:eastAsia="宋体" w:cs="宋体"/>
          <w:color w:val="auto"/>
          <w:kern w:val="0"/>
          <w:sz w:val="24"/>
          <w:szCs w:val="24"/>
          <w:highlight w:val="none"/>
          <w:lang w:val="en-US" w:eastAsia="zh-CN"/>
        </w:rPr>
        <w:t>成交人</w:t>
      </w:r>
      <w:r>
        <w:rPr>
          <w:rFonts w:hint="eastAsia" w:ascii="宋体" w:hAnsi="宋体" w:eastAsia="宋体" w:cs="宋体"/>
          <w:color w:val="auto"/>
          <w:kern w:val="0"/>
          <w:sz w:val="24"/>
          <w:szCs w:val="24"/>
          <w:highlight w:val="none"/>
        </w:rPr>
        <w:t>后，由发包人、承包人与</w:t>
      </w:r>
      <w:r>
        <w:rPr>
          <w:rFonts w:hint="eastAsia" w:ascii="宋体" w:hAnsi="宋体" w:eastAsia="宋体" w:cs="宋体"/>
          <w:color w:val="auto"/>
          <w:kern w:val="0"/>
          <w:sz w:val="24"/>
          <w:szCs w:val="24"/>
          <w:highlight w:val="none"/>
          <w:lang w:val="en-US" w:eastAsia="zh-CN"/>
        </w:rPr>
        <w:t>成交人</w:t>
      </w:r>
      <w:r>
        <w:rPr>
          <w:rFonts w:hint="eastAsia" w:ascii="宋体" w:hAnsi="宋体" w:eastAsia="宋体" w:cs="宋体"/>
          <w:color w:val="auto"/>
          <w:kern w:val="0"/>
          <w:sz w:val="24"/>
          <w:szCs w:val="24"/>
          <w:highlight w:val="none"/>
        </w:rPr>
        <w:t>共同签订暂估价合同。</w:t>
      </w:r>
    </w:p>
    <w:p w14:paraId="1092BEC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10.7.2 不属于依法必须招标的暂估价项目</w:t>
      </w:r>
    </w:p>
    <w:p w14:paraId="754A0AD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对于不属于依法必须招标的暂估价项目的确认和批准采取第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3  </w:t>
      </w:r>
      <w:r>
        <w:rPr>
          <w:rFonts w:hint="eastAsia" w:ascii="宋体" w:hAnsi="宋体" w:eastAsia="宋体" w:cs="宋体"/>
          <w:color w:val="auto"/>
          <w:kern w:val="0"/>
          <w:sz w:val="24"/>
          <w:szCs w:val="24"/>
          <w:highlight w:val="none"/>
        </w:rPr>
        <w:t>种方式确定。</w:t>
      </w:r>
    </w:p>
    <w:p w14:paraId="7AF8B81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第3种方式：承包人直接实施的暂估价项目</w:t>
      </w:r>
    </w:p>
    <w:p w14:paraId="0F718AF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承包人直接实施的暂估价项目的约定：</w:t>
      </w:r>
      <w:r>
        <w:rPr>
          <w:rFonts w:hint="eastAsia" w:ascii="宋体" w:hAnsi="宋体" w:eastAsia="宋体" w:cs="宋体"/>
          <w:b/>
          <w:bCs/>
          <w:color w:val="auto"/>
          <w:kern w:val="0"/>
          <w:sz w:val="24"/>
          <w:szCs w:val="24"/>
          <w:highlight w:val="none"/>
          <w:u w:val="single"/>
        </w:rPr>
        <w:t>应由承包人按合同约定采购，经发包人确认单价后取代暂估价，调整合同价款</w:t>
      </w:r>
      <w:r>
        <w:rPr>
          <w:rFonts w:hint="eastAsia" w:ascii="宋体" w:hAnsi="宋体" w:eastAsia="宋体" w:cs="宋体"/>
          <w:color w:val="auto"/>
          <w:kern w:val="0"/>
          <w:sz w:val="24"/>
          <w:szCs w:val="24"/>
          <w:highlight w:val="none"/>
          <w:u w:val="single"/>
        </w:rPr>
        <w:t>。</w:t>
      </w:r>
    </w:p>
    <w:p w14:paraId="5782FC4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10.8 暂列金额</w:t>
      </w:r>
    </w:p>
    <w:p w14:paraId="608FACA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合同当事人关于暂列金额使用的约定：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暂列金是</w:t>
      </w:r>
      <w:r>
        <w:rPr>
          <w:rFonts w:hint="eastAsia" w:ascii="宋体" w:hAnsi="宋体" w:eastAsia="宋体" w:cs="宋体"/>
          <w:b/>
          <w:bCs/>
          <w:color w:val="auto"/>
          <w:kern w:val="0"/>
          <w:sz w:val="24"/>
          <w:szCs w:val="24"/>
          <w:highlight w:val="none"/>
          <w:u w:val="single"/>
          <w:lang w:val="en-US" w:eastAsia="zh-CN"/>
        </w:rPr>
        <w:t>发包人</w:t>
      </w:r>
      <w:r>
        <w:rPr>
          <w:rFonts w:hint="eastAsia" w:ascii="宋体" w:hAnsi="宋体" w:eastAsia="宋体" w:cs="宋体"/>
          <w:b/>
          <w:bCs/>
          <w:color w:val="auto"/>
          <w:kern w:val="0"/>
          <w:sz w:val="24"/>
          <w:szCs w:val="24"/>
          <w:highlight w:val="none"/>
          <w:u w:val="single"/>
        </w:rPr>
        <w:t>自行确定设立的，承包人无权使用此笔费用。暂列金额在发包人提供的工程量清单中专项列出，并且只能按发包人、监理人的指示使用。只有按照合同约定实际发生后，按实际发生经发包人签证后确定全部使用、部分使用或不使用才能成为承包人的应得金额，纳入合同结算价款中。扣除实际发生金额后的暂列金额仍属于发包人所有</w:t>
      </w:r>
      <w:r>
        <w:rPr>
          <w:rFonts w:hint="eastAsia" w:ascii="宋体" w:hAnsi="宋体" w:eastAsia="宋体" w:cs="宋体"/>
          <w:color w:val="auto"/>
          <w:kern w:val="0"/>
          <w:sz w:val="24"/>
          <w:szCs w:val="24"/>
          <w:highlight w:val="none"/>
          <w:u w:val="single"/>
        </w:rPr>
        <w:t>。</w:t>
      </w:r>
    </w:p>
    <w:bookmarkEnd w:id="574"/>
    <w:bookmarkEnd w:id="575"/>
    <w:bookmarkEnd w:id="576"/>
    <w:bookmarkEnd w:id="577"/>
    <w:bookmarkEnd w:id="578"/>
    <w:bookmarkEnd w:id="579"/>
    <w:p w14:paraId="0FE8BE39">
      <w:pPr>
        <w:keepNext w:val="0"/>
        <w:keepLines w:val="0"/>
        <w:pageBreakBefore w:val="0"/>
        <w:numPr>
          <w:ilvl w:val="0"/>
          <w:numId w:val="10"/>
        </w:numPr>
        <w:kinsoku/>
        <w:wordWrap w:val="0"/>
        <w:overflowPunct/>
        <w:topLinePunct w:val="0"/>
        <w:bidi w:val="0"/>
        <w:spacing w:line="500" w:lineRule="exact"/>
        <w:ind w:firstLine="480" w:firstLineChars="200"/>
        <w:textAlignment w:val="auto"/>
        <w:rPr>
          <w:rFonts w:hint="eastAsia" w:ascii="宋体" w:hAnsi="宋体" w:eastAsia="宋体" w:cs="宋体"/>
          <w:color w:val="auto"/>
          <w:kern w:val="0"/>
          <w:sz w:val="24"/>
          <w:szCs w:val="24"/>
          <w:highlight w:val="none"/>
        </w:rPr>
      </w:pPr>
      <w:bookmarkStart w:id="670" w:name="_Toc351203643"/>
      <w:bookmarkStart w:id="671" w:name="_Toc296891245"/>
      <w:bookmarkStart w:id="672" w:name="_Toc296891033"/>
      <w:bookmarkStart w:id="673" w:name="_Toc296503205"/>
      <w:bookmarkStart w:id="674" w:name="_Toc292559915"/>
      <w:bookmarkStart w:id="675" w:name="_Toc296347204"/>
      <w:bookmarkStart w:id="676" w:name="_Toc297120505"/>
      <w:bookmarkStart w:id="677" w:name="_Toc296944544"/>
      <w:bookmarkStart w:id="678" w:name="_Toc296346706"/>
      <w:bookmarkStart w:id="679" w:name="_Toc292559410"/>
      <w:bookmarkStart w:id="680" w:name="_Toc297048391"/>
      <w:bookmarkStart w:id="681" w:name="_Toc351203644"/>
      <w:bookmarkStart w:id="682" w:name="_Toc300935002"/>
      <w:bookmarkStart w:id="683" w:name="_Toc312678040"/>
      <w:bookmarkStart w:id="684" w:name="_Toc297123552"/>
      <w:bookmarkStart w:id="685" w:name="_Toc303539159"/>
      <w:bookmarkStart w:id="686" w:name="_Toc297216211"/>
      <w:bookmarkStart w:id="687" w:name="_Toc304295579"/>
      <w:r>
        <w:rPr>
          <w:rFonts w:hint="eastAsia" w:ascii="宋体" w:hAnsi="宋体" w:eastAsia="宋体" w:cs="宋体"/>
          <w:color w:val="auto"/>
          <w:kern w:val="0"/>
          <w:sz w:val="24"/>
          <w:szCs w:val="24"/>
          <w:highlight w:val="none"/>
        </w:rPr>
        <w:t>价格调整</w:t>
      </w:r>
      <w:bookmarkEnd w:id="670"/>
    </w:p>
    <w:p w14:paraId="28C6C86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688" w:name="_Toc296891241"/>
      <w:bookmarkStart w:id="689" w:name="_Toc297120501"/>
      <w:bookmarkStart w:id="690" w:name="_Toc296891029"/>
      <w:bookmarkStart w:id="691" w:name="_Toc292559406"/>
      <w:bookmarkStart w:id="692" w:name="_Toc297048387"/>
      <w:bookmarkStart w:id="693" w:name="_Toc296944540"/>
      <w:bookmarkStart w:id="694" w:name="_Toc303539157"/>
      <w:bookmarkStart w:id="695" w:name="_Toc292559911"/>
      <w:bookmarkStart w:id="696" w:name="_Toc297123550"/>
      <w:bookmarkStart w:id="697" w:name="_Toc296346702"/>
      <w:bookmarkStart w:id="698" w:name="_Toc296503201"/>
      <w:bookmarkStart w:id="699" w:name="_Toc312678039"/>
      <w:bookmarkStart w:id="700" w:name="_Toc296347200"/>
      <w:bookmarkStart w:id="701" w:name="_Toc297216209"/>
      <w:bookmarkStart w:id="702" w:name="_Toc304295577"/>
      <w:bookmarkStart w:id="703" w:name="_Toc300935000"/>
      <w:r>
        <w:rPr>
          <w:rFonts w:hint="eastAsia" w:ascii="宋体" w:hAnsi="宋体" w:eastAsia="宋体" w:cs="宋体"/>
          <w:color w:val="auto"/>
          <w:kern w:val="0"/>
          <w:sz w:val="24"/>
          <w:szCs w:val="24"/>
          <w:highlight w:val="none"/>
        </w:rPr>
        <w:t>11.1 市场价格波动引起的调整</w:t>
      </w:r>
    </w:p>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14:paraId="6CB1F03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市场价格波动是否调整合同价格的约定：</w:t>
      </w:r>
      <w:r>
        <w:rPr>
          <w:rFonts w:hint="eastAsia" w:ascii="宋体" w:hAnsi="宋体" w:eastAsia="宋体" w:cs="宋体"/>
          <w:b/>
          <w:bCs/>
          <w:color w:val="auto"/>
          <w:kern w:val="0"/>
          <w:sz w:val="24"/>
          <w:szCs w:val="24"/>
          <w:highlight w:val="none"/>
          <w:u w:val="single"/>
        </w:rPr>
        <w:t>主要材料价格上涨或下降幅度在10％以内的，其价差由承包人承担或受益；价格上涨或下降幅度在10％以外的，其价差（即超过10%的部分）由发包人承担或受益。主要材料差价计算按</w:t>
      </w:r>
      <w:r>
        <w:rPr>
          <w:rFonts w:hint="eastAsia" w:ascii="宋体" w:hAnsi="宋体" w:eastAsia="宋体" w:cs="宋体"/>
          <w:b/>
          <w:bCs/>
          <w:color w:val="auto"/>
          <w:kern w:val="0"/>
          <w:sz w:val="24"/>
          <w:szCs w:val="24"/>
          <w:highlight w:val="none"/>
          <w:u w:val="single"/>
          <w:lang w:eastAsia="zh-CN"/>
        </w:rPr>
        <w:t>竞争性磋商文件</w:t>
      </w:r>
      <w:r>
        <w:rPr>
          <w:rFonts w:hint="eastAsia" w:ascii="宋体" w:hAnsi="宋体" w:eastAsia="宋体" w:cs="宋体"/>
          <w:b/>
          <w:bCs/>
          <w:color w:val="auto"/>
          <w:kern w:val="0"/>
          <w:sz w:val="24"/>
          <w:szCs w:val="24"/>
          <w:highlight w:val="none"/>
          <w:u w:val="single"/>
        </w:rPr>
        <w:t>规定编制</w:t>
      </w:r>
      <w:r>
        <w:rPr>
          <w:rFonts w:hint="eastAsia" w:ascii="宋体" w:hAnsi="宋体" w:eastAsia="宋体" w:cs="宋体"/>
          <w:b/>
          <w:bCs/>
          <w:color w:val="auto"/>
          <w:kern w:val="0"/>
          <w:sz w:val="24"/>
          <w:szCs w:val="24"/>
          <w:highlight w:val="none"/>
          <w:u w:val="single"/>
          <w:lang w:eastAsia="zh-CN"/>
        </w:rPr>
        <w:t>报价</w:t>
      </w:r>
      <w:r>
        <w:rPr>
          <w:rFonts w:hint="eastAsia" w:ascii="宋体" w:hAnsi="宋体" w:eastAsia="宋体" w:cs="宋体"/>
          <w:b/>
          <w:bCs/>
          <w:color w:val="auto"/>
          <w:kern w:val="0"/>
          <w:sz w:val="24"/>
          <w:szCs w:val="24"/>
          <w:highlight w:val="none"/>
          <w:u w:val="single"/>
        </w:rPr>
        <w:t>采用的材料信息价与施工期材料信息价（按</w:t>
      </w:r>
      <w:r>
        <w:rPr>
          <w:rFonts w:hint="eastAsia" w:ascii="宋体" w:hAnsi="宋体" w:eastAsia="宋体" w:cs="宋体"/>
          <w:b/>
          <w:bCs/>
          <w:color w:val="auto"/>
          <w:sz w:val="24"/>
          <w:szCs w:val="24"/>
          <w:highlight w:val="none"/>
          <w:u w:val="single"/>
          <w:lang w:eastAsia="zh-CN"/>
        </w:rPr>
        <w:t>《云南省西双版纳傣族自治州价格信息》</w:t>
      </w:r>
      <w:r>
        <w:rPr>
          <w:rFonts w:hint="eastAsia" w:ascii="宋体" w:hAnsi="宋体" w:eastAsia="宋体" w:cs="宋体"/>
          <w:b/>
          <w:bCs/>
          <w:color w:val="auto"/>
          <w:kern w:val="0"/>
          <w:sz w:val="24"/>
          <w:szCs w:val="24"/>
          <w:highlight w:val="none"/>
          <w:u w:val="single"/>
        </w:rPr>
        <w:t>公布的主要材料价）的差额为依据。发生的价差只计取差价和税金，不计取其他费用</w:t>
      </w:r>
      <w:r>
        <w:rPr>
          <w:rFonts w:hint="eastAsia" w:ascii="宋体" w:hAnsi="宋体" w:eastAsia="宋体" w:cs="宋体"/>
          <w:color w:val="auto"/>
          <w:kern w:val="0"/>
          <w:sz w:val="24"/>
          <w:szCs w:val="24"/>
          <w:highlight w:val="none"/>
        </w:rPr>
        <w:t>。</w:t>
      </w:r>
    </w:p>
    <w:p w14:paraId="18C1F40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因市场价格波动调整合同价格，采用以下第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种方式对合同价格进行调整：</w:t>
      </w:r>
    </w:p>
    <w:p w14:paraId="5B26477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第2种方式：采用造价信息进行价格调整。</w:t>
      </w:r>
    </w:p>
    <w:p w14:paraId="50D6ADF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（2）关于基准价格的约定：</w:t>
      </w:r>
    </w:p>
    <w:p w14:paraId="078011E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①承包人在已标价工程量清单或预算书中载明的材料单价低于基准价格的：专用合同条款合同履行期间材料单价涨幅以基准价格为基础超过</w:t>
      </w:r>
      <w:r>
        <w:rPr>
          <w:rFonts w:hint="eastAsia" w:ascii="宋体" w:hAnsi="宋体" w:eastAsia="宋体" w:cs="宋体"/>
          <w:b/>
          <w:bCs/>
          <w:color w:val="auto"/>
          <w:kern w:val="0"/>
          <w:sz w:val="24"/>
          <w:szCs w:val="24"/>
          <w:highlight w:val="none"/>
          <w:u w:val="single"/>
        </w:rPr>
        <w:t xml:space="preserve"> 10 </w:t>
      </w:r>
      <w:r>
        <w:rPr>
          <w:rFonts w:hint="eastAsia" w:ascii="宋体" w:hAnsi="宋体" w:eastAsia="宋体" w:cs="宋体"/>
          <w:color w:val="auto"/>
          <w:kern w:val="0"/>
          <w:sz w:val="24"/>
          <w:szCs w:val="24"/>
          <w:highlight w:val="none"/>
        </w:rPr>
        <w:t>%时，或材料单价跌幅以已标价工程量清单或预算书中载明材料单价为基础超过</w:t>
      </w:r>
      <w:r>
        <w:rPr>
          <w:rFonts w:hint="eastAsia" w:ascii="宋体" w:hAnsi="宋体" w:eastAsia="宋体" w:cs="宋体"/>
          <w:b/>
          <w:bCs/>
          <w:color w:val="auto"/>
          <w:kern w:val="0"/>
          <w:sz w:val="24"/>
          <w:szCs w:val="24"/>
          <w:highlight w:val="none"/>
          <w:u w:val="single"/>
        </w:rPr>
        <w:t xml:space="preserve"> 10 </w:t>
      </w:r>
      <w:r>
        <w:rPr>
          <w:rFonts w:hint="eastAsia" w:ascii="宋体" w:hAnsi="宋体" w:eastAsia="宋体" w:cs="宋体"/>
          <w:color w:val="auto"/>
          <w:kern w:val="0"/>
          <w:sz w:val="24"/>
          <w:szCs w:val="24"/>
          <w:highlight w:val="none"/>
        </w:rPr>
        <w:t>%时，其超过部分据实调整。</w:t>
      </w:r>
    </w:p>
    <w:p w14:paraId="1866112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b/>
          <w:bCs/>
          <w:color w:val="auto"/>
          <w:kern w:val="0"/>
          <w:sz w:val="24"/>
          <w:szCs w:val="24"/>
          <w:highlight w:val="none"/>
          <w:u w:val="single"/>
        </w:rPr>
        <w:t>10</w:t>
      </w:r>
      <w:r>
        <w:rPr>
          <w:rFonts w:hint="eastAsia" w:ascii="宋体" w:hAnsi="宋体" w:eastAsia="宋体" w:cs="宋体"/>
          <w:color w:val="auto"/>
          <w:kern w:val="0"/>
          <w:sz w:val="24"/>
          <w:szCs w:val="24"/>
          <w:highlight w:val="none"/>
        </w:rPr>
        <w:t>%时，材料单价涨幅以已标价工程量清单或预算书中载明材料单价为基础超过</w:t>
      </w:r>
      <w:r>
        <w:rPr>
          <w:rFonts w:hint="eastAsia" w:ascii="宋体" w:hAnsi="宋体" w:eastAsia="宋体" w:cs="宋体"/>
          <w:b/>
          <w:bCs/>
          <w:color w:val="auto"/>
          <w:kern w:val="0"/>
          <w:sz w:val="24"/>
          <w:szCs w:val="24"/>
          <w:highlight w:val="none"/>
          <w:u w:val="single"/>
        </w:rPr>
        <w:t xml:space="preserve"> 10 </w:t>
      </w:r>
      <w:r>
        <w:rPr>
          <w:rFonts w:hint="eastAsia" w:ascii="宋体" w:hAnsi="宋体" w:eastAsia="宋体" w:cs="宋体"/>
          <w:color w:val="auto"/>
          <w:kern w:val="0"/>
          <w:sz w:val="24"/>
          <w:szCs w:val="24"/>
          <w:highlight w:val="none"/>
        </w:rPr>
        <w:t>%时，其超过部分据实调整。</w:t>
      </w:r>
    </w:p>
    <w:p w14:paraId="054C5B6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b/>
          <w:bCs/>
          <w:color w:val="auto"/>
          <w:kern w:val="0"/>
          <w:sz w:val="24"/>
          <w:szCs w:val="24"/>
          <w:highlight w:val="none"/>
          <w:u w:val="single"/>
        </w:rPr>
        <w:t xml:space="preserve"> 10 </w:t>
      </w:r>
      <w:r>
        <w:rPr>
          <w:rFonts w:hint="eastAsia" w:ascii="宋体" w:hAnsi="宋体" w:eastAsia="宋体" w:cs="宋体"/>
          <w:color w:val="auto"/>
          <w:kern w:val="0"/>
          <w:sz w:val="24"/>
          <w:szCs w:val="24"/>
          <w:highlight w:val="none"/>
        </w:rPr>
        <w:t>%时，其超过部分据实调整。</w:t>
      </w:r>
    </w:p>
    <w:p w14:paraId="04142C2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④ </w:t>
      </w:r>
      <w:r>
        <w:rPr>
          <w:rFonts w:hint="eastAsia" w:ascii="宋体" w:hAnsi="宋体" w:eastAsia="宋体" w:cs="宋体"/>
          <w:color w:val="auto"/>
          <w:sz w:val="24"/>
          <w:szCs w:val="24"/>
          <w:highlight w:val="none"/>
          <w:lang w:eastAsia="zh-CN"/>
        </w:rPr>
        <w:t>《云南省西双版纳傣族自治州价格信息》</w:t>
      </w:r>
      <w:r>
        <w:rPr>
          <w:rFonts w:hint="eastAsia" w:ascii="宋体" w:hAnsi="宋体" w:eastAsia="宋体" w:cs="宋体"/>
          <w:color w:val="auto"/>
          <w:kern w:val="0"/>
          <w:sz w:val="24"/>
          <w:szCs w:val="24"/>
          <w:highlight w:val="none"/>
        </w:rPr>
        <w:t>中没有的材料价，由发包人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监理单位确认后，并经</w:t>
      </w:r>
      <w:r>
        <w:rPr>
          <w:rFonts w:hint="eastAsia" w:ascii="宋体" w:hAnsi="宋体" w:eastAsia="宋体" w:cs="宋体"/>
          <w:color w:val="auto"/>
          <w:kern w:val="0"/>
          <w:sz w:val="24"/>
          <w:szCs w:val="24"/>
          <w:highlight w:val="none"/>
          <w:lang w:eastAsia="zh-CN"/>
        </w:rPr>
        <w:t>造价咨询单位</w:t>
      </w:r>
      <w:r>
        <w:rPr>
          <w:rFonts w:hint="eastAsia" w:ascii="宋体" w:hAnsi="宋体" w:eastAsia="宋体" w:cs="宋体"/>
          <w:color w:val="auto"/>
          <w:kern w:val="0"/>
          <w:sz w:val="24"/>
          <w:szCs w:val="24"/>
          <w:highlight w:val="none"/>
        </w:rPr>
        <w:t>审核通过后作为结算依据。在没有及时签批信息外的材料价时，承包方不得以此为由擅自停工，否则按工期延误条款进行处罚。</w:t>
      </w:r>
    </w:p>
    <w:p w14:paraId="1D7F081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 其他变化引起的调整</w:t>
      </w:r>
    </w:p>
    <w:p w14:paraId="32D7925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11.3.1 工程变更、项目特征不符、工程量清单缺项</w:t>
      </w:r>
    </w:p>
    <w:p w14:paraId="6EE3FDC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11.3.1.1 因工程变更、项目特征不符、工程量清单缺项引起已标价工程量清单项目或其工程数量发生变化时，应按照变更估价的原则进行调整。</w:t>
      </w:r>
    </w:p>
    <w:p w14:paraId="7D459BC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工程变更引起施工方案改变并使措施项目发生变化时，措施项目费不予调整。</w:t>
      </w:r>
    </w:p>
    <w:p w14:paraId="0334093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11.3.2 工程量偏差</w:t>
      </w:r>
    </w:p>
    <w:p w14:paraId="023BE8C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合同履行期间，应当予计算的实际工程量与招标工程量清单出现偏差，综合单价不予调整。</w:t>
      </w:r>
    </w:p>
    <w:p w14:paraId="49BEFD6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11.3.3总包服务费</w:t>
      </w:r>
    </w:p>
    <w:p w14:paraId="599B4A4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11.3.3.1本项目执行过程中，承包人根据发包人要求，配合进行分包及其他专业工程的管理，承包人不再向发包人计取总包服务费。</w:t>
      </w:r>
    </w:p>
    <w:p w14:paraId="7271EFD7">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12. </w:t>
      </w:r>
      <w:bookmarkEnd w:id="671"/>
      <w:bookmarkEnd w:id="672"/>
      <w:bookmarkEnd w:id="673"/>
      <w:bookmarkEnd w:id="674"/>
      <w:bookmarkEnd w:id="675"/>
      <w:bookmarkEnd w:id="676"/>
      <w:bookmarkEnd w:id="677"/>
      <w:bookmarkEnd w:id="678"/>
      <w:bookmarkEnd w:id="679"/>
      <w:bookmarkEnd w:id="680"/>
      <w:r>
        <w:rPr>
          <w:rFonts w:hint="eastAsia" w:ascii="宋体" w:hAnsi="宋体" w:eastAsia="宋体" w:cs="宋体"/>
          <w:color w:val="auto"/>
          <w:kern w:val="0"/>
          <w:sz w:val="24"/>
          <w:szCs w:val="24"/>
          <w:highlight w:val="none"/>
        </w:rPr>
        <w:t>合同价格、计量与支付</w:t>
      </w:r>
      <w:bookmarkEnd w:id="681"/>
    </w:p>
    <w:bookmarkEnd w:id="682"/>
    <w:bookmarkEnd w:id="683"/>
    <w:bookmarkEnd w:id="684"/>
    <w:bookmarkEnd w:id="685"/>
    <w:bookmarkEnd w:id="686"/>
    <w:bookmarkEnd w:id="687"/>
    <w:p w14:paraId="75F0CCA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704" w:name="_Toc292559411"/>
      <w:bookmarkStart w:id="705" w:name="_Toc292559916"/>
      <w:bookmarkStart w:id="706" w:name="_Toc267251461"/>
      <w:bookmarkStart w:id="707" w:name="_Toc296891246"/>
      <w:bookmarkStart w:id="708" w:name="_Toc296503206"/>
      <w:bookmarkStart w:id="709" w:name="_Toc296346707"/>
      <w:bookmarkStart w:id="710" w:name="_Toc296347205"/>
      <w:bookmarkStart w:id="711" w:name="_Toc296891034"/>
      <w:bookmarkStart w:id="712" w:name="_Toc297120506"/>
      <w:bookmarkStart w:id="713" w:name="_Toc297048392"/>
      <w:bookmarkStart w:id="714" w:name="_Toc296944545"/>
      <w:bookmarkStart w:id="715" w:name="_Toc297123553"/>
      <w:bookmarkStart w:id="716" w:name="_Toc312678041"/>
      <w:bookmarkStart w:id="717" w:name="_Toc297216212"/>
      <w:bookmarkStart w:id="718" w:name="_Toc303539160"/>
      <w:bookmarkStart w:id="719" w:name="_Toc300935003"/>
      <w:bookmarkStart w:id="720" w:name="_Toc304295580"/>
      <w:r>
        <w:rPr>
          <w:rFonts w:hint="eastAsia" w:ascii="宋体" w:hAnsi="宋体" w:eastAsia="宋体" w:cs="宋体"/>
          <w:color w:val="auto"/>
          <w:kern w:val="0"/>
          <w:sz w:val="24"/>
          <w:szCs w:val="24"/>
          <w:highlight w:val="none"/>
        </w:rPr>
        <w:t>12.1 合</w:t>
      </w:r>
      <w:bookmarkEnd w:id="704"/>
      <w:bookmarkEnd w:id="705"/>
      <w:bookmarkEnd w:id="706"/>
      <w:r>
        <w:rPr>
          <w:rFonts w:hint="eastAsia" w:ascii="宋体" w:hAnsi="宋体" w:eastAsia="宋体" w:cs="宋体"/>
          <w:color w:val="auto"/>
          <w:kern w:val="0"/>
          <w:sz w:val="24"/>
          <w:szCs w:val="24"/>
          <w:highlight w:val="none"/>
        </w:rPr>
        <w:t>同价</w:t>
      </w:r>
      <w:bookmarkEnd w:id="707"/>
      <w:bookmarkEnd w:id="708"/>
      <w:bookmarkEnd w:id="709"/>
      <w:bookmarkEnd w:id="710"/>
      <w:bookmarkEnd w:id="711"/>
      <w:bookmarkEnd w:id="712"/>
      <w:bookmarkEnd w:id="713"/>
      <w:bookmarkEnd w:id="714"/>
      <w:r>
        <w:rPr>
          <w:rFonts w:hint="eastAsia" w:ascii="宋体" w:hAnsi="宋体" w:eastAsia="宋体" w:cs="宋体"/>
          <w:color w:val="auto"/>
          <w:kern w:val="0"/>
          <w:sz w:val="24"/>
          <w:szCs w:val="24"/>
          <w:highlight w:val="none"/>
        </w:rPr>
        <w:t>格形式</w:t>
      </w:r>
      <w:bookmarkEnd w:id="715"/>
      <w:bookmarkEnd w:id="716"/>
      <w:bookmarkEnd w:id="717"/>
      <w:bookmarkEnd w:id="718"/>
      <w:bookmarkEnd w:id="719"/>
      <w:bookmarkEnd w:id="720"/>
    </w:p>
    <w:p w14:paraId="190E90B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1、单价合同。</w:t>
      </w:r>
    </w:p>
    <w:p w14:paraId="175964DC">
      <w:pPr>
        <w:keepNext w:val="0"/>
        <w:keepLines w:val="0"/>
        <w:pageBreakBefore w:val="0"/>
        <w:widowControl w:val="0"/>
        <w:numPr>
          <w:ilvl w:val="0"/>
          <w:numId w:val="0"/>
        </w:numPr>
        <w:kinsoku/>
        <w:wordWrap w:val="0"/>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bCs/>
          <w:color w:val="auto"/>
          <w:kern w:val="2"/>
          <w:sz w:val="24"/>
          <w:szCs w:val="24"/>
          <w:highlight w:val="none"/>
          <w:u w:val="single"/>
          <w:lang w:val="en-US" w:eastAsia="zh-CN" w:bidi="ar-SA"/>
        </w:rPr>
        <w:t>（1）单价合同。</w:t>
      </w:r>
      <w:r>
        <w:rPr>
          <w:rFonts w:hint="eastAsia" w:ascii="宋体" w:hAnsi="宋体" w:eastAsia="宋体" w:cs="宋体"/>
          <w:b w:val="0"/>
          <w:bCs w:val="0"/>
          <w:color w:val="auto"/>
          <w:kern w:val="2"/>
          <w:sz w:val="24"/>
          <w:szCs w:val="24"/>
          <w:highlight w:val="none"/>
          <w:u w:val="single"/>
          <w:lang w:val="en-US" w:eastAsia="zh-CN" w:bidi="ar-SA"/>
        </w:rPr>
        <w:t>本工程采用固定综合单价合同，综合单价包含的风险范围：a 人工费按照《云南省建设工程造价计价标准（2020 版）》（云建科〔2021〕15 号）文件执行，结算时不做调整，除非施工期间出现国家政策性调整或计价标准调整；如国家政策性调整或计价标准调整，以实际出台施行的时间为界限计价，国家政策性调整或计价标准调整文件实行前的计价参照原国家政策和计价标准计价，国家政策性调整或计价标准调整文件施行时间（含施行时间）后的计价以国家政策性调整或计价标准调整计价。b 合同中明示及隐含108的风险及有经验的承包商可以或应该预见的，为完成整体工程内容所必须考虑的风险。c 分部分项工程量变更，投标综合单价将不予调整的风险。d 一周内非承包人原因停水、停电造成累计停工在八小时以内的风险。</w:t>
      </w:r>
    </w:p>
    <w:p w14:paraId="1B6CBEAB">
      <w:pPr>
        <w:keepNext w:val="0"/>
        <w:keepLines w:val="0"/>
        <w:pageBreakBefore w:val="0"/>
        <w:widowControl w:val="0"/>
        <w:numPr>
          <w:ilvl w:val="0"/>
          <w:numId w:val="0"/>
        </w:numPr>
        <w:kinsoku/>
        <w:wordWrap w:val="0"/>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bCs/>
          <w:color w:val="auto"/>
          <w:kern w:val="2"/>
          <w:sz w:val="24"/>
          <w:szCs w:val="24"/>
          <w:highlight w:val="none"/>
          <w:u w:val="single"/>
          <w:lang w:val="en-US" w:eastAsia="zh-CN" w:bidi="ar-SA"/>
        </w:rPr>
      </w:pPr>
      <w:r>
        <w:rPr>
          <w:rFonts w:hint="eastAsia" w:ascii="宋体" w:hAnsi="宋体" w:eastAsia="宋体" w:cs="宋体"/>
          <w:b/>
          <w:bCs/>
          <w:color w:val="auto"/>
          <w:kern w:val="2"/>
          <w:sz w:val="24"/>
          <w:szCs w:val="24"/>
          <w:highlight w:val="none"/>
          <w:u w:val="single"/>
          <w:lang w:val="en-US" w:eastAsia="zh-CN" w:bidi="ar-SA"/>
        </w:rPr>
        <w:t>风险费用的计算方法：</w:t>
      </w:r>
      <w:r>
        <w:rPr>
          <w:rFonts w:hint="eastAsia" w:ascii="宋体" w:hAnsi="宋体" w:eastAsia="宋体" w:cs="宋体"/>
          <w:b w:val="0"/>
          <w:bCs w:val="0"/>
          <w:color w:val="auto"/>
          <w:kern w:val="2"/>
          <w:sz w:val="24"/>
          <w:szCs w:val="24"/>
          <w:highlight w:val="none"/>
          <w:u w:val="single"/>
          <w:lang w:val="en-US" w:eastAsia="zh-CN" w:bidi="ar-SA"/>
        </w:rPr>
        <w:t>风险费用已包含在合同中。</w:t>
      </w:r>
    </w:p>
    <w:p w14:paraId="65B80050">
      <w:pPr>
        <w:keepNext w:val="0"/>
        <w:keepLines w:val="0"/>
        <w:pageBreakBefore w:val="0"/>
        <w:widowControl w:val="0"/>
        <w:numPr>
          <w:ilvl w:val="0"/>
          <w:numId w:val="0"/>
        </w:numPr>
        <w:kinsoku/>
        <w:wordWrap w:val="0"/>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bCs/>
          <w:color w:val="auto"/>
          <w:kern w:val="2"/>
          <w:sz w:val="24"/>
          <w:szCs w:val="24"/>
          <w:highlight w:val="none"/>
          <w:u w:val="single"/>
          <w:lang w:val="en-US" w:eastAsia="zh-CN" w:bidi="ar-SA"/>
        </w:rPr>
        <w:t>风险范围以外合同价格的调整方法：</w:t>
      </w:r>
      <w:r>
        <w:rPr>
          <w:rFonts w:hint="eastAsia" w:ascii="宋体" w:hAnsi="宋体" w:eastAsia="宋体" w:cs="宋体"/>
          <w:b w:val="0"/>
          <w:bCs w:val="0"/>
          <w:color w:val="auto"/>
          <w:kern w:val="2"/>
          <w:sz w:val="24"/>
          <w:szCs w:val="24"/>
          <w:highlight w:val="none"/>
          <w:u w:val="single"/>
          <w:lang w:val="en-US" w:eastAsia="zh-CN" w:bidi="ar-SA"/>
        </w:rPr>
        <w:t>①工程量清单项目的项目特征与投标报价中项目相同的，按投标报价的综合单价计算；②新增工程量清单项目的项目特征与投标报价中项目类似的，综合单价参照类似项目的单价进行结算；③投标报价中没有综合单价的新的工程量清单项目，新增项目的综合单价由承包人提出，经发包人确认后执行。</w:t>
      </w:r>
    </w:p>
    <w:p w14:paraId="0A141A70">
      <w:pPr>
        <w:keepNext w:val="0"/>
        <w:keepLines w:val="0"/>
        <w:pageBreakBefore w:val="0"/>
        <w:widowControl w:val="0"/>
        <w:numPr>
          <w:ilvl w:val="0"/>
          <w:numId w:val="0"/>
        </w:numPr>
        <w:kinsoku/>
        <w:wordWrap w:val="0"/>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u w:val="single"/>
          <w:lang w:val="en-US" w:eastAsia="zh-CN" w:bidi="ar-SA"/>
        </w:rPr>
        <w:t>上述的“与投标报价中项目类似的”新增项目，指与投标分部分项工程量清单项目编码一至九位完全相同的新增的分部分项工程。</w:t>
      </w:r>
    </w:p>
    <w:p w14:paraId="7A9D5E9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2、总价合同。</w:t>
      </w:r>
    </w:p>
    <w:p w14:paraId="44DFA05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总价包含的风险范围：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lang w:eastAsia="zh-CN"/>
        </w:rPr>
        <w:t>。</w:t>
      </w:r>
    </w:p>
    <w:p w14:paraId="65C0357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风险费用的计算方法：</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lang w:eastAsia="zh-CN"/>
        </w:rPr>
        <w:t>。</w:t>
      </w:r>
    </w:p>
    <w:p w14:paraId="18FE9F0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none"/>
          <w:lang w:eastAsia="zh-CN"/>
        </w:rPr>
      </w:pPr>
      <w:r>
        <w:rPr>
          <w:rFonts w:hint="eastAsia" w:ascii="宋体" w:hAnsi="宋体" w:eastAsia="宋体" w:cs="宋体"/>
          <w:color w:val="auto"/>
          <w:kern w:val="0"/>
          <w:sz w:val="24"/>
          <w:szCs w:val="24"/>
          <w:highlight w:val="none"/>
        </w:rPr>
        <w:t>风险范围以外合同价格的调整方法：</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lang w:eastAsia="zh-CN"/>
        </w:rPr>
        <w:t>。</w:t>
      </w:r>
    </w:p>
    <w:p w14:paraId="2F4792D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3、其他价格方式：</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b w:val="0"/>
          <w:bCs/>
          <w:color w:val="auto"/>
          <w:kern w:val="2"/>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rPr>
        <w:t>。</w:t>
      </w:r>
    </w:p>
    <w:p w14:paraId="4AFC2E3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721" w:name="_Toc297123554"/>
      <w:bookmarkStart w:id="722" w:name="_Toc297216213"/>
      <w:bookmarkStart w:id="723" w:name="_Toc312678042"/>
      <w:bookmarkStart w:id="724" w:name="_Toc304295581"/>
      <w:bookmarkStart w:id="725" w:name="_Toc303539161"/>
      <w:bookmarkStart w:id="726" w:name="_Toc300935004"/>
      <w:bookmarkStart w:id="727" w:name="_Toc296347206"/>
      <w:bookmarkStart w:id="728" w:name="_Toc296944546"/>
      <w:bookmarkStart w:id="729" w:name="_Toc296891247"/>
      <w:bookmarkStart w:id="730" w:name="_Toc296891035"/>
      <w:bookmarkStart w:id="731" w:name="_Toc296346708"/>
      <w:bookmarkStart w:id="732" w:name="_Toc297048393"/>
      <w:bookmarkStart w:id="733" w:name="_Toc292559412"/>
      <w:bookmarkStart w:id="734" w:name="_Toc292559917"/>
      <w:bookmarkStart w:id="735" w:name="_Toc297120507"/>
      <w:bookmarkStart w:id="736" w:name="_Toc296503207"/>
      <w:r>
        <w:rPr>
          <w:rFonts w:hint="eastAsia" w:ascii="宋体" w:hAnsi="宋体" w:eastAsia="宋体" w:cs="宋体"/>
          <w:color w:val="auto"/>
          <w:kern w:val="0"/>
          <w:sz w:val="24"/>
          <w:szCs w:val="24"/>
          <w:highlight w:val="none"/>
        </w:rPr>
        <w:t>12.2 预付款</w:t>
      </w:r>
    </w:p>
    <w:bookmarkEnd w:id="721"/>
    <w:bookmarkEnd w:id="722"/>
    <w:bookmarkEnd w:id="723"/>
    <w:bookmarkEnd w:id="724"/>
    <w:bookmarkEnd w:id="725"/>
    <w:bookmarkEnd w:id="726"/>
    <w:p w14:paraId="06BDA8F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12.2.1 预付款的支付</w:t>
      </w:r>
    </w:p>
    <w:p w14:paraId="2BDA9EB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预付款支付比例或金额：</w:t>
      </w:r>
      <w:r>
        <w:rPr>
          <w:rFonts w:hint="eastAsia" w:ascii="宋体" w:hAnsi="宋体" w:eastAsia="宋体" w:cs="宋体"/>
          <w:b/>
          <w:bCs/>
          <w:color w:val="auto"/>
          <w:kern w:val="0"/>
          <w:sz w:val="24"/>
          <w:szCs w:val="24"/>
          <w:highlight w:val="none"/>
          <w:u w:val="single"/>
        </w:rPr>
        <w:t>合同金额的</w:t>
      </w:r>
      <w:r>
        <w:rPr>
          <w:rFonts w:hint="eastAsia" w:ascii="宋体" w:hAnsi="宋体" w:eastAsia="宋体" w:cs="宋体"/>
          <w:b/>
          <w:bCs/>
          <w:color w:val="auto"/>
          <w:kern w:val="0"/>
          <w:sz w:val="24"/>
          <w:szCs w:val="24"/>
          <w:highlight w:val="none"/>
          <w:u w:val="single"/>
          <w:lang w:val="en-US" w:eastAsia="zh-CN"/>
        </w:rPr>
        <w:t>30</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7DB798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预付款支付期限：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合同签订后进场施工</w:t>
      </w:r>
      <w:r>
        <w:rPr>
          <w:rFonts w:hint="eastAsia" w:ascii="宋体" w:hAnsi="宋体" w:eastAsia="宋体" w:cs="宋体"/>
          <w:b/>
          <w:bCs/>
          <w:color w:val="auto"/>
          <w:kern w:val="0"/>
          <w:sz w:val="24"/>
          <w:szCs w:val="24"/>
          <w:highlight w:val="none"/>
          <w:u w:val="single"/>
          <w:lang w:val="en-US" w:eastAsia="zh-CN"/>
        </w:rPr>
        <w:t>10</w:t>
      </w:r>
      <w:r>
        <w:rPr>
          <w:rFonts w:hint="eastAsia" w:ascii="宋体" w:hAnsi="宋体" w:eastAsia="宋体" w:cs="宋体"/>
          <w:b/>
          <w:bCs/>
          <w:color w:val="auto"/>
          <w:kern w:val="0"/>
          <w:sz w:val="24"/>
          <w:szCs w:val="24"/>
          <w:highlight w:val="none"/>
          <w:u w:val="single"/>
        </w:rPr>
        <w:t>个工作日内支付</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D46C98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预付款扣回的方式：</w:t>
      </w:r>
      <w:r>
        <w:rPr>
          <w:rFonts w:hint="eastAsia" w:ascii="宋体" w:hAnsi="宋体" w:eastAsia="宋体" w:cs="宋体"/>
          <w:b/>
          <w:bCs/>
          <w:color w:val="auto"/>
          <w:kern w:val="0"/>
          <w:sz w:val="24"/>
          <w:szCs w:val="24"/>
          <w:highlight w:val="none"/>
          <w:u w:val="single"/>
        </w:rPr>
        <w:t>由发包人从支付给承包人的首次工程进度款中一次性扣回,首次工程进度款不足以扣回时，顺延至下次拨付工程进度款时抵扣</w:t>
      </w:r>
      <w:r>
        <w:rPr>
          <w:rFonts w:hint="eastAsia" w:ascii="宋体" w:hAnsi="宋体" w:eastAsia="宋体" w:cs="宋体"/>
          <w:color w:val="auto"/>
          <w:kern w:val="0"/>
          <w:sz w:val="24"/>
          <w:szCs w:val="24"/>
          <w:highlight w:val="none"/>
        </w:rPr>
        <w:t>。</w:t>
      </w:r>
    </w:p>
    <w:p w14:paraId="5161F93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12.2.2 预付款担保</w:t>
      </w:r>
    </w:p>
    <w:p w14:paraId="65B5A24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承包人提交预付款担保的期限：</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03D542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预付款担保的形式为：</w:t>
      </w:r>
      <w:r>
        <w:rPr>
          <w:rFonts w:hint="eastAsia" w:ascii="宋体" w:hAnsi="宋体" w:eastAsia="宋体" w:cs="宋体"/>
          <w:b/>
          <w:bCs/>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bookmarkEnd w:id="727"/>
    <w:bookmarkEnd w:id="728"/>
    <w:bookmarkEnd w:id="729"/>
    <w:bookmarkEnd w:id="730"/>
    <w:bookmarkEnd w:id="731"/>
    <w:bookmarkEnd w:id="732"/>
    <w:bookmarkEnd w:id="733"/>
    <w:bookmarkEnd w:id="734"/>
    <w:bookmarkEnd w:id="735"/>
    <w:bookmarkEnd w:id="736"/>
    <w:p w14:paraId="3032060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 计量</w:t>
      </w:r>
    </w:p>
    <w:p w14:paraId="388A087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12.3.1 计量原则</w:t>
      </w:r>
    </w:p>
    <w:p w14:paraId="3DCE22F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color w:val="auto"/>
          <w:kern w:val="0"/>
          <w:sz w:val="24"/>
          <w:szCs w:val="24"/>
          <w:highlight w:val="none"/>
        </w:rPr>
        <w:t>工程量计算规则：</w:t>
      </w:r>
      <w:r>
        <w:rPr>
          <w:rFonts w:hint="eastAsia" w:ascii="宋体" w:hAnsi="宋体" w:eastAsia="宋体" w:cs="宋体"/>
          <w:b/>
          <w:bCs/>
          <w:color w:val="auto"/>
          <w:kern w:val="0"/>
          <w:sz w:val="24"/>
          <w:szCs w:val="24"/>
          <w:highlight w:val="none"/>
          <w:u w:val="single"/>
        </w:rPr>
        <w:t>①《建设工程工程量清单计价规范》（GB50500-2013）②《云南省建设工程造价计价标准（2020版）》（云建科〔2021〕15 号）③《云南省建设工程造价计价规则及机械仪器仪表台班费用定额》（DBJ53／T-58-2013）；④</w:t>
      </w:r>
      <w:r>
        <w:rPr>
          <w:rFonts w:hint="eastAsia" w:ascii="宋体" w:hAnsi="宋体" w:eastAsia="宋体" w:cs="宋体"/>
          <w:b/>
          <w:bCs/>
          <w:color w:val="auto"/>
          <w:kern w:val="0"/>
          <w:sz w:val="24"/>
          <w:szCs w:val="24"/>
          <w:highlight w:val="none"/>
          <w:u w:val="single"/>
          <w:lang w:eastAsia="zh-CN"/>
        </w:rPr>
        <w:t>竞争性磋商文件</w:t>
      </w:r>
      <w:r>
        <w:rPr>
          <w:rFonts w:hint="eastAsia" w:ascii="宋体" w:hAnsi="宋体" w:eastAsia="宋体" w:cs="宋体"/>
          <w:b/>
          <w:bCs/>
          <w:color w:val="auto"/>
          <w:kern w:val="0"/>
          <w:sz w:val="24"/>
          <w:szCs w:val="24"/>
          <w:highlight w:val="none"/>
          <w:u w:val="single"/>
        </w:rPr>
        <w:t>、工程量清单及其补充通知、答疑纪要；⑤建设工程设计文件及相关资料；</w:t>
      </w:r>
    </w:p>
    <w:p w14:paraId="5767E0B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12.3.2 计量周期</w:t>
      </w:r>
    </w:p>
    <w:p w14:paraId="570AF4B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关于计量周期的约定：</w:t>
      </w:r>
      <w:r>
        <w:rPr>
          <w:rFonts w:hint="eastAsia" w:ascii="宋体" w:hAnsi="宋体" w:eastAsia="宋体" w:cs="宋体"/>
          <w:b/>
          <w:color w:val="auto"/>
          <w:kern w:val="0"/>
          <w:sz w:val="24"/>
          <w:szCs w:val="24"/>
          <w:highlight w:val="none"/>
          <w:u w:val="single"/>
        </w:rPr>
        <w:t xml:space="preserve">每月计量一次 </w:t>
      </w:r>
      <w:r>
        <w:rPr>
          <w:rFonts w:hint="eastAsia" w:ascii="宋体" w:hAnsi="宋体" w:eastAsia="宋体" w:cs="宋体"/>
          <w:color w:val="auto"/>
          <w:kern w:val="0"/>
          <w:sz w:val="24"/>
          <w:szCs w:val="24"/>
          <w:highlight w:val="none"/>
        </w:rPr>
        <w:t>。</w:t>
      </w:r>
    </w:p>
    <w:p w14:paraId="05CBEB9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12.3.3 单价合同的计量</w:t>
      </w:r>
    </w:p>
    <w:p w14:paraId="6908865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关于单价合同计量的约定：</w:t>
      </w:r>
      <w:r>
        <w:rPr>
          <w:rFonts w:hint="eastAsia" w:ascii="宋体" w:hAnsi="宋体" w:eastAsia="宋体" w:cs="宋体"/>
          <w:b/>
          <w:color w:val="auto"/>
          <w:kern w:val="0"/>
          <w:sz w:val="24"/>
          <w:szCs w:val="24"/>
          <w:highlight w:val="none"/>
          <w:u w:val="single"/>
        </w:rPr>
        <w:t>按形象进度计量</w:t>
      </w:r>
      <w:r>
        <w:rPr>
          <w:rFonts w:hint="eastAsia" w:ascii="宋体" w:hAnsi="宋体" w:eastAsia="宋体" w:cs="宋体"/>
          <w:color w:val="auto"/>
          <w:kern w:val="0"/>
          <w:sz w:val="24"/>
          <w:szCs w:val="24"/>
          <w:highlight w:val="none"/>
        </w:rPr>
        <w:t>。</w:t>
      </w:r>
    </w:p>
    <w:p w14:paraId="6CC1BA4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12.3.4 总价合同的计量</w:t>
      </w:r>
    </w:p>
    <w:p w14:paraId="11EE864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关于总价合同计量的约定：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9566EE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12.3.5总价合同采用支付分解表计量支付的，是否适用第12.3.4 项〔总价合同的计量〕约定进行计量：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493BAC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12.3.6 其他价格形式合同的计量</w:t>
      </w:r>
    </w:p>
    <w:p w14:paraId="7DB12A5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其他价格形式的计量方式和程序：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9A54EB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 工程进度款支付</w:t>
      </w:r>
    </w:p>
    <w:p w14:paraId="1BA9E27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12.4.1 付款周期</w:t>
      </w:r>
    </w:p>
    <w:p w14:paraId="17419EC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关于付款周期的约定：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根据资金到位情况确定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36FD00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12.4.2 进度付款申请单的编制</w:t>
      </w:r>
    </w:p>
    <w:p w14:paraId="75D6DF2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关于进度付款申请单编制的约定：</w:t>
      </w:r>
      <w:r>
        <w:rPr>
          <w:rFonts w:hint="eastAsia" w:ascii="宋体" w:hAnsi="宋体" w:eastAsia="宋体" w:cs="宋体"/>
          <w:b/>
          <w:bCs/>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rPr>
        <w:t>。</w:t>
      </w:r>
    </w:p>
    <w:p w14:paraId="62FEC7B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12.4.3 进度付款申请单的提交</w:t>
      </w:r>
    </w:p>
    <w:p w14:paraId="024DC2A9">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（1）单价合同进度付款申请单提交的约定：</w:t>
      </w:r>
      <w:r>
        <w:rPr>
          <w:rFonts w:hint="eastAsia" w:ascii="宋体" w:hAnsi="宋体" w:eastAsia="宋体" w:cs="宋体"/>
          <w:b/>
          <w:bCs/>
          <w:color w:val="auto"/>
          <w:kern w:val="0"/>
          <w:sz w:val="24"/>
          <w:szCs w:val="24"/>
          <w:highlight w:val="none"/>
          <w:u w:val="single"/>
        </w:rPr>
        <w:t>按通用合同条款12.3.3约定的时间每月向监理人提交，并附上已完成工程量报表和有关资料</w:t>
      </w:r>
      <w:r>
        <w:rPr>
          <w:rFonts w:hint="eastAsia" w:ascii="宋体" w:hAnsi="宋体" w:eastAsia="宋体" w:cs="宋体"/>
          <w:color w:val="auto"/>
          <w:kern w:val="0"/>
          <w:sz w:val="24"/>
          <w:szCs w:val="24"/>
          <w:highlight w:val="none"/>
          <w:u w:val="single"/>
        </w:rPr>
        <w:t>。</w:t>
      </w:r>
    </w:p>
    <w:p w14:paraId="314941E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（2）总价合同进度付款申请单提交的约定：</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7F472FE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（3）其他价格形式合同进度付款申请单提交的约定：</w:t>
      </w:r>
      <w:r>
        <w:rPr>
          <w:rFonts w:hint="eastAsia" w:ascii="宋体" w:hAnsi="宋体" w:eastAsia="宋体" w:cs="宋体"/>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79052A4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12.4.4 进度款审核和支付</w:t>
      </w:r>
    </w:p>
    <w:p w14:paraId="327F555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（1）监理人审查并报送发包人的期限：</w:t>
      </w:r>
      <w:r>
        <w:rPr>
          <w:rFonts w:hint="eastAsia" w:ascii="宋体" w:hAnsi="宋体" w:eastAsia="宋体" w:cs="宋体"/>
          <w:b/>
          <w:bCs/>
          <w:color w:val="auto"/>
          <w:kern w:val="0"/>
          <w:sz w:val="24"/>
          <w:szCs w:val="24"/>
          <w:highlight w:val="none"/>
          <w:u w:val="single"/>
        </w:rPr>
        <w:t>收到申请7个工作日</w:t>
      </w:r>
      <w:r>
        <w:rPr>
          <w:rFonts w:hint="eastAsia" w:ascii="宋体" w:hAnsi="宋体" w:eastAsia="宋体" w:cs="宋体"/>
          <w:color w:val="auto"/>
          <w:kern w:val="0"/>
          <w:sz w:val="24"/>
          <w:szCs w:val="24"/>
          <w:highlight w:val="none"/>
        </w:rPr>
        <w:t>。</w:t>
      </w:r>
    </w:p>
    <w:p w14:paraId="387D636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发包人完成审批并签发进度款支付证书的期限：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根据资金到位情况确定</w:t>
      </w:r>
      <w:r>
        <w:rPr>
          <w:rFonts w:hint="eastAsia" w:ascii="宋体" w:hAnsi="宋体" w:eastAsia="宋体" w:cs="宋体"/>
          <w:color w:val="auto"/>
          <w:kern w:val="0"/>
          <w:sz w:val="24"/>
          <w:szCs w:val="24"/>
          <w:highlight w:val="none"/>
        </w:rPr>
        <w:t>。</w:t>
      </w:r>
    </w:p>
    <w:p w14:paraId="1C7E983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（2）发包人支付进度款的期限：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根据资金到位情况确定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A8E7C2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发包人逾期支付进度款的违约金的计算方式：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724550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（3）进度款支付时间：</w:t>
      </w:r>
      <w:r>
        <w:rPr>
          <w:rFonts w:hint="eastAsia" w:ascii="宋体" w:hAnsi="宋体" w:eastAsia="宋体" w:cs="宋体"/>
          <w:b/>
          <w:bCs/>
          <w:color w:val="auto"/>
          <w:kern w:val="0"/>
          <w:sz w:val="24"/>
          <w:szCs w:val="24"/>
          <w:highlight w:val="none"/>
          <w:u w:val="single"/>
        </w:rPr>
        <w:t>承包人每月上报工程进度款申请表，发包人根据资金到位情况按审定造价的80%向承包人拨付工程进度款(应付进度款分两笔支付，其中：应付进度款的80%由发包人直接支付至合同约定的承包人账户，剩余20%由发包人支付至承包人按照农民工工资管理规定在项目地开设的农民工工资专用账户，由监管银行代为发放农民工工资)，竣工验收前进度款拨付累计不超过完成产值的80%。工程竣工并验收合格后进入工程结算，经</w:t>
      </w:r>
      <w:r>
        <w:rPr>
          <w:rFonts w:hint="eastAsia" w:ascii="宋体" w:hAnsi="宋体" w:eastAsia="宋体" w:cs="宋体"/>
          <w:b/>
          <w:bCs/>
          <w:color w:val="auto"/>
          <w:kern w:val="0"/>
          <w:sz w:val="24"/>
          <w:szCs w:val="24"/>
          <w:highlight w:val="none"/>
          <w:u w:val="single"/>
          <w:lang w:val="en-US" w:eastAsia="zh-CN"/>
        </w:rPr>
        <w:t>造价咨询单位</w:t>
      </w:r>
      <w:r>
        <w:rPr>
          <w:rFonts w:hint="eastAsia" w:ascii="宋体" w:hAnsi="宋体" w:eastAsia="宋体" w:cs="宋体"/>
          <w:b/>
          <w:bCs/>
          <w:color w:val="auto"/>
          <w:kern w:val="0"/>
          <w:sz w:val="24"/>
          <w:szCs w:val="24"/>
          <w:highlight w:val="none"/>
          <w:u w:val="single"/>
        </w:rPr>
        <w:t>审定出具工程结算</w:t>
      </w:r>
      <w:r>
        <w:rPr>
          <w:rFonts w:hint="eastAsia" w:ascii="宋体" w:hAnsi="宋体" w:eastAsia="宋体" w:cs="宋体"/>
          <w:b/>
          <w:bCs/>
          <w:color w:val="auto"/>
          <w:kern w:val="0"/>
          <w:sz w:val="24"/>
          <w:szCs w:val="24"/>
          <w:highlight w:val="none"/>
          <w:u w:val="single"/>
          <w:lang w:val="en-US" w:eastAsia="zh-CN"/>
        </w:rPr>
        <w:t>审核</w:t>
      </w:r>
      <w:r>
        <w:rPr>
          <w:rFonts w:hint="eastAsia" w:ascii="宋体" w:hAnsi="宋体" w:eastAsia="宋体" w:cs="宋体"/>
          <w:b/>
          <w:bCs/>
          <w:color w:val="auto"/>
          <w:kern w:val="0"/>
          <w:sz w:val="24"/>
          <w:szCs w:val="24"/>
          <w:highlight w:val="none"/>
          <w:u w:val="single"/>
        </w:rPr>
        <w:t>报告后，发包人按照经</w:t>
      </w:r>
      <w:r>
        <w:rPr>
          <w:rFonts w:hint="eastAsia" w:ascii="宋体" w:hAnsi="宋体" w:eastAsia="宋体" w:cs="宋体"/>
          <w:b/>
          <w:bCs/>
          <w:color w:val="auto"/>
          <w:kern w:val="0"/>
          <w:sz w:val="24"/>
          <w:szCs w:val="24"/>
          <w:highlight w:val="none"/>
          <w:u w:val="single"/>
          <w:lang w:eastAsia="zh-CN"/>
        </w:rPr>
        <w:t>造价咨询单位</w:t>
      </w:r>
      <w:r>
        <w:rPr>
          <w:rFonts w:hint="eastAsia" w:ascii="宋体" w:hAnsi="宋体" w:eastAsia="宋体" w:cs="宋体"/>
          <w:b/>
          <w:bCs/>
          <w:color w:val="auto"/>
          <w:kern w:val="0"/>
          <w:sz w:val="24"/>
          <w:szCs w:val="24"/>
          <w:highlight w:val="none"/>
          <w:u w:val="single"/>
        </w:rPr>
        <w:t>审定的</w:t>
      </w:r>
      <w:r>
        <w:rPr>
          <w:rFonts w:hint="eastAsia" w:ascii="宋体" w:hAnsi="宋体" w:eastAsia="宋体" w:cs="宋体"/>
          <w:b/>
          <w:bCs/>
          <w:color w:val="auto"/>
          <w:kern w:val="0"/>
          <w:sz w:val="24"/>
          <w:szCs w:val="24"/>
          <w:highlight w:val="none"/>
          <w:u w:val="single"/>
          <w:lang w:eastAsia="zh-CN"/>
        </w:rPr>
        <w:t>工程费</w:t>
      </w:r>
      <w:r>
        <w:rPr>
          <w:rFonts w:hint="eastAsia" w:ascii="宋体" w:hAnsi="宋体" w:eastAsia="宋体" w:cs="宋体"/>
          <w:b/>
          <w:bCs/>
          <w:color w:val="auto"/>
          <w:kern w:val="0"/>
          <w:sz w:val="24"/>
          <w:szCs w:val="24"/>
          <w:highlight w:val="none"/>
          <w:u w:val="single"/>
        </w:rPr>
        <w:t>结算价及</w:t>
      </w:r>
      <w:r>
        <w:rPr>
          <w:rFonts w:hint="eastAsia" w:ascii="宋体" w:hAnsi="宋体" w:eastAsia="宋体" w:cs="宋体"/>
          <w:b/>
          <w:bCs/>
          <w:color w:val="auto"/>
          <w:kern w:val="0"/>
          <w:sz w:val="24"/>
          <w:szCs w:val="24"/>
          <w:highlight w:val="none"/>
          <w:u w:val="single"/>
          <w:lang w:val="en-US" w:eastAsia="zh-CN"/>
        </w:rPr>
        <w:t>工程费结算价</w:t>
      </w:r>
      <w:r>
        <w:rPr>
          <w:rFonts w:hint="eastAsia" w:ascii="宋体" w:hAnsi="宋体" w:eastAsia="宋体" w:cs="宋体"/>
          <w:b/>
          <w:bCs/>
          <w:color w:val="auto"/>
          <w:kern w:val="0"/>
          <w:sz w:val="24"/>
          <w:szCs w:val="24"/>
          <w:highlight w:val="none"/>
          <w:u w:val="single"/>
        </w:rPr>
        <w:t>下浮率计算</w:t>
      </w:r>
      <w:r>
        <w:rPr>
          <w:rFonts w:hint="eastAsia" w:ascii="宋体" w:hAnsi="宋体" w:eastAsia="宋体" w:cs="宋体"/>
          <w:b/>
          <w:bCs/>
          <w:color w:val="auto"/>
          <w:kern w:val="0"/>
          <w:sz w:val="24"/>
          <w:szCs w:val="24"/>
          <w:highlight w:val="none"/>
          <w:u w:val="single"/>
          <w:lang w:eastAsia="zh-CN"/>
        </w:rPr>
        <w:t>最终工程费</w:t>
      </w:r>
      <w:r>
        <w:rPr>
          <w:rFonts w:hint="eastAsia" w:ascii="宋体" w:hAnsi="宋体" w:eastAsia="宋体" w:cs="宋体"/>
          <w:b/>
          <w:bCs/>
          <w:color w:val="auto"/>
          <w:kern w:val="0"/>
          <w:sz w:val="24"/>
          <w:szCs w:val="24"/>
          <w:highlight w:val="none"/>
          <w:u w:val="single"/>
        </w:rPr>
        <w:t>，</w:t>
      </w:r>
      <w:r>
        <w:rPr>
          <w:rFonts w:hint="eastAsia" w:ascii="宋体" w:hAnsi="宋体" w:eastAsia="宋体" w:cs="宋体"/>
          <w:b/>
          <w:bCs/>
          <w:color w:val="auto"/>
          <w:kern w:val="0"/>
          <w:sz w:val="24"/>
          <w:szCs w:val="24"/>
          <w:highlight w:val="none"/>
          <w:u w:val="single"/>
          <w:lang w:val="en-US" w:eastAsia="zh-CN"/>
        </w:rPr>
        <w:t>承包人在工程竣工结算审核完成后5个工作日内将质量保证金（质量保证金为按工程价款结算总额的3%交纳）转账至向发包人指定账户后，发包人</w:t>
      </w:r>
      <w:r>
        <w:rPr>
          <w:rFonts w:hint="eastAsia" w:ascii="宋体" w:hAnsi="宋体" w:eastAsia="宋体" w:cs="宋体"/>
          <w:b/>
          <w:bCs/>
          <w:color w:val="auto"/>
          <w:kern w:val="0"/>
          <w:sz w:val="24"/>
          <w:szCs w:val="24"/>
          <w:highlight w:val="none"/>
          <w:u w:val="single"/>
        </w:rPr>
        <w:t>根据资金到位情况支付至</w:t>
      </w:r>
      <w:r>
        <w:rPr>
          <w:rFonts w:hint="eastAsia" w:ascii="宋体" w:hAnsi="宋体" w:eastAsia="宋体" w:cs="宋体"/>
          <w:b/>
          <w:bCs/>
          <w:color w:val="auto"/>
          <w:kern w:val="0"/>
          <w:sz w:val="24"/>
          <w:szCs w:val="24"/>
          <w:highlight w:val="none"/>
          <w:u w:val="single"/>
          <w:lang w:val="en-US" w:eastAsia="zh-CN"/>
        </w:rPr>
        <w:t>最终工程费</w:t>
      </w:r>
      <w:r>
        <w:rPr>
          <w:rFonts w:hint="eastAsia" w:ascii="宋体" w:hAnsi="宋体" w:eastAsia="宋体" w:cs="宋体"/>
          <w:b/>
          <w:bCs/>
          <w:color w:val="auto"/>
          <w:kern w:val="0"/>
          <w:sz w:val="24"/>
          <w:szCs w:val="24"/>
          <w:highlight w:val="none"/>
          <w:u w:val="single"/>
        </w:rPr>
        <w:t>的</w:t>
      </w:r>
      <w:r>
        <w:rPr>
          <w:rFonts w:hint="eastAsia" w:ascii="宋体" w:hAnsi="宋体" w:eastAsia="宋体" w:cs="宋体"/>
          <w:b/>
          <w:bCs/>
          <w:color w:val="auto"/>
          <w:kern w:val="0"/>
          <w:sz w:val="24"/>
          <w:szCs w:val="24"/>
          <w:highlight w:val="none"/>
          <w:u w:val="single"/>
          <w:lang w:val="en-US" w:eastAsia="zh-CN"/>
        </w:rPr>
        <w:t>100%</w:t>
      </w:r>
      <w:r>
        <w:rPr>
          <w:rFonts w:hint="eastAsia" w:ascii="宋体" w:hAnsi="宋体" w:eastAsia="宋体" w:cs="宋体"/>
          <w:b/>
          <w:bCs/>
          <w:color w:val="auto"/>
          <w:kern w:val="0"/>
          <w:sz w:val="24"/>
          <w:szCs w:val="24"/>
          <w:highlight w:val="none"/>
          <w:u w:val="single"/>
        </w:rPr>
        <w:t>。</w:t>
      </w:r>
    </w:p>
    <w:p w14:paraId="74A578F8">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4）发包人的工程费拨付之前，承包人保证工程正常施工、如期推进。整个合同履行期间，承包人应采取相应措施保证农民工工资、材料款、设备租用款等各项费用按时支付，并妥善处理好劳资、材料、设备采购纠纷、施工安全责任问题，确保不发生农民工或材料供应商上访、非法集结等事件；如有发生，</w:t>
      </w:r>
      <w:r>
        <w:rPr>
          <w:rFonts w:hint="eastAsia" w:ascii="宋体" w:hAnsi="宋体" w:eastAsia="宋体" w:cs="宋体"/>
          <w:b/>
          <w:bCs/>
          <w:color w:val="auto"/>
          <w:kern w:val="0"/>
          <w:sz w:val="24"/>
          <w:szCs w:val="24"/>
          <w:highlight w:val="none"/>
          <w:u w:val="single"/>
          <w:lang w:val="en-US" w:eastAsia="zh-CN"/>
        </w:rPr>
        <w:t>发包人、承包人</w:t>
      </w:r>
      <w:r>
        <w:rPr>
          <w:rFonts w:hint="eastAsia" w:ascii="宋体" w:hAnsi="宋体" w:eastAsia="宋体" w:cs="宋体"/>
          <w:b/>
          <w:bCs/>
          <w:color w:val="auto"/>
          <w:kern w:val="0"/>
          <w:sz w:val="24"/>
          <w:szCs w:val="24"/>
          <w:highlight w:val="none"/>
          <w:u w:val="single"/>
        </w:rPr>
        <w:t>双方视情况协商解决，承包人需按合同价的</w:t>
      </w:r>
      <w:r>
        <w:rPr>
          <w:rFonts w:hint="eastAsia" w:ascii="宋体" w:hAnsi="宋体" w:eastAsia="宋体" w:cs="宋体"/>
          <w:b/>
          <w:bCs/>
          <w:color w:val="auto"/>
          <w:kern w:val="0"/>
          <w:sz w:val="24"/>
          <w:szCs w:val="24"/>
          <w:highlight w:val="none"/>
          <w:u w:val="single"/>
          <w:lang w:val="en-US" w:eastAsia="zh-CN"/>
        </w:rPr>
        <w:t>10%</w:t>
      </w:r>
      <w:r>
        <w:rPr>
          <w:rFonts w:hint="eastAsia" w:ascii="宋体" w:hAnsi="宋体" w:eastAsia="宋体" w:cs="宋体"/>
          <w:b/>
          <w:bCs/>
          <w:color w:val="auto"/>
          <w:kern w:val="0"/>
          <w:sz w:val="24"/>
          <w:szCs w:val="24"/>
          <w:highlight w:val="none"/>
          <w:u w:val="single"/>
        </w:rPr>
        <w:t xml:space="preserve">向发包人支付违约金，情节特别严重时，发包人有权根据实际情节解除合同。 </w:t>
      </w:r>
    </w:p>
    <w:p w14:paraId="6269C389">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（5）承包人需向发包人开具所有工程款的增值税发票。</w:t>
      </w:r>
    </w:p>
    <w:p w14:paraId="1BA2EA3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12.4.6 支付分解表的编制</w:t>
      </w:r>
    </w:p>
    <w:p w14:paraId="308E912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2.总价合同支付分解表的编制与审批：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50E3E1D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3.单价合同的总价项目支付分解表的编制与审批：</w:t>
      </w:r>
      <w:r>
        <w:rPr>
          <w:rFonts w:hint="eastAsia" w:ascii="宋体" w:hAnsi="宋体" w:eastAsia="宋体" w:cs="宋体"/>
          <w:b/>
          <w:bCs/>
          <w:color w:val="auto"/>
          <w:kern w:val="0"/>
          <w:sz w:val="24"/>
          <w:szCs w:val="24"/>
          <w:highlight w:val="none"/>
          <w:u w:val="single"/>
        </w:rPr>
        <w:t xml:space="preserve">按通用合同条款执行 </w:t>
      </w:r>
      <w:r>
        <w:rPr>
          <w:rFonts w:hint="eastAsia" w:ascii="宋体" w:hAnsi="宋体" w:eastAsia="宋体" w:cs="宋体"/>
          <w:bCs/>
          <w:color w:val="auto"/>
          <w:kern w:val="0"/>
          <w:sz w:val="24"/>
          <w:szCs w:val="24"/>
          <w:highlight w:val="none"/>
        </w:rPr>
        <w:t>。</w:t>
      </w:r>
    </w:p>
    <w:bookmarkEnd w:id="580"/>
    <w:p w14:paraId="7E75724B">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737" w:name="_Toc351203645"/>
      <w:bookmarkStart w:id="738" w:name="_Toc300935015"/>
      <w:bookmarkStart w:id="739" w:name="_Toc296503219"/>
      <w:bookmarkStart w:id="740" w:name="_Toc297048405"/>
      <w:bookmarkStart w:id="741" w:name="_Toc303539172"/>
      <w:bookmarkStart w:id="742" w:name="_Toc297216223"/>
      <w:bookmarkStart w:id="743" w:name="_Toc296347218"/>
      <w:bookmarkStart w:id="744" w:name="_Toc304295593"/>
      <w:bookmarkStart w:id="745" w:name="_Toc312678053"/>
      <w:bookmarkStart w:id="746" w:name="_Toc297120519"/>
      <w:bookmarkStart w:id="747" w:name="_Toc296891259"/>
      <w:bookmarkStart w:id="748" w:name="_Toc296346720"/>
      <w:bookmarkStart w:id="749" w:name="_Toc292559929"/>
      <w:bookmarkStart w:id="750" w:name="_Toc292559424"/>
      <w:bookmarkStart w:id="751" w:name="_Toc296891047"/>
      <w:bookmarkStart w:id="752" w:name="_Toc296944558"/>
      <w:bookmarkStart w:id="753" w:name="_Toc297123564"/>
      <w:r>
        <w:rPr>
          <w:rFonts w:hint="eastAsia" w:ascii="宋体" w:hAnsi="宋体" w:eastAsia="宋体" w:cs="宋体"/>
          <w:color w:val="auto"/>
          <w:kern w:val="0"/>
          <w:sz w:val="24"/>
          <w:szCs w:val="24"/>
          <w:highlight w:val="none"/>
        </w:rPr>
        <w:t>13. 验收和工程试车</w:t>
      </w:r>
      <w:bookmarkEnd w:id="737"/>
    </w:p>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14:paraId="3BEBD56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13.1 分部分项工程验收</w:t>
      </w:r>
    </w:p>
    <w:p w14:paraId="309F1AF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13.1.2监理人不能按时进行验收时，应提前</w:t>
      </w:r>
      <w:r>
        <w:rPr>
          <w:rFonts w:hint="eastAsia" w:ascii="宋体" w:hAnsi="宋体" w:eastAsia="宋体" w:cs="宋体"/>
          <w:b/>
          <w:color w:val="auto"/>
          <w:kern w:val="0"/>
          <w:sz w:val="24"/>
          <w:szCs w:val="24"/>
          <w:highlight w:val="none"/>
          <w:u w:val="single"/>
        </w:rPr>
        <w:t>24</w:t>
      </w:r>
      <w:r>
        <w:rPr>
          <w:rFonts w:hint="eastAsia" w:ascii="宋体" w:hAnsi="宋体" w:eastAsia="宋体" w:cs="宋体"/>
          <w:color w:val="auto"/>
          <w:kern w:val="0"/>
          <w:sz w:val="24"/>
          <w:szCs w:val="24"/>
          <w:highlight w:val="none"/>
        </w:rPr>
        <w:t>小时提交书面延期要求。</w:t>
      </w:r>
    </w:p>
    <w:p w14:paraId="070D068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关于延期最长不得超过：</w:t>
      </w:r>
      <w:r>
        <w:rPr>
          <w:rFonts w:hint="eastAsia" w:ascii="宋体" w:hAnsi="宋体" w:eastAsia="宋体" w:cs="宋体"/>
          <w:b/>
          <w:color w:val="auto"/>
          <w:kern w:val="0"/>
          <w:sz w:val="24"/>
          <w:szCs w:val="24"/>
          <w:highlight w:val="none"/>
          <w:u w:val="single"/>
        </w:rPr>
        <w:t xml:space="preserve"> 48 </w:t>
      </w:r>
      <w:r>
        <w:rPr>
          <w:rFonts w:hint="eastAsia" w:ascii="宋体" w:hAnsi="宋体" w:eastAsia="宋体" w:cs="宋体"/>
          <w:color w:val="auto"/>
          <w:kern w:val="0"/>
          <w:sz w:val="24"/>
          <w:szCs w:val="24"/>
          <w:highlight w:val="none"/>
        </w:rPr>
        <w:t>小时。</w:t>
      </w:r>
    </w:p>
    <w:p w14:paraId="57C2DC0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754" w:name="_Toc312678056"/>
      <w:bookmarkStart w:id="755" w:name="_Toc296891051"/>
      <w:bookmarkStart w:id="756" w:name="_Toc296503223"/>
      <w:bookmarkStart w:id="757" w:name="_Toc292559428"/>
      <w:bookmarkStart w:id="758" w:name="_Toc297216224"/>
      <w:bookmarkStart w:id="759" w:name="_Toc296347222"/>
      <w:bookmarkStart w:id="760" w:name="_Toc296891263"/>
      <w:bookmarkStart w:id="761" w:name="_Toc297123565"/>
      <w:bookmarkStart w:id="762" w:name="_Toc297048409"/>
      <w:bookmarkStart w:id="763" w:name="_Toc297120523"/>
      <w:bookmarkStart w:id="764" w:name="_Toc304295596"/>
      <w:bookmarkStart w:id="765" w:name="_Toc300935016"/>
      <w:bookmarkStart w:id="766" w:name="_Toc303539173"/>
      <w:bookmarkStart w:id="767" w:name="_Toc296346724"/>
      <w:bookmarkStart w:id="768" w:name="_Toc296944562"/>
      <w:bookmarkStart w:id="769" w:name="_Toc292559933"/>
      <w:bookmarkStart w:id="770" w:name="_Toc267251472"/>
      <w:bookmarkStart w:id="771" w:name="_Toc267251470"/>
      <w:bookmarkStart w:id="772" w:name="_Toc267251474"/>
      <w:bookmarkStart w:id="773" w:name="_Toc267251475"/>
      <w:bookmarkStart w:id="774" w:name="_Toc267251473"/>
      <w:bookmarkStart w:id="775" w:name="_Toc267251476"/>
      <w:bookmarkStart w:id="776" w:name="_Toc267251471"/>
      <w:r>
        <w:rPr>
          <w:rFonts w:hint="eastAsia" w:ascii="宋体" w:hAnsi="宋体" w:eastAsia="宋体" w:cs="宋体"/>
          <w:color w:val="auto"/>
          <w:kern w:val="0"/>
          <w:sz w:val="24"/>
          <w:szCs w:val="24"/>
          <w:highlight w:val="none"/>
        </w:rPr>
        <w:t>13.2 竣工验收</w:t>
      </w:r>
    </w:p>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14:paraId="362D875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777" w:name="_Toc280868704"/>
      <w:bookmarkStart w:id="778" w:name="_Toc280868705"/>
      <w:bookmarkStart w:id="779" w:name="_Toc280868706"/>
      <w:bookmarkStart w:id="780" w:name="_Toc280868707"/>
      <w:bookmarkStart w:id="781" w:name="_Toc280868708"/>
      <w:bookmarkStart w:id="782" w:name="_Toc280868709"/>
      <w:r>
        <w:rPr>
          <w:rFonts w:hint="eastAsia" w:ascii="宋体" w:hAnsi="宋体" w:eastAsia="宋体" w:cs="宋体"/>
          <w:color w:val="auto"/>
          <w:kern w:val="0"/>
          <w:sz w:val="24"/>
          <w:szCs w:val="24"/>
          <w:highlight w:val="none"/>
        </w:rPr>
        <w:t>13.2.2竣工验收程序</w:t>
      </w:r>
    </w:p>
    <w:bookmarkEnd w:id="777"/>
    <w:p w14:paraId="236CF46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关于竣工验收程序的约定：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251563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发包人不按照本项约定组织竣工验收、颁发工程接收证书的违约金的计算方法：</w:t>
      </w:r>
      <w:r>
        <w:rPr>
          <w:rFonts w:hint="eastAsia" w:ascii="宋体" w:hAnsi="宋体" w:eastAsia="宋体" w:cs="宋体"/>
          <w:b/>
          <w:color w:val="auto"/>
          <w:kern w:val="0"/>
          <w:sz w:val="24"/>
          <w:szCs w:val="24"/>
          <w:highlight w:val="none"/>
          <w:u w:val="single"/>
        </w:rPr>
        <w:t xml:space="preserve">按通用合同条款执行 </w:t>
      </w:r>
      <w:r>
        <w:rPr>
          <w:rFonts w:hint="eastAsia" w:ascii="宋体" w:hAnsi="宋体" w:eastAsia="宋体" w:cs="宋体"/>
          <w:color w:val="auto"/>
          <w:kern w:val="0"/>
          <w:sz w:val="24"/>
          <w:szCs w:val="24"/>
          <w:highlight w:val="none"/>
        </w:rPr>
        <w:t>。</w:t>
      </w:r>
      <w:bookmarkEnd w:id="778"/>
    </w:p>
    <w:p w14:paraId="65BB712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13.2.5移交、接收全部与部分工程</w:t>
      </w:r>
    </w:p>
    <w:bookmarkEnd w:id="779"/>
    <w:p w14:paraId="706DB3B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承包人向发包人移交工程的期限：</w:t>
      </w:r>
      <w:r>
        <w:rPr>
          <w:rFonts w:hint="eastAsia" w:ascii="宋体" w:hAnsi="宋体" w:eastAsia="宋体" w:cs="宋体"/>
          <w:b/>
          <w:color w:val="auto"/>
          <w:kern w:val="0"/>
          <w:sz w:val="24"/>
          <w:szCs w:val="24"/>
          <w:highlight w:val="none"/>
          <w:u w:val="single"/>
        </w:rPr>
        <w:t>颁发工程接收证书后7天内完成工程的移交</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072BC8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发包人未按本合同约定接收全部或部分工程的，违约金的计算方法为：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780"/>
    <w:p w14:paraId="37463D8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承包人未按时移交工程的，违约金的计算方法为：</w:t>
      </w:r>
      <w:r>
        <w:rPr>
          <w:rFonts w:hint="eastAsia" w:ascii="宋体" w:hAnsi="宋体" w:eastAsia="宋体" w:cs="宋体"/>
          <w:b/>
          <w:bCs/>
          <w:color w:val="auto"/>
          <w:kern w:val="0"/>
          <w:sz w:val="24"/>
          <w:szCs w:val="24"/>
          <w:highlight w:val="none"/>
          <w:u w:val="single"/>
        </w:rPr>
        <w:t>每逾期一天</w:t>
      </w:r>
      <w:r>
        <w:rPr>
          <w:rFonts w:hint="eastAsia" w:ascii="宋体" w:hAnsi="宋体" w:eastAsia="宋体" w:cs="宋体"/>
          <w:b/>
          <w:bCs/>
          <w:color w:val="auto"/>
          <w:kern w:val="0"/>
          <w:sz w:val="24"/>
          <w:szCs w:val="24"/>
          <w:highlight w:val="none"/>
          <w:u w:val="single"/>
          <w:lang w:val="en-US" w:eastAsia="zh-CN"/>
        </w:rPr>
        <w:t>承包人须承担1</w:t>
      </w:r>
      <w:r>
        <w:rPr>
          <w:rFonts w:hint="eastAsia" w:ascii="宋体" w:hAnsi="宋体" w:eastAsia="宋体" w:cs="宋体"/>
          <w:b/>
          <w:bCs/>
          <w:color w:val="auto"/>
          <w:kern w:val="0"/>
          <w:sz w:val="24"/>
          <w:szCs w:val="24"/>
          <w:highlight w:val="none"/>
          <w:u w:val="single"/>
        </w:rPr>
        <w:t>000元/天的</w:t>
      </w:r>
      <w:r>
        <w:rPr>
          <w:rFonts w:hint="eastAsia" w:ascii="宋体" w:hAnsi="宋体" w:eastAsia="宋体" w:cs="宋体"/>
          <w:b/>
          <w:bCs/>
          <w:color w:val="auto"/>
          <w:kern w:val="0"/>
          <w:sz w:val="24"/>
          <w:szCs w:val="24"/>
          <w:highlight w:val="none"/>
          <w:u w:val="single"/>
          <w:lang w:val="en-US" w:eastAsia="zh-CN"/>
        </w:rPr>
        <w:t>违约金</w:t>
      </w:r>
      <w:r>
        <w:rPr>
          <w:rFonts w:hint="eastAsia" w:ascii="宋体" w:hAnsi="宋体" w:eastAsia="宋体" w:cs="宋体"/>
          <w:color w:val="auto"/>
          <w:kern w:val="0"/>
          <w:sz w:val="24"/>
          <w:szCs w:val="24"/>
          <w:highlight w:val="none"/>
        </w:rPr>
        <w:t>。</w:t>
      </w:r>
    </w:p>
    <w:p w14:paraId="3CF89F6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13.2.6竣工验收的其他约定：</w:t>
      </w:r>
    </w:p>
    <w:p w14:paraId="0FA14C87">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承包人必须保证分部分项工程及整体工程按国家相关工程施工质量验收规范及标准一次性达到100%验收合格。并通过政府各专业主管部门一次验收并取得相关验收证件，且达到发包人要求的相关质量标准和本合同的各项要求；若工程质量达不到整体一次验收合格的标准和要求时，承包人按签约合同价15%向发包人支付违约金，并在发包人要求时间内自行承担所有费用，并整改至合格，且需赔偿因此给发包人造成的全部损失。</w:t>
      </w:r>
    </w:p>
    <w:p w14:paraId="242B24E2">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u w:val="single"/>
        </w:rPr>
        <w:t>承包人提供竣工资料的约定：工程竣工验收后30天内，按发包人要求提供完整的、经核验签证后的竣工资料（含竣工图）。工程竣工验收后60日内，完成竣工资料归档，并取得档案合格证</w:t>
      </w:r>
      <w:r>
        <w:rPr>
          <w:rFonts w:hint="eastAsia" w:ascii="宋体" w:hAnsi="宋体" w:eastAsia="宋体" w:cs="宋体"/>
          <w:color w:val="auto"/>
          <w:kern w:val="0"/>
          <w:sz w:val="24"/>
          <w:szCs w:val="24"/>
          <w:highlight w:val="none"/>
        </w:rPr>
        <w:t>。</w:t>
      </w:r>
    </w:p>
    <w:p w14:paraId="3C58316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 工程试车</w:t>
      </w:r>
    </w:p>
    <w:bookmarkEnd w:id="781"/>
    <w:p w14:paraId="4E858BD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13.3.1 试车程序</w:t>
      </w:r>
    </w:p>
    <w:p w14:paraId="4D0672A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工程试车内容：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E6C1ED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（1）单机无负荷试车费用由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承包人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承担；</w:t>
      </w:r>
    </w:p>
    <w:p w14:paraId="4FBE9B7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（2）无负荷联动试车费用由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承包人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承担。</w:t>
      </w:r>
    </w:p>
    <w:p w14:paraId="014EA2D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13.3.3 投料试车</w:t>
      </w:r>
    </w:p>
    <w:p w14:paraId="551D228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关于投料试车相关事项的约定：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2955AB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 竣工退场</w:t>
      </w:r>
    </w:p>
    <w:p w14:paraId="2346BB7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13.6.1 竣工退场</w:t>
      </w:r>
    </w:p>
    <w:p w14:paraId="64E70E5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承包人完成竣工退场的期限：</w:t>
      </w:r>
      <w:r>
        <w:rPr>
          <w:rFonts w:hint="eastAsia" w:ascii="宋体" w:hAnsi="宋体" w:eastAsia="宋体" w:cs="宋体"/>
          <w:b/>
          <w:color w:val="auto"/>
          <w:kern w:val="0"/>
          <w:sz w:val="24"/>
          <w:szCs w:val="24"/>
          <w:highlight w:val="none"/>
          <w:u w:val="single"/>
        </w:rPr>
        <w:t>颁发工程接收证书后7天内完成工程的移交</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D4D91F9">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783" w:name="_Toc351203646"/>
      <w:r>
        <w:rPr>
          <w:rFonts w:hint="eastAsia" w:ascii="宋体" w:hAnsi="宋体" w:eastAsia="宋体" w:cs="宋体"/>
          <w:color w:val="auto"/>
          <w:kern w:val="0"/>
          <w:sz w:val="24"/>
          <w:szCs w:val="24"/>
          <w:highlight w:val="none"/>
        </w:rPr>
        <w:t>14. 竣工结算</w:t>
      </w:r>
      <w:bookmarkEnd w:id="783"/>
    </w:p>
    <w:p w14:paraId="7893B14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 竣工结算申请</w:t>
      </w:r>
    </w:p>
    <w:p w14:paraId="1ED13EE4">
      <w:pPr>
        <w:keepNext w:val="0"/>
        <w:keepLines w:val="0"/>
        <w:pageBreakBefore w:val="0"/>
        <w:kinsoku/>
        <w:wordWrap/>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承包人提交竣工结算申请单的期限：</w:t>
      </w:r>
      <w:r>
        <w:rPr>
          <w:rFonts w:hint="eastAsia" w:ascii="宋体" w:hAnsi="宋体" w:eastAsia="宋体" w:cs="宋体"/>
          <w:b/>
          <w:bCs/>
          <w:color w:val="auto"/>
          <w:kern w:val="0"/>
          <w:sz w:val="24"/>
          <w:szCs w:val="24"/>
          <w:highlight w:val="none"/>
          <w:u w:val="single"/>
        </w:rPr>
        <w:t>承包人应在工程竣工验收合格后</w:t>
      </w:r>
      <w:r>
        <w:rPr>
          <w:rFonts w:hint="eastAsia" w:ascii="宋体" w:hAnsi="宋体" w:eastAsia="宋体" w:cs="宋体"/>
          <w:b/>
          <w:bCs/>
          <w:color w:val="auto"/>
          <w:kern w:val="0"/>
          <w:sz w:val="24"/>
          <w:szCs w:val="24"/>
          <w:highlight w:val="none"/>
          <w:u w:val="single"/>
          <w:lang w:val="en-US" w:eastAsia="zh-CN"/>
        </w:rPr>
        <w:t>30</w:t>
      </w:r>
      <w:r>
        <w:rPr>
          <w:rFonts w:hint="eastAsia" w:ascii="宋体" w:hAnsi="宋体" w:eastAsia="宋体" w:cs="宋体"/>
          <w:b/>
          <w:bCs/>
          <w:color w:val="auto"/>
          <w:kern w:val="0"/>
          <w:sz w:val="24"/>
          <w:szCs w:val="24"/>
          <w:highlight w:val="none"/>
          <w:u w:val="single"/>
        </w:rPr>
        <w:t>天内向发包人和监理人提交竣工结算申请单，并提交完整的结算资料</w:t>
      </w:r>
      <w:r>
        <w:rPr>
          <w:rFonts w:hint="eastAsia" w:ascii="宋体" w:hAnsi="宋体" w:eastAsia="宋体" w:cs="宋体"/>
          <w:color w:val="auto"/>
          <w:kern w:val="0"/>
          <w:sz w:val="24"/>
          <w:szCs w:val="24"/>
          <w:highlight w:val="none"/>
        </w:rPr>
        <w:t>。</w:t>
      </w:r>
    </w:p>
    <w:p w14:paraId="6CACC08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竣工结算申请单应包括的内容：</w:t>
      </w:r>
      <w:r>
        <w:rPr>
          <w:rFonts w:hint="eastAsia" w:ascii="宋体" w:hAnsi="宋体" w:eastAsia="宋体" w:cs="宋体"/>
          <w:b/>
          <w:color w:val="auto"/>
          <w:kern w:val="0"/>
          <w:sz w:val="24"/>
          <w:szCs w:val="24"/>
          <w:highlight w:val="none"/>
          <w:u w:val="single"/>
          <w:lang w:eastAsia="zh-CN"/>
        </w:rPr>
        <w:t>竞争性磋商文件</w:t>
      </w:r>
      <w:r>
        <w:rPr>
          <w:rFonts w:hint="eastAsia" w:ascii="宋体" w:hAnsi="宋体" w:eastAsia="宋体" w:cs="宋体"/>
          <w:b/>
          <w:color w:val="auto"/>
          <w:kern w:val="0"/>
          <w:sz w:val="24"/>
          <w:szCs w:val="24"/>
          <w:highlight w:val="none"/>
          <w:u w:val="single"/>
        </w:rPr>
        <w:t>、招标答疑等有关文件；</w:t>
      </w:r>
      <w:r>
        <w:rPr>
          <w:rFonts w:hint="eastAsia" w:ascii="宋体" w:hAnsi="宋体" w:eastAsia="宋体" w:cs="宋体"/>
          <w:b/>
          <w:color w:val="auto"/>
          <w:kern w:val="0"/>
          <w:sz w:val="24"/>
          <w:szCs w:val="24"/>
          <w:highlight w:val="none"/>
          <w:u w:val="single"/>
          <w:lang w:eastAsia="zh-CN"/>
        </w:rPr>
        <w:t>响应文件</w:t>
      </w:r>
      <w:r>
        <w:rPr>
          <w:rFonts w:hint="eastAsia" w:ascii="宋体" w:hAnsi="宋体" w:eastAsia="宋体" w:cs="宋体"/>
          <w:b/>
          <w:color w:val="auto"/>
          <w:kern w:val="0"/>
          <w:sz w:val="24"/>
          <w:szCs w:val="24"/>
          <w:highlight w:val="none"/>
          <w:u w:val="single"/>
        </w:rPr>
        <w:t>及其电子软件版；</w:t>
      </w:r>
      <w:r>
        <w:rPr>
          <w:rFonts w:hint="eastAsia" w:ascii="宋体" w:hAnsi="宋体" w:eastAsia="宋体" w:cs="宋体"/>
          <w:b/>
          <w:color w:val="auto"/>
          <w:kern w:val="0"/>
          <w:sz w:val="24"/>
          <w:szCs w:val="24"/>
          <w:highlight w:val="none"/>
          <w:u w:val="single"/>
          <w:lang w:eastAsia="zh-CN"/>
        </w:rPr>
        <w:t>成交通知书</w:t>
      </w:r>
      <w:r>
        <w:rPr>
          <w:rFonts w:hint="eastAsia" w:ascii="宋体" w:hAnsi="宋体" w:eastAsia="宋体" w:cs="宋体"/>
          <w:b/>
          <w:color w:val="auto"/>
          <w:kern w:val="0"/>
          <w:sz w:val="24"/>
          <w:szCs w:val="24"/>
          <w:highlight w:val="none"/>
          <w:u w:val="single"/>
        </w:rPr>
        <w:t>；工程施工合同及有关会议纪要；图纸会审记录</w:t>
      </w:r>
      <w:r>
        <w:rPr>
          <w:rFonts w:hint="eastAsia" w:ascii="宋体" w:hAnsi="宋体" w:eastAsia="宋体" w:cs="宋体"/>
          <w:b/>
          <w:color w:val="auto"/>
          <w:kern w:val="0"/>
          <w:sz w:val="24"/>
          <w:szCs w:val="24"/>
          <w:highlight w:val="none"/>
          <w:u w:val="single"/>
          <w:lang w:eastAsia="zh-CN"/>
        </w:rPr>
        <w:t>（</w:t>
      </w:r>
      <w:r>
        <w:rPr>
          <w:rFonts w:hint="eastAsia" w:ascii="宋体" w:hAnsi="宋体" w:eastAsia="宋体" w:cs="宋体"/>
          <w:b/>
          <w:color w:val="auto"/>
          <w:kern w:val="0"/>
          <w:sz w:val="24"/>
          <w:szCs w:val="24"/>
          <w:highlight w:val="none"/>
          <w:u w:val="single"/>
          <w:lang w:val="en-US" w:eastAsia="zh-CN"/>
        </w:rPr>
        <w:t>如有</w:t>
      </w:r>
      <w:r>
        <w:rPr>
          <w:rFonts w:hint="eastAsia" w:ascii="宋体" w:hAnsi="宋体" w:eastAsia="宋体" w:cs="宋体"/>
          <w:b/>
          <w:color w:val="auto"/>
          <w:kern w:val="0"/>
          <w:sz w:val="24"/>
          <w:szCs w:val="24"/>
          <w:highlight w:val="none"/>
          <w:u w:val="single"/>
          <w:lang w:eastAsia="zh-CN"/>
        </w:rPr>
        <w:t>）</w:t>
      </w:r>
      <w:r>
        <w:rPr>
          <w:rFonts w:hint="eastAsia" w:ascii="宋体" w:hAnsi="宋体" w:eastAsia="宋体" w:cs="宋体"/>
          <w:b/>
          <w:color w:val="auto"/>
          <w:kern w:val="0"/>
          <w:sz w:val="24"/>
          <w:szCs w:val="24"/>
          <w:highlight w:val="none"/>
          <w:u w:val="single"/>
        </w:rPr>
        <w:t>；设计施工图纸、变更修改图纸</w:t>
      </w:r>
      <w:r>
        <w:rPr>
          <w:rFonts w:hint="eastAsia" w:ascii="宋体" w:hAnsi="宋体" w:eastAsia="宋体" w:cs="宋体"/>
          <w:b/>
          <w:color w:val="auto"/>
          <w:kern w:val="0"/>
          <w:sz w:val="24"/>
          <w:szCs w:val="24"/>
          <w:highlight w:val="none"/>
          <w:u w:val="single"/>
          <w:lang w:eastAsia="zh-CN"/>
        </w:rPr>
        <w:t>（</w:t>
      </w:r>
      <w:r>
        <w:rPr>
          <w:rFonts w:hint="eastAsia" w:ascii="宋体" w:hAnsi="宋体" w:eastAsia="宋体" w:cs="宋体"/>
          <w:b/>
          <w:color w:val="auto"/>
          <w:kern w:val="0"/>
          <w:sz w:val="24"/>
          <w:szCs w:val="24"/>
          <w:highlight w:val="none"/>
          <w:u w:val="single"/>
          <w:lang w:val="en-US" w:eastAsia="zh-CN"/>
        </w:rPr>
        <w:t>如有</w:t>
      </w:r>
      <w:r>
        <w:rPr>
          <w:rFonts w:hint="eastAsia" w:ascii="宋体" w:hAnsi="宋体" w:eastAsia="宋体" w:cs="宋体"/>
          <w:b/>
          <w:color w:val="auto"/>
          <w:kern w:val="0"/>
          <w:sz w:val="24"/>
          <w:szCs w:val="24"/>
          <w:highlight w:val="none"/>
          <w:u w:val="single"/>
          <w:lang w:eastAsia="zh-CN"/>
        </w:rPr>
        <w:t>）</w:t>
      </w:r>
      <w:r>
        <w:rPr>
          <w:rFonts w:hint="eastAsia" w:ascii="宋体" w:hAnsi="宋体" w:eastAsia="宋体" w:cs="宋体"/>
          <w:b/>
          <w:color w:val="auto"/>
          <w:kern w:val="0"/>
          <w:sz w:val="24"/>
          <w:szCs w:val="24"/>
          <w:highlight w:val="none"/>
          <w:u w:val="single"/>
        </w:rPr>
        <w:t>、竣工图纸；设计变更通知单及联系单；施工变更签证；隐蔽工程竣工验收记录；承包人的送审工程结算书；施工组织设计；甲供材料清单（如有），包括品种、数量、单价、金额；开竣工报告；施工过程中发生的经监理、造价公司及发包人共同签批的新增单价或新增材料批价单；工程竣工验收证明书等；累计已实际支付的合同价款；实际应支付的竣工结算款金额</w:t>
      </w:r>
      <w:r>
        <w:rPr>
          <w:rFonts w:hint="eastAsia" w:ascii="宋体" w:hAnsi="宋体" w:eastAsia="宋体" w:cs="宋体"/>
          <w:color w:val="auto"/>
          <w:kern w:val="0"/>
          <w:sz w:val="24"/>
          <w:szCs w:val="24"/>
          <w:highlight w:val="none"/>
        </w:rPr>
        <w:t>。</w:t>
      </w:r>
    </w:p>
    <w:p w14:paraId="20C1102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14.2 竣工结算审核</w:t>
      </w:r>
    </w:p>
    <w:p w14:paraId="104729F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发包人审批竣工结算申请单的期限：</w:t>
      </w:r>
      <w:r>
        <w:rPr>
          <w:rFonts w:hint="eastAsia" w:ascii="宋体" w:hAnsi="宋体" w:eastAsia="宋体" w:cs="宋体"/>
          <w:b/>
          <w:color w:val="auto"/>
          <w:kern w:val="0"/>
          <w:sz w:val="24"/>
          <w:szCs w:val="24"/>
          <w:highlight w:val="none"/>
          <w:u w:val="single"/>
        </w:rPr>
        <w:t>（1）发包人收到承包人提交的工程竣工结算申请资料后14个工作日内对结算资料的完整性进行核实，发包人对竣工结算申请单有异议的，有权要求承包人进行修正和提供补充资料，承包人应提交修正后的竣工结算申请单；（2）经核实的竣工结算申请单由发包人送交给</w:t>
      </w:r>
      <w:r>
        <w:rPr>
          <w:rFonts w:hint="eastAsia" w:ascii="宋体" w:hAnsi="宋体" w:eastAsia="宋体" w:cs="宋体"/>
          <w:b/>
          <w:color w:val="auto"/>
          <w:kern w:val="0"/>
          <w:sz w:val="24"/>
          <w:szCs w:val="24"/>
          <w:highlight w:val="none"/>
          <w:u w:val="single"/>
          <w:lang w:eastAsia="zh-CN"/>
        </w:rPr>
        <w:t>造价咨询单位</w:t>
      </w:r>
      <w:r>
        <w:rPr>
          <w:rFonts w:hint="eastAsia" w:ascii="宋体" w:hAnsi="宋体" w:eastAsia="宋体" w:cs="宋体"/>
          <w:b/>
          <w:color w:val="auto"/>
          <w:kern w:val="0"/>
          <w:sz w:val="24"/>
          <w:szCs w:val="24"/>
          <w:highlight w:val="none"/>
          <w:u w:val="single"/>
        </w:rPr>
        <w:t>审核，</w:t>
      </w:r>
      <w:r>
        <w:rPr>
          <w:rFonts w:hint="eastAsia" w:ascii="宋体" w:hAnsi="宋体" w:eastAsia="宋体" w:cs="宋体"/>
          <w:b/>
          <w:color w:val="auto"/>
          <w:kern w:val="0"/>
          <w:sz w:val="24"/>
          <w:szCs w:val="24"/>
          <w:highlight w:val="none"/>
          <w:u w:val="single"/>
          <w:lang w:eastAsia="zh-CN"/>
        </w:rPr>
        <w:t>造价咨询单位</w:t>
      </w:r>
      <w:r>
        <w:rPr>
          <w:rFonts w:hint="eastAsia" w:ascii="宋体" w:hAnsi="宋体" w:eastAsia="宋体" w:cs="宋体"/>
          <w:b/>
          <w:color w:val="auto"/>
          <w:kern w:val="0"/>
          <w:sz w:val="24"/>
          <w:szCs w:val="24"/>
          <w:highlight w:val="none"/>
          <w:u w:val="single"/>
        </w:rPr>
        <w:t>收到完整的竣工结算申请单之日起</w:t>
      </w:r>
      <w:r>
        <w:rPr>
          <w:rFonts w:hint="eastAsia" w:ascii="宋体" w:hAnsi="宋体" w:eastAsia="宋体" w:cs="宋体"/>
          <w:b/>
          <w:color w:val="auto"/>
          <w:kern w:val="0"/>
          <w:sz w:val="24"/>
          <w:szCs w:val="24"/>
          <w:highlight w:val="none"/>
          <w:u w:val="single"/>
          <w:lang w:val="en-US" w:eastAsia="zh-CN"/>
        </w:rPr>
        <w:t>30</w:t>
      </w:r>
      <w:r>
        <w:rPr>
          <w:rFonts w:hint="eastAsia" w:ascii="宋体" w:hAnsi="宋体" w:eastAsia="宋体" w:cs="宋体"/>
          <w:b/>
          <w:color w:val="auto"/>
          <w:kern w:val="0"/>
          <w:sz w:val="24"/>
          <w:szCs w:val="24"/>
          <w:highlight w:val="none"/>
          <w:u w:val="single"/>
        </w:rPr>
        <w:t>天内完成工程结算审核并向发包人、承包人提交结算审核成果书；（3）发包人对承包人严重不平衡报价项目有调整的权利及承包人对招标清单错误理解的报价；（4）发包人、承包人收到</w:t>
      </w:r>
      <w:r>
        <w:rPr>
          <w:rFonts w:hint="eastAsia" w:ascii="宋体" w:hAnsi="宋体" w:eastAsia="宋体" w:cs="宋体"/>
          <w:b/>
          <w:color w:val="auto"/>
          <w:kern w:val="0"/>
          <w:sz w:val="24"/>
          <w:szCs w:val="24"/>
          <w:highlight w:val="none"/>
          <w:u w:val="single"/>
          <w:lang w:eastAsia="zh-CN"/>
        </w:rPr>
        <w:t>造价咨询单位</w:t>
      </w:r>
      <w:r>
        <w:rPr>
          <w:rFonts w:hint="eastAsia" w:ascii="宋体" w:hAnsi="宋体" w:eastAsia="宋体" w:cs="宋体"/>
          <w:b/>
          <w:color w:val="auto"/>
          <w:kern w:val="0"/>
          <w:sz w:val="24"/>
          <w:szCs w:val="24"/>
          <w:highlight w:val="none"/>
          <w:u w:val="single"/>
        </w:rPr>
        <w:t>提交的结算审核成果书后，经双方确认无异议后签定审核成果定案书，发包人签发竣工付款证书。</w:t>
      </w:r>
    </w:p>
    <w:p w14:paraId="72609055">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rPr>
        <w:t>发包人完成竣工付款的期限</w:t>
      </w:r>
      <w:r>
        <w:rPr>
          <w:rFonts w:hint="eastAsia" w:ascii="宋体" w:hAnsi="宋体" w:eastAsia="宋体" w:cs="宋体"/>
          <w:b/>
          <w:color w:val="auto"/>
          <w:kern w:val="0"/>
          <w:sz w:val="24"/>
          <w:szCs w:val="24"/>
          <w:highlight w:val="none"/>
        </w:rPr>
        <w:t>：</w:t>
      </w:r>
      <w:r>
        <w:rPr>
          <w:rFonts w:hint="eastAsia" w:ascii="宋体" w:hAnsi="宋体" w:eastAsia="宋体" w:cs="宋体"/>
          <w:b/>
          <w:color w:val="auto"/>
          <w:kern w:val="0"/>
          <w:sz w:val="24"/>
          <w:szCs w:val="24"/>
          <w:highlight w:val="none"/>
          <w:u w:val="single"/>
        </w:rPr>
        <w:t>发包人根据资金到位情况完成对承包人的竣工付款。</w:t>
      </w:r>
    </w:p>
    <w:p w14:paraId="20DD681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关于竣工付款证书异议部分复核的方式和程序：</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rPr>
        <w:t>。</w:t>
      </w:r>
    </w:p>
    <w:p w14:paraId="1ED9DE07">
      <w:pPr>
        <w:keepNext w:val="0"/>
        <w:keepLines w:val="0"/>
        <w:pageBreakBefore w:val="0"/>
        <w:kinsoku/>
        <w:wordWrap w:val="0"/>
        <w:overflowPunct/>
        <w:topLinePunct w:val="0"/>
        <w:bidi w:val="0"/>
        <w:spacing w:line="500" w:lineRule="exact"/>
        <w:ind w:left="0" w:leftChars="0" w:firstLine="482"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b/>
          <w:bCs/>
          <w:color w:val="auto"/>
          <w:kern w:val="0"/>
          <w:sz w:val="24"/>
          <w:szCs w:val="24"/>
          <w:highlight w:val="cyan"/>
          <w:lang w:val="en-US" w:eastAsia="zh-CN"/>
        </w:rPr>
        <w:t>本项目由造价咨询单位进行竣工结算审核，结算审核时，审减额小于送审额的5%（不含）时，审核费用由发包人承担；审减额达到送审额的5%（含）-10%（不含）时，审核费用由发包人和承包人各承担50%；审减额大于送审额的10%（含）时，审核费用由承包人全额承担。如承包人须承担审核费用，承包人应在发包人支付工程结算尾款前向造价咨询单位支付其所承担的审核费用。</w:t>
      </w:r>
    </w:p>
    <w:p w14:paraId="39F7C6F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 最终结清</w:t>
      </w:r>
    </w:p>
    <w:p w14:paraId="713CEB1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14.4.1 最终结清申请单</w:t>
      </w:r>
    </w:p>
    <w:p w14:paraId="1604915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承包人提交最终结清申请单的份数：</w:t>
      </w:r>
      <w:r>
        <w:rPr>
          <w:rFonts w:hint="eastAsia" w:ascii="宋体" w:hAnsi="宋体" w:eastAsia="宋体" w:cs="宋体"/>
          <w:b/>
          <w:color w:val="auto"/>
          <w:kern w:val="0"/>
          <w:sz w:val="24"/>
          <w:szCs w:val="24"/>
          <w:highlight w:val="none"/>
          <w:u w:val="single"/>
        </w:rPr>
        <w:t>按发包人要求</w:t>
      </w:r>
      <w:r>
        <w:rPr>
          <w:rFonts w:hint="eastAsia" w:ascii="宋体" w:hAnsi="宋体" w:eastAsia="宋体" w:cs="宋体"/>
          <w:color w:val="auto"/>
          <w:kern w:val="0"/>
          <w:sz w:val="24"/>
          <w:szCs w:val="24"/>
          <w:highlight w:val="none"/>
        </w:rPr>
        <w:t>。</w:t>
      </w:r>
    </w:p>
    <w:p w14:paraId="26A9657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承包人提交最终结算申请单的期限：</w:t>
      </w:r>
      <w:r>
        <w:rPr>
          <w:rFonts w:hint="eastAsia" w:ascii="宋体" w:hAnsi="宋体" w:eastAsia="宋体" w:cs="宋体"/>
          <w:b/>
          <w:color w:val="auto"/>
          <w:kern w:val="0"/>
          <w:sz w:val="24"/>
          <w:szCs w:val="24"/>
          <w:highlight w:val="none"/>
          <w:u w:val="single"/>
        </w:rPr>
        <w:t>按发包人要求</w:t>
      </w:r>
      <w:r>
        <w:rPr>
          <w:rFonts w:hint="eastAsia" w:ascii="宋体" w:hAnsi="宋体" w:eastAsia="宋体" w:cs="宋体"/>
          <w:color w:val="auto"/>
          <w:kern w:val="0"/>
          <w:sz w:val="24"/>
          <w:szCs w:val="24"/>
          <w:highlight w:val="none"/>
        </w:rPr>
        <w:t xml:space="preserve">。 </w:t>
      </w:r>
    </w:p>
    <w:p w14:paraId="5AA76BB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14.4.2 最终结清证书和支付</w:t>
      </w:r>
    </w:p>
    <w:p w14:paraId="30DA6F9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（1）发包人完成最终结清申请单的审批并颁发最终结清证书的期限：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按专用合同条款12.4.4执行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04E104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（2）发包人完成支付的期限：</w:t>
      </w:r>
      <w:r>
        <w:rPr>
          <w:rFonts w:hint="eastAsia" w:ascii="宋体" w:hAnsi="宋体" w:eastAsia="宋体" w:cs="宋体"/>
          <w:b/>
          <w:color w:val="auto"/>
          <w:kern w:val="0"/>
          <w:sz w:val="24"/>
          <w:szCs w:val="24"/>
          <w:highlight w:val="none"/>
          <w:u w:val="single"/>
        </w:rPr>
        <w:t>按专用合同条款12.4.4执行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770"/>
    <w:bookmarkEnd w:id="771"/>
    <w:bookmarkEnd w:id="772"/>
    <w:bookmarkEnd w:id="773"/>
    <w:bookmarkEnd w:id="774"/>
    <w:bookmarkEnd w:id="775"/>
    <w:bookmarkEnd w:id="776"/>
    <w:bookmarkEnd w:id="782"/>
    <w:p w14:paraId="55DD4FEF">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784" w:name="_Toc351203647"/>
      <w:bookmarkStart w:id="785" w:name="_Toc267251483"/>
      <w:bookmarkStart w:id="786" w:name="_Toc267251484"/>
      <w:bookmarkStart w:id="787" w:name="_Toc267251482"/>
      <w:bookmarkStart w:id="788" w:name="_Toc267251485"/>
      <w:bookmarkStart w:id="789" w:name="_Toc267251488"/>
      <w:bookmarkStart w:id="790" w:name="_Toc267251486"/>
      <w:bookmarkStart w:id="791" w:name="_Toc267251490"/>
      <w:bookmarkStart w:id="792" w:name="_Toc267251489"/>
      <w:bookmarkStart w:id="793" w:name="_Toc267251495"/>
      <w:bookmarkStart w:id="794" w:name="_Toc267251494"/>
      <w:bookmarkStart w:id="795" w:name="_Toc267251499"/>
      <w:bookmarkStart w:id="796" w:name="_Toc267251502"/>
      <w:bookmarkStart w:id="797" w:name="_Toc267251498"/>
      <w:bookmarkStart w:id="798" w:name="_Toc267251501"/>
      <w:bookmarkStart w:id="799" w:name="_Toc267251491"/>
      <w:bookmarkStart w:id="800" w:name="_Toc267251496"/>
      <w:bookmarkStart w:id="801" w:name="_Toc267251503"/>
      <w:bookmarkStart w:id="802" w:name="_Toc267251493"/>
      <w:bookmarkStart w:id="803" w:name="_Toc267251492"/>
      <w:bookmarkStart w:id="804" w:name="_Toc267251497"/>
      <w:bookmarkStart w:id="805" w:name="_Toc267251504"/>
      <w:bookmarkStart w:id="806" w:name="_Toc267251506"/>
      <w:bookmarkStart w:id="807" w:name="_Toc267251507"/>
      <w:bookmarkStart w:id="808" w:name="_Toc267251508"/>
      <w:bookmarkStart w:id="809" w:name="_Toc267251510"/>
      <w:bookmarkStart w:id="810" w:name="_Toc267251509"/>
      <w:bookmarkStart w:id="811" w:name="_Toc267251515"/>
      <w:bookmarkStart w:id="812" w:name="_Toc267251513"/>
      <w:bookmarkStart w:id="813" w:name="_Toc267251511"/>
      <w:bookmarkStart w:id="814" w:name="_Toc267251514"/>
      <w:r>
        <w:rPr>
          <w:rFonts w:hint="eastAsia" w:ascii="宋体" w:hAnsi="宋体" w:eastAsia="宋体" w:cs="宋体"/>
          <w:color w:val="auto"/>
          <w:kern w:val="0"/>
          <w:sz w:val="24"/>
          <w:szCs w:val="24"/>
          <w:highlight w:val="none"/>
        </w:rPr>
        <w:t>15. 缺陷责任期与保修</w:t>
      </w:r>
      <w:bookmarkEnd w:id="784"/>
    </w:p>
    <w:p w14:paraId="01D26BA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15.2缺陷责任期</w:t>
      </w:r>
      <w:bookmarkEnd w:id="785"/>
    </w:p>
    <w:p w14:paraId="773DCB0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缺陷责任期的具体期限：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24个月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786"/>
    <w:bookmarkEnd w:id="787"/>
    <w:p w14:paraId="76BB985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质量保证金</w:t>
      </w:r>
    </w:p>
    <w:p w14:paraId="453FAD9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承包人是否提供</w:t>
      </w:r>
      <w:r>
        <w:rPr>
          <w:rFonts w:hint="eastAsia" w:ascii="宋体" w:hAnsi="宋体" w:eastAsia="宋体" w:cs="宋体"/>
          <w:color w:val="auto"/>
          <w:sz w:val="24"/>
          <w:szCs w:val="24"/>
          <w:highlight w:val="none"/>
          <w:lang w:val="en-US" w:eastAsia="zh-CN"/>
        </w:rPr>
        <w:t>质量保证金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FBB359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承包人提供</w:t>
      </w:r>
      <w:r>
        <w:rPr>
          <w:rFonts w:hint="eastAsia" w:ascii="宋体" w:hAnsi="宋体" w:eastAsia="宋体" w:cs="宋体"/>
          <w:color w:val="auto"/>
          <w:sz w:val="24"/>
          <w:szCs w:val="24"/>
          <w:highlight w:val="none"/>
          <w:lang w:val="en-US" w:eastAsia="zh-CN"/>
        </w:rPr>
        <w:t>质量保证金</w:t>
      </w:r>
      <w:r>
        <w:rPr>
          <w:rFonts w:hint="eastAsia" w:ascii="宋体" w:hAnsi="宋体" w:eastAsia="宋体" w:cs="宋体"/>
          <w:color w:val="auto"/>
          <w:sz w:val="24"/>
          <w:szCs w:val="24"/>
          <w:highlight w:val="none"/>
        </w:rPr>
        <w:t>的形式、金额及期限：</w:t>
      </w:r>
    </w:p>
    <w:p w14:paraId="0B7E48BA">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b w:val="0"/>
          <w:bCs w:val="0"/>
          <w:color w:val="auto"/>
          <w:kern w:val="0"/>
          <w:sz w:val="24"/>
          <w:szCs w:val="24"/>
          <w:highlight w:val="none"/>
          <w:u w:val="none"/>
          <w:lang w:val="zh-CN"/>
        </w:rPr>
      </w:pPr>
      <w:r>
        <w:rPr>
          <w:rFonts w:hint="eastAsia" w:ascii="宋体" w:hAnsi="宋体" w:eastAsia="宋体" w:cs="宋体"/>
          <w:b w:val="0"/>
          <w:bCs w:val="0"/>
          <w:color w:val="auto"/>
          <w:kern w:val="0"/>
          <w:sz w:val="24"/>
          <w:szCs w:val="24"/>
          <w:highlight w:val="none"/>
          <w:u w:val="none"/>
          <w:lang w:val="en-US" w:eastAsia="zh-CN"/>
        </w:rPr>
        <w:t>①</w:t>
      </w:r>
      <w:r>
        <w:rPr>
          <w:rFonts w:hint="eastAsia" w:ascii="宋体" w:hAnsi="宋体" w:eastAsia="宋体" w:cs="宋体"/>
          <w:b w:val="0"/>
          <w:bCs w:val="0"/>
          <w:color w:val="auto"/>
          <w:kern w:val="0"/>
          <w:sz w:val="24"/>
          <w:szCs w:val="24"/>
          <w:highlight w:val="none"/>
          <w:u w:val="none"/>
          <w:lang w:val="zh-CN" w:eastAsia="zh-CN"/>
        </w:rPr>
        <w:t>质量保证金</w:t>
      </w:r>
      <w:r>
        <w:rPr>
          <w:rFonts w:hint="eastAsia" w:ascii="宋体" w:hAnsi="宋体" w:eastAsia="宋体" w:cs="宋体"/>
          <w:b w:val="0"/>
          <w:bCs w:val="0"/>
          <w:color w:val="auto"/>
          <w:kern w:val="0"/>
          <w:sz w:val="24"/>
          <w:szCs w:val="24"/>
          <w:highlight w:val="none"/>
          <w:u w:val="none"/>
          <w:lang w:val="zh-CN"/>
        </w:rPr>
        <w:t>的形式：</w:t>
      </w:r>
      <w:r>
        <w:rPr>
          <w:rFonts w:hint="eastAsia" w:ascii="宋体" w:hAnsi="宋体" w:eastAsia="宋体" w:cs="宋体"/>
          <w:b/>
          <w:bCs/>
          <w:color w:val="auto"/>
          <w:kern w:val="0"/>
          <w:sz w:val="24"/>
          <w:szCs w:val="24"/>
          <w:highlight w:val="none"/>
          <w:u w:val="single"/>
          <w:lang w:val="zh-CN"/>
        </w:rPr>
        <w:t>银行转账</w:t>
      </w:r>
      <w:r>
        <w:rPr>
          <w:rFonts w:hint="eastAsia" w:ascii="宋体" w:hAnsi="宋体" w:eastAsia="宋体" w:cs="宋体"/>
          <w:b w:val="0"/>
          <w:bCs w:val="0"/>
          <w:color w:val="auto"/>
          <w:kern w:val="0"/>
          <w:sz w:val="24"/>
          <w:szCs w:val="24"/>
          <w:highlight w:val="none"/>
          <w:u w:val="none"/>
          <w:lang w:val="zh-CN"/>
        </w:rPr>
        <w:t>。</w:t>
      </w:r>
    </w:p>
    <w:p w14:paraId="1FD8A746">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b w:val="0"/>
          <w:bCs w:val="0"/>
          <w:color w:val="auto"/>
          <w:kern w:val="0"/>
          <w:sz w:val="24"/>
          <w:szCs w:val="24"/>
          <w:highlight w:val="none"/>
          <w:u w:val="none"/>
          <w:lang w:val="zh-CN"/>
        </w:rPr>
      </w:pPr>
      <w:r>
        <w:rPr>
          <w:rFonts w:hint="eastAsia" w:ascii="宋体" w:hAnsi="宋体" w:eastAsia="宋体" w:cs="宋体"/>
          <w:b w:val="0"/>
          <w:bCs w:val="0"/>
          <w:color w:val="auto"/>
          <w:kern w:val="0"/>
          <w:sz w:val="24"/>
          <w:szCs w:val="24"/>
          <w:highlight w:val="none"/>
          <w:u w:val="none"/>
          <w:lang w:val="en-US" w:eastAsia="zh-CN"/>
        </w:rPr>
        <w:t>②</w:t>
      </w:r>
      <w:r>
        <w:rPr>
          <w:rFonts w:hint="eastAsia" w:ascii="宋体" w:hAnsi="宋体" w:eastAsia="宋体" w:cs="宋体"/>
          <w:b w:val="0"/>
          <w:bCs w:val="0"/>
          <w:color w:val="auto"/>
          <w:kern w:val="0"/>
          <w:sz w:val="24"/>
          <w:szCs w:val="24"/>
          <w:highlight w:val="none"/>
          <w:u w:val="none"/>
          <w:lang w:val="zh-CN" w:eastAsia="zh-CN"/>
        </w:rPr>
        <w:t>质量保证金</w:t>
      </w:r>
      <w:r>
        <w:rPr>
          <w:rFonts w:hint="eastAsia" w:ascii="宋体" w:hAnsi="宋体" w:eastAsia="宋体" w:cs="宋体"/>
          <w:b w:val="0"/>
          <w:bCs w:val="0"/>
          <w:color w:val="auto"/>
          <w:kern w:val="0"/>
          <w:sz w:val="24"/>
          <w:szCs w:val="24"/>
          <w:highlight w:val="none"/>
          <w:u w:val="none"/>
          <w:lang w:val="zh-CN"/>
        </w:rPr>
        <w:t>的金额：</w:t>
      </w:r>
      <w:r>
        <w:rPr>
          <w:rFonts w:hint="eastAsia" w:ascii="宋体" w:hAnsi="宋体" w:eastAsia="宋体" w:cs="宋体"/>
          <w:b/>
          <w:bCs/>
          <w:color w:val="auto"/>
          <w:kern w:val="0"/>
          <w:sz w:val="24"/>
          <w:szCs w:val="24"/>
          <w:highlight w:val="none"/>
          <w:u w:val="single"/>
          <w:lang w:val="zh-CN" w:eastAsia="zh-CN"/>
        </w:rPr>
        <w:t>按工程价款结算总额的3%交纳。</w:t>
      </w:r>
    </w:p>
    <w:p w14:paraId="6DC4AA0B">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b w:val="0"/>
          <w:bCs w:val="0"/>
          <w:color w:val="auto"/>
          <w:kern w:val="0"/>
          <w:sz w:val="24"/>
          <w:szCs w:val="24"/>
          <w:highlight w:val="none"/>
          <w:u w:val="single"/>
          <w:lang w:val="en-US" w:eastAsia="zh-CN"/>
        </w:rPr>
      </w:pPr>
      <w:r>
        <w:rPr>
          <w:rFonts w:hint="eastAsia" w:ascii="宋体" w:hAnsi="宋体" w:eastAsia="宋体" w:cs="宋体"/>
          <w:b w:val="0"/>
          <w:bCs w:val="0"/>
          <w:color w:val="auto"/>
          <w:kern w:val="0"/>
          <w:sz w:val="24"/>
          <w:szCs w:val="24"/>
          <w:highlight w:val="none"/>
          <w:u w:val="none"/>
          <w:lang w:val="en-US" w:eastAsia="zh-CN"/>
        </w:rPr>
        <w:t>③</w:t>
      </w:r>
      <w:r>
        <w:rPr>
          <w:rFonts w:hint="eastAsia" w:ascii="宋体" w:hAnsi="宋体" w:eastAsia="宋体" w:cs="宋体"/>
          <w:b w:val="0"/>
          <w:bCs w:val="0"/>
          <w:color w:val="auto"/>
          <w:kern w:val="0"/>
          <w:sz w:val="24"/>
          <w:szCs w:val="24"/>
          <w:highlight w:val="none"/>
          <w:u w:val="none"/>
          <w:lang w:val="zh-CN" w:eastAsia="zh-CN"/>
        </w:rPr>
        <w:t>质量保证金</w:t>
      </w:r>
      <w:r>
        <w:rPr>
          <w:rFonts w:hint="eastAsia" w:ascii="宋体" w:hAnsi="宋体" w:eastAsia="宋体" w:cs="宋体"/>
          <w:b w:val="0"/>
          <w:bCs w:val="0"/>
          <w:color w:val="auto"/>
          <w:kern w:val="0"/>
          <w:sz w:val="24"/>
          <w:szCs w:val="24"/>
          <w:highlight w:val="none"/>
          <w:u w:val="none"/>
          <w:lang w:val="en-US" w:eastAsia="zh-CN"/>
        </w:rPr>
        <w:t>的交纳时间：</w:t>
      </w:r>
      <w:r>
        <w:rPr>
          <w:rFonts w:hint="eastAsia" w:ascii="宋体" w:hAnsi="宋体" w:eastAsia="宋体" w:cs="宋体"/>
          <w:b/>
          <w:bCs/>
          <w:color w:val="auto"/>
          <w:kern w:val="0"/>
          <w:sz w:val="24"/>
          <w:szCs w:val="24"/>
          <w:highlight w:val="none"/>
          <w:u w:val="single"/>
          <w:lang w:val="en-US" w:eastAsia="zh-CN"/>
        </w:rPr>
        <w:t>工程竣工验收合格且工程竣工结算审核完成后5个工作日内将质量保证金转账至向发包人指定账户</w:t>
      </w:r>
      <w:r>
        <w:rPr>
          <w:rFonts w:hint="eastAsia" w:ascii="宋体" w:hAnsi="宋体" w:eastAsia="宋体" w:cs="宋体"/>
          <w:b w:val="0"/>
          <w:bCs w:val="0"/>
          <w:color w:val="auto"/>
          <w:kern w:val="0"/>
          <w:sz w:val="24"/>
          <w:szCs w:val="24"/>
          <w:highlight w:val="none"/>
          <w:u w:val="none"/>
          <w:lang w:val="zh-CN"/>
        </w:rPr>
        <w:t>。</w:t>
      </w:r>
    </w:p>
    <w:p w14:paraId="6F6597FB">
      <w:pPr>
        <w:keepNext w:val="0"/>
        <w:keepLines w:val="0"/>
        <w:pageBreakBefore w:val="0"/>
        <w:kinsoku/>
        <w:wordWrap w:val="0"/>
        <w:overflowPunct/>
        <w:topLinePunct w:val="0"/>
        <w:autoSpaceDE w:val="0"/>
        <w:autoSpaceDN w:val="0"/>
        <w:bidi w:val="0"/>
        <w:adjustRightInd w:val="0"/>
        <w:spacing w:line="50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sz w:val="24"/>
          <w:szCs w:val="24"/>
          <w:highlight w:val="none"/>
        </w:rPr>
        <w:t>质量保证金</w:t>
      </w:r>
      <w:r>
        <w:rPr>
          <w:rFonts w:hint="eastAsia" w:ascii="宋体" w:hAnsi="宋体" w:eastAsia="宋体" w:cs="宋体"/>
          <w:b w:val="0"/>
          <w:bCs w:val="0"/>
          <w:color w:val="auto"/>
          <w:kern w:val="0"/>
          <w:sz w:val="24"/>
          <w:szCs w:val="24"/>
          <w:highlight w:val="none"/>
        </w:rPr>
        <w:t>的退还</w:t>
      </w:r>
    </w:p>
    <w:p w14:paraId="048F6363">
      <w:pPr>
        <w:keepNext w:val="0"/>
        <w:keepLines w:val="0"/>
        <w:pageBreakBefore w:val="0"/>
        <w:kinsoku/>
        <w:wordWrap w:val="0"/>
        <w:overflowPunct/>
        <w:topLinePunct w:val="0"/>
        <w:autoSpaceDE w:val="0"/>
        <w:autoSpaceDN w:val="0"/>
        <w:bidi w:val="0"/>
        <w:adjustRightInd w:val="0"/>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缺陷责任期内，</w:t>
      </w:r>
      <w:r>
        <w:rPr>
          <w:rFonts w:hint="eastAsia" w:ascii="宋体" w:hAnsi="宋体" w:eastAsia="宋体" w:cs="宋体"/>
          <w:b w:val="0"/>
          <w:bCs w:val="0"/>
          <w:color w:val="auto"/>
          <w:kern w:val="0"/>
          <w:sz w:val="24"/>
          <w:szCs w:val="24"/>
          <w:highlight w:val="none"/>
          <w:u w:val="none"/>
          <w:lang w:val="zh-CN"/>
        </w:rPr>
        <w:t>如果承包人不</w:t>
      </w:r>
      <w:r>
        <w:rPr>
          <w:rFonts w:hint="eastAsia" w:ascii="宋体" w:hAnsi="宋体" w:eastAsia="宋体" w:cs="宋体"/>
          <w:color w:val="auto"/>
          <w:kern w:val="0"/>
          <w:sz w:val="24"/>
          <w:szCs w:val="24"/>
          <w:highlight w:val="none"/>
        </w:rPr>
        <w:t>履行缺陷修补</w:t>
      </w:r>
      <w:r>
        <w:rPr>
          <w:rFonts w:hint="eastAsia" w:ascii="宋体" w:hAnsi="宋体" w:eastAsia="宋体" w:cs="宋体"/>
          <w:b w:val="0"/>
          <w:bCs w:val="0"/>
          <w:color w:val="auto"/>
          <w:kern w:val="0"/>
          <w:sz w:val="24"/>
          <w:szCs w:val="24"/>
          <w:highlight w:val="none"/>
          <w:u w:val="none"/>
          <w:lang w:val="zh-CN"/>
        </w:rPr>
        <w:t>的约定，发包人有权扣划相应金额的</w:t>
      </w:r>
      <w:r>
        <w:rPr>
          <w:rFonts w:hint="eastAsia" w:ascii="宋体" w:hAnsi="宋体" w:eastAsia="宋体" w:cs="宋体"/>
          <w:b w:val="0"/>
          <w:bCs w:val="0"/>
          <w:color w:val="auto"/>
          <w:kern w:val="0"/>
          <w:sz w:val="24"/>
          <w:szCs w:val="24"/>
          <w:highlight w:val="none"/>
          <w:u w:val="none"/>
          <w:lang w:val="zh-CN" w:eastAsia="zh-CN"/>
        </w:rPr>
        <w:t>质量保证金</w:t>
      </w:r>
      <w:r>
        <w:rPr>
          <w:rFonts w:hint="eastAsia" w:ascii="宋体" w:hAnsi="宋体" w:eastAsia="宋体" w:cs="宋体"/>
          <w:b w:val="0"/>
          <w:bCs w:val="0"/>
          <w:color w:val="auto"/>
          <w:kern w:val="0"/>
          <w:sz w:val="24"/>
          <w:szCs w:val="24"/>
          <w:highlight w:val="none"/>
          <w:u w:val="none"/>
          <w:lang w:val="zh-CN"/>
        </w:rPr>
        <w:t>。</w:t>
      </w:r>
      <w:r>
        <w:rPr>
          <w:rFonts w:hint="eastAsia" w:ascii="宋体" w:hAnsi="宋体" w:eastAsia="宋体" w:cs="宋体"/>
          <w:color w:val="auto"/>
          <w:kern w:val="0"/>
          <w:sz w:val="24"/>
          <w:szCs w:val="24"/>
          <w:highlight w:val="none"/>
        </w:rPr>
        <w:t>承包人认真履行合同约定的责任，到期后，承包人可向发包人申请返还保证金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工程无质量问题或质量缺陷全部处理完毕后，</w:t>
      </w:r>
      <w:r>
        <w:rPr>
          <w:rFonts w:hint="eastAsia" w:ascii="宋体" w:hAnsi="宋体" w:eastAsia="宋体" w:cs="宋体"/>
          <w:b w:val="0"/>
          <w:bCs w:val="0"/>
          <w:color w:val="auto"/>
          <w:kern w:val="0"/>
          <w:sz w:val="24"/>
          <w:szCs w:val="24"/>
          <w:highlight w:val="none"/>
          <w:u w:val="none"/>
          <w:lang w:val="zh-CN"/>
        </w:rPr>
        <w:t>发包人无息返还剩余部分</w:t>
      </w:r>
      <w:r>
        <w:rPr>
          <w:rFonts w:hint="eastAsia" w:ascii="宋体" w:hAnsi="宋体" w:eastAsia="宋体" w:cs="宋体"/>
          <w:b w:val="0"/>
          <w:bCs w:val="0"/>
          <w:color w:val="auto"/>
          <w:kern w:val="0"/>
          <w:sz w:val="24"/>
          <w:szCs w:val="24"/>
          <w:highlight w:val="none"/>
          <w:u w:val="none"/>
          <w:lang w:val="zh-CN" w:eastAsia="zh-CN"/>
        </w:rPr>
        <w:t>质量保证金</w:t>
      </w:r>
      <w:r>
        <w:rPr>
          <w:rFonts w:hint="eastAsia" w:ascii="宋体" w:hAnsi="宋体" w:eastAsia="宋体" w:cs="宋体"/>
          <w:b w:val="0"/>
          <w:bCs w:val="0"/>
          <w:color w:val="auto"/>
          <w:kern w:val="0"/>
          <w:sz w:val="24"/>
          <w:szCs w:val="24"/>
          <w:highlight w:val="none"/>
          <w:u w:val="none"/>
          <w:lang w:val="en-US" w:eastAsia="zh-CN"/>
        </w:rPr>
        <w:t>。</w:t>
      </w:r>
    </w:p>
    <w:p w14:paraId="00086D8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15.4保修</w:t>
      </w:r>
    </w:p>
    <w:bookmarkEnd w:id="788"/>
    <w:p w14:paraId="51091A9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15.4.1 保修责任</w:t>
      </w:r>
    </w:p>
    <w:p w14:paraId="6EFEFCB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工程保修期为：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见工程质量保修书 </w:t>
      </w:r>
      <w:r>
        <w:rPr>
          <w:rFonts w:hint="eastAsia" w:ascii="宋体" w:hAnsi="宋体" w:eastAsia="宋体" w:cs="宋体"/>
          <w:color w:val="auto"/>
          <w:kern w:val="0"/>
          <w:sz w:val="24"/>
          <w:szCs w:val="24"/>
          <w:highlight w:val="none"/>
        </w:rPr>
        <w:t>。</w:t>
      </w:r>
    </w:p>
    <w:p w14:paraId="07E53E4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15.4.3 修复通知</w:t>
      </w:r>
    </w:p>
    <w:p w14:paraId="42ADF1E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承包人收到保修通知并到达工程现场的合理时间：</w:t>
      </w:r>
      <w:r>
        <w:rPr>
          <w:rFonts w:hint="eastAsia" w:ascii="宋体" w:hAnsi="宋体" w:eastAsia="宋体" w:cs="宋体"/>
          <w:b/>
          <w:color w:val="auto"/>
          <w:kern w:val="0"/>
          <w:sz w:val="24"/>
          <w:szCs w:val="24"/>
          <w:highlight w:val="none"/>
          <w:u w:val="single"/>
        </w:rPr>
        <w:t>24小时</w:t>
      </w:r>
      <w:r>
        <w:rPr>
          <w:rFonts w:hint="eastAsia" w:ascii="宋体" w:hAnsi="宋体" w:eastAsia="宋体" w:cs="宋体"/>
          <w:color w:val="auto"/>
          <w:kern w:val="0"/>
          <w:sz w:val="24"/>
          <w:szCs w:val="24"/>
          <w:highlight w:val="none"/>
        </w:rPr>
        <w:t>。</w:t>
      </w:r>
    </w:p>
    <w:bookmarkEnd w:id="789"/>
    <w:bookmarkEnd w:id="790"/>
    <w:bookmarkEnd w:id="791"/>
    <w:bookmarkEnd w:id="792"/>
    <w:p w14:paraId="09919AE2">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815" w:name="_Toc351203648"/>
      <w:bookmarkStart w:id="816" w:name="_Toc280868717"/>
      <w:bookmarkStart w:id="817" w:name="_Toc280868718"/>
      <w:r>
        <w:rPr>
          <w:rFonts w:hint="eastAsia" w:ascii="宋体" w:hAnsi="宋体" w:eastAsia="宋体" w:cs="宋体"/>
          <w:color w:val="auto"/>
          <w:kern w:val="0"/>
          <w:sz w:val="24"/>
          <w:szCs w:val="24"/>
          <w:highlight w:val="none"/>
        </w:rPr>
        <w:t>16. 违约</w:t>
      </w:r>
      <w:bookmarkEnd w:id="815"/>
    </w:p>
    <w:p w14:paraId="0930F7F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 发包人违约</w:t>
      </w:r>
    </w:p>
    <w:p w14:paraId="6A0F351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16.1.1发包人违约的情形</w:t>
      </w:r>
    </w:p>
    <w:p w14:paraId="5FA49B0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发包人违约的其他情形：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7A48C4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16.1.2 发包人违约的责任</w:t>
      </w:r>
    </w:p>
    <w:p w14:paraId="7F1BFDC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发包人违约责任的承担方式和计算方法：</w:t>
      </w:r>
    </w:p>
    <w:p w14:paraId="0F93FE7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（1）因发包人原因未能在计划开工日期前7天内下达开工通知的违约责任：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 xml:space="preserve">工期顺延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28C69D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（2）因发包人原因未能按合同约定支付合同价款的违约责任：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 xml:space="preserve"> 签订合同时双方另行约定</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373428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（3）发包人违反第10.1款〔变更的范围〕第（2）项约定，自行实施被取消的工作或转由他人实施的违约责任：</w:t>
      </w:r>
      <w:r>
        <w:rPr>
          <w:rFonts w:hint="eastAsia" w:ascii="宋体" w:hAnsi="宋体" w:eastAsia="宋体" w:cs="宋体"/>
          <w:b/>
          <w:color w:val="auto"/>
          <w:kern w:val="0"/>
          <w:sz w:val="24"/>
          <w:szCs w:val="24"/>
          <w:highlight w:val="none"/>
          <w:u w:val="single"/>
        </w:rPr>
        <w:t xml:space="preserve"> 发包人应承担因其违约给承包人增加的费用 </w:t>
      </w:r>
      <w:r>
        <w:rPr>
          <w:rFonts w:hint="eastAsia" w:ascii="宋体" w:hAnsi="宋体" w:eastAsia="宋体" w:cs="宋体"/>
          <w:color w:val="auto"/>
          <w:kern w:val="0"/>
          <w:sz w:val="24"/>
          <w:szCs w:val="24"/>
          <w:highlight w:val="none"/>
        </w:rPr>
        <w:t>。</w:t>
      </w:r>
    </w:p>
    <w:p w14:paraId="0B5B557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发包人应承担因其违约给承包人增加的费用</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CBCAA1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（5）因发包人违反合同约定造成暂停施工的违约责任：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DD15C0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（6）发包人无正当理由没有在约定期限内发出复工指示，导致承包人无法复工的违约责任：</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w:t>
      </w:r>
    </w:p>
    <w:p w14:paraId="3F5C65B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（7）其他：</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D35BB7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16.1.3 因发包人违约解除合同</w:t>
      </w:r>
    </w:p>
    <w:p w14:paraId="25566339">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w:t>
      </w:r>
      <w:r>
        <w:rPr>
          <w:rFonts w:hint="eastAsia" w:ascii="宋体" w:hAnsi="宋体" w:eastAsia="宋体" w:cs="宋体"/>
          <w:color w:val="auto"/>
          <w:kern w:val="0"/>
          <w:sz w:val="24"/>
          <w:szCs w:val="24"/>
          <w:highlight w:val="none"/>
          <w:lang w:val="en-US" w:eastAsia="zh-CN"/>
        </w:rPr>
        <w:t>第</w:t>
      </w:r>
      <w:r>
        <w:rPr>
          <w:rFonts w:hint="eastAsia" w:ascii="宋体" w:hAnsi="宋体" w:eastAsia="宋体" w:cs="宋体"/>
          <w:color w:val="auto"/>
          <w:kern w:val="0"/>
          <w:sz w:val="24"/>
          <w:szCs w:val="24"/>
          <w:highlight w:val="none"/>
        </w:rPr>
        <w:t>16.1.1项〔发包人违约的情形〕约定暂停施工满</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天后发包人仍不纠正其违约行为并致使合同目的不能实现的，承包人有权解除合同。</w:t>
      </w:r>
    </w:p>
    <w:p w14:paraId="1F81AAA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 承包人违约</w:t>
      </w:r>
    </w:p>
    <w:p w14:paraId="21E3F46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16.2.1 承包人违约的情形</w:t>
      </w:r>
    </w:p>
    <w:p w14:paraId="0CB28FA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（8）承包人未能按照合同约定履行其他义务：</w:t>
      </w:r>
    </w:p>
    <w:p w14:paraId="067FD77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①承包人未按合同文件的规定或承包人的承诺组织主要施工设备和工程技术及管理人员进场；或者未经发包人和监理人批准，承包人私自将已按合同规定进入施工场地的施工设备、临时设施或材料撤离施工场地。承包人项目经理或技术负责人、安全负责人未经发包人同意擅自离开工地。除不可抗力因素外，无论任何原因，承包人无权停工，否则视为违约。</w:t>
      </w:r>
    </w:p>
    <w:p w14:paraId="65C9628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②本项目未能按合同约定支付合同价款的，承包人保证工程不停工、如期推进，在此时间内未经发包人书面同意，承包人无权停工，否则视为违约。  </w:t>
      </w:r>
    </w:p>
    <w:p w14:paraId="578DF31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16.2.2 承包人违约的责任</w:t>
      </w:r>
    </w:p>
    <w:p w14:paraId="7176504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本合同中关于承包人违约的具体责任如下：</w:t>
      </w:r>
    </w:p>
    <w:p w14:paraId="61EE269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违反合同约定延期开工的，每延迟开工1天，应给发包人支付本工程签约合同价的5‰的违约金，但最多不超过签约合同价的10%；迟延开工超过7天的，发包人有权解除合同，将本工程另行发包，并不免除承包人的违约赔偿责任。</w:t>
      </w:r>
    </w:p>
    <w:p w14:paraId="4B6497C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（2）承包人违反合同约定，造成一般节点工期延误时，发包人有权视严重程度做出一般违约至解除合同的违约处罚。造成发包人经济损失的，承包人应据实赔偿。</w:t>
      </w:r>
    </w:p>
    <w:p w14:paraId="7FCFC7C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因承包人原因造成单项工程未能通过竣工验收，按该单项工程造价的15%承担违约金。同时，应无条件负责返工、修复、重做直至验收合同为止，由此造成工期延误的，违约金按专用合同条款第7.5.2项另行计算并累加。如果发包人认为需要交由第三方处理返工、修复、重做等事项的，由此发生全部费用由承包人承担。</w:t>
      </w:r>
    </w:p>
    <w:p w14:paraId="4CD0A22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（4）如果工程验收时的施工质量没有达到一次验收合格率100%，按专用合同条款第13.2.6项执行。</w:t>
      </w:r>
    </w:p>
    <w:p w14:paraId="0352E7C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承包人的施工行为，包括工程质量不合格造成对发包人或其他第三人损害的（包括在施工过程中和使用过程中造成的损害），由承包人负责赔偿发包人或第三人的损失。承包人因履行本合同而造成自己及其所派人员受到任何人身伤害、死亡或者发生各种经济损失，其赔偿责任均由承包人承担。</w:t>
      </w:r>
    </w:p>
    <w:p w14:paraId="4B9CA01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人的工程费拨付之前，承包人保证工程正常施工、如期推进。整个合同履行期间，承包人应采取相应措施保证农民工工资、材料款、设备租用款等各项费用按时支付，并妥善处理好劳资、材料、设备采购纠纷、施工安全责任问题，确保不发生农民工或材料供应商上访、非法集结等事件；如有发生，甲、乙双方视情况协商解决，承包人需按合同价的</w:t>
      </w:r>
      <w:r>
        <w:rPr>
          <w:rFonts w:hint="eastAsia" w:ascii="宋体" w:hAnsi="宋体" w:eastAsia="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向发包人支付违约金，情节特别严重时，发包人有权根据实际情节解除合同。</w:t>
      </w:r>
    </w:p>
    <w:p w14:paraId="58F5F21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（7）承包人擅自转包或违法分包工程的，发包人有权单方部分解除合同或解除合同，由此而造成的经济损失由承包人负责赔偿。</w:t>
      </w:r>
    </w:p>
    <w:p w14:paraId="5BE862C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（8）人员和设备投入不到位的违约责任</w:t>
      </w:r>
    </w:p>
    <w:p w14:paraId="3A8342D3">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①承包人违反专用合同条款约定的，每发现一例，承包人必须按照总监理工程师或发包人的指令限期改正，并承担一般违约责任；承包人拒不限期改正的，必须承担严重违约责任，直至部分或全部解除合同。</w:t>
      </w:r>
    </w:p>
    <w:p w14:paraId="1EC8119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承包人必须服从监理单位及发包人的管理，主动支持监理单位发包人的工作，对监理单位及发包人的指令，若无正当理由而公开或变相拒不执行的，发包人有权视情节严重程度给予一般违约及以上的处罚，由此造成的一切经济损失由承包人承担。</w:t>
      </w:r>
    </w:p>
    <w:p w14:paraId="5DBF429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③承包人的项目经理或技术负责人必须参加监理单位或发包人主持的工程例会和其他要求的专题会议。除获得监理单位或发包人批准外，每缺席1次，承包人须承担1次一般违约责任。</w:t>
      </w:r>
    </w:p>
    <w:p w14:paraId="6067FFE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（9）农民工工资支付方面的违约责任</w:t>
      </w:r>
    </w:p>
    <w:p w14:paraId="5A915AF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承包人违反本合同关于农民工工资支付的规定，被农民工投诉属实的，承包人必须在3天内予以发放拖欠的款项。若继续拖延被投诉2次及以上，经查实，承包人必须承担一般违约责任1次。同时，每发生一起类似事件，须向发包人交纳违约金人民币10万元／次。若仍然不予整改并发放拖欠的款项，使农民工采取停工、集聚围阻发包人办公地点甚至政府办公部门等行动的，承包人必须承担严重违约责任，并立即采取切实有效措施予以整改，同时须向发包人交纳罚金人民币15万元／次；拒不采取切实有效的措施整改的，或整改效果不明显的，发包人有权部分或全部解除合同，并要求承包人赔偿由此造成的损失。</w:t>
      </w:r>
    </w:p>
    <w:p w14:paraId="05C0000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承包人发生拖欠、克扣农民工工资行为的，由人力资源社会保障行政部门责令承包人限期支付。逾期未支付的，人力资源社会保障行政部门向承包人开具划支农民工工资保证金书面通知，由承包人在人力资源社会保障行政部门组织和监督下，使用农民工工资保证金支付被拖欠、克扣的农民工工资，并按照《劳动保障监察条例》的有关规定处理。</w:t>
      </w:r>
    </w:p>
    <w:p w14:paraId="04B30D7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（10）承包人违约责任的承担方式和计算方法：</w:t>
      </w:r>
      <w:r>
        <w:rPr>
          <w:rFonts w:hint="eastAsia" w:ascii="宋体" w:hAnsi="宋体" w:eastAsia="宋体" w:cs="宋体"/>
          <w:b/>
          <w:bCs/>
          <w:color w:val="auto"/>
          <w:kern w:val="0"/>
          <w:sz w:val="24"/>
          <w:szCs w:val="24"/>
          <w:highlight w:val="none"/>
          <w:u w:val="single"/>
        </w:rPr>
        <w:t>由承包人承担全部经济损失（包括按照约定承担并支付违约金）。同时，发包人有权暂停支付所有未付工程款，情节严重的或者发包人认为有必要时，发包人有权解除、终止合同，并追究承包人违约责任，违约经济损失由发包人在工程造价的20%范围内自行确定</w:t>
      </w:r>
      <w:r>
        <w:rPr>
          <w:rFonts w:hint="eastAsia" w:ascii="宋体" w:hAnsi="宋体" w:eastAsia="宋体" w:cs="宋体"/>
          <w:color w:val="auto"/>
          <w:kern w:val="0"/>
          <w:sz w:val="24"/>
          <w:szCs w:val="24"/>
          <w:highlight w:val="none"/>
        </w:rPr>
        <w:t>。</w:t>
      </w:r>
    </w:p>
    <w:p w14:paraId="62B47C8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16.2.3 因承包人违约解除合同</w:t>
      </w:r>
    </w:p>
    <w:p w14:paraId="22C7B60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关于承包人违约解除合同的特别约定：</w:t>
      </w:r>
      <w:r>
        <w:rPr>
          <w:rFonts w:hint="eastAsia" w:ascii="宋体" w:hAnsi="宋体" w:eastAsia="宋体" w:cs="宋体"/>
          <w:b/>
          <w:bCs/>
          <w:color w:val="auto"/>
          <w:kern w:val="0"/>
          <w:sz w:val="24"/>
          <w:szCs w:val="24"/>
          <w:highlight w:val="none"/>
          <w:u w:val="single"/>
        </w:rPr>
        <w:t>因为承包人违约或者发包人根据约定，决定解除终止合同的，发包人有权按合同约定追索、扣收违约经济损失（包括约定违约金）和相关费用。承包人应当在发包人解除合同决定做出之日起30日内提交已经完成工程量的结算报告给监理工程师、发包人审定，并同时退场、向发包人或指定的人移交施工现场。发包人应当30日内完成对承包人提交的已经完成工程量结算报告的审定，并按审定结果进行结算支付，若承包人对审定结果有异议的，承包人可以通过向人民法院提起起诉讼解决。承包人未按前述约定提交已经完成工程量结算报告的，以监理工程师、发包人出具的结算结果为准或者按照已经计量、签订的工程量结算处理。承包人逾期未按前述约定退场或者移交施工现场的，视为承包人放弃现场所有物品、设施设备的所有权并无偿交归发包人或指定的人处置，发包人或指定的人可以单方面直接接受管理现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AF416C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双方另行协商</w:t>
      </w:r>
      <w:r>
        <w:rPr>
          <w:rFonts w:hint="eastAsia" w:ascii="宋体" w:hAnsi="宋体" w:eastAsia="宋体" w:cs="宋体"/>
          <w:color w:val="auto"/>
          <w:kern w:val="0"/>
          <w:sz w:val="24"/>
          <w:szCs w:val="24"/>
          <w:highlight w:val="none"/>
        </w:rPr>
        <w:t>。</w:t>
      </w:r>
    </w:p>
    <w:p w14:paraId="6DAAAA0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16.2.6根据专用合同条款第16.2款各项的规定，承包人违约须向发包人支付违约金或赔偿金时，发包人有权从应支付给承包人的工程款中直接抵扣，承包人不得有异议。</w:t>
      </w:r>
    </w:p>
    <w:p w14:paraId="4508EE9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16.2.7除上述约定之外，承包人有违反其他合同义务的，均构成违约，应当承担违约责任。</w:t>
      </w:r>
    </w:p>
    <w:p w14:paraId="469EEE7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16.2.8承包人违约，按照本合同规定承担违约责任并不免除其应该承担的其他法律责任。其赔偿责任包括但不限于经济损失、诉讼费、公证费、律师费及为实现权利产生的全部费用。</w:t>
      </w:r>
    </w:p>
    <w:p w14:paraId="2A2F4F3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16.2.9承包人除遵守以上约定外,还应遵守发包人制定的现场管理制度并承担相应责任,如有冲突以如上约定为准。</w:t>
      </w:r>
    </w:p>
    <w:p w14:paraId="4111CB29">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818" w:name="_Toc351203649"/>
      <w:r>
        <w:rPr>
          <w:rFonts w:hint="eastAsia" w:ascii="宋体" w:hAnsi="宋体" w:eastAsia="宋体" w:cs="宋体"/>
          <w:color w:val="auto"/>
          <w:kern w:val="0"/>
          <w:sz w:val="24"/>
          <w:szCs w:val="24"/>
          <w:highlight w:val="none"/>
        </w:rPr>
        <w:t>17. 不可抗力</w:t>
      </w:r>
      <w:bookmarkEnd w:id="818"/>
      <w:r>
        <w:rPr>
          <w:rFonts w:hint="eastAsia" w:ascii="宋体" w:hAnsi="宋体" w:eastAsia="宋体" w:cs="宋体"/>
          <w:color w:val="auto"/>
          <w:kern w:val="0"/>
          <w:sz w:val="24"/>
          <w:szCs w:val="24"/>
          <w:highlight w:val="none"/>
        </w:rPr>
        <w:t xml:space="preserve"> </w:t>
      </w:r>
      <w:bookmarkEnd w:id="816"/>
    </w:p>
    <w:p w14:paraId="7DA154F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 不可抗力的确认</w:t>
      </w:r>
    </w:p>
    <w:p w14:paraId="31783EA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除通用合同条款约定的不可抗力事件之外，视为不可抗力的其他情形：</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B40BA5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17.4 因不可抗力解除合同</w:t>
      </w:r>
    </w:p>
    <w:p w14:paraId="0AF847E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合同解除后，发包人应在商定或确定发包人应支付款项后</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120</w:t>
      </w:r>
      <w:r>
        <w:rPr>
          <w:rFonts w:hint="eastAsia" w:ascii="宋体" w:hAnsi="宋体" w:eastAsia="宋体" w:cs="宋体"/>
          <w:bCs/>
          <w:color w:val="auto"/>
          <w:kern w:val="0"/>
          <w:sz w:val="24"/>
          <w:szCs w:val="24"/>
          <w:highlight w:val="none"/>
        </w:rPr>
        <w:t>天</w:t>
      </w:r>
      <w:r>
        <w:rPr>
          <w:rFonts w:hint="eastAsia" w:ascii="宋体" w:hAnsi="宋体" w:eastAsia="宋体" w:cs="宋体"/>
          <w:color w:val="auto"/>
          <w:kern w:val="0"/>
          <w:sz w:val="24"/>
          <w:szCs w:val="24"/>
          <w:highlight w:val="none"/>
        </w:rPr>
        <w:t>内完成款项的支付。</w:t>
      </w:r>
    </w:p>
    <w:p w14:paraId="6656ADEC">
      <w:pPr>
        <w:keepNext w:val="0"/>
        <w:keepLines w:val="0"/>
        <w:pageBreakBefore w:val="0"/>
        <w:kinsoku/>
        <w:wordWrap w:val="0"/>
        <w:overflowPunct/>
        <w:topLinePunct w:val="0"/>
        <w:bidi w:val="0"/>
        <w:spacing w:beforeAutospacing="0" w:afterAutospacing="0" w:line="500" w:lineRule="exact"/>
        <w:ind w:firstLine="480" w:firstLineChars="200"/>
        <w:textAlignment w:val="auto"/>
        <w:outlineLvl w:val="3"/>
        <w:rPr>
          <w:rFonts w:hint="eastAsia" w:ascii="宋体" w:hAnsi="宋体" w:eastAsia="宋体" w:cs="宋体"/>
          <w:color w:val="auto"/>
          <w:kern w:val="0"/>
          <w:sz w:val="24"/>
          <w:szCs w:val="24"/>
          <w:highlight w:val="none"/>
        </w:rPr>
      </w:pPr>
      <w:bookmarkStart w:id="819" w:name="_Toc351203650"/>
      <w:r>
        <w:rPr>
          <w:rFonts w:hint="eastAsia" w:ascii="宋体" w:hAnsi="宋体" w:eastAsia="宋体" w:cs="宋体"/>
          <w:color w:val="auto"/>
          <w:kern w:val="0"/>
          <w:sz w:val="24"/>
          <w:szCs w:val="24"/>
          <w:highlight w:val="none"/>
        </w:rPr>
        <w:t>18. 保险</w:t>
      </w:r>
      <w:bookmarkEnd w:id="819"/>
    </w:p>
    <w:bookmarkEnd w:id="793"/>
    <w:bookmarkEnd w:id="794"/>
    <w:bookmarkEnd w:id="795"/>
    <w:bookmarkEnd w:id="796"/>
    <w:bookmarkEnd w:id="797"/>
    <w:bookmarkEnd w:id="798"/>
    <w:bookmarkEnd w:id="799"/>
    <w:bookmarkEnd w:id="800"/>
    <w:bookmarkEnd w:id="801"/>
    <w:bookmarkEnd w:id="802"/>
    <w:bookmarkEnd w:id="803"/>
    <w:bookmarkEnd w:id="804"/>
    <w:bookmarkEnd w:id="817"/>
    <w:p w14:paraId="71688EFF">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bookmarkStart w:id="820" w:name="_Toc351203651"/>
      <w:r>
        <w:rPr>
          <w:rFonts w:hint="eastAsia" w:ascii="宋体" w:hAnsi="宋体" w:eastAsia="宋体" w:cs="宋体"/>
          <w:color w:val="auto"/>
          <w:kern w:val="0"/>
          <w:sz w:val="24"/>
          <w:szCs w:val="24"/>
          <w:highlight w:val="none"/>
        </w:rPr>
        <w:t>18.1 工程保险</w:t>
      </w:r>
    </w:p>
    <w:p w14:paraId="4BCE992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承包人应投保建筑工程一切险或安装工程一切险，因投保产生的保险费和其他相关费用由承包人承担。</w:t>
      </w:r>
    </w:p>
    <w:p w14:paraId="3C6C60B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18.3 其他保险</w:t>
      </w:r>
    </w:p>
    <w:p w14:paraId="4BFAEE5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关于其他保险的约定：</w:t>
      </w:r>
    </w:p>
    <w:p w14:paraId="32B1905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投保施工设备险，投保项目及其保险金额由承包人根据其配备的施工设备状况自行确定，但承包人应充分估计主要施工设备可能发生的重大事故或因自然灾害造成施工设备的损失和损坏对工程的影响。</w:t>
      </w:r>
    </w:p>
    <w:p w14:paraId="222EA551">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投保的施工设备险的保险期限应从承包人进点至颁发工程移交证书期间，除保险公司规定的除外责任以外的工程（包括材料和工程设备）和施工设备的损失和损坏，其费用已包含在承包人的工程价款中。</w:t>
      </w:r>
    </w:p>
    <w:p w14:paraId="7198CD4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（3）在合同实施期间，承包人应为其雇用人员（包括分包人员）投保人身意外伤害险或雇主责任险。</w:t>
      </w:r>
    </w:p>
    <w:p w14:paraId="026E7A07">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承包人应以发包人和承包人的共同名义投保在工地及其毗邻地带的第三方人员的人身伤害和财产损失的第三者责任险。此项投保不免除承包人和发包人各自应负的在其管辖区内及其毗邻地带发生的第三者人员人身伤害和财产损失的赔偿责任，其赔偿费用应包括赔偿费、诉讼费和其它有关费用。</w:t>
      </w:r>
    </w:p>
    <w:p w14:paraId="473948A6">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18.5保险凭证</w:t>
      </w:r>
    </w:p>
    <w:p w14:paraId="4A2BE98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在合同签订后7天内向发包人提交各项保险生效的证据和保险单副本，保险单必须与专用合同条款约定的条件保持一致。若承包未在规定时间内提交各项保险生效的证据和保险单副本，发包人将强制保险，保险费在工程款中扣除。</w:t>
      </w:r>
    </w:p>
    <w:p w14:paraId="38DEB60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18.7 通知义务</w:t>
      </w:r>
    </w:p>
    <w:p w14:paraId="4DBD274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关于变更保险合同时的通知义务的约定：</w:t>
      </w:r>
      <w:r>
        <w:rPr>
          <w:rFonts w:hint="eastAsia" w:ascii="宋体" w:hAnsi="宋体" w:eastAsia="宋体" w:cs="宋体"/>
          <w:b/>
          <w:color w:val="auto"/>
          <w:kern w:val="0"/>
          <w:sz w:val="24"/>
          <w:szCs w:val="24"/>
          <w:highlight w:val="none"/>
          <w:u w:val="single"/>
        </w:rPr>
        <w:t>按通用合同条款执行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A8FB510">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19.索赔</w:t>
      </w:r>
    </w:p>
    <w:p w14:paraId="49770EE0">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19.6以下情况不属于索赔范围</w:t>
      </w:r>
    </w:p>
    <w:p w14:paraId="3B2171A2">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施工进度滞后于进度计划，在发包人及监理人督促后，仍无法满足施工进度要求的情况下，发包人认为承包人不能按时完工时，可将剩余工程的全部或部分另行安排其他承包人施工，承包人不得为此提出索赔要求。</w:t>
      </w:r>
    </w:p>
    <w:p w14:paraId="4B63163B">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（2）发包人提前通知的计划停电（检修等）不属于索赔范围；非承包商原因引起的事故停电，每次连续停电时间小于48小时不属于索赔范围。</w:t>
      </w:r>
    </w:p>
    <w:p w14:paraId="00B7C962">
      <w:pPr>
        <w:keepNext w:val="0"/>
        <w:keepLines w:val="0"/>
        <w:pageBreakBefore w:val="0"/>
        <w:kinsoku/>
        <w:wordWrap w:val="0"/>
        <w:overflowPunct/>
        <w:topLinePunct w:val="0"/>
        <w:bidi w:val="0"/>
        <w:spacing w:after="0" w:afterLines="0" w:afterAutospacing="0"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（3）因当地居民阻扰施工未连续超过72小时内的风险费用，承包人应在</w:t>
      </w:r>
      <w:r>
        <w:rPr>
          <w:rFonts w:hint="eastAsia" w:ascii="宋体" w:hAnsi="宋体" w:eastAsia="宋体" w:cs="宋体"/>
          <w:color w:val="auto"/>
          <w:kern w:val="0"/>
          <w:sz w:val="24"/>
          <w:szCs w:val="24"/>
          <w:highlight w:val="none"/>
          <w:lang w:eastAsia="zh-CN"/>
        </w:rPr>
        <w:t>报价</w:t>
      </w:r>
      <w:r>
        <w:rPr>
          <w:rFonts w:hint="eastAsia" w:ascii="宋体" w:hAnsi="宋体" w:eastAsia="宋体" w:cs="宋体"/>
          <w:color w:val="auto"/>
          <w:kern w:val="0"/>
          <w:sz w:val="24"/>
          <w:szCs w:val="24"/>
          <w:highlight w:val="none"/>
        </w:rPr>
        <w:t>中自行考虑，不属于索赔范围。</w:t>
      </w:r>
    </w:p>
    <w:bookmarkEnd w:id="805"/>
    <w:bookmarkEnd w:id="806"/>
    <w:bookmarkEnd w:id="807"/>
    <w:bookmarkEnd w:id="820"/>
    <w:p w14:paraId="534A18C6">
      <w:pPr>
        <w:keepNext w:val="0"/>
        <w:keepLines w:val="0"/>
        <w:pageBreakBefore w:val="0"/>
        <w:kinsoku/>
        <w:wordWrap w:val="0"/>
        <w:overflowPunct/>
        <w:topLinePunct w:val="0"/>
        <w:bidi w:val="0"/>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 争议解决</w:t>
      </w:r>
    </w:p>
    <w:p w14:paraId="6207502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 争议评审</w:t>
      </w:r>
    </w:p>
    <w:p w14:paraId="7DA916B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合同当事人是否同意将工程争议提交争议评审小组决定：</w:t>
      </w:r>
      <w:r>
        <w:rPr>
          <w:rFonts w:hint="eastAsia" w:ascii="宋体" w:hAnsi="宋体" w:eastAsia="宋体" w:cs="宋体"/>
          <w:b/>
          <w:bCs/>
          <w:color w:val="auto"/>
          <w:kern w:val="0"/>
          <w:sz w:val="24"/>
          <w:szCs w:val="24"/>
          <w:highlight w:val="none"/>
          <w:u w:val="single"/>
        </w:rPr>
        <w:t xml:space="preserve">   /  </w:t>
      </w:r>
      <w:r>
        <w:rPr>
          <w:rFonts w:hint="eastAsia" w:ascii="宋体" w:hAnsi="宋体" w:eastAsia="宋体" w:cs="宋体"/>
          <w:color w:val="auto"/>
          <w:kern w:val="0"/>
          <w:sz w:val="24"/>
          <w:szCs w:val="24"/>
          <w:highlight w:val="none"/>
        </w:rPr>
        <w:t xml:space="preserve">。  </w:t>
      </w:r>
    </w:p>
    <w:p w14:paraId="0BDACB1A">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20.3.1 争议评审小组的确定</w:t>
      </w:r>
    </w:p>
    <w:p w14:paraId="7BBF454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争议评审小组成员的确定：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DE03E68">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选定争议评审员的期限：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9EC06C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争议评审小组成员的报酬承担方式：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53A343C">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其他事项的约定：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6836895">
      <w:pPr>
        <w:keepNext w:val="0"/>
        <w:keepLines w:val="0"/>
        <w:pageBreakBefore w:val="0"/>
        <w:kinsoku/>
        <w:wordWrap w:val="0"/>
        <w:overflowPunct/>
        <w:topLinePunct w:val="0"/>
        <w:autoSpaceDE w:val="0"/>
        <w:autoSpaceDN w:val="0"/>
        <w:bidi w:val="0"/>
        <w:adjustRightInd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20.3.2 争议评审小组的决定</w:t>
      </w:r>
    </w:p>
    <w:p w14:paraId="78324BA5">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合同当事人关于本项的约定：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CE4E2ED">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20.4仲裁或诉讼</w:t>
      </w:r>
      <w:bookmarkEnd w:id="808"/>
    </w:p>
    <w:p w14:paraId="27419319">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因合同及合同有关事项发生的争议，按下列第</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种方式解决：</w:t>
      </w:r>
    </w:p>
    <w:p w14:paraId="0BDC6454">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（1）向</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仲裁委员会申请仲裁；</w:t>
      </w:r>
    </w:p>
    <w:p w14:paraId="2962D53E">
      <w:pPr>
        <w:keepNext w:val="0"/>
        <w:keepLines w:val="0"/>
        <w:pageBreakBefore w:val="0"/>
        <w:kinsoku/>
        <w:wordWrap w:val="0"/>
        <w:overflowPunct/>
        <w:topLinePunct w:val="0"/>
        <w:bidi w:val="0"/>
        <w:spacing w:line="50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（2）向</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rPr>
        <w:t>项目所在地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人民法院起诉。</w:t>
      </w:r>
      <w:bookmarkEnd w:id="809"/>
      <w:bookmarkEnd w:id="810"/>
      <w:bookmarkEnd w:id="811"/>
      <w:bookmarkEnd w:id="812"/>
      <w:bookmarkEnd w:id="813"/>
      <w:bookmarkEnd w:id="814"/>
    </w:p>
    <w:bookmarkEnd w:id="321"/>
    <w:p w14:paraId="19859E06">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2CB80391">
      <w:pPr>
        <w:pageBreakBefore w:val="0"/>
        <w:widowControl w:val="0"/>
        <w:wordWrap w:val="0"/>
        <w:overflowPunct/>
        <w:spacing w:line="460" w:lineRule="exact"/>
        <w:jc w:val="both"/>
        <w:rPr>
          <w:rFonts w:hint="eastAsia" w:ascii="宋体" w:hAnsi="宋体" w:eastAsia="宋体" w:cs="宋体"/>
          <w:color w:val="auto"/>
          <w:kern w:val="1"/>
          <w:sz w:val="24"/>
          <w:szCs w:val="24"/>
          <w:highlight w:val="none"/>
          <w:lang w:val="en-US" w:eastAsia="zh-CN" w:bidi="ar-SA"/>
        </w:rPr>
      </w:pPr>
    </w:p>
    <w:p w14:paraId="0B33221B">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7AA05004">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2CE71038">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1EDDEE9E">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094D6B1F">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7698C78C">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4A597481">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24FB1D20">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00731DBF">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4F4D85ED">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05F427F0">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751770C3">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2160ABFA">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p>
    <w:p w14:paraId="0A3E5ABF">
      <w:pPr>
        <w:keepNext w:val="0"/>
        <w:keepLines w:val="0"/>
        <w:pageBreakBefore w:val="0"/>
        <w:kinsoku/>
        <w:wordWrap w:val="0"/>
        <w:overflowPunct/>
        <w:topLinePunct w:val="0"/>
        <w:bidi w:val="0"/>
        <w:spacing w:line="500" w:lineRule="exact"/>
        <w:ind w:left="0" w:leftChars="0" w:firstLine="482" w:firstLineChars="200"/>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附件</w:t>
      </w:r>
    </w:p>
    <w:p w14:paraId="0285EF6B">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协议书附件：</w:t>
      </w:r>
    </w:p>
    <w:p w14:paraId="606F22F5">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附件1：承包人承揽工程项目一览表</w:t>
      </w:r>
    </w:p>
    <w:p w14:paraId="7C35FBA7">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p>
    <w:p w14:paraId="68DEF210">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专用合同条款附件：</w:t>
      </w:r>
    </w:p>
    <w:p w14:paraId="1CDBCF71">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附件</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：工程质量保修书</w:t>
      </w:r>
    </w:p>
    <w:p w14:paraId="36B05C87">
      <w:pPr>
        <w:keepNext w:val="0"/>
        <w:keepLines w:val="0"/>
        <w:pageBreakBefore w:val="0"/>
        <w:kinsoku/>
        <w:wordWrap w:val="0"/>
        <w:overflowPunct/>
        <w:topLinePunct w:val="0"/>
        <w:bidi w:val="0"/>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附件</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：履约担保格式</w:t>
      </w:r>
    </w:p>
    <w:p w14:paraId="490AABA2">
      <w:pPr>
        <w:keepNext w:val="0"/>
        <w:keepLines w:val="0"/>
        <w:pageBreakBefore w:val="0"/>
        <w:kinsoku/>
        <w:wordWrap w:val="0"/>
        <w:overflowPunct/>
        <w:topLinePunct w:val="0"/>
        <w:bidi w:val="0"/>
        <w:spacing w:line="480" w:lineRule="exact"/>
        <w:textAlignment w:val="auto"/>
        <w:rPr>
          <w:rFonts w:hint="eastAsia" w:ascii="宋体" w:hAnsi="宋体" w:eastAsia="宋体" w:cs="宋体"/>
          <w:color w:val="auto"/>
          <w:kern w:val="0"/>
          <w:szCs w:val="21"/>
          <w:highlight w:val="none"/>
        </w:rPr>
      </w:pPr>
    </w:p>
    <w:p w14:paraId="3E1816ED">
      <w:pPr>
        <w:keepNext w:val="0"/>
        <w:keepLines w:val="0"/>
        <w:pageBreakBefore w:val="0"/>
        <w:kinsoku/>
        <w:wordWrap w:val="0"/>
        <w:overflowPunct/>
        <w:topLinePunct w:val="0"/>
        <w:bidi w:val="0"/>
        <w:spacing w:before="120" w:beforeLines="50" w:after="120" w:afterLines="50" w:line="400" w:lineRule="exact"/>
        <w:jc w:val="left"/>
        <w:rPr>
          <w:rFonts w:hint="eastAsia" w:ascii="宋体" w:hAnsi="宋体" w:eastAsia="宋体" w:cs="宋体"/>
          <w:b/>
          <w:color w:val="auto"/>
          <w:kern w:val="0"/>
          <w:sz w:val="28"/>
          <w:szCs w:val="28"/>
          <w:highlight w:val="none"/>
        </w:rPr>
      </w:pPr>
      <w:r>
        <w:rPr>
          <w:rFonts w:hint="eastAsia" w:ascii="宋体" w:hAnsi="宋体" w:eastAsia="宋体" w:cs="宋体"/>
          <w:color w:val="auto"/>
          <w:kern w:val="0"/>
          <w:szCs w:val="21"/>
          <w:highlight w:val="none"/>
        </w:rPr>
        <w:br w:type="page"/>
      </w:r>
      <w:r>
        <w:rPr>
          <w:rFonts w:hint="eastAsia" w:ascii="宋体" w:hAnsi="宋体" w:eastAsia="宋体" w:cs="宋体"/>
          <w:color w:val="auto"/>
          <w:kern w:val="0"/>
          <w:sz w:val="24"/>
          <w:szCs w:val="24"/>
          <w:highlight w:val="none"/>
        </w:rPr>
        <w:t>附件1：</w:t>
      </w:r>
      <w:r>
        <w:rPr>
          <w:rFonts w:hint="eastAsia" w:ascii="宋体" w:hAnsi="宋体" w:eastAsia="宋体" w:cs="宋体"/>
          <w:color w:val="auto"/>
          <w:kern w:val="0"/>
          <w:sz w:val="28"/>
          <w:szCs w:val="28"/>
          <w:highlight w:val="none"/>
        </w:rPr>
        <w:t xml:space="preserve">                      </w:t>
      </w:r>
      <w:r>
        <w:rPr>
          <w:rFonts w:hint="eastAsia" w:ascii="宋体" w:hAnsi="宋体" w:eastAsia="宋体" w:cs="宋体"/>
          <w:b/>
          <w:color w:val="auto"/>
          <w:kern w:val="0"/>
          <w:sz w:val="28"/>
          <w:szCs w:val="28"/>
          <w:highlight w:val="none"/>
        </w:rPr>
        <w:t xml:space="preserve"> </w:t>
      </w:r>
    </w:p>
    <w:p w14:paraId="63B1EF4D">
      <w:pPr>
        <w:pageBreakBefore w:val="0"/>
        <w:wordWrap w:val="0"/>
        <w:overflowPunct/>
        <w:spacing w:before="120" w:beforeLines="50" w:after="120" w:afterLines="50" w:line="480" w:lineRule="exact"/>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承包人承揽工程项目一览表</w:t>
      </w:r>
    </w:p>
    <w:tbl>
      <w:tblPr>
        <w:tblStyle w:val="29"/>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66"/>
        <w:gridCol w:w="900"/>
        <w:gridCol w:w="1417"/>
        <w:gridCol w:w="923"/>
        <w:gridCol w:w="850"/>
        <w:gridCol w:w="950"/>
        <w:gridCol w:w="1260"/>
        <w:gridCol w:w="900"/>
        <w:gridCol w:w="851"/>
        <w:gridCol w:w="850"/>
      </w:tblGrid>
      <w:tr w14:paraId="582AE6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66" w:type="dxa"/>
            <w:tcBorders>
              <w:top w:val="single" w:color="auto" w:sz="12" w:space="0"/>
              <w:bottom w:val="double" w:color="auto" w:sz="6" w:space="0"/>
            </w:tcBorders>
            <w:vAlign w:val="center"/>
          </w:tcPr>
          <w:p w14:paraId="2BC2FD3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单位工程名称</w:t>
            </w:r>
          </w:p>
        </w:tc>
        <w:tc>
          <w:tcPr>
            <w:tcW w:w="900" w:type="dxa"/>
            <w:tcBorders>
              <w:top w:val="single" w:color="auto" w:sz="12" w:space="0"/>
              <w:bottom w:val="double" w:color="auto" w:sz="6" w:space="0"/>
            </w:tcBorders>
            <w:vAlign w:val="center"/>
          </w:tcPr>
          <w:p w14:paraId="45FE28A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建设规模</w:t>
            </w:r>
          </w:p>
        </w:tc>
        <w:tc>
          <w:tcPr>
            <w:tcW w:w="1417" w:type="dxa"/>
            <w:tcBorders>
              <w:top w:val="single" w:color="auto" w:sz="12" w:space="0"/>
              <w:bottom w:val="double" w:color="auto" w:sz="6" w:space="0"/>
            </w:tcBorders>
            <w:vAlign w:val="center"/>
          </w:tcPr>
          <w:p w14:paraId="0ABF516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建筑面积(平方米)</w:t>
            </w:r>
          </w:p>
        </w:tc>
        <w:tc>
          <w:tcPr>
            <w:tcW w:w="923" w:type="dxa"/>
            <w:tcBorders>
              <w:top w:val="single" w:color="auto" w:sz="12" w:space="0"/>
              <w:bottom w:val="double" w:color="auto" w:sz="6" w:space="0"/>
            </w:tcBorders>
            <w:vAlign w:val="center"/>
          </w:tcPr>
          <w:p w14:paraId="369C455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结构形式</w:t>
            </w:r>
          </w:p>
        </w:tc>
        <w:tc>
          <w:tcPr>
            <w:tcW w:w="850" w:type="dxa"/>
            <w:tcBorders>
              <w:top w:val="single" w:color="auto" w:sz="12" w:space="0"/>
              <w:bottom w:val="double" w:color="auto" w:sz="6" w:space="0"/>
            </w:tcBorders>
            <w:vAlign w:val="center"/>
          </w:tcPr>
          <w:p w14:paraId="7C96818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层数</w:t>
            </w:r>
          </w:p>
        </w:tc>
        <w:tc>
          <w:tcPr>
            <w:tcW w:w="950" w:type="dxa"/>
            <w:tcBorders>
              <w:top w:val="single" w:color="auto" w:sz="12" w:space="0"/>
              <w:bottom w:val="double" w:color="auto" w:sz="6" w:space="0"/>
            </w:tcBorders>
            <w:vAlign w:val="center"/>
          </w:tcPr>
          <w:p w14:paraId="0EAF996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生产能力</w:t>
            </w:r>
          </w:p>
        </w:tc>
        <w:tc>
          <w:tcPr>
            <w:tcW w:w="1260" w:type="dxa"/>
            <w:tcBorders>
              <w:top w:val="single" w:color="auto" w:sz="12" w:space="0"/>
              <w:bottom w:val="double" w:color="auto" w:sz="6" w:space="0"/>
            </w:tcBorders>
            <w:vAlign w:val="center"/>
          </w:tcPr>
          <w:p w14:paraId="6965632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设备安装内容</w:t>
            </w:r>
          </w:p>
        </w:tc>
        <w:tc>
          <w:tcPr>
            <w:tcW w:w="900" w:type="dxa"/>
            <w:tcBorders>
              <w:top w:val="single" w:color="auto" w:sz="12" w:space="0"/>
              <w:bottom w:val="double" w:color="auto" w:sz="6" w:space="0"/>
            </w:tcBorders>
            <w:vAlign w:val="center"/>
          </w:tcPr>
          <w:p w14:paraId="64C9D28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合同价格（元）</w:t>
            </w:r>
          </w:p>
        </w:tc>
        <w:tc>
          <w:tcPr>
            <w:tcW w:w="851" w:type="dxa"/>
            <w:tcBorders>
              <w:top w:val="single" w:color="auto" w:sz="12" w:space="0"/>
              <w:bottom w:val="double" w:color="auto" w:sz="6" w:space="0"/>
            </w:tcBorders>
            <w:vAlign w:val="center"/>
          </w:tcPr>
          <w:p w14:paraId="57D48F6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开工日期</w:t>
            </w:r>
          </w:p>
        </w:tc>
        <w:tc>
          <w:tcPr>
            <w:tcW w:w="850" w:type="dxa"/>
            <w:tcBorders>
              <w:top w:val="single" w:color="auto" w:sz="12" w:space="0"/>
              <w:bottom w:val="double" w:color="auto" w:sz="6" w:space="0"/>
            </w:tcBorders>
            <w:vAlign w:val="center"/>
          </w:tcPr>
          <w:p w14:paraId="36D8A1C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竣工日期</w:t>
            </w:r>
          </w:p>
        </w:tc>
      </w:tr>
      <w:tr w14:paraId="738BC9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double" w:color="auto" w:sz="6" w:space="0"/>
              <w:bottom w:val="single" w:color="auto" w:sz="6" w:space="0"/>
            </w:tcBorders>
            <w:vAlign w:val="center"/>
          </w:tcPr>
          <w:p w14:paraId="6F794DE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double" w:color="auto" w:sz="6" w:space="0"/>
              <w:bottom w:val="single" w:color="auto" w:sz="6" w:space="0"/>
            </w:tcBorders>
            <w:vAlign w:val="center"/>
          </w:tcPr>
          <w:p w14:paraId="1E822DA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top w:val="double" w:color="auto" w:sz="6" w:space="0"/>
              <w:bottom w:val="single" w:color="auto" w:sz="6" w:space="0"/>
            </w:tcBorders>
            <w:vAlign w:val="center"/>
          </w:tcPr>
          <w:p w14:paraId="0197A34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top w:val="double" w:color="auto" w:sz="6" w:space="0"/>
              <w:bottom w:val="single" w:color="auto" w:sz="6" w:space="0"/>
            </w:tcBorders>
            <w:vAlign w:val="center"/>
          </w:tcPr>
          <w:p w14:paraId="23632D5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double" w:color="auto" w:sz="6" w:space="0"/>
              <w:bottom w:val="single" w:color="auto" w:sz="6" w:space="0"/>
            </w:tcBorders>
            <w:vAlign w:val="center"/>
          </w:tcPr>
          <w:p w14:paraId="75EAE47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top w:val="double" w:color="auto" w:sz="6" w:space="0"/>
              <w:bottom w:val="single" w:color="auto" w:sz="6" w:space="0"/>
            </w:tcBorders>
            <w:vAlign w:val="center"/>
          </w:tcPr>
          <w:p w14:paraId="6391480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top w:val="double" w:color="auto" w:sz="6" w:space="0"/>
              <w:bottom w:val="single" w:color="auto" w:sz="6" w:space="0"/>
            </w:tcBorders>
            <w:vAlign w:val="center"/>
          </w:tcPr>
          <w:p w14:paraId="632211D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double" w:color="auto" w:sz="6" w:space="0"/>
              <w:bottom w:val="single" w:color="auto" w:sz="6" w:space="0"/>
            </w:tcBorders>
            <w:vAlign w:val="center"/>
          </w:tcPr>
          <w:p w14:paraId="4645818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top w:val="double" w:color="auto" w:sz="6" w:space="0"/>
              <w:bottom w:val="single" w:color="auto" w:sz="6" w:space="0"/>
            </w:tcBorders>
            <w:vAlign w:val="center"/>
          </w:tcPr>
          <w:p w14:paraId="27C1DB3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double" w:color="auto" w:sz="6" w:space="0"/>
              <w:bottom w:val="single" w:color="auto" w:sz="6" w:space="0"/>
            </w:tcBorders>
            <w:vAlign w:val="center"/>
          </w:tcPr>
          <w:p w14:paraId="0BF093C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50788C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nil"/>
            </w:tcBorders>
            <w:vAlign w:val="center"/>
          </w:tcPr>
          <w:p w14:paraId="4978C56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nil"/>
            </w:tcBorders>
            <w:vAlign w:val="center"/>
          </w:tcPr>
          <w:p w14:paraId="55A3CC5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top w:val="nil"/>
            </w:tcBorders>
            <w:vAlign w:val="center"/>
          </w:tcPr>
          <w:p w14:paraId="61DC4FE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top w:val="nil"/>
            </w:tcBorders>
            <w:vAlign w:val="center"/>
          </w:tcPr>
          <w:p w14:paraId="0A29F5A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nil"/>
            </w:tcBorders>
            <w:vAlign w:val="center"/>
          </w:tcPr>
          <w:p w14:paraId="7396CE2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top w:val="nil"/>
            </w:tcBorders>
            <w:vAlign w:val="center"/>
          </w:tcPr>
          <w:p w14:paraId="13CC057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top w:val="nil"/>
            </w:tcBorders>
            <w:vAlign w:val="center"/>
          </w:tcPr>
          <w:p w14:paraId="095F089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nil"/>
            </w:tcBorders>
            <w:vAlign w:val="center"/>
          </w:tcPr>
          <w:p w14:paraId="23D47F9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top w:val="nil"/>
            </w:tcBorders>
            <w:vAlign w:val="center"/>
          </w:tcPr>
          <w:p w14:paraId="539784C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nil"/>
            </w:tcBorders>
            <w:vAlign w:val="center"/>
          </w:tcPr>
          <w:p w14:paraId="403A995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67EB1B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nil"/>
            </w:tcBorders>
            <w:vAlign w:val="center"/>
          </w:tcPr>
          <w:p w14:paraId="42DF456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nil"/>
            </w:tcBorders>
            <w:vAlign w:val="center"/>
          </w:tcPr>
          <w:p w14:paraId="35270C2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top w:val="nil"/>
            </w:tcBorders>
            <w:vAlign w:val="center"/>
          </w:tcPr>
          <w:p w14:paraId="40C9630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top w:val="nil"/>
            </w:tcBorders>
            <w:vAlign w:val="center"/>
          </w:tcPr>
          <w:p w14:paraId="378A47D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nil"/>
            </w:tcBorders>
            <w:vAlign w:val="center"/>
          </w:tcPr>
          <w:p w14:paraId="367E1B6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top w:val="nil"/>
            </w:tcBorders>
            <w:vAlign w:val="center"/>
          </w:tcPr>
          <w:p w14:paraId="249AD19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top w:val="nil"/>
            </w:tcBorders>
            <w:vAlign w:val="center"/>
          </w:tcPr>
          <w:p w14:paraId="72CAA6F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nil"/>
            </w:tcBorders>
            <w:vAlign w:val="center"/>
          </w:tcPr>
          <w:p w14:paraId="2700144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top w:val="nil"/>
            </w:tcBorders>
            <w:vAlign w:val="center"/>
          </w:tcPr>
          <w:p w14:paraId="38DDE0E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nil"/>
            </w:tcBorders>
            <w:vAlign w:val="center"/>
          </w:tcPr>
          <w:p w14:paraId="3E9F5D1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7625AC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vAlign w:val="center"/>
          </w:tcPr>
          <w:p w14:paraId="0949B85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vAlign w:val="center"/>
          </w:tcPr>
          <w:p w14:paraId="01818A6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vAlign w:val="center"/>
          </w:tcPr>
          <w:p w14:paraId="20F9779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vAlign w:val="center"/>
          </w:tcPr>
          <w:p w14:paraId="2A10DA2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vAlign w:val="center"/>
          </w:tcPr>
          <w:p w14:paraId="2B81219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vAlign w:val="center"/>
          </w:tcPr>
          <w:p w14:paraId="2AE7F91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vAlign w:val="center"/>
          </w:tcPr>
          <w:p w14:paraId="78B2215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vAlign w:val="center"/>
          </w:tcPr>
          <w:p w14:paraId="0005BC4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vAlign w:val="center"/>
          </w:tcPr>
          <w:p w14:paraId="10249C3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vAlign w:val="center"/>
          </w:tcPr>
          <w:p w14:paraId="31407CE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45B5AC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nil"/>
            </w:tcBorders>
            <w:vAlign w:val="center"/>
          </w:tcPr>
          <w:p w14:paraId="7433D1E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nil"/>
            </w:tcBorders>
            <w:vAlign w:val="center"/>
          </w:tcPr>
          <w:p w14:paraId="7C42B17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top w:val="nil"/>
            </w:tcBorders>
            <w:vAlign w:val="center"/>
          </w:tcPr>
          <w:p w14:paraId="5A4E8B6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top w:val="nil"/>
            </w:tcBorders>
            <w:vAlign w:val="center"/>
          </w:tcPr>
          <w:p w14:paraId="5055702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nil"/>
            </w:tcBorders>
            <w:vAlign w:val="center"/>
          </w:tcPr>
          <w:p w14:paraId="3044ABD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top w:val="nil"/>
            </w:tcBorders>
            <w:vAlign w:val="center"/>
          </w:tcPr>
          <w:p w14:paraId="6093124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top w:val="nil"/>
            </w:tcBorders>
            <w:vAlign w:val="center"/>
          </w:tcPr>
          <w:p w14:paraId="6D099E0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nil"/>
            </w:tcBorders>
            <w:vAlign w:val="center"/>
          </w:tcPr>
          <w:p w14:paraId="455A8F1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top w:val="nil"/>
            </w:tcBorders>
            <w:vAlign w:val="center"/>
          </w:tcPr>
          <w:p w14:paraId="2A10B38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nil"/>
            </w:tcBorders>
            <w:vAlign w:val="center"/>
          </w:tcPr>
          <w:p w14:paraId="563B866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2EAFA0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vAlign w:val="center"/>
          </w:tcPr>
          <w:p w14:paraId="563E015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vAlign w:val="center"/>
          </w:tcPr>
          <w:p w14:paraId="70A72E9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vAlign w:val="center"/>
          </w:tcPr>
          <w:p w14:paraId="303EAA1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vAlign w:val="center"/>
          </w:tcPr>
          <w:p w14:paraId="6262ECF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vAlign w:val="center"/>
          </w:tcPr>
          <w:p w14:paraId="35CCAA4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vAlign w:val="center"/>
          </w:tcPr>
          <w:p w14:paraId="156B775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vAlign w:val="center"/>
          </w:tcPr>
          <w:p w14:paraId="7E245ED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vAlign w:val="center"/>
          </w:tcPr>
          <w:p w14:paraId="2CCD524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vAlign w:val="center"/>
          </w:tcPr>
          <w:p w14:paraId="1784D33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vAlign w:val="center"/>
          </w:tcPr>
          <w:p w14:paraId="7850EDF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508B91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nil"/>
            </w:tcBorders>
            <w:vAlign w:val="center"/>
          </w:tcPr>
          <w:p w14:paraId="01EEC0B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nil"/>
            </w:tcBorders>
            <w:vAlign w:val="center"/>
          </w:tcPr>
          <w:p w14:paraId="2F982AC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top w:val="nil"/>
            </w:tcBorders>
            <w:vAlign w:val="center"/>
          </w:tcPr>
          <w:p w14:paraId="2E299EE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top w:val="nil"/>
            </w:tcBorders>
            <w:vAlign w:val="center"/>
          </w:tcPr>
          <w:p w14:paraId="6B3EB0E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nil"/>
            </w:tcBorders>
            <w:vAlign w:val="center"/>
          </w:tcPr>
          <w:p w14:paraId="2D51380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top w:val="nil"/>
            </w:tcBorders>
            <w:vAlign w:val="center"/>
          </w:tcPr>
          <w:p w14:paraId="34E401A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top w:val="nil"/>
            </w:tcBorders>
            <w:vAlign w:val="center"/>
          </w:tcPr>
          <w:p w14:paraId="52BA6F8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nil"/>
            </w:tcBorders>
            <w:vAlign w:val="center"/>
          </w:tcPr>
          <w:p w14:paraId="1832B13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top w:val="nil"/>
            </w:tcBorders>
            <w:vAlign w:val="center"/>
          </w:tcPr>
          <w:p w14:paraId="6F1D0E0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nil"/>
            </w:tcBorders>
            <w:vAlign w:val="center"/>
          </w:tcPr>
          <w:p w14:paraId="5F8DA3D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6514A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nil"/>
            </w:tcBorders>
            <w:vAlign w:val="center"/>
          </w:tcPr>
          <w:p w14:paraId="7B08B43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nil"/>
            </w:tcBorders>
            <w:vAlign w:val="center"/>
          </w:tcPr>
          <w:p w14:paraId="3E10C4E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top w:val="nil"/>
            </w:tcBorders>
            <w:vAlign w:val="center"/>
          </w:tcPr>
          <w:p w14:paraId="6C5FA2B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top w:val="nil"/>
            </w:tcBorders>
            <w:vAlign w:val="center"/>
          </w:tcPr>
          <w:p w14:paraId="5931058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nil"/>
            </w:tcBorders>
            <w:vAlign w:val="center"/>
          </w:tcPr>
          <w:p w14:paraId="43F7A0C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top w:val="nil"/>
            </w:tcBorders>
            <w:vAlign w:val="center"/>
          </w:tcPr>
          <w:p w14:paraId="7D40B2C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top w:val="nil"/>
            </w:tcBorders>
            <w:vAlign w:val="center"/>
          </w:tcPr>
          <w:p w14:paraId="37C48C1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nil"/>
            </w:tcBorders>
            <w:vAlign w:val="center"/>
          </w:tcPr>
          <w:p w14:paraId="2348DEF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top w:val="nil"/>
            </w:tcBorders>
            <w:vAlign w:val="center"/>
          </w:tcPr>
          <w:p w14:paraId="2C8CCED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nil"/>
            </w:tcBorders>
            <w:vAlign w:val="center"/>
          </w:tcPr>
          <w:p w14:paraId="29EC2A0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5823C2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bottom w:val="single" w:color="auto" w:sz="6" w:space="0"/>
            </w:tcBorders>
            <w:vAlign w:val="center"/>
          </w:tcPr>
          <w:p w14:paraId="3F483FC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bottom w:val="single" w:color="auto" w:sz="6" w:space="0"/>
            </w:tcBorders>
            <w:vAlign w:val="center"/>
          </w:tcPr>
          <w:p w14:paraId="7EB5E03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bottom w:val="single" w:color="auto" w:sz="6" w:space="0"/>
            </w:tcBorders>
            <w:vAlign w:val="center"/>
          </w:tcPr>
          <w:p w14:paraId="43490FF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bottom w:val="single" w:color="auto" w:sz="6" w:space="0"/>
            </w:tcBorders>
            <w:vAlign w:val="center"/>
          </w:tcPr>
          <w:p w14:paraId="72D4071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bottom w:val="single" w:color="auto" w:sz="6" w:space="0"/>
            </w:tcBorders>
            <w:vAlign w:val="center"/>
          </w:tcPr>
          <w:p w14:paraId="698B45F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bottom w:val="single" w:color="auto" w:sz="6" w:space="0"/>
            </w:tcBorders>
            <w:vAlign w:val="center"/>
          </w:tcPr>
          <w:p w14:paraId="2F12D07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bottom w:val="single" w:color="auto" w:sz="6" w:space="0"/>
            </w:tcBorders>
            <w:vAlign w:val="center"/>
          </w:tcPr>
          <w:p w14:paraId="654B11A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bottom w:val="single" w:color="auto" w:sz="6" w:space="0"/>
            </w:tcBorders>
            <w:vAlign w:val="center"/>
          </w:tcPr>
          <w:p w14:paraId="4898640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bottom w:val="single" w:color="auto" w:sz="6" w:space="0"/>
            </w:tcBorders>
            <w:vAlign w:val="center"/>
          </w:tcPr>
          <w:p w14:paraId="2025E22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bottom w:val="single" w:color="auto" w:sz="6" w:space="0"/>
            </w:tcBorders>
            <w:vAlign w:val="center"/>
          </w:tcPr>
          <w:p w14:paraId="0B3EB51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16F32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single" w:color="auto" w:sz="6" w:space="0"/>
              <w:bottom w:val="single" w:color="auto" w:sz="6" w:space="0"/>
            </w:tcBorders>
            <w:vAlign w:val="center"/>
          </w:tcPr>
          <w:p w14:paraId="456A25E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single" w:color="auto" w:sz="6" w:space="0"/>
              <w:bottom w:val="single" w:color="auto" w:sz="6" w:space="0"/>
            </w:tcBorders>
            <w:vAlign w:val="center"/>
          </w:tcPr>
          <w:p w14:paraId="75DC1DD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top w:val="single" w:color="auto" w:sz="6" w:space="0"/>
              <w:bottom w:val="single" w:color="auto" w:sz="6" w:space="0"/>
            </w:tcBorders>
            <w:vAlign w:val="center"/>
          </w:tcPr>
          <w:p w14:paraId="6395A8A2">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top w:val="single" w:color="auto" w:sz="6" w:space="0"/>
              <w:bottom w:val="single" w:color="auto" w:sz="6" w:space="0"/>
            </w:tcBorders>
            <w:vAlign w:val="center"/>
          </w:tcPr>
          <w:p w14:paraId="09943AE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single" w:color="auto" w:sz="6" w:space="0"/>
              <w:bottom w:val="single" w:color="auto" w:sz="6" w:space="0"/>
            </w:tcBorders>
            <w:vAlign w:val="center"/>
          </w:tcPr>
          <w:p w14:paraId="418DA51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top w:val="single" w:color="auto" w:sz="6" w:space="0"/>
              <w:bottom w:val="single" w:color="auto" w:sz="6" w:space="0"/>
            </w:tcBorders>
            <w:vAlign w:val="center"/>
          </w:tcPr>
          <w:p w14:paraId="4B5748B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top w:val="single" w:color="auto" w:sz="6" w:space="0"/>
              <w:bottom w:val="single" w:color="auto" w:sz="6" w:space="0"/>
            </w:tcBorders>
            <w:vAlign w:val="center"/>
          </w:tcPr>
          <w:p w14:paraId="287A0D0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single" w:color="auto" w:sz="6" w:space="0"/>
              <w:bottom w:val="single" w:color="auto" w:sz="6" w:space="0"/>
            </w:tcBorders>
            <w:vAlign w:val="center"/>
          </w:tcPr>
          <w:p w14:paraId="5778307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top w:val="single" w:color="auto" w:sz="6" w:space="0"/>
              <w:bottom w:val="single" w:color="auto" w:sz="6" w:space="0"/>
            </w:tcBorders>
            <w:vAlign w:val="center"/>
          </w:tcPr>
          <w:p w14:paraId="0E2F23D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single" w:color="auto" w:sz="6" w:space="0"/>
              <w:bottom w:val="single" w:color="auto" w:sz="6" w:space="0"/>
            </w:tcBorders>
            <w:vAlign w:val="center"/>
          </w:tcPr>
          <w:p w14:paraId="1CA116E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524F21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single" w:color="auto" w:sz="6" w:space="0"/>
              <w:bottom w:val="single" w:color="auto" w:sz="6" w:space="0"/>
            </w:tcBorders>
            <w:vAlign w:val="center"/>
          </w:tcPr>
          <w:p w14:paraId="10E14FE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single" w:color="auto" w:sz="6" w:space="0"/>
              <w:bottom w:val="single" w:color="auto" w:sz="6" w:space="0"/>
            </w:tcBorders>
            <w:vAlign w:val="center"/>
          </w:tcPr>
          <w:p w14:paraId="508861BE">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top w:val="single" w:color="auto" w:sz="6" w:space="0"/>
              <w:bottom w:val="single" w:color="auto" w:sz="6" w:space="0"/>
            </w:tcBorders>
            <w:vAlign w:val="center"/>
          </w:tcPr>
          <w:p w14:paraId="6E6FD1D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top w:val="single" w:color="auto" w:sz="6" w:space="0"/>
              <w:bottom w:val="single" w:color="auto" w:sz="6" w:space="0"/>
            </w:tcBorders>
            <w:vAlign w:val="center"/>
          </w:tcPr>
          <w:p w14:paraId="56C245B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single" w:color="auto" w:sz="6" w:space="0"/>
              <w:bottom w:val="single" w:color="auto" w:sz="6" w:space="0"/>
            </w:tcBorders>
            <w:vAlign w:val="center"/>
          </w:tcPr>
          <w:p w14:paraId="108F985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top w:val="single" w:color="auto" w:sz="6" w:space="0"/>
              <w:bottom w:val="single" w:color="auto" w:sz="6" w:space="0"/>
            </w:tcBorders>
            <w:vAlign w:val="center"/>
          </w:tcPr>
          <w:p w14:paraId="703312A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top w:val="single" w:color="auto" w:sz="6" w:space="0"/>
              <w:bottom w:val="single" w:color="auto" w:sz="6" w:space="0"/>
            </w:tcBorders>
            <w:vAlign w:val="center"/>
          </w:tcPr>
          <w:p w14:paraId="0A1DA92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single" w:color="auto" w:sz="6" w:space="0"/>
              <w:bottom w:val="single" w:color="auto" w:sz="6" w:space="0"/>
            </w:tcBorders>
            <w:vAlign w:val="center"/>
          </w:tcPr>
          <w:p w14:paraId="780B408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top w:val="single" w:color="auto" w:sz="6" w:space="0"/>
              <w:bottom w:val="single" w:color="auto" w:sz="6" w:space="0"/>
            </w:tcBorders>
            <w:vAlign w:val="center"/>
          </w:tcPr>
          <w:p w14:paraId="454496E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single" w:color="auto" w:sz="6" w:space="0"/>
              <w:bottom w:val="single" w:color="auto" w:sz="6" w:space="0"/>
            </w:tcBorders>
            <w:vAlign w:val="center"/>
          </w:tcPr>
          <w:p w14:paraId="3782C78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3AC385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single" w:color="auto" w:sz="6" w:space="0"/>
              <w:bottom w:val="single" w:color="auto" w:sz="6" w:space="0"/>
            </w:tcBorders>
            <w:vAlign w:val="center"/>
          </w:tcPr>
          <w:p w14:paraId="3247389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single" w:color="auto" w:sz="6" w:space="0"/>
              <w:bottom w:val="single" w:color="auto" w:sz="6" w:space="0"/>
            </w:tcBorders>
            <w:vAlign w:val="center"/>
          </w:tcPr>
          <w:p w14:paraId="2F8999E6">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top w:val="single" w:color="auto" w:sz="6" w:space="0"/>
              <w:bottom w:val="single" w:color="auto" w:sz="6" w:space="0"/>
            </w:tcBorders>
            <w:vAlign w:val="center"/>
          </w:tcPr>
          <w:p w14:paraId="1304790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top w:val="single" w:color="auto" w:sz="6" w:space="0"/>
              <w:bottom w:val="single" w:color="auto" w:sz="6" w:space="0"/>
            </w:tcBorders>
            <w:vAlign w:val="center"/>
          </w:tcPr>
          <w:p w14:paraId="0911358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single" w:color="auto" w:sz="6" w:space="0"/>
              <w:bottom w:val="single" w:color="auto" w:sz="6" w:space="0"/>
            </w:tcBorders>
            <w:vAlign w:val="center"/>
          </w:tcPr>
          <w:p w14:paraId="0CAD6C2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top w:val="single" w:color="auto" w:sz="6" w:space="0"/>
              <w:bottom w:val="single" w:color="auto" w:sz="6" w:space="0"/>
            </w:tcBorders>
            <w:vAlign w:val="center"/>
          </w:tcPr>
          <w:p w14:paraId="46E0AFC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top w:val="single" w:color="auto" w:sz="6" w:space="0"/>
              <w:bottom w:val="single" w:color="auto" w:sz="6" w:space="0"/>
            </w:tcBorders>
            <w:vAlign w:val="center"/>
          </w:tcPr>
          <w:p w14:paraId="688DAD9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single" w:color="auto" w:sz="6" w:space="0"/>
              <w:bottom w:val="single" w:color="auto" w:sz="6" w:space="0"/>
            </w:tcBorders>
            <w:vAlign w:val="center"/>
          </w:tcPr>
          <w:p w14:paraId="6671968F">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top w:val="single" w:color="auto" w:sz="6" w:space="0"/>
              <w:bottom w:val="single" w:color="auto" w:sz="6" w:space="0"/>
            </w:tcBorders>
            <w:vAlign w:val="center"/>
          </w:tcPr>
          <w:p w14:paraId="71C2E20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single" w:color="auto" w:sz="6" w:space="0"/>
              <w:bottom w:val="single" w:color="auto" w:sz="6" w:space="0"/>
            </w:tcBorders>
            <w:vAlign w:val="center"/>
          </w:tcPr>
          <w:p w14:paraId="531F361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3A47A1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single" w:color="auto" w:sz="6" w:space="0"/>
              <w:bottom w:val="single" w:color="auto" w:sz="6" w:space="0"/>
            </w:tcBorders>
            <w:vAlign w:val="center"/>
          </w:tcPr>
          <w:p w14:paraId="1029B33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single" w:color="auto" w:sz="6" w:space="0"/>
              <w:bottom w:val="single" w:color="auto" w:sz="6" w:space="0"/>
            </w:tcBorders>
            <w:vAlign w:val="center"/>
          </w:tcPr>
          <w:p w14:paraId="0BBB12F5">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top w:val="single" w:color="auto" w:sz="6" w:space="0"/>
              <w:bottom w:val="single" w:color="auto" w:sz="6" w:space="0"/>
            </w:tcBorders>
            <w:vAlign w:val="center"/>
          </w:tcPr>
          <w:p w14:paraId="4B5C41B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top w:val="single" w:color="auto" w:sz="6" w:space="0"/>
              <w:bottom w:val="single" w:color="auto" w:sz="6" w:space="0"/>
            </w:tcBorders>
            <w:vAlign w:val="center"/>
          </w:tcPr>
          <w:p w14:paraId="1B21686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single" w:color="auto" w:sz="6" w:space="0"/>
              <w:bottom w:val="single" w:color="auto" w:sz="6" w:space="0"/>
            </w:tcBorders>
            <w:vAlign w:val="center"/>
          </w:tcPr>
          <w:p w14:paraId="06FD662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top w:val="single" w:color="auto" w:sz="6" w:space="0"/>
              <w:bottom w:val="single" w:color="auto" w:sz="6" w:space="0"/>
            </w:tcBorders>
            <w:vAlign w:val="center"/>
          </w:tcPr>
          <w:p w14:paraId="17250EB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top w:val="single" w:color="auto" w:sz="6" w:space="0"/>
              <w:bottom w:val="single" w:color="auto" w:sz="6" w:space="0"/>
            </w:tcBorders>
            <w:vAlign w:val="center"/>
          </w:tcPr>
          <w:p w14:paraId="2597D7EA">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single" w:color="auto" w:sz="6" w:space="0"/>
              <w:bottom w:val="single" w:color="auto" w:sz="6" w:space="0"/>
            </w:tcBorders>
            <w:vAlign w:val="center"/>
          </w:tcPr>
          <w:p w14:paraId="7F83DED4">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top w:val="single" w:color="auto" w:sz="6" w:space="0"/>
              <w:bottom w:val="single" w:color="auto" w:sz="6" w:space="0"/>
            </w:tcBorders>
            <w:vAlign w:val="center"/>
          </w:tcPr>
          <w:p w14:paraId="24FEF6D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single" w:color="auto" w:sz="6" w:space="0"/>
              <w:bottom w:val="single" w:color="auto" w:sz="6" w:space="0"/>
            </w:tcBorders>
            <w:vAlign w:val="center"/>
          </w:tcPr>
          <w:p w14:paraId="0E0CD75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r w14:paraId="443C57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66" w:type="dxa"/>
            <w:tcBorders>
              <w:top w:val="single" w:color="auto" w:sz="6" w:space="0"/>
              <w:bottom w:val="single" w:color="auto" w:sz="12" w:space="0"/>
            </w:tcBorders>
            <w:vAlign w:val="center"/>
          </w:tcPr>
          <w:p w14:paraId="73F7872C">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single" w:color="auto" w:sz="6" w:space="0"/>
              <w:bottom w:val="single" w:color="auto" w:sz="12" w:space="0"/>
            </w:tcBorders>
            <w:vAlign w:val="center"/>
          </w:tcPr>
          <w:p w14:paraId="5136FFE8">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417" w:type="dxa"/>
            <w:tcBorders>
              <w:top w:val="single" w:color="auto" w:sz="6" w:space="0"/>
              <w:bottom w:val="single" w:color="auto" w:sz="12" w:space="0"/>
            </w:tcBorders>
            <w:vAlign w:val="center"/>
          </w:tcPr>
          <w:p w14:paraId="4E0EDB30">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23" w:type="dxa"/>
            <w:tcBorders>
              <w:top w:val="single" w:color="auto" w:sz="6" w:space="0"/>
              <w:bottom w:val="single" w:color="auto" w:sz="12" w:space="0"/>
            </w:tcBorders>
            <w:vAlign w:val="center"/>
          </w:tcPr>
          <w:p w14:paraId="33589A01">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single" w:color="auto" w:sz="6" w:space="0"/>
              <w:bottom w:val="single" w:color="auto" w:sz="12" w:space="0"/>
            </w:tcBorders>
            <w:vAlign w:val="center"/>
          </w:tcPr>
          <w:p w14:paraId="1F4C5E5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50" w:type="dxa"/>
            <w:tcBorders>
              <w:top w:val="single" w:color="auto" w:sz="6" w:space="0"/>
              <w:bottom w:val="single" w:color="auto" w:sz="12" w:space="0"/>
            </w:tcBorders>
            <w:vAlign w:val="center"/>
          </w:tcPr>
          <w:p w14:paraId="0FEEE033">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1260" w:type="dxa"/>
            <w:tcBorders>
              <w:top w:val="single" w:color="auto" w:sz="6" w:space="0"/>
              <w:bottom w:val="single" w:color="auto" w:sz="12" w:space="0"/>
            </w:tcBorders>
            <w:vAlign w:val="center"/>
          </w:tcPr>
          <w:p w14:paraId="0B37AADD">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900" w:type="dxa"/>
            <w:tcBorders>
              <w:top w:val="single" w:color="auto" w:sz="6" w:space="0"/>
              <w:bottom w:val="single" w:color="auto" w:sz="12" w:space="0"/>
            </w:tcBorders>
            <w:vAlign w:val="center"/>
          </w:tcPr>
          <w:p w14:paraId="0D9FBE79">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1" w:type="dxa"/>
            <w:tcBorders>
              <w:top w:val="single" w:color="auto" w:sz="6" w:space="0"/>
              <w:bottom w:val="single" w:color="auto" w:sz="12" w:space="0"/>
            </w:tcBorders>
            <w:vAlign w:val="center"/>
          </w:tcPr>
          <w:p w14:paraId="5F0351C7">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c>
          <w:tcPr>
            <w:tcW w:w="850" w:type="dxa"/>
            <w:tcBorders>
              <w:top w:val="single" w:color="auto" w:sz="6" w:space="0"/>
              <w:bottom w:val="single" w:color="auto" w:sz="12" w:space="0"/>
            </w:tcBorders>
            <w:vAlign w:val="center"/>
          </w:tcPr>
          <w:p w14:paraId="362E059B">
            <w:pPr>
              <w:keepNext/>
              <w:pageBreakBefore w:val="0"/>
              <w:wordWrap w:val="0"/>
              <w:overflowPunct/>
              <w:adjustRightInd w:val="0"/>
              <w:spacing w:after="0" w:afterLines="0" w:line="480" w:lineRule="exact"/>
              <w:ind w:left="63" w:leftChars="30" w:right="63" w:rightChars="30"/>
              <w:jc w:val="center"/>
              <w:textAlignment w:val="baseline"/>
              <w:rPr>
                <w:rFonts w:hint="eastAsia" w:ascii="宋体" w:hAnsi="宋体" w:eastAsia="宋体" w:cs="宋体"/>
                <w:color w:val="auto"/>
                <w:kern w:val="0"/>
                <w:sz w:val="24"/>
                <w:szCs w:val="24"/>
                <w:highlight w:val="none"/>
              </w:rPr>
            </w:pPr>
          </w:p>
        </w:tc>
      </w:tr>
    </w:tbl>
    <w:p w14:paraId="470DA2E2">
      <w:pPr>
        <w:pageBreakBefore w:val="0"/>
        <w:wordWrap w:val="0"/>
        <w:overflowPunct/>
        <w:spacing w:after="200" w:afterLines="0" w:line="480" w:lineRule="exact"/>
        <w:rPr>
          <w:rFonts w:hint="eastAsia" w:ascii="宋体" w:hAnsi="宋体" w:eastAsia="宋体" w:cs="宋体"/>
          <w:color w:val="auto"/>
          <w:kern w:val="0"/>
          <w:sz w:val="24"/>
          <w:szCs w:val="24"/>
          <w:highlight w:val="none"/>
        </w:rPr>
      </w:pPr>
    </w:p>
    <w:p w14:paraId="671AE5E6">
      <w:pPr>
        <w:pageBreakBefore w:val="0"/>
        <w:wordWrap w:val="0"/>
        <w:overflowPunct/>
        <w:spacing w:after="200" w:afterLines="0" w:line="440" w:lineRule="exac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4"/>
          <w:szCs w:val="24"/>
          <w:highlight w:val="none"/>
        </w:rPr>
        <w:br w:type="page"/>
      </w:r>
      <w:r>
        <w:rPr>
          <w:rFonts w:hint="eastAsia" w:ascii="宋体" w:hAnsi="宋体" w:eastAsia="宋体" w:cs="宋体"/>
          <w:color w:val="auto"/>
          <w:kern w:val="0"/>
          <w:sz w:val="24"/>
          <w:szCs w:val="24"/>
          <w:highlight w:val="none"/>
        </w:rPr>
        <w:t>附</w:t>
      </w:r>
      <w:bookmarkStart w:id="821" w:name="_Toc296891054"/>
      <w:bookmarkStart w:id="822" w:name="_Toc296944565"/>
      <w:bookmarkStart w:id="823" w:name="_Toc296347225"/>
      <w:bookmarkStart w:id="824" w:name="_Toc296346727"/>
      <w:bookmarkStart w:id="825" w:name="_Toc296503226"/>
      <w:bookmarkStart w:id="826" w:name="_Toc267261693"/>
      <w:bookmarkStart w:id="827" w:name="_Toc296891266"/>
      <w:r>
        <w:rPr>
          <w:rFonts w:hint="eastAsia" w:ascii="宋体" w:hAnsi="宋体" w:eastAsia="宋体" w:cs="宋体"/>
          <w:color w:val="auto"/>
          <w:kern w:val="0"/>
          <w:sz w:val="24"/>
          <w:szCs w:val="24"/>
          <w:highlight w:val="none"/>
        </w:rPr>
        <w:t>件</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w:t>
      </w:r>
      <w:bookmarkEnd w:id="821"/>
      <w:bookmarkEnd w:id="822"/>
      <w:bookmarkEnd w:id="823"/>
      <w:bookmarkEnd w:id="824"/>
      <w:bookmarkEnd w:id="825"/>
      <w:bookmarkEnd w:id="826"/>
      <w:bookmarkEnd w:id="827"/>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8"/>
          <w:szCs w:val="28"/>
          <w:highlight w:val="none"/>
        </w:rPr>
        <w:t xml:space="preserve">   </w:t>
      </w:r>
    </w:p>
    <w:p w14:paraId="31BB5FAD">
      <w:pPr>
        <w:pageBreakBefore w:val="0"/>
        <w:wordWrap w:val="0"/>
        <w:overflowPunct/>
        <w:spacing w:before="120" w:beforeLines="50" w:after="120" w:afterLines="50" w:line="440" w:lineRule="exact"/>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工程质量保修书</w:t>
      </w:r>
    </w:p>
    <w:p w14:paraId="708CB458">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发包人（全称）：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6135FCC7">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承包人（全称）：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5FD3280C">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发包人和承包人根据《中华人民共和国建筑法》和《建设工程质量管理条例》，经协商一致就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（工程全称）签订工程质量保修书。</w:t>
      </w:r>
    </w:p>
    <w:p w14:paraId="5DEACF24">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一、工程质量保修范围和内容</w:t>
      </w:r>
    </w:p>
    <w:p w14:paraId="12C9F4BF">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承包人在质量保修期内，按照有关法律规定和合同约定，承担工程质量保修责任。</w:t>
      </w:r>
    </w:p>
    <w:p w14:paraId="6D6D16AB">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kern w:val="0"/>
          <w:sz w:val="24"/>
          <w:szCs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kern w:val="0"/>
          <w:sz w:val="24"/>
          <w:szCs w:val="24"/>
          <w:highlight w:val="none"/>
          <w:u w:val="single"/>
          <w:lang w:val="en-US" w:eastAsia="zh-CN"/>
        </w:rPr>
        <w:t xml:space="preserve"> 包括设计施工图纸中所包含的内容 </w:t>
      </w:r>
      <w:r>
        <w:rPr>
          <w:rFonts w:hint="eastAsia" w:ascii="宋体" w:hAnsi="宋体" w:eastAsia="宋体" w:cs="宋体"/>
          <w:color w:val="auto"/>
          <w:kern w:val="0"/>
          <w:sz w:val="24"/>
          <w:szCs w:val="24"/>
          <w:highlight w:val="none"/>
          <w:u w:val="none"/>
          <w:lang w:val="en-US" w:eastAsia="zh-CN"/>
        </w:rPr>
        <w:t>。</w:t>
      </w:r>
    </w:p>
    <w:p w14:paraId="2C4ABAA5">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r>
        <w:rPr>
          <w:rFonts w:hint="eastAsia" w:ascii="宋体" w:hAnsi="宋体" w:eastAsia="宋体" w:cs="宋体"/>
          <w:b/>
          <w:color w:val="auto"/>
          <w:kern w:val="0"/>
          <w:sz w:val="24"/>
          <w:szCs w:val="24"/>
          <w:highlight w:val="none"/>
        </w:rPr>
        <w:t>　</w:t>
      </w:r>
      <w:r>
        <w:rPr>
          <w:rFonts w:hint="eastAsia" w:ascii="宋体" w:hAnsi="宋体" w:eastAsia="宋体" w:cs="宋体"/>
          <w:color w:val="auto"/>
          <w:kern w:val="0"/>
          <w:sz w:val="24"/>
          <w:szCs w:val="24"/>
          <w:highlight w:val="none"/>
        </w:rPr>
        <w:t>二、质量保修期</w:t>
      </w:r>
    </w:p>
    <w:p w14:paraId="2917C0D6">
      <w:pPr>
        <w:keepNext w:val="0"/>
        <w:keepLines w:val="0"/>
        <w:pageBreakBefore w:val="0"/>
        <w:widowControl w:val="0"/>
        <w:kinsoku/>
        <w:wordWrap w:val="0"/>
        <w:overflowPunct/>
        <w:topLinePunct w:val="0"/>
        <w:autoSpaceDE/>
        <w:autoSpaceDN/>
        <w:bidi w:val="0"/>
        <w:adjustRightInd/>
        <w:snapToGrid/>
        <w:spacing w:line="500" w:lineRule="exact"/>
        <w:ind w:firstLine="960" w:firstLineChars="400"/>
        <w:textAlignment w:val="auto"/>
        <w:rPr>
          <w:rFonts w:hint="eastAsia" w:ascii="宋体" w:hAnsi="宋体" w:eastAsia="宋体" w:cs="宋体"/>
          <w:b w:val="0"/>
          <w:bCs/>
          <w:color w:val="000000" w:themeColor="text1"/>
          <w:kern w:val="44"/>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44"/>
          <w:sz w:val="24"/>
          <w:szCs w:val="24"/>
          <w:highlight w:val="none"/>
          <w:lang w:eastAsia="zh-CN"/>
          <w14:textFill>
            <w14:solidFill>
              <w14:schemeClr w14:val="tx1"/>
            </w14:solidFill>
          </w14:textFill>
        </w:rPr>
        <w:t>根据国务院279号令规定执行。</w:t>
      </w:r>
    </w:p>
    <w:p w14:paraId="6520D775">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三、缺陷责任期</w:t>
      </w:r>
    </w:p>
    <w:p w14:paraId="53153733">
      <w:pPr>
        <w:keepNext w:val="0"/>
        <w:keepLines w:val="0"/>
        <w:pageBreakBefore w:val="0"/>
        <w:widowControl w:val="0"/>
        <w:kinsoku/>
        <w:wordWrap w:val="0"/>
        <w:overflowPunct/>
        <w:topLinePunct w:val="0"/>
        <w:autoSpaceDE/>
        <w:autoSpaceDN/>
        <w:bidi w:val="0"/>
        <w:adjustRightInd/>
        <w:snapToGrid/>
        <w:spacing w:line="500" w:lineRule="exact"/>
        <w:ind w:firstLine="960" w:firstLineChars="4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工程缺陷责任期为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24</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个月，缺陷责任期自工程竣工验收合格之日起计算。单位工程先于全部工程进行验收，单位工程缺陷责任期自单位工程验收合格之日起算。</w:t>
      </w:r>
    </w:p>
    <w:p w14:paraId="23588F6A">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缺陷责任期终止后，发包人应退还剩余的质量保证金。</w:t>
      </w:r>
    </w:p>
    <w:p w14:paraId="3E0D2FB4">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四、质量保修责任</w:t>
      </w:r>
    </w:p>
    <w:p w14:paraId="1F59B59D">
      <w:pPr>
        <w:keepNext w:val="0"/>
        <w:keepLines w:val="0"/>
        <w:pageBreakBefore w:val="0"/>
        <w:widowControl w:val="0"/>
        <w:kinsoku/>
        <w:wordWrap w:val="0"/>
        <w:overflowPunct/>
        <w:topLinePunct w:val="0"/>
        <w:autoSpaceDE/>
        <w:autoSpaceDN/>
        <w:bidi w:val="0"/>
        <w:adjustRightInd/>
        <w:snapToGrid/>
        <w:spacing w:line="500" w:lineRule="exact"/>
        <w:ind w:left="105" w:leftChars="50" w:firstLine="491" w:firstLineChars="20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1．属于保修范围、内容的项目，承包人应当在接到保修通知之日起7天内派人保修。承包人不在约定期限内派人保修的，发包人可以委托他人修理。</w:t>
      </w:r>
    </w:p>
    <w:p w14:paraId="719A6F87">
      <w:pPr>
        <w:keepNext w:val="0"/>
        <w:keepLines w:val="0"/>
        <w:pageBreakBefore w:val="0"/>
        <w:widowControl w:val="0"/>
        <w:kinsoku/>
        <w:wordWrap w:val="0"/>
        <w:overflowPunct/>
        <w:topLinePunct w:val="0"/>
        <w:autoSpaceDE/>
        <w:autoSpaceDN/>
        <w:bidi w:val="0"/>
        <w:adjustRightInd/>
        <w:snapToGrid/>
        <w:spacing w:line="500" w:lineRule="exact"/>
        <w:ind w:left="105" w:leftChars="50" w:firstLine="491" w:firstLineChars="20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2．发生紧急事故需抢修的，承包人在接到事故通知后，应当立即到达事故现场抢修。</w:t>
      </w:r>
    </w:p>
    <w:p w14:paraId="38D6C2E2">
      <w:pPr>
        <w:keepNext w:val="0"/>
        <w:keepLines w:val="0"/>
        <w:pageBreakBefore w:val="0"/>
        <w:widowControl w:val="0"/>
        <w:kinsoku/>
        <w:wordWrap w:val="0"/>
        <w:overflowPunct/>
        <w:topLinePunct w:val="0"/>
        <w:autoSpaceDE/>
        <w:autoSpaceDN/>
        <w:bidi w:val="0"/>
        <w:adjustRightInd/>
        <w:snapToGrid/>
        <w:spacing w:line="500" w:lineRule="exact"/>
        <w:ind w:left="105" w:leftChars="50" w:firstLine="491" w:firstLineChars="20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7CD036E">
      <w:pPr>
        <w:keepNext w:val="0"/>
        <w:keepLines w:val="0"/>
        <w:pageBreakBefore w:val="0"/>
        <w:widowControl w:val="0"/>
        <w:kinsoku/>
        <w:wordWrap w:val="0"/>
        <w:overflowPunct/>
        <w:topLinePunct w:val="0"/>
        <w:autoSpaceDE/>
        <w:autoSpaceDN/>
        <w:bidi w:val="0"/>
        <w:adjustRightInd/>
        <w:snapToGrid/>
        <w:spacing w:line="500" w:lineRule="exact"/>
        <w:ind w:left="420" w:leftChars="200" w:firstLine="120" w:firstLineChars="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4．质量保修完成后，由发包人组织验收。</w:t>
      </w:r>
    </w:p>
    <w:p w14:paraId="5929C2FC">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五、保修费用</w:t>
      </w:r>
    </w:p>
    <w:p w14:paraId="4D17D303">
      <w:pPr>
        <w:keepNext w:val="0"/>
        <w:keepLines w:val="0"/>
        <w:pageBreakBefore w:val="0"/>
        <w:widowControl w:val="0"/>
        <w:kinsoku/>
        <w:wordWrap w:val="0"/>
        <w:overflowPunct/>
        <w:topLinePunct w:val="0"/>
        <w:autoSpaceDE/>
        <w:autoSpaceDN/>
        <w:bidi w:val="0"/>
        <w:adjustRightInd/>
        <w:snapToGrid/>
        <w:spacing w:line="500" w:lineRule="exact"/>
        <w:ind w:firstLine="56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保修费用由造成质量缺陷的责任方承担。</w:t>
      </w:r>
    </w:p>
    <w:p w14:paraId="691CC1A2">
      <w:pPr>
        <w:keepNext w:val="0"/>
        <w:keepLines w:val="0"/>
        <w:pageBreakBefore w:val="0"/>
        <w:widowControl w:val="0"/>
        <w:kinsoku/>
        <w:wordWrap w:val="0"/>
        <w:overflowPunct/>
        <w:topLinePunct w:val="0"/>
        <w:autoSpaceDE/>
        <w:autoSpaceDN/>
        <w:bidi w:val="0"/>
        <w:adjustRightInd/>
        <w:snapToGrid/>
        <w:spacing w:line="500" w:lineRule="exact"/>
        <w:ind w:firstLine="56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六、</w:t>
      </w:r>
      <w:r>
        <w:rPr>
          <w:rFonts w:hint="eastAsia" w:ascii="宋体" w:hAnsi="宋体" w:eastAsia="宋体" w:cs="宋体"/>
          <w:color w:val="auto"/>
          <w:kern w:val="0"/>
          <w:sz w:val="24"/>
          <w:szCs w:val="24"/>
          <w:highlight w:val="none"/>
        </w:rPr>
        <w:t>双方约定的其他工程质量保修事项：</w:t>
      </w:r>
      <w:r>
        <w:rPr>
          <w:rFonts w:hint="eastAsia" w:ascii="宋体" w:hAnsi="宋体" w:eastAsia="宋体" w:cs="宋体"/>
          <w:color w:val="auto"/>
          <w:kern w:val="0"/>
          <w:sz w:val="24"/>
          <w:szCs w:val="24"/>
          <w:highlight w:val="none"/>
          <w:u w:val="single"/>
        </w:rPr>
        <w:t>因不可抗力造成的质量缺陷</w:t>
      </w:r>
      <w:r>
        <w:rPr>
          <w:rFonts w:hint="eastAsia" w:ascii="宋体" w:hAnsi="宋体" w:eastAsia="宋体" w:cs="宋体"/>
          <w:color w:val="auto"/>
          <w:kern w:val="0"/>
          <w:sz w:val="24"/>
          <w:szCs w:val="24"/>
          <w:highlight w:val="none"/>
          <w:u w:val="single"/>
          <w:lang w:eastAsia="zh-CN"/>
        </w:rPr>
        <w:t>，</w:t>
      </w:r>
      <w:r>
        <w:rPr>
          <w:rFonts w:hint="eastAsia" w:ascii="宋体" w:hAnsi="宋体" w:eastAsia="宋体" w:cs="宋体"/>
          <w:color w:val="auto"/>
          <w:kern w:val="0"/>
          <w:sz w:val="24"/>
          <w:szCs w:val="24"/>
          <w:highlight w:val="none"/>
          <w:u w:val="single"/>
        </w:rPr>
        <w:t>不属保修范围</w:t>
      </w:r>
      <w:r>
        <w:rPr>
          <w:rFonts w:hint="eastAsia" w:ascii="宋体" w:hAnsi="宋体" w:eastAsia="宋体" w:cs="宋体"/>
          <w:color w:val="auto"/>
          <w:kern w:val="0"/>
          <w:sz w:val="24"/>
          <w:szCs w:val="24"/>
          <w:highlight w:val="none"/>
        </w:rPr>
        <w:t>。</w:t>
      </w:r>
    </w:p>
    <w:p w14:paraId="0B7431F3">
      <w:pPr>
        <w:keepNext w:val="0"/>
        <w:keepLines w:val="0"/>
        <w:pageBreakBefore w:val="0"/>
        <w:widowControl w:val="0"/>
        <w:kinsoku/>
        <w:wordWrap w:val="0"/>
        <w:overflowPunct/>
        <w:topLinePunct w:val="0"/>
        <w:autoSpaceDE/>
        <w:autoSpaceDN/>
        <w:bidi w:val="0"/>
        <w:adjustRightInd/>
        <w:snapToGrid/>
        <w:spacing w:line="500" w:lineRule="exact"/>
        <w:ind w:firstLine="456" w:firstLineChars="19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工程质量保修书由发包人、承包人在工程竣工验收前共同签署，作为施工合同附件，其有效期限至保修期满。</w:t>
      </w:r>
    </w:p>
    <w:p w14:paraId="29741359">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44239C2D">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677E78C2">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54D01BC0">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4CF3E6BE">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432319BC">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highlight w:val="none"/>
        </w:rPr>
      </w:pPr>
    </w:p>
    <w:p w14:paraId="32C173AA">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发包人(公章)：</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承包人(公章)：</w:t>
      </w:r>
      <w:r>
        <w:rPr>
          <w:rFonts w:hint="eastAsia" w:ascii="宋体" w:hAnsi="宋体" w:eastAsia="宋体" w:cs="宋体"/>
          <w:color w:val="auto"/>
          <w:kern w:val="0"/>
          <w:sz w:val="24"/>
          <w:szCs w:val="24"/>
          <w:highlight w:val="none"/>
          <w:u w:val="single"/>
        </w:rPr>
        <w:t xml:space="preserve">           </w:t>
      </w:r>
    </w:p>
    <w:p w14:paraId="708544D9">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u w:val="single"/>
        </w:rPr>
        <w:t xml:space="preserve">         </w:t>
      </w:r>
    </w:p>
    <w:p w14:paraId="003346DB">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u w:val="single"/>
        </w:rPr>
        <w:t xml:space="preserve">      </w:t>
      </w:r>
    </w:p>
    <w:p w14:paraId="70FCF14F">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委托代理人(签字)：</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委托代理人(签字)：</w:t>
      </w:r>
      <w:r>
        <w:rPr>
          <w:rFonts w:hint="eastAsia" w:ascii="宋体" w:hAnsi="宋体" w:eastAsia="宋体" w:cs="宋体"/>
          <w:color w:val="auto"/>
          <w:kern w:val="0"/>
          <w:sz w:val="24"/>
          <w:szCs w:val="24"/>
          <w:highlight w:val="none"/>
          <w:u w:val="single"/>
        </w:rPr>
        <w:t xml:space="preserve">         </w:t>
      </w:r>
    </w:p>
    <w:p w14:paraId="6C13CE1E">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u w:val="single"/>
        </w:rPr>
        <w:t xml:space="preserve">        </w:t>
      </w:r>
    </w:p>
    <w:p w14:paraId="1ECF95BF">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  真：</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传  真：</w:t>
      </w:r>
      <w:r>
        <w:rPr>
          <w:rFonts w:hint="eastAsia" w:ascii="宋体" w:hAnsi="宋体" w:eastAsia="宋体" w:cs="宋体"/>
          <w:color w:val="auto"/>
          <w:kern w:val="0"/>
          <w:sz w:val="24"/>
          <w:szCs w:val="24"/>
          <w:highlight w:val="none"/>
          <w:u w:val="single"/>
        </w:rPr>
        <w:t xml:space="preserve">            </w:t>
      </w:r>
    </w:p>
    <w:p w14:paraId="53CFE8B0">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开户银行：</w:t>
      </w:r>
      <w:r>
        <w:rPr>
          <w:rFonts w:hint="eastAsia" w:ascii="宋体" w:hAnsi="宋体" w:eastAsia="宋体" w:cs="宋体"/>
          <w:color w:val="auto"/>
          <w:kern w:val="0"/>
          <w:sz w:val="24"/>
          <w:szCs w:val="24"/>
          <w:highlight w:val="none"/>
          <w:u w:val="single"/>
        </w:rPr>
        <w:t xml:space="preserve">           </w:t>
      </w:r>
    </w:p>
    <w:p w14:paraId="19932DB6">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  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账  号：</w:t>
      </w:r>
      <w:r>
        <w:rPr>
          <w:rFonts w:hint="eastAsia" w:ascii="宋体" w:hAnsi="宋体" w:eastAsia="宋体" w:cs="宋体"/>
          <w:color w:val="auto"/>
          <w:kern w:val="0"/>
          <w:sz w:val="24"/>
          <w:szCs w:val="24"/>
          <w:highlight w:val="none"/>
          <w:u w:val="single"/>
        </w:rPr>
        <w:t xml:space="preserve">            </w:t>
      </w:r>
    </w:p>
    <w:p w14:paraId="524F5616">
      <w:pPr>
        <w:keepNext w:val="0"/>
        <w:keepLines w:val="0"/>
        <w:pageBreakBefore w:val="0"/>
        <w:widowControl w:val="0"/>
        <w:kinsoku/>
        <w:wordWrap w:val="0"/>
        <w:overflowPunct/>
        <w:topLinePunct w:val="0"/>
        <w:autoSpaceDE/>
        <w:autoSpaceDN/>
        <w:bidi w:val="0"/>
        <w:adjustRightInd/>
        <w:snapToGrid/>
        <w:spacing w:line="5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邮政编码：</w:t>
      </w:r>
      <w:r>
        <w:rPr>
          <w:rFonts w:hint="eastAsia" w:ascii="宋体" w:hAnsi="宋体" w:eastAsia="宋体" w:cs="宋体"/>
          <w:color w:val="auto"/>
          <w:kern w:val="0"/>
          <w:sz w:val="24"/>
          <w:szCs w:val="24"/>
          <w:highlight w:val="none"/>
          <w:u w:val="single"/>
        </w:rPr>
        <w:t xml:space="preserve">          </w:t>
      </w:r>
    </w:p>
    <w:p w14:paraId="07013583">
      <w:pPr>
        <w:keepNext w:val="0"/>
        <w:keepLines w:val="0"/>
        <w:pageBreakBefore w:val="0"/>
        <w:kinsoku/>
        <w:wordWrap w:val="0"/>
        <w:overflowPunct/>
        <w:topLinePunct w:val="0"/>
        <w:autoSpaceDE/>
        <w:autoSpaceDN/>
        <w:bidi w:val="0"/>
        <w:adjustRightInd/>
        <w:snapToGrid/>
        <w:spacing w:after="200" w:afterLines="0" w:line="460" w:lineRule="exact"/>
        <w:textAlignment w:val="auto"/>
        <w:outlineLvl w:val="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br w:type="page"/>
      </w:r>
      <w:bookmarkStart w:id="828" w:name="_Toc267261701"/>
      <w:r>
        <w:rPr>
          <w:rFonts w:hint="eastAsia" w:ascii="宋体" w:hAnsi="宋体" w:eastAsia="宋体" w:cs="宋体"/>
          <w:color w:val="auto"/>
          <w:kern w:val="0"/>
          <w:sz w:val="24"/>
          <w:szCs w:val="24"/>
          <w:highlight w:val="none"/>
        </w:rPr>
        <w:t>附</w:t>
      </w:r>
      <w:bookmarkStart w:id="829" w:name="_Toc296944570"/>
      <w:bookmarkStart w:id="830" w:name="_Toc296503231"/>
      <w:bookmarkStart w:id="831" w:name="_Toc296891059"/>
      <w:bookmarkStart w:id="832" w:name="_Toc296346732"/>
      <w:bookmarkStart w:id="833" w:name="_Toc296891271"/>
      <w:bookmarkStart w:id="834" w:name="_Toc296347230"/>
      <w:r>
        <w:rPr>
          <w:rFonts w:hint="eastAsia" w:ascii="宋体" w:hAnsi="宋体" w:eastAsia="宋体" w:cs="宋体"/>
          <w:color w:val="auto"/>
          <w:kern w:val="0"/>
          <w:sz w:val="24"/>
          <w:szCs w:val="24"/>
          <w:highlight w:val="none"/>
        </w:rPr>
        <w:t>件</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bookmarkEnd w:id="828"/>
      <w:bookmarkEnd w:id="829"/>
      <w:bookmarkEnd w:id="830"/>
      <w:bookmarkEnd w:id="831"/>
      <w:bookmarkEnd w:id="832"/>
      <w:bookmarkEnd w:id="833"/>
      <w:bookmarkEnd w:id="834"/>
      <w:r>
        <w:rPr>
          <w:rFonts w:hint="eastAsia" w:ascii="宋体" w:hAnsi="宋体" w:eastAsia="宋体" w:cs="宋体"/>
          <w:color w:val="auto"/>
          <w:kern w:val="0"/>
          <w:sz w:val="28"/>
          <w:szCs w:val="28"/>
          <w:highlight w:val="none"/>
        </w:rPr>
        <w:t xml:space="preserve">                </w:t>
      </w:r>
      <w:r>
        <w:rPr>
          <w:rFonts w:hint="eastAsia" w:ascii="宋体" w:hAnsi="宋体" w:eastAsia="宋体" w:cs="宋体"/>
          <w:b/>
          <w:color w:val="auto"/>
          <w:kern w:val="0"/>
          <w:sz w:val="28"/>
          <w:szCs w:val="28"/>
          <w:highlight w:val="none"/>
        </w:rPr>
        <w:t xml:space="preserve">  </w:t>
      </w:r>
    </w:p>
    <w:p w14:paraId="4633ECE4">
      <w:pPr>
        <w:keepNext w:val="0"/>
        <w:keepLines w:val="0"/>
        <w:pageBreakBefore w:val="0"/>
        <w:kinsoku/>
        <w:wordWrap w:val="0"/>
        <w:overflowPunct/>
        <w:topLinePunct w:val="0"/>
        <w:autoSpaceDE/>
        <w:autoSpaceDN/>
        <w:bidi w:val="0"/>
        <w:adjustRightInd/>
        <w:snapToGrid/>
        <w:spacing w:after="200" w:afterLines="0" w:line="460" w:lineRule="exact"/>
        <w:jc w:val="center"/>
        <w:textAlignment w:val="auto"/>
        <w:outlineLvl w:val="0"/>
        <w:rPr>
          <w:rFonts w:hint="eastAsia" w:ascii="宋体" w:hAnsi="宋体" w:eastAsia="宋体" w:cs="宋体"/>
          <w:b/>
          <w:color w:val="auto"/>
          <w:kern w:val="0"/>
          <w:sz w:val="28"/>
          <w:szCs w:val="28"/>
          <w:highlight w:val="none"/>
        </w:rPr>
      </w:pPr>
      <w:bookmarkStart w:id="835" w:name="_Toc30087"/>
      <w:r>
        <w:rPr>
          <w:rFonts w:hint="eastAsia" w:ascii="宋体" w:hAnsi="宋体" w:eastAsia="宋体" w:cs="宋体"/>
          <w:b/>
          <w:color w:val="auto"/>
          <w:kern w:val="0"/>
          <w:sz w:val="28"/>
          <w:szCs w:val="28"/>
          <w:highlight w:val="none"/>
        </w:rPr>
        <w:t>履约担保</w:t>
      </w:r>
      <w:bookmarkEnd w:id="835"/>
    </w:p>
    <w:p w14:paraId="226DF44C">
      <w:pPr>
        <w:keepNext w:val="0"/>
        <w:keepLines w:val="0"/>
        <w:pageBreakBefore w:val="0"/>
        <w:widowControl w:val="0"/>
        <w:kinsoku/>
        <w:wordWrap w:val="0"/>
        <w:overflowPunct/>
        <w:topLinePunct w:val="0"/>
        <w:autoSpaceDE/>
        <w:autoSpaceDN/>
        <w:bidi w:val="0"/>
        <w:adjustRightInd/>
        <w:snapToGrid/>
        <w:spacing w:afterLines="0" w:line="500" w:lineRule="exac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ab/>
      </w:r>
      <w:r>
        <w:rPr>
          <w:rFonts w:hint="eastAsia" w:ascii="宋体" w:hAnsi="宋体" w:eastAsia="宋体" w:cs="宋体"/>
          <w:color w:val="auto"/>
          <w:kern w:val="0"/>
          <w:sz w:val="24"/>
          <w:szCs w:val="24"/>
          <w:highlight w:val="none"/>
        </w:rPr>
        <w:t>：</w:t>
      </w:r>
    </w:p>
    <w:p w14:paraId="7191C2EA">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b/>
          <w:color w:val="auto"/>
          <w:kern w:val="0"/>
          <w:sz w:val="24"/>
          <w:szCs w:val="24"/>
          <w:highlight w:val="none"/>
          <w:u w:val="single"/>
          <w:lang w:eastAsia="zh-CN"/>
        </w:rPr>
      </w:pPr>
      <w:r>
        <w:rPr>
          <w:rFonts w:hint="eastAsia" w:ascii="宋体" w:hAnsi="宋体" w:eastAsia="宋体" w:cs="宋体"/>
          <w:color w:val="auto"/>
          <w:kern w:val="0"/>
          <w:sz w:val="24"/>
          <w:szCs w:val="24"/>
          <w:highlight w:val="none"/>
        </w:rPr>
        <w:t>鉴于</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（发包人名称，以下简称“发包人”）与</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（承包人名称）（以下称“承包人”）于</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日就</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lang w:val="en-US" w:eastAsia="zh-CN"/>
        </w:rPr>
        <w:t xml:space="preserve">            </w:t>
      </w:r>
      <w:r>
        <w:rPr>
          <w:rFonts w:hint="eastAsia" w:ascii="宋体" w:hAnsi="宋体" w:eastAsia="宋体" w:cs="宋体"/>
          <w:b/>
          <w:color w:val="auto"/>
          <w:kern w:val="0"/>
          <w:sz w:val="24"/>
          <w:szCs w:val="24"/>
          <w:highlight w:val="none"/>
          <w:u w:val="single"/>
        </w:rPr>
        <w:t xml:space="preserve"> </w:t>
      </w:r>
    </w:p>
    <w:p w14:paraId="5AE56D0D">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2FFB7757">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 担保金额人民币（大写）</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元（¥</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元</w:t>
      </w:r>
      <w:r>
        <w:rPr>
          <w:rFonts w:hint="eastAsia" w:ascii="宋体" w:hAnsi="宋体" w:eastAsia="宋体" w:cs="宋体"/>
          <w:color w:val="auto"/>
          <w:kern w:val="0"/>
          <w:sz w:val="24"/>
          <w:szCs w:val="24"/>
          <w:highlight w:val="none"/>
        </w:rPr>
        <w:t>）。</w:t>
      </w:r>
    </w:p>
    <w:p w14:paraId="0648B8A3">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 担保有效期自你方与承包人签订的合同生效之日起至你方签发或应签发工程接收证书之日止。</w:t>
      </w:r>
    </w:p>
    <w:p w14:paraId="7C78931B">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 在本担保有效期内，因承包人违反合同约定的义务给你方造成经济损失时，我方在收到你方以书面形式提出的在担保金额内的赔偿要求后，在7天内无条件支付。</w:t>
      </w:r>
    </w:p>
    <w:p w14:paraId="05977BEE">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 你方和承包人按合同约定变更合同时，我方承担本担保规定的义务不变。</w:t>
      </w:r>
    </w:p>
    <w:p w14:paraId="7EF9D809">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 因本保函发生的纠纷，可由双方协商解决，协商不成的，任何一方均可提请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仲裁委员会仲裁。</w:t>
      </w:r>
    </w:p>
    <w:p w14:paraId="567F6EDD">
      <w:pPr>
        <w:keepNext w:val="0"/>
        <w:keepLines w:val="0"/>
        <w:pageBreakBefore w:val="0"/>
        <w:widowControl w:val="0"/>
        <w:kinsoku/>
        <w:wordWrap w:val="0"/>
        <w:overflowPunct/>
        <w:topLinePunct w:val="0"/>
        <w:autoSpaceDE/>
        <w:autoSpaceDN/>
        <w:bidi w:val="0"/>
        <w:adjustRightInd/>
        <w:snapToGrid/>
        <w:spacing w:afterLines="0" w:line="50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 本保函自我方法定代表人（或其授权代理人）签字并加盖公章之日起生效。</w:t>
      </w:r>
    </w:p>
    <w:p w14:paraId="67FC3BD4">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p>
    <w:p w14:paraId="05C1EB1A">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p>
    <w:p w14:paraId="7554DDBD">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担 保 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（盖单位章）</w:t>
      </w:r>
    </w:p>
    <w:p w14:paraId="0E43A5DD">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法定代表人或其委托代理人：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（签字）</w:t>
      </w:r>
    </w:p>
    <w:p w14:paraId="55F6E642">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u w:val="single"/>
        </w:rPr>
        <w:t xml:space="preserve">                                      </w:t>
      </w:r>
    </w:p>
    <w:p w14:paraId="183EC102">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r>
        <w:rPr>
          <w:rFonts w:hint="eastAsia" w:ascii="宋体" w:hAnsi="宋体" w:eastAsia="宋体" w:cs="宋体"/>
          <w:color w:val="auto"/>
          <w:kern w:val="0"/>
          <w:sz w:val="24"/>
          <w:szCs w:val="24"/>
          <w:highlight w:val="none"/>
          <w:u w:val="single"/>
        </w:rPr>
        <w:t xml:space="preserve">                                      </w:t>
      </w:r>
    </w:p>
    <w:p w14:paraId="3E66D9A8">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u w:val="single"/>
        </w:rPr>
        <w:t xml:space="preserve">                                      </w:t>
      </w:r>
    </w:p>
    <w:p w14:paraId="7B95ADFC">
      <w:pPr>
        <w:keepNext w:val="0"/>
        <w:keepLines w:val="0"/>
        <w:pageBreakBefore w:val="0"/>
        <w:kinsoku/>
        <w:wordWrap w:val="0"/>
        <w:overflowPunct/>
        <w:topLinePunct w:val="0"/>
        <w:autoSpaceDE/>
        <w:autoSpaceDN/>
        <w:bidi w:val="0"/>
        <w:adjustRightInd/>
        <w:snapToGrid/>
        <w:spacing w:after="200" w:afterLines="0" w:line="380" w:lineRule="exact"/>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    真：</w:t>
      </w:r>
      <w:r>
        <w:rPr>
          <w:rFonts w:hint="eastAsia" w:ascii="宋体" w:hAnsi="宋体" w:eastAsia="宋体" w:cs="宋体"/>
          <w:color w:val="auto"/>
          <w:kern w:val="0"/>
          <w:sz w:val="24"/>
          <w:szCs w:val="24"/>
          <w:highlight w:val="none"/>
          <w:u w:val="single"/>
        </w:rPr>
        <w:t xml:space="preserve">                                      </w:t>
      </w:r>
    </w:p>
    <w:p w14:paraId="088DCD19">
      <w:pPr>
        <w:keepNext w:val="0"/>
        <w:keepLines w:val="0"/>
        <w:pageBreakBefore w:val="0"/>
        <w:kinsoku/>
        <w:wordWrap w:val="0"/>
        <w:overflowPunct/>
        <w:topLinePunct w:val="0"/>
        <w:autoSpaceDE/>
        <w:autoSpaceDN/>
        <w:bidi w:val="0"/>
        <w:adjustRightInd/>
        <w:snapToGrid/>
        <w:spacing w:after="200" w:afterLines="0" w:line="380" w:lineRule="exact"/>
        <w:ind w:left="1772" w:hanging="1519" w:hangingChars="633"/>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526F8C65">
      <w:pPr>
        <w:pStyle w:val="3"/>
        <w:spacing w:line="440" w:lineRule="exact"/>
        <w:jc w:val="center"/>
        <w:rPr>
          <w:rFonts w:hint="eastAsia" w:ascii="宋体" w:hAnsi="宋体" w:eastAsia="宋体" w:cs="宋体"/>
          <w:color w:val="auto"/>
          <w:sz w:val="30"/>
          <w:szCs w:val="30"/>
          <w:highlight w:val="none"/>
        </w:rPr>
      </w:pPr>
      <w:bookmarkStart w:id="836" w:name="_Toc17683"/>
      <w:bookmarkStart w:id="837" w:name="_Toc8156"/>
      <w:bookmarkStart w:id="838" w:name="_Toc28954"/>
      <w:bookmarkStart w:id="839" w:name="_Toc3166"/>
      <w:r>
        <w:rPr>
          <w:rFonts w:hint="eastAsia" w:ascii="宋体" w:hAnsi="宋体" w:eastAsia="宋体" w:cs="宋体"/>
          <w:color w:val="auto"/>
          <w:sz w:val="30"/>
          <w:szCs w:val="30"/>
          <w:highlight w:val="none"/>
        </w:rPr>
        <w:t xml:space="preserve">第五章 </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lang w:eastAsia="zh-CN"/>
        </w:rPr>
        <w:t>响应</w:t>
      </w:r>
      <w:r>
        <w:rPr>
          <w:rFonts w:hint="eastAsia" w:ascii="宋体" w:hAnsi="宋体" w:eastAsia="宋体" w:cs="宋体"/>
          <w:color w:val="auto"/>
          <w:sz w:val="30"/>
          <w:szCs w:val="30"/>
          <w:highlight w:val="none"/>
        </w:rPr>
        <w:t>文件格式</w:t>
      </w:r>
      <w:bookmarkEnd w:id="836"/>
      <w:bookmarkEnd w:id="837"/>
      <w:bookmarkEnd w:id="838"/>
      <w:bookmarkEnd w:id="839"/>
    </w:p>
    <w:p w14:paraId="623287B2">
      <w:pPr>
        <w:pStyle w:val="28"/>
        <w:ind w:firstLine="0"/>
        <w:rPr>
          <w:rFonts w:hint="eastAsia" w:ascii="宋体" w:hAnsi="宋体" w:eastAsia="宋体" w:cs="宋体"/>
          <w:bCs/>
          <w:color w:val="auto"/>
          <w:kern w:val="44"/>
          <w:szCs w:val="28"/>
          <w:highlight w:val="none"/>
        </w:rPr>
      </w:pPr>
    </w:p>
    <w:p w14:paraId="5638E5AE">
      <w:pPr>
        <w:pStyle w:val="28"/>
        <w:ind w:firstLine="0"/>
        <w:rPr>
          <w:rFonts w:hint="eastAsia" w:ascii="宋体" w:hAnsi="宋体" w:eastAsia="宋体" w:cs="宋体"/>
          <w:color w:val="auto"/>
          <w:highlight w:val="none"/>
        </w:rPr>
      </w:pPr>
      <w:r>
        <w:rPr>
          <w:rFonts w:hint="eastAsia" w:ascii="宋体" w:hAnsi="宋体" w:eastAsia="宋体" w:cs="宋体"/>
          <w:bCs/>
          <w:color w:val="auto"/>
          <w:kern w:val="44"/>
          <w:szCs w:val="28"/>
          <w:highlight w:val="none"/>
        </w:rPr>
        <w:t>封面</w:t>
      </w:r>
    </w:p>
    <w:p w14:paraId="60047CE5">
      <w:pP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 </w:t>
      </w:r>
    </w:p>
    <w:p w14:paraId="1A23A157">
      <w:pPr>
        <w:pStyle w:val="28"/>
        <w:rPr>
          <w:rFonts w:hint="eastAsia" w:ascii="宋体" w:hAnsi="宋体" w:eastAsia="宋体" w:cs="宋体"/>
          <w:color w:val="auto"/>
          <w:highlight w:val="none"/>
        </w:rPr>
      </w:pPr>
    </w:p>
    <w:p w14:paraId="64B3D54B">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          </w:t>
      </w:r>
      <w:r>
        <w:rPr>
          <w:rFonts w:hint="eastAsia" w:ascii="宋体" w:hAnsi="宋体" w:eastAsia="宋体" w:cs="宋体"/>
          <w:bCs/>
          <w:color w:val="auto"/>
          <w:sz w:val="36"/>
          <w:szCs w:val="36"/>
          <w:highlight w:val="none"/>
          <w:u w:val="single"/>
        </w:rPr>
        <w:t xml:space="preserve">          </w:t>
      </w:r>
      <w:r>
        <w:rPr>
          <w:rFonts w:hint="eastAsia" w:ascii="宋体" w:hAnsi="宋体" w:eastAsia="宋体" w:cs="宋体"/>
          <w:bCs/>
          <w:color w:val="auto"/>
          <w:sz w:val="30"/>
          <w:szCs w:val="30"/>
          <w:highlight w:val="none"/>
          <w:u w:val="single"/>
        </w:rPr>
        <w:t xml:space="preserve">（项目名称） </w:t>
      </w:r>
      <w:r>
        <w:rPr>
          <w:rFonts w:hint="eastAsia" w:ascii="宋体" w:hAnsi="宋体" w:eastAsia="宋体" w:cs="宋体"/>
          <w:bCs/>
          <w:color w:val="auto"/>
          <w:sz w:val="36"/>
          <w:szCs w:val="36"/>
          <w:highlight w:val="none"/>
          <w:u w:val="single"/>
        </w:rPr>
        <w:t xml:space="preserve">           </w:t>
      </w:r>
    </w:p>
    <w:p w14:paraId="3C8A33AE">
      <w:pPr>
        <w:rPr>
          <w:rFonts w:hint="eastAsia" w:ascii="宋体" w:hAnsi="宋体" w:eastAsia="宋体" w:cs="宋体"/>
          <w:bCs/>
          <w:color w:val="auto"/>
          <w:sz w:val="32"/>
          <w:szCs w:val="32"/>
          <w:highlight w:val="none"/>
        </w:rPr>
      </w:pPr>
    </w:p>
    <w:p w14:paraId="2A103B1E">
      <w:pPr>
        <w:rPr>
          <w:rFonts w:hint="eastAsia" w:ascii="宋体" w:hAnsi="宋体" w:eastAsia="宋体" w:cs="宋体"/>
          <w:bCs/>
          <w:color w:val="auto"/>
          <w:sz w:val="32"/>
          <w:szCs w:val="32"/>
          <w:highlight w:val="none"/>
        </w:rPr>
      </w:pPr>
    </w:p>
    <w:p w14:paraId="6F98607F">
      <w:pPr>
        <w:pStyle w:val="28"/>
        <w:rPr>
          <w:rFonts w:hint="eastAsia" w:ascii="宋体" w:hAnsi="宋体" w:eastAsia="宋体" w:cs="宋体"/>
          <w:color w:val="auto"/>
          <w:highlight w:val="none"/>
        </w:rPr>
      </w:pPr>
    </w:p>
    <w:p w14:paraId="65D5A12D">
      <w:pPr>
        <w:rPr>
          <w:rFonts w:hint="eastAsia" w:ascii="宋体" w:hAnsi="宋体" w:eastAsia="宋体" w:cs="宋体"/>
          <w:bCs/>
          <w:color w:val="auto"/>
          <w:sz w:val="32"/>
          <w:szCs w:val="32"/>
          <w:highlight w:val="none"/>
        </w:rPr>
      </w:pPr>
    </w:p>
    <w:p w14:paraId="473A9D15">
      <w:pPr>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lang w:eastAsia="zh-CN"/>
        </w:rPr>
        <w:t>响</w:t>
      </w:r>
      <w:r>
        <w:rPr>
          <w:rFonts w:hint="eastAsia" w:ascii="宋体" w:hAnsi="宋体" w:eastAsia="宋体" w:cs="宋体"/>
          <w:b/>
          <w:color w:val="auto"/>
          <w:sz w:val="48"/>
          <w:szCs w:val="48"/>
          <w:highlight w:val="none"/>
          <w:lang w:val="en-US" w:eastAsia="zh-CN"/>
        </w:rPr>
        <w:t xml:space="preserve"> </w:t>
      </w:r>
      <w:r>
        <w:rPr>
          <w:rFonts w:hint="eastAsia" w:ascii="宋体" w:hAnsi="宋体" w:eastAsia="宋体" w:cs="宋体"/>
          <w:b/>
          <w:color w:val="auto"/>
          <w:sz w:val="48"/>
          <w:szCs w:val="48"/>
          <w:highlight w:val="none"/>
          <w:lang w:eastAsia="zh-CN"/>
        </w:rPr>
        <w:t>应</w:t>
      </w:r>
      <w:r>
        <w:rPr>
          <w:rFonts w:hint="eastAsia" w:ascii="宋体" w:hAnsi="宋体" w:eastAsia="宋体" w:cs="宋体"/>
          <w:b/>
          <w:color w:val="auto"/>
          <w:sz w:val="48"/>
          <w:szCs w:val="48"/>
          <w:highlight w:val="none"/>
        </w:rPr>
        <w:t xml:space="preserve"> 文 件</w:t>
      </w:r>
    </w:p>
    <w:p w14:paraId="1F5A989B">
      <w:pPr>
        <w:ind w:firstLine="2800" w:firstLineChars="10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项目编号： </w:t>
      </w:r>
      <w:r>
        <w:rPr>
          <w:rFonts w:hint="eastAsia" w:ascii="宋体" w:hAnsi="宋体" w:eastAsia="宋体" w:cs="宋体"/>
          <w:bCs/>
          <w:color w:val="auto"/>
          <w:sz w:val="28"/>
          <w:szCs w:val="28"/>
          <w:highlight w:val="none"/>
          <w:u w:val="single"/>
        </w:rPr>
        <w:t xml:space="preserve">                    </w:t>
      </w:r>
    </w:p>
    <w:p w14:paraId="275E67CC">
      <w:pPr>
        <w:rPr>
          <w:rFonts w:hint="eastAsia" w:ascii="宋体" w:hAnsi="宋体" w:eastAsia="宋体" w:cs="宋体"/>
          <w:bCs/>
          <w:color w:val="auto"/>
          <w:sz w:val="32"/>
          <w:szCs w:val="32"/>
          <w:highlight w:val="none"/>
        </w:rPr>
      </w:pPr>
    </w:p>
    <w:p w14:paraId="540086A4">
      <w:pPr>
        <w:rPr>
          <w:rFonts w:hint="eastAsia" w:ascii="宋体" w:hAnsi="宋体" w:eastAsia="宋体" w:cs="宋体"/>
          <w:bCs/>
          <w:color w:val="auto"/>
          <w:sz w:val="32"/>
          <w:szCs w:val="32"/>
          <w:highlight w:val="none"/>
        </w:rPr>
      </w:pPr>
    </w:p>
    <w:p w14:paraId="3447FA06">
      <w:pPr>
        <w:rPr>
          <w:rFonts w:hint="eastAsia" w:ascii="宋体" w:hAnsi="宋体" w:eastAsia="宋体" w:cs="宋体"/>
          <w:bCs/>
          <w:color w:val="auto"/>
          <w:sz w:val="32"/>
          <w:szCs w:val="32"/>
          <w:highlight w:val="none"/>
        </w:rPr>
      </w:pPr>
    </w:p>
    <w:p w14:paraId="3EEC2A3A">
      <w:pPr>
        <w:pStyle w:val="46"/>
        <w:rPr>
          <w:rFonts w:hint="eastAsia" w:ascii="宋体" w:hAnsi="宋体" w:eastAsia="宋体" w:cs="宋体"/>
          <w:color w:val="auto"/>
          <w:highlight w:val="none"/>
        </w:rPr>
      </w:pPr>
    </w:p>
    <w:p w14:paraId="37ECC79E">
      <w:pPr>
        <w:pStyle w:val="28"/>
        <w:rPr>
          <w:rFonts w:hint="eastAsia" w:ascii="宋体" w:hAnsi="宋体" w:eastAsia="宋体" w:cs="宋体"/>
          <w:color w:val="auto"/>
          <w:highlight w:val="none"/>
        </w:rPr>
      </w:pPr>
    </w:p>
    <w:p w14:paraId="37C0FDF2">
      <w:pPr>
        <w:spacing w:line="50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电子签章</w:t>
      </w:r>
      <w:r>
        <w:rPr>
          <w:rFonts w:hint="eastAsia" w:ascii="宋体" w:hAnsi="宋体" w:eastAsia="宋体" w:cs="宋体"/>
          <w:bCs/>
          <w:color w:val="auto"/>
          <w:sz w:val="24"/>
          <w:highlight w:val="none"/>
        </w:rPr>
        <w:t xml:space="preserve">)         </w:t>
      </w:r>
    </w:p>
    <w:p w14:paraId="083BFE0A">
      <w:pPr>
        <w:spacing w:line="50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地  址：</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79B5B121">
      <w:pPr>
        <w:spacing w:line="50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法定代表人或其委托代理人：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电子签章</w:t>
      </w:r>
      <w:r>
        <w:rPr>
          <w:rFonts w:hint="eastAsia" w:ascii="宋体" w:hAnsi="宋体" w:eastAsia="宋体" w:cs="宋体"/>
          <w:bCs/>
          <w:color w:val="auto"/>
          <w:sz w:val="24"/>
          <w:highlight w:val="none"/>
        </w:rPr>
        <w:t xml:space="preserve">）      </w:t>
      </w:r>
    </w:p>
    <w:p w14:paraId="67D7039D">
      <w:pPr>
        <w:spacing w:line="50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联系人：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联系电话：</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5DEBB06F">
      <w:pPr>
        <w:spacing w:line="50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4AAC1D83">
      <w:pPr>
        <w:spacing w:line="500" w:lineRule="exact"/>
        <w:ind w:firstLine="960" w:firstLineChars="400"/>
        <w:rPr>
          <w:rFonts w:hint="eastAsia" w:ascii="宋体" w:hAnsi="宋体" w:eastAsia="宋体" w:cs="宋体"/>
          <w:bCs/>
          <w:color w:val="auto"/>
          <w:sz w:val="24"/>
          <w:highlight w:val="none"/>
        </w:rPr>
      </w:pPr>
    </w:p>
    <w:p w14:paraId="18DB4BE2">
      <w:pPr>
        <w:spacing w:line="500" w:lineRule="exact"/>
        <w:ind w:firstLine="960" w:firstLineChars="400"/>
        <w:rPr>
          <w:rFonts w:hint="eastAsia" w:ascii="宋体" w:hAnsi="宋体" w:eastAsia="宋体" w:cs="宋体"/>
          <w:bCs/>
          <w:color w:val="auto"/>
          <w:sz w:val="24"/>
          <w:highlight w:val="none"/>
        </w:rPr>
      </w:pPr>
    </w:p>
    <w:p w14:paraId="42BDDE6D">
      <w:pPr>
        <w:spacing w:line="500" w:lineRule="exact"/>
        <w:ind w:firstLine="960" w:firstLineChars="400"/>
        <w:rPr>
          <w:rFonts w:hint="eastAsia" w:ascii="宋体" w:hAnsi="宋体" w:eastAsia="宋体" w:cs="宋体"/>
          <w:bCs/>
          <w:color w:val="auto"/>
          <w:sz w:val="24"/>
          <w:highlight w:val="none"/>
        </w:rPr>
      </w:pPr>
    </w:p>
    <w:p w14:paraId="74B0B8ED">
      <w:pPr>
        <w:spacing w:line="500" w:lineRule="exact"/>
        <w:ind w:firstLine="1124" w:firstLineChars="400"/>
        <w:jc w:val="center"/>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t>目</w:t>
      </w:r>
      <w:r>
        <w:rPr>
          <w:rFonts w:hint="eastAsia" w:ascii="宋体" w:hAnsi="宋体" w:eastAsia="宋体" w:cs="宋体"/>
          <w:b/>
          <w:bCs w:val="0"/>
          <w:color w:val="auto"/>
          <w:sz w:val="28"/>
          <w:szCs w:val="28"/>
          <w:highlight w:val="none"/>
          <w:lang w:val="en-US" w:eastAsia="zh-CN"/>
        </w:rPr>
        <w:t xml:space="preserve"> </w:t>
      </w:r>
      <w:r>
        <w:rPr>
          <w:rFonts w:hint="eastAsia" w:ascii="宋体" w:hAnsi="宋体" w:eastAsia="宋体" w:cs="宋体"/>
          <w:b/>
          <w:bCs w:val="0"/>
          <w:color w:val="auto"/>
          <w:sz w:val="28"/>
          <w:szCs w:val="28"/>
          <w:highlight w:val="none"/>
          <w:lang w:eastAsia="zh-CN"/>
        </w:rPr>
        <w:t>录</w:t>
      </w:r>
    </w:p>
    <w:p w14:paraId="61205859">
      <w:pPr>
        <w:pageBreakBefore w:val="0"/>
        <w:numPr>
          <w:ilvl w:val="0"/>
          <w:numId w:val="11"/>
        </w:numPr>
        <w:wordWrap w:val="0"/>
        <w:overflowPunct/>
        <w:spacing w:line="520" w:lineRule="exact"/>
        <w:ind w:left="70" w:leftChars="0" w:firstLine="56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投标报价一览表</w:t>
      </w:r>
      <w:r>
        <w:rPr>
          <w:rFonts w:hint="eastAsia" w:ascii="宋体" w:hAnsi="宋体" w:eastAsia="宋体" w:cs="宋体"/>
          <w:color w:val="auto"/>
          <w:sz w:val="24"/>
          <w:szCs w:val="24"/>
          <w:highlight w:val="none"/>
        </w:rPr>
        <w:t>；</w:t>
      </w:r>
    </w:p>
    <w:p w14:paraId="24EB100E">
      <w:pPr>
        <w:pageBreakBefore w:val="0"/>
        <w:numPr>
          <w:ilvl w:val="0"/>
          <w:numId w:val="11"/>
        </w:numPr>
        <w:wordWrap w:val="0"/>
        <w:overflowPunct/>
        <w:spacing w:line="520" w:lineRule="exact"/>
        <w:ind w:left="70" w:leftChars="0" w:firstLine="56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磋商函</w:t>
      </w:r>
      <w:r>
        <w:rPr>
          <w:rFonts w:hint="eastAsia" w:ascii="宋体" w:hAnsi="宋体" w:eastAsia="宋体" w:cs="宋体"/>
          <w:color w:val="auto"/>
          <w:sz w:val="24"/>
          <w:szCs w:val="24"/>
          <w:highlight w:val="none"/>
        </w:rPr>
        <w:t>；</w:t>
      </w:r>
    </w:p>
    <w:p w14:paraId="39DD69D4">
      <w:pPr>
        <w:pageBreakBefore w:val="0"/>
        <w:numPr>
          <w:ilvl w:val="0"/>
          <w:numId w:val="11"/>
        </w:numPr>
        <w:wordWrap w:val="0"/>
        <w:overflowPunct/>
        <w:spacing w:line="520" w:lineRule="exact"/>
        <w:ind w:left="70" w:leftChars="0" w:firstLine="56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声明函；</w:t>
      </w:r>
    </w:p>
    <w:p w14:paraId="028C7ED1">
      <w:pPr>
        <w:pageBreakBefore w:val="0"/>
        <w:numPr>
          <w:ilvl w:val="0"/>
          <w:numId w:val="11"/>
        </w:numPr>
        <w:wordWrap w:val="0"/>
        <w:overflowPunct/>
        <w:spacing w:line="520" w:lineRule="exact"/>
        <w:ind w:left="70" w:leftChars="0" w:firstLine="56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供应商基本情况表</w:t>
      </w:r>
      <w:r>
        <w:rPr>
          <w:rFonts w:hint="eastAsia" w:ascii="宋体" w:hAnsi="宋体" w:eastAsia="宋体" w:cs="宋体"/>
          <w:color w:val="auto"/>
          <w:sz w:val="24"/>
          <w:szCs w:val="24"/>
          <w:highlight w:val="none"/>
        </w:rPr>
        <w:t>；</w:t>
      </w:r>
    </w:p>
    <w:p w14:paraId="611FD2BF">
      <w:pPr>
        <w:pageBreakBefore w:val="0"/>
        <w:numPr>
          <w:ilvl w:val="0"/>
          <w:numId w:val="11"/>
        </w:numPr>
        <w:wordWrap w:val="0"/>
        <w:overflowPunct/>
        <w:spacing w:line="520" w:lineRule="exact"/>
        <w:ind w:left="70" w:leftChars="0" w:firstLine="56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资格证明材料</w:t>
      </w:r>
      <w:r>
        <w:rPr>
          <w:rFonts w:hint="eastAsia" w:ascii="宋体" w:hAnsi="宋体" w:eastAsia="宋体" w:cs="宋体"/>
          <w:color w:val="auto"/>
          <w:sz w:val="24"/>
          <w:szCs w:val="24"/>
          <w:highlight w:val="none"/>
        </w:rPr>
        <w:t>；</w:t>
      </w:r>
    </w:p>
    <w:p w14:paraId="3570014C">
      <w:pPr>
        <w:pageBreakBefore w:val="0"/>
        <w:numPr>
          <w:ilvl w:val="0"/>
          <w:numId w:val="11"/>
        </w:numPr>
        <w:wordWrap w:val="0"/>
        <w:overflowPunct/>
        <w:spacing w:line="520" w:lineRule="exact"/>
        <w:ind w:left="70" w:leftChars="0" w:firstLine="56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供应商关于资格的声明函（格式）；</w:t>
      </w:r>
    </w:p>
    <w:p w14:paraId="1E73C5EE">
      <w:pPr>
        <w:pageBreakBefore w:val="0"/>
        <w:numPr>
          <w:ilvl w:val="0"/>
          <w:numId w:val="11"/>
        </w:numPr>
        <w:wordWrap w:val="0"/>
        <w:overflowPunct/>
        <w:spacing w:line="520" w:lineRule="exact"/>
        <w:ind w:left="70" w:leftChars="0" w:firstLine="56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承诺书；</w:t>
      </w:r>
    </w:p>
    <w:p w14:paraId="29AB2ECA">
      <w:pPr>
        <w:pageBreakBefore w:val="0"/>
        <w:numPr>
          <w:ilvl w:val="0"/>
          <w:numId w:val="11"/>
        </w:numPr>
        <w:wordWrap w:val="0"/>
        <w:overflowPunct/>
        <w:spacing w:line="520" w:lineRule="exact"/>
        <w:ind w:left="70" w:leftChars="0" w:firstLine="56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技术方案</w:t>
      </w:r>
      <w:r>
        <w:rPr>
          <w:rFonts w:hint="eastAsia" w:ascii="宋体" w:hAnsi="宋体" w:eastAsia="宋体" w:cs="宋体"/>
          <w:color w:val="auto"/>
          <w:sz w:val="24"/>
          <w:szCs w:val="24"/>
          <w:highlight w:val="none"/>
        </w:rPr>
        <w:t>；</w:t>
      </w:r>
    </w:p>
    <w:p w14:paraId="729B2438">
      <w:pPr>
        <w:pageBreakBefore w:val="0"/>
        <w:numPr>
          <w:ilvl w:val="0"/>
          <w:numId w:val="11"/>
        </w:numPr>
        <w:wordWrap w:val="0"/>
        <w:overflowPunct/>
        <w:spacing w:line="520" w:lineRule="exact"/>
        <w:ind w:left="70" w:leftChars="0" w:firstLine="56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近三年已完成的类似项目情况表；</w:t>
      </w:r>
    </w:p>
    <w:p w14:paraId="41B2FD7A">
      <w:pPr>
        <w:pageBreakBefore w:val="0"/>
        <w:numPr>
          <w:ilvl w:val="0"/>
          <w:numId w:val="11"/>
        </w:numPr>
        <w:wordWrap w:val="0"/>
        <w:overflowPunct/>
        <w:spacing w:line="520" w:lineRule="exact"/>
        <w:ind w:left="70" w:leftChars="0" w:firstLine="56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已标价工程量清单；</w:t>
      </w:r>
    </w:p>
    <w:p w14:paraId="27FC9926">
      <w:pPr>
        <w:pageBreakBefore w:val="0"/>
        <w:numPr>
          <w:ilvl w:val="0"/>
          <w:numId w:val="11"/>
        </w:numPr>
        <w:wordWrap w:val="0"/>
        <w:overflowPunct/>
        <w:spacing w:line="520" w:lineRule="exact"/>
        <w:ind w:left="70" w:leftChars="0" w:firstLine="56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供应商认为需要提供的其他相关资料</w:t>
      </w:r>
      <w:r>
        <w:rPr>
          <w:rFonts w:hint="eastAsia" w:ascii="宋体" w:hAnsi="宋体" w:cs="宋体"/>
          <w:color w:val="auto"/>
          <w:sz w:val="24"/>
          <w:szCs w:val="24"/>
          <w:highlight w:val="none"/>
          <w:lang w:val="en-US" w:eastAsia="zh-CN"/>
        </w:rPr>
        <w:t>。</w:t>
      </w:r>
    </w:p>
    <w:p w14:paraId="2373C8FF">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405895F9">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6D0546AF">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12F4F363">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362BC071">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462200F0">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6B90528E">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320E7530">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79A0AD12">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480E1054">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3E5EA9FE">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5D0EB681">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739C7FB9">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3EF85011">
      <w:pPr>
        <w:pageBreakBefore w:val="0"/>
        <w:widowControl w:val="0"/>
        <w:numPr>
          <w:ilvl w:val="0"/>
          <w:numId w:val="0"/>
        </w:numPr>
        <w:wordWrap w:val="0"/>
        <w:overflowPunct/>
        <w:spacing w:line="520" w:lineRule="exact"/>
        <w:jc w:val="both"/>
        <w:rPr>
          <w:rFonts w:hint="eastAsia" w:ascii="宋体" w:hAnsi="宋体" w:cs="宋体"/>
          <w:color w:val="auto"/>
          <w:sz w:val="24"/>
          <w:szCs w:val="24"/>
          <w:highlight w:val="none"/>
          <w:lang w:val="en-US" w:eastAsia="zh-CN"/>
        </w:rPr>
      </w:pPr>
    </w:p>
    <w:p w14:paraId="13F8063E">
      <w:pPr>
        <w:pStyle w:val="4"/>
        <w:spacing w:before="0" w:after="0" w:line="360" w:lineRule="auto"/>
        <w:ind w:left="0" w:leftChars="0" w:right="0" w:rightChars="0" w:firstLine="0" w:firstLineChars="0"/>
        <w:jc w:val="center"/>
        <w:rPr>
          <w:rFonts w:hint="eastAsia" w:ascii="宋体" w:hAnsi="宋体" w:eastAsia="宋体" w:cs="宋体"/>
          <w:color w:val="auto"/>
          <w:kern w:val="0"/>
          <w:sz w:val="28"/>
          <w:szCs w:val="28"/>
          <w:highlight w:val="none"/>
        </w:rPr>
      </w:pPr>
      <w:bookmarkStart w:id="840" w:name="_Toc25391"/>
      <w:bookmarkStart w:id="841" w:name="_Toc12442"/>
      <w:bookmarkStart w:id="842" w:name="_Toc14039"/>
      <w:r>
        <w:rPr>
          <w:rFonts w:hint="eastAsia" w:ascii="宋体" w:hAnsi="宋体" w:eastAsia="宋体" w:cs="宋体"/>
          <w:color w:val="auto"/>
          <w:kern w:val="0"/>
          <w:sz w:val="28"/>
          <w:szCs w:val="28"/>
          <w:highlight w:val="none"/>
        </w:rPr>
        <w:t>一、</w:t>
      </w:r>
      <w:r>
        <w:rPr>
          <w:rFonts w:hint="eastAsia" w:ascii="宋体" w:hAnsi="宋体" w:eastAsia="宋体" w:cs="宋体"/>
          <w:color w:val="auto"/>
          <w:kern w:val="0"/>
          <w:sz w:val="28"/>
          <w:szCs w:val="28"/>
          <w:highlight w:val="none"/>
          <w:lang w:eastAsia="zh-CN"/>
        </w:rPr>
        <w:t>投标</w:t>
      </w:r>
      <w:r>
        <w:rPr>
          <w:rFonts w:hint="eastAsia" w:ascii="宋体" w:hAnsi="宋体" w:eastAsia="宋体" w:cs="宋体"/>
          <w:color w:val="auto"/>
          <w:kern w:val="0"/>
          <w:sz w:val="28"/>
          <w:szCs w:val="28"/>
          <w:highlight w:val="none"/>
        </w:rPr>
        <w:t>报价一览表</w:t>
      </w:r>
      <w:bookmarkEnd w:id="840"/>
      <w:bookmarkEnd w:id="841"/>
      <w:bookmarkEnd w:id="842"/>
    </w:p>
    <w:p w14:paraId="2E518A37">
      <w:pPr>
        <w:pStyle w:val="17"/>
        <w:widowControl/>
        <w:tabs>
          <w:tab w:val="left" w:pos="5580"/>
        </w:tabs>
        <w:spacing w:before="120" w:line="360" w:lineRule="auto"/>
        <w:rPr>
          <w:rFonts w:hint="eastAsia" w:ascii="宋体" w:hAnsi="宋体" w:eastAsia="宋体" w:cs="宋体"/>
          <w:b/>
          <w:color w:val="auto"/>
          <w:sz w:val="24"/>
          <w:highlight w:val="none"/>
        </w:rPr>
      </w:pPr>
    </w:p>
    <w:p w14:paraId="37A96194">
      <w:pPr>
        <w:pStyle w:val="17"/>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       项目名称：</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 xml:space="preserve">                  项目编号：</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rPr>
        <w:t xml:space="preserve"> </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07"/>
        <w:gridCol w:w="5076"/>
      </w:tblGrid>
      <w:tr w14:paraId="56429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jc w:val="center"/>
        </w:trPr>
        <w:tc>
          <w:tcPr>
            <w:tcW w:w="817" w:type="dxa"/>
            <w:vAlign w:val="center"/>
          </w:tcPr>
          <w:p w14:paraId="58410163">
            <w:pPr>
              <w:pStyle w:val="17"/>
              <w:jc w:val="center"/>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序号</w:t>
            </w:r>
          </w:p>
        </w:tc>
        <w:tc>
          <w:tcPr>
            <w:tcW w:w="2907" w:type="dxa"/>
            <w:vAlign w:val="center"/>
          </w:tcPr>
          <w:p w14:paraId="5E50BCA9">
            <w:pPr>
              <w:pStyle w:val="17"/>
              <w:jc w:val="center"/>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项目</w:t>
            </w:r>
          </w:p>
        </w:tc>
        <w:tc>
          <w:tcPr>
            <w:tcW w:w="5076" w:type="dxa"/>
            <w:vAlign w:val="center"/>
          </w:tcPr>
          <w:p w14:paraId="69659505">
            <w:pPr>
              <w:pStyle w:val="17"/>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r>
      <w:tr w14:paraId="5065D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5" w:hRule="atLeast"/>
          <w:jc w:val="center"/>
        </w:trPr>
        <w:tc>
          <w:tcPr>
            <w:tcW w:w="817" w:type="dxa"/>
            <w:vAlign w:val="center"/>
          </w:tcPr>
          <w:p w14:paraId="53294A38">
            <w:pPr>
              <w:pStyle w:val="1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p>
        </w:tc>
        <w:tc>
          <w:tcPr>
            <w:tcW w:w="2907" w:type="dxa"/>
            <w:vAlign w:val="center"/>
          </w:tcPr>
          <w:p w14:paraId="73BA91F7">
            <w:pPr>
              <w:pStyle w:val="17"/>
              <w:jc w:val="center"/>
              <w:rPr>
                <w:rFonts w:hint="eastAsia" w:ascii="宋体" w:hAnsi="宋体" w:eastAsia="宋体" w:cs="宋体"/>
                <w:color w:val="auto"/>
                <w:sz w:val="24"/>
                <w:szCs w:val="24"/>
                <w:highlight w:val="none"/>
              </w:rPr>
            </w:pPr>
            <w:r>
              <w:rPr>
                <w:rFonts w:hint="eastAsia" w:ascii="宋体" w:hAnsi="宋体" w:eastAsia="宋体" w:cs="宋体"/>
                <w:b/>
                <w:color w:val="auto"/>
                <w:spacing w:val="-20"/>
                <w:sz w:val="24"/>
                <w:szCs w:val="24"/>
                <w:highlight w:val="none"/>
                <w:lang w:val="en-US" w:eastAsia="zh-CN"/>
              </w:rPr>
              <w:t>首轮</w:t>
            </w:r>
            <w:r>
              <w:rPr>
                <w:rFonts w:hint="eastAsia" w:hAnsi="宋体" w:cs="宋体"/>
                <w:b/>
                <w:color w:val="auto"/>
                <w:spacing w:val="-20"/>
                <w:sz w:val="24"/>
                <w:szCs w:val="24"/>
                <w:highlight w:val="none"/>
                <w:lang w:val="en-US" w:eastAsia="zh-CN"/>
              </w:rPr>
              <w:t>磋商</w:t>
            </w:r>
            <w:r>
              <w:rPr>
                <w:rFonts w:hint="eastAsia" w:ascii="宋体" w:hAnsi="宋体" w:eastAsia="宋体" w:cs="宋体"/>
                <w:b/>
                <w:color w:val="auto"/>
                <w:spacing w:val="-20"/>
                <w:sz w:val="24"/>
                <w:szCs w:val="24"/>
                <w:highlight w:val="none"/>
              </w:rPr>
              <w:t>总报价（元）</w:t>
            </w:r>
          </w:p>
        </w:tc>
        <w:tc>
          <w:tcPr>
            <w:tcW w:w="5076" w:type="dxa"/>
            <w:vAlign w:val="center"/>
          </w:tcPr>
          <w:p w14:paraId="697F3FA5">
            <w:pPr>
              <w:pStyle w:val="17"/>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小写：</w:t>
            </w:r>
            <w:r>
              <w:rPr>
                <w:rFonts w:hint="eastAsia" w:ascii="宋体" w:hAnsi="宋体" w:eastAsia="宋体" w:cs="宋体"/>
                <w:b/>
                <w:color w:val="auto"/>
                <w:sz w:val="24"/>
                <w:szCs w:val="24"/>
                <w:highlight w:val="none"/>
                <w:u w:val="single"/>
              </w:rPr>
              <w:t xml:space="preserve">                      </w:t>
            </w:r>
          </w:p>
          <w:p w14:paraId="19E5177B">
            <w:pPr>
              <w:pStyle w:val="17"/>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大写：</w:t>
            </w:r>
            <w:r>
              <w:rPr>
                <w:rFonts w:hint="eastAsia" w:ascii="宋体" w:hAnsi="宋体" w:eastAsia="宋体" w:cs="宋体"/>
                <w:b/>
                <w:color w:val="auto"/>
                <w:sz w:val="24"/>
                <w:szCs w:val="24"/>
                <w:highlight w:val="none"/>
                <w:u w:val="single"/>
              </w:rPr>
              <w:t xml:space="preserve">                      </w:t>
            </w:r>
          </w:p>
        </w:tc>
      </w:tr>
      <w:tr w14:paraId="4504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817" w:type="dxa"/>
            <w:vAlign w:val="center"/>
          </w:tcPr>
          <w:p w14:paraId="422D76A5">
            <w:pPr>
              <w:pStyle w:val="17"/>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p>
        </w:tc>
        <w:tc>
          <w:tcPr>
            <w:tcW w:w="2907" w:type="dxa"/>
            <w:vAlign w:val="center"/>
          </w:tcPr>
          <w:p w14:paraId="518780BD">
            <w:pPr>
              <w:pStyle w:val="17"/>
              <w:jc w:val="center"/>
              <w:rPr>
                <w:rFonts w:hint="eastAsia" w:ascii="宋体" w:hAnsi="宋体" w:eastAsia="宋体" w:cs="宋体"/>
                <w:b/>
                <w:color w:val="auto"/>
                <w:spacing w:val="-20"/>
                <w:sz w:val="24"/>
                <w:szCs w:val="24"/>
                <w:highlight w:val="none"/>
                <w:lang w:val="en-US" w:eastAsia="zh-CN"/>
              </w:rPr>
            </w:pPr>
            <w:r>
              <w:rPr>
                <w:rFonts w:hint="eastAsia" w:ascii="宋体" w:hAnsi="宋体" w:eastAsia="宋体" w:cs="宋体"/>
                <w:b/>
                <w:color w:val="auto"/>
                <w:spacing w:val="-20"/>
                <w:sz w:val="24"/>
                <w:szCs w:val="24"/>
                <w:highlight w:val="none"/>
                <w:lang w:val="en-US" w:eastAsia="zh-CN"/>
              </w:rPr>
              <w:t>项目负责人</w:t>
            </w:r>
          </w:p>
        </w:tc>
        <w:tc>
          <w:tcPr>
            <w:tcW w:w="5076" w:type="dxa"/>
            <w:vAlign w:val="center"/>
          </w:tcPr>
          <w:p w14:paraId="430C22C4">
            <w:pPr>
              <w:pStyle w:val="17"/>
              <w:spacing w:line="360" w:lineRule="auto"/>
              <w:jc w:val="left"/>
              <w:rPr>
                <w:rFonts w:hint="eastAsia" w:ascii="宋体" w:hAnsi="宋体" w:eastAsia="宋体" w:cs="宋体"/>
                <w:b/>
                <w:color w:val="auto"/>
                <w:sz w:val="24"/>
                <w:szCs w:val="24"/>
                <w:highlight w:val="none"/>
              </w:rPr>
            </w:pPr>
          </w:p>
        </w:tc>
      </w:tr>
      <w:tr w14:paraId="16ADA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817" w:type="dxa"/>
            <w:vAlign w:val="center"/>
          </w:tcPr>
          <w:p w14:paraId="2C54F01E">
            <w:pPr>
              <w:pStyle w:val="17"/>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3</w:t>
            </w:r>
          </w:p>
        </w:tc>
        <w:tc>
          <w:tcPr>
            <w:tcW w:w="2907" w:type="dxa"/>
            <w:vAlign w:val="center"/>
          </w:tcPr>
          <w:p w14:paraId="495E3921">
            <w:pPr>
              <w:pStyle w:val="17"/>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工期</w:t>
            </w:r>
          </w:p>
        </w:tc>
        <w:tc>
          <w:tcPr>
            <w:tcW w:w="5076" w:type="dxa"/>
            <w:vAlign w:val="center"/>
          </w:tcPr>
          <w:p w14:paraId="07E81D39">
            <w:pPr>
              <w:pStyle w:val="17"/>
              <w:jc w:val="left"/>
              <w:rPr>
                <w:rFonts w:hint="eastAsia" w:ascii="宋体" w:hAnsi="宋体" w:eastAsia="宋体" w:cs="宋体"/>
                <w:color w:val="auto"/>
                <w:sz w:val="24"/>
                <w:szCs w:val="24"/>
                <w:highlight w:val="none"/>
              </w:rPr>
            </w:pPr>
          </w:p>
        </w:tc>
      </w:tr>
      <w:tr w14:paraId="0AA4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atLeast"/>
          <w:jc w:val="center"/>
        </w:trPr>
        <w:tc>
          <w:tcPr>
            <w:tcW w:w="817" w:type="dxa"/>
            <w:vAlign w:val="center"/>
          </w:tcPr>
          <w:p w14:paraId="01CE187E">
            <w:pPr>
              <w:pStyle w:val="17"/>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4</w:t>
            </w:r>
          </w:p>
        </w:tc>
        <w:tc>
          <w:tcPr>
            <w:tcW w:w="2907" w:type="dxa"/>
            <w:vAlign w:val="center"/>
          </w:tcPr>
          <w:p w14:paraId="3CB87AED">
            <w:pPr>
              <w:pStyle w:val="17"/>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质量要求</w:t>
            </w:r>
          </w:p>
        </w:tc>
        <w:tc>
          <w:tcPr>
            <w:tcW w:w="5076" w:type="dxa"/>
            <w:vAlign w:val="center"/>
          </w:tcPr>
          <w:p w14:paraId="24DD5B43">
            <w:pPr>
              <w:pStyle w:val="17"/>
              <w:jc w:val="left"/>
              <w:rPr>
                <w:rFonts w:hint="eastAsia" w:ascii="宋体" w:hAnsi="宋体" w:eastAsia="宋体" w:cs="宋体"/>
                <w:color w:val="auto"/>
                <w:sz w:val="24"/>
                <w:szCs w:val="24"/>
                <w:highlight w:val="none"/>
              </w:rPr>
            </w:pPr>
          </w:p>
        </w:tc>
      </w:tr>
      <w:tr w14:paraId="6815E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3" w:hRule="atLeast"/>
          <w:jc w:val="center"/>
        </w:trPr>
        <w:tc>
          <w:tcPr>
            <w:tcW w:w="817" w:type="dxa"/>
            <w:vAlign w:val="center"/>
          </w:tcPr>
          <w:p w14:paraId="46062B4F">
            <w:pPr>
              <w:pStyle w:val="17"/>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5</w:t>
            </w:r>
          </w:p>
        </w:tc>
        <w:tc>
          <w:tcPr>
            <w:tcW w:w="2907" w:type="dxa"/>
            <w:vAlign w:val="center"/>
          </w:tcPr>
          <w:p w14:paraId="483D1194">
            <w:pPr>
              <w:pStyle w:val="17"/>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投标</w:t>
            </w:r>
            <w:r>
              <w:rPr>
                <w:rFonts w:hint="eastAsia" w:ascii="宋体" w:hAnsi="宋体" w:eastAsia="宋体" w:cs="宋体"/>
                <w:b/>
                <w:color w:val="auto"/>
                <w:sz w:val="24"/>
                <w:szCs w:val="24"/>
                <w:highlight w:val="none"/>
              </w:rPr>
              <w:t>保证金</w:t>
            </w:r>
            <w:r>
              <w:rPr>
                <w:rFonts w:hint="eastAsia" w:ascii="宋体" w:hAnsi="宋体" w:eastAsia="宋体" w:cs="宋体"/>
                <w:b/>
                <w:color w:val="auto"/>
                <w:spacing w:val="-20"/>
                <w:sz w:val="24"/>
                <w:szCs w:val="24"/>
                <w:highlight w:val="none"/>
              </w:rPr>
              <w:t>（元）</w:t>
            </w:r>
          </w:p>
        </w:tc>
        <w:tc>
          <w:tcPr>
            <w:tcW w:w="5076" w:type="dxa"/>
            <w:vAlign w:val="center"/>
          </w:tcPr>
          <w:p w14:paraId="0099D9C5">
            <w:pPr>
              <w:pStyle w:val="17"/>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小写：</w:t>
            </w:r>
            <w:r>
              <w:rPr>
                <w:rFonts w:hint="eastAsia" w:ascii="宋体" w:hAnsi="宋体" w:eastAsia="宋体" w:cs="宋体"/>
                <w:b/>
                <w:color w:val="auto"/>
                <w:sz w:val="24"/>
                <w:szCs w:val="24"/>
                <w:highlight w:val="none"/>
                <w:u w:val="single"/>
              </w:rPr>
              <w:t xml:space="preserve">                      </w:t>
            </w:r>
          </w:p>
          <w:p w14:paraId="27EE80B4">
            <w:pPr>
              <w:pStyle w:val="17"/>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大写：</w:t>
            </w:r>
            <w:r>
              <w:rPr>
                <w:rFonts w:hint="eastAsia" w:ascii="宋体" w:hAnsi="宋体" w:eastAsia="宋体" w:cs="宋体"/>
                <w:b/>
                <w:color w:val="auto"/>
                <w:sz w:val="24"/>
                <w:szCs w:val="24"/>
                <w:highlight w:val="none"/>
                <w:u w:val="single"/>
              </w:rPr>
              <w:t xml:space="preserve">                      </w:t>
            </w:r>
          </w:p>
        </w:tc>
      </w:tr>
      <w:tr w14:paraId="76C5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17" w:type="dxa"/>
            <w:vAlign w:val="center"/>
          </w:tcPr>
          <w:p w14:paraId="6958AE37">
            <w:pPr>
              <w:pStyle w:val="17"/>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6</w:t>
            </w:r>
          </w:p>
        </w:tc>
        <w:tc>
          <w:tcPr>
            <w:tcW w:w="2907" w:type="dxa"/>
            <w:vAlign w:val="center"/>
          </w:tcPr>
          <w:p w14:paraId="439016C3">
            <w:pPr>
              <w:pStyle w:val="17"/>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备     注</w:t>
            </w:r>
          </w:p>
        </w:tc>
        <w:tc>
          <w:tcPr>
            <w:tcW w:w="5076" w:type="dxa"/>
            <w:vAlign w:val="center"/>
          </w:tcPr>
          <w:p w14:paraId="643495DB">
            <w:pPr>
              <w:pStyle w:val="17"/>
              <w:jc w:val="left"/>
              <w:rPr>
                <w:rFonts w:hint="eastAsia" w:ascii="宋体" w:hAnsi="宋体" w:eastAsia="宋体" w:cs="宋体"/>
                <w:color w:val="auto"/>
                <w:sz w:val="24"/>
                <w:szCs w:val="24"/>
                <w:highlight w:val="none"/>
              </w:rPr>
            </w:pPr>
          </w:p>
        </w:tc>
      </w:tr>
      <w:tr w14:paraId="66093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7" w:hRule="atLeast"/>
          <w:jc w:val="center"/>
        </w:trPr>
        <w:tc>
          <w:tcPr>
            <w:tcW w:w="8800" w:type="dxa"/>
            <w:gridSpan w:val="3"/>
            <w:vAlign w:val="top"/>
          </w:tcPr>
          <w:p w14:paraId="25DFC0D2">
            <w:pPr>
              <w:spacing w:line="360" w:lineRule="exact"/>
              <w:rPr>
                <w:rFonts w:hint="eastAsia" w:ascii="宋体" w:hAnsi="宋体" w:eastAsia="宋体" w:cs="宋体"/>
                <w:bCs/>
                <w:color w:val="auto"/>
                <w:sz w:val="24"/>
                <w:highlight w:val="none"/>
              </w:rPr>
            </w:pPr>
          </w:p>
          <w:p w14:paraId="4853E6BB">
            <w:pPr>
              <w:spacing w:line="3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名称(</w:t>
            </w:r>
            <w:r>
              <w:rPr>
                <w:rFonts w:hint="eastAsia" w:ascii="宋体" w:hAnsi="宋体" w:cs="宋体"/>
                <w:bCs/>
                <w:color w:val="auto"/>
                <w:sz w:val="24"/>
                <w:highlight w:val="none"/>
                <w:lang w:val="en-US" w:eastAsia="zh-CN"/>
              </w:rPr>
              <w:t>电子签章</w:t>
            </w:r>
            <w:r>
              <w:rPr>
                <w:rFonts w:hint="eastAsia" w:ascii="宋体" w:hAnsi="宋体" w:eastAsia="宋体" w:cs="宋体"/>
                <w:bCs/>
                <w:color w:val="auto"/>
                <w:sz w:val="24"/>
                <w:highlight w:val="none"/>
              </w:rPr>
              <w:t>)：</w:t>
            </w:r>
          </w:p>
          <w:p w14:paraId="26D85690">
            <w:pPr>
              <w:spacing w:line="360" w:lineRule="exact"/>
              <w:rPr>
                <w:rFonts w:hint="eastAsia" w:ascii="宋体" w:hAnsi="宋体" w:eastAsia="宋体" w:cs="宋体"/>
                <w:bCs/>
                <w:color w:val="auto"/>
                <w:sz w:val="24"/>
                <w:highlight w:val="none"/>
              </w:rPr>
            </w:pPr>
          </w:p>
        </w:tc>
      </w:tr>
      <w:tr w14:paraId="05DA0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2" w:hRule="atLeast"/>
          <w:jc w:val="center"/>
        </w:trPr>
        <w:tc>
          <w:tcPr>
            <w:tcW w:w="8800" w:type="dxa"/>
            <w:gridSpan w:val="3"/>
            <w:vAlign w:val="top"/>
          </w:tcPr>
          <w:p w14:paraId="78B3B4A5">
            <w:pPr>
              <w:spacing w:line="320" w:lineRule="exact"/>
              <w:rPr>
                <w:rFonts w:hint="eastAsia" w:ascii="宋体" w:hAnsi="宋体" w:eastAsia="宋体" w:cs="宋体"/>
                <w:color w:val="auto"/>
                <w:sz w:val="24"/>
                <w:highlight w:val="none"/>
              </w:rPr>
            </w:pPr>
          </w:p>
          <w:p w14:paraId="4DA876B5">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cs="宋体"/>
                <w:bCs/>
                <w:color w:val="auto"/>
                <w:sz w:val="24"/>
                <w:highlight w:val="none"/>
                <w:lang w:val="en-US" w:eastAsia="zh-CN"/>
              </w:rPr>
              <w:t>电子签章</w:t>
            </w:r>
            <w:r>
              <w:rPr>
                <w:rFonts w:hint="eastAsia" w:ascii="宋体" w:hAnsi="宋体" w:eastAsia="宋体" w:cs="宋体"/>
                <w:color w:val="auto"/>
                <w:sz w:val="24"/>
                <w:highlight w:val="none"/>
              </w:rPr>
              <w:t>）：</w:t>
            </w:r>
          </w:p>
          <w:p w14:paraId="6E092CEC">
            <w:pPr>
              <w:spacing w:line="360" w:lineRule="exact"/>
              <w:jc w:val="cente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日  期：   年    月    日</w:t>
            </w:r>
          </w:p>
        </w:tc>
      </w:tr>
    </w:tbl>
    <w:p w14:paraId="56B1286E">
      <w:pPr>
        <w:keepNext w:val="0"/>
        <w:keepLines w:val="0"/>
        <w:pageBreakBefore w:val="0"/>
        <w:widowControl w:val="0"/>
        <w:kinsoku/>
        <w:wordWrap/>
        <w:overflowPunct/>
        <w:topLinePunct w:val="0"/>
        <w:autoSpaceDE/>
        <w:autoSpaceDN/>
        <w:bidi w:val="0"/>
        <w:adjustRightInd/>
        <w:snapToGrid/>
        <w:spacing w:line="500" w:lineRule="exact"/>
        <w:ind w:right="355" w:rightChars="169" w:firstLine="480" w:firstLineChars="200"/>
        <w:jc w:val="left"/>
        <w:textAlignment w:val="auto"/>
        <w:rPr>
          <w:rFonts w:hint="eastAsia" w:ascii="宋体" w:hAnsi="宋体" w:eastAsia="宋体" w:cs="宋体"/>
          <w:b w:val="0"/>
          <w:bCs/>
          <w:color w:val="auto"/>
          <w:kern w:val="1"/>
          <w:sz w:val="24"/>
          <w:highlight w:val="none"/>
          <w:lang w:bidi="ar"/>
        </w:rPr>
      </w:pPr>
      <w:r>
        <w:rPr>
          <w:rFonts w:hint="eastAsia" w:ascii="宋体" w:hAnsi="宋体" w:eastAsia="宋体" w:cs="宋体"/>
          <w:b w:val="0"/>
          <w:bCs/>
          <w:color w:val="auto"/>
          <w:kern w:val="1"/>
          <w:sz w:val="24"/>
          <w:highlight w:val="none"/>
          <w:lang w:bidi="ar"/>
        </w:rPr>
        <w:t>注：1、开标时，</w:t>
      </w:r>
      <w:r>
        <w:rPr>
          <w:rFonts w:hint="eastAsia" w:ascii="宋体" w:hAnsi="宋体" w:eastAsia="宋体" w:cs="宋体"/>
          <w:b w:val="0"/>
          <w:bCs/>
          <w:color w:val="auto"/>
          <w:kern w:val="1"/>
          <w:sz w:val="24"/>
          <w:highlight w:val="none"/>
          <w:lang w:eastAsia="zh-CN" w:bidi="ar"/>
        </w:rPr>
        <w:t>响应文件</w:t>
      </w:r>
      <w:r>
        <w:rPr>
          <w:rFonts w:hint="eastAsia" w:ascii="宋体" w:hAnsi="宋体" w:eastAsia="宋体" w:cs="宋体"/>
          <w:b w:val="0"/>
          <w:bCs/>
          <w:color w:val="auto"/>
          <w:kern w:val="1"/>
          <w:sz w:val="24"/>
          <w:highlight w:val="none"/>
          <w:lang w:bidi="ar"/>
        </w:rPr>
        <w:t>中开标一览表(报价表)内容与</w:t>
      </w:r>
      <w:r>
        <w:rPr>
          <w:rFonts w:hint="eastAsia" w:ascii="宋体" w:hAnsi="宋体" w:eastAsia="宋体" w:cs="宋体"/>
          <w:b w:val="0"/>
          <w:bCs/>
          <w:color w:val="auto"/>
          <w:kern w:val="1"/>
          <w:sz w:val="24"/>
          <w:highlight w:val="none"/>
          <w:lang w:eastAsia="zh-CN" w:bidi="ar"/>
        </w:rPr>
        <w:t>响应文件</w:t>
      </w:r>
      <w:r>
        <w:rPr>
          <w:rFonts w:hint="eastAsia" w:ascii="宋体" w:hAnsi="宋体" w:eastAsia="宋体" w:cs="宋体"/>
          <w:b w:val="0"/>
          <w:bCs/>
          <w:color w:val="auto"/>
          <w:kern w:val="1"/>
          <w:sz w:val="24"/>
          <w:highlight w:val="none"/>
          <w:lang w:bidi="ar"/>
        </w:rPr>
        <w:t>中明细表内容不一致的，以开标一览表(报价表)为准。</w:t>
      </w:r>
      <w:r>
        <w:rPr>
          <w:rFonts w:hint="eastAsia" w:ascii="宋体" w:hAnsi="宋体" w:eastAsia="宋体" w:cs="宋体"/>
          <w:b w:val="0"/>
          <w:bCs/>
          <w:color w:val="auto"/>
          <w:kern w:val="1"/>
          <w:sz w:val="24"/>
          <w:highlight w:val="none"/>
          <w:lang w:eastAsia="zh-CN" w:bidi="ar"/>
        </w:rPr>
        <w:t>响应文件</w:t>
      </w:r>
      <w:r>
        <w:rPr>
          <w:rFonts w:hint="eastAsia" w:ascii="宋体" w:hAnsi="宋体" w:eastAsia="宋体" w:cs="宋体"/>
          <w:b w:val="0"/>
          <w:bCs/>
          <w:color w:val="auto"/>
          <w:kern w:val="1"/>
          <w:sz w:val="24"/>
          <w:highlight w:val="none"/>
          <w:lang w:bidi="ar"/>
        </w:rPr>
        <w:t>的大写金额和小写金额不一致的，以大写金额为准；总价金额与按单价汇总金额不一致的，以单价金额计算结果为准；单价金额小数点有明显错位的，应以总价为准，并修改单价；对不同文字文本</w:t>
      </w:r>
      <w:r>
        <w:rPr>
          <w:rFonts w:hint="eastAsia" w:ascii="宋体" w:hAnsi="宋体" w:eastAsia="宋体" w:cs="宋体"/>
          <w:b w:val="0"/>
          <w:bCs/>
          <w:color w:val="auto"/>
          <w:kern w:val="1"/>
          <w:sz w:val="24"/>
          <w:highlight w:val="none"/>
          <w:lang w:eastAsia="zh-CN" w:bidi="ar"/>
        </w:rPr>
        <w:t>响应文件</w:t>
      </w:r>
      <w:r>
        <w:rPr>
          <w:rFonts w:hint="eastAsia" w:ascii="宋体" w:hAnsi="宋体" w:eastAsia="宋体" w:cs="宋体"/>
          <w:b w:val="0"/>
          <w:bCs/>
          <w:color w:val="auto"/>
          <w:kern w:val="1"/>
          <w:sz w:val="24"/>
          <w:highlight w:val="none"/>
          <w:lang w:bidi="ar"/>
        </w:rPr>
        <w:t>的解释发生异议的，以中文文本为准；</w:t>
      </w:r>
    </w:p>
    <w:p w14:paraId="11CBECDD">
      <w:pPr>
        <w:keepNext w:val="0"/>
        <w:keepLines w:val="0"/>
        <w:pageBreakBefore w:val="0"/>
        <w:widowControl w:val="0"/>
        <w:kinsoku/>
        <w:wordWrap/>
        <w:overflowPunct/>
        <w:topLinePunct w:val="0"/>
        <w:autoSpaceDE/>
        <w:autoSpaceDN/>
        <w:bidi w:val="0"/>
        <w:adjustRightInd/>
        <w:snapToGrid/>
        <w:spacing w:line="500" w:lineRule="exact"/>
        <w:ind w:right="355" w:rightChars="169" w:firstLine="480" w:firstLineChars="200"/>
        <w:jc w:val="left"/>
        <w:textAlignment w:val="auto"/>
        <w:rPr>
          <w:rFonts w:hint="eastAsia" w:ascii="宋体" w:hAnsi="宋体" w:eastAsia="宋体" w:cs="宋体"/>
          <w:b w:val="0"/>
          <w:bCs/>
          <w:color w:val="auto"/>
          <w:kern w:val="1"/>
          <w:sz w:val="24"/>
          <w:highlight w:val="none"/>
          <w:lang w:bidi="ar"/>
        </w:rPr>
      </w:pPr>
    </w:p>
    <w:p w14:paraId="591A3F1D">
      <w:pPr>
        <w:keepNext w:val="0"/>
        <w:keepLines w:val="0"/>
        <w:pageBreakBefore w:val="0"/>
        <w:widowControl w:val="0"/>
        <w:kinsoku/>
        <w:wordWrap/>
        <w:overflowPunct/>
        <w:topLinePunct w:val="0"/>
        <w:autoSpaceDE/>
        <w:autoSpaceDN/>
        <w:bidi w:val="0"/>
        <w:adjustRightInd/>
        <w:snapToGrid/>
        <w:spacing w:line="500" w:lineRule="exact"/>
        <w:ind w:right="355" w:rightChars="169" w:firstLine="480" w:firstLineChars="200"/>
        <w:jc w:val="left"/>
        <w:textAlignment w:val="auto"/>
        <w:rPr>
          <w:rFonts w:hint="eastAsia" w:ascii="宋体" w:hAnsi="宋体" w:eastAsia="宋体" w:cs="宋体"/>
          <w:b w:val="0"/>
          <w:bCs/>
          <w:color w:val="auto"/>
          <w:kern w:val="1"/>
          <w:sz w:val="24"/>
          <w:highlight w:val="none"/>
          <w:lang w:bidi="ar"/>
        </w:rPr>
      </w:pPr>
    </w:p>
    <w:p w14:paraId="2328C3EE">
      <w:pPr>
        <w:pStyle w:val="4"/>
        <w:widowControl/>
        <w:tabs>
          <w:tab w:val="left" w:pos="576"/>
        </w:tabs>
        <w:spacing w:before="240" w:line="360" w:lineRule="exact"/>
        <w:ind w:right="-250" w:rightChars="-119"/>
        <w:jc w:val="center"/>
        <w:rPr>
          <w:rFonts w:hint="eastAsia" w:ascii="宋体" w:hAnsi="宋体" w:eastAsia="宋体" w:cs="宋体"/>
          <w:b w:val="0"/>
          <w:color w:val="auto"/>
          <w:kern w:val="1"/>
          <w:sz w:val="24"/>
          <w:highlight w:val="none"/>
          <w:lang w:bidi="ar"/>
        </w:rPr>
      </w:pPr>
      <w:bookmarkStart w:id="843" w:name="_Toc19492"/>
      <w:bookmarkStart w:id="844" w:name="_Toc17828"/>
      <w:bookmarkStart w:id="845" w:name="_Toc28579"/>
      <w:r>
        <w:rPr>
          <w:rFonts w:hint="eastAsia" w:ascii="宋体" w:hAnsi="宋体" w:eastAsia="宋体" w:cs="宋体"/>
          <w:color w:val="auto"/>
          <w:sz w:val="30"/>
          <w:szCs w:val="30"/>
          <w:highlight w:val="none"/>
          <w:lang w:val="zh-CN"/>
        </w:rPr>
        <w:t>二、磋商函</w:t>
      </w:r>
      <w:bookmarkEnd w:id="843"/>
      <w:bookmarkEnd w:id="844"/>
      <w:bookmarkEnd w:id="845"/>
    </w:p>
    <w:p w14:paraId="37DED6CC">
      <w:pPr>
        <w:spacing w:line="480" w:lineRule="exact"/>
        <w:ind w:right="-250" w:rightChars="-119"/>
        <w:rPr>
          <w:rFonts w:hint="eastAsia" w:ascii="宋体" w:hAnsi="宋体" w:eastAsia="宋体" w:cs="宋体"/>
          <w:color w:val="auto"/>
          <w:kern w:val="1"/>
          <w:sz w:val="24"/>
          <w:highlight w:val="none"/>
        </w:rPr>
      </w:pPr>
      <w:r>
        <w:rPr>
          <w:rFonts w:hint="eastAsia" w:ascii="宋体" w:hAnsi="宋体" w:eastAsia="宋体" w:cs="宋体"/>
          <w:bCs/>
          <w:color w:val="auto"/>
          <w:kern w:val="1"/>
          <w:sz w:val="24"/>
          <w:highlight w:val="none"/>
          <w:lang w:bidi="ar"/>
        </w:rPr>
        <w:t>致：</w:t>
      </w:r>
      <w:r>
        <w:rPr>
          <w:rFonts w:hint="eastAsia" w:ascii="宋体" w:hAnsi="宋体" w:eastAsia="宋体" w:cs="宋体"/>
          <w:bCs/>
          <w:color w:val="auto"/>
          <w:kern w:val="1"/>
          <w:sz w:val="24"/>
          <w:highlight w:val="none"/>
          <w:u w:val="single"/>
          <w:lang w:bidi="ar"/>
        </w:rPr>
        <w:t xml:space="preserve">    （采购人名称）</w:t>
      </w:r>
    </w:p>
    <w:p w14:paraId="12E5120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我方已仔细研究了</w:t>
      </w:r>
      <w:r>
        <w:rPr>
          <w:rFonts w:hint="eastAsia" w:ascii="宋体" w:hAnsi="宋体" w:eastAsia="宋体" w:cs="宋体"/>
          <w:color w:val="auto"/>
          <w:sz w:val="24"/>
          <w:highlight w:val="none"/>
          <w:u w:val="single"/>
        </w:rPr>
        <w:t xml:space="preserve">         （项目名称）</w:t>
      </w:r>
      <w:r>
        <w:rPr>
          <w:rFonts w:hint="eastAsia" w:ascii="宋体" w:hAnsi="宋体" w:cs="宋体"/>
          <w:color w:val="auto"/>
          <w:sz w:val="24"/>
          <w:highlight w:val="none"/>
          <w:lang w:val="en-US" w:eastAsia="zh-CN"/>
        </w:rPr>
        <w:t>竞争性磋商文件</w:t>
      </w:r>
      <w:r>
        <w:rPr>
          <w:rFonts w:hint="eastAsia" w:ascii="宋体" w:hAnsi="宋体" w:eastAsia="宋体" w:cs="宋体"/>
          <w:color w:val="auto"/>
          <w:sz w:val="24"/>
          <w:highlight w:val="none"/>
        </w:rPr>
        <w:t>全部内容，正式授权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（姓名）代表</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供应商</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，提交</w:t>
      </w:r>
      <w:r>
        <w:rPr>
          <w:rFonts w:hint="eastAsia" w:ascii="宋体" w:hAnsi="宋体" w:eastAsia="宋体" w:cs="宋体"/>
          <w:color w:val="auto"/>
          <w:sz w:val="24"/>
          <w:highlight w:val="none"/>
          <w:lang w:eastAsia="zh-CN"/>
        </w:rPr>
        <w:t>电子</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rPr>
        <w:t>文件</w:t>
      </w:r>
      <w:r>
        <w:rPr>
          <w:rFonts w:hint="eastAsia" w:ascii="宋体" w:hAnsi="宋体" w:eastAsia="宋体" w:cs="宋体"/>
          <w:b/>
          <w:color w:val="auto"/>
          <w:sz w:val="24"/>
          <w:highlight w:val="none"/>
          <w:u w:val="single"/>
          <w:lang w:val="en-US" w:eastAsia="zh-CN"/>
        </w:rPr>
        <w:t>1</w:t>
      </w:r>
      <w:r>
        <w:rPr>
          <w:rFonts w:hint="eastAsia" w:ascii="宋体" w:hAnsi="宋体" w:eastAsia="宋体" w:cs="宋体"/>
          <w:bCs/>
          <w:color w:val="auto"/>
          <w:sz w:val="24"/>
          <w:highlight w:val="none"/>
        </w:rPr>
        <w:t>份</w:t>
      </w:r>
      <w:r>
        <w:rPr>
          <w:rFonts w:hint="eastAsia" w:ascii="宋体" w:hAnsi="宋体" w:eastAsia="宋体" w:cs="宋体"/>
          <w:color w:val="auto"/>
          <w:sz w:val="24"/>
          <w:highlight w:val="none"/>
          <w:lang w:bidi="ar"/>
        </w:rPr>
        <w:t>。</w:t>
      </w:r>
    </w:p>
    <w:p w14:paraId="0B7B2F0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我方承诺如下：</w:t>
      </w:r>
    </w:p>
    <w:p w14:paraId="7DB1FE91">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1、根据你方采购项目编号为</w:t>
      </w:r>
      <w:r>
        <w:rPr>
          <w:rFonts w:hint="eastAsia" w:ascii="宋体" w:hAnsi="宋体" w:eastAsia="宋体" w:cs="宋体"/>
          <w:color w:val="auto"/>
          <w:sz w:val="24"/>
          <w:highlight w:val="none"/>
          <w:u w:val="single"/>
        </w:rPr>
        <w:t xml:space="preserve">    （项目编号）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（项目名称）</w:t>
      </w:r>
      <w:r>
        <w:rPr>
          <w:rFonts w:hint="eastAsia" w:ascii="宋体" w:hAnsi="宋体" w:eastAsia="宋体" w:cs="宋体"/>
          <w:color w:val="auto"/>
          <w:sz w:val="24"/>
          <w:highlight w:val="none"/>
        </w:rPr>
        <w:t>项目</w:t>
      </w:r>
      <w:r>
        <w:rPr>
          <w:rFonts w:hint="eastAsia" w:ascii="宋体" w:hAnsi="宋体" w:cs="宋体"/>
          <w:color w:val="auto"/>
          <w:sz w:val="24"/>
          <w:highlight w:val="none"/>
          <w:lang w:val="en-US" w:eastAsia="zh-CN"/>
        </w:rPr>
        <w:t>竞争性磋商文件</w:t>
      </w:r>
      <w:r>
        <w:rPr>
          <w:rFonts w:hint="eastAsia" w:ascii="宋体" w:hAnsi="宋体" w:eastAsia="宋体" w:cs="宋体"/>
          <w:color w:val="auto"/>
          <w:sz w:val="24"/>
          <w:highlight w:val="none"/>
        </w:rPr>
        <w:t>，遵照《政府采购竞争性磋商采购方式管理暂行办法》等有关规定，经研究上述</w:t>
      </w:r>
      <w:r>
        <w:rPr>
          <w:rFonts w:hint="eastAsia" w:ascii="宋体" w:hAnsi="宋体" w:cs="宋体"/>
          <w:color w:val="auto"/>
          <w:sz w:val="24"/>
          <w:highlight w:val="none"/>
          <w:lang w:val="en-US" w:eastAsia="zh-CN"/>
        </w:rPr>
        <w:t>竞争性磋商文件</w:t>
      </w:r>
      <w:r>
        <w:rPr>
          <w:rFonts w:hint="eastAsia" w:ascii="宋体" w:hAnsi="宋体" w:eastAsia="宋体" w:cs="宋体"/>
          <w:color w:val="auto"/>
          <w:sz w:val="24"/>
          <w:highlight w:val="none"/>
        </w:rPr>
        <w:t>要求后，我方</w:t>
      </w:r>
      <w:r>
        <w:rPr>
          <w:rFonts w:hint="eastAsia" w:ascii="宋体" w:hAnsi="宋体" w:eastAsia="宋体" w:cs="宋体"/>
          <w:bCs/>
          <w:color w:val="auto"/>
          <w:sz w:val="24"/>
          <w:highlight w:val="none"/>
        </w:rPr>
        <w:t>愿意以人民币（大写）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元）按合同约定实施和完成本项目</w:t>
      </w:r>
      <w:r>
        <w:rPr>
          <w:rFonts w:hint="eastAsia" w:ascii="宋体" w:hAnsi="宋体" w:eastAsia="宋体" w:cs="宋体"/>
          <w:color w:val="auto"/>
          <w:sz w:val="24"/>
          <w:highlight w:val="none"/>
        </w:rPr>
        <w:t>,并按</w:t>
      </w:r>
      <w:r>
        <w:rPr>
          <w:rFonts w:hint="eastAsia" w:ascii="宋体" w:hAnsi="宋体" w:cs="宋体"/>
          <w:color w:val="auto"/>
          <w:sz w:val="24"/>
          <w:highlight w:val="none"/>
          <w:lang w:val="en-US" w:eastAsia="zh-CN"/>
        </w:rPr>
        <w:t>竞争性磋商文件</w:t>
      </w:r>
      <w:r>
        <w:rPr>
          <w:rFonts w:hint="eastAsia" w:ascii="宋体" w:hAnsi="宋体" w:eastAsia="宋体" w:cs="宋体"/>
          <w:color w:val="auto"/>
          <w:sz w:val="24"/>
          <w:highlight w:val="none"/>
        </w:rPr>
        <w:t>合同条款、</w:t>
      </w:r>
      <w:r>
        <w:rPr>
          <w:rFonts w:hint="eastAsia" w:ascii="宋体" w:hAnsi="宋体" w:eastAsia="宋体" w:cs="宋体"/>
          <w:color w:val="auto"/>
          <w:sz w:val="24"/>
          <w:highlight w:val="none"/>
          <w:lang w:val="en-US" w:eastAsia="zh-CN"/>
        </w:rPr>
        <w:t>合同履行期限</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lang w:eastAsia="zh-CN"/>
        </w:rPr>
        <w:t>地点</w:t>
      </w:r>
      <w:r>
        <w:rPr>
          <w:rFonts w:hint="eastAsia" w:ascii="宋体" w:hAnsi="宋体" w:eastAsia="宋体" w:cs="宋体"/>
          <w:color w:val="auto"/>
          <w:sz w:val="24"/>
          <w:highlight w:val="none"/>
        </w:rPr>
        <w:t>的条件要求完成采购人委托的服务事项，并达到采购人的质量考核标准。</w:t>
      </w:r>
    </w:p>
    <w:p w14:paraId="37ABB208">
      <w:pPr>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2、我方承诺我们的</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报价不低于我们自身的成本。</w:t>
      </w:r>
    </w:p>
    <w:p w14:paraId="0C255C0E">
      <w:pPr>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3、我方已详细审核全部</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，包括补遗文件及有关附件。</w:t>
      </w:r>
    </w:p>
    <w:p w14:paraId="08F2B7E5">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如我方成交，承诺如下：</w:t>
      </w:r>
    </w:p>
    <w:p w14:paraId="294DADFA">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（1）我方承诺在收到成交通知书后，在成交通知书规定的期限内与你方签订合同。</w:t>
      </w:r>
    </w:p>
    <w:p w14:paraId="4D61D9E4">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（2）在签订合同时不向你方提出附加条件。</w:t>
      </w:r>
    </w:p>
    <w:p w14:paraId="15FB55DA">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（3）按照竞争性磋商文件要求提交履约保证金。</w:t>
      </w:r>
    </w:p>
    <w:p w14:paraId="73D6F2D2">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（4）我方承诺遵守竞争性磋商文件的各项条款及一切有关规定。</w:t>
      </w:r>
    </w:p>
    <w:p w14:paraId="46C14D90">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（5）我方在此声明，所提交的响应文件及有关资料内容完整、真实和准确。</w:t>
      </w:r>
    </w:p>
    <w:p w14:paraId="7B916F1E">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（6）我方愿意支付本项目的代理服务费。</w:t>
      </w:r>
    </w:p>
    <w:p w14:paraId="010D7210">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（其他补充说明）。</w:t>
      </w:r>
    </w:p>
    <w:p w14:paraId="034338F2">
      <w:pPr>
        <w:spacing w:line="480" w:lineRule="exact"/>
        <w:ind w:firstLine="480" w:firstLineChars="200"/>
        <w:rPr>
          <w:rFonts w:hint="eastAsia" w:ascii="宋体" w:hAnsi="宋体" w:eastAsia="宋体" w:cs="宋体"/>
          <w:bCs/>
          <w:color w:val="auto"/>
          <w:sz w:val="24"/>
          <w:highlight w:val="none"/>
        </w:rPr>
      </w:pPr>
    </w:p>
    <w:p w14:paraId="47974621">
      <w:pPr>
        <w:spacing w:line="480" w:lineRule="exact"/>
        <w:ind w:firstLine="480" w:firstLineChars="200"/>
        <w:rPr>
          <w:rFonts w:hint="eastAsia" w:ascii="宋体" w:hAnsi="宋体" w:eastAsia="宋体" w:cs="宋体"/>
          <w:bCs/>
          <w:color w:val="auto"/>
          <w:sz w:val="24"/>
          <w:highlight w:val="none"/>
        </w:rPr>
      </w:pPr>
    </w:p>
    <w:p w14:paraId="58C74EA2">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通讯地址：</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bCs/>
          <w:color w:val="auto"/>
          <w:sz w:val="24"/>
          <w:highlight w:val="none"/>
        </w:rPr>
        <w:t xml:space="preserve">                               </w:t>
      </w:r>
    </w:p>
    <w:p w14:paraId="10E163B3">
      <w:pPr>
        <w:spacing w:line="4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联系电话：</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bCs/>
          <w:color w:val="auto"/>
          <w:sz w:val="24"/>
          <w:highlight w:val="none"/>
        </w:rPr>
        <w:t xml:space="preserve">                                </w:t>
      </w:r>
    </w:p>
    <w:p w14:paraId="0C8B2B0F">
      <w:pPr>
        <w:spacing w:line="480" w:lineRule="exact"/>
        <w:ind w:right="-250" w:rightChars="-119" w:firstLine="480" w:firstLineChars="200"/>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名称：</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bCs/>
          <w:color w:val="auto"/>
          <w:sz w:val="24"/>
          <w:highlight w:val="none"/>
          <w:lang w:val="en-US" w:eastAsia="zh-CN"/>
        </w:rPr>
        <w:t>电子签章</w:t>
      </w:r>
      <w:r>
        <w:rPr>
          <w:rFonts w:hint="eastAsia" w:ascii="宋体" w:hAnsi="宋体" w:eastAsia="宋体" w:cs="宋体"/>
          <w:color w:val="auto"/>
          <w:kern w:val="1"/>
          <w:sz w:val="24"/>
          <w:highlight w:val="none"/>
          <w:lang w:bidi="ar"/>
        </w:rPr>
        <w:t xml:space="preserve">)   </w:t>
      </w:r>
    </w:p>
    <w:p w14:paraId="6EB71D96">
      <w:pPr>
        <w:spacing w:line="480" w:lineRule="exact"/>
        <w:ind w:right="-250" w:rightChars="-119" w:firstLine="480" w:firstLineChars="200"/>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法定代表人或其授权委托人：</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bCs/>
          <w:color w:val="auto"/>
          <w:sz w:val="24"/>
          <w:highlight w:val="none"/>
          <w:lang w:val="en-US" w:eastAsia="zh-CN"/>
        </w:rPr>
        <w:t>电子签章</w:t>
      </w:r>
      <w:r>
        <w:rPr>
          <w:rFonts w:hint="eastAsia" w:ascii="宋体" w:hAnsi="宋体" w:eastAsia="宋体" w:cs="宋体"/>
          <w:color w:val="auto"/>
          <w:kern w:val="1"/>
          <w:sz w:val="24"/>
          <w:highlight w:val="none"/>
          <w:lang w:bidi="ar"/>
        </w:rPr>
        <w:t>）</w:t>
      </w:r>
    </w:p>
    <w:p w14:paraId="6DC26B81">
      <w:pPr>
        <w:spacing w:line="480" w:lineRule="exact"/>
        <w:ind w:right="355" w:rightChars="169" w:firstLine="480" w:firstLineChars="200"/>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日  期：</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年 </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月</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日 </w:t>
      </w:r>
    </w:p>
    <w:p w14:paraId="0C9A003E">
      <w:pPr>
        <w:spacing w:line="480" w:lineRule="exact"/>
        <w:ind w:right="355" w:rightChars="169" w:firstLine="480" w:firstLineChars="200"/>
        <w:rPr>
          <w:rFonts w:hint="eastAsia" w:ascii="宋体" w:hAnsi="宋体" w:eastAsia="宋体" w:cs="宋体"/>
          <w:b/>
          <w:color w:val="auto"/>
          <w:sz w:val="28"/>
          <w:szCs w:val="28"/>
          <w:highlight w:val="none"/>
        </w:rPr>
      </w:pPr>
      <w:r>
        <w:rPr>
          <w:rFonts w:hint="eastAsia" w:ascii="宋体" w:hAnsi="宋体" w:eastAsia="宋体" w:cs="宋体"/>
          <w:color w:val="auto"/>
          <w:kern w:val="1"/>
          <w:sz w:val="24"/>
          <w:highlight w:val="none"/>
          <w:lang w:bidi="ar"/>
        </w:rPr>
        <w:t xml:space="preserve">  </w:t>
      </w:r>
    </w:p>
    <w:p w14:paraId="35F5FA77">
      <w:pPr>
        <w:keepNext w:val="0"/>
        <w:keepLines w:val="0"/>
        <w:pageBreakBefore w:val="0"/>
        <w:widowControl w:val="0"/>
        <w:kinsoku/>
        <w:wordWrap w:val="0"/>
        <w:overflowPunct/>
        <w:topLinePunct w:val="0"/>
        <w:autoSpaceDE/>
        <w:autoSpaceDN/>
        <w:bidi w:val="0"/>
        <w:adjustRightInd/>
        <w:snapToGrid/>
        <w:spacing w:after="120" w:afterLines="50" w:line="500" w:lineRule="exact"/>
        <w:jc w:val="center"/>
        <w:textAlignment w:val="auto"/>
        <w:outlineLvl w:val="1"/>
        <w:rPr>
          <w:rFonts w:hint="eastAsia" w:ascii="宋体" w:hAnsi="宋体" w:eastAsia="宋体" w:cs="宋体"/>
          <w:b/>
          <w:bCs/>
          <w:color w:val="auto"/>
          <w:sz w:val="30"/>
          <w:szCs w:val="30"/>
          <w:highlight w:val="none"/>
        </w:rPr>
      </w:pPr>
      <w:bookmarkStart w:id="846" w:name="_Toc31603098"/>
      <w:bookmarkEnd w:id="846"/>
      <w:bookmarkStart w:id="847" w:name="_Toc78603134"/>
      <w:bookmarkEnd w:id="847"/>
      <w:bookmarkStart w:id="848" w:name="_Toc38173197"/>
      <w:bookmarkEnd w:id="848"/>
      <w:bookmarkStart w:id="849" w:name="_Toc222025325"/>
      <w:bookmarkEnd w:id="849"/>
      <w:bookmarkStart w:id="850" w:name="_Toc485249639"/>
      <w:bookmarkStart w:id="851" w:name="_Toc453658197"/>
      <w:bookmarkStart w:id="852" w:name="_Toc18141"/>
      <w:bookmarkStart w:id="853" w:name="_Toc1684"/>
      <w:bookmarkStart w:id="854" w:name="_Toc22885"/>
      <w:bookmarkStart w:id="855" w:name="_Toc10364"/>
      <w:bookmarkStart w:id="856" w:name="_Toc7425"/>
      <w:bookmarkStart w:id="857" w:name="_Toc25078"/>
      <w:bookmarkStart w:id="858" w:name="_Toc29148"/>
      <w:r>
        <w:rPr>
          <w:rFonts w:hint="eastAsia" w:ascii="宋体" w:hAnsi="宋体" w:cs="宋体"/>
          <w:b/>
          <w:bCs/>
          <w:color w:val="auto"/>
          <w:sz w:val="30"/>
          <w:szCs w:val="30"/>
          <w:highlight w:val="none"/>
          <w:lang w:val="en-US" w:eastAsia="zh-CN"/>
        </w:rPr>
        <w:t>三</w:t>
      </w:r>
      <w:r>
        <w:rPr>
          <w:rFonts w:hint="eastAsia" w:ascii="宋体" w:hAnsi="宋体" w:eastAsia="宋体" w:cs="宋体"/>
          <w:b/>
          <w:bCs/>
          <w:color w:val="auto"/>
          <w:sz w:val="30"/>
          <w:szCs w:val="30"/>
          <w:highlight w:val="none"/>
          <w:lang w:val="zh-CN"/>
        </w:rPr>
        <w:t>、</w:t>
      </w:r>
      <w:bookmarkEnd w:id="850"/>
      <w:bookmarkEnd w:id="851"/>
      <w:bookmarkEnd w:id="852"/>
      <w:bookmarkEnd w:id="853"/>
      <w:r>
        <w:rPr>
          <w:rFonts w:hint="eastAsia" w:ascii="宋体" w:hAnsi="宋体" w:eastAsia="宋体" w:cs="宋体"/>
          <w:b/>
          <w:bCs/>
          <w:color w:val="auto"/>
          <w:sz w:val="30"/>
          <w:szCs w:val="30"/>
          <w:highlight w:val="none"/>
        </w:rPr>
        <w:t>声明函</w:t>
      </w:r>
      <w:bookmarkEnd w:id="854"/>
      <w:bookmarkEnd w:id="855"/>
      <w:bookmarkEnd w:id="856"/>
    </w:p>
    <w:p w14:paraId="081DAEA9">
      <w:pPr>
        <w:keepNext w:val="0"/>
        <w:keepLines w:val="0"/>
        <w:pageBreakBefore w:val="0"/>
        <w:widowControl/>
        <w:suppressLineNumbers w:val="0"/>
        <w:kinsoku/>
        <w:wordWrap w:val="0"/>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中小企业声明函</w:t>
      </w:r>
      <w:r>
        <w:rPr>
          <w:rFonts w:hint="eastAsia" w:ascii="宋体" w:hAnsi="宋体" w:eastAsia="宋体" w:cs="宋体"/>
          <w:b/>
          <w:color w:val="auto"/>
          <w:sz w:val="28"/>
          <w:szCs w:val="28"/>
          <w:highlight w:val="none"/>
          <w:lang w:val="en-US" w:eastAsia="zh-CN"/>
        </w:rPr>
        <w:t>（工程）</w:t>
      </w:r>
    </w:p>
    <w:p w14:paraId="3402339F">
      <w:pPr>
        <w:pStyle w:val="2"/>
        <w:rPr>
          <w:rFonts w:hint="eastAsia"/>
        </w:rPr>
      </w:pPr>
    </w:p>
    <w:p w14:paraId="6DFCBF59">
      <w:pPr>
        <w:widowControl/>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（单位名称）   </w:t>
      </w:r>
      <w:r>
        <w:rPr>
          <w:rFonts w:hint="eastAsia" w:ascii="宋体" w:hAnsi="宋体" w:eastAsia="宋体" w:cs="宋体"/>
          <w:color w:val="000000" w:themeColor="text1"/>
          <w:spacing w:val="6"/>
          <w:sz w:val="24"/>
          <w:szCs w:val="24"/>
          <w:highlight w:val="none"/>
          <w14:textFill>
            <w14:solidFill>
              <w14:schemeClr w14:val="tx1"/>
            </w14:solidFill>
          </w14:textFill>
        </w:rPr>
        <w:t>的</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（项目名称）  </w:t>
      </w:r>
      <w:r>
        <w:rPr>
          <w:rFonts w:hint="eastAsia" w:ascii="宋体" w:hAnsi="宋体" w:eastAsia="宋体" w:cs="宋体"/>
          <w:color w:val="000000" w:themeColor="text1"/>
          <w:kern w:val="0"/>
          <w:sz w:val="24"/>
          <w:szCs w:val="24"/>
          <w:highlight w:val="none"/>
          <w:lang w:bidi="ar"/>
          <w14:textFill>
            <w14:solidFill>
              <w14:schemeClr w14:val="tx1"/>
            </w14:solidFill>
          </w14:textFill>
        </w:rPr>
        <w:t>采购活动，</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工程的施工单位</w:t>
      </w:r>
      <w:r>
        <w:rPr>
          <w:rFonts w:hint="eastAsia" w:ascii="宋体" w:hAnsi="宋体" w:eastAsia="宋体" w:cs="宋体"/>
          <w:color w:val="000000" w:themeColor="text1"/>
          <w:kern w:val="0"/>
          <w:sz w:val="24"/>
          <w:szCs w:val="24"/>
          <w:highlight w:val="none"/>
          <w:lang w:bidi="ar"/>
          <w14:textFill>
            <w14:solidFill>
              <w14:schemeClr w14:val="tx1"/>
            </w14:solidFill>
          </w14:textFill>
        </w:rPr>
        <w:t>全部</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为符合</w:t>
      </w:r>
      <w:r>
        <w:rPr>
          <w:rFonts w:hint="eastAsia" w:ascii="宋体" w:hAnsi="宋体" w:eastAsia="宋体" w:cs="宋体"/>
          <w:color w:val="000000" w:themeColor="text1"/>
          <w:kern w:val="0"/>
          <w:sz w:val="24"/>
          <w:szCs w:val="24"/>
          <w:highlight w:val="none"/>
          <w:lang w:bidi="ar"/>
          <w14:textFill>
            <w14:solidFill>
              <w14:schemeClr w14:val="tx1"/>
            </w14:solidFill>
          </w14:textFill>
        </w:rPr>
        <w:t>政策要求的中小企业。相关企业（含联合体中的中小企业、签订分包意向协议的中小企业）的具体情况如下：</w:t>
      </w:r>
    </w:p>
    <w:p w14:paraId="6DBB8988">
      <w:pPr>
        <w:widowControl/>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 xml:space="preserve">1. </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 xml:space="preserve">（标的名称） </w:t>
      </w:r>
      <w:r>
        <w:rPr>
          <w:rFonts w:hint="eastAsia" w:ascii="宋体" w:hAnsi="宋体" w:eastAsia="宋体" w:cs="宋体"/>
          <w:color w:val="000000" w:themeColor="text1"/>
          <w:kern w:val="0"/>
          <w:sz w:val="24"/>
          <w:szCs w:val="24"/>
          <w:highlight w:val="none"/>
          <w:lang w:bidi="ar"/>
          <w14:textFill>
            <w14:solidFill>
              <w14:schemeClr w14:val="tx1"/>
            </w14:solidFill>
          </w14:textFill>
        </w:rPr>
        <w:t>，属于</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w:t>
      </w:r>
      <w:r>
        <w:rPr>
          <w:rFonts w:hint="eastAsia" w:ascii="宋体" w:hAnsi="宋体" w:eastAsia="宋体" w:cs="宋体"/>
          <w:color w:val="000000" w:themeColor="text1"/>
          <w:kern w:val="0"/>
          <w:sz w:val="24"/>
          <w:szCs w:val="24"/>
          <w:highlight w:val="none"/>
          <w:u w:val="single"/>
          <w:lang w:val="en-US" w:eastAsia="zh-CN" w:bidi="ar"/>
          <w14:textFill>
            <w14:solidFill>
              <w14:schemeClr w14:val="tx1"/>
            </w14:solidFill>
          </w14:textFill>
        </w:rPr>
        <w:t>竞争性磋商文件</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中明确的所属行业）</w:t>
      </w:r>
      <w:r>
        <w:rPr>
          <w:rFonts w:hint="eastAsia" w:ascii="宋体" w:hAnsi="宋体" w:eastAsia="宋体" w:cs="宋体"/>
          <w:color w:val="000000" w:themeColor="text1"/>
          <w:kern w:val="0"/>
          <w:sz w:val="24"/>
          <w:szCs w:val="24"/>
          <w:highlight w:val="none"/>
          <w:lang w:bidi="ar"/>
          <w14:textFill>
            <w14:solidFill>
              <w14:schemeClr w14:val="tx1"/>
            </w14:solidFill>
          </w14:textFill>
        </w:rPr>
        <w:t>；</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承建</w:t>
      </w:r>
      <w:r>
        <w:rPr>
          <w:rFonts w:hint="eastAsia" w:ascii="宋体" w:hAnsi="宋体" w:eastAsia="宋体" w:cs="宋体"/>
          <w:color w:val="000000" w:themeColor="text1"/>
          <w:kern w:val="0"/>
          <w:sz w:val="24"/>
          <w:szCs w:val="24"/>
          <w:highlight w:val="none"/>
          <w:lang w:bidi="ar"/>
          <w14:textFill>
            <w14:solidFill>
              <w14:schemeClr w14:val="tx1"/>
            </w14:solidFill>
          </w14:textFill>
        </w:rPr>
        <w:t>企业为</w:t>
      </w:r>
      <w:r>
        <w:rPr>
          <w:rFonts w:hint="eastAsia" w:ascii="宋体" w:hAnsi="宋体" w:cs="宋体"/>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（企业名称）</w:t>
      </w:r>
      <w:r>
        <w:rPr>
          <w:rFonts w:hint="eastAsia" w:ascii="宋体" w:hAnsi="宋体" w:cs="宋体"/>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bidi="ar"/>
          <w14:textFill>
            <w14:solidFill>
              <w14:schemeClr w14:val="tx1"/>
            </w14:solidFill>
          </w14:textFill>
        </w:rPr>
        <w:t>，从业人员</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bidi="ar"/>
          <w14:textFill>
            <w14:solidFill>
              <w14:schemeClr w14:val="tx1"/>
            </w14:solidFill>
          </w14:textFill>
        </w:rPr>
        <w:t>人，营业收入为</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bidi="ar"/>
          <w14:textFill>
            <w14:solidFill>
              <w14:schemeClr w14:val="tx1"/>
            </w14:solidFill>
          </w14:textFill>
        </w:rPr>
        <w:t xml:space="preserve">万元，资产总额为 </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bidi="ar"/>
          <w14:textFill>
            <w14:solidFill>
              <w14:schemeClr w14:val="tx1"/>
            </w14:solidFill>
          </w14:textFill>
        </w:rPr>
        <w:t>万元，属于</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（中型企业、小型企业、微型企业）</w:t>
      </w:r>
      <w:r>
        <w:rPr>
          <w:rFonts w:hint="eastAsia" w:ascii="宋体" w:hAnsi="宋体" w:eastAsia="宋体" w:cs="宋体"/>
          <w:color w:val="000000" w:themeColor="text1"/>
          <w:kern w:val="0"/>
          <w:sz w:val="24"/>
          <w:szCs w:val="24"/>
          <w:highlight w:val="none"/>
          <w:lang w:bidi="ar"/>
          <w14:textFill>
            <w14:solidFill>
              <w14:schemeClr w14:val="tx1"/>
            </w14:solidFill>
          </w14:textFill>
        </w:rPr>
        <w:t xml:space="preserve">； </w:t>
      </w:r>
    </w:p>
    <w:p w14:paraId="4CB2FE6E">
      <w:pPr>
        <w:widowControl/>
        <w:spacing w:line="360" w:lineRule="auto"/>
        <w:ind w:firstLine="480" w:firstLineChars="200"/>
        <w:jc w:val="left"/>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 xml:space="preserve">2. </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（标的名称）</w:t>
      </w:r>
      <w:r>
        <w:rPr>
          <w:rFonts w:hint="eastAsia" w:ascii="宋体" w:hAnsi="宋体" w:eastAsia="宋体" w:cs="宋体"/>
          <w:color w:val="000000" w:themeColor="text1"/>
          <w:kern w:val="0"/>
          <w:sz w:val="24"/>
          <w:szCs w:val="24"/>
          <w:highlight w:val="none"/>
          <w:lang w:bidi="ar"/>
          <w14:textFill>
            <w14:solidFill>
              <w14:schemeClr w14:val="tx1"/>
            </w14:solidFill>
          </w14:textFill>
        </w:rPr>
        <w:t xml:space="preserve"> ，属于</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w:t>
      </w:r>
      <w:r>
        <w:rPr>
          <w:rFonts w:hint="eastAsia" w:ascii="宋体" w:hAnsi="宋体" w:eastAsia="宋体" w:cs="宋体"/>
          <w:color w:val="000000" w:themeColor="text1"/>
          <w:kern w:val="0"/>
          <w:sz w:val="24"/>
          <w:szCs w:val="24"/>
          <w:highlight w:val="none"/>
          <w:u w:val="single"/>
          <w:lang w:val="en-US" w:eastAsia="zh-CN" w:bidi="ar"/>
          <w14:textFill>
            <w14:solidFill>
              <w14:schemeClr w14:val="tx1"/>
            </w14:solidFill>
          </w14:textFill>
        </w:rPr>
        <w:t>竞争性磋商文件</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中明确的所属行业）</w:t>
      </w:r>
      <w:r>
        <w:rPr>
          <w:rFonts w:hint="eastAsia" w:ascii="宋体" w:hAnsi="宋体" w:eastAsia="宋体" w:cs="宋体"/>
          <w:color w:val="000000" w:themeColor="text1"/>
          <w:kern w:val="0"/>
          <w:sz w:val="24"/>
          <w:szCs w:val="24"/>
          <w:highlight w:val="none"/>
          <w:lang w:bidi="ar"/>
          <w14:textFill>
            <w14:solidFill>
              <w14:schemeClr w14:val="tx1"/>
            </w14:solidFill>
          </w14:textFill>
        </w:rPr>
        <w:t>；</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承建</w:t>
      </w:r>
      <w:r>
        <w:rPr>
          <w:rFonts w:hint="eastAsia" w:ascii="宋体" w:hAnsi="宋体" w:eastAsia="宋体" w:cs="宋体"/>
          <w:color w:val="000000" w:themeColor="text1"/>
          <w:kern w:val="0"/>
          <w:sz w:val="24"/>
          <w:szCs w:val="24"/>
          <w:highlight w:val="none"/>
          <w:lang w:bidi="ar"/>
          <w14:textFill>
            <w14:solidFill>
              <w14:schemeClr w14:val="tx1"/>
            </w14:solidFill>
          </w14:textFill>
        </w:rPr>
        <w:t>企业为</w:t>
      </w:r>
      <w:r>
        <w:rPr>
          <w:rFonts w:hint="eastAsia" w:ascii="宋体" w:hAnsi="宋体" w:cs="宋体"/>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（企业名称）</w:t>
      </w:r>
      <w:r>
        <w:rPr>
          <w:rFonts w:hint="eastAsia" w:ascii="宋体" w:hAnsi="宋体" w:cs="宋体"/>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bidi="ar"/>
          <w14:textFill>
            <w14:solidFill>
              <w14:schemeClr w14:val="tx1"/>
            </w14:solidFill>
          </w14:textFill>
        </w:rPr>
        <w:t>，从业人员</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bidi="ar"/>
          <w14:textFill>
            <w14:solidFill>
              <w14:schemeClr w14:val="tx1"/>
            </w14:solidFill>
          </w14:textFill>
        </w:rPr>
        <w:t xml:space="preserve">人，营业收入为 </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bidi="ar"/>
          <w14:textFill>
            <w14:solidFill>
              <w14:schemeClr w14:val="tx1"/>
            </w14:solidFill>
          </w14:textFill>
        </w:rPr>
        <w:t>万元，资产总额为</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bidi="ar"/>
          <w14:textFill>
            <w14:solidFill>
              <w14:schemeClr w14:val="tx1"/>
            </w14:solidFill>
          </w14:textFill>
        </w:rPr>
        <w:t>万元，属于</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（中型企业、小型企业、微型企业）</w:t>
      </w:r>
      <w:r>
        <w:rPr>
          <w:rFonts w:hint="eastAsia" w:ascii="宋体" w:hAnsi="宋体" w:eastAsia="宋体" w:cs="宋体"/>
          <w:color w:val="000000" w:themeColor="text1"/>
          <w:kern w:val="0"/>
          <w:sz w:val="24"/>
          <w:szCs w:val="24"/>
          <w:highlight w:val="none"/>
          <w:lang w:bidi="ar"/>
          <w14:textFill>
            <w14:solidFill>
              <w14:schemeClr w14:val="tx1"/>
            </w14:solidFill>
          </w14:textFill>
        </w:rPr>
        <w:t xml:space="preserve">； </w:t>
      </w:r>
    </w:p>
    <w:p w14:paraId="0C6B9024">
      <w:pPr>
        <w:widowControl/>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w:t>
      </w:r>
    </w:p>
    <w:p w14:paraId="7139460C">
      <w:pPr>
        <w:widowControl/>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以上企业，不属于大企业的分支机构，不存在控股股东为大企业的情形，也不存在与大企业的负责人为同一人的情形。</w:t>
      </w:r>
    </w:p>
    <w:p w14:paraId="6B7803CD">
      <w:pPr>
        <w:widowControl/>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 xml:space="preserve">本企业对上述声明内容的真实性负责。如有虚假，将依法承担相应责任。 </w:t>
      </w:r>
    </w:p>
    <w:p w14:paraId="6D91640F">
      <w:pPr>
        <w:widowControl/>
        <w:spacing w:line="360" w:lineRule="auto"/>
        <w:ind w:firstLine="4800" w:firstLineChars="2000"/>
        <w:jc w:val="left"/>
        <w:rPr>
          <w:rFonts w:hint="eastAsia" w:ascii="宋体" w:hAnsi="宋体" w:eastAsia="宋体" w:cs="宋体"/>
          <w:color w:val="000000" w:themeColor="text1"/>
          <w:kern w:val="0"/>
          <w:sz w:val="24"/>
          <w:szCs w:val="24"/>
          <w:highlight w:val="none"/>
          <w:lang w:bidi="ar"/>
          <w14:textFill>
            <w14:solidFill>
              <w14:schemeClr w14:val="tx1"/>
            </w14:solidFill>
          </w14:textFill>
        </w:rPr>
      </w:pPr>
    </w:p>
    <w:p w14:paraId="61544F03">
      <w:pPr>
        <w:widowControl/>
        <w:spacing w:line="480" w:lineRule="auto"/>
        <w:ind w:firstLine="4800" w:firstLineChars="20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 xml:space="preserve">企业名称（盖章）： </w:t>
      </w:r>
    </w:p>
    <w:p w14:paraId="0DA7E6AF">
      <w:pPr>
        <w:widowControl/>
        <w:spacing w:line="480" w:lineRule="auto"/>
        <w:ind w:firstLine="4800" w:firstLineChars="2000"/>
        <w:jc w:val="left"/>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 xml:space="preserve">日 期： </w:t>
      </w:r>
    </w:p>
    <w:p w14:paraId="7C891D7E">
      <w:pPr>
        <w:rPr>
          <w:rFonts w:hint="eastAsia" w:ascii="宋体" w:hAnsi="宋体" w:eastAsia="宋体" w:cs="宋体"/>
          <w:color w:val="000000" w:themeColor="text1"/>
          <w:kern w:val="0"/>
          <w:sz w:val="24"/>
          <w:szCs w:val="24"/>
          <w:highlight w:val="none"/>
          <w:lang w:bidi="ar"/>
          <w14:textFill>
            <w14:solidFill>
              <w14:schemeClr w14:val="tx1"/>
            </w14:solidFill>
          </w14:textFill>
        </w:rPr>
      </w:pPr>
    </w:p>
    <w:p w14:paraId="342302C6">
      <w:pPr>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000000" w:themeColor="text1"/>
          <w:kern w:val="0"/>
          <w:sz w:val="24"/>
          <w:szCs w:val="24"/>
          <w:highlight w:val="none"/>
          <w:lang w:bidi="ar"/>
          <w14:textFill>
            <w14:solidFill>
              <w14:schemeClr w14:val="tx1"/>
            </w14:solidFill>
          </w14:textFill>
        </w:rPr>
        <w:t>注：从业人员、营业收入、资产总额填报上一年度数据，无上一年度数据的新成立企业可不填报。</w:t>
      </w:r>
    </w:p>
    <w:p w14:paraId="04739D33">
      <w:pPr>
        <w:pageBreakBefore w:val="0"/>
        <w:wordWrap w:val="0"/>
        <w:overflowPunct/>
        <w:spacing w:line="588" w:lineRule="exact"/>
        <w:jc w:val="center"/>
        <w:outlineLvl w:val="9"/>
        <w:rPr>
          <w:rFonts w:hint="eastAsia" w:ascii="宋体" w:hAnsi="宋体" w:eastAsia="宋体" w:cs="宋体"/>
          <w:b/>
          <w:bCs/>
          <w:color w:val="auto"/>
          <w:sz w:val="28"/>
          <w:szCs w:val="28"/>
          <w:highlight w:val="none"/>
          <w:lang w:val="en-US" w:eastAsia="zh-CN"/>
        </w:rPr>
      </w:pPr>
    </w:p>
    <w:p w14:paraId="0F075C29">
      <w:pPr>
        <w:pageBreakBefore w:val="0"/>
        <w:wordWrap w:val="0"/>
        <w:overflowPunct/>
        <w:spacing w:line="588" w:lineRule="exact"/>
        <w:jc w:val="center"/>
        <w:outlineLvl w:val="9"/>
        <w:rPr>
          <w:rFonts w:hint="eastAsia" w:ascii="宋体" w:hAnsi="宋体" w:eastAsia="宋体" w:cs="宋体"/>
          <w:b/>
          <w:bCs/>
          <w:color w:val="auto"/>
          <w:sz w:val="28"/>
          <w:szCs w:val="28"/>
          <w:highlight w:val="none"/>
          <w:lang w:val="en-US" w:eastAsia="zh-CN"/>
        </w:rPr>
      </w:pPr>
    </w:p>
    <w:p w14:paraId="0C1DA9A6">
      <w:pPr>
        <w:pageBreakBefore w:val="0"/>
        <w:wordWrap w:val="0"/>
        <w:overflowPunct/>
        <w:spacing w:line="588" w:lineRule="exact"/>
        <w:jc w:val="center"/>
        <w:outlineLvl w:val="9"/>
        <w:rPr>
          <w:rFonts w:hint="eastAsia" w:ascii="宋体" w:hAnsi="宋体" w:eastAsia="宋体" w:cs="宋体"/>
          <w:b/>
          <w:bCs/>
          <w:color w:val="auto"/>
          <w:sz w:val="28"/>
          <w:szCs w:val="28"/>
          <w:highlight w:val="none"/>
          <w:lang w:val="en-US" w:eastAsia="zh-CN"/>
        </w:rPr>
      </w:pPr>
    </w:p>
    <w:p w14:paraId="0C02F11B">
      <w:pPr>
        <w:pageBreakBefore w:val="0"/>
        <w:wordWrap w:val="0"/>
        <w:overflowPunct/>
        <w:spacing w:line="588" w:lineRule="exact"/>
        <w:jc w:val="both"/>
        <w:outlineLvl w:val="9"/>
        <w:rPr>
          <w:rFonts w:hint="eastAsia" w:ascii="宋体" w:hAnsi="宋体" w:eastAsia="宋体" w:cs="宋体"/>
          <w:b/>
          <w:bCs/>
          <w:color w:val="auto"/>
          <w:sz w:val="28"/>
          <w:szCs w:val="28"/>
          <w:highlight w:val="none"/>
          <w:lang w:val="en-US" w:eastAsia="zh-CN"/>
        </w:rPr>
      </w:pPr>
    </w:p>
    <w:p w14:paraId="5286004C">
      <w:pPr>
        <w:spacing w:line="360" w:lineRule="auto"/>
        <w:jc w:val="center"/>
        <w:outlineLvl w:val="0"/>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bCs/>
          <w:color w:val="auto"/>
          <w:sz w:val="28"/>
          <w:szCs w:val="28"/>
          <w:highlight w:val="none"/>
          <w:lang w:val="en-US" w:eastAsia="zh-CN"/>
        </w:rPr>
        <w:t>（二）</w:t>
      </w:r>
      <w:bookmarkStart w:id="859" w:name="_Toc11608"/>
      <w:bookmarkStart w:id="860" w:name="_Toc31012"/>
      <w:bookmarkStart w:id="861" w:name="_Toc27932"/>
      <w:bookmarkStart w:id="862" w:name="_Toc193"/>
      <w:bookmarkStart w:id="863" w:name="_Toc26466"/>
      <w:bookmarkStart w:id="864" w:name="_Toc28130"/>
      <w:bookmarkStart w:id="865" w:name="_Toc18871"/>
      <w:bookmarkStart w:id="866" w:name="_Toc20889"/>
      <w:bookmarkStart w:id="867" w:name="_Toc25923"/>
      <w:bookmarkStart w:id="868" w:name="_Toc31965"/>
      <w:bookmarkStart w:id="869" w:name="_Toc5422"/>
      <w:bookmarkStart w:id="870" w:name="_Toc1146"/>
      <w:bookmarkStart w:id="871" w:name="_Toc16806"/>
      <w:bookmarkStart w:id="872" w:name="_Toc32156"/>
      <w:bookmarkStart w:id="873" w:name="_Toc16477"/>
      <w:bookmarkStart w:id="874" w:name="_Toc17267"/>
      <w:bookmarkStart w:id="875" w:name="_Toc1156"/>
      <w:bookmarkStart w:id="876" w:name="_Toc25767"/>
      <w:bookmarkStart w:id="877" w:name="_Toc3262_WPSOffice_Level2"/>
      <w:bookmarkStart w:id="878" w:name="_Toc4215"/>
      <w:bookmarkStart w:id="879" w:name="_Toc30056"/>
      <w:bookmarkStart w:id="880" w:name="_Toc12560"/>
      <w:bookmarkStart w:id="881" w:name="_Toc9753"/>
      <w:bookmarkStart w:id="882" w:name="_Toc24442_WPSOffice_Level2"/>
      <w:r>
        <w:rPr>
          <w:rFonts w:hint="eastAsia" w:ascii="宋体" w:hAnsi="宋体" w:eastAsia="宋体" w:cs="宋体"/>
          <w:b/>
          <w:color w:val="000000" w:themeColor="text1"/>
          <w:sz w:val="30"/>
          <w:szCs w:val="30"/>
          <w:highlight w:val="none"/>
          <w14:textFill>
            <w14:solidFill>
              <w14:schemeClr w14:val="tx1"/>
            </w14:solidFill>
          </w14:textFill>
        </w:rPr>
        <w:t>残疾人福利性单位声明函</w:t>
      </w:r>
      <w:bookmarkEnd w:id="859"/>
      <w:bookmarkEnd w:id="860"/>
      <w:bookmarkEnd w:id="861"/>
      <w:bookmarkEnd w:id="862"/>
      <w:bookmarkEnd w:id="863"/>
      <w:bookmarkEnd w:id="864"/>
      <w:bookmarkEnd w:id="865"/>
      <w:bookmarkEnd w:id="866"/>
      <w:bookmarkEnd w:id="867"/>
      <w:r>
        <w:rPr>
          <w:rFonts w:hint="eastAsia" w:ascii="宋体" w:hAnsi="宋体" w:eastAsia="宋体" w:cs="宋体"/>
          <w:b/>
          <w:color w:val="000000" w:themeColor="text1"/>
          <w:sz w:val="30"/>
          <w:szCs w:val="30"/>
          <w:highlight w:val="none"/>
          <w:lang w:eastAsia="zh-CN"/>
          <w14:textFill>
            <w14:solidFill>
              <w14:schemeClr w14:val="tx1"/>
            </w14:solidFill>
          </w14:textFill>
        </w:rPr>
        <w:t>（</w:t>
      </w:r>
      <w:r>
        <w:rPr>
          <w:rFonts w:hint="eastAsia" w:ascii="宋体" w:hAnsi="宋体" w:eastAsia="宋体" w:cs="宋体"/>
          <w:b/>
          <w:color w:val="000000" w:themeColor="text1"/>
          <w:sz w:val="30"/>
          <w:szCs w:val="30"/>
          <w:highlight w:val="none"/>
          <w:lang w:val="en-US" w:eastAsia="zh-CN"/>
          <w14:textFill>
            <w14:solidFill>
              <w14:schemeClr w14:val="tx1"/>
            </w14:solidFill>
          </w14:textFill>
        </w:rPr>
        <w:t>按需提供</w:t>
      </w:r>
      <w:r>
        <w:rPr>
          <w:rFonts w:hint="eastAsia" w:ascii="宋体" w:hAnsi="宋体" w:eastAsia="宋体" w:cs="宋体"/>
          <w:b/>
          <w:color w:val="000000" w:themeColor="text1"/>
          <w:sz w:val="30"/>
          <w:szCs w:val="30"/>
          <w:highlight w:val="none"/>
          <w:lang w:eastAsia="zh-CN"/>
          <w14:textFill>
            <w14:solidFill>
              <w14:schemeClr w14:val="tx1"/>
            </w14:solidFill>
          </w14:textFill>
        </w:rPr>
        <w:t>）</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p w14:paraId="77C8B59F">
      <w:pPr>
        <w:spacing w:line="360" w:lineRule="auto"/>
        <w:rPr>
          <w:rFonts w:hint="eastAsia" w:ascii="宋体" w:hAnsi="宋体" w:eastAsia="宋体" w:cs="宋体"/>
          <w:b/>
          <w:color w:val="000000" w:themeColor="text1"/>
          <w:spacing w:val="6"/>
          <w:sz w:val="24"/>
          <w:szCs w:val="24"/>
          <w:highlight w:val="none"/>
          <w14:textFill>
            <w14:solidFill>
              <w14:schemeClr w14:val="tx1"/>
            </w14:solidFill>
          </w14:textFill>
        </w:rPr>
      </w:pPr>
    </w:p>
    <w:p w14:paraId="2AC3DA29">
      <w:pPr>
        <w:spacing w:line="360" w:lineRule="auto"/>
        <w:ind w:firstLine="504"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〔2017〕 141</w:t>
      </w:r>
      <w:r>
        <w:rPr>
          <w:rFonts w:hint="eastAsia" w:ascii="宋体" w:hAnsi="宋体" w:eastAsia="宋体" w:cs="宋体"/>
          <w:color w:val="000000" w:themeColor="text1"/>
          <w:spacing w:val="6"/>
          <w:sz w:val="24"/>
          <w:szCs w:val="24"/>
          <w:highlight w:val="none"/>
          <w14:textFill>
            <w14:solidFill>
              <w14:schemeClr w14:val="tx1"/>
            </w14:solidFill>
          </w14:textFill>
        </w:rPr>
        <w:t>号）的规定，本单位为符合条件的残疾人福利性单位，且本单位参加</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（采购人名称）   </w:t>
      </w:r>
      <w:r>
        <w:rPr>
          <w:rFonts w:hint="eastAsia" w:ascii="宋体" w:hAnsi="宋体" w:eastAsia="宋体" w:cs="宋体"/>
          <w:color w:val="000000" w:themeColor="text1"/>
          <w:spacing w:val="6"/>
          <w:sz w:val="24"/>
          <w:szCs w:val="24"/>
          <w:highlight w:val="none"/>
          <w14:textFill>
            <w14:solidFill>
              <w14:schemeClr w14:val="tx1"/>
            </w14:solidFill>
          </w14:textFill>
        </w:rPr>
        <w:t>单位的</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（项目名称）   </w:t>
      </w:r>
      <w:r>
        <w:rPr>
          <w:rFonts w:hint="eastAsia" w:ascii="宋体" w:hAnsi="宋体" w:eastAsia="宋体" w:cs="宋体"/>
          <w:color w:val="000000" w:themeColor="text1"/>
          <w:spacing w:val="6"/>
          <w:sz w:val="24"/>
          <w:szCs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44E428DC">
      <w:pPr>
        <w:spacing w:line="360" w:lineRule="auto"/>
        <w:ind w:firstLine="504"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本单位对上述声明的真实性负责。如有虚假，将依法承担相应责任。</w:t>
      </w:r>
    </w:p>
    <w:p w14:paraId="791CCA23">
      <w:pPr>
        <w:spacing w:line="360" w:lineRule="auto"/>
        <w:ind w:firstLine="504" w:firstLineChars="200"/>
        <w:rPr>
          <w:rFonts w:hint="eastAsia" w:ascii="宋体" w:hAnsi="宋体" w:eastAsia="宋体" w:cs="宋体"/>
          <w:color w:val="000000" w:themeColor="text1"/>
          <w:spacing w:val="6"/>
          <w:sz w:val="24"/>
          <w:szCs w:val="24"/>
          <w:highlight w:val="none"/>
          <w14:textFill>
            <w14:solidFill>
              <w14:schemeClr w14:val="tx1"/>
            </w14:solidFill>
          </w14:textFill>
        </w:rPr>
      </w:pPr>
    </w:p>
    <w:p w14:paraId="4C4FD5AE">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1"/>
          <w:sz w:val="24"/>
          <w:lang w:val="en-US" w:eastAsia="zh-CN" w:bidi="ar"/>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：（公章）</w:t>
      </w:r>
    </w:p>
    <w:p w14:paraId="29FB6C1E">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法定代表人或被授权人（签字）：</w:t>
      </w:r>
    </w:p>
    <w:p w14:paraId="45E3520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p>
    <w:p w14:paraId="5E2FBF0B">
      <w:pPr>
        <w:spacing w:line="360" w:lineRule="auto"/>
        <w:ind w:firstLine="504" w:firstLineChars="200"/>
        <w:rPr>
          <w:rFonts w:hint="eastAsia" w:ascii="宋体" w:hAnsi="宋体" w:eastAsia="宋体" w:cs="宋体"/>
          <w:color w:val="000000" w:themeColor="text1"/>
          <w:spacing w:val="6"/>
          <w:sz w:val="24"/>
          <w:szCs w:val="24"/>
          <w:highlight w:val="none"/>
          <w14:textFill>
            <w14:solidFill>
              <w14:schemeClr w14:val="tx1"/>
            </w14:solidFill>
          </w14:textFill>
        </w:rPr>
      </w:pPr>
    </w:p>
    <w:p w14:paraId="38830AB9">
      <w:pPr>
        <w:spacing w:line="360" w:lineRule="auto"/>
        <w:ind w:left="283" w:leftChars="135" w:firstLine="378" w:firstLineChars="150"/>
        <w:jc w:val="left"/>
        <w:rPr>
          <w:rFonts w:hint="eastAsia" w:ascii="宋体" w:hAnsi="宋体" w:eastAsia="宋体" w:cs="宋体"/>
          <w:color w:val="000000" w:themeColor="text1"/>
          <w:spacing w:val="6"/>
          <w:sz w:val="24"/>
          <w:szCs w:val="24"/>
          <w:highlight w:val="none"/>
          <w14:textFill>
            <w14:solidFill>
              <w14:schemeClr w14:val="tx1"/>
            </w14:solidFill>
          </w14:textFill>
        </w:rPr>
      </w:pPr>
    </w:p>
    <w:p w14:paraId="388A417B">
      <w:pPr>
        <w:spacing w:line="360" w:lineRule="auto"/>
        <w:ind w:left="283" w:leftChars="135" w:firstLine="378" w:firstLineChars="150"/>
        <w:jc w:val="left"/>
        <w:rPr>
          <w:rFonts w:hint="eastAsia" w:ascii="宋体" w:hAnsi="宋体" w:eastAsia="宋体" w:cs="宋体"/>
          <w:color w:val="000000" w:themeColor="text1"/>
          <w:spacing w:val="6"/>
          <w:sz w:val="24"/>
          <w:szCs w:val="24"/>
          <w:highlight w:val="none"/>
          <w14:textFill>
            <w14:solidFill>
              <w14:schemeClr w14:val="tx1"/>
            </w14:solidFill>
          </w14:textFill>
        </w:rPr>
      </w:pPr>
    </w:p>
    <w:p w14:paraId="02034CF1">
      <w:pPr>
        <w:widowControl/>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注：属于残疾人福利性单位的，按要求提交此函，非残疾人福利性单位的，无需提交。</w:t>
      </w:r>
    </w:p>
    <w:p w14:paraId="24493DAE">
      <w:pPr>
        <w:widowControl/>
        <w:spacing w:line="360" w:lineRule="auto"/>
        <w:jc w:val="left"/>
        <w:rPr>
          <w:rFonts w:hint="eastAsia" w:ascii="宋体" w:hAnsi="宋体" w:eastAsia="宋体" w:cs="宋体"/>
          <w:sz w:val="24"/>
          <w:szCs w:val="24"/>
        </w:rPr>
      </w:pPr>
    </w:p>
    <w:p w14:paraId="7D0DA336">
      <w:pPr>
        <w:pageBreakBefore w:val="0"/>
        <w:wordWrap w:val="0"/>
        <w:overflowPunct/>
        <w:spacing w:before="60" w:after="60" w:line="360" w:lineRule="auto"/>
        <w:ind w:firstLine="2800" w:firstLineChars="1000"/>
        <w:jc w:val="both"/>
        <w:outlineLvl w:val="9"/>
        <w:rPr>
          <w:rFonts w:hint="eastAsia" w:ascii="仿宋" w:hAnsi="仿宋" w:eastAsia="仿宋" w:cs="仿宋"/>
          <w:color w:val="auto"/>
          <w:sz w:val="28"/>
          <w:highlight w:val="none"/>
          <w:lang w:val="en-US" w:eastAsia="zh-CN"/>
        </w:rPr>
      </w:pPr>
    </w:p>
    <w:p w14:paraId="6A97C5DF">
      <w:pPr>
        <w:pageBreakBefore w:val="0"/>
        <w:wordWrap w:val="0"/>
        <w:overflowPunct/>
        <w:spacing w:before="60" w:after="60" w:line="360" w:lineRule="auto"/>
        <w:ind w:firstLine="2800" w:firstLineChars="1000"/>
        <w:jc w:val="both"/>
        <w:outlineLvl w:val="9"/>
        <w:rPr>
          <w:rFonts w:hint="eastAsia" w:ascii="仿宋" w:hAnsi="仿宋" w:eastAsia="仿宋" w:cs="仿宋"/>
          <w:color w:val="auto"/>
          <w:sz w:val="28"/>
          <w:highlight w:val="none"/>
          <w:lang w:val="en-US" w:eastAsia="zh-CN"/>
        </w:rPr>
      </w:pPr>
    </w:p>
    <w:p w14:paraId="4B65D9AF">
      <w:pPr>
        <w:widowControl/>
        <w:spacing w:line="360" w:lineRule="auto"/>
        <w:jc w:val="center"/>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仿宋" w:hAnsi="仿宋" w:eastAsia="仿宋" w:cs="仿宋"/>
          <w:color w:val="auto"/>
          <w:sz w:val="24"/>
          <w:szCs w:val="32"/>
          <w:highlight w:val="none"/>
          <w:lang w:eastAsia="zh-CN"/>
        </w:rPr>
        <w:br w:type="page"/>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lang w:eastAsia="zh-CN"/>
        </w:rPr>
        <w:t>）</w:t>
      </w:r>
      <w:bookmarkStart w:id="883" w:name="_Toc26049_WPSOffice_Level2"/>
      <w:bookmarkStart w:id="884" w:name="_Toc20294_WPSOffice_Level2"/>
      <w:r>
        <w:rPr>
          <w:rFonts w:hint="eastAsia" w:ascii="宋体" w:hAnsi="宋体" w:eastAsia="宋体" w:cs="宋体"/>
          <w:b/>
          <w:color w:val="000000" w:themeColor="text1"/>
          <w:sz w:val="30"/>
          <w:szCs w:val="30"/>
          <w:highlight w:val="none"/>
          <w14:textFill>
            <w14:solidFill>
              <w14:schemeClr w14:val="tx1"/>
            </w14:solidFill>
          </w14:textFill>
        </w:rPr>
        <w:t>监狱企业证明文件</w:t>
      </w:r>
      <w:r>
        <w:rPr>
          <w:rFonts w:hint="eastAsia" w:ascii="宋体" w:hAnsi="宋体" w:eastAsia="宋体" w:cs="宋体"/>
          <w:b/>
          <w:color w:val="000000" w:themeColor="text1"/>
          <w:sz w:val="30"/>
          <w:szCs w:val="30"/>
          <w:highlight w:val="none"/>
          <w:lang w:eastAsia="zh-CN"/>
          <w14:textFill>
            <w14:solidFill>
              <w14:schemeClr w14:val="tx1"/>
            </w14:solidFill>
          </w14:textFill>
        </w:rPr>
        <w:t>（</w:t>
      </w:r>
      <w:r>
        <w:rPr>
          <w:rFonts w:hint="eastAsia" w:ascii="宋体" w:hAnsi="宋体" w:eastAsia="宋体" w:cs="宋体"/>
          <w:b/>
          <w:color w:val="000000" w:themeColor="text1"/>
          <w:sz w:val="30"/>
          <w:szCs w:val="30"/>
          <w:highlight w:val="none"/>
          <w:lang w:val="en-US" w:eastAsia="zh-CN"/>
          <w14:textFill>
            <w14:solidFill>
              <w14:schemeClr w14:val="tx1"/>
            </w14:solidFill>
          </w14:textFill>
        </w:rPr>
        <w:t>按需提供</w:t>
      </w:r>
      <w:r>
        <w:rPr>
          <w:rFonts w:hint="eastAsia" w:ascii="宋体" w:hAnsi="宋体" w:eastAsia="宋体" w:cs="宋体"/>
          <w:b/>
          <w:color w:val="000000" w:themeColor="text1"/>
          <w:sz w:val="30"/>
          <w:szCs w:val="30"/>
          <w:highlight w:val="none"/>
          <w:lang w:eastAsia="zh-CN"/>
          <w14:textFill>
            <w14:solidFill>
              <w14:schemeClr w14:val="tx1"/>
            </w14:solidFill>
          </w14:textFill>
        </w:rPr>
        <w:t>）</w:t>
      </w:r>
      <w:bookmarkEnd w:id="883"/>
      <w:bookmarkEnd w:id="884"/>
    </w:p>
    <w:p w14:paraId="09746D4C">
      <w:pP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p>
    <w:p w14:paraId="30409915">
      <w:pP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964D39">
      <w:pPr>
        <w:spacing w:line="360" w:lineRule="auto"/>
        <w:ind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0552A250">
      <w:pPr>
        <w:spacing w:line="360" w:lineRule="auto"/>
        <w:ind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p>
    <w:p w14:paraId="3AD94C87">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p>
    <w:p w14:paraId="403921D2">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1"/>
          <w:sz w:val="24"/>
          <w:lang w:val="en-US" w:eastAsia="zh-CN" w:bidi="ar"/>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：（公章）</w:t>
      </w:r>
    </w:p>
    <w:p w14:paraId="759D93D7">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法定代表人或被授权人（签字）：</w:t>
      </w:r>
    </w:p>
    <w:p w14:paraId="60E9F9A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p>
    <w:p w14:paraId="1F84DE2C">
      <w:pPr>
        <w:spacing w:line="360" w:lineRule="auto"/>
        <w:ind w:firstLine="510"/>
        <w:contextualSpacing/>
        <w:rPr>
          <w:rFonts w:hint="eastAsia" w:ascii="宋体" w:hAnsi="宋体" w:eastAsia="宋体" w:cs="宋体"/>
          <w:color w:val="000000" w:themeColor="text1"/>
          <w:sz w:val="24"/>
          <w:szCs w:val="24"/>
          <w:highlight w:val="none"/>
          <w14:textFill>
            <w14:solidFill>
              <w14:schemeClr w14:val="tx1"/>
            </w14:solidFill>
          </w14:textFill>
        </w:rPr>
      </w:pPr>
    </w:p>
    <w:p w14:paraId="55182898">
      <w:pPr>
        <w:spacing w:line="360" w:lineRule="auto"/>
        <w:ind w:firstLine="510"/>
        <w:contextualSpacing/>
        <w:rPr>
          <w:rFonts w:hint="eastAsia" w:ascii="宋体" w:hAnsi="宋体" w:eastAsia="宋体" w:cs="宋体"/>
          <w:color w:val="000000" w:themeColor="text1"/>
          <w:sz w:val="24"/>
          <w:szCs w:val="24"/>
          <w:highlight w:val="none"/>
          <w14:textFill>
            <w14:solidFill>
              <w14:schemeClr w14:val="tx1"/>
            </w14:solidFill>
          </w14:textFill>
        </w:rPr>
      </w:pPr>
    </w:p>
    <w:p w14:paraId="738E9B67">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注：非监狱企业的，无需提交。</w:t>
      </w:r>
    </w:p>
    <w:p w14:paraId="5AADD8F4">
      <w:pPr>
        <w:widowControl/>
        <w:spacing w:line="360" w:lineRule="auto"/>
        <w:jc w:val="left"/>
        <w:rPr>
          <w:rFonts w:hint="eastAsia" w:ascii="宋体" w:hAnsi="宋体" w:eastAsia="宋体" w:cs="宋体"/>
          <w:sz w:val="24"/>
          <w:szCs w:val="24"/>
        </w:rPr>
      </w:pPr>
    </w:p>
    <w:p w14:paraId="66F306BB">
      <w:pPr>
        <w:pStyle w:val="2"/>
        <w:ind w:firstLine="720" w:firstLineChars="300"/>
        <w:rPr>
          <w:rFonts w:hint="eastAsia" w:ascii="宋体" w:hAnsi="宋体" w:eastAsia="宋体" w:cs="宋体"/>
          <w:color w:val="auto"/>
          <w:sz w:val="24"/>
          <w:szCs w:val="24"/>
          <w:highlight w:val="none"/>
          <w:lang w:eastAsia="zh-CN"/>
        </w:rPr>
      </w:pPr>
    </w:p>
    <w:p w14:paraId="429E4B6F">
      <w:pPr>
        <w:spacing w:line="400" w:lineRule="atLeast"/>
        <w:ind w:right="1189" w:rightChars="566" w:firstLine="360"/>
        <w:rPr>
          <w:rFonts w:hint="eastAsia" w:ascii="宋体" w:hAnsi="宋体" w:eastAsia="宋体" w:cs="宋体"/>
          <w:color w:val="auto"/>
          <w:kern w:val="1"/>
          <w:sz w:val="24"/>
          <w:highlight w:val="none"/>
          <w:lang w:bidi="ar"/>
        </w:rPr>
      </w:pPr>
    </w:p>
    <w:p w14:paraId="0AF35E49">
      <w:pPr>
        <w:spacing w:line="460" w:lineRule="exact"/>
        <w:rPr>
          <w:rFonts w:hint="eastAsia" w:ascii="宋体" w:hAnsi="宋体" w:eastAsia="宋体" w:cs="宋体"/>
          <w:b/>
          <w:bCs/>
          <w:color w:val="auto"/>
          <w:sz w:val="24"/>
          <w:highlight w:val="none"/>
        </w:rPr>
      </w:pPr>
    </w:p>
    <w:p w14:paraId="0014FAFE">
      <w:pPr>
        <w:spacing w:line="560" w:lineRule="exact"/>
        <w:ind w:firstLine="482" w:firstLineChars="200"/>
        <w:rPr>
          <w:rFonts w:hint="eastAsia" w:ascii="宋体" w:hAnsi="宋体" w:eastAsia="宋体" w:cs="宋体"/>
          <w:b/>
          <w:bCs/>
          <w:color w:val="auto"/>
          <w:sz w:val="24"/>
          <w:highlight w:val="none"/>
        </w:rPr>
      </w:pPr>
    </w:p>
    <w:p w14:paraId="02AD048C">
      <w:pPr>
        <w:spacing w:line="560" w:lineRule="exact"/>
        <w:ind w:firstLine="482" w:firstLineChars="200"/>
        <w:rPr>
          <w:rFonts w:hint="eastAsia" w:ascii="宋体" w:hAnsi="宋体" w:eastAsia="宋体" w:cs="宋体"/>
          <w:b/>
          <w:bCs/>
          <w:color w:val="auto"/>
          <w:sz w:val="24"/>
          <w:highlight w:val="none"/>
        </w:rPr>
      </w:pPr>
    </w:p>
    <w:p w14:paraId="316B1C00">
      <w:pPr>
        <w:spacing w:line="560" w:lineRule="exact"/>
        <w:ind w:firstLine="482" w:firstLineChars="200"/>
        <w:rPr>
          <w:rFonts w:hint="eastAsia" w:ascii="宋体" w:hAnsi="宋体" w:eastAsia="宋体" w:cs="宋体"/>
          <w:b/>
          <w:bCs/>
          <w:color w:val="auto"/>
          <w:sz w:val="24"/>
          <w:highlight w:val="none"/>
        </w:rPr>
      </w:pPr>
    </w:p>
    <w:p w14:paraId="4827FB66">
      <w:pPr>
        <w:spacing w:line="560" w:lineRule="exact"/>
        <w:ind w:firstLine="482" w:firstLineChars="200"/>
        <w:rPr>
          <w:rFonts w:hint="eastAsia" w:ascii="宋体" w:hAnsi="宋体" w:eastAsia="宋体" w:cs="宋体"/>
          <w:b/>
          <w:bCs/>
          <w:color w:val="auto"/>
          <w:sz w:val="24"/>
          <w:highlight w:val="none"/>
        </w:rPr>
      </w:pPr>
    </w:p>
    <w:p w14:paraId="1E91E031">
      <w:pPr>
        <w:spacing w:line="560" w:lineRule="exact"/>
        <w:ind w:firstLine="482" w:firstLineChars="200"/>
        <w:rPr>
          <w:rFonts w:hint="eastAsia" w:ascii="宋体" w:hAnsi="宋体" w:eastAsia="宋体" w:cs="宋体"/>
          <w:b/>
          <w:bCs/>
          <w:color w:val="auto"/>
          <w:sz w:val="24"/>
          <w:highlight w:val="none"/>
        </w:rPr>
      </w:pPr>
    </w:p>
    <w:p w14:paraId="1693AC88">
      <w:pPr>
        <w:spacing w:line="360" w:lineRule="auto"/>
        <w:ind w:right="107" w:rightChars="51"/>
        <w:jc w:val="center"/>
        <w:outlineLvl w:val="9"/>
        <w:rPr>
          <w:rFonts w:hint="eastAsia" w:ascii="宋体" w:hAnsi="宋体" w:eastAsia="宋体" w:cs="宋体"/>
          <w:b/>
          <w:bCs/>
          <w:color w:val="auto"/>
          <w:sz w:val="30"/>
          <w:szCs w:val="30"/>
          <w:highlight w:val="none"/>
          <w:lang w:val="zh-CN"/>
        </w:rPr>
      </w:pPr>
    </w:p>
    <w:p w14:paraId="57C5AAFC">
      <w:pPr>
        <w:spacing w:line="360" w:lineRule="auto"/>
        <w:ind w:right="107" w:rightChars="51"/>
        <w:jc w:val="center"/>
        <w:outlineLvl w:val="9"/>
        <w:rPr>
          <w:rFonts w:hint="eastAsia" w:ascii="宋体" w:hAnsi="宋体" w:eastAsia="宋体" w:cs="宋体"/>
          <w:b/>
          <w:bCs/>
          <w:color w:val="auto"/>
          <w:sz w:val="30"/>
          <w:szCs w:val="30"/>
          <w:highlight w:val="none"/>
          <w:lang w:val="zh-CN"/>
        </w:rPr>
      </w:pPr>
    </w:p>
    <w:p w14:paraId="0AA2576F">
      <w:pPr>
        <w:spacing w:line="360" w:lineRule="auto"/>
        <w:ind w:right="107" w:rightChars="51"/>
        <w:jc w:val="center"/>
        <w:outlineLvl w:val="1"/>
        <w:rPr>
          <w:rFonts w:hint="eastAsia" w:ascii="宋体" w:hAnsi="宋体" w:eastAsia="宋体" w:cs="宋体"/>
          <w:b/>
          <w:bCs/>
          <w:color w:val="auto"/>
          <w:sz w:val="30"/>
          <w:szCs w:val="30"/>
          <w:highlight w:val="none"/>
          <w:lang w:val="zh-CN"/>
        </w:rPr>
      </w:pPr>
      <w:bookmarkStart w:id="885" w:name="_Toc16458"/>
      <w:bookmarkStart w:id="886" w:name="_Toc29196"/>
      <w:bookmarkStart w:id="887" w:name="_Toc18491"/>
      <w:r>
        <w:rPr>
          <w:rFonts w:hint="eastAsia" w:ascii="宋体" w:hAnsi="宋体" w:cs="宋体"/>
          <w:b/>
          <w:bCs/>
          <w:color w:val="auto"/>
          <w:sz w:val="30"/>
          <w:szCs w:val="30"/>
          <w:highlight w:val="none"/>
          <w:lang w:val="en-US" w:eastAsia="zh-CN"/>
        </w:rPr>
        <w:t>四</w:t>
      </w:r>
      <w:r>
        <w:rPr>
          <w:rFonts w:hint="eastAsia" w:ascii="宋体" w:hAnsi="宋体" w:eastAsia="宋体" w:cs="宋体"/>
          <w:b/>
          <w:bCs/>
          <w:color w:val="auto"/>
          <w:sz w:val="30"/>
          <w:szCs w:val="30"/>
          <w:highlight w:val="none"/>
          <w:lang w:val="zh-CN"/>
        </w:rPr>
        <w:t>、供应商基本情况表</w:t>
      </w:r>
      <w:bookmarkEnd w:id="885"/>
      <w:bookmarkEnd w:id="886"/>
      <w:bookmarkEnd w:id="887"/>
    </w:p>
    <w:tbl>
      <w:tblPr>
        <w:tblStyle w:val="29"/>
        <w:tblW w:w="94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174"/>
        <w:gridCol w:w="1077"/>
        <w:gridCol w:w="1254"/>
        <w:gridCol w:w="914"/>
        <w:gridCol w:w="437"/>
        <w:gridCol w:w="1200"/>
        <w:gridCol w:w="244"/>
        <w:gridCol w:w="486"/>
        <w:gridCol w:w="1674"/>
      </w:tblGrid>
      <w:tr w14:paraId="24B71D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2174" w:type="dxa"/>
            <w:tcBorders>
              <w:top w:val="single" w:color="auto" w:sz="8" w:space="0"/>
              <w:left w:val="single" w:color="auto" w:sz="8" w:space="0"/>
              <w:bottom w:val="single" w:color="auto" w:sz="4" w:space="0"/>
              <w:right w:val="single" w:color="auto" w:sz="4" w:space="0"/>
            </w:tcBorders>
            <w:vAlign w:val="center"/>
          </w:tcPr>
          <w:p w14:paraId="01EA09A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p>
        </w:tc>
        <w:tc>
          <w:tcPr>
            <w:tcW w:w="7286" w:type="dxa"/>
            <w:gridSpan w:val="8"/>
            <w:tcBorders>
              <w:top w:val="single" w:color="auto" w:sz="8" w:space="0"/>
              <w:left w:val="single" w:color="auto" w:sz="4" w:space="0"/>
              <w:bottom w:val="single" w:color="auto" w:sz="4" w:space="0"/>
              <w:right w:val="single" w:color="auto" w:sz="8" w:space="0"/>
            </w:tcBorders>
            <w:vAlign w:val="center"/>
          </w:tcPr>
          <w:p w14:paraId="121588BA">
            <w:pPr>
              <w:spacing w:line="360" w:lineRule="auto"/>
              <w:jc w:val="center"/>
              <w:rPr>
                <w:rFonts w:hint="eastAsia" w:ascii="宋体" w:hAnsi="宋体" w:eastAsia="宋体" w:cs="宋体"/>
                <w:color w:val="auto"/>
                <w:sz w:val="24"/>
                <w:highlight w:val="none"/>
              </w:rPr>
            </w:pPr>
          </w:p>
        </w:tc>
      </w:tr>
      <w:tr w14:paraId="14FD9B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2174" w:type="dxa"/>
            <w:tcBorders>
              <w:top w:val="single" w:color="auto" w:sz="4" w:space="0"/>
              <w:left w:val="single" w:color="auto" w:sz="8" w:space="0"/>
              <w:bottom w:val="single" w:color="auto" w:sz="4" w:space="0"/>
              <w:right w:val="single" w:color="auto" w:sz="4" w:space="0"/>
            </w:tcBorders>
            <w:vAlign w:val="center"/>
          </w:tcPr>
          <w:p w14:paraId="1A3D794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注册地址</w:t>
            </w:r>
          </w:p>
        </w:tc>
        <w:tc>
          <w:tcPr>
            <w:tcW w:w="7286" w:type="dxa"/>
            <w:gridSpan w:val="8"/>
            <w:tcBorders>
              <w:top w:val="single" w:color="auto" w:sz="4" w:space="0"/>
              <w:left w:val="single" w:color="auto" w:sz="4" w:space="0"/>
              <w:bottom w:val="single" w:color="auto" w:sz="4" w:space="0"/>
              <w:right w:val="single" w:color="auto" w:sz="8" w:space="0"/>
            </w:tcBorders>
            <w:vAlign w:val="center"/>
          </w:tcPr>
          <w:p w14:paraId="63AEB3FB">
            <w:pPr>
              <w:spacing w:line="360" w:lineRule="auto"/>
              <w:jc w:val="center"/>
              <w:rPr>
                <w:rFonts w:hint="eastAsia" w:ascii="宋体" w:hAnsi="宋体" w:eastAsia="宋体" w:cs="宋体"/>
                <w:color w:val="auto"/>
                <w:sz w:val="24"/>
                <w:highlight w:val="none"/>
              </w:rPr>
            </w:pPr>
          </w:p>
        </w:tc>
      </w:tr>
      <w:tr w14:paraId="1D6FDD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2174" w:type="dxa"/>
            <w:vMerge w:val="restart"/>
            <w:tcBorders>
              <w:top w:val="single" w:color="auto" w:sz="4" w:space="0"/>
              <w:left w:val="single" w:color="auto" w:sz="8" w:space="0"/>
              <w:bottom w:val="single" w:color="auto" w:sz="4" w:space="0"/>
              <w:right w:val="single" w:color="auto" w:sz="4" w:space="0"/>
            </w:tcBorders>
            <w:vAlign w:val="center"/>
          </w:tcPr>
          <w:p w14:paraId="5A59E64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1077" w:type="dxa"/>
            <w:tcBorders>
              <w:top w:val="single" w:color="auto" w:sz="4" w:space="0"/>
              <w:left w:val="single" w:color="auto" w:sz="4" w:space="0"/>
              <w:bottom w:val="single" w:color="auto" w:sz="4" w:space="0"/>
              <w:right w:val="single" w:color="auto" w:sz="4" w:space="0"/>
            </w:tcBorders>
            <w:vAlign w:val="center"/>
          </w:tcPr>
          <w:p w14:paraId="09A1BA5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c>
          <w:tcPr>
            <w:tcW w:w="2605" w:type="dxa"/>
            <w:gridSpan w:val="3"/>
            <w:tcBorders>
              <w:top w:val="single" w:color="auto" w:sz="4" w:space="0"/>
              <w:left w:val="single" w:color="auto" w:sz="4" w:space="0"/>
              <w:bottom w:val="single" w:color="auto" w:sz="4" w:space="0"/>
              <w:right w:val="single" w:color="auto" w:sz="4" w:space="0"/>
            </w:tcBorders>
            <w:vAlign w:val="center"/>
          </w:tcPr>
          <w:p w14:paraId="31B4380A">
            <w:pPr>
              <w:spacing w:line="360" w:lineRule="auto"/>
              <w:jc w:val="center"/>
              <w:rPr>
                <w:rFonts w:hint="eastAsia" w:ascii="宋体" w:hAnsi="宋体" w:eastAsia="宋体" w:cs="宋体"/>
                <w:color w:val="auto"/>
                <w:sz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4000EC5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p>
        </w:tc>
        <w:tc>
          <w:tcPr>
            <w:tcW w:w="2404" w:type="dxa"/>
            <w:gridSpan w:val="3"/>
            <w:tcBorders>
              <w:top w:val="single" w:color="auto" w:sz="4" w:space="0"/>
              <w:left w:val="single" w:color="auto" w:sz="4" w:space="0"/>
              <w:bottom w:val="single" w:color="auto" w:sz="4" w:space="0"/>
              <w:right w:val="single" w:color="auto" w:sz="8" w:space="0"/>
            </w:tcBorders>
            <w:vAlign w:val="center"/>
          </w:tcPr>
          <w:p w14:paraId="4C3E8E74">
            <w:pPr>
              <w:spacing w:line="360" w:lineRule="auto"/>
              <w:jc w:val="center"/>
              <w:rPr>
                <w:rFonts w:hint="eastAsia" w:ascii="宋体" w:hAnsi="宋体" w:eastAsia="宋体" w:cs="宋体"/>
                <w:color w:val="auto"/>
                <w:sz w:val="24"/>
                <w:highlight w:val="none"/>
              </w:rPr>
            </w:pPr>
          </w:p>
        </w:tc>
      </w:tr>
      <w:tr w14:paraId="79FF15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74" w:type="dxa"/>
            <w:vMerge w:val="continue"/>
            <w:tcBorders>
              <w:top w:val="single" w:color="auto" w:sz="4" w:space="0"/>
              <w:left w:val="single" w:color="auto" w:sz="8" w:space="0"/>
              <w:bottom w:val="single" w:color="auto" w:sz="4" w:space="0"/>
              <w:right w:val="single" w:color="auto" w:sz="4" w:space="0"/>
            </w:tcBorders>
            <w:vAlign w:val="center"/>
          </w:tcPr>
          <w:p w14:paraId="5149A5D8">
            <w:pPr>
              <w:widowControl/>
              <w:spacing w:line="360" w:lineRule="auto"/>
              <w:jc w:val="left"/>
              <w:rPr>
                <w:rFonts w:hint="eastAsia" w:ascii="宋体" w:hAnsi="宋体" w:eastAsia="宋体" w:cs="宋体"/>
                <w:color w:val="auto"/>
                <w:sz w:val="24"/>
                <w:highlight w:val="none"/>
              </w:rPr>
            </w:pPr>
          </w:p>
        </w:tc>
        <w:tc>
          <w:tcPr>
            <w:tcW w:w="1077" w:type="dxa"/>
            <w:tcBorders>
              <w:top w:val="single" w:color="auto" w:sz="4" w:space="0"/>
              <w:left w:val="single" w:color="auto" w:sz="4" w:space="0"/>
              <w:bottom w:val="single" w:color="auto" w:sz="4" w:space="0"/>
              <w:right w:val="single" w:color="auto" w:sz="4" w:space="0"/>
            </w:tcBorders>
            <w:vAlign w:val="center"/>
          </w:tcPr>
          <w:p w14:paraId="78D9479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p>
        </w:tc>
        <w:tc>
          <w:tcPr>
            <w:tcW w:w="2605" w:type="dxa"/>
            <w:gridSpan w:val="3"/>
            <w:tcBorders>
              <w:top w:val="single" w:color="auto" w:sz="4" w:space="0"/>
              <w:left w:val="single" w:color="auto" w:sz="4" w:space="0"/>
              <w:bottom w:val="single" w:color="auto" w:sz="4" w:space="0"/>
              <w:right w:val="single" w:color="auto" w:sz="4" w:space="0"/>
            </w:tcBorders>
            <w:vAlign w:val="center"/>
          </w:tcPr>
          <w:p w14:paraId="683E85A4">
            <w:pPr>
              <w:spacing w:line="360" w:lineRule="auto"/>
              <w:jc w:val="center"/>
              <w:rPr>
                <w:rFonts w:hint="eastAsia" w:ascii="宋体" w:hAnsi="宋体" w:eastAsia="宋体" w:cs="宋体"/>
                <w:color w:val="auto"/>
                <w:sz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06021BE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p>
        </w:tc>
        <w:tc>
          <w:tcPr>
            <w:tcW w:w="2404" w:type="dxa"/>
            <w:gridSpan w:val="3"/>
            <w:tcBorders>
              <w:top w:val="single" w:color="auto" w:sz="4" w:space="0"/>
              <w:left w:val="single" w:color="auto" w:sz="4" w:space="0"/>
              <w:bottom w:val="single" w:color="auto" w:sz="4" w:space="0"/>
              <w:right w:val="single" w:color="auto" w:sz="8" w:space="0"/>
            </w:tcBorders>
            <w:vAlign w:val="center"/>
          </w:tcPr>
          <w:p w14:paraId="4CD99906">
            <w:pPr>
              <w:spacing w:line="360" w:lineRule="auto"/>
              <w:jc w:val="center"/>
              <w:rPr>
                <w:rFonts w:hint="eastAsia" w:ascii="宋体" w:hAnsi="宋体" w:eastAsia="宋体" w:cs="宋体"/>
                <w:color w:val="auto"/>
                <w:sz w:val="24"/>
                <w:highlight w:val="none"/>
              </w:rPr>
            </w:pPr>
          </w:p>
        </w:tc>
      </w:tr>
      <w:tr w14:paraId="0806EC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174" w:type="dxa"/>
            <w:tcBorders>
              <w:top w:val="single" w:color="auto" w:sz="4" w:space="0"/>
              <w:left w:val="single" w:color="auto" w:sz="8" w:space="0"/>
              <w:bottom w:val="single" w:color="auto" w:sz="4" w:space="0"/>
              <w:right w:val="single" w:color="auto" w:sz="4" w:space="0"/>
            </w:tcBorders>
            <w:vAlign w:val="center"/>
          </w:tcPr>
          <w:p w14:paraId="3472918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公司类型</w:t>
            </w:r>
          </w:p>
        </w:tc>
        <w:tc>
          <w:tcPr>
            <w:tcW w:w="3245" w:type="dxa"/>
            <w:gridSpan w:val="3"/>
            <w:tcBorders>
              <w:top w:val="single" w:color="auto" w:sz="4" w:space="0"/>
              <w:left w:val="single" w:color="auto" w:sz="4" w:space="0"/>
              <w:bottom w:val="single" w:color="auto" w:sz="4" w:space="0"/>
              <w:right w:val="single" w:color="auto" w:sz="8" w:space="0"/>
            </w:tcBorders>
            <w:vAlign w:val="center"/>
          </w:tcPr>
          <w:p w14:paraId="3906D844">
            <w:pPr>
              <w:spacing w:line="360" w:lineRule="auto"/>
              <w:jc w:val="center"/>
              <w:rPr>
                <w:rFonts w:hint="eastAsia" w:ascii="宋体" w:hAnsi="宋体" w:eastAsia="宋体" w:cs="宋体"/>
                <w:color w:val="auto"/>
                <w:sz w:val="24"/>
                <w:highlight w:val="none"/>
              </w:rPr>
            </w:pPr>
          </w:p>
        </w:tc>
        <w:tc>
          <w:tcPr>
            <w:tcW w:w="1637" w:type="dxa"/>
            <w:gridSpan w:val="2"/>
            <w:tcBorders>
              <w:top w:val="single" w:color="auto" w:sz="4" w:space="0"/>
              <w:left w:val="single" w:color="auto" w:sz="4" w:space="0"/>
              <w:bottom w:val="single" w:color="auto" w:sz="4" w:space="0"/>
              <w:right w:val="single" w:color="auto" w:sz="8" w:space="0"/>
            </w:tcBorders>
            <w:vAlign w:val="center"/>
          </w:tcPr>
          <w:p w14:paraId="13D1E2D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网    址</w:t>
            </w:r>
          </w:p>
        </w:tc>
        <w:tc>
          <w:tcPr>
            <w:tcW w:w="2404" w:type="dxa"/>
            <w:gridSpan w:val="3"/>
            <w:tcBorders>
              <w:top w:val="single" w:color="auto" w:sz="4" w:space="0"/>
              <w:left w:val="single" w:color="auto" w:sz="4" w:space="0"/>
              <w:bottom w:val="single" w:color="auto" w:sz="4" w:space="0"/>
              <w:right w:val="single" w:color="auto" w:sz="8" w:space="0"/>
            </w:tcBorders>
            <w:vAlign w:val="center"/>
          </w:tcPr>
          <w:p w14:paraId="008056F2">
            <w:pPr>
              <w:spacing w:line="360" w:lineRule="auto"/>
              <w:jc w:val="center"/>
              <w:rPr>
                <w:rFonts w:hint="eastAsia" w:ascii="宋体" w:hAnsi="宋体" w:eastAsia="宋体" w:cs="宋体"/>
                <w:color w:val="auto"/>
                <w:sz w:val="24"/>
                <w:highlight w:val="none"/>
              </w:rPr>
            </w:pPr>
          </w:p>
        </w:tc>
      </w:tr>
      <w:tr w14:paraId="5E78EC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2174" w:type="dxa"/>
            <w:tcBorders>
              <w:top w:val="single" w:color="auto" w:sz="4" w:space="0"/>
              <w:left w:val="single" w:color="auto" w:sz="8" w:space="0"/>
              <w:bottom w:val="single" w:color="auto" w:sz="4" w:space="0"/>
              <w:right w:val="single" w:color="auto" w:sz="4" w:space="0"/>
            </w:tcBorders>
            <w:vAlign w:val="center"/>
          </w:tcPr>
          <w:p w14:paraId="0467C91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331" w:type="dxa"/>
            <w:gridSpan w:val="2"/>
            <w:tcBorders>
              <w:top w:val="single" w:color="auto" w:sz="4" w:space="0"/>
              <w:left w:val="single" w:color="auto" w:sz="4" w:space="0"/>
              <w:bottom w:val="single" w:color="auto" w:sz="4" w:space="0"/>
              <w:right w:val="single" w:color="auto" w:sz="4" w:space="0"/>
            </w:tcBorders>
            <w:vAlign w:val="center"/>
          </w:tcPr>
          <w:p w14:paraId="7FC1E1EB">
            <w:pPr>
              <w:spacing w:line="360" w:lineRule="auto"/>
              <w:rPr>
                <w:rFonts w:hint="eastAsia" w:ascii="宋体" w:hAnsi="宋体" w:eastAsia="宋体" w:cs="宋体"/>
                <w:color w:val="auto"/>
                <w:sz w:val="24"/>
                <w:highlight w:val="none"/>
              </w:rPr>
            </w:pPr>
          </w:p>
        </w:tc>
        <w:tc>
          <w:tcPr>
            <w:tcW w:w="914" w:type="dxa"/>
            <w:tcBorders>
              <w:top w:val="single" w:color="auto" w:sz="4" w:space="0"/>
              <w:left w:val="single" w:color="auto" w:sz="4" w:space="0"/>
              <w:bottom w:val="single" w:color="auto" w:sz="4" w:space="0"/>
              <w:right w:val="single" w:color="auto" w:sz="4" w:space="0"/>
            </w:tcBorders>
            <w:vAlign w:val="center"/>
          </w:tcPr>
          <w:p w14:paraId="1F19263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职称</w:t>
            </w:r>
          </w:p>
        </w:tc>
        <w:tc>
          <w:tcPr>
            <w:tcW w:w="1637" w:type="dxa"/>
            <w:gridSpan w:val="2"/>
            <w:tcBorders>
              <w:top w:val="single" w:color="auto" w:sz="4" w:space="0"/>
              <w:left w:val="single" w:color="auto" w:sz="4" w:space="0"/>
              <w:bottom w:val="single" w:color="auto" w:sz="4" w:space="0"/>
              <w:right w:val="single" w:color="auto" w:sz="4" w:space="0"/>
            </w:tcBorders>
            <w:vAlign w:val="center"/>
          </w:tcPr>
          <w:p w14:paraId="2673258B">
            <w:pPr>
              <w:spacing w:line="360" w:lineRule="auto"/>
              <w:jc w:val="center"/>
              <w:rPr>
                <w:rFonts w:hint="eastAsia" w:ascii="宋体" w:hAnsi="宋体" w:eastAsia="宋体" w:cs="宋体"/>
                <w:color w:val="auto"/>
                <w:sz w:val="24"/>
                <w:highlight w:val="none"/>
              </w:rPr>
            </w:pPr>
          </w:p>
        </w:tc>
        <w:tc>
          <w:tcPr>
            <w:tcW w:w="730" w:type="dxa"/>
            <w:gridSpan w:val="2"/>
            <w:tcBorders>
              <w:top w:val="single" w:color="auto" w:sz="4" w:space="0"/>
              <w:left w:val="single" w:color="auto" w:sz="4" w:space="0"/>
              <w:bottom w:val="single" w:color="auto" w:sz="4" w:space="0"/>
              <w:right w:val="single" w:color="auto" w:sz="4" w:space="0"/>
            </w:tcBorders>
            <w:vAlign w:val="center"/>
          </w:tcPr>
          <w:p w14:paraId="6B7114A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1674" w:type="dxa"/>
            <w:tcBorders>
              <w:top w:val="single" w:color="auto" w:sz="4" w:space="0"/>
              <w:left w:val="single" w:color="auto" w:sz="4" w:space="0"/>
              <w:bottom w:val="single" w:color="auto" w:sz="4" w:space="0"/>
              <w:right w:val="single" w:color="auto" w:sz="8" w:space="0"/>
            </w:tcBorders>
            <w:vAlign w:val="center"/>
          </w:tcPr>
          <w:p w14:paraId="01F43D22">
            <w:pPr>
              <w:spacing w:line="360" w:lineRule="auto"/>
              <w:jc w:val="center"/>
              <w:rPr>
                <w:rFonts w:hint="eastAsia" w:ascii="宋体" w:hAnsi="宋体" w:eastAsia="宋体" w:cs="宋体"/>
                <w:color w:val="auto"/>
                <w:sz w:val="24"/>
                <w:highlight w:val="none"/>
              </w:rPr>
            </w:pPr>
          </w:p>
        </w:tc>
      </w:tr>
      <w:tr w14:paraId="088A54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2174" w:type="dxa"/>
            <w:tcBorders>
              <w:top w:val="single" w:color="auto" w:sz="4" w:space="0"/>
              <w:left w:val="single" w:color="auto" w:sz="8" w:space="0"/>
              <w:bottom w:val="single" w:color="auto" w:sz="4" w:space="0"/>
              <w:right w:val="single" w:color="auto" w:sz="4" w:space="0"/>
            </w:tcBorders>
            <w:vAlign w:val="center"/>
          </w:tcPr>
          <w:p w14:paraId="46A9A3F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p>
        </w:tc>
        <w:tc>
          <w:tcPr>
            <w:tcW w:w="3245" w:type="dxa"/>
            <w:gridSpan w:val="3"/>
            <w:tcBorders>
              <w:top w:val="single" w:color="auto" w:sz="4" w:space="0"/>
              <w:left w:val="single" w:color="auto" w:sz="4" w:space="0"/>
              <w:bottom w:val="single" w:color="auto" w:sz="4" w:space="0"/>
              <w:right w:val="single" w:color="auto" w:sz="8" w:space="0"/>
            </w:tcBorders>
            <w:vAlign w:val="center"/>
          </w:tcPr>
          <w:p w14:paraId="5C61124C">
            <w:pPr>
              <w:spacing w:line="360" w:lineRule="auto"/>
              <w:jc w:val="center"/>
              <w:rPr>
                <w:rFonts w:hint="eastAsia" w:ascii="宋体" w:hAnsi="宋体" w:eastAsia="宋体" w:cs="宋体"/>
                <w:color w:val="auto"/>
                <w:sz w:val="24"/>
                <w:highlight w:val="none"/>
              </w:rPr>
            </w:pPr>
          </w:p>
        </w:tc>
        <w:tc>
          <w:tcPr>
            <w:tcW w:w="1637" w:type="dxa"/>
            <w:gridSpan w:val="2"/>
            <w:tcBorders>
              <w:top w:val="single" w:color="auto" w:sz="4" w:space="0"/>
              <w:left w:val="single" w:color="auto" w:sz="4" w:space="0"/>
              <w:bottom w:val="single" w:color="auto" w:sz="4" w:space="0"/>
              <w:right w:val="single" w:color="auto" w:sz="8" w:space="0"/>
            </w:tcBorders>
            <w:vAlign w:val="center"/>
          </w:tcPr>
          <w:p w14:paraId="1617581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员工总人数</w:t>
            </w:r>
          </w:p>
        </w:tc>
        <w:tc>
          <w:tcPr>
            <w:tcW w:w="2404" w:type="dxa"/>
            <w:gridSpan w:val="3"/>
            <w:tcBorders>
              <w:top w:val="single" w:color="auto" w:sz="4" w:space="0"/>
              <w:left w:val="single" w:color="auto" w:sz="4" w:space="0"/>
              <w:bottom w:val="single" w:color="auto" w:sz="4" w:space="0"/>
              <w:right w:val="single" w:color="auto" w:sz="8" w:space="0"/>
            </w:tcBorders>
            <w:vAlign w:val="center"/>
          </w:tcPr>
          <w:p w14:paraId="4205B502">
            <w:pPr>
              <w:spacing w:line="360" w:lineRule="auto"/>
              <w:jc w:val="center"/>
              <w:rPr>
                <w:rFonts w:hint="eastAsia" w:ascii="宋体" w:hAnsi="宋体" w:eastAsia="宋体" w:cs="宋体"/>
                <w:color w:val="auto"/>
                <w:sz w:val="24"/>
                <w:highlight w:val="none"/>
              </w:rPr>
            </w:pPr>
          </w:p>
        </w:tc>
      </w:tr>
      <w:tr w14:paraId="073392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74" w:type="dxa"/>
            <w:tcBorders>
              <w:top w:val="single" w:color="auto" w:sz="4" w:space="0"/>
              <w:left w:val="single" w:color="auto" w:sz="8" w:space="0"/>
              <w:bottom w:val="single" w:color="auto" w:sz="4" w:space="0"/>
              <w:right w:val="single" w:color="auto" w:sz="4" w:space="0"/>
            </w:tcBorders>
            <w:vAlign w:val="center"/>
          </w:tcPr>
          <w:p w14:paraId="19B0D18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营业期限</w:t>
            </w:r>
          </w:p>
        </w:tc>
        <w:tc>
          <w:tcPr>
            <w:tcW w:w="7286" w:type="dxa"/>
            <w:gridSpan w:val="8"/>
            <w:tcBorders>
              <w:top w:val="single" w:color="auto" w:sz="4" w:space="0"/>
              <w:left w:val="single" w:color="auto" w:sz="4" w:space="0"/>
              <w:bottom w:val="single" w:color="auto" w:sz="4" w:space="0"/>
              <w:right w:val="single" w:color="auto" w:sz="8" w:space="0"/>
            </w:tcBorders>
            <w:vAlign w:val="center"/>
          </w:tcPr>
          <w:p w14:paraId="066D6538">
            <w:pPr>
              <w:spacing w:line="360" w:lineRule="auto"/>
              <w:jc w:val="center"/>
              <w:rPr>
                <w:rFonts w:hint="eastAsia" w:ascii="宋体" w:hAnsi="宋体" w:eastAsia="宋体" w:cs="宋体"/>
                <w:color w:val="auto"/>
                <w:sz w:val="24"/>
                <w:highlight w:val="none"/>
              </w:rPr>
            </w:pPr>
          </w:p>
        </w:tc>
      </w:tr>
      <w:tr w14:paraId="490C369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2174" w:type="dxa"/>
            <w:tcBorders>
              <w:top w:val="single" w:color="auto" w:sz="4" w:space="0"/>
              <w:left w:val="single" w:color="auto" w:sz="8" w:space="0"/>
              <w:bottom w:val="single" w:color="auto" w:sz="4" w:space="0"/>
              <w:right w:val="single" w:color="auto" w:sz="4" w:space="0"/>
            </w:tcBorders>
            <w:vAlign w:val="center"/>
          </w:tcPr>
          <w:p w14:paraId="06F1EFA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营业执照号</w:t>
            </w:r>
          </w:p>
        </w:tc>
        <w:tc>
          <w:tcPr>
            <w:tcW w:w="3245" w:type="dxa"/>
            <w:gridSpan w:val="3"/>
            <w:tcBorders>
              <w:top w:val="single" w:color="auto" w:sz="4" w:space="0"/>
              <w:left w:val="single" w:color="auto" w:sz="4" w:space="0"/>
              <w:bottom w:val="single" w:color="auto" w:sz="4" w:space="0"/>
              <w:right w:val="single" w:color="auto" w:sz="4" w:space="0"/>
            </w:tcBorders>
            <w:vAlign w:val="center"/>
          </w:tcPr>
          <w:p w14:paraId="0B117346">
            <w:pPr>
              <w:spacing w:line="360" w:lineRule="auto"/>
              <w:jc w:val="center"/>
              <w:rPr>
                <w:rFonts w:hint="eastAsia" w:ascii="宋体" w:hAnsi="宋体" w:eastAsia="宋体" w:cs="宋体"/>
                <w:color w:val="auto"/>
                <w:sz w:val="24"/>
                <w:highlight w:val="none"/>
              </w:rPr>
            </w:pPr>
          </w:p>
        </w:tc>
        <w:tc>
          <w:tcPr>
            <w:tcW w:w="1881" w:type="dxa"/>
            <w:gridSpan w:val="3"/>
            <w:tcBorders>
              <w:top w:val="single" w:color="auto" w:sz="4" w:space="0"/>
              <w:left w:val="single" w:color="auto" w:sz="4" w:space="0"/>
              <w:bottom w:val="single" w:color="auto" w:sz="4" w:space="0"/>
              <w:right w:val="single" w:color="auto" w:sz="4" w:space="0"/>
            </w:tcBorders>
            <w:vAlign w:val="center"/>
          </w:tcPr>
          <w:p w14:paraId="5D86416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注册资金</w:t>
            </w:r>
          </w:p>
        </w:tc>
        <w:tc>
          <w:tcPr>
            <w:tcW w:w="2160" w:type="dxa"/>
            <w:gridSpan w:val="2"/>
            <w:tcBorders>
              <w:top w:val="single" w:color="auto" w:sz="4" w:space="0"/>
              <w:left w:val="single" w:color="auto" w:sz="4" w:space="0"/>
              <w:bottom w:val="single" w:color="auto" w:sz="4" w:space="0"/>
              <w:right w:val="single" w:color="auto" w:sz="8" w:space="0"/>
            </w:tcBorders>
            <w:vAlign w:val="center"/>
          </w:tcPr>
          <w:p w14:paraId="6382D830">
            <w:pPr>
              <w:spacing w:line="360" w:lineRule="auto"/>
              <w:jc w:val="center"/>
              <w:rPr>
                <w:rFonts w:hint="eastAsia" w:ascii="宋体" w:hAnsi="宋体" w:eastAsia="宋体" w:cs="宋体"/>
                <w:color w:val="auto"/>
                <w:sz w:val="24"/>
                <w:highlight w:val="none"/>
              </w:rPr>
            </w:pPr>
          </w:p>
        </w:tc>
      </w:tr>
      <w:tr w14:paraId="2B0E59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174" w:type="dxa"/>
            <w:tcBorders>
              <w:top w:val="single" w:color="auto" w:sz="4" w:space="0"/>
              <w:left w:val="single" w:color="auto" w:sz="8" w:space="0"/>
              <w:bottom w:val="single" w:color="auto" w:sz="4" w:space="0"/>
              <w:right w:val="single" w:color="auto" w:sz="4" w:space="0"/>
            </w:tcBorders>
            <w:vAlign w:val="center"/>
          </w:tcPr>
          <w:p w14:paraId="598FD75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3245" w:type="dxa"/>
            <w:gridSpan w:val="3"/>
            <w:tcBorders>
              <w:top w:val="single" w:color="auto" w:sz="4" w:space="0"/>
              <w:left w:val="single" w:color="auto" w:sz="4" w:space="0"/>
              <w:bottom w:val="single" w:color="auto" w:sz="4" w:space="0"/>
              <w:right w:val="single" w:color="auto" w:sz="4" w:space="0"/>
            </w:tcBorders>
            <w:vAlign w:val="center"/>
          </w:tcPr>
          <w:p w14:paraId="65D7DFEA">
            <w:pPr>
              <w:spacing w:line="360" w:lineRule="auto"/>
              <w:jc w:val="center"/>
              <w:rPr>
                <w:rFonts w:hint="eastAsia" w:ascii="宋体" w:hAnsi="宋体" w:eastAsia="宋体" w:cs="宋体"/>
                <w:color w:val="auto"/>
                <w:sz w:val="24"/>
                <w:highlight w:val="none"/>
              </w:rPr>
            </w:pPr>
          </w:p>
        </w:tc>
        <w:tc>
          <w:tcPr>
            <w:tcW w:w="1881" w:type="dxa"/>
            <w:gridSpan w:val="3"/>
            <w:tcBorders>
              <w:top w:val="single" w:color="auto" w:sz="4" w:space="0"/>
              <w:left w:val="single" w:color="auto" w:sz="4" w:space="0"/>
              <w:bottom w:val="single" w:color="auto" w:sz="4" w:space="0"/>
              <w:right w:val="single" w:color="auto" w:sz="4" w:space="0"/>
            </w:tcBorders>
            <w:vAlign w:val="center"/>
          </w:tcPr>
          <w:p w14:paraId="291EDF4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tc>
        <w:tc>
          <w:tcPr>
            <w:tcW w:w="2160" w:type="dxa"/>
            <w:gridSpan w:val="2"/>
            <w:tcBorders>
              <w:top w:val="single" w:color="auto" w:sz="4" w:space="0"/>
              <w:left w:val="single" w:color="auto" w:sz="4" w:space="0"/>
              <w:bottom w:val="single" w:color="auto" w:sz="4" w:space="0"/>
              <w:right w:val="single" w:color="auto" w:sz="8" w:space="0"/>
            </w:tcBorders>
            <w:vAlign w:val="center"/>
          </w:tcPr>
          <w:p w14:paraId="4D141D08">
            <w:pPr>
              <w:spacing w:line="360" w:lineRule="auto"/>
              <w:jc w:val="center"/>
              <w:rPr>
                <w:rFonts w:hint="eastAsia" w:ascii="宋体" w:hAnsi="宋体" w:eastAsia="宋体" w:cs="宋体"/>
                <w:color w:val="auto"/>
                <w:sz w:val="24"/>
                <w:highlight w:val="none"/>
              </w:rPr>
            </w:pPr>
          </w:p>
        </w:tc>
      </w:tr>
      <w:tr w14:paraId="4BE03F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39" w:hRule="atLeast"/>
          <w:jc w:val="center"/>
        </w:trPr>
        <w:tc>
          <w:tcPr>
            <w:tcW w:w="2174" w:type="dxa"/>
            <w:tcBorders>
              <w:top w:val="single" w:color="auto" w:sz="4" w:space="0"/>
              <w:left w:val="single" w:color="auto" w:sz="8" w:space="0"/>
              <w:bottom w:val="single" w:color="auto" w:sz="4" w:space="0"/>
              <w:right w:val="single" w:color="auto" w:sz="4" w:space="0"/>
            </w:tcBorders>
            <w:vAlign w:val="center"/>
          </w:tcPr>
          <w:p w14:paraId="4A3A42A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经营范围</w:t>
            </w:r>
          </w:p>
        </w:tc>
        <w:tc>
          <w:tcPr>
            <w:tcW w:w="7286" w:type="dxa"/>
            <w:gridSpan w:val="8"/>
            <w:tcBorders>
              <w:top w:val="single" w:color="auto" w:sz="4" w:space="0"/>
              <w:left w:val="single" w:color="auto" w:sz="4" w:space="0"/>
              <w:bottom w:val="single" w:color="auto" w:sz="4" w:space="0"/>
              <w:right w:val="single" w:color="auto" w:sz="8" w:space="0"/>
            </w:tcBorders>
            <w:vAlign w:val="center"/>
          </w:tcPr>
          <w:p w14:paraId="637EC165">
            <w:pPr>
              <w:spacing w:line="360" w:lineRule="auto"/>
              <w:rPr>
                <w:rFonts w:hint="eastAsia" w:ascii="宋体" w:hAnsi="宋体" w:eastAsia="宋体" w:cs="宋体"/>
                <w:color w:val="auto"/>
                <w:sz w:val="24"/>
                <w:highlight w:val="none"/>
              </w:rPr>
            </w:pPr>
          </w:p>
        </w:tc>
      </w:tr>
      <w:tr w14:paraId="67AB88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2174" w:type="dxa"/>
            <w:tcBorders>
              <w:top w:val="single" w:color="auto" w:sz="4" w:space="0"/>
              <w:left w:val="single" w:color="auto" w:sz="8" w:space="0"/>
              <w:bottom w:val="single" w:color="auto" w:sz="8" w:space="0"/>
              <w:right w:val="single" w:color="auto" w:sz="4" w:space="0"/>
            </w:tcBorders>
            <w:vAlign w:val="center"/>
          </w:tcPr>
          <w:p w14:paraId="6E8180B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    注</w:t>
            </w:r>
          </w:p>
        </w:tc>
        <w:tc>
          <w:tcPr>
            <w:tcW w:w="7286" w:type="dxa"/>
            <w:gridSpan w:val="8"/>
            <w:tcBorders>
              <w:top w:val="single" w:color="auto" w:sz="4" w:space="0"/>
              <w:left w:val="single" w:color="auto" w:sz="4" w:space="0"/>
              <w:bottom w:val="single" w:color="auto" w:sz="8" w:space="0"/>
              <w:right w:val="single" w:color="auto" w:sz="8" w:space="0"/>
            </w:tcBorders>
            <w:vAlign w:val="center"/>
          </w:tcPr>
          <w:p w14:paraId="107ACD0E">
            <w:pPr>
              <w:spacing w:line="360" w:lineRule="auto"/>
              <w:jc w:val="center"/>
              <w:rPr>
                <w:rFonts w:hint="eastAsia" w:ascii="宋体" w:hAnsi="宋体" w:eastAsia="宋体" w:cs="宋体"/>
                <w:color w:val="auto"/>
                <w:sz w:val="24"/>
                <w:highlight w:val="none"/>
              </w:rPr>
            </w:pPr>
          </w:p>
        </w:tc>
      </w:tr>
    </w:tbl>
    <w:p w14:paraId="4DF07242">
      <w:pPr>
        <w:spacing w:line="360" w:lineRule="auto"/>
        <w:ind w:right="107" w:rightChars="51"/>
        <w:rPr>
          <w:rFonts w:hint="eastAsia" w:ascii="宋体" w:hAnsi="宋体" w:eastAsia="宋体" w:cs="宋体"/>
          <w:b/>
          <w:bCs/>
          <w:color w:val="auto"/>
          <w:sz w:val="30"/>
          <w:szCs w:val="30"/>
          <w:highlight w:val="none"/>
          <w:lang w:val="zh-CN"/>
        </w:rPr>
      </w:pPr>
    </w:p>
    <w:bookmarkEnd w:id="857"/>
    <w:bookmarkEnd w:id="858"/>
    <w:p w14:paraId="50F646DA">
      <w:pPr>
        <w:spacing w:line="360" w:lineRule="exact"/>
        <w:ind w:right="-250" w:rightChars="-119"/>
        <w:rPr>
          <w:rFonts w:hint="eastAsia" w:ascii="宋体" w:hAnsi="宋体" w:eastAsia="宋体" w:cs="宋体"/>
          <w:color w:val="auto"/>
          <w:kern w:val="1"/>
          <w:sz w:val="24"/>
          <w:highlight w:val="none"/>
          <w:lang w:bidi="ar"/>
        </w:rPr>
      </w:pPr>
      <w:bookmarkStart w:id="888" w:name="_Toc21297"/>
      <w:bookmarkStart w:id="889" w:name="_Toc302991708"/>
      <w:bookmarkStart w:id="890" w:name="_Toc3282"/>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名称：</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color w:val="auto"/>
          <w:sz w:val="24"/>
          <w:szCs w:val="24"/>
          <w:highlight w:val="none"/>
          <w:lang w:val="en-US" w:eastAsia="zh-CN"/>
        </w:rPr>
        <w:t>电子签章</w:t>
      </w:r>
      <w:r>
        <w:rPr>
          <w:rFonts w:hint="eastAsia" w:ascii="宋体" w:hAnsi="宋体" w:eastAsia="宋体" w:cs="宋体"/>
          <w:color w:val="auto"/>
          <w:kern w:val="1"/>
          <w:sz w:val="24"/>
          <w:highlight w:val="none"/>
          <w:lang w:bidi="ar"/>
        </w:rPr>
        <w:t xml:space="preserve">)   </w:t>
      </w:r>
    </w:p>
    <w:p w14:paraId="7BE904E7">
      <w:pPr>
        <w:spacing w:line="360" w:lineRule="exact"/>
        <w:ind w:right="-250" w:rightChars="-119"/>
        <w:rPr>
          <w:rFonts w:hint="eastAsia" w:ascii="宋体" w:hAnsi="宋体" w:eastAsia="宋体" w:cs="宋体"/>
          <w:color w:val="auto"/>
          <w:kern w:val="1"/>
          <w:sz w:val="24"/>
          <w:highlight w:val="none"/>
          <w:lang w:bidi="ar"/>
        </w:rPr>
      </w:pPr>
    </w:p>
    <w:p w14:paraId="7CBDF394">
      <w:pPr>
        <w:spacing w:line="360" w:lineRule="exact"/>
        <w:ind w:right="-250" w:rightChars="-119"/>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lang w:bidi="ar"/>
        </w:rPr>
        <w:t>法定代表人或其授权委托人：</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bCs/>
          <w:color w:val="auto"/>
          <w:sz w:val="24"/>
          <w:highlight w:val="none"/>
          <w:lang w:val="en-US" w:eastAsia="zh-CN"/>
        </w:rPr>
        <w:t>电子签章</w:t>
      </w:r>
      <w:r>
        <w:rPr>
          <w:rFonts w:hint="eastAsia" w:ascii="宋体" w:hAnsi="宋体" w:eastAsia="宋体" w:cs="宋体"/>
          <w:color w:val="auto"/>
          <w:kern w:val="1"/>
          <w:sz w:val="24"/>
          <w:highlight w:val="none"/>
          <w:lang w:bidi="ar"/>
        </w:rPr>
        <w:t>）</w:t>
      </w:r>
    </w:p>
    <w:p w14:paraId="00E5714D">
      <w:pPr>
        <w:spacing w:line="360" w:lineRule="exact"/>
        <w:ind w:right="-250" w:rightChars="-119"/>
        <w:rPr>
          <w:rFonts w:hint="eastAsia" w:ascii="宋体" w:hAnsi="宋体" w:eastAsia="宋体" w:cs="宋体"/>
          <w:color w:val="auto"/>
          <w:kern w:val="1"/>
          <w:sz w:val="24"/>
          <w:highlight w:val="none"/>
        </w:rPr>
      </w:pPr>
    </w:p>
    <w:p w14:paraId="1DD4E5B6">
      <w:pPr>
        <w:spacing w:line="360" w:lineRule="exact"/>
        <w:ind w:right="-250" w:rightChars="-119"/>
        <w:rPr>
          <w:rFonts w:hint="eastAsia" w:ascii="宋体" w:hAnsi="宋体" w:eastAsia="宋体" w:cs="宋体"/>
          <w:color w:val="auto"/>
          <w:sz w:val="28"/>
          <w:szCs w:val="28"/>
          <w:highlight w:val="none"/>
        </w:rPr>
      </w:pPr>
      <w:r>
        <w:rPr>
          <w:rFonts w:hint="eastAsia" w:ascii="宋体" w:hAnsi="宋体" w:eastAsia="宋体" w:cs="宋体"/>
          <w:color w:val="auto"/>
          <w:kern w:val="1"/>
          <w:sz w:val="24"/>
          <w:highlight w:val="none"/>
          <w:lang w:bidi="ar"/>
        </w:rPr>
        <w:t>日  期：</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年 </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月</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日</w:t>
      </w:r>
    </w:p>
    <w:p w14:paraId="5B11018B">
      <w:pPr>
        <w:rPr>
          <w:rFonts w:hint="eastAsia" w:ascii="宋体" w:hAnsi="宋体" w:eastAsia="宋体" w:cs="宋体"/>
          <w:color w:val="auto"/>
          <w:highlight w:val="none"/>
        </w:rPr>
      </w:pPr>
    </w:p>
    <w:p w14:paraId="2D7EC040">
      <w:pPr>
        <w:pStyle w:val="2"/>
        <w:rPr>
          <w:rFonts w:hint="eastAsia" w:ascii="宋体" w:hAnsi="宋体" w:eastAsia="宋体" w:cs="宋体"/>
          <w:color w:val="auto"/>
          <w:sz w:val="28"/>
          <w:szCs w:val="28"/>
          <w:highlight w:val="none"/>
          <w:lang w:eastAsia="zh-CN"/>
        </w:rPr>
      </w:pPr>
      <w:r>
        <w:rPr>
          <w:rFonts w:hint="eastAsia" w:ascii="宋体" w:hAnsi="宋体" w:eastAsia="宋体" w:cs="宋体"/>
          <w:color w:val="auto"/>
          <w:sz w:val="24"/>
          <w:highlight w:val="none"/>
        </w:rPr>
        <w:t>注：此表后附营业执照</w:t>
      </w:r>
      <w:r>
        <w:rPr>
          <w:rFonts w:hint="eastAsia" w:ascii="宋体" w:hAnsi="宋体" w:eastAsia="宋体" w:cs="宋体"/>
          <w:color w:val="auto"/>
          <w:sz w:val="24"/>
          <w:highlight w:val="none"/>
          <w:lang w:eastAsia="zh-CN"/>
        </w:rPr>
        <w:t>。</w:t>
      </w:r>
    </w:p>
    <w:p w14:paraId="4EB71FD2">
      <w:pPr>
        <w:pStyle w:val="4"/>
        <w:tabs>
          <w:tab w:val="left" w:pos="2922"/>
          <w:tab w:val="center" w:pos="5440"/>
        </w:tabs>
        <w:spacing w:before="0" w:after="0" w:line="360" w:lineRule="auto"/>
        <w:jc w:val="center"/>
        <w:rPr>
          <w:rFonts w:hint="eastAsia" w:ascii="宋体" w:hAnsi="宋体" w:eastAsia="宋体" w:cs="宋体"/>
          <w:bCs w:val="0"/>
          <w:color w:val="auto"/>
          <w:sz w:val="30"/>
          <w:szCs w:val="30"/>
          <w:highlight w:val="none"/>
        </w:rPr>
      </w:pPr>
      <w:bookmarkStart w:id="891" w:name="_Toc24261"/>
      <w:bookmarkStart w:id="892" w:name="_Toc31808"/>
      <w:bookmarkStart w:id="893" w:name="_Toc31556"/>
      <w:r>
        <w:rPr>
          <w:rFonts w:hint="eastAsia" w:ascii="宋体" w:hAnsi="宋体" w:eastAsia="宋体" w:cs="宋体"/>
          <w:bCs w:val="0"/>
          <w:color w:val="auto"/>
          <w:sz w:val="30"/>
          <w:szCs w:val="30"/>
          <w:highlight w:val="none"/>
          <w:lang w:val="en-US" w:eastAsia="zh-CN"/>
        </w:rPr>
        <w:t>五</w:t>
      </w:r>
      <w:r>
        <w:rPr>
          <w:rFonts w:hint="eastAsia" w:ascii="宋体" w:hAnsi="宋体" w:eastAsia="宋体" w:cs="宋体"/>
          <w:bCs w:val="0"/>
          <w:color w:val="auto"/>
          <w:sz w:val="30"/>
          <w:szCs w:val="30"/>
          <w:highlight w:val="none"/>
        </w:rPr>
        <w:t>、资格证明材料</w:t>
      </w:r>
      <w:bookmarkEnd w:id="888"/>
      <w:bookmarkEnd w:id="889"/>
      <w:bookmarkEnd w:id="890"/>
      <w:bookmarkEnd w:id="891"/>
      <w:bookmarkEnd w:id="892"/>
      <w:bookmarkEnd w:id="893"/>
    </w:p>
    <w:p w14:paraId="306AD491">
      <w:pPr>
        <w:pStyle w:val="4"/>
        <w:tabs>
          <w:tab w:val="left" w:pos="2922"/>
          <w:tab w:val="center" w:pos="5440"/>
        </w:tabs>
        <w:spacing w:before="0" w:after="0" w:line="360" w:lineRule="auto"/>
        <w:jc w:val="center"/>
        <w:rPr>
          <w:rFonts w:hint="eastAsia" w:ascii="宋体" w:hAnsi="宋体" w:eastAsia="宋体" w:cs="宋体"/>
          <w:b/>
          <w:color w:val="auto"/>
          <w:sz w:val="28"/>
          <w:szCs w:val="28"/>
          <w:highlight w:val="none"/>
        </w:rPr>
      </w:pPr>
      <w:bookmarkStart w:id="894" w:name="_Toc1306"/>
      <w:bookmarkStart w:id="895" w:name="_Toc27180"/>
      <w:bookmarkStart w:id="896" w:name="_Toc17662"/>
      <w:bookmarkStart w:id="897" w:name="_Toc17676"/>
      <w:bookmarkStart w:id="898" w:name="_Toc12571"/>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eastAsia="zh-CN"/>
        </w:rPr>
        <w:t>供应商</w:t>
      </w:r>
      <w:r>
        <w:rPr>
          <w:rFonts w:hint="eastAsia" w:ascii="宋体" w:hAnsi="宋体" w:eastAsia="宋体" w:cs="宋体"/>
          <w:b w:val="0"/>
          <w:bCs w:val="0"/>
          <w:color w:val="auto"/>
          <w:sz w:val="24"/>
          <w:highlight w:val="none"/>
        </w:rPr>
        <w:t>根据</w:t>
      </w:r>
      <w:r>
        <w:rPr>
          <w:rFonts w:hint="eastAsia" w:ascii="宋体" w:hAnsi="宋体" w:eastAsia="宋体" w:cs="宋体"/>
          <w:b w:val="0"/>
          <w:bCs w:val="0"/>
          <w:color w:val="auto"/>
          <w:sz w:val="24"/>
          <w:highlight w:val="none"/>
          <w:lang w:eastAsia="zh-CN"/>
        </w:rPr>
        <w:t>竞争性磋商文件</w:t>
      </w:r>
      <w:r>
        <w:rPr>
          <w:rFonts w:hint="eastAsia" w:ascii="宋体" w:hAnsi="宋体" w:eastAsia="宋体" w:cs="宋体"/>
          <w:b w:val="0"/>
          <w:bCs w:val="0"/>
          <w:color w:val="auto"/>
          <w:sz w:val="24"/>
          <w:highlight w:val="none"/>
        </w:rPr>
        <w:t>的要求提供资格审查所需材料）</w:t>
      </w:r>
      <w:bookmarkEnd w:id="894"/>
      <w:bookmarkEnd w:id="895"/>
      <w:bookmarkEnd w:id="896"/>
      <w:bookmarkEnd w:id="897"/>
      <w:bookmarkEnd w:id="898"/>
    </w:p>
    <w:p w14:paraId="66B7A599">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（一）法定代表人身份证明书</w:t>
      </w:r>
    </w:p>
    <w:p w14:paraId="3A27136F">
      <w:pPr>
        <w:spacing w:line="520" w:lineRule="exact"/>
        <w:rPr>
          <w:rFonts w:hint="eastAsia" w:ascii="宋体" w:hAnsi="宋体" w:eastAsia="宋体" w:cs="宋体"/>
          <w:color w:val="auto"/>
          <w:sz w:val="28"/>
          <w:szCs w:val="28"/>
          <w:highlight w:val="none"/>
        </w:rPr>
      </w:pPr>
    </w:p>
    <w:p w14:paraId="6787831B">
      <w:pPr>
        <w:spacing w:line="560" w:lineRule="exact"/>
        <w:ind w:firstLine="480" w:firstLineChars="200"/>
        <w:rPr>
          <w:rFonts w:hint="eastAsia" w:ascii="宋体" w:hAnsi="宋体" w:eastAsia="宋体" w:cs="宋体"/>
          <w:color w:val="auto"/>
          <w:sz w:val="24"/>
          <w:highlight w:val="none"/>
          <w:u w:val="single"/>
        </w:rPr>
      </w:pPr>
      <w:bookmarkStart w:id="899" w:name="_Toc78603131"/>
      <w:bookmarkEnd w:id="899"/>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u w:val="single"/>
        </w:rPr>
        <w:t xml:space="preserve">                                   </w:t>
      </w:r>
    </w:p>
    <w:p w14:paraId="0144C99D">
      <w:pPr>
        <w:spacing w:line="56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 位 性 质：</w:t>
      </w:r>
      <w:r>
        <w:rPr>
          <w:rFonts w:hint="eastAsia" w:ascii="宋体" w:hAnsi="宋体" w:eastAsia="宋体" w:cs="宋体"/>
          <w:color w:val="auto"/>
          <w:sz w:val="24"/>
          <w:highlight w:val="none"/>
          <w:u w:val="single"/>
        </w:rPr>
        <w:t xml:space="preserve">                                       </w:t>
      </w:r>
    </w:p>
    <w:p w14:paraId="5EBD4612">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p>
    <w:p w14:paraId="0A86DEF9">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成 立 时 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700AB7F">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经 营 期 限：</w:t>
      </w:r>
      <w:r>
        <w:rPr>
          <w:rFonts w:hint="eastAsia" w:ascii="宋体" w:hAnsi="宋体" w:eastAsia="宋体" w:cs="宋体"/>
          <w:color w:val="auto"/>
          <w:sz w:val="24"/>
          <w:highlight w:val="none"/>
          <w:u w:val="single"/>
        </w:rPr>
        <w:t xml:space="preserve">                                         </w:t>
      </w:r>
    </w:p>
    <w:p w14:paraId="3F4F033D">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 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p>
    <w:p w14:paraId="43B6908B">
      <w:pPr>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名称)的法定代表人，</w:t>
      </w:r>
      <w:r>
        <w:rPr>
          <w:rFonts w:hint="eastAsia" w:ascii="宋体" w:hAnsi="宋体" w:eastAsia="宋体" w:cs="宋体"/>
          <w:color w:val="auto"/>
          <w:kern w:val="1"/>
          <w:sz w:val="24"/>
          <w:highlight w:val="none"/>
          <w:lang w:bidi="ar"/>
        </w:rPr>
        <w:t>联系电话：</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bCs/>
          <w:color w:val="auto"/>
          <w:sz w:val="24"/>
          <w:highlight w:val="none"/>
        </w:rPr>
        <w:t>。</w:t>
      </w:r>
    </w:p>
    <w:p w14:paraId="2C4FE57E">
      <w:pPr>
        <w:spacing w:line="560" w:lineRule="exact"/>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71DE0C06">
      <w:pPr>
        <w:spacing w:line="560" w:lineRule="exact"/>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附：法定代表人有效身份证复印件（复印或扫描在下方，不允许粘贴）</w:t>
      </w:r>
    </w:p>
    <w:p w14:paraId="12F6CC7E">
      <w:pPr>
        <w:spacing w:line="560" w:lineRule="exact"/>
        <w:rPr>
          <w:rFonts w:hint="eastAsia" w:ascii="宋体" w:hAnsi="宋体" w:eastAsia="宋体" w:cs="宋体"/>
          <w:bCs/>
          <w:color w:val="auto"/>
          <w:sz w:val="24"/>
          <w:highlight w:val="none"/>
        </w:rPr>
      </w:pPr>
    </w:p>
    <w:p w14:paraId="5DAD77F9">
      <w:pPr>
        <w:pStyle w:val="2"/>
        <w:rPr>
          <w:rFonts w:hint="eastAsia" w:ascii="宋体" w:hAnsi="宋体" w:eastAsia="宋体" w:cs="宋体"/>
          <w:bCs/>
          <w:color w:val="auto"/>
          <w:sz w:val="24"/>
          <w:highlight w:val="none"/>
        </w:rPr>
      </w:pPr>
    </w:p>
    <w:p w14:paraId="5A788DC5">
      <w:pPr>
        <w:rPr>
          <w:rFonts w:hint="eastAsia" w:ascii="宋体" w:hAnsi="宋体" w:eastAsia="宋体" w:cs="宋体"/>
          <w:bCs/>
          <w:color w:val="auto"/>
          <w:sz w:val="24"/>
          <w:highlight w:val="none"/>
        </w:rPr>
      </w:pPr>
    </w:p>
    <w:p w14:paraId="73D0198D">
      <w:pPr>
        <w:pStyle w:val="2"/>
        <w:rPr>
          <w:rFonts w:hint="eastAsia" w:ascii="宋体" w:hAnsi="宋体" w:eastAsia="宋体" w:cs="宋体"/>
          <w:bCs/>
          <w:color w:val="auto"/>
          <w:sz w:val="24"/>
          <w:highlight w:val="none"/>
        </w:rPr>
      </w:pPr>
    </w:p>
    <w:p w14:paraId="230614EE">
      <w:pPr>
        <w:rPr>
          <w:rFonts w:hint="eastAsia" w:ascii="宋体" w:hAnsi="宋体" w:eastAsia="宋体" w:cs="宋体"/>
          <w:bCs/>
          <w:color w:val="auto"/>
          <w:sz w:val="24"/>
          <w:highlight w:val="none"/>
        </w:rPr>
      </w:pPr>
    </w:p>
    <w:p w14:paraId="444310AF">
      <w:pPr>
        <w:pStyle w:val="2"/>
        <w:rPr>
          <w:rFonts w:hint="eastAsia" w:ascii="宋体" w:hAnsi="宋体" w:eastAsia="宋体" w:cs="宋体"/>
          <w:bCs/>
          <w:color w:val="auto"/>
          <w:sz w:val="24"/>
          <w:highlight w:val="none"/>
        </w:rPr>
      </w:pPr>
    </w:p>
    <w:p w14:paraId="2E172DAF">
      <w:pPr>
        <w:rPr>
          <w:rFonts w:hint="eastAsia" w:ascii="宋体" w:hAnsi="宋体" w:eastAsia="宋体" w:cs="宋体"/>
          <w:color w:val="auto"/>
          <w:highlight w:val="none"/>
        </w:rPr>
      </w:pPr>
    </w:p>
    <w:p w14:paraId="42FA1DE0">
      <w:pPr>
        <w:spacing w:line="360" w:lineRule="exact"/>
        <w:ind w:right="-250" w:rightChars="-119"/>
        <w:rPr>
          <w:rFonts w:hint="eastAsia" w:ascii="宋体" w:hAnsi="宋体" w:eastAsia="宋体" w:cs="宋体"/>
          <w:color w:val="auto"/>
          <w:kern w:val="1"/>
          <w:sz w:val="24"/>
          <w:highlight w:val="none"/>
          <w:lang w:eastAsia="zh-CN" w:bidi="ar"/>
        </w:rPr>
      </w:pPr>
    </w:p>
    <w:p w14:paraId="1935F24E">
      <w:pPr>
        <w:spacing w:line="360" w:lineRule="exact"/>
        <w:ind w:right="-250" w:rightChars="-119"/>
        <w:rPr>
          <w:rFonts w:hint="eastAsia" w:ascii="宋体" w:hAnsi="宋体" w:eastAsia="宋体" w:cs="宋体"/>
          <w:color w:val="auto"/>
          <w:kern w:val="1"/>
          <w:sz w:val="24"/>
          <w:highlight w:val="none"/>
          <w:lang w:eastAsia="zh-CN" w:bidi="ar"/>
        </w:rPr>
      </w:pPr>
    </w:p>
    <w:p w14:paraId="0265F70C">
      <w:pPr>
        <w:spacing w:line="360" w:lineRule="exact"/>
        <w:ind w:right="-250" w:rightChars="-119"/>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名称：</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color w:val="auto"/>
          <w:sz w:val="24"/>
          <w:szCs w:val="24"/>
          <w:highlight w:val="none"/>
          <w:lang w:val="en-US" w:eastAsia="zh-CN"/>
        </w:rPr>
        <w:t>电子签章</w:t>
      </w:r>
      <w:r>
        <w:rPr>
          <w:rFonts w:hint="eastAsia" w:ascii="宋体" w:hAnsi="宋体" w:eastAsia="宋体" w:cs="宋体"/>
          <w:color w:val="auto"/>
          <w:kern w:val="1"/>
          <w:sz w:val="24"/>
          <w:highlight w:val="none"/>
          <w:lang w:bidi="ar"/>
        </w:rPr>
        <w:t xml:space="preserve">)   </w:t>
      </w:r>
    </w:p>
    <w:p w14:paraId="13998942">
      <w:pPr>
        <w:spacing w:line="360" w:lineRule="exact"/>
        <w:ind w:right="-250" w:rightChars="-119"/>
        <w:rPr>
          <w:rFonts w:hint="eastAsia" w:ascii="宋体" w:hAnsi="宋体" w:eastAsia="宋体" w:cs="宋体"/>
          <w:color w:val="auto"/>
          <w:kern w:val="1"/>
          <w:sz w:val="24"/>
          <w:highlight w:val="none"/>
        </w:rPr>
      </w:pPr>
    </w:p>
    <w:p w14:paraId="710BAD19">
      <w:pPr>
        <w:spacing w:line="500" w:lineRule="exact"/>
        <w:ind w:right="355" w:rightChars="169"/>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日  期：</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年 </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月</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日 </w:t>
      </w:r>
    </w:p>
    <w:p w14:paraId="7672F10A">
      <w:pPr>
        <w:pStyle w:val="2"/>
        <w:rPr>
          <w:rFonts w:hint="eastAsia" w:ascii="宋体" w:hAnsi="宋体" w:eastAsia="宋体" w:cs="宋体"/>
        </w:rPr>
      </w:pPr>
    </w:p>
    <w:p w14:paraId="062D40BE">
      <w:pPr>
        <w:rPr>
          <w:rFonts w:hint="eastAsia" w:ascii="宋体" w:hAnsi="宋体" w:eastAsia="宋体" w:cs="宋体"/>
        </w:rPr>
      </w:pPr>
    </w:p>
    <w:p w14:paraId="04FF65BA">
      <w:pPr>
        <w:rPr>
          <w:rFonts w:hint="eastAsia" w:ascii="宋体" w:hAnsi="宋体" w:eastAsia="宋体" w:cs="宋体"/>
        </w:rPr>
      </w:pPr>
    </w:p>
    <w:p w14:paraId="5CB64631">
      <w:pPr>
        <w:rPr>
          <w:rFonts w:hint="eastAsia" w:ascii="宋体" w:hAnsi="宋体" w:eastAsia="宋体" w:cs="宋体"/>
        </w:rPr>
      </w:pPr>
    </w:p>
    <w:p w14:paraId="463CDCB8">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（二）法定代表人授权委托书</w:t>
      </w:r>
    </w:p>
    <w:p w14:paraId="34EFCDB6">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（如法定代表人参加开标不需授权）</w:t>
      </w:r>
    </w:p>
    <w:p w14:paraId="41A0DF8A">
      <w:pPr>
        <w:rPr>
          <w:rFonts w:hint="eastAsia" w:ascii="宋体" w:hAnsi="宋体" w:eastAsia="宋体" w:cs="宋体"/>
          <w:bCs/>
          <w:color w:val="auto"/>
          <w:sz w:val="32"/>
          <w:szCs w:val="32"/>
          <w:highlight w:val="none"/>
        </w:rPr>
      </w:pPr>
    </w:p>
    <w:p w14:paraId="6B1FABC2">
      <w:pPr>
        <w:spacing w:line="5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本人</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的法定代表人，现委托</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为我方代理人。代理人根据授权，以我方名义签署、澄清、递交、撤回、修改</w:t>
      </w:r>
      <w:r>
        <w:rPr>
          <w:rFonts w:hint="eastAsia" w:ascii="宋体" w:hAnsi="宋体" w:eastAsia="宋体" w:cs="宋体"/>
          <w:color w:val="auto"/>
          <w:sz w:val="24"/>
          <w:highlight w:val="none"/>
          <w:u w:val="single"/>
        </w:rPr>
        <w:t xml:space="preserve">        （项目名称及编号）      </w:t>
      </w:r>
      <w:r>
        <w:rPr>
          <w:rFonts w:hint="eastAsia" w:ascii="宋体" w:hAnsi="宋体" w:eastAsia="宋体" w:cs="宋体"/>
          <w:color w:val="auto"/>
          <w:sz w:val="24"/>
          <w:highlight w:val="none"/>
        </w:rPr>
        <w:t>响应文件、签订合同和处理有关事宜，其法律后果由我方承担</w:t>
      </w:r>
      <w:r>
        <w:rPr>
          <w:rFonts w:hint="eastAsia" w:ascii="宋体" w:hAnsi="宋体" w:eastAsia="宋体" w:cs="宋体"/>
          <w:bCs/>
          <w:color w:val="auto"/>
          <w:sz w:val="24"/>
          <w:highlight w:val="none"/>
        </w:rPr>
        <w:t>。</w:t>
      </w:r>
    </w:p>
    <w:p w14:paraId="4886193B">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u w:val="single"/>
        </w:rPr>
        <w:t xml:space="preserve">   年  月   日至   年  月  日</w:t>
      </w:r>
      <w:r>
        <w:rPr>
          <w:rFonts w:hint="eastAsia" w:ascii="宋体" w:hAnsi="宋体" w:eastAsia="宋体" w:cs="宋体"/>
          <w:color w:val="auto"/>
          <w:sz w:val="24"/>
          <w:highlight w:val="none"/>
        </w:rPr>
        <w:t>（不得少于90日历天）</w:t>
      </w:r>
    </w:p>
    <w:p w14:paraId="340E18E7">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代理人无转让委托权。</w:t>
      </w:r>
    </w:p>
    <w:p w14:paraId="37CF1F21">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附：法定代表人身份证及委托代理人身份证复印件（复印在下方，不允许粘贴）</w:t>
      </w:r>
    </w:p>
    <w:p w14:paraId="3786370C">
      <w:pPr>
        <w:spacing w:line="560" w:lineRule="exact"/>
        <w:rPr>
          <w:rFonts w:hint="eastAsia" w:ascii="宋体" w:hAnsi="宋体" w:eastAsia="宋体" w:cs="宋体"/>
          <w:bCs/>
          <w:color w:val="auto"/>
          <w:sz w:val="24"/>
          <w:highlight w:val="none"/>
        </w:rPr>
      </w:pPr>
    </w:p>
    <w:p w14:paraId="02282D4E">
      <w:pPr>
        <w:pStyle w:val="40"/>
        <w:rPr>
          <w:rFonts w:hint="eastAsia" w:ascii="宋体" w:hAnsi="宋体" w:eastAsia="宋体" w:cs="宋体"/>
          <w:bCs/>
          <w:color w:val="auto"/>
          <w:sz w:val="24"/>
          <w:highlight w:val="none"/>
        </w:rPr>
      </w:pPr>
    </w:p>
    <w:p w14:paraId="5AC8B52A">
      <w:pPr>
        <w:pStyle w:val="40"/>
        <w:rPr>
          <w:rFonts w:hint="eastAsia" w:ascii="宋体" w:hAnsi="宋体" w:eastAsia="宋体" w:cs="宋体"/>
          <w:bCs/>
          <w:color w:val="auto"/>
          <w:sz w:val="24"/>
          <w:highlight w:val="none"/>
        </w:rPr>
      </w:pPr>
    </w:p>
    <w:p w14:paraId="55785351">
      <w:pPr>
        <w:pStyle w:val="40"/>
        <w:rPr>
          <w:rFonts w:hint="eastAsia" w:ascii="宋体" w:hAnsi="宋体" w:eastAsia="宋体" w:cs="宋体"/>
          <w:bCs/>
          <w:color w:val="auto"/>
          <w:sz w:val="24"/>
          <w:highlight w:val="none"/>
        </w:rPr>
      </w:pPr>
    </w:p>
    <w:p w14:paraId="0EBD7C92">
      <w:pPr>
        <w:pStyle w:val="40"/>
        <w:rPr>
          <w:rFonts w:hint="eastAsia" w:ascii="宋体" w:hAnsi="宋体" w:eastAsia="宋体" w:cs="宋体"/>
          <w:bCs/>
          <w:color w:val="auto"/>
          <w:sz w:val="24"/>
          <w:highlight w:val="none"/>
        </w:rPr>
      </w:pPr>
    </w:p>
    <w:p w14:paraId="5E1BE4AA">
      <w:pPr>
        <w:pStyle w:val="40"/>
        <w:rPr>
          <w:rFonts w:hint="eastAsia" w:ascii="宋体" w:hAnsi="宋体" w:eastAsia="宋体" w:cs="宋体"/>
          <w:bCs/>
          <w:color w:val="auto"/>
          <w:sz w:val="24"/>
          <w:highlight w:val="none"/>
        </w:rPr>
      </w:pPr>
    </w:p>
    <w:p w14:paraId="06108906">
      <w:pPr>
        <w:pStyle w:val="40"/>
        <w:rPr>
          <w:rFonts w:hint="eastAsia" w:ascii="宋体" w:hAnsi="宋体" w:eastAsia="宋体" w:cs="宋体"/>
          <w:bCs/>
          <w:color w:val="auto"/>
          <w:sz w:val="24"/>
          <w:highlight w:val="none"/>
        </w:rPr>
      </w:pPr>
    </w:p>
    <w:p w14:paraId="78A59EC1">
      <w:pPr>
        <w:pStyle w:val="40"/>
        <w:rPr>
          <w:rFonts w:hint="eastAsia" w:ascii="宋体" w:hAnsi="宋体" w:eastAsia="宋体" w:cs="宋体"/>
          <w:bCs/>
          <w:color w:val="auto"/>
          <w:sz w:val="24"/>
          <w:highlight w:val="none"/>
        </w:rPr>
      </w:pPr>
    </w:p>
    <w:p w14:paraId="6D52435B">
      <w:pPr>
        <w:pStyle w:val="40"/>
        <w:rPr>
          <w:rFonts w:hint="eastAsia" w:ascii="宋体" w:hAnsi="宋体" w:eastAsia="宋体" w:cs="宋体"/>
          <w:bCs/>
          <w:color w:val="auto"/>
          <w:sz w:val="24"/>
          <w:highlight w:val="none"/>
        </w:rPr>
      </w:pPr>
    </w:p>
    <w:p w14:paraId="06A014C9">
      <w:pPr>
        <w:pStyle w:val="40"/>
        <w:rPr>
          <w:rFonts w:hint="eastAsia" w:ascii="宋体" w:hAnsi="宋体" w:eastAsia="宋体" w:cs="宋体"/>
          <w:bCs/>
          <w:color w:val="auto"/>
          <w:sz w:val="24"/>
          <w:highlight w:val="none"/>
        </w:rPr>
      </w:pPr>
    </w:p>
    <w:p w14:paraId="71F95421">
      <w:pPr>
        <w:pStyle w:val="40"/>
        <w:rPr>
          <w:rFonts w:hint="eastAsia" w:ascii="宋体" w:hAnsi="宋体" w:eastAsia="宋体" w:cs="宋体"/>
          <w:bCs/>
          <w:color w:val="auto"/>
          <w:sz w:val="24"/>
          <w:highlight w:val="none"/>
        </w:rPr>
      </w:pPr>
    </w:p>
    <w:p w14:paraId="55FF1F64">
      <w:pPr>
        <w:spacing w:line="56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r>
        <w:rPr>
          <w:rFonts w:hint="eastAsia" w:ascii="宋体" w:hAnsi="宋体" w:cs="宋体"/>
          <w:color w:val="auto"/>
          <w:sz w:val="24"/>
          <w:szCs w:val="24"/>
          <w:highlight w:val="none"/>
          <w:lang w:val="en-US" w:eastAsia="zh-CN"/>
        </w:rPr>
        <w:t>电子签章</w:t>
      </w:r>
      <w:r>
        <w:rPr>
          <w:rFonts w:hint="eastAsia" w:ascii="宋体" w:hAnsi="宋体" w:eastAsia="宋体" w:cs="宋体"/>
          <w:bCs/>
          <w:color w:val="auto"/>
          <w:sz w:val="24"/>
          <w:highlight w:val="none"/>
        </w:rPr>
        <w:t>)</w:t>
      </w:r>
    </w:p>
    <w:p w14:paraId="51541A84">
      <w:pPr>
        <w:spacing w:line="56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电子签章</w:t>
      </w:r>
      <w:r>
        <w:rPr>
          <w:rFonts w:hint="eastAsia" w:ascii="宋体" w:hAnsi="宋体" w:eastAsia="宋体" w:cs="宋体"/>
          <w:bCs/>
          <w:color w:val="auto"/>
          <w:sz w:val="24"/>
          <w:highlight w:val="none"/>
        </w:rPr>
        <w:t>）</w:t>
      </w:r>
    </w:p>
    <w:p w14:paraId="253E19F8">
      <w:pPr>
        <w:spacing w:line="560" w:lineRule="exact"/>
        <w:ind w:firstLine="960" w:firstLineChars="4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身份证号码：</w:t>
      </w:r>
      <w:r>
        <w:rPr>
          <w:rFonts w:hint="eastAsia" w:ascii="宋体" w:hAnsi="宋体" w:eastAsia="宋体" w:cs="宋体"/>
          <w:bCs/>
          <w:color w:val="auto"/>
          <w:sz w:val="24"/>
          <w:highlight w:val="none"/>
          <w:u w:val="single"/>
        </w:rPr>
        <w:t xml:space="preserve">                         </w:t>
      </w:r>
    </w:p>
    <w:p w14:paraId="406FE173">
      <w:pPr>
        <w:spacing w:line="56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委托代理人：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（签字或盖章）</w:t>
      </w:r>
    </w:p>
    <w:p w14:paraId="773DBEB6">
      <w:pPr>
        <w:spacing w:line="560" w:lineRule="exact"/>
        <w:ind w:firstLine="960" w:firstLineChars="4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身份证号码：</w:t>
      </w:r>
      <w:r>
        <w:rPr>
          <w:rFonts w:hint="eastAsia" w:ascii="宋体" w:hAnsi="宋体" w:eastAsia="宋体" w:cs="宋体"/>
          <w:bCs/>
          <w:color w:val="auto"/>
          <w:sz w:val="24"/>
          <w:highlight w:val="none"/>
          <w:u w:val="single"/>
        </w:rPr>
        <w:t xml:space="preserve">                         </w:t>
      </w:r>
    </w:p>
    <w:p w14:paraId="567EA554">
      <w:pPr>
        <w:spacing w:line="560" w:lineRule="exact"/>
        <w:ind w:firstLine="960" w:firstLineChars="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743D888A">
      <w:pPr>
        <w:spacing w:line="460" w:lineRule="exact"/>
        <w:ind w:left="420" w:leftChars="200"/>
        <w:rPr>
          <w:rFonts w:hint="eastAsia" w:ascii="宋体" w:hAnsi="宋体" w:eastAsia="宋体" w:cs="宋体"/>
          <w:b/>
          <w:bCs/>
          <w:color w:val="auto"/>
          <w:sz w:val="24"/>
          <w:highlight w:val="none"/>
        </w:rPr>
      </w:pPr>
    </w:p>
    <w:p w14:paraId="763DD4A2">
      <w:pPr>
        <w:pStyle w:val="2"/>
        <w:rPr>
          <w:rFonts w:hint="eastAsia" w:ascii="宋体" w:hAnsi="宋体" w:eastAsia="宋体" w:cs="宋体"/>
        </w:rPr>
      </w:pPr>
    </w:p>
    <w:p w14:paraId="79B70200">
      <w:pPr>
        <w:adjustRightInd w:val="0"/>
        <w:snapToGrid w:val="0"/>
        <w:spacing w:line="360" w:lineRule="auto"/>
        <w:jc w:val="center"/>
        <w:outlineLvl w:val="3"/>
        <w:rPr>
          <w:rFonts w:hint="eastAsia" w:ascii="宋体" w:hAnsi="宋体" w:eastAsia="宋体" w:cs="宋体"/>
          <w:b/>
          <w:bCs/>
          <w:snapToGrid w:val="0"/>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（三）</w:t>
      </w:r>
      <w:r>
        <w:rPr>
          <w:rFonts w:hint="eastAsia" w:ascii="宋体" w:hAnsi="宋体" w:eastAsia="宋体" w:cs="宋体"/>
          <w:b/>
          <w:bCs/>
          <w:snapToGrid w:val="0"/>
          <w:color w:val="000000" w:themeColor="text1"/>
          <w:kern w:val="0"/>
          <w:sz w:val="28"/>
          <w:szCs w:val="28"/>
          <w:highlight w:val="none"/>
          <w14:textFill>
            <w14:solidFill>
              <w14:schemeClr w14:val="tx1"/>
            </w14:solidFill>
          </w14:textFill>
        </w:rPr>
        <w:t>投标保证金缴纳凭证</w:t>
      </w:r>
    </w:p>
    <w:p w14:paraId="21166F96">
      <w:pPr>
        <w:adjustRightInd w:val="0"/>
        <w:snapToGrid w:val="0"/>
        <w:spacing w:line="360" w:lineRule="auto"/>
        <w:ind w:firstLine="420" w:firstLineChars="200"/>
        <w:jc w:val="left"/>
        <w:rPr>
          <w:rFonts w:hint="eastAsia" w:ascii="宋体" w:hAnsi="宋体" w:eastAsia="宋体" w:cs="宋体"/>
          <w:snapToGrid w:val="0"/>
          <w:color w:val="000000" w:themeColor="text1"/>
          <w:kern w:val="0"/>
          <w:szCs w:val="21"/>
          <w:highlight w:val="none"/>
          <w14:textFill>
            <w14:solidFill>
              <w14:schemeClr w14:val="tx1"/>
            </w14:solidFill>
          </w14:textFill>
        </w:rPr>
      </w:pPr>
    </w:p>
    <w:p w14:paraId="6967A1FC">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snapToGrid w:val="0"/>
          <w:color w:val="000000" w:themeColor="text1"/>
          <w:kern w:val="0"/>
          <w:sz w:val="24"/>
          <w:szCs w:val="24"/>
          <w:highlight w:val="none"/>
          <w14:textFill>
            <w14:solidFill>
              <w14:schemeClr w14:val="tx1"/>
            </w14:solidFill>
          </w14:textFill>
        </w:rPr>
      </w:pPr>
      <w:r>
        <w:rPr>
          <w:rFonts w:hint="eastAsia" w:ascii="宋体" w:hAnsi="宋体" w:eastAsia="宋体" w:cs="宋体"/>
          <w:snapToGrid w:val="0"/>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snapToGrid w:val="0"/>
          <w:color w:val="000000" w:themeColor="text1"/>
          <w:kern w:val="0"/>
          <w:sz w:val="24"/>
          <w:szCs w:val="24"/>
          <w:highlight w:val="none"/>
          <w14:textFill>
            <w14:solidFill>
              <w14:schemeClr w14:val="tx1"/>
            </w14:solidFill>
          </w14:textFill>
        </w:rPr>
        <w:t>（</w:t>
      </w:r>
      <w:r>
        <w:rPr>
          <w:rFonts w:hint="eastAsia" w:ascii="宋体" w:hAnsi="宋体" w:eastAsia="宋体" w:cs="宋体"/>
          <w:snapToGrid w:val="0"/>
          <w:color w:val="000000" w:themeColor="text1"/>
          <w:kern w:val="0"/>
          <w:sz w:val="24"/>
          <w:szCs w:val="24"/>
          <w:highlight w:val="none"/>
          <w:lang w:eastAsia="zh-CN"/>
          <w14:textFill>
            <w14:solidFill>
              <w14:schemeClr w14:val="tx1"/>
            </w14:solidFill>
          </w14:textFill>
        </w:rPr>
        <w:t>采购人</w:t>
      </w:r>
      <w:r>
        <w:rPr>
          <w:rFonts w:hint="eastAsia" w:ascii="宋体" w:hAnsi="宋体" w:eastAsia="宋体" w:cs="宋体"/>
          <w:snapToGrid w:val="0"/>
          <w:color w:val="000000" w:themeColor="text1"/>
          <w:kern w:val="0"/>
          <w:sz w:val="24"/>
          <w:szCs w:val="24"/>
          <w:highlight w:val="none"/>
          <w14:textFill>
            <w14:solidFill>
              <w14:schemeClr w14:val="tx1"/>
            </w14:solidFill>
          </w14:textFill>
        </w:rPr>
        <w:t>名称）：</w:t>
      </w:r>
    </w:p>
    <w:p w14:paraId="01FB97D3">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宋体" w:hAnsi="宋体" w:eastAsia="宋体" w:cs="宋体"/>
          <w:snapToGrid w:val="0"/>
          <w:color w:val="000000" w:themeColor="text1"/>
          <w:kern w:val="0"/>
          <w:sz w:val="24"/>
          <w:szCs w:val="24"/>
          <w:highlight w:val="none"/>
          <w:lang w:eastAsia="zh-CN"/>
          <w14:textFill>
            <w14:solidFill>
              <w14:schemeClr w14:val="tx1"/>
            </w14:solidFill>
          </w14:textFill>
        </w:rPr>
      </w:pPr>
      <w:r>
        <w:rPr>
          <w:rFonts w:hint="eastAsia" w:ascii="宋体" w:hAnsi="宋体" w:cs="宋体"/>
          <w:snapToGrid w:val="0"/>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snapToGrid w:val="0"/>
          <w:color w:val="000000" w:themeColor="text1"/>
          <w:kern w:val="0"/>
          <w:sz w:val="24"/>
          <w:szCs w:val="24"/>
          <w:highlight w:val="none"/>
          <w14:textFill>
            <w14:solidFill>
              <w14:schemeClr w14:val="tx1"/>
            </w14:solidFill>
          </w14:textFill>
        </w:rPr>
        <w:t>本</w:t>
      </w:r>
      <w:r>
        <w:rPr>
          <w:rFonts w:hint="eastAsia" w:ascii="宋体" w:hAnsi="宋体" w:eastAsia="宋体" w:cs="宋体"/>
          <w:snapToGrid w:val="0"/>
          <w:color w:val="000000" w:themeColor="text1"/>
          <w:kern w:val="0"/>
          <w:sz w:val="24"/>
          <w:szCs w:val="24"/>
          <w:highlight w:val="none"/>
          <w:lang w:eastAsia="zh-CN"/>
          <w14:textFill>
            <w14:solidFill>
              <w14:schemeClr w14:val="tx1"/>
            </w14:solidFill>
          </w14:textFill>
        </w:rPr>
        <w:t>供应商</w:t>
      </w:r>
      <w:r>
        <w:rPr>
          <w:rFonts w:hint="eastAsia" w:ascii="宋体" w:hAnsi="宋体" w:eastAsia="宋体" w:cs="宋体"/>
          <w:snapToGrid w:val="0"/>
          <w:color w:val="000000" w:themeColor="text1"/>
          <w:kern w:val="0"/>
          <w:sz w:val="24"/>
          <w:szCs w:val="24"/>
          <w:highlight w:val="none"/>
          <w14:textFill>
            <w14:solidFill>
              <w14:schemeClr w14:val="tx1"/>
            </w14:solidFill>
          </w14:textFill>
        </w:rPr>
        <w:t>自愿参加</w:t>
      </w:r>
      <w:r>
        <w:rPr>
          <w:rFonts w:hint="eastAsia" w:ascii="宋体" w:hAnsi="宋体" w:eastAsia="宋体" w:cs="宋体"/>
          <w:snapToGrid w:val="0"/>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snapToGrid w:val="0"/>
          <w:color w:val="000000" w:themeColor="text1"/>
          <w:kern w:val="0"/>
          <w:sz w:val="24"/>
          <w:szCs w:val="24"/>
          <w:highlight w:val="none"/>
          <w14:textFill>
            <w14:solidFill>
              <w14:schemeClr w14:val="tx1"/>
            </w14:solidFill>
          </w14:textFill>
        </w:rPr>
        <w:t>（项目名称）</w:t>
      </w:r>
      <w:r>
        <w:rPr>
          <w:rFonts w:hint="eastAsia" w:ascii="宋体" w:hAnsi="宋体" w:eastAsia="宋体" w:cs="宋体"/>
          <w:snapToGrid w:val="0"/>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snapToGrid w:val="0"/>
          <w:color w:val="000000" w:themeColor="text1"/>
          <w:kern w:val="0"/>
          <w:sz w:val="24"/>
          <w:szCs w:val="24"/>
          <w:highlight w:val="none"/>
          <w:lang w:eastAsia="zh-CN"/>
          <w14:textFill>
            <w14:solidFill>
              <w14:schemeClr w14:val="tx1"/>
            </w14:solidFill>
          </w14:textFill>
        </w:rPr>
        <w:t>（项目编号）</w:t>
      </w:r>
      <w:r>
        <w:rPr>
          <w:rFonts w:hint="eastAsia" w:ascii="宋体" w:hAnsi="宋体" w:eastAsia="宋体" w:cs="宋体"/>
          <w:snapToGrid w:val="0"/>
          <w:color w:val="000000" w:themeColor="text1"/>
          <w:kern w:val="0"/>
          <w:sz w:val="24"/>
          <w:szCs w:val="24"/>
          <w:highlight w:val="none"/>
          <w14:textFill>
            <w14:solidFill>
              <w14:schemeClr w14:val="tx1"/>
            </w14:solidFill>
          </w14:textFill>
        </w:rPr>
        <w:t>的投标，并按</w:t>
      </w:r>
      <w:r>
        <w:rPr>
          <w:rFonts w:hint="eastAsia" w:ascii="宋体" w:hAnsi="宋体" w:cs="宋体"/>
          <w:snapToGrid w:val="0"/>
          <w:color w:val="000000" w:themeColor="text1"/>
          <w:kern w:val="0"/>
          <w:sz w:val="24"/>
          <w:szCs w:val="24"/>
          <w:highlight w:val="none"/>
          <w:lang w:val="en-US" w:eastAsia="zh-CN"/>
          <w14:textFill>
            <w14:solidFill>
              <w14:schemeClr w14:val="tx1"/>
            </w14:solidFill>
          </w14:textFill>
        </w:rPr>
        <w:t>竞争性磋商文件</w:t>
      </w:r>
      <w:r>
        <w:rPr>
          <w:rFonts w:hint="eastAsia" w:ascii="宋体" w:hAnsi="宋体" w:eastAsia="宋体" w:cs="宋体"/>
          <w:snapToGrid w:val="0"/>
          <w:color w:val="000000" w:themeColor="text1"/>
          <w:kern w:val="0"/>
          <w:sz w:val="24"/>
          <w:szCs w:val="24"/>
          <w:highlight w:val="none"/>
          <w14:textFill>
            <w14:solidFill>
              <w14:schemeClr w14:val="tx1"/>
            </w14:solidFill>
          </w14:textFill>
        </w:rPr>
        <w:t>要求缴纳投标保证金，</w:t>
      </w:r>
      <w:r>
        <w:rPr>
          <w:rFonts w:hint="eastAsia" w:ascii="宋体" w:hAnsi="宋体" w:eastAsia="宋体" w:cs="宋体"/>
          <w:snapToGrid w:val="0"/>
          <w:color w:val="000000" w:themeColor="text1"/>
          <w:kern w:val="0"/>
          <w:sz w:val="24"/>
          <w:szCs w:val="24"/>
          <w:highlight w:val="none"/>
          <w:lang w:eastAsia="zh-CN"/>
          <w14:textFill>
            <w14:solidFill>
              <w14:schemeClr w14:val="tx1"/>
            </w14:solidFill>
          </w14:textFill>
        </w:rPr>
        <w:t>投标保证金</w:t>
      </w:r>
      <w:r>
        <w:rPr>
          <w:rFonts w:hint="eastAsia" w:ascii="宋体" w:hAnsi="宋体" w:eastAsia="宋体" w:cs="宋体"/>
          <w:b/>
          <w:bCs/>
          <w:snapToGrid w:val="0"/>
          <w:color w:val="000000" w:themeColor="text1"/>
          <w:kern w:val="0"/>
          <w:sz w:val="24"/>
          <w:szCs w:val="24"/>
          <w:highlight w:val="none"/>
          <w:lang w:eastAsia="zh-CN"/>
          <w14:textFill>
            <w14:solidFill>
              <w14:schemeClr w14:val="tx1"/>
            </w14:solidFill>
          </w14:textFill>
        </w:rPr>
        <w:t>金额及</w:t>
      </w:r>
      <w:r>
        <w:rPr>
          <w:rFonts w:hint="eastAsia" w:ascii="宋体" w:hAnsi="宋体" w:cs="宋体"/>
          <w:b/>
          <w:bCs/>
          <w:snapToGrid w:val="0"/>
          <w:color w:val="000000" w:themeColor="text1"/>
          <w:kern w:val="0"/>
          <w:sz w:val="24"/>
          <w:szCs w:val="24"/>
          <w:highlight w:val="none"/>
          <w:lang w:val="en-US" w:eastAsia="zh-CN"/>
          <w14:textFill>
            <w14:solidFill>
              <w14:schemeClr w14:val="tx1"/>
            </w14:solidFill>
          </w14:textFill>
        </w:rPr>
        <w:t>形式</w:t>
      </w:r>
      <w:r>
        <w:rPr>
          <w:rFonts w:hint="eastAsia" w:ascii="宋体" w:hAnsi="宋体" w:eastAsia="宋体" w:cs="宋体"/>
          <w:b/>
          <w:bCs/>
          <w:snapToGrid w:val="0"/>
          <w:color w:val="000000" w:themeColor="text1"/>
          <w:kern w:val="0"/>
          <w:sz w:val="24"/>
          <w:szCs w:val="24"/>
          <w:highlight w:val="none"/>
          <w:lang w:eastAsia="zh-CN"/>
          <w14:textFill>
            <w14:solidFill>
              <w14:schemeClr w14:val="tx1"/>
            </w14:solidFill>
          </w14:textFill>
        </w:rPr>
        <w:t>为</w:t>
      </w:r>
      <w:r>
        <w:rPr>
          <w:rFonts w:hint="eastAsia" w:ascii="宋体" w:hAnsi="宋体" w:eastAsia="宋体" w:cs="宋体"/>
          <w:snapToGrid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snapToGrid w:val="0"/>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snapToGrid w:val="0"/>
          <w:color w:val="000000" w:themeColor="text1"/>
          <w:kern w:val="0"/>
          <w:sz w:val="24"/>
          <w:szCs w:val="24"/>
          <w:highlight w:val="none"/>
          <w:lang w:eastAsia="zh-CN"/>
          <w14:textFill>
            <w14:solidFill>
              <w14:schemeClr w14:val="tx1"/>
            </w14:solidFill>
          </w14:textFill>
        </w:rPr>
        <w:t>。</w:t>
      </w:r>
    </w:p>
    <w:p w14:paraId="2FEB51C2">
      <w:pPr>
        <w:pStyle w:val="40"/>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cs="宋体"/>
          <w:snapToGrid w:val="0"/>
          <w:color w:val="000000" w:themeColor="text1"/>
          <w:kern w:val="0"/>
          <w:sz w:val="24"/>
          <w:szCs w:val="24"/>
          <w:highlight w:val="none"/>
          <w:lang w:val="en-US" w:eastAsia="zh-CN"/>
          <w14:textFill>
            <w14:solidFill>
              <w14:schemeClr w14:val="tx1"/>
            </w14:solidFill>
          </w14:textFill>
        </w:rPr>
      </w:pPr>
      <w:r>
        <w:rPr>
          <w:rFonts w:hint="eastAsia" w:hAnsi="宋体" w:cs="宋体"/>
          <w:snapToGrid w:val="0"/>
          <w:color w:val="000000" w:themeColor="text1"/>
          <w:kern w:val="0"/>
          <w:sz w:val="24"/>
          <w:szCs w:val="24"/>
          <w:highlight w:val="none"/>
          <w:lang w:val="en-US" w:eastAsia="zh-CN"/>
          <w14:textFill>
            <w14:solidFill>
              <w14:schemeClr w14:val="tx1"/>
            </w14:solidFill>
          </w14:textFill>
        </w:rPr>
        <w:t>2.</w:t>
      </w:r>
      <w:r>
        <w:rPr>
          <w:rFonts w:hint="eastAsia" w:ascii="宋体" w:hAnsi="宋体" w:cs="宋体"/>
          <w:snapToGrid w:val="0"/>
          <w:color w:val="000000" w:themeColor="text1"/>
          <w:kern w:val="0"/>
          <w:sz w:val="24"/>
          <w:szCs w:val="24"/>
          <w:highlight w:val="none"/>
          <w:lang w:val="en-US" w:eastAsia="zh-CN"/>
          <w14:textFill>
            <w14:solidFill>
              <w14:schemeClr w14:val="tx1"/>
            </w14:solidFill>
          </w14:textFill>
        </w:rPr>
        <w:t>本供应商账户信息：</w:t>
      </w:r>
    </w:p>
    <w:p w14:paraId="1BC5D590">
      <w:pPr>
        <w:pStyle w:val="40"/>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户    名：</w:t>
      </w:r>
      <w:r>
        <w:rPr>
          <w:rFonts w:hint="eastAsia" w:ascii="宋体" w:hAnsi="宋体" w:eastAsia="宋体" w:cs="宋体"/>
          <w:snapToGrid w:val="0"/>
          <w:color w:val="000000" w:themeColor="text1"/>
          <w:kern w:val="0"/>
          <w:sz w:val="24"/>
          <w:szCs w:val="24"/>
          <w:highlight w:val="none"/>
          <w:u w:val="single"/>
          <w:lang w:val="en-US" w:eastAsia="zh-CN"/>
          <w14:textFill>
            <w14:solidFill>
              <w14:schemeClr w14:val="tx1"/>
            </w14:solidFill>
          </w14:textFill>
        </w:rPr>
        <w:t xml:space="preserve">                </w:t>
      </w:r>
    </w:p>
    <w:p w14:paraId="72426C60">
      <w:pPr>
        <w:pStyle w:val="40"/>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开户银行：</w:t>
      </w:r>
      <w:r>
        <w:rPr>
          <w:rFonts w:hint="eastAsia" w:ascii="宋体" w:hAnsi="宋体" w:eastAsia="宋体" w:cs="宋体"/>
          <w:snapToGrid w:val="0"/>
          <w:color w:val="000000" w:themeColor="text1"/>
          <w:kern w:val="0"/>
          <w:sz w:val="24"/>
          <w:szCs w:val="24"/>
          <w:highlight w:val="none"/>
          <w:u w:val="single"/>
          <w:lang w:val="en-US" w:eastAsia="zh-CN"/>
          <w14:textFill>
            <w14:solidFill>
              <w14:schemeClr w14:val="tx1"/>
            </w14:solidFill>
          </w14:textFill>
        </w:rPr>
        <w:t xml:space="preserve">                </w:t>
      </w:r>
    </w:p>
    <w:p w14:paraId="0A2671B2">
      <w:pPr>
        <w:pStyle w:val="40"/>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账    号：</w:t>
      </w:r>
      <w:r>
        <w:rPr>
          <w:rFonts w:hint="eastAsia" w:ascii="宋体" w:hAnsi="宋体" w:eastAsia="宋体" w:cs="宋体"/>
          <w:snapToGrid w:val="0"/>
          <w:color w:val="000000" w:themeColor="text1"/>
          <w:kern w:val="0"/>
          <w:sz w:val="24"/>
          <w:szCs w:val="24"/>
          <w:highlight w:val="none"/>
          <w:u w:val="single"/>
          <w:lang w:val="en-US" w:eastAsia="zh-CN"/>
          <w14:textFill>
            <w14:solidFill>
              <w14:schemeClr w14:val="tx1"/>
            </w14:solidFill>
          </w14:textFill>
        </w:rPr>
        <w:t xml:space="preserve">                </w:t>
      </w:r>
    </w:p>
    <w:p w14:paraId="1568D282">
      <w:pPr>
        <w:pStyle w:val="40"/>
        <w:keepNext w:val="0"/>
        <w:keepLines w:val="0"/>
        <w:pageBreakBefore w:val="0"/>
        <w:kinsoku/>
        <w:wordWrap/>
        <w:overflowPunct/>
        <w:topLinePunct w:val="0"/>
        <w:autoSpaceDE/>
        <w:autoSpaceDN/>
        <w:bidi w:val="0"/>
        <w:adjustRightInd/>
        <w:snapToGrid/>
        <w:spacing w:line="500" w:lineRule="exact"/>
        <w:ind w:firstLine="480" w:firstLineChars="200"/>
        <w:rPr>
          <w:rFonts w:hint="default" w:ascii="宋体" w:hAnsi="宋体" w:eastAsia="宋体" w:cs="宋体"/>
          <w:snapToGrid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color w:val="auto"/>
          <w:kern w:val="2"/>
          <w:highlight w:val="none"/>
          <w:shd w:val="clear" w:color="auto" w:fill="FFFFFF"/>
          <w:lang w:val="en-US" w:eastAsia="zh-CN"/>
        </w:rPr>
        <w:t>财务联系人及电话：</w:t>
      </w:r>
      <w:r>
        <w:rPr>
          <w:rFonts w:hint="eastAsia" w:ascii="宋体" w:hAnsi="宋体" w:eastAsia="宋体" w:cs="宋体"/>
          <w:snapToGrid w:val="0"/>
          <w:color w:val="000000" w:themeColor="text1"/>
          <w:kern w:val="0"/>
          <w:sz w:val="24"/>
          <w:szCs w:val="24"/>
          <w:highlight w:val="none"/>
          <w:u w:val="single"/>
          <w:lang w:val="en-US" w:eastAsia="zh-CN"/>
          <w14:textFill>
            <w14:solidFill>
              <w14:schemeClr w14:val="tx1"/>
            </w14:solidFill>
          </w14:textFill>
        </w:rPr>
        <w:t xml:space="preserve">                </w:t>
      </w:r>
    </w:p>
    <w:p w14:paraId="6A9350C1">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宋体" w:hAnsi="宋体" w:eastAsia="宋体" w:cs="宋体"/>
          <w:snapToGrid w:val="0"/>
          <w:color w:val="000000" w:themeColor="text1"/>
          <w:kern w:val="0"/>
          <w:sz w:val="24"/>
          <w:szCs w:val="24"/>
          <w:highlight w:val="none"/>
          <w14:textFill>
            <w14:solidFill>
              <w14:schemeClr w14:val="tx1"/>
            </w14:solidFill>
          </w14:textFill>
        </w:rPr>
      </w:pPr>
      <w:r>
        <w:rPr>
          <w:rFonts w:hint="eastAsia" w:ascii="宋体" w:hAnsi="宋体" w:cs="宋体"/>
          <w:snapToGrid w:val="0"/>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snapToGrid w:val="0"/>
          <w:color w:val="000000" w:themeColor="text1"/>
          <w:kern w:val="0"/>
          <w:sz w:val="24"/>
          <w:szCs w:val="24"/>
          <w:highlight w:val="none"/>
          <w14:textFill>
            <w14:solidFill>
              <w14:schemeClr w14:val="tx1"/>
            </w14:solidFill>
          </w14:textFill>
        </w:rPr>
        <w:t>本</w:t>
      </w:r>
      <w:r>
        <w:rPr>
          <w:rFonts w:hint="eastAsia" w:ascii="宋体" w:hAnsi="宋体" w:cs="宋体"/>
          <w:snapToGrid w:val="0"/>
          <w:color w:val="000000" w:themeColor="text1"/>
          <w:kern w:val="0"/>
          <w:sz w:val="24"/>
          <w:szCs w:val="24"/>
          <w:highlight w:val="none"/>
          <w:lang w:eastAsia="zh-CN"/>
          <w14:textFill>
            <w14:solidFill>
              <w14:schemeClr w14:val="tx1"/>
            </w14:solidFill>
          </w14:textFill>
        </w:rPr>
        <w:t>供应商</w:t>
      </w:r>
      <w:r>
        <w:rPr>
          <w:rFonts w:hint="eastAsia" w:ascii="宋体" w:hAnsi="宋体" w:eastAsia="宋体" w:cs="宋体"/>
          <w:snapToGrid w:val="0"/>
          <w:color w:val="000000" w:themeColor="text1"/>
          <w:kern w:val="0"/>
          <w:sz w:val="24"/>
          <w:szCs w:val="24"/>
          <w:highlight w:val="none"/>
          <w14:textFill>
            <w14:solidFill>
              <w14:schemeClr w14:val="tx1"/>
            </w14:solidFill>
          </w14:textFill>
        </w:rPr>
        <w:t>承诺所缴纳投标保证金是从本公司基本账户缴纳的，若有虚假，由此引起的一切责任均由我公司承担。</w:t>
      </w:r>
    </w:p>
    <w:p w14:paraId="293419CA">
      <w:pPr>
        <w:adjustRightInd w:val="0"/>
        <w:snapToGrid w:val="0"/>
        <w:spacing w:line="360" w:lineRule="auto"/>
        <w:ind w:firstLine="420" w:firstLineChars="200"/>
        <w:jc w:val="left"/>
        <w:rPr>
          <w:rFonts w:hint="eastAsia" w:ascii="宋体" w:hAnsi="宋体" w:eastAsia="宋体" w:cs="宋体"/>
          <w:snapToGrid w:val="0"/>
          <w:color w:val="000000" w:themeColor="text1"/>
          <w:kern w:val="0"/>
          <w:szCs w:val="21"/>
          <w:highlight w:val="none"/>
          <w14:textFill>
            <w14:solidFill>
              <w14:schemeClr w14:val="tx1"/>
            </w14:solidFill>
          </w14:textFill>
        </w:rPr>
      </w:pPr>
    </w:p>
    <w:p w14:paraId="4E6BA4CD">
      <w:pPr>
        <w:adjustRightInd w:val="0"/>
        <w:snapToGrid w:val="0"/>
        <w:spacing w:line="360" w:lineRule="auto"/>
        <w:ind w:firstLine="420" w:firstLineChars="200"/>
        <w:jc w:val="left"/>
        <w:rPr>
          <w:rFonts w:hint="eastAsia" w:ascii="宋体" w:hAnsi="宋体" w:eastAsia="宋体" w:cs="宋体"/>
          <w:snapToGrid w:val="0"/>
          <w:color w:val="000000" w:themeColor="text1"/>
          <w:kern w:val="0"/>
          <w:szCs w:val="21"/>
          <w:highlight w:val="none"/>
          <w14:textFill>
            <w14:solidFill>
              <w14:schemeClr w14:val="tx1"/>
            </w14:solidFill>
          </w14:textFill>
        </w:rPr>
      </w:pPr>
    </w:p>
    <w:p w14:paraId="0F8D5966">
      <w:pPr>
        <w:adjustRightInd w:val="0"/>
        <w:snapToGrid w:val="0"/>
        <w:spacing w:line="360" w:lineRule="auto"/>
        <w:ind w:firstLine="420" w:firstLineChars="200"/>
        <w:jc w:val="left"/>
        <w:rPr>
          <w:rFonts w:hint="eastAsia" w:ascii="宋体" w:hAnsi="宋体" w:eastAsia="宋体" w:cs="宋体"/>
          <w:snapToGrid w:val="0"/>
          <w:color w:val="000000" w:themeColor="text1"/>
          <w:kern w:val="0"/>
          <w:szCs w:val="21"/>
          <w:highlight w:val="none"/>
          <w14:textFill>
            <w14:solidFill>
              <w14:schemeClr w14:val="tx1"/>
            </w14:solidFill>
          </w14:textFill>
        </w:rPr>
      </w:pPr>
    </w:p>
    <w:p w14:paraId="0200F765">
      <w:pPr>
        <w:adjustRightInd w:val="0"/>
        <w:snapToGrid w:val="0"/>
        <w:spacing w:line="360" w:lineRule="auto"/>
        <w:ind w:firstLine="420" w:firstLineChars="200"/>
        <w:jc w:val="left"/>
        <w:rPr>
          <w:rFonts w:hint="eastAsia" w:ascii="宋体" w:hAnsi="宋体" w:eastAsia="宋体" w:cs="宋体"/>
          <w:snapToGrid w:val="0"/>
          <w:color w:val="000000" w:themeColor="text1"/>
          <w:kern w:val="0"/>
          <w:szCs w:val="21"/>
          <w:highlight w:val="none"/>
          <w14:textFill>
            <w14:solidFill>
              <w14:schemeClr w14:val="tx1"/>
            </w14:solidFill>
          </w14:textFill>
        </w:rPr>
      </w:pPr>
    </w:p>
    <w:p w14:paraId="1E67D345">
      <w:pPr>
        <w:adjustRightInd w:val="0"/>
        <w:snapToGrid w:val="0"/>
        <w:spacing w:line="360" w:lineRule="auto"/>
        <w:ind w:firstLine="420" w:firstLineChars="200"/>
        <w:jc w:val="left"/>
        <w:rPr>
          <w:rFonts w:hint="eastAsia" w:ascii="宋体" w:hAnsi="宋体" w:eastAsia="宋体" w:cs="宋体"/>
          <w:snapToGrid w:val="0"/>
          <w:color w:val="000000" w:themeColor="text1"/>
          <w:kern w:val="0"/>
          <w:szCs w:val="21"/>
          <w:highlight w:val="none"/>
          <w14:textFill>
            <w14:solidFill>
              <w14:schemeClr w14:val="tx1"/>
            </w14:solidFill>
          </w14:textFill>
        </w:rPr>
      </w:pPr>
    </w:p>
    <w:p w14:paraId="64EAB47D">
      <w:pPr>
        <w:adjustRightInd w:val="0"/>
        <w:snapToGrid w:val="0"/>
        <w:spacing w:line="360" w:lineRule="auto"/>
        <w:jc w:val="left"/>
        <w:rPr>
          <w:rFonts w:hint="eastAsia" w:ascii="宋体" w:hAnsi="宋体" w:eastAsia="宋体" w:cs="宋体"/>
          <w:snapToGrid w:val="0"/>
          <w:color w:val="000000" w:themeColor="text1"/>
          <w:kern w:val="0"/>
          <w:szCs w:val="21"/>
          <w:highlight w:val="none"/>
          <w14:textFill>
            <w14:solidFill>
              <w14:schemeClr w14:val="tx1"/>
            </w14:solidFill>
          </w14:textFill>
        </w:rPr>
      </w:pPr>
    </w:p>
    <w:p w14:paraId="3DC015B2">
      <w:pPr>
        <w:adjustRightInd w:val="0"/>
        <w:snapToGrid w:val="0"/>
        <w:spacing w:line="360" w:lineRule="auto"/>
        <w:ind w:firstLine="420" w:firstLineChars="200"/>
        <w:jc w:val="left"/>
        <w:rPr>
          <w:rFonts w:hint="eastAsia" w:ascii="宋体" w:hAnsi="宋体" w:eastAsia="宋体" w:cs="宋体"/>
          <w:snapToGrid w:val="0"/>
          <w:color w:val="000000" w:themeColor="text1"/>
          <w:kern w:val="0"/>
          <w:szCs w:val="21"/>
          <w:highlight w:val="none"/>
          <w:lang w:eastAsia="zh-CN"/>
          <w14:textFill>
            <w14:solidFill>
              <w14:schemeClr w14:val="tx1"/>
            </w14:solidFill>
          </w14:textFill>
        </w:rPr>
      </w:pPr>
    </w:p>
    <w:p w14:paraId="4EFAF8D1">
      <w:pPr>
        <w:adjustRightInd w:val="0"/>
        <w:snapToGrid w:val="0"/>
        <w:spacing w:line="360" w:lineRule="auto"/>
        <w:ind w:firstLine="420" w:firstLineChars="200"/>
        <w:jc w:val="left"/>
        <w:rPr>
          <w:rFonts w:hint="eastAsia" w:ascii="宋体" w:hAnsi="宋体" w:eastAsia="宋体" w:cs="宋体"/>
          <w:snapToGrid w:val="0"/>
          <w:color w:val="000000" w:themeColor="text1"/>
          <w:kern w:val="0"/>
          <w:szCs w:val="21"/>
          <w:highlight w:val="none"/>
          <w:lang w:eastAsia="zh-CN"/>
          <w14:textFill>
            <w14:solidFill>
              <w14:schemeClr w14:val="tx1"/>
            </w14:solidFill>
          </w14:textFill>
        </w:rPr>
      </w:pPr>
    </w:p>
    <w:p w14:paraId="533BCA85">
      <w:pPr>
        <w:adjustRightInd w:val="0"/>
        <w:snapToGrid w:val="0"/>
        <w:spacing w:line="360" w:lineRule="auto"/>
        <w:ind w:firstLine="420" w:firstLineChars="200"/>
        <w:jc w:val="left"/>
        <w:rPr>
          <w:rFonts w:hint="eastAsia" w:ascii="宋体" w:hAnsi="宋体" w:eastAsia="宋体" w:cs="宋体"/>
          <w:snapToGrid w:val="0"/>
          <w:color w:val="000000" w:themeColor="text1"/>
          <w:kern w:val="0"/>
          <w:szCs w:val="21"/>
          <w:highlight w:val="none"/>
          <w:lang w:eastAsia="zh-CN"/>
          <w14:textFill>
            <w14:solidFill>
              <w14:schemeClr w14:val="tx1"/>
            </w14:solidFill>
          </w14:textFill>
        </w:rPr>
      </w:pPr>
    </w:p>
    <w:p w14:paraId="5340265B">
      <w:pPr>
        <w:adjustRightInd w:val="0"/>
        <w:snapToGrid w:val="0"/>
        <w:spacing w:line="360" w:lineRule="auto"/>
        <w:jc w:val="left"/>
        <w:rPr>
          <w:rFonts w:hint="eastAsia" w:ascii="宋体" w:hAnsi="宋体" w:eastAsia="宋体" w:cs="宋体"/>
          <w:snapToGrid w:val="0"/>
          <w:color w:val="000000" w:themeColor="text1"/>
          <w:kern w:val="0"/>
          <w:szCs w:val="21"/>
          <w:highlight w:val="none"/>
          <w:lang w:eastAsia="zh-CN"/>
          <w14:textFill>
            <w14:solidFill>
              <w14:schemeClr w14:val="tx1"/>
            </w14:solidFill>
          </w14:textFill>
        </w:rPr>
      </w:pPr>
    </w:p>
    <w:p w14:paraId="154BEA20">
      <w:pPr>
        <w:adjustRightInd w:val="0"/>
        <w:snapToGrid w:val="0"/>
        <w:spacing w:line="360" w:lineRule="auto"/>
        <w:ind w:firstLine="420" w:firstLineChars="200"/>
        <w:jc w:val="left"/>
        <w:rPr>
          <w:rFonts w:hint="eastAsia" w:ascii="宋体" w:hAnsi="宋体" w:eastAsia="宋体" w:cs="宋体"/>
          <w:snapToGrid w:val="0"/>
          <w:color w:val="000000" w:themeColor="text1"/>
          <w:kern w:val="0"/>
          <w:szCs w:val="21"/>
          <w:highlight w:val="none"/>
          <w:lang w:eastAsia="zh-CN"/>
          <w14:textFill>
            <w14:solidFill>
              <w14:schemeClr w14:val="tx1"/>
            </w14:solidFill>
          </w14:textFill>
        </w:rPr>
      </w:pPr>
    </w:p>
    <w:p w14:paraId="57CD4E84">
      <w:pPr>
        <w:adjustRightInd w:val="0"/>
        <w:snapToGrid w:val="0"/>
        <w:spacing w:line="360" w:lineRule="auto"/>
        <w:ind w:firstLine="420" w:firstLineChars="200"/>
        <w:jc w:val="left"/>
        <w:rPr>
          <w:rFonts w:hint="eastAsia" w:ascii="宋体" w:hAnsi="宋体" w:eastAsia="宋体" w:cs="宋体"/>
          <w:snapToGrid w:val="0"/>
          <w:color w:val="000000" w:themeColor="text1"/>
          <w:kern w:val="0"/>
          <w:szCs w:val="21"/>
          <w:highlight w:val="none"/>
          <w:lang w:eastAsia="zh-CN"/>
          <w14:textFill>
            <w14:solidFill>
              <w14:schemeClr w14:val="tx1"/>
            </w14:solidFill>
          </w14:textFill>
        </w:rPr>
      </w:pP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注：后附</w:t>
      </w:r>
      <w:r>
        <w:rPr>
          <w:rFonts w:hint="eastAsia" w:ascii="宋体" w:hAnsi="宋体" w:eastAsia="宋体" w:cs="宋体"/>
          <w:snapToGrid w:val="0"/>
          <w:color w:val="000000" w:themeColor="text1"/>
          <w:kern w:val="0"/>
          <w:szCs w:val="21"/>
          <w:highlight w:val="none"/>
          <w14:textFill>
            <w14:solidFill>
              <w14:schemeClr w14:val="tx1"/>
            </w14:solidFill>
          </w14:textFill>
        </w:rPr>
        <w:t>投标保证金缴纳凭证原件扫描件</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w:t>
      </w:r>
      <w:r>
        <w:rPr>
          <w:rFonts w:hint="eastAsia" w:ascii="宋体" w:hAnsi="宋体" w:eastAsia="宋体" w:cs="宋体"/>
          <w:snapToGrid w:val="0"/>
          <w:color w:val="000000" w:themeColor="text1"/>
          <w:kern w:val="0"/>
          <w:szCs w:val="21"/>
          <w:highlight w:val="none"/>
          <w14:textFill>
            <w14:solidFill>
              <w14:schemeClr w14:val="tx1"/>
            </w14:solidFill>
          </w14:textFill>
        </w:rPr>
        <w:t>人民银行颁布的基本存款账户开户许可证原件扫描件</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w:t>
      </w:r>
    </w:p>
    <w:p w14:paraId="47EBA79D">
      <w:pPr>
        <w:pStyle w:val="28"/>
        <w:rPr>
          <w:rFonts w:hint="eastAsia" w:ascii="宋体" w:hAnsi="宋体" w:eastAsia="宋体" w:cs="宋体"/>
          <w:b/>
          <w:bCs/>
          <w:color w:val="auto"/>
          <w:sz w:val="24"/>
          <w:highlight w:val="none"/>
        </w:rPr>
      </w:pPr>
    </w:p>
    <w:p w14:paraId="0E0391CF">
      <w:pPr>
        <w:pStyle w:val="4"/>
        <w:tabs>
          <w:tab w:val="left" w:pos="2922"/>
          <w:tab w:val="center" w:pos="5440"/>
        </w:tabs>
        <w:spacing w:before="0" w:after="0" w:line="360" w:lineRule="auto"/>
        <w:jc w:val="center"/>
        <w:rPr>
          <w:rFonts w:hint="eastAsia" w:ascii="宋体" w:hAnsi="宋体" w:eastAsia="宋体" w:cs="宋体"/>
          <w:bCs w:val="0"/>
          <w:color w:val="auto"/>
          <w:sz w:val="28"/>
          <w:szCs w:val="28"/>
          <w:highlight w:val="none"/>
        </w:rPr>
      </w:pPr>
      <w:bookmarkStart w:id="900" w:name="_Toc11814"/>
      <w:bookmarkStart w:id="901" w:name="_Toc13012"/>
      <w:bookmarkStart w:id="902" w:name="_Toc23302"/>
      <w:bookmarkStart w:id="903" w:name="_Toc2499"/>
      <w:bookmarkStart w:id="904" w:name="_Toc23700"/>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认为资格审查还需提供的其他材料</w:t>
      </w:r>
      <w:bookmarkEnd w:id="900"/>
      <w:bookmarkEnd w:id="901"/>
      <w:bookmarkEnd w:id="902"/>
      <w:bookmarkEnd w:id="903"/>
      <w:bookmarkEnd w:id="904"/>
    </w:p>
    <w:p w14:paraId="19037491">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47F1176C">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27990C73">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211019D3">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482E6760">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7ABB9724">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48673742">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680D8FE6">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2AC1DCF5">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1A347E04">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2F517D5D">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35AA3166">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06BFD797">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210FB6AB">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131AEB67">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5A35D582">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1A442D59">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29747B58">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7C26CA08">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0959BD98">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51C2246D">
      <w:pPr>
        <w:pStyle w:val="4"/>
        <w:tabs>
          <w:tab w:val="left" w:pos="2922"/>
          <w:tab w:val="center" w:pos="5440"/>
        </w:tabs>
        <w:spacing w:before="0" w:after="0" w:line="360" w:lineRule="auto"/>
        <w:jc w:val="center"/>
        <w:outlineLvl w:val="9"/>
        <w:rPr>
          <w:rFonts w:hint="eastAsia" w:ascii="宋体" w:hAnsi="宋体" w:eastAsia="宋体" w:cs="宋体"/>
          <w:bCs w:val="0"/>
          <w:color w:val="auto"/>
          <w:sz w:val="28"/>
          <w:szCs w:val="28"/>
          <w:highlight w:val="none"/>
        </w:rPr>
      </w:pPr>
    </w:p>
    <w:p w14:paraId="2EABDFC1">
      <w:pPr>
        <w:widowControl/>
        <w:jc w:val="center"/>
        <w:outlineLvl w:val="1"/>
        <w:rPr>
          <w:rFonts w:hint="eastAsia" w:ascii="宋体" w:hAnsi="宋体" w:eastAsia="宋体" w:cs="宋体"/>
          <w:color w:val="auto"/>
          <w:highlight w:val="none"/>
          <w:lang w:bidi="ar"/>
        </w:rPr>
      </w:pPr>
      <w:bookmarkStart w:id="905" w:name="_Toc23635"/>
      <w:bookmarkStart w:id="906" w:name="_Toc17876"/>
      <w:bookmarkStart w:id="907" w:name="_Toc11321"/>
      <w:bookmarkStart w:id="908" w:name="_Toc21969"/>
      <w:r>
        <w:rPr>
          <w:rFonts w:hint="eastAsia" w:ascii="宋体" w:hAnsi="宋体" w:cs="宋体"/>
          <w:b/>
          <w:bCs/>
          <w:color w:val="auto"/>
          <w:kern w:val="0"/>
          <w:sz w:val="28"/>
          <w:szCs w:val="28"/>
          <w:highlight w:val="none"/>
          <w:lang w:val="en-US" w:eastAsia="zh-CN"/>
        </w:rPr>
        <w:t>六</w:t>
      </w:r>
      <w:r>
        <w:rPr>
          <w:rFonts w:hint="eastAsia" w:ascii="宋体" w:hAnsi="宋体" w:eastAsia="宋体" w:cs="宋体"/>
          <w:b/>
          <w:bCs/>
          <w:color w:val="auto"/>
          <w:kern w:val="0"/>
          <w:sz w:val="28"/>
          <w:szCs w:val="28"/>
          <w:highlight w:val="none"/>
          <w:lang w:val="en-US" w:eastAsia="zh-CN"/>
        </w:rPr>
        <w:t>、供应商关于资格的声明函（格式）</w:t>
      </w:r>
      <w:bookmarkEnd w:id="905"/>
      <w:bookmarkEnd w:id="906"/>
      <w:bookmarkEnd w:id="907"/>
      <w:bookmarkEnd w:id="908"/>
    </w:p>
    <w:p w14:paraId="427C2984">
      <w:pPr>
        <w:pStyle w:val="26"/>
        <w:spacing w:line="360" w:lineRule="auto"/>
        <w:rPr>
          <w:rFonts w:hint="eastAsia" w:ascii="宋体" w:hAnsi="宋体" w:eastAsia="宋体" w:cs="宋体"/>
          <w:color w:val="auto"/>
          <w:highlight w:val="none"/>
          <w:lang w:bidi="ar"/>
        </w:rPr>
      </w:pPr>
    </w:p>
    <w:p w14:paraId="6257618D">
      <w:pPr>
        <w:pStyle w:val="26"/>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bidi="ar"/>
        </w:rPr>
        <w:t>致：</w:t>
      </w:r>
      <w:r>
        <w:rPr>
          <w:rFonts w:hint="eastAsia" w:ascii="宋体" w:hAnsi="宋体" w:eastAsia="宋体" w:cs="宋体"/>
          <w:color w:val="auto"/>
          <w:highlight w:val="none"/>
          <w:u w:val="single"/>
          <w:lang w:bidi="ar"/>
        </w:rPr>
        <w:t xml:space="preserve">   </w:t>
      </w:r>
      <w:r>
        <w:rPr>
          <w:rFonts w:hint="eastAsia" w:ascii="宋体" w:hAnsi="宋体" w:eastAsia="宋体" w:cs="宋体"/>
          <w:color w:val="auto"/>
          <w:highlight w:val="none"/>
          <w:u w:val="single"/>
          <w:lang w:eastAsia="zh-CN" w:bidi="ar"/>
        </w:rPr>
        <w:t>（采购人名称）</w:t>
      </w:r>
    </w:p>
    <w:p w14:paraId="222CEE91">
      <w:pPr>
        <w:pStyle w:val="26"/>
        <w:spacing w:line="360" w:lineRule="auto"/>
        <w:ind w:firstLine="480" w:firstLineChars="200"/>
        <w:rPr>
          <w:rFonts w:hint="eastAsia" w:ascii="宋体" w:hAnsi="宋体" w:eastAsia="宋体" w:cs="宋体"/>
          <w:color w:val="auto"/>
          <w:highlight w:val="none"/>
          <w:lang w:bidi="ar"/>
        </w:rPr>
      </w:pPr>
      <w:r>
        <w:rPr>
          <w:rFonts w:hint="eastAsia" w:ascii="宋体" w:hAnsi="宋体" w:eastAsia="宋体" w:cs="宋体"/>
          <w:color w:val="auto"/>
          <w:highlight w:val="none"/>
          <w:lang w:bidi="ar"/>
        </w:rPr>
        <w:t>我公司愿意针对</w:t>
      </w:r>
      <w:r>
        <w:rPr>
          <w:rFonts w:hint="eastAsia" w:ascii="宋体" w:hAnsi="宋体" w:eastAsia="宋体" w:cs="宋体"/>
          <w:color w:val="auto"/>
          <w:highlight w:val="none"/>
          <w:u w:val="single"/>
          <w:lang w:bidi="ar"/>
        </w:rPr>
        <w:t xml:space="preserve">            项目名称           </w:t>
      </w:r>
      <w:r>
        <w:rPr>
          <w:rFonts w:hint="eastAsia" w:ascii="宋体" w:hAnsi="宋体" w:eastAsia="宋体" w:cs="宋体"/>
          <w:color w:val="auto"/>
          <w:highlight w:val="none"/>
          <w:lang w:bidi="ar"/>
        </w:rPr>
        <w:t>进行磋商。响应文件中所有关于磋商申请人资格的文件、证明和陈述均是真实和准确的。若有违背，我公司承担由此产生的一切后果。</w:t>
      </w:r>
    </w:p>
    <w:p w14:paraId="3C6AC2E9">
      <w:pPr>
        <w:pStyle w:val="26"/>
        <w:spacing w:line="360" w:lineRule="auto"/>
        <w:ind w:firstLine="480" w:firstLineChars="200"/>
        <w:rPr>
          <w:rFonts w:hint="eastAsia" w:ascii="宋体" w:hAnsi="宋体" w:eastAsia="宋体" w:cs="宋体"/>
          <w:bCs w:val="0"/>
          <w:color w:val="auto"/>
          <w:sz w:val="28"/>
          <w:szCs w:val="28"/>
          <w:highlight w:val="none"/>
        </w:rPr>
      </w:pPr>
      <w:r>
        <w:rPr>
          <w:rFonts w:hint="eastAsia" w:ascii="宋体" w:hAnsi="宋体" w:eastAsia="宋体" w:cs="宋体"/>
          <w:color w:val="auto"/>
          <w:highlight w:val="none"/>
          <w:lang w:bidi="ar"/>
        </w:rPr>
        <w:t>特此声明！</w:t>
      </w:r>
    </w:p>
    <w:p w14:paraId="595770A5">
      <w:pPr>
        <w:spacing w:line="360" w:lineRule="exact"/>
        <w:ind w:right="-250" w:rightChars="-119"/>
        <w:rPr>
          <w:rFonts w:hint="eastAsia" w:ascii="宋体" w:hAnsi="宋体" w:eastAsia="宋体" w:cs="宋体"/>
          <w:color w:val="auto"/>
          <w:kern w:val="1"/>
          <w:sz w:val="24"/>
          <w:highlight w:val="none"/>
          <w:lang w:eastAsia="zh-CN" w:bidi="ar"/>
        </w:rPr>
      </w:pPr>
    </w:p>
    <w:p w14:paraId="5D72656C">
      <w:pPr>
        <w:spacing w:line="360" w:lineRule="exact"/>
        <w:ind w:right="-250" w:rightChars="-119"/>
        <w:rPr>
          <w:rFonts w:hint="eastAsia" w:ascii="宋体" w:hAnsi="宋体" w:eastAsia="宋体" w:cs="宋体"/>
          <w:color w:val="auto"/>
          <w:kern w:val="1"/>
          <w:sz w:val="24"/>
          <w:highlight w:val="none"/>
          <w:lang w:eastAsia="zh-CN" w:bidi="ar"/>
        </w:rPr>
      </w:pPr>
    </w:p>
    <w:p w14:paraId="4E9AF35D">
      <w:pPr>
        <w:spacing w:line="360" w:lineRule="exact"/>
        <w:ind w:right="-250" w:rightChars="-119"/>
        <w:rPr>
          <w:rFonts w:hint="eastAsia" w:ascii="宋体" w:hAnsi="宋体" w:eastAsia="宋体" w:cs="宋体"/>
          <w:color w:val="auto"/>
          <w:kern w:val="1"/>
          <w:sz w:val="24"/>
          <w:highlight w:val="none"/>
          <w:lang w:eastAsia="zh-CN" w:bidi="ar"/>
        </w:rPr>
      </w:pPr>
    </w:p>
    <w:p w14:paraId="712C006B">
      <w:pPr>
        <w:spacing w:line="360" w:lineRule="exact"/>
        <w:ind w:right="-250" w:rightChars="-119"/>
        <w:rPr>
          <w:rFonts w:hint="eastAsia" w:ascii="宋体" w:hAnsi="宋体" w:eastAsia="宋体" w:cs="宋体"/>
          <w:color w:val="auto"/>
          <w:kern w:val="1"/>
          <w:sz w:val="24"/>
          <w:highlight w:val="none"/>
          <w:lang w:eastAsia="zh-CN" w:bidi="ar"/>
        </w:rPr>
      </w:pPr>
    </w:p>
    <w:p w14:paraId="54558A4F">
      <w:pPr>
        <w:spacing w:line="360" w:lineRule="exact"/>
        <w:ind w:right="-250" w:rightChars="-119"/>
        <w:rPr>
          <w:rFonts w:hint="eastAsia" w:ascii="宋体" w:hAnsi="宋体" w:eastAsia="宋体" w:cs="宋体"/>
          <w:color w:val="auto"/>
          <w:kern w:val="1"/>
          <w:sz w:val="24"/>
          <w:highlight w:val="none"/>
          <w:lang w:eastAsia="zh-CN" w:bidi="ar"/>
        </w:rPr>
      </w:pPr>
    </w:p>
    <w:p w14:paraId="4FBADA73">
      <w:pPr>
        <w:keepNext w:val="0"/>
        <w:keepLines w:val="0"/>
        <w:pageBreakBefore w:val="0"/>
        <w:widowControl w:val="0"/>
        <w:kinsoku/>
        <w:wordWrap/>
        <w:overflowPunct/>
        <w:topLinePunct w:val="0"/>
        <w:autoSpaceDE/>
        <w:autoSpaceDN/>
        <w:bidi w:val="0"/>
        <w:adjustRightInd/>
        <w:snapToGrid/>
        <w:spacing w:line="480" w:lineRule="auto"/>
        <w:ind w:right="-250" w:rightChars="-119"/>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名称：</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color w:val="auto"/>
          <w:sz w:val="24"/>
          <w:szCs w:val="24"/>
          <w:highlight w:val="none"/>
          <w:lang w:val="en-US" w:eastAsia="zh-CN"/>
        </w:rPr>
        <w:t>电子签章</w:t>
      </w:r>
      <w:r>
        <w:rPr>
          <w:rFonts w:hint="eastAsia" w:ascii="宋体" w:hAnsi="宋体" w:eastAsia="宋体" w:cs="宋体"/>
          <w:color w:val="auto"/>
          <w:kern w:val="1"/>
          <w:sz w:val="24"/>
          <w:highlight w:val="none"/>
          <w:lang w:bidi="ar"/>
        </w:rPr>
        <w:t xml:space="preserve">)   </w:t>
      </w:r>
    </w:p>
    <w:p w14:paraId="34A76937">
      <w:pPr>
        <w:keepNext w:val="0"/>
        <w:keepLines w:val="0"/>
        <w:pageBreakBefore w:val="0"/>
        <w:widowControl w:val="0"/>
        <w:kinsoku/>
        <w:wordWrap/>
        <w:overflowPunct/>
        <w:topLinePunct w:val="0"/>
        <w:autoSpaceDE/>
        <w:autoSpaceDN/>
        <w:bidi w:val="0"/>
        <w:adjustRightInd/>
        <w:snapToGrid/>
        <w:spacing w:line="480" w:lineRule="auto"/>
        <w:ind w:right="-250" w:rightChars="-119"/>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法定代表人或其授权委托人：</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bCs/>
          <w:color w:val="auto"/>
          <w:sz w:val="24"/>
          <w:highlight w:val="none"/>
          <w:lang w:val="en-US" w:eastAsia="zh-CN"/>
        </w:rPr>
        <w:t>电子签章</w:t>
      </w:r>
      <w:r>
        <w:rPr>
          <w:rFonts w:hint="eastAsia" w:ascii="宋体" w:hAnsi="宋体" w:eastAsia="宋体" w:cs="宋体"/>
          <w:color w:val="auto"/>
          <w:kern w:val="1"/>
          <w:sz w:val="24"/>
          <w:highlight w:val="none"/>
          <w:lang w:bidi="ar"/>
        </w:rPr>
        <w:t>）</w:t>
      </w:r>
    </w:p>
    <w:p w14:paraId="7DB481C4">
      <w:pPr>
        <w:keepNext w:val="0"/>
        <w:keepLines w:val="0"/>
        <w:pageBreakBefore w:val="0"/>
        <w:widowControl w:val="0"/>
        <w:kinsoku/>
        <w:wordWrap/>
        <w:overflowPunct/>
        <w:topLinePunct w:val="0"/>
        <w:autoSpaceDE/>
        <w:autoSpaceDN/>
        <w:bidi w:val="0"/>
        <w:adjustRightInd/>
        <w:snapToGrid/>
        <w:spacing w:line="480" w:lineRule="auto"/>
        <w:ind w:right="-250" w:rightChars="-119"/>
        <w:textAlignment w:val="auto"/>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日  期：</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年 </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月</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日</w:t>
      </w:r>
      <w:bookmarkStart w:id="909" w:name="_Toc944"/>
    </w:p>
    <w:p w14:paraId="777C018F">
      <w:pPr>
        <w:spacing w:line="360" w:lineRule="exact"/>
        <w:ind w:right="-250" w:rightChars="-119"/>
        <w:rPr>
          <w:rFonts w:hint="eastAsia" w:ascii="宋体" w:hAnsi="宋体" w:eastAsia="宋体" w:cs="宋体"/>
          <w:color w:val="auto"/>
          <w:kern w:val="1"/>
          <w:sz w:val="24"/>
          <w:highlight w:val="none"/>
          <w:lang w:bidi="ar"/>
        </w:rPr>
      </w:pPr>
    </w:p>
    <w:p w14:paraId="7DBC622F">
      <w:pPr>
        <w:spacing w:line="360" w:lineRule="exact"/>
        <w:ind w:right="-250" w:rightChars="-119"/>
        <w:rPr>
          <w:rFonts w:hint="eastAsia" w:ascii="宋体" w:hAnsi="宋体" w:eastAsia="宋体" w:cs="宋体"/>
          <w:color w:val="auto"/>
          <w:kern w:val="1"/>
          <w:sz w:val="24"/>
          <w:highlight w:val="none"/>
          <w:lang w:bidi="ar"/>
        </w:rPr>
      </w:pPr>
    </w:p>
    <w:p w14:paraId="546988F6">
      <w:pPr>
        <w:spacing w:line="360" w:lineRule="exact"/>
        <w:ind w:right="-250" w:rightChars="-119"/>
        <w:rPr>
          <w:rFonts w:hint="eastAsia" w:ascii="宋体" w:hAnsi="宋体" w:eastAsia="宋体" w:cs="宋体"/>
          <w:color w:val="auto"/>
          <w:kern w:val="1"/>
          <w:sz w:val="24"/>
          <w:highlight w:val="none"/>
          <w:lang w:bidi="ar"/>
        </w:rPr>
      </w:pPr>
    </w:p>
    <w:p w14:paraId="726159DB">
      <w:pPr>
        <w:spacing w:line="360" w:lineRule="exact"/>
        <w:ind w:right="-250" w:rightChars="-119"/>
        <w:rPr>
          <w:rFonts w:hint="eastAsia" w:ascii="宋体" w:hAnsi="宋体" w:eastAsia="宋体" w:cs="宋体"/>
          <w:color w:val="auto"/>
          <w:kern w:val="1"/>
          <w:sz w:val="24"/>
          <w:highlight w:val="none"/>
          <w:lang w:bidi="ar"/>
        </w:rPr>
      </w:pPr>
    </w:p>
    <w:p w14:paraId="43365F3A">
      <w:pPr>
        <w:spacing w:line="360" w:lineRule="exact"/>
        <w:ind w:right="-250" w:rightChars="-119"/>
        <w:rPr>
          <w:rFonts w:hint="eastAsia" w:ascii="宋体" w:hAnsi="宋体" w:eastAsia="宋体" w:cs="宋体"/>
          <w:color w:val="auto"/>
          <w:kern w:val="1"/>
          <w:sz w:val="24"/>
          <w:highlight w:val="none"/>
          <w:lang w:bidi="ar"/>
        </w:rPr>
      </w:pPr>
    </w:p>
    <w:p w14:paraId="120ECAC4">
      <w:pPr>
        <w:spacing w:line="360" w:lineRule="exact"/>
        <w:ind w:right="-250" w:rightChars="-119"/>
        <w:rPr>
          <w:rFonts w:hint="eastAsia" w:ascii="宋体" w:hAnsi="宋体" w:eastAsia="宋体" w:cs="宋体"/>
          <w:color w:val="auto"/>
          <w:kern w:val="1"/>
          <w:sz w:val="24"/>
          <w:highlight w:val="none"/>
          <w:lang w:bidi="ar"/>
        </w:rPr>
      </w:pPr>
    </w:p>
    <w:p w14:paraId="7EAC6245">
      <w:pPr>
        <w:spacing w:line="360" w:lineRule="exact"/>
        <w:ind w:right="-250" w:rightChars="-119"/>
        <w:rPr>
          <w:rFonts w:hint="eastAsia" w:ascii="宋体" w:hAnsi="宋体" w:eastAsia="宋体" w:cs="宋体"/>
          <w:color w:val="auto"/>
          <w:kern w:val="1"/>
          <w:sz w:val="24"/>
          <w:highlight w:val="none"/>
          <w:lang w:bidi="ar"/>
        </w:rPr>
      </w:pPr>
    </w:p>
    <w:p w14:paraId="2814A06D">
      <w:pPr>
        <w:spacing w:line="360" w:lineRule="exact"/>
        <w:ind w:right="-250" w:rightChars="-119"/>
        <w:rPr>
          <w:rFonts w:hint="eastAsia" w:ascii="宋体" w:hAnsi="宋体" w:eastAsia="宋体" w:cs="宋体"/>
          <w:color w:val="auto"/>
          <w:kern w:val="1"/>
          <w:sz w:val="24"/>
          <w:highlight w:val="none"/>
          <w:lang w:bidi="ar"/>
        </w:rPr>
      </w:pPr>
    </w:p>
    <w:p w14:paraId="2622C6A8">
      <w:pPr>
        <w:spacing w:line="360" w:lineRule="exact"/>
        <w:ind w:right="-250" w:rightChars="-119"/>
        <w:rPr>
          <w:rFonts w:hint="eastAsia" w:ascii="宋体" w:hAnsi="宋体" w:eastAsia="宋体" w:cs="宋体"/>
          <w:color w:val="auto"/>
          <w:kern w:val="1"/>
          <w:sz w:val="24"/>
          <w:highlight w:val="none"/>
          <w:lang w:bidi="ar"/>
        </w:rPr>
      </w:pPr>
    </w:p>
    <w:p w14:paraId="137C43A3">
      <w:pPr>
        <w:spacing w:line="360" w:lineRule="exact"/>
        <w:ind w:right="-250" w:rightChars="-119"/>
        <w:rPr>
          <w:rFonts w:hint="eastAsia" w:ascii="宋体" w:hAnsi="宋体" w:eastAsia="宋体" w:cs="宋体"/>
          <w:color w:val="auto"/>
          <w:kern w:val="1"/>
          <w:sz w:val="24"/>
          <w:highlight w:val="none"/>
          <w:lang w:bidi="ar"/>
        </w:rPr>
      </w:pPr>
    </w:p>
    <w:p w14:paraId="371DC66D">
      <w:pPr>
        <w:spacing w:line="360" w:lineRule="exact"/>
        <w:ind w:right="-250" w:rightChars="-119"/>
        <w:rPr>
          <w:rFonts w:hint="eastAsia" w:ascii="宋体" w:hAnsi="宋体" w:eastAsia="宋体" w:cs="宋体"/>
          <w:color w:val="auto"/>
          <w:kern w:val="1"/>
          <w:sz w:val="24"/>
          <w:highlight w:val="none"/>
          <w:lang w:bidi="ar"/>
        </w:rPr>
      </w:pPr>
    </w:p>
    <w:p w14:paraId="4CFB0A9C">
      <w:pPr>
        <w:spacing w:line="360" w:lineRule="exact"/>
        <w:ind w:right="-250" w:rightChars="-119"/>
        <w:rPr>
          <w:rFonts w:hint="eastAsia" w:ascii="宋体" w:hAnsi="宋体" w:eastAsia="宋体" w:cs="宋体"/>
          <w:color w:val="auto"/>
          <w:kern w:val="1"/>
          <w:sz w:val="24"/>
          <w:highlight w:val="none"/>
          <w:lang w:bidi="ar"/>
        </w:rPr>
      </w:pPr>
    </w:p>
    <w:p w14:paraId="1C0266A6">
      <w:pPr>
        <w:spacing w:line="360" w:lineRule="exact"/>
        <w:ind w:right="-250" w:rightChars="-119"/>
        <w:rPr>
          <w:rFonts w:hint="eastAsia" w:ascii="宋体" w:hAnsi="宋体" w:eastAsia="宋体" w:cs="宋体"/>
          <w:color w:val="auto"/>
          <w:kern w:val="1"/>
          <w:sz w:val="24"/>
          <w:highlight w:val="none"/>
          <w:lang w:bidi="ar"/>
        </w:rPr>
      </w:pPr>
    </w:p>
    <w:p w14:paraId="5D02DF16">
      <w:pPr>
        <w:spacing w:line="360" w:lineRule="exact"/>
        <w:ind w:right="-250" w:rightChars="-119"/>
        <w:rPr>
          <w:rFonts w:hint="eastAsia" w:ascii="宋体" w:hAnsi="宋体" w:eastAsia="宋体" w:cs="宋体"/>
          <w:color w:val="auto"/>
          <w:kern w:val="1"/>
          <w:sz w:val="24"/>
          <w:highlight w:val="none"/>
          <w:lang w:bidi="ar"/>
        </w:rPr>
      </w:pPr>
    </w:p>
    <w:p w14:paraId="11C4E02C">
      <w:pPr>
        <w:spacing w:line="360" w:lineRule="exact"/>
        <w:ind w:right="-250" w:rightChars="-119"/>
        <w:rPr>
          <w:rFonts w:hint="eastAsia" w:ascii="宋体" w:hAnsi="宋体" w:eastAsia="宋体" w:cs="宋体"/>
          <w:color w:val="auto"/>
          <w:kern w:val="1"/>
          <w:sz w:val="24"/>
          <w:highlight w:val="none"/>
          <w:lang w:bidi="ar"/>
        </w:rPr>
      </w:pPr>
    </w:p>
    <w:p w14:paraId="3010C59F">
      <w:pPr>
        <w:spacing w:line="360" w:lineRule="exact"/>
        <w:ind w:right="-250" w:rightChars="-119"/>
        <w:rPr>
          <w:rFonts w:hint="eastAsia" w:ascii="宋体" w:hAnsi="宋体" w:eastAsia="宋体" w:cs="宋体"/>
          <w:color w:val="auto"/>
          <w:kern w:val="1"/>
          <w:sz w:val="24"/>
          <w:highlight w:val="none"/>
          <w:lang w:bidi="ar"/>
        </w:rPr>
      </w:pPr>
    </w:p>
    <w:p w14:paraId="708A2372">
      <w:pPr>
        <w:spacing w:line="360" w:lineRule="exact"/>
        <w:ind w:right="-250" w:rightChars="-119"/>
        <w:rPr>
          <w:rFonts w:hint="eastAsia" w:ascii="宋体" w:hAnsi="宋体" w:eastAsia="宋体" w:cs="宋体"/>
          <w:color w:val="auto"/>
          <w:kern w:val="1"/>
          <w:sz w:val="24"/>
          <w:highlight w:val="none"/>
          <w:lang w:bidi="ar"/>
        </w:rPr>
      </w:pPr>
    </w:p>
    <w:p w14:paraId="6AA93443">
      <w:pPr>
        <w:spacing w:line="360" w:lineRule="exact"/>
        <w:ind w:right="-250" w:rightChars="-119"/>
        <w:jc w:val="center"/>
        <w:outlineLvl w:val="1"/>
        <w:rPr>
          <w:rFonts w:hint="eastAsia" w:ascii="宋体" w:hAnsi="宋体" w:eastAsia="宋体" w:cs="宋体"/>
          <w:b/>
          <w:bCs/>
          <w:color w:val="auto"/>
          <w:sz w:val="30"/>
          <w:szCs w:val="30"/>
          <w:highlight w:val="none"/>
        </w:rPr>
      </w:pPr>
      <w:bookmarkStart w:id="910" w:name="_Toc32071"/>
      <w:bookmarkStart w:id="911" w:name="_Toc30698"/>
      <w:bookmarkStart w:id="912" w:name="_Toc31859"/>
      <w:r>
        <w:rPr>
          <w:rFonts w:hint="eastAsia" w:ascii="宋体" w:hAnsi="宋体" w:cs="宋体"/>
          <w:b/>
          <w:bCs/>
          <w:color w:val="auto"/>
          <w:sz w:val="30"/>
          <w:szCs w:val="30"/>
          <w:highlight w:val="none"/>
          <w:lang w:val="en-US" w:eastAsia="zh-CN" w:bidi="ar"/>
        </w:rPr>
        <w:t>七</w:t>
      </w:r>
      <w:r>
        <w:rPr>
          <w:rFonts w:hint="eastAsia" w:ascii="宋体" w:hAnsi="宋体" w:eastAsia="宋体" w:cs="宋体"/>
          <w:b/>
          <w:bCs/>
          <w:color w:val="auto"/>
          <w:sz w:val="30"/>
          <w:szCs w:val="30"/>
          <w:highlight w:val="none"/>
          <w:lang w:val="zh-CN" w:bidi="ar"/>
        </w:rPr>
        <w:t>、</w:t>
      </w:r>
      <w:r>
        <w:rPr>
          <w:rFonts w:hint="eastAsia" w:ascii="宋体" w:hAnsi="宋体" w:eastAsia="宋体" w:cs="宋体"/>
          <w:b/>
          <w:bCs/>
          <w:color w:val="auto"/>
          <w:sz w:val="30"/>
          <w:szCs w:val="30"/>
          <w:highlight w:val="none"/>
          <w:lang w:val="zh-CN"/>
        </w:rPr>
        <w:t>承诺书</w:t>
      </w:r>
      <w:bookmarkEnd w:id="909"/>
      <w:bookmarkEnd w:id="910"/>
      <w:bookmarkEnd w:id="911"/>
      <w:bookmarkEnd w:id="912"/>
    </w:p>
    <w:p w14:paraId="1BED8B0C">
      <w:pPr>
        <w:pStyle w:val="9"/>
        <w:widowControl/>
        <w:spacing w:line="440" w:lineRule="exact"/>
        <w:ind w:right="107" w:rightChars="51"/>
        <w:rPr>
          <w:rFonts w:hint="eastAsia" w:ascii="宋体" w:hAnsi="宋体" w:eastAsia="宋体" w:cs="宋体"/>
          <w:color w:val="auto"/>
          <w:highlight w:val="none"/>
        </w:rPr>
      </w:pPr>
    </w:p>
    <w:p w14:paraId="2A17F73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我公司参与</w:t>
      </w:r>
      <w:r>
        <w:rPr>
          <w:rFonts w:hint="eastAsia" w:ascii="宋体" w:hAnsi="宋体" w:eastAsia="宋体" w:cs="宋体"/>
          <w:b/>
          <w:color w:val="auto"/>
          <w:sz w:val="24"/>
          <w:highlight w:val="none"/>
          <w:u w:val="single"/>
        </w:rPr>
        <w:t xml:space="preserve">     </w:t>
      </w:r>
      <w:r>
        <w:rPr>
          <w:rFonts w:hint="eastAsia" w:ascii="宋体" w:hAnsi="宋体" w:eastAsia="宋体" w:cs="宋体"/>
          <w:bCs/>
          <w:color w:val="auto"/>
          <w:sz w:val="24"/>
          <w:highlight w:val="none"/>
          <w:u w:val="single"/>
        </w:rPr>
        <w:t xml:space="preserve"> （项目名称及编号）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项目的</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，现作如下承诺：</w:t>
      </w:r>
    </w:p>
    <w:p w14:paraId="1A32B93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1、我公司参与此次</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活动所提交的所有资料都是合法、真实、有效的。</w:t>
      </w:r>
    </w:p>
    <w:p w14:paraId="33D4B3F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2、不与其他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串通投标、围标，依法、依规公平竞争，不损害采购人或其他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的合法权益。</w:t>
      </w:r>
    </w:p>
    <w:p w14:paraId="3ADA8D9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3、不转让、出租、出借资质证书、人员岗位证书，不以法律、法规禁止的方式投标。</w:t>
      </w:r>
    </w:p>
    <w:p w14:paraId="23BCE40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4、不与采购人或</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串通投标，不损害国家利益、社会公共利益或其他当事人的合法权益。</w:t>
      </w:r>
    </w:p>
    <w:p w14:paraId="1FBDDB0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5、不向采购人、</w:t>
      </w:r>
      <w:r>
        <w:rPr>
          <w:rFonts w:hint="eastAsia" w:ascii="宋体" w:hAnsi="宋体" w:cs="宋体"/>
          <w:color w:val="auto"/>
          <w:sz w:val="24"/>
          <w:highlight w:val="none"/>
          <w:lang w:val="en-US" w:eastAsia="zh-CN"/>
        </w:rPr>
        <w:t>竞争性磋商小组</w:t>
      </w:r>
      <w:r>
        <w:rPr>
          <w:rFonts w:hint="eastAsia" w:ascii="宋体" w:hAnsi="宋体" w:eastAsia="宋体" w:cs="宋体"/>
          <w:color w:val="auto"/>
          <w:sz w:val="24"/>
          <w:highlight w:val="none"/>
        </w:rPr>
        <w:t>、监督人员行贿。</w:t>
      </w:r>
    </w:p>
    <w:p w14:paraId="5BA2BC3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6、不扰乱</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活动正常秩序。</w:t>
      </w:r>
    </w:p>
    <w:p w14:paraId="607B773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7、不进行虚假恶意投诉。</w:t>
      </w:r>
    </w:p>
    <w:p w14:paraId="6E43D9B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8、因违反法律、法规或相关规定被查处的，不干预案件查处。</w:t>
      </w:r>
    </w:p>
    <w:p w14:paraId="56C35D3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如违反以上承诺，甘愿接受监督管理部门、纪检监察机关或司法机关调查处理。违法、违规或不良行为事实成立的，本</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不再要求退还</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时所提交的</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保证金，并承担相关责任。给采购人造成损失的，依法承担赔偿责任。</w:t>
      </w:r>
    </w:p>
    <w:p w14:paraId="4B6F952A">
      <w:pPr>
        <w:spacing w:line="440" w:lineRule="exact"/>
        <w:ind w:right="107" w:rightChars="51"/>
        <w:rPr>
          <w:rFonts w:hint="eastAsia" w:ascii="宋体" w:hAnsi="宋体" w:eastAsia="宋体" w:cs="宋体"/>
          <w:color w:val="auto"/>
          <w:kern w:val="1"/>
          <w:sz w:val="36"/>
          <w:szCs w:val="22"/>
          <w:highlight w:val="none"/>
        </w:rPr>
      </w:pPr>
    </w:p>
    <w:p w14:paraId="250AE22F">
      <w:pPr>
        <w:spacing w:line="440" w:lineRule="exact"/>
        <w:ind w:right="107" w:rightChars="51" w:firstLine="360"/>
        <w:rPr>
          <w:rFonts w:hint="eastAsia" w:ascii="宋体" w:hAnsi="宋体" w:eastAsia="宋体" w:cs="宋体"/>
          <w:color w:val="auto"/>
          <w:kern w:val="1"/>
          <w:sz w:val="24"/>
          <w:szCs w:val="22"/>
          <w:highlight w:val="none"/>
          <w:lang w:bidi="ar"/>
        </w:rPr>
      </w:pPr>
    </w:p>
    <w:p w14:paraId="4CE00664">
      <w:pPr>
        <w:pStyle w:val="46"/>
        <w:rPr>
          <w:rFonts w:hint="eastAsia" w:ascii="宋体" w:hAnsi="宋体" w:eastAsia="宋体" w:cs="宋体"/>
          <w:color w:val="auto"/>
          <w:highlight w:val="none"/>
        </w:rPr>
      </w:pPr>
    </w:p>
    <w:p w14:paraId="0B6388B9">
      <w:pPr>
        <w:spacing w:line="360" w:lineRule="exact"/>
        <w:ind w:right="-250" w:rightChars="-119"/>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eastAsia="zh-CN" w:bidi="ar"/>
        </w:rPr>
        <w:t>供应商</w:t>
      </w:r>
      <w:r>
        <w:rPr>
          <w:rFonts w:hint="eastAsia" w:ascii="宋体" w:hAnsi="宋体" w:eastAsia="宋体" w:cs="宋体"/>
          <w:color w:val="auto"/>
          <w:kern w:val="1"/>
          <w:sz w:val="24"/>
          <w:highlight w:val="none"/>
          <w:lang w:bidi="ar"/>
        </w:rPr>
        <w:t>名称：</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color w:val="auto"/>
          <w:sz w:val="24"/>
          <w:szCs w:val="24"/>
          <w:highlight w:val="none"/>
          <w:lang w:val="en-US" w:eastAsia="zh-CN"/>
        </w:rPr>
        <w:t>电子签章</w:t>
      </w:r>
      <w:r>
        <w:rPr>
          <w:rFonts w:hint="eastAsia" w:ascii="宋体" w:hAnsi="宋体" w:eastAsia="宋体" w:cs="宋体"/>
          <w:color w:val="auto"/>
          <w:kern w:val="1"/>
          <w:sz w:val="24"/>
          <w:highlight w:val="none"/>
          <w:lang w:bidi="ar"/>
        </w:rPr>
        <w:t xml:space="preserve">)   </w:t>
      </w:r>
    </w:p>
    <w:p w14:paraId="03882A2B">
      <w:pPr>
        <w:spacing w:line="360" w:lineRule="exact"/>
        <w:ind w:right="-250" w:rightChars="-119"/>
        <w:rPr>
          <w:rFonts w:hint="eastAsia" w:ascii="宋体" w:hAnsi="宋体" w:eastAsia="宋体" w:cs="宋体"/>
          <w:color w:val="auto"/>
          <w:kern w:val="1"/>
          <w:sz w:val="24"/>
          <w:highlight w:val="none"/>
          <w:lang w:bidi="ar"/>
        </w:rPr>
      </w:pPr>
    </w:p>
    <w:p w14:paraId="22D6A2A3">
      <w:pPr>
        <w:spacing w:line="360" w:lineRule="exact"/>
        <w:ind w:right="-250" w:rightChars="-119"/>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法定代表人或其授权委托人：</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w:t>
      </w:r>
      <w:r>
        <w:rPr>
          <w:rFonts w:hint="eastAsia" w:ascii="宋体" w:hAnsi="宋体" w:cs="宋体"/>
          <w:color w:val="auto"/>
          <w:sz w:val="24"/>
          <w:highlight w:val="none"/>
          <w:lang w:val="en-US" w:eastAsia="zh-CN"/>
        </w:rPr>
        <w:t>电子签章</w:t>
      </w:r>
      <w:r>
        <w:rPr>
          <w:rFonts w:hint="eastAsia" w:ascii="宋体" w:hAnsi="宋体" w:eastAsia="宋体" w:cs="宋体"/>
          <w:color w:val="auto"/>
          <w:kern w:val="1"/>
          <w:sz w:val="24"/>
          <w:highlight w:val="none"/>
          <w:lang w:bidi="ar"/>
        </w:rPr>
        <w:t>）</w:t>
      </w:r>
    </w:p>
    <w:p w14:paraId="2C3EE28A">
      <w:pPr>
        <w:spacing w:line="360" w:lineRule="exact"/>
        <w:ind w:right="-250" w:rightChars="-119"/>
        <w:rPr>
          <w:rFonts w:hint="eastAsia" w:ascii="宋体" w:hAnsi="宋体" w:eastAsia="宋体" w:cs="宋体"/>
          <w:color w:val="auto"/>
          <w:kern w:val="1"/>
          <w:sz w:val="24"/>
          <w:highlight w:val="none"/>
          <w:lang w:bidi="ar"/>
        </w:rPr>
      </w:pPr>
    </w:p>
    <w:p w14:paraId="11452B76">
      <w:pPr>
        <w:spacing w:line="360" w:lineRule="exact"/>
        <w:ind w:right="-250" w:rightChars="-119"/>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日  期：</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 xml:space="preserve">年 </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月</w:t>
      </w:r>
      <w:r>
        <w:rPr>
          <w:rFonts w:hint="eastAsia" w:ascii="宋体" w:hAnsi="宋体" w:eastAsia="宋体" w:cs="宋体"/>
          <w:color w:val="auto"/>
          <w:kern w:val="1"/>
          <w:sz w:val="24"/>
          <w:highlight w:val="none"/>
          <w:u w:val="single"/>
          <w:lang w:bidi="ar"/>
        </w:rPr>
        <w:t xml:space="preserve">     </w:t>
      </w:r>
      <w:r>
        <w:rPr>
          <w:rFonts w:hint="eastAsia" w:ascii="宋体" w:hAnsi="宋体" w:eastAsia="宋体" w:cs="宋体"/>
          <w:color w:val="auto"/>
          <w:kern w:val="1"/>
          <w:sz w:val="24"/>
          <w:highlight w:val="none"/>
          <w:lang w:bidi="ar"/>
        </w:rPr>
        <w:t>日</w:t>
      </w:r>
    </w:p>
    <w:p w14:paraId="6F4C8DAD">
      <w:pPr>
        <w:spacing w:line="360" w:lineRule="exact"/>
        <w:ind w:right="-250" w:rightChars="-119"/>
        <w:rPr>
          <w:rFonts w:hint="eastAsia" w:ascii="宋体" w:hAnsi="宋体" w:eastAsia="宋体" w:cs="宋体"/>
          <w:color w:val="auto"/>
          <w:kern w:val="1"/>
          <w:sz w:val="24"/>
          <w:highlight w:val="none"/>
          <w:lang w:bidi="ar"/>
        </w:rPr>
      </w:pPr>
    </w:p>
    <w:p w14:paraId="38DA82F5">
      <w:pPr>
        <w:spacing w:line="360" w:lineRule="exact"/>
        <w:ind w:right="-250" w:rightChars="-119"/>
        <w:rPr>
          <w:rFonts w:hint="eastAsia" w:ascii="宋体" w:hAnsi="宋体" w:eastAsia="宋体" w:cs="宋体"/>
          <w:color w:val="auto"/>
          <w:kern w:val="1"/>
          <w:sz w:val="24"/>
          <w:highlight w:val="none"/>
          <w:lang w:bidi="ar"/>
        </w:rPr>
      </w:pPr>
    </w:p>
    <w:p w14:paraId="7F0EB2E8">
      <w:pPr>
        <w:spacing w:line="360" w:lineRule="exact"/>
        <w:ind w:right="-250" w:rightChars="-119"/>
        <w:rPr>
          <w:rFonts w:hint="eastAsia" w:ascii="宋体" w:hAnsi="宋体" w:eastAsia="宋体" w:cs="宋体"/>
          <w:color w:val="auto"/>
          <w:kern w:val="1"/>
          <w:sz w:val="24"/>
          <w:highlight w:val="none"/>
          <w:lang w:bidi="ar"/>
        </w:rPr>
      </w:pPr>
    </w:p>
    <w:p w14:paraId="33B1A1CF">
      <w:pPr>
        <w:spacing w:line="360" w:lineRule="exact"/>
        <w:ind w:right="-250" w:rightChars="-119"/>
        <w:rPr>
          <w:rFonts w:hint="eastAsia" w:ascii="宋体" w:hAnsi="宋体" w:eastAsia="宋体" w:cs="宋体"/>
          <w:color w:val="auto"/>
          <w:kern w:val="1"/>
          <w:sz w:val="24"/>
          <w:highlight w:val="none"/>
          <w:lang w:bidi="ar"/>
        </w:rPr>
      </w:pPr>
    </w:p>
    <w:p w14:paraId="03C30CC3">
      <w:pPr>
        <w:spacing w:line="360" w:lineRule="exact"/>
        <w:ind w:right="-250" w:rightChars="-119"/>
        <w:rPr>
          <w:rFonts w:hint="eastAsia" w:ascii="宋体" w:hAnsi="宋体" w:eastAsia="宋体" w:cs="宋体"/>
          <w:color w:val="auto"/>
          <w:kern w:val="1"/>
          <w:sz w:val="24"/>
          <w:highlight w:val="none"/>
          <w:lang w:bidi="ar"/>
        </w:rPr>
      </w:pPr>
    </w:p>
    <w:p w14:paraId="23F9C4B8">
      <w:pPr>
        <w:spacing w:line="360" w:lineRule="exact"/>
        <w:ind w:right="-250" w:rightChars="-119"/>
        <w:rPr>
          <w:rFonts w:hint="eastAsia" w:ascii="宋体" w:hAnsi="宋体" w:eastAsia="宋体" w:cs="宋体"/>
          <w:color w:val="auto"/>
          <w:kern w:val="1"/>
          <w:sz w:val="24"/>
          <w:highlight w:val="none"/>
          <w:lang w:bidi="ar"/>
        </w:rPr>
      </w:pPr>
    </w:p>
    <w:p w14:paraId="7F46CE65">
      <w:pPr>
        <w:pStyle w:val="50"/>
        <w:framePr w:wrap="auto" w:vAnchor="margin" w:hAnchor="text" w:yAlign="inline"/>
        <w:spacing w:line="600" w:lineRule="exact"/>
        <w:jc w:val="center"/>
        <w:outlineLvl w:val="1"/>
        <w:rPr>
          <w:rFonts w:hint="default" w:ascii="宋体" w:hAnsi="宋体" w:eastAsia="宋体" w:cs="宋体"/>
          <w:b/>
          <w:color w:val="auto"/>
          <w:kern w:val="1"/>
          <w:sz w:val="30"/>
          <w:szCs w:val="30"/>
          <w:highlight w:val="none"/>
          <w:lang w:val="en-US" w:eastAsia="zh-CN" w:bidi="ar"/>
        </w:rPr>
      </w:pPr>
      <w:bookmarkStart w:id="913" w:name="_Toc11113"/>
      <w:bookmarkStart w:id="914" w:name="_Toc8532"/>
      <w:bookmarkStart w:id="915" w:name="_Toc5458"/>
      <w:r>
        <w:rPr>
          <w:rFonts w:hint="eastAsia" w:ascii="宋体" w:hAnsi="宋体" w:eastAsia="宋体" w:cs="宋体"/>
          <w:b/>
          <w:color w:val="auto"/>
          <w:kern w:val="1"/>
          <w:sz w:val="30"/>
          <w:szCs w:val="30"/>
          <w:highlight w:val="none"/>
          <w:lang w:val="en-US" w:eastAsia="zh-CN" w:bidi="ar"/>
        </w:rPr>
        <w:t>八</w:t>
      </w:r>
      <w:r>
        <w:rPr>
          <w:rFonts w:hint="eastAsia" w:ascii="宋体" w:hAnsi="宋体" w:eastAsia="宋体" w:cs="宋体"/>
          <w:b/>
          <w:color w:val="auto"/>
          <w:kern w:val="1"/>
          <w:sz w:val="30"/>
          <w:szCs w:val="30"/>
          <w:highlight w:val="none"/>
          <w:lang w:val="zh-TW" w:eastAsia="zh-CN" w:bidi="ar"/>
        </w:rPr>
        <w:t>、</w:t>
      </w:r>
      <w:bookmarkEnd w:id="913"/>
      <w:bookmarkEnd w:id="914"/>
      <w:bookmarkEnd w:id="915"/>
      <w:r>
        <w:rPr>
          <w:rFonts w:hint="eastAsia" w:ascii="宋体" w:hAnsi="宋体" w:eastAsia="宋体" w:cs="宋体"/>
          <w:b/>
          <w:color w:val="auto"/>
          <w:kern w:val="1"/>
          <w:sz w:val="30"/>
          <w:szCs w:val="30"/>
          <w:highlight w:val="none"/>
          <w:lang w:val="en-US" w:eastAsia="zh-CN" w:bidi="ar"/>
        </w:rPr>
        <w:t>技术方案</w:t>
      </w:r>
    </w:p>
    <w:p w14:paraId="5806F265">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请各供应商认真查看竞争性磋商文件第</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章“评审办法”详细评审标准，结合自身情况编制</w:t>
      </w:r>
      <w:r>
        <w:rPr>
          <w:rFonts w:hint="eastAsia" w:ascii="宋体" w:hAnsi="宋体" w:eastAsia="宋体" w:cs="宋体"/>
          <w:color w:val="auto"/>
          <w:sz w:val="24"/>
          <w:highlight w:val="none"/>
          <w:lang w:val="en-US" w:eastAsia="zh-CN"/>
        </w:rPr>
        <w:t>技术方案</w:t>
      </w:r>
      <w:r>
        <w:rPr>
          <w:rFonts w:hint="eastAsia" w:ascii="宋体" w:hAnsi="宋体" w:eastAsia="宋体" w:cs="宋体"/>
          <w:color w:val="auto"/>
          <w:sz w:val="24"/>
          <w:highlight w:val="none"/>
        </w:rPr>
        <w:t>及目录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包括但不限于以下内容：</w:t>
      </w:r>
    </w:p>
    <w:p w14:paraId="0A386E88">
      <w:pPr>
        <w:keepNext w:val="0"/>
        <w:keepLines w:val="0"/>
        <w:pageBreakBefore w:val="0"/>
        <w:widowControl w:val="0"/>
        <w:numPr>
          <w:ilvl w:val="0"/>
          <w:numId w:val="12"/>
        </w:numPr>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对项目的理解、重难点分析及合理化建议</w:t>
      </w:r>
    </w:p>
    <w:p w14:paraId="5850475A">
      <w:pPr>
        <w:keepNext w:val="0"/>
        <w:keepLines w:val="0"/>
        <w:pageBreakBefore w:val="0"/>
        <w:widowControl w:val="0"/>
        <w:numPr>
          <w:ilvl w:val="0"/>
          <w:numId w:val="12"/>
        </w:numPr>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施工技术方案</w:t>
      </w:r>
    </w:p>
    <w:p w14:paraId="0BC06516">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color w:val="auto"/>
          <w:sz w:val="24"/>
          <w:szCs w:val="24"/>
          <w:highlight w:val="none"/>
        </w:rPr>
        <w:t>质量保证措施及承诺</w:t>
      </w:r>
    </w:p>
    <w:p w14:paraId="52DCF3F1">
      <w:pPr>
        <w:keepNext w:val="0"/>
        <w:keepLines w:val="0"/>
        <w:pageBreakBefore w:val="0"/>
        <w:widowControl w:val="0"/>
        <w:numPr>
          <w:ilvl w:val="0"/>
          <w:numId w:val="0"/>
        </w:numPr>
        <w:tabs>
          <w:tab w:val="center" w:pos="4153"/>
          <w:tab w:val="right" w:pos="8306"/>
        </w:tabs>
        <w:kinsoku/>
        <w:wordWrap/>
        <w:overflowPunct/>
        <w:topLinePunct w:val="0"/>
        <w:autoSpaceDE/>
        <w:autoSpaceDN/>
        <w:bidi w:val="0"/>
        <w:adjustRightInd/>
        <w:snapToGrid/>
        <w:spacing w:line="500" w:lineRule="exact"/>
        <w:ind w:leftChars="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环境保护安全管理体系与措施</w:t>
      </w:r>
    </w:p>
    <w:p w14:paraId="2A905047">
      <w:pPr>
        <w:keepNext w:val="0"/>
        <w:keepLines w:val="0"/>
        <w:pageBreakBefore w:val="0"/>
        <w:widowControl w:val="0"/>
        <w:numPr>
          <w:ilvl w:val="0"/>
          <w:numId w:val="0"/>
        </w:numPr>
        <w:tabs>
          <w:tab w:val="center" w:pos="4153"/>
          <w:tab w:val="right" w:pos="8306"/>
        </w:tabs>
        <w:kinsoku/>
        <w:wordWrap/>
        <w:overflowPunct/>
        <w:topLinePunct w:val="0"/>
        <w:autoSpaceDE/>
        <w:autoSpaceDN/>
        <w:bidi w:val="0"/>
        <w:adjustRightInd/>
        <w:snapToGrid/>
        <w:spacing w:line="500" w:lineRule="exact"/>
        <w:ind w:leftChars="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工程进度计划与保证措施</w:t>
      </w:r>
    </w:p>
    <w:p w14:paraId="096E2DC8">
      <w:pPr>
        <w:keepNext w:val="0"/>
        <w:keepLines w:val="0"/>
        <w:pageBreakBefore w:val="0"/>
        <w:widowControl w:val="0"/>
        <w:tabs>
          <w:tab w:val="center" w:pos="4153"/>
          <w:tab w:val="right" w:pos="8306"/>
        </w:tabs>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yellow"/>
          <w:lang w:val="zh-CN"/>
        </w:rPr>
      </w:pPr>
      <w:r>
        <w:rPr>
          <w:rFonts w:hint="eastAsia" w:ascii="宋体" w:hAnsi="宋体" w:eastAsia="宋体" w:cs="宋体"/>
          <w:color w:val="auto"/>
          <w:sz w:val="24"/>
          <w:szCs w:val="24"/>
          <w:highlight w:val="yellow"/>
          <w:lang w:val="en-US" w:eastAsia="zh-CN"/>
        </w:rPr>
        <w:t>6.</w:t>
      </w:r>
      <w:r>
        <w:rPr>
          <w:rFonts w:hint="eastAsia" w:ascii="宋体" w:hAnsi="宋体" w:eastAsia="宋体" w:cs="宋体"/>
          <w:color w:val="auto"/>
          <w:sz w:val="24"/>
          <w:szCs w:val="24"/>
          <w:highlight w:val="yellow"/>
          <w:lang w:val="zh-CN"/>
        </w:rPr>
        <w:t>资源配备计划</w:t>
      </w:r>
    </w:p>
    <w:p w14:paraId="3FF3C52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项目管理机构配置</w:t>
      </w:r>
    </w:p>
    <w:p w14:paraId="0815A878">
      <w:pPr>
        <w:pageBreakBefore w:val="0"/>
        <w:wordWrap w:val="0"/>
        <w:overflowPunct/>
        <w:spacing w:after="240" w:afterLines="100"/>
        <w:jc w:val="center"/>
        <w:outlineLvl w:val="1"/>
        <w:rPr>
          <w:rFonts w:hint="eastAsia" w:ascii="宋体" w:hAnsi="宋体" w:cs="宋体"/>
          <w:b/>
          <w:color w:val="auto"/>
          <w:kern w:val="1"/>
          <w:sz w:val="30"/>
          <w:szCs w:val="30"/>
          <w:highlight w:val="none"/>
          <w:lang w:val="en-US" w:eastAsia="zh-CN" w:bidi="ar"/>
        </w:rPr>
      </w:pPr>
      <w:bookmarkStart w:id="916" w:name="_Toc25442"/>
      <w:bookmarkStart w:id="917" w:name="_Toc31973"/>
      <w:bookmarkStart w:id="918" w:name="_Toc8925"/>
      <w:bookmarkStart w:id="919" w:name="_Toc4074"/>
    </w:p>
    <w:p w14:paraId="411C33A2">
      <w:pPr>
        <w:pageBreakBefore w:val="0"/>
        <w:wordWrap w:val="0"/>
        <w:overflowPunct/>
        <w:spacing w:after="240" w:afterLines="100"/>
        <w:jc w:val="center"/>
        <w:outlineLvl w:val="1"/>
        <w:rPr>
          <w:rFonts w:hint="eastAsia" w:ascii="宋体" w:hAnsi="宋体" w:cs="宋体"/>
          <w:b/>
          <w:color w:val="auto"/>
          <w:kern w:val="1"/>
          <w:sz w:val="30"/>
          <w:szCs w:val="30"/>
          <w:highlight w:val="none"/>
          <w:lang w:val="en-US" w:eastAsia="zh-CN" w:bidi="ar"/>
        </w:rPr>
      </w:pPr>
    </w:p>
    <w:p w14:paraId="1E388C5B">
      <w:pPr>
        <w:pageBreakBefore w:val="0"/>
        <w:wordWrap w:val="0"/>
        <w:overflowPunct/>
        <w:spacing w:after="240" w:afterLines="100"/>
        <w:jc w:val="center"/>
        <w:outlineLvl w:val="1"/>
        <w:rPr>
          <w:rFonts w:hint="eastAsia" w:ascii="宋体" w:hAnsi="宋体" w:cs="宋体"/>
          <w:b/>
          <w:color w:val="auto"/>
          <w:kern w:val="1"/>
          <w:sz w:val="30"/>
          <w:szCs w:val="30"/>
          <w:highlight w:val="none"/>
          <w:lang w:val="en-US" w:eastAsia="zh-CN" w:bidi="ar"/>
        </w:rPr>
      </w:pPr>
    </w:p>
    <w:p w14:paraId="663C9596">
      <w:pPr>
        <w:pageBreakBefore w:val="0"/>
        <w:wordWrap w:val="0"/>
        <w:overflowPunct/>
        <w:spacing w:after="240" w:afterLines="100"/>
        <w:jc w:val="center"/>
        <w:outlineLvl w:val="1"/>
        <w:rPr>
          <w:rFonts w:hint="eastAsia" w:ascii="宋体" w:hAnsi="宋体" w:cs="宋体"/>
          <w:b/>
          <w:color w:val="auto"/>
          <w:kern w:val="1"/>
          <w:sz w:val="30"/>
          <w:szCs w:val="30"/>
          <w:highlight w:val="none"/>
          <w:lang w:val="en-US" w:eastAsia="zh-CN" w:bidi="ar"/>
        </w:rPr>
      </w:pPr>
    </w:p>
    <w:p w14:paraId="02A732D6">
      <w:pPr>
        <w:pageBreakBefore w:val="0"/>
        <w:wordWrap w:val="0"/>
        <w:overflowPunct/>
        <w:spacing w:after="240" w:afterLines="100"/>
        <w:jc w:val="center"/>
        <w:outlineLvl w:val="1"/>
        <w:rPr>
          <w:rFonts w:hint="eastAsia" w:ascii="宋体" w:hAnsi="宋体" w:cs="宋体"/>
          <w:b/>
          <w:color w:val="auto"/>
          <w:kern w:val="1"/>
          <w:sz w:val="30"/>
          <w:szCs w:val="30"/>
          <w:highlight w:val="none"/>
          <w:lang w:val="en-US" w:eastAsia="zh-CN" w:bidi="ar"/>
        </w:rPr>
      </w:pPr>
    </w:p>
    <w:p w14:paraId="20D0570C">
      <w:pPr>
        <w:pageBreakBefore w:val="0"/>
        <w:wordWrap w:val="0"/>
        <w:overflowPunct/>
        <w:spacing w:after="240" w:afterLines="100"/>
        <w:jc w:val="center"/>
        <w:outlineLvl w:val="1"/>
        <w:rPr>
          <w:rFonts w:hint="eastAsia" w:ascii="宋体" w:hAnsi="宋体" w:cs="宋体"/>
          <w:b/>
          <w:color w:val="auto"/>
          <w:kern w:val="1"/>
          <w:sz w:val="30"/>
          <w:szCs w:val="30"/>
          <w:highlight w:val="none"/>
          <w:lang w:val="en-US" w:eastAsia="zh-CN" w:bidi="ar"/>
        </w:rPr>
      </w:pPr>
    </w:p>
    <w:p w14:paraId="41E9D245">
      <w:pPr>
        <w:pageBreakBefore w:val="0"/>
        <w:wordWrap w:val="0"/>
        <w:overflowPunct/>
        <w:spacing w:after="240" w:afterLines="100"/>
        <w:jc w:val="center"/>
        <w:outlineLvl w:val="1"/>
        <w:rPr>
          <w:rFonts w:hint="eastAsia" w:ascii="宋体" w:hAnsi="宋体" w:cs="宋体"/>
          <w:b/>
          <w:color w:val="auto"/>
          <w:kern w:val="1"/>
          <w:sz w:val="30"/>
          <w:szCs w:val="30"/>
          <w:highlight w:val="none"/>
          <w:lang w:val="en-US" w:eastAsia="zh-CN" w:bidi="ar"/>
        </w:rPr>
      </w:pPr>
    </w:p>
    <w:p w14:paraId="76CFE8D9">
      <w:pPr>
        <w:pageBreakBefore w:val="0"/>
        <w:wordWrap w:val="0"/>
        <w:overflowPunct/>
        <w:spacing w:after="240" w:afterLines="100"/>
        <w:jc w:val="center"/>
        <w:outlineLvl w:val="1"/>
        <w:rPr>
          <w:rFonts w:hint="eastAsia" w:ascii="宋体" w:hAnsi="宋体" w:cs="宋体"/>
          <w:b/>
          <w:color w:val="auto"/>
          <w:kern w:val="1"/>
          <w:sz w:val="30"/>
          <w:szCs w:val="30"/>
          <w:highlight w:val="none"/>
          <w:lang w:val="en-US" w:eastAsia="zh-CN" w:bidi="ar"/>
        </w:rPr>
      </w:pPr>
    </w:p>
    <w:p w14:paraId="24AD34C7">
      <w:pPr>
        <w:pageBreakBefore w:val="0"/>
        <w:wordWrap w:val="0"/>
        <w:overflowPunct/>
        <w:spacing w:after="240" w:afterLines="100"/>
        <w:jc w:val="both"/>
        <w:outlineLvl w:val="1"/>
        <w:rPr>
          <w:rFonts w:hint="eastAsia" w:ascii="宋体" w:hAnsi="宋体" w:cs="宋体"/>
          <w:b/>
          <w:color w:val="auto"/>
          <w:kern w:val="1"/>
          <w:sz w:val="30"/>
          <w:szCs w:val="30"/>
          <w:highlight w:val="none"/>
          <w:lang w:val="en-US" w:eastAsia="zh-CN" w:bidi="ar"/>
        </w:rPr>
      </w:pPr>
    </w:p>
    <w:p w14:paraId="61C98DBB">
      <w:pPr>
        <w:pageBreakBefore w:val="0"/>
        <w:wordWrap w:val="0"/>
        <w:overflowPunct/>
        <w:spacing w:after="240" w:afterLines="100"/>
        <w:jc w:val="center"/>
        <w:outlineLvl w:val="1"/>
        <w:rPr>
          <w:rFonts w:hint="eastAsia" w:ascii="宋体" w:hAnsi="宋体" w:eastAsia="宋体" w:cs="宋体"/>
          <w:color w:val="auto"/>
          <w:sz w:val="30"/>
          <w:szCs w:val="30"/>
          <w:highlight w:val="none"/>
          <w:u w:val="single"/>
        </w:rPr>
      </w:pPr>
      <w:r>
        <w:rPr>
          <w:rFonts w:hint="eastAsia" w:ascii="宋体" w:hAnsi="宋体" w:cs="宋体"/>
          <w:b/>
          <w:color w:val="auto"/>
          <w:kern w:val="1"/>
          <w:sz w:val="30"/>
          <w:szCs w:val="30"/>
          <w:highlight w:val="none"/>
          <w:lang w:val="en-US" w:eastAsia="zh-CN" w:bidi="ar"/>
        </w:rPr>
        <w:t>九</w:t>
      </w:r>
      <w:r>
        <w:rPr>
          <w:rFonts w:hint="eastAsia" w:ascii="宋体" w:hAnsi="宋体" w:eastAsia="宋体" w:cs="宋体"/>
          <w:b/>
          <w:color w:val="auto"/>
          <w:kern w:val="1"/>
          <w:sz w:val="30"/>
          <w:szCs w:val="30"/>
          <w:highlight w:val="none"/>
          <w:lang w:bidi="ar"/>
        </w:rPr>
        <w:t>、</w:t>
      </w:r>
      <w:bookmarkEnd w:id="916"/>
      <w:r>
        <w:rPr>
          <w:rFonts w:hint="eastAsia" w:ascii="宋体" w:hAnsi="宋体" w:eastAsia="宋体" w:cs="宋体"/>
          <w:b/>
          <w:color w:val="auto"/>
          <w:sz w:val="30"/>
          <w:szCs w:val="30"/>
          <w:highlight w:val="none"/>
          <w:lang w:eastAsia="zh-CN"/>
        </w:rPr>
        <w:t>近三年已完成的类似项目情况表</w:t>
      </w:r>
      <w:bookmarkEnd w:id="917"/>
      <w:bookmarkEnd w:id="918"/>
      <w:bookmarkEnd w:id="919"/>
    </w:p>
    <w:tbl>
      <w:tblPr>
        <w:tblStyle w:val="29"/>
        <w:tblW w:w="87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117"/>
        <w:gridCol w:w="1520"/>
        <w:gridCol w:w="1521"/>
        <w:gridCol w:w="1520"/>
        <w:gridCol w:w="1520"/>
        <w:gridCol w:w="1521"/>
      </w:tblGrid>
      <w:tr w14:paraId="462910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46" w:hRule="atLeast"/>
          <w:jc w:val="center"/>
        </w:trPr>
        <w:tc>
          <w:tcPr>
            <w:tcW w:w="1117" w:type="dxa"/>
            <w:tcBorders>
              <w:top w:val="single" w:color="auto" w:sz="4" w:space="0"/>
            </w:tcBorders>
            <w:vAlign w:val="center"/>
          </w:tcPr>
          <w:p w14:paraId="4434CAC8">
            <w:pPr>
              <w:pageBreakBefore w:val="0"/>
              <w:wordWrap w:val="0"/>
              <w:overflowPunct/>
              <w:spacing w:line="400" w:lineRule="exact"/>
              <w:ind w:firstLine="120" w:firstLineChars="5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520" w:type="dxa"/>
            <w:vAlign w:val="center"/>
          </w:tcPr>
          <w:p w14:paraId="5B1EEFC5">
            <w:pPr>
              <w:pageBreakBefore w:val="0"/>
              <w:wordWrap w:val="0"/>
              <w:overflowPunct/>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1521" w:type="dxa"/>
            <w:vAlign w:val="center"/>
          </w:tcPr>
          <w:p w14:paraId="57BA8250">
            <w:pPr>
              <w:pageBreakBefore w:val="0"/>
              <w:wordWrap w:val="0"/>
              <w:overflowPunct/>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名称</w:t>
            </w:r>
          </w:p>
        </w:tc>
        <w:tc>
          <w:tcPr>
            <w:tcW w:w="1520" w:type="dxa"/>
            <w:vAlign w:val="center"/>
          </w:tcPr>
          <w:p w14:paraId="18750ADB">
            <w:pPr>
              <w:pageBreakBefore w:val="0"/>
              <w:wordWrap w:val="0"/>
              <w:overflowPunct/>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完成时间</w:t>
            </w:r>
          </w:p>
        </w:tc>
        <w:tc>
          <w:tcPr>
            <w:tcW w:w="1520" w:type="dxa"/>
            <w:vAlign w:val="center"/>
          </w:tcPr>
          <w:p w14:paraId="28907A0B">
            <w:pPr>
              <w:pageBreakBefore w:val="0"/>
              <w:wordWrap w:val="0"/>
              <w:overflowPunct/>
              <w:spacing w:line="400" w:lineRule="exact"/>
              <w:ind w:firstLine="120" w:firstLineChars="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合同金额</w:t>
            </w:r>
          </w:p>
        </w:tc>
        <w:tc>
          <w:tcPr>
            <w:tcW w:w="1521" w:type="dxa"/>
            <w:tcBorders>
              <w:left w:val="single" w:color="auto" w:sz="4" w:space="0"/>
            </w:tcBorders>
            <w:vAlign w:val="center"/>
          </w:tcPr>
          <w:p w14:paraId="2724D9B1">
            <w:pPr>
              <w:pageBreakBefore w:val="0"/>
              <w:wordWrap w:val="0"/>
              <w:overflowPunc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   备注</w:t>
            </w:r>
          </w:p>
        </w:tc>
      </w:tr>
      <w:tr w14:paraId="0CEF39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vAlign w:val="center"/>
          </w:tcPr>
          <w:p w14:paraId="153E9890">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76098EDF">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vAlign w:val="center"/>
          </w:tcPr>
          <w:p w14:paraId="2C88A2D6">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3D58C8E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637FDD0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left w:val="single" w:color="auto" w:sz="4" w:space="0"/>
            </w:tcBorders>
            <w:vAlign w:val="center"/>
          </w:tcPr>
          <w:p w14:paraId="7DF9DDEC">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657F1E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vAlign w:val="center"/>
          </w:tcPr>
          <w:p w14:paraId="7BF4A609">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4958DD61">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vAlign w:val="center"/>
          </w:tcPr>
          <w:p w14:paraId="53099745">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2CD26AB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63DB8D9D">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left w:val="single" w:color="auto" w:sz="4" w:space="0"/>
            </w:tcBorders>
            <w:vAlign w:val="center"/>
          </w:tcPr>
          <w:p w14:paraId="59C6FBB3">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44478A2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vAlign w:val="center"/>
          </w:tcPr>
          <w:p w14:paraId="7BE55F6D">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1E7441C8">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vAlign w:val="center"/>
          </w:tcPr>
          <w:p w14:paraId="05DD0A7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459AB861">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47311195">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left w:val="single" w:color="auto" w:sz="4" w:space="0"/>
            </w:tcBorders>
            <w:vAlign w:val="center"/>
          </w:tcPr>
          <w:p w14:paraId="7B5F3699">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2B486A7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vAlign w:val="center"/>
          </w:tcPr>
          <w:p w14:paraId="1EE8309F">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right w:val="single" w:color="auto" w:sz="4" w:space="0"/>
            </w:tcBorders>
            <w:vAlign w:val="center"/>
          </w:tcPr>
          <w:p w14:paraId="1920C42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left w:val="single" w:color="auto" w:sz="4" w:space="0"/>
            </w:tcBorders>
            <w:vAlign w:val="center"/>
          </w:tcPr>
          <w:p w14:paraId="6C2A3C03">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61760014">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1E70F518">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left w:val="single" w:color="auto" w:sz="4" w:space="0"/>
            </w:tcBorders>
            <w:vAlign w:val="center"/>
          </w:tcPr>
          <w:p w14:paraId="7FCF6E93">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70BBAD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tcBorders>
              <w:right w:val="single" w:color="auto" w:sz="4" w:space="0"/>
            </w:tcBorders>
            <w:vAlign w:val="center"/>
          </w:tcPr>
          <w:p w14:paraId="1FE932E1">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left w:val="single" w:color="auto" w:sz="4" w:space="0"/>
              <w:right w:val="single" w:color="auto" w:sz="4" w:space="0"/>
            </w:tcBorders>
            <w:vAlign w:val="center"/>
          </w:tcPr>
          <w:p w14:paraId="566A774D">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left w:val="single" w:color="auto" w:sz="4" w:space="0"/>
              <w:right w:val="single" w:color="auto" w:sz="4" w:space="0"/>
            </w:tcBorders>
            <w:vAlign w:val="center"/>
          </w:tcPr>
          <w:p w14:paraId="574ADD35">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left w:val="single" w:color="auto" w:sz="4" w:space="0"/>
              <w:right w:val="single" w:color="auto" w:sz="4" w:space="0"/>
            </w:tcBorders>
            <w:vAlign w:val="center"/>
          </w:tcPr>
          <w:p w14:paraId="7C0F25FF">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left w:val="single" w:color="auto" w:sz="4" w:space="0"/>
              <w:right w:val="single" w:color="auto" w:sz="4" w:space="0"/>
            </w:tcBorders>
            <w:vAlign w:val="center"/>
          </w:tcPr>
          <w:p w14:paraId="468D31E0">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left w:val="single" w:color="auto" w:sz="4" w:space="0"/>
            </w:tcBorders>
            <w:vAlign w:val="center"/>
          </w:tcPr>
          <w:p w14:paraId="63093EDC">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3387F44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vAlign w:val="center"/>
          </w:tcPr>
          <w:p w14:paraId="02B6F11E">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7CA6BC8E">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vAlign w:val="center"/>
          </w:tcPr>
          <w:p w14:paraId="5ADDFF76">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4A30CB81">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right w:val="single" w:color="auto" w:sz="4" w:space="0"/>
            </w:tcBorders>
            <w:vAlign w:val="center"/>
          </w:tcPr>
          <w:p w14:paraId="14EBC98A">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left w:val="single" w:color="auto" w:sz="4" w:space="0"/>
            </w:tcBorders>
            <w:vAlign w:val="center"/>
          </w:tcPr>
          <w:p w14:paraId="5D3BA5E8">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02EADE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vAlign w:val="center"/>
          </w:tcPr>
          <w:p w14:paraId="328451D5">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7D71D6A1">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vAlign w:val="center"/>
          </w:tcPr>
          <w:p w14:paraId="78E70E08">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1B97C599">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right w:val="single" w:color="auto" w:sz="4" w:space="0"/>
            </w:tcBorders>
            <w:vAlign w:val="center"/>
          </w:tcPr>
          <w:p w14:paraId="54BE2C5B">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left w:val="single" w:color="auto" w:sz="4" w:space="0"/>
            </w:tcBorders>
            <w:vAlign w:val="center"/>
          </w:tcPr>
          <w:p w14:paraId="0E9CF48B">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1D52BE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vAlign w:val="center"/>
          </w:tcPr>
          <w:p w14:paraId="3ED42418">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39A3CD32">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vAlign w:val="center"/>
          </w:tcPr>
          <w:p w14:paraId="7D819268">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vAlign w:val="center"/>
          </w:tcPr>
          <w:p w14:paraId="1B7A9F15">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right w:val="single" w:color="auto" w:sz="4" w:space="0"/>
            </w:tcBorders>
            <w:vAlign w:val="center"/>
          </w:tcPr>
          <w:p w14:paraId="15BA4098">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left w:val="single" w:color="auto" w:sz="4" w:space="0"/>
            </w:tcBorders>
            <w:vAlign w:val="center"/>
          </w:tcPr>
          <w:p w14:paraId="53CA094D">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1A91F6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76" w:hRule="atLeast"/>
          <w:jc w:val="center"/>
        </w:trPr>
        <w:tc>
          <w:tcPr>
            <w:tcW w:w="1117" w:type="dxa"/>
            <w:tcBorders>
              <w:bottom w:val="single" w:color="auto" w:sz="4" w:space="0"/>
            </w:tcBorders>
            <w:vAlign w:val="center"/>
          </w:tcPr>
          <w:p w14:paraId="1297DC0E">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bottom w:val="single" w:color="auto" w:sz="4" w:space="0"/>
            </w:tcBorders>
            <w:vAlign w:val="center"/>
          </w:tcPr>
          <w:p w14:paraId="162471BD">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bottom w:val="single" w:color="auto" w:sz="4" w:space="0"/>
            </w:tcBorders>
            <w:vAlign w:val="center"/>
          </w:tcPr>
          <w:p w14:paraId="0B4AFE8E">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bottom w:val="single" w:color="auto" w:sz="4" w:space="0"/>
            </w:tcBorders>
            <w:vAlign w:val="center"/>
          </w:tcPr>
          <w:p w14:paraId="23DA91F6">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bottom w:val="single" w:color="auto" w:sz="4" w:space="0"/>
              <w:right w:val="single" w:color="auto" w:sz="4" w:space="0"/>
            </w:tcBorders>
            <w:vAlign w:val="center"/>
          </w:tcPr>
          <w:p w14:paraId="72D8A6A1">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left w:val="single" w:color="auto" w:sz="4" w:space="0"/>
              <w:bottom w:val="single" w:color="auto" w:sz="4" w:space="0"/>
            </w:tcBorders>
            <w:vAlign w:val="center"/>
          </w:tcPr>
          <w:p w14:paraId="080C3B52">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157890C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9" w:hRule="atLeast"/>
          <w:jc w:val="center"/>
        </w:trPr>
        <w:tc>
          <w:tcPr>
            <w:tcW w:w="1117" w:type="dxa"/>
            <w:tcBorders>
              <w:top w:val="single" w:color="auto" w:sz="4" w:space="0"/>
              <w:bottom w:val="single" w:color="auto" w:sz="4" w:space="0"/>
            </w:tcBorders>
            <w:vAlign w:val="center"/>
          </w:tcPr>
          <w:p w14:paraId="4CA7C301">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bottom w:val="single" w:color="auto" w:sz="4" w:space="0"/>
            </w:tcBorders>
            <w:vAlign w:val="center"/>
          </w:tcPr>
          <w:p w14:paraId="48608A9D">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top w:val="single" w:color="auto" w:sz="4" w:space="0"/>
              <w:bottom w:val="single" w:color="auto" w:sz="4" w:space="0"/>
            </w:tcBorders>
            <w:vAlign w:val="center"/>
          </w:tcPr>
          <w:p w14:paraId="16A5EC3A">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bottom w:val="single" w:color="auto" w:sz="4" w:space="0"/>
            </w:tcBorders>
            <w:vAlign w:val="center"/>
          </w:tcPr>
          <w:p w14:paraId="6CC31F5E">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bottom w:val="single" w:color="auto" w:sz="4" w:space="0"/>
              <w:right w:val="single" w:color="auto" w:sz="4" w:space="0"/>
            </w:tcBorders>
            <w:vAlign w:val="center"/>
          </w:tcPr>
          <w:p w14:paraId="0F80648A">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top w:val="single" w:color="auto" w:sz="4" w:space="0"/>
              <w:left w:val="single" w:color="auto" w:sz="4" w:space="0"/>
              <w:bottom w:val="single" w:color="auto" w:sz="4" w:space="0"/>
            </w:tcBorders>
            <w:vAlign w:val="center"/>
          </w:tcPr>
          <w:p w14:paraId="1FDC269C">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79B48C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9" w:hRule="atLeast"/>
          <w:jc w:val="center"/>
        </w:trPr>
        <w:tc>
          <w:tcPr>
            <w:tcW w:w="1117" w:type="dxa"/>
            <w:tcBorders>
              <w:top w:val="single" w:color="auto" w:sz="4" w:space="0"/>
              <w:bottom w:val="single" w:color="auto" w:sz="4" w:space="0"/>
            </w:tcBorders>
            <w:vAlign w:val="center"/>
          </w:tcPr>
          <w:p w14:paraId="220A5EA5">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bottom w:val="single" w:color="auto" w:sz="4" w:space="0"/>
            </w:tcBorders>
            <w:vAlign w:val="center"/>
          </w:tcPr>
          <w:p w14:paraId="28FF1109">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top w:val="single" w:color="auto" w:sz="4" w:space="0"/>
              <w:bottom w:val="single" w:color="auto" w:sz="4" w:space="0"/>
            </w:tcBorders>
            <w:vAlign w:val="center"/>
          </w:tcPr>
          <w:p w14:paraId="3C6F7C02">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bottom w:val="single" w:color="auto" w:sz="4" w:space="0"/>
            </w:tcBorders>
            <w:vAlign w:val="center"/>
          </w:tcPr>
          <w:p w14:paraId="4E01D42D">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bottom w:val="single" w:color="auto" w:sz="4" w:space="0"/>
              <w:right w:val="single" w:color="auto" w:sz="4" w:space="0"/>
            </w:tcBorders>
            <w:vAlign w:val="center"/>
          </w:tcPr>
          <w:p w14:paraId="1503AFD3">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top w:val="single" w:color="auto" w:sz="4" w:space="0"/>
              <w:left w:val="single" w:color="auto" w:sz="4" w:space="0"/>
              <w:bottom w:val="single" w:color="auto" w:sz="4" w:space="0"/>
            </w:tcBorders>
            <w:vAlign w:val="center"/>
          </w:tcPr>
          <w:p w14:paraId="471E1971">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482719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14" w:hRule="atLeast"/>
          <w:jc w:val="center"/>
        </w:trPr>
        <w:tc>
          <w:tcPr>
            <w:tcW w:w="1117" w:type="dxa"/>
            <w:tcBorders>
              <w:top w:val="single" w:color="auto" w:sz="4" w:space="0"/>
              <w:bottom w:val="single" w:color="auto" w:sz="4" w:space="0"/>
            </w:tcBorders>
            <w:vAlign w:val="center"/>
          </w:tcPr>
          <w:p w14:paraId="0297DF2F">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bottom w:val="single" w:color="auto" w:sz="4" w:space="0"/>
            </w:tcBorders>
            <w:vAlign w:val="center"/>
          </w:tcPr>
          <w:p w14:paraId="1B81A49F">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top w:val="single" w:color="auto" w:sz="4" w:space="0"/>
              <w:bottom w:val="single" w:color="auto" w:sz="4" w:space="0"/>
            </w:tcBorders>
            <w:vAlign w:val="center"/>
          </w:tcPr>
          <w:p w14:paraId="15261B06">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bottom w:val="single" w:color="auto" w:sz="4" w:space="0"/>
            </w:tcBorders>
            <w:vAlign w:val="center"/>
          </w:tcPr>
          <w:p w14:paraId="18FA76CD">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bottom w:val="single" w:color="auto" w:sz="4" w:space="0"/>
              <w:right w:val="single" w:color="auto" w:sz="4" w:space="0"/>
            </w:tcBorders>
            <w:vAlign w:val="center"/>
          </w:tcPr>
          <w:p w14:paraId="366F99CE">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top w:val="single" w:color="auto" w:sz="4" w:space="0"/>
              <w:left w:val="single" w:color="auto" w:sz="4" w:space="0"/>
              <w:bottom w:val="single" w:color="auto" w:sz="4" w:space="0"/>
            </w:tcBorders>
            <w:vAlign w:val="center"/>
          </w:tcPr>
          <w:p w14:paraId="2996150A">
            <w:pPr>
              <w:pageBreakBefore w:val="0"/>
              <w:wordWrap w:val="0"/>
              <w:overflowPunct/>
              <w:spacing w:line="400" w:lineRule="exact"/>
              <w:jc w:val="center"/>
              <w:rPr>
                <w:rFonts w:hint="eastAsia" w:ascii="宋体" w:hAnsi="宋体" w:eastAsia="宋体" w:cs="宋体"/>
                <w:bCs/>
                <w:color w:val="auto"/>
                <w:sz w:val="24"/>
                <w:szCs w:val="24"/>
                <w:highlight w:val="none"/>
              </w:rPr>
            </w:pPr>
          </w:p>
        </w:tc>
      </w:tr>
      <w:tr w14:paraId="076C29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19" w:hRule="atLeast"/>
          <w:jc w:val="center"/>
        </w:trPr>
        <w:tc>
          <w:tcPr>
            <w:tcW w:w="1117" w:type="dxa"/>
            <w:tcBorders>
              <w:top w:val="single" w:color="auto" w:sz="4" w:space="0"/>
            </w:tcBorders>
            <w:vAlign w:val="center"/>
          </w:tcPr>
          <w:p w14:paraId="008E3A3C">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tcBorders>
            <w:vAlign w:val="center"/>
          </w:tcPr>
          <w:p w14:paraId="52BF1A70">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top w:val="single" w:color="auto" w:sz="4" w:space="0"/>
            </w:tcBorders>
            <w:vAlign w:val="center"/>
          </w:tcPr>
          <w:p w14:paraId="64749558">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tcBorders>
            <w:vAlign w:val="center"/>
          </w:tcPr>
          <w:p w14:paraId="12DA0EB5">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0" w:type="dxa"/>
            <w:tcBorders>
              <w:top w:val="single" w:color="auto" w:sz="4" w:space="0"/>
              <w:right w:val="single" w:color="auto" w:sz="4" w:space="0"/>
            </w:tcBorders>
            <w:vAlign w:val="center"/>
          </w:tcPr>
          <w:p w14:paraId="6EAF994F">
            <w:pPr>
              <w:pageBreakBefore w:val="0"/>
              <w:wordWrap w:val="0"/>
              <w:overflowPunct/>
              <w:spacing w:line="400" w:lineRule="exact"/>
              <w:jc w:val="center"/>
              <w:rPr>
                <w:rFonts w:hint="eastAsia" w:ascii="宋体" w:hAnsi="宋体" w:eastAsia="宋体" w:cs="宋体"/>
                <w:bCs/>
                <w:color w:val="auto"/>
                <w:sz w:val="24"/>
                <w:szCs w:val="24"/>
                <w:highlight w:val="none"/>
              </w:rPr>
            </w:pPr>
          </w:p>
        </w:tc>
        <w:tc>
          <w:tcPr>
            <w:tcW w:w="1521" w:type="dxa"/>
            <w:tcBorders>
              <w:top w:val="single" w:color="auto" w:sz="4" w:space="0"/>
              <w:left w:val="single" w:color="auto" w:sz="4" w:space="0"/>
            </w:tcBorders>
            <w:vAlign w:val="center"/>
          </w:tcPr>
          <w:p w14:paraId="6433B0D3">
            <w:pPr>
              <w:pageBreakBefore w:val="0"/>
              <w:wordWrap w:val="0"/>
              <w:overflowPunct/>
              <w:spacing w:line="400" w:lineRule="exact"/>
              <w:jc w:val="center"/>
              <w:rPr>
                <w:rFonts w:hint="eastAsia" w:ascii="宋体" w:hAnsi="宋体" w:eastAsia="宋体" w:cs="宋体"/>
                <w:bCs/>
                <w:color w:val="auto"/>
                <w:sz w:val="24"/>
                <w:szCs w:val="24"/>
                <w:highlight w:val="none"/>
              </w:rPr>
            </w:pPr>
          </w:p>
        </w:tc>
      </w:tr>
    </w:tbl>
    <w:p w14:paraId="494A3D60">
      <w:pPr>
        <w:keepNext w:val="0"/>
        <w:keepLines w:val="0"/>
        <w:pageBreakBefore w:val="0"/>
        <w:widowControl w:val="0"/>
        <w:kinsoku/>
        <w:wordWrap w:val="0"/>
        <w:overflowPunct/>
        <w:topLinePunct w:val="0"/>
        <w:autoSpaceDE/>
        <w:autoSpaceDN/>
        <w:bidi w:val="0"/>
        <w:adjustRightInd/>
        <w:snapToGrid/>
        <w:spacing w:before="120" w:beforeLines="50"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近</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年是指</w:t>
      </w:r>
      <w:r>
        <w:rPr>
          <w:rFonts w:hint="eastAsia" w:ascii="宋体" w:hAnsi="宋体" w:cs="宋体"/>
          <w:color w:val="auto"/>
          <w:sz w:val="24"/>
          <w:szCs w:val="24"/>
          <w:highlight w:val="none"/>
          <w:lang w:val="en-US" w:eastAsia="zh-CN"/>
        </w:rPr>
        <w:t>2022</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01</w:t>
      </w:r>
      <w:r>
        <w:rPr>
          <w:rFonts w:hint="eastAsia" w:ascii="宋体" w:hAnsi="宋体" w:eastAsia="宋体" w:cs="宋体"/>
          <w:color w:val="auto"/>
          <w:sz w:val="24"/>
          <w:szCs w:val="24"/>
          <w:highlight w:val="none"/>
          <w:lang w:eastAsia="zh-CN"/>
        </w:rPr>
        <w:t>月至今</w:t>
      </w:r>
      <w:r>
        <w:rPr>
          <w:rFonts w:hint="eastAsia" w:ascii="宋体" w:hAnsi="宋体" w:eastAsia="宋体" w:cs="宋体"/>
          <w:color w:val="auto"/>
          <w:sz w:val="24"/>
          <w:szCs w:val="24"/>
          <w:highlight w:val="none"/>
          <w:lang w:val="en-US" w:eastAsia="zh-CN"/>
        </w:rPr>
        <w:t>。</w:t>
      </w:r>
    </w:p>
    <w:p w14:paraId="09DD011F">
      <w:pPr>
        <w:pageBreakBefore w:val="0"/>
        <w:wordWrap w:val="0"/>
        <w:overflowPunct/>
        <w:spacing w:line="480" w:lineRule="exact"/>
        <w:ind w:firstLine="960" w:firstLineChars="400"/>
        <w:jc w:val="both"/>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本表后附</w:t>
      </w:r>
      <w:r>
        <w:rPr>
          <w:rFonts w:hint="eastAsia" w:ascii="宋体" w:hAnsi="宋体" w:eastAsia="宋体" w:cs="宋体"/>
          <w:color w:val="auto"/>
          <w:sz w:val="24"/>
          <w:szCs w:val="24"/>
          <w:highlight w:val="none"/>
          <w:lang w:val="zh-CN"/>
        </w:rPr>
        <w:t>中标（成交）通知书或合同协议书</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扫描件</w:t>
      </w:r>
      <w:r>
        <w:rPr>
          <w:rFonts w:hint="eastAsia" w:ascii="宋体" w:hAnsi="宋体" w:eastAsia="宋体" w:cs="宋体"/>
          <w:color w:val="auto"/>
          <w:sz w:val="24"/>
          <w:szCs w:val="24"/>
          <w:highlight w:val="none"/>
        </w:rPr>
        <w:t>。</w:t>
      </w:r>
    </w:p>
    <w:p w14:paraId="1C2831C3">
      <w:pPr>
        <w:widowControl/>
        <w:spacing w:line="600" w:lineRule="exact"/>
        <w:jc w:val="center"/>
        <w:rPr>
          <w:rFonts w:hint="eastAsia" w:ascii="宋体" w:hAnsi="宋体" w:eastAsia="宋体" w:cs="宋体"/>
          <w:color w:val="auto"/>
          <w:sz w:val="24"/>
          <w:highlight w:val="none"/>
        </w:rPr>
      </w:pPr>
    </w:p>
    <w:p w14:paraId="2CB99604">
      <w:pPr>
        <w:spacing w:line="600" w:lineRule="exact"/>
        <w:ind w:right="15" w:rightChars="7"/>
        <w:jc w:val="center"/>
        <w:outlineLvl w:val="9"/>
        <w:rPr>
          <w:rFonts w:hint="eastAsia" w:ascii="宋体" w:hAnsi="宋体" w:eastAsia="宋体" w:cs="宋体"/>
          <w:b/>
          <w:color w:val="auto"/>
          <w:kern w:val="1"/>
          <w:sz w:val="30"/>
          <w:szCs w:val="30"/>
          <w:highlight w:val="none"/>
          <w:lang w:bidi="ar"/>
        </w:rPr>
      </w:pPr>
    </w:p>
    <w:p w14:paraId="4B10651A">
      <w:pPr>
        <w:spacing w:line="600" w:lineRule="exact"/>
        <w:ind w:right="15" w:rightChars="7"/>
        <w:jc w:val="center"/>
        <w:outlineLvl w:val="9"/>
        <w:rPr>
          <w:rFonts w:hint="eastAsia" w:ascii="宋体" w:hAnsi="宋体" w:eastAsia="宋体" w:cs="宋体"/>
          <w:b/>
          <w:color w:val="auto"/>
          <w:kern w:val="1"/>
          <w:sz w:val="30"/>
          <w:szCs w:val="30"/>
          <w:highlight w:val="none"/>
          <w:lang w:bidi="ar"/>
        </w:rPr>
      </w:pPr>
    </w:p>
    <w:p w14:paraId="74E13A41">
      <w:pPr>
        <w:spacing w:line="600" w:lineRule="exact"/>
        <w:ind w:right="15" w:rightChars="7"/>
        <w:jc w:val="center"/>
        <w:outlineLvl w:val="9"/>
        <w:rPr>
          <w:rFonts w:hint="eastAsia" w:ascii="宋体" w:hAnsi="宋体" w:eastAsia="宋体" w:cs="宋体"/>
          <w:b/>
          <w:color w:val="auto"/>
          <w:kern w:val="1"/>
          <w:sz w:val="30"/>
          <w:szCs w:val="30"/>
          <w:highlight w:val="none"/>
          <w:lang w:bidi="ar"/>
        </w:rPr>
      </w:pPr>
    </w:p>
    <w:p w14:paraId="46E54604">
      <w:pPr>
        <w:spacing w:line="600" w:lineRule="exact"/>
        <w:ind w:right="15" w:rightChars="7"/>
        <w:jc w:val="center"/>
        <w:outlineLvl w:val="9"/>
        <w:rPr>
          <w:rFonts w:hint="eastAsia" w:ascii="宋体" w:hAnsi="宋体" w:eastAsia="宋体" w:cs="宋体"/>
          <w:b/>
          <w:color w:val="auto"/>
          <w:kern w:val="1"/>
          <w:sz w:val="30"/>
          <w:szCs w:val="30"/>
          <w:highlight w:val="none"/>
          <w:lang w:bidi="ar"/>
        </w:rPr>
      </w:pPr>
    </w:p>
    <w:p w14:paraId="0BDBAF5E">
      <w:pPr>
        <w:spacing w:line="600" w:lineRule="exact"/>
        <w:ind w:right="15" w:rightChars="7"/>
        <w:jc w:val="center"/>
        <w:outlineLvl w:val="9"/>
        <w:rPr>
          <w:rFonts w:hint="eastAsia" w:ascii="宋体" w:hAnsi="宋体" w:eastAsia="宋体" w:cs="宋体"/>
          <w:b/>
          <w:color w:val="auto"/>
          <w:kern w:val="1"/>
          <w:sz w:val="30"/>
          <w:szCs w:val="30"/>
          <w:highlight w:val="none"/>
          <w:lang w:bidi="ar"/>
        </w:rPr>
      </w:pPr>
    </w:p>
    <w:p w14:paraId="7390AE7B">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color w:val="auto"/>
          <w:kern w:val="1"/>
          <w:sz w:val="30"/>
          <w:szCs w:val="30"/>
          <w:highlight w:val="none"/>
          <w:lang w:bidi="ar"/>
        </w:rPr>
      </w:pPr>
    </w:p>
    <w:p w14:paraId="424B1C65">
      <w:pPr>
        <w:pStyle w:val="4"/>
        <w:widowControl/>
        <w:tabs>
          <w:tab w:val="left" w:pos="576"/>
        </w:tabs>
        <w:spacing w:before="240"/>
        <w:ind w:left="576" w:right="107" w:rightChars="51"/>
        <w:jc w:val="center"/>
        <w:rPr>
          <w:rFonts w:hint="eastAsia" w:ascii="宋体" w:hAnsi="宋体" w:eastAsia="宋体" w:cs="宋体"/>
          <w:color w:val="auto"/>
          <w:sz w:val="30"/>
          <w:szCs w:val="30"/>
          <w:highlight w:val="none"/>
          <w:lang w:val="zh-CN"/>
        </w:rPr>
      </w:pPr>
      <w:bookmarkStart w:id="920" w:name="_Toc21846"/>
      <w:bookmarkStart w:id="921" w:name="_Toc24131"/>
      <w:bookmarkStart w:id="922" w:name="_Toc15656"/>
      <w:bookmarkStart w:id="923" w:name="_Toc23903"/>
      <w:bookmarkStart w:id="924" w:name="_Toc13924"/>
      <w:r>
        <w:rPr>
          <w:rFonts w:hint="eastAsia" w:ascii="宋体" w:hAnsi="宋体" w:eastAsia="宋体" w:cs="宋体"/>
          <w:color w:val="auto"/>
          <w:kern w:val="0"/>
          <w:sz w:val="28"/>
          <w:szCs w:val="28"/>
          <w:highlight w:val="none"/>
          <w:lang w:val="en-US" w:eastAsia="zh-CN"/>
        </w:rPr>
        <w:t>十</w:t>
      </w:r>
      <w:r>
        <w:rPr>
          <w:rFonts w:hint="eastAsia" w:ascii="宋体" w:hAnsi="宋体" w:eastAsia="宋体" w:cs="宋体"/>
          <w:color w:val="auto"/>
          <w:kern w:val="0"/>
          <w:sz w:val="28"/>
          <w:szCs w:val="28"/>
          <w:highlight w:val="none"/>
        </w:rPr>
        <w:t>、</w:t>
      </w:r>
      <w:r>
        <w:rPr>
          <w:rFonts w:hint="eastAsia" w:ascii="宋体" w:hAnsi="宋体" w:eastAsia="宋体" w:cs="宋体"/>
          <w:color w:val="auto"/>
          <w:sz w:val="30"/>
          <w:szCs w:val="30"/>
          <w:highlight w:val="none"/>
          <w:lang w:val="zh-CN"/>
        </w:rPr>
        <w:t>已标价工程量清单</w:t>
      </w:r>
      <w:bookmarkEnd w:id="920"/>
      <w:bookmarkEnd w:id="921"/>
      <w:bookmarkEnd w:id="922"/>
    </w:p>
    <w:p w14:paraId="2CBA3BEF">
      <w:pPr>
        <w:spacing w:line="500" w:lineRule="exact"/>
        <w:ind w:left="0" w:leftChars="0" w:right="0" w:rightChars="0" w:firstLine="0" w:firstLineChars="0"/>
        <w:jc w:val="center"/>
        <w:rPr>
          <w:rFonts w:hint="eastAsia" w:ascii="宋体" w:hAnsi="宋体" w:eastAsia="宋体" w:cs="宋体"/>
          <w:color w:val="auto"/>
          <w:kern w:val="1"/>
          <w:sz w:val="24"/>
          <w:highlight w:val="none"/>
          <w:lang w:bidi="ar"/>
        </w:rPr>
      </w:pPr>
      <w:r>
        <w:rPr>
          <w:rFonts w:hint="eastAsia" w:ascii="宋体" w:hAnsi="宋体" w:eastAsia="宋体" w:cs="宋体"/>
          <w:color w:val="auto"/>
          <w:kern w:val="1"/>
          <w:sz w:val="24"/>
          <w:highlight w:val="none"/>
          <w:lang w:bidi="ar"/>
        </w:rPr>
        <w:t>（本项无固定格式，具体格式以供应商所用软件打印输出为准。）</w:t>
      </w:r>
    </w:p>
    <w:p w14:paraId="1DC93FC8">
      <w:pPr>
        <w:spacing w:line="500" w:lineRule="exact"/>
        <w:ind w:right="1189" w:rightChars="566"/>
        <w:rPr>
          <w:rFonts w:hint="eastAsia" w:ascii="宋体" w:hAnsi="宋体" w:eastAsia="宋体" w:cs="宋体"/>
          <w:color w:val="auto"/>
          <w:kern w:val="1"/>
          <w:sz w:val="24"/>
          <w:szCs w:val="22"/>
          <w:highlight w:val="none"/>
          <w:lang w:bidi="ar"/>
        </w:rPr>
      </w:pPr>
    </w:p>
    <w:p w14:paraId="7D9D8EF2">
      <w:pPr>
        <w:spacing w:line="500" w:lineRule="exact"/>
        <w:ind w:right="1189" w:rightChars="566"/>
        <w:rPr>
          <w:rFonts w:hint="eastAsia" w:ascii="宋体" w:hAnsi="宋体" w:eastAsia="宋体" w:cs="宋体"/>
          <w:color w:val="auto"/>
          <w:kern w:val="1"/>
          <w:sz w:val="24"/>
          <w:szCs w:val="22"/>
          <w:highlight w:val="none"/>
          <w:lang w:bidi="ar"/>
        </w:rPr>
      </w:pPr>
    </w:p>
    <w:p w14:paraId="5B8DB34D">
      <w:pPr>
        <w:spacing w:line="500" w:lineRule="exact"/>
        <w:ind w:right="1189" w:rightChars="566"/>
        <w:rPr>
          <w:rFonts w:hint="eastAsia" w:ascii="宋体" w:hAnsi="宋体" w:eastAsia="宋体" w:cs="宋体"/>
          <w:color w:val="auto"/>
          <w:kern w:val="1"/>
          <w:sz w:val="24"/>
          <w:szCs w:val="22"/>
          <w:highlight w:val="none"/>
          <w:lang w:bidi="ar"/>
        </w:rPr>
      </w:pPr>
    </w:p>
    <w:p w14:paraId="561D1241">
      <w:pPr>
        <w:spacing w:line="500" w:lineRule="exact"/>
        <w:ind w:right="1189" w:rightChars="566"/>
        <w:rPr>
          <w:rFonts w:hint="eastAsia" w:ascii="宋体" w:hAnsi="宋体" w:eastAsia="宋体" w:cs="宋体"/>
          <w:color w:val="auto"/>
          <w:kern w:val="1"/>
          <w:sz w:val="24"/>
          <w:szCs w:val="22"/>
          <w:highlight w:val="none"/>
          <w:lang w:bidi="ar"/>
        </w:rPr>
      </w:pPr>
    </w:p>
    <w:p w14:paraId="50219452">
      <w:pPr>
        <w:spacing w:line="500" w:lineRule="exact"/>
        <w:ind w:right="1189" w:rightChars="566"/>
        <w:rPr>
          <w:rFonts w:hint="eastAsia" w:ascii="宋体" w:hAnsi="宋体" w:eastAsia="宋体" w:cs="宋体"/>
          <w:color w:val="auto"/>
          <w:kern w:val="1"/>
          <w:sz w:val="24"/>
          <w:szCs w:val="22"/>
          <w:highlight w:val="none"/>
          <w:lang w:bidi="ar"/>
        </w:rPr>
      </w:pPr>
    </w:p>
    <w:p w14:paraId="1F99D1C0">
      <w:pPr>
        <w:spacing w:line="500" w:lineRule="exact"/>
        <w:ind w:right="1189" w:rightChars="566"/>
        <w:rPr>
          <w:rFonts w:hint="eastAsia" w:ascii="宋体" w:hAnsi="宋体" w:eastAsia="宋体" w:cs="宋体"/>
          <w:color w:val="auto"/>
          <w:kern w:val="1"/>
          <w:sz w:val="24"/>
          <w:szCs w:val="22"/>
          <w:highlight w:val="none"/>
          <w:lang w:bidi="ar"/>
        </w:rPr>
      </w:pPr>
    </w:p>
    <w:p w14:paraId="3371BCA2">
      <w:pPr>
        <w:spacing w:line="500" w:lineRule="exact"/>
        <w:ind w:right="1189" w:rightChars="566"/>
        <w:rPr>
          <w:rFonts w:hint="eastAsia" w:ascii="宋体" w:hAnsi="宋体" w:eastAsia="宋体" w:cs="宋体"/>
          <w:color w:val="auto"/>
          <w:kern w:val="1"/>
          <w:sz w:val="24"/>
          <w:szCs w:val="22"/>
          <w:highlight w:val="none"/>
          <w:lang w:bidi="ar"/>
        </w:rPr>
      </w:pPr>
    </w:p>
    <w:p w14:paraId="0156A64B">
      <w:pPr>
        <w:spacing w:line="500" w:lineRule="exact"/>
        <w:ind w:right="1189" w:rightChars="566"/>
        <w:rPr>
          <w:rFonts w:hint="eastAsia" w:ascii="宋体" w:hAnsi="宋体" w:eastAsia="宋体" w:cs="宋体"/>
          <w:color w:val="auto"/>
          <w:kern w:val="1"/>
          <w:sz w:val="24"/>
          <w:szCs w:val="22"/>
          <w:highlight w:val="none"/>
          <w:lang w:bidi="ar"/>
        </w:rPr>
      </w:pPr>
    </w:p>
    <w:p w14:paraId="0327E716">
      <w:pPr>
        <w:spacing w:line="500" w:lineRule="exact"/>
        <w:ind w:right="1189" w:rightChars="566"/>
        <w:rPr>
          <w:rFonts w:hint="eastAsia" w:ascii="宋体" w:hAnsi="宋体" w:eastAsia="宋体" w:cs="宋体"/>
          <w:color w:val="auto"/>
          <w:kern w:val="1"/>
          <w:sz w:val="24"/>
          <w:szCs w:val="22"/>
          <w:highlight w:val="none"/>
          <w:lang w:bidi="ar"/>
        </w:rPr>
      </w:pPr>
    </w:p>
    <w:p w14:paraId="2B90D636">
      <w:pPr>
        <w:spacing w:line="500" w:lineRule="exact"/>
        <w:ind w:right="1189" w:rightChars="566"/>
        <w:rPr>
          <w:rFonts w:hint="eastAsia" w:ascii="宋体" w:hAnsi="宋体" w:eastAsia="宋体" w:cs="宋体"/>
          <w:color w:val="auto"/>
          <w:kern w:val="1"/>
          <w:sz w:val="24"/>
          <w:szCs w:val="22"/>
          <w:highlight w:val="none"/>
          <w:lang w:bidi="ar"/>
        </w:rPr>
      </w:pPr>
    </w:p>
    <w:p w14:paraId="1317AD19">
      <w:pPr>
        <w:spacing w:line="500" w:lineRule="exact"/>
        <w:ind w:right="1189" w:rightChars="566"/>
        <w:rPr>
          <w:rFonts w:hint="eastAsia" w:ascii="宋体" w:hAnsi="宋体" w:eastAsia="宋体" w:cs="宋体"/>
          <w:color w:val="auto"/>
          <w:kern w:val="1"/>
          <w:sz w:val="24"/>
          <w:szCs w:val="22"/>
          <w:highlight w:val="none"/>
          <w:lang w:bidi="ar"/>
        </w:rPr>
      </w:pPr>
    </w:p>
    <w:p w14:paraId="678993A0">
      <w:pPr>
        <w:spacing w:line="500" w:lineRule="exact"/>
        <w:ind w:right="1189" w:rightChars="566"/>
        <w:rPr>
          <w:rFonts w:hint="eastAsia" w:ascii="宋体" w:hAnsi="宋体" w:eastAsia="宋体" w:cs="宋体"/>
          <w:color w:val="auto"/>
          <w:kern w:val="1"/>
          <w:sz w:val="24"/>
          <w:szCs w:val="22"/>
          <w:highlight w:val="none"/>
          <w:lang w:bidi="ar"/>
        </w:rPr>
      </w:pPr>
    </w:p>
    <w:p w14:paraId="345A04F5">
      <w:pPr>
        <w:spacing w:line="500" w:lineRule="exact"/>
        <w:ind w:right="1189" w:rightChars="566"/>
        <w:rPr>
          <w:rFonts w:hint="eastAsia" w:ascii="宋体" w:hAnsi="宋体" w:eastAsia="宋体" w:cs="宋体"/>
          <w:color w:val="auto"/>
          <w:kern w:val="1"/>
          <w:sz w:val="24"/>
          <w:szCs w:val="22"/>
          <w:highlight w:val="none"/>
          <w:lang w:bidi="ar"/>
        </w:rPr>
      </w:pPr>
    </w:p>
    <w:p w14:paraId="18063D91">
      <w:pPr>
        <w:spacing w:line="500" w:lineRule="exact"/>
        <w:ind w:right="1189" w:rightChars="566"/>
        <w:rPr>
          <w:rFonts w:hint="eastAsia" w:ascii="宋体" w:hAnsi="宋体" w:eastAsia="宋体" w:cs="宋体"/>
          <w:color w:val="auto"/>
          <w:kern w:val="1"/>
          <w:sz w:val="24"/>
          <w:szCs w:val="22"/>
          <w:highlight w:val="none"/>
          <w:lang w:bidi="ar"/>
        </w:rPr>
      </w:pPr>
    </w:p>
    <w:p w14:paraId="0E12907E">
      <w:pPr>
        <w:spacing w:line="500" w:lineRule="exact"/>
        <w:ind w:right="1189" w:rightChars="566"/>
        <w:rPr>
          <w:rFonts w:hint="eastAsia" w:ascii="宋体" w:hAnsi="宋体" w:eastAsia="宋体" w:cs="宋体"/>
          <w:color w:val="auto"/>
          <w:kern w:val="1"/>
          <w:sz w:val="24"/>
          <w:szCs w:val="22"/>
          <w:highlight w:val="none"/>
          <w:lang w:bidi="ar"/>
        </w:rPr>
      </w:pPr>
    </w:p>
    <w:p w14:paraId="44F43053">
      <w:pPr>
        <w:spacing w:line="500" w:lineRule="exact"/>
        <w:ind w:right="1189" w:rightChars="566"/>
        <w:rPr>
          <w:rFonts w:hint="eastAsia" w:ascii="宋体" w:hAnsi="宋体" w:eastAsia="宋体" w:cs="宋体"/>
          <w:color w:val="auto"/>
          <w:kern w:val="1"/>
          <w:sz w:val="24"/>
          <w:szCs w:val="22"/>
          <w:highlight w:val="none"/>
          <w:lang w:bidi="ar"/>
        </w:rPr>
      </w:pPr>
    </w:p>
    <w:p w14:paraId="78CE5CB6">
      <w:pPr>
        <w:spacing w:line="500" w:lineRule="exact"/>
        <w:ind w:right="1189" w:rightChars="566"/>
        <w:rPr>
          <w:rFonts w:hint="eastAsia" w:ascii="宋体" w:hAnsi="宋体" w:eastAsia="宋体" w:cs="宋体"/>
          <w:color w:val="auto"/>
          <w:kern w:val="1"/>
          <w:sz w:val="24"/>
          <w:szCs w:val="22"/>
          <w:highlight w:val="none"/>
          <w:lang w:bidi="ar"/>
        </w:rPr>
      </w:pPr>
    </w:p>
    <w:p w14:paraId="609AD6B2">
      <w:pPr>
        <w:spacing w:line="500" w:lineRule="exact"/>
        <w:ind w:right="1189" w:rightChars="566"/>
        <w:rPr>
          <w:rFonts w:hint="eastAsia" w:ascii="宋体" w:hAnsi="宋体" w:eastAsia="宋体" w:cs="宋体"/>
          <w:color w:val="auto"/>
          <w:kern w:val="1"/>
          <w:sz w:val="24"/>
          <w:szCs w:val="22"/>
          <w:highlight w:val="none"/>
          <w:lang w:bidi="ar"/>
        </w:rPr>
      </w:pPr>
    </w:p>
    <w:p w14:paraId="66B6552E">
      <w:pPr>
        <w:spacing w:line="500" w:lineRule="exact"/>
        <w:ind w:right="1189" w:rightChars="566"/>
        <w:rPr>
          <w:rFonts w:hint="eastAsia" w:ascii="宋体" w:hAnsi="宋体" w:eastAsia="宋体" w:cs="宋体"/>
          <w:color w:val="auto"/>
          <w:kern w:val="1"/>
          <w:sz w:val="24"/>
          <w:szCs w:val="22"/>
          <w:highlight w:val="none"/>
          <w:lang w:bidi="ar"/>
        </w:rPr>
      </w:pPr>
    </w:p>
    <w:p w14:paraId="5AEE2FE4">
      <w:pPr>
        <w:spacing w:line="500" w:lineRule="exact"/>
        <w:ind w:right="1189" w:rightChars="566"/>
        <w:rPr>
          <w:rFonts w:hint="eastAsia" w:ascii="宋体" w:hAnsi="宋体" w:eastAsia="宋体" w:cs="宋体"/>
          <w:color w:val="auto"/>
          <w:kern w:val="1"/>
          <w:sz w:val="24"/>
          <w:szCs w:val="22"/>
          <w:highlight w:val="none"/>
          <w:lang w:bidi="ar"/>
        </w:rPr>
      </w:pPr>
    </w:p>
    <w:p w14:paraId="1FF775AC">
      <w:pPr>
        <w:spacing w:line="500" w:lineRule="exact"/>
        <w:ind w:right="1189" w:rightChars="566"/>
        <w:rPr>
          <w:rFonts w:hint="eastAsia" w:ascii="宋体" w:hAnsi="宋体" w:eastAsia="宋体" w:cs="宋体"/>
          <w:color w:val="auto"/>
          <w:kern w:val="1"/>
          <w:sz w:val="24"/>
          <w:szCs w:val="22"/>
          <w:highlight w:val="none"/>
          <w:lang w:bidi="ar"/>
        </w:rPr>
      </w:pPr>
    </w:p>
    <w:p w14:paraId="37501414">
      <w:pPr>
        <w:spacing w:line="500" w:lineRule="exact"/>
        <w:ind w:right="1189" w:rightChars="566"/>
        <w:rPr>
          <w:rFonts w:hint="eastAsia" w:ascii="宋体" w:hAnsi="宋体" w:eastAsia="宋体" w:cs="宋体"/>
          <w:color w:val="auto"/>
          <w:kern w:val="1"/>
          <w:sz w:val="24"/>
          <w:szCs w:val="22"/>
          <w:highlight w:val="none"/>
          <w:lang w:bidi="ar"/>
        </w:rPr>
      </w:pPr>
    </w:p>
    <w:p w14:paraId="46FE3EB6">
      <w:pPr>
        <w:spacing w:line="500" w:lineRule="exact"/>
        <w:ind w:right="1189" w:rightChars="566"/>
        <w:rPr>
          <w:rFonts w:hint="eastAsia" w:ascii="宋体" w:hAnsi="宋体" w:eastAsia="宋体" w:cs="宋体"/>
          <w:color w:val="auto"/>
          <w:kern w:val="1"/>
          <w:sz w:val="24"/>
          <w:szCs w:val="22"/>
          <w:highlight w:val="none"/>
          <w:lang w:bidi="ar"/>
        </w:rPr>
      </w:pPr>
    </w:p>
    <w:p w14:paraId="42251965">
      <w:pPr>
        <w:spacing w:line="500" w:lineRule="exact"/>
        <w:ind w:right="1189" w:rightChars="566"/>
        <w:rPr>
          <w:rFonts w:hint="eastAsia" w:ascii="宋体" w:hAnsi="宋体" w:eastAsia="宋体" w:cs="宋体"/>
          <w:color w:val="auto"/>
          <w:kern w:val="1"/>
          <w:sz w:val="24"/>
          <w:szCs w:val="22"/>
          <w:highlight w:val="none"/>
          <w:lang w:bidi="ar"/>
        </w:rPr>
      </w:pPr>
    </w:p>
    <w:p w14:paraId="532C1698">
      <w:pPr>
        <w:spacing w:line="600" w:lineRule="exact"/>
        <w:ind w:right="15" w:rightChars="7"/>
        <w:jc w:val="center"/>
        <w:outlineLvl w:val="1"/>
        <w:rPr>
          <w:rFonts w:hint="eastAsia" w:ascii="宋体" w:hAnsi="宋体" w:eastAsia="宋体" w:cs="宋体"/>
          <w:color w:val="auto"/>
          <w:sz w:val="24"/>
          <w:highlight w:val="none"/>
        </w:rPr>
      </w:pPr>
      <w:bookmarkStart w:id="925" w:name="_Toc9701"/>
      <w:r>
        <w:rPr>
          <w:rFonts w:hint="eastAsia" w:ascii="宋体" w:hAnsi="宋体" w:eastAsia="宋体" w:cs="宋体"/>
          <w:b/>
          <w:color w:val="auto"/>
          <w:kern w:val="1"/>
          <w:sz w:val="30"/>
          <w:szCs w:val="30"/>
          <w:highlight w:val="none"/>
          <w:lang w:bidi="ar"/>
        </w:rPr>
        <w:t>十</w:t>
      </w:r>
      <w:r>
        <w:rPr>
          <w:rFonts w:hint="eastAsia" w:ascii="宋体" w:hAnsi="宋体" w:eastAsia="宋体" w:cs="宋体"/>
          <w:b/>
          <w:color w:val="auto"/>
          <w:kern w:val="1"/>
          <w:sz w:val="30"/>
          <w:szCs w:val="30"/>
          <w:highlight w:val="none"/>
          <w:lang w:eastAsia="zh-CN" w:bidi="ar"/>
        </w:rPr>
        <w:t>一</w:t>
      </w:r>
      <w:r>
        <w:rPr>
          <w:rFonts w:hint="eastAsia" w:ascii="宋体" w:hAnsi="宋体" w:eastAsia="宋体" w:cs="宋体"/>
          <w:b/>
          <w:color w:val="auto"/>
          <w:kern w:val="1"/>
          <w:sz w:val="30"/>
          <w:szCs w:val="30"/>
          <w:highlight w:val="none"/>
          <w:lang w:bidi="ar"/>
        </w:rPr>
        <w:t>、</w:t>
      </w:r>
      <w:r>
        <w:rPr>
          <w:rFonts w:hint="eastAsia" w:ascii="宋体" w:hAnsi="宋体" w:eastAsia="宋体" w:cs="宋体"/>
          <w:b/>
          <w:color w:val="auto"/>
          <w:kern w:val="1"/>
          <w:sz w:val="30"/>
          <w:szCs w:val="30"/>
          <w:highlight w:val="none"/>
          <w:lang w:eastAsia="zh-CN" w:bidi="ar"/>
        </w:rPr>
        <w:t>供应商</w:t>
      </w:r>
      <w:r>
        <w:rPr>
          <w:rFonts w:hint="eastAsia" w:ascii="宋体" w:hAnsi="宋体" w:eastAsia="宋体" w:cs="宋体"/>
          <w:b/>
          <w:color w:val="auto"/>
          <w:kern w:val="1"/>
          <w:sz w:val="30"/>
          <w:szCs w:val="30"/>
          <w:highlight w:val="none"/>
          <w:lang w:bidi="ar"/>
        </w:rPr>
        <w:t>认为需要</w:t>
      </w:r>
      <w:r>
        <w:rPr>
          <w:rFonts w:hint="eastAsia" w:ascii="宋体" w:hAnsi="宋体" w:eastAsia="宋体" w:cs="宋体"/>
          <w:b/>
          <w:color w:val="auto"/>
          <w:sz w:val="30"/>
          <w:szCs w:val="30"/>
          <w:highlight w:val="none"/>
        </w:rPr>
        <w:t>提供的其他相关资料</w:t>
      </w:r>
      <w:bookmarkEnd w:id="923"/>
      <w:bookmarkEnd w:id="924"/>
      <w:bookmarkEnd w:id="925"/>
    </w:p>
    <w:p w14:paraId="31026AE2">
      <w:pPr>
        <w:pStyle w:val="2"/>
        <w:spacing w:line="600" w:lineRule="exact"/>
        <w:jc w:val="center"/>
        <w:outlineLvl w:val="0"/>
        <w:rPr>
          <w:rFonts w:hint="eastAsia" w:ascii="宋体" w:hAnsi="宋体" w:eastAsia="宋体" w:cs="宋体"/>
          <w:color w:val="auto"/>
          <w:sz w:val="24"/>
          <w:highlight w:val="none"/>
        </w:rPr>
      </w:pPr>
      <w:bookmarkStart w:id="926" w:name="_Toc20425"/>
      <w:bookmarkStart w:id="927" w:name="_Toc29692"/>
      <w:bookmarkStart w:id="928" w:name="_Toc23622"/>
      <w:bookmarkStart w:id="929" w:name="_Toc14437"/>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根据</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要求及自身情况提供所需材料）</w:t>
      </w:r>
      <w:bookmarkEnd w:id="926"/>
      <w:bookmarkEnd w:id="927"/>
      <w:bookmarkEnd w:id="928"/>
      <w:bookmarkEnd w:id="929"/>
    </w:p>
    <w:p w14:paraId="41658170">
      <w:pPr>
        <w:pStyle w:val="2"/>
        <w:rPr>
          <w:rFonts w:hint="eastAsia" w:ascii="宋体" w:hAnsi="宋体" w:eastAsia="宋体" w:cs="宋体"/>
          <w:color w:val="auto"/>
          <w:sz w:val="24"/>
          <w:highlight w:val="none"/>
        </w:rPr>
      </w:pPr>
    </w:p>
    <w:p w14:paraId="4CE64741">
      <w:pPr>
        <w:pStyle w:val="6"/>
        <w:outlineLvl w:val="9"/>
        <w:rPr>
          <w:rFonts w:hint="eastAsia" w:ascii="宋体" w:hAnsi="宋体" w:eastAsia="宋体" w:cs="宋体"/>
          <w:color w:val="auto"/>
          <w:highlight w:val="none"/>
        </w:rPr>
      </w:pPr>
    </w:p>
    <w:p w14:paraId="3E7181BC">
      <w:pPr>
        <w:rPr>
          <w:rFonts w:hint="eastAsia" w:ascii="宋体" w:hAnsi="宋体" w:eastAsia="宋体" w:cs="宋体"/>
          <w:color w:val="auto"/>
          <w:highlight w:val="none"/>
        </w:rPr>
      </w:pPr>
    </w:p>
    <w:p w14:paraId="1C855EFB">
      <w:pPr>
        <w:pStyle w:val="6"/>
        <w:outlineLvl w:val="9"/>
        <w:rPr>
          <w:rFonts w:hint="eastAsia" w:ascii="宋体" w:hAnsi="宋体" w:eastAsia="宋体" w:cs="宋体"/>
          <w:color w:val="auto"/>
          <w:highlight w:val="none"/>
        </w:rPr>
      </w:pPr>
    </w:p>
    <w:p w14:paraId="50EC6483">
      <w:pPr>
        <w:rPr>
          <w:rFonts w:hint="eastAsia" w:ascii="宋体" w:hAnsi="宋体" w:eastAsia="宋体" w:cs="宋体"/>
          <w:color w:val="auto"/>
          <w:highlight w:val="none"/>
        </w:rPr>
      </w:pPr>
    </w:p>
    <w:p w14:paraId="129104DE">
      <w:pPr>
        <w:pStyle w:val="3"/>
        <w:keepNext w:val="0"/>
        <w:keepLines w:val="0"/>
        <w:tabs>
          <w:tab w:val="left" w:pos="840"/>
          <w:tab w:val="center" w:pos="4620"/>
        </w:tabs>
        <w:spacing w:before="312" w:beforeLines="100" w:after="312" w:afterLines="100" w:line="500" w:lineRule="exact"/>
        <w:jc w:val="center"/>
        <w:outlineLvl w:val="9"/>
        <w:rPr>
          <w:rFonts w:hint="eastAsia" w:ascii="宋体" w:hAnsi="宋体" w:eastAsia="宋体" w:cs="宋体"/>
          <w:color w:val="auto"/>
          <w:sz w:val="30"/>
          <w:szCs w:val="30"/>
          <w:highlight w:val="none"/>
        </w:rPr>
      </w:pPr>
    </w:p>
    <w:p w14:paraId="11E56248">
      <w:pPr>
        <w:pStyle w:val="3"/>
        <w:keepNext w:val="0"/>
        <w:keepLines w:val="0"/>
        <w:tabs>
          <w:tab w:val="left" w:pos="840"/>
          <w:tab w:val="center" w:pos="4620"/>
        </w:tabs>
        <w:spacing w:before="312" w:beforeLines="100" w:after="312" w:afterLines="100" w:line="500" w:lineRule="exact"/>
        <w:jc w:val="center"/>
        <w:outlineLvl w:val="9"/>
        <w:rPr>
          <w:rFonts w:hint="eastAsia" w:ascii="宋体" w:hAnsi="宋体" w:eastAsia="宋体" w:cs="宋体"/>
          <w:color w:val="auto"/>
          <w:sz w:val="30"/>
          <w:szCs w:val="30"/>
          <w:highlight w:val="none"/>
        </w:rPr>
      </w:pPr>
    </w:p>
    <w:p w14:paraId="0A2F9635">
      <w:pPr>
        <w:pStyle w:val="3"/>
        <w:keepNext w:val="0"/>
        <w:keepLines w:val="0"/>
        <w:tabs>
          <w:tab w:val="left" w:pos="840"/>
          <w:tab w:val="center" w:pos="4620"/>
        </w:tabs>
        <w:spacing w:before="312" w:beforeLines="100" w:after="312" w:afterLines="100" w:line="500" w:lineRule="exact"/>
        <w:jc w:val="center"/>
        <w:outlineLvl w:val="9"/>
        <w:rPr>
          <w:rFonts w:hint="eastAsia" w:ascii="宋体" w:hAnsi="宋体" w:eastAsia="宋体" w:cs="宋体"/>
          <w:color w:val="auto"/>
          <w:sz w:val="30"/>
          <w:szCs w:val="30"/>
          <w:highlight w:val="none"/>
        </w:rPr>
      </w:pPr>
    </w:p>
    <w:p w14:paraId="606AFF55">
      <w:pPr>
        <w:pStyle w:val="3"/>
        <w:keepNext w:val="0"/>
        <w:keepLines w:val="0"/>
        <w:tabs>
          <w:tab w:val="left" w:pos="840"/>
          <w:tab w:val="center" w:pos="4620"/>
        </w:tabs>
        <w:spacing w:before="312" w:beforeLines="100" w:after="312" w:afterLines="100" w:line="500" w:lineRule="exact"/>
        <w:jc w:val="center"/>
        <w:outlineLvl w:val="9"/>
        <w:rPr>
          <w:rFonts w:hint="eastAsia" w:ascii="宋体" w:hAnsi="宋体" w:eastAsia="宋体" w:cs="宋体"/>
          <w:color w:val="auto"/>
          <w:sz w:val="30"/>
          <w:szCs w:val="30"/>
          <w:highlight w:val="none"/>
        </w:rPr>
      </w:pPr>
    </w:p>
    <w:p w14:paraId="497EC6DB">
      <w:pPr>
        <w:pStyle w:val="3"/>
        <w:keepNext w:val="0"/>
        <w:keepLines w:val="0"/>
        <w:tabs>
          <w:tab w:val="left" w:pos="840"/>
          <w:tab w:val="center" w:pos="4620"/>
        </w:tabs>
        <w:spacing w:before="312" w:beforeLines="100" w:after="312" w:afterLines="100" w:line="500" w:lineRule="exact"/>
        <w:jc w:val="center"/>
        <w:outlineLvl w:val="9"/>
        <w:rPr>
          <w:rFonts w:hint="eastAsia" w:ascii="宋体" w:hAnsi="宋体" w:eastAsia="宋体" w:cs="宋体"/>
          <w:color w:val="auto"/>
          <w:sz w:val="30"/>
          <w:szCs w:val="30"/>
          <w:highlight w:val="none"/>
        </w:rPr>
      </w:pPr>
    </w:p>
    <w:p w14:paraId="3FBF198A">
      <w:pPr>
        <w:pStyle w:val="3"/>
        <w:keepNext w:val="0"/>
        <w:keepLines w:val="0"/>
        <w:tabs>
          <w:tab w:val="left" w:pos="840"/>
          <w:tab w:val="center" w:pos="4620"/>
        </w:tabs>
        <w:spacing w:before="312" w:beforeLines="100" w:after="312" w:afterLines="100" w:line="500" w:lineRule="exact"/>
        <w:jc w:val="center"/>
        <w:outlineLvl w:val="9"/>
        <w:rPr>
          <w:rFonts w:hint="eastAsia" w:ascii="宋体" w:hAnsi="宋体" w:eastAsia="宋体" w:cs="宋体"/>
          <w:color w:val="auto"/>
          <w:sz w:val="30"/>
          <w:szCs w:val="30"/>
          <w:highlight w:val="none"/>
        </w:rPr>
      </w:pPr>
    </w:p>
    <w:p w14:paraId="06FD49C8">
      <w:pPr>
        <w:pStyle w:val="3"/>
        <w:keepNext w:val="0"/>
        <w:keepLines w:val="0"/>
        <w:tabs>
          <w:tab w:val="left" w:pos="840"/>
          <w:tab w:val="center" w:pos="4620"/>
        </w:tabs>
        <w:spacing w:before="312" w:beforeLines="100" w:after="312" w:afterLines="100" w:line="500" w:lineRule="exact"/>
        <w:jc w:val="center"/>
        <w:outlineLvl w:val="9"/>
        <w:rPr>
          <w:rFonts w:hint="eastAsia" w:ascii="宋体" w:hAnsi="宋体" w:eastAsia="宋体" w:cs="宋体"/>
          <w:color w:val="auto"/>
          <w:sz w:val="30"/>
          <w:szCs w:val="30"/>
          <w:highlight w:val="none"/>
        </w:rPr>
      </w:pPr>
    </w:p>
    <w:p w14:paraId="383E5EA5">
      <w:pPr>
        <w:pStyle w:val="3"/>
        <w:keepNext w:val="0"/>
        <w:keepLines w:val="0"/>
        <w:tabs>
          <w:tab w:val="left" w:pos="840"/>
          <w:tab w:val="center" w:pos="4620"/>
        </w:tabs>
        <w:spacing w:before="312" w:beforeLines="100" w:after="312" w:afterLines="100" w:line="500" w:lineRule="exact"/>
        <w:jc w:val="center"/>
        <w:outlineLvl w:val="9"/>
        <w:rPr>
          <w:rFonts w:hint="eastAsia" w:ascii="宋体" w:hAnsi="宋体" w:eastAsia="宋体" w:cs="宋体"/>
          <w:color w:val="auto"/>
          <w:sz w:val="30"/>
          <w:szCs w:val="30"/>
          <w:highlight w:val="none"/>
        </w:rPr>
      </w:pPr>
    </w:p>
    <w:p w14:paraId="4570ED40">
      <w:pPr>
        <w:pStyle w:val="3"/>
        <w:keepNext w:val="0"/>
        <w:keepLines w:val="0"/>
        <w:tabs>
          <w:tab w:val="left" w:pos="840"/>
          <w:tab w:val="center" w:pos="4620"/>
        </w:tabs>
        <w:spacing w:before="312" w:beforeLines="100" w:after="312" w:afterLines="100" w:line="500" w:lineRule="exact"/>
        <w:jc w:val="center"/>
        <w:outlineLvl w:val="9"/>
        <w:rPr>
          <w:rFonts w:hint="eastAsia" w:ascii="宋体" w:hAnsi="宋体" w:eastAsia="宋体" w:cs="宋体"/>
          <w:color w:val="auto"/>
          <w:sz w:val="30"/>
          <w:szCs w:val="30"/>
          <w:highlight w:val="none"/>
        </w:rPr>
      </w:pPr>
    </w:p>
    <w:p w14:paraId="42E3E309">
      <w:pPr>
        <w:pStyle w:val="2"/>
        <w:rPr>
          <w:rFonts w:hint="eastAsia" w:ascii="宋体" w:hAnsi="宋体" w:eastAsia="宋体" w:cs="宋体"/>
          <w:color w:val="auto"/>
          <w:highlight w:val="none"/>
        </w:rPr>
        <w:sectPr>
          <w:footerReference r:id="rId6" w:type="default"/>
          <w:pgSz w:w="11906" w:h="16838"/>
          <w:pgMar w:top="1440" w:right="1417" w:bottom="1440" w:left="1417" w:header="964" w:footer="1077" w:gutter="0"/>
          <w:pgBorders>
            <w:top w:val="none" w:sz="0" w:space="0"/>
            <w:left w:val="none" w:sz="0" w:space="0"/>
            <w:bottom w:val="none" w:sz="0" w:space="0"/>
            <w:right w:val="none" w:sz="0" w:space="0"/>
          </w:pgBorders>
          <w:pgNumType w:fmt="decimal"/>
          <w:cols w:space="708" w:num="1"/>
          <w:docGrid w:type="lines" w:linePitch="312" w:charSpace="0"/>
        </w:sectPr>
      </w:pPr>
    </w:p>
    <w:p w14:paraId="3CDF2F5D">
      <w:pPr>
        <w:pStyle w:val="9"/>
        <w:pageBreakBefore w:val="0"/>
        <w:wordWrap w:val="0"/>
        <w:overflowPunct/>
        <w:jc w:val="center"/>
        <w:outlineLvl w:val="0"/>
        <w:rPr>
          <w:rFonts w:hint="eastAsia" w:ascii="宋体" w:hAnsi="宋体" w:eastAsia="宋体" w:cs="宋体"/>
          <w:b/>
          <w:bCs/>
          <w:color w:val="auto"/>
          <w:sz w:val="30"/>
          <w:szCs w:val="30"/>
          <w:highlight w:val="none"/>
          <w:lang w:val="en-US" w:eastAsia="zh-CN"/>
        </w:rPr>
      </w:pPr>
      <w:bookmarkStart w:id="930" w:name="_Toc8758"/>
      <w:bookmarkStart w:id="931" w:name="_Toc24877"/>
      <w:bookmarkStart w:id="932" w:name="_Toc11868"/>
      <w:r>
        <w:rPr>
          <w:rFonts w:hint="eastAsia" w:ascii="宋体" w:hAnsi="宋体" w:eastAsia="宋体" w:cs="宋体"/>
          <w:b/>
          <w:bCs/>
          <w:color w:val="auto"/>
          <w:sz w:val="30"/>
          <w:szCs w:val="30"/>
          <w:highlight w:val="none"/>
        </w:rPr>
        <w:t>第六章</w:t>
      </w:r>
      <w:r>
        <w:rPr>
          <w:rFonts w:hint="eastAsia" w:ascii="宋体" w:hAnsi="宋体" w:eastAsia="宋体" w:cs="宋体"/>
          <w:b/>
          <w:bCs/>
          <w:color w:val="auto"/>
          <w:sz w:val="30"/>
          <w:szCs w:val="30"/>
          <w:highlight w:val="none"/>
          <w:lang w:val="en-US" w:eastAsia="zh-CN"/>
        </w:rPr>
        <w:t xml:space="preserve">  </w:t>
      </w:r>
      <w:bookmarkStart w:id="933" w:name="_Toc4575"/>
      <w:bookmarkStart w:id="934" w:name="_Toc11477"/>
      <w:bookmarkStart w:id="935" w:name="_Toc15333"/>
      <w:r>
        <w:rPr>
          <w:rFonts w:hint="eastAsia" w:ascii="宋体" w:hAnsi="宋体" w:eastAsia="宋体" w:cs="宋体"/>
          <w:b/>
          <w:bCs/>
          <w:color w:val="auto"/>
          <w:sz w:val="30"/>
          <w:szCs w:val="30"/>
          <w:highlight w:val="none"/>
          <w:lang w:val="en-US" w:eastAsia="zh-CN"/>
        </w:rPr>
        <w:t>工程量清单</w:t>
      </w:r>
      <w:bookmarkEnd w:id="930"/>
      <w:bookmarkEnd w:id="931"/>
      <w:bookmarkEnd w:id="932"/>
      <w:bookmarkEnd w:id="933"/>
      <w:bookmarkEnd w:id="934"/>
      <w:bookmarkEnd w:id="935"/>
    </w:p>
    <w:p w14:paraId="4BD3F400">
      <w:pPr>
        <w:pStyle w:val="9"/>
        <w:pageBreakBefore w:val="0"/>
        <w:wordWrap w:val="0"/>
        <w:overflowPunct/>
        <w:ind w:left="0" w:leftChars="0" w:firstLine="0" w:firstLineChars="0"/>
        <w:rPr>
          <w:rFonts w:hint="eastAsia" w:ascii="宋体" w:hAnsi="宋体" w:eastAsia="宋体" w:cs="宋体"/>
          <w:b/>
          <w:bCs/>
          <w:color w:val="auto"/>
          <w:sz w:val="28"/>
          <w:szCs w:val="28"/>
          <w:highlight w:val="none"/>
          <w:lang w:val="en-US" w:eastAsia="zh-CN"/>
        </w:rPr>
      </w:pPr>
    </w:p>
    <w:p w14:paraId="35A58655">
      <w:pPr>
        <w:snapToGrid w:val="0"/>
        <w:spacing w:line="360" w:lineRule="exact"/>
        <w:rPr>
          <w:rFonts w:hint="eastAsia" w:ascii="宋体" w:hAnsi="宋体" w:eastAsia="宋体" w:cs="宋体"/>
          <w:color w:val="auto"/>
          <w:sz w:val="24"/>
          <w:szCs w:val="24"/>
          <w:highlight w:val="none"/>
        </w:rPr>
        <w:sectPr>
          <w:footerReference r:id="rId7" w:type="default"/>
          <w:pgSz w:w="11906" w:h="16838"/>
          <w:pgMar w:top="1440" w:right="1417" w:bottom="1440" w:left="1417" w:header="964" w:footer="964" w:gutter="0"/>
          <w:pgBorders>
            <w:top w:val="none" w:sz="0" w:space="0"/>
            <w:left w:val="none" w:sz="0" w:space="0"/>
            <w:bottom w:val="none" w:sz="0" w:space="0"/>
            <w:right w:val="none" w:sz="0" w:space="0"/>
          </w:pgBorders>
          <w:pgNumType w:fmt="decimal"/>
          <w:cols w:space="708" w:num="1"/>
          <w:docGrid w:type="lines" w:linePitch="312" w:charSpace="0"/>
        </w:sectPr>
      </w:pPr>
      <w:r>
        <w:rPr>
          <w:rFonts w:hint="eastAsia" w:ascii="宋体" w:hAnsi="宋体" w:eastAsia="宋体" w:cs="宋体"/>
          <w:b w:val="0"/>
          <w:bCs w:val="0"/>
          <w:color w:val="auto"/>
          <w:sz w:val="24"/>
          <w:szCs w:val="24"/>
          <w:highlight w:val="none"/>
          <w:lang w:val="en-US" w:eastAsia="zh-CN"/>
        </w:rPr>
        <w:t>请各供应商在在政采云平台（https://www.zcygov.cn）自行下载电子版工程量清单。</w:t>
      </w:r>
    </w:p>
    <w:p w14:paraId="554E2A53">
      <w:pPr>
        <w:spacing w:line="440" w:lineRule="exact"/>
        <w:jc w:val="center"/>
        <w:outlineLvl w:val="0"/>
        <w:rPr>
          <w:rFonts w:hint="eastAsia" w:ascii="宋体" w:hAnsi="宋体" w:eastAsia="宋体" w:cs="宋体"/>
          <w:b/>
          <w:color w:val="auto"/>
          <w:sz w:val="24"/>
          <w:szCs w:val="24"/>
          <w:highlight w:val="none"/>
        </w:rPr>
      </w:pPr>
      <w:bookmarkStart w:id="936" w:name="_Toc29105"/>
      <w:bookmarkStart w:id="937" w:name="_Toc26455"/>
      <w:bookmarkStart w:id="938" w:name="_Toc30651"/>
      <w:bookmarkStart w:id="939" w:name="_Toc3410"/>
      <w:bookmarkStart w:id="940" w:name="_Toc24140"/>
      <w:bookmarkStart w:id="941" w:name="_Toc22068"/>
      <w:r>
        <w:rPr>
          <w:rFonts w:hint="eastAsia" w:ascii="宋体" w:hAnsi="宋体" w:eastAsia="宋体" w:cs="宋体"/>
          <w:b/>
          <w:color w:val="auto"/>
          <w:sz w:val="44"/>
          <w:szCs w:val="44"/>
          <w:highlight w:val="none"/>
          <w:lang w:bidi="ar"/>
        </w:rPr>
        <w:t>二次报价表</w:t>
      </w:r>
      <w:bookmarkEnd w:id="936"/>
      <w:bookmarkEnd w:id="937"/>
      <w:bookmarkEnd w:id="938"/>
      <w:bookmarkEnd w:id="939"/>
      <w:bookmarkEnd w:id="940"/>
      <w:bookmarkEnd w:id="941"/>
    </w:p>
    <w:p w14:paraId="019528E3">
      <w:pPr>
        <w:spacing w:line="440" w:lineRule="exact"/>
        <w:rPr>
          <w:rFonts w:hint="eastAsia" w:ascii="宋体" w:hAnsi="宋体" w:eastAsia="宋体" w:cs="宋体"/>
          <w:color w:val="auto"/>
          <w:sz w:val="24"/>
          <w:szCs w:val="24"/>
          <w:highlight w:val="none"/>
          <w:lang w:bidi="ar"/>
        </w:rPr>
      </w:pPr>
    </w:p>
    <w:p w14:paraId="7231D3B0">
      <w:pPr>
        <w:spacing w:line="44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评标地点：云南星骋项目管理有限公司</w:t>
      </w:r>
      <w:r>
        <w:rPr>
          <w:rFonts w:hint="eastAsia" w:ascii="宋体" w:hAnsi="宋体" w:cs="宋体"/>
          <w:color w:val="auto"/>
          <w:sz w:val="24"/>
          <w:szCs w:val="24"/>
          <w:highlight w:val="none"/>
          <w:lang w:eastAsia="zh-CN" w:bidi="ar"/>
        </w:rPr>
        <w:t>评标室</w:t>
      </w:r>
      <w:r>
        <w:rPr>
          <w:rFonts w:hint="eastAsia" w:ascii="宋体" w:hAnsi="宋体" w:eastAsia="宋体" w:cs="宋体"/>
          <w:color w:val="auto"/>
          <w:sz w:val="24"/>
          <w:szCs w:val="24"/>
          <w:highlight w:val="none"/>
          <w:lang w:bidi="ar"/>
        </w:rPr>
        <w:t xml:space="preserve"> (景洪市西双十二城国际公馆1栋306)。                </w:t>
      </w:r>
    </w:p>
    <w:p w14:paraId="6300D8DF">
      <w:pPr>
        <w:spacing w:line="44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二次报价时间：</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年</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月</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日</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时</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分</w:t>
      </w:r>
    </w:p>
    <w:tbl>
      <w:tblPr>
        <w:tblStyle w:val="29"/>
        <w:tblpPr w:leftFromText="180" w:rightFromText="180" w:vertAnchor="text" w:horzAnchor="page" w:tblpXSpec="center" w:tblpY="341"/>
        <w:tblW w:w="143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5"/>
        <w:gridCol w:w="10111"/>
      </w:tblGrid>
      <w:tr w14:paraId="0EA7A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4215" w:type="dxa"/>
            <w:tcBorders>
              <w:top w:val="single" w:color="auto" w:sz="4" w:space="0"/>
              <w:left w:val="single" w:color="auto" w:sz="4" w:space="0"/>
              <w:bottom w:val="single" w:color="auto" w:sz="4" w:space="0"/>
              <w:right w:val="single" w:color="auto" w:sz="4" w:space="0"/>
            </w:tcBorders>
            <w:noWrap w:val="0"/>
            <w:vAlign w:val="center"/>
          </w:tcPr>
          <w:p w14:paraId="5DB34331">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项目名称</w:t>
            </w:r>
          </w:p>
        </w:tc>
        <w:tc>
          <w:tcPr>
            <w:tcW w:w="10111" w:type="dxa"/>
            <w:tcBorders>
              <w:top w:val="single" w:color="auto" w:sz="4" w:space="0"/>
              <w:left w:val="single" w:color="auto" w:sz="4" w:space="0"/>
              <w:bottom w:val="single" w:color="auto" w:sz="4" w:space="0"/>
              <w:right w:val="single" w:color="auto" w:sz="4" w:space="0"/>
            </w:tcBorders>
            <w:noWrap w:val="0"/>
            <w:vAlign w:val="center"/>
          </w:tcPr>
          <w:p w14:paraId="2E5B053F">
            <w:pPr>
              <w:spacing w:line="440" w:lineRule="exact"/>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景洪市第四中学行政楼、主教学楼及学生宿舍楼修缮建设项目</w:t>
            </w:r>
          </w:p>
        </w:tc>
      </w:tr>
      <w:tr w14:paraId="613A9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215" w:type="dxa"/>
            <w:tcBorders>
              <w:top w:val="single" w:color="auto" w:sz="4" w:space="0"/>
              <w:left w:val="single" w:color="auto" w:sz="4" w:space="0"/>
              <w:bottom w:val="single" w:color="auto" w:sz="4" w:space="0"/>
              <w:right w:val="single" w:color="auto" w:sz="4" w:space="0"/>
            </w:tcBorders>
            <w:noWrap w:val="0"/>
            <w:vAlign w:val="center"/>
          </w:tcPr>
          <w:p w14:paraId="6C0DAA8D">
            <w:pPr>
              <w:spacing w:line="440" w:lineRule="exact"/>
              <w:jc w:val="center"/>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项目编号</w:t>
            </w:r>
          </w:p>
        </w:tc>
        <w:tc>
          <w:tcPr>
            <w:tcW w:w="10111" w:type="dxa"/>
            <w:tcBorders>
              <w:top w:val="single" w:color="auto" w:sz="4" w:space="0"/>
              <w:left w:val="single" w:color="auto" w:sz="4" w:space="0"/>
              <w:bottom w:val="single" w:color="auto" w:sz="4" w:space="0"/>
              <w:right w:val="single" w:color="auto" w:sz="4" w:space="0"/>
            </w:tcBorders>
            <w:noWrap w:val="0"/>
            <w:vAlign w:val="center"/>
          </w:tcPr>
          <w:p w14:paraId="33F575D0">
            <w:pPr>
              <w:spacing w:line="440" w:lineRule="exact"/>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YNXC2</w:t>
            </w:r>
            <w:r>
              <w:rPr>
                <w:rFonts w:hint="eastAsia" w:ascii="宋体" w:hAnsi="宋体" w:cs="宋体"/>
                <w:b/>
                <w:color w:val="auto"/>
                <w:sz w:val="24"/>
                <w:szCs w:val="24"/>
                <w:highlight w:val="none"/>
                <w:lang w:val="en-US" w:eastAsia="zh-CN" w:bidi="ar"/>
              </w:rPr>
              <w:t>5</w:t>
            </w:r>
            <w:r>
              <w:rPr>
                <w:rFonts w:hint="eastAsia" w:ascii="宋体" w:hAnsi="宋体" w:eastAsia="宋体" w:cs="宋体"/>
                <w:b/>
                <w:color w:val="auto"/>
                <w:sz w:val="24"/>
                <w:szCs w:val="24"/>
                <w:highlight w:val="none"/>
                <w:lang w:val="en-US" w:eastAsia="zh-CN" w:bidi="ar"/>
              </w:rPr>
              <w:t>-</w:t>
            </w:r>
            <w:r>
              <w:rPr>
                <w:rFonts w:hint="eastAsia" w:ascii="宋体" w:hAnsi="宋体" w:cs="宋体"/>
                <w:b/>
                <w:color w:val="auto"/>
                <w:sz w:val="24"/>
                <w:szCs w:val="24"/>
                <w:highlight w:val="none"/>
                <w:lang w:val="en-US" w:eastAsia="zh-CN" w:bidi="ar"/>
              </w:rPr>
              <w:t>06</w:t>
            </w:r>
            <w:r>
              <w:rPr>
                <w:rFonts w:hint="eastAsia" w:ascii="宋体" w:hAnsi="宋体" w:eastAsia="宋体" w:cs="宋体"/>
                <w:b/>
                <w:color w:val="auto"/>
                <w:sz w:val="24"/>
                <w:szCs w:val="24"/>
                <w:highlight w:val="none"/>
                <w:lang w:val="en-US" w:eastAsia="zh-CN" w:bidi="ar"/>
              </w:rPr>
              <w:t>号</w:t>
            </w:r>
          </w:p>
        </w:tc>
      </w:tr>
      <w:tr w14:paraId="28C5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4215" w:type="dxa"/>
            <w:tcBorders>
              <w:top w:val="single" w:color="auto" w:sz="4" w:space="0"/>
              <w:left w:val="single" w:color="auto" w:sz="4" w:space="0"/>
              <w:bottom w:val="single" w:color="auto" w:sz="4" w:space="0"/>
              <w:right w:val="single" w:color="auto" w:sz="4" w:space="0"/>
            </w:tcBorders>
            <w:noWrap w:val="0"/>
            <w:vAlign w:val="center"/>
          </w:tcPr>
          <w:p w14:paraId="260F7C05">
            <w:pPr>
              <w:pStyle w:val="17"/>
              <w:jc w:val="center"/>
              <w:rPr>
                <w:rFonts w:hint="eastAsia" w:ascii="宋体" w:hAnsi="宋体" w:eastAsia="宋体" w:cs="宋体"/>
                <w:b/>
                <w:color w:val="auto"/>
                <w:sz w:val="24"/>
                <w:szCs w:val="24"/>
                <w:highlight w:val="none"/>
              </w:rPr>
            </w:pPr>
            <w:r>
              <w:rPr>
                <w:rFonts w:hint="eastAsia" w:ascii="宋体" w:hAnsi="宋体" w:eastAsia="宋体" w:cs="宋体"/>
                <w:b/>
                <w:color w:val="auto"/>
                <w:spacing w:val="-20"/>
                <w:sz w:val="24"/>
                <w:szCs w:val="24"/>
                <w:highlight w:val="none"/>
                <w:lang w:val="en-US" w:eastAsia="zh-CN"/>
              </w:rPr>
              <w:t>二次磋商</w:t>
            </w:r>
            <w:r>
              <w:rPr>
                <w:rFonts w:hint="eastAsia" w:ascii="宋体" w:hAnsi="宋体" w:eastAsia="宋体" w:cs="宋体"/>
                <w:b/>
                <w:color w:val="auto"/>
                <w:spacing w:val="-20"/>
                <w:sz w:val="24"/>
                <w:szCs w:val="24"/>
                <w:highlight w:val="none"/>
              </w:rPr>
              <w:t>总报价（元）</w:t>
            </w:r>
          </w:p>
        </w:tc>
        <w:tc>
          <w:tcPr>
            <w:tcW w:w="10111" w:type="dxa"/>
            <w:tcBorders>
              <w:top w:val="single" w:color="auto" w:sz="4" w:space="0"/>
              <w:left w:val="single" w:color="auto" w:sz="4" w:space="0"/>
              <w:bottom w:val="single" w:color="auto" w:sz="4" w:space="0"/>
              <w:right w:val="single" w:color="auto" w:sz="4" w:space="0"/>
            </w:tcBorders>
            <w:noWrap w:val="0"/>
            <w:vAlign w:val="center"/>
          </w:tcPr>
          <w:p w14:paraId="0981CACE">
            <w:pPr>
              <w:pStyle w:val="17"/>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小写：</w:t>
            </w:r>
            <w:r>
              <w:rPr>
                <w:rFonts w:hint="eastAsia" w:ascii="宋体" w:hAnsi="宋体" w:eastAsia="宋体" w:cs="宋体"/>
                <w:b/>
                <w:color w:val="auto"/>
                <w:sz w:val="24"/>
                <w:szCs w:val="24"/>
                <w:highlight w:val="none"/>
                <w:u w:val="single"/>
              </w:rPr>
              <w:t xml:space="preserve">                      </w:t>
            </w:r>
          </w:p>
          <w:p w14:paraId="7793B287">
            <w:pPr>
              <w:pStyle w:val="17"/>
              <w:spacing w:line="360" w:lineRule="auto"/>
              <w:jc w:val="left"/>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大写：</w:t>
            </w:r>
            <w:r>
              <w:rPr>
                <w:rFonts w:hint="eastAsia" w:ascii="宋体" w:hAnsi="宋体" w:eastAsia="宋体" w:cs="宋体"/>
                <w:b/>
                <w:color w:val="auto"/>
                <w:sz w:val="24"/>
                <w:szCs w:val="24"/>
                <w:highlight w:val="none"/>
                <w:u w:val="single"/>
              </w:rPr>
              <w:t xml:space="preserve">                      </w:t>
            </w:r>
          </w:p>
        </w:tc>
      </w:tr>
      <w:tr w14:paraId="32EDC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4215" w:type="dxa"/>
            <w:tcBorders>
              <w:top w:val="single" w:color="auto" w:sz="4" w:space="0"/>
              <w:left w:val="single" w:color="auto" w:sz="4" w:space="0"/>
              <w:bottom w:val="single" w:color="auto" w:sz="4" w:space="0"/>
              <w:right w:val="single" w:color="auto" w:sz="4" w:space="0"/>
            </w:tcBorders>
            <w:noWrap w:val="0"/>
            <w:vAlign w:val="center"/>
          </w:tcPr>
          <w:p w14:paraId="7B8FD8FB">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bidi="ar"/>
              </w:rPr>
              <w:t>其</w:t>
            </w:r>
            <w:r>
              <w:rPr>
                <w:rFonts w:hint="eastAsia" w:ascii="宋体" w:hAnsi="宋体" w:eastAsia="宋体" w:cs="宋体"/>
                <w:b/>
                <w:color w:val="auto"/>
                <w:sz w:val="24"/>
                <w:szCs w:val="24"/>
                <w:highlight w:val="none"/>
                <w:lang w:val="en-US" w:eastAsia="zh-CN" w:bidi="ar"/>
              </w:rPr>
              <w:t xml:space="preserve"> </w:t>
            </w:r>
            <w:r>
              <w:rPr>
                <w:rFonts w:hint="eastAsia" w:ascii="宋体" w:hAnsi="宋体" w:eastAsia="宋体" w:cs="宋体"/>
                <w:b/>
                <w:color w:val="auto"/>
                <w:sz w:val="24"/>
                <w:szCs w:val="24"/>
                <w:highlight w:val="none"/>
                <w:lang w:eastAsia="zh-CN" w:bidi="ar"/>
              </w:rPr>
              <w:t>他</w:t>
            </w:r>
            <w:r>
              <w:rPr>
                <w:rFonts w:hint="eastAsia" w:ascii="宋体" w:hAnsi="宋体" w:eastAsia="宋体" w:cs="宋体"/>
                <w:b/>
                <w:color w:val="auto"/>
                <w:sz w:val="24"/>
                <w:szCs w:val="24"/>
                <w:highlight w:val="none"/>
                <w:lang w:val="en-US" w:eastAsia="zh-CN" w:bidi="ar"/>
              </w:rPr>
              <w:t xml:space="preserve"> </w:t>
            </w:r>
            <w:r>
              <w:rPr>
                <w:rFonts w:hint="eastAsia" w:ascii="宋体" w:hAnsi="宋体" w:eastAsia="宋体" w:cs="宋体"/>
                <w:b/>
                <w:color w:val="auto"/>
                <w:sz w:val="24"/>
                <w:szCs w:val="24"/>
                <w:highlight w:val="none"/>
                <w:lang w:bidi="ar"/>
              </w:rPr>
              <w:t>承 诺</w:t>
            </w:r>
          </w:p>
        </w:tc>
        <w:tc>
          <w:tcPr>
            <w:tcW w:w="10111" w:type="dxa"/>
            <w:tcBorders>
              <w:top w:val="single" w:color="auto" w:sz="4" w:space="0"/>
              <w:left w:val="single" w:color="auto" w:sz="4" w:space="0"/>
              <w:bottom w:val="single" w:color="auto" w:sz="4" w:space="0"/>
              <w:right w:val="single" w:color="auto" w:sz="4" w:space="0"/>
            </w:tcBorders>
            <w:noWrap w:val="0"/>
            <w:vAlign w:val="bottom"/>
          </w:tcPr>
          <w:p w14:paraId="36F9973B">
            <w:pPr>
              <w:tabs>
                <w:tab w:val="left" w:pos="865"/>
                <w:tab w:val="right" w:pos="11346"/>
              </w:tabs>
              <w:wordWrap w:val="0"/>
              <w:spacing w:line="440" w:lineRule="exact"/>
              <w:jc w:val="left"/>
              <w:rPr>
                <w:rFonts w:hint="eastAsia" w:ascii="宋体" w:hAnsi="宋体" w:eastAsia="宋体" w:cs="宋体"/>
                <w:b/>
                <w:color w:val="auto"/>
                <w:sz w:val="24"/>
                <w:szCs w:val="24"/>
                <w:highlight w:val="none"/>
              </w:rPr>
            </w:pPr>
          </w:p>
        </w:tc>
      </w:tr>
      <w:tr w14:paraId="031D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4215" w:type="dxa"/>
            <w:tcBorders>
              <w:top w:val="single" w:color="auto" w:sz="4" w:space="0"/>
              <w:left w:val="single" w:color="auto" w:sz="4" w:space="0"/>
              <w:bottom w:val="single" w:color="auto" w:sz="4" w:space="0"/>
              <w:right w:val="single" w:color="auto" w:sz="4" w:space="0"/>
            </w:tcBorders>
            <w:noWrap w:val="0"/>
            <w:vAlign w:val="center"/>
          </w:tcPr>
          <w:p w14:paraId="3744BE66">
            <w:pPr>
              <w:spacing w:line="440" w:lineRule="exact"/>
              <w:jc w:val="center"/>
              <w:rPr>
                <w:rFonts w:hint="eastAsia" w:ascii="宋体" w:hAnsi="宋体" w:eastAsia="宋体" w:cs="宋体"/>
                <w:b/>
                <w:color w:val="auto"/>
                <w:sz w:val="24"/>
                <w:szCs w:val="24"/>
                <w:highlight w:val="none"/>
                <w:lang w:eastAsia="zh-CN" w:bidi="ar"/>
              </w:rPr>
            </w:pPr>
            <w:r>
              <w:rPr>
                <w:rFonts w:hint="eastAsia" w:ascii="宋体" w:hAnsi="宋体" w:eastAsia="宋体" w:cs="宋体"/>
                <w:b/>
                <w:color w:val="auto"/>
                <w:sz w:val="24"/>
                <w:szCs w:val="24"/>
                <w:highlight w:val="none"/>
                <w:lang w:eastAsia="zh-CN" w:bidi="ar"/>
              </w:rPr>
              <w:t>供应商名称</w:t>
            </w:r>
          </w:p>
        </w:tc>
        <w:tc>
          <w:tcPr>
            <w:tcW w:w="10111" w:type="dxa"/>
            <w:tcBorders>
              <w:top w:val="single" w:color="auto" w:sz="4" w:space="0"/>
              <w:left w:val="single" w:color="auto" w:sz="4" w:space="0"/>
              <w:bottom w:val="single" w:color="auto" w:sz="4" w:space="0"/>
              <w:right w:val="single" w:color="auto" w:sz="4" w:space="0"/>
            </w:tcBorders>
            <w:noWrap w:val="0"/>
            <w:vAlign w:val="bottom"/>
          </w:tcPr>
          <w:p w14:paraId="68E76977">
            <w:pPr>
              <w:spacing w:line="440" w:lineRule="exact"/>
              <w:jc w:val="left"/>
              <w:rPr>
                <w:rFonts w:hint="eastAsia" w:ascii="宋体" w:hAnsi="宋体" w:eastAsia="宋体" w:cs="宋体"/>
                <w:b/>
                <w:color w:val="auto"/>
                <w:sz w:val="24"/>
                <w:szCs w:val="24"/>
                <w:highlight w:val="none"/>
                <w:u w:val="single"/>
                <w:lang w:val="en-US" w:eastAsia="zh-CN" w:bidi="ar"/>
              </w:rPr>
            </w:pPr>
            <w:r>
              <w:rPr>
                <w:rFonts w:hint="eastAsia" w:ascii="宋体" w:hAnsi="宋体" w:eastAsia="宋体" w:cs="宋体"/>
                <w:b/>
                <w:color w:val="auto"/>
                <w:sz w:val="24"/>
                <w:szCs w:val="24"/>
                <w:highlight w:val="none"/>
                <w:u w:val="single"/>
                <w:lang w:val="en-US" w:eastAsia="zh-CN" w:bidi="ar"/>
              </w:rPr>
              <w:t xml:space="preserve">                             </w:t>
            </w:r>
          </w:p>
        </w:tc>
      </w:tr>
      <w:tr w14:paraId="40448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215" w:type="dxa"/>
            <w:tcBorders>
              <w:top w:val="single" w:color="auto" w:sz="4" w:space="0"/>
              <w:left w:val="single" w:color="auto" w:sz="4" w:space="0"/>
              <w:bottom w:val="single" w:color="auto" w:sz="4" w:space="0"/>
              <w:right w:val="single" w:color="auto" w:sz="4" w:space="0"/>
            </w:tcBorders>
            <w:noWrap w:val="0"/>
            <w:vAlign w:val="center"/>
          </w:tcPr>
          <w:p w14:paraId="3F389EBC">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法人或</w:t>
            </w:r>
            <w:r>
              <w:rPr>
                <w:rFonts w:hint="eastAsia" w:ascii="宋体" w:hAnsi="宋体" w:eastAsia="宋体" w:cs="宋体"/>
                <w:b/>
                <w:color w:val="auto"/>
                <w:sz w:val="24"/>
                <w:szCs w:val="24"/>
                <w:highlight w:val="none"/>
                <w:lang w:eastAsia="zh-CN" w:bidi="ar"/>
              </w:rPr>
              <w:t>授</w:t>
            </w:r>
            <w:r>
              <w:rPr>
                <w:rFonts w:hint="eastAsia" w:ascii="宋体" w:hAnsi="宋体" w:eastAsia="宋体" w:cs="宋体"/>
                <w:b/>
                <w:color w:val="auto"/>
                <w:sz w:val="24"/>
                <w:szCs w:val="24"/>
                <w:highlight w:val="none"/>
                <w:lang w:bidi="ar"/>
              </w:rPr>
              <w:t>权委托人签字</w:t>
            </w:r>
          </w:p>
        </w:tc>
        <w:tc>
          <w:tcPr>
            <w:tcW w:w="10111" w:type="dxa"/>
            <w:tcBorders>
              <w:top w:val="single" w:color="auto" w:sz="4" w:space="0"/>
              <w:left w:val="single" w:color="auto" w:sz="4" w:space="0"/>
              <w:bottom w:val="single" w:color="auto" w:sz="4" w:space="0"/>
              <w:right w:val="single" w:color="auto" w:sz="4" w:space="0"/>
            </w:tcBorders>
            <w:noWrap w:val="0"/>
            <w:vAlign w:val="center"/>
          </w:tcPr>
          <w:p w14:paraId="58A581A1">
            <w:pPr>
              <w:pStyle w:val="40"/>
              <w:rPr>
                <w:rFonts w:hint="eastAsia" w:ascii="宋体" w:hAnsi="宋体" w:eastAsia="宋体" w:cs="宋体"/>
                <w:b/>
                <w:color w:val="auto"/>
                <w:sz w:val="24"/>
                <w:szCs w:val="24"/>
                <w:highlight w:val="none"/>
                <w:u w:val="single"/>
                <w:lang w:val="en-US" w:eastAsia="zh-CN" w:bidi="ar"/>
              </w:rPr>
            </w:pPr>
          </w:p>
          <w:p w14:paraId="4C7F4D29">
            <w:pPr>
              <w:pStyle w:val="4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lang w:val="en-US" w:eastAsia="zh-CN" w:bidi="ar"/>
              </w:rPr>
              <w:t xml:space="preserve">                      </w:t>
            </w:r>
            <w:r>
              <w:rPr>
                <w:rFonts w:hint="eastAsia" w:ascii="宋体" w:hAnsi="宋体" w:eastAsia="宋体" w:cs="宋体"/>
                <w:b/>
                <w:color w:val="auto"/>
                <w:sz w:val="24"/>
                <w:szCs w:val="24"/>
                <w:highlight w:val="none"/>
                <w:u w:val="none"/>
                <w:lang w:val="en-US" w:eastAsia="zh-CN" w:bidi="ar"/>
              </w:rPr>
              <w:t>（</w:t>
            </w:r>
            <w:r>
              <w:rPr>
                <w:rFonts w:hint="eastAsia" w:hAnsi="宋体" w:cs="宋体"/>
                <w:b/>
                <w:color w:val="auto"/>
                <w:sz w:val="24"/>
                <w:szCs w:val="24"/>
                <w:highlight w:val="none"/>
                <w:u w:val="none"/>
                <w:lang w:val="en-US" w:eastAsia="zh-CN" w:bidi="ar"/>
              </w:rPr>
              <w:t>签字或盖章</w:t>
            </w:r>
            <w:r>
              <w:rPr>
                <w:rFonts w:hint="eastAsia" w:ascii="宋体" w:hAnsi="宋体" w:eastAsia="宋体" w:cs="宋体"/>
                <w:b/>
                <w:color w:val="auto"/>
                <w:sz w:val="24"/>
                <w:szCs w:val="24"/>
                <w:highlight w:val="none"/>
                <w:u w:val="none"/>
                <w:lang w:val="en-US" w:eastAsia="zh-CN" w:bidi="ar"/>
              </w:rPr>
              <w:t>）</w:t>
            </w:r>
          </w:p>
        </w:tc>
      </w:tr>
    </w:tbl>
    <w:p w14:paraId="7B1A12F8">
      <w:pPr>
        <w:spacing w:line="440" w:lineRule="exact"/>
        <w:rPr>
          <w:rFonts w:hint="eastAsia" w:ascii="宋体" w:hAnsi="宋体" w:eastAsia="宋体" w:cs="宋体"/>
          <w:color w:val="auto"/>
          <w:highlight w:val="none"/>
        </w:rPr>
      </w:pPr>
      <w:r>
        <w:rPr>
          <w:rFonts w:hint="eastAsia" w:ascii="宋体" w:hAnsi="宋体" w:eastAsia="宋体" w:cs="宋体"/>
          <w:b/>
          <w:color w:val="auto"/>
          <w:sz w:val="24"/>
          <w:szCs w:val="24"/>
          <w:highlight w:val="none"/>
          <w:lang w:bidi="ar"/>
        </w:rPr>
        <w:t>小写：</w:t>
      </w:r>
      <w:r>
        <w:rPr>
          <w:rFonts w:hint="eastAsia" w:ascii="宋体" w:hAnsi="宋体" w:eastAsia="宋体" w:cs="宋体"/>
          <w:color w:val="auto"/>
          <w:sz w:val="24"/>
          <w:szCs w:val="24"/>
          <w:highlight w:val="none"/>
          <w:lang w:bidi="ar"/>
        </w:rPr>
        <w:t xml:space="preserve"> </w:t>
      </w:r>
      <w:r>
        <w:rPr>
          <w:rFonts w:hint="eastAsia" w:ascii="宋体" w:hAnsi="宋体" w:eastAsia="宋体" w:cs="宋体"/>
          <w:b/>
          <w:color w:val="auto"/>
          <w:sz w:val="24"/>
          <w:szCs w:val="24"/>
          <w:highlight w:val="none"/>
          <w:lang w:bidi="ar"/>
        </w:rPr>
        <w:t xml:space="preserve">1   2   3   4   5   6   7   8   9   0  10   </w:t>
      </w:r>
      <w:r>
        <w:rPr>
          <w:rFonts w:hint="eastAsia" w:ascii="宋体" w:hAnsi="宋体" w:eastAsia="宋体" w:cs="宋体"/>
          <w:bCs/>
          <w:color w:val="auto"/>
          <w:sz w:val="24"/>
          <w:szCs w:val="24"/>
          <w:highlight w:val="none"/>
          <w:lang w:bidi="ar"/>
        </w:rPr>
        <w:t xml:space="preserve"> </w:t>
      </w:r>
      <w:r>
        <w:rPr>
          <w:rFonts w:hint="eastAsia" w:ascii="宋体" w:hAnsi="宋体" w:eastAsia="宋体" w:cs="宋体"/>
          <w:b/>
          <w:color w:val="auto"/>
          <w:sz w:val="24"/>
          <w:szCs w:val="24"/>
          <w:highlight w:val="none"/>
          <w:lang w:bidi="ar"/>
        </w:rPr>
        <w:t>大写：</w:t>
      </w:r>
      <w:r>
        <w:rPr>
          <w:rFonts w:hint="eastAsia" w:ascii="宋体" w:hAnsi="宋体" w:eastAsia="宋体" w:cs="宋体"/>
          <w:color w:val="auto"/>
          <w:sz w:val="24"/>
          <w:szCs w:val="24"/>
          <w:highlight w:val="none"/>
          <w:lang w:bidi="ar"/>
        </w:rPr>
        <w:t xml:space="preserve"> 壹  贰  叁  肆  伍  陆  柒  捌  玖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零</w:t>
      </w:r>
      <w:r>
        <w:rPr>
          <w:rFonts w:hint="eastAsia" w:ascii="宋体" w:hAnsi="宋体" w:eastAsia="宋体" w:cs="宋体"/>
          <w:color w:val="auto"/>
          <w:sz w:val="24"/>
          <w:szCs w:val="24"/>
          <w:highlight w:val="none"/>
          <w:lang w:val="en-US" w:eastAsia="zh-CN" w:bidi="ar"/>
        </w:rPr>
        <w:t xml:space="preserve">  拾</w:t>
      </w:r>
    </w:p>
    <w:p w14:paraId="7EF9594A">
      <w:pPr>
        <w:rPr>
          <w:rFonts w:hint="eastAsia" w:ascii="宋体" w:hAnsi="宋体" w:eastAsia="宋体" w:cs="宋体"/>
          <w:color w:val="auto"/>
          <w:highlight w:val="none"/>
        </w:rPr>
      </w:pPr>
    </w:p>
    <w:p w14:paraId="260282FB">
      <w:pPr>
        <w:pStyle w:val="17"/>
        <w:spacing w:line="0" w:lineRule="atLeast"/>
        <w:ind w:firstLine="482" w:firstLineChars="200"/>
        <w:rPr>
          <w:rFonts w:hint="default" w:ascii="宋体" w:hAnsi="宋体" w:eastAsia="宋体" w:cs="宋体"/>
          <w:lang w:val="en-US"/>
        </w:rPr>
      </w:pPr>
      <w:r>
        <w:rPr>
          <w:rFonts w:hint="eastAsia" w:ascii="宋体" w:hAnsi="宋体" w:eastAsia="宋体" w:cs="宋体"/>
          <w:b/>
          <w:color w:val="auto"/>
          <w:sz w:val="24"/>
          <w:szCs w:val="24"/>
          <w:highlight w:val="none"/>
        </w:rPr>
        <w:t>注：</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本表仅供通过初步评审的供应商在磋商时使用，</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无需附在响应文件中。</w:t>
      </w:r>
    </w:p>
    <w:sectPr>
      <w:headerReference r:id="rId8" w:type="first"/>
      <w:footerReference r:id="rId10" w:type="first"/>
      <w:footerReference r:id="rId9" w:type="default"/>
      <w:pgSz w:w="16838" w:h="11906" w:orient="landscape"/>
      <w:pgMar w:top="1417" w:right="1440" w:bottom="1417" w:left="1440" w:header="1077" w:footer="1077" w:gutter="0"/>
      <w:pgBorders>
        <w:top w:val="none" w:sz="0" w:space="0"/>
        <w:left w:val="none" w:sz="0" w:space="0"/>
        <w:bottom w:val="none" w:sz="0" w:space="0"/>
        <w:right w:val="none" w:sz="0" w:space="0"/>
      </w:pgBorders>
      <w:pgNumType w:fmt="decimal"/>
      <w:cols w:space="708"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汉仪长宋简">
    <w:altName w:val="宋体"/>
    <w:panose1 w:val="00000000000000000000"/>
    <w:charset w:val="86"/>
    <w:family w:val="auto"/>
    <w:pitch w:val="default"/>
    <w:sig w:usb0="00000000"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361BD">
    <w:pPr>
      <w:pStyle w:val="19"/>
      <w:jc w:val="both"/>
      <w:rPr>
        <w:sz w:val="24"/>
      </w:rPr>
    </w:pPr>
    <w:r>
      <w:rPr>
        <w:rFonts w:hint="eastAsia" w:ascii="宋体" w:hAnsi="宋体" w:eastAsia="宋体" w:cs="宋体"/>
        <w:b/>
        <w:spacing w:val="6"/>
        <w:w w:val="80"/>
        <w:kern w:val="0"/>
        <w:szCs w:val="18"/>
        <w:lang w:eastAsia="zh-CN"/>
      </w:rPr>
      <w:t>云南星骋项目管理有限公司</w:t>
    </w:r>
    <w:r>
      <w:rPr>
        <w:rFonts w:hint="eastAsia" w:ascii="宋体" w:hAnsi="宋体" w:eastAsia="宋体" w:cs="宋体"/>
        <w:b/>
        <w:spacing w:val="6"/>
        <w:w w:val="80"/>
        <w:kern w:val="0"/>
        <w:szCs w:val="18"/>
        <w:lang w:val="en-US" w:eastAsia="zh-CN"/>
      </w:rPr>
      <w:t xml:space="preserve">                                                                          竭诚为您服务</w:t>
    </w:r>
    <w:r>
      <w:rPr>
        <w:rFonts w:hint="eastAsia" w:ascii="仿宋_GB2312" w:hAnsi="华文仿宋" w:eastAsia="仿宋_GB2312"/>
        <w:b/>
        <w:bCs/>
        <w:color w:val="00000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BF7FC">
    <w:pPr>
      <w:pStyle w:val="19"/>
      <w:jc w:val="both"/>
      <w:rPr>
        <w:sz w:val="24"/>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B633DC">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4B633DC">
                    <w:pPr>
                      <w:pStyle w:val="1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宋体" w:hAnsi="宋体" w:eastAsia="宋体" w:cs="宋体"/>
        <w:b/>
        <w:spacing w:val="6"/>
        <w:w w:val="80"/>
        <w:kern w:val="0"/>
        <w:szCs w:val="18"/>
        <w:lang w:eastAsia="zh-CN"/>
      </w:rPr>
      <w:t>云南星骋项目管理有限公司</w:t>
    </w:r>
    <w:r>
      <w:rPr>
        <w:rFonts w:hint="eastAsia" w:ascii="宋体" w:hAnsi="宋体" w:eastAsia="宋体" w:cs="宋体"/>
        <w:b/>
        <w:spacing w:val="6"/>
        <w:w w:val="80"/>
        <w:kern w:val="0"/>
        <w:szCs w:val="18"/>
        <w:lang w:val="en-US" w:eastAsia="zh-CN"/>
      </w:rPr>
      <w:t xml:space="preserve">                                                                          竭诚为您服务</w:t>
    </w:r>
    <w:r>
      <w:rPr>
        <w:rFonts w:hint="eastAsia" w:ascii="仿宋_GB2312" w:hAnsi="华文仿宋" w:eastAsia="仿宋_GB2312"/>
        <w:b/>
        <w:bCs/>
        <w:color w:val="00000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933C7">
    <w:pPr>
      <w:pStyle w:val="19"/>
      <w:rPr>
        <w:rFonts w:ascii="仿宋_GB2312" w:hAnsi="仿宋_GB2312" w:eastAsia="汉仪长宋简" w:cs="仿宋_GB2312"/>
        <w:kern w:val="0"/>
        <w:szCs w:val="2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A19058">
                          <w:pPr>
                            <w:pStyle w:val="19"/>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3A19058">
                    <w:pPr>
                      <w:pStyle w:val="19"/>
                    </w:pPr>
                    <w:r>
                      <w:fldChar w:fldCharType="begin"/>
                    </w:r>
                    <w:r>
                      <w:instrText xml:space="preserve"> PAGE  \* MERGEFORMAT </w:instrText>
                    </w:r>
                    <w:r>
                      <w:fldChar w:fldCharType="separate"/>
                    </w:r>
                    <w:r>
                      <w:t>7</w:t>
                    </w:r>
                    <w:r>
                      <w:fldChar w:fldCharType="end"/>
                    </w:r>
                  </w:p>
                </w:txbxContent>
              </v:textbox>
            </v:shape>
          </w:pict>
        </mc:Fallback>
      </mc:AlternateContent>
    </w:r>
    <w:r>
      <w:rPr>
        <w:rFonts w:hint="eastAsia"/>
      </w:rPr>
      <w:t xml:space="preserve"> </w:t>
    </w:r>
    <w:r>
      <w:rPr>
        <w:rFonts w:hint="eastAsia" w:ascii="宋体" w:hAnsi="宋体" w:eastAsia="宋体" w:cs="宋体"/>
        <w:b/>
        <w:spacing w:val="6"/>
        <w:w w:val="80"/>
        <w:kern w:val="0"/>
        <w:szCs w:val="18"/>
        <w:lang w:eastAsia="zh-CN"/>
      </w:rPr>
      <w:t>云南星骋项目管理有限公司</w:t>
    </w:r>
    <w:r>
      <w:rPr>
        <w:rFonts w:hint="eastAsia" w:ascii="宋体" w:hAnsi="宋体" w:eastAsia="宋体" w:cs="宋体"/>
        <w:b/>
        <w:spacing w:val="6"/>
        <w:w w:val="80"/>
        <w:kern w:val="0"/>
        <w:szCs w:val="18"/>
        <w:lang w:val="en-US" w:eastAsia="zh-CN"/>
      </w:rPr>
      <w:t xml:space="preserve">                                                                         竭诚为您服务</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03B62">
    <w:pPr>
      <w:pStyle w:val="19"/>
      <w:rPr>
        <w:rFonts w:ascii="仿宋_GB2312" w:hAnsi="仿宋_GB2312" w:eastAsia="汉仪长宋简" w:cs="仿宋_GB2312"/>
        <w:b/>
        <w:bCs/>
        <w:kern w:val="0"/>
        <w:szCs w:val="21"/>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0555A8">
                          <w:pPr>
                            <w:pStyle w:val="19"/>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C0555A8">
                    <w:pPr>
                      <w:pStyle w:val="19"/>
                    </w:pPr>
                    <w:r>
                      <w:fldChar w:fldCharType="begin"/>
                    </w:r>
                    <w:r>
                      <w:instrText xml:space="preserve"> PAGE  \* MERGEFORMAT </w:instrText>
                    </w:r>
                    <w:r>
                      <w:fldChar w:fldCharType="separate"/>
                    </w:r>
                    <w:r>
                      <w:t>99</w:t>
                    </w:r>
                    <w:r>
                      <w:fldChar w:fldCharType="end"/>
                    </w:r>
                  </w:p>
                </w:txbxContent>
              </v:textbox>
            </v:shape>
          </w:pict>
        </mc:Fallback>
      </mc:AlternateContent>
    </w:r>
    <w:r>
      <w:rPr>
        <w:rFonts w:hint="eastAsia"/>
        <w:b/>
        <w:bCs/>
        <w:sz w:val="18"/>
        <w:lang w:eastAsia="zh-CN"/>
      </w:rPr>
      <w:t>云南星骋项目管理有限公司</w:t>
    </w:r>
    <w:r>
      <w:rPr>
        <w:rFonts w:hint="eastAsia"/>
        <w:b/>
        <w:bCs/>
        <w:sz w:val="18"/>
        <w:lang w:val="en-US" w:eastAsia="zh-CN"/>
      </w:rPr>
      <w:t xml:space="preserve">                                                                竭诚为您服务</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D582C">
    <w:pPr>
      <w:pStyle w:val="19"/>
      <w:rPr>
        <w:rFonts w:ascii="仿宋_GB2312" w:hAnsi="仿宋_GB2312" w:eastAsia="汉仪长宋简" w:cs="仿宋_GB2312"/>
        <w:b/>
        <w:bCs/>
        <w:kern w:val="0"/>
        <w:szCs w:val="21"/>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EA4231">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FEA4231">
                    <w:pPr>
                      <w:pStyle w:val="1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b/>
        <w:bCs/>
        <w:sz w:val="18"/>
        <w:lang w:eastAsia="zh-CN"/>
      </w:rPr>
      <w:t>云南星骋项目管理有限公司</w:t>
    </w:r>
    <w:r>
      <w:rPr>
        <w:rFonts w:hint="eastAsia"/>
        <w:b/>
        <w:bCs/>
        <w:sz w:val="18"/>
        <w:lang w:val="en-US" w:eastAsia="zh-CN"/>
      </w:rPr>
      <w:t xml:space="preserve">                                                                竭诚为您服务</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E0E9D">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5FAB4F">
                          <w:pPr>
                            <w:pStyle w:val="19"/>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15FAB4F">
                    <w:pPr>
                      <w:pStyle w:val="19"/>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7B58D">
    <w:pPr>
      <w:pStyle w:val="20"/>
      <w:keepNext w:val="0"/>
      <w:keepLines w:val="0"/>
      <w:pageBreakBefore w:val="0"/>
      <w:widowControl w:val="0"/>
      <w:pBdr>
        <w:bottom w:val="thickThinSmallGap" w:color="auto" w:sz="12" w:space="1"/>
      </w:pBdr>
      <w:kinsoku/>
      <w:wordWrap/>
      <w:overflowPunct/>
      <w:topLinePunct w:val="0"/>
      <w:bidi w:val="0"/>
      <w:adjustRightInd/>
      <w:snapToGrid w:val="0"/>
      <w:spacing w:line="400" w:lineRule="exact"/>
      <w:jc w:val="left"/>
      <w:textAlignment w:val="auto"/>
      <w:rPr>
        <w:rFonts w:hint="eastAsia" w:ascii="仿宋" w:hAnsi="仿宋" w:eastAsia="仿宋" w:cs="仿宋"/>
        <w:b/>
        <w:bCs/>
        <w:sz w:val="21"/>
        <w:szCs w:val="21"/>
        <w:lang w:eastAsia="zh-CN"/>
      </w:rPr>
    </w:pPr>
    <w:r>
      <w:rPr>
        <w:rFonts w:hint="eastAsia" w:ascii="仿宋" w:hAnsi="仿宋" w:eastAsia="仿宋" w:cs="仿宋"/>
        <w:b/>
        <w:bCs/>
        <w:sz w:val="21"/>
        <w:lang w:val="en-US" w:eastAsia="zh-CN"/>
      </w:rPr>
      <w:t>景洪市第四中学行政楼、主教学楼及学生宿舍楼修缮建设项目</w:t>
    </w:r>
    <w:r>
      <w:rPr>
        <w:rFonts w:hint="eastAsia" w:ascii="仿宋" w:hAnsi="仿宋" w:eastAsia="仿宋" w:cs="仿宋"/>
        <w:b/>
        <w:bCs/>
        <w:sz w:val="21"/>
        <w:lang w:val="en-US"/>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5760720" cy="4265295"/>
          <wp:effectExtent l="0" t="0" r="11430" b="1905"/>
          <wp:wrapNone/>
          <wp:docPr id="9" name="WordPictureWatermark20097" descr="bb92dac73e04fbfd6e91c372a67e0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PictureWatermark20097" descr="bb92dac73e04fbfd6e91c372a67e0e2"/>
                  <pic:cNvPicPr>
                    <a:picLocks noChangeAspect="1"/>
                  </pic:cNvPicPr>
                </pic:nvPicPr>
                <pic:blipFill>
                  <a:blip r:embed="rId1">
                    <a:lum bright="70000" contrast="-70000"/>
                  </a:blip>
                  <a:stretch>
                    <a:fillRect/>
                  </a:stretch>
                </pic:blipFill>
                <pic:spPr>
                  <a:xfrm>
                    <a:off x="0" y="0"/>
                    <a:ext cx="5760720" cy="4265295"/>
                  </a:xfrm>
                  <a:prstGeom prst="rect">
                    <a:avLst/>
                  </a:prstGeom>
                </pic:spPr>
              </pic:pic>
            </a:graphicData>
          </a:graphic>
        </wp:anchor>
      </w:drawing>
    </w:r>
    <w:r>
      <w:rPr>
        <w:rFonts w:hint="eastAsia" w:ascii="仿宋" w:hAnsi="仿宋" w:eastAsia="仿宋" w:cs="仿宋"/>
        <w:b/>
        <w:bCs/>
        <w:sz w:val="21"/>
        <w:szCs w:val="21"/>
      </w:rPr>
      <w:t xml:space="preserve">   </w:t>
    </w:r>
    <w:r>
      <w:rPr>
        <w:rFonts w:hint="eastAsia" w:ascii="仿宋" w:hAnsi="仿宋" w:eastAsia="仿宋" w:cs="仿宋"/>
        <w:b/>
        <w:bCs/>
        <w:sz w:val="21"/>
        <w:szCs w:val="21"/>
        <w:lang w:val="en-US" w:eastAsia="zh-CN"/>
      </w:rPr>
      <w:t xml:space="preserve">              </w:t>
    </w:r>
    <w:r>
      <w:rPr>
        <w:rFonts w:hint="eastAsia" w:ascii="仿宋" w:hAnsi="仿宋" w:eastAsia="仿宋" w:cs="仿宋"/>
        <w:b/>
        <w:bCs/>
        <w:sz w:val="21"/>
        <w:szCs w:val="21"/>
        <w:lang w:eastAsia="zh-CN"/>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22A93">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430FF2"/>
    <w:multiLevelType w:val="singleLevel"/>
    <w:tmpl w:val="81430FF2"/>
    <w:lvl w:ilvl="0" w:tentative="0">
      <w:start w:val="1"/>
      <w:numFmt w:val="decimal"/>
      <w:lvlText w:val="%1."/>
      <w:lvlJc w:val="left"/>
      <w:pPr>
        <w:tabs>
          <w:tab w:val="left" w:pos="312"/>
        </w:tabs>
      </w:pPr>
    </w:lvl>
  </w:abstractNum>
  <w:abstractNum w:abstractNumId="1">
    <w:nsid w:val="A5BD4F58"/>
    <w:multiLevelType w:val="singleLevel"/>
    <w:tmpl w:val="A5BD4F58"/>
    <w:lvl w:ilvl="0" w:tentative="0">
      <w:start w:val="1"/>
      <w:numFmt w:val="decimal"/>
      <w:suff w:val="space"/>
      <w:lvlText w:val="（%1）"/>
      <w:lvlJc w:val="left"/>
    </w:lvl>
  </w:abstractNum>
  <w:abstractNum w:abstractNumId="2">
    <w:nsid w:val="D46A7F3E"/>
    <w:multiLevelType w:val="singleLevel"/>
    <w:tmpl w:val="D46A7F3E"/>
    <w:lvl w:ilvl="0" w:tentative="0">
      <w:start w:val="2"/>
      <w:numFmt w:val="decimal"/>
      <w:suff w:val="space"/>
      <w:lvlText w:val="%1."/>
      <w:lvlJc w:val="left"/>
    </w:lvl>
  </w:abstractNum>
  <w:abstractNum w:abstractNumId="3">
    <w:nsid w:val="F4F36D53"/>
    <w:multiLevelType w:val="singleLevel"/>
    <w:tmpl w:val="F4F36D53"/>
    <w:lvl w:ilvl="0" w:tentative="0">
      <w:start w:val="11"/>
      <w:numFmt w:val="decimal"/>
      <w:suff w:val="space"/>
      <w:lvlText w:val="%1."/>
      <w:lvlJc w:val="left"/>
    </w:lvl>
  </w:abstractNum>
  <w:abstractNum w:abstractNumId="4">
    <w:nsid w:val="F61AC44D"/>
    <w:multiLevelType w:val="singleLevel"/>
    <w:tmpl w:val="F61AC44D"/>
    <w:lvl w:ilvl="0" w:tentative="0">
      <w:start w:val="1"/>
      <w:numFmt w:val="chineseCounting"/>
      <w:suff w:val="nothing"/>
      <w:lvlText w:val="（%1）"/>
      <w:lvlJc w:val="left"/>
      <w:rPr>
        <w:rFonts w:hint="eastAsia"/>
      </w:rPr>
    </w:lvl>
  </w:abstractNum>
  <w:abstractNum w:abstractNumId="5">
    <w:nsid w:val="0A1CBD74"/>
    <w:multiLevelType w:val="singleLevel"/>
    <w:tmpl w:val="0A1CBD74"/>
    <w:lvl w:ilvl="0" w:tentative="0">
      <w:start w:val="1"/>
      <w:numFmt w:val="chineseCounting"/>
      <w:suff w:val="nothing"/>
      <w:lvlText w:val="%1、"/>
      <w:lvlJc w:val="left"/>
      <w:pPr>
        <w:ind w:left="70" w:firstLine="420"/>
      </w:pPr>
      <w:rPr>
        <w:rFonts w:hint="eastAsia"/>
      </w:rPr>
    </w:lvl>
  </w:abstractNum>
  <w:abstractNum w:abstractNumId="6">
    <w:nsid w:val="16F99785"/>
    <w:multiLevelType w:val="singleLevel"/>
    <w:tmpl w:val="16F99785"/>
    <w:lvl w:ilvl="0" w:tentative="0">
      <w:start w:val="1"/>
      <w:numFmt w:val="decimal"/>
      <w:lvlText w:val="%1."/>
      <w:lvlJc w:val="left"/>
      <w:pPr>
        <w:tabs>
          <w:tab w:val="left" w:pos="312"/>
        </w:tabs>
      </w:pPr>
    </w:lvl>
  </w:abstractNum>
  <w:abstractNum w:abstractNumId="7">
    <w:nsid w:val="1EB2BB19"/>
    <w:multiLevelType w:val="singleLevel"/>
    <w:tmpl w:val="1EB2BB19"/>
    <w:lvl w:ilvl="0" w:tentative="0">
      <w:start w:val="8"/>
      <w:numFmt w:val="chineseCounting"/>
      <w:suff w:val="nothing"/>
      <w:lvlText w:val="%1、"/>
      <w:lvlJc w:val="left"/>
      <w:rPr>
        <w:rFonts w:hint="eastAsia"/>
      </w:rPr>
    </w:lvl>
  </w:abstractNum>
  <w:abstractNum w:abstractNumId="8">
    <w:nsid w:val="2960EF6F"/>
    <w:multiLevelType w:val="singleLevel"/>
    <w:tmpl w:val="2960EF6F"/>
    <w:lvl w:ilvl="0" w:tentative="0">
      <w:start w:val="1"/>
      <w:numFmt w:val="decimal"/>
      <w:lvlText w:val="%1."/>
      <w:lvlJc w:val="left"/>
      <w:pPr>
        <w:tabs>
          <w:tab w:val="left" w:pos="312"/>
        </w:tabs>
      </w:pPr>
    </w:lvl>
  </w:abstractNum>
  <w:abstractNum w:abstractNumId="9">
    <w:nsid w:val="2AD57040"/>
    <w:multiLevelType w:val="multilevel"/>
    <w:tmpl w:val="2AD57040"/>
    <w:lvl w:ilvl="0" w:tentative="0">
      <w:start w:val="1"/>
      <w:numFmt w:val="decimal"/>
      <w:pStyle w:val="45"/>
      <w:suff w:val="nothing"/>
      <w:lvlText w:val="%1."/>
      <w:lvlJc w:val="left"/>
      <w:pPr>
        <w:ind w:left="704" w:hanging="420"/>
      </w:pPr>
      <w:rPr>
        <w:rFonts w:hint="eastAsia" w:ascii="宋体" w:hAnsi="Times New Roman" w:eastAsia="宋体"/>
        <w:sz w:val="24"/>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0">
    <w:nsid w:val="2CE3D3F9"/>
    <w:multiLevelType w:val="multilevel"/>
    <w:tmpl w:val="2CE3D3F9"/>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1">
    <w:nsid w:val="6A97B5A1"/>
    <w:multiLevelType w:val="singleLevel"/>
    <w:tmpl w:val="6A97B5A1"/>
    <w:lvl w:ilvl="0" w:tentative="0">
      <w:start w:val="1"/>
      <w:numFmt w:val="decimal"/>
      <w:suff w:val="nothing"/>
      <w:lvlText w:val="（%1）"/>
      <w:lvlJc w:val="left"/>
    </w:lvl>
  </w:abstractNum>
  <w:num w:numId="1">
    <w:abstractNumId w:val="9"/>
  </w:num>
  <w:num w:numId="2">
    <w:abstractNumId w:val="11"/>
  </w:num>
  <w:num w:numId="3">
    <w:abstractNumId w:val="4"/>
  </w:num>
  <w:num w:numId="4">
    <w:abstractNumId w:val="7"/>
  </w:num>
  <w:num w:numId="5">
    <w:abstractNumId w:val="6"/>
  </w:num>
  <w:num w:numId="6">
    <w:abstractNumId w:val="10"/>
  </w:num>
  <w:num w:numId="7">
    <w:abstractNumId w:val="0"/>
  </w:num>
  <w:num w:numId="8">
    <w:abstractNumId w:val="2"/>
  </w:num>
  <w:num w:numId="9">
    <w:abstractNumId w:val="1"/>
  </w:num>
  <w:num w:numId="10">
    <w:abstractNumId w:val="3"/>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djNmY2ZGJhMTViODZhY2EyNTljMmJmNTc4YzllOTUifQ=="/>
  </w:docVars>
  <w:rsids>
    <w:rsidRoot w:val="00FE193E"/>
    <w:rsid w:val="00056427"/>
    <w:rsid w:val="00083A60"/>
    <w:rsid w:val="0008597B"/>
    <w:rsid w:val="000E7B1F"/>
    <w:rsid w:val="00124EEE"/>
    <w:rsid w:val="00203660"/>
    <w:rsid w:val="00237705"/>
    <w:rsid w:val="00255B97"/>
    <w:rsid w:val="00283BF7"/>
    <w:rsid w:val="002F14AD"/>
    <w:rsid w:val="00317DF0"/>
    <w:rsid w:val="0039123E"/>
    <w:rsid w:val="003F1520"/>
    <w:rsid w:val="00452C47"/>
    <w:rsid w:val="004D1A5B"/>
    <w:rsid w:val="004E62C9"/>
    <w:rsid w:val="004F4A8A"/>
    <w:rsid w:val="0054292C"/>
    <w:rsid w:val="005441E9"/>
    <w:rsid w:val="00607DD0"/>
    <w:rsid w:val="00616CE9"/>
    <w:rsid w:val="00656AEF"/>
    <w:rsid w:val="00680220"/>
    <w:rsid w:val="006E5AF6"/>
    <w:rsid w:val="007E2A2F"/>
    <w:rsid w:val="008907C5"/>
    <w:rsid w:val="008B4074"/>
    <w:rsid w:val="008C0DC4"/>
    <w:rsid w:val="008F134D"/>
    <w:rsid w:val="009030CF"/>
    <w:rsid w:val="00A26869"/>
    <w:rsid w:val="00B85312"/>
    <w:rsid w:val="00BE4DB3"/>
    <w:rsid w:val="00F238E3"/>
    <w:rsid w:val="00FA1D28"/>
    <w:rsid w:val="00FE193E"/>
    <w:rsid w:val="01121891"/>
    <w:rsid w:val="011C79D7"/>
    <w:rsid w:val="012F5F9F"/>
    <w:rsid w:val="016765DE"/>
    <w:rsid w:val="01884F40"/>
    <w:rsid w:val="01C50A95"/>
    <w:rsid w:val="01D1563A"/>
    <w:rsid w:val="01D7257B"/>
    <w:rsid w:val="01DA50BC"/>
    <w:rsid w:val="02215A8D"/>
    <w:rsid w:val="02396161"/>
    <w:rsid w:val="026876C0"/>
    <w:rsid w:val="02813E5C"/>
    <w:rsid w:val="02823586"/>
    <w:rsid w:val="02872047"/>
    <w:rsid w:val="028B36A9"/>
    <w:rsid w:val="02D92666"/>
    <w:rsid w:val="03232E5C"/>
    <w:rsid w:val="034E1E2E"/>
    <w:rsid w:val="043E0B51"/>
    <w:rsid w:val="04B939FB"/>
    <w:rsid w:val="053E2C54"/>
    <w:rsid w:val="054F6153"/>
    <w:rsid w:val="0553599A"/>
    <w:rsid w:val="057F3DE6"/>
    <w:rsid w:val="05F4674E"/>
    <w:rsid w:val="063026EF"/>
    <w:rsid w:val="063B7194"/>
    <w:rsid w:val="06420C30"/>
    <w:rsid w:val="06453D55"/>
    <w:rsid w:val="067B6C86"/>
    <w:rsid w:val="06927713"/>
    <w:rsid w:val="06A106E9"/>
    <w:rsid w:val="07097470"/>
    <w:rsid w:val="071F685B"/>
    <w:rsid w:val="073E518E"/>
    <w:rsid w:val="076150E3"/>
    <w:rsid w:val="076247EA"/>
    <w:rsid w:val="0788465B"/>
    <w:rsid w:val="07BC60B3"/>
    <w:rsid w:val="08CF138E"/>
    <w:rsid w:val="08D80AB6"/>
    <w:rsid w:val="08DB7D97"/>
    <w:rsid w:val="0918731A"/>
    <w:rsid w:val="0946657C"/>
    <w:rsid w:val="095A7BED"/>
    <w:rsid w:val="09866978"/>
    <w:rsid w:val="099472E7"/>
    <w:rsid w:val="09C474A0"/>
    <w:rsid w:val="0A0F261E"/>
    <w:rsid w:val="0A112D3E"/>
    <w:rsid w:val="0A5C1069"/>
    <w:rsid w:val="0AE26B01"/>
    <w:rsid w:val="0B5C2086"/>
    <w:rsid w:val="0B8A16C1"/>
    <w:rsid w:val="0B9335CE"/>
    <w:rsid w:val="0B9E269F"/>
    <w:rsid w:val="0BB60BE8"/>
    <w:rsid w:val="0C1F4E62"/>
    <w:rsid w:val="0CA83369"/>
    <w:rsid w:val="0CDF6CD9"/>
    <w:rsid w:val="0CE642FD"/>
    <w:rsid w:val="0CEF4661"/>
    <w:rsid w:val="0D870F11"/>
    <w:rsid w:val="0DB735A4"/>
    <w:rsid w:val="0DC9777B"/>
    <w:rsid w:val="0DDA3BE9"/>
    <w:rsid w:val="0E6C20E1"/>
    <w:rsid w:val="0E7C659C"/>
    <w:rsid w:val="0E8F62CF"/>
    <w:rsid w:val="0EC35F79"/>
    <w:rsid w:val="0EF97BEC"/>
    <w:rsid w:val="0F120FEB"/>
    <w:rsid w:val="0F161A6C"/>
    <w:rsid w:val="0F2177F9"/>
    <w:rsid w:val="0F323C22"/>
    <w:rsid w:val="0F5C0557"/>
    <w:rsid w:val="0F5F0397"/>
    <w:rsid w:val="0F691CE3"/>
    <w:rsid w:val="0FB32F25"/>
    <w:rsid w:val="0FB51D65"/>
    <w:rsid w:val="0FBD6883"/>
    <w:rsid w:val="0FF54858"/>
    <w:rsid w:val="0FFE370C"/>
    <w:rsid w:val="10044A9B"/>
    <w:rsid w:val="10203F5F"/>
    <w:rsid w:val="104F3F68"/>
    <w:rsid w:val="10557C66"/>
    <w:rsid w:val="10BE733F"/>
    <w:rsid w:val="10FB5E9E"/>
    <w:rsid w:val="11592409"/>
    <w:rsid w:val="117655AE"/>
    <w:rsid w:val="118A2DD8"/>
    <w:rsid w:val="119D51A7"/>
    <w:rsid w:val="11E17F8F"/>
    <w:rsid w:val="12080872"/>
    <w:rsid w:val="12140B5F"/>
    <w:rsid w:val="1288550F"/>
    <w:rsid w:val="129245E0"/>
    <w:rsid w:val="12A10CC7"/>
    <w:rsid w:val="13266FD3"/>
    <w:rsid w:val="133E6515"/>
    <w:rsid w:val="134D0507"/>
    <w:rsid w:val="1350677B"/>
    <w:rsid w:val="135F7A86"/>
    <w:rsid w:val="14343A95"/>
    <w:rsid w:val="143771ED"/>
    <w:rsid w:val="146F7B6A"/>
    <w:rsid w:val="1497412F"/>
    <w:rsid w:val="152073C1"/>
    <w:rsid w:val="15347683"/>
    <w:rsid w:val="15542020"/>
    <w:rsid w:val="15692825"/>
    <w:rsid w:val="15BB2DC0"/>
    <w:rsid w:val="15C15DDB"/>
    <w:rsid w:val="15C727F2"/>
    <w:rsid w:val="16454192"/>
    <w:rsid w:val="1663076D"/>
    <w:rsid w:val="16790ADD"/>
    <w:rsid w:val="168406E3"/>
    <w:rsid w:val="168564E4"/>
    <w:rsid w:val="16910295"/>
    <w:rsid w:val="16964465"/>
    <w:rsid w:val="170C1D07"/>
    <w:rsid w:val="170C294B"/>
    <w:rsid w:val="173A1E04"/>
    <w:rsid w:val="177C0692"/>
    <w:rsid w:val="178E5821"/>
    <w:rsid w:val="17CF1CB3"/>
    <w:rsid w:val="17D17958"/>
    <w:rsid w:val="188E56EE"/>
    <w:rsid w:val="18F966A8"/>
    <w:rsid w:val="190235CE"/>
    <w:rsid w:val="19324427"/>
    <w:rsid w:val="19337ED3"/>
    <w:rsid w:val="194B7296"/>
    <w:rsid w:val="194F7E45"/>
    <w:rsid w:val="19A15110"/>
    <w:rsid w:val="19D94449"/>
    <w:rsid w:val="1A0459A2"/>
    <w:rsid w:val="1A057D8D"/>
    <w:rsid w:val="1A3C612E"/>
    <w:rsid w:val="1AB05E55"/>
    <w:rsid w:val="1ADA75A4"/>
    <w:rsid w:val="1AE856E5"/>
    <w:rsid w:val="1B096ECA"/>
    <w:rsid w:val="1B377AC9"/>
    <w:rsid w:val="1BAB44EB"/>
    <w:rsid w:val="1BD71E98"/>
    <w:rsid w:val="1BF97DC1"/>
    <w:rsid w:val="1C7F1742"/>
    <w:rsid w:val="1CAC2742"/>
    <w:rsid w:val="1CE75528"/>
    <w:rsid w:val="1D3544E5"/>
    <w:rsid w:val="1D4F5AA7"/>
    <w:rsid w:val="1D921938"/>
    <w:rsid w:val="1DB57B00"/>
    <w:rsid w:val="1DD35584"/>
    <w:rsid w:val="1DDA5477"/>
    <w:rsid w:val="1E093760"/>
    <w:rsid w:val="1E4569AA"/>
    <w:rsid w:val="1E650DFA"/>
    <w:rsid w:val="1E7829C0"/>
    <w:rsid w:val="1F3A2690"/>
    <w:rsid w:val="1F8E6A21"/>
    <w:rsid w:val="1FF02B97"/>
    <w:rsid w:val="20230F6D"/>
    <w:rsid w:val="20523600"/>
    <w:rsid w:val="20781D60"/>
    <w:rsid w:val="211E3A90"/>
    <w:rsid w:val="21322FA9"/>
    <w:rsid w:val="213351E0"/>
    <w:rsid w:val="21B005DE"/>
    <w:rsid w:val="21B171D2"/>
    <w:rsid w:val="2245341D"/>
    <w:rsid w:val="227274B9"/>
    <w:rsid w:val="228F4698"/>
    <w:rsid w:val="2298750D"/>
    <w:rsid w:val="22C23F42"/>
    <w:rsid w:val="22D402FC"/>
    <w:rsid w:val="22D664A2"/>
    <w:rsid w:val="23043B39"/>
    <w:rsid w:val="234A6966"/>
    <w:rsid w:val="234B6811"/>
    <w:rsid w:val="239B2AEF"/>
    <w:rsid w:val="23F94634"/>
    <w:rsid w:val="23FC0B87"/>
    <w:rsid w:val="24092B5C"/>
    <w:rsid w:val="242D24D1"/>
    <w:rsid w:val="2455546D"/>
    <w:rsid w:val="24975A86"/>
    <w:rsid w:val="24CD58EA"/>
    <w:rsid w:val="24ED1D23"/>
    <w:rsid w:val="24F67167"/>
    <w:rsid w:val="25121D2C"/>
    <w:rsid w:val="252D002D"/>
    <w:rsid w:val="2564005E"/>
    <w:rsid w:val="25AC730F"/>
    <w:rsid w:val="25AE12D9"/>
    <w:rsid w:val="25D93D6F"/>
    <w:rsid w:val="25DF3744"/>
    <w:rsid w:val="26722306"/>
    <w:rsid w:val="268564DD"/>
    <w:rsid w:val="26867B60"/>
    <w:rsid w:val="27D52028"/>
    <w:rsid w:val="28186EDD"/>
    <w:rsid w:val="282B1C55"/>
    <w:rsid w:val="28321D4D"/>
    <w:rsid w:val="28B9421C"/>
    <w:rsid w:val="28BC0C5B"/>
    <w:rsid w:val="294837F2"/>
    <w:rsid w:val="294D7AEA"/>
    <w:rsid w:val="295C7BF9"/>
    <w:rsid w:val="29643DAA"/>
    <w:rsid w:val="296A19BB"/>
    <w:rsid w:val="2985004F"/>
    <w:rsid w:val="29A27118"/>
    <w:rsid w:val="29F15B4F"/>
    <w:rsid w:val="2A2F3F5A"/>
    <w:rsid w:val="2A77438F"/>
    <w:rsid w:val="2A97058D"/>
    <w:rsid w:val="2ACC30AC"/>
    <w:rsid w:val="2AF50F0A"/>
    <w:rsid w:val="2B035C23"/>
    <w:rsid w:val="2B73131E"/>
    <w:rsid w:val="2B9E3D10"/>
    <w:rsid w:val="2C1C3440"/>
    <w:rsid w:val="2C2A3B17"/>
    <w:rsid w:val="2C952ED3"/>
    <w:rsid w:val="2D136F3F"/>
    <w:rsid w:val="2D1934DC"/>
    <w:rsid w:val="2D510EC7"/>
    <w:rsid w:val="2D614E83"/>
    <w:rsid w:val="2D6A1F89"/>
    <w:rsid w:val="2D7C26A2"/>
    <w:rsid w:val="2DA36489"/>
    <w:rsid w:val="2DCA0C7A"/>
    <w:rsid w:val="2DEE02ED"/>
    <w:rsid w:val="2E982B26"/>
    <w:rsid w:val="2EBE1054"/>
    <w:rsid w:val="2EC523EE"/>
    <w:rsid w:val="2EFE6B61"/>
    <w:rsid w:val="2F723377"/>
    <w:rsid w:val="2F8D3C4F"/>
    <w:rsid w:val="2FF10740"/>
    <w:rsid w:val="2FFA6A08"/>
    <w:rsid w:val="306C6018"/>
    <w:rsid w:val="308D4E47"/>
    <w:rsid w:val="30967009"/>
    <w:rsid w:val="30A667C9"/>
    <w:rsid w:val="310E1E17"/>
    <w:rsid w:val="313E79B5"/>
    <w:rsid w:val="31466FBE"/>
    <w:rsid w:val="314F3970"/>
    <w:rsid w:val="31CA749A"/>
    <w:rsid w:val="31E33313"/>
    <w:rsid w:val="323D1A1A"/>
    <w:rsid w:val="323E39E4"/>
    <w:rsid w:val="324174CD"/>
    <w:rsid w:val="3244657C"/>
    <w:rsid w:val="32483858"/>
    <w:rsid w:val="327411B4"/>
    <w:rsid w:val="32825F8E"/>
    <w:rsid w:val="32CE4D68"/>
    <w:rsid w:val="32DA1D98"/>
    <w:rsid w:val="33182487"/>
    <w:rsid w:val="335334BF"/>
    <w:rsid w:val="335A4C74"/>
    <w:rsid w:val="33745092"/>
    <w:rsid w:val="33AC61CE"/>
    <w:rsid w:val="33B63CD4"/>
    <w:rsid w:val="341B3FDD"/>
    <w:rsid w:val="341E7629"/>
    <w:rsid w:val="34763909"/>
    <w:rsid w:val="34CA1856"/>
    <w:rsid w:val="34FA343A"/>
    <w:rsid w:val="350157B8"/>
    <w:rsid w:val="35215636"/>
    <w:rsid w:val="3562649F"/>
    <w:rsid w:val="356E4461"/>
    <w:rsid w:val="35B77D36"/>
    <w:rsid w:val="35CD57AB"/>
    <w:rsid w:val="35D04788"/>
    <w:rsid w:val="360B1E2F"/>
    <w:rsid w:val="363718F7"/>
    <w:rsid w:val="365C268B"/>
    <w:rsid w:val="368215B3"/>
    <w:rsid w:val="36A22989"/>
    <w:rsid w:val="37117919"/>
    <w:rsid w:val="37421881"/>
    <w:rsid w:val="378D2149"/>
    <w:rsid w:val="379E7F96"/>
    <w:rsid w:val="37B82B30"/>
    <w:rsid w:val="38213B8C"/>
    <w:rsid w:val="384671A5"/>
    <w:rsid w:val="3848736B"/>
    <w:rsid w:val="38B715B0"/>
    <w:rsid w:val="38FE6EC1"/>
    <w:rsid w:val="39335925"/>
    <w:rsid w:val="394A456F"/>
    <w:rsid w:val="39513299"/>
    <w:rsid w:val="395F671A"/>
    <w:rsid w:val="397E7298"/>
    <w:rsid w:val="39965A01"/>
    <w:rsid w:val="39A16D33"/>
    <w:rsid w:val="39E36D7F"/>
    <w:rsid w:val="39E657F8"/>
    <w:rsid w:val="39F670C0"/>
    <w:rsid w:val="3A0A75ED"/>
    <w:rsid w:val="3A1305D9"/>
    <w:rsid w:val="3A333BB2"/>
    <w:rsid w:val="3A6C233C"/>
    <w:rsid w:val="3A807ABB"/>
    <w:rsid w:val="3A8563AC"/>
    <w:rsid w:val="3A87448F"/>
    <w:rsid w:val="3A94276A"/>
    <w:rsid w:val="3ABE6104"/>
    <w:rsid w:val="3AE27603"/>
    <w:rsid w:val="3AE70EA8"/>
    <w:rsid w:val="3B0650EA"/>
    <w:rsid w:val="3B630C16"/>
    <w:rsid w:val="3B7C28A5"/>
    <w:rsid w:val="3B8D2504"/>
    <w:rsid w:val="3B8E32E7"/>
    <w:rsid w:val="3BC56A99"/>
    <w:rsid w:val="3BE41159"/>
    <w:rsid w:val="3BF33A92"/>
    <w:rsid w:val="3C1A0E28"/>
    <w:rsid w:val="3C642299"/>
    <w:rsid w:val="3CA03B81"/>
    <w:rsid w:val="3D1A3C94"/>
    <w:rsid w:val="3D363C36"/>
    <w:rsid w:val="3D505F6A"/>
    <w:rsid w:val="3D780273"/>
    <w:rsid w:val="3DEA6BE5"/>
    <w:rsid w:val="3E4B2C82"/>
    <w:rsid w:val="3EA82911"/>
    <w:rsid w:val="3EF5058E"/>
    <w:rsid w:val="3EFF3896"/>
    <w:rsid w:val="3FD35566"/>
    <w:rsid w:val="3FF24B82"/>
    <w:rsid w:val="40525783"/>
    <w:rsid w:val="40542CB7"/>
    <w:rsid w:val="40B530C4"/>
    <w:rsid w:val="40CA73E6"/>
    <w:rsid w:val="41362456"/>
    <w:rsid w:val="41483F38"/>
    <w:rsid w:val="417116E0"/>
    <w:rsid w:val="41C132ED"/>
    <w:rsid w:val="42094666"/>
    <w:rsid w:val="420D3F86"/>
    <w:rsid w:val="423A5F76"/>
    <w:rsid w:val="425A3F23"/>
    <w:rsid w:val="426D7503"/>
    <w:rsid w:val="427751F6"/>
    <w:rsid w:val="42A6360C"/>
    <w:rsid w:val="42F56341"/>
    <w:rsid w:val="430202DD"/>
    <w:rsid w:val="43757551"/>
    <w:rsid w:val="43806103"/>
    <w:rsid w:val="43C60883"/>
    <w:rsid w:val="43D51220"/>
    <w:rsid w:val="447C2876"/>
    <w:rsid w:val="452847AC"/>
    <w:rsid w:val="453018B3"/>
    <w:rsid w:val="45350C77"/>
    <w:rsid w:val="456B50F6"/>
    <w:rsid w:val="456F417F"/>
    <w:rsid w:val="45E87A97"/>
    <w:rsid w:val="45EF645F"/>
    <w:rsid w:val="46033B60"/>
    <w:rsid w:val="46075F11"/>
    <w:rsid w:val="46326F64"/>
    <w:rsid w:val="46401681"/>
    <w:rsid w:val="46CB3641"/>
    <w:rsid w:val="46CF2BD9"/>
    <w:rsid w:val="46EF332A"/>
    <w:rsid w:val="47431429"/>
    <w:rsid w:val="476F5BF9"/>
    <w:rsid w:val="479C322F"/>
    <w:rsid w:val="47AD0F98"/>
    <w:rsid w:val="47B3693C"/>
    <w:rsid w:val="47B63A3E"/>
    <w:rsid w:val="47E81FD1"/>
    <w:rsid w:val="482E33C1"/>
    <w:rsid w:val="483119FA"/>
    <w:rsid w:val="48B545A9"/>
    <w:rsid w:val="48C509ED"/>
    <w:rsid w:val="49180694"/>
    <w:rsid w:val="49847F00"/>
    <w:rsid w:val="49B47094"/>
    <w:rsid w:val="49BF064E"/>
    <w:rsid w:val="49EB0EB2"/>
    <w:rsid w:val="4A2B43F6"/>
    <w:rsid w:val="4A2C337A"/>
    <w:rsid w:val="4AF60EA8"/>
    <w:rsid w:val="4B0D3EFE"/>
    <w:rsid w:val="4B795890"/>
    <w:rsid w:val="4B8552FA"/>
    <w:rsid w:val="4BA44460"/>
    <w:rsid w:val="4BAD1567"/>
    <w:rsid w:val="4BB52342"/>
    <w:rsid w:val="4BBA3C84"/>
    <w:rsid w:val="4BEA4569"/>
    <w:rsid w:val="4BF35C2E"/>
    <w:rsid w:val="4C1E4213"/>
    <w:rsid w:val="4C5145E8"/>
    <w:rsid w:val="4C74437E"/>
    <w:rsid w:val="4C8841A8"/>
    <w:rsid w:val="4C975D73"/>
    <w:rsid w:val="4CC34047"/>
    <w:rsid w:val="4CFC400C"/>
    <w:rsid w:val="4D295B8D"/>
    <w:rsid w:val="4D4414B6"/>
    <w:rsid w:val="4D5A28F1"/>
    <w:rsid w:val="4D5C1497"/>
    <w:rsid w:val="4DE1199C"/>
    <w:rsid w:val="4E013D1E"/>
    <w:rsid w:val="4E355844"/>
    <w:rsid w:val="4EC907F2"/>
    <w:rsid w:val="4ED049F3"/>
    <w:rsid w:val="4EF56359"/>
    <w:rsid w:val="4EF63225"/>
    <w:rsid w:val="4F0303EB"/>
    <w:rsid w:val="4F436207"/>
    <w:rsid w:val="4F9232F1"/>
    <w:rsid w:val="4F9B5B7A"/>
    <w:rsid w:val="4FB05ACA"/>
    <w:rsid w:val="4FB730F2"/>
    <w:rsid w:val="4FC1230E"/>
    <w:rsid w:val="4FC43637"/>
    <w:rsid w:val="4FDF4144"/>
    <w:rsid w:val="506747B8"/>
    <w:rsid w:val="50B67110"/>
    <w:rsid w:val="50C93054"/>
    <w:rsid w:val="50CF1A25"/>
    <w:rsid w:val="50F419E6"/>
    <w:rsid w:val="5119769F"/>
    <w:rsid w:val="51677EC1"/>
    <w:rsid w:val="52E15F9A"/>
    <w:rsid w:val="52FE68F1"/>
    <w:rsid w:val="53083527"/>
    <w:rsid w:val="5350420F"/>
    <w:rsid w:val="535D3873"/>
    <w:rsid w:val="53B042EA"/>
    <w:rsid w:val="53D93F4E"/>
    <w:rsid w:val="53EA3D64"/>
    <w:rsid w:val="54387E3C"/>
    <w:rsid w:val="54717620"/>
    <w:rsid w:val="54CB596F"/>
    <w:rsid w:val="55082061"/>
    <w:rsid w:val="551504BE"/>
    <w:rsid w:val="551A527C"/>
    <w:rsid w:val="556A1FAD"/>
    <w:rsid w:val="55B9765F"/>
    <w:rsid w:val="55CA5EB8"/>
    <w:rsid w:val="566029E9"/>
    <w:rsid w:val="56666BDD"/>
    <w:rsid w:val="569C2735"/>
    <w:rsid w:val="56F91D2C"/>
    <w:rsid w:val="570100FC"/>
    <w:rsid w:val="571E5A0F"/>
    <w:rsid w:val="57776D3C"/>
    <w:rsid w:val="57984FF9"/>
    <w:rsid w:val="57A85EC6"/>
    <w:rsid w:val="57BC4D8D"/>
    <w:rsid w:val="57F10A2D"/>
    <w:rsid w:val="580C5136"/>
    <w:rsid w:val="582E57DE"/>
    <w:rsid w:val="587F24C3"/>
    <w:rsid w:val="58951D01"/>
    <w:rsid w:val="589F211A"/>
    <w:rsid w:val="58BE3B0A"/>
    <w:rsid w:val="58CB799D"/>
    <w:rsid w:val="58FB5DCF"/>
    <w:rsid w:val="59BD150F"/>
    <w:rsid w:val="59BE0DE3"/>
    <w:rsid w:val="59C31D1B"/>
    <w:rsid w:val="59E7572A"/>
    <w:rsid w:val="59FF38D6"/>
    <w:rsid w:val="5A495EAB"/>
    <w:rsid w:val="5A656006"/>
    <w:rsid w:val="5A80530A"/>
    <w:rsid w:val="5AB20948"/>
    <w:rsid w:val="5AEB5C08"/>
    <w:rsid w:val="5AF67FDC"/>
    <w:rsid w:val="5B304F9D"/>
    <w:rsid w:val="5B834203"/>
    <w:rsid w:val="5BBB1B68"/>
    <w:rsid w:val="5BC5047D"/>
    <w:rsid w:val="5BF40AEC"/>
    <w:rsid w:val="5C003015"/>
    <w:rsid w:val="5C25514A"/>
    <w:rsid w:val="5C2B7C22"/>
    <w:rsid w:val="5C3929A3"/>
    <w:rsid w:val="5C670229"/>
    <w:rsid w:val="5C9947B3"/>
    <w:rsid w:val="5CB466AA"/>
    <w:rsid w:val="5CD01559"/>
    <w:rsid w:val="5CED3960"/>
    <w:rsid w:val="5D092D37"/>
    <w:rsid w:val="5D8D2FA6"/>
    <w:rsid w:val="5D9500AD"/>
    <w:rsid w:val="5E3E24F3"/>
    <w:rsid w:val="5E477480"/>
    <w:rsid w:val="5E7A5C21"/>
    <w:rsid w:val="5E9F7435"/>
    <w:rsid w:val="5F2D58F7"/>
    <w:rsid w:val="5FAB3BB8"/>
    <w:rsid w:val="60120CE5"/>
    <w:rsid w:val="60413542"/>
    <w:rsid w:val="60464327"/>
    <w:rsid w:val="605E6E7C"/>
    <w:rsid w:val="60732927"/>
    <w:rsid w:val="609E7D33"/>
    <w:rsid w:val="60D033D7"/>
    <w:rsid w:val="60E530F9"/>
    <w:rsid w:val="60EA32AD"/>
    <w:rsid w:val="60FB291D"/>
    <w:rsid w:val="61202383"/>
    <w:rsid w:val="61E16A05"/>
    <w:rsid w:val="61F77588"/>
    <w:rsid w:val="620121B5"/>
    <w:rsid w:val="627B3D15"/>
    <w:rsid w:val="62B17737"/>
    <w:rsid w:val="62BD1134"/>
    <w:rsid w:val="62CF3FAE"/>
    <w:rsid w:val="62DD758E"/>
    <w:rsid w:val="62EE5022"/>
    <w:rsid w:val="6343672A"/>
    <w:rsid w:val="63A77332"/>
    <w:rsid w:val="63AA7F56"/>
    <w:rsid w:val="63F773CC"/>
    <w:rsid w:val="640623AA"/>
    <w:rsid w:val="6410048D"/>
    <w:rsid w:val="643A14B5"/>
    <w:rsid w:val="645F0F13"/>
    <w:rsid w:val="6461518D"/>
    <w:rsid w:val="64A5151D"/>
    <w:rsid w:val="650D7CBF"/>
    <w:rsid w:val="65552E79"/>
    <w:rsid w:val="65757872"/>
    <w:rsid w:val="657A650D"/>
    <w:rsid w:val="657F3B1C"/>
    <w:rsid w:val="65CD0D2C"/>
    <w:rsid w:val="65EE03D8"/>
    <w:rsid w:val="65F96434"/>
    <w:rsid w:val="65FC3537"/>
    <w:rsid w:val="66502626"/>
    <w:rsid w:val="6731560E"/>
    <w:rsid w:val="67582877"/>
    <w:rsid w:val="676E5BF7"/>
    <w:rsid w:val="678402BD"/>
    <w:rsid w:val="679C651F"/>
    <w:rsid w:val="67A45ABC"/>
    <w:rsid w:val="67D00B9C"/>
    <w:rsid w:val="68761C02"/>
    <w:rsid w:val="689B43EB"/>
    <w:rsid w:val="68A107E6"/>
    <w:rsid w:val="68D03FBA"/>
    <w:rsid w:val="68FB5BB0"/>
    <w:rsid w:val="69156AA5"/>
    <w:rsid w:val="6957187C"/>
    <w:rsid w:val="698A4A90"/>
    <w:rsid w:val="6A1276D9"/>
    <w:rsid w:val="6A5C4A36"/>
    <w:rsid w:val="6A982813"/>
    <w:rsid w:val="6B376A4D"/>
    <w:rsid w:val="6B4D20C1"/>
    <w:rsid w:val="6B5A0720"/>
    <w:rsid w:val="6B712159"/>
    <w:rsid w:val="6BA31420"/>
    <w:rsid w:val="6BB1195E"/>
    <w:rsid w:val="6BDE3191"/>
    <w:rsid w:val="6BF20002"/>
    <w:rsid w:val="6C6770B8"/>
    <w:rsid w:val="6C6877DD"/>
    <w:rsid w:val="6C86667E"/>
    <w:rsid w:val="6C875DB1"/>
    <w:rsid w:val="6CB95B66"/>
    <w:rsid w:val="6CD209D6"/>
    <w:rsid w:val="6D4318D3"/>
    <w:rsid w:val="6D8261BE"/>
    <w:rsid w:val="6DBB76BC"/>
    <w:rsid w:val="6DCA78FF"/>
    <w:rsid w:val="6E58315D"/>
    <w:rsid w:val="6E602011"/>
    <w:rsid w:val="6ECD5B46"/>
    <w:rsid w:val="6F56269B"/>
    <w:rsid w:val="6F6F4C02"/>
    <w:rsid w:val="6F76035C"/>
    <w:rsid w:val="6FD6290B"/>
    <w:rsid w:val="6FDE1688"/>
    <w:rsid w:val="701337DF"/>
    <w:rsid w:val="70934524"/>
    <w:rsid w:val="70983CE4"/>
    <w:rsid w:val="712A703B"/>
    <w:rsid w:val="7136242C"/>
    <w:rsid w:val="71615151"/>
    <w:rsid w:val="718B5865"/>
    <w:rsid w:val="71951758"/>
    <w:rsid w:val="71951AC1"/>
    <w:rsid w:val="71BC1C54"/>
    <w:rsid w:val="71D35B78"/>
    <w:rsid w:val="721440B0"/>
    <w:rsid w:val="723C7A8D"/>
    <w:rsid w:val="725F5475"/>
    <w:rsid w:val="729F135A"/>
    <w:rsid w:val="729F725C"/>
    <w:rsid w:val="72A2709C"/>
    <w:rsid w:val="72A84697"/>
    <w:rsid w:val="72FD2525"/>
    <w:rsid w:val="731D14C0"/>
    <w:rsid w:val="73337CF4"/>
    <w:rsid w:val="73700F48"/>
    <w:rsid w:val="73CD639B"/>
    <w:rsid w:val="740F250F"/>
    <w:rsid w:val="74A93321"/>
    <w:rsid w:val="74EB65B0"/>
    <w:rsid w:val="74FF4231"/>
    <w:rsid w:val="75C5557C"/>
    <w:rsid w:val="75C874AA"/>
    <w:rsid w:val="75D15FE8"/>
    <w:rsid w:val="75D620D8"/>
    <w:rsid w:val="75E71B76"/>
    <w:rsid w:val="75FB0F9D"/>
    <w:rsid w:val="760B7DEB"/>
    <w:rsid w:val="76366479"/>
    <w:rsid w:val="764432F9"/>
    <w:rsid w:val="764F3097"/>
    <w:rsid w:val="76534E3F"/>
    <w:rsid w:val="76581DF8"/>
    <w:rsid w:val="76742BC6"/>
    <w:rsid w:val="76A809F9"/>
    <w:rsid w:val="76B24F13"/>
    <w:rsid w:val="76FA1255"/>
    <w:rsid w:val="774231E6"/>
    <w:rsid w:val="777841EB"/>
    <w:rsid w:val="77F77A99"/>
    <w:rsid w:val="77F93869"/>
    <w:rsid w:val="781E5417"/>
    <w:rsid w:val="78433043"/>
    <w:rsid w:val="784C7EB0"/>
    <w:rsid w:val="78515115"/>
    <w:rsid w:val="78541501"/>
    <w:rsid w:val="787839E2"/>
    <w:rsid w:val="78B14A1F"/>
    <w:rsid w:val="79075EAB"/>
    <w:rsid w:val="791D3260"/>
    <w:rsid w:val="79532E9E"/>
    <w:rsid w:val="799426BA"/>
    <w:rsid w:val="79B35B97"/>
    <w:rsid w:val="79C15997"/>
    <w:rsid w:val="79D56593"/>
    <w:rsid w:val="79E12B0A"/>
    <w:rsid w:val="7A2D7B93"/>
    <w:rsid w:val="7A4B21AB"/>
    <w:rsid w:val="7A89270A"/>
    <w:rsid w:val="7A8C614A"/>
    <w:rsid w:val="7A9814B1"/>
    <w:rsid w:val="7AF615CC"/>
    <w:rsid w:val="7B44223F"/>
    <w:rsid w:val="7B8E4662"/>
    <w:rsid w:val="7BA859A3"/>
    <w:rsid w:val="7C1A11A4"/>
    <w:rsid w:val="7C48112B"/>
    <w:rsid w:val="7C6F3692"/>
    <w:rsid w:val="7C756F0E"/>
    <w:rsid w:val="7C857813"/>
    <w:rsid w:val="7CCA791B"/>
    <w:rsid w:val="7D083FA0"/>
    <w:rsid w:val="7D2F1A27"/>
    <w:rsid w:val="7D60202E"/>
    <w:rsid w:val="7D7653AD"/>
    <w:rsid w:val="7D8602B6"/>
    <w:rsid w:val="7DC06949"/>
    <w:rsid w:val="7E4371E9"/>
    <w:rsid w:val="7E5356EF"/>
    <w:rsid w:val="7E5357A6"/>
    <w:rsid w:val="7E610AD9"/>
    <w:rsid w:val="7E7D262E"/>
    <w:rsid w:val="7E9C52E7"/>
    <w:rsid w:val="7EB77A2B"/>
    <w:rsid w:val="7ED5541C"/>
    <w:rsid w:val="7EE30820"/>
    <w:rsid w:val="7F0B4AC4"/>
    <w:rsid w:val="7F0E0BCE"/>
    <w:rsid w:val="7F2551E6"/>
    <w:rsid w:val="7F27632D"/>
    <w:rsid w:val="7F5E6DFC"/>
    <w:rsid w:val="7FA67CBB"/>
    <w:rsid w:val="7FE31F0C"/>
    <w:rsid w:val="7FFD2C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52"/>
    <w:qFormat/>
    <w:uiPriority w:val="0"/>
    <w:pPr>
      <w:keepNext/>
      <w:keepLines/>
      <w:spacing w:before="340" w:after="330" w:line="576"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b/>
      <w:bCs/>
      <w:sz w:val="28"/>
      <w:szCs w:val="28"/>
    </w:rPr>
  </w:style>
  <w:style w:type="character" w:default="1" w:styleId="31">
    <w:name w:val="Default Paragraph Font"/>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rPr>
      <w:sz w:val="30"/>
    </w:rPr>
  </w:style>
  <w:style w:type="paragraph" w:styleId="8">
    <w:name w:val="table of authorities"/>
    <w:basedOn w:val="1"/>
    <w:next w:val="1"/>
    <w:qFormat/>
    <w:uiPriority w:val="0"/>
    <w:pPr>
      <w:ind w:left="420" w:leftChars="200"/>
    </w:pPr>
  </w:style>
  <w:style w:type="paragraph" w:styleId="9">
    <w:name w:val="Normal Indent"/>
    <w:basedOn w:val="1"/>
    <w:qFormat/>
    <w:uiPriority w:val="0"/>
    <w:pPr>
      <w:ind w:firstLine="420" w:firstLineChars="200"/>
    </w:pPr>
  </w:style>
  <w:style w:type="paragraph" w:styleId="10">
    <w:name w:val="Document Map"/>
    <w:basedOn w:val="1"/>
    <w:next w:val="11"/>
    <w:qFormat/>
    <w:uiPriority w:val="0"/>
    <w:pPr>
      <w:shd w:val="clear" w:color="auto" w:fill="000080"/>
    </w:pPr>
    <w:rPr>
      <w:kern w:val="0"/>
      <w:sz w:val="20"/>
    </w:rPr>
  </w:style>
  <w:style w:type="paragraph" w:styleId="11">
    <w:name w:val="Title"/>
    <w:basedOn w:val="1"/>
    <w:next w:val="1"/>
    <w:qFormat/>
    <w:uiPriority w:val="0"/>
    <w:pPr>
      <w:widowControl/>
      <w:pBdr>
        <w:bottom w:val="single" w:color="auto" w:sz="4" w:space="1"/>
      </w:pBdr>
      <w:spacing w:after="200" w:afterLines="0"/>
      <w:contextualSpacing/>
      <w:jc w:val="left"/>
    </w:pPr>
    <w:rPr>
      <w:rFonts w:ascii="Cambria" w:hAnsi="Cambria"/>
      <w:spacing w:val="5"/>
      <w:kern w:val="0"/>
      <w:sz w:val="52"/>
      <w:szCs w:val="52"/>
    </w:rPr>
  </w:style>
  <w:style w:type="paragraph" w:styleId="12">
    <w:name w:val="annotation text"/>
    <w:basedOn w:val="1"/>
    <w:qFormat/>
    <w:uiPriority w:val="0"/>
    <w:pPr>
      <w:widowControl/>
      <w:jc w:val="left"/>
    </w:pPr>
    <w:rPr>
      <w:kern w:val="0"/>
      <w:szCs w:val="20"/>
    </w:rPr>
  </w:style>
  <w:style w:type="paragraph" w:styleId="13">
    <w:name w:val="Body Text 3"/>
    <w:basedOn w:val="1"/>
    <w:qFormat/>
    <w:uiPriority w:val="0"/>
    <w:rPr>
      <w:rFonts w:ascii="宋体" w:hAnsi="Times New Roman" w:eastAsia="宋体" w:cs="Times New Roman"/>
      <w:sz w:val="24"/>
      <w:szCs w:val="20"/>
    </w:rPr>
  </w:style>
  <w:style w:type="paragraph" w:styleId="14">
    <w:name w:val="Body Text Indent"/>
    <w:basedOn w:val="1"/>
    <w:next w:val="15"/>
    <w:qFormat/>
    <w:uiPriority w:val="0"/>
    <w:pPr>
      <w:spacing w:line="460" w:lineRule="exact"/>
      <w:ind w:firstLine="510"/>
    </w:pPr>
  </w:style>
  <w:style w:type="paragraph" w:styleId="15">
    <w:name w:val="envelope return"/>
    <w:basedOn w:val="1"/>
    <w:qFormat/>
    <w:uiPriority w:val="0"/>
    <w:pPr>
      <w:snapToGrid w:val="0"/>
    </w:pPr>
    <w:rPr>
      <w:rFonts w:ascii="Arial" w:hAnsi="Arial" w:eastAsia="宋体" w:cs="Times New Roman"/>
      <w:szCs w:val="20"/>
    </w:rPr>
  </w:style>
  <w:style w:type="paragraph" w:styleId="16">
    <w:name w:val="Block Text"/>
    <w:basedOn w:val="1"/>
    <w:unhideWhenUsed/>
    <w:qFormat/>
    <w:uiPriority w:val="99"/>
    <w:pPr>
      <w:spacing w:after="120"/>
      <w:ind w:left="1440" w:leftChars="700" w:right="700" w:rightChars="700"/>
    </w:pPr>
  </w:style>
  <w:style w:type="paragraph" w:styleId="17">
    <w:name w:val="Plain Text"/>
    <w:basedOn w:val="1"/>
    <w:next w:val="1"/>
    <w:qFormat/>
    <w:uiPriority w:val="0"/>
    <w:rPr>
      <w:rFonts w:ascii="宋体" w:hAnsi="Courier New" w:cs="Courier New"/>
      <w:szCs w:val="21"/>
    </w:rPr>
  </w:style>
  <w:style w:type="paragraph" w:styleId="18">
    <w:name w:val="Balloon Text"/>
    <w:basedOn w:val="1"/>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qFormat/>
    <w:uiPriority w:val="0"/>
  </w:style>
  <w:style w:type="paragraph" w:styleId="2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3">
    <w:name w:val="Body Text Indent 3"/>
    <w:basedOn w:val="1"/>
    <w:qFormat/>
    <w:uiPriority w:val="0"/>
    <w:pPr>
      <w:spacing w:line="360" w:lineRule="auto"/>
      <w:ind w:firstLine="480" w:firstLineChars="200"/>
    </w:pPr>
    <w:rPr>
      <w:kern w:val="0"/>
      <w:sz w:val="24"/>
      <w:szCs w:val="24"/>
    </w:rPr>
  </w:style>
  <w:style w:type="paragraph" w:styleId="24">
    <w:name w:val="toc 2"/>
    <w:basedOn w:val="1"/>
    <w:next w:val="1"/>
    <w:qFormat/>
    <w:uiPriority w:val="0"/>
    <w:pPr>
      <w:ind w:left="210"/>
      <w:jc w:val="left"/>
    </w:pPr>
    <w:rPr>
      <w:smallCaps/>
      <w:sz w:val="20"/>
    </w:rPr>
  </w:style>
  <w:style w:type="paragraph" w:styleId="25">
    <w:name w:val="Message Header"/>
    <w:basedOn w:val="1"/>
    <w:next w:val="2"/>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6">
    <w:name w:val="Normal (Web)"/>
    <w:basedOn w:val="1"/>
    <w:qFormat/>
    <w:uiPriority w:val="0"/>
    <w:pPr>
      <w:spacing w:after="150"/>
      <w:jc w:val="left"/>
    </w:pPr>
    <w:rPr>
      <w:rFonts w:ascii="微软雅黑" w:hAnsi="微软雅黑" w:eastAsia="微软雅黑"/>
      <w:color w:val="454545"/>
      <w:kern w:val="0"/>
      <w:sz w:val="24"/>
    </w:rPr>
  </w:style>
  <w:style w:type="paragraph" w:styleId="27">
    <w:name w:val="Body Text First Indent"/>
    <w:basedOn w:val="2"/>
    <w:qFormat/>
    <w:uiPriority w:val="99"/>
    <w:pPr>
      <w:ind w:firstLine="420" w:firstLineChars="100"/>
    </w:pPr>
  </w:style>
  <w:style w:type="paragraph" w:styleId="28">
    <w:name w:val="Body Text First Indent 2"/>
    <w:basedOn w:val="14"/>
    <w:qFormat/>
    <w:uiPriority w:val="0"/>
    <w:pPr>
      <w:ind w:firstLine="200"/>
    </w:pPr>
    <w:rPr>
      <w:rFonts w:ascii="宋体" w:hAnsi="宋体"/>
      <w:sz w:val="28"/>
    </w:r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0"/>
    <w:rPr>
      <w:b/>
    </w:rPr>
  </w:style>
  <w:style w:type="character" w:styleId="33">
    <w:name w:val="page number"/>
    <w:basedOn w:val="31"/>
    <w:qFormat/>
    <w:uiPriority w:val="0"/>
  </w:style>
  <w:style w:type="character" w:styleId="34">
    <w:name w:val="FollowedHyperlink"/>
    <w:qFormat/>
    <w:uiPriority w:val="0"/>
    <w:rPr>
      <w:rFonts w:hint="eastAsia" w:ascii="微软雅黑" w:hAnsi="微软雅黑" w:eastAsia="微软雅黑" w:cs="微软雅黑"/>
      <w:color w:val="428BCA"/>
      <w:u w:val="none"/>
    </w:rPr>
  </w:style>
  <w:style w:type="character" w:styleId="35">
    <w:name w:val="HTML Definition"/>
    <w:qFormat/>
    <w:uiPriority w:val="0"/>
    <w:rPr>
      <w:i/>
    </w:rPr>
  </w:style>
  <w:style w:type="character" w:styleId="36">
    <w:name w:val="Hyperlink"/>
    <w:qFormat/>
    <w:uiPriority w:val="0"/>
    <w:rPr>
      <w:rFonts w:hint="eastAsia" w:ascii="微软雅黑" w:hAnsi="微软雅黑" w:eastAsia="微软雅黑" w:cs="微软雅黑"/>
      <w:color w:val="428BCA"/>
      <w:u w:val="none"/>
    </w:rPr>
  </w:style>
  <w:style w:type="character" w:styleId="37">
    <w:name w:val="HTML Code"/>
    <w:qFormat/>
    <w:uiPriority w:val="0"/>
    <w:rPr>
      <w:rFonts w:ascii="Consolas" w:hAnsi="Consolas" w:eastAsia="Consolas" w:cs="Consolas"/>
      <w:color w:val="C7254E"/>
      <w:sz w:val="21"/>
      <w:szCs w:val="21"/>
      <w:shd w:val="clear" w:color="auto" w:fill="F9F2F4"/>
    </w:rPr>
  </w:style>
  <w:style w:type="character" w:styleId="38">
    <w:name w:val="HTML Keyboard"/>
    <w:qFormat/>
    <w:uiPriority w:val="0"/>
    <w:rPr>
      <w:rFonts w:hint="default" w:ascii="Consolas" w:hAnsi="Consolas" w:eastAsia="Consolas" w:cs="Consolas"/>
      <w:color w:val="FFFFFF"/>
      <w:sz w:val="21"/>
      <w:szCs w:val="21"/>
      <w:shd w:val="clear" w:color="auto" w:fill="333333"/>
    </w:rPr>
  </w:style>
  <w:style w:type="character" w:styleId="39">
    <w:name w:val="HTML Sample"/>
    <w:qFormat/>
    <w:uiPriority w:val="0"/>
    <w:rPr>
      <w:rFonts w:hint="default" w:ascii="Consolas" w:hAnsi="Consolas" w:eastAsia="Consolas" w:cs="Consolas"/>
      <w:sz w:val="21"/>
      <w:szCs w:val="21"/>
    </w:rPr>
  </w:style>
  <w:style w:type="paragraph" w:customStyle="1" w:styleId="4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1">
    <w:name w:val="font11"/>
    <w:qFormat/>
    <w:uiPriority w:val="0"/>
    <w:rPr>
      <w:rFonts w:hint="default" w:ascii="Calibri" w:hAnsi="Calibri" w:cs="Calibri"/>
      <w:color w:val="000000"/>
      <w:sz w:val="20"/>
      <w:szCs w:val="20"/>
      <w:u w:val="none"/>
    </w:rPr>
  </w:style>
  <w:style w:type="character" w:customStyle="1" w:styleId="42">
    <w:name w:val="texthight1"/>
    <w:qFormat/>
    <w:uiPriority w:val="0"/>
  </w:style>
  <w:style w:type="character" w:customStyle="1" w:styleId="43">
    <w:name w:val="font21"/>
    <w:qFormat/>
    <w:uiPriority w:val="0"/>
    <w:rPr>
      <w:rFonts w:hint="eastAsia" w:ascii="宋体" w:hAnsi="宋体" w:eastAsia="宋体" w:cs="宋体"/>
      <w:color w:val="000000"/>
      <w:sz w:val="20"/>
      <w:szCs w:val="20"/>
      <w:u w:val="none"/>
    </w:rPr>
  </w:style>
  <w:style w:type="character" w:customStyle="1" w:styleId="44">
    <w:name w:val="无"/>
    <w:qFormat/>
    <w:uiPriority w:val="0"/>
  </w:style>
  <w:style w:type="paragraph" w:customStyle="1" w:styleId="45">
    <w:name w:val="样式3"/>
    <w:basedOn w:val="5"/>
    <w:qFormat/>
    <w:uiPriority w:val="0"/>
    <w:pPr>
      <w:numPr>
        <w:ilvl w:val="0"/>
        <w:numId w:val="1"/>
      </w:numPr>
      <w:ind w:firstLine="0" w:firstLineChars="0"/>
    </w:pPr>
    <w:rPr>
      <w:rFonts w:ascii="宋体" w:hAnsi="宋体"/>
    </w:rPr>
  </w:style>
  <w:style w:type="paragraph" w:customStyle="1" w:styleId="46">
    <w:name w:val="表格文字"/>
    <w:basedOn w:val="1"/>
    <w:next w:val="2"/>
    <w:qFormat/>
    <w:uiPriority w:val="0"/>
    <w:pPr>
      <w:adjustRightInd w:val="0"/>
      <w:spacing w:line="420" w:lineRule="atLeast"/>
      <w:jc w:val="left"/>
      <w:textAlignment w:val="baseline"/>
    </w:pPr>
    <w:rPr>
      <w:kern w:val="0"/>
    </w:rPr>
  </w:style>
  <w:style w:type="paragraph" w:customStyle="1" w:styleId="47">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48">
    <w:name w:val="WPSOffice手动目录 1"/>
    <w:qFormat/>
    <w:uiPriority w:val="0"/>
    <w:rPr>
      <w:rFonts w:ascii="Times New Roman" w:hAnsi="Times New Roman" w:eastAsia="宋体" w:cs="Times New Roman"/>
      <w:lang w:val="en-US" w:eastAsia="zh-CN" w:bidi="ar-SA"/>
    </w:rPr>
  </w:style>
  <w:style w:type="paragraph" w:customStyle="1" w:styleId="49">
    <w:name w:val="Table Paragraph"/>
    <w:basedOn w:val="1"/>
    <w:qFormat/>
    <w:uiPriority w:val="1"/>
  </w:style>
  <w:style w:type="paragraph" w:customStyle="1" w:styleId="50">
    <w:name w:val="正文 A"/>
    <w:next w:val="51"/>
    <w:qFormat/>
    <w:uiPriority w:val="0"/>
    <w:pPr>
      <w:framePr w:wrap="around" w:vAnchor="margin" w:hAnchor="text" w:yAlign="top"/>
      <w:widowControl w:val="0"/>
      <w:jc w:val="both"/>
    </w:pPr>
    <w:rPr>
      <w:rFonts w:ascii="Calibri" w:hAnsi="Calibri" w:eastAsia="Calibri" w:cs="Calibri"/>
      <w:color w:val="000000"/>
      <w:kern w:val="2"/>
      <w:sz w:val="21"/>
      <w:szCs w:val="21"/>
      <w:u w:color="000000"/>
      <w:lang w:val="en-US" w:eastAsia="zh-CN" w:bidi="ar-SA"/>
    </w:rPr>
  </w:style>
  <w:style w:type="paragraph" w:customStyle="1" w:styleId="51">
    <w:name w:val="正文首行缩进 21"/>
    <w:qFormat/>
    <w:uiPriority w:val="0"/>
    <w:pPr>
      <w:framePr w:wrap="around" w:vAnchor="margin" w:hAnchor="text" w:yAlign="top"/>
      <w:widowControl w:val="0"/>
      <w:spacing w:line="460" w:lineRule="exact"/>
      <w:ind w:firstLine="200"/>
      <w:jc w:val="both"/>
    </w:pPr>
    <w:rPr>
      <w:rFonts w:ascii="宋体" w:hAnsi="宋体" w:eastAsia="宋体" w:cs="宋体"/>
      <w:color w:val="000000"/>
      <w:kern w:val="2"/>
      <w:sz w:val="28"/>
      <w:szCs w:val="28"/>
      <w:u w:color="000000"/>
      <w:lang w:val="en-US" w:eastAsia="zh-CN" w:bidi="ar-SA"/>
    </w:rPr>
  </w:style>
  <w:style w:type="character" w:customStyle="1" w:styleId="52">
    <w:name w:val="标题 1 Char"/>
    <w:link w:val="3"/>
    <w:qFormat/>
    <w:uiPriority w:val="0"/>
    <w:rPr>
      <w:b/>
      <w:bCs/>
      <w:kern w:val="44"/>
      <w:sz w:val="44"/>
      <w:szCs w:val="44"/>
    </w:rPr>
  </w:style>
  <w:style w:type="paragraph" w:customStyle="1" w:styleId="53">
    <w:name w:val="WPSOffice手动目录 2"/>
    <w:qFormat/>
    <w:uiPriority w:val="0"/>
    <w:pPr>
      <w:ind w:leftChars="200"/>
    </w:pPr>
    <w:rPr>
      <w:rFonts w:ascii="Times New Roman" w:hAnsi="Times New Roman" w:eastAsia="宋体" w:cs="Times New Roman"/>
      <w:sz w:val="20"/>
      <w:szCs w:val="20"/>
    </w:rPr>
  </w:style>
  <w:style w:type="paragraph" w:customStyle="1" w:styleId="54">
    <w:name w:val="样式 标题 2 + 仿宋_GB2312 黑色"/>
    <w:basedOn w:val="4"/>
    <w:qFormat/>
    <w:uiPriority w:val="0"/>
    <w:pPr>
      <w:jc w:val="center"/>
    </w:pPr>
    <w:rPr>
      <w:rFonts w:ascii="仿宋_GB2312" w:hAnsi="仿宋_GB2312" w:eastAsia="仿宋_GB2312"/>
      <w:color w:val="000000"/>
    </w:rPr>
  </w:style>
  <w:style w:type="paragraph" w:customStyle="1" w:styleId="5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6">
    <w:name w:val="正文文本首行缩进 21"/>
    <w:basedOn w:val="57"/>
    <w:qFormat/>
    <w:uiPriority w:val="0"/>
    <w:pPr>
      <w:spacing w:after="120"/>
      <w:ind w:firstLine="420"/>
    </w:pPr>
  </w:style>
  <w:style w:type="paragraph" w:customStyle="1" w:styleId="57">
    <w:name w:val="Body Text Indent1"/>
    <w:basedOn w:val="1"/>
    <w:next w:val="56"/>
    <w:qFormat/>
    <w:uiPriority w:val="0"/>
    <w:pPr>
      <w:ind w:firstLine="200" w:firstLineChars="200"/>
      <w:jc w:val="left"/>
    </w:pPr>
    <w:rPr>
      <w:rFonts w:ascii="仿宋_GB2312" w:eastAsia="仿宋_GB2312"/>
      <w:sz w:val="28"/>
    </w:rPr>
  </w:style>
  <w:style w:type="table" w:customStyle="1" w:styleId="5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104</Pages>
  <Words>13604</Words>
  <Characters>15179</Characters>
  <Lines>253</Lines>
  <Paragraphs>71</Paragraphs>
  <TotalTime>7</TotalTime>
  <ScaleCrop>false</ScaleCrop>
  <LinksUpToDate>false</LinksUpToDate>
  <CharactersWithSpaces>15509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缃缃</cp:lastModifiedBy>
  <cp:lastPrinted>2025-03-17T04:13:00Z</cp:lastPrinted>
  <dcterms:modified xsi:type="dcterms:W3CDTF">2025-03-17T13:56:49Z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eyJoZGlkIjoiZTg3ZTgyOGMwMGI5MjAzN2FjZWQ1NjgxY2JhOGEyZjMifQ==</vt:lpwstr>
  </property>
  <property fmtid="{D5CDD505-2E9C-101B-9397-08002B2CF9AE}" pid="3" name="ICV">
    <vt:lpwstr>8C4C8565E4EF4B08880845D628D6A737_13</vt:lpwstr>
  </property>
  <property fmtid="{D5CDD505-2E9C-101B-9397-08002B2CF9AE}" pid="4" name="KSOProductBuildVer">
    <vt:lpwstr>2052-12.1.0.20305</vt:lpwstr>
  </property>
  <property fmtid="{D5CDD505-2E9C-101B-9397-08002B2CF9AE}" pid="5" name="KSOTemplateDocerSaveRecord">
    <vt:lpwstr>eyJoZGlkIjoiODdjNmY2ZGJhMTViODZhY2EyNTljMmJmNTc4YzllOTUiLCJ1c2VySWQiOiIxMTM5OTMxNTExIn0=</vt:lpwstr>
  </property>
</Properties>
</file>