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4C6B5">
      <w:pPr>
        <w:spacing w:line="360" w:lineRule="auto"/>
        <w:jc w:val="center"/>
        <w:outlineLvl w:val="0"/>
        <w:rPr>
          <w:rFonts w:ascii="宋体" w:hAnsi="宋体" w:cs="宋体"/>
          <w:b/>
          <w:bCs/>
          <w:sz w:val="32"/>
          <w:szCs w:val="32"/>
        </w:rPr>
      </w:pPr>
    </w:p>
    <w:p w14:paraId="05C770B4">
      <w:pPr>
        <w:spacing w:line="360" w:lineRule="auto"/>
        <w:jc w:val="center"/>
        <w:outlineLvl w:val="0"/>
        <w:rPr>
          <w:rFonts w:hint="eastAsia" w:ascii="宋体" w:hAnsi="宋体" w:eastAsia="宋体" w:cs="宋体"/>
          <w:b/>
          <w:bCs/>
          <w:sz w:val="56"/>
          <w:szCs w:val="56"/>
          <w:lang w:eastAsia="zh-CN"/>
        </w:rPr>
      </w:pPr>
      <w:r>
        <w:rPr>
          <w:rFonts w:hint="eastAsia" w:ascii="宋体" w:hAnsi="宋体" w:cs="宋体"/>
          <w:b/>
          <w:bCs/>
          <w:sz w:val="56"/>
          <w:szCs w:val="56"/>
          <w:lang w:eastAsia="zh-CN"/>
        </w:rPr>
        <w:t>昆明市官渡区人民医院医疗责任保险服务项目（四次）</w:t>
      </w:r>
    </w:p>
    <w:p w14:paraId="70F8FDF4">
      <w:pPr>
        <w:spacing w:line="360" w:lineRule="auto"/>
        <w:jc w:val="center"/>
        <w:outlineLvl w:val="0"/>
        <w:rPr>
          <w:rFonts w:ascii="宋体" w:hAnsi="宋体" w:cs="宋体"/>
          <w:b/>
          <w:bCs/>
          <w:sz w:val="32"/>
          <w:szCs w:val="32"/>
        </w:rPr>
      </w:pPr>
    </w:p>
    <w:p w14:paraId="4FE4ED72">
      <w:pPr>
        <w:spacing w:line="360" w:lineRule="auto"/>
        <w:jc w:val="center"/>
        <w:outlineLvl w:val="0"/>
        <w:rPr>
          <w:rFonts w:hint="eastAsia" w:ascii="宋体" w:hAnsi="宋体" w:eastAsia="宋体" w:cs="宋体"/>
          <w:b/>
          <w:sz w:val="32"/>
          <w:szCs w:val="32"/>
          <w:lang w:eastAsia="zh-CN"/>
        </w:rPr>
      </w:pPr>
      <w:bookmarkStart w:id="486" w:name="_GoBack"/>
      <w:bookmarkEnd w:id="486"/>
      <w:r>
        <w:rPr>
          <w:rFonts w:hint="eastAsia" w:ascii="宋体" w:hAnsi="宋体" w:cs="宋体"/>
          <w:b/>
          <w:bCs/>
          <w:sz w:val="32"/>
          <w:szCs w:val="32"/>
        </w:rPr>
        <w:t>项目编号：</w:t>
      </w:r>
      <w:r>
        <w:rPr>
          <w:rFonts w:hint="eastAsia" w:ascii="宋体" w:hAnsi="宋体" w:cs="宋体"/>
          <w:b/>
          <w:bCs/>
          <w:sz w:val="32"/>
          <w:szCs w:val="32"/>
          <w:lang w:eastAsia="zh-CN"/>
        </w:rPr>
        <w:t>KMZC2025-G3-02686-YNGR-0317</w:t>
      </w:r>
    </w:p>
    <w:p w14:paraId="1F030415">
      <w:pPr>
        <w:spacing w:line="360" w:lineRule="auto"/>
        <w:jc w:val="center"/>
        <w:outlineLvl w:val="0"/>
        <w:rPr>
          <w:rFonts w:ascii="宋体" w:hAnsi="宋体" w:cs="宋体"/>
          <w:b/>
          <w:bCs/>
          <w:sz w:val="32"/>
          <w:szCs w:val="32"/>
        </w:rPr>
      </w:pPr>
    </w:p>
    <w:p w14:paraId="2332571B">
      <w:pPr>
        <w:spacing w:line="360" w:lineRule="auto"/>
        <w:jc w:val="center"/>
        <w:rPr>
          <w:rFonts w:ascii="宋体" w:hAnsi="宋体" w:cs="宋体"/>
          <w:b/>
          <w:bCs/>
          <w:sz w:val="32"/>
          <w:szCs w:val="32"/>
        </w:rPr>
      </w:pPr>
    </w:p>
    <w:p w14:paraId="73C57A43">
      <w:pPr>
        <w:spacing w:line="360" w:lineRule="auto"/>
        <w:jc w:val="center"/>
        <w:rPr>
          <w:rFonts w:ascii="宋体" w:hAnsi="宋体" w:cs="宋体"/>
          <w:sz w:val="112"/>
          <w:szCs w:val="112"/>
        </w:rPr>
      </w:pPr>
      <w:r>
        <w:rPr>
          <w:rFonts w:hint="eastAsia" w:ascii="宋体" w:hAnsi="宋体" w:cs="宋体"/>
          <w:b/>
          <w:sz w:val="112"/>
          <w:szCs w:val="112"/>
        </w:rPr>
        <w:t>招标文件</w:t>
      </w:r>
    </w:p>
    <w:p w14:paraId="3B3795A8">
      <w:pPr>
        <w:spacing w:line="360" w:lineRule="auto"/>
        <w:jc w:val="center"/>
        <w:outlineLvl w:val="0"/>
        <w:rPr>
          <w:rFonts w:ascii="宋体" w:hAnsi="宋体" w:cs="宋体"/>
          <w:b/>
          <w:bCs/>
          <w:sz w:val="32"/>
          <w:szCs w:val="32"/>
        </w:rPr>
      </w:pPr>
      <w:bookmarkStart w:id="0" w:name="_Toc14712"/>
    </w:p>
    <w:bookmarkEnd w:id="0"/>
    <w:p w14:paraId="3D78CB53">
      <w:pPr>
        <w:spacing w:line="360" w:lineRule="auto"/>
        <w:jc w:val="center"/>
        <w:rPr>
          <w:rFonts w:ascii="宋体" w:hAnsi="宋体" w:cs="宋体"/>
          <w:b/>
          <w:bCs/>
          <w:color w:val="FF0000"/>
          <w:sz w:val="32"/>
          <w:szCs w:val="32"/>
          <w:highlight w:val="yellow"/>
        </w:rPr>
      </w:pPr>
    </w:p>
    <w:p w14:paraId="1833BA17">
      <w:pPr>
        <w:pStyle w:val="55"/>
        <w:spacing w:line="360" w:lineRule="auto"/>
        <w:jc w:val="center"/>
        <w:rPr>
          <w:rFonts w:ascii="宋体" w:hAnsi="宋体" w:cs="宋体"/>
          <w:b/>
          <w:bCs/>
          <w:color w:val="FF0000"/>
          <w:sz w:val="32"/>
          <w:szCs w:val="32"/>
        </w:rPr>
      </w:pPr>
      <w:bookmarkStart w:id="1" w:name="_Toc15767"/>
    </w:p>
    <w:p w14:paraId="3A0F3D92">
      <w:pPr>
        <w:spacing w:line="360" w:lineRule="auto"/>
        <w:jc w:val="center"/>
        <w:outlineLvl w:val="0"/>
        <w:rPr>
          <w:rFonts w:ascii="宋体" w:hAnsi="宋体" w:cs="宋体"/>
          <w:b/>
          <w:bCs/>
          <w:sz w:val="32"/>
          <w:szCs w:val="32"/>
        </w:rPr>
      </w:pPr>
    </w:p>
    <w:p w14:paraId="26FE0A84">
      <w:pPr>
        <w:spacing w:line="360" w:lineRule="auto"/>
        <w:jc w:val="center"/>
        <w:outlineLvl w:val="0"/>
        <w:rPr>
          <w:rFonts w:ascii="宋体" w:hAnsi="宋体" w:cs="宋体"/>
          <w:b/>
          <w:bCs/>
          <w:sz w:val="32"/>
          <w:szCs w:val="32"/>
        </w:rPr>
      </w:pPr>
    </w:p>
    <w:p w14:paraId="5EC1BE49">
      <w:pPr>
        <w:spacing w:line="360" w:lineRule="auto"/>
        <w:jc w:val="center"/>
        <w:outlineLvl w:val="0"/>
        <w:rPr>
          <w:rFonts w:hint="eastAsia" w:ascii="宋体" w:hAnsi="宋体" w:eastAsia="宋体" w:cs="宋体"/>
          <w:b/>
          <w:bCs/>
          <w:sz w:val="32"/>
          <w:szCs w:val="32"/>
          <w:lang w:eastAsia="zh-CN"/>
        </w:rPr>
      </w:pPr>
      <w:r>
        <w:rPr>
          <w:rFonts w:hint="eastAsia" w:ascii="宋体" w:hAnsi="宋体" w:cs="宋体"/>
          <w:b/>
          <w:bCs/>
          <w:sz w:val="32"/>
          <w:szCs w:val="32"/>
        </w:rPr>
        <w:t>采购人：</w:t>
      </w:r>
      <w:bookmarkEnd w:id="1"/>
      <w:r>
        <w:rPr>
          <w:rFonts w:hint="eastAsia" w:ascii="宋体" w:hAnsi="宋体" w:cs="宋体"/>
          <w:b/>
          <w:bCs/>
          <w:sz w:val="32"/>
          <w:szCs w:val="32"/>
          <w:lang w:eastAsia="zh-CN"/>
        </w:rPr>
        <w:t>昆明市官渡区人民医院</w:t>
      </w:r>
    </w:p>
    <w:p w14:paraId="3FDD6F9F">
      <w:pPr>
        <w:spacing w:line="360" w:lineRule="auto"/>
        <w:jc w:val="center"/>
        <w:outlineLvl w:val="0"/>
        <w:rPr>
          <w:rFonts w:ascii="宋体" w:hAnsi="宋体" w:cs="宋体"/>
          <w:b/>
          <w:bCs/>
          <w:sz w:val="32"/>
          <w:szCs w:val="32"/>
        </w:rPr>
      </w:pPr>
      <w:bookmarkStart w:id="2" w:name="_Toc137"/>
      <w:r>
        <w:rPr>
          <w:rFonts w:hint="eastAsia" w:ascii="宋体" w:hAnsi="宋体" w:cs="宋体"/>
          <w:b/>
          <w:sz w:val="32"/>
          <w:szCs w:val="32"/>
        </w:rPr>
        <w:t>采购代理机构：</w:t>
      </w:r>
      <w:bookmarkEnd w:id="2"/>
      <w:r>
        <w:rPr>
          <w:rFonts w:hint="eastAsia" w:ascii="宋体" w:hAnsi="宋体" w:cs="宋体"/>
          <w:b/>
          <w:bCs/>
          <w:sz w:val="32"/>
          <w:szCs w:val="32"/>
        </w:rPr>
        <w:t>云南冠睿咨询有限公司</w:t>
      </w:r>
    </w:p>
    <w:p w14:paraId="2E159EAE">
      <w:pPr>
        <w:spacing w:line="360" w:lineRule="auto"/>
        <w:jc w:val="center"/>
        <w:rPr>
          <w:rFonts w:ascii="宋体" w:hAnsi="宋体" w:cs="宋体"/>
          <w:sz w:val="32"/>
          <w:szCs w:val="32"/>
        </w:rPr>
      </w:pPr>
      <w:r>
        <w:rPr>
          <w:rFonts w:hint="eastAsia" w:ascii="宋体" w:hAnsi="宋体" w:cs="宋体"/>
          <w:b/>
          <w:bCs/>
          <w:spacing w:val="20"/>
          <w:sz w:val="32"/>
          <w:szCs w:val="32"/>
        </w:rPr>
        <w:t>2025年</w:t>
      </w:r>
      <w:r>
        <w:rPr>
          <w:rFonts w:hint="eastAsia" w:ascii="宋体" w:hAnsi="宋体" w:cs="宋体"/>
          <w:b/>
          <w:bCs/>
          <w:spacing w:val="20"/>
          <w:sz w:val="32"/>
          <w:szCs w:val="32"/>
          <w:lang w:val="en-US" w:eastAsia="zh-CN"/>
        </w:rPr>
        <w:t>10</w:t>
      </w:r>
      <w:r>
        <w:rPr>
          <w:rFonts w:hint="eastAsia" w:ascii="宋体" w:hAnsi="宋体" w:cs="宋体"/>
          <w:b/>
          <w:bCs/>
          <w:spacing w:val="20"/>
          <w:sz w:val="32"/>
          <w:szCs w:val="32"/>
        </w:rPr>
        <w:t>月</w:t>
      </w:r>
      <w:bookmarkStart w:id="3" w:name="_Toc25875"/>
    </w:p>
    <w:p w14:paraId="4DB0EAEC">
      <w:pPr>
        <w:pStyle w:val="113"/>
        <w:jc w:val="center"/>
        <w:rPr>
          <w:rFonts w:ascii="宋体" w:hAnsi="宋体" w:eastAsia="宋体" w:cs="宋体"/>
          <w:b w:val="0"/>
          <w:bCs w:val="0"/>
          <w:color w:val="auto"/>
          <w:kern w:val="2"/>
          <w:sz w:val="21"/>
          <w:szCs w:val="20"/>
          <w:lang w:val="zh-CN"/>
        </w:rPr>
        <w:sectPr>
          <w:headerReference r:id="rId3" w:type="default"/>
          <w:pgSz w:w="12240" w:h="15840"/>
          <w:pgMar w:top="1440" w:right="1800" w:bottom="1440" w:left="1800" w:header="567" w:footer="567" w:gutter="0"/>
          <w:pgNumType w:start="0"/>
          <w:cols w:space="720" w:num="1"/>
        </w:sectPr>
      </w:pPr>
    </w:p>
    <w:p w14:paraId="0E6EBF54">
      <w:pPr>
        <w:pStyle w:val="28"/>
        <w:tabs>
          <w:tab w:val="right" w:leader="dot" w:pos="8640"/>
          <w:tab w:val="clear" w:pos="9663"/>
        </w:tabs>
        <w:spacing w:before="0" w:after="0"/>
      </w:pPr>
      <w:r>
        <w:rPr>
          <w:rFonts w:hint="eastAsia" w:ascii="宋体" w:hAnsi="宋体" w:cs="宋体"/>
        </w:rPr>
        <w:fldChar w:fldCharType="begin"/>
      </w:r>
      <w:r>
        <w:rPr>
          <w:rFonts w:hint="eastAsia" w:ascii="宋体" w:hAnsi="宋体" w:cs="宋体"/>
        </w:rPr>
        <w:instrText xml:space="preserve"> TOC \o "1-3" \h \z \u </w:instrText>
      </w:r>
      <w:r>
        <w:rPr>
          <w:rFonts w:hint="eastAsia" w:ascii="宋体" w:hAnsi="宋体" w:cs="宋体"/>
        </w:rPr>
        <w:fldChar w:fldCharType="separate"/>
      </w:r>
    </w:p>
    <w:p w14:paraId="04598BE3">
      <w:pPr>
        <w:pStyle w:val="28"/>
        <w:tabs>
          <w:tab w:val="right" w:leader="dot" w:pos="8640"/>
          <w:tab w:val="clear" w:pos="9663"/>
        </w:tabs>
        <w:spacing w:before="0" w:after="0"/>
        <w:jc w:val="center"/>
        <w:rPr>
          <w:rFonts w:ascii="宋体" w:hAnsi="宋体" w:cs="宋体"/>
        </w:rPr>
      </w:pPr>
      <w:r>
        <w:rPr>
          <w:rFonts w:hint="eastAsia" w:ascii="宋体" w:hAnsi="宋体" w:cs="宋体"/>
          <w:lang w:val="zh-CN"/>
        </w:rPr>
        <w:t>目录</w:t>
      </w:r>
    </w:p>
    <w:p w14:paraId="0F1575C9">
      <w:pPr>
        <w:spacing w:line="360" w:lineRule="auto"/>
        <w:jc w:val="center"/>
        <w:rPr>
          <w:rFonts w:ascii="宋体" w:hAnsi="宋体" w:cs="宋体"/>
          <w:b/>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"1-2" \h \u </w:instrText>
      </w:r>
      <w:r>
        <w:rPr>
          <w:rFonts w:hint="eastAsia" w:ascii="宋体" w:hAnsi="宋体" w:cs="宋体"/>
          <w:sz w:val="28"/>
          <w:szCs w:val="28"/>
        </w:rPr>
        <w:fldChar w:fldCharType="separate"/>
      </w:r>
    </w:p>
    <w:p w14:paraId="7D6413BB">
      <w:pPr>
        <w:pStyle w:val="173"/>
        <w:tabs>
          <w:tab w:val="right" w:leader="dot" w:pos="8640"/>
        </w:tabs>
        <w:spacing w:line="480" w:lineRule="auto"/>
        <w:rPr>
          <w:rFonts w:ascii="宋体" w:hAnsi="宋体" w:cs="宋体"/>
          <w:bCs/>
          <w:sz w:val="24"/>
          <w:szCs w:val="24"/>
        </w:rPr>
      </w:pPr>
      <w:r>
        <w:fldChar w:fldCharType="begin"/>
      </w:r>
      <w:r>
        <w:instrText xml:space="preserve"> HYPERLINK \l "_Toc21234" </w:instrText>
      </w:r>
      <w:r>
        <w:fldChar w:fldCharType="separate"/>
      </w:r>
      <w:r>
        <w:rPr>
          <w:rFonts w:hint="eastAsia" w:ascii="宋体" w:hAnsi="宋体" w:cs="宋体"/>
          <w:bCs/>
          <w:sz w:val="24"/>
          <w:szCs w:val="24"/>
        </w:rPr>
        <w:t>第一章  公开招标公告</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_Toc21234 \h </w:instrText>
      </w:r>
      <w:r>
        <w:rPr>
          <w:rFonts w:hint="eastAsia" w:ascii="宋体" w:hAnsi="宋体" w:cs="宋体"/>
          <w:bCs/>
          <w:sz w:val="24"/>
          <w:szCs w:val="24"/>
        </w:rPr>
        <w:fldChar w:fldCharType="separate"/>
      </w:r>
      <w:r>
        <w:rPr>
          <w:rFonts w:hint="eastAsia" w:ascii="宋体" w:hAnsi="宋体" w:cs="宋体"/>
          <w:bCs/>
          <w:sz w:val="24"/>
          <w:szCs w:val="24"/>
        </w:rPr>
        <w:t>1</w:t>
      </w:r>
      <w:r>
        <w:rPr>
          <w:rFonts w:hint="eastAsia" w:ascii="宋体" w:hAnsi="宋体" w:cs="宋体"/>
          <w:bCs/>
          <w:sz w:val="24"/>
          <w:szCs w:val="24"/>
        </w:rPr>
        <w:fldChar w:fldCharType="end"/>
      </w:r>
      <w:r>
        <w:rPr>
          <w:rFonts w:hint="eastAsia" w:ascii="宋体" w:hAnsi="宋体" w:cs="宋体"/>
          <w:bCs/>
          <w:sz w:val="24"/>
          <w:szCs w:val="24"/>
        </w:rPr>
        <w:fldChar w:fldCharType="end"/>
      </w:r>
    </w:p>
    <w:p w14:paraId="51570BCC">
      <w:pPr>
        <w:pStyle w:val="173"/>
        <w:tabs>
          <w:tab w:val="right" w:leader="dot" w:pos="8640"/>
        </w:tabs>
        <w:spacing w:line="480" w:lineRule="auto"/>
        <w:rPr>
          <w:rFonts w:ascii="宋体" w:hAnsi="宋体" w:cs="宋体"/>
          <w:bCs/>
          <w:sz w:val="24"/>
          <w:szCs w:val="24"/>
        </w:rPr>
      </w:pPr>
      <w:r>
        <w:fldChar w:fldCharType="begin"/>
      </w:r>
      <w:r>
        <w:instrText xml:space="preserve"> HYPERLINK \l "_Toc14382" </w:instrText>
      </w:r>
      <w:r>
        <w:fldChar w:fldCharType="separate"/>
      </w:r>
      <w:r>
        <w:rPr>
          <w:rFonts w:hint="eastAsia" w:ascii="宋体" w:hAnsi="宋体" w:cs="宋体"/>
          <w:bCs/>
          <w:sz w:val="24"/>
          <w:szCs w:val="24"/>
        </w:rPr>
        <w:t>第二章  投标人须知</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_Toc14382 \h </w:instrText>
      </w:r>
      <w:r>
        <w:rPr>
          <w:rFonts w:hint="eastAsia" w:ascii="宋体" w:hAnsi="宋体" w:cs="宋体"/>
          <w:bCs/>
          <w:sz w:val="24"/>
          <w:szCs w:val="24"/>
        </w:rPr>
        <w:fldChar w:fldCharType="separate"/>
      </w:r>
      <w:r>
        <w:rPr>
          <w:rFonts w:hint="eastAsia" w:ascii="宋体" w:hAnsi="宋体" w:cs="宋体"/>
          <w:bCs/>
          <w:sz w:val="24"/>
          <w:szCs w:val="24"/>
        </w:rPr>
        <w:t>6</w:t>
      </w:r>
      <w:r>
        <w:rPr>
          <w:rFonts w:hint="eastAsia" w:ascii="宋体" w:hAnsi="宋体" w:cs="宋体"/>
          <w:bCs/>
          <w:sz w:val="24"/>
          <w:szCs w:val="24"/>
        </w:rPr>
        <w:fldChar w:fldCharType="end"/>
      </w:r>
      <w:r>
        <w:rPr>
          <w:rFonts w:hint="eastAsia" w:ascii="宋体" w:hAnsi="宋体" w:cs="宋体"/>
          <w:bCs/>
          <w:sz w:val="24"/>
          <w:szCs w:val="24"/>
        </w:rPr>
        <w:fldChar w:fldCharType="end"/>
      </w:r>
    </w:p>
    <w:p w14:paraId="6BC53A36">
      <w:pPr>
        <w:pStyle w:val="174"/>
        <w:tabs>
          <w:tab w:val="right" w:leader="dot" w:pos="8640"/>
        </w:tabs>
        <w:spacing w:line="480" w:lineRule="auto"/>
        <w:ind w:left="420"/>
        <w:rPr>
          <w:rFonts w:ascii="宋体" w:hAnsi="宋体" w:cs="宋体"/>
          <w:bCs/>
          <w:sz w:val="24"/>
          <w:szCs w:val="24"/>
        </w:rPr>
      </w:pPr>
      <w:r>
        <w:fldChar w:fldCharType="begin"/>
      </w:r>
      <w:r>
        <w:instrText xml:space="preserve"> HYPERLINK \l "_Toc13457" </w:instrText>
      </w:r>
      <w:r>
        <w:fldChar w:fldCharType="separate"/>
      </w:r>
      <w:r>
        <w:rPr>
          <w:rFonts w:hint="eastAsia" w:ascii="宋体" w:hAnsi="宋体" w:cs="宋体"/>
          <w:bCs/>
          <w:sz w:val="24"/>
          <w:szCs w:val="24"/>
        </w:rPr>
        <w:t>投标人须知前附表</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_Toc13457 \h </w:instrText>
      </w:r>
      <w:r>
        <w:rPr>
          <w:rFonts w:hint="eastAsia" w:ascii="宋体" w:hAnsi="宋体" w:cs="宋体"/>
          <w:bCs/>
          <w:sz w:val="24"/>
          <w:szCs w:val="24"/>
        </w:rPr>
        <w:fldChar w:fldCharType="separate"/>
      </w:r>
      <w:r>
        <w:rPr>
          <w:rFonts w:hint="eastAsia" w:ascii="宋体" w:hAnsi="宋体" w:cs="宋体"/>
          <w:bCs/>
          <w:sz w:val="24"/>
          <w:szCs w:val="24"/>
        </w:rPr>
        <w:t>6</w:t>
      </w:r>
      <w:r>
        <w:rPr>
          <w:rFonts w:hint="eastAsia" w:ascii="宋体" w:hAnsi="宋体" w:cs="宋体"/>
          <w:bCs/>
          <w:sz w:val="24"/>
          <w:szCs w:val="24"/>
        </w:rPr>
        <w:fldChar w:fldCharType="end"/>
      </w:r>
      <w:r>
        <w:rPr>
          <w:rFonts w:hint="eastAsia" w:ascii="宋体" w:hAnsi="宋体" w:cs="宋体"/>
          <w:bCs/>
          <w:sz w:val="24"/>
          <w:szCs w:val="24"/>
        </w:rPr>
        <w:fldChar w:fldCharType="end"/>
      </w:r>
    </w:p>
    <w:p w14:paraId="4865A30B">
      <w:pPr>
        <w:pStyle w:val="173"/>
        <w:tabs>
          <w:tab w:val="right" w:leader="dot" w:pos="8640"/>
        </w:tabs>
        <w:spacing w:line="480" w:lineRule="auto"/>
        <w:rPr>
          <w:rFonts w:ascii="宋体" w:hAnsi="宋体" w:cs="宋体"/>
          <w:bCs/>
          <w:sz w:val="24"/>
          <w:szCs w:val="24"/>
        </w:rPr>
      </w:pPr>
      <w:r>
        <w:fldChar w:fldCharType="begin"/>
      </w:r>
      <w:r>
        <w:instrText xml:space="preserve"> HYPERLINK \l "_Toc3050" </w:instrText>
      </w:r>
      <w:r>
        <w:fldChar w:fldCharType="separate"/>
      </w:r>
      <w:r>
        <w:rPr>
          <w:rFonts w:hint="eastAsia" w:ascii="宋体" w:hAnsi="宋体" w:cs="宋体"/>
          <w:bCs/>
          <w:sz w:val="24"/>
          <w:szCs w:val="24"/>
        </w:rPr>
        <w:t>第三章  合同书样式</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_Toc3050 \h </w:instrText>
      </w:r>
      <w:r>
        <w:rPr>
          <w:rFonts w:hint="eastAsia" w:ascii="宋体" w:hAnsi="宋体" w:cs="宋体"/>
          <w:bCs/>
          <w:sz w:val="24"/>
          <w:szCs w:val="24"/>
        </w:rPr>
        <w:fldChar w:fldCharType="separate"/>
      </w:r>
      <w:r>
        <w:rPr>
          <w:rFonts w:hint="eastAsia" w:ascii="宋体" w:hAnsi="宋体" w:cs="宋体"/>
          <w:bCs/>
          <w:sz w:val="24"/>
          <w:szCs w:val="24"/>
        </w:rPr>
        <w:t>20</w:t>
      </w:r>
      <w:r>
        <w:rPr>
          <w:rFonts w:hint="eastAsia" w:ascii="宋体" w:hAnsi="宋体" w:cs="宋体"/>
          <w:bCs/>
          <w:sz w:val="24"/>
          <w:szCs w:val="24"/>
        </w:rPr>
        <w:fldChar w:fldCharType="end"/>
      </w:r>
      <w:r>
        <w:rPr>
          <w:rFonts w:hint="eastAsia" w:ascii="宋体" w:hAnsi="宋体" w:cs="宋体"/>
          <w:bCs/>
          <w:sz w:val="24"/>
          <w:szCs w:val="24"/>
        </w:rPr>
        <w:fldChar w:fldCharType="end"/>
      </w:r>
    </w:p>
    <w:p w14:paraId="2784507F">
      <w:pPr>
        <w:pStyle w:val="173"/>
        <w:tabs>
          <w:tab w:val="right" w:leader="dot" w:pos="8640"/>
        </w:tabs>
        <w:spacing w:line="480" w:lineRule="auto"/>
        <w:rPr>
          <w:rFonts w:ascii="宋体" w:hAnsi="宋体" w:cs="宋体"/>
          <w:bCs/>
          <w:sz w:val="24"/>
          <w:szCs w:val="24"/>
        </w:rPr>
      </w:pPr>
      <w:r>
        <w:fldChar w:fldCharType="begin"/>
      </w:r>
      <w:r>
        <w:instrText xml:space="preserve"> HYPERLINK \l "_Toc9500" </w:instrText>
      </w:r>
      <w:r>
        <w:fldChar w:fldCharType="separate"/>
      </w:r>
      <w:r>
        <w:rPr>
          <w:rFonts w:hint="eastAsia" w:ascii="宋体" w:hAnsi="宋体" w:cs="宋体"/>
          <w:bCs/>
          <w:sz w:val="24"/>
          <w:szCs w:val="24"/>
        </w:rPr>
        <w:t>第四章  投标文件格式</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_Toc9500 \h </w:instrText>
      </w:r>
      <w:r>
        <w:rPr>
          <w:rFonts w:hint="eastAsia" w:ascii="宋体" w:hAnsi="宋体" w:cs="宋体"/>
          <w:bCs/>
          <w:sz w:val="24"/>
          <w:szCs w:val="24"/>
        </w:rPr>
        <w:fldChar w:fldCharType="separate"/>
      </w:r>
      <w:r>
        <w:rPr>
          <w:rFonts w:hint="eastAsia" w:ascii="宋体" w:hAnsi="宋体" w:cs="宋体"/>
          <w:bCs/>
          <w:sz w:val="24"/>
          <w:szCs w:val="24"/>
        </w:rPr>
        <w:t>35</w:t>
      </w:r>
      <w:r>
        <w:rPr>
          <w:rFonts w:hint="eastAsia" w:ascii="宋体" w:hAnsi="宋体" w:cs="宋体"/>
          <w:bCs/>
          <w:sz w:val="24"/>
          <w:szCs w:val="24"/>
        </w:rPr>
        <w:fldChar w:fldCharType="end"/>
      </w:r>
      <w:r>
        <w:rPr>
          <w:rFonts w:hint="eastAsia" w:ascii="宋体" w:hAnsi="宋体" w:cs="宋体"/>
          <w:bCs/>
          <w:sz w:val="24"/>
          <w:szCs w:val="24"/>
        </w:rPr>
        <w:fldChar w:fldCharType="end"/>
      </w:r>
    </w:p>
    <w:p w14:paraId="7ACE7C92">
      <w:pPr>
        <w:pStyle w:val="173"/>
        <w:tabs>
          <w:tab w:val="right" w:leader="dot" w:pos="8640"/>
        </w:tabs>
        <w:spacing w:line="480" w:lineRule="auto"/>
        <w:rPr>
          <w:rFonts w:ascii="宋体" w:hAnsi="宋体" w:cs="宋体"/>
          <w:bCs/>
          <w:sz w:val="24"/>
          <w:szCs w:val="24"/>
        </w:rPr>
      </w:pPr>
      <w:r>
        <w:fldChar w:fldCharType="begin"/>
      </w:r>
      <w:r>
        <w:instrText xml:space="preserve"> HYPERLINK \l "_Toc31992" </w:instrText>
      </w:r>
      <w:r>
        <w:fldChar w:fldCharType="separate"/>
      </w:r>
      <w:r>
        <w:rPr>
          <w:rFonts w:hint="eastAsia" w:ascii="宋体" w:hAnsi="宋体" w:cs="宋体"/>
          <w:bCs/>
          <w:sz w:val="24"/>
          <w:szCs w:val="24"/>
        </w:rPr>
        <w:t>第五章  采购需求</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_Toc31992 \h </w:instrText>
      </w:r>
      <w:r>
        <w:rPr>
          <w:rFonts w:hint="eastAsia" w:ascii="宋体" w:hAnsi="宋体" w:cs="宋体"/>
          <w:bCs/>
          <w:sz w:val="24"/>
          <w:szCs w:val="24"/>
        </w:rPr>
        <w:fldChar w:fldCharType="separate"/>
      </w:r>
      <w:r>
        <w:rPr>
          <w:rFonts w:hint="eastAsia" w:ascii="宋体" w:hAnsi="宋体" w:cs="宋体"/>
          <w:bCs/>
          <w:sz w:val="24"/>
          <w:szCs w:val="24"/>
        </w:rPr>
        <w:t>65</w:t>
      </w:r>
      <w:r>
        <w:rPr>
          <w:rFonts w:hint="eastAsia" w:ascii="宋体" w:hAnsi="宋体" w:cs="宋体"/>
          <w:bCs/>
          <w:sz w:val="24"/>
          <w:szCs w:val="24"/>
        </w:rPr>
        <w:fldChar w:fldCharType="end"/>
      </w:r>
      <w:r>
        <w:rPr>
          <w:rFonts w:hint="eastAsia" w:ascii="宋体" w:hAnsi="宋体" w:cs="宋体"/>
          <w:bCs/>
          <w:sz w:val="24"/>
          <w:szCs w:val="24"/>
        </w:rPr>
        <w:fldChar w:fldCharType="end"/>
      </w:r>
    </w:p>
    <w:p w14:paraId="144F1E0D">
      <w:pPr>
        <w:pStyle w:val="173"/>
        <w:tabs>
          <w:tab w:val="right" w:leader="dot" w:pos="8640"/>
        </w:tabs>
        <w:spacing w:line="480" w:lineRule="auto"/>
        <w:rPr>
          <w:rFonts w:ascii="宋体" w:hAnsi="宋体" w:cs="宋体"/>
          <w:bCs/>
          <w:sz w:val="24"/>
          <w:szCs w:val="24"/>
        </w:rPr>
      </w:pPr>
      <w:r>
        <w:fldChar w:fldCharType="begin"/>
      </w:r>
      <w:r>
        <w:instrText xml:space="preserve"> HYPERLINK \l "_Toc14295" </w:instrText>
      </w:r>
      <w:r>
        <w:fldChar w:fldCharType="separate"/>
      </w:r>
      <w:r>
        <w:rPr>
          <w:rFonts w:hint="eastAsia" w:ascii="宋体" w:hAnsi="宋体" w:cs="宋体"/>
          <w:bCs/>
          <w:sz w:val="24"/>
          <w:szCs w:val="24"/>
        </w:rPr>
        <w:t>第六章  资格审查</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_Toc14295 \h </w:instrText>
      </w:r>
      <w:r>
        <w:rPr>
          <w:rFonts w:hint="eastAsia" w:ascii="宋体" w:hAnsi="宋体" w:cs="宋体"/>
          <w:bCs/>
          <w:sz w:val="24"/>
          <w:szCs w:val="24"/>
        </w:rPr>
        <w:fldChar w:fldCharType="separate"/>
      </w:r>
      <w:r>
        <w:rPr>
          <w:rFonts w:hint="eastAsia" w:ascii="宋体" w:hAnsi="宋体" w:cs="宋体"/>
          <w:bCs/>
          <w:sz w:val="24"/>
          <w:szCs w:val="24"/>
        </w:rPr>
        <w:t>67</w:t>
      </w:r>
      <w:r>
        <w:rPr>
          <w:rFonts w:hint="eastAsia" w:ascii="宋体" w:hAnsi="宋体" w:cs="宋体"/>
          <w:bCs/>
          <w:sz w:val="24"/>
          <w:szCs w:val="24"/>
        </w:rPr>
        <w:fldChar w:fldCharType="end"/>
      </w:r>
      <w:r>
        <w:rPr>
          <w:rFonts w:hint="eastAsia" w:ascii="宋体" w:hAnsi="宋体" w:cs="宋体"/>
          <w:bCs/>
          <w:sz w:val="24"/>
          <w:szCs w:val="24"/>
        </w:rPr>
        <w:fldChar w:fldCharType="end"/>
      </w:r>
    </w:p>
    <w:p w14:paraId="2880A74D">
      <w:pPr>
        <w:pStyle w:val="174"/>
        <w:tabs>
          <w:tab w:val="right" w:leader="dot" w:pos="8640"/>
        </w:tabs>
        <w:spacing w:line="480" w:lineRule="auto"/>
        <w:ind w:left="420"/>
        <w:rPr>
          <w:rFonts w:ascii="宋体" w:hAnsi="宋体" w:cs="宋体"/>
          <w:bCs/>
          <w:sz w:val="24"/>
          <w:szCs w:val="24"/>
        </w:rPr>
      </w:pPr>
      <w:r>
        <w:fldChar w:fldCharType="begin"/>
      </w:r>
      <w:r>
        <w:instrText xml:space="preserve"> HYPERLINK \l "_Toc21544" </w:instrText>
      </w:r>
      <w:r>
        <w:fldChar w:fldCharType="separate"/>
      </w:r>
      <w:r>
        <w:rPr>
          <w:rFonts w:hint="eastAsia" w:ascii="宋体" w:hAnsi="宋体" w:cs="宋体"/>
          <w:bCs/>
          <w:caps/>
          <w:sz w:val="24"/>
          <w:szCs w:val="24"/>
        </w:rPr>
        <w:t>投标人资格要求前附表</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_Toc21544 \h </w:instrText>
      </w:r>
      <w:r>
        <w:rPr>
          <w:rFonts w:hint="eastAsia" w:ascii="宋体" w:hAnsi="宋体" w:cs="宋体"/>
          <w:bCs/>
          <w:sz w:val="24"/>
          <w:szCs w:val="24"/>
        </w:rPr>
        <w:fldChar w:fldCharType="separate"/>
      </w:r>
      <w:r>
        <w:rPr>
          <w:rFonts w:hint="eastAsia" w:ascii="宋体" w:hAnsi="宋体" w:cs="宋体"/>
          <w:bCs/>
          <w:sz w:val="24"/>
          <w:szCs w:val="24"/>
        </w:rPr>
        <w:t>67</w:t>
      </w:r>
      <w:r>
        <w:rPr>
          <w:rFonts w:hint="eastAsia" w:ascii="宋体" w:hAnsi="宋体" w:cs="宋体"/>
          <w:bCs/>
          <w:sz w:val="24"/>
          <w:szCs w:val="24"/>
        </w:rPr>
        <w:fldChar w:fldCharType="end"/>
      </w:r>
      <w:r>
        <w:rPr>
          <w:rFonts w:hint="eastAsia" w:ascii="宋体" w:hAnsi="宋体" w:cs="宋体"/>
          <w:bCs/>
          <w:sz w:val="24"/>
          <w:szCs w:val="24"/>
        </w:rPr>
        <w:fldChar w:fldCharType="end"/>
      </w:r>
    </w:p>
    <w:p w14:paraId="555F8441">
      <w:pPr>
        <w:pStyle w:val="173"/>
        <w:tabs>
          <w:tab w:val="right" w:leader="dot" w:pos="8640"/>
        </w:tabs>
        <w:spacing w:line="480" w:lineRule="auto"/>
        <w:rPr>
          <w:rFonts w:ascii="宋体" w:hAnsi="宋体" w:cs="宋体"/>
          <w:bCs/>
          <w:sz w:val="24"/>
          <w:szCs w:val="24"/>
        </w:rPr>
      </w:pPr>
      <w:r>
        <w:fldChar w:fldCharType="begin"/>
      </w:r>
      <w:r>
        <w:instrText xml:space="preserve"> HYPERLINK \l "_Toc29737" </w:instrText>
      </w:r>
      <w:r>
        <w:fldChar w:fldCharType="separate"/>
      </w:r>
      <w:r>
        <w:rPr>
          <w:rFonts w:hint="eastAsia" w:ascii="宋体" w:hAnsi="宋体" w:cs="宋体"/>
          <w:bCs/>
          <w:sz w:val="24"/>
          <w:szCs w:val="24"/>
        </w:rPr>
        <w:t>第七章  评标方法（综合评分法）</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_Toc29737 \h </w:instrText>
      </w:r>
      <w:r>
        <w:rPr>
          <w:rFonts w:hint="eastAsia" w:ascii="宋体" w:hAnsi="宋体" w:cs="宋体"/>
          <w:bCs/>
          <w:sz w:val="24"/>
          <w:szCs w:val="24"/>
        </w:rPr>
        <w:fldChar w:fldCharType="separate"/>
      </w:r>
      <w:r>
        <w:rPr>
          <w:rFonts w:hint="eastAsia" w:ascii="宋体" w:hAnsi="宋体" w:cs="宋体"/>
          <w:bCs/>
          <w:sz w:val="24"/>
          <w:szCs w:val="24"/>
        </w:rPr>
        <w:t>70</w:t>
      </w:r>
      <w:r>
        <w:rPr>
          <w:rFonts w:hint="eastAsia" w:ascii="宋体" w:hAnsi="宋体" w:cs="宋体"/>
          <w:bCs/>
          <w:sz w:val="24"/>
          <w:szCs w:val="24"/>
        </w:rPr>
        <w:fldChar w:fldCharType="end"/>
      </w:r>
      <w:r>
        <w:rPr>
          <w:rFonts w:hint="eastAsia" w:ascii="宋体" w:hAnsi="宋体" w:cs="宋体"/>
          <w:bCs/>
          <w:sz w:val="24"/>
          <w:szCs w:val="24"/>
        </w:rPr>
        <w:fldChar w:fldCharType="end"/>
      </w:r>
    </w:p>
    <w:p w14:paraId="609138C7">
      <w:pPr>
        <w:pStyle w:val="174"/>
        <w:tabs>
          <w:tab w:val="right" w:leader="dot" w:pos="8640"/>
        </w:tabs>
        <w:spacing w:line="480" w:lineRule="auto"/>
        <w:ind w:left="420"/>
        <w:rPr>
          <w:rFonts w:ascii="宋体" w:hAnsi="宋体" w:cs="宋体"/>
          <w:bCs/>
          <w:sz w:val="24"/>
          <w:szCs w:val="24"/>
        </w:rPr>
      </w:pPr>
      <w:r>
        <w:fldChar w:fldCharType="begin"/>
      </w:r>
      <w:r>
        <w:instrText xml:space="preserve"> HYPERLINK \l "_Toc3327" </w:instrText>
      </w:r>
      <w:r>
        <w:fldChar w:fldCharType="separate"/>
      </w:r>
      <w:r>
        <w:rPr>
          <w:rFonts w:hint="eastAsia" w:ascii="宋体" w:hAnsi="宋体" w:cs="宋体"/>
          <w:bCs/>
          <w:sz w:val="24"/>
          <w:szCs w:val="24"/>
        </w:rPr>
        <w:t>评标方法前附表</w:t>
      </w:r>
      <w:r>
        <w:rPr>
          <w:rFonts w:hint="eastAsia" w:ascii="宋体" w:hAnsi="宋体" w:cs="宋体"/>
          <w:bCs/>
          <w:sz w:val="24"/>
          <w:szCs w:val="24"/>
        </w:rPr>
        <w:tab/>
      </w:r>
      <w:r>
        <w:rPr>
          <w:rFonts w:hint="eastAsia" w:ascii="宋体" w:hAnsi="宋体" w:cs="宋体"/>
          <w:bCs/>
          <w:sz w:val="24"/>
          <w:szCs w:val="24"/>
        </w:rPr>
        <w:fldChar w:fldCharType="begin"/>
      </w:r>
      <w:r>
        <w:rPr>
          <w:rFonts w:hint="eastAsia" w:ascii="宋体" w:hAnsi="宋体" w:cs="宋体"/>
          <w:bCs/>
          <w:sz w:val="24"/>
          <w:szCs w:val="24"/>
        </w:rPr>
        <w:instrText xml:space="preserve"> PAGEREF _Toc3327 \h </w:instrText>
      </w:r>
      <w:r>
        <w:rPr>
          <w:rFonts w:hint="eastAsia" w:ascii="宋体" w:hAnsi="宋体" w:cs="宋体"/>
          <w:bCs/>
          <w:sz w:val="24"/>
          <w:szCs w:val="24"/>
        </w:rPr>
        <w:fldChar w:fldCharType="separate"/>
      </w:r>
      <w:r>
        <w:rPr>
          <w:rFonts w:hint="eastAsia" w:ascii="宋体" w:hAnsi="宋体" w:cs="宋体"/>
          <w:bCs/>
          <w:sz w:val="24"/>
          <w:szCs w:val="24"/>
        </w:rPr>
        <w:t>70</w:t>
      </w:r>
      <w:r>
        <w:rPr>
          <w:rFonts w:hint="eastAsia" w:ascii="宋体" w:hAnsi="宋体" w:cs="宋体"/>
          <w:bCs/>
          <w:sz w:val="24"/>
          <w:szCs w:val="24"/>
        </w:rPr>
        <w:fldChar w:fldCharType="end"/>
      </w:r>
      <w:r>
        <w:rPr>
          <w:rFonts w:hint="eastAsia" w:ascii="宋体" w:hAnsi="宋体" w:cs="宋体"/>
          <w:bCs/>
          <w:sz w:val="24"/>
          <w:szCs w:val="24"/>
        </w:rPr>
        <w:fldChar w:fldCharType="end"/>
      </w:r>
    </w:p>
    <w:p w14:paraId="760FE2AC">
      <w:pPr>
        <w:spacing w:line="360" w:lineRule="auto"/>
        <w:rPr>
          <w:rFonts w:ascii="宋体" w:hAnsi="宋体" w:cs="宋体"/>
        </w:rPr>
      </w:pPr>
      <w:r>
        <w:rPr>
          <w:rFonts w:hint="eastAsia" w:ascii="宋体" w:hAnsi="宋体" w:cs="宋体"/>
          <w:b/>
          <w:sz w:val="28"/>
          <w:szCs w:val="28"/>
        </w:rPr>
        <w:fldChar w:fldCharType="end"/>
      </w:r>
    </w:p>
    <w:p w14:paraId="679D379A">
      <w:pPr>
        <w:spacing w:line="480" w:lineRule="auto"/>
        <w:rPr>
          <w:rFonts w:ascii="宋体" w:hAnsi="宋体" w:cs="宋体"/>
          <w:sz w:val="22"/>
          <w:szCs w:val="21"/>
        </w:rPr>
      </w:pPr>
      <w:r>
        <w:rPr>
          <w:rFonts w:hint="eastAsia" w:ascii="宋体" w:hAnsi="宋体" w:cs="宋体"/>
          <w:szCs w:val="28"/>
        </w:rPr>
        <w:fldChar w:fldCharType="end"/>
      </w:r>
    </w:p>
    <w:bookmarkEnd w:id="3"/>
    <w:p w14:paraId="1DC30E2D">
      <w:pPr>
        <w:pStyle w:val="2"/>
        <w:rPr>
          <w:rFonts w:ascii="宋体" w:hAnsi="宋体" w:cs="宋体"/>
          <w:szCs w:val="32"/>
        </w:rPr>
        <w:sectPr>
          <w:footerReference r:id="rId4" w:type="default"/>
          <w:pgSz w:w="12240" w:h="15840"/>
          <w:pgMar w:top="1440" w:right="1800" w:bottom="1440" w:left="1800" w:header="567" w:footer="567" w:gutter="0"/>
          <w:cols w:space="720" w:num="1"/>
        </w:sectPr>
      </w:pPr>
      <w:bookmarkStart w:id="4" w:name="_Toc26061"/>
      <w:bookmarkStart w:id="5" w:name="_Toc378239348"/>
      <w:bookmarkStart w:id="6" w:name="_Toc480817641"/>
      <w:bookmarkStart w:id="7" w:name="_Toc489145701"/>
      <w:bookmarkStart w:id="8" w:name="_Toc213908411"/>
      <w:bookmarkStart w:id="9" w:name="_Toc29379732"/>
    </w:p>
    <w:p w14:paraId="715D9FF8">
      <w:pPr>
        <w:pStyle w:val="2"/>
        <w:spacing w:before="0" w:after="0" w:line="500" w:lineRule="exact"/>
        <w:rPr>
          <w:rFonts w:ascii="宋体" w:hAnsi="宋体" w:cs="宋体"/>
          <w:szCs w:val="32"/>
        </w:rPr>
      </w:pPr>
      <w:bookmarkStart w:id="10" w:name="_Toc10539"/>
      <w:bookmarkStart w:id="11" w:name="_Toc21234"/>
      <w:r>
        <w:rPr>
          <w:rFonts w:hint="eastAsia" w:ascii="宋体" w:hAnsi="宋体" w:cs="宋体"/>
          <w:szCs w:val="32"/>
        </w:rPr>
        <w:t>第一章</w:t>
      </w:r>
      <w:bookmarkStart w:id="12" w:name="_Toc35393789"/>
      <w:bookmarkStart w:id="13" w:name="_Toc28359001"/>
      <w:r>
        <w:rPr>
          <w:rFonts w:hint="eastAsia" w:ascii="宋体" w:hAnsi="宋体" w:cs="宋体"/>
          <w:szCs w:val="32"/>
        </w:rPr>
        <w:t xml:space="preserve">  </w:t>
      </w:r>
      <w:bookmarkEnd w:id="10"/>
      <w:bookmarkEnd w:id="11"/>
      <w:bookmarkEnd w:id="12"/>
      <w:bookmarkEnd w:id="13"/>
      <w:r>
        <w:rPr>
          <w:rFonts w:hint="eastAsia" w:ascii="宋体" w:hAnsi="宋体" w:cs="宋体"/>
          <w:szCs w:val="32"/>
        </w:rPr>
        <w:t>公开招标公告</w:t>
      </w:r>
    </w:p>
    <w:p w14:paraId="73141C56">
      <w:pPr>
        <w:pBdr>
          <w:top w:val="single" w:color="auto" w:sz="4" w:space="1"/>
          <w:left w:val="single" w:color="auto" w:sz="4" w:space="4"/>
          <w:bottom w:val="single" w:color="auto" w:sz="4" w:space="1"/>
          <w:right w:val="single" w:color="auto" w:sz="4" w:space="4"/>
        </w:pBdr>
        <w:spacing w:line="500" w:lineRule="exact"/>
        <w:ind w:firstLine="420" w:firstLineChars="200"/>
        <w:jc w:val="center"/>
        <w:rPr>
          <w:rFonts w:ascii="宋体" w:hAnsi="宋体" w:cs="宋体"/>
          <w:szCs w:val="21"/>
        </w:rPr>
      </w:pPr>
      <w:r>
        <w:rPr>
          <w:rFonts w:hint="eastAsia" w:ascii="宋体" w:hAnsi="宋体" w:cs="宋体"/>
          <w:szCs w:val="21"/>
        </w:rPr>
        <w:t>项目概况</w:t>
      </w:r>
    </w:p>
    <w:p w14:paraId="29D8E0BF">
      <w:pPr>
        <w:pBdr>
          <w:top w:val="single" w:color="auto" w:sz="4" w:space="1"/>
          <w:left w:val="single" w:color="auto" w:sz="4" w:space="4"/>
          <w:bottom w:val="single" w:color="auto" w:sz="4" w:space="1"/>
          <w:right w:val="single" w:color="auto" w:sz="4" w:space="4"/>
        </w:pBdr>
        <w:wordWrap w:val="0"/>
        <w:spacing w:line="500" w:lineRule="exact"/>
        <w:ind w:firstLine="420" w:firstLineChars="200"/>
        <w:rPr>
          <w:rFonts w:ascii="宋体" w:hAnsi="宋体" w:cs="宋体"/>
          <w:szCs w:val="21"/>
        </w:rPr>
      </w:pPr>
      <w:r>
        <w:rPr>
          <w:rFonts w:hint="eastAsia" w:ascii="宋体" w:hAnsi="宋体" w:cs="宋体"/>
          <w:szCs w:val="21"/>
          <w:lang w:eastAsia="zh-CN"/>
        </w:rPr>
        <w:t>昆明市官渡区人民医院医疗责任保险服务项目（四次）</w:t>
      </w:r>
      <w:r>
        <w:rPr>
          <w:rFonts w:hint="eastAsia" w:ascii="宋体" w:hAnsi="宋体" w:cs="宋体"/>
          <w:szCs w:val="21"/>
        </w:rPr>
        <w:t>的潜在投标人应在政采云平台（https：//www.zcygov.cn/）获取招标文件，并于</w:t>
      </w:r>
      <w:r>
        <w:rPr>
          <w:rFonts w:hint="eastAsia" w:ascii="宋体" w:hAnsi="宋体" w:cs="宋体"/>
          <w:szCs w:val="21"/>
          <w:lang w:eastAsia="zh-CN"/>
        </w:rPr>
        <w:t>2025年10月30日</w:t>
      </w:r>
      <w:r>
        <w:rPr>
          <w:rFonts w:hint="eastAsia" w:ascii="宋体" w:hAnsi="宋体" w:cs="宋体"/>
          <w:szCs w:val="21"/>
          <w:lang w:val="en-US" w:eastAsia="zh-CN"/>
        </w:rPr>
        <w:t>09点30分</w:t>
      </w:r>
      <w:r>
        <w:rPr>
          <w:rFonts w:hint="eastAsia" w:ascii="宋体" w:hAnsi="宋体" w:cs="宋体"/>
          <w:szCs w:val="21"/>
        </w:rPr>
        <w:t>（北京时间）前递交投标文件。</w:t>
      </w:r>
    </w:p>
    <w:p w14:paraId="3013DC08">
      <w:pPr>
        <w:pStyle w:val="3"/>
        <w:spacing w:before="0" w:line="500" w:lineRule="exact"/>
        <w:rPr>
          <w:rFonts w:ascii="宋体" w:hAnsi="宋体" w:cs="宋体"/>
          <w:bCs/>
          <w:color w:val="auto"/>
          <w:spacing w:val="0"/>
          <w:sz w:val="30"/>
          <w:szCs w:val="30"/>
        </w:rPr>
      </w:pPr>
      <w:bookmarkStart w:id="14" w:name="_Toc35393790"/>
      <w:bookmarkStart w:id="15" w:name="_Toc4139"/>
      <w:bookmarkStart w:id="16" w:name="_Toc28359002"/>
      <w:bookmarkStart w:id="17" w:name="_Toc11883"/>
      <w:bookmarkStart w:id="18" w:name="_Toc28359079"/>
      <w:bookmarkStart w:id="19" w:name="_Toc1428"/>
      <w:bookmarkStart w:id="20" w:name="_Toc35393621"/>
      <w:bookmarkStart w:id="21" w:name="_Toc20963"/>
      <w:bookmarkStart w:id="22" w:name="_Hlk24379207"/>
      <w:r>
        <w:rPr>
          <w:rFonts w:hint="eastAsia" w:ascii="宋体" w:hAnsi="宋体" w:cs="宋体"/>
          <w:bCs/>
          <w:color w:val="auto"/>
          <w:spacing w:val="0"/>
          <w:sz w:val="30"/>
          <w:szCs w:val="30"/>
        </w:rPr>
        <w:t>一、项目基本情况</w:t>
      </w:r>
      <w:bookmarkEnd w:id="14"/>
      <w:bookmarkEnd w:id="15"/>
      <w:bookmarkEnd w:id="16"/>
      <w:bookmarkEnd w:id="17"/>
      <w:bookmarkEnd w:id="18"/>
      <w:bookmarkEnd w:id="19"/>
      <w:bookmarkEnd w:id="20"/>
      <w:bookmarkEnd w:id="21"/>
    </w:p>
    <w:bookmarkEnd w:id="22"/>
    <w:p w14:paraId="7EB4C13E">
      <w:pPr>
        <w:spacing w:line="500" w:lineRule="exact"/>
        <w:ind w:firstLine="420" w:firstLineChars="200"/>
        <w:rPr>
          <w:rFonts w:hint="eastAsia" w:ascii="宋体" w:hAnsi="宋体" w:eastAsia="宋体" w:cs="宋体"/>
          <w:szCs w:val="21"/>
          <w:u w:val="single"/>
          <w:lang w:eastAsia="zh-CN"/>
        </w:rPr>
      </w:pPr>
      <w:bookmarkStart w:id="23" w:name="_Toc28359003"/>
      <w:bookmarkStart w:id="24" w:name="_Toc35393791"/>
      <w:bookmarkStart w:id="25" w:name="_Toc35393622"/>
      <w:bookmarkStart w:id="26" w:name="_Toc28359080"/>
      <w:r>
        <w:rPr>
          <w:rFonts w:hint="eastAsia" w:ascii="宋体" w:hAnsi="宋体" w:cs="宋体"/>
          <w:szCs w:val="21"/>
        </w:rPr>
        <w:t>1.项目编号：</w:t>
      </w:r>
      <w:r>
        <w:rPr>
          <w:rFonts w:hint="eastAsia" w:ascii="宋体" w:hAnsi="宋体" w:cs="宋体"/>
          <w:szCs w:val="21"/>
          <w:lang w:eastAsia="zh-CN"/>
        </w:rPr>
        <w:t>KMZC2025-G3-02686-YNGR-0317</w:t>
      </w:r>
    </w:p>
    <w:p w14:paraId="2F627FC4">
      <w:pPr>
        <w:spacing w:line="500" w:lineRule="exact"/>
        <w:ind w:firstLine="420" w:firstLineChars="200"/>
        <w:rPr>
          <w:rFonts w:hint="eastAsia" w:ascii="宋体" w:hAnsi="宋体" w:eastAsia="宋体" w:cs="宋体"/>
          <w:szCs w:val="21"/>
          <w:lang w:eastAsia="zh-CN"/>
        </w:rPr>
      </w:pPr>
      <w:r>
        <w:rPr>
          <w:rFonts w:hint="eastAsia" w:ascii="宋体" w:hAnsi="宋体" w:cs="宋体"/>
          <w:szCs w:val="21"/>
        </w:rPr>
        <w:t>2.项目名称：</w:t>
      </w:r>
      <w:r>
        <w:rPr>
          <w:rFonts w:hint="eastAsia" w:ascii="宋体" w:hAnsi="宋体" w:cs="宋体"/>
          <w:szCs w:val="21"/>
          <w:lang w:eastAsia="zh-CN"/>
        </w:rPr>
        <w:t>昆明市官渡区人民医院医疗责任保险服务项目（四次）</w:t>
      </w:r>
    </w:p>
    <w:p w14:paraId="115F16EC">
      <w:pPr>
        <w:spacing w:line="500" w:lineRule="exact"/>
        <w:ind w:firstLine="420" w:firstLineChars="200"/>
        <w:rPr>
          <w:rFonts w:ascii="宋体" w:hAnsi="宋体" w:cs="宋体"/>
          <w:szCs w:val="21"/>
          <w:u w:val="single"/>
        </w:rPr>
      </w:pPr>
      <w:r>
        <w:rPr>
          <w:rFonts w:hint="eastAsia" w:ascii="宋体" w:hAnsi="宋体" w:cs="宋体"/>
          <w:szCs w:val="21"/>
        </w:rPr>
        <w:t>3.预算金额：</w:t>
      </w:r>
      <w:r>
        <w:rPr>
          <w:rFonts w:hint="eastAsia" w:ascii="宋体" w:hAnsi="宋体" w:cs="宋体"/>
          <w:szCs w:val="21"/>
          <w:lang w:eastAsia="zh-CN"/>
        </w:rPr>
        <w:t>600000.00</w:t>
      </w:r>
      <w:r>
        <w:rPr>
          <w:rFonts w:hint="eastAsia" w:ascii="宋体" w:hAnsi="宋体" w:cs="宋体"/>
          <w:szCs w:val="21"/>
        </w:rPr>
        <w:t>元</w:t>
      </w:r>
      <w:r>
        <w:rPr>
          <w:rFonts w:hint="eastAsia" w:ascii="宋体" w:hAnsi="宋体" w:cs="宋体"/>
          <w:szCs w:val="21"/>
          <w:lang w:val="en-US" w:eastAsia="zh-CN"/>
        </w:rPr>
        <w:t>/年</w:t>
      </w:r>
      <w:r>
        <w:rPr>
          <w:rFonts w:hint="eastAsia" w:ascii="宋体" w:hAnsi="宋体" w:cs="宋体"/>
          <w:szCs w:val="21"/>
        </w:rPr>
        <w:t>。</w:t>
      </w:r>
    </w:p>
    <w:p w14:paraId="16ABF07B">
      <w:pPr>
        <w:spacing w:line="500" w:lineRule="exact"/>
        <w:ind w:firstLine="420" w:firstLineChars="200"/>
        <w:rPr>
          <w:rFonts w:ascii="宋体" w:hAnsi="宋体" w:cs="宋体"/>
          <w:szCs w:val="21"/>
          <w:u w:val="single"/>
        </w:rPr>
      </w:pPr>
      <w:r>
        <w:rPr>
          <w:rFonts w:hint="eastAsia" w:ascii="宋体" w:hAnsi="宋体" w:cs="宋体"/>
          <w:szCs w:val="21"/>
        </w:rPr>
        <w:t>4.最高限价：600000.00元/年。</w:t>
      </w:r>
    </w:p>
    <w:p w14:paraId="060AEF00">
      <w:pPr>
        <w:spacing w:line="500" w:lineRule="exact"/>
        <w:ind w:firstLine="420" w:firstLineChars="200"/>
        <w:rPr>
          <w:rFonts w:ascii="宋体" w:hAnsi="宋体" w:cs="宋体"/>
          <w:szCs w:val="21"/>
        </w:rPr>
      </w:pPr>
      <w:r>
        <w:rPr>
          <w:rFonts w:hint="eastAsia" w:ascii="宋体" w:hAnsi="宋体" w:cs="宋体"/>
          <w:szCs w:val="21"/>
        </w:rPr>
        <w:t>5.采购需求：</w:t>
      </w:r>
    </w:p>
    <w:tbl>
      <w:tblPr>
        <w:tblStyle w:val="41"/>
        <w:tblW w:w="802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964"/>
        <w:gridCol w:w="4876"/>
        <w:gridCol w:w="655"/>
        <w:gridCol w:w="1531"/>
      </w:tblGrid>
      <w:tr w14:paraId="122A3B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763" w:hRule="atLeast"/>
          <w:jc w:val="center"/>
        </w:trPr>
        <w:tc>
          <w:tcPr>
            <w:tcW w:w="964" w:type="dxa"/>
            <w:tcBorders>
              <w:tl2br w:val="nil"/>
              <w:tr2bl w:val="nil"/>
            </w:tcBorders>
            <w:tcMar>
              <w:top w:w="0" w:type="dxa"/>
              <w:left w:w="108" w:type="dxa"/>
              <w:bottom w:w="0" w:type="dxa"/>
              <w:right w:w="108" w:type="dxa"/>
            </w:tcMar>
            <w:vAlign w:val="center"/>
          </w:tcPr>
          <w:p w14:paraId="229583D1">
            <w:pPr>
              <w:pStyle w:val="37"/>
              <w:spacing w:line="440" w:lineRule="atLeast"/>
              <w:jc w:val="center"/>
              <w:rPr>
                <w:rFonts w:cs="宋体"/>
                <w:b/>
                <w:sz w:val="21"/>
                <w:szCs w:val="21"/>
              </w:rPr>
            </w:pPr>
            <w:r>
              <w:rPr>
                <w:rFonts w:hint="eastAsia" w:cs="宋体"/>
                <w:b/>
                <w:sz w:val="21"/>
                <w:szCs w:val="21"/>
              </w:rPr>
              <w:t>序号</w:t>
            </w:r>
          </w:p>
        </w:tc>
        <w:tc>
          <w:tcPr>
            <w:tcW w:w="4876" w:type="dxa"/>
            <w:tcBorders>
              <w:tl2br w:val="nil"/>
              <w:tr2bl w:val="nil"/>
            </w:tcBorders>
            <w:tcMar>
              <w:top w:w="0" w:type="dxa"/>
              <w:left w:w="108" w:type="dxa"/>
              <w:bottom w:w="0" w:type="dxa"/>
              <w:right w:w="108" w:type="dxa"/>
            </w:tcMar>
            <w:vAlign w:val="center"/>
          </w:tcPr>
          <w:p w14:paraId="29138999">
            <w:pPr>
              <w:pStyle w:val="37"/>
              <w:spacing w:line="440" w:lineRule="atLeast"/>
              <w:jc w:val="center"/>
              <w:rPr>
                <w:rFonts w:cs="宋体"/>
                <w:b/>
                <w:sz w:val="21"/>
                <w:szCs w:val="21"/>
              </w:rPr>
            </w:pPr>
            <w:r>
              <w:rPr>
                <w:rFonts w:hint="eastAsia" w:cs="宋体"/>
                <w:b/>
                <w:sz w:val="21"/>
                <w:szCs w:val="21"/>
              </w:rPr>
              <w:t>项目（标的）名称</w:t>
            </w:r>
          </w:p>
        </w:tc>
        <w:tc>
          <w:tcPr>
            <w:tcW w:w="655" w:type="dxa"/>
            <w:tcBorders>
              <w:tl2br w:val="nil"/>
              <w:tr2bl w:val="nil"/>
            </w:tcBorders>
            <w:tcMar>
              <w:top w:w="0" w:type="dxa"/>
              <w:left w:w="108" w:type="dxa"/>
              <w:bottom w:w="0" w:type="dxa"/>
              <w:right w:w="108" w:type="dxa"/>
            </w:tcMar>
            <w:vAlign w:val="center"/>
          </w:tcPr>
          <w:p w14:paraId="455D5979">
            <w:pPr>
              <w:pStyle w:val="37"/>
              <w:spacing w:line="440" w:lineRule="atLeast"/>
              <w:jc w:val="center"/>
              <w:rPr>
                <w:rFonts w:cs="宋体"/>
                <w:sz w:val="21"/>
                <w:szCs w:val="21"/>
              </w:rPr>
            </w:pPr>
            <w:r>
              <w:rPr>
                <w:rStyle w:val="44"/>
                <w:rFonts w:hint="eastAsia" w:cs="宋体"/>
                <w:sz w:val="21"/>
                <w:szCs w:val="21"/>
              </w:rPr>
              <w:t>数量</w:t>
            </w:r>
          </w:p>
        </w:tc>
        <w:tc>
          <w:tcPr>
            <w:tcW w:w="1531" w:type="dxa"/>
            <w:tcBorders>
              <w:tl2br w:val="nil"/>
              <w:tr2bl w:val="nil"/>
            </w:tcBorders>
            <w:tcMar>
              <w:top w:w="0" w:type="dxa"/>
              <w:left w:w="108" w:type="dxa"/>
              <w:bottom w:w="0" w:type="dxa"/>
              <w:right w:w="108" w:type="dxa"/>
            </w:tcMar>
            <w:vAlign w:val="center"/>
          </w:tcPr>
          <w:p w14:paraId="3DCC7785">
            <w:pPr>
              <w:pStyle w:val="37"/>
              <w:spacing w:line="440" w:lineRule="atLeast"/>
              <w:jc w:val="center"/>
              <w:rPr>
                <w:rFonts w:cs="宋体"/>
                <w:sz w:val="21"/>
                <w:szCs w:val="21"/>
              </w:rPr>
            </w:pPr>
            <w:r>
              <w:rPr>
                <w:rStyle w:val="44"/>
                <w:rFonts w:hint="eastAsia" w:cs="宋体"/>
                <w:sz w:val="21"/>
                <w:szCs w:val="21"/>
              </w:rPr>
              <w:t>计量单位</w:t>
            </w:r>
          </w:p>
        </w:tc>
      </w:tr>
      <w:tr w14:paraId="08C4BF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787" w:hRule="atLeast"/>
          <w:jc w:val="center"/>
        </w:trPr>
        <w:tc>
          <w:tcPr>
            <w:tcW w:w="964" w:type="dxa"/>
            <w:tcBorders>
              <w:tl2br w:val="nil"/>
              <w:tr2bl w:val="nil"/>
            </w:tcBorders>
            <w:tcMar>
              <w:top w:w="0" w:type="dxa"/>
              <w:left w:w="108" w:type="dxa"/>
              <w:bottom w:w="0" w:type="dxa"/>
              <w:right w:w="108" w:type="dxa"/>
            </w:tcMar>
            <w:vAlign w:val="center"/>
          </w:tcPr>
          <w:p w14:paraId="2C52F897">
            <w:pPr>
              <w:pStyle w:val="37"/>
              <w:spacing w:before="0" w:beforeAutospacing="0" w:after="0" w:afterAutospacing="0"/>
              <w:jc w:val="center"/>
              <w:textAlignment w:val="center"/>
              <w:rPr>
                <w:rFonts w:cs="宋体"/>
                <w:sz w:val="21"/>
                <w:szCs w:val="21"/>
              </w:rPr>
            </w:pPr>
            <w:r>
              <w:rPr>
                <w:rFonts w:hint="eastAsia" w:cs="宋体"/>
                <w:sz w:val="21"/>
                <w:szCs w:val="21"/>
              </w:rPr>
              <w:t>1</w:t>
            </w:r>
          </w:p>
        </w:tc>
        <w:tc>
          <w:tcPr>
            <w:tcW w:w="4876" w:type="dxa"/>
            <w:tcBorders>
              <w:tl2br w:val="nil"/>
              <w:tr2bl w:val="nil"/>
            </w:tcBorders>
            <w:tcMar>
              <w:top w:w="0" w:type="dxa"/>
              <w:left w:w="108" w:type="dxa"/>
              <w:bottom w:w="0" w:type="dxa"/>
              <w:right w:w="108" w:type="dxa"/>
            </w:tcMar>
            <w:vAlign w:val="center"/>
          </w:tcPr>
          <w:p w14:paraId="3602B2BB">
            <w:pPr>
              <w:pStyle w:val="37"/>
              <w:spacing w:before="0" w:beforeAutospacing="0" w:after="0" w:afterAutospacing="0"/>
              <w:jc w:val="center"/>
              <w:textAlignment w:val="center"/>
              <w:rPr>
                <w:rFonts w:hint="eastAsia" w:eastAsia="宋体" w:cs="宋体"/>
                <w:sz w:val="21"/>
                <w:szCs w:val="21"/>
                <w:lang w:eastAsia="zh-CN"/>
              </w:rPr>
            </w:pPr>
            <w:r>
              <w:rPr>
                <w:rFonts w:hint="eastAsia" w:eastAsia="宋体" w:cs="宋体"/>
                <w:sz w:val="21"/>
                <w:szCs w:val="21"/>
                <w:lang w:eastAsia="zh-CN"/>
              </w:rPr>
              <w:t>昆明市官渡区人民医院医疗责任保险服务</w:t>
            </w:r>
          </w:p>
        </w:tc>
        <w:tc>
          <w:tcPr>
            <w:tcW w:w="655" w:type="dxa"/>
            <w:tcBorders>
              <w:tl2br w:val="nil"/>
              <w:tr2bl w:val="nil"/>
            </w:tcBorders>
            <w:tcMar>
              <w:top w:w="0" w:type="dxa"/>
              <w:left w:w="108" w:type="dxa"/>
              <w:bottom w:w="0" w:type="dxa"/>
              <w:right w:w="108" w:type="dxa"/>
            </w:tcMar>
            <w:vAlign w:val="center"/>
          </w:tcPr>
          <w:p w14:paraId="07667A8E">
            <w:pPr>
              <w:pStyle w:val="37"/>
              <w:spacing w:before="0" w:beforeAutospacing="0" w:after="0" w:afterAutospacing="0"/>
              <w:jc w:val="center"/>
              <w:textAlignment w:val="center"/>
              <w:rPr>
                <w:rFonts w:cs="宋体"/>
                <w:sz w:val="21"/>
                <w:szCs w:val="21"/>
              </w:rPr>
            </w:pPr>
            <w:r>
              <w:rPr>
                <w:rFonts w:hint="eastAsia" w:cs="宋体"/>
                <w:sz w:val="21"/>
                <w:szCs w:val="21"/>
              </w:rPr>
              <w:t>1</w:t>
            </w:r>
          </w:p>
        </w:tc>
        <w:tc>
          <w:tcPr>
            <w:tcW w:w="1531" w:type="dxa"/>
            <w:tcBorders>
              <w:tl2br w:val="nil"/>
              <w:tr2bl w:val="nil"/>
            </w:tcBorders>
            <w:tcMar>
              <w:top w:w="0" w:type="dxa"/>
              <w:left w:w="108" w:type="dxa"/>
              <w:bottom w:w="0" w:type="dxa"/>
              <w:right w:w="108" w:type="dxa"/>
            </w:tcMar>
            <w:vAlign w:val="center"/>
          </w:tcPr>
          <w:p w14:paraId="247CBC3D">
            <w:pPr>
              <w:pStyle w:val="37"/>
              <w:spacing w:before="0" w:beforeAutospacing="0" w:after="0" w:afterAutospacing="0"/>
              <w:jc w:val="center"/>
              <w:textAlignment w:val="center"/>
              <w:rPr>
                <w:rFonts w:hint="eastAsia" w:eastAsia="宋体" w:cs="宋体"/>
                <w:sz w:val="21"/>
                <w:szCs w:val="21"/>
                <w:lang w:eastAsia="zh-CN"/>
              </w:rPr>
            </w:pPr>
            <w:r>
              <w:rPr>
                <w:rFonts w:hint="eastAsia" w:cs="宋体"/>
                <w:sz w:val="21"/>
                <w:szCs w:val="21"/>
                <w:lang w:val="en-US" w:eastAsia="zh-CN"/>
              </w:rPr>
              <w:t>项</w:t>
            </w:r>
          </w:p>
        </w:tc>
      </w:tr>
    </w:tbl>
    <w:p w14:paraId="3D072DBB">
      <w:pPr>
        <w:spacing w:line="500" w:lineRule="exact"/>
        <w:ind w:firstLine="420" w:firstLineChars="200"/>
        <w:rPr>
          <w:rFonts w:ascii="宋体" w:hAnsi="宋体" w:cs="宋体"/>
          <w:szCs w:val="21"/>
        </w:rPr>
      </w:pPr>
      <w:r>
        <w:rPr>
          <w:rFonts w:hint="eastAsia" w:ascii="宋体" w:hAnsi="宋体" w:cs="宋体"/>
          <w:szCs w:val="21"/>
        </w:rPr>
        <w:t>注：本项目共设一个标段，投标人必须对本项目所有内容作出完整唯一的投标报价，不得出现缺项、漏项或无报价的情况，否则投标文件将按无效处理。</w:t>
      </w:r>
    </w:p>
    <w:p w14:paraId="1DB35DFC">
      <w:pPr>
        <w:spacing w:line="500" w:lineRule="exact"/>
        <w:ind w:firstLine="420" w:firstLineChars="200"/>
        <w:rPr>
          <w:rFonts w:ascii="宋体" w:hAnsi="宋体" w:cs="宋体"/>
          <w:szCs w:val="21"/>
        </w:rPr>
      </w:pPr>
      <w:r>
        <w:rPr>
          <w:rFonts w:hint="eastAsia" w:ascii="宋体" w:hAnsi="宋体" w:cs="宋体"/>
          <w:szCs w:val="21"/>
        </w:rPr>
        <w:t>7.</w:t>
      </w:r>
      <w:r>
        <w:rPr>
          <w:rFonts w:hint="eastAsia" w:ascii="宋体" w:hAnsi="宋体" w:cs="宋体"/>
          <w:szCs w:val="21"/>
          <w:lang w:eastAsia="zh-CN"/>
        </w:rPr>
        <w:t>服务期限</w:t>
      </w:r>
      <w:r>
        <w:rPr>
          <w:rFonts w:hint="eastAsia" w:ascii="宋体" w:hAnsi="宋体" w:cs="宋体"/>
          <w:szCs w:val="21"/>
        </w:rPr>
        <w:t>：</w:t>
      </w:r>
      <w:r>
        <w:rPr>
          <w:rFonts w:hint="eastAsia" w:ascii="宋体" w:hAnsi="宋体" w:cs="宋体"/>
          <w:szCs w:val="21"/>
          <w:lang w:eastAsia="zh-CN"/>
        </w:rPr>
        <w:t>合同签订之日起三年，合同一年一签，采购人不定期对中标人进行考核，待考核合格后方可续签下一年度合同</w:t>
      </w:r>
      <w:r>
        <w:rPr>
          <w:rFonts w:hint="eastAsia" w:ascii="宋体" w:hAnsi="宋体" w:cs="宋体"/>
          <w:szCs w:val="21"/>
        </w:rPr>
        <w:t>。</w:t>
      </w:r>
    </w:p>
    <w:p w14:paraId="398620CE">
      <w:pPr>
        <w:spacing w:line="500" w:lineRule="exact"/>
        <w:ind w:firstLine="420" w:firstLineChars="200"/>
        <w:rPr>
          <w:rFonts w:ascii="宋体" w:hAnsi="宋体" w:cs="宋体"/>
          <w:szCs w:val="21"/>
        </w:rPr>
      </w:pPr>
      <w:r>
        <w:rPr>
          <w:rFonts w:hint="eastAsia" w:ascii="宋体" w:hAnsi="宋体" w:cs="宋体"/>
          <w:szCs w:val="21"/>
        </w:rPr>
        <w:t>8.服务地点：</w:t>
      </w:r>
      <w:r>
        <w:rPr>
          <w:rFonts w:hint="eastAsia" w:ascii="宋体" w:hAnsi="宋体" w:cs="宋体"/>
          <w:szCs w:val="21"/>
          <w:lang w:eastAsia="zh-CN"/>
        </w:rPr>
        <w:t>昆明市官渡区人民医院</w:t>
      </w:r>
      <w:r>
        <w:rPr>
          <w:rFonts w:hint="eastAsia" w:ascii="宋体" w:hAnsi="宋体" w:cs="宋体"/>
          <w:szCs w:val="21"/>
        </w:rPr>
        <w:t>。</w:t>
      </w:r>
    </w:p>
    <w:p w14:paraId="2100AF4B">
      <w:pPr>
        <w:spacing w:line="500" w:lineRule="exact"/>
        <w:ind w:firstLine="420" w:firstLineChars="200"/>
        <w:rPr>
          <w:rFonts w:ascii="宋体" w:hAnsi="宋体" w:cs="宋体"/>
          <w:szCs w:val="21"/>
        </w:rPr>
      </w:pPr>
      <w:r>
        <w:rPr>
          <w:rFonts w:hint="eastAsia" w:ascii="宋体" w:hAnsi="宋体" w:cs="宋体"/>
          <w:szCs w:val="21"/>
        </w:rPr>
        <w:t>9.合同履行期限：</w:t>
      </w:r>
      <w:r>
        <w:rPr>
          <w:rFonts w:hint="eastAsia" w:ascii="宋体" w:hAnsi="宋体" w:cs="宋体"/>
          <w:szCs w:val="21"/>
          <w:lang w:eastAsia="zh-CN"/>
        </w:rPr>
        <w:t>合同签订之日起三年，合同一年一签，采购人不定期对中标人进行考核，待考核合格后方可续签下一年度合同</w:t>
      </w:r>
      <w:r>
        <w:rPr>
          <w:rFonts w:hint="eastAsia" w:ascii="宋体" w:hAnsi="宋体" w:cs="宋体"/>
          <w:szCs w:val="21"/>
        </w:rPr>
        <w:t>。</w:t>
      </w:r>
    </w:p>
    <w:p w14:paraId="60B0B43A">
      <w:pPr>
        <w:spacing w:line="500" w:lineRule="exact"/>
        <w:ind w:firstLine="420" w:firstLineChars="200"/>
        <w:rPr>
          <w:rFonts w:ascii="宋体" w:hAnsi="宋体" w:cs="宋体"/>
        </w:rPr>
      </w:pPr>
      <w:r>
        <w:rPr>
          <w:rFonts w:hint="eastAsia" w:ascii="宋体" w:hAnsi="宋体" w:cs="宋体"/>
          <w:szCs w:val="21"/>
        </w:rPr>
        <w:t>10.本项目</w:t>
      </w:r>
      <w:r>
        <w:rPr>
          <w:rFonts w:hint="eastAsia" w:ascii="宋体" w:hAnsi="宋体" w:cs="宋体"/>
          <w:b/>
          <w:bCs/>
          <w:szCs w:val="21"/>
          <w:u w:val="single"/>
          <w:lang w:val="en-US" w:eastAsia="zh-CN"/>
        </w:rPr>
        <w:t>不</w:t>
      </w:r>
      <w:r>
        <w:rPr>
          <w:rFonts w:hint="eastAsia" w:ascii="宋体" w:hAnsi="宋体" w:cs="宋体"/>
          <w:b/>
          <w:bCs/>
          <w:szCs w:val="21"/>
          <w:u w:val="single"/>
        </w:rPr>
        <w:t>接受</w:t>
      </w:r>
      <w:r>
        <w:rPr>
          <w:rFonts w:hint="eastAsia" w:ascii="宋体" w:hAnsi="宋体" w:cs="宋体"/>
          <w:szCs w:val="21"/>
        </w:rPr>
        <w:t>联合体投标。</w:t>
      </w:r>
    </w:p>
    <w:p w14:paraId="4A0A11ED">
      <w:pPr>
        <w:pStyle w:val="3"/>
        <w:spacing w:before="0" w:line="500" w:lineRule="exact"/>
        <w:rPr>
          <w:rFonts w:ascii="宋体" w:hAnsi="宋体" w:cs="宋体"/>
          <w:bCs/>
          <w:color w:val="auto"/>
          <w:spacing w:val="0"/>
          <w:sz w:val="30"/>
          <w:szCs w:val="30"/>
        </w:rPr>
      </w:pPr>
      <w:bookmarkStart w:id="27" w:name="_Toc13313"/>
      <w:bookmarkStart w:id="28" w:name="_Toc30646"/>
      <w:bookmarkStart w:id="29" w:name="_Toc30354"/>
      <w:bookmarkStart w:id="30" w:name="_Toc17320"/>
      <w:r>
        <w:rPr>
          <w:rFonts w:hint="eastAsia" w:ascii="宋体" w:hAnsi="宋体" w:cs="宋体"/>
          <w:bCs/>
          <w:color w:val="auto"/>
          <w:spacing w:val="0"/>
          <w:sz w:val="30"/>
          <w:szCs w:val="30"/>
        </w:rPr>
        <w:t>二、投标人的资格要求</w:t>
      </w:r>
      <w:bookmarkEnd w:id="23"/>
      <w:bookmarkEnd w:id="24"/>
      <w:bookmarkEnd w:id="25"/>
      <w:bookmarkEnd w:id="26"/>
      <w:bookmarkEnd w:id="27"/>
      <w:bookmarkEnd w:id="28"/>
      <w:bookmarkEnd w:id="29"/>
      <w:bookmarkEnd w:id="30"/>
    </w:p>
    <w:p w14:paraId="1303641E">
      <w:pPr>
        <w:spacing w:line="500" w:lineRule="exact"/>
        <w:ind w:firstLine="420" w:firstLineChars="200"/>
        <w:rPr>
          <w:rFonts w:ascii="宋体" w:hAnsi="宋体" w:cs="宋体"/>
          <w:szCs w:val="21"/>
        </w:rPr>
      </w:pPr>
      <w:r>
        <w:rPr>
          <w:rFonts w:hint="eastAsia" w:ascii="宋体" w:hAnsi="宋体" w:cs="宋体"/>
          <w:szCs w:val="21"/>
        </w:rPr>
        <w:t>1.满足《中华人民共和国政府采购法》第二十二条规定；</w:t>
      </w:r>
    </w:p>
    <w:p w14:paraId="6796D84F">
      <w:pPr>
        <w:spacing w:line="500" w:lineRule="exact"/>
        <w:ind w:firstLine="420" w:firstLineChars="200"/>
        <w:rPr>
          <w:rFonts w:hint="eastAsia" w:ascii="宋体" w:hAnsi="宋体" w:eastAsia="宋体" w:cs="宋体"/>
          <w:szCs w:val="21"/>
          <w:lang w:eastAsia="zh-CN"/>
        </w:rPr>
      </w:pPr>
      <w:r>
        <w:rPr>
          <w:rFonts w:hint="eastAsia" w:ascii="宋体" w:hAnsi="宋体" w:cs="宋体"/>
          <w:szCs w:val="21"/>
        </w:rPr>
        <w:t>1.1具有独立承担民事责任的能力：</w:t>
      </w:r>
      <w:r>
        <w:rPr>
          <w:rFonts w:hint="eastAsia" w:hAnsi="宋体" w:cs="宋体"/>
          <w:bCs/>
          <w:kern w:val="0"/>
          <w:szCs w:val="21"/>
          <w:lang w:eastAsia="zh-CN"/>
        </w:rPr>
        <w:t>投标人须在中华人民共和国境内注册，提供市场监督管理部门核发的有效的三证合一营业执照或其他组织形式的相关主体资格证明材料</w:t>
      </w:r>
      <w:r>
        <w:rPr>
          <w:rFonts w:hint="eastAsia" w:hAnsi="宋体" w:cs="宋体"/>
          <w:bCs/>
          <w:szCs w:val="21"/>
        </w:rPr>
        <w:t>；</w:t>
      </w:r>
      <w:r>
        <w:rPr>
          <w:rFonts w:hint="eastAsia" w:hAnsi="宋体" w:cs="宋体"/>
          <w:szCs w:val="21"/>
        </w:rPr>
        <w:t>若是分支机构参与本项目投标，须提供</w:t>
      </w:r>
      <w:r>
        <w:rPr>
          <w:rFonts w:hint="eastAsia"/>
        </w:rPr>
        <w:t>总公司及分支机构营业执照，并提供</w:t>
      </w:r>
      <w:r>
        <w:rPr>
          <w:rFonts w:hint="eastAsia" w:hAnsi="宋体" w:cs="宋体"/>
          <w:szCs w:val="21"/>
        </w:rPr>
        <w:t>其总公司出具愿为其参与本项目投标以及履约行为承担民事责任的授权承诺书</w:t>
      </w:r>
      <w:r>
        <w:rPr>
          <w:rFonts w:hint="eastAsia" w:hAnsi="宋体" w:cs="宋体"/>
          <w:b/>
          <w:bCs/>
          <w:szCs w:val="21"/>
        </w:rPr>
        <w:t>（同一家总公司只能授权一家分支机构参与投标，且总公司不能与下属的分支机构同时参与本次投标</w:t>
      </w:r>
      <w:r>
        <w:rPr>
          <w:rFonts w:hint="eastAsia" w:hAnsi="宋体" w:cs="宋体"/>
          <w:b/>
          <w:bCs/>
          <w:kern w:val="0"/>
          <w:szCs w:val="21"/>
        </w:rPr>
        <w:t>）</w:t>
      </w:r>
      <w:r>
        <w:rPr>
          <w:rFonts w:hint="eastAsia" w:hAnsi="宋体" w:cs="宋体"/>
          <w:b w:val="0"/>
          <w:bCs w:val="0"/>
          <w:szCs w:val="21"/>
          <w:lang w:eastAsia="zh-CN"/>
        </w:rPr>
        <w:t>；</w:t>
      </w:r>
    </w:p>
    <w:p w14:paraId="39924FEA">
      <w:pPr>
        <w:spacing w:line="500" w:lineRule="exact"/>
        <w:ind w:firstLine="420" w:firstLineChars="200"/>
        <w:rPr>
          <w:rFonts w:ascii="宋体" w:hAnsi="宋体" w:cs="宋体"/>
          <w:szCs w:val="21"/>
        </w:rPr>
      </w:pPr>
      <w:r>
        <w:rPr>
          <w:rFonts w:hint="eastAsia" w:ascii="宋体" w:hAnsi="宋体" w:cs="宋体"/>
          <w:szCs w:val="21"/>
        </w:rPr>
        <w:t>1.2具有良好的商业信誉和健全的财务会计制度：</w:t>
      </w:r>
      <w:r>
        <w:rPr>
          <w:rFonts w:hint="eastAsia" w:ascii="宋体" w:hAnsi="宋体" w:cs="宋体"/>
          <w:szCs w:val="21"/>
          <w:lang w:eastAsia="zh-CN"/>
        </w:rPr>
        <w:t>提供投标人2023年度或2024年度经第三方审计的财务报告及报表（报表至少应包括资产负债表、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hAnsi="宋体" w:cs="宋体"/>
          <w:b w:val="0"/>
          <w:bCs w:val="0"/>
          <w:szCs w:val="21"/>
          <w:lang w:eastAsia="zh-CN"/>
        </w:rPr>
        <w:t>；</w:t>
      </w:r>
      <w:r>
        <w:rPr>
          <w:rFonts w:hint="eastAsia" w:hAnsi="宋体" w:cs="宋体"/>
          <w:b/>
          <w:bCs/>
          <w:szCs w:val="21"/>
          <w:lang w:eastAsia="zh-CN"/>
        </w:rPr>
        <w:t>（若为分支机构参与投标的，可提供上级公司材料</w:t>
      </w:r>
      <w:r>
        <w:rPr>
          <w:rFonts w:hint="eastAsia" w:hAnsi="宋体" w:cs="宋体"/>
          <w:b/>
          <w:bCs/>
          <w:szCs w:val="21"/>
        </w:rPr>
        <w:t>）；</w:t>
      </w:r>
    </w:p>
    <w:p w14:paraId="79CA4ADD">
      <w:pPr>
        <w:spacing w:line="500" w:lineRule="exact"/>
        <w:ind w:firstLine="420" w:firstLineChars="200"/>
        <w:rPr>
          <w:rFonts w:ascii="宋体" w:hAnsi="宋体" w:cs="宋体"/>
          <w:szCs w:val="21"/>
        </w:rPr>
      </w:pPr>
      <w:r>
        <w:rPr>
          <w:rFonts w:hint="eastAsia" w:ascii="宋体" w:hAnsi="宋体" w:cs="宋体"/>
          <w:szCs w:val="21"/>
        </w:rPr>
        <w:t>1.3具有履行合同所必需的设备和专业技术能力：</w:t>
      </w:r>
      <w:r>
        <w:rPr>
          <w:rFonts w:hint="eastAsia" w:ascii="宋体" w:hAnsi="宋体" w:cs="宋体"/>
          <w:szCs w:val="21"/>
          <w:lang w:eastAsia="zh-CN"/>
        </w:rPr>
        <w:t>提供投标人具有履行合同所必需的设备和专业技术能力证明材料（扫描件加盖投标人电子公章）或书面声明（加盖投标人电子公章）</w:t>
      </w:r>
      <w:r>
        <w:rPr>
          <w:rFonts w:hint="eastAsia" w:ascii="宋体" w:hAnsi="宋体" w:cs="宋体"/>
          <w:szCs w:val="21"/>
        </w:rPr>
        <w:t>；</w:t>
      </w:r>
    </w:p>
    <w:p w14:paraId="6F71633E">
      <w:pPr>
        <w:spacing w:line="500" w:lineRule="exact"/>
        <w:ind w:firstLine="420" w:firstLineChars="200"/>
        <w:rPr>
          <w:rFonts w:ascii="宋体" w:hAnsi="宋体" w:cs="宋体"/>
          <w:szCs w:val="21"/>
        </w:rPr>
      </w:pPr>
      <w:r>
        <w:rPr>
          <w:rFonts w:hint="eastAsia" w:ascii="宋体" w:hAnsi="宋体" w:cs="宋体"/>
          <w:szCs w:val="21"/>
        </w:rPr>
        <w:t>1.4有依法缴纳税收和社会保障资金的良好记录：</w:t>
      </w:r>
    </w:p>
    <w:p w14:paraId="2854F860">
      <w:pPr>
        <w:spacing w:line="500" w:lineRule="exact"/>
        <w:ind w:firstLine="420" w:firstLineChars="200"/>
        <w:rPr>
          <w:rFonts w:ascii="宋体" w:hAnsi="宋体" w:cs="宋体"/>
          <w:szCs w:val="21"/>
        </w:rPr>
      </w:pPr>
      <w:r>
        <w:rPr>
          <w:rFonts w:hint="eastAsia" w:ascii="宋体" w:hAnsi="宋体" w:cs="宋体"/>
          <w:szCs w:val="21"/>
        </w:rPr>
        <w:t>1.4.1</w:t>
      </w:r>
      <w:r>
        <w:rPr>
          <w:rFonts w:hint="eastAsia" w:ascii="宋体" w:hAnsi="宋体" w:cs="宋体"/>
          <w:szCs w:val="21"/>
          <w:lang w:eastAsia="zh-CN"/>
        </w:rPr>
        <w:t>提供投标人缴税所属时间在2024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r>
        <w:rPr>
          <w:rFonts w:hint="eastAsia" w:ascii="宋体" w:hAnsi="宋体" w:cs="宋体"/>
          <w:szCs w:val="21"/>
        </w:rPr>
        <w:t>；</w:t>
      </w:r>
      <w:r>
        <w:rPr>
          <w:rFonts w:hint="eastAsia" w:hAnsi="宋体" w:cs="宋体"/>
          <w:b/>
          <w:bCs/>
          <w:szCs w:val="21"/>
          <w:lang w:eastAsia="zh-CN"/>
        </w:rPr>
        <w:t>（若为分支机构参与投标的，可提供上级公司材料</w:t>
      </w:r>
      <w:r>
        <w:rPr>
          <w:rFonts w:hint="eastAsia" w:hAnsi="宋体" w:cs="宋体"/>
          <w:b/>
          <w:bCs/>
          <w:szCs w:val="21"/>
        </w:rPr>
        <w:t>）；</w:t>
      </w:r>
    </w:p>
    <w:p w14:paraId="5DDFD5C3">
      <w:pPr>
        <w:spacing w:line="500" w:lineRule="exact"/>
        <w:ind w:firstLine="420" w:firstLineChars="200"/>
        <w:rPr>
          <w:rFonts w:ascii="宋体" w:hAnsi="宋体" w:cs="宋体"/>
          <w:szCs w:val="21"/>
        </w:rPr>
      </w:pPr>
      <w:r>
        <w:rPr>
          <w:rFonts w:hint="eastAsia" w:ascii="宋体" w:hAnsi="宋体" w:cs="宋体"/>
          <w:szCs w:val="21"/>
        </w:rPr>
        <w:t>1.4.2</w:t>
      </w:r>
      <w:r>
        <w:rPr>
          <w:rFonts w:hint="eastAsia" w:ascii="宋体" w:hAnsi="宋体" w:cs="宋体"/>
          <w:szCs w:val="21"/>
          <w:lang w:eastAsia="zh-CN"/>
        </w:rPr>
        <w:t>提供投标人缴费所属时间在2024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r>
        <w:rPr>
          <w:rFonts w:hint="eastAsia" w:ascii="宋体" w:hAnsi="宋体" w:cs="宋体"/>
          <w:szCs w:val="21"/>
        </w:rPr>
        <w:t>；</w:t>
      </w:r>
      <w:r>
        <w:rPr>
          <w:rFonts w:hint="eastAsia" w:hAnsi="宋体" w:cs="宋体"/>
          <w:b/>
          <w:bCs/>
          <w:szCs w:val="21"/>
          <w:lang w:eastAsia="zh-CN"/>
        </w:rPr>
        <w:t>（若为分支机构参与投标的，可提供上级公司材料</w:t>
      </w:r>
      <w:r>
        <w:rPr>
          <w:rFonts w:hint="eastAsia" w:hAnsi="宋体" w:cs="宋体"/>
          <w:b/>
          <w:bCs/>
          <w:szCs w:val="21"/>
        </w:rPr>
        <w:t>）；</w:t>
      </w:r>
    </w:p>
    <w:p w14:paraId="0BC2C3F0">
      <w:pPr>
        <w:spacing w:line="500" w:lineRule="exact"/>
        <w:ind w:firstLine="420" w:firstLineChars="200"/>
        <w:rPr>
          <w:rFonts w:hint="eastAsia" w:ascii="宋体" w:hAnsi="宋体" w:eastAsia="宋体" w:cs="宋体"/>
          <w:szCs w:val="21"/>
          <w:lang w:eastAsia="zh-CN"/>
        </w:rPr>
      </w:pPr>
      <w:r>
        <w:rPr>
          <w:rFonts w:hint="eastAsia" w:ascii="宋体" w:hAnsi="宋体" w:cs="宋体"/>
          <w:szCs w:val="21"/>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r>
        <w:rPr>
          <w:rFonts w:hint="eastAsia" w:ascii="宋体" w:hAnsi="宋体" w:cs="宋体"/>
          <w:szCs w:val="21"/>
          <w:lang w:eastAsia="zh-CN"/>
        </w:rPr>
        <w:t>；</w:t>
      </w:r>
    </w:p>
    <w:p w14:paraId="1DA3B434">
      <w:pPr>
        <w:spacing w:line="500" w:lineRule="exact"/>
        <w:ind w:firstLine="420" w:firstLineChars="200"/>
        <w:rPr>
          <w:rFonts w:ascii="宋体" w:hAnsi="宋体" w:cs="宋体"/>
          <w:szCs w:val="21"/>
        </w:rPr>
      </w:pPr>
      <w:r>
        <w:rPr>
          <w:rFonts w:hint="eastAsia" w:ascii="宋体" w:hAnsi="宋体" w:cs="宋体"/>
          <w:szCs w:val="21"/>
        </w:rPr>
        <w:t>1.6法律、行政法规规定的其他条件：</w:t>
      </w:r>
    </w:p>
    <w:p w14:paraId="47CCD5C4">
      <w:pPr>
        <w:spacing w:line="500" w:lineRule="exact"/>
        <w:ind w:firstLine="420" w:firstLineChars="200"/>
        <w:rPr>
          <w:rFonts w:ascii="宋体" w:hAnsi="宋体" w:cs="宋体"/>
          <w:szCs w:val="21"/>
        </w:rPr>
      </w:pPr>
      <w:r>
        <w:rPr>
          <w:rFonts w:hint="eastAsia" w:ascii="宋体" w:hAnsi="宋体" w:cs="宋体"/>
          <w:szCs w:val="21"/>
        </w:rPr>
        <w:t>1.6.1</w:t>
      </w:r>
      <w:r>
        <w:rPr>
          <w:rFonts w:hint="eastAsia" w:ascii="宋体" w:hAnsi="宋体" w:cs="宋体"/>
          <w:color w:val="000000" w:themeColor="text1"/>
          <w:szCs w:val="21"/>
          <w:highlight w:val="none"/>
          <w:lang w:eastAsia="zh-CN"/>
          <w14:textFill>
            <w14:solidFill>
              <w14:schemeClr w14:val="tx1"/>
            </w14:solidFill>
          </w14:textFill>
        </w:rPr>
        <w:t>投标人在“信用中国”网站（www.creditchina.gov.cn）中查询结果应未被列入失信被执行人（按网站要求链接到中国执行信息网（http://zxgk.court.gov.cn/shixin/）查询）、重大税收违法失信主体（查询时间为本公告发布之日起至提交投标文件截止之日止，查询结果以采购人、采购代理机构查询结果为准，并将查询记录和证据留存）；</w:t>
      </w:r>
    </w:p>
    <w:p w14:paraId="3661A311">
      <w:pPr>
        <w:spacing w:line="500" w:lineRule="exact"/>
        <w:ind w:firstLine="420" w:firstLineChars="200"/>
        <w:rPr>
          <w:rFonts w:ascii="宋体" w:hAnsi="宋体" w:cs="宋体"/>
          <w:szCs w:val="21"/>
        </w:rPr>
      </w:pPr>
      <w:r>
        <w:rPr>
          <w:rFonts w:hint="eastAsia" w:ascii="宋体" w:hAnsi="宋体" w:cs="宋体"/>
          <w:szCs w:val="21"/>
        </w:rPr>
        <w:t>1.6.2投标人在“中国政府采购网”（www.ccgp.gov.cn）未被列入政府采购严重违法失信行为记录名单（查询时间为本公告发布之日起至提交投标文件截止之日止，查询结果以采购人、采购代理机构查询结果为准，并将查询记录和证据留存）</w:t>
      </w:r>
      <w:r>
        <w:rPr>
          <w:rFonts w:hint="eastAsia" w:ascii="宋体" w:hAnsi="宋体" w:cs="宋体"/>
          <w:color w:val="000000" w:themeColor="text1"/>
          <w:szCs w:val="21"/>
          <w:highlight w:val="none"/>
          <w:lang w:eastAsia="zh-CN"/>
          <w14:textFill>
            <w14:solidFill>
              <w14:schemeClr w14:val="tx1"/>
            </w14:solidFill>
          </w14:textFill>
        </w:rPr>
        <w:t>；</w:t>
      </w:r>
    </w:p>
    <w:p w14:paraId="1FEA40D6">
      <w:pPr>
        <w:spacing w:line="500" w:lineRule="exact"/>
        <w:ind w:firstLine="420" w:firstLineChars="200"/>
        <w:rPr>
          <w:rFonts w:hint="eastAsia" w:ascii="宋体" w:hAnsi="宋体" w:eastAsia="宋体" w:cs="宋体"/>
          <w:szCs w:val="21"/>
          <w:lang w:eastAsia="zh-CN"/>
        </w:rPr>
      </w:pPr>
      <w:r>
        <w:rPr>
          <w:rFonts w:hint="eastAsia" w:ascii="宋体" w:hAnsi="宋体" w:cs="宋体"/>
          <w:szCs w:val="21"/>
        </w:rPr>
        <w:t>1.6.3</w:t>
      </w:r>
      <w:r>
        <w:rPr>
          <w:rFonts w:hint="eastAsia" w:ascii="宋体" w:hAnsi="宋体" w:cs="宋体"/>
          <w:color w:val="000000" w:themeColor="text1"/>
          <w:szCs w:val="21"/>
          <w:highlight w:val="none"/>
          <w:lang w:eastAsia="zh-CN"/>
          <w14:textFill>
            <w14:solidFill>
              <w14:schemeClr w14:val="tx1"/>
            </w14:solidFill>
          </w14:textFill>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p w14:paraId="39BB7588">
      <w:pPr>
        <w:spacing w:line="500" w:lineRule="exact"/>
        <w:ind w:firstLine="420" w:firstLineChars="200"/>
        <w:rPr>
          <w:rFonts w:ascii="宋体" w:hAnsi="宋体" w:cs="宋体"/>
          <w:szCs w:val="21"/>
        </w:rPr>
      </w:pPr>
      <w:r>
        <w:rPr>
          <w:rFonts w:hint="eastAsia" w:ascii="宋体" w:hAnsi="宋体" w:cs="宋体"/>
          <w:szCs w:val="21"/>
        </w:rPr>
        <w:t>2.落实政府采购政策需满足的资格要求：无。</w:t>
      </w:r>
    </w:p>
    <w:p w14:paraId="1C5DB58D">
      <w:pPr>
        <w:spacing w:line="500" w:lineRule="exact"/>
        <w:ind w:firstLine="420" w:firstLineChars="200"/>
        <w:rPr>
          <w:rFonts w:hint="eastAsia" w:ascii="宋体" w:hAnsi="宋体" w:eastAsia="宋体" w:cs="宋体"/>
          <w:szCs w:val="21"/>
          <w:lang w:eastAsia="zh-CN"/>
        </w:rPr>
      </w:pPr>
      <w:r>
        <w:rPr>
          <w:rFonts w:hint="eastAsia" w:ascii="宋体" w:hAnsi="宋体" w:cs="宋体"/>
          <w:szCs w:val="21"/>
        </w:rPr>
        <w:t>3.本项目的特定资格要求：投标人须具备国家金融监督管理总局(原“中国银行保险监督管理委员会”)颁发的《经营保险业务许可证》或《保险许可证》</w:t>
      </w:r>
      <w:r>
        <w:rPr>
          <w:rFonts w:hint="eastAsia" w:ascii="宋体" w:hAnsi="宋体" w:cs="宋体"/>
          <w:szCs w:val="21"/>
          <w:lang w:eastAsia="zh-CN"/>
        </w:rPr>
        <w:t>。</w:t>
      </w:r>
    </w:p>
    <w:p w14:paraId="05E3D6F6">
      <w:pPr>
        <w:pStyle w:val="3"/>
        <w:spacing w:before="0" w:line="500" w:lineRule="exact"/>
        <w:rPr>
          <w:rFonts w:ascii="宋体" w:hAnsi="宋体" w:cs="宋体"/>
          <w:bCs/>
          <w:color w:val="auto"/>
          <w:spacing w:val="0"/>
          <w:sz w:val="30"/>
          <w:szCs w:val="30"/>
        </w:rPr>
      </w:pPr>
      <w:bookmarkStart w:id="31" w:name="_Toc22104"/>
      <w:bookmarkStart w:id="32" w:name="_Toc7861"/>
      <w:bookmarkStart w:id="33" w:name="_Toc35393792"/>
      <w:bookmarkStart w:id="34" w:name="_Toc19200"/>
      <w:bookmarkStart w:id="35" w:name="_Toc35393623"/>
      <w:bookmarkStart w:id="36" w:name="_Toc6011"/>
      <w:r>
        <w:rPr>
          <w:rFonts w:hint="eastAsia" w:ascii="宋体" w:hAnsi="宋体" w:cs="宋体"/>
          <w:bCs/>
          <w:color w:val="auto"/>
          <w:spacing w:val="0"/>
          <w:sz w:val="30"/>
          <w:szCs w:val="30"/>
        </w:rPr>
        <w:t>三、获取招标文件</w:t>
      </w:r>
      <w:bookmarkEnd w:id="31"/>
      <w:bookmarkEnd w:id="32"/>
      <w:bookmarkEnd w:id="33"/>
      <w:bookmarkEnd w:id="34"/>
      <w:bookmarkEnd w:id="35"/>
      <w:bookmarkEnd w:id="36"/>
    </w:p>
    <w:p w14:paraId="526C18FF">
      <w:pPr>
        <w:spacing w:line="500" w:lineRule="exact"/>
        <w:ind w:firstLine="420" w:firstLineChars="200"/>
        <w:rPr>
          <w:rFonts w:ascii="宋体" w:hAnsi="宋体" w:cs="宋体"/>
          <w:szCs w:val="21"/>
        </w:rPr>
      </w:pPr>
      <w:r>
        <w:rPr>
          <w:rFonts w:hint="eastAsia" w:ascii="宋体" w:hAnsi="宋体" w:cs="宋体"/>
          <w:szCs w:val="21"/>
        </w:rPr>
        <w:t>1.时</w:t>
      </w:r>
      <w:r>
        <w:rPr>
          <w:rFonts w:hint="eastAsia" w:ascii="宋体" w:hAnsi="宋体" w:cs="宋体"/>
          <w:szCs w:val="21"/>
          <w:highlight w:val="none"/>
        </w:rPr>
        <w:t>间：</w:t>
      </w:r>
      <w:r>
        <w:rPr>
          <w:rFonts w:hint="eastAsia" w:ascii="宋体" w:hAnsi="宋体" w:cs="宋体"/>
          <w:szCs w:val="21"/>
          <w:highlight w:val="none"/>
          <w:lang w:eastAsia="zh-CN"/>
        </w:rPr>
        <w:t>2025年</w:t>
      </w:r>
      <w:r>
        <w:rPr>
          <w:rFonts w:hint="eastAsia" w:ascii="宋体" w:hAnsi="宋体" w:cs="宋体"/>
          <w:szCs w:val="21"/>
          <w:highlight w:val="none"/>
          <w:lang w:val="en-US" w:eastAsia="zh-CN"/>
        </w:rPr>
        <w:t>10</w:t>
      </w:r>
      <w:r>
        <w:rPr>
          <w:rFonts w:hint="eastAsia" w:ascii="宋体" w:hAnsi="宋体" w:cs="宋体"/>
          <w:szCs w:val="21"/>
          <w:highlight w:val="none"/>
          <w:lang w:eastAsia="zh-CN"/>
        </w:rPr>
        <w:t>月</w:t>
      </w:r>
      <w:r>
        <w:rPr>
          <w:rFonts w:hint="eastAsia" w:ascii="宋体" w:hAnsi="宋体" w:cs="宋体"/>
          <w:szCs w:val="21"/>
          <w:highlight w:val="none"/>
          <w:lang w:val="en-US" w:eastAsia="zh-CN"/>
        </w:rPr>
        <w:t>09</w:t>
      </w:r>
      <w:r>
        <w:rPr>
          <w:rFonts w:hint="eastAsia" w:ascii="宋体" w:hAnsi="宋体" w:cs="宋体"/>
          <w:szCs w:val="21"/>
          <w:highlight w:val="none"/>
          <w:lang w:eastAsia="zh-CN"/>
        </w:rPr>
        <w:t>日至2025年</w:t>
      </w:r>
      <w:r>
        <w:rPr>
          <w:rFonts w:hint="eastAsia" w:ascii="宋体" w:hAnsi="宋体" w:cs="宋体"/>
          <w:szCs w:val="21"/>
          <w:highlight w:val="none"/>
          <w:lang w:val="en-US" w:eastAsia="zh-CN"/>
        </w:rPr>
        <w:t>10</w:t>
      </w:r>
      <w:r>
        <w:rPr>
          <w:rFonts w:hint="eastAsia" w:ascii="宋体" w:hAnsi="宋体" w:cs="宋体"/>
          <w:szCs w:val="21"/>
          <w:highlight w:val="none"/>
          <w:lang w:eastAsia="zh-CN"/>
        </w:rPr>
        <w:t>月</w:t>
      </w:r>
      <w:r>
        <w:rPr>
          <w:rFonts w:hint="eastAsia" w:ascii="宋体" w:hAnsi="宋体" w:cs="宋体"/>
          <w:szCs w:val="21"/>
          <w:highlight w:val="none"/>
          <w:lang w:val="en-US" w:eastAsia="zh-CN"/>
        </w:rPr>
        <w:t>28</w:t>
      </w:r>
      <w:r>
        <w:rPr>
          <w:rFonts w:hint="eastAsia" w:ascii="宋体" w:hAnsi="宋体" w:cs="宋体"/>
          <w:szCs w:val="21"/>
          <w:highlight w:val="none"/>
          <w:lang w:eastAsia="zh-CN"/>
        </w:rPr>
        <w:t>日</w:t>
      </w:r>
      <w:r>
        <w:rPr>
          <w:rFonts w:hint="eastAsia" w:ascii="宋体" w:hAnsi="宋体" w:cs="宋体"/>
          <w:szCs w:val="21"/>
          <w:highlight w:val="none"/>
          <w:lang w:val="en-US" w:eastAsia="zh-CN"/>
        </w:rPr>
        <w:t>23</w:t>
      </w:r>
      <w:r>
        <w:rPr>
          <w:rFonts w:hint="eastAsia" w:ascii="宋体" w:hAnsi="宋体" w:cs="宋体"/>
          <w:szCs w:val="21"/>
          <w:highlight w:val="none"/>
        </w:rPr>
        <w:t>:</w:t>
      </w:r>
      <w:r>
        <w:rPr>
          <w:rFonts w:hint="eastAsia" w:ascii="宋体" w:hAnsi="宋体" w:cs="宋体"/>
          <w:szCs w:val="21"/>
          <w:lang w:val="en-US" w:eastAsia="zh-CN"/>
        </w:rPr>
        <w:t>59</w:t>
      </w:r>
      <w:r>
        <w:rPr>
          <w:rFonts w:hint="eastAsia" w:ascii="宋体" w:hAnsi="宋体" w:cs="宋体"/>
          <w:szCs w:val="21"/>
        </w:rPr>
        <w:t>（北京时间，法定节假日除外）</w:t>
      </w:r>
      <w:r>
        <w:rPr>
          <w:rFonts w:hint="eastAsia" w:ascii="宋体" w:hAnsi="宋体" w:cs="宋体"/>
          <w:bCs/>
          <w:szCs w:val="21"/>
        </w:rPr>
        <w:t>。</w:t>
      </w:r>
    </w:p>
    <w:p w14:paraId="1B1EFAA8">
      <w:pPr>
        <w:spacing w:line="500" w:lineRule="exact"/>
        <w:ind w:firstLine="420" w:firstLineChars="200"/>
        <w:rPr>
          <w:rFonts w:ascii="宋体" w:hAnsi="宋体" w:cs="宋体"/>
          <w:szCs w:val="21"/>
        </w:rPr>
      </w:pPr>
      <w:r>
        <w:rPr>
          <w:rFonts w:hint="eastAsia" w:ascii="宋体" w:hAnsi="宋体" w:cs="宋体"/>
          <w:szCs w:val="21"/>
        </w:rPr>
        <w:t>2.地点：政采云平台线上获取（https://www.zcygov.cn/）（操作路径：登录“政采云”平台-项目采购-获取采购文件 -找到本项目-点击“申请获取采购文件”）。</w:t>
      </w:r>
    </w:p>
    <w:p w14:paraId="10539F39">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cs="宋体"/>
          <w:szCs w:val="21"/>
        </w:rPr>
        <w:t>3.方式：</w:t>
      </w:r>
      <w:r>
        <w:rPr>
          <w:rFonts w:hint="eastAsia" w:ascii="宋体" w:hAnsi="宋体" w:eastAsia="宋体" w:cs="宋体"/>
          <w:b w:val="0"/>
          <w:bCs w:val="0"/>
          <w:color w:val="000000" w:themeColor="text1"/>
          <w:szCs w:val="21"/>
          <w:highlight w:val="none"/>
          <w14:textFill>
            <w14:solidFill>
              <w14:schemeClr w14:val="tx1"/>
            </w14:solidFill>
          </w14:textFill>
        </w:rPr>
        <w:t>凡有意参加投标者，须在政采云平台办理数字证书（CA)，CA申领链接</w:t>
      </w:r>
      <w:r>
        <w:rPr>
          <w:rFonts w:hint="eastAsia" w:ascii="宋体" w:hAnsi="宋体" w:eastAsia="宋体" w:cs="宋体"/>
          <w:b w:val="0"/>
          <w:bCs w:val="0"/>
          <w:color w:val="000000" w:themeColor="text1"/>
          <w:szCs w:val="21"/>
          <w:highlight w:val="none"/>
          <w:lang w:eastAsia="zh-CN"/>
          <w14:textFill>
            <w14:solidFill>
              <w14:schemeClr w14:val="tx1"/>
            </w14:solidFill>
          </w14:textFill>
        </w:rPr>
        <w:t>http://yzt.ynsmartcert.cn/cms/yztgr.html</w:t>
      </w:r>
      <w:r>
        <w:rPr>
          <w:rFonts w:hint="eastAsia" w:ascii="宋体" w:hAnsi="宋体" w:eastAsia="宋体" w:cs="宋体"/>
          <w:b w:val="0"/>
          <w:bCs w:val="0"/>
          <w:color w:val="000000" w:themeColor="text1"/>
          <w:szCs w:val="21"/>
          <w:highlight w:val="none"/>
          <w14:textFill>
            <w14:solidFill>
              <w14:schemeClr w14:val="tx1"/>
            </w14:solidFill>
          </w14:textFill>
        </w:rPr>
        <w:t>，数字证书（CA）办理完成后需在政采云平台绑定数字证书(CA)并在平台获取采购文件及其它采购资料。</w:t>
      </w:r>
    </w:p>
    <w:p w14:paraId="7218D187">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注:按上述要求获取文件的</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视为合法获取了本项目采购文件，具备本项目的投标资格。各</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应在开标前确保成为政采云平台</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Cs w:val="21"/>
          <w:highlight w:val="none"/>
          <w14:textFill>
            <w14:solidFill>
              <w14:schemeClr w14:val="tx1"/>
            </w14:solidFill>
          </w14:textFill>
        </w:rPr>
        <w:t>，并完成CA数字证书申领。因未注册入库，未办理CA数字证书等原因造成无法投标或投标失败等由</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自行承担,有意参加投标的</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 xml:space="preserve">，须在政采云平办理数字证书(CA) ，CA申领链接: </w:t>
      </w:r>
      <w:r>
        <w:rPr>
          <w:rFonts w:hint="eastAsia" w:ascii="宋体" w:hAnsi="宋体" w:eastAsia="宋体" w:cs="宋体"/>
          <w:b w:val="0"/>
          <w:bCs w:val="0"/>
          <w:color w:val="000000" w:themeColor="text1"/>
          <w:szCs w:val="21"/>
          <w:highlight w:val="none"/>
          <w:lang w:eastAsia="zh-CN"/>
          <w14:textFill>
            <w14:solidFill>
              <w14:schemeClr w14:val="tx1"/>
            </w14:solidFill>
          </w14:textFill>
        </w:rPr>
        <w:t>http://yzt.ynsmartcert.cn/cms/yztgr.html</w:t>
      </w:r>
      <w:r>
        <w:rPr>
          <w:rFonts w:hint="eastAsia" w:ascii="宋体" w:hAnsi="宋体" w:eastAsia="宋体" w:cs="宋体"/>
          <w:b w:val="0"/>
          <w:bCs w:val="0"/>
          <w:color w:val="000000" w:themeColor="text1"/>
          <w:szCs w:val="21"/>
          <w:highlight w:val="none"/>
          <w14:textFill>
            <w14:solidFill>
              <w14:schemeClr w14:val="tx1"/>
            </w14:solidFill>
          </w14:textFill>
        </w:rPr>
        <w:t>。</w:t>
      </w:r>
    </w:p>
    <w:p w14:paraId="50FE4181">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（1.）如有问题可拨打政采云客户服务热线95763</w:t>
      </w:r>
      <w:r>
        <w:rPr>
          <w:rFonts w:hint="eastAsia" w:ascii="宋体" w:hAnsi="宋体" w:cs="宋体"/>
          <w:b w:val="0"/>
          <w:bCs w:val="0"/>
          <w:color w:val="000000" w:themeColor="text1"/>
          <w:szCs w:val="21"/>
          <w:highlight w:val="none"/>
          <w:lang w:eastAsia="zh-CN"/>
          <w14:textFill>
            <w14:solidFill>
              <w14:schemeClr w14:val="tx1"/>
            </w14:solidFill>
          </w14:textFill>
        </w:rPr>
        <w:t>进行咨询</w:t>
      </w:r>
      <w:r>
        <w:rPr>
          <w:rFonts w:hint="eastAsia" w:ascii="宋体" w:hAnsi="宋体" w:eastAsia="宋体" w:cs="宋体"/>
          <w:b w:val="0"/>
          <w:bCs w:val="0"/>
          <w:color w:val="000000" w:themeColor="text1"/>
          <w:szCs w:val="21"/>
          <w:highlight w:val="none"/>
          <w14:textFill>
            <w14:solidFill>
              <w14:schemeClr w14:val="tx1"/>
            </w14:solidFill>
          </w14:textFill>
        </w:rPr>
        <w:t>，数字证书问题可咨询云南壹证通CA：0871-67276028（紧急可拨19988166369）。</w:t>
      </w:r>
    </w:p>
    <w:p w14:paraId="6FDDA774">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如因</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自身原因导致在规定时间内无法正常解密的(如:浏览器故障、未安装相关驱动、网络故障、加密CA与解密CA不一致等），视为</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自动弃标，代理机构不予处理。</w:t>
      </w:r>
    </w:p>
    <w:p w14:paraId="49A4783B">
      <w:pPr>
        <w:spacing w:line="500" w:lineRule="exact"/>
        <w:ind w:firstLine="420" w:firstLineChars="200"/>
        <w:rPr>
          <w:rFonts w:ascii="宋体" w:hAnsi="宋体" w:cs="宋体"/>
          <w:szCs w:val="21"/>
        </w:rPr>
      </w:pPr>
      <w:r>
        <w:rPr>
          <w:rFonts w:hint="eastAsia" w:ascii="宋体" w:hAnsi="宋体" w:eastAsia="宋体" w:cs="宋体"/>
          <w:b w:val="0"/>
          <w:bCs w:val="0"/>
          <w:color w:val="000000" w:themeColor="text1"/>
          <w:szCs w:val="21"/>
          <w:highlight w:val="none"/>
          <w14:textFill>
            <w14:solidFill>
              <w14:schemeClr w14:val="tx1"/>
            </w14:solidFill>
          </w14:textFill>
        </w:rPr>
        <w:t>（2.）云南本地</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如之前已在云南CA在线数字证书办理网进行过注册并办理过企业数字证书（CA），直接绑定即可，无需重复办理（2022年1月1日前办理的云南CA需到云南CA办理处进行升级）</w:t>
      </w:r>
      <w:r>
        <w:rPr>
          <w:rFonts w:hint="eastAsia" w:ascii="宋体" w:hAnsi="宋体" w:eastAsia="宋体" w:cs="宋体"/>
          <w:color w:val="000000" w:themeColor="text1"/>
          <w:szCs w:val="21"/>
          <w:highlight w:val="none"/>
          <w:lang w:eastAsia="zh-CN"/>
          <w14:textFill>
            <w14:solidFill>
              <w14:schemeClr w14:val="tx1"/>
            </w14:solidFill>
          </w14:textFill>
        </w:rPr>
        <w:t>。</w:t>
      </w:r>
    </w:p>
    <w:p w14:paraId="1A0A6841">
      <w:pPr>
        <w:pStyle w:val="3"/>
        <w:spacing w:before="0" w:line="500" w:lineRule="exact"/>
        <w:rPr>
          <w:rFonts w:ascii="宋体" w:hAnsi="宋体" w:cs="宋体"/>
          <w:bCs/>
          <w:color w:val="auto"/>
          <w:spacing w:val="0"/>
          <w:sz w:val="30"/>
          <w:szCs w:val="30"/>
        </w:rPr>
      </w:pPr>
      <w:bookmarkStart w:id="37" w:name="_Toc28359005"/>
      <w:bookmarkStart w:id="38" w:name="_Toc28359082"/>
      <w:bookmarkStart w:id="39" w:name="_Toc15685"/>
      <w:bookmarkStart w:id="40" w:name="_Toc30337"/>
      <w:bookmarkStart w:id="41" w:name="_Toc35393793"/>
      <w:bookmarkStart w:id="42" w:name="_Toc16443"/>
      <w:bookmarkStart w:id="43" w:name="_Toc32176"/>
      <w:bookmarkStart w:id="44" w:name="_Toc35393624"/>
      <w:r>
        <w:rPr>
          <w:rFonts w:hint="eastAsia" w:ascii="宋体" w:hAnsi="宋体" w:cs="宋体"/>
          <w:bCs/>
          <w:color w:val="auto"/>
          <w:spacing w:val="0"/>
          <w:sz w:val="30"/>
          <w:szCs w:val="30"/>
        </w:rPr>
        <w:t>四、提交投标文件</w:t>
      </w:r>
      <w:bookmarkEnd w:id="37"/>
      <w:bookmarkEnd w:id="38"/>
      <w:r>
        <w:rPr>
          <w:rFonts w:hint="eastAsia" w:ascii="宋体" w:hAnsi="宋体" w:cs="宋体"/>
          <w:bCs/>
          <w:color w:val="auto"/>
          <w:spacing w:val="0"/>
          <w:sz w:val="30"/>
          <w:szCs w:val="30"/>
        </w:rPr>
        <w:t>截止时间、开标时间和地点</w:t>
      </w:r>
      <w:bookmarkEnd w:id="39"/>
      <w:bookmarkEnd w:id="40"/>
      <w:bookmarkEnd w:id="41"/>
      <w:bookmarkEnd w:id="42"/>
      <w:bookmarkEnd w:id="43"/>
      <w:bookmarkEnd w:id="44"/>
    </w:p>
    <w:p w14:paraId="333EEDB2">
      <w:pPr>
        <w:spacing w:line="500" w:lineRule="exact"/>
        <w:ind w:firstLine="420" w:firstLineChars="200"/>
        <w:rPr>
          <w:rFonts w:ascii="宋体" w:hAnsi="宋体" w:cs="宋体"/>
          <w:bCs/>
          <w:szCs w:val="21"/>
          <w:u w:val="single"/>
        </w:rPr>
      </w:pPr>
      <w:r>
        <w:rPr>
          <w:rFonts w:hint="eastAsia" w:ascii="宋体" w:hAnsi="宋体" w:cs="宋体"/>
          <w:bCs/>
          <w:szCs w:val="21"/>
        </w:rPr>
        <w:t>1.提交投标文件截止时间、开标时间：</w:t>
      </w:r>
      <w:r>
        <w:rPr>
          <w:rFonts w:hint="eastAsia" w:ascii="宋体" w:hAnsi="宋体" w:cs="宋体"/>
          <w:szCs w:val="21"/>
          <w:lang w:eastAsia="zh-CN"/>
        </w:rPr>
        <w:t>2025年10月30日</w:t>
      </w:r>
      <w:r>
        <w:rPr>
          <w:rFonts w:hint="eastAsia" w:ascii="宋体" w:hAnsi="宋体" w:cs="宋体"/>
          <w:szCs w:val="21"/>
          <w:lang w:val="en-US" w:eastAsia="zh-CN"/>
        </w:rPr>
        <w:t>09点30分</w:t>
      </w:r>
      <w:r>
        <w:rPr>
          <w:rFonts w:hint="eastAsia" w:ascii="宋体" w:hAnsi="宋体" w:cs="宋体"/>
          <w:bCs/>
          <w:szCs w:val="21"/>
        </w:rPr>
        <w:t>（北京时间）。</w:t>
      </w:r>
    </w:p>
    <w:p w14:paraId="3EC9BD58">
      <w:pPr>
        <w:spacing w:line="500" w:lineRule="exact"/>
        <w:ind w:firstLine="420" w:firstLineChars="200"/>
        <w:rPr>
          <w:rFonts w:ascii="宋体" w:hAnsi="宋体" w:cs="宋体"/>
          <w:color w:val="auto"/>
          <w:szCs w:val="21"/>
        </w:rPr>
      </w:pPr>
      <w:r>
        <w:rPr>
          <w:rFonts w:hint="eastAsia" w:ascii="宋体" w:hAnsi="宋体" w:cs="宋体"/>
          <w:bCs/>
          <w:szCs w:val="21"/>
        </w:rPr>
        <w:t>2.提交投标文件地点：</w:t>
      </w:r>
      <w:r>
        <w:rPr>
          <w:rFonts w:hint="eastAsia" w:ascii="宋体" w:hAnsi="宋体" w:cs="宋体"/>
          <w:szCs w:val="21"/>
        </w:rPr>
        <w:t>投标人应按照本项目采购文件和"政采云"平台的要求编制、加密投标文件后在投标文件提交截止时间前上传至"政采云"平台，投标人须在投标截止时间前完成所有电子投标文件的上传，投标截止时间前</w:t>
      </w:r>
      <w:r>
        <w:rPr>
          <w:rFonts w:hint="eastAsia" w:ascii="宋体" w:hAnsi="宋体" w:cs="宋体"/>
          <w:color w:val="auto"/>
          <w:szCs w:val="21"/>
        </w:rPr>
        <w:t>未完成投标文件传输的，视为撤回投标文件。投标人在"政采云"平台提交电子版投标文件时，请填写参加远程采购活动经办人联系方式。</w:t>
      </w:r>
    </w:p>
    <w:p w14:paraId="1E458186">
      <w:pPr>
        <w:spacing w:line="500" w:lineRule="exact"/>
        <w:ind w:firstLine="420" w:firstLineChars="200"/>
        <w:rPr>
          <w:rFonts w:ascii="宋体" w:hAnsi="宋体" w:cs="宋体"/>
          <w:b/>
          <w:szCs w:val="21"/>
        </w:rPr>
      </w:pPr>
      <w:r>
        <w:rPr>
          <w:rFonts w:hint="eastAsia" w:ascii="宋体" w:hAnsi="宋体" w:cs="宋体"/>
          <w:color w:val="auto"/>
          <w:szCs w:val="21"/>
        </w:rPr>
        <w:t>3.开标地点：云南冠睿咨询有限公司评标厅（云南省昆明市西山区万达广场南塔33层3310号）</w:t>
      </w:r>
      <w:r>
        <w:rPr>
          <w:rFonts w:hint="eastAsia" w:ascii="宋体" w:hAnsi="宋体" w:cs="宋体"/>
          <w:color w:val="auto"/>
          <w:kern w:val="0"/>
          <w:szCs w:val="21"/>
        </w:rPr>
        <w:t>，投标人无需到达</w:t>
      </w:r>
      <w:r>
        <w:rPr>
          <w:rFonts w:hint="eastAsia" w:ascii="宋体" w:hAnsi="宋体" w:cs="宋体"/>
          <w:color w:val="auto"/>
          <w:szCs w:val="21"/>
        </w:rPr>
        <w:t>开标地点</w:t>
      </w:r>
      <w:r>
        <w:rPr>
          <w:rFonts w:hint="eastAsia" w:ascii="宋体" w:hAnsi="宋体" w:cs="宋体"/>
          <w:color w:val="auto"/>
          <w:kern w:val="0"/>
          <w:szCs w:val="21"/>
        </w:rPr>
        <w:t>，须</w:t>
      </w:r>
      <w:r>
        <w:rPr>
          <w:rFonts w:hint="eastAsia" w:ascii="宋体" w:hAnsi="宋体" w:cs="宋体"/>
          <w:kern w:val="0"/>
          <w:szCs w:val="21"/>
        </w:rPr>
        <w:t>在"政采云"平台进行远程解密电子版投标文件</w:t>
      </w:r>
      <w:r>
        <w:rPr>
          <w:rFonts w:hint="eastAsia" w:ascii="宋体" w:hAnsi="宋体" w:cs="宋体"/>
          <w:szCs w:val="21"/>
        </w:rPr>
        <w:t>。</w:t>
      </w:r>
    </w:p>
    <w:p w14:paraId="758594E3">
      <w:pPr>
        <w:pStyle w:val="3"/>
        <w:spacing w:before="0" w:line="500" w:lineRule="exact"/>
        <w:rPr>
          <w:rFonts w:ascii="宋体" w:hAnsi="宋体" w:cs="宋体"/>
          <w:bCs/>
          <w:color w:val="auto"/>
          <w:spacing w:val="0"/>
          <w:sz w:val="30"/>
          <w:szCs w:val="30"/>
        </w:rPr>
      </w:pPr>
      <w:bookmarkStart w:id="45" w:name="_Toc35393625"/>
      <w:bookmarkStart w:id="46" w:name="_Toc28359084"/>
      <w:bookmarkStart w:id="47" w:name="_Toc12135"/>
      <w:bookmarkStart w:id="48" w:name="_Toc28359007"/>
      <w:bookmarkStart w:id="49" w:name="_Toc35393794"/>
      <w:bookmarkStart w:id="50" w:name="_Toc24325"/>
      <w:bookmarkStart w:id="51" w:name="_Toc24986"/>
      <w:bookmarkStart w:id="52" w:name="_Toc11814"/>
      <w:r>
        <w:rPr>
          <w:rFonts w:hint="eastAsia" w:ascii="宋体" w:hAnsi="宋体" w:cs="宋体"/>
          <w:bCs/>
          <w:color w:val="auto"/>
          <w:spacing w:val="0"/>
          <w:sz w:val="30"/>
          <w:szCs w:val="30"/>
        </w:rPr>
        <w:t>五、公告期限</w:t>
      </w:r>
      <w:bookmarkEnd w:id="45"/>
      <w:bookmarkEnd w:id="46"/>
      <w:bookmarkEnd w:id="47"/>
      <w:bookmarkEnd w:id="48"/>
      <w:bookmarkEnd w:id="49"/>
      <w:bookmarkEnd w:id="50"/>
      <w:bookmarkEnd w:id="51"/>
      <w:bookmarkEnd w:id="52"/>
    </w:p>
    <w:p w14:paraId="6FF25BDC">
      <w:pPr>
        <w:spacing w:line="500" w:lineRule="exact"/>
        <w:ind w:firstLine="420" w:firstLineChars="200"/>
        <w:rPr>
          <w:rFonts w:ascii="宋体" w:hAnsi="宋体" w:cs="宋体"/>
          <w:kern w:val="0"/>
          <w:szCs w:val="21"/>
        </w:rPr>
      </w:pPr>
      <w:r>
        <w:rPr>
          <w:rFonts w:hint="eastAsia" w:ascii="宋体" w:hAnsi="宋体" w:cs="宋体"/>
          <w:kern w:val="0"/>
          <w:szCs w:val="21"/>
        </w:rPr>
        <w:t>自本公告发布之日起5个工作日。</w:t>
      </w:r>
    </w:p>
    <w:p w14:paraId="621E59C3">
      <w:pPr>
        <w:pStyle w:val="3"/>
        <w:spacing w:before="0" w:line="500" w:lineRule="exact"/>
        <w:rPr>
          <w:rFonts w:ascii="宋体" w:hAnsi="宋体" w:cs="宋体"/>
          <w:bCs/>
          <w:color w:val="auto"/>
          <w:spacing w:val="0"/>
          <w:sz w:val="30"/>
          <w:szCs w:val="30"/>
        </w:rPr>
      </w:pPr>
      <w:bookmarkStart w:id="53" w:name="_Toc4382"/>
      <w:bookmarkStart w:id="54" w:name="_Toc35393795"/>
      <w:bookmarkStart w:id="55" w:name="_Toc1152"/>
      <w:bookmarkStart w:id="56" w:name="_Toc35393626"/>
      <w:bookmarkStart w:id="57" w:name="_Toc29742"/>
      <w:bookmarkStart w:id="58" w:name="_Toc18135"/>
      <w:r>
        <w:rPr>
          <w:rFonts w:hint="eastAsia" w:ascii="宋体" w:hAnsi="宋体" w:cs="宋体"/>
          <w:bCs/>
          <w:color w:val="auto"/>
          <w:spacing w:val="0"/>
          <w:sz w:val="30"/>
          <w:szCs w:val="30"/>
        </w:rPr>
        <w:t>六、其他补充事宜</w:t>
      </w:r>
      <w:bookmarkEnd w:id="53"/>
      <w:bookmarkEnd w:id="54"/>
      <w:bookmarkEnd w:id="55"/>
      <w:bookmarkEnd w:id="56"/>
      <w:bookmarkEnd w:id="57"/>
      <w:bookmarkEnd w:id="58"/>
    </w:p>
    <w:p w14:paraId="7D3A7F52">
      <w:pPr>
        <w:pStyle w:val="74"/>
        <w:spacing w:line="500" w:lineRule="exact"/>
        <w:rPr>
          <w:rFonts w:ascii="宋体" w:hAnsi="宋体" w:cs="宋体"/>
          <w:szCs w:val="21"/>
        </w:rPr>
      </w:pPr>
      <w:r>
        <w:rPr>
          <w:rFonts w:hint="eastAsia" w:ascii="宋体" w:hAnsi="宋体" w:cs="宋体"/>
          <w:szCs w:val="21"/>
        </w:rPr>
        <w:t>1.开标方式：网上开标</w:t>
      </w:r>
    </w:p>
    <w:p w14:paraId="768F4EBB">
      <w:pPr>
        <w:pStyle w:val="74"/>
        <w:spacing w:line="500" w:lineRule="exact"/>
        <w:rPr>
          <w:rFonts w:ascii="宋体" w:hAnsi="宋体" w:cs="宋体"/>
          <w:szCs w:val="21"/>
        </w:rPr>
      </w:pPr>
      <w:r>
        <w:rPr>
          <w:rFonts w:hint="eastAsia" w:ascii="宋体" w:hAnsi="宋体" w:cs="宋体"/>
          <w:szCs w:val="21"/>
        </w:rPr>
        <w:t>2.发布公告的媒介：本次公开招标公告在“云南省政府采购网”上发布。</w:t>
      </w:r>
    </w:p>
    <w:p w14:paraId="705F0940">
      <w:pPr>
        <w:pStyle w:val="74"/>
        <w:spacing w:line="500" w:lineRule="exact"/>
        <w:rPr>
          <w:rFonts w:ascii="宋体" w:hAnsi="宋体" w:cs="宋体"/>
          <w:szCs w:val="21"/>
        </w:rPr>
      </w:pPr>
      <w:r>
        <w:rPr>
          <w:rFonts w:hint="eastAsia" w:ascii="宋体" w:hAnsi="宋体" w:cs="宋体"/>
          <w:szCs w:val="21"/>
        </w:rPr>
        <w:t>3.本项目需要落实的政府采购政策：促进中小企业发展、促进残疾人就业、支持监狱企业发展、政府采购活动中查询及使用信用记录等，政府采购政策具体落实情况详见本项目招标文件</w:t>
      </w:r>
      <w:r>
        <w:rPr>
          <w:rFonts w:hint="eastAsia" w:ascii="宋体" w:hAnsi="宋体" w:cs="宋体"/>
          <w:szCs w:val="21"/>
          <w:lang w:eastAsia="zh-CN"/>
        </w:rPr>
        <w:t>。</w:t>
      </w:r>
    </w:p>
    <w:p w14:paraId="7236C4A1">
      <w:pPr>
        <w:pStyle w:val="74"/>
        <w:spacing w:line="500" w:lineRule="exact"/>
        <w:rPr>
          <w:rFonts w:ascii="宋体" w:hAnsi="宋体" w:cs="宋体"/>
          <w:szCs w:val="21"/>
        </w:rPr>
      </w:pPr>
      <w:r>
        <w:rPr>
          <w:rFonts w:hint="eastAsia" w:ascii="宋体" w:hAnsi="宋体" w:cs="宋体"/>
          <w:szCs w:val="21"/>
        </w:rPr>
        <w:t>4.采购代理机构账户信息：</w:t>
      </w:r>
    </w:p>
    <w:p w14:paraId="7BFCA9D7">
      <w:pPr>
        <w:pStyle w:val="74"/>
        <w:spacing w:line="500" w:lineRule="exact"/>
        <w:rPr>
          <w:rFonts w:ascii="宋体" w:hAnsi="宋体" w:cs="宋体"/>
          <w:szCs w:val="21"/>
        </w:rPr>
      </w:pPr>
      <w:r>
        <w:rPr>
          <w:rFonts w:hint="eastAsia" w:ascii="宋体" w:hAnsi="宋体" w:cs="宋体"/>
          <w:szCs w:val="21"/>
        </w:rPr>
        <w:t>开户名称：云南冠睿咨询有限公司</w:t>
      </w:r>
    </w:p>
    <w:p w14:paraId="4065C01A">
      <w:pPr>
        <w:pStyle w:val="74"/>
        <w:spacing w:line="500" w:lineRule="exact"/>
        <w:rPr>
          <w:rFonts w:ascii="宋体" w:hAnsi="宋体" w:cs="宋体"/>
          <w:szCs w:val="21"/>
        </w:rPr>
      </w:pPr>
      <w:r>
        <w:rPr>
          <w:rFonts w:hint="eastAsia" w:ascii="宋体" w:hAnsi="宋体" w:cs="宋体"/>
          <w:szCs w:val="21"/>
        </w:rPr>
        <w:t>开户银行：中国民生银行股份有限公司昆明拓东路支行</w:t>
      </w:r>
    </w:p>
    <w:p w14:paraId="7BE03D6E">
      <w:pPr>
        <w:pStyle w:val="74"/>
        <w:spacing w:line="500" w:lineRule="exact"/>
        <w:rPr>
          <w:rFonts w:ascii="宋体" w:hAnsi="宋体" w:cs="宋体"/>
          <w:szCs w:val="21"/>
        </w:rPr>
      </w:pPr>
      <w:r>
        <w:rPr>
          <w:rFonts w:hint="eastAsia" w:ascii="宋体" w:hAnsi="宋体" w:cs="宋体"/>
          <w:szCs w:val="21"/>
        </w:rPr>
        <w:t>账号：636611192</w:t>
      </w:r>
    </w:p>
    <w:p w14:paraId="4F10A19A">
      <w:pPr>
        <w:pStyle w:val="3"/>
        <w:spacing w:before="0" w:line="500" w:lineRule="exact"/>
        <w:rPr>
          <w:rFonts w:ascii="宋体" w:hAnsi="宋体" w:cs="宋体"/>
          <w:bCs/>
          <w:color w:val="auto"/>
          <w:spacing w:val="0"/>
          <w:sz w:val="30"/>
          <w:szCs w:val="30"/>
        </w:rPr>
      </w:pPr>
      <w:bookmarkStart w:id="59" w:name="_Toc2952"/>
      <w:bookmarkStart w:id="60" w:name="_Toc35393796"/>
      <w:bookmarkStart w:id="61" w:name="_Toc19162"/>
      <w:bookmarkStart w:id="62" w:name="_Toc28359085"/>
      <w:bookmarkStart w:id="63" w:name="_Toc35393627"/>
      <w:bookmarkStart w:id="64" w:name="_Toc28359008"/>
      <w:bookmarkStart w:id="65" w:name="_Toc31818"/>
      <w:bookmarkStart w:id="66" w:name="_Toc17565"/>
      <w:r>
        <w:rPr>
          <w:rFonts w:hint="eastAsia" w:ascii="宋体" w:hAnsi="宋体" w:cs="宋体"/>
          <w:bCs/>
          <w:color w:val="auto"/>
          <w:spacing w:val="0"/>
          <w:sz w:val="30"/>
          <w:szCs w:val="30"/>
        </w:rPr>
        <w:t>七、对本次招标提出询问，请按以下方式联系</w:t>
      </w:r>
      <w:bookmarkEnd w:id="59"/>
      <w:bookmarkEnd w:id="60"/>
      <w:bookmarkEnd w:id="61"/>
      <w:bookmarkEnd w:id="62"/>
      <w:bookmarkEnd w:id="63"/>
      <w:bookmarkEnd w:id="64"/>
      <w:bookmarkEnd w:id="65"/>
      <w:bookmarkEnd w:id="66"/>
      <w:bookmarkStart w:id="67" w:name="_Toc28359010"/>
      <w:bookmarkStart w:id="68" w:name="_Toc28359087"/>
    </w:p>
    <w:bookmarkEnd w:id="67"/>
    <w:bookmarkEnd w:id="68"/>
    <w:p w14:paraId="72331820">
      <w:pPr>
        <w:spacing w:line="500" w:lineRule="exact"/>
        <w:ind w:firstLine="420" w:firstLineChars="200"/>
        <w:rPr>
          <w:rFonts w:ascii="宋体" w:hAnsi="宋体" w:cs="宋体"/>
        </w:rPr>
      </w:pPr>
      <w:r>
        <w:rPr>
          <w:rFonts w:hint="eastAsia" w:ascii="宋体" w:hAnsi="宋体" w:cs="宋体"/>
        </w:rPr>
        <w:t>1.采购人信息</w:t>
      </w:r>
    </w:p>
    <w:p w14:paraId="2C36C45A">
      <w:pPr>
        <w:spacing w:line="500" w:lineRule="exact"/>
        <w:ind w:firstLine="420" w:firstLineChars="200"/>
        <w:rPr>
          <w:rFonts w:hint="eastAsia" w:ascii="宋体" w:hAnsi="宋体" w:eastAsia="宋体" w:cs="宋体"/>
          <w:lang w:eastAsia="zh-CN"/>
        </w:rPr>
      </w:pPr>
      <w:r>
        <w:rPr>
          <w:rFonts w:hint="eastAsia" w:ascii="宋体" w:hAnsi="宋体" w:cs="宋体"/>
        </w:rPr>
        <w:t>名称：</w:t>
      </w:r>
      <w:r>
        <w:rPr>
          <w:rFonts w:hint="eastAsia" w:ascii="宋体" w:hAnsi="宋体" w:cs="宋体"/>
          <w:lang w:eastAsia="zh-CN"/>
        </w:rPr>
        <w:t>昆明市官渡区人民医院</w:t>
      </w:r>
    </w:p>
    <w:p w14:paraId="3B141961">
      <w:pPr>
        <w:spacing w:line="500" w:lineRule="exact"/>
        <w:ind w:firstLine="420" w:firstLineChars="200"/>
        <w:rPr>
          <w:rFonts w:hint="eastAsia" w:ascii="宋体" w:hAnsi="宋体" w:eastAsia="宋体" w:cs="宋体"/>
          <w:lang w:eastAsia="zh-CN"/>
        </w:rPr>
      </w:pPr>
      <w:r>
        <w:rPr>
          <w:rFonts w:hint="eastAsia" w:ascii="宋体" w:hAnsi="宋体" w:cs="宋体"/>
        </w:rPr>
        <w:t>地址：</w:t>
      </w:r>
      <w:r>
        <w:rPr>
          <w:rFonts w:hint="eastAsia" w:ascii="宋体" w:hAnsi="宋体" w:cs="宋体"/>
          <w:szCs w:val="21"/>
          <w:lang w:eastAsia="zh-CN"/>
        </w:rPr>
        <w:t>官渡区关上仁心路1号</w:t>
      </w:r>
    </w:p>
    <w:p w14:paraId="7DE30D52">
      <w:pPr>
        <w:spacing w:line="500" w:lineRule="exact"/>
        <w:ind w:firstLine="420" w:firstLineChars="200"/>
        <w:rPr>
          <w:rFonts w:ascii="宋体" w:hAnsi="宋体" w:cs="宋体"/>
        </w:rPr>
      </w:pPr>
      <w:r>
        <w:rPr>
          <w:rFonts w:hint="eastAsia" w:ascii="宋体" w:hAnsi="宋体" w:cs="宋体"/>
        </w:rPr>
        <w:t>联系方式：</w:t>
      </w:r>
      <w:r>
        <w:rPr>
          <w:rFonts w:hint="eastAsia" w:ascii="宋体" w:hAnsi="宋体" w:cs="宋体"/>
          <w:lang w:val="en-US" w:eastAsia="zh-CN"/>
        </w:rPr>
        <w:t>高</w:t>
      </w:r>
      <w:r>
        <w:rPr>
          <w:rFonts w:hint="eastAsia" w:ascii="宋体" w:hAnsi="宋体" w:cs="宋体"/>
          <w:lang w:eastAsia="zh-CN"/>
        </w:rPr>
        <w:t>老师、</w:t>
      </w:r>
      <w:r>
        <w:rPr>
          <w:rFonts w:hint="eastAsia" w:ascii="宋体" w:hAnsi="宋体" w:cs="宋体"/>
          <w:lang w:val="en-US" w:eastAsia="zh-CN"/>
        </w:rPr>
        <w:t xml:space="preserve">许老师 </w:t>
      </w:r>
      <w:r>
        <w:rPr>
          <w:rFonts w:hint="eastAsia" w:ascii="宋体" w:hAnsi="宋体" w:cs="宋体"/>
          <w:lang w:eastAsia="zh-CN"/>
        </w:rPr>
        <w:t>0871-6</w:t>
      </w:r>
      <w:r>
        <w:rPr>
          <w:rFonts w:hint="eastAsia" w:ascii="宋体" w:hAnsi="宋体" w:cs="宋体"/>
          <w:lang w:val="en-US" w:eastAsia="zh-CN"/>
        </w:rPr>
        <w:t>4985870</w:t>
      </w:r>
    </w:p>
    <w:p w14:paraId="0BCFC922">
      <w:pPr>
        <w:spacing w:line="500" w:lineRule="exact"/>
        <w:ind w:firstLine="420" w:firstLineChars="200"/>
        <w:rPr>
          <w:rFonts w:ascii="宋体" w:hAnsi="宋体" w:cs="宋体"/>
        </w:rPr>
      </w:pPr>
    </w:p>
    <w:p w14:paraId="36905A70">
      <w:pPr>
        <w:spacing w:line="500" w:lineRule="exact"/>
        <w:ind w:firstLine="420" w:firstLineChars="200"/>
        <w:rPr>
          <w:rFonts w:ascii="宋体" w:hAnsi="宋体" w:cs="宋体"/>
        </w:rPr>
      </w:pPr>
      <w:r>
        <w:rPr>
          <w:rFonts w:hint="eastAsia" w:ascii="宋体" w:hAnsi="宋体" w:cs="宋体"/>
        </w:rPr>
        <w:t>2.采购代理机构信息</w:t>
      </w:r>
    </w:p>
    <w:p w14:paraId="44E2C110">
      <w:pPr>
        <w:spacing w:line="500" w:lineRule="exact"/>
        <w:ind w:firstLine="420" w:firstLineChars="200"/>
        <w:rPr>
          <w:rFonts w:ascii="宋体" w:hAnsi="宋体" w:cs="宋体"/>
        </w:rPr>
      </w:pPr>
      <w:r>
        <w:rPr>
          <w:rFonts w:hint="eastAsia" w:ascii="宋体" w:hAnsi="宋体" w:cs="宋体"/>
        </w:rPr>
        <w:t>名称：云南冠睿咨询有限公司</w:t>
      </w:r>
    </w:p>
    <w:p w14:paraId="553E176E">
      <w:pPr>
        <w:spacing w:line="500" w:lineRule="exact"/>
        <w:ind w:firstLine="420" w:firstLineChars="200"/>
        <w:rPr>
          <w:rFonts w:ascii="宋体" w:hAnsi="宋体" w:cs="宋体"/>
        </w:rPr>
      </w:pPr>
      <w:r>
        <w:rPr>
          <w:rFonts w:hint="eastAsia" w:ascii="宋体" w:hAnsi="宋体" w:cs="宋体"/>
        </w:rPr>
        <w:t>地址：云南省昆明市西山区万达广场南塔32层3201号、33层3310号</w:t>
      </w:r>
    </w:p>
    <w:p w14:paraId="3927D222">
      <w:pPr>
        <w:spacing w:line="500" w:lineRule="exact"/>
        <w:ind w:firstLine="420" w:firstLineChars="200"/>
        <w:rPr>
          <w:rFonts w:ascii="宋体" w:hAnsi="宋体" w:cs="宋体"/>
        </w:rPr>
      </w:pPr>
      <w:r>
        <w:rPr>
          <w:rFonts w:hint="eastAsia" w:ascii="宋体" w:hAnsi="宋体" w:cs="宋体"/>
        </w:rPr>
        <w:t>联系方式：0871-65511240、65511241</w:t>
      </w:r>
    </w:p>
    <w:p w14:paraId="617033DD">
      <w:pPr>
        <w:spacing w:line="500" w:lineRule="exact"/>
        <w:ind w:firstLine="420" w:firstLineChars="200"/>
        <w:rPr>
          <w:rFonts w:ascii="宋体" w:hAnsi="宋体" w:cs="宋体"/>
        </w:rPr>
      </w:pPr>
    </w:p>
    <w:p w14:paraId="31CBBB7F">
      <w:pPr>
        <w:spacing w:line="500" w:lineRule="exact"/>
        <w:ind w:firstLine="420" w:firstLineChars="200"/>
        <w:rPr>
          <w:rFonts w:ascii="宋体" w:hAnsi="宋体" w:cs="宋体"/>
        </w:rPr>
      </w:pPr>
      <w:r>
        <w:rPr>
          <w:rFonts w:hint="eastAsia" w:ascii="宋体" w:hAnsi="宋体" w:cs="宋体"/>
        </w:rPr>
        <w:t>3.项目联系方式</w:t>
      </w:r>
    </w:p>
    <w:p w14:paraId="010A0324">
      <w:pPr>
        <w:spacing w:line="500" w:lineRule="exact"/>
        <w:ind w:firstLine="420" w:firstLineChars="200"/>
        <w:rPr>
          <w:rFonts w:ascii="宋体" w:hAnsi="宋体" w:cs="宋体"/>
        </w:rPr>
      </w:pPr>
      <w:r>
        <w:rPr>
          <w:rFonts w:hint="eastAsia" w:ascii="宋体" w:hAnsi="宋体" w:cs="宋体"/>
        </w:rPr>
        <w:t>项目联系人：</w:t>
      </w:r>
      <w:r>
        <w:rPr>
          <w:rFonts w:hint="eastAsia" w:ascii="宋体" w:hAnsi="宋体" w:cs="宋体"/>
          <w:lang w:eastAsia="zh-CN"/>
        </w:rPr>
        <w:t>蒋兴杰、祝欣、王国玺、吴翊、陈沿锦、丁传觐、汪怡含、邓楚卿、李腾芳、王彦飞、肖枝莲、刘晓云、张振荣、杨益鑫、戚玮薇</w:t>
      </w:r>
    </w:p>
    <w:p w14:paraId="1A89C6EA">
      <w:pPr>
        <w:spacing w:line="500" w:lineRule="exact"/>
        <w:ind w:firstLine="420" w:firstLineChars="200"/>
        <w:rPr>
          <w:rFonts w:ascii="宋体" w:hAnsi="宋体" w:cs="宋体"/>
        </w:rPr>
      </w:pPr>
      <w:r>
        <w:rPr>
          <w:rFonts w:hint="eastAsia" w:ascii="宋体" w:hAnsi="宋体" w:cs="宋体"/>
        </w:rPr>
        <w:t>电话：0871-65511240、65511241</w:t>
      </w:r>
    </w:p>
    <w:p w14:paraId="47C1DB3C">
      <w:pPr>
        <w:rPr>
          <w:rFonts w:ascii="宋体" w:hAnsi="宋体" w:cs="宋体"/>
        </w:rPr>
      </w:pPr>
      <w:r>
        <w:rPr>
          <w:rFonts w:hint="eastAsia" w:ascii="宋体" w:hAnsi="宋体" w:cs="宋体"/>
        </w:rPr>
        <w:br w:type="page"/>
      </w:r>
    </w:p>
    <w:bookmarkEnd w:id="4"/>
    <w:bookmarkEnd w:id="5"/>
    <w:bookmarkEnd w:id="6"/>
    <w:bookmarkEnd w:id="7"/>
    <w:p w14:paraId="120FBC10">
      <w:pPr>
        <w:pStyle w:val="2"/>
        <w:spacing w:before="0" w:after="0" w:line="500" w:lineRule="exact"/>
        <w:rPr>
          <w:rFonts w:ascii="宋体" w:hAnsi="宋体" w:cs="宋体"/>
        </w:rPr>
      </w:pPr>
      <w:bookmarkStart w:id="69" w:name="_Toc6627"/>
      <w:bookmarkStart w:id="70" w:name="_Toc14382"/>
      <w:bookmarkStart w:id="71" w:name="_Toc144974497"/>
      <w:bookmarkStart w:id="72" w:name="_Toc488633604"/>
      <w:bookmarkStart w:id="73" w:name="_Toc401342134"/>
      <w:bookmarkStart w:id="74" w:name="_Toc489145703"/>
      <w:bookmarkStart w:id="75" w:name="_Toc17909"/>
      <w:bookmarkStart w:id="76" w:name="_Toc378239170"/>
      <w:bookmarkStart w:id="77" w:name="_Toc152045529"/>
      <w:bookmarkStart w:id="78" w:name="_Toc378239351"/>
      <w:bookmarkStart w:id="79" w:name="_Toc246996918"/>
      <w:bookmarkStart w:id="80" w:name="_Toc246996175"/>
      <w:bookmarkStart w:id="81" w:name="_Toc378239078"/>
      <w:bookmarkStart w:id="82" w:name="_Toc480817643"/>
      <w:bookmarkStart w:id="83" w:name="_Toc489197807"/>
      <w:bookmarkStart w:id="84" w:name="_Toc179632546"/>
      <w:bookmarkStart w:id="85" w:name="_Toc152042305"/>
      <w:bookmarkStart w:id="86" w:name="_Toc296602420"/>
      <w:bookmarkStart w:id="87" w:name="_Toc247085689"/>
      <w:r>
        <w:rPr>
          <w:rFonts w:hint="eastAsia" w:ascii="宋体" w:hAnsi="宋体" w:cs="宋体"/>
        </w:rPr>
        <w:t>第二章  投标人须知</w:t>
      </w:r>
      <w:bookmarkEnd w:id="69"/>
      <w:bookmarkEnd w:id="70"/>
    </w:p>
    <w:p w14:paraId="40CBD96E">
      <w:pPr>
        <w:pStyle w:val="3"/>
        <w:spacing w:before="0" w:line="500" w:lineRule="exact"/>
        <w:jc w:val="center"/>
        <w:rPr>
          <w:rFonts w:ascii="宋体" w:hAnsi="宋体" w:cs="宋体"/>
          <w:color w:val="auto"/>
          <w:spacing w:val="0"/>
          <w:kern w:val="0"/>
          <w:sz w:val="28"/>
          <w:szCs w:val="28"/>
        </w:rPr>
      </w:pPr>
      <w:bookmarkStart w:id="88" w:name="_Toc12874"/>
      <w:bookmarkStart w:id="89" w:name="_Toc13457"/>
      <w:bookmarkStart w:id="90" w:name="_Toc378239349"/>
      <w:bookmarkStart w:id="91" w:name="_Toc14535"/>
      <w:bookmarkStart w:id="92" w:name="_Toc480817642"/>
      <w:bookmarkStart w:id="93" w:name="_Toc401342132"/>
      <w:bookmarkStart w:id="94" w:name="_Toc378239076"/>
      <w:bookmarkStart w:id="95" w:name="_Toc12595"/>
      <w:bookmarkStart w:id="96" w:name="_Toc489197806"/>
      <w:bookmarkStart w:id="97" w:name="_Toc378239168"/>
      <w:bookmarkStart w:id="98" w:name="_Toc489145702"/>
      <w:bookmarkStart w:id="99" w:name="_Toc21684"/>
      <w:bookmarkStart w:id="100" w:name="_Toc488633603"/>
      <w:r>
        <w:rPr>
          <w:rFonts w:hint="eastAsia" w:ascii="宋体" w:hAnsi="宋体" w:cs="宋体"/>
          <w:color w:val="auto"/>
          <w:spacing w:val="0"/>
          <w:kern w:val="0"/>
          <w:sz w:val="28"/>
          <w:szCs w:val="28"/>
        </w:rPr>
        <w:t>投标人须知前附表</w:t>
      </w:r>
      <w:bookmarkEnd w:id="88"/>
      <w:bookmarkEnd w:id="89"/>
      <w:bookmarkEnd w:id="90"/>
      <w:bookmarkEnd w:id="91"/>
      <w:bookmarkEnd w:id="92"/>
      <w:bookmarkEnd w:id="93"/>
      <w:bookmarkEnd w:id="94"/>
      <w:bookmarkEnd w:id="95"/>
      <w:bookmarkEnd w:id="96"/>
      <w:bookmarkEnd w:id="97"/>
      <w:bookmarkEnd w:id="98"/>
      <w:bookmarkEnd w:id="99"/>
      <w:bookmarkEnd w:id="100"/>
    </w:p>
    <w:tbl>
      <w:tblPr>
        <w:tblStyle w:val="41"/>
        <w:tblW w:w="9240" w:type="dxa"/>
        <w:jc w:val="center"/>
        <w:tblLayout w:type="fixed"/>
        <w:tblCellMar>
          <w:top w:w="0" w:type="dxa"/>
          <w:left w:w="108" w:type="dxa"/>
          <w:bottom w:w="0" w:type="dxa"/>
          <w:right w:w="108" w:type="dxa"/>
        </w:tblCellMar>
      </w:tblPr>
      <w:tblGrid>
        <w:gridCol w:w="949"/>
        <w:gridCol w:w="2108"/>
        <w:gridCol w:w="6183"/>
      </w:tblGrid>
      <w:tr w14:paraId="55239466">
        <w:tblPrEx>
          <w:tblCellMar>
            <w:top w:w="0" w:type="dxa"/>
            <w:left w:w="108" w:type="dxa"/>
            <w:bottom w:w="0" w:type="dxa"/>
            <w:right w:w="108" w:type="dxa"/>
          </w:tblCellMar>
        </w:tblPrEx>
        <w:trPr>
          <w:trHeight w:val="20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DCAB9D5">
            <w:pPr>
              <w:spacing w:line="500" w:lineRule="exact"/>
              <w:jc w:val="center"/>
              <w:rPr>
                <w:rFonts w:ascii="宋体" w:hAnsi="宋体" w:cs="宋体"/>
                <w:b/>
                <w:bCs/>
              </w:rPr>
            </w:pPr>
            <w:r>
              <w:rPr>
                <w:rFonts w:hint="eastAsia" w:ascii="宋体" w:hAnsi="宋体" w:cs="宋体"/>
                <w:b/>
                <w:bCs/>
              </w:rPr>
              <w:t>条款号</w:t>
            </w:r>
          </w:p>
        </w:tc>
        <w:tc>
          <w:tcPr>
            <w:tcW w:w="2108" w:type="dxa"/>
            <w:tcBorders>
              <w:top w:val="single" w:color="auto" w:sz="4" w:space="0"/>
              <w:left w:val="single" w:color="auto" w:sz="4" w:space="0"/>
              <w:bottom w:val="single" w:color="auto" w:sz="4" w:space="0"/>
              <w:right w:val="single" w:color="auto" w:sz="4" w:space="0"/>
            </w:tcBorders>
            <w:vAlign w:val="center"/>
          </w:tcPr>
          <w:p w14:paraId="03DBE6AA">
            <w:pPr>
              <w:spacing w:line="500" w:lineRule="exact"/>
              <w:jc w:val="center"/>
              <w:rPr>
                <w:rFonts w:ascii="宋体" w:hAnsi="宋体" w:cs="宋体"/>
                <w:b/>
                <w:bCs/>
              </w:rPr>
            </w:pPr>
            <w:r>
              <w:rPr>
                <w:rFonts w:hint="eastAsia" w:ascii="宋体" w:hAnsi="宋体" w:cs="宋体"/>
                <w:b/>
                <w:bCs/>
              </w:rPr>
              <w:t>条款名称</w:t>
            </w:r>
          </w:p>
        </w:tc>
        <w:tc>
          <w:tcPr>
            <w:tcW w:w="6183" w:type="dxa"/>
            <w:tcBorders>
              <w:top w:val="single" w:color="auto" w:sz="4" w:space="0"/>
              <w:left w:val="single" w:color="auto" w:sz="4" w:space="0"/>
              <w:bottom w:val="single" w:color="auto" w:sz="4" w:space="0"/>
              <w:right w:val="single" w:color="auto" w:sz="4" w:space="0"/>
            </w:tcBorders>
            <w:vAlign w:val="center"/>
          </w:tcPr>
          <w:p w14:paraId="75611BAB">
            <w:pPr>
              <w:spacing w:line="500" w:lineRule="exact"/>
              <w:jc w:val="center"/>
              <w:rPr>
                <w:rFonts w:ascii="宋体" w:hAnsi="宋体" w:cs="宋体"/>
                <w:b/>
                <w:bCs/>
              </w:rPr>
            </w:pPr>
            <w:r>
              <w:rPr>
                <w:rFonts w:hint="eastAsia" w:ascii="宋体" w:hAnsi="宋体" w:cs="宋体"/>
                <w:b/>
                <w:bCs/>
              </w:rPr>
              <w:t>编列内容</w:t>
            </w:r>
          </w:p>
        </w:tc>
      </w:tr>
      <w:tr w14:paraId="7B6DE2BB">
        <w:tblPrEx>
          <w:tblCellMar>
            <w:top w:w="0" w:type="dxa"/>
            <w:left w:w="108" w:type="dxa"/>
            <w:bottom w:w="0" w:type="dxa"/>
            <w:right w:w="108" w:type="dxa"/>
          </w:tblCellMar>
        </w:tblPrEx>
        <w:trPr>
          <w:trHeight w:val="25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E493689">
            <w:pPr>
              <w:spacing w:line="500" w:lineRule="exact"/>
              <w:jc w:val="center"/>
              <w:rPr>
                <w:rFonts w:ascii="宋体" w:hAnsi="宋体" w:cs="宋体"/>
              </w:rPr>
            </w:pPr>
            <w:r>
              <w:rPr>
                <w:rFonts w:hint="eastAsia" w:ascii="宋体" w:hAnsi="宋体" w:cs="宋体"/>
              </w:rPr>
              <w:t>1.2</w:t>
            </w:r>
          </w:p>
        </w:tc>
        <w:tc>
          <w:tcPr>
            <w:tcW w:w="2108" w:type="dxa"/>
            <w:tcBorders>
              <w:top w:val="single" w:color="auto" w:sz="4" w:space="0"/>
              <w:left w:val="single" w:color="auto" w:sz="4" w:space="0"/>
              <w:bottom w:val="single" w:color="auto" w:sz="4" w:space="0"/>
              <w:right w:val="single" w:color="auto" w:sz="4" w:space="0"/>
            </w:tcBorders>
            <w:vAlign w:val="center"/>
          </w:tcPr>
          <w:p w14:paraId="6917318D">
            <w:pPr>
              <w:spacing w:line="500" w:lineRule="exact"/>
              <w:jc w:val="center"/>
              <w:rPr>
                <w:rFonts w:ascii="宋体" w:hAnsi="宋体" w:cs="宋体"/>
                <w:szCs w:val="21"/>
              </w:rPr>
            </w:pPr>
            <w:r>
              <w:rPr>
                <w:rFonts w:hint="eastAsia" w:ascii="宋体" w:hAnsi="宋体" w:cs="宋体"/>
                <w:szCs w:val="21"/>
              </w:rPr>
              <w:t>采购人</w:t>
            </w:r>
          </w:p>
        </w:tc>
        <w:tc>
          <w:tcPr>
            <w:tcW w:w="6183" w:type="dxa"/>
            <w:tcBorders>
              <w:top w:val="single" w:color="auto" w:sz="4" w:space="0"/>
              <w:left w:val="single" w:color="auto" w:sz="4" w:space="0"/>
              <w:bottom w:val="single" w:color="auto" w:sz="4" w:space="0"/>
              <w:right w:val="single" w:color="auto" w:sz="4" w:space="0"/>
            </w:tcBorders>
            <w:vAlign w:val="center"/>
          </w:tcPr>
          <w:p w14:paraId="49272D37">
            <w:pPr>
              <w:spacing w:line="500" w:lineRule="exact"/>
              <w:rPr>
                <w:rFonts w:hint="eastAsia" w:ascii="宋体" w:hAnsi="宋体" w:eastAsia="宋体" w:cs="宋体"/>
                <w:szCs w:val="21"/>
                <w:lang w:eastAsia="zh-CN"/>
              </w:rPr>
            </w:pPr>
            <w:r>
              <w:rPr>
                <w:rFonts w:hint="eastAsia" w:ascii="宋体" w:hAnsi="宋体" w:cs="宋体"/>
                <w:szCs w:val="21"/>
                <w:lang w:eastAsia="zh-CN"/>
              </w:rPr>
              <w:t>昆明市官渡区人民医院</w:t>
            </w:r>
          </w:p>
        </w:tc>
      </w:tr>
      <w:tr w14:paraId="6FBEABFC">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A0EFF7A">
            <w:pPr>
              <w:spacing w:line="500" w:lineRule="exact"/>
              <w:jc w:val="center"/>
              <w:rPr>
                <w:rFonts w:ascii="宋体" w:hAnsi="宋体" w:cs="宋体"/>
              </w:rPr>
            </w:pPr>
            <w:r>
              <w:rPr>
                <w:rFonts w:hint="eastAsia" w:ascii="宋体" w:hAnsi="宋体" w:cs="宋体"/>
              </w:rPr>
              <w:t>1.3</w:t>
            </w:r>
          </w:p>
        </w:tc>
        <w:tc>
          <w:tcPr>
            <w:tcW w:w="2108" w:type="dxa"/>
            <w:tcBorders>
              <w:top w:val="single" w:color="auto" w:sz="4" w:space="0"/>
              <w:left w:val="single" w:color="auto" w:sz="4" w:space="0"/>
              <w:bottom w:val="single" w:color="auto" w:sz="4" w:space="0"/>
              <w:right w:val="single" w:color="auto" w:sz="4" w:space="0"/>
            </w:tcBorders>
            <w:vAlign w:val="center"/>
          </w:tcPr>
          <w:p w14:paraId="739534CD">
            <w:pPr>
              <w:spacing w:line="500" w:lineRule="exact"/>
              <w:jc w:val="center"/>
              <w:rPr>
                <w:rFonts w:ascii="宋体" w:hAnsi="宋体" w:cs="宋体"/>
                <w:szCs w:val="21"/>
              </w:rPr>
            </w:pPr>
            <w:r>
              <w:rPr>
                <w:rFonts w:hint="eastAsia" w:ascii="宋体" w:hAnsi="宋体" w:cs="宋体"/>
                <w:szCs w:val="21"/>
              </w:rPr>
              <w:t>采购代理机构</w:t>
            </w:r>
          </w:p>
        </w:tc>
        <w:tc>
          <w:tcPr>
            <w:tcW w:w="6183" w:type="dxa"/>
            <w:tcBorders>
              <w:top w:val="single" w:color="auto" w:sz="4" w:space="0"/>
              <w:left w:val="single" w:color="auto" w:sz="4" w:space="0"/>
              <w:bottom w:val="single" w:color="auto" w:sz="4" w:space="0"/>
              <w:right w:val="single" w:color="auto" w:sz="4" w:space="0"/>
            </w:tcBorders>
            <w:vAlign w:val="center"/>
          </w:tcPr>
          <w:p w14:paraId="1857D24F">
            <w:pPr>
              <w:spacing w:line="500" w:lineRule="exact"/>
              <w:rPr>
                <w:rFonts w:ascii="宋体" w:hAnsi="宋体" w:cs="宋体"/>
                <w:szCs w:val="21"/>
              </w:rPr>
            </w:pPr>
            <w:r>
              <w:rPr>
                <w:rFonts w:hint="eastAsia" w:ascii="宋体" w:hAnsi="宋体" w:cs="宋体"/>
                <w:szCs w:val="21"/>
              </w:rPr>
              <w:t>云南冠睿咨询有限公司</w:t>
            </w:r>
          </w:p>
        </w:tc>
      </w:tr>
      <w:tr w14:paraId="2D6F9F30">
        <w:tblPrEx>
          <w:tblCellMar>
            <w:top w:w="0" w:type="dxa"/>
            <w:left w:w="108" w:type="dxa"/>
            <w:bottom w:w="0" w:type="dxa"/>
            <w:right w:w="108" w:type="dxa"/>
          </w:tblCellMar>
        </w:tblPrEx>
        <w:trPr>
          <w:trHeight w:val="2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7643CC">
            <w:pPr>
              <w:spacing w:line="500" w:lineRule="exact"/>
              <w:jc w:val="center"/>
              <w:rPr>
                <w:rFonts w:ascii="宋体" w:hAnsi="宋体" w:cs="宋体"/>
              </w:rPr>
            </w:pPr>
            <w:r>
              <w:rPr>
                <w:rFonts w:hint="eastAsia" w:ascii="宋体" w:hAnsi="宋体" w:cs="宋体"/>
              </w:rPr>
              <w:t>1.4</w:t>
            </w:r>
          </w:p>
        </w:tc>
        <w:tc>
          <w:tcPr>
            <w:tcW w:w="2108" w:type="dxa"/>
            <w:tcBorders>
              <w:top w:val="single" w:color="auto" w:sz="4" w:space="0"/>
              <w:left w:val="single" w:color="auto" w:sz="4" w:space="0"/>
              <w:bottom w:val="single" w:color="auto" w:sz="4" w:space="0"/>
              <w:right w:val="single" w:color="auto" w:sz="4" w:space="0"/>
            </w:tcBorders>
            <w:vAlign w:val="center"/>
          </w:tcPr>
          <w:p w14:paraId="253B868E">
            <w:pPr>
              <w:spacing w:line="500" w:lineRule="exact"/>
              <w:jc w:val="center"/>
              <w:rPr>
                <w:rFonts w:ascii="宋体" w:hAnsi="宋体" w:cs="宋体"/>
                <w:szCs w:val="21"/>
              </w:rPr>
            </w:pPr>
            <w:r>
              <w:rPr>
                <w:rFonts w:hint="eastAsia" w:ascii="宋体" w:hAnsi="宋体" w:cs="宋体"/>
                <w:szCs w:val="21"/>
              </w:rPr>
              <w:t>项目名称及项目编号</w:t>
            </w:r>
          </w:p>
        </w:tc>
        <w:tc>
          <w:tcPr>
            <w:tcW w:w="6183" w:type="dxa"/>
            <w:tcBorders>
              <w:top w:val="single" w:color="auto" w:sz="4" w:space="0"/>
              <w:left w:val="single" w:color="auto" w:sz="4" w:space="0"/>
              <w:bottom w:val="single" w:color="auto" w:sz="4" w:space="0"/>
              <w:right w:val="single" w:color="auto" w:sz="4" w:space="0"/>
            </w:tcBorders>
            <w:vAlign w:val="center"/>
          </w:tcPr>
          <w:p w14:paraId="60067BD7">
            <w:pPr>
              <w:spacing w:line="500" w:lineRule="exact"/>
              <w:rPr>
                <w:rFonts w:hint="eastAsia" w:ascii="宋体" w:hAnsi="宋体" w:eastAsia="宋体" w:cs="宋体"/>
                <w:szCs w:val="21"/>
                <w:lang w:eastAsia="zh-CN"/>
              </w:rPr>
            </w:pPr>
            <w:r>
              <w:rPr>
                <w:rFonts w:hint="eastAsia" w:ascii="宋体" w:hAnsi="宋体" w:cs="宋体"/>
                <w:szCs w:val="21"/>
              </w:rPr>
              <w:t>项目名称：</w:t>
            </w:r>
            <w:r>
              <w:rPr>
                <w:rFonts w:hint="eastAsia" w:ascii="宋体" w:hAnsi="宋体" w:cs="宋体"/>
                <w:szCs w:val="21"/>
                <w:lang w:eastAsia="zh-CN"/>
              </w:rPr>
              <w:t>昆明市官渡区人民医院医疗责任保险服务项目（四次）</w:t>
            </w:r>
          </w:p>
          <w:p w14:paraId="2165A24A">
            <w:pPr>
              <w:spacing w:line="500" w:lineRule="exact"/>
              <w:rPr>
                <w:rFonts w:hint="eastAsia" w:ascii="宋体" w:hAnsi="宋体" w:eastAsia="宋体" w:cs="宋体"/>
                <w:szCs w:val="21"/>
                <w:lang w:eastAsia="zh-CN"/>
              </w:rPr>
            </w:pPr>
            <w:r>
              <w:rPr>
                <w:rFonts w:hint="eastAsia" w:ascii="宋体" w:hAnsi="宋体" w:cs="宋体"/>
                <w:szCs w:val="21"/>
              </w:rPr>
              <w:t>项目编号：</w:t>
            </w:r>
            <w:r>
              <w:rPr>
                <w:rFonts w:hint="eastAsia" w:ascii="宋体" w:hAnsi="宋体" w:cs="宋体"/>
                <w:szCs w:val="21"/>
                <w:lang w:eastAsia="zh-CN"/>
              </w:rPr>
              <w:t>KMZC2025-G3-02686-YNGR-0317</w:t>
            </w:r>
          </w:p>
        </w:tc>
      </w:tr>
      <w:tr w14:paraId="5ECE07FE">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F50D359">
            <w:pPr>
              <w:spacing w:line="500" w:lineRule="exact"/>
              <w:jc w:val="center"/>
              <w:rPr>
                <w:rFonts w:ascii="宋体" w:hAnsi="宋体" w:cs="宋体"/>
              </w:rPr>
            </w:pPr>
            <w:r>
              <w:rPr>
                <w:rFonts w:hint="eastAsia" w:ascii="宋体" w:hAnsi="宋体" w:cs="宋体"/>
              </w:rPr>
              <w:t>2.1</w:t>
            </w:r>
          </w:p>
        </w:tc>
        <w:tc>
          <w:tcPr>
            <w:tcW w:w="2108" w:type="dxa"/>
            <w:tcBorders>
              <w:top w:val="single" w:color="auto" w:sz="4" w:space="0"/>
              <w:left w:val="single" w:color="auto" w:sz="4" w:space="0"/>
              <w:bottom w:val="single" w:color="auto" w:sz="4" w:space="0"/>
              <w:right w:val="single" w:color="auto" w:sz="4" w:space="0"/>
            </w:tcBorders>
            <w:vAlign w:val="center"/>
          </w:tcPr>
          <w:p w14:paraId="6B16B068">
            <w:pPr>
              <w:spacing w:line="500" w:lineRule="exact"/>
              <w:jc w:val="center"/>
              <w:rPr>
                <w:rFonts w:ascii="宋体" w:hAnsi="宋体" w:cs="宋体"/>
                <w:szCs w:val="21"/>
              </w:rPr>
            </w:pPr>
            <w:r>
              <w:rPr>
                <w:rFonts w:hint="eastAsia" w:ascii="宋体" w:hAnsi="宋体" w:cs="宋体"/>
                <w:szCs w:val="21"/>
              </w:rPr>
              <w:t>预算金额及最高限价</w:t>
            </w:r>
          </w:p>
        </w:tc>
        <w:tc>
          <w:tcPr>
            <w:tcW w:w="6183" w:type="dxa"/>
            <w:tcBorders>
              <w:top w:val="single" w:color="auto" w:sz="4" w:space="0"/>
              <w:left w:val="single" w:color="auto" w:sz="4" w:space="0"/>
              <w:bottom w:val="single" w:color="auto" w:sz="4" w:space="0"/>
              <w:right w:val="single" w:color="auto" w:sz="4" w:space="0"/>
            </w:tcBorders>
            <w:vAlign w:val="center"/>
          </w:tcPr>
          <w:p w14:paraId="7B502100">
            <w:pPr>
              <w:spacing w:line="500" w:lineRule="exact"/>
              <w:rPr>
                <w:rFonts w:ascii="宋体" w:hAnsi="宋体" w:cs="宋体"/>
                <w:szCs w:val="21"/>
              </w:rPr>
            </w:pPr>
            <w:r>
              <w:rPr>
                <w:rFonts w:hint="eastAsia" w:ascii="宋体" w:hAnsi="宋体" w:cs="宋体"/>
                <w:szCs w:val="21"/>
              </w:rPr>
              <w:t>详见招标文件第一章《公开招标公告》“一、项目基本情况”</w:t>
            </w:r>
          </w:p>
        </w:tc>
      </w:tr>
      <w:tr w14:paraId="39CE60C4">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77B7BFD">
            <w:pPr>
              <w:spacing w:line="500" w:lineRule="exact"/>
              <w:jc w:val="center"/>
              <w:rPr>
                <w:rFonts w:ascii="宋体" w:hAnsi="宋体" w:cs="宋体"/>
              </w:rPr>
            </w:pPr>
            <w:r>
              <w:rPr>
                <w:rFonts w:hint="eastAsia" w:ascii="宋体" w:hAnsi="宋体" w:cs="宋体"/>
              </w:rPr>
              <w:t>3.1</w:t>
            </w:r>
          </w:p>
        </w:tc>
        <w:tc>
          <w:tcPr>
            <w:tcW w:w="2108" w:type="dxa"/>
            <w:tcBorders>
              <w:top w:val="single" w:color="auto" w:sz="4" w:space="0"/>
              <w:left w:val="single" w:color="auto" w:sz="4" w:space="0"/>
              <w:bottom w:val="single" w:color="auto" w:sz="4" w:space="0"/>
              <w:right w:val="single" w:color="auto" w:sz="4" w:space="0"/>
            </w:tcBorders>
            <w:vAlign w:val="center"/>
          </w:tcPr>
          <w:p w14:paraId="0F8DE18F">
            <w:pPr>
              <w:spacing w:line="500" w:lineRule="exact"/>
              <w:jc w:val="center"/>
              <w:rPr>
                <w:rFonts w:ascii="宋体" w:hAnsi="宋体" w:cs="宋体"/>
                <w:szCs w:val="21"/>
              </w:rPr>
            </w:pPr>
            <w:r>
              <w:rPr>
                <w:rFonts w:hint="eastAsia" w:ascii="宋体" w:hAnsi="宋体" w:cs="宋体"/>
                <w:szCs w:val="21"/>
              </w:rPr>
              <w:t>采购需求</w:t>
            </w:r>
          </w:p>
        </w:tc>
        <w:tc>
          <w:tcPr>
            <w:tcW w:w="6183" w:type="dxa"/>
            <w:tcBorders>
              <w:top w:val="single" w:color="auto" w:sz="4" w:space="0"/>
              <w:left w:val="single" w:color="auto" w:sz="4" w:space="0"/>
              <w:bottom w:val="single" w:color="auto" w:sz="4" w:space="0"/>
              <w:right w:val="single" w:color="auto" w:sz="4" w:space="0"/>
            </w:tcBorders>
            <w:vAlign w:val="center"/>
          </w:tcPr>
          <w:p w14:paraId="44A75CD1">
            <w:pPr>
              <w:spacing w:line="500" w:lineRule="exact"/>
              <w:rPr>
                <w:rFonts w:ascii="宋体" w:hAnsi="宋体" w:cs="宋体"/>
                <w:szCs w:val="21"/>
              </w:rPr>
            </w:pPr>
            <w:r>
              <w:rPr>
                <w:rFonts w:hint="eastAsia" w:ascii="宋体" w:hAnsi="宋体" w:cs="宋体"/>
                <w:szCs w:val="21"/>
              </w:rPr>
              <w:t>详见招标文件第一章《公开招标公告》“一、项目基本情况”，具体要求等详见本招标文件第五章《采购需求》。</w:t>
            </w:r>
          </w:p>
        </w:tc>
      </w:tr>
      <w:tr w14:paraId="2498A85F">
        <w:tblPrEx>
          <w:tblCellMar>
            <w:top w:w="0" w:type="dxa"/>
            <w:left w:w="108" w:type="dxa"/>
            <w:bottom w:w="0" w:type="dxa"/>
            <w:right w:w="108" w:type="dxa"/>
          </w:tblCellMar>
        </w:tblPrEx>
        <w:trPr>
          <w:trHeight w:val="35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187D496">
            <w:pPr>
              <w:spacing w:line="500" w:lineRule="exact"/>
              <w:jc w:val="center"/>
              <w:rPr>
                <w:rFonts w:ascii="宋体" w:hAnsi="宋体" w:cs="宋体"/>
              </w:rPr>
            </w:pPr>
            <w:r>
              <w:rPr>
                <w:rFonts w:hint="eastAsia" w:ascii="宋体" w:hAnsi="宋体" w:cs="宋体"/>
              </w:rPr>
              <w:t>3.2</w:t>
            </w:r>
          </w:p>
        </w:tc>
        <w:tc>
          <w:tcPr>
            <w:tcW w:w="2108" w:type="dxa"/>
            <w:tcBorders>
              <w:top w:val="single" w:color="auto" w:sz="4" w:space="0"/>
              <w:left w:val="single" w:color="auto" w:sz="4" w:space="0"/>
              <w:bottom w:val="single" w:color="auto" w:sz="4" w:space="0"/>
              <w:right w:val="single" w:color="auto" w:sz="4" w:space="0"/>
            </w:tcBorders>
            <w:vAlign w:val="center"/>
          </w:tcPr>
          <w:p w14:paraId="7D7CB107">
            <w:pPr>
              <w:spacing w:line="500" w:lineRule="exact"/>
              <w:jc w:val="center"/>
              <w:rPr>
                <w:rFonts w:ascii="宋体" w:hAnsi="宋体" w:cs="宋体"/>
                <w:szCs w:val="21"/>
              </w:rPr>
            </w:pPr>
            <w:r>
              <w:rPr>
                <w:rFonts w:hint="eastAsia" w:ascii="宋体" w:hAnsi="宋体" w:cs="宋体"/>
                <w:szCs w:val="21"/>
                <w:lang w:eastAsia="zh-CN"/>
              </w:rPr>
              <w:t>服务期限</w:t>
            </w:r>
            <w:r>
              <w:rPr>
                <w:rFonts w:hint="eastAsia" w:ascii="宋体" w:hAnsi="宋体" w:cs="宋体"/>
                <w:szCs w:val="21"/>
              </w:rPr>
              <w:t>、服务地点</w:t>
            </w:r>
          </w:p>
        </w:tc>
        <w:tc>
          <w:tcPr>
            <w:tcW w:w="6183" w:type="dxa"/>
            <w:tcBorders>
              <w:top w:val="single" w:color="auto" w:sz="4" w:space="0"/>
              <w:left w:val="single" w:color="auto" w:sz="4" w:space="0"/>
              <w:bottom w:val="single" w:color="auto" w:sz="4" w:space="0"/>
              <w:right w:val="single" w:color="auto" w:sz="4" w:space="0"/>
            </w:tcBorders>
            <w:vAlign w:val="center"/>
          </w:tcPr>
          <w:p w14:paraId="5DD592F5">
            <w:pPr>
              <w:spacing w:line="500" w:lineRule="exact"/>
              <w:rPr>
                <w:rFonts w:ascii="宋体" w:hAnsi="宋体" w:cs="宋体"/>
                <w:szCs w:val="21"/>
              </w:rPr>
            </w:pPr>
            <w:r>
              <w:rPr>
                <w:rFonts w:hint="eastAsia" w:ascii="宋体" w:hAnsi="宋体" w:cs="宋体"/>
                <w:szCs w:val="21"/>
              </w:rPr>
              <w:t>详见招标文件第一章《公开招标公告》“一、项目基本情况”</w:t>
            </w:r>
          </w:p>
        </w:tc>
      </w:tr>
      <w:tr w14:paraId="2F0633AB">
        <w:tblPrEx>
          <w:tblCellMar>
            <w:top w:w="0" w:type="dxa"/>
            <w:left w:w="108" w:type="dxa"/>
            <w:bottom w:w="0" w:type="dxa"/>
            <w:right w:w="108" w:type="dxa"/>
          </w:tblCellMar>
        </w:tblPrEx>
        <w:trPr>
          <w:trHeight w:val="35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65178CF">
            <w:pPr>
              <w:spacing w:line="500" w:lineRule="exact"/>
              <w:jc w:val="center"/>
              <w:rPr>
                <w:rFonts w:ascii="宋体" w:hAnsi="宋体" w:cs="宋体"/>
              </w:rPr>
            </w:pPr>
            <w:r>
              <w:rPr>
                <w:rFonts w:hint="eastAsia" w:ascii="宋体" w:hAnsi="宋体" w:cs="宋体"/>
              </w:rPr>
              <w:t>3.3</w:t>
            </w:r>
          </w:p>
        </w:tc>
        <w:tc>
          <w:tcPr>
            <w:tcW w:w="2108" w:type="dxa"/>
            <w:tcBorders>
              <w:top w:val="single" w:color="auto" w:sz="4" w:space="0"/>
              <w:left w:val="single" w:color="auto" w:sz="4" w:space="0"/>
              <w:bottom w:val="single" w:color="auto" w:sz="4" w:space="0"/>
              <w:right w:val="single" w:color="auto" w:sz="4" w:space="0"/>
            </w:tcBorders>
            <w:vAlign w:val="center"/>
          </w:tcPr>
          <w:p w14:paraId="6F176C4D">
            <w:pPr>
              <w:spacing w:line="500" w:lineRule="exact"/>
              <w:jc w:val="center"/>
              <w:rPr>
                <w:rFonts w:ascii="宋体" w:hAnsi="宋体" w:cs="宋体"/>
                <w:szCs w:val="21"/>
              </w:rPr>
            </w:pPr>
            <w:r>
              <w:rPr>
                <w:rFonts w:hint="eastAsia" w:ascii="宋体" w:hAnsi="宋体" w:cs="宋体"/>
                <w:szCs w:val="21"/>
              </w:rPr>
              <w:t>是否接受联合体参加</w:t>
            </w:r>
          </w:p>
        </w:tc>
        <w:tc>
          <w:tcPr>
            <w:tcW w:w="6183" w:type="dxa"/>
            <w:tcBorders>
              <w:top w:val="single" w:color="auto" w:sz="4" w:space="0"/>
              <w:left w:val="single" w:color="auto" w:sz="4" w:space="0"/>
              <w:bottom w:val="single" w:color="auto" w:sz="4" w:space="0"/>
              <w:right w:val="single" w:color="auto" w:sz="4" w:space="0"/>
            </w:tcBorders>
            <w:vAlign w:val="center"/>
          </w:tcPr>
          <w:p w14:paraId="1787B11C">
            <w:pPr>
              <w:spacing w:line="500" w:lineRule="exact"/>
              <w:rPr>
                <w:rFonts w:ascii="宋体" w:hAnsi="宋体" w:cs="宋体"/>
                <w:szCs w:val="21"/>
              </w:rPr>
            </w:pPr>
            <w:r>
              <w:rPr>
                <w:rFonts w:hint="eastAsia" w:ascii="宋体" w:hAnsi="宋体" w:cs="宋体"/>
                <w:szCs w:val="21"/>
                <w:lang w:val="en-US" w:eastAsia="zh-CN"/>
              </w:rPr>
              <w:t>不</w:t>
            </w:r>
            <w:r>
              <w:rPr>
                <w:rFonts w:hint="eastAsia" w:ascii="宋体" w:hAnsi="宋体" w:cs="宋体"/>
                <w:szCs w:val="21"/>
              </w:rPr>
              <w:t>接受</w:t>
            </w:r>
          </w:p>
        </w:tc>
      </w:tr>
      <w:tr w14:paraId="6EA10BCB">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005F921">
            <w:pPr>
              <w:spacing w:line="500" w:lineRule="exact"/>
              <w:jc w:val="center"/>
              <w:rPr>
                <w:rFonts w:ascii="宋体" w:hAnsi="宋体" w:cs="宋体"/>
              </w:rPr>
            </w:pPr>
            <w:r>
              <w:rPr>
                <w:rFonts w:hint="eastAsia" w:ascii="宋体" w:hAnsi="宋体" w:cs="宋体"/>
                <w:szCs w:val="21"/>
              </w:rPr>
              <w:t>4.1</w:t>
            </w:r>
          </w:p>
        </w:tc>
        <w:tc>
          <w:tcPr>
            <w:tcW w:w="2108" w:type="dxa"/>
            <w:tcBorders>
              <w:top w:val="single" w:color="auto" w:sz="4" w:space="0"/>
              <w:left w:val="single" w:color="auto" w:sz="4" w:space="0"/>
              <w:bottom w:val="single" w:color="auto" w:sz="4" w:space="0"/>
              <w:right w:val="single" w:color="auto" w:sz="4" w:space="0"/>
            </w:tcBorders>
            <w:vAlign w:val="center"/>
          </w:tcPr>
          <w:p w14:paraId="228D8F7D">
            <w:pPr>
              <w:spacing w:line="500" w:lineRule="exact"/>
              <w:jc w:val="center"/>
              <w:rPr>
                <w:rFonts w:ascii="宋体" w:hAnsi="宋体" w:cs="宋体"/>
              </w:rPr>
            </w:pPr>
            <w:r>
              <w:rPr>
                <w:rFonts w:hint="eastAsia" w:ascii="宋体" w:hAnsi="宋体" w:cs="宋体"/>
                <w:bCs/>
                <w:szCs w:val="21"/>
              </w:rPr>
              <w:t>投标人资格要求</w:t>
            </w:r>
          </w:p>
        </w:tc>
        <w:tc>
          <w:tcPr>
            <w:tcW w:w="6183" w:type="dxa"/>
            <w:tcBorders>
              <w:top w:val="single" w:color="auto" w:sz="4" w:space="0"/>
              <w:left w:val="single" w:color="auto" w:sz="4" w:space="0"/>
              <w:bottom w:val="single" w:color="auto" w:sz="4" w:space="0"/>
              <w:right w:val="single" w:color="auto" w:sz="4" w:space="0"/>
            </w:tcBorders>
            <w:vAlign w:val="center"/>
          </w:tcPr>
          <w:p w14:paraId="1337BD93">
            <w:pPr>
              <w:spacing w:line="500" w:lineRule="exact"/>
              <w:rPr>
                <w:rFonts w:ascii="宋体" w:hAnsi="宋体" w:cs="宋体"/>
                <w:szCs w:val="21"/>
              </w:rPr>
            </w:pPr>
            <w:r>
              <w:rPr>
                <w:rFonts w:hint="eastAsia" w:ascii="宋体" w:hAnsi="宋体" w:cs="宋体"/>
                <w:szCs w:val="21"/>
              </w:rPr>
              <w:t>详见招标文件第一章《公开招标公告》“二、投标人资格要求”</w:t>
            </w:r>
          </w:p>
        </w:tc>
      </w:tr>
      <w:tr w14:paraId="01EEC73B">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2995D8F">
            <w:pPr>
              <w:spacing w:line="500" w:lineRule="exact"/>
              <w:jc w:val="center"/>
              <w:rPr>
                <w:rFonts w:ascii="宋体" w:hAnsi="宋体" w:cs="宋体"/>
              </w:rPr>
            </w:pPr>
            <w:r>
              <w:rPr>
                <w:rFonts w:hint="eastAsia" w:ascii="宋体" w:hAnsi="宋体" w:cs="宋体"/>
                <w:szCs w:val="21"/>
              </w:rPr>
              <w:t>4.2</w:t>
            </w:r>
          </w:p>
        </w:tc>
        <w:tc>
          <w:tcPr>
            <w:tcW w:w="2108" w:type="dxa"/>
            <w:tcBorders>
              <w:top w:val="single" w:color="auto" w:sz="4" w:space="0"/>
              <w:left w:val="single" w:color="auto" w:sz="4" w:space="0"/>
              <w:bottom w:val="single" w:color="auto" w:sz="4" w:space="0"/>
              <w:right w:val="single" w:color="auto" w:sz="4" w:space="0"/>
            </w:tcBorders>
            <w:vAlign w:val="center"/>
          </w:tcPr>
          <w:p w14:paraId="294B3280">
            <w:pPr>
              <w:spacing w:line="500" w:lineRule="exact"/>
              <w:jc w:val="center"/>
              <w:rPr>
                <w:rFonts w:ascii="宋体" w:hAnsi="宋体" w:cs="宋体"/>
              </w:rPr>
            </w:pPr>
            <w:r>
              <w:rPr>
                <w:rFonts w:hint="eastAsia" w:ascii="宋体" w:hAnsi="宋体" w:cs="宋体"/>
                <w:szCs w:val="21"/>
              </w:rPr>
              <w:t>采购人根据采购项目的特殊要求规定的特定条件</w:t>
            </w:r>
          </w:p>
        </w:tc>
        <w:tc>
          <w:tcPr>
            <w:tcW w:w="6183" w:type="dxa"/>
            <w:tcBorders>
              <w:top w:val="single" w:color="auto" w:sz="4" w:space="0"/>
              <w:left w:val="single" w:color="auto" w:sz="4" w:space="0"/>
              <w:bottom w:val="single" w:color="auto" w:sz="4" w:space="0"/>
              <w:right w:val="single" w:color="auto" w:sz="4" w:space="0"/>
            </w:tcBorders>
            <w:vAlign w:val="center"/>
          </w:tcPr>
          <w:p w14:paraId="396ADE9A">
            <w:pPr>
              <w:widowControl/>
              <w:spacing w:line="500" w:lineRule="exact"/>
              <w:jc w:val="left"/>
              <w:rPr>
                <w:rFonts w:ascii="宋体" w:hAnsi="宋体" w:cs="宋体"/>
              </w:rPr>
            </w:pPr>
            <w:r>
              <w:rPr>
                <w:rFonts w:hint="eastAsia" w:ascii="宋体" w:hAnsi="宋体" w:cs="宋体"/>
                <w:bCs/>
                <w:szCs w:val="21"/>
              </w:rPr>
              <w:t>详见招标文件第一章《公开招标公告》“二、投标人资格要求”</w:t>
            </w:r>
          </w:p>
        </w:tc>
      </w:tr>
      <w:tr w14:paraId="557783D4">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570A2F1">
            <w:pPr>
              <w:spacing w:line="500" w:lineRule="exact"/>
              <w:jc w:val="center"/>
              <w:rPr>
                <w:rFonts w:ascii="宋体" w:hAnsi="宋体" w:cs="宋体"/>
              </w:rPr>
            </w:pPr>
            <w:r>
              <w:rPr>
                <w:rFonts w:hint="eastAsia" w:ascii="宋体" w:hAnsi="宋体" w:cs="宋体"/>
              </w:rPr>
              <w:t>6.1</w:t>
            </w:r>
          </w:p>
        </w:tc>
        <w:tc>
          <w:tcPr>
            <w:tcW w:w="2108" w:type="dxa"/>
            <w:tcBorders>
              <w:top w:val="single" w:color="auto" w:sz="4" w:space="0"/>
              <w:left w:val="single" w:color="auto" w:sz="4" w:space="0"/>
              <w:bottom w:val="single" w:color="auto" w:sz="4" w:space="0"/>
              <w:right w:val="single" w:color="auto" w:sz="4" w:space="0"/>
            </w:tcBorders>
            <w:vAlign w:val="center"/>
          </w:tcPr>
          <w:p w14:paraId="69334E7C">
            <w:pPr>
              <w:spacing w:line="500" w:lineRule="exact"/>
              <w:jc w:val="center"/>
              <w:rPr>
                <w:rFonts w:ascii="宋体" w:hAnsi="宋体" w:cs="宋体"/>
              </w:rPr>
            </w:pPr>
            <w:r>
              <w:rPr>
                <w:rFonts w:hint="eastAsia" w:ascii="宋体" w:hAnsi="宋体" w:cs="宋体"/>
              </w:rPr>
              <w:t>现场考察</w:t>
            </w:r>
          </w:p>
        </w:tc>
        <w:tc>
          <w:tcPr>
            <w:tcW w:w="6183" w:type="dxa"/>
            <w:tcBorders>
              <w:top w:val="single" w:color="auto" w:sz="4" w:space="0"/>
              <w:left w:val="single" w:color="auto" w:sz="4" w:space="0"/>
              <w:bottom w:val="single" w:color="auto" w:sz="4" w:space="0"/>
              <w:right w:val="single" w:color="auto" w:sz="4" w:space="0"/>
            </w:tcBorders>
            <w:vAlign w:val="center"/>
          </w:tcPr>
          <w:p w14:paraId="3C63EE4B">
            <w:pPr>
              <w:spacing w:line="500" w:lineRule="exact"/>
              <w:rPr>
                <w:rFonts w:ascii="宋体" w:hAnsi="宋体" w:cs="宋体"/>
              </w:rPr>
            </w:pPr>
            <w:r>
              <w:rPr>
                <w:rFonts w:hint="eastAsia" w:ascii="宋体" w:hAnsi="宋体" w:cs="宋体"/>
                <w:szCs w:val="21"/>
              </w:rPr>
              <w:t>不组织</w:t>
            </w:r>
          </w:p>
        </w:tc>
      </w:tr>
      <w:tr w14:paraId="324E17AC">
        <w:tblPrEx>
          <w:tblCellMar>
            <w:top w:w="0" w:type="dxa"/>
            <w:left w:w="108" w:type="dxa"/>
            <w:bottom w:w="0" w:type="dxa"/>
            <w:right w:w="108" w:type="dxa"/>
          </w:tblCellMar>
        </w:tblPrEx>
        <w:trPr>
          <w:trHeight w:val="24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82B994A">
            <w:pPr>
              <w:spacing w:line="500" w:lineRule="exact"/>
              <w:jc w:val="center"/>
              <w:rPr>
                <w:rFonts w:ascii="宋体" w:hAnsi="宋体" w:cs="宋体"/>
              </w:rPr>
            </w:pPr>
            <w:r>
              <w:rPr>
                <w:rFonts w:hint="eastAsia" w:ascii="宋体" w:hAnsi="宋体" w:cs="宋体"/>
              </w:rPr>
              <w:t>7.1</w:t>
            </w:r>
          </w:p>
        </w:tc>
        <w:tc>
          <w:tcPr>
            <w:tcW w:w="2108" w:type="dxa"/>
            <w:tcBorders>
              <w:top w:val="single" w:color="auto" w:sz="4" w:space="0"/>
              <w:left w:val="single" w:color="auto" w:sz="4" w:space="0"/>
              <w:bottom w:val="single" w:color="auto" w:sz="4" w:space="0"/>
              <w:right w:val="single" w:color="auto" w:sz="4" w:space="0"/>
            </w:tcBorders>
            <w:vAlign w:val="center"/>
          </w:tcPr>
          <w:p w14:paraId="4AB468CC">
            <w:pPr>
              <w:spacing w:line="500" w:lineRule="exact"/>
              <w:jc w:val="center"/>
              <w:rPr>
                <w:rFonts w:ascii="宋体" w:hAnsi="宋体" w:cs="宋体"/>
              </w:rPr>
            </w:pPr>
            <w:r>
              <w:rPr>
                <w:rFonts w:hint="eastAsia" w:ascii="宋体" w:hAnsi="宋体" w:cs="宋体"/>
              </w:rPr>
              <w:t>开标前答疑会</w:t>
            </w:r>
          </w:p>
        </w:tc>
        <w:tc>
          <w:tcPr>
            <w:tcW w:w="6183" w:type="dxa"/>
            <w:tcBorders>
              <w:top w:val="single" w:color="auto" w:sz="4" w:space="0"/>
              <w:left w:val="single" w:color="auto" w:sz="4" w:space="0"/>
              <w:bottom w:val="single" w:color="auto" w:sz="4" w:space="0"/>
              <w:right w:val="single" w:color="auto" w:sz="4" w:space="0"/>
            </w:tcBorders>
            <w:vAlign w:val="center"/>
          </w:tcPr>
          <w:p w14:paraId="13349F29">
            <w:pPr>
              <w:spacing w:line="500" w:lineRule="exact"/>
              <w:rPr>
                <w:rFonts w:ascii="宋体" w:hAnsi="宋体" w:cs="宋体"/>
              </w:rPr>
            </w:pPr>
            <w:r>
              <w:rPr>
                <w:rFonts w:hint="eastAsia" w:ascii="宋体" w:hAnsi="宋体" w:cs="宋体"/>
              </w:rPr>
              <w:t>不组织</w:t>
            </w:r>
          </w:p>
        </w:tc>
      </w:tr>
      <w:tr w14:paraId="58FA801E">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81A5C47">
            <w:pPr>
              <w:spacing w:line="500" w:lineRule="exact"/>
              <w:jc w:val="center"/>
              <w:rPr>
                <w:rFonts w:ascii="宋体" w:hAnsi="宋体" w:cs="宋体"/>
              </w:rPr>
            </w:pPr>
            <w:r>
              <w:rPr>
                <w:rFonts w:hint="eastAsia" w:ascii="宋体" w:hAnsi="宋体" w:cs="宋体"/>
                <w:szCs w:val="21"/>
              </w:rPr>
              <w:t>11.1</w:t>
            </w:r>
          </w:p>
        </w:tc>
        <w:tc>
          <w:tcPr>
            <w:tcW w:w="2108" w:type="dxa"/>
            <w:tcBorders>
              <w:top w:val="single" w:color="auto" w:sz="4" w:space="0"/>
              <w:left w:val="single" w:color="auto" w:sz="4" w:space="0"/>
              <w:bottom w:val="single" w:color="auto" w:sz="4" w:space="0"/>
              <w:right w:val="single" w:color="auto" w:sz="4" w:space="0"/>
            </w:tcBorders>
            <w:vAlign w:val="center"/>
          </w:tcPr>
          <w:p w14:paraId="54596CAF">
            <w:pPr>
              <w:spacing w:line="500" w:lineRule="exact"/>
              <w:jc w:val="center"/>
              <w:rPr>
                <w:rFonts w:ascii="宋体" w:hAnsi="宋体" w:cs="宋体"/>
                <w:szCs w:val="21"/>
              </w:rPr>
            </w:pPr>
            <w:r>
              <w:rPr>
                <w:rFonts w:hint="eastAsia" w:ascii="宋体" w:hAnsi="宋体" w:cs="宋体"/>
                <w:szCs w:val="21"/>
              </w:rPr>
              <w:t>招标文件的询问时间</w:t>
            </w:r>
          </w:p>
        </w:tc>
        <w:tc>
          <w:tcPr>
            <w:tcW w:w="6183" w:type="dxa"/>
            <w:tcBorders>
              <w:top w:val="single" w:color="auto" w:sz="4" w:space="0"/>
              <w:left w:val="single" w:color="auto" w:sz="4" w:space="0"/>
              <w:bottom w:val="single" w:color="auto" w:sz="4" w:space="0"/>
              <w:right w:val="single" w:color="auto" w:sz="4" w:space="0"/>
            </w:tcBorders>
            <w:vAlign w:val="center"/>
          </w:tcPr>
          <w:p w14:paraId="6AB656C0">
            <w:pPr>
              <w:wordWrap w:val="0"/>
              <w:autoSpaceDE w:val="0"/>
              <w:autoSpaceDN w:val="0"/>
              <w:adjustRightInd w:val="0"/>
              <w:spacing w:line="500" w:lineRule="exact"/>
              <w:jc w:val="left"/>
              <w:rPr>
                <w:rFonts w:ascii="宋体" w:hAnsi="宋体" w:cs="宋体"/>
              </w:rPr>
            </w:pPr>
            <w:r>
              <w:rPr>
                <w:rFonts w:hint="eastAsia" w:ascii="宋体" w:hAnsi="宋体" w:cs="宋体"/>
              </w:rPr>
              <w:t>投标人应认真阅读招标文件，如有疑问的，投标人可以向采购人或采购代理机构提出询问，采购人或者采购代理机构在接到询问后的3个工作日内对投标人依法提出的询问作出答复，但答复的内容不涉及商业秘密，如对电子采购流程不清楚可查阅政采云（https：//e-learning.zcygov.cn/index）“秒懂政采云 项目采购”学习或致电政采云平台：4008817190。</w:t>
            </w:r>
          </w:p>
        </w:tc>
      </w:tr>
      <w:tr w14:paraId="76C2DB8C">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961BB07">
            <w:pPr>
              <w:spacing w:line="500" w:lineRule="exact"/>
              <w:jc w:val="center"/>
              <w:rPr>
                <w:rFonts w:ascii="宋体" w:hAnsi="宋体" w:cs="宋体"/>
              </w:rPr>
            </w:pPr>
            <w:r>
              <w:rPr>
                <w:rFonts w:hint="eastAsia" w:ascii="宋体" w:hAnsi="宋体" w:cs="宋体"/>
                <w:szCs w:val="21"/>
              </w:rPr>
              <w:t>11.2</w:t>
            </w:r>
          </w:p>
        </w:tc>
        <w:tc>
          <w:tcPr>
            <w:tcW w:w="2108" w:type="dxa"/>
            <w:tcBorders>
              <w:top w:val="single" w:color="auto" w:sz="4" w:space="0"/>
              <w:left w:val="single" w:color="auto" w:sz="4" w:space="0"/>
              <w:bottom w:val="single" w:color="auto" w:sz="4" w:space="0"/>
              <w:right w:val="single" w:color="auto" w:sz="4" w:space="0"/>
            </w:tcBorders>
            <w:vAlign w:val="center"/>
          </w:tcPr>
          <w:p w14:paraId="39A1A576">
            <w:pPr>
              <w:spacing w:line="500" w:lineRule="exact"/>
              <w:jc w:val="center"/>
              <w:rPr>
                <w:rFonts w:ascii="宋体" w:hAnsi="宋体" w:cs="宋体"/>
                <w:szCs w:val="21"/>
              </w:rPr>
            </w:pPr>
            <w:r>
              <w:rPr>
                <w:rFonts w:hint="eastAsia" w:ascii="宋体" w:hAnsi="宋体" w:cs="宋体"/>
                <w:szCs w:val="21"/>
              </w:rPr>
              <w:t>招标文件询问联系方式</w:t>
            </w:r>
          </w:p>
        </w:tc>
        <w:tc>
          <w:tcPr>
            <w:tcW w:w="6183" w:type="dxa"/>
            <w:tcBorders>
              <w:top w:val="single" w:color="auto" w:sz="4" w:space="0"/>
              <w:left w:val="single" w:color="auto" w:sz="4" w:space="0"/>
              <w:bottom w:val="single" w:color="auto" w:sz="4" w:space="0"/>
              <w:right w:val="single" w:color="auto" w:sz="4" w:space="0"/>
            </w:tcBorders>
            <w:vAlign w:val="center"/>
          </w:tcPr>
          <w:p w14:paraId="4FEFA034">
            <w:pPr>
              <w:autoSpaceDE w:val="0"/>
              <w:autoSpaceDN w:val="0"/>
              <w:adjustRightInd w:val="0"/>
              <w:spacing w:line="500" w:lineRule="exact"/>
              <w:jc w:val="left"/>
              <w:rPr>
                <w:rFonts w:ascii="宋体" w:hAnsi="宋体" w:cs="宋体"/>
              </w:rPr>
            </w:pPr>
            <w:r>
              <w:rPr>
                <w:rFonts w:hint="eastAsia" w:ascii="宋体" w:hAnsi="宋体" w:cs="宋体"/>
              </w:rPr>
              <w:t>询问联系人：</w:t>
            </w:r>
            <w:r>
              <w:rPr>
                <w:rFonts w:hint="eastAsia" w:ascii="宋体" w:hAnsi="宋体" w:cs="宋体"/>
                <w:lang w:eastAsia="zh-CN"/>
              </w:rPr>
              <w:t>蒋兴杰、祝欣、王国玺、吴翊、陈沿锦、丁传觐、汪怡含、邓楚卿、李腾芳、王彦飞、肖枝莲、刘晓云、张振荣、杨益鑫、戚玮薇</w:t>
            </w:r>
          </w:p>
          <w:p w14:paraId="419FD7F6">
            <w:pPr>
              <w:autoSpaceDE w:val="0"/>
              <w:autoSpaceDN w:val="0"/>
              <w:adjustRightInd w:val="0"/>
              <w:spacing w:line="500" w:lineRule="exact"/>
              <w:jc w:val="left"/>
              <w:rPr>
                <w:rFonts w:ascii="宋体" w:hAnsi="宋体" w:cs="宋体"/>
              </w:rPr>
            </w:pPr>
            <w:r>
              <w:rPr>
                <w:rFonts w:hint="eastAsia" w:ascii="宋体" w:hAnsi="宋体" w:cs="宋体"/>
              </w:rPr>
              <w:t>电话：0871-65511240、65511241</w:t>
            </w:r>
          </w:p>
        </w:tc>
      </w:tr>
      <w:tr w14:paraId="2ACE1B57">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518D87C">
            <w:pPr>
              <w:spacing w:line="500" w:lineRule="exact"/>
              <w:jc w:val="center"/>
              <w:rPr>
                <w:rFonts w:ascii="宋体" w:hAnsi="宋体" w:cs="宋体"/>
              </w:rPr>
            </w:pPr>
            <w:r>
              <w:rPr>
                <w:rFonts w:hint="eastAsia" w:ascii="宋体" w:hAnsi="宋体" w:cs="宋体"/>
                <w:szCs w:val="21"/>
              </w:rPr>
              <w:t>11.3</w:t>
            </w:r>
          </w:p>
        </w:tc>
        <w:tc>
          <w:tcPr>
            <w:tcW w:w="2108" w:type="dxa"/>
            <w:tcBorders>
              <w:top w:val="single" w:color="auto" w:sz="4" w:space="0"/>
              <w:left w:val="single" w:color="auto" w:sz="4" w:space="0"/>
              <w:bottom w:val="single" w:color="auto" w:sz="4" w:space="0"/>
              <w:right w:val="single" w:color="auto" w:sz="4" w:space="0"/>
            </w:tcBorders>
            <w:vAlign w:val="center"/>
          </w:tcPr>
          <w:p w14:paraId="40AED7E1">
            <w:pPr>
              <w:spacing w:line="500" w:lineRule="exact"/>
              <w:jc w:val="center"/>
              <w:rPr>
                <w:rFonts w:ascii="宋体" w:hAnsi="宋体" w:cs="宋体"/>
              </w:rPr>
            </w:pPr>
            <w:r>
              <w:rPr>
                <w:rFonts w:hint="eastAsia" w:ascii="宋体" w:hAnsi="宋体" w:cs="宋体"/>
                <w:szCs w:val="21"/>
              </w:rPr>
              <w:t>招标文件澄清、修改时间</w:t>
            </w:r>
          </w:p>
        </w:tc>
        <w:tc>
          <w:tcPr>
            <w:tcW w:w="6183" w:type="dxa"/>
            <w:tcBorders>
              <w:top w:val="single" w:color="auto" w:sz="4" w:space="0"/>
              <w:left w:val="single" w:color="auto" w:sz="4" w:space="0"/>
              <w:bottom w:val="single" w:color="auto" w:sz="4" w:space="0"/>
              <w:right w:val="single" w:color="auto" w:sz="4" w:space="0"/>
            </w:tcBorders>
            <w:vAlign w:val="center"/>
          </w:tcPr>
          <w:p w14:paraId="5F59108B">
            <w:pPr>
              <w:wordWrap w:val="0"/>
              <w:autoSpaceDE w:val="0"/>
              <w:autoSpaceDN w:val="0"/>
              <w:adjustRightInd w:val="0"/>
              <w:spacing w:line="500" w:lineRule="exact"/>
              <w:jc w:val="left"/>
              <w:rPr>
                <w:rFonts w:ascii="宋体" w:hAnsi="宋体" w:cs="宋体"/>
              </w:rPr>
            </w:pPr>
            <w:r>
              <w:rPr>
                <w:rFonts w:hint="eastAsia" w:ascii="宋体" w:hAnsi="宋体" w:cs="宋体"/>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件的澄清、修改内容，由此造成的一切后果由投标人自行承担。</w:t>
            </w:r>
          </w:p>
        </w:tc>
      </w:tr>
      <w:tr w14:paraId="161B447C">
        <w:tblPrEx>
          <w:tblCellMar>
            <w:top w:w="0" w:type="dxa"/>
            <w:left w:w="108" w:type="dxa"/>
            <w:bottom w:w="0" w:type="dxa"/>
            <w:right w:w="108" w:type="dxa"/>
          </w:tblCellMar>
        </w:tblPrEx>
        <w:trPr>
          <w:trHeight w:val="31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3562E0B">
            <w:pPr>
              <w:spacing w:line="500" w:lineRule="exact"/>
              <w:jc w:val="center"/>
              <w:rPr>
                <w:rFonts w:ascii="宋体" w:hAnsi="宋体" w:cs="宋体"/>
              </w:rPr>
            </w:pPr>
            <w:r>
              <w:rPr>
                <w:rFonts w:hint="eastAsia" w:ascii="宋体" w:hAnsi="宋体" w:cs="宋体"/>
              </w:rPr>
              <w:t>13.1</w:t>
            </w:r>
          </w:p>
        </w:tc>
        <w:tc>
          <w:tcPr>
            <w:tcW w:w="2108" w:type="dxa"/>
            <w:tcBorders>
              <w:top w:val="single" w:color="auto" w:sz="4" w:space="0"/>
              <w:left w:val="single" w:color="auto" w:sz="4" w:space="0"/>
              <w:bottom w:val="single" w:color="auto" w:sz="4" w:space="0"/>
              <w:right w:val="single" w:color="auto" w:sz="4" w:space="0"/>
            </w:tcBorders>
            <w:vAlign w:val="center"/>
          </w:tcPr>
          <w:p w14:paraId="36EA0478">
            <w:pPr>
              <w:spacing w:line="500" w:lineRule="exact"/>
              <w:jc w:val="center"/>
              <w:rPr>
                <w:rFonts w:ascii="宋体" w:hAnsi="宋体" w:cs="宋体"/>
              </w:rPr>
            </w:pPr>
            <w:r>
              <w:rPr>
                <w:rFonts w:hint="eastAsia" w:ascii="宋体" w:hAnsi="宋体" w:cs="宋体"/>
              </w:rPr>
              <w:t>语言文字</w:t>
            </w:r>
          </w:p>
        </w:tc>
        <w:tc>
          <w:tcPr>
            <w:tcW w:w="6183" w:type="dxa"/>
            <w:tcBorders>
              <w:top w:val="single" w:color="auto" w:sz="4" w:space="0"/>
              <w:left w:val="single" w:color="auto" w:sz="4" w:space="0"/>
              <w:bottom w:val="single" w:color="auto" w:sz="4" w:space="0"/>
              <w:right w:val="single" w:color="auto" w:sz="4" w:space="0"/>
            </w:tcBorders>
            <w:vAlign w:val="center"/>
          </w:tcPr>
          <w:p w14:paraId="59841E8D">
            <w:pPr>
              <w:autoSpaceDE w:val="0"/>
              <w:autoSpaceDN w:val="0"/>
              <w:adjustRightInd w:val="0"/>
              <w:spacing w:line="500" w:lineRule="exact"/>
              <w:jc w:val="left"/>
              <w:rPr>
                <w:rFonts w:ascii="宋体" w:hAnsi="宋体" w:cs="宋体"/>
              </w:rPr>
            </w:pPr>
            <w:r>
              <w:rPr>
                <w:rFonts w:hint="eastAsia" w:ascii="宋体" w:hAnsi="宋体" w:cs="宋体"/>
              </w:rPr>
              <w:t>投标人的投标文件以及投标人与采购代理机构就有关投标的所有来往函电统一使用中文（特别规定除外）。</w:t>
            </w:r>
          </w:p>
        </w:tc>
      </w:tr>
      <w:tr w14:paraId="1164E3DD">
        <w:tblPrEx>
          <w:tblCellMar>
            <w:top w:w="0" w:type="dxa"/>
            <w:left w:w="108" w:type="dxa"/>
            <w:bottom w:w="0" w:type="dxa"/>
            <w:right w:w="108" w:type="dxa"/>
          </w:tblCellMar>
        </w:tblPrEx>
        <w:trPr>
          <w:trHeight w:val="30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EA99924">
            <w:pPr>
              <w:spacing w:line="500" w:lineRule="exact"/>
              <w:jc w:val="center"/>
              <w:rPr>
                <w:rFonts w:ascii="宋体" w:hAnsi="宋体" w:cs="宋体"/>
              </w:rPr>
            </w:pPr>
            <w:r>
              <w:rPr>
                <w:rFonts w:hint="eastAsia" w:ascii="宋体" w:hAnsi="宋体" w:cs="宋体"/>
              </w:rPr>
              <w:t>14.1</w:t>
            </w:r>
          </w:p>
        </w:tc>
        <w:tc>
          <w:tcPr>
            <w:tcW w:w="2108" w:type="dxa"/>
            <w:tcBorders>
              <w:top w:val="single" w:color="auto" w:sz="4" w:space="0"/>
              <w:left w:val="single" w:color="auto" w:sz="4" w:space="0"/>
              <w:bottom w:val="single" w:color="auto" w:sz="4" w:space="0"/>
              <w:right w:val="single" w:color="auto" w:sz="4" w:space="0"/>
            </w:tcBorders>
            <w:vAlign w:val="center"/>
          </w:tcPr>
          <w:p w14:paraId="7C38BC81">
            <w:pPr>
              <w:spacing w:line="500" w:lineRule="exact"/>
              <w:jc w:val="center"/>
              <w:rPr>
                <w:rFonts w:ascii="宋体" w:hAnsi="宋体" w:cs="宋体"/>
              </w:rPr>
            </w:pPr>
            <w:r>
              <w:rPr>
                <w:rFonts w:hint="eastAsia" w:ascii="宋体" w:hAnsi="宋体" w:cs="宋体"/>
              </w:rPr>
              <w:t>计量单位</w:t>
            </w:r>
          </w:p>
        </w:tc>
        <w:tc>
          <w:tcPr>
            <w:tcW w:w="6183" w:type="dxa"/>
            <w:tcBorders>
              <w:top w:val="single" w:color="auto" w:sz="4" w:space="0"/>
              <w:left w:val="single" w:color="auto" w:sz="4" w:space="0"/>
              <w:bottom w:val="single" w:color="auto" w:sz="4" w:space="0"/>
              <w:right w:val="single" w:color="auto" w:sz="4" w:space="0"/>
            </w:tcBorders>
            <w:vAlign w:val="center"/>
          </w:tcPr>
          <w:p w14:paraId="13A47712">
            <w:pPr>
              <w:autoSpaceDE w:val="0"/>
              <w:autoSpaceDN w:val="0"/>
              <w:adjustRightInd w:val="0"/>
              <w:spacing w:line="500" w:lineRule="exact"/>
              <w:jc w:val="left"/>
              <w:rPr>
                <w:rFonts w:ascii="宋体" w:hAnsi="宋体" w:cs="宋体"/>
              </w:rPr>
            </w:pPr>
            <w:r>
              <w:rPr>
                <w:rFonts w:hint="eastAsia" w:ascii="宋体" w:hAnsi="宋体" w:cs="宋体"/>
              </w:rPr>
              <w:t>投标文件中使用的计量单位除招标文件中有特殊规定外，一律使用中国法定计量单位。</w:t>
            </w:r>
          </w:p>
        </w:tc>
      </w:tr>
      <w:tr w14:paraId="24D0BC3E">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48E740D">
            <w:pPr>
              <w:spacing w:line="500" w:lineRule="exact"/>
              <w:jc w:val="center"/>
              <w:rPr>
                <w:rFonts w:ascii="宋体" w:hAnsi="宋体" w:cs="宋体"/>
              </w:rPr>
            </w:pPr>
            <w:r>
              <w:rPr>
                <w:rFonts w:hint="eastAsia" w:ascii="宋体" w:hAnsi="宋体" w:cs="宋体"/>
              </w:rPr>
              <w:t>15.2</w:t>
            </w:r>
          </w:p>
        </w:tc>
        <w:tc>
          <w:tcPr>
            <w:tcW w:w="2108" w:type="dxa"/>
            <w:tcBorders>
              <w:top w:val="single" w:color="auto" w:sz="4" w:space="0"/>
              <w:left w:val="single" w:color="auto" w:sz="4" w:space="0"/>
              <w:bottom w:val="single" w:color="auto" w:sz="4" w:space="0"/>
              <w:right w:val="single" w:color="auto" w:sz="4" w:space="0"/>
            </w:tcBorders>
            <w:vAlign w:val="center"/>
          </w:tcPr>
          <w:p w14:paraId="5C8B69B6">
            <w:pPr>
              <w:spacing w:line="500" w:lineRule="exact"/>
              <w:jc w:val="center"/>
              <w:rPr>
                <w:rFonts w:ascii="宋体" w:hAnsi="宋体" w:cs="宋体"/>
              </w:rPr>
            </w:pPr>
            <w:r>
              <w:rPr>
                <w:rFonts w:hint="eastAsia" w:ascii="宋体" w:hAnsi="宋体" w:cs="宋体"/>
              </w:rPr>
              <w:t>构成投标文件的其他资料</w:t>
            </w:r>
          </w:p>
        </w:tc>
        <w:tc>
          <w:tcPr>
            <w:tcW w:w="6183" w:type="dxa"/>
            <w:tcBorders>
              <w:top w:val="single" w:color="auto" w:sz="4" w:space="0"/>
              <w:left w:val="single" w:color="auto" w:sz="4" w:space="0"/>
              <w:bottom w:val="single" w:color="auto" w:sz="4" w:space="0"/>
              <w:right w:val="single" w:color="auto" w:sz="4" w:space="0"/>
            </w:tcBorders>
            <w:vAlign w:val="center"/>
          </w:tcPr>
          <w:p w14:paraId="77F9D2AE">
            <w:pPr>
              <w:autoSpaceDE w:val="0"/>
              <w:autoSpaceDN w:val="0"/>
              <w:adjustRightInd w:val="0"/>
              <w:spacing w:line="500" w:lineRule="exact"/>
              <w:jc w:val="left"/>
              <w:rPr>
                <w:rFonts w:ascii="宋体" w:hAnsi="宋体" w:cs="宋体"/>
              </w:rPr>
            </w:pPr>
            <w:r>
              <w:rPr>
                <w:rFonts w:hint="eastAsia" w:ascii="宋体" w:hAnsi="宋体" w:cs="宋体"/>
              </w:rPr>
              <w:t>1.投标保证金交纳凭证或保函或投标（竞标）保证保险保单（扫描件加盖投标人电子公章）；</w:t>
            </w:r>
          </w:p>
          <w:p w14:paraId="5372C244">
            <w:pPr>
              <w:autoSpaceDE w:val="0"/>
              <w:autoSpaceDN w:val="0"/>
              <w:adjustRightInd w:val="0"/>
              <w:spacing w:line="500" w:lineRule="exact"/>
              <w:jc w:val="left"/>
              <w:rPr>
                <w:rFonts w:ascii="宋体" w:hAnsi="宋体" w:cs="宋体"/>
              </w:rPr>
            </w:pPr>
            <w:r>
              <w:rPr>
                <w:rFonts w:hint="eastAsia" w:ascii="宋体" w:hAnsi="宋体" w:cs="宋体"/>
              </w:rPr>
              <w:t>2.第五章《采购需求》中要求提供的其他资料；</w:t>
            </w:r>
          </w:p>
          <w:p w14:paraId="11AC8C13">
            <w:pPr>
              <w:autoSpaceDE w:val="0"/>
              <w:autoSpaceDN w:val="0"/>
              <w:adjustRightInd w:val="0"/>
              <w:spacing w:line="500" w:lineRule="exact"/>
              <w:jc w:val="left"/>
              <w:rPr>
                <w:rFonts w:ascii="宋体" w:hAnsi="宋体" w:cs="宋体"/>
              </w:rPr>
            </w:pPr>
            <w:r>
              <w:rPr>
                <w:rFonts w:hint="eastAsia" w:ascii="宋体" w:hAnsi="宋体" w:cs="宋体"/>
              </w:rPr>
              <w:t>3.招标文件中所涉及到的相关资料及证明文件或投标人认为必须提供的其他相关资料。</w:t>
            </w:r>
          </w:p>
        </w:tc>
      </w:tr>
      <w:tr w14:paraId="283F6DD0">
        <w:tblPrEx>
          <w:tblCellMar>
            <w:top w:w="0" w:type="dxa"/>
            <w:left w:w="108" w:type="dxa"/>
            <w:bottom w:w="0" w:type="dxa"/>
            <w:right w:w="108" w:type="dxa"/>
          </w:tblCellMar>
        </w:tblPrEx>
        <w:trPr>
          <w:trHeight w:val="1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B1EC0E0">
            <w:pPr>
              <w:spacing w:line="500" w:lineRule="exact"/>
              <w:jc w:val="center"/>
              <w:rPr>
                <w:rFonts w:ascii="宋体" w:hAnsi="宋体" w:cs="宋体"/>
              </w:rPr>
            </w:pPr>
            <w:r>
              <w:rPr>
                <w:rFonts w:hint="eastAsia" w:ascii="宋体" w:hAnsi="宋体" w:cs="宋体"/>
              </w:rPr>
              <w:t>17.1</w:t>
            </w:r>
          </w:p>
        </w:tc>
        <w:tc>
          <w:tcPr>
            <w:tcW w:w="2108" w:type="dxa"/>
            <w:tcBorders>
              <w:top w:val="single" w:color="auto" w:sz="4" w:space="0"/>
              <w:left w:val="single" w:color="auto" w:sz="4" w:space="0"/>
              <w:bottom w:val="single" w:color="auto" w:sz="4" w:space="0"/>
              <w:right w:val="single" w:color="auto" w:sz="4" w:space="0"/>
            </w:tcBorders>
            <w:vAlign w:val="center"/>
          </w:tcPr>
          <w:p w14:paraId="34E99919">
            <w:pPr>
              <w:spacing w:line="500" w:lineRule="exact"/>
              <w:jc w:val="center"/>
              <w:rPr>
                <w:rFonts w:ascii="宋体" w:hAnsi="宋体" w:cs="宋体"/>
              </w:rPr>
            </w:pPr>
            <w:r>
              <w:rPr>
                <w:rFonts w:hint="eastAsia" w:ascii="宋体" w:hAnsi="宋体" w:cs="宋体"/>
              </w:rPr>
              <w:t>投标有效期</w:t>
            </w:r>
          </w:p>
        </w:tc>
        <w:tc>
          <w:tcPr>
            <w:tcW w:w="6183" w:type="dxa"/>
            <w:tcBorders>
              <w:top w:val="single" w:color="auto" w:sz="4" w:space="0"/>
              <w:left w:val="single" w:color="auto" w:sz="4" w:space="0"/>
              <w:bottom w:val="single" w:color="auto" w:sz="4" w:space="0"/>
              <w:right w:val="single" w:color="auto" w:sz="4" w:space="0"/>
            </w:tcBorders>
            <w:vAlign w:val="center"/>
          </w:tcPr>
          <w:p w14:paraId="73CE12A5">
            <w:pPr>
              <w:autoSpaceDE w:val="0"/>
              <w:autoSpaceDN w:val="0"/>
              <w:adjustRightInd w:val="0"/>
              <w:spacing w:line="500" w:lineRule="exact"/>
              <w:jc w:val="left"/>
              <w:rPr>
                <w:rFonts w:ascii="宋体" w:hAnsi="宋体" w:cs="宋体"/>
              </w:rPr>
            </w:pPr>
            <w:r>
              <w:rPr>
                <w:rFonts w:hint="eastAsia" w:ascii="宋体" w:hAnsi="宋体" w:cs="宋体"/>
              </w:rPr>
              <w:t>从提交投标文件截止之日起90日历天。</w:t>
            </w:r>
          </w:p>
        </w:tc>
      </w:tr>
      <w:tr w14:paraId="6D1F9B0A">
        <w:tblPrEx>
          <w:tblCellMar>
            <w:top w:w="0" w:type="dxa"/>
            <w:left w:w="108" w:type="dxa"/>
            <w:bottom w:w="0" w:type="dxa"/>
            <w:right w:w="108" w:type="dxa"/>
          </w:tblCellMar>
        </w:tblPrEx>
        <w:trPr>
          <w:trHeight w:val="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C372B25">
            <w:pPr>
              <w:spacing w:line="500" w:lineRule="exact"/>
              <w:jc w:val="center"/>
              <w:rPr>
                <w:rFonts w:ascii="宋体" w:hAnsi="宋体" w:cs="宋体"/>
              </w:rPr>
            </w:pPr>
            <w:r>
              <w:rPr>
                <w:rFonts w:hint="eastAsia" w:ascii="宋体" w:hAnsi="宋体" w:cs="宋体"/>
              </w:rPr>
              <w:t>18.1</w:t>
            </w:r>
          </w:p>
        </w:tc>
        <w:tc>
          <w:tcPr>
            <w:tcW w:w="2108" w:type="dxa"/>
            <w:tcBorders>
              <w:top w:val="single" w:color="auto" w:sz="4" w:space="0"/>
              <w:left w:val="single" w:color="auto" w:sz="4" w:space="0"/>
              <w:bottom w:val="single" w:color="auto" w:sz="4" w:space="0"/>
              <w:right w:val="single" w:color="auto" w:sz="4" w:space="0"/>
            </w:tcBorders>
            <w:vAlign w:val="center"/>
          </w:tcPr>
          <w:p w14:paraId="5AB7EC78">
            <w:pPr>
              <w:spacing w:line="500" w:lineRule="exact"/>
              <w:jc w:val="center"/>
              <w:rPr>
                <w:rFonts w:ascii="宋体" w:hAnsi="宋体" w:cs="宋体"/>
              </w:rPr>
            </w:pPr>
            <w:r>
              <w:rPr>
                <w:rFonts w:hint="eastAsia" w:ascii="宋体" w:hAnsi="宋体" w:cs="宋体"/>
              </w:rPr>
              <w:t>投标保证金</w:t>
            </w:r>
          </w:p>
        </w:tc>
        <w:tc>
          <w:tcPr>
            <w:tcW w:w="6183" w:type="dxa"/>
            <w:tcBorders>
              <w:top w:val="single" w:color="auto" w:sz="4" w:space="0"/>
              <w:left w:val="single" w:color="auto" w:sz="4" w:space="0"/>
              <w:bottom w:val="single" w:color="auto" w:sz="4" w:space="0"/>
              <w:right w:val="single" w:color="auto" w:sz="4" w:space="0"/>
            </w:tcBorders>
            <w:shd w:val="clear" w:color="auto" w:fill="auto"/>
            <w:vAlign w:val="center"/>
          </w:tcPr>
          <w:p w14:paraId="1C4A1E34">
            <w:pPr>
              <w:autoSpaceDE w:val="0"/>
              <w:autoSpaceDN w:val="0"/>
              <w:adjustRightInd w:val="0"/>
              <w:spacing w:line="500" w:lineRule="exact"/>
              <w:jc w:val="lef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昆明市官渡区人民医院医疗责任保险服务项目（四次）</w:t>
            </w:r>
          </w:p>
          <w:p w14:paraId="04B11692">
            <w:pPr>
              <w:autoSpaceDE w:val="0"/>
              <w:autoSpaceDN w:val="0"/>
              <w:adjustRightInd w:val="0"/>
              <w:spacing w:line="500" w:lineRule="exact"/>
              <w:jc w:val="left"/>
              <w:rPr>
                <w:rFonts w:hint="eastAsia" w:ascii="宋体" w:hAnsi="宋体" w:eastAsia="宋体" w:cs="宋体"/>
                <w:lang w:eastAsia="zh-CN"/>
              </w:rPr>
            </w:pPr>
            <w:r>
              <w:rPr>
                <w:rFonts w:hint="eastAsia" w:ascii="宋体" w:hAnsi="宋体" w:cs="宋体"/>
              </w:rPr>
              <w:t>项目编号：</w:t>
            </w:r>
            <w:r>
              <w:rPr>
                <w:rFonts w:hint="eastAsia" w:ascii="宋体" w:hAnsi="宋体" w:cs="宋体"/>
                <w:lang w:eastAsia="zh-CN"/>
              </w:rPr>
              <w:t>KMZC2025-G3-02686-YNGR-0317</w:t>
            </w:r>
          </w:p>
          <w:p w14:paraId="599BFD80">
            <w:pPr>
              <w:autoSpaceDE w:val="0"/>
              <w:autoSpaceDN w:val="0"/>
              <w:adjustRightInd w:val="0"/>
              <w:spacing w:line="500" w:lineRule="exact"/>
              <w:jc w:val="left"/>
              <w:rPr>
                <w:rFonts w:ascii="宋体" w:hAnsi="宋体" w:cs="宋体"/>
              </w:rPr>
            </w:pPr>
            <w:r>
              <w:rPr>
                <w:rFonts w:hint="eastAsia" w:ascii="宋体" w:hAnsi="宋体" w:cs="宋体"/>
              </w:rPr>
              <w:t>投标保证金的形式：网银、电汇、支票、汇票、本票或者金融机构、担保机构出具的保函等非现金形式提交。</w:t>
            </w:r>
          </w:p>
          <w:p w14:paraId="34BA62AE">
            <w:pPr>
              <w:autoSpaceDE w:val="0"/>
              <w:autoSpaceDN w:val="0"/>
              <w:adjustRightInd w:val="0"/>
              <w:spacing w:line="500" w:lineRule="exact"/>
              <w:jc w:val="left"/>
              <w:rPr>
                <w:rFonts w:ascii="宋体" w:hAnsi="宋体" w:cs="宋体"/>
              </w:rPr>
            </w:pPr>
            <w:r>
              <w:rPr>
                <w:rFonts w:hint="eastAsia" w:ascii="宋体" w:hAnsi="宋体" w:cs="宋体"/>
              </w:rPr>
              <w:t>投标保证金金额：</w:t>
            </w:r>
            <w:r>
              <w:rPr>
                <w:rFonts w:hint="eastAsia" w:ascii="宋体" w:hAnsi="宋体" w:cs="宋体"/>
                <w:b/>
                <w:bCs/>
                <w:lang w:val="en-US" w:eastAsia="zh-CN"/>
              </w:rPr>
              <w:t>伍仟元整</w:t>
            </w:r>
            <w:r>
              <w:rPr>
                <w:rFonts w:hint="eastAsia" w:ascii="宋体" w:hAnsi="宋体" w:cs="宋体"/>
                <w:b/>
                <w:bCs/>
              </w:rPr>
              <w:t>（¥</w:t>
            </w:r>
            <w:r>
              <w:rPr>
                <w:rFonts w:hint="eastAsia" w:ascii="宋体" w:hAnsi="宋体" w:cs="宋体"/>
                <w:b/>
                <w:bCs/>
                <w:lang w:val="en-US" w:eastAsia="zh-CN"/>
              </w:rPr>
              <w:t>5</w:t>
            </w:r>
            <w:r>
              <w:rPr>
                <w:rFonts w:hint="eastAsia" w:ascii="宋体" w:hAnsi="宋体" w:cs="宋体"/>
                <w:b/>
                <w:bCs/>
              </w:rPr>
              <w:t>000.00元）</w:t>
            </w:r>
          </w:p>
          <w:p w14:paraId="3BEC92C7">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保证金按规定数额从投标人账户直接转至</w:t>
            </w:r>
          </w:p>
          <w:p w14:paraId="3F04FB3B">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账户名称：云南冠睿咨询有限公司</w:t>
            </w:r>
          </w:p>
          <w:p w14:paraId="42F0C704">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开户行账号：</w:t>
            </w:r>
            <w:r>
              <w:rPr>
                <w:rFonts w:hint="eastAsia" w:ascii="宋体" w:hAnsi="宋体" w:eastAsia="宋体" w:cs="宋体"/>
                <w:b/>
                <w:bCs/>
                <w:color w:val="000000" w:themeColor="text1"/>
                <w:highlight w:val="none"/>
                <w:lang w:val="en-US" w:eastAsia="zh-CN"/>
                <w14:textFill>
                  <w14:solidFill>
                    <w14:schemeClr w14:val="tx1"/>
                  </w14:solidFill>
                </w14:textFill>
              </w:rPr>
              <w:t>636611192</w:t>
            </w:r>
          </w:p>
          <w:p w14:paraId="748AAB87">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开户行名称：</w:t>
            </w:r>
            <w:r>
              <w:rPr>
                <w:rFonts w:hint="eastAsia" w:ascii="宋体" w:hAnsi="宋体" w:eastAsia="宋体" w:cs="宋体"/>
                <w:b/>
                <w:bCs/>
                <w:color w:val="000000" w:themeColor="text1"/>
                <w:highlight w:val="none"/>
                <w:lang w:val="en-US" w:eastAsia="zh-CN"/>
                <w14:textFill>
                  <w14:solidFill>
                    <w14:schemeClr w14:val="tx1"/>
                  </w14:solidFill>
                </w14:textFill>
              </w:rPr>
              <w:t>中国民生银行股份有限公司昆明拓东路支行</w:t>
            </w:r>
          </w:p>
          <w:p w14:paraId="6C635115">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保证金交纳说明：</w:t>
            </w:r>
          </w:p>
          <w:p w14:paraId="7028A903">
            <w:pPr>
              <w:keepNext w:val="0"/>
              <w:keepLines w:val="0"/>
              <w:pageBreakBefore w:val="0"/>
              <w:numPr>
                <w:ilvl w:val="0"/>
                <w:numId w:val="0"/>
              </w:numPr>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kern w:val="2"/>
                <w:sz w:val="21"/>
                <w:szCs w:val="21"/>
                <w:lang w:val="en-US" w:eastAsia="zh-CN" w:bidi="ar-SA"/>
              </w:rPr>
              <w:t>1.</w:t>
            </w:r>
            <w:r>
              <w:rPr>
                <w:rFonts w:hint="eastAsia" w:ascii="宋体" w:hAnsi="宋体" w:eastAsia="宋体" w:cs="宋体"/>
                <w:color w:val="000000" w:themeColor="text1"/>
                <w:highlight w:val="none"/>
                <w14:textFill>
                  <w14:solidFill>
                    <w14:schemeClr w14:val="tx1"/>
                  </w14:solidFill>
                </w14:textFill>
              </w:rPr>
              <w:t>网银或电汇方式提交的，底单即为交纳凭证（需注明项目简称或编号</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若分标段还需注明标段</w:t>
            </w:r>
            <w:r>
              <w:rPr>
                <w:rFonts w:hint="eastAsia" w:ascii="宋体" w:hAnsi="宋体" w:eastAsia="宋体" w:cs="宋体"/>
                <w:color w:val="000000" w:themeColor="text1"/>
                <w:highlight w:val="none"/>
                <w14:textFill>
                  <w14:solidFill>
                    <w14:schemeClr w14:val="tx1"/>
                  </w14:solidFill>
                </w14:textFill>
              </w:rPr>
              <w:t>）；其他方式的保证金在转账后投标人附有效付款凭证。</w:t>
            </w:r>
          </w:p>
          <w:p w14:paraId="0D68A3B3">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.以保函方式提交的</w:t>
            </w:r>
            <w:r>
              <w:rPr>
                <w:rFonts w:hint="eastAsia" w:ascii="宋体" w:hAnsi="宋体" w:cs="宋体"/>
                <w:color w:val="000000" w:themeColor="text1"/>
                <w:highlight w:val="none"/>
                <w:lang w:val="en-US" w:eastAsia="zh-CN"/>
                <w14:textFill>
                  <w14:solidFill>
                    <w14:schemeClr w14:val="tx1"/>
                  </w14:solidFill>
                </w14:textFill>
              </w:rPr>
              <w:t>在投标文件中提供有效证明材料</w:t>
            </w:r>
            <w:r>
              <w:rPr>
                <w:rFonts w:hint="eastAsia" w:ascii="宋体" w:hAnsi="宋体" w:eastAsia="宋体" w:cs="宋体"/>
                <w:color w:val="000000" w:themeColor="text1"/>
                <w:highlight w:val="none"/>
                <w14:textFill>
                  <w14:solidFill>
                    <w14:schemeClr w14:val="tx1"/>
                  </w14:solidFill>
                </w14:textFill>
              </w:rPr>
              <w:t>。</w:t>
            </w:r>
          </w:p>
          <w:p w14:paraId="518F1F1C">
            <w:pPr>
              <w:autoSpaceDE w:val="0"/>
              <w:autoSpaceDN w:val="0"/>
              <w:adjustRightInd w:val="0"/>
              <w:spacing w:line="500" w:lineRule="exact"/>
              <w:jc w:val="left"/>
              <w:rPr>
                <w:rFonts w:ascii="宋体" w:hAnsi="宋体" w:cs="宋体"/>
              </w:rPr>
            </w:pP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.投标人未按照招标文件要求提交投标保证金的，其投标无效。</w:t>
            </w:r>
          </w:p>
        </w:tc>
      </w:tr>
      <w:tr w14:paraId="00425950">
        <w:tblPrEx>
          <w:tblCellMar>
            <w:top w:w="0" w:type="dxa"/>
            <w:left w:w="108" w:type="dxa"/>
            <w:bottom w:w="0" w:type="dxa"/>
            <w:right w:w="108" w:type="dxa"/>
          </w:tblCellMar>
        </w:tblPrEx>
        <w:trPr>
          <w:trHeight w:val="10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A2452E2">
            <w:pPr>
              <w:spacing w:line="500" w:lineRule="exact"/>
              <w:jc w:val="center"/>
              <w:rPr>
                <w:rFonts w:ascii="宋体" w:hAnsi="宋体" w:cs="宋体"/>
              </w:rPr>
            </w:pPr>
            <w:r>
              <w:rPr>
                <w:rFonts w:hint="eastAsia" w:ascii="宋体" w:hAnsi="宋体" w:cs="宋体"/>
              </w:rPr>
              <w:t>20.8</w:t>
            </w:r>
          </w:p>
        </w:tc>
        <w:tc>
          <w:tcPr>
            <w:tcW w:w="2108" w:type="dxa"/>
            <w:tcBorders>
              <w:top w:val="single" w:color="auto" w:sz="4" w:space="0"/>
              <w:left w:val="single" w:color="auto" w:sz="4" w:space="0"/>
              <w:bottom w:val="single" w:color="auto" w:sz="4" w:space="0"/>
              <w:right w:val="single" w:color="auto" w:sz="4" w:space="0"/>
            </w:tcBorders>
            <w:vAlign w:val="center"/>
          </w:tcPr>
          <w:p w14:paraId="6BE80519">
            <w:pPr>
              <w:spacing w:line="500" w:lineRule="exact"/>
              <w:jc w:val="center"/>
              <w:rPr>
                <w:rFonts w:ascii="宋体" w:hAnsi="宋体" w:cs="宋体"/>
              </w:rPr>
            </w:pPr>
            <w:r>
              <w:rPr>
                <w:rFonts w:hint="eastAsia" w:ascii="宋体" w:hAnsi="宋体" w:cs="宋体"/>
              </w:rPr>
              <w:t>报价货币</w:t>
            </w:r>
          </w:p>
        </w:tc>
        <w:tc>
          <w:tcPr>
            <w:tcW w:w="6183" w:type="dxa"/>
            <w:tcBorders>
              <w:top w:val="single" w:color="auto" w:sz="4" w:space="0"/>
              <w:left w:val="single" w:color="auto" w:sz="4" w:space="0"/>
              <w:bottom w:val="single" w:color="auto" w:sz="4" w:space="0"/>
              <w:right w:val="single" w:color="auto" w:sz="4" w:space="0"/>
            </w:tcBorders>
            <w:vAlign w:val="center"/>
          </w:tcPr>
          <w:p w14:paraId="50941D92">
            <w:pPr>
              <w:spacing w:line="500" w:lineRule="exact"/>
              <w:rPr>
                <w:rFonts w:ascii="宋体" w:hAnsi="宋体" w:cs="宋体"/>
              </w:rPr>
            </w:pPr>
            <w:r>
              <w:rPr>
                <w:rFonts w:hint="eastAsia" w:ascii="宋体" w:hAnsi="宋体" w:cs="宋体"/>
              </w:rPr>
              <w:t>人民币</w:t>
            </w:r>
          </w:p>
        </w:tc>
      </w:tr>
      <w:tr w14:paraId="5245191F">
        <w:tblPrEx>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D6BF97B">
            <w:pPr>
              <w:spacing w:line="500" w:lineRule="exact"/>
              <w:jc w:val="center"/>
              <w:rPr>
                <w:rFonts w:ascii="宋体" w:hAnsi="宋体" w:cs="宋体"/>
              </w:rPr>
            </w:pPr>
            <w:r>
              <w:rPr>
                <w:rFonts w:hint="eastAsia" w:ascii="宋体" w:hAnsi="宋体" w:cs="宋体"/>
              </w:rPr>
              <w:t>21.1</w:t>
            </w:r>
          </w:p>
        </w:tc>
        <w:tc>
          <w:tcPr>
            <w:tcW w:w="2108" w:type="dxa"/>
            <w:tcBorders>
              <w:top w:val="single" w:color="auto" w:sz="4" w:space="0"/>
              <w:left w:val="single" w:color="auto" w:sz="4" w:space="0"/>
              <w:bottom w:val="single" w:color="auto" w:sz="4" w:space="0"/>
              <w:right w:val="single" w:color="auto" w:sz="4" w:space="0"/>
            </w:tcBorders>
            <w:vAlign w:val="center"/>
          </w:tcPr>
          <w:p w14:paraId="779FD772">
            <w:pPr>
              <w:spacing w:line="500" w:lineRule="exact"/>
              <w:jc w:val="center"/>
              <w:rPr>
                <w:rFonts w:ascii="宋体" w:hAnsi="宋体" w:cs="宋体"/>
              </w:rPr>
            </w:pPr>
            <w:r>
              <w:rPr>
                <w:rFonts w:hint="eastAsia" w:ascii="宋体" w:hAnsi="宋体" w:cs="宋体"/>
              </w:rPr>
              <w:t>投标文件的密封</w:t>
            </w:r>
          </w:p>
        </w:tc>
        <w:tc>
          <w:tcPr>
            <w:tcW w:w="6183" w:type="dxa"/>
            <w:tcBorders>
              <w:top w:val="single" w:color="auto" w:sz="4" w:space="0"/>
              <w:left w:val="single" w:color="auto" w:sz="4" w:space="0"/>
              <w:bottom w:val="single" w:color="auto" w:sz="4" w:space="0"/>
              <w:right w:val="single" w:color="auto" w:sz="4" w:space="0"/>
            </w:tcBorders>
            <w:vAlign w:val="center"/>
          </w:tcPr>
          <w:p w14:paraId="17728D94">
            <w:pPr>
              <w:wordWrap w:val="0"/>
              <w:spacing w:line="500" w:lineRule="exact"/>
              <w:rPr>
                <w:rFonts w:ascii="宋体" w:hAnsi="宋体" w:cs="宋体"/>
              </w:rPr>
            </w:pPr>
            <w:r>
              <w:rPr>
                <w:rFonts w:hint="eastAsia" w:ascii="宋体" w:hAnsi="宋体" w:cs="宋体"/>
              </w:rPr>
              <w:t>投标人应按照"政采云"平台的要求编制、加密投标文件后在投标文件提交截止时间前上传至"政采云"平台，投标文件提交截止时间前未完成投标文件上传的，视为撤回投标文件。</w:t>
            </w:r>
          </w:p>
        </w:tc>
      </w:tr>
      <w:tr w14:paraId="4C4CE11F">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A1561A5">
            <w:pPr>
              <w:spacing w:line="500" w:lineRule="exact"/>
              <w:jc w:val="center"/>
              <w:rPr>
                <w:rFonts w:ascii="宋体" w:hAnsi="宋体" w:cs="宋体"/>
              </w:rPr>
            </w:pPr>
            <w:r>
              <w:rPr>
                <w:rFonts w:hint="eastAsia" w:ascii="宋体" w:hAnsi="宋体" w:cs="宋体"/>
              </w:rPr>
              <w:t>22.1</w:t>
            </w:r>
          </w:p>
        </w:tc>
        <w:tc>
          <w:tcPr>
            <w:tcW w:w="2108" w:type="dxa"/>
            <w:tcBorders>
              <w:top w:val="single" w:color="auto" w:sz="4" w:space="0"/>
              <w:left w:val="single" w:color="auto" w:sz="4" w:space="0"/>
              <w:bottom w:val="single" w:color="auto" w:sz="4" w:space="0"/>
              <w:right w:val="single" w:color="auto" w:sz="4" w:space="0"/>
            </w:tcBorders>
            <w:vAlign w:val="center"/>
          </w:tcPr>
          <w:p w14:paraId="647B8DAC">
            <w:pPr>
              <w:spacing w:line="500" w:lineRule="exact"/>
              <w:jc w:val="center"/>
              <w:rPr>
                <w:rFonts w:ascii="宋体" w:hAnsi="宋体" w:cs="宋体"/>
              </w:rPr>
            </w:pPr>
            <w:r>
              <w:rPr>
                <w:rFonts w:hint="eastAsia" w:ascii="宋体" w:hAnsi="宋体" w:cs="宋体"/>
              </w:rPr>
              <w:t>投标文件提交截止时间、提交投标文件的地点</w:t>
            </w:r>
          </w:p>
        </w:tc>
        <w:tc>
          <w:tcPr>
            <w:tcW w:w="6183" w:type="dxa"/>
            <w:tcBorders>
              <w:top w:val="single" w:color="auto" w:sz="4" w:space="0"/>
              <w:left w:val="single" w:color="auto" w:sz="4" w:space="0"/>
              <w:bottom w:val="single" w:color="auto" w:sz="4" w:space="0"/>
              <w:right w:val="single" w:color="auto" w:sz="4" w:space="0"/>
            </w:tcBorders>
            <w:vAlign w:val="center"/>
          </w:tcPr>
          <w:p w14:paraId="33F94E5A">
            <w:pPr>
              <w:pStyle w:val="21"/>
              <w:spacing w:line="500" w:lineRule="exact"/>
              <w:rPr>
                <w:rFonts w:hAnsi="宋体" w:cs="宋体"/>
              </w:rPr>
            </w:pPr>
            <w:r>
              <w:rPr>
                <w:rFonts w:hint="eastAsia" w:hAnsi="宋体" w:cs="宋体"/>
              </w:rPr>
              <w:t>投标文件提交截止时间：详见第一章《公开招标公告》；</w:t>
            </w:r>
          </w:p>
          <w:p w14:paraId="78E1CBCB">
            <w:pPr>
              <w:pStyle w:val="21"/>
              <w:spacing w:line="500" w:lineRule="exact"/>
              <w:rPr>
                <w:rFonts w:hAnsi="宋体" w:cs="宋体"/>
              </w:rPr>
            </w:pPr>
            <w:r>
              <w:rPr>
                <w:rFonts w:hint="eastAsia" w:hAnsi="宋体" w:cs="宋体"/>
              </w:rPr>
              <w:t>提交投标文件的地点：详见第一章《公开招标公告》。</w:t>
            </w:r>
          </w:p>
        </w:tc>
      </w:tr>
      <w:tr w14:paraId="56B60BD3">
        <w:tblPrEx>
          <w:tblCellMar>
            <w:top w:w="0" w:type="dxa"/>
            <w:left w:w="108" w:type="dxa"/>
            <w:bottom w:w="0" w:type="dxa"/>
            <w:right w:w="108" w:type="dxa"/>
          </w:tblCellMar>
        </w:tblPrEx>
        <w:trPr>
          <w:trHeight w:val="67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51C3B2B">
            <w:pPr>
              <w:spacing w:line="500" w:lineRule="exact"/>
              <w:jc w:val="center"/>
              <w:rPr>
                <w:rFonts w:ascii="宋体" w:hAnsi="宋体" w:cs="宋体"/>
              </w:rPr>
            </w:pPr>
            <w:r>
              <w:rPr>
                <w:rFonts w:hint="eastAsia" w:ascii="宋体" w:hAnsi="宋体" w:cs="宋体"/>
              </w:rPr>
              <w:t>24.1</w:t>
            </w:r>
          </w:p>
        </w:tc>
        <w:tc>
          <w:tcPr>
            <w:tcW w:w="2108" w:type="dxa"/>
            <w:tcBorders>
              <w:top w:val="single" w:color="auto" w:sz="4" w:space="0"/>
              <w:left w:val="single" w:color="auto" w:sz="4" w:space="0"/>
              <w:bottom w:val="single" w:color="auto" w:sz="4" w:space="0"/>
              <w:right w:val="single" w:color="auto" w:sz="4" w:space="0"/>
            </w:tcBorders>
            <w:vAlign w:val="center"/>
          </w:tcPr>
          <w:p w14:paraId="5A51B29B">
            <w:pPr>
              <w:pStyle w:val="21"/>
              <w:spacing w:line="500" w:lineRule="exact"/>
              <w:jc w:val="center"/>
              <w:rPr>
                <w:rFonts w:hAnsi="宋体" w:cs="宋体"/>
              </w:rPr>
            </w:pPr>
            <w:r>
              <w:rPr>
                <w:rFonts w:hint="eastAsia" w:hAnsi="宋体" w:cs="宋体"/>
              </w:rPr>
              <w:t>开标时间和地点</w:t>
            </w:r>
          </w:p>
        </w:tc>
        <w:tc>
          <w:tcPr>
            <w:tcW w:w="6183" w:type="dxa"/>
            <w:tcBorders>
              <w:top w:val="single" w:color="auto" w:sz="4" w:space="0"/>
              <w:left w:val="single" w:color="auto" w:sz="4" w:space="0"/>
              <w:bottom w:val="single" w:color="auto" w:sz="4" w:space="0"/>
              <w:right w:val="single" w:color="auto" w:sz="4" w:space="0"/>
            </w:tcBorders>
            <w:vAlign w:val="center"/>
          </w:tcPr>
          <w:p w14:paraId="323D10E6">
            <w:pPr>
              <w:pStyle w:val="21"/>
              <w:spacing w:line="500" w:lineRule="exact"/>
              <w:rPr>
                <w:rFonts w:hAnsi="宋体" w:cs="宋体"/>
              </w:rPr>
            </w:pPr>
            <w:r>
              <w:rPr>
                <w:rFonts w:hint="eastAsia" w:hAnsi="宋体" w:cs="宋体"/>
              </w:rPr>
              <w:t>开标时间：同投标文件提交截止时间；</w:t>
            </w:r>
          </w:p>
          <w:p w14:paraId="2286A758">
            <w:pPr>
              <w:pStyle w:val="21"/>
              <w:spacing w:line="500" w:lineRule="exact"/>
              <w:ind w:left="1050" w:hanging="1050" w:hangingChars="500"/>
              <w:rPr>
                <w:rFonts w:hAnsi="宋体" w:cs="宋体"/>
                <w:u w:val="single"/>
              </w:rPr>
            </w:pPr>
            <w:r>
              <w:rPr>
                <w:rFonts w:hint="eastAsia" w:hAnsi="宋体" w:cs="宋体"/>
              </w:rPr>
              <w:t>开标地点：同提交投标文件的地点、开标地点。</w:t>
            </w:r>
          </w:p>
        </w:tc>
      </w:tr>
      <w:tr w14:paraId="6AF4F501">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E14C384">
            <w:pPr>
              <w:spacing w:line="500" w:lineRule="exact"/>
              <w:jc w:val="center"/>
              <w:rPr>
                <w:rFonts w:ascii="宋体" w:hAnsi="宋体" w:cs="宋体"/>
              </w:rPr>
            </w:pPr>
            <w:r>
              <w:rPr>
                <w:rFonts w:hint="eastAsia" w:ascii="宋体" w:hAnsi="宋体" w:cs="宋体"/>
              </w:rPr>
              <w:t>26.2</w:t>
            </w:r>
          </w:p>
        </w:tc>
        <w:tc>
          <w:tcPr>
            <w:tcW w:w="2108" w:type="dxa"/>
            <w:tcBorders>
              <w:top w:val="single" w:color="auto" w:sz="4" w:space="0"/>
              <w:left w:val="single" w:color="auto" w:sz="4" w:space="0"/>
              <w:bottom w:val="single" w:color="auto" w:sz="4" w:space="0"/>
              <w:right w:val="single" w:color="auto" w:sz="4" w:space="0"/>
            </w:tcBorders>
            <w:vAlign w:val="center"/>
          </w:tcPr>
          <w:p w14:paraId="4C0C9868">
            <w:pPr>
              <w:spacing w:line="500" w:lineRule="exact"/>
              <w:jc w:val="center"/>
              <w:rPr>
                <w:rFonts w:ascii="宋体" w:hAnsi="宋体" w:cs="宋体"/>
              </w:rPr>
            </w:pPr>
            <w:r>
              <w:rPr>
                <w:rFonts w:hint="eastAsia" w:ascii="宋体" w:hAnsi="宋体" w:cs="宋体"/>
              </w:rPr>
              <w:t>评标委员会</w:t>
            </w:r>
          </w:p>
        </w:tc>
        <w:tc>
          <w:tcPr>
            <w:tcW w:w="6183" w:type="dxa"/>
            <w:tcBorders>
              <w:top w:val="single" w:color="auto" w:sz="4" w:space="0"/>
              <w:left w:val="single" w:color="auto" w:sz="4" w:space="0"/>
              <w:bottom w:val="single" w:color="auto" w:sz="4" w:space="0"/>
              <w:right w:val="single" w:color="auto" w:sz="4" w:space="0"/>
            </w:tcBorders>
            <w:vAlign w:val="center"/>
          </w:tcPr>
          <w:p w14:paraId="74AA63FE">
            <w:pPr>
              <w:spacing w:line="500" w:lineRule="exact"/>
              <w:rPr>
                <w:rFonts w:ascii="宋体" w:hAnsi="宋体" w:cs="宋体"/>
              </w:rPr>
            </w:pPr>
            <w:r>
              <w:rPr>
                <w:rFonts w:hint="eastAsia" w:ascii="宋体" w:hAnsi="宋体" w:cs="宋体"/>
                <w:szCs w:val="21"/>
              </w:rPr>
              <w:t>评标委员会由采购人代表和评审专家组成，成员人数为5人以上单数，其中评审专家不得少于成员总数的三分之二。评标委员会应当推选组长，但采购人代表不得担任组长。</w:t>
            </w:r>
          </w:p>
        </w:tc>
      </w:tr>
      <w:tr w14:paraId="225F1DA2">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FE9C9F5">
            <w:pPr>
              <w:spacing w:line="500" w:lineRule="exact"/>
              <w:jc w:val="center"/>
              <w:rPr>
                <w:rFonts w:ascii="宋体" w:hAnsi="宋体" w:cs="宋体"/>
              </w:rPr>
            </w:pPr>
            <w:r>
              <w:rPr>
                <w:rFonts w:hint="eastAsia" w:ascii="宋体" w:hAnsi="宋体" w:cs="宋体"/>
              </w:rPr>
              <w:t>26.5</w:t>
            </w:r>
          </w:p>
        </w:tc>
        <w:tc>
          <w:tcPr>
            <w:tcW w:w="2108" w:type="dxa"/>
            <w:tcBorders>
              <w:top w:val="single" w:color="auto" w:sz="4" w:space="0"/>
              <w:left w:val="single" w:color="auto" w:sz="4" w:space="0"/>
              <w:bottom w:val="single" w:color="auto" w:sz="4" w:space="0"/>
              <w:right w:val="single" w:color="auto" w:sz="4" w:space="0"/>
            </w:tcBorders>
            <w:vAlign w:val="center"/>
          </w:tcPr>
          <w:p w14:paraId="1F390B33">
            <w:pPr>
              <w:spacing w:line="500" w:lineRule="exact"/>
              <w:jc w:val="center"/>
              <w:rPr>
                <w:rFonts w:ascii="宋体" w:hAnsi="宋体" w:cs="宋体"/>
              </w:rPr>
            </w:pPr>
            <w:r>
              <w:rPr>
                <w:rFonts w:hint="eastAsia" w:ascii="宋体" w:hAnsi="宋体" w:cs="宋体"/>
              </w:rPr>
              <w:t>评标方法</w:t>
            </w:r>
          </w:p>
        </w:tc>
        <w:tc>
          <w:tcPr>
            <w:tcW w:w="6183" w:type="dxa"/>
            <w:tcBorders>
              <w:top w:val="single" w:color="auto" w:sz="4" w:space="0"/>
              <w:left w:val="single" w:color="auto" w:sz="4" w:space="0"/>
              <w:bottom w:val="single" w:color="auto" w:sz="4" w:space="0"/>
              <w:right w:val="single" w:color="auto" w:sz="4" w:space="0"/>
            </w:tcBorders>
            <w:vAlign w:val="center"/>
          </w:tcPr>
          <w:p w14:paraId="373A42BA">
            <w:pPr>
              <w:spacing w:line="500" w:lineRule="exact"/>
              <w:rPr>
                <w:rFonts w:ascii="宋体" w:hAnsi="宋体" w:cs="宋体"/>
              </w:rPr>
            </w:pPr>
            <w:r>
              <w:rPr>
                <w:rFonts w:hint="eastAsia" w:ascii="宋体" w:hAnsi="宋体" w:cs="宋体"/>
              </w:rPr>
              <w:t>综合评分法</w:t>
            </w:r>
          </w:p>
        </w:tc>
      </w:tr>
      <w:tr w14:paraId="61FA7E44">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363B9E5">
            <w:pPr>
              <w:spacing w:line="500" w:lineRule="exact"/>
              <w:jc w:val="center"/>
              <w:rPr>
                <w:rFonts w:ascii="宋体" w:hAnsi="宋体" w:cs="宋体"/>
              </w:rPr>
            </w:pPr>
            <w:r>
              <w:rPr>
                <w:rFonts w:hint="eastAsia" w:ascii="宋体" w:hAnsi="宋体" w:cs="宋体"/>
              </w:rPr>
              <w:t>33.1</w:t>
            </w:r>
          </w:p>
        </w:tc>
        <w:tc>
          <w:tcPr>
            <w:tcW w:w="2108" w:type="dxa"/>
            <w:tcBorders>
              <w:top w:val="single" w:color="auto" w:sz="4" w:space="0"/>
              <w:left w:val="single" w:color="auto" w:sz="4" w:space="0"/>
              <w:bottom w:val="single" w:color="auto" w:sz="4" w:space="0"/>
              <w:right w:val="single" w:color="auto" w:sz="4" w:space="0"/>
            </w:tcBorders>
            <w:vAlign w:val="center"/>
          </w:tcPr>
          <w:p w14:paraId="59AF0F1B">
            <w:pPr>
              <w:spacing w:line="500" w:lineRule="exact"/>
              <w:jc w:val="center"/>
              <w:rPr>
                <w:rFonts w:ascii="宋体" w:hAnsi="宋体" w:cs="宋体"/>
              </w:rPr>
            </w:pPr>
            <w:r>
              <w:rPr>
                <w:rFonts w:hint="eastAsia" w:ascii="宋体" w:hAnsi="宋体" w:cs="宋体"/>
              </w:rPr>
              <w:t>履约保证金</w:t>
            </w:r>
          </w:p>
        </w:tc>
        <w:tc>
          <w:tcPr>
            <w:tcW w:w="6183" w:type="dxa"/>
            <w:tcBorders>
              <w:top w:val="single" w:color="auto" w:sz="4" w:space="0"/>
              <w:left w:val="single" w:color="auto" w:sz="4" w:space="0"/>
              <w:bottom w:val="single" w:color="auto" w:sz="4" w:space="0"/>
              <w:right w:val="single" w:color="auto" w:sz="4" w:space="0"/>
            </w:tcBorders>
            <w:vAlign w:val="center"/>
          </w:tcPr>
          <w:p w14:paraId="621B6310">
            <w:pPr>
              <w:spacing w:line="500" w:lineRule="exact"/>
              <w:jc w:val="left"/>
              <w:rPr>
                <w:rFonts w:hint="eastAsia" w:ascii="宋体" w:hAnsi="宋体" w:eastAsia="宋体" w:cs="宋体"/>
                <w:lang w:eastAsia="zh-CN"/>
              </w:rPr>
            </w:pPr>
            <w:r>
              <w:rPr>
                <w:rFonts w:hint="eastAsia" w:ascii="宋体" w:hAnsi="宋体" w:cs="宋体"/>
                <w:lang w:val="en-US" w:eastAsia="zh-CN"/>
              </w:rPr>
              <w:t>不收取。</w:t>
            </w:r>
          </w:p>
        </w:tc>
      </w:tr>
      <w:tr w14:paraId="28A293C8">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E3C3BDF">
            <w:pPr>
              <w:spacing w:line="500" w:lineRule="exact"/>
              <w:jc w:val="center"/>
              <w:rPr>
                <w:rFonts w:ascii="宋体" w:hAnsi="宋体" w:cs="宋体"/>
              </w:rPr>
            </w:pPr>
            <w:r>
              <w:rPr>
                <w:rFonts w:hint="eastAsia" w:ascii="宋体" w:hAnsi="宋体" w:cs="宋体"/>
              </w:rPr>
              <w:t>34.1</w:t>
            </w:r>
          </w:p>
        </w:tc>
        <w:tc>
          <w:tcPr>
            <w:tcW w:w="2108" w:type="dxa"/>
            <w:tcBorders>
              <w:top w:val="single" w:color="auto" w:sz="4" w:space="0"/>
              <w:left w:val="single" w:color="auto" w:sz="4" w:space="0"/>
              <w:bottom w:val="single" w:color="auto" w:sz="4" w:space="0"/>
              <w:right w:val="single" w:color="auto" w:sz="4" w:space="0"/>
            </w:tcBorders>
            <w:vAlign w:val="center"/>
          </w:tcPr>
          <w:p w14:paraId="7F179DBF">
            <w:pPr>
              <w:spacing w:line="500" w:lineRule="exact"/>
              <w:jc w:val="center"/>
              <w:rPr>
                <w:rFonts w:ascii="宋体" w:hAnsi="宋体" w:cs="宋体"/>
              </w:rPr>
            </w:pPr>
            <w:r>
              <w:rPr>
                <w:rFonts w:hint="eastAsia" w:ascii="宋体" w:hAnsi="宋体" w:cs="宋体"/>
              </w:rPr>
              <w:t>采购代理服务费</w:t>
            </w:r>
          </w:p>
        </w:tc>
        <w:tc>
          <w:tcPr>
            <w:tcW w:w="6183" w:type="dxa"/>
            <w:tcBorders>
              <w:top w:val="single" w:color="auto" w:sz="4" w:space="0"/>
              <w:left w:val="single" w:color="auto" w:sz="4" w:space="0"/>
              <w:bottom w:val="single" w:color="auto" w:sz="4" w:space="0"/>
              <w:right w:val="single" w:color="auto" w:sz="4" w:space="0"/>
            </w:tcBorders>
          </w:tcPr>
          <w:p w14:paraId="6B5D5B76">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kern w:val="0"/>
                <w:highlight w:val="none"/>
                <w:lang w:eastAsia="zh-CN"/>
                <w14:textFill>
                  <w14:solidFill>
                    <w14:schemeClr w14:val="tx1"/>
                  </w14:solidFill>
                </w14:textFill>
              </w:rPr>
            </w:pPr>
            <w:r>
              <w:rPr>
                <w:rFonts w:hint="eastAsia" w:ascii="宋体" w:hAnsi="宋体" w:eastAsia="宋体" w:cs="宋体"/>
                <w:color w:val="000000" w:themeColor="text1"/>
                <w:kern w:val="0"/>
                <w:highlight w:val="none"/>
                <w:lang w:val="en-US" w:eastAsia="zh-CN"/>
                <w14:textFill>
                  <w14:solidFill>
                    <w14:schemeClr w14:val="tx1"/>
                  </w14:solidFill>
                </w14:textFill>
              </w:rPr>
              <w:t>标准：</w:t>
            </w:r>
            <w:r>
              <w:rPr>
                <w:rFonts w:hint="eastAsia" w:ascii="宋体" w:hAnsi="宋体" w:eastAsia="宋体" w:cs="宋体"/>
                <w:color w:val="000000" w:themeColor="text1"/>
                <w:kern w:val="0"/>
                <w:highlight w:val="none"/>
                <w:lang w:eastAsia="zh-CN"/>
                <w14:textFill>
                  <w14:solidFill>
                    <w14:schemeClr w14:val="tx1"/>
                  </w14:solidFill>
                </w14:textFill>
              </w:rPr>
              <w:t>采购代理服务费参照国家计委[2002]1980号文件规定的</w:t>
            </w:r>
            <w:r>
              <w:rPr>
                <w:rFonts w:hint="eastAsia" w:ascii="宋体" w:hAnsi="宋体" w:cs="宋体"/>
                <w:color w:val="000000" w:themeColor="text1"/>
                <w:kern w:val="0"/>
                <w:highlight w:val="none"/>
                <w:lang w:val="en-US" w:eastAsia="zh-CN"/>
                <w14:textFill>
                  <w14:solidFill>
                    <w14:schemeClr w14:val="tx1"/>
                  </w14:solidFill>
                </w14:textFill>
              </w:rPr>
              <w:t>服务</w:t>
            </w:r>
            <w:r>
              <w:rPr>
                <w:rFonts w:hint="eastAsia" w:ascii="宋体" w:hAnsi="宋体" w:eastAsia="宋体" w:cs="宋体"/>
                <w:color w:val="000000" w:themeColor="text1"/>
                <w:kern w:val="0"/>
                <w:highlight w:val="none"/>
                <w:lang w:eastAsia="zh-CN"/>
                <w14:textFill>
                  <w14:solidFill>
                    <w14:schemeClr w14:val="tx1"/>
                  </w14:solidFill>
                </w14:textFill>
              </w:rPr>
              <w:t>类项目收费标准下浮30%向中标人收取（计算基准价为中标金额），此费用包含在中标人报价中。</w:t>
            </w:r>
          </w:p>
          <w:p w14:paraId="03DC8263">
            <w:pPr>
              <w:spacing w:line="500" w:lineRule="exact"/>
              <w:rPr>
                <w:rFonts w:ascii="宋体" w:hAnsi="宋体" w:cs="宋体"/>
                <w:kern w:val="0"/>
              </w:rPr>
            </w:pPr>
            <w:r>
              <w:rPr>
                <w:rFonts w:hint="eastAsia" w:ascii="宋体" w:hAnsi="宋体" w:eastAsia="宋体" w:cs="宋体"/>
                <w:color w:val="000000" w:themeColor="text1"/>
                <w:kern w:val="0"/>
                <w:highlight w:val="none"/>
                <w:lang w:eastAsia="zh-CN"/>
                <w14:textFill>
                  <w14:solidFill>
                    <w14:schemeClr w14:val="tx1"/>
                  </w14:solidFill>
                </w14:textFill>
              </w:rPr>
              <w:t>方式：现金、网银、电汇、支票、汇票等形式。</w:t>
            </w:r>
          </w:p>
        </w:tc>
      </w:tr>
      <w:tr w14:paraId="1BA35CC9">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58E223D">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cs="宋体"/>
              </w:rPr>
            </w:pPr>
            <w:r>
              <w:rPr>
                <w:rFonts w:hint="eastAsia" w:ascii="宋体" w:hAnsi="宋体" w:eastAsia="宋体" w:cs="宋体"/>
                <w:color w:val="000000" w:themeColor="text1"/>
                <w:highlight w:val="none"/>
                <w14:textFill>
                  <w14:solidFill>
                    <w14:schemeClr w14:val="tx1"/>
                  </w14:solidFill>
                </w14:textFill>
              </w:rPr>
              <w:t>36.1.8</w:t>
            </w:r>
          </w:p>
        </w:tc>
        <w:tc>
          <w:tcPr>
            <w:tcW w:w="8291" w:type="dxa"/>
            <w:gridSpan w:val="2"/>
            <w:tcBorders>
              <w:top w:val="single" w:color="auto" w:sz="4" w:space="0"/>
              <w:left w:val="single" w:color="auto" w:sz="4" w:space="0"/>
              <w:bottom w:val="single" w:color="auto" w:sz="4" w:space="0"/>
              <w:right w:val="single" w:color="auto" w:sz="4" w:space="0"/>
            </w:tcBorders>
            <w:vAlign w:val="center"/>
          </w:tcPr>
          <w:p w14:paraId="1746EE3F">
            <w:pPr>
              <w:keepNext w:val="0"/>
              <w:keepLines w:val="0"/>
              <w:pageBreakBefore w:val="0"/>
              <w:tabs>
                <w:tab w:val="left" w:pos="1946"/>
              </w:tabs>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根据“《关于印发《政府采购促进中小企业发展管理办法》的通知》（财库〔2020〕46号）的规定，针对小微企业报价给予10%的扣除，用扣除后的价格参与评审。符合条件的投标人应根据下表所属行业填写《中小企业声明函》：</w:t>
            </w:r>
          </w:p>
          <w:tbl>
            <w:tblPr>
              <w:tblStyle w:val="41"/>
              <w:tblW w:w="6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948"/>
              <w:gridCol w:w="1468"/>
              <w:gridCol w:w="1934"/>
            </w:tblGrid>
            <w:tr w14:paraId="6A862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2948" w:type="dxa"/>
                  <w:shd w:val="clear" w:color="auto" w:fill="D7D7D7" w:themeFill="background1" w:themeFillShade="D8"/>
                  <w:tcMar>
                    <w:top w:w="15" w:type="dxa"/>
                    <w:left w:w="15" w:type="dxa"/>
                    <w:right w:w="15" w:type="dxa"/>
                  </w:tcMar>
                  <w:vAlign w:val="center"/>
                </w:tcPr>
                <w:p w14:paraId="28336AC1">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标的</w:t>
                  </w:r>
                  <w:r>
                    <w:rPr>
                      <w:rFonts w:hint="eastAsia" w:ascii="宋体" w:hAnsi="宋体" w:eastAsia="宋体" w:cs="宋体"/>
                      <w:b/>
                      <w:color w:val="000000" w:themeColor="text1"/>
                      <w:szCs w:val="21"/>
                      <w:highlight w:val="none"/>
                      <w14:textFill>
                        <w14:solidFill>
                          <w14:schemeClr w14:val="tx1"/>
                        </w14:solidFill>
                      </w14:textFill>
                    </w:rPr>
                    <w:t>名称</w:t>
                  </w:r>
                </w:p>
              </w:tc>
              <w:tc>
                <w:tcPr>
                  <w:tcW w:w="1468" w:type="dxa"/>
                  <w:shd w:val="clear" w:color="auto" w:fill="D7D7D7" w:themeFill="background1" w:themeFillShade="D8"/>
                  <w:tcMar>
                    <w:top w:w="15" w:type="dxa"/>
                    <w:left w:w="15" w:type="dxa"/>
                    <w:right w:w="15" w:type="dxa"/>
                  </w:tcMar>
                  <w:vAlign w:val="center"/>
                </w:tcPr>
                <w:p w14:paraId="4C7B2181">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所属行业</w:t>
                  </w:r>
                </w:p>
              </w:tc>
              <w:tc>
                <w:tcPr>
                  <w:tcW w:w="1934" w:type="dxa"/>
                  <w:shd w:val="clear" w:color="auto" w:fill="D7D7D7" w:themeFill="background1" w:themeFillShade="D8"/>
                  <w:tcMar>
                    <w:top w:w="15" w:type="dxa"/>
                    <w:left w:w="15" w:type="dxa"/>
                    <w:right w:w="15" w:type="dxa"/>
                  </w:tcMar>
                  <w:vAlign w:val="center"/>
                </w:tcPr>
                <w:p w14:paraId="07A04635">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划型标准</w:t>
                  </w:r>
                </w:p>
              </w:tc>
            </w:tr>
            <w:tr w14:paraId="72AA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2948" w:type="dxa"/>
                  <w:tcMar>
                    <w:top w:w="15" w:type="dxa"/>
                    <w:left w:w="15" w:type="dxa"/>
                    <w:right w:w="15" w:type="dxa"/>
                  </w:tcMar>
                  <w:vAlign w:val="center"/>
                </w:tcPr>
                <w:p w14:paraId="65012EC0">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昆明市官渡区人民医院医疗责任保险服务</w:t>
                  </w:r>
                </w:p>
              </w:tc>
              <w:tc>
                <w:tcPr>
                  <w:tcW w:w="1468" w:type="dxa"/>
                  <w:tcMar>
                    <w:top w:w="15" w:type="dxa"/>
                    <w:left w:w="15" w:type="dxa"/>
                    <w:right w:w="15" w:type="dxa"/>
                  </w:tcMar>
                  <w:vAlign w:val="center"/>
                </w:tcPr>
                <w:p w14:paraId="7AD8425E">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金融</w:t>
                  </w:r>
                  <w:r>
                    <w:rPr>
                      <w:rFonts w:hint="eastAsia" w:ascii="宋体" w:hAnsi="宋体" w:eastAsia="宋体" w:cs="宋体"/>
                      <w:color w:val="000000" w:themeColor="text1"/>
                      <w:kern w:val="0"/>
                      <w:szCs w:val="21"/>
                      <w:highlight w:val="none"/>
                      <w:lang w:val="en-US" w:eastAsia="zh-CN"/>
                      <w14:textFill>
                        <w14:solidFill>
                          <w14:schemeClr w14:val="tx1"/>
                        </w14:solidFill>
                      </w14:textFill>
                    </w:rPr>
                    <w:t>业</w:t>
                  </w:r>
                </w:p>
              </w:tc>
              <w:tc>
                <w:tcPr>
                  <w:tcW w:w="1934" w:type="dxa"/>
                  <w:tcMar>
                    <w:top w:w="15" w:type="dxa"/>
                    <w:left w:w="15" w:type="dxa"/>
                    <w:right w:w="15" w:type="dxa"/>
                  </w:tcMar>
                  <w:vAlign w:val="center"/>
                </w:tcPr>
                <w:p w14:paraId="12AF4B0C">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其他未列明行业</w:t>
                  </w:r>
                </w:p>
              </w:tc>
            </w:tr>
          </w:tbl>
          <w:p w14:paraId="6CAA7526">
            <w:pPr>
              <w:keepNext w:val="0"/>
              <w:keepLines w:val="0"/>
              <w:pageBreakBefore w:val="0"/>
              <w:kinsoku/>
              <w:overflowPunct/>
              <w:topLinePunct w:val="0"/>
              <w:bidi w:val="0"/>
              <w:adjustRightInd/>
              <w:spacing w:before="0" w:beforeAutospacing="0" w:after="0" w:afterAutospacing="0" w:line="480" w:lineRule="exact"/>
              <w:ind w:left="0" w:leftChars="0"/>
              <w:jc w:val="center"/>
              <w:rPr>
                <w:rFonts w:hint="eastAsia" w:ascii="宋体" w:hAnsi="宋体" w:cs="宋体"/>
              </w:rPr>
            </w:pPr>
          </w:p>
        </w:tc>
      </w:tr>
      <w:tr w14:paraId="67E3BC41">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60ECF40">
            <w:pPr>
              <w:spacing w:line="500" w:lineRule="exact"/>
              <w:jc w:val="center"/>
              <w:rPr>
                <w:rFonts w:ascii="宋体" w:hAnsi="宋体" w:cs="宋体"/>
              </w:rPr>
            </w:pPr>
            <w:r>
              <w:rPr>
                <w:rFonts w:hint="eastAsia" w:ascii="宋体" w:hAnsi="宋体" w:cs="宋体"/>
              </w:rPr>
              <w:t>36.5</w:t>
            </w:r>
          </w:p>
        </w:tc>
        <w:tc>
          <w:tcPr>
            <w:tcW w:w="2108" w:type="dxa"/>
            <w:tcBorders>
              <w:top w:val="single" w:color="auto" w:sz="4" w:space="0"/>
              <w:left w:val="single" w:color="auto" w:sz="4" w:space="0"/>
              <w:bottom w:val="single" w:color="auto" w:sz="4" w:space="0"/>
              <w:right w:val="single" w:color="auto" w:sz="4" w:space="0"/>
            </w:tcBorders>
            <w:vAlign w:val="center"/>
          </w:tcPr>
          <w:p w14:paraId="154A760A">
            <w:pPr>
              <w:spacing w:line="500" w:lineRule="exact"/>
              <w:jc w:val="center"/>
              <w:rPr>
                <w:rFonts w:ascii="宋体" w:hAnsi="宋体" w:cs="宋体"/>
              </w:rPr>
            </w:pPr>
            <w:r>
              <w:rPr>
                <w:rFonts w:hint="eastAsia" w:ascii="宋体" w:hAnsi="宋体" w:cs="宋体"/>
              </w:rPr>
              <w:t>其它注意事项</w:t>
            </w:r>
          </w:p>
        </w:tc>
        <w:tc>
          <w:tcPr>
            <w:tcW w:w="6183" w:type="dxa"/>
            <w:tcBorders>
              <w:top w:val="single" w:color="auto" w:sz="4" w:space="0"/>
              <w:left w:val="single" w:color="auto" w:sz="4" w:space="0"/>
              <w:bottom w:val="single" w:color="auto" w:sz="4" w:space="0"/>
              <w:right w:val="single" w:color="auto" w:sz="4" w:space="0"/>
            </w:tcBorders>
          </w:tcPr>
          <w:p w14:paraId="24B3D1CA">
            <w:pPr>
              <w:spacing w:line="500" w:lineRule="exact"/>
              <w:rPr>
                <w:rFonts w:ascii="宋体" w:hAnsi="宋体" w:cs="宋体"/>
              </w:rPr>
            </w:pPr>
            <w:r>
              <w:rPr>
                <w:rFonts w:hint="eastAsia" w:ascii="宋体" w:hAnsi="宋体" w:cs="宋体"/>
              </w:rPr>
              <w:t>以下情况视为投标人同意撤回已上传系统的投标文件或其投标文件无效：</w:t>
            </w:r>
          </w:p>
          <w:p w14:paraId="5BBCEBDA">
            <w:pPr>
              <w:spacing w:line="500" w:lineRule="exact"/>
              <w:rPr>
                <w:rFonts w:ascii="宋体" w:hAnsi="宋体" w:cs="宋体"/>
              </w:rPr>
            </w:pPr>
            <w:r>
              <w:rPr>
                <w:rFonts w:hint="eastAsia" w:ascii="宋体" w:hAnsi="宋体" w:cs="宋体"/>
              </w:rPr>
              <w:t xml:space="preserve">（1）政采云电子平台显示投标人未上传投标文件； </w:t>
            </w:r>
          </w:p>
          <w:p w14:paraId="35737A3E">
            <w:pPr>
              <w:spacing w:line="500" w:lineRule="exact"/>
              <w:rPr>
                <w:rFonts w:ascii="宋体" w:hAnsi="宋体" w:cs="宋体"/>
              </w:rPr>
            </w:pPr>
            <w:r>
              <w:rPr>
                <w:rFonts w:hint="eastAsia" w:ascii="宋体" w:hAnsi="宋体" w:cs="宋体"/>
              </w:rPr>
              <w:t>（2）因投标人原因上传的投标文件在开启文件时无法解密。</w:t>
            </w:r>
          </w:p>
          <w:p w14:paraId="0B6F2B71">
            <w:pPr>
              <w:spacing w:line="500" w:lineRule="exact"/>
              <w:rPr>
                <w:rFonts w:ascii="宋体" w:hAnsi="宋体" w:cs="宋体"/>
                <w:kern w:val="0"/>
              </w:rPr>
            </w:pPr>
            <w:r>
              <w:rPr>
                <w:rFonts w:hint="eastAsia" w:ascii="宋体" w:hAnsi="宋体" w:cs="宋体"/>
              </w:rPr>
              <w:t>（3）因投标人自身原因导致未在规定时间内完成投标文件解密。</w:t>
            </w:r>
          </w:p>
        </w:tc>
      </w:tr>
    </w:tbl>
    <w:p w14:paraId="26C8CD78">
      <w:pPr>
        <w:pStyle w:val="13"/>
        <w:spacing w:line="440" w:lineRule="exact"/>
        <w:rPr>
          <w:rFonts w:ascii="宋体" w:hAnsi="宋体" w:cs="宋体"/>
          <w:kern w:val="0"/>
        </w:rPr>
      </w:pPr>
      <w:r>
        <w:rPr>
          <w:rFonts w:hint="eastAsia" w:ascii="宋体" w:hAnsi="宋体" w:cs="宋体"/>
          <w:kern w:val="0"/>
        </w:rPr>
        <w:br w:type="page"/>
      </w:r>
    </w:p>
    <w:p w14:paraId="23F85218">
      <w:pPr>
        <w:pStyle w:val="3"/>
        <w:spacing w:before="0" w:line="360" w:lineRule="auto"/>
        <w:jc w:val="center"/>
        <w:rPr>
          <w:rFonts w:ascii="宋体" w:hAnsi="宋体" w:cs="宋体"/>
          <w:color w:val="auto"/>
          <w:sz w:val="28"/>
          <w:szCs w:val="28"/>
        </w:rPr>
      </w:pPr>
      <w:bookmarkStart w:id="101" w:name="_Toc12318"/>
      <w:bookmarkStart w:id="102" w:name="_Toc528186452"/>
      <w:bookmarkStart w:id="103" w:name="_Toc25350"/>
      <w:bookmarkStart w:id="104" w:name="_Toc26906"/>
      <w:bookmarkStart w:id="105" w:name="_Toc1787"/>
      <w:r>
        <w:rPr>
          <w:rFonts w:hint="eastAsia" w:ascii="宋体" w:hAnsi="宋体" w:cs="宋体"/>
          <w:color w:val="auto"/>
          <w:sz w:val="28"/>
          <w:szCs w:val="28"/>
        </w:rPr>
        <w:t>一、总则</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101"/>
      <w:bookmarkEnd w:id="102"/>
      <w:bookmarkEnd w:id="103"/>
      <w:bookmarkEnd w:id="104"/>
      <w:bookmarkEnd w:id="105"/>
    </w:p>
    <w:p w14:paraId="140A498D">
      <w:pPr>
        <w:spacing w:line="360" w:lineRule="auto"/>
        <w:jc w:val="left"/>
        <w:rPr>
          <w:rFonts w:ascii="宋体" w:hAnsi="宋体" w:cs="宋体"/>
          <w:b/>
          <w:bCs/>
          <w:sz w:val="24"/>
          <w:szCs w:val="24"/>
        </w:rPr>
      </w:pPr>
      <w:bookmarkStart w:id="106" w:name="_Toc246996176"/>
      <w:bookmarkStart w:id="107" w:name="_Toc296602421"/>
      <w:bookmarkStart w:id="108" w:name="_Toc31121"/>
      <w:bookmarkStart w:id="109" w:name="_Toc247085690"/>
      <w:bookmarkStart w:id="110" w:name="_Toc246996919"/>
      <w:bookmarkStart w:id="111" w:name="_Toc144974498"/>
      <w:bookmarkStart w:id="112" w:name="_Toc489197808"/>
      <w:bookmarkStart w:id="113" w:name="_Toc18164"/>
      <w:bookmarkStart w:id="114" w:name="_Toc152045530"/>
      <w:bookmarkStart w:id="115" w:name="_Toc24232"/>
      <w:bookmarkStart w:id="116" w:name="_Toc152042306"/>
      <w:bookmarkStart w:id="117" w:name="_Toc528186453"/>
      <w:bookmarkStart w:id="118" w:name="_Toc179632547"/>
      <w:bookmarkStart w:id="119" w:name="_Toc489145704"/>
      <w:r>
        <w:rPr>
          <w:rFonts w:hint="eastAsia" w:ascii="宋体" w:hAnsi="宋体" w:cs="宋体"/>
          <w:b/>
          <w:bCs/>
          <w:sz w:val="24"/>
          <w:szCs w:val="24"/>
        </w:rPr>
        <w:t>1.项目概况</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57C9BFAF">
      <w:pPr>
        <w:spacing w:line="360" w:lineRule="auto"/>
        <w:ind w:firstLine="420"/>
        <w:jc w:val="left"/>
        <w:rPr>
          <w:rFonts w:ascii="宋体" w:hAnsi="宋体" w:cs="宋体"/>
          <w:szCs w:val="21"/>
        </w:rPr>
      </w:pPr>
      <w:r>
        <w:rPr>
          <w:rFonts w:hint="eastAsia" w:ascii="宋体" w:hAnsi="宋体" w:cs="宋体"/>
          <w:szCs w:val="21"/>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7D0E2BD4">
      <w:pPr>
        <w:spacing w:line="360" w:lineRule="auto"/>
        <w:ind w:firstLine="420"/>
        <w:jc w:val="left"/>
        <w:rPr>
          <w:rFonts w:ascii="宋体" w:hAnsi="宋体" w:cs="宋体"/>
          <w:szCs w:val="21"/>
        </w:rPr>
      </w:pPr>
      <w:r>
        <w:rPr>
          <w:rFonts w:hint="eastAsia" w:ascii="宋体" w:hAnsi="宋体" w:cs="宋体"/>
          <w:szCs w:val="21"/>
        </w:rPr>
        <w:t>1.2采购人：详见《投标人须知前附表》。</w:t>
      </w:r>
    </w:p>
    <w:p w14:paraId="4089F2CB">
      <w:pPr>
        <w:spacing w:line="360" w:lineRule="auto"/>
        <w:ind w:firstLine="420"/>
        <w:jc w:val="left"/>
        <w:rPr>
          <w:rFonts w:ascii="宋体" w:hAnsi="宋体" w:cs="宋体"/>
          <w:szCs w:val="21"/>
        </w:rPr>
      </w:pPr>
      <w:r>
        <w:rPr>
          <w:rFonts w:hint="eastAsia" w:ascii="宋体" w:hAnsi="宋体" w:cs="宋体"/>
          <w:szCs w:val="21"/>
        </w:rPr>
        <w:t>1.3采购代理机构：详见《投标人须知前附表》。</w:t>
      </w:r>
    </w:p>
    <w:p w14:paraId="7AE5A029">
      <w:pPr>
        <w:spacing w:line="360" w:lineRule="auto"/>
        <w:ind w:firstLine="420"/>
        <w:jc w:val="left"/>
        <w:rPr>
          <w:rFonts w:ascii="宋体" w:hAnsi="宋体" w:cs="宋体"/>
          <w:szCs w:val="21"/>
        </w:rPr>
      </w:pPr>
      <w:r>
        <w:rPr>
          <w:rFonts w:hint="eastAsia" w:ascii="宋体" w:hAnsi="宋体" w:cs="宋体"/>
          <w:szCs w:val="21"/>
        </w:rPr>
        <w:t>1.4项目名称及项目编号：详见《投标人须知前附表》。</w:t>
      </w:r>
    </w:p>
    <w:p w14:paraId="1A1CFEEB">
      <w:pPr>
        <w:spacing w:line="360" w:lineRule="auto"/>
        <w:jc w:val="left"/>
        <w:rPr>
          <w:rFonts w:ascii="宋体" w:hAnsi="宋体" w:cs="宋体"/>
          <w:b/>
          <w:bCs/>
          <w:sz w:val="24"/>
          <w:szCs w:val="24"/>
        </w:rPr>
      </w:pPr>
      <w:bookmarkStart w:id="120" w:name="_Toc144974499"/>
      <w:bookmarkStart w:id="121" w:name="_Toc489145705"/>
      <w:bookmarkStart w:id="122" w:name="_Toc247085691"/>
      <w:bookmarkStart w:id="123" w:name="_Toc489197809"/>
      <w:bookmarkStart w:id="124" w:name="_Toc179632548"/>
      <w:bookmarkStart w:id="125" w:name="_Toc528186454"/>
      <w:bookmarkStart w:id="126" w:name="_Toc296602422"/>
      <w:bookmarkStart w:id="127" w:name="_Toc246996920"/>
      <w:bookmarkStart w:id="128" w:name="_Toc246996177"/>
      <w:bookmarkStart w:id="129" w:name="_Toc152042307"/>
      <w:bookmarkStart w:id="130" w:name="_Toc152045531"/>
      <w:bookmarkStart w:id="131" w:name="_Toc2063"/>
      <w:bookmarkStart w:id="132" w:name="_Toc9634"/>
      <w:bookmarkStart w:id="133" w:name="_Toc29064"/>
      <w:r>
        <w:rPr>
          <w:rFonts w:hint="eastAsia" w:ascii="宋体" w:hAnsi="宋体" w:cs="宋体"/>
          <w:b/>
          <w:bCs/>
          <w:sz w:val="24"/>
          <w:szCs w:val="24"/>
        </w:rPr>
        <w:t>2.</w:t>
      </w:r>
      <w:bookmarkEnd w:id="120"/>
      <w:bookmarkEnd w:id="121"/>
      <w:bookmarkEnd w:id="122"/>
      <w:bookmarkEnd w:id="123"/>
      <w:bookmarkEnd w:id="124"/>
      <w:bookmarkEnd w:id="125"/>
      <w:bookmarkEnd w:id="126"/>
      <w:bookmarkEnd w:id="127"/>
      <w:bookmarkEnd w:id="128"/>
      <w:bookmarkEnd w:id="129"/>
      <w:bookmarkEnd w:id="130"/>
      <w:r>
        <w:rPr>
          <w:rFonts w:hint="eastAsia" w:ascii="宋体" w:hAnsi="宋体" w:cs="宋体"/>
          <w:b/>
          <w:bCs/>
          <w:sz w:val="24"/>
          <w:szCs w:val="24"/>
        </w:rPr>
        <w:t>预算金额</w:t>
      </w:r>
      <w:bookmarkEnd w:id="131"/>
      <w:bookmarkEnd w:id="132"/>
      <w:bookmarkEnd w:id="133"/>
      <w:r>
        <w:rPr>
          <w:rFonts w:hint="eastAsia" w:ascii="宋体" w:hAnsi="宋体" w:cs="宋体"/>
          <w:b/>
          <w:bCs/>
          <w:sz w:val="24"/>
          <w:szCs w:val="24"/>
        </w:rPr>
        <w:t>及最高限价</w:t>
      </w:r>
    </w:p>
    <w:p w14:paraId="6E471869">
      <w:pPr>
        <w:spacing w:line="360" w:lineRule="auto"/>
        <w:ind w:firstLine="420"/>
        <w:jc w:val="left"/>
        <w:rPr>
          <w:rFonts w:ascii="宋体" w:hAnsi="宋体" w:cs="宋体"/>
          <w:b/>
          <w:bCs/>
          <w:sz w:val="24"/>
          <w:szCs w:val="24"/>
        </w:rPr>
      </w:pPr>
      <w:r>
        <w:rPr>
          <w:rFonts w:hint="eastAsia" w:ascii="宋体" w:hAnsi="宋体" w:cs="宋体"/>
          <w:szCs w:val="21"/>
        </w:rPr>
        <w:t>2.1预算金额及最高限价：详见《投标人须知前附表》。</w:t>
      </w:r>
      <w:bookmarkStart w:id="134" w:name="_Toc246996178"/>
      <w:bookmarkStart w:id="135" w:name="_Toc247085692"/>
      <w:bookmarkStart w:id="136" w:name="_Toc152042308"/>
      <w:bookmarkStart w:id="137" w:name="_Toc179632549"/>
      <w:bookmarkStart w:id="138" w:name="_Toc144974500"/>
      <w:bookmarkStart w:id="139" w:name="_Toc246996921"/>
      <w:bookmarkStart w:id="140" w:name="_Toc296602423"/>
      <w:bookmarkStart w:id="141" w:name="_Toc152045532"/>
      <w:bookmarkStart w:id="142" w:name="_Toc1203"/>
      <w:bookmarkStart w:id="143" w:name="_Toc9355"/>
      <w:bookmarkStart w:id="144" w:name="_Toc528186455"/>
      <w:bookmarkStart w:id="145" w:name="_Toc9600"/>
      <w:bookmarkStart w:id="146" w:name="_Toc489145706"/>
      <w:bookmarkStart w:id="147" w:name="_Toc489197810"/>
    </w:p>
    <w:p w14:paraId="1305C533">
      <w:pPr>
        <w:spacing w:line="360" w:lineRule="auto"/>
        <w:jc w:val="left"/>
        <w:rPr>
          <w:rFonts w:ascii="宋体" w:hAnsi="宋体" w:cs="宋体"/>
          <w:b/>
          <w:bCs/>
          <w:sz w:val="24"/>
          <w:szCs w:val="24"/>
        </w:rPr>
      </w:pPr>
      <w:r>
        <w:rPr>
          <w:rFonts w:hint="eastAsia" w:ascii="宋体" w:hAnsi="宋体" w:cs="宋体"/>
          <w:b/>
          <w:bCs/>
          <w:sz w:val="24"/>
          <w:szCs w:val="24"/>
        </w:rPr>
        <w:t>3.</w:t>
      </w:r>
      <w:bookmarkEnd w:id="134"/>
      <w:bookmarkEnd w:id="135"/>
      <w:bookmarkEnd w:id="136"/>
      <w:bookmarkEnd w:id="137"/>
      <w:bookmarkEnd w:id="138"/>
      <w:bookmarkEnd w:id="139"/>
      <w:bookmarkEnd w:id="140"/>
      <w:bookmarkEnd w:id="141"/>
      <w:bookmarkStart w:id="148" w:name="_Toc421541057"/>
      <w:bookmarkStart w:id="149" w:name="_Toc427056529"/>
      <w:bookmarkStart w:id="150" w:name="_Toc427056451"/>
      <w:r>
        <w:rPr>
          <w:rFonts w:hint="eastAsia" w:ascii="宋体" w:hAnsi="宋体" w:cs="宋体"/>
          <w:b/>
          <w:bCs/>
          <w:sz w:val="24"/>
          <w:szCs w:val="24"/>
        </w:rPr>
        <w:t>采购需求及</w:t>
      </w:r>
      <w:bookmarkEnd w:id="142"/>
      <w:bookmarkEnd w:id="143"/>
      <w:bookmarkEnd w:id="144"/>
      <w:bookmarkEnd w:id="145"/>
      <w:bookmarkEnd w:id="146"/>
      <w:bookmarkEnd w:id="147"/>
      <w:bookmarkEnd w:id="148"/>
      <w:bookmarkEnd w:id="149"/>
      <w:bookmarkEnd w:id="150"/>
      <w:r>
        <w:rPr>
          <w:rFonts w:hint="eastAsia" w:ascii="宋体" w:hAnsi="宋体" w:cs="宋体"/>
          <w:b/>
          <w:bCs/>
          <w:sz w:val="24"/>
          <w:szCs w:val="24"/>
          <w:lang w:eastAsia="zh-CN"/>
        </w:rPr>
        <w:t>服务期限</w:t>
      </w:r>
      <w:r>
        <w:rPr>
          <w:rFonts w:hint="eastAsia" w:ascii="宋体" w:hAnsi="宋体" w:cs="宋体"/>
          <w:b/>
          <w:bCs/>
          <w:sz w:val="24"/>
          <w:szCs w:val="24"/>
        </w:rPr>
        <w:t>、服务地点</w:t>
      </w:r>
    </w:p>
    <w:p w14:paraId="4D86D000">
      <w:pPr>
        <w:spacing w:line="360" w:lineRule="auto"/>
        <w:ind w:firstLine="420"/>
        <w:jc w:val="left"/>
        <w:rPr>
          <w:rFonts w:ascii="宋体" w:hAnsi="宋体" w:cs="宋体"/>
          <w:szCs w:val="21"/>
        </w:rPr>
      </w:pPr>
      <w:r>
        <w:rPr>
          <w:rFonts w:hint="eastAsia" w:ascii="宋体" w:hAnsi="宋体" w:cs="宋体"/>
          <w:szCs w:val="21"/>
        </w:rPr>
        <w:t>3.1本项目采购需求：详见《投标人须知前附表》。</w:t>
      </w:r>
    </w:p>
    <w:p w14:paraId="2861042B">
      <w:pPr>
        <w:spacing w:line="360" w:lineRule="auto"/>
        <w:ind w:firstLine="420"/>
        <w:jc w:val="left"/>
        <w:rPr>
          <w:rFonts w:ascii="宋体" w:hAnsi="宋体" w:cs="宋体"/>
          <w:szCs w:val="21"/>
        </w:rPr>
      </w:pPr>
      <w:r>
        <w:rPr>
          <w:rFonts w:hint="eastAsia" w:ascii="宋体" w:hAnsi="宋体" w:cs="宋体"/>
          <w:szCs w:val="21"/>
        </w:rPr>
        <w:t>3.2本项目</w:t>
      </w:r>
      <w:r>
        <w:rPr>
          <w:rFonts w:hint="eastAsia" w:ascii="宋体" w:hAnsi="宋体" w:cs="宋体"/>
          <w:szCs w:val="21"/>
          <w:lang w:eastAsia="zh-CN"/>
        </w:rPr>
        <w:t>服务期限</w:t>
      </w:r>
      <w:r>
        <w:rPr>
          <w:rFonts w:hint="eastAsia" w:ascii="宋体" w:hAnsi="宋体" w:cs="宋体"/>
          <w:szCs w:val="21"/>
        </w:rPr>
        <w:t>、服务地点：详见《投标人须知前附表》。</w:t>
      </w:r>
    </w:p>
    <w:p w14:paraId="069DAB92">
      <w:pPr>
        <w:spacing w:line="360" w:lineRule="auto"/>
        <w:ind w:firstLine="420"/>
        <w:jc w:val="left"/>
        <w:rPr>
          <w:rFonts w:ascii="宋体" w:hAnsi="宋体" w:cs="宋体"/>
          <w:szCs w:val="21"/>
        </w:rPr>
      </w:pPr>
      <w:r>
        <w:rPr>
          <w:rFonts w:hint="eastAsia" w:ascii="宋体" w:hAnsi="宋体" w:cs="宋体"/>
          <w:szCs w:val="21"/>
        </w:rPr>
        <w:t>3.3是否接受联合体参加：详见《投标人须知前附表》。</w:t>
      </w:r>
    </w:p>
    <w:p w14:paraId="1EA55A43">
      <w:pPr>
        <w:spacing w:line="360" w:lineRule="auto"/>
        <w:jc w:val="left"/>
        <w:rPr>
          <w:rFonts w:ascii="宋体" w:hAnsi="宋体" w:cs="宋体"/>
          <w:b/>
          <w:bCs/>
          <w:sz w:val="24"/>
          <w:szCs w:val="24"/>
        </w:rPr>
      </w:pPr>
      <w:bookmarkStart w:id="151" w:name="_Toc246996180"/>
      <w:bookmarkStart w:id="152" w:name="_Toc246996923"/>
      <w:bookmarkStart w:id="153" w:name="_Toc152045535"/>
      <w:bookmarkStart w:id="154" w:name="_Toc152042311"/>
      <w:bookmarkStart w:id="155" w:name="_Toc296602425"/>
      <w:bookmarkStart w:id="156" w:name="_Toc179632552"/>
      <w:bookmarkStart w:id="157" w:name="_Toc247085694"/>
      <w:bookmarkStart w:id="158" w:name="_Toc144974503"/>
      <w:r>
        <w:rPr>
          <w:rFonts w:hint="eastAsia" w:ascii="宋体" w:hAnsi="宋体" w:cs="宋体"/>
          <w:b/>
          <w:bCs/>
          <w:sz w:val="24"/>
          <w:szCs w:val="24"/>
        </w:rPr>
        <w:t>★4.投标人资格要求</w:t>
      </w:r>
    </w:p>
    <w:p w14:paraId="41FF46F5">
      <w:pPr>
        <w:spacing w:line="360" w:lineRule="auto"/>
        <w:ind w:firstLine="420"/>
        <w:jc w:val="left"/>
        <w:rPr>
          <w:rFonts w:ascii="宋体" w:hAnsi="宋体" w:cs="宋体"/>
          <w:szCs w:val="21"/>
        </w:rPr>
      </w:pPr>
      <w:r>
        <w:rPr>
          <w:rFonts w:hint="eastAsia" w:ascii="宋体" w:hAnsi="宋体" w:cs="宋体"/>
          <w:szCs w:val="21"/>
        </w:rPr>
        <w:t>4.1投标人资格要求：详见《投标人须知前附表》</w:t>
      </w:r>
    </w:p>
    <w:p w14:paraId="7EE3DFFF">
      <w:pPr>
        <w:spacing w:line="360" w:lineRule="auto"/>
        <w:ind w:firstLine="420"/>
        <w:jc w:val="left"/>
        <w:rPr>
          <w:rFonts w:ascii="宋体" w:hAnsi="宋体" w:cs="宋体"/>
          <w:szCs w:val="21"/>
        </w:rPr>
      </w:pPr>
      <w:r>
        <w:rPr>
          <w:rFonts w:hint="eastAsia" w:ascii="宋体" w:hAnsi="宋体" w:cs="宋体"/>
          <w:szCs w:val="21"/>
        </w:rPr>
        <w:t>4.2采购人根据采购项目的特殊要求规定的特定条件：详见《投标人须知前附表》</w:t>
      </w:r>
    </w:p>
    <w:p w14:paraId="5A99E55B">
      <w:pPr>
        <w:spacing w:line="360" w:lineRule="auto"/>
        <w:ind w:firstLine="420"/>
        <w:jc w:val="left"/>
        <w:rPr>
          <w:rFonts w:ascii="宋体" w:hAnsi="宋体" w:cs="宋体"/>
          <w:szCs w:val="21"/>
        </w:rPr>
      </w:pPr>
      <w:r>
        <w:rPr>
          <w:rFonts w:hint="eastAsia" w:ascii="宋体" w:hAnsi="宋体" w:cs="宋体"/>
          <w:szCs w:val="21"/>
        </w:rPr>
        <w:t>4.3如投标人为满足投标人资格要求提供虚假材料，一经查实，视为未实质性响应招标文件，投标人投标文件将按无效处理。</w:t>
      </w:r>
    </w:p>
    <w:p w14:paraId="36148968">
      <w:pPr>
        <w:spacing w:line="360" w:lineRule="auto"/>
        <w:ind w:firstLine="420"/>
        <w:jc w:val="left"/>
        <w:rPr>
          <w:rFonts w:ascii="宋体" w:hAnsi="宋体" w:cs="宋体"/>
          <w:szCs w:val="21"/>
        </w:rPr>
      </w:pPr>
      <w:r>
        <w:rPr>
          <w:rFonts w:hint="eastAsia" w:ascii="宋体" w:hAnsi="宋体" w:cs="宋体"/>
          <w:szCs w:val="21"/>
        </w:rPr>
        <w:t>4.</w:t>
      </w:r>
      <w:r>
        <w:rPr>
          <w:rFonts w:hint="eastAsia" w:ascii="宋体" w:hAnsi="宋体" w:cs="宋体"/>
          <w:szCs w:val="21"/>
          <w:lang w:val="en-US" w:eastAsia="zh-CN"/>
        </w:rPr>
        <w:t>4</w:t>
      </w:r>
      <w:r>
        <w:rPr>
          <w:rFonts w:hint="eastAsia" w:ascii="宋体" w:hAnsi="宋体" w:cs="宋体"/>
          <w:szCs w:val="21"/>
        </w:rPr>
        <w:t>单位负责人为同一人或者存在直接控股、管理关系的不同投标人，不得参加同一合同项下的政府采购活动。</w:t>
      </w:r>
    </w:p>
    <w:p w14:paraId="2E389AD7">
      <w:pPr>
        <w:spacing w:line="360" w:lineRule="auto"/>
        <w:ind w:firstLine="420"/>
        <w:jc w:val="left"/>
        <w:rPr>
          <w:rFonts w:ascii="宋体" w:hAnsi="宋体" w:cs="宋体"/>
          <w:szCs w:val="21"/>
        </w:rPr>
      </w:pPr>
      <w:r>
        <w:rPr>
          <w:rFonts w:hint="eastAsia" w:ascii="宋体" w:hAnsi="宋体" w:cs="宋体"/>
          <w:szCs w:val="21"/>
        </w:rPr>
        <w:t>4.</w:t>
      </w:r>
      <w:r>
        <w:rPr>
          <w:rFonts w:hint="eastAsia" w:ascii="宋体" w:hAnsi="宋体" w:cs="宋体"/>
          <w:szCs w:val="21"/>
          <w:lang w:val="en-US" w:eastAsia="zh-CN"/>
        </w:rPr>
        <w:t>5</w:t>
      </w:r>
      <w:r>
        <w:rPr>
          <w:rFonts w:hint="eastAsia" w:ascii="宋体" w:hAnsi="宋体" w:cs="宋体"/>
          <w:szCs w:val="21"/>
        </w:rPr>
        <w:t>为采购项目提供整体设计、规范编制和项目管理、监理、检测等服务的投标人，不得参与本项目采购活动。</w:t>
      </w:r>
    </w:p>
    <w:p w14:paraId="75D1FB19">
      <w:pPr>
        <w:spacing w:line="360" w:lineRule="auto"/>
        <w:ind w:firstLine="420"/>
        <w:jc w:val="left"/>
        <w:rPr>
          <w:rFonts w:ascii="宋体" w:hAnsi="宋体" w:cs="宋体"/>
          <w:szCs w:val="21"/>
        </w:rPr>
      </w:pPr>
      <w:r>
        <w:rPr>
          <w:rFonts w:hint="eastAsia" w:ascii="宋体" w:hAnsi="宋体" w:cs="宋体"/>
          <w:szCs w:val="21"/>
        </w:rPr>
        <w:t>4.</w:t>
      </w:r>
      <w:r>
        <w:rPr>
          <w:rFonts w:hint="eastAsia" w:ascii="宋体" w:hAnsi="宋体" w:cs="宋体"/>
          <w:szCs w:val="21"/>
          <w:lang w:val="en-US" w:eastAsia="zh-CN"/>
        </w:rPr>
        <w:t>6</w:t>
      </w:r>
      <w:r>
        <w:rPr>
          <w:rFonts w:hint="eastAsia" w:ascii="宋体" w:hAnsi="宋体" w:cs="宋体"/>
          <w:szCs w:val="21"/>
        </w:rPr>
        <w:t>符合上述条件的投标人应承担投标及履约中应承担的全部责任与义务。</w:t>
      </w:r>
    </w:p>
    <w:bookmarkEnd w:id="151"/>
    <w:bookmarkEnd w:id="152"/>
    <w:bookmarkEnd w:id="153"/>
    <w:bookmarkEnd w:id="154"/>
    <w:bookmarkEnd w:id="155"/>
    <w:bookmarkEnd w:id="156"/>
    <w:bookmarkEnd w:id="157"/>
    <w:bookmarkEnd w:id="158"/>
    <w:p w14:paraId="793B2CCA">
      <w:pPr>
        <w:spacing w:line="360" w:lineRule="auto"/>
        <w:jc w:val="left"/>
        <w:rPr>
          <w:rFonts w:ascii="宋体" w:hAnsi="宋体" w:cs="宋体"/>
          <w:b/>
          <w:bCs/>
          <w:sz w:val="24"/>
          <w:szCs w:val="24"/>
        </w:rPr>
      </w:pPr>
      <w:r>
        <w:rPr>
          <w:rFonts w:hint="eastAsia" w:ascii="宋体" w:hAnsi="宋体" w:cs="宋体"/>
          <w:b/>
          <w:bCs/>
          <w:sz w:val="24"/>
          <w:szCs w:val="24"/>
        </w:rPr>
        <w:t>5.费用承担</w:t>
      </w:r>
    </w:p>
    <w:p w14:paraId="4B6230F3">
      <w:pPr>
        <w:spacing w:line="360" w:lineRule="auto"/>
        <w:ind w:firstLine="420"/>
        <w:jc w:val="left"/>
        <w:rPr>
          <w:rFonts w:ascii="宋体" w:hAnsi="宋体" w:cs="宋体"/>
          <w:szCs w:val="21"/>
        </w:rPr>
      </w:pPr>
      <w:r>
        <w:rPr>
          <w:rFonts w:hint="eastAsia" w:ascii="宋体" w:hAnsi="宋体" w:cs="宋体"/>
          <w:szCs w:val="21"/>
        </w:rPr>
        <w:t>5.1不论投标结果如何，投标人均应自行承担所有与准备和参加投标活动有关的全部费用；</w:t>
      </w:r>
    </w:p>
    <w:p w14:paraId="7C42A356">
      <w:pPr>
        <w:spacing w:line="360" w:lineRule="auto"/>
        <w:jc w:val="left"/>
        <w:rPr>
          <w:rFonts w:ascii="宋体" w:hAnsi="宋体" w:cs="宋体"/>
          <w:b/>
          <w:bCs/>
          <w:sz w:val="24"/>
          <w:szCs w:val="24"/>
        </w:rPr>
      </w:pPr>
      <w:r>
        <w:rPr>
          <w:rFonts w:hint="eastAsia" w:ascii="宋体" w:hAnsi="宋体" w:cs="宋体"/>
          <w:b/>
          <w:bCs/>
          <w:sz w:val="24"/>
          <w:szCs w:val="24"/>
        </w:rPr>
        <w:t>6.现场考察</w:t>
      </w:r>
    </w:p>
    <w:p w14:paraId="143D5752">
      <w:pPr>
        <w:spacing w:line="360" w:lineRule="auto"/>
        <w:ind w:firstLine="420"/>
        <w:jc w:val="left"/>
        <w:rPr>
          <w:rFonts w:ascii="宋体" w:hAnsi="宋体" w:cs="宋体"/>
          <w:szCs w:val="21"/>
        </w:rPr>
      </w:pPr>
      <w:r>
        <w:rPr>
          <w:rFonts w:hint="eastAsia" w:ascii="宋体" w:hAnsi="宋体" w:cs="宋体"/>
          <w:szCs w:val="21"/>
        </w:rPr>
        <w:t>6.1投标人须知前附表规定组织现场考察的，采购人按《投标人须知前附表》规定的时间、集中地点组织潜在投标人进行现场考察。</w:t>
      </w:r>
    </w:p>
    <w:p w14:paraId="385A0855">
      <w:pPr>
        <w:spacing w:line="360" w:lineRule="auto"/>
        <w:ind w:firstLine="420"/>
        <w:jc w:val="left"/>
        <w:rPr>
          <w:rFonts w:ascii="宋体" w:hAnsi="宋体" w:cs="宋体"/>
          <w:szCs w:val="21"/>
        </w:rPr>
      </w:pPr>
      <w:r>
        <w:rPr>
          <w:rFonts w:hint="eastAsia" w:ascii="宋体" w:hAnsi="宋体" w:cs="宋体"/>
          <w:szCs w:val="21"/>
        </w:rPr>
        <w:t>6.2现场考察所发生的费用由潜在投标人自理。</w:t>
      </w:r>
    </w:p>
    <w:p w14:paraId="5D09E19B">
      <w:pPr>
        <w:spacing w:line="360" w:lineRule="auto"/>
        <w:ind w:firstLine="420"/>
        <w:jc w:val="left"/>
        <w:rPr>
          <w:rFonts w:ascii="宋体" w:hAnsi="宋体" w:cs="宋体"/>
          <w:szCs w:val="21"/>
        </w:rPr>
      </w:pPr>
      <w:r>
        <w:rPr>
          <w:rFonts w:hint="eastAsia" w:ascii="宋体" w:hAnsi="宋体" w:cs="宋体"/>
          <w:szCs w:val="21"/>
        </w:rPr>
        <w:t>6.3除采购人的原因外，潜在投标人自行负责在现场考察中所发生的人员伤亡和财产损失。</w:t>
      </w:r>
    </w:p>
    <w:p w14:paraId="4AEED4CA">
      <w:pPr>
        <w:spacing w:line="360" w:lineRule="auto"/>
        <w:ind w:firstLine="420"/>
        <w:jc w:val="left"/>
        <w:rPr>
          <w:rFonts w:ascii="宋体" w:hAnsi="宋体" w:cs="宋体"/>
          <w:szCs w:val="21"/>
        </w:rPr>
      </w:pPr>
      <w:r>
        <w:rPr>
          <w:rFonts w:hint="eastAsia" w:ascii="宋体" w:hAnsi="宋体" w:cs="宋体"/>
          <w:szCs w:val="21"/>
        </w:rPr>
        <w:t>6.4采购人在现场考察中介绍的项目场地和相关的周边环境情况，供潜在投标人在编制投标文件时参考，采购人不对潜在投标人据此做出的判断和决策负责。</w:t>
      </w:r>
    </w:p>
    <w:p w14:paraId="0CA62B78">
      <w:pPr>
        <w:spacing w:line="360" w:lineRule="auto"/>
        <w:jc w:val="left"/>
        <w:rPr>
          <w:rFonts w:ascii="宋体" w:hAnsi="宋体" w:cs="宋体"/>
          <w:b/>
          <w:bCs/>
          <w:sz w:val="24"/>
          <w:szCs w:val="24"/>
        </w:rPr>
      </w:pPr>
      <w:r>
        <w:rPr>
          <w:rFonts w:hint="eastAsia" w:ascii="宋体" w:hAnsi="宋体" w:cs="宋体"/>
          <w:b/>
          <w:bCs/>
          <w:sz w:val="24"/>
          <w:szCs w:val="24"/>
        </w:rPr>
        <w:t>7.开标前答疑会</w:t>
      </w:r>
    </w:p>
    <w:p w14:paraId="2B2B61E8">
      <w:pPr>
        <w:spacing w:line="360" w:lineRule="auto"/>
        <w:ind w:firstLine="420"/>
        <w:jc w:val="left"/>
        <w:rPr>
          <w:rFonts w:ascii="宋体" w:hAnsi="宋体" w:cs="宋体"/>
          <w:szCs w:val="21"/>
        </w:rPr>
      </w:pPr>
      <w:r>
        <w:rPr>
          <w:rFonts w:hint="eastAsia" w:ascii="宋体" w:hAnsi="宋体" w:cs="宋体"/>
          <w:szCs w:val="21"/>
        </w:rPr>
        <w:t>7.1投标人须知前附表规定召开开标前答疑会的，采购人按《投标人须知前附表》规定的时间和地点召开开标前答疑会，书面澄清潜在投标人提出的问题。</w:t>
      </w:r>
    </w:p>
    <w:p w14:paraId="6BF50EC0">
      <w:pPr>
        <w:spacing w:line="360" w:lineRule="auto"/>
        <w:jc w:val="left"/>
        <w:rPr>
          <w:rFonts w:ascii="宋体" w:hAnsi="宋体" w:cs="宋体"/>
          <w:b/>
          <w:bCs/>
          <w:sz w:val="24"/>
          <w:szCs w:val="24"/>
        </w:rPr>
      </w:pPr>
      <w:r>
        <w:rPr>
          <w:rFonts w:hint="eastAsia" w:ascii="宋体" w:hAnsi="宋体" w:cs="宋体"/>
          <w:b/>
          <w:bCs/>
          <w:sz w:val="24"/>
          <w:szCs w:val="24"/>
        </w:rPr>
        <w:t>8.质疑</w:t>
      </w:r>
    </w:p>
    <w:p w14:paraId="619C9B18">
      <w:pPr>
        <w:spacing w:line="360" w:lineRule="auto"/>
        <w:ind w:firstLine="420"/>
        <w:jc w:val="left"/>
        <w:rPr>
          <w:rFonts w:ascii="宋体" w:hAnsi="宋体" w:cs="宋体"/>
          <w:szCs w:val="21"/>
        </w:rPr>
      </w:pPr>
      <w:r>
        <w:rPr>
          <w:rFonts w:hint="eastAsia" w:ascii="宋体" w:hAnsi="宋体" w:cs="宋体"/>
          <w:szCs w:val="21"/>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3FD11FE6">
      <w:pPr>
        <w:spacing w:line="360" w:lineRule="auto"/>
        <w:ind w:firstLine="420"/>
        <w:jc w:val="left"/>
        <w:rPr>
          <w:rFonts w:ascii="宋体" w:hAnsi="宋体" w:cs="宋体"/>
          <w:szCs w:val="21"/>
        </w:rPr>
      </w:pPr>
      <w:r>
        <w:rPr>
          <w:rFonts w:hint="eastAsia" w:ascii="宋体" w:hAnsi="宋体" w:cs="宋体"/>
          <w:szCs w:val="21"/>
        </w:rPr>
        <w:t>8.2招标文件第二章《投标人须知》8.1条中“知道或者应知其权益受到损害之日”是指：</w:t>
      </w:r>
    </w:p>
    <w:p w14:paraId="471EDDAE">
      <w:pPr>
        <w:spacing w:line="360" w:lineRule="auto"/>
        <w:ind w:firstLine="420"/>
        <w:jc w:val="left"/>
        <w:rPr>
          <w:rFonts w:ascii="宋体" w:hAnsi="宋体" w:cs="宋体"/>
          <w:szCs w:val="21"/>
        </w:rPr>
      </w:pPr>
      <w:r>
        <w:rPr>
          <w:rFonts w:hint="eastAsia" w:ascii="宋体" w:hAnsi="宋体" w:cs="宋体"/>
          <w:szCs w:val="21"/>
        </w:rPr>
        <w:t>（一）对可以质疑的采购文件提出质疑的，为收到采购文件之日或者采购文件公告期限届满之日；</w:t>
      </w:r>
    </w:p>
    <w:p w14:paraId="042F4427">
      <w:pPr>
        <w:spacing w:line="360" w:lineRule="auto"/>
        <w:ind w:firstLine="420"/>
        <w:jc w:val="left"/>
        <w:rPr>
          <w:rFonts w:ascii="宋体" w:hAnsi="宋体" w:cs="宋体"/>
          <w:szCs w:val="21"/>
        </w:rPr>
      </w:pPr>
      <w:r>
        <w:rPr>
          <w:rFonts w:hint="eastAsia" w:ascii="宋体" w:hAnsi="宋体" w:cs="宋体"/>
          <w:szCs w:val="21"/>
        </w:rPr>
        <w:t>（二）对采购过程提出质疑的，为各采购程序环节结束之日；</w:t>
      </w:r>
    </w:p>
    <w:p w14:paraId="7F27E630">
      <w:pPr>
        <w:spacing w:line="360" w:lineRule="auto"/>
        <w:ind w:firstLine="420"/>
        <w:jc w:val="left"/>
        <w:rPr>
          <w:rFonts w:ascii="宋体" w:hAnsi="宋体" w:cs="宋体"/>
          <w:szCs w:val="21"/>
        </w:rPr>
      </w:pPr>
      <w:r>
        <w:rPr>
          <w:rFonts w:hint="eastAsia" w:ascii="宋体" w:hAnsi="宋体" w:cs="宋体"/>
          <w:szCs w:val="21"/>
        </w:rPr>
        <w:t>（三）对中标或者成交结果提出质疑的，为中标或者成交结果公告期限届满之日。</w:t>
      </w:r>
    </w:p>
    <w:p w14:paraId="261391BD">
      <w:pPr>
        <w:spacing w:line="360" w:lineRule="auto"/>
        <w:ind w:firstLine="420"/>
        <w:jc w:val="left"/>
        <w:rPr>
          <w:rFonts w:ascii="宋体" w:hAnsi="宋体" w:cs="宋体"/>
          <w:szCs w:val="21"/>
        </w:rPr>
      </w:pPr>
      <w:r>
        <w:rPr>
          <w:rFonts w:hint="eastAsia" w:ascii="宋体" w:hAnsi="宋体" w:cs="宋体"/>
          <w:szCs w:val="21"/>
        </w:rPr>
        <w:t>8.3投标人可以委托代理人进行质疑。其授权委托书应当载明代理人的姓名或者名称、代理事项、具体权限、期限和相关事项。投标人为自然人的，应当由本人签字；投标人为法人或者其他组织的，应当由法定代表人（负责人）、主要负责人签字或者盖章，并加盖投标人公章。代理人提出质疑，应当提交投标人签署的授权委托书。</w:t>
      </w:r>
    </w:p>
    <w:p w14:paraId="4E9187A1">
      <w:pPr>
        <w:spacing w:line="360" w:lineRule="auto"/>
        <w:ind w:firstLine="420"/>
        <w:jc w:val="left"/>
        <w:rPr>
          <w:rFonts w:ascii="宋体" w:hAnsi="宋体" w:cs="宋体"/>
          <w:szCs w:val="21"/>
        </w:rPr>
      </w:pPr>
      <w:r>
        <w:rPr>
          <w:rFonts w:hint="eastAsia" w:ascii="宋体" w:hAnsi="宋体" w:cs="宋体"/>
          <w:szCs w:val="21"/>
        </w:rPr>
        <w:t>提出质疑的投标人应当是参与所质疑项目采购活动的投标人。</w:t>
      </w:r>
    </w:p>
    <w:p w14:paraId="72FEBBD5">
      <w:pPr>
        <w:spacing w:line="360" w:lineRule="auto"/>
        <w:ind w:firstLine="420"/>
        <w:jc w:val="left"/>
        <w:rPr>
          <w:rFonts w:ascii="宋体" w:hAnsi="宋体" w:cs="宋体"/>
          <w:szCs w:val="21"/>
        </w:rPr>
      </w:pPr>
      <w:r>
        <w:rPr>
          <w:rFonts w:hint="eastAsia" w:ascii="宋体" w:hAnsi="宋体" w:cs="宋体"/>
          <w:szCs w:val="21"/>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0FC789F3">
      <w:pPr>
        <w:spacing w:line="360" w:lineRule="auto"/>
        <w:ind w:firstLine="420"/>
        <w:jc w:val="left"/>
        <w:rPr>
          <w:rFonts w:ascii="宋体" w:hAnsi="宋体" w:cs="宋体"/>
          <w:szCs w:val="21"/>
        </w:rPr>
      </w:pPr>
      <w:r>
        <w:rPr>
          <w:rFonts w:hint="eastAsia" w:ascii="宋体" w:hAnsi="宋体" w:cs="宋体"/>
          <w:szCs w:val="21"/>
        </w:rPr>
        <w:t>（一）投标人的姓名或者名称、地址、邮编、联系人及联系电话；</w:t>
      </w:r>
    </w:p>
    <w:p w14:paraId="7531AE89">
      <w:pPr>
        <w:spacing w:line="360" w:lineRule="auto"/>
        <w:ind w:firstLine="420"/>
        <w:jc w:val="left"/>
        <w:rPr>
          <w:rFonts w:ascii="宋体" w:hAnsi="宋体" w:cs="宋体"/>
          <w:szCs w:val="21"/>
        </w:rPr>
      </w:pPr>
      <w:r>
        <w:rPr>
          <w:rFonts w:hint="eastAsia" w:ascii="宋体" w:hAnsi="宋体" w:cs="宋体"/>
          <w:szCs w:val="21"/>
        </w:rPr>
        <w:t>（二）质疑项目的名称、编号；</w:t>
      </w:r>
    </w:p>
    <w:p w14:paraId="44764848">
      <w:pPr>
        <w:spacing w:line="360" w:lineRule="auto"/>
        <w:ind w:firstLine="420"/>
        <w:jc w:val="left"/>
        <w:rPr>
          <w:rFonts w:ascii="宋体" w:hAnsi="宋体" w:cs="宋体"/>
          <w:szCs w:val="21"/>
        </w:rPr>
      </w:pPr>
      <w:r>
        <w:rPr>
          <w:rFonts w:hint="eastAsia" w:ascii="宋体" w:hAnsi="宋体" w:cs="宋体"/>
          <w:szCs w:val="21"/>
        </w:rPr>
        <w:t>（三）具体、明确的质疑事项和与质疑事项相关的请求；</w:t>
      </w:r>
    </w:p>
    <w:p w14:paraId="70D98E50">
      <w:pPr>
        <w:spacing w:line="360" w:lineRule="auto"/>
        <w:ind w:firstLine="420"/>
        <w:jc w:val="left"/>
        <w:rPr>
          <w:rFonts w:ascii="宋体" w:hAnsi="宋体" w:cs="宋体"/>
          <w:szCs w:val="21"/>
        </w:rPr>
      </w:pPr>
      <w:r>
        <w:rPr>
          <w:rFonts w:hint="eastAsia" w:ascii="宋体" w:hAnsi="宋体" w:cs="宋体"/>
          <w:szCs w:val="21"/>
        </w:rPr>
        <w:t>（四）事实依据；</w:t>
      </w:r>
    </w:p>
    <w:p w14:paraId="04843668">
      <w:pPr>
        <w:spacing w:line="360" w:lineRule="auto"/>
        <w:ind w:firstLine="420"/>
        <w:jc w:val="left"/>
        <w:rPr>
          <w:rFonts w:ascii="宋体" w:hAnsi="宋体" w:cs="宋体"/>
          <w:szCs w:val="21"/>
        </w:rPr>
      </w:pPr>
      <w:r>
        <w:rPr>
          <w:rFonts w:hint="eastAsia" w:ascii="宋体" w:hAnsi="宋体" w:cs="宋体"/>
          <w:szCs w:val="21"/>
        </w:rPr>
        <w:t>（五）必要的法律依据；</w:t>
      </w:r>
    </w:p>
    <w:p w14:paraId="6ACC5D2A">
      <w:pPr>
        <w:spacing w:line="360" w:lineRule="auto"/>
        <w:ind w:firstLine="420"/>
        <w:jc w:val="left"/>
        <w:rPr>
          <w:rFonts w:ascii="宋体" w:hAnsi="宋体" w:cs="宋体"/>
          <w:szCs w:val="21"/>
        </w:rPr>
      </w:pPr>
      <w:r>
        <w:rPr>
          <w:rFonts w:hint="eastAsia" w:ascii="宋体" w:hAnsi="宋体" w:cs="宋体"/>
          <w:szCs w:val="21"/>
        </w:rPr>
        <w:t>（六）提出质疑的日期。</w:t>
      </w:r>
    </w:p>
    <w:p w14:paraId="7AF1B625">
      <w:pPr>
        <w:spacing w:line="360" w:lineRule="auto"/>
        <w:ind w:firstLine="420"/>
        <w:jc w:val="left"/>
        <w:rPr>
          <w:rFonts w:ascii="宋体" w:hAnsi="宋体" w:cs="宋体"/>
          <w:szCs w:val="21"/>
        </w:rPr>
      </w:pPr>
      <w:r>
        <w:rPr>
          <w:rFonts w:hint="eastAsia" w:ascii="宋体" w:hAnsi="宋体" w:cs="宋体"/>
          <w:szCs w:val="21"/>
        </w:rPr>
        <w:t>投标人为自然人的，应当由本人签字；投标人为法人或者其他组织的，应当由法定代表人（负责人）、主要负责人，或者其授权代表签字或者盖章，并加盖投标人公章。</w:t>
      </w:r>
    </w:p>
    <w:p w14:paraId="5089C05E">
      <w:pPr>
        <w:spacing w:line="360" w:lineRule="auto"/>
        <w:ind w:firstLine="420"/>
        <w:jc w:val="left"/>
        <w:rPr>
          <w:rFonts w:ascii="宋体" w:hAnsi="宋体" w:cs="宋体"/>
          <w:szCs w:val="21"/>
        </w:rPr>
      </w:pPr>
      <w:r>
        <w:rPr>
          <w:rFonts w:hint="eastAsia" w:ascii="宋体" w:hAnsi="宋体" w:cs="宋体"/>
          <w:szCs w:val="21"/>
        </w:rPr>
        <w:t>8.5投标人不得捏造事实、提供虚假材料或者以非法手段取得证明材料。</w:t>
      </w:r>
    </w:p>
    <w:p w14:paraId="2CE8E328">
      <w:pPr>
        <w:spacing w:line="360" w:lineRule="auto"/>
        <w:ind w:firstLine="420"/>
        <w:jc w:val="left"/>
        <w:rPr>
          <w:rFonts w:ascii="宋体" w:hAnsi="宋体" w:cs="宋体"/>
          <w:szCs w:val="21"/>
        </w:rPr>
      </w:pPr>
      <w:r>
        <w:rPr>
          <w:rFonts w:hint="eastAsia" w:ascii="宋体" w:hAnsi="宋体" w:cs="宋体"/>
          <w:szCs w:val="21"/>
        </w:rPr>
        <w:t>8.6质疑函应当使用中文。相关当事人提供外文书证或者外国语视听资料的，应当附有中文译本，由翻译机构盖章或者翻译人员签名。</w:t>
      </w:r>
    </w:p>
    <w:p w14:paraId="4A80D3CF">
      <w:pPr>
        <w:spacing w:line="360" w:lineRule="auto"/>
        <w:ind w:firstLine="420"/>
        <w:jc w:val="left"/>
        <w:rPr>
          <w:rFonts w:ascii="宋体" w:hAnsi="宋体" w:cs="宋体"/>
          <w:szCs w:val="21"/>
        </w:rPr>
      </w:pPr>
      <w:r>
        <w:rPr>
          <w:rFonts w:hint="eastAsia" w:ascii="宋体" w:hAnsi="宋体" w:cs="宋体"/>
          <w:szCs w:val="21"/>
        </w:rPr>
        <w:t>8.7采购人、采购代理机构将在收到投标人质疑函后七个工作日内作出答复，但质疑答复的内容不涉及商业秘密。</w:t>
      </w:r>
    </w:p>
    <w:p w14:paraId="77B30F53">
      <w:pPr>
        <w:spacing w:line="360" w:lineRule="auto"/>
        <w:ind w:firstLine="420"/>
        <w:jc w:val="left"/>
        <w:rPr>
          <w:rFonts w:ascii="宋体" w:hAnsi="宋体" w:cs="宋体"/>
          <w:szCs w:val="21"/>
        </w:rPr>
      </w:pPr>
      <w:r>
        <w:rPr>
          <w:rFonts w:hint="eastAsia" w:ascii="宋体" w:hAnsi="宋体" w:cs="宋体"/>
          <w:szCs w:val="21"/>
        </w:rPr>
        <w:t>8.8投标人对评审过程、中标结果提出质疑的，采购人、采购代理机构可以组织原评标委员会协助答复质疑。质疑答复导致中标结果改变的，采购人或者采购代理机构会将有关情况书面报告本级财政部门。</w:t>
      </w:r>
    </w:p>
    <w:p w14:paraId="286C7F26">
      <w:pPr>
        <w:spacing w:line="360" w:lineRule="auto"/>
        <w:ind w:firstLine="420"/>
        <w:jc w:val="left"/>
        <w:rPr>
          <w:rFonts w:ascii="宋体" w:hAnsi="宋体" w:cs="宋体"/>
          <w:szCs w:val="21"/>
        </w:rPr>
      </w:pPr>
      <w:r>
        <w:rPr>
          <w:rFonts w:hint="eastAsia" w:ascii="宋体" w:hAnsi="宋体" w:cs="宋体"/>
          <w:szCs w:val="21"/>
        </w:rPr>
        <w:t>8.9接收质疑函的方式：书面方式；接收质疑函的部门：云南冠睿咨询有限公司；联系人、联系电话：</w:t>
      </w:r>
      <w:r>
        <w:rPr>
          <w:rFonts w:hint="eastAsia" w:ascii="宋体" w:hAnsi="宋体" w:cs="宋体"/>
          <w:szCs w:val="21"/>
          <w:lang w:eastAsia="zh-CN"/>
        </w:rPr>
        <w:t>蒋兴杰、祝欣、王国玺、吴翊、陈沿锦、丁传觐、汪怡含、邓楚卿、李腾芳、王彦飞、肖枝莲、刘晓云、张振荣、杨益鑫、戚玮薇</w:t>
      </w:r>
      <w:r>
        <w:rPr>
          <w:rFonts w:hint="eastAsia" w:ascii="宋体" w:hAnsi="宋体" w:cs="宋体"/>
          <w:szCs w:val="21"/>
          <w:lang w:val="en-US" w:eastAsia="zh-CN"/>
        </w:rPr>
        <w:t xml:space="preserve"> </w:t>
      </w:r>
      <w:r>
        <w:rPr>
          <w:rFonts w:hint="eastAsia" w:ascii="宋体" w:hAnsi="宋体" w:cs="宋体"/>
          <w:szCs w:val="21"/>
        </w:rPr>
        <w:t xml:space="preserve"> 0871-65511240、65511241；通讯地址：云南省昆明市西山区万达广场南塔32层3201号、33层3310号。</w:t>
      </w:r>
    </w:p>
    <w:p w14:paraId="1258F987">
      <w:pPr>
        <w:spacing w:line="360" w:lineRule="auto"/>
        <w:jc w:val="left"/>
        <w:rPr>
          <w:rFonts w:ascii="宋体" w:hAnsi="宋体" w:cs="宋体"/>
          <w:b/>
          <w:bCs/>
          <w:sz w:val="24"/>
          <w:szCs w:val="24"/>
        </w:rPr>
      </w:pPr>
      <w:r>
        <w:rPr>
          <w:rFonts w:hint="eastAsia" w:ascii="宋体" w:hAnsi="宋体" w:cs="宋体"/>
          <w:b/>
          <w:bCs/>
          <w:sz w:val="24"/>
          <w:szCs w:val="24"/>
        </w:rPr>
        <w:t>9.投诉</w:t>
      </w:r>
    </w:p>
    <w:p w14:paraId="1C0326BD">
      <w:pPr>
        <w:spacing w:line="360" w:lineRule="auto"/>
        <w:ind w:firstLine="420"/>
        <w:jc w:val="left"/>
        <w:rPr>
          <w:rFonts w:ascii="宋体" w:hAnsi="宋体" w:cs="宋体"/>
          <w:szCs w:val="21"/>
        </w:rPr>
      </w:pPr>
      <w:r>
        <w:rPr>
          <w:rFonts w:hint="eastAsia" w:ascii="宋体" w:hAnsi="宋体" w:cs="宋体"/>
          <w:szCs w:val="21"/>
        </w:rPr>
        <w:t>9.1投诉必须首先经过质疑程序。质疑投标人对采购人、采购代理机构的答复不满意，或者采购人、采购代理机构未在规定时间内作出答复的，可以在答复期满后十五个工作日内书面向财政部门提起投诉。</w:t>
      </w:r>
    </w:p>
    <w:p w14:paraId="12C63838">
      <w:pPr>
        <w:spacing w:line="360" w:lineRule="auto"/>
        <w:ind w:firstLine="420"/>
        <w:jc w:val="left"/>
        <w:rPr>
          <w:rFonts w:ascii="宋体" w:hAnsi="宋体" w:cs="宋体"/>
          <w:szCs w:val="21"/>
        </w:rPr>
      </w:pPr>
    </w:p>
    <w:p w14:paraId="4CDD058B">
      <w:pPr>
        <w:pStyle w:val="3"/>
        <w:spacing w:before="0" w:line="360" w:lineRule="auto"/>
        <w:jc w:val="center"/>
        <w:rPr>
          <w:rFonts w:ascii="宋体" w:hAnsi="宋体" w:cs="宋体"/>
          <w:color w:val="auto"/>
          <w:sz w:val="28"/>
          <w:szCs w:val="28"/>
        </w:rPr>
      </w:pPr>
      <w:bookmarkStart w:id="159" w:name="_Toc296602432"/>
      <w:bookmarkStart w:id="160" w:name="_Toc246996187"/>
      <w:bookmarkStart w:id="161" w:name="_Toc152045542"/>
      <w:bookmarkStart w:id="162" w:name="_Toc488633605"/>
      <w:bookmarkStart w:id="163" w:name="_Toc179632560"/>
      <w:bookmarkStart w:id="164" w:name="_Toc17348"/>
      <w:bookmarkStart w:id="165" w:name="_Toc401342135"/>
      <w:bookmarkStart w:id="166" w:name="_Toc4164"/>
      <w:bookmarkStart w:id="167" w:name="_Toc489145713"/>
      <w:bookmarkStart w:id="168" w:name="_Toc16145"/>
      <w:bookmarkStart w:id="169" w:name="_Toc31081"/>
      <w:bookmarkStart w:id="170" w:name="_Toc378239352"/>
      <w:bookmarkStart w:id="171" w:name="_Toc480817644"/>
      <w:bookmarkStart w:id="172" w:name="_Toc378239171"/>
      <w:bookmarkStart w:id="173" w:name="_Toc528186462"/>
      <w:bookmarkStart w:id="174" w:name="_Toc246996930"/>
      <w:bookmarkStart w:id="175" w:name="_Toc144974510"/>
      <w:bookmarkStart w:id="176" w:name="_Toc489197817"/>
      <w:bookmarkStart w:id="177" w:name="_Toc31829"/>
      <w:bookmarkStart w:id="178" w:name="_Toc152042318"/>
      <w:bookmarkStart w:id="179" w:name="_Toc378239079"/>
      <w:bookmarkStart w:id="180" w:name="_Toc247085701"/>
      <w:r>
        <w:rPr>
          <w:rFonts w:hint="eastAsia" w:ascii="宋体" w:hAnsi="宋体" w:cs="宋体"/>
          <w:color w:val="auto"/>
          <w:sz w:val="28"/>
          <w:szCs w:val="28"/>
        </w:rPr>
        <w:t>二、招标文件</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1FE4F256">
      <w:pPr>
        <w:spacing w:line="360" w:lineRule="auto"/>
        <w:jc w:val="left"/>
        <w:rPr>
          <w:rFonts w:ascii="宋体" w:hAnsi="宋体" w:cs="宋体"/>
          <w:b/>
          <w:bCs/>
          <w:sz w:val="24"/>
          <w:szCs w:val="24"/>
        </w:rPr>
      </w:pPr>
      <w:r>
        <w:rPr>
          <w:rFonts w:hint="eastAsia" w:ascii="宋体" w:hAnsi="宋体" w:cs="宋体"/>
          <w:b/>
          <w:bCs/>
          <w:sz w:val="24"/>
          <w:szCs w:val="24"/>
        </w:rPr>
        <w:t>10.招标文件的组成</w:t>
      </w:r>
    </w:p>
    <w:p w14:paraId="092924E7">
      <w:pPr>
        <w:spacing w:line="360" w:lineRule="auto"/>
        <w:ind w:firstLine="420"/>
        <w:jc w:val="left"/>
        <w:rPr>
          <w:rFonts w:ascii="宋体" w:hAnsi="宋体" w:cs="宋体"/>
          <w:szCs w:val="21"/>
        </w:rPr>
      </w:pPr>
      <w:r>
        <w:rPr>
          <w:rFonts w:hint="eastAsia" w:ascii="宋体" w:hAnsi="宋体" w:cs="宋体"/>
          <w:szCs w:val="21"/>
        </w:rPr>
        <w:t>10.1采购人要求提供的货物、工程或者服务、采购过程及合同条款在招标文件中均有说明，招标文件共七章，各章的内容如下：</w:t>
      </w:r>
    </w:p>
    <w:p w14:paraId="08168B68">
      <w:pPr>
        <w:spacing w:line="360" w:lineRule="auto"/>
        <w:ind w:firstLine="420"/>
        <w:jc w:val="left"/>
        <w:rPr>
          <w:rFonts w:ascii="宋体" w:hAnsi="宋体" w:cs="宋体"/>
          <w:szCs w:val="21"/>
        </w:rPr>
      </w:pPr>
      <w:r>
        <w:rPr>
          <w:rFonts w:hint="eastAsia" w:ascii="宋体" w:hAnsi="宋体" w:cs="宋体"/>
          <w:szCs w:val="21"/>
        </w:rPr>
        <w:t>第一章  公开招标公告</w:t>
      </w:r>
    </w:p>
    <w:p w14:paraId="02A80F3F">
      <w:pPr>
        <w:spacing w:line="360" w:lineRule="auto"/>
        <w:ind w:firstLine="420"/>
        <w:jc w:val="left"/>
        <w:rPr>
          <w:rFonts w:ascii="宋体" w:hAnsi="宋体" w:cs="宋体"/>
          <w:szCs w:val="21"/>
        </w:rPr>
      </w:pPr>
      <w:r>
        <w:rPr>
          <w:rFonts w:hint="eastAsia" w:ascii="宋体" w:hAnsi="宋体" w:cs="宋体"/>
          <w:szCs w:val="21"/>
        </w:rPr>
        <w:t>第二章  投标人须知</w:t>
      </w:r>
    </w:p>
    <w:p w14:paraId="24160846">
      <w:pPr>
        <w:spacing w:line="360" w:lineRule="auto"/>
        <w:ind w:firstLine="420"/>
        <w:jc w:val="left"/>
        <w:rPr>
          <w:rFonts w:ascii="宋体" w:hAnsi="宋体" w:cs="宋体"/>
          <w:szCs w:val="21"/>
        </w:rPr>
      </w:pPr>
      <w:r>
        <w:rPr>
          <w:rFonts w:hint="eastAsia" w:ascii="宋体" w:hAnsi="宋体" w:cs="宋体"/>
          <w:szCs w:val="21"/>
        </w:rPr>
        <w:t>第三章  合同书样式</w:t>
      </w:r>
    </w:p>
    <w:p w14:paraId="44BB6076">
      <w:pPr>
        <w:spacing w:line="360" w:lineRule="auto"/>
        <w:ind w:firstLine="420"/>
        <w:jc w:val="left"/>
        <w:rPr>
          <w:rFonts w:ascii="宋体" w:hAnsi="宋体" w:cs="宋体"/>
          <w:szCs w:val="21"/>
        </w:rPr>
      </w:pPr>
      <w:r>
        <w:rPr>
          <w:rFonts w:hint="eastAsia" w:ascii="宋体" w:hAnsi="宋体" w:cs="宋体"/>
          <w:szCs w:val="21"/>
        </w:rPr>
        <w:t>第四章  投标文件格式</w:t>
      </w:r>
    </w:p>
    <w:p w14:paraId="7AF6EF4B">
      <w:pPr>
        <w:spacing w:line="360" w:lineRule="auto"/>
        <w:ind w:firstLine="420"/>
        <w:jc w:val="left"/>
        <w:rPr>
          <w:rFonts w:ascii="宋体" w:hAnsi="宋体" w:cs="宋体"/>
          <w:szCs w:val="21"/>
        </w:rPr>
      </w:pPr>
      <w:r>
        <w:rPr>
          <w:rFonts w:hint="eastAsia" w:ascii="宋体" w:hAnsi="宋体" w:cs="宋体"/>
          <w:szCs w:val="21"/>
        </w:rPr>
        <w:t>第五章  采购需求</w:t>
      </w:r>
    </w:p>
    <w:p w14:paraId="2B269D11">
      <w:pPr>
        <w:spacing w:line="360" w:lineRule="auto"/>
        <w:ind w:firstLine="420"/>
        <w:jc w:val="left"/>
        <w:rPr>
          <w:rFonts w:ascii="宋体" w:hAnsi="宋体" w:cs="宋体"/>
          <w:szCs w:val="21"/>
        </w:rPr>
      </w:pPr>
      <w:r>
        <w:rPr>
          <w:rFonts w:hint="eastAsia" w:ascii="宋体" w:hAnsi="宋体" w:cs="宋体"/>
          <w:szCs w:val="21"/>
        </w:rPr>
        <w:t>第六章  资格审查</w:t>
      </w:r>
    </w:p>
    <w:p w14:paraId="5A4FF72A">
      <w:pPr>
        <w:spacing w:line="360" w:lineRule="auto"/>
        <w:ind w:firstLine="420"/>
        <w:jc w:val="left"/>
        <w:rPr>
          <w:rFonts w:ascii="宋体" w:hAnsi="宋体" w:cs="宋体"/>
          <w:szCs w:val="21"/>
        </w:rPr>
      </w:pPr>
      <w:r>
        <w:rPr>
          <w:rFonts w:hint="eastAsia" w:ascii="宋体" w:hAnsi="宋体" w:cs="宋体"/>
          <w:szCs w:val="21"/>
        </w:rPr>
        <w:t>第七章  评标方法（综合评分法）</w:t>
      </w:r>
    </w:p>
    <w:p w14:paraId="790E4244">
      <w:pPr>
        <w:spacing w:line="360" w:lineRule="auto"/>
        <w:jc w:val="left"/>
        <w:rPr>
          <w:rFonts w:ascii="宋体" w:hAnsi="宋体" w:cs="宋体"/>
          <w:b/>
          <w:bCs/>
          <w:sz w:val="24"/>
          <w:szCs w:val="24"/>
        </w:rPr>
      </w:pPr>
      <w:bookmarkStart w:id="181" w:name="_Toc152042320"/>
      <w:bookmarkStart w:id="182" w:name="_Toc17717"/>
      <w:bookmarkStart w:id="183" w:name="_Toc296602434"/>
      <w:bookmarkStart w:id="184" w:name="_Toc179632562"/>
      <w:bookmarkStart w:id="185" w:name="_Toc247085703"/>
      <w:bookmarkStart w:id="186" w:name="_Toc11853"/>
      <w:bookmarkStart w:id="187" w:name="_Toc246996189"/>
      <w:bookmarkStart w:id="188" w:name="_Toc489145716"/>
      <w:bookmarkStart w:id="189" w:name="_Toc528186464"/>
      <w:bookmarkStart w:id="190" w:name="_Toc246996932"/>
      <w:bookmarkStart w:id="191" w:name="_Toc17915"/>
      <w:bookmarkStart w:id="192" w:name="_Toc489197820"/>
      <w:bookmarkStart w:id="193" w:name="_Toc144974512"/>
      <w:bookmarkStart w:id="194" w:name="_Toc152045544"/>
      <w:r>
        <w:rPr>
          <w:rFonts w:hint="eastAsia" w:ascii="宋体" w:hAnsi="宋体" w:cs="宋体"/>
          <w:b/>
          <w:bCs/>
          <w:sz w:val="24"/>
          <w:szCs w:val="24"/>
        </w:rPr>
        <w:t>11.招标文件的询问、澄清、修改</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2D022D21">
      <w:pPr>
        <w:wordWrap w:val="0"/>
        <w:spacing w:line="360" w:lineRule="auto"/>
        <w:ind w:firstLine="420"/>
        <w:jc w:val="left"/>
        <w:rPr>
          <w:rFonts w:ascii="宋体" w:hAnsi="宋体" w:cs="宋体"/>
          <w:szCs w:val="21"/>
        </w:rPr>
      </w:pPr>
      <w:bookmarkStart w:id="195" w:name="_Toc246996934"/>
      <w:bookmarkStart w:id="196" w:name="_Toc528186465"/>
      <w:bookmarkStart w:id="197" w:name="_Toc480817645"/>
      <w:bookmarkStart w:id="198" w:name="_Toc378239080"/>
      <w:bookmarkStart w:id="199" w:name="_Toc489145717"/>
      <w:bookmarkStart w:id="200" w:name="_Toc378239172"/>
      <w:bookmarkStart w:id="201" w:name="_Toc247085705"/>
      <w:bookmarkStart w:id="202" w:name="_Toc144974514"/>
      <w:bookmarkStart w:id="203" w:name="_Toc246996191"/>
      <w:bookmarkStart w:id="204" w:name="_Toc489197821"/>
      <w:bookmarkStart w:id="205" w:name="_Toc152042322"/>
      <w:bookmarkStart w:id="206" w:name="_Toc378239353"/>
      <w:bookmarkStart w:id="207" w:name="_Toc152045546"/>
      <w:bookmarkStart w:id="208" w:name="_Toc179632564"/>
      <w:bookmarkStart w:id="209" w:name="_Toc488633606"/>
      <w:bookmarkStart w:id="210" w:name="_Toc401342136"/>
      <w:bookmarkStart w:id="211" w:name="_Toc296602436"/>
      <w:bookmarkStart w:id="212" w:name="_Toc29509"/>
      <w:r>
        <w:rPr>
          <w:rFonts w:hint="eastAsia" w:ascii="宋体" w:hAnsi="宋体" w:cs="宋体"/>
          <w:szCs w:val="21"/>
        </w:rPr>
        <w:t>11.1投标人应认真阅读招标文件，如有疑问的，投标人可以向采购人或采购代理机构提出询问，采购人或者采购代理机构在接到询问后的3个工作日内对投标人依法提出的询问作出答复，但答复的内容不涉及商业秘密，如对电子采购流程不清楚可查阅政采云（https：//e-learning.zcygov.cn/index）“秒懂政采云 项目采购”学习</w:t>
      </w:r>
      <w:r>
        <w:rPr>
          <w:rFonts w:hint="eastAsia" w:ascii="宋体" w:hAnsi="宋体" w:cs="宋体"/>
        </w:rPr>
        <w:t>或致电政采云平台：4008817190</w:t>
      </w:r>
      <w:r>
        <w:rPr>
          <w:rFonts w:hint="eastAsia" w:ascii="宋体" w:hAnsi="宋体" w:cs="宋体"/>
          <w:szCs w:val="21"/>
        </w:rPr>
        <w:t>。</w:t>
      </w:r>
    </w:p>
    <w:p w14:paraId="76787603">
      <w:pPr>
        <w:spacing w:line="360" w:lineRule="auto"/>
        <w:ind w:firstLine="420"/>
        <w:jc w:val="left"/>
        <w:rPr>
          <w:rFonts w:ascii="宋体" w:hAnsi="宋体" w:cs="宋体"/>
          <w:szCs w:val="21"/>
        </w:rPr>
      </w:pPr>
      <w:r>
        <w:rPr>
          <w:rFonts w:hint="eastAsia" w:ascii="宋体" w:hAnsi="宋体" w:cs="宋体"/>
          <w:szCs w:val="21"/>
        </w:rPr>
        <w:t>11.2招标文件询问联系方式：详见《投标人须知前附表》。</w:t>
      </w:r>
    </w:p>
    <w:p w14:paraId="7939BB6E">
      <w:pPr>
        <w:spacing w:line="360" w:lineRule="auto"/>
        <w:ind w:firstLine="420"/>
        <w:jc w:val="left"/>
        <w:rPr>
          <w:rFonts w:ascii="宋体" w:hAnsi="宋体" w:cs="宋体"/>
          <w:szCs w:val="21"/>
        </w:rPr>
      </w:pPr>
      <w:r>
        <w:rPr>
          <w:rFonts w:hint="eastAsia" w:ascii="宋体" w:hAnsi="宋体" w:cs="宋体"/>
          <w:szCs w:val="21"/>
        </w:rPr>
        <w:t>11.3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件的澄清、修改内容，由此造成的一切后果由投标人自行承担。</w:t>
      </w:r>
    </w:p>
    <w:p w14:paraId="0D8E0D48">
      <w:pPr>
        <w:pStyle w:val="3"/>
        <w:spacing w:before="0" w:line="360" w:lineRule="auto"/>
        <w:jc w:val="center"/>
        <w:rPr>
          <w:rFonts w:ascii="宋体" w:hAnsi="宋体" w:cs="宋体"/>
          <w:color w:val="auto"/>
          <w:sz w:val="28"/>
          <w:szCs w:val="28"/>
        </w:rPr>
      </w:pPr>
      <w:bookmarkStart w:id="213" w:name="_Toc27280"/>
      <w:bookmarkStart w:id="214" w:name="_Toc5319"/>
      <w:bookmarkStart w:id="215" w:name="_Toc11951"/>
      <w:bookmarkStart w:id="216" w:name="_Toc26191"/>
      <w:r>
        <w:rPr>
          <w:rFonts w:hint="eastAsia" w:ascii="宋体" w:hAnsi="宋体" w:cs="宋体"/>
          <w:color w:val="auto"/>
          <w:sz w:val="28"/>
          <w:szCs w:val="28"/>
        </w:rPr>
        <w:t>三、投标文件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01783A8">
      <w:pPr>
        <w:spacing w:line="360" w:lineRule="auto"/>
        <w:jc w:val="left"/>
        <w:rPr>
          <w:rFonts w:ascii="宋体" w:hAnsi="宋体" w:cs="宋体"/>
          <w:b/>
          <w:bCs/>
          <w:sz w:val="24"/>
          <w:szCs w:val="24"/>
        </w:rPr>
      </w:pPr>
      <w:r>
        <w:rPr>
          <w:rFonts w:hint="eastAsia" w:ascii="宋体" w:hAnsi="宋体" w:cs="宋体"/>
          <w:b/>
          <w:bCs/>
          <w:sz w:val="24"/>
          <w:szCs w:val="24"/>
        </w:rPr>
        <w:t>12.投标文件编写注意事项</w:t>
      </w:r>
    </w:p>
    <w:p w14:paraId="1A300643">
      <w:pPr>
        <w:spacing w:line="360" w:lineRule="auto"/>
        <w:ind w:firstLine="420"/>
        <w:jc w:val="left"/>
        <w:rPr>
          <w:rFonts w:ascii="宋体" w:hAnsi="宋体" w:cs="宋体"/>
          <w:szCs w:val="21"/>
        </w:rPr>
      </w:pPr>
      <w:r>
        <w:rPr>
          <w:rFonts w:hint="eastAsia" w:ascii="宋体" w:hAnsi="宋体" w:cs="宋体"/>
          <w:szCs w:val="21"/>
        </w:rPr>
        <w:t>12.1投标人应仔细阅读招标文件，在完全了解采购内容、技术性能要求和商务条件后，根据招标文件要求编写投标文件。</w:t>
      </w:r>
    </w:p>
    <w:p w14:paraId="518EFFF2">
      <w:pPr>
        <w:spacing w:line="360" w:lineRule="auto"/>
        <w:ind w:firstLine="420"/>
        <w:jc w:val="left"/>
        <w:rPr>
          <w:rFonts w:ascii="宋体" w:hAnsi="宋体" w:cs="宋体"/>
          <w:szCs w:val="21"/>
        </w:rPr>
      </w:pPr>
      <w:r>
        <w:rPr>
          <w:rFonts w:hint="eastAsia" w:ascii="宋体" w:hAnsi="宋体" w:cs="宋体"/>
          <w:szCs w:val="21"/>
        </w:rPr>
        <w:t>12.2对招标文件提出的实质性要求和条件作出响应是指投标人的投标文件必须对招标文件中规定的实质性要求和条件作出满足或者优于原要求和条件的承诺，并提供相应的证明材料，否则按无效处理。</w:t>
      </w:r>
    </w:p>
    <w:p w14:paraId="7586F6FA">
      <w:pPr>
        <w:spacing w:line="360" w:lineRule="auto"/>
        <w:jc w:val="left"/>
        <w:rPr>
          <w:rFonts w:ascii="宋体" w:hAnsi="宋体" w:cs="宋体"/>
          <w:b/>
          <w:bCs/>
          <w:sz w:val="24"/>
          <w:szCs w:val="24"/>
        </w:rPr>
      </w:pPr>
      <w:r>
        <w:rPr>
          <w:rFonts w:hint="eastAsia" w:ascii="宋体" w:hAnsi="宋体" w:cs="宋体"/>
          <w:b/>
          <w:bCs/>
          <w:sz w:val="24"/>
          <w:szCs w:val="24"/>
        </w:rPr>
        <w:t>13.语言文字</w:t>
      </w:r>
    </w:p>
    <w:p w14:paraId="1C23BE34">
      <w:pPr>
        <w:spacing w:line="360" w:lineRule="auto"/>
        <w:ind w:firstLine="420"/>
        <w:jc w:val="left"/>
        <w:rPr>
          <w:rFonts w:ascii="宋体" w:hAnsi="宋体" w:cs="宋体"/>
          <w:szCs w:val="21"/>
        </w:rPr>
      </w:pPr>
      <w:r>
        <w:rPr>
          <w:rFonts w:hint="eastAsia" w:ascii="宋体" w:hAnsi="宋体" w:cs="宋体"/>
          <w:szCs w:val="21"/>
        </w:rPr>
        <w:t>13.1投标人的投标文件以及投标人与采购代理机构就有关投标的所有来往函电统一使用中文（特别规定除外）。</w:t>
      </w:r>
    </w:p>
    <w:p w14:paraId="1624F663">
      <w:pPr>
        <w:spacing w:line="360" w:lineRule="auto"/>
        <w:jc w:val="left"/>
        <w:rPr>
          <w:rFonts w:ascii="宋体" w:hAnsi="宋体" w:cs="宋体"/>
          <w:b/>
          <w:bCs/>
          <w:sz w:val="24"/>
          <w:szCs w:val="24"/>
        </w:rPr>
      </w:pPr>
      <w:r>
        <w:rPr>
          <w:rFonts w:hint="eastAsia" w:ascii="宋体" w:hAnsi="宋体" w:cs="宋体"/>
          <w:b/>
          <w:bCs/>
          <w:sz w:val="24"/>
          <w:szCs w:val="24"/>
        </w:rPr>
        <w:t>14.计量单位</w:t>
      </w:r>
    </w:p>
    <w:p w14:paraId="5B47C052">
      <w:pPr>
        <w:spacing w:line="360" w:lineRule="auto"/>
        <w:ind w:firstLine="420"/>
        <w:jc w:val="left"/>
        <w:rPr>
          <w:rFonts w:ascii="宋体" w:hAnsi="宋体" w:cs="宋体"/>
          <w:szCs w:val="21"/>
        </w:rPr>
      </w:pPr>
      <w:r>
        <w:rPr>
          <w:rFonts w:hint="eastAsia" w:ascii="宋体" w:hAnsi="宋体" w:cs="宋体"/>
          <w:szCs w:val="21"/>
        </w:rPr>
        <w:t>14.1投标文件中使用的计量单位除招标文件中有特殊规定外，一律使用中国法定计量单位。</w:t>
      </w:r>
    </w:p>
    <w:p w14:paraId="1C49E0B4">
      <w:pPr>
        <w:spacing w:line="360" w:lineRule="auto"/>
        <w:jc w:val="left"/>
        <w:rPr>
          <w:rFonts w:ascii="宋体" w:hAnsi="宋体" w:cs="宋体"/>
          <w:b/>
          <w:bCs/>
          <w:sz w:val="24"/>
          <w:szCs w:val="24"/>
        </w:rPr>
      </w:pPr>
      <w:bookmarkStart w:id="217" w:name="_Toc489197825"/>
      <w:bookmarkStart w:id="218" w:name="_Toc152042323"/>
      <w:bookmarkStart w:id="219" w:name="_Toc14010"/>
      <w:bookmarkStart w:id="220" w:name="_Toc179632565"/>
      <w:bookmarkStart w:id="221" w:name="_Toc29156"/>
      <w:bookmarkStart w:id="222" w:name="_Toc296602437"/>
      <w:bookmarkStart w:id="223" w:name="_Toc247085706"/>
      <w:bookmarkStart w:id="224" w:name="_Toc152045547"/>
      <w:bookmarkStart w:id="225" w:name="_Toc144974515"/>
      <w:bookmarkStart w:id="226" w:name="_Toc489145721"/>
      <w:bookmarkStart w:id="227" w:name="_Toc528186469"/>
      <w:bookmarkStart w:id="228" w:name="_Toc246996935"/>
      <w:bookmarkStart w:id="229" w:name="_Toc5834"/>
      <w:bookmarkStart w:id="230" w:name="_Toc246996192"/>
      <w:r>
        <w:rPr>
          <w:rFonts w:hint="eastAsia" w:ascii="宋体" w:hAnsi="宋体" w:cs="宋体"/>
          <w:b/>
          <w:bCs/>
          <w:sz w:val="24"/>
          <w:szCs w:val="24"/>
        </w:rPr>
        <w:t>15.投标文件的组成</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EF56E6D">
      <w:pPr>
        <w:spacing w:line="360" w:lineRule="auto"/>
        <w:ind w:firstLine="420"/>
        <w:jc w:val="left"/>
        <w:rPr>
          <w:rFonts w:ascii="宋体" w:hAnsi="宋体" w:cs="宋体"/>
          <w:szCs w:val="21"/>
        </w:rPr>
      </w:pPr>
      <w:r>
        <w:rPr>
          <w:rFonts w:hint="eastAsia" w:ascii="宋体" w:hAnsi="宋体" w:cs="宋体"/>
          <w:szCs w:val="21"/>
        </w:rPr>
        <w:t>15.1投标人编写的投标文件应按第四章《投标文件格式》要求填写。有关文件的提交如未特别注明需提供原件的，可提供复印件或扫描件。</w:t>
      </w:r>
    </w:p>
    <w:p w14:paraId="39067E91">
      <w:pPr>
        <w:spacing w:line="360" w:lineRule="auto"/>
        <w:ind w:firstLine="420"/>
        <w:jc w:val="left"/>
        <w:rPr>
          <w:rFonts w:ascii="宋体" w:hAnsi="宋体" w:cs="宋体"/>
          <w:szCs w:val="21"/>
        </w:rPr>
      </w:pPr>
      <w:r>
        <w:rPr>
          <w:rFonts w:hint="eastAsia" w:ascii="宋体" w:hAnsi="宋体" w:cs="宋体"/>
          <w:szCs w:val="21"/>
        </w:rPr>
        <w:t>15.2构成投标文件的其他资料：详见《投标人须知前附表》。</w:t>
      </w:r>
    </w:p>
    <w:p w14:paraId="24A9D934">
      <w:pPr>
        <w:spacing w:line="360" w:lineRule="auto"/>
        <w:ind w:firstLine="420"/>
        <w:jc w:val="left"/>
        <w:rPr>
          <w:rFonts w:ascii="宋体" w:hAnsi="宋体" w:cs="宋体"/>
          <w:szCs w:val="21"/>
        </w:rPr>
      </w:pPr>
      <w:r>
        <w:rPr>
          <w:rFonts w:hint="eastAsia" w:ascii="宋体" w:hAnsi="宋体" w:cs="宋体"/>
          <w:szCs w:val="21"/>
        </w:rPr>
        <w:t>15.3投标人同时投多个标段（若分标段时）的，投标文件应按标段分别编制，单独成册。</w:t>
      </w:r>
    </w:p>
    <w:p w14:paraId="5C118B3B">
      <w:pPr>
        <w:spacing w:line="360" w:lineRule="auto"/>
        <w:jc w:val="left"/>
        <w:rPr>
          <w:rFonts w:ascii="宋体" w:hAnsi="宋体" w:cs="宋体"/>
          <w:b/>
          <w:bCs/>
          <w:sz w:val="24"/>
          <w:szCs w:val="24"/>
        </w:rPr>
      </w:pPr>
      <w:bookmarkStart w:id="231" w:name="_Toc489197830"/>
      <w:bookmarkStart w:id="232" w:name="_Toc489145726"/>
      <w:bookmarkStart w:id="233" w:name="_Toc528186474"/>
      <w:r>
        <w:rPr>
          <w:rFonts w:hint="eastAsia" w:ascii="宋体" w:hAnsi="宋体" w:cs="宋体"/>
          <w:b/>
          <w:bCs/>
          <w:sz w:val="24"/>
          <w:szCs w:val="24"/>
        </w:rPr>
        <w:t>★16.投标文件的格式要求</w:t>
      </w:r>
    </w:p>
    <w:p w14:paraId="322DA5A1">
      <w:pPr>
        <w:spacing w:line="360" w:lineRule="auto"/>
        <w:ind w:firstLine="420"/>
        <w:jc w:val="left"/>
        <w:rPr>
          <w:rFonts w:ascii="宋体" w:hAnsi="宋体" w:cs="宋体"/>
          <w:szCs w:val="21"/>
        </w:rPr>
      </w:pPr>
      <w:r>
        <w:rPr>
          <w:rFonts w:hint="eastAsia" w:ascii="宋体" w:hAnsi="宋体" w:cs="宋体"/>
          <w:szCs w:val="21"/>
        </w:rPr>
        <w:t>16.1投标人应按第四章《投标文件格式》提供的格式完整地填写，未按招标文件规定格式填写的投标文件按无效投标处理。</w:t>
      </w:r>
    </w:p>
    <w:p w14:paraId="2FAF31D7">
      <w:pPr>
        <w:spacing w:line="360" w:lineRule="auto"/>
        <w:jc w:val="left"/>
        <w:rPr>
          <w:rFonts w:ascii="宋体" w:hAnsi="宋体" w:cs="宋体"/>
          <w:b/>
          <w:bCs/>
          <w:sz w:val="24"/>
          <w:szCs w:val="24"/>
        </w:rPr>
      </w:pPr>
      <w:r>
        <w:rPr>
          <w:rFonts w:hint="eastAsia" w:ascii="宋体" w:hAnsi="宋体" w:cs="宋体"/>
          <w:b/>
          <w:bCs/>
          <w:sz w:val="24"/>
          <w:szCs w:val="24"/>
        </w:rPr>
        <w:t>★17.投标有效期</w:t>
      </w:r>
    </w:p>
    <w:p w14:paraId="1C118444">
      <w:pPr>
        <w:spacing w:line="360" w:lineRule="auto"/>
        <w:ind w:firstLine="420"/>
        <w:jc w:val="left"/>
        <w:rPr>
          <w:rFonts w:ascii="宋体" w:hAnsi="宋体" w:cs="宋体"/>
          <w:szCs w:val="21"/>
        </w:rPr>
      </w:pPr>
      <w:r>
        <w:rPr>
          <w:rFonts w:hint="eastAsia" w:ascii="宋体" w:hAnsi="宋体" w:cs="宋体"/>
          <w:szCs w:val="21"/>
        </w:rPr>
        <w:t>17.1在《投标人须知前附表》规定的有效期内，投标人不得要求撤销或修改其投标文件。</w:t>
      </w:r>
    </w:p>
    <w:p w14:paraId="40B8AE19">
      <w:pPr>
        <w:spacing w:line="360" w:lineRule="auto"/>
        <w:ind w:firstLine="420"/>
        <w:jc w:val="left"/>
        <w:rPr>
          <w:rFonts w:ascii="宋体" w:hAnsi="宋体" w:cs="宋体"/>
          <w:szCs w:val="21"/>
        </w:rPr>
      </w:pPr>
      <w:r>
        <w:rPr>
          <w:rFonts w:hint="eastAsia" w:ascii="宋体" w:hAnsi="宋体" w:cs="宋体"/>
          <w:szCs w:val="21"/>
        </w:rPr>
        <w:t>17.2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6B3E77C6">
      <w:pPr>
        <w:spacing w:line="360" w:lineRule="auto"/>
        <w:jc w:val="left"/>
        <w:rPr>
          <w:rFonts w:ascii="宋体" w:hAnsi="宋体" w:cs="宋体"/>
          <w:b/>
          <w:bCs/>
          <w:sz w:val="24"/>
          <w:szCs w:val="24"/>
        </w:rPr>
      </w:pPr>
      <w:r>
        <w:rPr>
          <w:rFonts w:hint="eastAsia" w:ascii="宋体" w:hAnsi="宋体" w:cs="宋体"/>
          <w:b/>
          <w:bCs/>
          <w:sz w:val="24"/>
          <w:szCs w:val="24"/>
        </w:rPr>
        <w:t>18.投标保证金</w:t>
      </w:r>
    </w:p>
    <w:p w14:paraId="39ACD94A">
      <w:pPr>
        <w:spacing w:line="360" w:lineRule="auto"/>
        <w:ind w:firstLine="420"/>
        <w:jc w:val="left"/>
        <w:rPr>
          <w:rFonts w:ascii="宋体" w:hAnsi="宋体" w:cs="宋体"/>
          <w:szCs w:val="21"/>
        </w:rPr>
      </w:pPr>
      <w:r>
        <w:rPr>
          <w:rFonts w:hint="eastAsia" w:ascii="宋体" w:hAnsi="宋体" w:cs="宋体"/>
          <w:szCs w:val="21"/>
        </w:rPr>
        <w:t>18.1投标人应按《投标人须知前附表》规定的金额、形式交纳投标保证金，投标保证金须在投标文件提交截止时间前从投标人基本账户交纳到《投标人须知前附表》规定的账户，投标人未按照招标文件要求提交投标保证金的，投标无效。</w:t>
      </w:r>
    </w:p>
    <w:p w14:paraId="726B7358">
      <w:pPr>
        <w:spacing w:line="360" w:lineRule="auto"/>
        <w:ind w:firstLine="420"/>
        <w:jc w:val="left"/>
        <w:rPr>
          <w:rFonts w:ascii="宋体" w:hAnsi="宋体" w:cs="宋体"/>
          <w:szCs w:val="21"/>
        </w:rPr>
      </w:pPr>
      <w:r>
        <w:rPr>
          <w:rFonts w:hint="eastAsia" w:ascii="宋体" w:hAnsi="宋体" w:cs="宋体"/>
          <w:szCs w:val="21"/>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6D9E8656">
      <w:pPr>
        <w:spacing w:line="360" w:lineRule="auto"/>
        <w:ind w:firstLine="420"/>
        <w:jc w:val="left"/>
        <w:rPr>
          <w:rFonts w:ascii="宋体" w:hAnsi="宋体" w:cs="宋体"/>
          <w:szCs w:val="21"/>
        </w:rPr>
      </w:pPr>
      <w:r>
        <w:rPr>
          <w:rFonts w:hint="eastAsia" w:ascii="宋体" w:hAnsi="宋体" w:cs="宋体"/>
          <w:szCs w:val="21"/>
        </w:rPr>
        <w:t>（1）投标人在提交投标文件截止时间后撤销投标文件的；</w:t>
      </w:r>
    </w:p>
    <w:p w14:paraId="5A747FB6">
      <w:pPr>
        <w:spacing w:line="360" w:lineRule="auto"/>
        <w:ind w:firstLine="420"/>
        <w:jc w:val="left"/>
        <w:rPr>
          <w:rFonts w:ascii="宋体" w:hAnsi="宋体" w:cs="宋体"/>
          <w:szCs w:val="21"/>
        </w:rPr>
      </w:pPr>
      <w:r>
        <w:rPr>
          <w:rFonts w:hint="eastAsia" w:ascii="宋体" w:hAnsi="宋体" w:cs="宋体"/>
          <w:szCs w:val="21"/>
        </w:rPr>
        <w:t>（2）投标人在投标文件中提供虚假材料的；</w:t>
      </w:r>
    </w:p>
    <w:p w14:paraId="7B18892F">
      <w:pPr>
        <w:spacing w:line="360" w:lineRule="auto"/>
        <w:ind w:firstLine="420"/>
        <w:jc w:val="left"/>
        <w:rPr>
          <w:rFonts w:ascii="宋体" w:hAnsi="宋体" w:cs="宋体"/>
          <w:szCs w:val="21"/>
        </w:rPr>
      </w:pPr>
      <w:r>
        <w:rPr>
          <w:rFonts w:hint="eastAsia" w:ascii="宋体" w:hAnsi="宋体" w:cs="宋体"/>
          <w:szCs w:val="21"/>
        </w:rPr>
        <w:t>（3）除因不可抗力或招标文件认可的情形以外，中标人不与采购人签订合同的；</w:t>
      </w:r>
    </w:p>
    <w:p w14:paraId="701C5150">
      <w:pPr>
        <w:spacing w:line="360" w:lineRule="auto"/>
        <w:ind w:firstLine="420"/>
        <w:jc w:val="left"/>
        <w:rPr>
          <w:rFonts w:ascii="宋体" w:hAnsi="宋体" w:cs="宋体"/>
          <w:szCs w:val="21"/>
        </w:rPr>
      </w:pPr>
      <w:r>
        <w:rPr>
          <w:rFonts w:hint="eastAsia" w:ascii="宋体" w:hAnsi="宋体" w:cs="宋体"/>
          <w:szCs w:val="21"/>
        </w:rPr>
        <w:t>（4）投标人与采购人、其他投标人或者采购代理机构恶意串通的；</w:t>
      </w:r>
    </w:p>
    <w:p w14:paraId="74C16215">
      <w:pPr>
        <w:spacing w:line="360" w:lineRule="auto"/>
        <w:ind w:firstLine="420"/>
        <w:jc w:val="left"/>
        <w:rPr>
          <w:rFonts w:ascii="宋体" w:hAnsi="宋体" w:cs="宋体"/>
          <w:szCs w:val="21"/>
        </w:rPr>
      </w:pPr>
      <w:r>
        <w:rPr>
          <w:rFonts w:hint="eastAsia" w:ascii="宋体" w:hAnsi="宋体" w:cs="宋体"/>
          <w:szCs w:val="21"/>
        </w:rPr>
        <w:t>（5）招标文件规定的其他情形。</w:t>
      </w:r>
    </w:p>
    <w:p w14:paraId="47E58274">
      <w:pPr>
        <w:spacing w:line="360" w:lineRule="auto"/>
        <w:jc w:val="left"/>
        <w:rPr>
          <w:rFonts w:ascii="宋体" w:hAnsi="宋体" w:cs="宋体"/>
          <w:b/>
          <w:bCs/>
          <w:sz w:val="24"/>
          <w:szCs w:val="24"/>
        </w:rPr>
      </w:pPr>
      <w:r>
        <w:rPr>
          <w:rFonts w:hint="eastAsia" w:ascii="宋体" w:hAnsi="宋体" w:cs="宋体"/>
          <w:b/>
          <w:bCs/>
          <w:sz w:val="24"/>
          <w:szCs w:val="24"/>
        </w:rPr>
        <w:t>19.投标文件的编制</w:t>
      </w:r>
    </w:p>
    <w:p w14:paraId="4F56F5FF">
      <w:pPr>
        <w:spacing w:line="360" w:lineRule="auto"/>
        <w:ind w:firstLine="420"/>
        <w:jc w:val="left"/>
        <w:rPr>
          <w:rFonts w:ascii="宋体" w:hAnsi="宋体" w:cs="宋体"/>
          <w:szCs w:val="21"/>
        </w:rPr>
      </w:pPr>
      <w:r>
        <w:rPr>
          <w:rFonts w:hint="eastAsia" w:ascii="宋体" w:hAnsi="宋体" w:cs="宋体"/>
          <w:szCs w:val="21"/>
        </w:rPr>
        <w:t>19.1投标文件按招标文件要求由投标人的法定代表人（负责人）电子签名或电子签章并加盖投标人的电子公章。</w:t>
      </w:r>
    </w:p>
    <w:p w14:paraId="5C3C5E0F">
      <w:pPr>
        <w:spacing w:line="360" w:lineRule="auto"/>
        <w:ind w:firstLine="420"/>
        <w:jc w:val="left"/>
        <w:rPr>
          <w:rFonts w:ascii="宋体" w:hAnsi="宋体" w:cs="宋体"/>
          <w:szCs w:val="21"/>
        </w:rPr>
      </w:pPr>
      <w:r>
        <w:rPr>
          <w:rFonts w:hint="eastAsia" w:ascii="宋体" w:hAnsi="宋体" w:cs="宋体"/>
          <w:szCs w:val="21"/>
        </w:rPr>
        <w:t>19.2投标文件应尽量避免涂改、行间插字或删除。如果出现上述情况，改动之处应加盖投标人的电子公章或投标人法定代表人（负责人）电子签名或电子签章确认。</w:t>
      </w:r>
    </w:p>
    <w:p w14:paraId="07CCD87A">
      <w:pPr>
        <w:spacing w:line="360" w:lineRule="auto"/>
        <w:ind w:firstLine="420"/>
        <w:jc w:val="left"/>
        <w:rPr>
          <w:rFonts w:ascii="宋体" w:hAnsi="宋体" w:cs="宋体"/>
          <w:szCs w:val="21"/>
        </w:rPr>
      </w:pPr>
      <w:r>
        <w:rPr>
          <w:rFonts w:hint="eastAsia" w:ascii="宋体" w:hAnsi="宋体" w:cs="宋体"/>
          <w:szCs w:val="21"/>
        </w:rPr>
        <w:t>19.3投标文件应由法定代表人（负责人）在招标文件规定签字处逐一电子签名或电子签章，要求盖章处应盖单位电子公章，若以“投标专用章”或“合同专用章”代替的，须出具投标人单位公章对“投标专用章”或“合同专用章”的授权函。</w:t>
      </w:r>
    </w:p>
    <w:p w14:paraId="6AA1765E">
      <w:pPr>
        <w:spacing w:line="360" w:lineRule="auto"/>
        <w:ind w:firstLine="420"/>
        <w:jc w:val="left"/>
        <w:rPr>
          <w:rFonts w:ascii="宋体" w:hAnsi="宋体" w:cs="宋体"/>
          <w:szCs w:val="21"/>
        </w:rPr>
      </w:pPr>
      <w:r>
        <w:rPr>
          <w:rFonts w:hint="eastAsia" w:ascii="宋体" w:hAnsi="宋体" w:cs="宋体"/>
          <w:szCs w:val="21"/>
        </w:rPr>
        <w:t>19.4投标文件中提供的资料（包括复印件）、关键内容必须清晰可辨，若出现字迹潦草、表达不清、未按要求填写而导致非唯一理解，视为未实质性响应招标采购文件，投标人投标文件将按无效处理。</w:t>
      </w:r>
    </w:p>
    <w:p w14:paraId="4C8FECF8">
      <w:pPr>
        <w:spacing w:line="360" w:lineRule="auto"/>
        <w:jc w:val="left"/>
        <w:rPr>
          <w:rFonts w:ascii="宋体" w:hAnsi="宋体" w:cs="宋体"/>
          <w:b/>
          <w:bCs/>
          <w:sz w:val="24"/>
          <w:szCs w:val="24"/>
        </w:rPr>
      </w:pPr>
      <w:bookmarkStart w:id="234" w:name="_Toc6763"/>
      <w:bookmarkStart w:id="235" w:name="_Toc16360"/>
      <w:bookmarkStart w:id="236" w:name="_Toc13058"/>
      <w:r>
        <w:rPr>
          <w:rFonts w:hint="eastAsia" w:ascii="宋体" w:hAnsi="宋体" w:cs="宋体"/>
          <w:b/>
          <w:bCs/>
          <w:sz w:val="24"/>
          <w:szCs w:val="24"/>
        </w:rPr>
        <w:t>20.投标报价和报价货币</w:t>
      </w:r>
      <w:bookmarkEnd w:id="231"/>
      <w:bookmarkEnd w:id="232"/>
      <w:bookmarkEnd w:id="233"/>
      <w:bookmarkEnd w:id="234"/>
      <w:bookmarkEnd w:id="235"/>
      <w:bookmarkEnd w:id="236"/>
      <w:bookmarkStart w:id="237" w:name="_Toc482343737"/>
      <w:bookmarkStart w:id="238" w:name="_Toc329810197"/>
      <w:bookmarkStart w:id="239" w:name="_Toc86124056"/>
      <w:bookmarkStart w:id="240" w:name="_Toc432106486"/>
      <w:bookmarkStart w:id="241" w:name="_Toc432194837"/>
      <w:bookmarkStart w:id="242" w:name="_Toc470507051"/>
      <w:bookmarkStart w:id="243" w:name="_Toc383175485"/>
      <w:bookmarkStart w:id="244" w:name="_Toc383175287"/>
      <w:bookmarkStart w:id="245" w:name="_Toc383175063"/>
    </w:p>
    <w:bookmarkEnd w:id="237"/>
    <w:bookmarkEnd w:id="238"/>
    <w:bookmarkEnd w:id="239"/>
    <w:bookmarkEnd w:id="240"/>
    <w:bookmarkEnd w:id="241"/>
    <w:bookmarkEnd w:id="242"/>
    <w:bookmarkEnd w:id="243"/>
    <w:bookmarkEnd w:id="244"/>
    <w:bookmarkEnd w:id="245"/>
    <w:p w14:paraId="64DE4A35">
      <w:pPr>
        <w:spacing w:line="360" w:lineRule="auto"/>
        <w:ind w:firstLine="420"/>
        <w:jc w:val="left"/>
        <w:rPr>
          <w:rFonts w:ascii="宋体" w:hAnsi="宋体" w:cs="宋体"/>
          <w:szCs w:val="21"/>
        </w:rPr>
      </w:pPr>
      <w:r>
        <w:rPr>
          <w:rFonts w:hint="eastAsia" w:ascii="宋体" w:hAnsi="宋体" w:cs="宋体"/>
          <w:szCs w:val="21"/>
        </w:rPr>
        <w:t>20.1投标人必须对所有内容作出完整唯一的投标报价，不得缺项、漏项，否则投标文件将按无效处理。</w:t>
      </w:r>
    </w:p>
    <w:p w14:paraId="1BBFB1F5">
      <w:pPr>
        <w:spacing w:line="360" w:lineRule="auto"/>
        <w:ind w:firstLine="420"/>
        <w:jc w:val="left"/>
        <w:rPr>
          <w:rFonts w:ascii="宋体" w:hAnsi="宋体" w:cs="宋体"/>
          <w:szCs w:val="21"/>
        </w:rPr>
      </w:pPr>
      <w:r>
        <w:rPr>
          <w:rFonts w:hint="eastAsia" w:ascii="宋体" w:hAnsi="宋体" w:cs="宋体"/>
          <w:szCs w:val="21"/>
        </w:rPr>
        <w:t>20.2投标报价指投标人依据招标文件的要求及有关资料，执行国家或行业现行技术、经济标准、定额及规范，根据现行市场价格自行测算出满足采购要求的货物、工程或者服务费用及必要的保险费用和各项税金等所有费用的总和。</w:t>
      </w:r>
    </w:p>
    <w:p w14:paraId="1638F260">
      <w:pPr>
        <w:spacing w:line="360" w:lineRule="auto"/>
        <w:ind w:firstLine="420"/>
        <w:jc w:val="left"/>
        <w:rPr>
          <w:rFonts w:ascii="宋体" w:hAnsi="宋体" w:cs="宋体"/>
          <w:szCs w:val="21"/>
        </w:rPr>
      </w:pPr>
      <w:r>
        <w:rPr>
          <w:rFonts w:hint="eastAsia" w:ascii="宋体" w:hAnsi="宋体" w:cs="宋体"/>
          <w:szCs w:val="21"/>
        </w:rPr>
        <w:t>20.3投标报价应符合市场行情并能保证投标人完成履行合同所需的一切工作。合同一旦签订，此价格在合同实施期间将不因市场价格等的变化而调整。项目特别要求提供备品备件的，此部分价格应包含在上述价格中。</w:t>
      </w:r>
    </w:p>
    <w:p w14:paraId="5FE5D970">
      <w:pPr>
        <w:spacing w:line="360" w:lineRule="auto"/>
        <w:ind w:firstLine="420"/>
        <w:jc w:val="left"/>
        <w:rPr>
          <w:rFonts w:ascii="宋体" w:hAnsi="宋体" w:cs="宋体"/>
          <w:szCs w:val="21"/>
        </w:rPr>
      </w:pPr>
      <w:r>
        <w:rPr>
          <w:rFonts w:hint="eastAsia" w:ascii="宋体" w:hAnsi="宋体" w:cs="宋体"/>
          <w:szCs w:val="21"/>
        </w:rPr>
        <w:t>20.4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71E3AB88">
      <w:pPr>
        <w:spacing w:line="360" w:lineRule="auto"/>
        <w:ind w:firstLine="420"/>
        <w:jc w:val="left"/>
        <w:rPr>
          <w:rFonts w:ascii="宋体" w:hAnsi="宋体" w:cs="宋体"/>
          <w:szCs w:val="21"/>
        </w:rPr>
      </w:pPr>
      <w:r>
        <w:rPr>
          <w:rFonts w:hint="eastAsia" w:ascii="宋体" w:hAnsi="宋体" w:cs="宋体"/>
          <w:szCs w:val="21"/>
        </w:rPr>
        <w:t>20.5除招标文件中指定的标准附件和专用工具外，投标人应提供货物正常运行和常规保养所需的全套标准附件、专用工具和消耗品。投标人在投标文件中需列出这些附件和工具的数量和单价的清单，这些附件和工具的报价的总值需计入投标报价中。</w:t>
      </w:r>
    </w:p>
    <w:p w14:paraId="12EC26DB">
      <w:pPr>
        <w:spacing w:line="360" w:lineRule="auto"/>
        <w:ind w:firstLine="420"/>
        <w:jc w:val="left"/>
        <w:rPr>
          <w:rFonts w:ascii="宋体" w:hAnsi="宋体" w:cs="宋体"/>
          <w:szCs w:val="21"/>
        </w:rPr>
      </w:pPr>
      <w:r>
        <w:rPr>
          <w:rFonts w:hint="eastAsia" w:ascii="宋体" w:hAnsi="宋体" w:cs="宋体"/>
          <w:szCs w:val="21"/>
        </w:rPr>
        <w:t>20.6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518A490">
      <w:pPr>
        <w:spacing w:line="360" w:lineRule="auto"/>
        <w:ind w:firstLine="420"/>
        <w:jc w:val="left"/>
        <w:rPr>
          <w:rFonts w:ascii="宋体" w:hAnsi="宋体" w:cs="宋体"/>
          <w:szCs w:val="21"/>
        </w:rPr>
      </w:pPr>
      <w:r>
        <w:rPr>
          <w:rFonts w:hint="eastAsia" w:ascii="宋体" w:hAnsi="宋体" w:cs="宋体"/>
          <w:szCs w:val="21"/>
        </w:rPr>
        <w:t>20.7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7A7D87F7">
      <w:pPr>
        <w:spacing w:line="360" w:lineRule="auto"/>
        <w:ind w:firstLine="420"/>
        <w:jc w:val="left"/>
        <w:rPr>
          <w:rFonts w:ascii="宋体" w:hAnsi="宋体" w:cs="宋体"/>
          <w:szCs w:val="21"/>
        </w:rPr>
      </w:pPr>
      <w:r>
        <w:rPr>
          <w:rFonts w:hint="eastAsia" w:ascii="宋体" w:hAnsi="宋体" w:cs="宋体"/>
          <w:szCs w:val="21"/>
        </w:rPr>
        <w:t>20.8报价货币为人民币。</w:t>
      </w:r>
    </w:p>
    <w:p w14:paraId="117BC282">
      <w:pPr>
        <w:pStyle w:val="3"/>
        <w:spacing w:before="0" w:line="360" w:lineRule="auto"/>
        <w:jc w:val="center"/>
        <w:rPr>
          <w:rFonts w:ascii="宋体" w:hAnsi="宋体" w:cs="宋体"/>
          <w:color w:val="auto"/>
          <w:sz w:val="28"/>
          <w:szCs w:val="28"/>
        </w:rPr>
      </w:pPr>
      <w:bookmarkStart w:id="246" w:name="_Toc27900"/>
      <w:bookmarkStart w:id="247" w:name="_Toc12423"/>
      <w:bookmarkStart w:id="248" w:name="_Toc489197831"/>
      <w:bookmarkStart w:id="249" w:name="_Toc23255"/>
      <w:bookmarkStart w:id="250" w:name="_Toc489145727"/>
      <w:bookmarkStart w:id="251" w:name="_Toc528186475"/>
      <w:bookmarkStart w:id="252" w:name="_Toc6164"/>
      <w:bookmarkStart w:id="253" w:name="_Toc488633607"/>
      <w:r>
        <w:rPr>
          <w:rFonts w:hint="eastAsia" w:ascii="宋体" w:hAnsi="宋体" w:cs="宋体"/>
          <w:color w:val="auto"/>
          <w:sz w:val="28"/>
          <w:szCs w:val="28"/>
        </w:rPr>
        <w:t>四、投标</w:t>
      </w:r>
      <w:bookmarkEnd w:id="246"/>
      <w:bookmarkEnd w:id="247"/>
      <w:bookmarkEnd w:id="248"/>
      <w:bookmarkEnd w:id="249"/>
      <w:bookmarkEnd w:id="250"/>
      <w:bookmarkEnd w:id="251"/>
      <w:bookmarkEnd w:id="252"/>
      <w:bookmarkEnd w:id="253"/>
    </w:p>
    <w:p w14:paraId="7EA6DA22">
      <w:pPr>
        <w:spacing w:line="360" w:lineRule="auto"/>
        <w:jc w:val="left"/>
        <w:rPr>
          <w:rFonts w:ascii="宋体" w:hAnsi="宋体" w:cs="宋体"/>
          <w:b/>
          <w:bCs/>
          <w:sz w:val="24"/>
          <w:szCs w:val="24"/>
        </w:rPr>
      </w:pPr>
      <w:bookmarkStart w:id="254" w:name="_Toc528186476"/>
      <w:bookmarkStart w:id="255" w:name="_Toc489145728"/>
      <w:bookmarkStart w:id="256" w:name="_Toc6233"/>
      <w:bookmarkStart w:id="257" w:name="_Toc29859"/>
      <w:bookmarkStart w:id="258" w:name="_Toc489197832"/>
      <w:bookmarkStart w:id="259" w:name="_Toc12022"/>
      <w:r>
        <w:rPr>
          <w:rFonts w:hint="eastAsia" w:ascii="宋体" w:hAnsi="宋体" w:cs="宋体"/>
          <w:b/>
          <w:bCs/>
          <w:sz w:val="24"/>
          <w:szCs w:val="24"/>
        </w:rPr>
        <w:t>21.投标文</w:t>
      </w:r>
      <w:bookmarkStart w:id="260" w:name="_Toc4707"/>
      <w:bookmarkStart w:id="261" w:name="_Toc378239081"/>
      <w:bookmarkStart w:id="262" w:name="_Toc378239354"/>
      <w:bookmarkStart w:id="263" w:name="_Toc378239173"/>
      <w:bookmarkStart w:id="264" w:name="_Toc480817646"/>
      <w:bookmarkStart w:id="265" w:name="_Toc401342137"/>
      <w:bookmarkStart w:id="266" w:name="_Toc296602443"/>
      <w:r>
        <w:rPr>
          <w:rFonts w:hint="eastAsia" w:ascii="宋体" w:hAnsi="宋体" w:cs="宋体"/>
          <w:b/>
          <w:bCs/>
          <w:sz w:val="24"/>
          <w:szCs w:val="24"/>
        </w:rPr>
        <w:t>件的密封</w:t>
      </w:r>
      <w:bookmarkEnd w:id="260"/>
      <w:bookmarkEnd w:id="261"/>
      <w:bookmarkEnd w:id="262"/>
      <w:bookmarkEnd w:id="263"/>
      <w:bookmarkEnd w:id="264"/>
      <w:bookmarkEnd w:id="265"/>
      <w:bookmarkEnd w:id="266"/>
      <w:r>
        <w:rPr>
          <w:rFonts w:hint="eastAsia" w:ascii="宋体" w:hAnsi="宋体" w:cs="宋体"/>
          <w:b/>
          <w:bCs/>
          <w:sz w:val="24"/>
          <w:szCs w:val="24"/>
        </w:rPr>
        <w:t>和</w:t>
      </w:r>
      <w:bookmarkEnd w:id="254"/>
      <w:bookmarkEnd w:id="255"/>
      <w:bookmarkEnd w:id="256"/>
      <w:bookmarkEnd w:id="257"/>
      <w:bookmarkEnd w:id="258"/>
      <w:bookmarkEnd w:id="259"/>
      <w:bookmarkStart w:id="267" w:name="_Toc296602444"/>
      <w:bookmarkStart w:id="268" w:name="_Toc152045556"/>
      <w:bookmarkStart w:id="269" w:name="_Toc152042332"/>
      <w:bookmarkStart w:id="270" w:name="_Toc246996943"/>
      <w:bookmarkStart w:id="271" w:name="_Toc179632574"/>
      <w:bookmarkStart w:id="272" w:name="_Toc246996200"/>
      <w:bookmarkStart w:id="273" w:name="_Toc247085714"/>
      <w:bookmarkStart w:id="274" w:name="_Toc144974524"/>
      <w:r>
        <w:rPr>
          <w:rFonts w:hint="eastAsia" w:ascii="宋体" w:hAnsi="宋体" w:cs="宋体"/>
          <w:b/>
          <w:bCs/>
          <w:sz w:val="24"/>
          <w:szCs w:val="24"/>
        </w:rPr>
        <w:t>解密</w:t>
      </w:r>
    </w:p>
    <w:bookmarkEnd w:id="267"/>
    <w:bookmarkEnd w:id="268"/>
    <w:bookmarkEnd w:id="269"/>
    <w:bookmarkEnd w:id="270"/>
    <w:bookmarkEnd w:id="271"/>
    <w:bookmarkEnd w:id="272"/>
    <w:bookmarkEnd w:id="273"/>
    <w:bookmarkEnd w:id="274"/>
    <w:p w14:paraId="5693DCA2">
      <w:pPr>
        <w:wordWrap w:val="0"/>
        <w:spacing w:line="360" w:lineRule="auto"/>
        <w:ind w:firstLine="420"/>
        <w:jc w:val="left"/>
        <w:rPr>
          <w:rFonts w:ascii="宋体" w:hAnsi="宋体" w:cs="宋体"/>
          <w:szCs w:val="21"/>
        </w:rPr>
      </w:pPr>
      <w:bookmarkStart w:id="275" w:name="_Toc489145729"/>
      <w:bookmarkStart w:id="276" w:name="_Toc489197833"/>
      <w:bookmarkStart w:id="277" w:name="_Toc528186477"/>
      <w:bookmarkStart w:id="278" w:name="_Toc144974525"/>
      <w:bookmarkStart w:id="279" w:name="_Toc247085715"/>
      <w:bookmarkStart w:id="280" w:name="_Toc246996944"/>
      <w:bookmarkStart w:id="281" w:name="_Toc152042333"/>
      <w:bookmarkStart w:id="282" w:name="_Toc152045557"/>
      <w:bookmarkStart w:id="283" w:name="_Toc246996201"/>
      <w:bookmarkStart w:id="284" w:name="_Toc179632575"/>
      <w:r>
        <w:rPr>
          <w:rFonts w:hint="eastAsia" w:ascii="宋体" w:hAnsi="宋体" w:cs="宋体"/>
          <w:szCs w:val="21"/>
        </w:rPr>
        <w:t>21.1投标文件的密封：</w:t>
      </w:r>
      <w:bookmarkStart w:id="285" w:name="_Toc34"/>
      <w:bookmarkStart w:id="286" w:name="_Toc17219"/>
      <w:bookmarkStart w:id="287" w:name="_Toc1260"/>
      <w:r>
        <w:rPr>
          <w:rFonts w:hint="eastAsia" w:ascii="宋体" w:hAnsi="宋体" w:cs="宋体"/>
          <w:szCs w:val="21"/>
        </w:rPr>
        <w:t>投标人应按照"政采云"平台的要求编制、加密投标文件后在投标文件提交截止时间前上传至"政采云"平台，投标文件提交截止时间前未完成投标文件上传的，视为撤回投标文件。</w:t>
      </w:r>
    </w:p>
    <w:p w14:paraId="6AB4EE94">
      <w:pPr>
        <w:spacing w:line="360" w:lineRule="auto"/>
        <w:ind w:firstLine="420"/>
        <w:jc w:val="left"/>
        <w:rPr>
          <w:rFonts w:ascii="宋体" w:hAnsi="宋体" w:cs="宋体"/>
          <w:szCs w:val="21"/>
        </w:rPr>
      </w:pPr>
      <w:r>
        <w:rPr>
          <w:rFonts w:hint="eastAsia" w:ascii="宋体" w:hAnsi="宋体" w:cs="宋体"/>
          <w:szCs w:val="21"/>
        </w:rPr>
        <w:t>21.2投标文件的解密：投标人无需到达开标地点，须在"政采云"平台进行远程解密电子版投标文件。解密时长为30分钟，因投标人自身原因导致未在规定时间内完成投标文件解密的，视为撤回投标文件。</w:t>
      </w:r>
    </w:p>
    <w:p w14:paraId="6F489866">
      <w:pPr>
        <w:spacing w:line="360" w:lineRule="auto"/>
        <w:jc w:val="left"/>
        <w:rPr>
          <w:rFonts w:ascii="宋体" w:hAnsi="宋体" w:cs="宋体"/>
          <w:b/>
          <w:bCs/>
          <w:sz w:val="24"/>
          <w:szCs w:val="24"/>
        </w:rPr>
      </w:pPr>
      <w:r>
        <w:rPr>
          <w:rFonts w:hint="eastAsia" w:ascii="宋体" w:hAnsi="宋体" w:cs="宋体"/>
          <w:b/>
          <w:bCs/>
          <w:sz w:val="24"/>
          <w:szCs w:val="24"/>
        </w:rPr>
        <w:t>22.投标文件的提交</w:t>
      </w:r>
      <w:bookmarkEnd w:id="275"/>
      <w:bookmarkEnd w:id="276"/>
      <w:bookmarkEnd w:id="277"/>
      <w:bookmarkEnd w:id="285"/>
      <w:bookmarkEnd w:id="286"/>
      <w:bookmarkEnd w:id="287"/>
    </w:p>
    <w:p w14:paraId="4047E734">
      <w:pPr>
        <w:spacing w:line="360" w:lineRule="auto"/>
        <w:ind w:firstLine="420"/>
        <w:jc w:val="left"/>
        <w:rPr>
          <w:rFonts w:hint="eastAsia" w:ascii="宋体" w:hAnsi="宋体" w:eastAsia="宋体" w:cs="宋体"/>
          <w:szCs w:val="21"/>
          <w:lang w:eastAsia="zh-CN"/>
        </w:rPr>
      </w:pPr>
      <w:bookmarkStart w:id="288" w:name="_Toc296602445"/>
      <w:r>
        <w:rPr>
          <w:rFonts w:hint="eastAsia" w:ascii="宋体" w:hAnsi="宋体" w:eastAsia="宋体" w:cs="宋体"/>
          <w:szCs w:val="21"/>
        </w:rPr>
        <w:t>22.1投标文件提</w:t>
      </w:r>
      <w:bookmarkEnd w:id="278"/>
      <w:bookmarkEnd w:id="279"/>
      <w:bookmarkEnd w:id="280"/>
      <w:bookmarkEnd w:id="281"/>
      <w:bookmarkEnd w:id="282"/>
      <w:bookmarkEnd w:id="283"/>
      <w:bookmarkEnd w:id="284"/>
      <w:bookmarkEnd w:id="288"/>
      <w:r>
        <w:rPr>
          <w:rFonts w:hint="eastAsia" w:ascii="宋体" w:hAnsi="宋体" w:eastAsia="宋体" w:cs="宋体"/>
          <w:szCs w:val="21"/>
        </w:rPr>
        <w:t>交截止时间、提交投标文件的地点：详见《投标人须知前附表》</w:t>
      </w:r>
      <w:r>
        <w:rPr>
          <w:rFonts w:hint="eastAsia" w:ascii="宋体" w:hAnsi="宋体" w:eastAsia="宋体" w:cs="宋体"/>
          <w:szCs w:val="21"/>
          <w:lang w:eastAsia="zh-CN"/>
        </w:rPr>
        <w:t>；</w:t>
      </w:r>
    </w:p>
    <w:p w14:paraId="401723FB">
      <w:pPr>
        <w:spacing w:line="360" w:lineRule="auto"/>
        <w:ind w:firstLine="420"/>
        <w:jc w:val="left"/>
        <w:rPr>
          <w:rFonts w:hint="default"/>
          <w:lang w:val="en-US" w:eastAsia="zh-CN"/>
        </w:rPr>
      </w:pPr>
      <w:r>
        <w:rPr>
          <w:rFonts w:hint="eastAsia" w:ascii="宋体" w:hAnsi="宋体" w:eastAsia="宋体" w:cs="宋体"/>
          <w:szCs w:val="21"/>
          <w:lang w:val="en-US" w:eastAsia="zh-CN"/>
        </w:rPr>
        <w:t>22.2</w:t>
      </w:r>
      <w:r>
        <w:rPr>
          <w:rFonts w:hint="eastAsia" w:ascii="宋体" w:hAnsi="宋体" w:eastAsia="宋体" w:cs="宋体"/>
          <w:szCs w:val="2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r>
        <w:rPr>
          <w:rFonts w:hint="eastAsia" w:ascii="宋体" w:hAnsi="宋体" w:eastAsia="宋体" w:cs="宋体"/>
          <w:szCs w:val="21"/>
          <w:lang w:eastAsia="zh-CN"/>
        </w:rPr>
        <w:t>。</w:t>
      </w:r>
    </w:p>
    <w:p w14:paraId="7405F0CF">
      <w:pPr>
        <w:spacing w:line="360" w:lineRule="auto"/>
        <w:jc w:val="left"/>
        <w:rPr>
          <w:rFonts w:ascii="宋体" w:hAnsi="宋体" w:cs="宋体"/>
          <w:b/>
          <w:bCs/>
          <w:sz w:val="24"/>
          <w:szCs w:val="24"/>
        </w:rPr>
      </w:pPr>
      <w:bookmarkStart w:id="289" w:name="_Toc8866"/>
      <w:bookmarkStart w:id="290" w:name="_Toc489145730"/>
      <w:bookmarkStart w:id="291" w:name="_Toc528186478"/>
      <w:bookmarkStart w:id="292" w:name="_Toc489197834"/>
      <w:bookmarkStart w:id="293" w:name="_Toc14578"/>
      <w:bookmarkStart w:id="294" w:name="_Toc21225"/>
      <w:r>
        <w:rPr>
          <w:rFonts w:hint="eastAsia" w:ascii="宋体" w:hAnsi="宋体" w:cs="宋体"/>
          <w:b/>
          <w:bCs/>
          <w:sz w:val="24"/>
          <w:szCs w:val="24"/>
        </w:rPr>
        <w:t>23.投标文件的补充、</w:t>
      </w:r>
      <w:bookmarkStart w:id="295" w:name="_Toc247085716"/>
      <w:bookmarkStart w:id="296" w:name="_Toc246996202"/>
      <w:bookmarkStart w:id="297" w:name="_Toc296602446"/>
      <w:bookmarkStart w:id="298" w:name="_Toc246996945"/>
      <w:bookmarkStart w:id="299" w:name="_Toc179632576"/>
      <w:bookmarkStart w:id="300" w:name="_Toc144974526"/>
      <w:bookmarkStart w:id="301" w:name="_Toc152045558"/>
      <w:bookmarkStart w:id="302" w:name="_Toc152042334"/>
      <w:r>
        <w:rPr>
          <w:rFonts w:hint="eastAsia" w:ascii="宋体" w:hAnsi="宋体" w:cs="宋体"/>
          <w:b/>
          <w:bCs/>
          <w:sz w:val="24"/>
          <w:szCs w:val="24"/>
        </w:rPr>
        <w:t>修改或者撤回</w:t>
      </w:r>
      <w:bookmarkEnd w:id="289"/>
      <w:bookmarkEnd w:id="290"/>
      <w:bookmarkEnd w:id="291"/>
      <w:bookmarkEnd w:id="292"/>
      <w:bookmarkEnd w:id="293"/>
      <w:bookmarkEnd w:id="294"/>
    </w:p>
    <w:p w14:paraId="228D7FA4">
      <w:pPr>
        <w:spacing w:line="360" w:lineRule="auto"/>
        <w:ind w:firstLine="420"/>
        <w:jc w:val="left"/>
        <w:rPr>
          <w:rFonts w:ascii="宋体" w:hAnsi="宋体" w:cs="宋体"/>
          <w:szCs w:val="21"/>
        </w:rPr>
      </w:pPr>
      <w:r>
        <w:rPr>
          <w:rFonts w:hint="eastAsia" w:ascii="宋体" w:hAnsi="宋体" w:cs="宋体"/>
          <w:szCs w:val="21"/>
        </w:rPr>
        <w:t>23</w:t>
      </w:r>
      <w:bookmarkEnd w:id="295"/>
      <w:bookmarkEnd w:id="296"/>
      <w:bookmarkEnd w:id="297"/>
      <w:bookmarkEnd w:id="298"/>
      <w:bookmarkEnd w:id="299"/>
      <w:bookmarkEnd w:id="300"/>
      <w:bookmarkEnd w:id="301"/>
      <w:bookmarkEnd w:id="302"/>
      <w:r>
        <w:rPr>
          <w:rFonts w:hint="eastAsia" w:ascii="宋体" w:hAnsi="宋体" w:cs="宋体"/>
          <w:szCs w:val="21"/>
        </w:rPr>
        <w:t>.1投标人在投标截止时间前，可以对所提交的投标文件进行补充、修改或者撤回，并书面通知采购人或者采购代理机构。补充、修改的内容应当按照招标文件要求签署、盖章、密封后，作为投标文件的组成部分。</w:t>
      </w:r>
    </w:p>
    <w:p w14:paraId="3FC8F621">
      <w:pPr>
        <w:spacing w:line="360" w:lineRule="auto"/>
        <w:ind w:firstLine="420"/>
        <w:jc w:val="left"/>
        <w:rPr>
          <w:rFonts w:ascii="宋体" w:hAnsi="宋体" w:cs="宋体"/>
          <w:szCs w:val="21"/>
        </w:rPr>
      </w:pPr>
      <w:r>
        <w:rPr>
          <w:rFonts w:hint="eastAsia" w:ascii="宋体" w:hAnsi="宋体" w:cs="宋体"/>
          <w:szCs w:val="21"/>
        </w:rPr>
        <w:t>23.2投标人在投标截止时间前撤回已提交的投标文件的，采购人或者采购代理机构将自收到投标人书面撤回通知之日起5个工作日内，退还已收取的投标保证金，但因投标人自身原因导致无法及时退还的除外。</w:t>
      </w:r>
    </w:p>
    <w:p w14:paraId="6148F760">
      <w:pPr>
        <w:pStyle w:val="3"/>
        <w:spacing w:before="0" w:line="360" w:lineRule="auto"/>
        <w:jc w:val="center"/>
        <w:rPr>
          <w:rFonts w:ascii="宋体" w:hAnsi="宋体" w:cs="宋体"/>
          <w:color w:val="auto"/>
          <w:sz w:val="28"/>
          <w:szCs w:val="28"/>
        </w:rPr>
      </w:pPr>
      <w:bookmarkStart w:id="303" w:name="_Toc488633608"/>
      <w:bookmarkStart w:id="304" w:name="_Toc23680"/>
      <w:bookmarkStart w:id="305" w:name="_Toc17571"/>
      <w:bookmarkStart w:id="306" w:name="_Toc15436"/>
      <w:bookmarkStart w:id="307" w:name="_Toc19851"/>
      <w:bookmarkStart w:id="308" w:name="_Toc489197835"/>
      <w:bookmarkStart w:id="309" w:name="_Toc528186479"/>
      <w:bookmarkStart w:id="310" w:name="_Toc489145731"/>
      <w:r>
        <w:rPr>
          <w:rFonts w:hint="eastAsia" w:ascii="宋体" w:hAnsi="宋体" w:cs="宋体"/>
          <w:color w:val="auto"/>
          <w:sz w:val="28"/>
          <w:szCs w:val="28"/>
        </w:rPr>
        <w:t>五、开标</w:t>
      </w:r>
      <w:bookmarkEnd w:id="303"/>
      <w:bookmarkEnd w:id="304"/>
      <w:bookmarkEnd w:id="305"/>
      <w:bookmarkEnd w:id="306"/>
      <w:bookmarkEnd w:id="307"/>
      <w:bookmarkEnd w:id="308"/>
      <w:bookmarkEnd w:id="309"/>
      <w:bookmarkEnd w:id="310"/>
    </w:p>
    <w:p w14:paraId="4E6DCC5E">
      <w:pPr>
        <w:spacing w:line="360" w:lineRule="auto"/>
        <w:jc w:val="left"/>
        <w:rPr>
          <w:rFonts w:ascii="宋体" w:hAnsi="宋体" w:cs="宋体"/>
          <w:b/>
          <w:bCs/>
          <w:sz w:val="24"/>
          <w:szCs w:val="24"/>
        </w:rPr>
      </w:pPr>
      <w:bookmarkStart w:id="311" w:name="_Toc489197836"/>
      <w:bookmarkStart w:id="312" w:name="_Toc14804"/>
      <w:bookmarkStart w:id="313" w:name="_Toc489145732"/>
      <w:bookmarkStart w:id="314" w:name="_Toc28158"/>
      <w:bookmarkStart w:id="315" w:name="_Toc14962"/>
      <w:bookmarkStart w:id="316" w:name="_Toc528186480"/>
      <w:r>
        <w:rPr>
          <w:rFonts w:hint="eastAsia" w:ascii="宋体" w:hAnsi="宋体" w:cs="宋体"/>
          <w:b/>
          <w:bCs/>
          <w:sz w:val="24"/>
          <w:szCs w:val="24"/>
        </w:rPr>
        <w:t>24.开标</w:t>
      </w:r>
      <w:bookmarkEnd w:id="311"/>
      <w:bookmarkEnd w:id="312"/>
      <w:bookmarkEnd w:id="313"/>
      <w:bookmarkEnd w:id="314"/>
      <w:bookmarkEnd w:id="315"/>
      <w:bookmarkEnd w:id="316"/>
    </w:p>
    <w:p w14:paraId="289CBAB6">
      <w:pPr>
        <w:spacing w:line="360" w:lineRule="auto"/>
        <w:ind w:firstLine="420" w:firstLineChars="200"/>
        <w:jc w:val="left"/>
        <w:rPr>
          <w:rFonts w:ascii="宋体" w:hAnsi="宋体" w:cs="宋体"/>
          <w:szCs w:val="21"/>
        </w:rPr>
      </w:pPr>
      <w:r>
        <w:rPr>
          <w:rFonts w:hint="eastAsia" w:ascii="宋体" w:hAnsi="宋体" w:cs="宋体"/>
          <w:szCs w:val="21"/>
        </w:rPr>
        <w:t>24.1开标将在招标文件确定的提交投标文件截止时间的同一时间进行。开标地点为招标文件中预先确定的地点。</w:t>
      </w:r>
    </w:p>
    <w:p w14:paraId="72A3AF32">
      <w:pPr>
        <w:spacing w:line="360" w:lineRule="auto"/>
        <w:ind w:firstLine="420" w:firstLineChars="200"/>
        <w:jc w:val="left"/>
        <w:rPr>
          <w:rFonts w:ascii="宋体" w:hAnsi="宋体" w:cs="宋体"/>
          <w:szCs w:val="21"/>
        </w:rPr>
      </w:pPr>
      <w:r>
        <w:rPr>
          <w:rFonts w:hint="eastAsia" w:ascii="宋体" w:hAnsi="宋体" w:cs="宋体"/>
          <w:szCs w:val="21"/>
        </w:rPr>
        <w:t>24.2开标时，投标人不足3家的，不得开标。</w:t>
      </w:r>
    </w:p>
    <w:p w14:paraId="60F2046B">
      <w:pPr>
        <w:spacing w:line="360" w:lineRule="auto"/>
        <w:ind w:firstLine="420" w:firstLineChars="200"/>
        <w:jc w:val="left"/>
        <w:rPr>
          <w:rFonts w:ascii="宋体" w:hAnsi="宋体" w:cs="宋体"/>
          <w:szCs w:val="21"/>
        </w:rPr>
      </w:pPr>
      <w:r>
        <w:rPr>
          <w:rFonts w:hint="eastAsia" w:ascii="宋体" w:hAnsi="宋体" w:cs="宋体"/>
          <w:szCs w:val="21"/>
        </w:rPr>
        <w:t>24.3投标人的法定代表人（负责人）或委托代理人应在线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26105D47">
      <w:pPr>
        <w:spacing w:line="360" w:lineRule="auto"/>
        <w:ind w:firstLine="420" w:firstLineChars="200"/>
        <w:jc w:val="left"/>
        <w:rPr>
          <w:rFonts w:ascii="宋体" w:hAnsi="宋体" w:cs="宋体"/>
          <w:szCs w:val="21"/>
        </w:rPr>
      </w:pPr>
      <w:r>
        <w:rPr>
          <w:rFonts w:hint="eastAsia" w:ascii="宋体" w:hAnsi="宋体" w:cs="宋体"/>
          <w:szCs w:val="21"/>
        </w:rPr>
        <w:t>24.</w:t>
      </w:r>
      <w:r>
        <w:rPr>
          <w:rFonts w:hint="eastAsia" w:ascii="宋体" w:hAnsi="宋体" w:cs="宋体"/>
          <w:szCs w:val="21"/>
          <w:lang w:val="en-US" w:eastAsia="zh-CN"/>
        </w:rPr>
        <w:t>4</w:t>
      </w:r>
      <w:r>
        <w:rPr>
          <w:rFonts w:hint="eastAsia" w:ascii="宋体" w:hAnsi="宋体" w:cs="宋体"/>
          <w:szCs w:val="21"/>
        </w:rPr>
        <w:t>开标程序</w:t>
      </w:r>
    </w:p>
    <w:p w14:paraId="5D2E640E">
      <w:pPr>
        <w:spacing w:line="360" w:lineRule="auto"/>
        <w:ind w:firstLine="420" w:firstLineChars="200"/>
        <w:jc w:val="left"/>
        <w:rPr>
          <w:rFonts w:hint="eastAsia" w:ascii="宋体" w:hAnsi="宋体" w:cs="宋体"/>
          <w:szCs w:val="21"/>
        </w:rPr>
      </w:pPr>
      <w:r>
        <w:rPr>
          <w:rFonts w:hint="eastAsia" w:ascii="宋体" w:hAnsi="宋体" w:cs="宋体"/>
          <w:szCs w:val="21"/>
          <w:lang w:val="en-US" w:eastAsia="zh-CN"/>
        </w:rPr>
        <w:t>24.4.1</w:t>
      </w:r>
      <w:r>
        <w:rPr>
          <w:rFonts w:hint="eastAsia" w:ascii="宋体" w:hAnsi="宋体" w:cs="宋体"/>
          <w:szCs w:val="21"/>
        </w:rPr>
        <w:t>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p>
    <w:p w14:paraId="5BB93017">
      <w:pPr>
        <w:spacing w:line="360" w:lineRule="auto"/>
        <w:ind w:firstLine="420" w:firstLineChars="200"/>
        <w:jc w:val="left"/>
        <w:rPr>
          <w:rFonts w:hint="eastAsia" w:ascii="宋体" w:hAnsi="宋体" w:cs="宋体"/>
          <w:szCs w:val="21"/>
        </w:rPr>
      </w:pPr>
      <w:r>
        <w:rPr>
          <w:rFonts w:hint="eastAsia" w:ascii="宋体" w:hAnsi="宋体" w:cs="宋体"/>
          <w:szCs w:val="21"/>
          <w:lang w:val="en-US" w:eastAsia="zh-CN"/>
        </w:rPr>
        <w:t>24.4.2</w:t>
      </w:r>
      <w:r>
        <w:rPr>
          <w:rFonts w:hint="eastAsia" w:ascii="宋体" w:hAnsi="宋体" w:cs="宋体"/>
          <w:szCs w:val="21"/>
        </w:rPr>
        <w:t>发起解密指令之时起 5 分钟内投标人还未进行解密的，代理机构可通知投标人，投标人未预留联系方式或预留联系方式无效，导致代理机构无法联系到投标人在规定时限内进行解密的，视为撤回投标文件。如投标人成功解密投标文件，但未在“政采云”电子开标大厅参加开标的，视同认可开标过程和结果，由此产生的后果由投标人自行负责。</w:t>
      </w:r>
    </w:p>
    <w:p w14:paraId="0F270583">
      <w:pPr>
        <w:spacing w:line="360" w:lineRule="auto"/>
        <w:ind w:firstLine="420" w:firstLineChars="200"/>
        <w:jc w:val="left"/>
        <w:rPr>
          <w:rFonts w:hint="eastAsia" w:ascii="宋体" w:hAnsi="宋体" w:cs="宋体"/>
          <w:szCs w:val="21"/>
        </w:rPr>
      </w:pPr>
      <w:r>
        <w:rPr>
          <w:rFonts w:hint="eastAsia" w:ascii="宋体" w:hAnsi="宋体" w:cs="宋体"/>
          <w:szCs w:val="21"/>
          <w:lang w:val="en-US" w:eastAsia="zh-CN"/>
        </w:rPr>
        <w:t>24.4.3</w:t>
      </w:r>
      <w:r>
        <w:rPr>
          <w:rFonts w:hint="eastAsia" w:ascii="宋体" w:hAnsi="宋体" w:cs="宋体"/>
          <w:szCs w:val="21"/>
        </w:rPr>
        <w:t>开标工作人员将做开标记录。</w:t>
      </w:r>
    </w:p>
    <w:p w14:paraId="66169C9F">
      <w:pPr>
        <w:spacing w:line="360" w:lineRule="auto"/>
        <w:ind w:firstLine="420" w:firstLineChars="200"/>
        <w:jc w:val="left"/>
        <w:rPr>
          <w:rFonts w:ascii="宋体" w:hAnsi="宋体" w:cs="宋体"/>
          <w:szCs w:val="21"/>
        </w:rPr>
      </w:pPr>
      <w:r>
        <w:rPr>
          <w:rFonts w:hint="eastAsia" w:ascii="宋体" w:hAnsi="宋体" w:cs="宋体"/>
          <w:szCs w:val="21"/>
          <w:lang w:val="en-US" w:eastAsia="zh-CN"/>
        </w:rPr>
        <w:t>24.4.4</w:t>
      </w:r>
      <w:r>
        <w:rPr>
          <w:rFonts w:hint="eastAsia" w:ascii="宋体" w:hAnsi="宋体" w:cs="宋体"/>
          <w:szCs w:val="21"/>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3E880E94">
      <w:pPr>
        <w:spacing w:line="360" w:lineRule="auto"/>
        <w:ind w:firstLine="420" w:firstLineChars="200"/>
        <w:jc w:val="left"/>
        <w:rPr>
          <w:rFonts w:ascii="宋体" w:hAnsi="宋体" w:cs="宋体"/>
          <w:szCs w:val="21"/>
        </w:rPr>
      </w:pPr>
      <w:r>
        <w:rPr>
          <w:rFonts w:hint="eastAsia" w:ascii="宋体" w:hAnsi="宋体" w:cs="宋体"/>
          <w:szCs w:val="21"/>
        </w:rPr>
        <w:t>24.</w:t>
      </w:r>
      <w:r>
        <w:rPr>
          <w:rFonts w:hint="eastAsia" w:ascii="宋体" w:hAnsi="宋体" w:cs="宋体"/>
          <w:szCs w:val="21"/>
          <w:lang w:val="en-US" w:eastAsia="zh-CN"/>
        </w:rPr>
        <w:t>5</w:t>
      </w:r>
      <w:r>
        <w:rPr>
          <w:rFonts w:hint="eastAsia" w:ascii="宋体" w:hAnsi="宋体" w:cs="宋体"/>
          <w:szCs w:val="21"/>
        </w:rPr>
        <w:t>投标文件报价出现前后不一致的，按照下列规定修正：</w:t>
      </w:r>
    </w:p>
    <w:p w14:paraId="568022CA">
      <w:pPr>
        <w:spacing w:line="360" w:lineRule="auto"/>
        <w:ind w:firstLine="420" w:firstLineChars="200"/>
        <w:jc w:val="left"/>
        <w:rPr>
          <w:rFonts w:ascii="宋体" w:hAnsi="宋体" w:cs="宋体"/>
          <w:szCs w:val="21"/>
        </w:rPr>
      </w:pPr>
      <w:r>
        <w:rPr>
          <w:rFonts w:hint="eastAsia" w:ascii="宋体" w:hAnsi="宋体" w:cs="宋体"/>
          <w:szCs w:val="21"/>
        </w:rPr>
        <w:t>（一）投标文件中开标一览表内容与投标文件中相应内容不一致的，以开标一览表为准；</w:t>
      </w:r>
    </w:p>
    <w:p w14:paraId="12CDFE9A">
      <w:pPr>
        <w:spacing w:line="360" w:lineRule="auto"/>
        <w:ind w:firstLine="420" w:firstLineChars="200"/>
        <w:jc w:val="left"/>
        <w:rPr>
          <w:rFonts w:ascii="宋体" w:hAnsi="宋体" w:cs="宋体"/>
          <w:szCs w:val="21"/>
        </w:rPr>
      </w:pPr>
      <w:r>
        <w:rPr>
          <w:rFonts w:hint="eastAsia" w:ascii="宋体" w:hAnsi="宋体" w:cs="宋体"/>
          <w:szCs w:val="21"/>
        </w:rPr>
        <w:t>（二）大写金额和小写金额不一致的，以大写金额为准；</w:t>
      </w:r>
    </w:p>
    <w:p w14:paraId="3FD1F5CE">
      <w:pPr>
        <w:spacing w:line="360" w:lineRule="auto"/>
        <w:ind w:firstLine="420" w:firstLineChars="200"/>
        <w:jc w:val="left"/>
        <w:rPr>
          <w:rFonts w:ascii="宋体" w:hAnsi="宋体" w:cs="宋体"/>
          <w:szCs w:val="21"/>
        </w:rPr>
      </w:pPr>
      <w:r>
        <w:rPr>
          <w:rFonts w:hint="eastAsia" w:ascii="宋体" w:hAnsi="宋体" w:cs="宋体"/>
          <w:szCs w:val="21"/>
        </w:rPr>
        <w:t>（三）单价金额小数点或者百分比有明显错位的，以开标一览表的总价为准，并修改单价；</w:t>
      </w:r>
    </w:p>
    <w:p w14:paraId="4FD24970">
      <w:pPr>
        <w:spacing w:line="360" w:lineRule="auto"/>
        <w:ind w:firstLine="420" w:firstLineChars="200"/>
        <w:jc w:val="left"/>
        <w:rPr>
          <w:rFonts w:ascii="宋体" w:hAnsi="宋体" w:cs="宋体"/>
          <w:szCs w:val="21"/>
        </w:rPr>
      </w:pPr>
      <w:r>
        <w:rPr>
          <w:rFonts w:hint="eastAsia" w:ascii="宋体" w:hAnsi="宋体" w:cs="宋体"/>
          <w:szCs w:val="21"/>
        </w:rPr>
        <w:t>（四）总价金额与按单价汇总金额不一致的，以单价金额计算结果为准。</w:t>
      </w:r>
    </w:p>
    <w:p w14:paraId="542DC699">
      <w:pPr>
        <w:spacing w:line="360" w:lineRule="auto"/>
        <w:ind w:firstLine="420" w:firstLineChars="200"/>
        <w:jc w:val="left"/>
        <w:rPr>
          <w:rFonts w:ascii="宋体" w:hAnsi="宋体" w:cs="宋体"/>
          <w:szCs w:val="21"/>
        </w:rPr>
      </w:pPr>
      <w:r>
        <w:rPr>
          <w:rFonts w:hint="eastAsia" w:ascii="宋体" w:hAnsi="宋体" w:cs="宋体"/>
          <w:szCs w:val="21"/>
        </w:rPr>
        <w:t>同时出现两种以上不一致的，按照前款规定的顺序修正。修正后的报价按照招标文件规定并经投标人确认后产生约束力，投标人不确认的，其投标无效。</w:t>
      </w:r>
    </w:p>
    <w:p w14:paraId="753E64FF">
      <w:pPr>
        <w:pStyle w:val="3"/>
        <w:spacing w:before="0" w:line="360" w:lineRule="auto"/>
        <w:jc w:val="center"/>
        <w:rPr>
          <w:rFonts w:ascii="宋体" w:hAnsi="宋体" w:cs="宋体"/>
          <w:color w:val="auto"/>
          <w:sz w:val="28"/>
          <w:szCs w:val="28"/>
        </w:rPr>
      </w:pPr>
      <w:bookmarkStart w:id="317" w:name="_Toc488633609"/>
      <w:bookmarkStart w:id="318" w:name="_Toc489145733"/>
      <w:bookmarkStart w:id="319" w:name="_Toc489197837"/>
      <w:bookmarkStart w:id="320" w:name="_Toc11285"/>
      <w:bookmarkStart w:id="321" w:name="_Toc3446"/>
      <w:r>
        <w:rPr>
          <w:rFonts w:hint="eastAsia" w:ascii="宋体" w:hAnsi="宋体" w:cs="宋体"/>
          <w:color w:val="auto"/>
          <w:sz w:val="28"/>
          <w:szCs w:val="28"/>
        </w:rPr>
        <w:t>六、</w:t>
      </w:r>
      <w:bookmarkEnd w:id="317"/>
      <w:bookmarkEnd w:id="318"/>
      <w:bookmarkEnd w:id="319"/>
      <w:r>
        <w:rPr>
          <w:rFonts w:hint="eastAsia" w:ascii="宋体" w:hAnsi="宋体" w:cs="宋体"/>
          <w:color w:val="auto"/>
          <w:sz w:val="28"/>
          <w:szCs w:val="28"/>
        </w:rPr>
        <w:t>资格审查及评标</w:t>
      </w:r>
      <w:bookmarkEnd w:id="320"/>
      <w:bookmarkEnd w:id="321"/>
    </w:p>
    <w:p w14:paraId="6E36D89D">
      <w:pPr>
        <w:spacing w:line="360" w:lineRule="auto"/>
        <w:jc w:val="left"/>
        <w:rPr>
          <w:rFonts w:ascii="宋体" w:hAnsi="宋体" w:cs="宋体"/>
          <w:b/>
          <w:bCs/>
          <w:sz w:val="24"/>
          <w:szCs w:val="24"/>
        </w:rPr>
      </w:pPr>
      <w:bookmarkStart w:id="322" w:name="_Toc32599"/>
      <w:r>
        <w:rPr>
          <w:rFonts w:hint="eastAsia" w:ascii="宋体" w:hAnsi="宋体" w:cs="宋体"/>
          <w:b/>
          <w:bCs/>
          <w:sz w:val="24"/>
          <w:szCs w:val="24"/>
        </w:rPr>
        <w:t>25.资格审查</w:t>
      </w:r>
      <w:bookmarkEnd w:id="322"/>
    </w:p>
    <w:p w14:paraId="2B207AE5">
      <w:pPr>
        <w:spacing w:line="360" w:lineRule="auto"/>
        <w:ind w:firstLine="420" w:firstLineChars="200"/>
        <w:jc w:val="left"/>
        <w:rPr>
          <w:rFonts w:ascii="宋体" w:hAnsi="宋体" w:cs="宋体"/>
          <w:szCs w:val="21"/>
        </w:rPr>
      </w:pPr>
      <w:r>
        <w:rPr>
          <w:rFonts w:hint="eastAsia" w:ascii="宋体" w:hAnsi="宋体" w:cs="宋体"/>
          <w:szCs w:val="21"/>
        </w:rPr>
        <w:t>25.1开标结束后，采购人或者采购代理机构将根据招标文件规定，依法对投标人的资格进行审查。合格投标人不足3家的，不得评标。</w:t>
      </w:r>
    </w:p>
    <w:p w14:paraId="0D2E1EB4">
      <w:pPr>
        <w:spacing w:line="360" w:lineRule="auto"/>
        <w:ind w:firstLine="420" w:firstLineChars="200"/>
        <w:jc w:val="left"/>
        <w:rPr>
          <w:rFonts w:ascii="宋体" w:hAnsi="宋体" w:cs="宋体"/>
          <w:szCs w:val="21"/>
        </w:rPr>
      </w:pPr>
      <w:r>
        <w:rPr>
          <w:rFonts w:hint="eastAsia" w:ascii="宋体" w:hAnsi="宋体" w:cs="宋体"/>
          <w:szCs w:val="21"/>
        </w:rPr>
        <w:t>25.2.采购人或者采购代理机构按照招标文件第一章《公开招标公告》二、投标人资格要求（投标人应符合《中华人民共和国政府采购法》第二十二条规定的条件）和第二章《投标人须知》“4.投标人资格要求”的规定对投标人电子投标文件中资格证明文件及采购人、采购代理机构通过互联网或者相关信息系统的查询结果进行审查。</w:t>
      </w:r>
    </w:p>
    <w:p w14:paraId="5A094E28">
      <w:pPr>
        <w:spacing w:line="360" w:lineRule="auto"/>
        <w:jc w:val="left"/>
        <w:rPr>
          <w:rFonts w:ascii="宋体" w:hAnsi="宋体" w:cs="宋体"/>
          <w:b/>
          <w:bCs/>
          <w:sz w:val="24"/>
          <w:szCs w:val="24"/>
        </w:rPr>
      </w:pPr>
      <w:bookmarkStart w:id="323" w:name="_Toc30786"/>
      <w:r>
        <w:rPr>
          <w:rFonts w:hint="eastAsia" w:ascii="宋体" w:hAnsi="宋体" w:cs="宋体"/>
          <w:b/>
          <w:bCs/>
          <w:sz w:val="24"/>
          <w:szCs w:val="24"/>
        </w:rPr>
        <w:t>26.评标</w:t>
      </w:r>
      <w:bookmarkEnd w:id="323"/>
    </w:p>
    <w:p w14:paraId="65B34341">
      <w:pPr>
        <w:spacing w:line="360" w:lineRule="auto"/>
        <w:ind w:firstLine="420" w:firstLineChars="200"/>
        <w:jc w:val="left"/>
        <w:rPr>
          <w:rFonts w:ascii="宋体" w:hAnsi="宋体" w:cs="宋体"/>
          <w:szCs w:val="21"/>
        </w:rPr>
      </w:pPr>
      <w:r>
        <w:rPr>
          <w:rFonts w:hint="eastAsia" w:ascii="宋体" w:hAnsi="宋体" w:cs="宋体"/>
          <w:szCs w:val="21"/>
        </w:rPr>
        <w:t>26.1评标委员会负责具体评标事务，并独立履行下列职责：</w:t>
      </w:r>
    </w:p>
    <w:p w14:paraId="6F8C46DB">
      <w:pPr>
        <w:spacing w:line="360" w:lineRule="auto"/>
        <w:ind w:firstLine="420" w:firstLineChars="200"/>
        <w:jc w:val="left"/>
        <w:rPr>
          <w:rFonts w:ascii="宋体" w:hAnsi="宋体" w:cs="宋体"/>
          <w:szCs w:val="21"/>
        </w:rPr>
      </w:pPr>
      <w:r>
        <w:rPr>
          <w:rFonts w:hint="eastAsia" w:ascii="宋体" w:hAnsi="宋体" w:cs="宋体"/>
          <w:szCs w:val="21"/>
        </w:rPr>
        <w:t>（一）审查、评价投标文件是否符合招标文件的商务、技术等实质性要求；</w:t>
      </w:r>
    </w:p>
    <w:p w14:paraId="338E82E3">
      <w:pPr>
        <w:spacing w:line="360" w:lineRule="auto"/>
        <w:ind w:firstLine="420" w:firstLineChars="200"/>
        <w:jc w:val="left"/>
        <w:rPr>
          <w:rFonts w:ascii="宋体" w:hAnsi="宋体" w:cs="宋体"/>
          <w:szCs w:val="21"/>
        </w:rPr>
      </w:pPr>
      <w:r>
        <w:rPr>
          <w:rFonts w:hint="eastAsia" w:ascii="宋体" w:hAnsi="宋体" w:cs="宋体"/>
          <w:szCs w:val="21"/>
        </w:rPr>
        <w:t>（二）要求投标人对投标文件有关事项作出澄清或者说明；</w:t>
      </w:r>
    </w:p>
    <w:p w14:paraId="29786F2D">
      <w:pPr>
        <w:spacing w:line="360" w:lineRule="auto"/>
        <w:ind w:firstLine="420" w:firstLineChars="200"/>
        <w:jc w:val="left"/>
        <w:rPr>
          <w:rFonts w:ascii="宋体" w:hAnsi="宋体" w:cs="宋体"/>
          <w:szCs w:val="21"/>
        </w:rPr>
      </w:pPr>
      <w:r>
        <w:rPr>
          <w:rFonts w:hint="eastAsia" w:ascii="宋体" w:hAnsi="宋体" w:cs="宋体"/>
          <w:szCs w:val="21"/>
        </w:rPr>
        <w:t>（三）对投标文件进行比较和评价；</w:t>
      </w:r>
    </w:p>
    <w:p w14:paraId="6A92978B">
      <w:pPr>
        <w:spacing w:line="360" w:lineRule="auto"/>
        <w:ind w:firstLine="420" w:firstLineChars="200"/>
        <w:jc w:val="left"/>
        <w:rPr>
          <w:rFonts w:ascii="宋体" w:hAnsi="宋体" w:cs="宋体"/>
          <w:szCs w:val="21"/>
        </w:rPr>
      </w:pPr>
      <w:r>
        <w:rPr>
          <w:rFonts w:hint="eastAsia" w:ascii="宋体" w:hAnsi="宋体" w:cs="宋体"/>
          <w:szCs w:val="21"/>
        </w:rPr>
        <w:t>（四）确定中标候选人名单，以及根据采购人委托直接确定中标人；</w:t>
      </w:r>
    </w:p>
    <w:p w14:paraId="5E8CB994">
      <w:pPr>
        <w:spacing w:line="360" w:lineRule="auto"/>
        <w:ind w:firstLine="420" w:firstLineChars="200"/>
        <w:jc w:val="left"/>
        <w:rPr>
          <w:rFonts w:ascii="宋体" w:hAnsi="宋体" w:cs="宋体"/>
          <w:szCs w:val="21"/>
        </w:rPr>
      </w:pPr>
      <w:r>
        <w:rPr>
          <w:rFonts w:hint="eastAsia" w:ascii="宋体" w:hAnsi="宋体" w:cs="宋体"/>
          <w:szCs w:val="21"/>
        </w:rPr>
        <w:t>（五）向采购人、采购代理机构或者有关部门报告评标中发现的违法行为。</w:t>
      </w:r>
    </w:p>
    <w:p w14:paraId="42720AEC">
      <w:pPr>
        <w:spacing w:line="360" w:lineRule="auto"/>
        <w:ind w:firstLine="420" w:firstLineChars="200"/>
        <w:jc w:val="left"/>
        <w:rPr>
          <w:rFonts w:ascii="宋体" w:hAnsi="宋体" w:cs="宋体"/>
          <w:szCs w:val="21"/>
        </w:rPr>
      </w:pPr>
      <w:r>
        <w:rPr>
          <w:rFonts w:hint="eastAsia" w:ascii="宋体" w:hAnsi="宋体" w:cs="宋体"/>
          <w:szCs w:val="21"/>
        </w:rPr>
        <w:t>26.2评标委员会由采购人代表和评审专家组成，成员人数为5人以上单数，其中评审专家不得少于成员总数的三分之二。评标委员会应当推选组长，但采购人代表不得担任组长。</w:t>
      </w:r>
    </w:p>
    <w:p w14:paraId="7BE698DC">
      <w:pPr>
        <w:spacing w:line="360" w:lineRule="auto"/>
        <w:ind w:firstLine="420" w:firstLineChars="200"/>
        <w:jc w:val="left"/>
        <w:rPr>
          <w:rFonts w:ascii="宋体" w:hAnsi="宋体" w:cs="宋体"/>
          <w:szCs w:val="21"/>
        </w:rPr>
      </w:pPr>
      <w:r>
        <w:rPr>
          <w:rFonts w:hint="eastAsia" w:ascii="宋体" w:hAnsi="宋体" w:cs="宋体"/>
          <w:szCs w:val="21"/>
        </w:rPr>
        <w:t>26.3采购人委派代表参加评标委员会的，要向采购代理机构出具授权函。除授权代表外，采购人可以委派纪检监察等相关人员对评审工作实施监督，但不得超过2人。</w:t>
      </w:r>
    </w:p>
    <w:p w14:paraId="702E63E6">
      <w:pPr>
        <w:spacing w:line="360" w:lineRule="auto"/>
        <w:ind w:firstLine="420" w:firstLineChars="200"/>
        <w:jc w:val="left"/>
        <w:rPr>
          <w:rFonts w:ascii="宋体" w:hAnsi="宋体" w:cs="宋体"/>
          <w:szCs w:val="21"/>
        </w:rPr>
      </w:pPr>
      <w:r>
        <w:rPr>
          <w:rFonts w:hint="eastAsia" w:ascii="宋体" w:hAnsi="宋体" w:cs="宋体"/>
          <w:szCs w:val="21"/>
        </w:rPr>
        <w:t>26.4评标活动遵循公平、公正、科学和择优的原则。</w:t>
      </w:r>
    </w:p>
    <w:p w14:paraId="160668F8">
      <w:pPr>
        <w:spacing w:line="360" w:lineRule="auto"/>
        <w:ind w:firstLine="420" w:firstLineChars="200"/>
        <w:jc w:val="left"/>
        <w:rPr>
          <w:rFonts w:ascii="宋体" w:hAnsi="宋体" w:cs="宋体"/>
          <w:szCs w:val="21"/>
        </w:rPr>
      </w:pPr>
      <w:r>
        <w:rPr>
          <w:rFonts w:hint="eastAsia" w:ascii="宋体" w:hAnsi="宋体" w:cs="宋体"/>
          <w:szCs w:val="21"/>
        </w:rPr>
        <w:t>26.5本项目评标方法采用综合评分法，是指投标文件满足招标文件全部实质性要求，且按照评审因素的量化指标评审得分最高的投标人为中标候选人的评标方法。</w:t>
      </w:r>
    </w:p>
    <w:p w14:paraId="02F62B92">
      <w:pPr>
        <w:spacing w:line="360" w:lineRule="auto"/>
        <w:ind w:firstLine="420" w:firstLineChars="200"/>
        <w:jc w:val="left"/>
        <w:rPr>
          <w:rFonts w:ascii="宋体" w:hAnsi="宋体" w:cs="宋体"/>
          <w:szCs w:val="21"/>
        </w:rPr>
      </w:pPr>
      <w:r>
        <w:rPr>
          <w:rFonts w:hint="eastAsia" w:ascii="宋体" w:hAnsi="宋体" w:cs="宋体"/>
          <w:szCs w:val="21"/>
        </w:rPr>
        <w:t>26.6评标过程的保密</w:t>
      </w:r>
    </w:p>
    <w:p w14:paraId="506A36FA">
      <w:pPr>
        <w:spacing w:line="360" w:lineRule="auto"/>
        <w:ind w:firstLine="420" w:firstLineChars="200"/>
        <w:jc w:val="left"/>
        <w:rPr>
          <w:rFonts w:ascii="宋体" w:hAnsi="宋体" w:cs="宋体"/>
          <w:szCs w:val="21"/>
        </w:rPr>
      </w:pPr>
      <w:r>
        <w:rPr>
          <w:rFonts w:hint="eastAsia" w:ascii="宋体" w:hAnsi="宋体" w:cs="宋体"/>
          <w:szCs w:val="21"/>
        </w:rPr>
        <w:t>26.6.1评标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46B1C2C">
      <w:pPr>
        <w:spacing w:line="360" w:lineRule="auto"/>
        <w:ind w:firstLine="420" w:firstLineChars="200"/>
        <w:jc w:val="left"/>
        <w:rPr>
          <w:rFonts w:ascii="宋体" w:hAnsi="宋体" w:cs="宋体"/>
          <w:szCs w:val="21"/>
        </w:rPr>
      </w:pPr>
      <w:r>
        <w:rPr>
          <w:rFonts w:hint="eastAsia" w:ascii="宋体" w:hAnsi="宋体" w:cs="宋体"/>
          <w:szCs w:val="21"/>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66DA6078">
      <w:pPr>
        <w:spacing w:line="360" w:lineRule="auto"/>
        <w:jc w:val="left"/>
        <w:rPr>
          <w:rFonts w:ascii="宋体" w:hAnsi="宋体" w:cs="宋体"/>
          <w:b/>
          <w:bCs/>
          <w:sz w:val="24"/>
          <w:szCs w:val="24"/>
        </w:rPr>
      </w:pPr>
      <w:bookmarkStart w:id="324" w:name="_Toc489197839"/>
      <w:bookmarkStart w:id="325" w:name="_Toc6041"/>
      <w:bookmarkStart w:id="326" w:name="_Toc489145735"/>
      <w:r>
        <w:rPr>
          <w:rFonts w:hint="eastAsia" w:ascii="宋体" w:hAnsi="宋体" w:cs="宋体"/>
          <w:b/>
          <w:bCs/>
          <w:sz w:val="24"/>
          <w:szCs w:val="24"/>
        </w:rPr>
        <w:t>★27.有下列情形之一的，视为投标人串通投标，其投标无效：</w:t>
      </w:r>
      <w:bookmarkEnd w:id="324"/>
      <w:bookmarkEnd w:id="325"/>
      <w:bookmarkEnd w:id="326"/>
    </w:p>
    <w:p w14:paraId="39FCB7ED">
      <w:pPr>
        <w:spacing w:line="360" w:lineRule="auto"/>
        <w:ind w:firstLine="420" w:firstLineChars="200"/>
        <w:jc w:val="left"/>
        <w:rPr>
          <w:rFonts w:ascii="宋体" w:hAnsi="宋体" w:cs="宋体"/>
          <w:szCs w:val="21"/>
        </w:rPr>
      </w:pPr>
      <w:r>
        <w:rPr>
          <w:rFonts w:hint="eastAsia" w:ascii="宋体" w:hAnsi="宋体" w:cs="宋体"/>
          <w:szCs w:val="21"/>
        </w:rPr>
        <w:t>（一）不同投标人的投标文件由同一单位或者个人编制；</w:t>
      </w:r>
    </w:p>
    <w:p w14:paraId="0B52CCD2">
      <w:pPr>
        <w:spacing w:line="360" w:lineRule="auto"/>
        <w:ind w:firstLine="420" w:firstLineChars="200"/>
        <w:jc w:val="left"/>
        <w:rPr>
          <w:rFonts w:ascii="宋体" w:hAnsi="宋体" w:cs="宋体"/>
          <w:szCs w:val="21"/>
        </w:rPr>
      </w:pPr>
      <w:r>
        <w:rPr>
          <w:rFonts w:hint="eastAsia" w:ascii="宋体" w:hAnsi="宋体" w:cs="宋体"/>
          <w:szCs w:val="21"/>
        </w:rPr>
        <w:t>（二）不同投标人委托同一单位或者个人办理投标事宜；</w:t>
      </w:r>
    </w:p>
    <w:p w14:paraId="4BE177FD">
      <w:pPr>
        <w:spacing w:line="360" w:lineRule="auto"/>
        <w:ind w:firstLine="420" w:firstLineChars="200"/>
        <w:jc w:val="left"/>
        <w:rPr>
          <w:rFonts w:ascii="宋体" w:hAnsi="宋体" w:cs="宋体"/>
          <w:szCs w:val="21"/>
        </w:rPr>
      </w:pPr>
      <w:r>
        <w:rPr>
          <w:rFonts w:hint="eastAsia" w:ascii="宋体" w:hAnsi="宋体" w:cs="宋体"/>
          <w:szCs w:val="21"/>
        </w:rPr>
        <w:t>（三）不同投标人的投标文件载明的项目管理成员或者联系人员为同一人；</w:t>
      </w:r>
    </w:p>
    <w:p w14:paraId="43E51177">
      <w:pPr>
        <w:spacing w:line="360" w:lineRule="auto"/>
        <w:ind w:firstLine="420" w:firstLineChars="200"/>
        <w:jc w:val="left"/>
        <w:rPr>
          <w:rFonts w:ascii="宋体" w:hAnsi="宋体" w:cs="宋体"/>
          <w:szCs w:val="21"/>
        </w:rPr>
      </w:pPr>
      <w:r>
        <w:rPr>
          <w:rFonts w:hint="eastAsia" w:ascii="宋体" w:hAnsi="宋体" w:cs="宋体"/>
          <w:szCs w:val="21"/>
        </w:rPr>
        <w:t>（四）不同投标人的投标文件异常一致或者投标报价呈规律性差异；</w:t>
      </w:r>
    </w:p>
    <w:p w14:paraId="18A48974">
      <w:pPr>
        <w:spacing w:line="360" w:lineRule="auto"/>
        <w:ind w:firstLine="420" w:firstLineChars="200"/>
        <w:jc w:val="left"/>
        <w:rPr>
          <w:rFonts w:ascii="宋体" w:hAnsi="宋体" w:cs="宋体"/>
          <w:szCs w:val="21"/>
        </w:rPr>
      </w:pPr>
      <w:r>
        <w:rPr>
          <w:rFonts w:hint="eastAsia" w:ascii="宋体" w:hAnsi="宋体" w:cs="宋体"/>
          <w:szCs w:val="21"/>
        </w:rPr>
        <w:t>（五）不同投标人的投标文件相互混装；</w:t>
      </w:r>
    </w:p>
    <w:p w14:paraId="122D4365">
      <w:pPr>
        <w:spacing w:line="360" w:lineRule="auto"/>
        <w:ind w:firstLine="420" w:firstLineChars="200"/>
        <w:jc w:val="left"/>
        <w:rPr>
          <w:rFonts w:ascii="宋体" w:hAnsi="宋体" w:cs="宋体"/>
          <w:szCs w:val="21"/>
        </w:rPr>
      </w:pPr>
      <w:r>
        <w:rPr>
          <w:rFonts w:hint="eastAsia" w:ascii="宋体" w:hAnsi="宋体" w:cs="宋体"/>
          <w:szCs w:val="21"/>
        </w:rPr>
        <w:t>（六）不同投标人的投标保证金从同一单位或者个人的账户转出。</w:t>
      </w:r>
    </w:p>
    <w:p w14:paraId="2A0D4C12">
      <w:pPr>
        <w:spacing w:line="360" w:lineRule="auto"/>
        <w:ind w:firstLine="420" w:firstLineChars="200"/>
        <w:jc w:val="left"/>
        <w:rPr>
          <w:rFonts w:ascii="宋体" w:hAnsi="宋体" w:cs="宋体"/>
          <w:szCs w:val="21"/>
        </w:rPr>
      </w:pPr>
      <w:r>
        <w:rPr>
          <w:rFonts w:hint="eastAsia" w:ascii="宋体" w:hAnsi="宋体" w:cs="宋体"/>
          <w:szCs w:val="21"/>
        </w:rPr>
        <w:t>投标人应当遵循公平竞争的原则，不得恶意串通，不得妨碍其他投标人的竞争行为，不得损害采购人或者其他投标人的合法权益。</w:t>
      </w:r>
    </w:p>
    <w:p w14:paraId="5336E858">
      <w:pPr>
        <w:spacing w:line="360" w:lineRule="auto"/>
        <w:ind w:firstLine="420" w:firstLineChars="200"/>
        <w:jc w:val="left"/>
        <w:rPr>
          <w:rFonts w:ascii="宋体" w:hAnsi="宋体" w:cs="宋体"/>
          <w:szCs w:val="21"/>
        </w:rPr>
      </w:pPr>
      <w:r>
        <w:rPr>
          <w:rFonts w:hint="eastAsia" w:ascii="宋体" w:hAnsi="宋体" w:cs="宋体"/>
          <w:szCs w:val="21"/>
        </w:rPr>
        <w:t>在评标过程中发现投标人有上述情形的，评标委员会应当认定其投标无效，并书面报告本级财政部门。</w:t>
      </w:r>
    </w:p>
    <w:p w14:paraId="4D750BDC">
      <w:pPr>
        <w:spacing w:line="360" w:lineRule="auto"/>
        <w:jc w:val="left"/>
        <w:rPr>
          <w:rFonts w:ascii="宋体" w:hAnsi="宋体" w:cs="宋体"/>
          <w:b/>
          <w:bCs/>
          <w:sz w:val="24"/>
          <w:szCs w:val="24"/>
        </w:rPr>
      </w:pPr>
      <w:bookmarkStart w:id="327" w:name="_Toc13502"/>
      <w:bookmarkStart w:id="328" w:name="_Toc489197840"/>
      <w:bookmarkStart w:id="329" w:name="_Toc489145736"/>
      <w:r>
        <w:rPr>
          <w:rFonts w:hint="eastAsia" w:ascii="宋体" w:hAnsi="宋体" w:cs="宋体"/>
          <w:b/>
          <w:bCs/>
          <w:sz w:val="24"/>
          <w:szCs w:val="24"/>
        </w:rPr>
        <w:t>★28.投标人存在下列情</w:t>
      </w:r>
      <w:bookmarkStart w:id="330" w:name="_Toc417913977"/>
      <w:r>
        <w:rPr>
          <w:rFonts w:hint="eastAsia" w:ascii="宋体" w:hAnsi="宋体" w:cs="宋体"/>
          <w:b/>
          <w:bCs/>
          <w:sz w:val="24"/>
          <w:szCs w:val="24"/>
        </w:rPr>
        <w:t>况之一的，投标无效：</w:t>
      </w:r>
      <w:bookmarkEnd w:id="327"/>
      <w:bookmarkEnd w:id="328"/>
      <w:bookmarkEnd w:id="329"/>
    </w:p>
    <w:p w14:paraId="4182F889">
      <w:pPr>
        <w:spacing w:line="360" w:lineRule="auto"/>
        <w:ind w:firstLine="420" w:firstLineChars="200"/>
        <w:jc w:val="left"/>
        <w:rPr>
          <w:rFonts w:ascii="宋体" w:hAnsi="宋体" w:cs="宋体"/>
          <w:szCs w:val="21"/>
        </w:rPr>
      </w:pPr>
      <w:r>
        <w:rPr>
          <w:rFonts w:hint="eastAsia" w:ascii="宋体" w:hAnsi="宋体" w:cs="宋体"/>
          <w:szCs w:val="21"/>
        </w:rPr>
        <w:t>（一）未按照招标文件的</w:t>
      </w:r>
      <w:bookmarkEnd w:id="330"/>
      <w:r>
        <w:rPr>
          <w:rFonts w:hint="eastAsia" w:ascii="宋体" w:hAnsi="宋体" w:cs="宋体"/>
          <w:szCs w:val="21"/>
        </w:rPr>
        <w:t>规定提交投标保证金的；</w:t>
      </w:r>
    </w:p>
    <w:p w14:paraId="08944C46">
      <w:pPr>
        <w:spacing w:line="360" w:lineRule="auto"/>
        <w:ind w:firstLine="420" w:firstLineChars="200"/>
        <w:jc w:val="left"/>
        <w:rPr>
          <w:rFonts w:ascii="宋体" w:hAnsi="宋体" w:cs="宋体"/>
          <w:szCs w:val="21"/>
        </w:rPr>
      </w:pPr>
      <w:r>
        <w:rPr>
          <w:rFonts w:hint="eastAsia" w:ascii="宋体" w:hAnsi="宋体" w:cs="宋体"/>
          <w:szCs w:val="21"/>
        </w:rPr>
        <w:t>（二）投标文件未按招标文件要求签署、盖章的；</w:t>
      </w:r>
    </w:p>
    <w:p w14:paraId="1A8A0FF1">
      <w:pPr>
        <w:spacing w:line="360" w:lineRule="auto"/>
        <w:ind w:firstLine="420" w:firstLineChars="200"/>
        <w:jc w:val="left"/>
        <w:rPr>
          <w:rFonts w:ascii="宋体" w:hAnsi="宋体" w:cs="宋体"/>
          <w:szCs w:val="21"/>
        </w:rPr>
      </w:pPr>
      <w:r>
        <w:rPr>
          <w:rFonts w:hint="eastAsia" w:ascii="宋体" w:hAnsi="宋体" w:cs="宋体"/>
          <w:szCs w:val="21"/>
        </w:rPr>
        <w:t>（三）不具备招标文件中规定的资格要求的；</w:t>
      </w:r>
    </w:p>
    <w:p w14:paraId="1470A271">
      <w:pPr>
        <w:spacing w:line="360" w:lineRule="auto"/>
        <w:ind w:firstLine="420" w:firstLineChars="200"/>
        <w:jc w:val="left"/>
        <w:rPr>
          <w:rFonts w:ascii="宋体" w:hAnsi="宋体" w:cs="宋体"/>
          <w:szCs w:val="21"/>
        </w:rPr>
      </w:pPr>
      <w:r>
        <w:rPr>
          <w:rFonts w:hint="eastAsia" w:ascii="宋体" w:hAnsi="宋体" w:cs="宋体"/>
          <w:szCs w:val="21"/>
        </w:rPr>
        <w:t>（四）报价超过招标文件中规定的预算金额或者最高限价的；</w:t>
      </w:r>
    </w:p>
    <w:p w14:paraId="047A2DE8">
      <w:pPr>
        <w:spacing w:line="360" w:lineRule="auto"/>
        <w:ind w:firstLine="420" w:firstLineChars="200"/>
        <w:jc w:val="left"/>
        <w:rPr>
          <w:rFonts w:ascii="宋体" w:hAnsi="宋体" w:cs="宋体"/>
          <w:szCs w:val="21"/>
        </w:rPr>
      </w:pPr>
      <w:r>
        <w:rPr>
          <w:rFonts w:hint="eastAsia" w:ascii="宋体" w:hAnsi="宋体" w:cs="宋体"/>
          <w:szCs w:val="21"/>
        </w:rPr>
        <w:t>（五）投标文件含有采购人不能接受的附加条件的；</w:t>
      </w:r>
    </w:p>
    <w:p w14:paraId="205B6AD1">
      <w:pPr>
        <w:spacing w:line="360" w:lineRule="auto"/>
        <w:ind w:firstLine="420" w:firstLineChars="200"/>
        <w:jc w:val="left"/>
        <w:rPr>
          <w:rFonts w:ascii="宋体" w:hAnsi="宋体" w:cs="宋体"/>
          <w:szCs w:val="21"/>
        </w:rPr>
      </w:pPr>
      <w:r>
        <w:rPr>
          <w:rFonts w:hint="eastAsia" w:ascii="宋体" w:hAnsi="宋体" w:cs="宋体"/>
          <w:szCs w:val="21"/>
        </w:rPr>
        <w:t>（六）法律、法规和招标文件规定的其他无效情形。</w:t>
      </w:r>
    </w:p>
    <w:p w14:paraId="20EB08EF">
      <w:pPr>
        <w:spacing w:line="360" w:lineRule="auto"/>
        <w:jc w:val="left"/>
        <w:rPr>
          <w:rFonts w:ascii="宋体" w:hAnsi="宋体" w:cs="宋体"/>
          <w:b/>
          <w:bCs/>
          <w:sz w:val="24"/>
          <w:szCs w:val="24"/>
        </w:rPr>
      </w:pPr>
      <w:bookmarkStart w:id="331" w:name="_Toc489145737"/>
      <w:bookmarkStart w:id="332" w:name="_Toc489197841"/>
      <w:bookmarkStart w:id="333" w:name="_Toc24450"/>
      <w:r>
        <w:rPr>
          <w:rFonts w:hint="eastAsia" w:ascii="宋体" w:hAnsi="宋体" w:cs="宋体"/>
          <w:b/>
          <w:bCs/>
          <w:sz w:val="24"/>
          <w:szCs w:val="24"/>
        </w:rPr>
        <w:t>29.在招标采购中，出现下列情形之一的，应予废标：</w:t>
      </w:r>
      <w:bookmarkEnd w:id="331"/>
      <w:bookmarkEnd w:id="332"/>
      <w:bookmarkEnd w:id="333"/>
    </w:p>
    <w:p w14:paraId="2092F019">
      <w:pPr>
        <w:spacing w:line="360" w:lineRule="auto"/>
        <w:ind w:firstLine="420" w:firstLineChars="200"/>
        <w:jc w:val="left"/>
        <w:rPr>
          <w:rFonts w:ascii="宋体" w:hAnsi="宋体" w:cs="宋体"/>
          <w:szCs w:val="21"/>
        </w:rPr>
      </w:pPr>
      <w:r>
        <w:rPr>
          <w:rFonts w:hint="eastAsia" w:ascii="宋体" w:hAnsi="宋体" w:cs="宋体"/>
          <w:szCs w:val="21"/>
        </w:rPr>
        <w:t>（一）符合专业条件的投标人或者对招标文件作实质响应的投标人不足三家的；</w:t>
      </w:r>
    </w:p>
    <w:p w14:paraId="57EEBAF4">
      <w:pPr>
        <w:spacing w:line="360" w:lineRule="auto"/>
        <w:ind w:firstLine="420" w:firstLineChars="200"/>
        <w:jc w:val="left"/>
        <w:rPr>
          <w:rFonts w:ascii="宋体" w:hAnsi="宋体" w:cs="宋体"/>
          <w:szCs w:val="21"/>
        </w:rPr>
      </w:pPr>
      <w:r>
        <w:rPr>
          <w:rFonts w:hint="eastAsia" w:ascii="宋体" w:hAnsi="宋体" w:cs="宋体"/>
          <w:szCs w:val="21"/>
        </w:rPr>
        <w:t>（二）出现影响采购公正的违法、违规行为的；</w:t>
      </w:r>
    </w:p>
    <w:p w14:paraId="2923276E">
      <w:pPr>
        <w:spacing w:line="360" w:lineRule="auto"/>
        <w:ind w:firstLine="420" w:firstLineChars="200"/>
        <w:jc w:val="left"/>
        <w:rPr>
          <w:rFonts w:ascii="宋体" w:hAnsi="宋体" w:cs="宋体"/>
          <w:szCs w:val="21"/>
        </w:rPr>
      </w:pPr>
      <w:r>
        <w:rPr>
          <w:rFonts w:hint="eastAsia" w:ascii="宋体" w:hAnsi="宋体" w:cs="宋体"/>
          <w:szCs w:val="21"/>
        </w:rPr>
        <w:t>（三）投标人的报价均超过了采购预算，采购人不能支付的；</w:t>
      </w:r>
    </w:p>
    <w:p w14:paraId="06D426DF">
      <w:pPr>
        <w:spacing w:line="360" w:lineRule="auto"/>
        <w:ind w:firstLine="420" w:firstLineChars="200"/>
        <w:jc w:val="left"/>
        <w:rPr>
          <w:rFonts w:ascii="宋体" w:hAnsi="宋体" w:cs="宋体"/>
          <w:szCs w:val="21"/>
        </w:rPr>
      </w:pPr>
      <w:r>
        <w:rPr>
          <w:rFonts w:hint="eastAsia" w:ascii="宋体" w:hAnsi="宋体" w:cs="宋体"/>
          <w:szCs w:val="21"/>
        </w:rPr>
        <w:t>（四）因重大变故，采购任务取消的。</w:t>
      </w:r>
    </w:p>
    <w:p w14:paraId="25DA35E4">
      <w:pPr>
        <w:spacing w:line="360" w:lineRule="auto"/>
        <w:ind w:firstLine="420" w:firstLineChars="200"/>
        <w:jc w:val="left"/>
        <w:rPr>
          <w:rFonts w:ascii="宋体" w:hAnsi="宋体" w:cs="宋体"/>
          <w:szCs w:val="21"/>
        </w:rPr>
      </w:pPr>
      <w:r>
        <w:rPr>
          <w:rFonts w:hint="eastAsia" w:ascii="宋体" w:hAnsi="宋体" w:cs="宋体"/>
          <w:szCs w:val="21"/>
        </w:rPr>
        <w:t>废标后，采购人应当将废标理由通知所有投标人。</w:t>
      </w:r>
    </w:p>
    <w:p w14:paraId="0E17453E">
      <w:pPr>
        <w:pStyle w:val="3"/>
        <w:spacing w:before="0" w:line="360" w:lineRule="auto"/>
        <w:jc w:val="center"/>
        <w:rPr>
          <w:rFonts w:ascii="宋体" w:hAnsi="宋体" w:cs="宋体"/>
          <w:color w:val="auto"/>
          <w:sz w:val="28"/>
          <w:szCs w:val="28"/>
        </w:rPr>
      </w:pPr>
      <w:bookmarkStart w:id="334" w:name="_Toc489145738"/>
      <w:bookmarkStart w:id="335" w:name="_Toc30648"/>
      <w:bookmarkStart w:id="336" w:name="_Toc13118"/>
      <w:bookmarkStart w:id="337" w:name="_Toc488633610"/>
      <w:bookmarkStart w:id="338" w:name="_Toc6069"/>
      <w:bookmarkStart w:id="339" w:name="_Toc15092"/>
      <w:bookmarkStart w:id="340" w:name="_Toc10960"/>
      <w:bookmarkStart w:id="341" w:name="_Toc528186486"/>
      <w:bookmarkStart w:id="342" w:name="_Toc489197842"/>
      <w:bookmarkStart w:id="343" w:name="_Toc489145747"/>
      <w:r>
        <w:rPr>
          <w:rFonts w:hint="eastAsia" w:ascii="宋体" w:hAnsi="宋体" w:cs="宋体"/>
          <w:color w:val="auto"/>
          <w:sz w:val="28"/>
          <w:szCs w:val="28"/>
        </w:rPr>
        <w:t>七、中标结果</w:t>
      </w:r>
      <w:bookmarkEnd w:id="334"/>
      <w:bookmarkEnd w:id="335"/>
      <w:bookmarkEnd w:id="336"/>
      <w:bookmarkEnd w:id="337"/>
      <w:bookmarkEnd w:id="338"/>
      <w:bookmarkEnd w:id="339"/>
      <w:bookmarkEnd w:id="340"/>
      <w:bookmarkEnd w:id="341"/>
      <w:bookmarkEnd w:id="342"/>
    </w:p>
    <w:p w14:paraId="7A624DE2">
      <w:pPr>
        <w:spacing w:line="360" w:lineRule="auto"/>
        <w:jc w:val="left"/>
        <w:rPr>
          <w:rFonts w:ascii="宋体" w:hAnsi="宋体" w:cs="宋体"/>
          <w:b/>
          <w:bCs/>
          <w:sz w:val="24"/>
          <w:szCs w:val="24"/>
        </w:rPr>
      </w:pPr>
      <w:bookmarkStart w:id="344" w:name="_Toc27751"/>
      <w:bookmarkStart w:id="345" w:name="_Toc489197843"/>
      <w:bookmarkStart w:id="346" w:name="_Toc18071"/>
      <w:bookmarkStart w:id="347" w:name="_Toc528186487"/>
      <w:bookmarkStart w:id="348" w:name="_Toc489145739"/>
      <w:bookmarkStart w:id="349" w:name="_Toc12331"/>
      <w:bookmarkStart w:id="350" w:name="_Toc26494"/>
      <w:r>
        <w:rPr>
          <w:rFonts w:hint="eastAsia" w:ascii="宋体" w:hAnsi="宋体" w:cs="宋体"/>
          <w:b/>
          <w:bCs/>
          <w:sz w:val="24"/>
          <w:szCs w:val="24"/>
        </w:rPr>
        <w:t>30.中</w:t>
      </w:r>
      <w:bookmarkStart w:id="351" w:name="_Toc152042342"/>
      <w:bookmarkStart w:id="352" w:name="_Toc378239357"/>
      <w:bookmarkStart w:id="353" w:name="_Toc144974534"/>
      <w:bookmarkStart w:id="354" w:name="_Toc296602455"/>
      <w:bookmarkStart w:id="355" w:name="_Toc179632584"/>
      <w:bookmarkStart w:id="356" w:name="_Toc378239176"/>
      <w:bookmarkStart w:id="357" w:name="_Toc246996210"/>
      <w:bookmarkStart w:id="358" w:name="_Toc246996953"/>
      <w:bookmarkStart w:id="359" w:name="_Toc378239084"/>
      <w:bookmarkStart w:id="360" w:name="_Toc247085724"/>
      <w:bookmarkStart w:id="361" w:name="_Toc401342140"/>
      <w:bookmarkStart w:id="362" w:name="_Toc152045566"/>
      <w:bookmarkStart w:id="363" w:name="_Toc480817649"/>
      <w:bookmarkStart w:id="364" w:name="_Toc13517"/>
      <w:r>
        <w:rPr>
          <w:rFonts w:hint="eastAsia" w:ascii="宋体" w:hAnsi="宋体" w:cs="宋体"/>
          <w:b/>
          <w:bCs/>
          <w:sz w:val="24"/>
          <w:szCs w:val="24"/>
        </w:rPr>
        <w:t>标</w:t>
      </w:r>
      <w:bookmarkEnd w:id="351"/>
      <w:bookmarkEnd w:id="352"/>
      <w:bookmarkEnd w:id="353"/>
      <w:bookmarkEnd w:id="354"/>
      <w:bookmarkEnd w:id="355"/>
      <w:bookmarkEnd w:id="356"/>
      <w:bookmarkEnd w:id="357"/>
      <w:bookmarkEnd w:id="358"/>
      <w:bookmarkEnd w:id="359"/>
      <w:bookmarkEnd w:id="360"/>
      <w:bookmarkEnd w:id="361"/>
      <w:bookmarkEnd w:id="362"/>
      <w:r>
        <w:rPr>
          <w:rFonts w:hint="eastAsia" w:ascii="宋体" w:hAnsi="宋体" w:cs="宋体"/>
          <w:b/>
          <w:bCs/>
          <w:sz w:val="24"/>
          <w:szCs w:val="24"/>
        </w:rPr>
        <w:t>人的</w:t>
      </w:r>
      <w:bookmarkEnd w:id="363"/>
      <w:bookmarkEnd w:id="364"/>
      <w:r>
        <w:rPr>
          <w:rFonts w:hint="eastAsia" w:ascii="宋体" w:hAnsi="宋体" w:cs="宋体"/>
          <w:b/>
          <w:bCs/>
          <w:sz w:val="24"/>
          <w:szCs w:val="24"/>
        </w:rPr>
        <w:t>确</w:t>
      </w:r>
      <w:bookmarkStart w:id="365" w:name="_Toc179632585"/>
      <w:bookmarkStart w:id="366" w:name="_Toc246996211"/>
      <w:bookmarkStart w:id="367" w:name="_Toc296602456"/>
      <w:bookmarkStart w:id="368" w:name="_Toc152042343"/>
      <w:bookmarkStart w:id="369" w:name="_Toc152045567"/>
      <w:bookmarkStart w:id="370" w:name="_Toc246996954"/>
      <w:bookmarkStart w:id="371" w:name="_Toc247085725"/>
      <w:bookmarkStart w:id="372" w:name="_Toc144974535"/>
      <w:r>
        <w:rPr>
          <w:rFonts w:hint="eastAsia" w:ascii="宋体" w:hAnsi="宋体" w:cs="宋体"/>
          <w:b/>
          <w:bCs/>
          <w:sz w:val="24"/>
          <w:szCs w:val="24"/>
        </w:rPr>
        <w:t>定</w:t>
      </w:r>
      <w:bookmarkEnd w:id="344"/>
      <w:bookmarkEnd w:id="345"/>
      <w:bookmarkEnd w:id="346"/>
      <w:bookmarkEnd w:id="347"/>
      <w:bookmarkEnd w:id="348"/>
      <w:bookmarkEnd w:id="349"/>
      <w:bookmarkEnd w:id="350"/>
    </w:p>
    <w:p w14:paraId="6FC5A514">
      <w:pPr>
        <w:spacing w:line="360" w:lineRule="auto"/>
        <w:ind w:firstLine="420" w:firstLineChars="200"/>
        <w:jc w:val="left"/>
        <w:rPr>
          <w:rFonts w:ascii="宋体" w:hAnsi="宋体" w:cs="宋体"/>
          <w:szCs w:val="21"/>
        </w:rPr>
      </w:pPr>
      <w:bookmarkStart w:id="373" w:name="_Toc417913979"/>
      <w:r>
        <w:rPr>
          <w:rFonts w:hint="eastAsia" w:ascii="宋体" w:hAnsi="宋体" w:cs="宋体"/>
          <w:szCs w:val="21"/>
        </w:rPr>
        <w:t>30.1采购代理机构应</w:t>
      </w:r>
      <w:bookmarkEnd w:id="365"/>
      <w:bookmarkEnd w:id="366"/>
      <w:bookmarkEnd w:id="367"/>
      <w:bookmarkEnd w:id="368"/>
      <w:bookmarkEnd w:id="369"/>
      <w:bookmarkEnd w:id="370"/>
      <w:bookmarkEnd w:id="371"/>
      <w:bookmarkEnd w:id="372"/>
      <w:bookmarkEnd w:id="373"/>
      <w:r>
        <w:rPr>
          <w:rFonts w:hint="eastAsia" w:ascii="宋体" w:hAnsi="宋体" w:cs="宋体"/>
          <w:szCs w:val="21"/>
        </w:rPr>
        <w:t>当在评标结束后2个工作日内将评标报告送采购人。</w:t>
      </w:r>
    </w:p>
    <w:p w14:paraId="565EB3EB">
      <w:pPr>
        <w:spacing w:line="360" w:lineRule="auto"/>
        <w:ind w:firstLine="420" w:firstLineChars="200"/>
        <w:jc w:val="left"/>
        <w:rPr>
          <w:rFonts w:ascii="宋体" w:hAnsi="宋体" w:cs="宋体"/>
          <w:szCs w:val="21"/>
        </w:rPr>
      </w:pPr>
      <w:r>
        <w:rPr>
          <w:rFonts w:hint="eastAsia" w:ascii="宋体" w:hAnsi="宋体" w:cs="宋体"/>
          <w:szCs w:val="21"/>
        </w:rPr>
        <w:t>30.2采购人应当自收到评标报告之日起5个工作日内，在评标报告确定的中标候选人名单中按顺序确定中标人。中标候选人并列的，由评标委员会按照招标文件规定的方式确定中标人</w:t>
      </w:r>
    </w:p>
    <w:p w14:paraId="4E02C869">
      <w:pPr>
        <w:spacing w:line="360" w:lineRule="auto"/>
        <w:jc w:val="left"/>
        <w:rPr>
          <w:rFonts w:ascii="宋体" w:hAnsi="宋体" w:cs="宋体"/>
          <w:b/>
          <w:bCs/>
          <w:sz w:val="24"/>
          <w:szCs w:val="24"/>
        </w:rPr>
      </w:pPr>
      <w:r>
        <w:rPr>
          <w:rFonts w:hint="eastAsia" w:ascii="宋体" w:hAnsi="宋体" w:cs="宋体"/>
          <w:b/>
          <w:bCs/>
          <w:sz w:val="24"/>
          <w:szCs w:val="24"/>
        </w:rPr>
        <w:t>31.中标通知书</w:t>
      </w:r>
    </w:p>
    <w:p w14:paraId="7282CCBC">
      <w:pPr>
        <w:spacing w:line="360" w:lineRule="auto"/>
        <w:ind w:firstLine="420" w:firstLineChars="200"/>
        <w:jc w:val="left"/>
        <w:rPr>
          <w:rFonts w:ascii="宋体" w:hAnsi="宋体" w:cs="宋体"/>
          <w:szCs w:val="21"/>
        </w:rPr>
      </w:pPr>
      <w:r>
        <w:rPr>
          <w:rFonts w:hint="eastAsia" w:ascii="宋体" w:hAnsi="宋体" w:cs="宋体"/>
          <w:szCs w:val="21"/>
        </w:rPr>
        <w:t>31.1中标人确定之日起2个工作日内，采购代理机构向中标人发出中标通知书，并在财政部门指定的政府采购信息发布媒体上公告中标结果。中标公告期限为1个工作日。</w:t>
      </w:r>
    </w:p>
    <w:p w14:paraId="387FFE74">
      <w:pPr>
        <w:spacing w:line="360" w:lineRule="auto"/>
        <w:ind w:firstLine="420" w:firstLineChars="200"/>
        <w:jc w:val="left"/>
        <w:rPr>
          <w:rFonts w:ascii="宋体" w:hAnsi="宋体" w:cs="宋体"/>
          <w:szCs w:val="21"/>
        </w:rPr>
      </w:pPr>
      <w:r>
        <w:rPr>
          <w:rFonts w:hint="eastAsia" w:ascii="宋体" w:hAnsi="宋体" w:cs="宋体"/>
          <w:szCs w:val="21"/>
        </w:rPr>
        <w:t>31.2中标通知书是合同的一个组成部分。</w:t>
      </w:r>
    </w:p>
    <w:p w14:paraId="1CF128AE">
      <w:pPr>
        <w:spacing w:line="360" w:lineRule="auto"/>
        <w:jc w:val="left"/>
        <w:rPr>
          <w:rFonts w:ascii="宋体" w:hAnsi="宋体" w:cs="宋体"/>
          <w:b/>
          <w:bCs/>
          <w:sz w:val="24"/>
          <w:szCs w:val="24"/>
        </w:rPr>
      </w:pPr>
      <w:r>
        <w:rPr>
          <w:rFonts w:hint="eastAsia" w:ascii="宋体" w:hAnsi="宋体" w:cs="宋体"/>
          <w:b/>
          <w:bCs/>
          <w:sz w:val="24"/>
          <w:szCs w:val="24"/>
        </w:rPr>
        <w:t>32.签订合同</w:t>
      </w:r>
    </w:p>
    <w:p w14:paraId="3B005F0C">
      <w:pPr>
        <w:spacing w:line="360" w:lineRule="auto"/>
        <w:ind w:firstLine="420" w:firstLineChars="200"/>
        <w:jc w:val="left"/>
        <w:rPr>
          <w:rFonts w:ascii="宋体" w:hAnsi="宋体" w:cs="宋体"/>
          <w:szCs w:val="21"/>
        </w:rPr>
      </w:pPr>
      <w:r>
        <w:rPr>
          <w:rFonts w:hint="eastAsia" w:ascii="宋体" w:hAnsi="宋体" w:cs="宋体"/>
          <w:szCs w:val="21"/>
        </w:rPr>
        <w:t>32.1采购人应当自中标通知书发出之日起30日内，按照招标文件和中标人投标文件的规定，与中标人签订书面合同。所签订的合同不得对招标文件确定的事项和中标人投标文件作实质性修改。</w:t>
      </w:r>
    </w:p>
    <w:p w14:paraId="799C734F">
      <w:pPr>
        <w:spacing w:line="360" w:lineRule="auto"/>
        <w:ind w:firstLine="420" w:firstLineChars="200"/>
        <w:jc w:val="left"/>
        <w:rPr>
          <w:rFonts w:ascii="宋体" w:hAnsi="宋体" w:cs="宋体"/>
          <w:szCs w:val="21"/>
        </w:rPr>
      </w:pPr>
      <w:r>
        <w:rPr>
          <w:rFonts w:hint="eastAsia" w:ascii="宋体" w:hAnsi="宋体" w:cs="宋体"/>
          <w:szCs w:val="21"/>
        </w:rPr>
        <w:t>32.2中标通知书发出后，中标人无正当理由放弃中标或拒签合同的，采购人取消其中标资格，其投标保证金不予退还；给采购人造成的损失超过投标保证金数额的，中标人还应当对超过部分予以赔偿。</w:t>
      </w:r>
    </w:p>
    <w:p w14:paraId="28E132FE">
      <w:pPr>
        <w:spacing w:line="360" w:lineRule="auto"/>
        <w:ind w:firstLine="420" w:firstLineChars="200"/>
        <w:jc w:val="left"/>
        <w:rPr>
          <w:rFonts w:ascii="宋体" w:hAnsi="宋体" w:cs="宋体"/>
          <w:szCs w:val="21"/>
        </w:rPr>
      </w:pPr>
      <w:r>
        <w:rPr>
          <w:rFonts w:hint="eastAsia" w:ascii="宋体" w:hAnsi="宋体" w:cs="宋体"/>
          <w:szCs w:val="21"/>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3D870175">
      <w:pPr>
        <w:spacing w:line="360" w:lineRule="auto"/>
        <w:ind w:firstLine="420" w:firstLineChars="200"/>
        <w:jc w:val="left"/>
        <w:rPr>
          <w:rFonts w:ascii="宋体" w:hAnsi="宋体" w:cs="宋体"/>
          <w:szCs w:val="21"/>
        </w:rPr>
      </w:pPr>
      <w:r>
        <w:rPr>
          <w:rFonts w:hint="eastAsia" w:ascii="宋体" w:hAnsi="宋体" w:cs="宋体"/>
          <w:szCs w:val="21"/>
        </w:rPr>
        <w:t>32.4政府采购合同应当包括采购人与中标人的名称和住所、标的、数量、质量、价款或者报酬、履行期限及地点和方式、验收要求、违约责任、解决争议的方法等内容。</w:t>
      </w:r>
    </w:p>
    <w:p w14:paraId="7867DB20">
      <w:pPr>
        <w:spacing w:line="360" w:lineRule="auto"/>
        <w:ind w:firstLine="420" w:firstLineChars="200"/>
        <w:jc w:val="left"/>
        <w:rPr>
          <w:rFonts w:ascii="宋体" w:hAnsi="宋体" w:cs="宋体"/>
          <w:szCs w:val="21"/>
        </w:rPr>
      </w:pPr>
      <w:r>
        <w:rPr>
          <w:rFonts w:hint="eastAsia" w:ascii="宋体" w:hAnsi="宋体" w:cs="宋体"/>
          <w:szCs w:val="21"/>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2E86AE7B">
      <w:pPr>
        <w:spacing w:line="360" w:lineRule="auto"/>
        <w:ind w:firstLine="420" w:firstLineChars="200"/>
        <w:jc w:val="left"/>
        <w:rPr>
          <w:rFonts w:ascii="宋体" w:hAnsi="宋体" w:cs="宋体"/>
          <w:szCs w:val="21"/>
        </w:rPr>
      </w:pPr>
      <w:r>
        <w:rPr>
          <w:rFonts w:hint="eastAsia" w:ascii="宋体" w:hAnsi="宋体" w:cs="宋体"/>
          <w:szCs w:val="21"/>
        </w:rPr>
        <w:t>32.6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49B3C3F2">
      <w:pPr>
        <w:spacing w:line="360" w:lineRule="auto"/>
        <w:jc w:val="left"/>
        <w:rPr>
          <w:rFonts w:ascii="宋体" w:hAnsi="宋体" w:cs="宋体"/>
          <w:b/>
          <w:bCs/>
          <w:sz w:val="24"/>
          <w:szCs w:val="24"/>
        </w:rPr>
      </w:pPr>
      <w:r>
        <w:rPr>
          <w:rFonts w:hint="eastAsia" w:ascii="宋体" w:hAnsi="宋体" w:cs="宋体"/>
          <w:b/>
          <w:bCs/>
          <w:sz w:val="24"/>
          <w:szCs w:val="24"/>
        </w:rPr>
        <w:t>33.履约保证金</w:t>
      </w:r>
    </w:p>
    <w:p w14:paraId="1DEDFE7E">
      <w:pPr>
        <w:spacing w:line="360" w:lineRule="auto"/>
        <w:ind w:firstLine="420" w:firstLineChars="200"/>
        <w:jc w:val="left"/>
        <w:rPr>
          <w:rFonts w:ascii="宋体" w:hAnsi="宋体" w:cs="宋体"/>
          <w:szCs w:val="21"/>
        </w:rPr>
      </w:pPr>
      <w:r>
        <w:rPr>
          <w:rFonts w:hint="eastAsia" w:ascii="宋体" w:hAnsi="宋体" w:cs="宋体"/>
          <w:szCs w:val="21"/>
        </w:rPr>
        <w:t>33.1中标人应按《投标人须知前附表》上确定的履约保证金的金额及形式，向采购人提交履约保证金。否则，视为放弃中标项目，投标保证金将不予退还。</w:t>
      </w:r>
    </w:p>
    <w:p w14:paraId="70990888">
      <w:pPr>
        <w:spacing w:line="360" w:lineRule="auto"/>
        <w:ind w:firstLine="420" w:firstLineChars="200"/>
        <w:jc w:val="left"/>
        <w:rPr>
          <w:rFonts w:ascii="宋体" w:hAnsi="宋体" w:cs="宋体"/>
          <w:szCs w:val="21"/>
        </w:rPr>
      </w:pPr>
      <w:r>
        <w:rPr>
          <w:rFonts w:hint="eastAsia" w:ascii="宋体" w:hAnsi="宋体" w:cs="宋体"/>
          <w:szCs w:val="21"/>
        </w:rPr>
        <w:t>33.2签订合同后，如中标人不按双方签订合同约定履约，则没收其全部履约保证金，给采购人造成的损失超过履约保证金数额的，中标人还应当对超过部分予以赔偿。</w:t>
      </w:r>
    </w:p>
    <w:p w14:paraId="6D212D96">
      <w:pPr>
        <w:pStyle w:val="3"/>
        <w:spacing w:before="0" w:line="360" w:lineRule="auto"/>
        <w:jc w:val="center"/>
        <w:rPr>
          <w:rFonts w:ascii="宋体" w:hAnsi="宋体" w:cs="宋体"/>
          <w:color w:val="auto"/>
          <w:sz w:val="28"/>
          <w:szCs w:val="28"/>
        </w:rPr>
      </w:pPr>
      <w:bookmarkStart w:id="374" w:name="_Toc32688"/>
      <w:bookmarkStart w:id="375" w:name="_Toc32208"/>
      <w:bookmarkStart w:id="376" w:name="_Toc489197847"/>
      <w:bookmarkStart w:id="377" w:name="_Toc528186491"/>
      <w:bookmarkStart w:id="378" w:name="_Toc488633611"/>
      <w:bookmarkStart w:id="379" w:name="_Toc489145743"/>
      <w:bookmarkStart w:id="380" w:name="_Toc12084"/>
      <w:bookmarkStart w:id="381" w:name="_Toc26286"/>
      <w:bookmarkStart w:id="382" w:name="_Toc3045"/>
      <w:r>
        <w:rPr>
          <w:rFonts w:hint="eastAsia" w:ascii="宋体" w:hAnsi="宋体" w:cs="宋体"/>
          <w:color w:val="auto"/>
          <w:sz w:val="28"/>
          <w:szCs w:val="28"/>
        </w:rPr>
        <w:t>八、其他事项</w:t>
      </w:r>
      <w:bookmarkEnd w:id="374"/>
      <w:bookmarkEnd w:id="375"/>
      <w:bookmarkEnd w:id="376"/>
      <w:bookmarkEnd w:id="377"/>
      <w:bookmarkEnd w:id="378"/>
      <w:bookmarkEnd w:id="379"/>
      <w:bookmarkEnd w:id="380"/>
      <w:bookmarkEnd w:id="381"/>
      <w:bookmarkEnd w:id="382"/>
    </w:p>
    <w:p w14:paraId="65423125">
      <w:pPr>
        <w:spacing w:line="360" w:lineRule="auto"/>
        <w:jc w:val="left"/>
        <w:rPr>
          <w:rFonts w:ascii="宋体" w:hAnsi="宋体" w:cs="宋体"/>
          <w:b/>
          <w:bCs/>
          <w:sz w:val="24"/>
          <w:szCs w:val="24"/>
        </w:rPr>
      </w:pPr>
      <w:r>
        <w:rPr>
          <w:rFonts w:hint="eastAsia" w:ascii="宋体" w:hAnsi="宋体" w:cs="宋体"/>
          <w:b/>
          <w:bCs/>
          <w:sz w:val="24"/>
          <w:szCs w:val="24"/>
        </w:rPr>
        <w:t>34.采购代理服务费</w:t>
      </w:r>
    </w:p>
    <w:p w14:paraId="1F6DE935">
      <w:pPr>
        <w:pStyle w:val="13"/>
        <w:adjustRightInd w:val="0"/>
        <w:snapToGrid w:val="0"/>
        <w:spacing w:line="360" w:lineRule="auto"/>
        <w:ind w:firstLineChars="200"/>
        <w:rPr>
          <w:rFonts w:asciiTheme="minorEastAsia" w:hAnsiTheme="minorEastAsia" w:eastAsiaTheme="minorEastAsia" w:cstheme="minorEastAsia"/>
          <w:color w:val="auto"/>
          <w:szCs w:val="21"/>
        </w:rPr>
      </w:pPr>
      <w:r>
        <w:rPr>
          <w:rFonts w:hint="eastAsia" w:ascii="宋体" w:hAnsi="宋体" w:cs="宋体"/>
          <w:szCs w:val="21"/>
        </w:rPr>
        <w:t>34.1</w:t>
      </w:r>
      <w:r>
        <w:rPr>
          <w:rFonts w:hint="eastAsia" w:asciiTheme="minorEastAsia" w:hAnsiTheme="minorEastAsia" w:eastAsiaTheme="minorEastAsia" w:cstheme="minorEastAsia"/>
          <w:color w:val="auto"/>
          <w:szCs w:val="21"/>
          <w:lang w:val="en-US" w:eastAsia="zh-CN"/>
        </w:rPr>
        <w:t>标准：</w:t>
      </w:r>
      <w:r>
        <w:rPr>
          <w:rFonts w:hint="eastAsia" w:asciiTheme="minorEastAsia" w:hAnsiTheme="minorEastAsia" w:eastAsiaTheme="minorEastAsia" w:cstheme="minorEastAsia"/>
          <w:color w:val="auto"/>
          <w:szCs w:val="21"/>
          <w:lang w:eastAsia="zh-CN"/>
        </w:rPr>
        <w:t>采购代理服务费参照国家计委[2002]1980号文件规定的</w:t>
      </w:r>
      <w:r>
        <w:rPr>
          <w:rFonts w:hint="eastAsia" w:asciiTheme="minorEastAsia" w:hAnsiTheme="minorEastAsia" w:eastAsiaTheme="minorEastAsia" w:cstheme="minorEastAsia"/>
          <w:color w:val="auto"/>
          <w:szCs w:val="21"/>
          <w:lang w:val="en-US" w:eastAsia="zh-CN"/>
        </w:rPr>
        <w:t>服务</w:t>
      </w:r>
      <w:r>
        <w:rPr>
          <w:rFonts w:hint="eastAsia" w:asciiTheme="minorEastAsia" w:hAnsiTheme="minorEastAsia" w:eastAsiaTheme="minorEastAsia" w:cstheme="minorEastAsia"/>
          <w:color w:val="auto"/>
          <w:szCs w:val="21"/>
          <w:lang w:eastAsia="zh-CN"/>
        </w:rPr>
        <w:t>类项目收费标准下浮30%向中标人收取（计算基准价为中标金额），</w:t>
      </w:r>
      <w:r>
        <w:rPr>
          <w:rFonts w:hint="eastAsia" w:asciiTheme="minorEastAsia" w:hAnsiTheme="minorEastAsia" w:eastAsiaTheme="minorEastAsia" w:cstheme="minorEastAsia"/>
          <w:color w:val="auto"/>
          <w:szCs w:val="21"/>
        </w:rPr>
        <w:t>此费用包含在中标人报价中。</w:t>
      </w:r>
    </w:p>
    <w:tbl>
      <w:tblPr>
        <w:tblStyle w:val="41"/>
        <w:tblW w:w="8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9"/>
        <w:gridCol w:w="1983"/>
        <w:gridCol w:w="1983"/>
        <w:gridCol w:w="1984"/>
      </w:tblGrid>
      <w:tr w14:paraId="46F8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9" w:hRule="atLeast"/>
          <w:jc w:val="center"/>
        </w:trPr>
        <w:tc>
          <w:tcPr>
            <w:tcW w:w="2229" w:type="dxa"/>
            <w:vMerge w:val="restart"/>
            <w:vAlign w:val="center"/>
          </w:tcPr>
          <w:p w14:paraId="485BDF74">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中标金额</w:t>
            </w:r>
          </w:p>
          <w:p w14:paraId="3786C2A8">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5950" w:type="dxa"/>
            <w:gridSpan w:val="3"/>
            <w:vAlign w:val="center"/>
          </w:tcPr>
          <w:p w14:paraId="4BF4FB4A">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收费标准</w:t>
            </w:r>
          </w:p>
        </w:tc>
      </w:tr>
      <w:tr w14:paraId="04767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2229" w:type="dxa"/>
            <w:vMerge w:val="continue"/>
            <w:shd w:val="clear" w:color="auto" w:fill="auto"/>
            <w:vAlign w:val="center"/>
          </w:tcPr>
          <w:p w14:paraId="63748B85">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p>
        </w:tc>
        <w:tc>
          <w:tcPr>
            <w:tcW w:w="1983" w:type="dxa"/>
            <w:shd w:val="clear" w:color="auto" w:fill="FFFFFF"/>
            <w:vAlign w:val="center"/>
          </w:tcPr>
          <w:p w14:paraId="42DE5426">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货物招标</w:t>
            </w:r>
          </w:p>
        </w:tc>
        <w:tc>
          <w:tcPr>
            <w:tcW w:w="1983" w:type="dxa"/>
            <w:vAlign w:val="center"/>
          </w:tcPr>
          <w:p w14:paraId="53192613">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服务招标</w:t>
            </w:r>
          </w:p>
        </w:tc>
        <w:tc>
          <w:tcPr>
            <w:tcW w:w="1984" w:type="dxa"/>
            <w:vAlign w:val="center"/>
          </w:tcPr>
          <w:p w14:paraId="1F9A8124">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工程招标</w:t>
            </w:r>
          </w:p>
        </w:tc>
      </w:tr>
      <w:tr w14:paraId="108F0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6641E4B1">
            <w:pPr>
              <w:shd w:val="clear"/>
              <w:kinsoku/>
              <w:overflowPunct/>
              <w:topLinePunct w:val="0"/>
              <w:bidi w:val="0"/>
              <w:adjustRightInd w:val="0"/>
              <w:snapToGrid w:val="0"/>
              <w:spacing w:beforeAutospacing="0" w:afterAutospacing="0" w:line="360" w:lineRule="auto"/>
              <w:ind w:left="0" w:leftChars="0" w:right="0"/>
              <w:rPr>
                <w:rFonts w:hint="eastAsia" w:ascii="宋体" w:hAnsi="宋体" w:eastAsia="宋体" w:cs="宋体"/>
                <w:color w:val="auto"/>
                <w:highlight w:val="none"/>
              </w:rPr>
            </w:pPr>
            <w:r>
              <w:rPr>
                <w:rFonts w:hint="eastAsia" w:ascii="宋体" w:hAnsi="宋体" w:eastAsia="宋体" w:cs="宋体"/>
                <w:color w:val="auto"/>
                <w:highlight w:val="none"/>
              </w:rPr>
              <w:t>100以下</w:t>
            </w:r>
          </w:p>
        </w:tc>
        <w:tc>
          <w:tcPr>
            <w:tcW w:w="1983" w:type="dxa"/>
            <w:shd w:val="clear" w:color="auto" w:fill="FFFFFF"/>
          </w:tcPr>
          <w:p w14:paraId="59633503">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1983" w:type="dxa"/>
          </w:tcPr>
          <w:p w14:paraId="6BE5968C">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1984" w:type="dxa"/>
          </w:tcPr>
          <w:p w14:paraId="63393E2E">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r>
      <w:tr w14:paraId="6E58B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6DE10956">
            <w:pPr>
              <w:shd w:val="clear"/>
              <w:kinsoku/>
              <w:overflowPunct/>
              <w:topLinePunct w:val="0"/>
              <w:bidi w:val="0"/>
              <w:adjustRightInd w:val="0"/>
              <w:snapToGrid w:val="0"/>
              <w:spacing w:beforeAutospacing="0" w:afterAutospacing="0" w:line="360" w:lineRule="auto"/>
              <w:ind w:left="0" w:leftChars="0" w:right="0"/>
              <w:rPr>
                <w:rFonts w:hint="eastAsia" w:ascii="宋体" w:hAnsi="宋体" w:eastAsia="宋体" w:cs="宋体"/>
                <w:color w:val="auto"/>
                <w:highlight w:val="none"/>
              </w:rPr>
            </w:pPr>
            <w:r>
              <w:rPr>
                <w:rFonts w:hint="eastAsia" w:ascii="宋体" w:hAnsi="宋体" w:eastAsia="宋体" w:cs="宋体"/>
                <w:color w:val="auto"/>
                <w:highlight w:val="none"/>
              </w:rPr>
              <w:t>100—500</w:t>
            </w:r>
          </w:p>
        </w:tc>
        <w:tc>
          <w:tcPr>
            <w:tcW w:w="1983" w:type="dxa"/>
            <w:shd w:val="clear" w:color="auto" w:fill="FFFFFF"/>
          </w:tcPr>
          <w:p w14:paraId="4514456C">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1983" w:type="dxa"/>
          </w:tcPr>
          <w:p w14:paraId="79D2E75F">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0.8%</w:t>
            </w:r>
          </w:p>
        </w:tc>
        <w:tc>
          <w:tcPr>
            <w:tcW w:w="1984" w:type="dxa"/>
          </w:tcPr>
          <w:p w14:paraId="55BC3DBA">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0.7%</w:t>
            </w:r>
          </w:p>
        </w:tc>
      </w:tr>
      <w:tr w14:paraId="17293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26CA3BF0">
            <w:pPr>
              <w:shd w:val="clear"/>
              <w:kinsoku/>
              <w:overflowPunct/>
              <w:topLinePunct w:val="0"/>
              <w:bidi w:val="0"/>
              <w:adjustRightInd w:val="0"/>
              <w:snapToGrid w:val="0"/>
              <w:spacing w:beforeAutospacing="0" w:afterAutospacing="0" w:line="360" w:lineRule="auto"/>
              <w:ind w:left="0" w:leftChars="0" w:right="0"/>
              <w:rPr>
                <w:rFonts w:hint="eastAsia" w:ascii="宋体" w:hAnsi="宋体" w:eastAsia="宋体" w:cs="宋体"/>
                <w:color w:val="auto"/>
                <w:highlight w:val="none"/>
              </w:rPr>
            </w:pPr>
            <w:r>
              <w:rPr>
                <w:rFonts w:hint="eastAsia" w:ascii="宋体" w:hAnsi="宋体" w:eastAsia="宋体" w:cs="宋体"/>
                <w:color w:val="auto"/>
                <w:highlight w:val="none"/>
              </w:rPr>
              <w:t>500—1000</w:t>
            </w:r>
          </w:p>
        </w:tc>
        <w:tc>
          <w:tcPr>
            <w:tcW w:w="1983" w:type="dxa"/>
            <w:shd w:val="clear" w:color="auto" w:fill="FFFFFF"/>
          </w:tcPr>
          <w:p w14:paraId="02E32B8C">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0.8%</w:t>
            </w:r>
          </w:p>
        </w:tc>
        <w:tc>
          <w:tcPr>
            <w:tcW w:w="1983" w:type="dxa"/>
          </w:tcPr>
          <w:p w14:paraId="45131AAE">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0.45%</w:t>
            </w:r>
          </w:p>
        </w:tc>
        <w:tc>
          <w:tcPr>
            <w:tcW w:w="1984" w:type="dxa"/>
          </w:tcPr>
          <w:p w14:paraId="772232C1">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0.55%</w:t>
            </w:r>
          </w:p>
        </w:tc>
      </w:tr>
      <w:tr w14:paraId="288A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29393B91">
            <w:pPr>
              <w:shd w:val="clear"/>
              <w:kinsoku/>
              <w:overflowPunct/>
              <w:topLinePunct w:val="0"/>
              <w:bidi w:val="0"/>
              <w:adjustRightInd w:val="0"/>
              <w:snapToGrid w:val="0"/>
              <w:spacing w:beforeAutospacing="0" w:afterAutospacing="0" w:line="360" w:lineRule="auto"/>
              <w:ind w:left="0" w:leftChars="0" w:right="0"/>
              <w:rPr>
                <w:rFonts w:hint="eastAsia" w:ascii="宋体" w:hAnsi="宋体" w:eastAsia="宋体" w:cs="宋体"/>
                <w:color w:val="auto"/>
                <w:highlight w:val="none"/>
              </w:rPr>
            </w:pPr>
            <w:r>
              <w:rPr>
                <w:rFonts w:hint="eastAsia" w:ascii="宋体" w:hAnsi="宋体" w:eastAsia="宋体" w:cs="宋体"/>
                <w:color w:val="auto"/>
                <w:highlight w:val="none"/>
              </w:rPr>
              <w:t>1000—5000</w:t>
            </w:r>
          </w:p>
        </w:tc>
        <w:tc>
          <w:tcPr>
            <w:tcW w:w="1983" w:type="dxa"/>
            <w:shd w:val="clear" w:color="auto" w:fill="FFFFFF"/>
          </w:tcPr>
          <w:p w14:paraId="55100CAB">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0.5%</w:t>
            </w:r>
          </w:p>
        </w:tc>
        <w:tc>
          <w:tcPr>
            <w:tcW w:w="1983" w:type="dxa"/>
          </w:tcPr>
          <w:p w14:paraId="79D1CC2B">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0.25%</w:t>
            </w:r>
          </w:p>
        </w:tc>
        <w:tc>
          <w:tcPr>
            <w:tcW w:w="1984" w:type="dxa"/>
          </w:tcPr>
          <w:p w14:paraId="2D3853A3">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0.35%</w:t>
            </w:r>
          </w:p>
        </w:tc>
      </w:tr>
      <w:tr w14:paraId="5DD75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2229" w:type="dxa"/>
            <w:shd w:val="clear" w:color="auto" w:fill="auto"/>
          </w:tcPr>
          <w:p w14:paraId="50CEB84F">
            <w:pPr>
              <w:shd w:val="clear"/>
              <w:kinsoku/>
              <w:overflowPunct/>
              <w:topLinePunct w:val="0"/>
              <w:bidi w:val="0"/>
              <w:adjustRightInd w:val="0"/>
              <w:snapToGrid w:val="0"/>
              <w:spacing w:beforeAutospacing="0" w:afterAutospacing="0" w:line="360" w:lineRule="auto"/>
              <w:ind w:left="0" w:leftChars="0" w:right="0"/>
              <w:rPr>
                <w:rFonts w:hint="eastAsia" w:ascii="宋体" w:hAnsi="宋体" w:eastAsia="宋体" w:cs="宋体"/>
                <w:color w:val="auto"/>
                <w:highlight w:val="none"/>
              </w:rPr>
            </w:pPr>
            <w:r>
              <w:rPr>
                <w:rFonts w:hint="eastAsia" w:ascii="宋体" w:hAnsi="宋体" w:eastAsia="宋体" w:cs="宋体"/>
                <w:color w:val="auto"/>
                <w:highlight w:val="none"/>
              </w:rPr>
              <w:t>5000—10000</w:t>
            </w:r>
          </w:p>
        </w:tc>
        <w:tc>
          <w:tcPr>
            <w:tcW w:w="1983" w:type="dxa"/>
            <w:shd w:val="clear" w:color="auto" w:fill="FFFFFF"/>
          </w:tcPr>
          <w:p w14:paraId="1BB7A83D">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0.25%</w:t>
            </w:r>
          </w:p>
        </w:tc>
        <w:tc>
          <w:tcPr>
            <w:tcW w:w="1983" w:type="dxa"/>
          </w:tcPr>
          <w:p w14:paraId="5DD294C7">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0.1%</w:t>
            </w:r>
          </w:p>
        </w:tc>
        <w:tc>
          <w:tcPr>
            <w:tcW w:w="1984" w:type="dxa"/>
          </w:tcPr>
          <w:p w14:paraId="43FB48E5">
            <w:pPr>
              <w:shd w:val="clear"/>
              <w:kinsoku/>
              <w:overflowPunct/>
              <w:topLinePunct w:val="0"/>
              <w:bidi w:val="0"/>
              <w:adjustRightInd w:val="0"/>
              <w:snapToGrid w:val="0"/>
              <w:spacing w:beforeAutospacing="0" w:afterAutospacing="0" w:line="360" w:lineRule="auto"/>
              <w:ind w:left="0" w:leftChars="0" w:right="0"/>
              <w:jc w:val="center"/>
              <w:rPr>
                <w:rFonts w:hint="eastAsia" w:ascii="宋体" w:hAnsi="宋体" w:eastAsia="宋体" w:cs="宋体"/>
                <w:color w:val="auto"/>
                <w:highlight w:val="none"/>
              </w:rPr>
            </w:pPr>
            <w:r>
              <w:rPr>
                <w:rFonts w:hint="eastAsia" w:ascii="宋体" w:hAnsi="宋体" w:eastAsia="宋体" w:cs="宋体"/>
                <w:color w:val="auto"/>
                <w:highlight w:val="none"/>
              </w:rPr>
              <w:t>0.2%</w:t>
            </w:r>
          </w:p>
        </w:tc>
      </w:tr>
    </w:tbl>
    <w:p w14:paraId="297BA62D">
      <w:pPr>
        <w:pStyle w:val="13"/>
        <w:shd w:val="clear"/>
        <w:kinsoku/>
        <w:overflowPunct/>
        <w:topLinePunct w:val="0"/>
        <w:bidi w:val="0"/>
        <w:adjustRightInd w:val="0"/>
        <w:snapToGrid w:val="0"/>
        <w:spacing w:beforeAutospacing="0" w:afterAutospacing="0" w:line="360" w:lineRule="auto"/>
        <w:ind w:left="0" w:leftChars="0" w:right="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备注：采购代理服务费按差额定率累进法计算。</w:t>
      </w:r>
    </w:p>
    <w:p w14:paraId="5C7068BC">
      <w:pPr>
        <w:pStyle w:val="13"/>
        <w:adjustRightInd w:val="0"/>
        <w:snapToGrid w:val="0"/>
        <w:spacing w:line="360" w:lineRule="auto"/>
        <w:ind w:firstLineChars="20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34.2</w:t>
      </w:r>
      <w:r>
        <w:rPr>
          <w:rFonts w:hint="eastAsia" w:asciiTheme="minorEastAsia" w:hAnsiTheme="minorEastAsia" w:eastAsiaTheme="minorEastAsia" w:cstheme="minorEastAsia"/>
          <w:color w:val="auto"/>
          <w:szCs w:val="21"/>
          <w:lang w:val="en-US" w:eastAsia="zh-CN"/>
        </w:rPr>
        <w:t>方式：现金、网银、电汇、支票、汇票等形式。</w:t>
      </w:r>
    </w:p>
    <w:p w14:paraId="61925352">
      <w:pPr>
        <w:pStyle w:val="13"/>
        <w:spacing w:line="360" w:lineRule="auto"/>
        <w:ind w:firstLineChars="200"/>
        <w:rPr>
          <w:rFonts w:ascii="宋体" w:hAnsi="宋体" w:cs="宋体"/>
          <w:szCs w:val="21"/>
        </w:rPr>
      </w:pPr>
      <w:r>
        <w:rPr>
          <w:rFonts w:hint="eastAsia" w:asciiTheme="minorEastAsia" w:hAnsiTheme="minorEastAsia" w:eastAsiaTheme="minorEastAsia" w:cstheme="minorEastAsia"/>
          <w:color w:val="auto"/>
          <w:szCs w:val="21"/>
          <w:lang w:val="en-US" w:eastAsia="zh-CN"/>
        </w:rPr>
        <w:t>34.3</w:t>
      </w:r>
      <w:r>
        <w:rPr>
          <w:rFonts w:hint="eastAsia" w:asciiTheme="minorEastAsia" w:hAnsiTheme="minorEastAsia" w:eastAsiaTheme="minorEastAsia" w:cstheme="minorEastAsia"/>
          <w:color w:val="auto"/>
          <w:szCs w:val="21"/>
        </w:rPr>
        <w:t>中标人应在接受“中标通知书”时向采购代理机构一次付清采购代理服务费。</w:t>
      </w:r>
    </w:p>
    <w:p w14:paraId="61A6B685">
      <w:pPr>
        <w:spacing w:line="360" w:lineRule="auto"/>
        <w:jc w:val="left"/>
        <w:rPr>
          <w:rFonts w:ascii="宋体" w:hAnsi="宋体" w:cs="宋体"/>
          <w:b/>
          <w:bCs/>
          <w:sz w:val="24"/>
          <w:szCs w:val="24"/>
        </w:rPr>
      </w:pPr>
      <w:r>
        <w:rPr>
          <w:rFonts w:hint="eastAsia" w:ascii="宋体" w:hAnsi="宋体" w:cs="宋体"/>
          <w:b/>
          <w:bCs/>
          <w:sz w:val="24"/>
          <w:szCs w:val="24"/>
        </w:rPr>
        <w:t>35.招标文件编制依据</w:t>
      </w:r>
    </w:p>
    <w:p w14:paraId="70580634">
      <w:pPr>
        <w:pStyle w:val="13"/>
        <w:spacing w:line="360" w:lineRule="auto"/>
        <w:ind w:firstLineChars="200"/>
        <w:rPr>
          <w:rFonts w:ascii="宋体" w:hAnsi="宋体" w:cs="宋体"/>
          <w:szCs w:val="21"/>
        </w:rPr>
      </w:pPr>
      <w:r>
        <w:rPr>
          <w:rFonts w:hint="eastAsia" w:ascii="宋体" w:hAnsi="宋体" w:cs="宋体"/>
          <w:szCs w:val="21"/>
        </w:rPr>
        <w:t>35.1本招标文件根据《中华人民共和国政府采购法》《中华人民共和国政府采购法实施条例》《政府采购货物和服务招标投标管理办法》（财政部令第87号）等有关法律、法规编制，解释权属于采购人、采购代理机构。</w:t>
      </w:r>
    </w:p>
    <w:p w14:paraId="002FA86C">
      <w:pPr>
        <w:spacing w:line="360" w:lineRule="auto"/>
        <w:jc w:val="left"/>
        <w:rPr>
          <w:rFonts w:ascii="宋体" w:hAnsi="宋体" w:cs="宋体"/>
          <w:b/>
          <w:bCs/>
          <w:sz w:val="24"/>
          <w:szCs w:val="24"/>
        </w:rPr>
      </w:pPr>
      <w:r>
        <w:rPr>
          <w:rFonts w:hint="eastAsia" w:ascii="宋体" w:hAnsi="宋体" w:cs="宋体"/>
          <w:b/>
          <w:bCs/>
          <w:sz w:val="24"/>
          <w:szCs w:val="24"/>
        </w:rPr>
        <w:t>36.需要补充的其他内容</w:t>
      </w:r>
    </w:p>
    <w:p w14:paraId="7143D512">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bookmarkStart w:id="383" w:name="_Toc1641"/>
      <w:bookmarkStart w:id="384" w:name="_Toc3050"/>
      <w:bookmarkStart w:id="385" w:name="_Toc1295"/>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1关于中小企业：</w:t>
      </w:r>
    </w:p>
    <w:p w14:paraId="4B2D8E4C">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374AB46B">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1.2符合中小企业划分标准的个体工商户，在政府采购活动中视同中小企业。</w:t>
      </w:r>
    </w:p>
    <w:p w14:paraId="073C71D0">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1.3在政府采购活动中，投标人提供的货物、工程或者服务符合下列情形的，享受《关于印发&lt;政府采购促进中小企业发展管理办法&gt;的通知》（财库〔2020〕46号）规定的中小企业扶持政策：</w:t>
      </w:r>
    </w:p>
    <w:p w14:paraId="52427C7C">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（一）在货物采购项目中，货物由中小企业制造，即货物由中小企业生产且使用该中小企业商号或者注册商标；</w:t>
      </w:r>
    </w:p>
    <w:p w14:paraId="50EEA370">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（二）在工程采购项目中，工程由中小企业承建，即工程施工单位为中小企业；</w:t>
      </w:r>
    </w:p>
    <w:p w14:paraId="76AA206A">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（三）在服务采购项目中，服务由中小企业承接，即提供服务的人员为中小企业依照《中华人民共和国劳动合同法》订立劳动合同的从业人员。</w:t>
      </w:r>
    </w:p>
    <w:p w14:paraId="0E11E52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1.4在货物采购项目中，投标人提供的货物既有中小企业制造货物，也有大型企业制造货物的，不享受本办法规定的中小企业扶持政策。</w:t>
      </w:r>
    </w:p>
    <w:p w14:paraId="0AAE3787">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1.5以联合体形式参加政府采购活动，联合体各方均为中小企业的，联合体视同中小企业。其中，联合体各方均为小微企业的,联合体视同小微企业。</w:t>
      </w:r>
    </w:p>
    <w:p w14:paraId="6BB2E27F">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1.6中小企业参加政府采购活动，应当出具《关于印发&lt;政府采购促进中小企业发展管理办法&gt;的通知》（财库〔2020〕46号）规定的《中小企业声明函》，否则不得享受相关中小企业扶持政策。</w:t>
      </w:r>
    </w:p>
    <w:p w14:paraId="69C0E9D5">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1.7规定依据《关于印发&lt;政府采购促进中小企业发展管理办法&gt;的通知》（财库〔2020〕46号）规定享受扶持政策获得政府采购合同的，小微企业不得将合同分包给大中型企业，中型企业不得将合同分包给大型企业。</w:t>
      </w:r>
    </w:p>
    <w:p w14:paraId="6B6C420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36.1.8根据“《关于印发《政府采购促进中小企业发展管理办法》的通知》（财库〔2020〕46号）的规定，</w:t>
      </w:r>
      <w:r>
        <w:rPr>
          <w:rFonts w:hint="eastAsia" w:ascii="宋体" w:hAnsi="宋体" w:eastAsia="宋体" w:cs="宋体"/>
          <w:color w:val="000000" w:themeColor="text1"/>
          <w:kern w:val="0"/>
          <w:highlight w:val="none"/>
          <w14:textFill>
            <w14:solidFill>
              <w14:schemeClr w14:val="tx1"/>
            </w14:solidFill>
          </w14:textFill>
        </w:rPr>
        <w:t>针对小微企业报价给予10%的扣除，用扣除后的价格参与评审。符合条件的投标人应根据下表所属行业填写《中小企业声明函》：</w:t>
      </w:r>
    </w:p>
    <w:tbl>
      <w:tblPr>
        <w:tblStyle w:val="41"/>
        <w:tblW w:w="6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948"/>
        <w:gridCol w:w="1468"/>
        <w:gridCol w:w="1934"/>
      </w:tblGrid>
      <w:tr w14:paraId="08E36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2948" w:type="dxa"/>
            <w:shd w:val="clear" w:color="auto" w:fill="D7D7D7" w:themeFill="background1" w:themeFillShade="D8"/>
            <w:tcMar>
              <w:top w:w="15" w:type="dxa"/>
              <w:left w:w="15" w:type="dxa"/>
              <w:right w:w="15" w:type="dxa"/>
            </w:tcMar>
            <w:vAlign w:val="center"/>
          </w:tcPr>
          <w:p w14:paraId="2CA2ED5C">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标的</w:t>
            </w:r>
            <w:r>
              <w:rPr>
                <w:rFonts w:hint="eastAsia" w:ascii="宋体" w:hAnsi="宋体" w:eastAsia="宋体" w:cs="宋体"/>
                <w:b/>
                <w:color w:val="000000" w:themeColor="text1"/>
                <w:szCs w:val="21"/>
                <w:highlight w:val="none"/>
                <w14:textFill>
                  <w14:solidFill>
                    <w14:schemeClr w14:val="tx1"/>
                  </w14:solidFill>
                </w14:textFill>
              </w:rPr>
              <w:t>名称</w:t>
            </w:r>
          </w:p>
        </w:tc>
        <w:tc>
          <w:tcPr>
            <w:tcW w:w="1468" w:type="dxa"/>
            <w:shd w:val="clear" w:color="auto" w:fill="D7D7D7" w:themeFill="background1" w:themeFillShade="D8"/>
            <w:tcMar>
              <w:top w:w="15" w:type="dxa"/>
              <w:left w:w="15" w:type="dxa"/>
              <w:right w:w="15" w:type="dxa"/>
            </w:tcMar>
            <w:vAlign w:val="center"/>
          </w:tcPr>
          <w:p w14:paraId="272BCF26">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所属行业</w:t>
            </w:r>
          </w:p>
        </w:tc>
        <w:tc>
          <w:tcPr>
            <w:tcW w:w="1934" w:type="dxa"/>
            <w:shd w:val="clear" w:color="auto" w:fill="D7D7D7" w:themeFill="background1" w:themeFillShade="D8"/>
            <w:tcMar>
              <w:top w:w="15" w:type="dxa"/>
              <w:left w:w="15" w:type="dxa"/>
              <w:right w:w="15" w:type="dxa"/>
            </w:tcMar>
            <w:vAlign w:val="center"/>
          </w:tcPr>
          <w:p w14:paraId="55034CE7">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划型标准</w:t>
            </w:r>
          </w:p>
        </w:tc>
      </w:tr>
      <w:tr w14:paraId="0A50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2948" w:type="dxa"/>
            <w:tcMar>
              <w:top w:w="15" w:type="dxa"/>
              <w:left w:w="15" w:type="dxa"/>
              <w:right w:w="15" w:type="dxa"/>
            </w:tcMar>
            <w:vAlign w:val="center"/>
          </w:tcPr>
          <w:p w14:paraId="733A8455">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昆明市官渡区人民医院医疗责任保险服务</w:t>
            </w:r>
          </w:p>
        </w:tc>
        <w:tc>
          <w:tcPr>
            <w:tcW w:w="1468" w:type="dxa"/>
            <w:tcMar>
              <w:top w:w="15" w:type="dxa"/>
              <w:left w:w="15" w:type="dxa"/>
              <w:right w:w="15" w:type="dxa"/>
            </w:tcMar>
            <w:vAlign w:val="center"/>
          </w:tcPr>
          <w:p w14:paraId="1030A6AB">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金融</w:t>
            </w:r>
            <w:r>
              <w:rPr>
                <w:rFonts w:hint="eastAsia" w:ascii="宋体" w:hAnsi="宋体" w:eastAsia="宋体" w:cs="宋体"/>
                <w:color w:val="000000" w:themeColor="text1"/>
                <w:kern w:val="0"/>
                <w:szCs w:val="21"/>
                <w:highlight w:val="none"/>
                <w:lang w:val="en-US" w:eastAsia="zh-CN"/>
                <w14:textFill>
                  <w14:solidFill>
                    <w14:schemeClr w14:val="tx1"/>
                  </w14:solidFill>
                </w14:textFill>
              </w:rPr>
              <w:t>业</w:t>
            </w:r>
          </w:p>
        </w:tc>
        <w:tc>
          <w:tcPr>
            <w:tcW w:w="1934" w:type="dxa"/>
            <w:tcMar>
              <w:top w:w="15" w:type="dxa"/>
              <w:left w:w="15" w:type="dxa"/>
              <w:right w:w="15" w:type="dxa"/>
            </w:tcMar>
            <w:vAlign w:val="center"/>
          </w:tcPr>
          <w:p w14:paraId="4236A4EF">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其他未列明行业</w:t>
            </w:r>
          </w:p>
        </w:tc>
      </w:tr>
    </w:tbl>
    <w:p w14:paraId="614FEF8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14:textFill>
            <w14:solidFill>
              <w14:schemeClr w14:val="tx1"/>
            </w14:solidFill>
          </w14:textFill>
        </w:rPr>
        <w:t>中标人享受本办法规定的中小企业扶持政策的，采购人、采购代理机构将随中标结果公开中标人的《中小企业声明函》。</w:t>
      </w:r>
    </w:p>
    <w:p w14:paraId="1E4AEA61">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2关于监狱企业：</w:t>
      </w:r>
    </w:p>
    <w:p w14:paraId="4007507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BEF142">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2.2监狱企业参加政府采购活动时，应当提供由省级以上监狱管理局、戒毒管理局（含新疆生产建设兵团）出具的属于监狱企业的证明文件。</w:t>
      </w:r>
    </w:p>
    <w:p w14:paraId="29EFA97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2.3在政府采购活动中，监狱企业视同小型、微型企业，享受预留份额、评审中价格扣除等政府采购促进中小企业发展的政府采购政策。</w:t>
      </w:r>
    </w:p>
    <w:p w14:paraId="61158E92">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3关于残疾人福利性单位：</w:t>
      </w:r>
    </w:p>
    <w:p w14:paraId="09FE9C16">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3.1根据《三部门联合发布关于促进残疾人就业政府采购政策的通知》（财库〔2017〕141号）的规定，享受政府采购支持政策的残疾人福利性单位应当同时满足以下条件：</w:t>
      </w:r>
    </w:p>
    <w:p w14:paraId="2C82513B">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（一）安置的残疾人占本单位在职职工人数的比例不低于25%（含25%），并且安置的残疾人人数不少于10人（含10人）；</w:t>
      </w:r>
    </w:p>
    <w:p w14:paraId="0C64A21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（二）依法与安置的每位残疾人签订了一年以上（含一年）的劳动合同或服务协议；</w:t>
      </w:r>
    </w:p>
    <w:p w14:paraId="5075DE8A">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（三）为安置的每位残疾人按月足额缴纳了基本养老保险、基本医疗保险、失业保险、工伤保险和生育保险等社会保险费；</w:t>
      </w:r>
    </w:p>
    <w:p w14:paraId="7412E5B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（四）通过银行等金融机构向安置的每位残疾人，按月支付了不低于单位所在区县适用的经省级人民政府批准的月最低工资标准的工资；</w:t>
      </w:r>
    </w:p>
    <w:p w14:paraId="2DD70D66">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2B2576D9">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6479F6F">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3.2符合条件的残疾人福利性单位在参加政府采购活动时，应当按《三部门联合发布关于促进残疾人就业政府采购政策的通知》（财库〔2017〕141号）提供规定的《残疾人福利性单位声明函》，并对声明的真实性负责。</w:t>
      </w:r>
    </w:p>
    <w:p w14:paraId="6A6E8264">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3.3在政府采购活动中，残疾人福利性单位视同小型、微型企业，享受预留份额、评审中价格扣除等促进中小企业发展的政府采购政策。残疾人福利性单位属于小型、微型企业的，不重复享受政策。</w:t>
      </w:r>
    </w:p>
    <w:p w14:paraId="5F0B1D53">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4关于节能产品及环境标志产品：</w:t>
      </w:r>
    </w:p>
    <w:p w14:paraId="0F8911DB">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4.1根据《财政部 发展改革委 生态环境部 市场监管总局 关于调整优化节能产品、环境标志产品政府采购执行机制的通知》（财库〔2019〕9号），对政府采购节能产品、环境标志产品实施品目清单管理。</w:t>
      </w:r>
    </w:p>
    <w:p w14:paraId="7F07C1AC">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4.2节能产品是指列入财政部和发展改革委公布的《关于印发节能产品政府采购品目清单的通知》（财库〔2019〕19号）《节能产品政府采购品目清单》中的产品，其中以“★”标注的为政府强制采购产品。</w:t>
      </w:r>
    </w:p>
    <w:p w14:paraId="66A0049F">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4.3环境标志产品是指列入财政部和生态环境部公布的《关于印发环境标志产品政府采购品目清单的通知》（财库〔2019〕18号）《环境标志产品政府采购品目清单》中的产品。</w:t>
      </w:r>
    </w:p>
    <w:p w14:paraId="11D69296">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68B0154B">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4.5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1EDE0239">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其它注意事项：以下情况视为</w:t>
      </w:r>
      <w:r>
        <w:rPr>
          <w:rFonts w:hint="eastAsia" w:ascii="宋体" w:hAnsi="宋体" w:eastAsia="宋体" w:cs="宋体"/>
          <w:color w:val="000000" w:themeColor="text1"/>
          <w:szCs w:val="21"/>
          <w:highlight w:val="none"/>
          <w:lang w:eastAsia="zh-CN"/>
          <w14:textFill>
            <w14:solidFill>
              <w14:schemeClr w14:val="tx1"/>
            </w14:solidFill>
          </w14:textFill>
        </w:rPr>
        <w:t>投标人</w:t>
      </w:r>
      <w:r>
        <w:rPr>
          <w:rFonts w:hint="eastAsia" w:ascii="宋体" w:hAnsi="宋体" w:eastAsia="宋体" w:cs="宋体"/>
          <w:color w:val="000000" w:themeColor="text1"/>
          <w:szCs w:val="21"/>
          <w:highlight w:val="none"/>
          <w14:textFill>
            <w14:solidFill>
              <w14:schemeClr w14:val="tx1"/>
            </w14:solidFill>
          </w14:textFill>
        </w:rPr>
        <w:t>同意撤回已上传系统的</w:t>
      </w:r>
      <w:r>
        <w:rPr>
          <w:rFonts w:hint="eastAsia" w:ascii="宋体" w:hAnsi="宋体" w:eastAsia="宋体" w:cs="宋体"/>
          <w:color w:val="000000" w:themeColor="text1"/>
          <w:szCs w:val="21"/>
          <w:highlight w:val="none"/>
          <w:lang w:eastAsia="zh-CN"/>
          <w14:textFill>
            <w14:solidFill>
              <w14:schemeClr w14:val="tx1"/>
            </w14:solidFill>
          </w14:textFill>
        </w:rPr>
        <w:t>投标</w:t>
      </w:r>
      <w:r>
        <w:rPr>
          <w:rFonts w:hint="eastAsia" w:ascii="宋体" w:hAnsi="宋体" w:eastAsia="宋体" w:cs="宋体"/>
          <w:color w:val="000000" w:themeColor="text1"/>
          <w:szCs w:val="21"/>
          <w:highlight w:val="none"/>
          <w14:textFill>
            <w14:solidFill>
              <w14:schemeClr w14:val="tx1"/>
            </w14:solidFill>
          </w14:textFill>
        </w:rPr>
        <w:t>文件或其</w:t>
      </w:r>
      <w:r>
        <w:rPr>
          <w:rFonts w:hint="eastAsia" w:ascii="宋体" w:hAnsi="宋体" w:eastAsia="宋体" w:cs="宋体"/>
          <w:color w:val="000000" w:themeColor="text1"/>
          <w:szCs w:val="21"/>
          <w:highlight w:val="none"/>
          <w:lang w:eastAsia="zh-CN"/>
          <w14:textFill>
            <w14:solidFill>
              <w14:schemeClr w14:val="tx1"/>
            </w14:solidFill>
          </w14:textFill>
        </w:rPr>
        <w:t>投标</w:t>
      </w:r>
      <w:r>
        <w:rPr>
          <w:rFonts w:hint="eastAsia" w:ascii="宋体" w:hAnsi="宋体" w:eastAsia="宋体" w:cs="宋体"/>
          <w:color w:val="000000" w:themeColor="text1"/>
          <w:szCs w:val="21"/>
          <w:highlight w:val="none"/>
          <w14:textFill>
            <w14:solidFill>
              <w14:schemeClr w14:val="tx1"/>
            </w14:solidFill>
          </w14:textFill>
        </w:rPr>
        <w:t xml:space="preserve">文件无效： </w:t>
      </w:r>
    </w:p>
    <w:p w14:paraId="62DB75F4">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（1）政采云电子平台显示投标人未上传投标文件；</w:t>
      </w:r>
    </w:p>
    <w:p w14:paraId="1F9D4052">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（2）因投标人原因上传的投标文件在开启文件时无法解密。</w:t>
      </w:r>
    </w:p>
    <w:p w14:paraId="7FC0E10D">
      <w:pPr>
        <w:pStyle w:val="13"/>
        <w:pageBreakBefore w:val="0"/>
        <w:kinsoku/>
        <w:overflowPunct/>
        <w:topLinePunct w:val="0"/>
        <w:bidi w:val="0"/>
        <w:adjustRightInd/>
        <w:spacing w:line="480" w:lineRule="exact"/>
        <w:ind w:left="0" w:leftChars="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）因投标人自身原因导致未在规定时间内完成投标文件解密。</w:t>
      </w:r>
    </w:p>
    <w:p w14:paraId="404CE037">
      <w:pPr>
        <w:pageBreakBefore w:val="0"/>
        <w:widowControl/>
        <w:kinsoku/>
        <w:overflowPunct/>
        <w:topLinePunct w:val="0"/>
        <w:bidi w:val="0"/>
        <w:adjustRightInd/>
        <w:spacing w:line="480" w:lineRule="exact"/>
        <w:ind w:left="0" w:leftChars="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32"/>
          <w:highlight w:val="none"/>
          <w14:textFill>
            <w14:solidFill>
              <w14:schemeClr w14:val="tx1"/>
            </w14:solidFill>
          </w14:textFill>
        </w:rPr>
        <w:br w:type="page"/>
      </w:r>
      <w:r>
        <w:rPr>
          <w:rFonts w:hint="eastAsia" w:ascii="宋体" w:hAnsi="宋体" w:eastAsia="宋体" w:cs="宋体"/>
          <w:b/>
          <w:bCs/>
          <w:color w:val="000000" w:themeColor="text1"/>
          <w:kern w:val="0"/>
          <w:szCs w:val="21"/>
          <w:highlight w:val="none"/>
          <w14:textFill>
            <w14:solidFill>
              <w14:schemeClr w14:val="tx1"/>
            </w14:solidFill>
          </w14:textFill>
        </w:rPr>
        <w:t>附件：</w:t>
      </w:r>
    </w:p>
    <w:p w14:paraId="3E93F285">
      <w:pPr>
        <w:pStyle w:val="3"/>
        <w:pageBreakBefore w:val="0"/>
        <w:kinsoku/>
        <w:overflowPunct/>
        <w:topLinePunct w:val="0"/>
        <w:bidi w:val="0"/>
        <w:adjustRightInd/>
        <w:spacing w:before="0" w:line="480" w:lineRule="exact"/>
        <w:ind w:left="0" w:leftChars="0"/>
        <w:jc w:val="center"/>
        <w:rPr>
          <w:rFonts w:hint="eastAsia" w:ascii="宋体" w:hAnsi="宋体" w:eastAsia="宋体" w:cs="宋体"/>
          <w:color w:val="000000" w:themeColor="text1"/>
          <w:spacing w:val="0"/>
          <w:kern w:val="0"/>
          <w:sz w:val="28"/>
          <w:szCs w:val="28"/>
          <w:highlight w:val="none"/>
          <w14:textFill>
            <w14:solidFill>
              <w14:schemeClr w14:val="tx1"/>
            </w14:solidFill>
          </w14:textFill>
        </w:rPr>
      </w:pPr>
      <w:bookmarkStart w:id="386" w:name="_Toc19513"/>
      <w:bookmarkStart w:id="387" w:name="_Toc31144"/>
      <w:r>
        <w:rPr>
          <w:rFonts w:hint="eastAsia" w:ascii="宋体" w:hAnsi="宋体" w:eastAsia="宋体" w:cs="宋体"/>
          <w:color w:val="000000" w:themeColor="text1"/>
          <w:spacing w:val="0"/>
          <w:kern w:val="0"/>
          <w:sz w:val="28"/>
          <w:szCs w:val="28"/>
          <w:highlight w:val="none"/>
          <w:lang w:eastAsia="zh-CN"/>
          <w14:textFill>
            <w14:solidFill>
              <w14:schemeClr w14:val="tx1"/>
            </w14:solidFill>
          </w14:textFill>
        </w:rPr>
        <w:t>《</w:t>
      </w:r>
      <w:r>
        <w:rPr>
          <w:rFonts w:hint="eastAsia" w:ascii="宋体" w:hAnsi="宋体" w:eastAsia="宋体" w:cs="宋体"/>
          <w:color w:val="000000" w:themeColor="text1"/>
          <w:spacing w:val="0"/>
          <w:kern w:val="0"/>
          <w:sz w:val="28"/>
          <w:szCs w:val="28"/>
          <w:highlight w:val="none"/>
          <w14:textFill>
            <w14:solidFill>
              <w14:schemeClr w14:val="tx1"/>
            </w14:solidFill>
          </w14:textFill>
        </w:rPr>
        <w:t>中小企业划型标准规定</w:t>
      </w:r>
      <w:r>
        <w:rPr>
          <w:rFonts w:hint="eastAsia" w:ascii="宋体" w:hAnsi="宋体" w:eastAsia="宋体" w:cs="宋体"/>
          <w:color w:val="000000" w:themeColor="text1"/>
          <w:spacing w:val="0"/>
          <w:kern w:val="0"/>
          <w:sz w:val="28"/>
          <w:szCs w:val="28"/>
          <w:highlight w:val="none"/>
          <w:lang w:eastAsia="zh-CN"/>
          <w14:textFill>
            <w14:solidFill>
              <w14:schemeClr w14:val="tx1"/>
            </w14:solidFill>
          </w14:textFill>
        </w:rPr>
        <w:t>》</w:t>
      </w:r>
      <w:bookmarkEnd w:id="386"/>
      <w:bookmarkEnd w:id="387"/>
    </w:p>
    <w:p w14:paraId="1BE58679">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一、根据《中华人民共和国中小企业促进法》和《国务院关于进一步促进中小企业发展的若干意见》(国发〔2009〕36号)，制定本规定。</w:t>
      </w:r>
    </w:p>
    <w:p w14:paraId="489E68FD">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二、中小企业划分为中型、小型、微型三种类型，具体标准根据企业从业人员、营业收入、资产总额等指标，结合行业特点制定。</w:t>
      </w:r>
    </w:p>
    <w:p w14:paraId="147EA33B">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1C14431">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outlineLvl w:val="1"/>
        <w:rPr>
          <w:rFonts w:hint="eastAsia" w:ascii="宋体" w:hAnsi="宋体" w:eastAsia="宋体" w:cs="宋体"/>
          <w:color w:val="000000" w:themeColor="text1"/>
          <w:sz w:val="21"/>
          <w:szCs w:val="21"/>
          <w:highlight w:val="none"/>
          <w14:textFill>
            <w14:solidFill>
              <w14:schemeClr w14:val="tx1"/>
            </w14:solidFill>
          </w14:textFill>
        </w:rPr>
      </w:pPr>
      <w:bookmarkStart w:id="388" w:name="_Toc10085"/>
      <w:bookmarkStart w:id="389" w:name="_Toc5251"/>
      <w:r>
        <w:rPr>
          <w:rFonts w:hint="eastAsia" w:ascii="宋体" w:hAnsi="宋体" w:eastAsia="宋体" w:cs="宋体"/>
          <w:color w:val="000000" w:themeColor="text1"/>
          <w:sz w:val="21"/>
          <w:szCs w:val="21"/>
          <w:highlight w:val="none"/>
          <w14:textFill>
            <w14:solidFill>
              <w14:schemeClr w14:val="tx1"/>
            </w14:solidFill>
          </w14:textFill>
        </w:rPr>
        <w:t>四、各行业划型标准为：</w:t>
      </w:r>
      <w:bookmarkEnd w:id="388"/>
      <w:bookmarkEnd w:id="389"/>
    </w:p>
    <w:p w14:paraId="66CA747B">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5A1C146D">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FCDCC34">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D39D043">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E767B74">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7F0DE8E">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4CC77D9">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DFE5C38">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570A62F">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C947A91">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EB2DAC">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887827">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44361B9">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E8B757C">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A844DEE">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6F2B1D6">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66C50540">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outlineLvl w:val="1"/>
        <w:rPr>
          <w:rFonts w:hint="eastAsia" w:ascii="宋体" w:hAnsi="宋体" w:eastAsia="宋体" w:cs="宋体"/>
          <w:color w:val="000000" w:themeColor="text1"/>
          <w:sz w:val="21"/>
          <w:szCs w:val="21"/>
          <w:highlight w:val="none"/>
          <w14:textFill>
            <w14:solidFill>
              <w14:schemeClr w14:val="tx1"/>
            </w14:solidFill>
          </w14:textFill>
        </w:rPr>
      </w:pPr>
      <w:bookmarkStart w:id="390" w:name="_Toc30158"/>
      <w:bookmarkStart w:id="391" w:name="_Toc7593"/>
      <w:r>
        <w:rPr>
          <w:rFonts w:hint="eastAsia" w:ascii="宋体" w:hAnsi="宋体" w:eastAsia="宋体" w:cs="宋体"/>
          <w:color w:val="000000" w:themeColor="text1"/>
          <w:sz w:val="21"/>
          <w:szCs w:val="21"/>
          <w:highlight w:val="none"/>
          <w14:textFill>
            <w14:solidFill>
              <w14:schemeClr w14:val="tx1"/>
            </w14:solidFill>
          </w14:textFill>
        </w:rPr>
        <w:t>五、企业类型的划分以统计部门的统计数据为依据。</w:t>
      </w:r>
      <w:bookmarkEnd w:id="390"/>
      <w:bookmarkEnd w:id="391"/>
    </w:p>
    <w:p w14:paraId="3019110E">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7E4D2604">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47D67D74">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八、本规定由工业和信息化部、国家统计局会同有关部门根据《国民经济行业分类》修订情况和企业发展变化情况适时修订。</w:t>
      </w:r>
    </w:p>
    <w:p w14:paraId="66CEABBD">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outlineLvl w:val="1"/>
        <w:rPr>
          <w:rFonts w:hint="eastAsia" w:ascii="宋体" w:hAnsi="宋体" w:eastAsia="宋体" w:cs="宋体"/>
          <w:color w:val="000000" w:themeColor="text1"/>
          <w:sz w:val="21"/>
          <w:szCs w:val="21"/>
          <w:highlight w:val="none"/>
          <w14:textFill>
            <w14:solidFill>
              <w14:schemeClr w14:val="tx1"/>
            </w14:solidFill>
          </w14:textFill>
        </w:rPr>
      </w:pPr>
      <w:bookmarkStart w:id="392" w:name="_Toc23749"/>
      <w:bookmarkStart w:id="393" w:name="_Toc4216"/>
      <w:r>
        <w:rPr>
          <w:rFonts w:hint="eastAsia" w:ascii="宋体" w:hAnsi="宋体" w:eastAsia="宋体" w:cs="宋体"/>
          <w:color w:val="000000" w:themeColor="text1"/>
          <w:sz w:val="21"/>
          <w:szCs w:val="21"/>
          <w:highlight w:val="none"/>
          <w14:textFill>
            <w14:solidFill>
              <w14:schemeClr w14:val="tx1"/>
            </w14:solidFill>
          </w14:textFill>
        </w:rPr>
        <w:t>九、本规定由工业和信息化部、国家统计局会同有关部门负责解释。</w:t>
      </w:r>
      <w:bookmarkEnd w:id="392"/>
      <w:bookmarkEnd w:id="393"/>
    </w:p>
    <w:p w14:paraId="72480970">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十、本规定自发布之日起执行，原国家经贸委、原国家计委、财政部和国家统计局2003年颁布的《中小企业标准暂行规定》同时废止。</w:t>
      </w:r>
    </w:p>
    <w:p w14:paraId="14EAF93C">
      <w:pPr>
        <w:rPr>
          <w:rFonts w:hint="eastAsia" w:ascii="宋体" w:hAnsi="宋体" w:eastAsia="宋体" w:cs="宋体"/>
          <w:color w:val="000000" w:themeColor="text1"/>
          <w:szCs w:val="32"/>
          <w:highlight w:val="none"/>
          <w14:textFill>
            <w14:solidFill>
              <w14:schemeClr w14:val="tx1"/>
            </w14:solidFill>
          </w14:textFill>
        </w:rPr>
      </w:pPr>
      <w:r>
        <w:rPr>
          <w:rFonts w:hint="eastAsia" w:ascii="宋体" w:hAnsi="宋体" w:eastAsia="宋体" w:cs="宋体"/>
          <w:color w:val="000000" w:themeColor="text1"/>
          <w:szCs w:val="32"/>
          <w:highlight w:val="none"/>
          <w14:textFill>
            <w14:solidFill>
              <w14:schemeClr w14:val="tx1"/>
            </w14:solidFill>
          </w14:textFill>
        </w:rPr>
        <w:br w:type="page"/>
      </w:r>
    </w:p>
    <w:p w14:paraId="4F9DEAD7">
      <w:pPr>
        <w:pStyle w:val="2"/>
        <w:spacing w:before="4320" w:beforeLines="1800" w:after="0" w:line="360" w:lineRule="auto"/>
        <w:rPr>
          <w:rFonts w:ascii="宋体" w:hAnsi="宋体" w:cs="宋体"/>
          <w:szCs w:val="21"/>
        </w:rPr>
      </w:pPr>
      <w:r>
        <w:rPr>
          <w:rFonts w:hint="eastAsia" w:ascii="宋体" w:hAnsi="宋体" w:cs="宋体"/>
          <w:szCs w:val="32"/>
        </w:rPr>
        <w:t xml:space="preserve">第三章  </w:t>
      </w:r>
      <w:r>
        <w:rPr>
          <w:rFonts w:hint="eastAsia" w:ascii="宋体" w:hAnsi="宋体" w:cs="宋体"/>
          <w:szCs w:val="21"/>
        </w:rPr>
        <w:t>合同书样式</w:t>
      </w:r>
      <w:bookmarkEnd w:id="343"/>
      <w:bookmarkEnd w:id="383"/>
      <w:bookmarkEnd w:id="384"/>
      <w:bookmarkEnd w:id="385"/>
    </w:p>
    <w:p w14:paraId="3E36488E">
      <w:pPr>
        <w:pStyle w:val="3"/>
        <w:pageBreakBefore w:val="0"/>
        <w:kinsoku/>
        <w:wordWrap/>
        <w:overflowPunct/>
        <w:topLinePunct w:val="0"/>
        <w:bidi w:val="0"/>
        <w:spacing w:before="0" w:line="480" w:lineRule="exact"/>
        <w:jc w:val="center"/>
        <w:textAlignment w:val="auto"/>
        <w:rPr>
          <w:rFonts w:hint="eastAsia" w:ascii="宋体" w:hAnsi="宋体" w:eastAsia="宋体" w:cs="宋体"/>
          <w:color w:val="000000" w:themeColor="text1"/>
          <w:spacing w:val="0"/>
          <w:kern w:val="0"/>
          <w:sz w:val="28"/>
          <w:szCs w:val="28"/>
          <w:highlight w:val="none"/>
          <w:lang w:eastAsia="zh-CN"/>
          <w14:textFill>
            <w14:solidFill>
              <w14:schemeClr w14:val="tx1"/>
            </w14:solidFill>
          </w14:textFill>
        </w:rPr>
      </w:pPr>
      <w:bookmarkStart w:id="394" w:name="_Toc20855"/>
      <w:bookmarkStart w:id="395" w:name="_Toc439344456"/>
      <w:bookmarkStart w:id="396" w:name="_Toc489145749"/>
      <w:r>
        <w:rPr>
          <w:rFonts w:hint="eastAsia" w:ascii="宋体" w:hAnsi="宋体" w:cs="宋体"/>
          <w:color w:val="000000" w:themeColor="text1"/>
          <w:spacing w:val="0"/>
          <w:kern w:val="0"/>
          <w:sz w:val="28"/>
          <w:szCs w:val="28"/>
          <w:highlight w:val="none"/>
          <w:lang w:val="en-US" w:eastAsia="zh-CN"/>
          <w14:textFill>
            <w14:solidFill>
              <w14:schemeClr w14:val="tx1"/>
            </w14:solidFill>
          </w14:textFill>
        </w:rPr>
        <w:t>政府采购合同专用条款</w:t>
      </w:r>
      <w:bookmarkEnd w:id="394"/>
    </w:p>
    <w:tbl>
      <w:tblPr>
        <w:tblStyle w:val="41"/>
        <w:tblW w:w="8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116"/>
      </w:tblGrid>
      <w:tr w14:paraId="3FA1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91" w:type="dxa"/>
            <w:vAlign w:val="center"/>
          </w:tcPr>
          <w:p w14:paraId="1FB9C792">
            <w:pPr>
              <w:pStyle w:val="21"/>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序号</w:t>
            </w:r>
          </w:p>
        </w:tc>
        <w:tc>
          <w:tcPr>
            <w:tcW w:w="8116" w:type="dxa"/>
            <w:vAlign w:val="center"/>
          </w:tcPr>
          <w:p w14:paraId="55BDAFDB">
            <w:pPr>
              <w:pStyle w:val="21"/>
              <w:keepNext w:val="0"/>
              <w:keepLines w:val="0"/>
              <w:pageBreakBefore w:val="0"/>
              <w:widowControl w:val="0"/>
              <w:kinsoku/>
              <w:wordWrap/>
              <w:overflowPunct/>
              <w:topLinePunct w:val="0"/>
              <w:autoSpaceDE/>
              <w:autoSpaceDN/>
              <w:bidi w:val="0"/>
              <w:adjustRightInd/>
              <w:snapToGrid/>
              <w:spacing w:line="440" w:lineRule="exact"/>
              <w:ind w:firstLine="211" w:firstLineChars="100"/>
              <w:jc w:val="center"/>
              <w:textAlignment w:val="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商务条款</w:t>
            </w:r>
          </w:p>
        </w:tc>
      </w:tr>
      <w:tr w14:paraId="0DE6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691" w:type="dxa"/>
            <w:vAlign w:val="center"/>
          </w:tcPr>
          <w:p w14:paraId="693C2B46">
            <w:pPr>
              <w:pStyle w:val="21"/>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w:t>
            </w:r>
          </w:p>
        </w:tc>
        <w:tc>
          <w:tcPr>
            <w:tcW w:w="8116" w:type="dxa"/>
            <w:vAlign w:val="center"/>
          </w:tcPr>
          <w:p w14:paraId="18161648">
            <w:pPr>
              <w:pStyle w:val="2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lang w:eastAsia="zh-CN"/>
                <w14:textFill>
                  <w14:solidFill>
                    <w14:schemeClr w14:val="tx1"/>
                  </w14:solidFill>
                </w14:textFill>
              </w:rPr>
              <w:t>服务期限</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hAnsi="宋体" w:cs="宋体"/>
                <w:color w:val="000000" w:themeColor="text1"/>
                <w:szCs w:val="21"/>
                <w:highlight w:val="none"/>
                <w:lang w:eastAsia="zh-CN"/>
                <w14:textFill>
                  <w14:solidFill>
                    <w14:schemeClr w14:val="tx1"/>
                  </w14:solidFill>
                </w14:textFill>
              </w:rPr>
              <w:t>服务地点</w:t>
            </w:r>
          </w:p>
          <w:p w14:paraId="7C2F185D">
            <w:pPr>
              <w:pStyle w:val="2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1.</w:t>
            </w:r>
            <w:r>
              <w:rPr>
                <w:rFonts w:hint="eastAsia" w:hAnsi="宋体" w:cs="宋体"/>
                <w:color w:val="000000" w:themeColor="text1"/>
                <w:szCs w:val="21"/>
                <w:highlight w:val="none"/>
                <w:lang w:eastAsia="zh-CN"/>
                <w14:textFill>
                  <w14:solidFill>
                    <w14:schemeClr w14:val="tx1"/>
                  </w14:solidFill>
                </w14:textFill>
              </w:rPr>
              <w:t>服务期限</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hAnsi="宋体" w:cs="宋体"/>
                <w:color w:val="000000" w:themeColor="text1"/>
                <w:szCs w:val="21"/>
                <w:highlight w:val="none"/>
                <w:lang w:eastAsia="zh-CN"/>
                <w14:textFill>
                  <w14:solidFill>
                    <w14:schemeClr w14:val="tx1"/>
                  </w14:solidFill>
                </w14:textFill>
              </w:rPr>
              <w:t>合同签订之日起三年</w:t>
            </w:r>
            <w:r>
              <w:rPr>
                <w:rFonts w:hint="eastAsia" w:ascii="宋体" w:hAnsi="宋体" w:eastAsia="宋体" w:cs="宋体"/>
                <w:color w:val="000000" w:themeColor="text1"/>
                <w:szCs w:val="21"/>
                <w:highlight w:val="none"/>
                <w:lang w:eastAsia="zh-CN"/>
                <w14:textFill>
                  <w14:solidFill>
                    <w14:schemeClr w14:val="tx1"/>
                  </w14:solidFill>
                </w14:textFill>
              </w:rPr>
              <w:t>，合同一年一签，采购人不定期对中标人进行考核，待考核合格后方可续签下一年度合同。</w:t>
            </w:r>
          </w:p>
          <w:p w14:paraId="2405F97E">
            <w:pPr>
              <w:pStyle w:val="2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2.</w:t>
            </w:r>
            <w:r>
              <w:rPr>
                <w:rFonts w:hint="eastAsia" w:hAnsi="宋体" w:cs="宋体"/>
                <w:color w:val="000000" w:themeColor="text1"/>
                <w:szCs w:val="21"/>
                <w:highlight w:val="none"/>
                <w:lang w:eastAsia="zh-CN"/>
                <w14:textFill>
                  <w14:solidFill>
                    <w14:schemeClr w14:val="tx1"/>
                  </w14:solidFill>
                </w14:textFill>
              </w:rPr>
              <w:t>服务地点</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hAnsi="宋体" w:cs="宋体"/>
                <w:color w:val="000000" w:themeColor="text1"/>
                <w:szCs w:val="21"/>
                <w:highlight w:val="none"/>
                <w:lang w:eastAsia="zh-CN"/>
                <w14:textFill>
                  <w14:solidFill>
                    <w14:schemeClr w14:val="tx1"/>
                  </w14:solidFill>
                </w14:textFill>
              </w:rPr>
              <w:t>昆明市官渡区人民医院</w:t>
            </w:r>
            <w:r>
              <w:rPr>
                <w:rFonts w:hint="eastAsia" w:ascii="宋体" w:hAnsi="宋体" w:eastAsia="宋体" w:cs="宋体"/>
                <w:color w:val="000000" w:themeColor="text1"/>
                <w:szCs w:val="21"/>
                <w:highlight w:val="none"/>
                <w:lang w:eastAsia="zh-CN"/>
                <w14:textFill>
                  <w14:solidFill>
                    <w14:schemeClr w14:val="tx1"/>
                  </w14:solidFill>
                </w14:textFill>
              </w:rPr>
              <w:t>指定地点。</w:t>
            </w:r>
          </w:p>
        </w:tc>
      </w:tr>
      <w:tr w14:paraId="70F3D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91" w:type="dxa"/>
            <w:vAlign w:val="center"/>
          </w:tcPr>
          <w:p w14:paraId="46C1DE76">
            <w:pPr>
              <w:pStyle w:val="21"/>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hAnsi="宋体" w:cs="宋体"/>
                <w:color w:val="000000" w:themeColor="text1"/>
                <w:szCs w:val="21"/>
                <w:highlight w:val="none"/>
                <w:lang w:val="en-US" w:eastAsia="zh-CN"/>
                <w14:textFill>
                  <w14:solidFill>
                    <w14:schemeClr w14:val="tx1"/>
                  </w14:solidFill>
                </w14:textFill>
              </w:rPr>
            </w:pPr>
            <w:r>
              <w:rPr>
                <w:rFonts w:hint="eastAsia" w:hAnsi="宋体" w:cs="宋体"/>
                <w:color w:val="000000" w:themeColor="text1"/>
                <w:szCs w:val="21"/>
                <w:highlight w:val="none"/>
                <w:lang w:val="en-US" w:eastAsia="zh-CN"/>
                <w14:textFill>
                  <w14:solidFill>
                    <w14:schemeClr w14:val="tx1"/>
                  </w14:solidFill>
                </w14:textFill>
              </w:rPr>
              <w:t>2</w:t>
            </w:r>
          </w:p>
        </w:tc>
        <w:tc>
          <w:tcPr>
            <w:tcW w:w="8116" w:type="dxa"/>
            <w:vAlign w:val="center"/>
          </w:tcPr>
          <w:p w14:paraId="55BB77A2">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ascii="宋体" w:hAnsi="宋体"/>
                <w:color w:val="auto"/>
                <w:szCs w:val="21"/>
                <w:highlight w:val="none"/>
              </w:rPr>
              <w:t>付款方式</w:t>
            </w:r>
            <w:r>
              <w:rPr>
                <w:rFonts w:hint="eastAsia" w:hAnsi="宋体"/>
                <w:color w:val="auto"/>
                <w:szCs w:val="21"/>
                <w:highlight w:val="none"/>
                <w:lang w:eastAsia="zh-CN"/>
              </w:rPr>
              <w:t>：</w:t>
            </w:r>
            <w:r>
              <w:rPr>
                <w:rFonts w:hint="eastAsia" w:hAnsi="宋体"/>
                <w:color w:val="auto"/>
                <w:szCs w:val="21"/>
                <w:highlight w:val="none"/>
                <w:lang w:val="en-US" w:eastAsia="zh-CN"/>
              </w:rPr>
              <w:t>自合同签订之日起60个日历日内支付合同价款90%，服务期满后支付剩余合同价款。甲方付款前，乙方应向甲方开具同等金额的增值税发票。</w:t>
            </w:r>
          </w:p>
        </w:tc>
      </w:tr>
      <w:tr w14:paraId="312F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1" w:type="dxa"/>
            <w:vAlign w:val="center"/>
          </w:tcPr>
          <w:p w14:paraId="6DBFCD9A">
            <w:pPr>
              <w:pStyle w:val="21"/>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hAnsi="宋体" w:cs="宋体"/>
                <w:color w:val="000000" w:themeColor="text1"/>
                <w:szCs w:val="21"/>
                <w:highlight w:val="none"/>
                <w:lang w:val="en-US" w:eastAsia="zh-CN"/>
                <w14:textFill>
                  <w14:solidFill>
                    <w14:schemeClr w14:val="tx1"/>
                  </w14:solidFill>
                </w14:textFill>
              </w:rPr>
            </w:pPr>
            <w:r>
              <w:rPr>
                <w:rFonts w:hint="eastAsia" w:hAnsi="宋体" w:cs="宋体"/>
                <w:color w:val="000000" w:themeColor="text1"/>
                <w:szCs w:val="21"/>
                <w:highlight w:val="none"/>
                <w:lang w:val="en-US" w:eastAsia="zh-CN"/>
                <w14:textFill>
                  <w14:solidFill>
                    <w14:schemeClr w14:val="tx1"/>
                  </w14:solidFill>
                </w14:textFill>
              </w:rPr>
              <w:t>3</w:t>
            </w:r>
          </w:p>
        </w:tc>
        <w:tc>
          <w:tcPr>
            <w:tcW w:w="8116" w:type="dxa"/>
            <w:vAlign w:val="center"/>
          </w:tcPr>
          <w:p w14:paraId="732A4B83">
            <w:pPr>
              <w:pStyle w:val="2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违约责任：除发生不可抗力事实外，乙方交付成果与合同标准不相符合的，甲方有权拒绝验收；逾期交付将向甲方每日偿付合同总额千分之一的违约金，逾期交付超过30个日历天的甲方有权单方面解除合同。因乙方超过30个日历天交付或交付成果与合同标准不符致使甲方解除合同的，乙方应承担合同总额10%的违约金，若违约金不足以弥补甲方损失的，甲方有权要求乙方赔偿损失。甲方有权拒付合同价款以外的其他任何费用。因乙方违约导致甲方因诉讼、维权而产生的立案费、律师费、交通费、保全费等均由乙方负责。</w:t>
            </w:r>
          </w:p>
        </w:tc>
      </w:tr>
    </w:tbl>
    <w:p w14:paraId="60D6D666">
      <w:pPr>
        <w:rPr>
          <w:rFonts w:ascii="宋体" w:hAnsi="宋体" w:cs="宋体"/>
        </w:rPr>
      </w:pPr>
      <w:r>
        <w:rPr>
          <w:rFonts w:hint="eastAsia" w:ascii="宋体" w:hAnsi="宋体" w:cs="宋体"/>
        </w:rPr>
        <w:br w:type="page"/>
      </w:r>
    </w:p>
    <w:p w14:paraId="29FA8961">
      <w:pPr>
        <w:adjustRightInd w:val="0"/>
        <w:snapToGrid w:val="0"/>
        <w:spacing w:line="360" w:lineRule="auto"/>
        <w:jc w:val="center"/>
        <w:rPr>
          <w:rFonts w:ascii="方正小标宋_GBK" w:hAnsi="方正小标宋_GBK" w:eastAsia="方正小标宋_GBK" w:cs="方正小标宋_GBK"/>
          <w:bCs/>
          <w:sz w:val="44"/>
          <w:szCs w:val="44"/>
        </w:rPr>
      </w:pPr>
    </w:p>
    <w:p w14:paraId="41030B64">
      <w:pPr>
        <w:pStyle w:val="17"/>
      </w:pPr>
    </w:p>
    <w:p w14:paraId="2D197F22">
      <w:pPr>
        <w:pStyle w:val="37"/>
        <w:spacing w:before="0" w:beforeAutospacing="0" w:after="0" w:afterAutospacing="0"/>
        <w:jc w:val="center"/>
      </w:pPr>
      <w:r>
        <w:rPr>
          <w:rFonts w:ascii="方正小标宋简体" w:hAnsi="方正小标宋简体" w:eastAsia="方正小标宋简体" w:cs="方正小标宋简体"/>
          <w:spacing w:val="10"/>
          <w:sz w:val="60"/>
          <w:szCs w:val="60"/>
        </w:rPr>
        <w:t>政府采购合同</w:t>
      </w:r>
    </w:p>
    <w:p w14:paraId="638D8F24">
      <w:pPr>
        <w:pStyle w:val="37"/>
        <w:spacing w:before="0" w:beforeAutospacing="0" w:after="0" w:afterAutospacing="0"/>
        <w:jc w:val="center"/>
      </w:pPr>
    </w:p>
    <w:p w14:paraId="56B76DCA">
      <w:pPr>
        <w:pStyle w:val="37"/>
        <w:spacing w:before="0" w:beforeAutospacing="0" w:after="0" w:afterAutospacing="0"/>
        <w:jc w:val="center"/>
      </w:pPr>
      <w:r>
        <w:rPr>
          <w:rFonts w:ascii="黑体" w:eastAsia="黑体" w:cs="黑体"/>
          <w:sz w:val="28"/>
          <w:szCs w:val="28"/>
        </w:rPr>
        <w:t>(电子交易项目适用）</w:t>
      </w:r>
    </w:p>
    <w:p w14:paraId="74E72222">
      <w:pPr>
        <w:pStyle w:val="37"/>
        <w:spacing w:before="0" w:beforeAutospacing="0" w:after="0" w:afterAutospacing="0"/>
      </w:pPr>
    </w:p>
    <w:p w14:paraId="158489F1">
      <w:pPr>
        <w:pStyle w:val="37"/>
        <w:spacing w:before="0" w:beforeAutospacing="0" w:after="0" w:afterAutospacing="0"/>
      </w:pPr>
    </w:p>
    <w:p w14:paraId="3B0976CC">
      <w:pPr>
        <w:pStyle w:val="37"/>
        <w:spacing w:before="0" w:beforeAutospacing="0" w:after="0" w:afterAutospacing="0"/>
      </w:pPr>
    </w:p>
    <w:p w14:paraId="0F2DE01C">
      <w:pPr>
        <w:pStyle w:val="37"/>
        <w:spacing w:before="0" w:beforeAutospacing="0" w:after="0" w:afterAutospacing="0"/>
      </w:pPr>
    </w:p>
    <w:p w14:paraId="1FC162A1">
      <w:pPr>
        <w:pStyle w:val="37"/>
        <w:spacing w:before="0" w:beforeAutospacing="0" w:after="0" w:afterAutospacing="0"/>
      </w:pPr>
    </w:p>
    <w:tbl>
      <w:tblPr>
        <w:tblStyle w:val="41"/>
        <w:tblW w:w="0" w:type="auto"/>
        <w:tblInd w:w="0" w:type="dxa"/>
        <w:tblLayout w:type="autofit"/>
        <w:tblCellMar>
          <w:top w:w="15" w:type="dxa"/>
          <w:left w:w="15" w:type="dxa"/>
          <w:bottom w:w="15" w:type="dxa"/>
          <w:right w:w="15" w:type="dxa"/>
        </w:tblCellMar>
      </w:tblPr>
      <w:tblGrid>
        <w:gridCol w:w="3574"/>
        <w:gridCol w:w="5272"/>
      </w:tblGrid>
      <w:tr w14:paraId="549FD2DB">
        <w:tblPrEx>
          <w:tblCellMar>
            <w:top w:w="15" w:type="dxa"/>
            <w:left w:w="15" w:type="dxa"/>
            <w:bottom w:w="15" w:type="dxa"/>
            <w:right w:w="15" w:type="dxa"/>
          </w:tblCellMar>
        </w:tblPrEx>
        <w:tc>
          <w:tcPr>
            <w:tcW w:w="3574" w:type="dxa"/>
            <w:tcBorders>
              <w:top w:val="single" w:color="FFFFFF" w:sz="4" w:space="0"/>
              <w:left w:val="single" w:color="FFFFFF" w:sz="4" w:space="0"/>
              <w:bottom w:val="single" w:color="FFFFFF" w:sz="4" w:space="0"/>
              <w:right w:val="single" w:color="FFFFFF" w:sz="4" w:space="0"/>
            </w:tcBorders>
            <w:shd w:val="clear" w:color="auto" w:fill="FFFFFF"/>
            <w:tcMar>
              <w:top w:w="50" w:type="dxa"/>
              <w:left w:w="100" w:type="dxa"/>
              <w:bottom w:w="50" w:type="dxa"/>
              <w:right w:w="100" w:type="dxa"/>
            </w:tcMar>
          </w:tcPr>
          <w:p w14:paraId="0DC863D8">
            <w:pPr>
              <w:pStyle w:val="37"/>
              <w:wordWrap w:val="0"/>
              <w:spacing w:before="0" w:beforeAutospacing="0" w:after="0" w:afterAutospacing="0"/>
              <w:jc w:val="right"/>
            </w:pPr>
            <w:r>
              <w:rPr>
                <w:rFonts w:ascii="黑体" w:eastAsia="黑体" w:cs="黑体"/>
                <w:sz w:val="31"/>
                <w:szCs w:val="31"/>
              </w:rPr>
              <w:t>项 目 名 称：</w:t>
            </w:r>
          </w:p>
        </w:tc>
        <w:tc>
          <w:tcPr>
            <w:tcW w:w="5272" w:type="dxa"/>
            <w:tcBorders>
              <w:top w:val="single" w:color="FFFFFF" w:sz="4" w:space="0"/>
              <w:left w:val="single" w:color="FFFFFF" w:sz="4" w:space="0"/>
              <w:bottom w:val="single" w:color="FFFFFF" w:sz="4" w:space="0"/>
              <w:right w:val="single" w:color="FFFFFF" w:sz="4" w:space="0"/>
            </w:tcBorders>
            <w:shd w:val="clear" w:color="auto" w:fill="FFFFFF"/>
            <w:tcMar>
              <w:top w:w="50" w:type="dxa"/>
              <w:left w:w="100" w:type="dxa"/>
              <w:bottom w:w="50" w:type="dxa"/>
              <w:right w:w="100" w:type="dxa"/>
            </w:tcMar>
          </w:tcPr>
          <w:p w14:paraId="21DD06A5">
            <w:pPr>
              <w:pStyle w:val="37"/>
              <w:wordWrap w:val="0"/>
              <w:spacing w:before="0" w:beforeAutospacing="0" w:after="0" w:afterAutospacing="0"/>
            </w:pPr>
            <w:r>
              <w:rPr>
                <w:rStyle w:val="53"/>
                <w:rFonts w:hint="eastAsia" w:eastAsia="宋体"/>
                <w:u w:val="single"/>
              </w:rPr>
              <w:t xml:space="preserve"> </w:t>
            </w:r>
          </w:p>
        </w:tc>
      </w:tr>
      <w:tr w14:paraId="0A209521">
        <w:tblPrEx>
          <w:tblCellMar>
            <w:top w:w="15" w:type="dxa"/>
            <w:left w:w="15" w:type="dxa"/>
            <w:bottom w:w="15" w:type="dxa"/>
            <w:right w:w="15" w:type="dxa"/>
          </w:tblCellMar>
        </w:tblPrEx>
        <w:trPr>
          <w:trHeight w:val="330" w:hRule="atLeast"/>
        </w:trPr>
        <w:tc>
          <w:tcPr>
            <w:tcW w:w="3574"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69974AD6">
            <w:pPr>
              <w:pStyle w:val="37"/>
              <w:spacing w:before="0" w:beforeAutospacing="0" w:after="0" w:afterAutospacing="0"/>
            </w:pPr>
          </w:p>
        </w:tc>
        <w:tc>
          <w:tcPr>
            <w:tcW w:w="5272"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00107ED4">
            <w:pPr>
              <w:pStyle w:val="37"/>
              <w:spacing w:before="0" w:beforeAutospacing="0" w:after="0" w:afterAutospacing="0"/>
            </w:pPr>
          </w:p>
        </w:tc>
      </w:tr>
      <w:tr w14:paraId="15C5CD71">
        <w:tblPrEx>
          <w:tblCellMar>
            <w:top w:w="15" w:type="dxa"/>
            <w:left w:w="15" w:type="dxa"/>
            <w:bottom w:w="15" w:type="dxa"/>
            <w:right w:w="15" w:type="dxa"/>
          </w:tblCellMar>
        </w:tblPrEx>
        <w:tc>
          <w:tcPr>
            <w:tcW w:w="3574"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570A477A">
            <w:pPr>
              <w:pStyle w:val="37"/>
              <w:wordWrap w:val="0"/>
              <w:spacing w:before="0" w:beforeAutospacing="0" w:after="0" w:afterAutospacing="0"/>
              <w:jc w:val="right"/>
            </w:pPr>
            <w:r>
              <w:rPr>
                <w:rFonts w:ascii="黑体" w:eastAsia="黑体" w:cs="黑体"/>
                <w:sz w:val="31"/>
                <w:szCs w:val="31"/>
                <w:shd w:val="clear" w:color="auto" w:fill="FFFFFF"/>
              </w:rPr>
              <w:t>合 同 编 号：</w:t>
            </w:r>
          </w:p>
        </w:tc>
        <w:tc>
          <w:tcPr>
            <w:tcW w:w="5272"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48516B32">
            <w:pPr>
              <w:pStyle w:val="37"/>
              <w:wordWrap w:val="0"/>
              <w:spacing w:before="0" w:beforeAutospacing="0" w:after="0" w:afterAutospacing="0"/>
            </w:pPr>
            <w:r>
              <w:rPr>
                <w:rFonts w:hint="eastAsia" w:ascii="仿宋" w:hAnsi="仿宋" w:eastAsia="仿宋" w:cs="仿宋"/>
                <w:sz w:val="30"/>
                <w:szCs w:val="30"/>
              </w:rPr>
              <w:t>（系统编号）</w:t>
            </w:r>
          </w:p>
        </w:tc>
      </w:tr>
      <w:tr w14:paraId="035220A9">
        <w:tblPrEx>
          <w:tblCellMar>
            <w:top w:w="15" w:type="dxa"/>
            <w:left w:w="15" w:type="dxa"/>
            <w:bottom w:w="15" w:type="dxa"/>
            <w:right w:w="15" w:type="dxa"/>
          </w:tblCellMar>
        </w:tblPrEx>
        <w:tc>
          <w:tcPr>
            <w:tcW w:w="3574"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04325F66">
            <w:pPr>
              <w:pStyle w:val="37"/>
              <w:spacing w:before="0" w:beforeAutospacing="0" w:after="0" w:afterAutospacing="0"/>
            </w:pPr>
          </w:p>
        </w:tc>
        <w:tc>
          <w:tcPr>
            <w:tcW w:w="5272"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3A6AA77C">
            <w:pPr>
              <w:pStyle w:val="37"/>
              <w:spacing w:before="0" w:beforeAutospacing="0" w:after="0" w:afterAutospacing="0"/>
            </w:pPr>
          </w:p>
        </w:tc>
      </w:tr>
      <w:tr w14:paraId="12864877">
        <w:tblPrEx>
          <w:tblCellMar>
            <w:top w:w="15" w:type="dxa"/>
            <w:left w:w="15" w:type="dxa"/>
            <w:bottom w:w="15" w:type="dxa"/>
            <w:right w:w="15" w:type="dxa"/>
          </w:tblCellMar>
        </w:tblPrEx>
        <w:tc>
          <w:tcPr>
            <w:tcW w:w="3574"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1351726D">
            <w:pPr>
              <w:pStyle w:val="37"/>
              <w:spacing w:before="0" w:beforeAutospacing="0" w:after="0" w:afterAutospacing="0"/>
            </w:pPr>
          </w:p>
        </w:tc>
        <w:tc>
          <w:tcPr>
            <w:tcW w:w="5272"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034BEBB0">
            <w:pPr>
              <w:pStyle w:val="37"/>
              <w:wordWrap w:val="0"/>
              <w:spacing w:before="0" w:beforeAutospacing="0" w:after="0" w:afterAutospacing="0"/>
            </w:pPr>
            <w:r>
              <w:rPr>
                <w:rFonts w:hint="eastAsia" w:ascii="仿宋" w:hAnsi="仿宋" w:eastAsia="仿宋" w:cs="仿宋"/>
                <w:sz w:val="30"/>
                <w:szCs w:val="30"/>
              </w:rPr>
              <w:t>（自编号，如有）</w:t>
            </w:r>
          </w:p>
        </w:tc>
      </w:tr>
      <w:tr w14:paraId="0971D6BA">
        <w:tblPrEx>
          <w:tblCellMar>
            <w:top w:w="15" w:type="dxa"/>
            <w:left w:w="15" w:type="dxa"/>
            <w:bottom w:w="15" w:type="dxa"/>
            <w:right w:w="15" w:type="dxa"/>
          </w:tblCellMar>
        </w:tblPrEx>
        <w:tc>
          <w:tcPr>
            <w:tcW w:w="3574"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6888D296">
            <w:pPr>
              <w:pStyle w:val="37"/>
              <w:spacing w:before="0" w:beforeAutospacing="0" w:after="0" w:afterAutospacing="0"/>
            </w:pPr>
          </w:p>
        </w:tc>
        <w:tc>
          <w:tcPr>
            <w:tcW w:w="5272"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225CB336">
            <w:pPr>
              <w:pStyle w:val="37"/>
              <w:spacing w:before="0" w:beforeAutospacing="0" w:after="0" w:afterAutospacing="0"/>
            </w:pPr>
          </w:p>
        </w:tc>
      </w:tr>
      <w:tr w14:paraId="347371BE">
        <w:tblPrEx>
          <w:tblCellMar>
            <w:top w:w="15" w:type="dxa"/>
            <w:left w:w="15" w:type="dxa"/>
            <w:bottom w:w="15" w:type="dxa"/>
            <w:right w:w="15" w:type="dxa"/>
          </w:tblCellMar>
        </w:tblPrEx>
        <w:tc>
          <w:tcPr>
            <w:tcW w:w="3574"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117AD13F">
            <w:pPr>
              <w:pStyle w:val="37"/>
              <w:wordWrap w:val="0"/>
              <w:spacing w:before="0" w:beforeAutospacing="0" w:after="0" w:afterAutospacing="0"/>
              <w:jc w:val="right"/>
            </w:pPr>
            <w:r>
              <w:rPr>
                <w:rFonts w:ascii="黑体" w:eastAsia="黑体" w:cs="黑体"/>
                <w:sz w:val="31"/>
                <w:szCs w:val="31"/>
                <w:shd w:val="clear" w:color="auto" w:fill="FFFFFF"/>
              </w:rPr>
              <w:t>甲       方：</w:t>
            </w:r>
          </w:p>
        </w:tc>
        <w:tc>
          <w:tcPr>
            <w:tcW w:w="5272"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124A2388">
            <w:pPr>
              <w:pStyle w:val="37"/>
              <w:wordWrap w:val="0"/>
              <w:spacing w:before="0" w:beforeAutospacing="0" w:after="0" w:afterAutospacing="0"/>
            </w:pPr>
            <w:r>
              <w:rPr>
                <w:rStyle w:val="53"/>
                <w:rFonts w:hint="eastAsia" w:ascii="仿宋" w:hAnsi="仿宋" w:eastAsia="仿宋" w:cs="仿宋"/>
                <w:u w:val="single"/>
                <w:shd w:val="clear" w:color="auto" w:fill="FFFFFF"/>
              </w:rPr>
              <w:t xml:space="preserve"> </w:t>
            </w:r>
          </w:p>
        </w:tc>
      </w:tr>
      <w:tr w14:paraId="4A202327">
        <w:tblPrEx>
          <w:tblCellMar>
            <w:top w:w="15" w:type="dxa"/>
            <w:left w:w="15" w:type="dxa"/>
            <w:bottom w:w="15" w:type="dxa"/>
            <w:right w:w="15" w:type="dxa"/>
          </w:tblCellMar>
        </w:tblPrEx>
        <w:tc>
          <w:tcPr>
            <w:tcW w:w="3574"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3B82E756">
            <w:pPr>
              <w:pStyle w:val="37"/>
              <w:spacing w:before="0" w:beforeAutospacing="0" w:after="0" w:afterAutospacing="0"/>
            </w:pPr>
          </w:p>
        </w:tc>
        <w:tc>
          <w:tcPr>
            <w:tcW w:w="5272"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11C3816A">
            <w:pPr>
              <w:pStyle w:val="37"/>
              <w:spacing w:before="0" w:beforeAutospacing="0" w:after="0" w:afterAutospacing="0"/>
            </w:pPr>
          </w:p>
        </w:tc>
      </w:tr>
      <w:tr w14:paraId="673480FC">
        <w:tblPrEx>
          <w:tblCellMar>
            <w:top w:w="15" w:type="dxa"/>
            <w:left w:w="15" w:type="dxa"/>
            <w:bottom w:w="15" w:type="dxa"/>
            <w:right w:w="15" w:type="dxa"/>
          </w:tblCellMar>
        </w:tblPrEx>
        <w:trPr>
          <w:trHeight w:val="570" w:hRule="atLeast"/>
        </w:trPr>
        <w:tc>
          <w:tcPr>
            <w:tcW w:w="3574"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3CD3B286">
            <w:pPr>
              <w:pStyle w:val="37"/>
              <w:wordWrap w:val="0"/>
              <w:spacing w:before="0" w:beforeAutospacing="0" w:after="0" w:afterAutospacing="0"/>
              <w:jc w:val="right"/>
            </w:pPr>
            <w:r>
              <w:rPr>
                <w:rFonts w:ascii="黑体" w:eastAsia="黑体" w:cs="黑体"/>
                <w:sz w:val="31"/>
                <w:szCs w:val="31"/>
                <w:shd w:val="clear" w:color="auto" w:fill="FFFFFF"/>
              </w:rPr>
              <w:t>乙       方：</w:t>
            </w:r>
          </w:p>
        </w:tc>
        <w:tc>
          <w:tcPr>
            <w:tcW w:w="5272" w:type="dxa"/>
            <w:tcBorders>
              <w:top w:val="single" w:color="FFFFFF" w:sz="4" w:space="0"/>
              <w:left w:val="single" w:color="FFFFFF" w:sz="4" w:space="0"/>
              <w:bottom w:val="single" w:color="FFFFFF" w:sz="4" w:space="0"/>
              <w:right w:val="single" w:color="FFFFFF" w:sz="4" w:space="0"/>
            </w:tcBorders>
            <w:shd w:val="clear" w:color="auto" w:fill="auto"/>
            <w:tcMar>
              <w:top w:w="50" w:type="dxa"/>
              <w:left w:w="100" w:type="dxa"/>
              <w:bottom w:w="50" w:type="dxa"/>
              <w:right w:w="100" w:type="dxa"/>
            </w:tcMar>
          </w:tcPr>
          <w:p w14:paraId="78ACCCB4">
            <w:pPr>
              <w:pStyle w:val="37"/>
              <w:wordWrap w:val="0"/>
              <w:spacing w:before="0" w:beforeAutospacing="0" w:after="0" w:afterAutospacing="0"/>
              <w:rPr>
                <w:rFonts w:eastAsia="仿宋"/>
              </w:rPr>
            </w:pPr>
            <w:r>
              <w:rPr>
                <w:rStyle w:val="53"/>
                <w:rFonts w:hint="eastAsia" w:ascii="仿宋" w:hAnsi="仿宋" w:eastAsia="仿宋" w:cs="仿宋"/>
                <w:u w:val="single"/>
                <w:shd w:val="clear" w:color="auto" w:fill="FFFFFF"/>
              </w:rPr>
              <w:t xml:space="preserve"> </w:t>
            </w:r>
          </w:p>
        </w:tc>
      </w:tr>
    </w:tbl>
    <w:p w14:paraId="18C5349A">
      <w:pPr>
        <w:pStyle w:val="37"/>
        <w:spacing w:before="0" w:beforeAutospacing="0" w:after="0" w:afterAutospacing="0"/>
      </w:pPr>
      <w:r>
        <w:br w:type="page"/>
      </w:r>
    </w:p>
    <w:p w14:paraId="0057B683">
      <w:pPr>
        <w:widowControl/>
        <w:jc w:val="center"/>
        <w:rPr>
          <w:rFonts w:ascii="宋体" w:hAnsi="宋体" w:cs="宋体"/>
          <w:b/>
          <w:bCs/>
          <w:sz w:val="32"/>
          <w:szCs w:val="32"/>
        </w:rPr>
      </w:pPr>
      <w:r>
        <w:rPr>
          <w:rFonts w:hint="eastAsia" w:ascii="宋体" w:hAnsi="宋体" w:cs="宋体"/>
          <w:b/>
          <w:bCs/>
          <w:sz w:val="32"/>
          <w:szCs w:val="32"/>
        </w:rPr>
        <w:t>合同书样式</w:t>
      </w:r>
    </w:p>
    <w:p w14:paraId="12FC5A4D">
      <w:pPr>
        <w:spacing w:line="360" w:lineRule="auto"/>
        <w:ind w:firstLine="210" w:firstLineChars="100"/>
        <w:jc w:val="center"/>
        <w:rPr>
          <w:rFonts w:ascii="宋体" w:hAnsi="宋体" w:cs="宋体"/>
          <w:szCs w:val="21"/>
        </w:rPr>
      </w:pPr>
      <w:r>
        <w:rPr>
          <w:rFonts w:hint="eastAsia" w:ascii="宋体" w:hAnsi="宋体" w:cs="宋体"/>
          <w:szCs w:val="21"/>
        </w:rPr>
        <w:t>（具体内容以实际签订合同为准）</w:t>
      </w:r>
    </w:p>
    <w:p w14:paraId="74A169CA">
      <w:pPr>
        <w:autoSpaceDE w:val="0"/>
        <w:autoSpaceDN w:val="0"/>
        <w:adjustRightInd w:val="0"/>
        <w:spacing w:line="300" w:lineRule="auto"/>
        <w:ind w:firstLine="480" w:firstLineChars="200"/>
        <w:rPr>
          <w:rFonts w:ascii="宋体" w:hAnsi="宋体" w:cs="宋体"/>
          <w:kern w:val="0"/>
          <w:sz w:val="24"/>
          <w:szCs w:val="24"/>
          <w:lang w:val="zh-CN"/>
        </w:rPr>
      </w:pPr>
      <w:r>
        <w:rPr>
          <w:rFonts w:hint="eastAsia" w:ascii="宋体" w:hAnsi="宋体" w:cs="宋体"/>
          <w:bCs/>
          <w:sz w:val="24"/>
          <w:szCs w:val="24"/>
        </w:rPr>
        <w:t>甲方（采购人）：</w:t>
      </w:r>
    </w:p>
    <w:p w14:paraId="45ADB854">
      <w:pPr>
        <w:spacing w:line="600" w:lineRule="exact"/>
        <w:ind w:firstLine="480" w:firstLineChars="200"/>
        <w:rPr>
          <w:rFonts w:ascii="宋体" w:hAnsi="宋体" w:cs="宋体"/>
          <w:bCs/>
          <w:sz w:val="24"/>
          <w:szCs w:val="24"/>
        </w:rPr>
      </w:pPr>
      <w:r>
        <w:rPr>
          <w:rFonts w:hint="eastAsia" w:ascii="宋体" w:hAnsi="宋体" w:cs="宋体"/>
          <w:bCs/>
          <w:sz w:val="24"/>
          <w:szCs w:val="24"/>
        </w:rPr>
        <w:t>乙方（投标人）：</w:t>
      </w:r>
    </w:p>
    <w:p w14:paraId="7F1748F9">
      <w:pPr>
        <w:spacing w:line="600" w:lineRule="exact"/>
        <w:ind w:firstLine="480" w:firstLineChars="200"/>
        <w:rPr>
          <w:rFonts w:ascii="宋体" w:hAnsi="宋体" w:cs="宋体"/>
          <w:bCs/>
          <w:sz w:val="24"/>
          <w:szCs w:val="24"/>
        </w:rPr>
      </w:pPr>
      <w:r>
        <w:rPr>
          <w:rFonts w:hint="eastAsia" w:ascii="宋体" w:hAnsi="宋体" w:cs="宋体"/>
          <w:bCs/>
          <w:sz w:val="24"/>
          <w:szCs w:val="24"/>
        </w:rPr>
        <w:t>甲乙双方根据《中华人民共和国政府采购法》、《中华人民共和国政府采购法实施条例》和有关法律法规，按照编号为</w:t>
      </w:r>
      <w:r>
        <w:rPr>
          <w:rFonts w:hint="eastAsia" w:ascii="宋体" w:hAnsi="宋体" w:cs="宋体"/>
          <w:bCs/>
          <w:sz w:val="24"/>
          <w:szCs w:val="24"/>
          <w:u w:val="single"/>
        </w:rPr>
        <w:t>项目编号</w:t>
      </w:r>
      <w:r>
        <w:rPr>
          <w:rFonts w:hint="eastAsia" w:ascii="宋体" w:hAnsi="宋体" w:cs="宋体"/>
          <w:bCs/>
          <w:sz w:val="24"/>
          <w:szCs w:val="24"/>
        </w:rPr>
        <w:t>的“</w:t>
      </w:r>
      <w:r>
        <w:rPr>
          <w:rFonts w:hint="eastAsia" w:ascii="宋体" w:hAnsi="宋体" w:cs="宋体"/>
          <w:bCs/>
          <w:sz w:val="24"/>
          <w:szCs w:val="24"/>
          <w:u w:val="single"/>
        </w:rPr>
        <w:t>项目名称</w:t>
      </w:r>
      <w:r>
        <w:rPr>
          <w:rFonts w:hint="eastAsia" w:ascii="宋体" w:hAnsi="宋体" w:cs="宋体"/>
          <w:bCs/>
          <w:sz w:val="24"/>
          <w:szCs w:val="24"/>
        </w:rPr>
        <w:t>”</w:t>
      </w:r>
      <w:r>
        <w:rPr>
          <w:rFonts w:hint="eastAsia" w:ascii="宋体" w:hAnsi="宋体" w:cs="宋体"/>
          <w:bCs/>
          <w:sz w:val="24"/>
          <w:szCs w:val="24"/>
          <w:u w:val="single"/>
        </w:rPr>
        <w:t>采购方式</w:t>
      </w:r>
      <w:r>
        <w:rPr>
          <w:rFonts w:hint="eastAsia" w:ascii="宋体" w:hAnsi="宋体" w:cs="宋体"/>
          <w:bCs/>
          <w:sz w:val="24"/>
          <w:szCs w:val="24"/>
        </w:rPr>
        <w:t>采购结果，经双方协定达成一致，签订以下内容：</w:t>
      </w:r>
    </w:p>
    <w:p w14:paraId="23EA8368">
      <w:pPr>
        <w:spacing w:line="600" w:lineRule="exact"/>
        <w:ind w:firstLine="482" w:firstLineChars="200"/>
        <w:rPr>
          <w:rFonts w:ascii="宋体" w:hAnsi="宋体" w:cs="宋体"/>
          <w:b/>
          <w:sz w:val="24"/>
          <w:szCs w:val="24"/>
        </w:rPr>
      </w:pPr>
      <w:r>
        <w:rPr>
          <w:rFonts w:hint="eastAsia" w:ascii="宋体" w:hAnsi="宋体" w:cs="宋体"/>
          <w:b/>
          <w:sz w:val="24"/>
          <w:szCs w:val="24"/>
        </w:rPr>
        <w:t>一、项目合作或服务内容：</w:t>
      </w:r>
    </w:p>
    <w:p w14:paraId="30EC7CCA">
      <w:pPr>
        <w:spacing w:line="600" w:lineRule="exact"/>
        <w:ind w:firstLine="482" w:firstLineChars="200"/>
        <w:rPr>
          <w:rFonts w:ascii="宋体" w:hAnsi="宋体" w:cs="宋体"/>
          <w:b/>
          <w:sz w:val="24"/>
          <w:szCs w:val="24"/>
        </w:rPr>
      </w:pPr>
    </w:p>
    <w:p w14:paraId="45E5ABC1">
      <w:pPr>
        <w:spacing w:line="600" w:lineRule="exact"/>
        <w:ind w:firstLine="482" w:firstLineChars="200"/>
        <w:rPr>
          <w:rFonts w:ascii="宋体" w:hAnsi="宋体" w:cs="宋体"/>
          <w:b/>
          <w:sz w:val="24"/>
          <w:szCs w:val="24"/>
        </w:rPr>
      </w:pPr>
      <w:r>
        <w:rPr>
          <w:rFonts w:hint="eastAsia" w:ascii="宋体" w:hAnsi="宋体" w:cs="宋体"/>
          <w:b/>
          <w:sz w:val="24"/>
          <w:szCs w:val="24"/>
        </w:rPr>
        <w:t>二、合同总价</w:t>
      </w:r>
    </w:p>
    <w:p w14:paraId="23B029C9">
      <w:pPr>
        <w:spacing w:line="600" w:lineRule="exact"/>
        <w:ind w:firstLine="480" w:firstLineChars="200"/>
        <w:rPr>
          <w:rFonts w:ascii="宋体" w:hAnsi="宋体" w:cs="宋体"/>
          <w:kern w:val="0"/>
          <w:sz w:val="24"/>
          <w:szCs w:val="24"/>
          <w:lang w:val="zh-CN"/>
        </w:rPr>
      </w:pPr>
      <w:r>
        <w:rPr>
          <w:rFonts w:hint="eastAsia" w:ascii="宋体" w:hAnsi="宋体" w:cs="宋体"/>
          <w:kern w:val="0"/>
          <w:sz w:val="24"/>
          <w:szCs w:val="24"/>
          <w:lang w:val="zh-CN"/>
        </w:rPr>
        <w:t>人民币小写：</w:t>
      </w:r>
    </w:p>
    <w:p w14:paraId="0DD287BE">
      <w:pPr>
        <w:spacing w:line="600" w:lineRule="exact"/>
        <w:ind w:firstLine="1200" w:firstLineChars="500"/>
        <w:rPr>
          <w:rFonts w:ascii="宋体" w:hAnsi="宋体" w:cs="宋体"/>
          <w:b/>
          <w:bCs/>
          <w:sz w:val="24"/>
          <w:szCs w:val="24"/>
        </w:rPr>
      </w:pPr>
      <w:r>
        <w:rPr>
          <w:rFonts w:hint="eastAsia" w:ascii="宋体" w:hAnsi="宋体" w:cs="宋体"/>
          <w:kern w:val="0"/>
          <w:sz w:val="24"/>
          <w:szCs w:val="24"/>
          <w:lang w:val="zh-CN"/>
        </w:rPr>
        <w:t>大写：</w:t>
      </w:r>
    </w:p>
    <w:p w14:paraId="14700611">
      <w:pPr>
        <w:autoSpaceDE w:val="0"/>
        <w:autoSpaceDN w:val="0"/>
        <w:adjustRightInd w:val="0"/>
        <w:spacing w:line="600" w:lineRule="exact"/>
        <w:ind w:firstLine="480" w:firstLineChars="200"/>
        <w:jc w:val="left"/>
        <w:rPr>
          <w:rFonts w:ascii="宋体" w:hAnsi="宋体" w:cs="宋体"/>
          <w:strike/>
          <w:sz w:val="24"/>
          <w:szCs w:val="24"/>
        </w:rPr>
      </w:pPr>
      <w:r>
        <w:rPr>
          <w:rFonts w:hint="eastAsia" w:ascii="宋体" w:hAnsi="宋体" w:cs="宋体"/>
          <w:sz w:val="24"/>
          <w:szCs w:val="24"/>
        </w:rPr>
        <w:t>以上价格应包含整个项目合作或服务的全部内容，乙方不得再向甲方收取任何其他费用。</w:t>
      </w:r>
    </w:p>
    <w:p w14:paraId="1A92A633">
      <w:pPr>
        <w:spacing w:line="600" w:lineRule="exact"/>
        <w:ind w:firstLine="482" w:firstLineChars="200"/>
        <w:rPr>
          <w:rFonts w:ascii="宋体" w:hAnsi="宋体" w:cs="宋体"/>
          <w:b/>
          <w:sz w:val="24"/>
          <w:szCs w:val="24"/>
        </w:rPr>
      </w:pPr>
      <w:r>
        <w:rPr>
          <w:rFonts w:hint="eastAsia" w:ascii="宋体" w:hAnsi="宋体" w:cs="宋体"/>
          <w:b/>
          <w:sz w:val="24"/>
          <w:szCs w:val="24"/>
        </w:rPr>
        <w:t>三、甲乙双方的权利和义务</w:t>
      </w:r>
    </w:p>
    <w:p w14:paraId="1E8A1CFE">
      <w:pPr>
        <w:spacing w:line="600" w:lineRule="exact"/>
        <w:ind w:firstLine="482" w:firstLineChars="200"/>
        <w:rPr>
          <w:rFonts w:ascii="宋体" w:hAnsi="宋体" w:cs="宋体"/>
          <w:b/>
          <w:sz w:val="24"/>
          <w:szCs w:val="24"/>
        </w:rPr>
      </w:pPr>
      <w:r>
        <w:rPr>
          <w:rFonts w:hint="eastAsia" w:ascii="宋体" w:hAnsi="宋体" w:cs="宋体"/>
          <w:b/>
          <w:sz w:val="24"/>
          <w:szCs w:val="24"/>
        </w:rPr>
        <w:t>（一）甲方的权利和义务</w:t>
      </w:r>
    </w:p>
    <w:p w14:paraId="2EB900D6">
      <w:pPr>
        <w:autoSpaceDE w:val="0"/>
        <w:autoSpaceDN w:val="0"/>
        <w:adjustRightInd w:val="0"/>
        <w:spacing w:line="600" w:lineRule="exact"/>
        <w:ind w:firstLine="480" w:firstLineChars="200"/>
        <w:jc w:val="left"/>
        <w:rPr>
          <w:rFonts w:ascii="宋体" w:hAnsi="宋体" w:cs="宋体"/>
          <w:kern w:val="0"/>
          <w:sz w:val="24"/>
          <w:szCs w:val="24"/>
        </w:rPr>
      </w:pPr>
    </w:p>
    <w:p w14:paraId="24368E6F">
      <w:pPr>
        <w:autoSpaceDE w:val="0"/>
        <w:autoSpaceDN w:val="0"/>
        <w:adjustRightInd w:val="0"/>
        <w:spacing w:line="600" w:lineRule="exact"/>
        <w:ind w:firstLine="480" w:firstLineChars="200"/>
        <w:jc w:val="left"/>
        <w:rPr>
          <w:rFonts w:ascii="宋体" w:hAnsi="宋体" w:cs="宋体"/>
          <w:kern w:val="0"/>
          <w:sz w:val="24"/>
          <w:szCs w:val="24"/>
        </w:rPr>
      </w:pPr>
    </w:p>
    <w:p w14:paraId="0BDBD3E6">
      <w:pPr>
        <w:spacing w:line="600" w:lineRule="exact"/>
        <w:ind w:firstLine="482" w:firstLineChars="200"/>
        <w:rPr>
          <w:rFonts w:ascii="宋体" w:hAnsi="宋体" w:cs="宋体"/>
          <w:b/>
          <w:sz w:val="24"/>
          <w:szCs w:val="24"/>
        </w:rPr>
      </w:pPr>
      <w:r>
        <w:rPr>
          <w:rFonts w:hint="eastAsia" w:ascii="宋体" w:hAnsi="宋体" w:cs="宋体"/>
          <w:b/>
          <w:sz w:val="24"/>
          <w:szCs w:val="24"/>
        </w:rPr>
        <w:t>（二）乙方的权利和义务</w:t>
      </w:r>
    </w:p>
    <w:p w14:paraId="70D83C01">
      <w:pPr>
        <w:autoSpaceDE w:val="0"/>
        <w:autoSpaceDN w:val="0"/>
        <w:adjustRightInd w:val="0"/>
        <w:spacing w:line="600" w:lineRule="exact"/>
        <w:ind w:firstLine="482" w:firstLineChars="200"/>
        <w:jc w:val="left"/>
        <w:rPr>
          <w:rFonts w:ascii="宋体" w:hAnsi="宋体" w:cs="宋体"/>
          <w:b/>
          <w:bCs/>
          <w:sz w:val="24"/>
          <w:szCs w:val="24"/>
        </w:rPr>
      </w:pPr>
    </w:p>
    <w:p w14:paraId="0D66EAD5">
      <w:pPr>
        <w:autoSpaceDE w:val="0"/>
        <w:autoSpaceDN w:val="0"/>
        <w:adjustRightInd w:val="0"/>
        <w:spacing w:line="600" w:lineRule="exact"/>
        <w:ind w:firstLine="482" w:firstLineChars="200"/>
        <w:jc w:val="left"/>
        <w:rPr>
          <w:rFonts w:ascii="宋体" w:hAnsi="宋体" w:cs="宋体"/>
          <w:b/>
          <w:bCs/>
          <w:sz w:val="24"/>
          <w:szCs w:val="24"/>
        </w:rPr>
      </w:pPr>
    </w:p>
    <w:p w14:paraId="23D7EC60">
      <w:pPr>
        <w:autoSpaceDE w:val="0"/>
        <w:autoSpaceDN w:val="0"/>
        <w:adjustRightInd w:val="0"/>
        <w:spacing w:line="600" w:lineRule="exact"/>
        <w:ind w:firstLine="482" w:firstLineChars="200"/>
        <w:jc w:val="left"/>
        <w:rPr>
          <w:rFonts w:ascii="宋体" w:hAnsi="宋体" w:cs="宋体"/>
          <w:b/>
          <w:bCs/>
          <w:sz w:val="24"/>
          <w:szCs w:val="24"/>
        </w:rPr>
      </w:pPr>
    </w:p>
    <w:p w14:paraId="2CDE8429">
      <w:pPr>
        <w:spacing w:line="600" w:lineRule="exact"/>
        <w:ind w:firstLine="482" w:firstLineChars="200"/>
        <w:rPr>
          <w:rFonts w:ascii="宋体" w:hAnsi="宋体" w:cs="宋体"/>
          <w:b/>
          <w:sz w:val="24"/>
          <w:szCs w:val="24"/>
        </w:rPr>
      </w:pPr>
      <w:r>
        <w:rPr>
          <w:rFonts w:hint="eastAsia" w:ascii="宋体" w:hAnsi="宋体" w:cs="宋体"/>
          <w:b/>
          <w:sz w:val="24"/>
          <w:szCs w:val="24"/>
        </w:rPr>
        <w:t>四、以上内容与政府采购监督管理部门审核以及甲方确认采购和乙方中标承诺情况一致并不得改变或放弃。</w:t>
      </w:r>
    </w:p>
    <w:p w14:paraId="2C02E230">
      <w:pPr>
        <w:spacing w:line="600" w:lineRule="exact"/>
        <w:ind w:firstLine="482" w:firstLineChars="200"/>
        <w:rPr>
          <w:rFonts w:ascii="宋体" w:hAnsi="宋体" w:cs="宋体"/>
          <w:b/>
          <w:sz w:val="24"/>
          <w:szCs w:val="24"/>
        </w:rPr>
      </w:pPr>
      <w:r>
        <w:rPr>
          <w:rFonts w:hint="eastAsia" w:ascii="宋体" w:hAnsi="宋体" w:cs="宋体"/>
          <w:b/>
          <w:sz w:val="24"/>
          <w:szCs w:val="24"/>
        </w:rPr>
        <w:t>五、整体项目合作或服务的期限为合同签订生效后        日内。</w:t>
      </w:r>
    </w:p>
    <w:p w14:paraId="6D07FC0B">
      <w:pPr>
        <w:spacing w:line="600" w:lineRule="exact"/>
        <w:ind w:firstLine="482" w:firstLineChars="200"/>
        <w:rPr>
          <w:rFonts w:ascii="宋体" w:hAnsi="宋体" w:cs="宋体"/>
          <w:b/>
          <w:sz w:val="24"/>
          <w:szCs w:val="24"/>
        </w:rPr>
      </w:pPr>
      <w:r>
        <w:rPr>
          <w:rFonts w:hint="eastAsia" w:ascii="宋体" w:hAnsi="宋体" w:cs="宋体"/>
          <w:b/>
          <w:sz w:val="24"/>
          <w:szCs w:val="24"/>
        </w:rPr>
        <w:t>六、验收及验收标准</w:t>
      </w:r>
    </w:p>
    <w:p w14:paraId="24B37E24">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七、合同价款结算</w:t>
      </w:r>
    </w:p>
    <w:p w14:paraId="214DDC60">
      <w:pPr>
        <w:spacing w:line="600" w:lineRule="exact"/>
        <w:ind w:firstLine="482" w:firstLineChars="200"/>
        <w:rPr>
          <w:rFonts w:ascii="宋体" w:hAnsi="宋体" w:cs="宋体"/>
          <w:b/>
          <w:sz w:val="24"/>
          <w:szCs w:val="24"/>
        </w:rPr>
      </w:pPr>
      <w:r>
        <w:rPr>
          <w:rFonts w:hint="eastAsia" w:ascii="宋体" w:hAnsi="宋体" w:cs="宋体"/>
          <w:b/>
          <w:sz w:val="24"/>
          <w:szCs w:val="24"/>
        </w:rPr>
        <w:t>（一）履约保证、费用支付和采购资金保证</w:t>
      </w:r>
    </w:p>
    <w:p w14:paraId="702979E9">
      <w:pPr>
        <w:tabs>
          <w:tab w:val="left" w:pos="6930"/>
        </w:tabs>
        <w:spacing w:line="360" w:lineRule="auto"/>
        <w:ind w:firstLine="480" w:firstLineChars="200"/>
        <w:rPr>
          <w:rFonts w:ascii="宋体" w:hAnsi="宋体" w:cs="宋体"/>
          <w:sz w:val="24"/>
          <w:szCs w:val="24"/>
        </w:rPr>
      </w:pPr>
      <w:r>
        <w:rPr>
          <w:rFonts w:hint="eastAsia" w:ascii="宋体" w:hAnsi="宋体" w:cs="宋体"/>
          <w:sz w:val="24"/>
          <w:szCs w:val="24"/>
        </w:rPr>
        <w:t>乙方应向甲方交纳履约保证金      元（按合同总价</w:t>
      </w:r>
      <w:r>
        <w:rPr>
          <w:rFonts w:hint="eastAsia" w:ascii="宋体" w:hAnsi="宋体" w:cs="宋体"/>
          <w:sz w:val="24"/>
          <w:szCs w:val="24"/>
          <w:u w:val="single"/>
        </w:rPr>
        <w:t xml:space="preserve">  </w:t>
      </w:r>
      <w:r>
        <w:rPr>
          <w:rFonts w:hint="eastAsia" w:ascii="宋体" w:hAnsi="宋体" w:cs="宋体"/>
          <w:sz w:val="24"/>
          <w:szCs w:val="24"/>
        </w:rPr>
        <w:t>%计算）。并取得甲方的签章后，合同才正式生效。</w:t>
      </w:r>
    </w:p>
    <w:p w14:paraId="507A3E90">
      <w:pPr>
        <w:tabs>
          <w:tab w:val="left" w:pos="6930"/>
        </w:tabs>
        <w:autoSpaceDE w:val="0"/>
        <w:autoSpaceDN w:val="0"/>
        <w:adjustRightInd w:val="0"/>
        <w:spacing w:line="600" w:lineRule="exact"/>
        <w:ind w:right="-154" w:firstLine="480" w:firstLineChars="200"/>
        <w:jc w:val="left"/>
        <w:rPr>
          <w:rFonts w:ascii="宋体" w:hAnsi="宋体" w:cs="宋体"/>
          <w:strike/>
          <w:color w:val="00B451"/>
          <w:sz w:val="24"/>
          <w:szCs w:val="24"/>
        </w:rPr>
      </w:pPr>
      <w:r>
        <w:rPr>
          <w:rFonts w:hint="eastAsia" w:ascii="宋体" w:hAnsi="宋体" w:cs="宋体"/>
          <w:sz w:val="24"/>
          <w:szCs w:val="24"/>
        </w:rPr>
        <w:t>合同签订时，甲方应按照合同约定的时间向乙方支付合同款项。</w:t>
      </w:r>
    </w:p>
    <w:p w14:paraId="0E53FC7B">
      <w:pPr>
        <w:tabs>
          <w:tab w:val="left" w:pos="6930"/>
        </w:tabs>
        <w:autoSpaceDE w:val="0"/>
        <w:autoSpaceDN w:val="0"/>
        <w:adjustRightInd w:val="0"/>
        <w:spacing w:line="600" w:lineRule="exact"/>
        <w:ind w:right="-154" w:firstLine="480" w:firstLineChars="200"/>
        <w:jc w:val="left"/>
        <w:rPr>
          <w:rFonts w:ascii="宋体" w:hAnsi="宋体" w:cs="宋体"/>
          <w:sz w:val="24"/>
          <w:szCs w:val="24"/>
        </w:rPr>
      </w:pPr>
      <w:r>
        <w:rPr>
          <w:rFonts w:hint="eastAsia" w:ascii="宋体" w:hAnsi="宋体" w:cs="宋体"/>
          <w:sz w:val="24"/>
          <w:szCs w:val="24"/>
        </w:rPr>
        <w:t>实作性操作验收完成后，甲方见书面依据无息退还履约保证金。</w:t>
      </w:r>
    </w:p>
    <w:p w14:paraId="1B59F60B">
      <w:pPr>
        <w:autoSpaceDE w:val="0"/>
        <w:autoSpaceDN w:val="0"/>
        <w:adjustRightInd w:val="0"/>
        <w:spacing w:line="600" w:lineRule="exact"/>
        <w:ind w:firstLine="482" w:firstLineChars="200"/>
        <w:jc w:val="left"/>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sz w:val="24"/>
          <w:szCs w:val="24"/>
        </w:rPr>
        <w:t>二）本合同价款的支付办法</w:t>
      </w:r>
    </w:p>
    <w:p w14:paraId="70D2F511">
      <w:pPr>
        <w:autoSpaceDE w:val="0"/>
        <w:autoSpaceDN w:val="0"/>
        <w:adjustRightInd w:val="0"/>
        <w:spacing w:line="600" w:lineRule="exact"/>
        <w:ind w:firstLine="480" w:firstLineChars="200"/>
        <w:jc w:val="left"/>
        <w:rPr>
          <w:rFonts w:ascii="宋体" w:hAnsi="宋体" w:cs="宋体"/>
          <w:sz w:val="24"/>
          <w:szCs w:val="24"/>
        </w:rPr>
      </w:pPr>
      <w:r>
        <w:rPr>
          <w:rFonts w:hint="eastAsia" w:ascii="宋体" w:hAnsi="宋体" w:cs="宋体"/>
          <w:sz w:val="24"/>
          <w:szCs w:val="24"/>
        </w:rPr>
        <w:t>根据招标文件及中标人的投标文件承诺，本合同按以下方式支付合同款：</w:t>
      </w:r>
    </w:p>
    <w:p w14:paraId="384B7DD2">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八、违约责任</w:t>
      </w:r>
    </w:p>
    <w:p w14:paraId="428005AC">
      <w:pPr>
        <w:autoSpaceDE w:val="0"/>
        <w:autoSpaceDN w:val="0"/>
        <w:adjustRightInd w:val="0"/>
        <w:spacing w:line="600" w:lineRule="exact"/>
        <w:ind w:firstLine="480" w:firstLineChars="200"/>
        <w:jc w:val="left"/>
        <w:rPr>
          <w:rFonts w:ascii="宋体" w:hAnsi="宋体" w:cs="宋体"/>
          <w:sz w:val="24"/>
          <w:szCs w:val="24"/>
        </w:rPr>
      </w:pPr>
      <w:r>
        <w:rPr>
          <w:rFonts w:hint="eastAsia" w:ascii="宋体" w:hAnsi="宋体" w:cs="宋体"/>
          <w:sz w:val="24"/>
          <w:szCs w:val="24"/>
          <w:lang w:eastAsia="zh-CN"/>
        </w:rPr>
        <w:t>除发生不可抗力事实外，乙方交付成果与合同标准不相符合的，甲方有权拒绝验收；逾期交付将向甲方每日偿付合同总额千分之一的违约金，逾期交付超过30个日历天的甲方有权单方面解除合同。因乙方超过30个日历天交付或交付成果与合同标准不符致使甲方解除合同的，乙方应承担合同总额10%的违约金，若违约金不足以弥补甲方损失的，甲方有权要求乙方赔偿损失。甲方有权拒付合同价款以外的其他任何费用。因乙方违约导致甲方因诉讼、维权而产生的立案费、律师费、交通费、保全费等均由乙方负责。</w:t>
      </w:r>
    </w:p>
    <w:p w14:paraId="2B225BFB">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本合同经甲乙双方协商一致的其它违约细则：</w:t>
      </w:r>
    </w:p>
    <w:p w14:paraId="221FA1BB">
      <w:pPr>
        <w:autoSpaceDE w:val="0"/>
        <w:autoSpaceDN w:val="0"/>
        <w:adjustRightInd w:val="0"/>
        <w:spacing w:line="600" w:lineRule="exact"/>
        <w:ind w:firstLine="480" w:firstLineChars="200"/>
        <w:jc w:val="left"/>
        <w:rPr>
          <w:rFonts w:ascii="宋体" w:hAnsi="宋体" w:cs="宋体"/>
          <w:sz w:val="24"/>
          <w:szCs w:val="24"/>
        </w:rPr>
      </w:pPr>
      <w:r>
        <w:rPr>
          <w:rFonts w:hint="eastAsia" w:ascii="宋体" w:hAnsi="宋体" w:cs="宋体"/>
          <w:sz w:val="24"/>
          <w:szCs w:val="24"/>
        </w:rPr>
        <w:t>乙方给甲方造成的损失，甲方有权直接从乙方交纳的履约保证金或质量保证金中予以扣除，给甲方造成的损失超过履约保证金或质量保证金数额的，乙方还应当对超过部分予以赔偿。</w:t>
      </w:r>
    </w:p>
    <w:p w14:paraId="055499D2">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九、甲方有权拒付合同价以外的任何费用；乙方有权拒绝合同整体范围以外的条件。</w:t>
      </w:r>
    </w:p>
    <w:p w14:paraId="5639FBFB">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十、甲乙双方在履行合同过程中发生纠纷，由甲方所在地的人民法院管辖。</w:t>
      </w:r>
    </w:p>
    <w:p w14:paraId="17724221">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十一、本合同其他未尽事宜，按国家《中华人民共和国民法典》有关规定处理。</w:t>
      </w:r>
    </w:p>
    <w:p w14:paraId="729E1802">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十二、本合同一式</w:t>
      </w:r>
      <w:r>
        <w:rPr>
          <w:rFonts w:hint="eastAsia" w:ascii="宋体" w:hAnsi="宋体" w:cs="宋体"/>
          <w:b/>
          <w:sz w:val="24"/>
          <w:szCs w:val="24"/>
          <w:lang w:val="en-US" w:eastAsia="zh-CN"/>
        </w:rPr>
        <w:t xml:space="preserve">  </w:t>
      </w:r>
      <w:r>
        <w:rPr>
          <w:rFonts w:hint="eastAsia" w:ascii="宋体" w:hAnsi="宋体" w:cs="宋体"/>
          <w:b/>
          <w:sz w:val="24"/>
          <w:szCs w:val="24"/>
        </w:rPr>
        <w:t>份，甲方</w:t>
      </w:r>
      <w:r>
        <w:rPr>
          <w:rFonts w:hint="eastAsia" w:ascii="宋体" w:hAnsi="宋体" w:cs="宋体"/>
          <w:b/>
          <w:sz w:val="24"/>
          <w:szCs w:val="24"/>
          <w:lang w:val="en-US" w:eastAsia="zh-CN"/>
        </w:rPr>
        <w:t xml:space="preserve">  </w:t>
      </w:r>
      <w:r>
        <w:rPr>
          <w:rFonts w:hint="eastAsia" w:ascii="宋体" w:hAnsi="宋体" w:cs="宋体"/>
          <w:b/>
          <w:sz w:val="24"/>
          <w:szCs w:val="24"/>
        </w:rPr>
        <w:t>份，乙方</w:t>
      </w:r>
      <w:r>
        <w:rPr>
          <w:rFonts w:hint="eastAsia" w:ascii="宋体" w:hAnsi="宋体" w:cs="宋体"/>
          <w:b/>
          <w:sz w:val="24"/>
          <w:szCs w:val="24"/>
          <w:lang w:val="en-US" w:eastAsia="zh-CN"/>
        </w:rPr>
        <w:t xml:space="preserve">  </w:t>
      </w:r>
      <w:r>
        <w:rPr>
          <w:rFonts w:hint="eastAsia" w:ascii="宋体" w:hAnsi="宋体" w:cs="宋体"/>
          <w:b/>
          <w:sz w:val="24"/>
          <w:szCs w:val="24"/>
        </w:rPr>
        <w:t>份。</w:t>
      </w:r>
    </w:p>
    <w:p w14:paraId="244A4095">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十三、本合同自甲乙双方共同签订之日起生效。</w:t>
      </w:r>
    </w:p>
    <w:p w14:paraId="6F12BCFA">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十四、本合同不可分割之部分及解释顺序</w:t>
      </w:r>
    </w:p>
    <w:p w14:paraId="49D26E0E">
      <w:pPr>
        <w:autoSpaceDE w:val="0"/>
        <w:autoSpaceDN w:val="0"/>
        <w:adjustRightInd w:val="0"/>
        <w:spacing w:line="520" w:lineRule="exact"/>
        <w:ind w:firstLine="480" w:firstLineChars="200"/>
        <w:jc w:val="left"/>
        <w:rPr>
          <w:rFonts w:ascii="宋体" w:hAnsi="宋体" w:cs="宋体"/>
          <w:sz w:val="24"/>
          <w:szCs w:val="24"/>
        </w:rPr>
      </w:pPr>
      <w:r>
        <w:rPr>
          <w:rFonts w:hint="eastAsia" w:ascii="宋体" w:hAnsi="宋体" w:cs="宋体"/>
          <w:sz w:val="24"/>
          <w:szCs w:val="24"/>
        </w:rPr>
        <w:t>1. 合同书及附件；</w:t>
      </w:r>
    </w:p>
    <w:p w14:paraId="769DE77E">
      <w:pPr>
        <w:autoSpaceDE w:val="0"/>
        <w:autoSpaceDN w:val="0"/>
        <w:adjustRightInd w:val="0"/>
        <w:spacing w:line="520" w:lineRule="exact"/>
        <w:ind w:firstLine="480" w:firstLineChars="200"/>
        <w:jc w:val="left"/>
        <w:rPr>
          <w:rFonts w:ascii="宋体" w:hAnsi="宋体" w:cs="宋体"/>
          <w:sz w:val="24"/>
          <w:szCs w:val="24"/>
        </w:rPr>
      </w:pPr>
      <w:r>
        <w:rPr>
          <w:rFonts w:hint="eastAsia" w:ascii="宋体" w:hAnsi="宋体" w:cs="宋体"/>
          <w:sz w:val="24"/>
          <w:szCs w:val="24"/>
        </w:rPr>
        <w:t>2. 中标通知书；</w:t>
      </w:r>
    </w:p>
    <w:p w14:paraId="3DEC9FB1">
      <w:pPr>
        <w:autoSpaceDE w:val="0"/>
        <w:autoSpaceDN w:val="0"/>
        <w:adjustRightInd w:val="0"/>
        <w:spacing w:line="520" w:lineRule="exact"/>
        <w:ind w:firstLine="480" w:firstLineChars="200"/>
        <w:jc w:val="left"/>
        <w:rPr>
          <w:rFonts w:ascii="宋体" w:hAnsi="宋体" w:cs="宋体"/>
          <w:sz w:val="24"/>
          <w:szCs w:val="24"/>
        </w:rPr>
      </w:pPr>
      <w:r>
        <w:rPr>
          <w:rFonts w:hint="eastAsia" w:ascii="宋体" w:hAnsi="宋体" w:cs="宋体"/>
          <w:sz w:val="24"/>
          <w:szCs w:val="24"/>
        </w:rPr>
        <w:t>3. 中标人投标文件及澄清或谈判文件；</w:t>
      </w:r>
    </w:p>
    <w:p w14:paraId="2A4DFE5C">
      <w:pPr>
        <w:autoSpaceDE w:val="0"/>
        <w:autoSpaceDN w:val="0"/>
        <w:adjustRightInd w:val="0"/>
        <w:spacing w:line="520" w:lineRule="exact"/>
        <w:ind w:firstLine="480" w:firstLineChars="200"/>
        <w:jc w:val="left"/>
        <w:rPr>
          <w:rFonts w:ascii="宋体" w:hAnsi="宋体" w:cs="宋体"/>
          <w:sz w:val="24"/>
          <w:szCs w:val="24"/>
        </w:rPr>
      </w:pPr>
      <w:r>
        <w:rPr>
          <w:rFonts w:hint="eastAsia" w:ascii="宋体" w:hAnsi="宋体" w:cs="宋体"/>
          <w:sz w:val="24"/>
          <w:szCs w:val="24"/>
        </w:rPr>
        <w:t>4. 招标文件。</w:t>
      </w:r>
    </w:p>
    <w:p w14:paraId="161072AF">
      <w:pPr>
        <w:autoSpaceDE w:val="0"/>
        <w:autoSpaceDN w:val="0"/>
        <w:adjustRightInd w:val="0"/>
        <w:spacing w:line="600" w:lineRule="exact"/>
        <w:ind w:firstLine="482" w:firstLineChars="200"/>
        <w:jc w:val="left"/>
        <w:rPr>
          <w:rFonts w:ascii="宋体" w:hAnsi="宋体" w:cs="宋体"/>
          <w:b/>
          <w:sz w:val="24"/>
          <w:szCs w:val="24"/>
        </w:rPr>
      </w:pPr>
      <w:r>
        <w:rPr>
          <w:rFonts w:hint="eastAsia" w:ascii="宋体" w:hAnsi="宋体" w:cs="宋体"/>
          <w:b/>
          <w:sz w:val="24"/>
          <w:szCs w:val="24"/>
        </w:rPr>
        <w:t>十五、附件名称（如有请在□内打√或×）</w:t>
      </w:r>
    </w:p>
    <w:p w14:paraId="47160D90">
      <w:pPr>
        <w:autoSpaceDE w:val="0"/>
        <w:autoSpaceDN w:val="0"/>
        <w:adjustRightInd w:val="0"/>
        <w:spacing w:line="520" w:lineRule="exact"/>
        <w:ind w:firstLine="480" w:firstLineChars="200"/>
        <w:jc w:val="left"/>
        <w:rPr>
          <w:rFonts w:ascii="宋体" w:hAnsi="宋体" w:cs="宋体"/>
          <w:sz w:val="24"/>
          <w:szCs w:val="24"/>
        </w:rPr>
      </w:pPr>
      <w:r>
        <w:rPr>
          <w:rFonts w:hint="eastAsia" w:ascii="宋体" w:hAnsi="宋体" w:cs="宋体"/>
          <w:sz w:val="24"/>
          <w:szCs w:val="24"/>
        </w:rPr>
        <w:t>1. 详细的项目合作或服务方案及计划        □</w:t>
      </w:r>
    </w:p>
    <w:p w14:paraId="357CC092">
      <w:pPr>
        <w:autoSpaceDE w:val="0"/>
        <w:autoSpaceDN w:val="0"/>
        <w:adjustRightInd w:val="0"/>
        <w:spacing w:line="520" w:lineRule="exact"/>
        <w:ind w:firstLine="480" w:firstLineChars="200"/>
        <w:jc w:val="left"/>
        <w:rPr>
          <w:rFonts w:ascii="宋体" w:hAnsi="宋体" w:cs="宋体"/>
          <w:sz w:val="24"/>
          <w:szCs w:val="24"/>
        </w:rPr>
      </w:pPr>
      <w:r>
        <w:rPr>
          <w:rFonts w:hint="eastAsia" w:ascii="宋体" w:hAnsi="宋体" w:cs="宋体"/>
          <w:sz w:val="24"/>
          <w:szCs w:val="24"/>
        </w:rPr>
        <w:t>2. 乙方的服务网点信息及售后服务细则      □</w:t>
      </w:r>
    </w:p>
    <w:p w14:paraId="2826D1AA">
      <w:pPr>
        <w:autoSpaceDE w:val="0"/>
        <w:autoSpaceDN w:val="0"/>
        <w:adjustRightInd w:val="0"/>
        <w:spacing w:line="520" w:lineRule="exact"/>
        <w:ind w:firstLine="480" w:firstLineChars="200"/>
        <w:jc w:val="left"/>
        <w:rPr>
          <w:rFonts w:ascii="宋体" w:hAnsi="宋体" w:cs="宋体"/>
          <w:sz w:val="24"/>
          <w:szCs w:val="24"/>
        </w:rPr>
      </w:pPr>
      <w:r>
        <w:rPr>
          <w:rFonts w:hint="eastAsia" w:ascii="宋体" w:hAnsi="宋体" w:cs="宋体"/>
          <w:sz w:val="24"/>
          <w:szCs w:val="24"/>
        </w:rPr>
        <w:t>3. 其他</w:t>
      </w:r>
    </w:p>
    <w:p w14:paraId="14DCF11B">
      <w:pPr>
        <w:spacing w:line="360" w:lineRule="auto"/>
        <w:jc w:val="center"/>
        <w:rPr>
          <w:rFonts w:ascii="宋体" w:hAnsi="宋体"/>
          <w:sz w:val="28"/>
          <w:szCs w:val="28"/>
          <w:highlight w:val="none"/>
        </w:rPr>
      </w:pPr>
      <w:r>
        <w:rPr>
          <w:rFonts w:eastAsia="仿宋"/>
          <w:bCs/>
          <w:sz w:val="24"/>
        </w:rPr>
        <w:br w:type="page"/>
      </w:r>
      <w:r>
        <w:rPr>
          <w:rFonts w:ascii="宋体" w:hAnsi="宋体"/>
          <w:b/>
          <w:bCs/>
          <w:sz w:val="28"/>
          <w:szCs w:val="28"/>
          <w:highlight w:val="none"/>
        </w:rPr>
        <w:t>服务考</w:t>
      </w:r>
      <w:r>
        <w:rPr>
          <w:rFonts w:hint="eastAsia" w:ascii="宋体" w:hAnsi="宋体"/>
          <w:b/>
          <w:bCs/>
          <w:sz w:val="28"/>
          <w:szCs w:val="28"/>
          <w:highlight w:val="none"/>
          <w:lang w:val="en-US" w:eastAsia="zh-CN"/>
        </w:rPr>
        <w:t>核</w:t>
      </w:r>
      <w:r>
        <w:rPr>
          <w:rFonts w:ascii="宋体" w:hAnsi="宋体"/>
          <w:b/>
          <w:bCs/>
          <w:sz w:val="28"/>
          <w:szCs w:val="28"/>
          <w:highlight w:val="none"/>
        </w:rPr>
        <w:t>表</w:t>
      </w:r>
    </w:p>
    <w:tbl>
      <w:tblPr>
        <w:tblStyle w:val="41"/>
        <w:tblW w:w="9129" w:type="dxa"/>
        <w:tblInd w:w="-562" w:type="dxa"/>
        <w:tblLayout w:type="fixed"/>
        <w:tblCellMar>
          <w:top w:w="15" w:type="dxa"/>
          <w:left w:w="15" w:type="dxa"/>
          <w:bottom w:w="15" w:type="dxa"/>
          <w:right w:w="15" w:type="dxa"/>
        </w:tblCellMar>
      </w:tblPr>
      <w:tblGrid>
        <w:gridCol w:w="1569"/>
        <w:gridCol w:w="5613"/>
        <w:gridCol w:w="1050"/>
        <w:gridCol w:w="897"/>
      </w:tblGrid>
      <w:tr w14:paraId="36E186EA">
        <w:tblPrEx>
          <w:tblCellMar>
            <w:top w:w="15" w:type="dxa"/>
            <w:left w:w="15" w:type="dxa"/>
            <w:bottom w:w="15" w:type="dxa"/>
            <w:right w:w="15" w:type="dxa"/>
          </w:tblCellMar>
        </w:tblPrEx>
        <w:trPr>
          <w:trHeight w:val="810" w:hRule="atLeast"/>
        </w:trPr>
        <w:tc>
          <w:tcPr>
            <w:tcW w:w="1569" w:type="dxa"/>
            <w:tcBorders>
              <w:top w:val="single" w:color="000000" w:sz="4" w:space="0"/>
              <w:left w:val="single" w:color="000000" w:sz="4" w:space="0"/>
              <w:bottom w:val="single" w:color="000000" w:sz="4" w:space="0"/>
              <w:right w:val="single" w:color="auto" w:sz="4" w:space="0"/>
            </w:tcBorders>
            <w:noWrap w:val="0"/>
            <w:vAlign w:val="center"/>
          </w:tcPr>
          <w:p w14:paraId="6406194F">
            <w:pPr>
              <w:widowControl/>
              <w:jc w:val="center"/>
              <w:textAlignment w:val="center"/>
              <w:rPr>
                <w:rFonts w:ascii="宋体" w:hAnsi="宋体" w:cs="微软雅黑"/>
                <w:b/>
                <w:color w:val="000000"/>
                <w:sz w:val="24"/>
                <w:highlight w:val="none"/>
              </w:rPr>
            </w:pPr>
            <w:r>
              <w:rPr>
                <w:rFonts w:hint="eastAsia" w:ascii="宋体" w:hAnsi="宋体" w:cs="微软雅黑"/>
                <w:b/>
                <w:color w:val="000000"/>
                <w:sz w:val="24"/>
                <w:highlight w:val="none"/>
              </w:rPr>
              <w:t>项目名称</w:t>
            </w:r>
          </w:p>
        </w:tc>
        <w:tc>
          <w:tcPr>
            <w:tcW w:w="7560" w:type="dxa"/>
            <w:gridSpan w:val="3"/>
            <w:tcBorders>
              <w:top w:val="single" w:color="000000" w:sz="4" w:space="0"/>
              <w:left w:val="single" w:color="auto" w:sz="4" w:space="0"/>
              <w:bottom w:val="single" w:color="000000" w:sz="4" w:space="0"/>
              <w:right w:val="single" w:color="000000" w:sz="4" w:space="0"/>
            </w:tcBorders>
            <w:noWrap w:val="0"/>
            <w:vAlign w:val="center"/>
          </w:tcPr>
          <w:p w14:paraId="5814906F">
            <w:pPr>
              <w:jc w:val="center"/>
              <w:textAlignment w:val="center"/>
              <w:rPr>
                <w:rFonts w:ascii="宋体" w:hAnsi="宋体" w:cs="微软雅黑"/>
                <w:b/>
                <w:color w:val="000000"/>
                <w:sz w:val="24"/>
                <w:highlight w:val="none"/>
              </w:rPr>
            </w:pPr>
            <w:r>
              <w:rPr>
                <w:rFonts w:hint="eastAsia" w:ascii="宋体" w:hAnsi="宋体" w:cs="微软雅黑"/>
                <w:b/>
                <w:color w:val="000000"/>
                <w:sz w:val="24"/>
                <w:highlight w:val="none"/>
                <w:lang w:bidi="ar"/>
              </w:rPr>
              <w:t xml:space="preserve"> </w:t>
            </w:r>
          </w:p>
        </w:tc>
      </w:tr>
      <w:tr w14:paraId="63D93E3A">
        <w:tblPrEx>
          <w:tblCellMar>
            <w:top w:w="15" w:type="dxa"/>
            <w:left w:w="15" w:type="dxa"/>
            <w:bottom w:w="15" w:type="dxa"/>
            <w:right w:w="15" w:type="dxa"/>
          </w:tblCellMar>
        </w:tblPrEx>
        <w:trPr>
          <w:trHeight w:val="435" w:hRule="atLeast"/>
        </w:trPr>
        <w:tc>
          <w:tcPr>
            <w:tcW w:w="1569" w:type="dxa"/>
            <w:tcBorders>
              <w:top w:val="single" w:color="000000" w:sz="4" w:space="0"/>
              <w:left w:val="single" w:color="000000" w:sz="4" w:space="0"/>
              <w:bottom w:val="single" w:color="auto" w:sz="4" w:space="0"/>
              <w:right w:val="single" w:color="auto" w:sz="4" w:space="0"/>
            </w:tcBorders>
            <w:noWrap w:val="0"/>
            <w:vAlign w:val="center"/>
          </w:tcPr>
          <w:p w14:paraId="65B46BA1">
            <w:pPr>
              <w:widowControl/>
              <w:jc w:val="center"/>
              <w:textAlignment w:val="center"/>
              <w:rPr>
                <w:rFonts w:ascii="宋体" w:hAnsi="宋体" w:cs="微软雅黑"/>
                <w:b/>
                <w:color w:val="000000"/>
                <w:sz w:val="24"/>
                <w:highlight w:val="none"/>
              </w:rPr>
            </w:pPr>
            <w:r>
              <w:rPr>
                <w:rFonts w:hint="eastAsia" w:ascii="宋体" w:hAnsi="宋体" w:cs="微软雅黑"/>
                <w:b/>
                <w:color w:val="000000"/>
                <w:sz w:val="24"/>
                <w:highlight w:val="none"/>
              </w:rPr>
              <w:t>项目联系人、电话</w:t>
            </w:r>
          </w:p>
        </w:tc>
        <w:tc>
          <w:tcPr>
            <w:tcW w:w="7560" w:type="dxa"/>
            <w:gridSpan w:val="3"/>
            <w:tcBorders>
              <w:top w:val="single" w:color="000000" w:sz="4" w:space="0"/>
              <w:left w:val="single" w:color="auto" w:sz="4" w:space="0"/>
              <w:bottom w:val="single" w:color="auto" w:sz="4" w:space="0"/>
              <w:right w:val="single" w:color="000000" w:sz="4" w:space="0"/>
            </w:tcBorders>
            <w:noWrap w:val="0"/>
            <w:vAlign w:val="center"/>
          </w:tcPr>
          <w:p w14:paraId="259D0F2A">
            <w:pPr>
              <w:jc w:val="center"/>
              <w:rPr>
                <w:rFonts w:ascii="宋体" w:hAnsi="宋体" w:cs="微软雅黑"/>
                <w:b/>
                <w:color w:val="000000"/>
                <w:sz w:val="24"/>
                <w:highlight w:val="none"/>
              </w:rPr>
            </w:pPr>
          </w:p>
        </w:tc>
      </w:tr>
      <w:tr w14:paraId="039D348A">
        <w:tblPrEx>
          <w:tblCellMar>
            <w:top w:w="15" w:type="dxa"/>
            <w:left w:w="15" w:type="dxa"/>
            <w:bottom w:w="15" w:type="dxa"/>
            <w:right w:w="15" w:type="dxa"/>
          </w:tblCellMar>
        </w:tblPrEx>
        <w:trPr>
          <w:trHeight w:val="630" w:hRule="atLeast"/>
        </w:trPr>
        <w:tc>
          <w:tcPr>
            <w:tcW w:w="1569" w:type="dxa"/>
            <w:tcBorders>
              <w:top w:val="single" w:color="000000" w:sz="4" w:space="0"/>
              <w:left w:val="single" w:color="000000" w:sz="4" w:space="0"/>
              <w:bottom w:val="single" w:color="000000" w:sz="4" w:space="0"/>
              <w:right w:val="single" w:color="000000" w:sz="4" w:space="0"/>
            </w:tcBorders>
            <w:noWrap w:val="0"/>
            <w:vAlign w:val="center"/>
          </w:tcPr>
          <w:p w14:paraId="06D9F362">
            <w:pPr>
              <w:widowControl/>
              <w:jc w:val="center"/>
              <w:textAlignment w:val="center"/>
              <w:rPr>
                <w:rFonts w:ascii="宋体" w:hAnsi="宋体" w:cs="微软雅黑"/>
                <w:b/>
                <w:color w:val="000000"/>
                <w:sz w:val="24"/>
                <w:highlight w:val="none"/>
              </w:rPr>
            </w:pPr>
            <w:r>
              <w:rPr>
                <w:rFonts w:hint="eastAsia" w:ascii="宋体" w:hAnsi="宋体" w:cs="微软雅黑"/>
                <w:b/>
                <w:color w:val="000000"/>
                <w:sz w:val="24"/>
                <w:highlight w:val="none"/>
                <w:lang w:bidi="ar"/>
              </w:rPr>
              <w:t>考核内容</w:t>
            </w:r>
          </w:p>
        </w:tc>
        <w:tc>
          <w:tcPr>
            <w:tcW w:w="5613" w:type="dxa"/>
            <w:tcBorders>
              <w:top w:val="single" w:color="000000" w:sz="4" w:space="0"/>
              <w:left w:val="single" w:color="000000" w:sz="4" w:space="0"/>
              <w:bottom w:val="single" w:color="000000" w:sz="4" w:space="0"/>
              <w:right w:val="single" w:color="000000" w:sz="4" w:space="0"/>
            </w:tcBorders>
            <w:noWrap w:val="0"/>
            <w:vAlign w:val="center"/>
          </w:tcPr>
          <w:p w14:paraId="5B1825BF">
            <w:pPr>
              <w:widowControl/>
              <w:jc w:val="center"/>
              <w:textAlignment w:val="center"/>
              <w:rPr>
                <w:rFonts w:ascii="宋体" w:hAnsi="宋体" w:cs="微软雅黑"/>
                <w:b/>
                <w:color w:val="000000"/>
                <w:sz w:val="24"/>
                <w:highlight w:val="none"/>
              </w:rPr>
            </w:pPr>
            <w:r>
              <w:rPr>
                <w:rFonts w:hint="eastAsia" w:ascii="宋体" w:hAnsi="宋体" w:cs="微软雅黑"/>
                <w:b/>
                <w:color w:val="000000"/>
                <w:sz w:val="24"/>
                <w:highlight w:val="none"/>
                <w:lang w:bidi="ar"/>
              </w:rPr>
              <w:t>考核标准</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259366CF">
            <w:pPr>
              <w:widowControl/>
              <w:jc w:val="center"/>
              <w:textAlignment w:val="center"/>
              <w:rPr>
                <w:rFonts w:ascii="宋体" w:hAnsi="宋体" w:cs="微软雅黑"/>
                <w:b/>
                <w:color w:val="000000"/>
                <w:sz w:val="24"/>
                <w:highlight w:val="none"/>
              </w:rPr>
            </w:pPr>
            <w:r>
              <w:rPr>
                <w:rFonts w:hint="eastAsia" w:ascii="宋体" w:hAnsi="宋体" w:cs="微软雅黑"/>
                <w:b/>
                <w:color w:val="000000"/>
                <w:sz w:val="24"/>
                <w:highlight w:val="none"/>
                <w:lang w:bidi="ar"/>
              </w:rPr>
              <w:t>分值</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1DEB0FE7">
            <w:pPr>
              <w:widowControl/>
              <w:jc w:val="center"/>
              <w:textAlignment w:val="center"/>
              <w:rPr>
                <w:rFonts w:ascii="宋体" w:hAnsi="宋体" w:cs="微软雅黑"/>
                <w:b/>
                <w:color w:val="000000"/>
                <w:sz w:val="24"/>
                <w:highlight w:val="none"/>
              </w:rPr>
            </w:pPr>
            <w:r>
              <w:rPr>
                <w:rFonts w:hint="eastAsia" w:ascii="宋体" w:hAnsi="宋体" w:cs="微软雅黑"/>
                <w:b/>
                <w:color w:val="000000"/>
                <w:sz w:val="24"/>
                <w:highlight w:val="none"/>
                <w:lang w:bidi="ar"/>
              </w:rPr>
              <w:t>备注</w:t>
            </w:r>
          </w:p>
        </w:tc>
      </w:tr>
      <w:tr w14:paraId="03EC14D7">
        <w:tblPrEx>
          <w:tblCellMar>
            <w:top w:w="15" w:type="dxa"/>
            <w:left w:w="15" w:type="dxa"/>
            <w:bottom w:w="15" w:type="dxa"/>
            <w:right w:w="15" w:type="dxa"/>
          </w:tblCellMar>
        </w:tblPrEx>
        <w:trPr>
          <w:trHeight w:val="1050" w:hRule="atLeast"/>
        </w:trPr>
        <w:tc>
          <w:tcPr>
            <w:tcW w:w="1569" w:type="dxa"/>
            <w:tcBorders>
              <w:top w:val="single" w:color="000000" w:sz="4" w:space="0"/>
              <w:left w:val="single" w:color="000000" w:sz="4" w:space="0"/>
              <w:bottom w:val="single" w:color="000000" w:sz="4" w:space="0"/>
              <w:right w:val="single" w:color="000000" w:sz="4" w:space="0"/>
            </w:tcBorders>
            <w:noWrap w:val="0"/>
            <w:vAlign w:val="center"/>
          </w:tcPr>
          <w:p w14:paraId="460FB95F">
            <w:pPr>
              <w:widowControl/>
              <w:jc w:val="center"/>
              <w:textAlignment w:val="center"/>
              <w:rPr>
                <w:rFonts w:ascii="宋体" w:hAnsi="宋体" w:cs="微软雅黑"/>
                <w:color w:val="000000"/>
                <w:sz w:val="24"/>
                <w:highlight w:val="none"/>
                <w:lang w:bidi="ar"/>
              </w:rPr>
            </w:pPr>
            <w:r>
              <w:rPr>
                <w:rFonts w:hint="eastAsia" w:ascii="宋体" w:hAnsi="宋体" w:cs="微软雅黑"/>
                <w:color w:val="000000"/>
                <w:sz w:val="24"/>
                <w:highlight w:val="none"/>
                <w:lang w:bidi="ar"/>
              </w:rPr>
              <w:t>服务态度</w:t>
            </w:r>
          </w:p>
          <w:p w14:paraId="163CDF11">
            <w:pPr>
              <w:widowControl/>
              <w:jc w:val="center"/>
              <w:textAlignment w:val="center"/>
              <w:rPr>
                <w:rFonts w:ascii="宋体" w:hAnsi="宋体" w:cs="微软雅黑"/>
                <w:color w:val="000000"/>
                <w:sz w:val="24"/>
                <w:highlight w:val="none"/>
                <w:lang w:bidi="ar"/>
              </w:rPr>
            </w:pPr>
          </w:p>
        </w:tc>
        <w:tc>
          <w:tcPr>
            <w:tcW w:w="5613" w:type="dxa"/>
            <w:tcBorders>
              <w:top w:val="single" w:color="000000" w:sz="4" w:space="0"/>
              <w:left w:val="single" w:color="000000" w:sz="4" w:space="0"/>
              <w:bottom w:val="single" w:color="000000" w:sz="4" w:space="0"/>
              <w:right w:val="single" w:color="000000" w:sz="4" w:space="0"/>
            </w:tcBorders>
            <w:noWrap w:val="0"/>
            <w:vAlign w:val="center"/>
          </w:tcPr>
          <w:p w14:paraId="7221E983">
            <w:pPr>
              <w:widowControl/>
              <w:textAlignment w:val="center"/>
              <w:rPr>
                <w:rFonts w:ascii="宋体" w:hAnsi="宋体" w:cs="微软雅黑"/>
                <w:color w:val="000000"/>
                <w:sz w:val="24"/>
                <w:highlight w:val="none"/>
                <w:lang w:bidi="ar"/>
              </w:rPr>
            </w:pPr>
            <w:r>
              <w:rPr>
                <w:rFonts w:ascii="宋体" w:hAnsi="宋体" w:cs="微软雅黑"/>
                <w:color w:val="000000"/>
                <w:sz w:val="24"/>
                <w:highlight w:val="none"/>
                <w:lang w:bidi="ar"/>
              </w:rPr>
              <w:t>保险公司在提供服务期间，态度友好、耐心解答疑问，无推诿行为，得 15 分；态度欠佳，存在敷衍、不耐烦情况，酌情扣 1-5 分；出现与</w:t>
            </w:r>
            <w:r>
              <w:rPr>
                <w:rFonts w:hint="eastAsia" w:ascii="宋体" w:hAnsi="宋体" w:cs="微软雅黑"/>
                <w:color w:val="000000"/>
                <w:sz w:val="24"/>
                <w:highlight w:val="none"/>
                <w:lang w:val="en-US" w:eastAsia="zh-CN" w:bidi="ar"/>
              </w:rPr>
              <w:t>医院</w:t>
            </w:r>
            <w:r>
              <w:rPr>
                <w:rFonts w:ascii="宋体" w:hAnsi="宋体" w:cs="微软雅黑"/>
                <w:color w:val="000000"/>
                <w:sz w:val="24"/>
                <w:highlight w:val="none"/>
                <w:lang w:bidi="ar"/>
              </w:rPr>
              <w:t>发生争吵、辱骂</w:t>
            </w:r>
            <w:r>
              <w:rPr>
                <w:rFonts w:hint="eastAsia" w:ascii="宋体" w:hAnsi="宋体" w:cs="微软雅黑"/>
                <w:color w:val="000000"/>
                <w:sz w:val="24"/>
                <w:highlight w:val="none"/>
                <w:lang w:val="en-US" w:eastAsia="zh-CN" w:bidi="ar"/>
              </w:rPr>
              <w:t>医院</w:t>
            </w:r>
            <w:r>
              <w:rPr>
                <w:rFonts w:ascii="宋体" w:hAnsi="宋体" w:cs="微软雅黑"/>
                <w:color w:val="000000"/>
                <w:sz w:val="24"/>
                <w:highlight w:val="none"/>
                <w:lang w:bidi="ar"/>
              </w:rPr>
              <w:t>等恶劣行为，不得分。</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0D087DAE">
            <w:pPr>
              <w:widowControl/>
              <w:jc w:val="center"/>
              <w:textAlignment w:val="center"/>
              <w:rPr>
                <w:rFonts w:ascii="宋体" w:hAnsi="宋体" w:cs="微软雅黑"/>
                <w:color w:val="000000"/>
                <w:sz w:val="24"/>
                <w:highlight w:val="none"/>
                <w:lang w:bidi="ar"/>
              </w:rPr>
            </w:pPr>
            <w:r>
              <w:rPr>
                <w:rFonts w:hint="eastAsia" w:ascii="宋体" w:hAnsi="宋体" w:cs="微软雅黑"/>
                <w:color w:val="000000"/>
                <w:sz w:val="24"/>
                <w:highlight w:val="none"/>
                <w:lang w:bidi="ar"/>
              </w:rPr>
              <w:t>15</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1202741E">
            <w:pPr>
              <w:jc w:val="center"/>
              <w:rPr>
                <w:rFonts w:ascii="宋体" w:hAnsi="宋体" w:cs="微软雅黑"/>
                <w:b/>
                <w:color w:val="000000"/>
                <w:sz w:val="24"/>
                <w:highlight w:val="none"/>
              </w:rPr>
            </w:pPr>
          </w:p>
        </w:tc>
      </w:tr>
      <w:tr w14:paraId="163F3436">
        <w:tblPrEx>
          <w:tblCellMar>
            <w:top w:w="15" w:type="dxa"/>
            <w:left w:w="15" w:type="dxa"/>
            <w:bottom w:w="15" w:type="dxa"/>
            <w:right w:w="15" w:type="dxa"/>
          </w:tblCellMar>
        </w:tblPrEx>
        <w:trPr>
          <w:trHeight w:val="1621" w:hRule="atLeast"/>
        </w:trPr>
        <w:tc>
          <w:tcPr>
            <w:tcW w:w="1569" w:type="dxa"/>
            <w:tcBorders>
              <w:top w:val="single" w:color="000000" w:sz="4" w:space="0"/>
              <w:left w:val="single" w:color="000000" w:sz="4" w:space="0"/>
              <w:bottom w:val="single" w:color="000000" w:sz="4" w:space="0"/>
              <w:right w:val="single" w:color="000000" w:sz="4" w:space="0"/>
            </w:tcBorders>
            <w:noWrap w:val="0"/>
            <w:vAlign w:val="center"/>
          </w:tcPr>
          <w:p w14:paraId="62091A9A">
            <w:pPr>
              <w:widowControl/>
              <w:jc w:val="center"/>
              <w:textAlignment w:val="center"/>
              <w:rPr>
                <w:rFonts w:ascii="宋体" w:hAnsi="宋体" w:cs="微软雅黑"/>
                <w:color w:val="000000"/>
                <w:sz w:val="24"/>
                <w:highlight w:val="none"/>
              </w:rPr>
            </w:pPr>
            <w:r>
              <w:rPr>
                <w:rFonts w:hint="eastAsia" w:ascii="宋体" w:hAnsi="宋体" w:cs="微软雅黑"/>
                <w:color w:val="000000"/>
                <w:sz w:val="24"/>
                <w:highlight w:val="none"/>
                <w:lang w:bidi="ar"/>
              </w:rPr>
              <w:t>服务质量</w:t>
            </w:r>
          </w:p>
        </w:tc>
        <w:tc>
          <w:tcPr>
            <w:tcW w:w="5613" w:type="dxa"/>
            <w:tcBorders>
              <w:top w:val="single" w:color="000000" w:sz="4" w:space="0"/>
              <w:left w:val="single" w:color="000000" w:sz="4" w:space="0"/>
              <w:bottom w:val="single" w:color="000000" w:sz="4" w:space="0"/>
              <w:right w:val="single" w:color="000000" w:sz="4" w:space="0"/>
            </w:tcBorders>
            <w:noWrap w:val="0"/>
            <w:vAlign w:val="center"/>
          </w:tcPr>
          <w:p w14:paraId="1C959E1B">
            <w:pPr>
              <w:widowControl/>
              <w:textAlignment w:val="center"/>
              <w:rPr>
                <w:rFonts w:ascii="宋体" w:hAnsi="宋体" w:cs="微软雅黑"/>
                <w:color w:val="000000"/>
                <w:sz w:val="24"/>
                <w:highlight w:val="none"/>
              </w:rPr>
            </w:pPr>
            <w:r>
              <w:rPr>
                <w:rFonts w:ascii="宋体" w:hAnsi="宋体" w:cs="微软雅黑"/>
                <w:color w:val="000000"/>
                <w:sz w:val="24"/>
                <w:highlight w:val="none"/>
              </w:rPr>
              <w:t>保险公司严格按照保险合同条款提供服务，理赔流程规范、资料审核严谨且准确，得 20 分；理赔审核出现轻微失误但及时纠正，未造成</w:t>
            </w:r>
            <w:r>
              <w:rPr>
                <w:rFonts w:hint="eastAsia" w:ascii="宋体" w:hAnsi="宋体" w:cs="微软雅黑"/>
                <w:color w:val="000000"/>
                <w:sz w:val="24"/>
                <w:highlight w:val="none"/>
                <w:lang w:val="en-US" w:eastAsia="zh-CN"/>
              </w:rPr>
              <w:t>医院</w:t>
            </w:r>
            <w:r>
              <w:rPr>
                <w:rFonts w:ascii="宋体" w:hAnsi="宋体" w:cs="微软雅黑"/>
                <w:color w:val="000000"/>
                <w:sz w:val="24"/>
                <w:highlight w:val="none"/>
              </w:rPr>
              <w:t>损失，扣 3-5 分；因服务质量问题导致</w:t>
            </w:r>
            <w:r>
              <w:rPr>
                <w:rFonts w:hint="eastAsia" w:ascii="宋体" w:hAnsi="宋体" w:cs="微软雅黑"/>
                <w:color w:val="000000"/>
                <w:sz w:val="24"/>
                <w:highlight w:val="none"/>
                <w:lang w:val="en-US" w:eastAsia="zh-CN"/>
              </w:rPr>
              <w:t>医院</w:t>
            </w:r>
            <w:r>
              <w:rPr>
                <w:rFonts w:ascii="宋体" w:hAnsi="宋体" w:cs="微软雅黑"/>
                <w:color w:val="000000"/>
                <w:sz w:val="24"/>
                <w:highlight w:val="none"/>
              </w:rPr>
              <w:t>合理诉求未得到满足，引发</w:t>
            </w:r>
            <w:r>
              <w:rPr>
                <w:rFonts w:hint="eastAsia" w:ascii="宋体" w:hAnsi="宋体" w:cs="微软雅黑"/>
                <w:color w:val="000000"/>
                <w:sz w:val="24"/>
                <w:highlight w:val="none"/>
                <w:lang w:val="en-US" w:eastAsia="zh-CN"/>
              </w:rPr>
              <w:t>医院</w:t>
            </w:r>
            <w:r>
              <w:rPr>
                <w:rFonts w:ascii="宋体" w:hAnsi="宋体" w:cs="微软雅黑"/>
                <w:color w:val="000000"/>
                <w:sz w:val="24"/>
                <w:highlight w:val="none"/>
              </w:rPr>
              <w:t>不满，扣 6-10 分；服务质量问题严重，违反保险合同核心条款，扣 10 分以上直至扣完。保险服务人员需保持稳定性，除特殊情况外不得随意更换，如需更换，需提前 10 天向监管方或合作方报备并经同意，否则每人次扣 5 分。</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6A16D02C">
            <w:pPr>
              <w:widowControl/>
              <w:jc w:val="center"/>
              <w:textAlignment w:val="center"/>
              <w:rPr>
                <w:rFonts w:ascii="宋体" w:hAnsi="宋体" w:cs="微软雅黑"/>
                <w:color w:val="000000"/>
                <w:sz w:val="24"/>
                <w:highlight w:val="none"/>
                <w:lang w:bidi="ar"/>
              </w:rPr>
            </w:pPr>
          </w:p>
          <w:p w14:paraId="3E32B303">
            <w:pPr>
              <w:widowControl/>
              <w:jc w:val="center"/>
              <w:textAlignment w:val="center"/>
              <w:rPr>
                <w:rFonts w:ascii="宋体" w:hAnsi="宋体" w:cs="微软雅黑"/>
                <w:color w:val="000000"/>
                <w:sz w:val="24"/>
                <w:highlight w:val="none"/>
              </w:rPr>
            </w:pPr>
            <w:r>
              <w:rPr>
                <w:rFonts w:hint="eastAsia" w:ascii="宋体" w:hAnsi="宋体" w:cs="微软雅黑"/>
                <w:color w:val="000000"/>
                <w:sz w:val="24"/>
                <w:highlight w:val="none"/>
              </w:rPr>
              <w:t>20</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1B27BE18">
            <w:pPr>
              <w:jc w:val="center"/>
              <w:rPr>
                <w:rFonts w:ascii="宋体" w:hAnsi="宋体" w:cs="微软雅黑"/>
                <w:b/>
                <w:color w:val="000000"/>
                <w:sz w:val="24"/>
                <w:highlight w:val="none"/>
              </w:rPr>
            </w:pPr>
          </w:p>
        </w:tc>
      </w:tr>
      <w:tr w14:paraId="5F55F974">
        <w:tblPrEx>
          <w:tblCellMar>
            <w:top w:w="15" w:type="dxa"/>
            <w:left w:w="15" w:type="dxa"/>
            <w:bottom w:w="15" w:type="dxa"/>
            <w:right w:w="15" w:type="dxa"/>
          </w:tblCellMar>
        </w:tblPrEx>
        <w:trPr>
          <w:trHeight w:val="1441" w:hRule="atLeast"/>
        </w:trPr>
        <w:tc>
          <w:tcPr>
            <w:tcW w:w="1569" w:type="dxa"/>
            <w:tcBorders>
              <w:top w:val="single" w:color="000000" w:sz="4" w:space="0"/>
              <w:left w:val="single" w:color="000000" w:sz="4" w:space="0"/>
              <w:bottom w:val="single" w:color="000000" w:sz="4" w:space="0"/>
              <w:right w:val="single" w:color="000000" w:sz="4" w:space="0"/>
            </w:tcBorders>
            <w:noWrap w:val="0"/>
            <w:vAlign w:val="center"/>
          </w:tcPr>
          <w:p w14:paraId="10530304">
            <w:pPr>
              <w:widowControl/>
              <w:jc w:val="center"/>
              <w:textAlignment w:val="center"/>
              <w:rPr>
                <w:rFonts w:ascii="宋体" w:hAnsi="宋体" w:cs="微软雅黑"/>
                <w:color w:val="000000"/>
                <w:sz w:val="24"/>
                <w:highlight w:val="none"/>
                <w:lang w:bidi="ar"/>
              </w:rPr>
            </w:pPr>
          </w:p>
          <w:p w14:paraId="64F31484">
            <w:pPr>
              <w:widowControl/>
              <w:jc w:val="center"/>
              <w:textAlignment w:val="center"/>
              <w:rPr>
                <w:rFonts w:ascii="宋体" w:hAnsi="宋体" w:cs="微软雅黑"/>
                <w:color w:val="000000"/>
                <w:sz w:val="24"/>
                <w:highlight w:val="none"/>
              </w:rPr>
            </w:pPr>
            <w:r>
              <w:rPr>
                <w:rFonts w:hint="eastAsia" w:ascii="宋体" w:hAnsi="宋体" w:cs="微软雅黑"/>
                <w:color w:val="000000"/>
                <w:sz w:val="24"/>
                <w:highlight w:val="none"/>
              </w:rPr>
              <w:t>服务响应</w:t>
            </w:r>
          </w:p>
        </w:tc>
        <w:tc>
          <w:tcPr>
            <w:tcW w:w="5613" w:type="dxa"/>
            <w:tcBorders>
              <w:top w:val="single" w:color="000000" w:sz="4" w:space="0"/>
              <w:left w:val="single" w:color="000000" w:sz="4" w:space="0"/>
              <w:bottom w:val="single" w:color="000000" w:sz="4" w:space="0"/>
              <w:right w:val="single" w:color="000000" w:sz="4" w:space="0"/>
            </w:tcBorders>
            <w:noWrap w:val="0"/>
            <w:vAlign w:val="center"/>
          </w:tcPr>
          <w:p w14:paraId="65809859">
            <w:pPr>
              <w:widowControl/>
              <w:textAlignment w:val="center"/>
              <w:rPr>
                <w:rFonts w:ascii="宋体" w:hAnsi="宋体" w:cs="微软雅黑"/>
                <w:color w:val="000000"/>
                <w:sz w:val="24"/>
                <w:highlight w:val="none"/>
              </w:rPr>
            </w:pPr>
            <w:r>
              <w:rPr>
                <w:rFonts w:ascii="宋体" w:hAnsi="宋体" w:cs="微软雅黑"/>
                <w:color w:val="000000"/>
                <w:sz w:val="24"/>
                <w:highlight w:val="none"/>
              </w:rPr>
              <w:t>对于</w:t>
            </w:r>
            <w:r>
              <w:rPr>
                <w:rFonts w:hint="eastAsia" w:ascii="宋体" w:hAnsi="宋体" w:cs="微软雅黑"/>
                <w:color w:val="000000"/>
                <w:sz w:val="24"/>
                <w:highlight w:val="none"/>
                <w:lang w:val="en-US" w:eastAsia="zh-CN"/>
              </w:rPr>
              <w:t>医院</w:t>
            </w:r>
            <w:r>
              <w:rPr>
                <w:rFonts w:ascii="宋体" w:hAnsi="宋体" w:cs="微软雅黑"/>
                <w:color w:val="000000"/>
                <w:sz w:val="24"/>
                <w:highlight w:val="none"/>
              </w:rPr>
              <w:t>的咨询、报案等需求，保险公司在 1 小时内响应，得 20 分；1-3 小时内响应，未造成</w:t>
            </w:r>
            <w:r>
              <w:rPr>
                <w:rFonts w:hint="eastAsia" w:ascii="宋体" w:hAnsi="宋体" w:cs="微软雅黑"/>
                <w:color w:val="000000"/>
                <w:sz w:val="24"/>
                <w:highlight w:val="none"/>
                <w:lang w:val="en-US" w:eastAsia="zh-CN"/>
              </w:rPr>
              <w:t>医院</w:t>
            </w:r>
            <w:r>
              <w:rPr>
                <w:rFonts w:ascii="宋体" w:hAnsi="宋体" w:cs="微软雅黑"/>
                <w:color w:val="000000"/>
                <w:sz w:val="24"/>
                <w:highlight w:val="none"/>
              </w:rPr>
              <w:t>不便，得 15 分；3 小时以上响应，或因响应延迟导致</w:t>
            </w:r>
            <w:r>
              <w:rPr>
                <w:rFonts w:hint="eastAsia" w:ascii="宋体" w:hAnsi="宋体" w:cs="微软雅黑"/>
                <w:color w:val="000000"/>
                <w:sz w:val="24"/>
                <w:highlight w:val="none"/>
                <w:lang w:val="en-US" w:eastAsia="zh-CN"/>
              </w:rPr>
              <w:t>医院</w:t>
            </w:r>
            <w:r>
              <w:rPr>
                <w:rFonts w:ascii="宋体" w:hAnsi="宋体" w:cs="微软雅黑"/>
                <w:color w:val="000000"/>
                <w:sz w:val="24"/>
                <w:highlight w:val="none"/>
              </w:rPr>
              <w:t>问题恶化，扣 5-10 分；无正当理由拒绝响应，扣 10 分以上直至扣完。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7A0AF133">
            <w:pPr>
              <w:widowControl/>
              <w:jc w:val="center"/>
              <w:textAlignment w:val="center"/>
              <w:rPr>
                <w:rFonts w:ascii="宋体" w:hAnsi="宋体" w:cs="微软雅黑"/>
                <w:color w:val="000000"/>
                <w:sz w:val="24"/>
                <w:highlight w:val="none"/>
              </w:rPr>
            </w:pPr>
            <w:r>
              <w:rPr>
                <w:rFonts w:hint="eastAsia" w:ascii="宋体" w:hAnsi="宋体" w:cs="微软雅黑"/>
                <w:color w:val="000000"/>
                <w:sz w:val="24"/>
                <w:highlight w:val="none"/>
                <w:lang w:bidi="ar"/>
              </w:rPr>
              <w:t>20</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6A4073C5">
            <w:pPr>
              <w:jc w:val="center"/>
              <w:rPr>
                <w:rFonts w:ascii="宋体" w:hAnsi="宋体" w:cs="微软雅黑"/>
                <w:b/>
                <w:color w:val="000000"/>
                <w:sz w:val="24"/>
                <w:highlight w:val="none"/>
              </w:rPr>
            </w:pPr>
          </w:p>
        </w:tc>
      </w:tr>
      <w:tr w14:paraId="51B60E9B">
        <w:tblPrEx>
          <w:tblCellMar>
            <w:top w:w="15" w:type="dxa"/>
            <w:left w:w="15" w:type="dxa"/>
            <w:bottom w:w="15" w:type="dxa"/>
            <w:right w:w="15" w:type="dxa"/>
          </w:tblCellMar>
        </w:tblPrEx>
        <w:trPr>
          <w:trHeight w:val="1501" w:hRule="atLeast"/>
        </w:trPr>
        <w:tc>
          <w:tcPr>
            <w:tcW w:w="1569" w:type="dxa"/>
            <w:tcBorders>
              <w:top w:val="single" w:color="000000" w:sz="4" w:space="0"/>
              <w:left w:val="single" w:color="000000" w:sz="4" w:space="0"/>
              <w:bottom w:val="single" w:color="000000" w:sz="4" w:space="0"/>
              <w:right w:val="single" w:color="000000" w:sz="4" w:space="0"/>
            </w:tcBorders>
            <w:noWrap w:val="0"/>
            <w:vAlign w:val="center"/>
          </w:tcPr>
          <w:p w14:paraId="16A77D78">
            <w:pPr>
              <w:widowControl/>
              <w:jc w:val="center"/>
              <w:textAlignment w:val="center"/>
              <w:rPr>
                <w:rFonts w:ascii="宋体" w:hAnsi="宋体" w:cs="微软雅黑"/>
                <w:color w:val="000000"/>
                <w:sz w:val="24"/>
                <w:highlight w:val="none"/>
                <w:lang w:bidi="ar"/>
              </w:rPr>
            </w:pPr>
          </w:p>
          <w:p w14:paraId="1F1BB94F">
            <w:pPr>
              <w:widowControl/>
              <w:jc w:val="center"/>
              <w:textAlignment w:val="center"/>
              <w:rPr>
                <w:rFonts w:ascii="宋体" w:hAnsi="宋体" w:cs="微软雅黑"/>
                <w:color w:val="000000"/>
                <w:sz w:val="24"/>
                <w:highlight w:val="none"/>
              </w:rPr>
            </w:pPr>
            <w:r>
              <w:rPr>
                <w:rFonts w:ascii="宋体" w:hAnsi="宋体" w:cs="微软雅黑"/>
                <w:color w:val="000000"/>
                <w:sz w:val="24"/>
                <w:highlight w:val="none"/>
              </w:rPr>
              <w:t>理赔处理效率</w:t>
            </w:r>
          </w:p>
        </w:tc>
        <w:tc>
          <w:tcPr>
            <w:tcW w:w="5613" w:type="dxa"/>
            <w:tcBorders>
              <w:top w:val="single" w:color="000000" w:sz="4" w:space="0"/>
              <w:left w:val="single" w:color="000000" w:sz="4" w:space="0"/>
              <w:bottom w:val="single" w:color="000000" w:sz="4" w:space="0"/>
              <w:right w:val="single" w:color="000000" w:sz="4" w:space="0"/>
            </w:tcBorders>
            <w:noWrap w:val="0"/>
            <w:vAlign w:val="center"/>
          </w:tcPr>
          <w:p w14:paraId="492C2D1D">
            <w:pPr>
              <w:widowControl/>
              <w:textAlignment w:val="center"/>
              <w:rPr>
                <w:rFonts w:ascii="宋体" w:hAnsi="宋体" w:cs="微软雅黑"/>
                <w:color w:val="000000"/>
                <w:sz w:val="24"/>
                <w:highlight w:val="none"/>
              </w:rPr>
            </w:pPr>
            <w:r>
              <w:rPr>
                <w:rFonts w:ascii="宋体" w:hAnsi="宋体" w:cs="微软雅黑"/>
                <w:color w:val="000000"/>
                <w:sz w:val="24"/>
                <w:highlight w:val="none"/>
              </w:rPr>
              <w:t>保险公司在合同约定时间内完成理赔审核及赔付，得 20 分；在约定时间的 1.5 倍内完成理赔，且无</w:t>
            </w:r>
            <w:r>
              <w:rPr>
                <w:rFonts w:hint="eastAsia" w:ascii="宋体" w:hAnsi="宋体" w:cs="微软雅黑"/>
                <w:color w:val="000000"/>
                <w:sz w:val="24"/>
                <w:highlight w:val="none"/>
                <w:lang w:val="en-US" w:eastAsia="zh-CN"/>
              </w:rPr>
              <w:t>医院</w:t>
            </w:r>
            <w:r>
              <w:rPr>
                <w:rFonts w:ascii="宋体" w:hAnsi="宋体" w:cs="微软雅黑"/>
                <w:color w:val="000000"/>
                <w:sz w:val="24"/>
                <w:highlight w:val="none"/>
              </w:rPr>
              <w:t>投诉，得 15 分；超出约定时间 1.5 倍以上完成，或因理赔延迟引发</w:t>
            </w:r>
            <w:r>
              <w:rPr>
                <w:rFonts w:hint="eastAsia" w:ascii="宋体" w:hAnsi="宋体" w:cs="微软雅黑"/>
                <w:color w:val="000000"/>
                <w:sz w:val="24"/>
                <w:highlight w:val="none"/>
                <w:lang w:val="en-US" w:eastAsia="zh-CN"/>
              </w:rPr>
              <w:t>医院</w:t>
            </w:r>
            <w:r>
              <w:rPr>
                <w:rFonts w:ascii="宋体" w:hAnsi="宋体" w:cs="微软雅黑"/>
                <w:color w:val="000000"/>
                <w:sz w:val="24"/>
                <w:highlight w:val="none"/>
              </w:rPr>
              <w:t>投诉，扣 5-10 分；无故拖延理赔、拒绝合理理赔，扣 10 分以上直至扣完。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1DFC9932">
            <w:pPr>
              <w:widowControl/>
              <w:jc w:val="center"/>
              <w:textAlignment w:val="center"/>
              <w:rPr>
                <w:rFonts w:ascii="宋体" w:hAnsi="宋体" w:cs="微软雅黑"/>
                <w:color w:val="000000"/>
                <w:sz w:val="24"/>
                <w:highlight w:val="none"/>
                <w:lang w:bidi="ar"/>
              </w:rPr>
            </w:pPr>
          </w:p>
          <w:p w14:paraId="5BF54385">
            <w:pPr>
              <w:widowControl/>
              <w:jc w:val="center"/>
              <w:textAlignment w:val="center"/>
              <w:rPr>
                <w:rFonts w:ascii="宋体" w:hAnsi="宋体" w:cs="微软雅黑"/>
                <w:color w:val="000000"/>
                <w:sz w:val="24"/>
                <w:highlight w:val="none"/>
              </w:rPr>
            </w:pPr>
            <w:r>
              <w:rPr>
                <w:rFonts w:hint="eastAsia" w:ascii="宋体" w:hAnsi="宋体" w:cs="微软雅黑"/>
                <w:color w:val="000000"/>
                <w:sz w:val="24"/>
                <w:highlight w:val="none"/>
                <w:lang w:bidi="ar"/>
              </w:rPr>
              <w:t>20</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69AD0E04">
            <w:pPr>
              <w:jc w:val="center"/>
              <w:rPr>
                <w:rFonts w:ascii="宋体" w:hAnsi="宋体" w:cs="微软雅黑"/>
                <w:b/>
                <w:color w:val="000000"/>
                <w:sz w:val="24"/>
                <w:highlight w:val="none"/>
              </w:rPr>
            </w:pPr>
          </w:p>
        </w:tc>
      </w:tr>
      <w:tr w14:paraId="7BA13290">
        <w:tblPrEx>
          <w:tblCellMar>
            <w:top w:w="15" w:type="dxa"/>
            <w:left w:w="15" w:type="dxa"/>
            <w:bottom w:w="15" w:type="dxa"/>
            <w:right w:w="15" w:type="dxa"/>
          </w:tblCellMar>
        </w:tblPrEx>
        <w:trPr>
          <w:trHeight w:val="855" w:hRule="atLeast"/>
        </w:trPr>
        <w:tc>
          <w:tcPr>
            <w:tcW w:w="1569" w:type="dxa"/>
            <w:tcBorders>
              <w:top w:val="single" w:color="000000" w:sz="4" w:space="0"/>
              <w:left w:val="single" w:color="000000" w:sz="4" w:space="0"/>
              <w:bottom w:val="single" w:color="000000" w:sz="4" w:space="0"/>
              <w:right w:val="single" w:color="000000" w:sz="4" w:space="0"/>
            </w:tcBorders>
            <w:noWrap w:val="0"/>
            <w:vAlign w:val="center"/>
          </w:tcPr>
          <w:p w14:paraId="6CF82980">
            <w:pPr>
              <w:widowControl/>
              <w:jc w:val="center"/>
              <w:textAlignment w:val="center"/>
              <w:rPr>
                <w:rFonts w:ascii="宋体" w:hAnsi="宋体" w:cs="微软雅黑"/>
                <w:color w:val="000000"/>
                <w:sz w:val="24"/>
                <w:highlight w:val="none"/>
                <w:lang w:bidi="ar"/>
              </w:rPr>
            </w:pPr>
          </w:p>
          <w:p w14:paraId="5B763AD0">
            <w:pPr>
              <w:widowControl/>
              <w:jc w:val="center"/>
              <w:textAlignment w:val="center"/>
              <w:rPr>
                <w:rFonts w:ascii="宋体" w:hAnsi="宋体" w:cs="微软雅黑"/>
                <w:color w:val="000000"/>
                <w:sz w:val="24"/>
                <w:highlight w:val="none"/>
              </w:rPr>
            </w:pPr>
            <w:r>
              <w:rPr>
                <w:rFonts w:ascii="宋体" w:hAnsi="宋体" w:cs="微软雅黑"/>
                <w:color w:val="000000"/>
                <w:sz w:val="24"/>
                <w:highlight w:val="none"/>
              </w:rPr>
              <w:t>服务报告</w:t>
            </w:r>
          </w:p>
        </w:tc>
        <w:tc>
          <w:tcPr>
            <w:tcW w:w="5613" w:type="dxa"/>
            <w:tcBorders>
              <w:top w:val="single" w:color="000000" w:sz="4" w:space="0"/>
              <w:left w:val="single" w:color="000000" w:sz="4" w:space="0"/>
              <w:bottom w:val="single" w:color="000000" w:sz="4" w:space="0"/>
              <w:right w:val="single" w:color="000000" w:sz="4" w:space="0"/>
            </w:tcBorders>
            <w:noWrap w:val="0"/>
            <w:vAlign w:val="center"/>
          </w:tcPr>
          <w:p w14:paraId="601EA959">
            <w:pPr>
              <w:widowControl/>
              <w:textAlignment w:val="center"/>
              <w:rPr>
                <w:rFonts w:ascii="宋体" w:hAnsi="宋体" w:cs="微软雅黑"/>
                <w:color w:val="000000"/>
                <w:sz w:val="24"/>
                <w:highlight w:val="none"/>
              </w:rPr>
            </w:pPr>
            <w:r>
              <w:rPr>
                <w:rFonts w:ascii="宋体" w:hAnsi="宋体" w:cs="微软雅黑"/>
                <w:color w:val="000000"/>
                <w:sz w:val="24"/>
                <w:highlight w:val="none"/>
              </w:rPr>
              <w:t>按要求定期提交服务质量报告、理赔数据报告等，内容完整准确，得 15 分；报告提交延迟，扣 2-3 分 / 次；报告内容存在错误或缺失，扣 3-5 分 / 次；未按规定提交报告，扣 5 分以上直至扣完。</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120C0FC9">
            <w:pPr>
              <w:widowControl/>
              <w:jc w:val="center"/>
              <w:textAlignment w:val="center"/>
              <w:rPr>
                <w:rFonts w:ascii="宋体" w:hAnsi="宋体" w:cs="微软雅黑"/>
                <w:color w:val="000000"/>
                <w:sz w:val="24"/>
                <w:highlight w:val="none"/>
              </w:rPr>
            </w:pPr>
            <w:r>
              <w:rPr>
                <w:rFonts w:hint="eastAsia" w:ascii="宋体" w:hAnsi="宋体" w:cs="微软雅黑"/>
                <w:color w:val="000000"/>
                <w:sz w:val="24"/>
                <w:highlight w:val="none"/>
                <w:lang w:bidi="ar"/>
              </w:rPr>
              <w:t>15</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03A954D6">
            <w:pPr>
              <w:jc w:val="center"/>
              <w:rPr>
                <w:rFonts w:ascii="宋体" w:hAnsi="宋体" w:cs="微软雅黑"/>
                <w:b/>
                <w:color w:val="000000"/>
                <w:sz w:val="24"/>
                <w:highlight w:val="none"/>
              </w:rPr>
            </w:pPr>
          </w:p>
        </w:tc>
      </w:tr>
      <w:tr w14:paraId="39DB7E7F">
        <w:tblPrEx>
          <w:tblCellMar>
            <w:top w:w="15" w:type="dxa"/>
            <w:left w:w="15" w:type="dxa"/>
            <w:bottom w:w="15" w:type="dxa"/>
            <w:right w:w="15" w:type="dxa"/>
          </w:tblCellMar>
        </w:tblPrEx>
        <w:trPr>
          <w:trHeight w:val="1140" w:hRule="atLeast"/>
        </w:trPr>
        <w:tc>
          <w:tcPr>
            <w:tcW w:w="1569" w:type="dxa"/>
            <w:tcBorders>
              <w:top w:val="single" w:color="000000" w:sz="4" w:space="0"/>
              <w:left w:val="single" w:color="000000" w:sz="4" w:space="0"/>
              <w:bottom w:val="single" w:color="000000" w:sz="4" w:space="0"/>
              <w:right w:val="single" w:color="000000" w:sz="4" w:space="0"/>
            </w:tcBorders>
            <w:noWrap w:val="0"/>
            <w:vAlign w:val="center"/>
          </w:tcPr>
          <w:p w14:paraId="27205F6B">
            <w:pPr>
              <w:widowControl/>
              <w:jc w:val="center"/>
              <w:textAlignment w:val="center"/>
              <w:rPr>
                <w:rFonts w:ascii="宋体" w:hAnsi="宋体" w:cs="微软雅黑"/>
                <w:color w:val="000000"/>
                <w:sz w:val="24"/>
                <w:highlight w:val="none"/>
              </w:rPr>
            </w:pPr>
            <w:r>
              <w:rPr>
                <w:rFonts w:ascii="宋体" w:hAnsi="宋体" w:cs="微软雅黑"/>
                <w:color w:val="000000"/>
                <w:sz w:val="24"/>
                <w:highlight w:val="none"/>
              </w:rPr>
              <w:t>特殊时期服务保障</w:t>
            </w:r>
          </w:p>
        </w:tc>
        <w:tc>
          <w:tcPr>
            <w:tcW w:w="5613" w:type="dxa"/>
            <w:tcBorders>
              <w:top w:val="single" w:color="000000" w:sz="4" w:space="0"/>
              <w:left w:val="single" w:color="000000" w:sz="4" w:space="0"/>
              <w:bottom w:val="single" w:color="000000" w:sz="4" w:space="0"/>
              <w:right w:val="single" w:color="000000" w:sz="4" w:space="0"/>
            </w:tcBorders>
            <w:noWrap w:val="0"/>
            <w:vAlign w:val="center"/>
          </w:tcPr>
          <w:p w14:paraId="3D0315E5">
            <w:pPr>
              <w:widowControl/>
              <w:textAlignment w:val="center"/>
              <w:rPr>
                <w:rFonts w:ascii="宋体" w:hAnsi="宋体" w:cs="微软雅黑"/>
                <w:color w:val="000000"/>
                <w:sz w:val="24"/>
                <w:highlight w:val="none"/>
              </w:rPr>
            </w:pPr>
            <w:r>
              <w:rPr>
                <w:rFonts w:ascii="宋体" w:hAnsi="宋体" w:cs="微软雅黑"/>
                <w:color w:val="000000"/>
                <w:sz w:val="24"/>
                <w:highlight w:val="none"/>
              </w:rPr>
              <w:t>在重大灾害、疫情等特殊时期，能提供便捷高效的保险服务，如开通绿色通道、简化理赔流程等，得 10 分；特殊时期服务未受影响，维持正常服务水平，得 8 分；特殊时期服务出现中断或严重下降，扣 3-5 分 / 次；特殊时期拒不提供服务，扣 10 分。</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68BBAA0D">
            <w:pPr>
              <w:widowControl/>
              <w:jc w:val="center"/>
              <w:textAlignment w:val="center"/>
              <w:rPr>
                <w:rFonts w:ascii="宋体" w:hAnsi="宋体" w:cs="微软雅黑"/>
                <w:color w:val="000000"/>
                <w:sz w:val="24"/>
                <w:highlight w:val="none"/>
              </w:rPr>
            </w:pPr>
            <w:r>
              <w:rPr>
                <w:rFonts w:hint="eastAsia" w:ascii="宋体" w:hAnsi="宋体" w:cs="微软雅黑"/>
                <w:color w:val="000000"/>
                <w:sz w:val="24"/>
                <w:highlight w:val="none"/>
                <w:lang w:bidi="ar"/>
              </w:rPr>
              <w:t>10</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562BAA6B">
            <w:pPr>
              <w:jc w:val="center"/>
              <w:rPr>
                <w:rFonts w:ascii="宋体" w:hAnsi="宋体" w:cs="微软雅黑"/>
                <w:b/>
                <w:color w:val="000000"/>
                <w:sz w:val="24"/>
                <w:highlight w:val="none"/>
              </w:rPr>
            </w:pPr>
          </w:p>
        </w:tc>
      </w:tr>
      <w:tr w14:paraId="068CDC20">
        <w:tblPrEx>
          <w:tblCellMar>
            <w:top w:w="15" w:type="dxa"/>
            <w:left w:w="15" w:type="dxa"/>
            <w:bottom w:w="15" w:type="dxa"/>
            <w:right w:w="15" w:type="dxa"/>
          </w:tblCellMar>
        </w:tblPrEx>
        <w:trPr>
          <w:trHeight w:val="435" w:hRule="atLeast"/>
        </w:trPr>
        <w:tc>
          <w:tcPr>
            <w:tcW w:w="7182" w:type="dxa"/>
            <w:gridSpan w:val="2"/>
            <w:tcBorders>
              <w:top w:val="single" w:color="000000" w:sz="4" w:space="0"/>
              <w:left w:val="single" w:color="000000" w:sz="4" w:space="0"/>
              <w:bottom w:val="single" w:color="auto" w:sz="4" w:space="0"/>
              <w:right w:val="single" w:color="auto" w:sz="4" w:space="0"/>
            </w:tcBorders>
            <w:noWrap w:val="0"/>
            <w:vAlign w:val="center"/>
          </w:tcPr>
          <w:p w14:paraId="2B8A331F">
            <w:pPr>
              <w:textAlignment w:val="center"/>
              <w:rPr>
                <w:rFonts w:ascii="宋体" w:hAnsi="宋体" w:cs="微软雅黑"/>
                <w:b/>
                <w:color w:val="000000"/>
                <w:sz w:val="24"/>
                <w:highlight w:val="none"/>
                <w:lang w:bidi="ar"/>
              </w:rPr>
            </w:pPr>
          </w:p>
          <w:p w14:paraId="4A4E88F9">
            <w:pPr>
              <w:widowControl/>
              <w:jc w:val="center"/>
              <w:textAlignment w:val="center"/>
              <w:rPr>
                <w:rFonts w:ascii="宋体" w:hAnsi="宋体" w:cs="微软雅黑"/>
                <w:b/>
                <w:color w:val="000000"/>
                <w:sz w:val="24"/>
                <w:highlight w:val="none"/>
                <w:lang w:bidi="ar"/>
              </w:rPr>
            </w:pPr>
            <w:r>
              <w:rPr>
                <w:rFonts w:hint="eastAsia" w:ascii="宋体" w:hAnsi="宋体" w:cs="微软雅黑"/>
                <w:b/>
                <w:color w:val="000000"/>
                <w:sz w:val="24"/>
                <w:highlight w:val="none"/>
                <w:lang w:bidi="ar"/>
              </w:rPr>
              <w:t>考评得分</w:t>
            </w:r>
          </w:p>
          <w:p w14:paraId="1624C475">
            <w:pPr>
              <w:textAlignment w:val="center"/>
              <w:rPr>
                <w:rFonts w:ascii="宋体" w:hAnsi="宋体" w:cs="微软雅黑"/>
                <w:b/>
                <w:color w:val="000000"/>
                <w:sz w:val="24"/>
                <w:highlight w:val="none"/>
              </w:rPr>
            </w:pPr>
          </w:p>
        </w:tc>
        <w:tc>
          <w:tcPr>
            <w:tcW w:w="1947" w:type="dxa"/>
            <w:gridSpan w:val="2"/>
            <w:tcBorders>
              <w:top w:val="single" w:color="000000" w:sz="4" w:space="0"/>
              <w:left w:val="single" w:color="auto" w:sz="4" w:space="0"/>
              <w:bottom w:val="single" w:color="auto" w:sz="4" w:space="0"/>
              <w:right w:val="single" w:color="000000" w:sz="4" w:space="0"/>
            </w:tcBorders>
            <w:noWrap w:val="0"/>
            <w:vAlign w:val="center"/>
          </w:tcPr>
          <w:p w14:paraId="77C95FA3">
            <w:pPr>
              <w:widowControl/>
              <w:jc w:val="left"/>
              <w:rPr>
                <w:rFonts w:ascii="宋体" w:hAnsi="宋体" w:cs="微软雅黑"/>
                <w:b/>
                <w:color w:val="000000"/>
                <w:sz w:val="24"/>
                <w:highlight w:val="none"/>
              </w:rPr>
            </w:pPr>
          </w:p>
          <w:p w14:paraId="6D07AD1F">
            <w:pPr>
              <w:textAlignment w:val="center"/>
              <w:rPr>
                <w:rFonts w:ascii="宋体" w:hAnsi="宋体" w:cs="微软雅黑"/>
                <w:b/>
                <w:color w:val="000000"/>
                <w:sz w:val="24"/>
                <w:highlight w:val="none"/>
              </w:rPr>
            </w:pPr>
          </w:p>
        </w:tc>
      </w:tr>
      <w:tr w14:paraId="680541CD">
        <w:tblPrEx>
          <w:tblCellMar>
            <w:top w:w="15" w:type="dxa"/>
            <w:left w:w="15" w:type="dxa"/>
            <w:bottom w:w="15" w:type="dxa"/>
            <w:right w:w="15" w:type="dxa"/>
          </w:tblCellMar>
        </w:tblPrEx>
        <w:trPr>
          <w:trHeight w:val="210" w:hRule="atLeast"/>
        </w:trPr>
        <w:tc>
          <w:tcPr>
            <w:tcW w:w="9129" w:type="dxa"/>
            <w:gridSpan w:val="4"/>
            <w:tcBorders>
              <w:top w:val="single" w:color="auto" w:sz="4" w:space="0"/>
              <w:left w:val="single" w:color="000000" w:sz="4" w:space="0"/>
              <w:bottom w:val="single" w:color="auto" w:sz="4" w:space="0"/>
              <w:right w:val="single" w:color="000000" w:sz="4" w:space="0"/>
            </w:tcBorders>
            <w:noWrap w:val="0"/>
            <w:vAlign w:val="center"/>
          </w:tcPr>
          <w:p w14:paraId="25544DAB">
            <w:pPr>
              <w:textAlignment w:val="center"/>
              <w:rPr>
                <w:rFonts w:ascii="宋体" w:hAnsi="宋体" w:cs="微软雅黑"/>
                <w:b/>
                <w:color w:val="000000"/>
                <w:sz w:val="24"/>
                <w:highlight w:val="none"/>
                <w:lang w:bidi="ar"/>
              </w:rPr>
            </w:pPr>
            <w:r>
              <w:rPr>
                <w:rFonts w:hint="eastAsia" w:ascii="宋体" w:hAnsi="宋体" w:cs="微软雅黑"/>
                <w:b/>
                <w:color w:val="000000"/>
                <w:sz w:val="24"/>
                <w:highlight w:val="none"/>
                <w:lang w:bidi="ar"/>
              </w:rPr>
              <w:t>客户意见</w:t>
            </w:r>
          </w:p>
          <w:p w14:paraId="65A5A1BB">
            <w:pPr>
              <w:textAlignment w:val="center"/>
              <w:rPr>
                <w:rFonts w:ascii="宋体" w:hAnsi="宋体" w:cs="微软雅黑"/>
                <w:b/>
                <w:color w:val="000000"/>
                <w:sz w:val="24"/>
                <w:highlight w:val="none"/>
                <w:lang w:bidi="ar"/>
              </w:rPr>
            </w:pPr>
          </w:p>
          <w:p w14:paraId="41497562">
            <w:pPr>
              <w:textAlignment w:val="center"/>
              <w:rPr>
                <w:rFonts w:ascii="宋体" w:hAnsi="宋体" w:cs="微软雅黑"/>
                <w:b/>
                <w:color w:val="000000"/>
                <w:sz w:val="24"/>
                <w:highlight w:val="none"/>
                <w:lang w:bidi="ar"/>
              </w:rPr>
            </w:pPr>
          </w:p>
          <w:p w14:paraId="30681294">
            <w:pPr>
              <w:textAlignment w:val="center"/>
              <w:rPr>
                <w:rFonts w:ascii="宋体" w:hAnsi="宋体" w:cs="微软雅黑"/>
                <w:b/>
                <w:color w:val="000000"/>
                <w:sz w:val="24"/>
                <w:highlight w:val="none"/>
                <w:lang w:bidi="ar"/>
              </w:rPr>
            </w:pPr>
          </w:p>
          <w:p w14:paraId="1DC2114D">
            <w:pPr>
              <w:textAlignment w:val="center"/>
              <w:rPr>
                <w:rFonts w:ascii="宋体" w:hAnsi="宋体" w:cs="微软雅黑"/>
                <w:b/>
                <w:color w:val="000000"/>
                <w:sz w:val="24"/>
                <w:highlight w:val="none"/>
                <w:lang w:bidi="ar"/>
              </w:rPr>
            </w:pPr>
          </w:p>
        </w:tc>
      </w:tr>
    </w:tbl>
    <w:p w14:paraId="408C18D3">
      <w:pPr>
        <w:rPr>
          <w:rFonts w:eastAsia="仿宋"/>
          <w:bCs/>
          <w:sz w:val="24"/>
          <w:highlight w:val="none"/>
        </w:rPr>
      </w:pPr>
      <w:r>
        <w:rPr>
          <w:rFonts w:eastAsia="仿宋"/>
          <w:bCs/>
          <w:sz w:val="24"/>
          <w:highlight w:val="none"/>
        </w:rPr>
        <w:br w:type="page"/>
      </w:r>
    </w:p>
    <w:p w14:paraId="1CD533DC">
      <w:pPr>
        <w:widowControl/>
        <w:adjustRightInd w:val="0"/>
        <w:snapToGrid w:val="0"/>
        <w:spacing w:line="360" w:lineRule="auto"/>
        <w:jc w:val="center"/>
        <w:rPr>
          <w:rFonts w:eastAsia="仿宋"/>
          <w:bCs/>
          <w:sz w:val="24"/>
        </w:rPr>
      </w:pPr>
    </w:p>
    <w:p w14:paraId="5C73556E">
      <w:pPr>
        <w:spacing w:line="360" w:lineRule="auto"/>
        <w:jc w:val="center"/>
        <w:rPr>
          <w:rFonts w:ascii="宋体" w:hAnsi="宋体" w:cs="宋体"/>
          <w:sz w:val="32"/>
          <w:szCs w:val="32"/>
        </w:rPr>
      </w:pPr>
    </w:p>
    <w:bookmarkEnd w:id="395"/>
    <w:p w14:paraId="25766BBE">
      <w:pPr>
        <w:spacing w:line="360" w:lineRule="auto"/>
        <w:jc w:val="center"/>
        <w:rPr>
          <w:rFonts w:ascii="宋体" w:hAnsi="宋体" w:cs="宋体"/>
          <w:sz w:val="32"/>
          <w:szCs w:val="32"/>
        </w:rPr>
      </w:pPr>
    </w:p>
    <w:p w14:paraId="3FE5A335">
      <w:pPr>
        <w:spacing w:line="360" w:lineRule="auto"/>
        <w:jc w:val="center"/>
        <w:rPr>
          <w:rFonts w:ascii="宋体" w:hAnsi="宋体" w:cs="宋体"/>
          <w:sz w:val="32"/>
          <w:szCs w:val="32"/>
        </w:rPr>
      </w:pPr>
    </w:p>
    <w:p w14:paraId="0BFA6480">
      <w:pPr>
        <w:spacing w:line="360" w:lineRule="auto"/>
        <w:jc w:val="center"/>
        <w:rPr>
          <w:rFonts w:ascii="宋体" w:hAnsi="宋体" w:cs="宋体"/>
          <w:sz w:val="32"/>
          <w:szCs w:val="32"/>
        </w:rPr>
      </w:pPr>
    </w:p>
    <w:p w14:paraId="498963B2">
      <w:pPr>
        <w:spacing w:line="360" w:lineRule="auto"/>
        <w:jc w:val="center"/>
        <w:rPr>
          <w:rFonts w:ascii="宋体" w:hAnsi="宋体" w:cs="宋体"/>
          <w:sz w:val="32"/>
          <w:szCs w:val="32"/>
        </w:rPr>
      </w:pPr>
    </w:p>
    <w:p w14:paraId="0DA64A10">
      <w:pPr>
        <w:spacing w:line="360" w:lineRule="auto"/>
        <w:jc w:val="center"/>
        <w:rPr>
          <w:rFonts w:ascii="宋体" w:hAnsi="宋体" w:cs="宋体"/>
          <w:sz w:val="32"/>
          <w:szCs w:val="32"/>
        </w:rPr>
      </w:pPr>
    </w:p>
    <w:p w14:paraId="35CCC60A">
      <w:pPr>
        <w:spacing w:line="360" w:lineRule="auto"/>
        <w:jc w:val="center"/>
        <w:rPr>
          <w:rFonts w:ascii="宋体" w:hAnsi="宋体" w:cs="宋体"/>
          <w:sz w:val="32"/>
          <w:szCs w:val="32"/>
        </w:rPr>
      </w:pPr>
    </w:p>
    <w:p w14:paraId="769BD814">
      <w:pPr>
        <w:spacing w:line="360" w:lineRule="auto"/>
        <w:jc w:val="center"/>
        <w:rPr>
          <w:rFonts w:ascii="宋体" w:hAnsi="宋体" w:cs="宋体"/>
          <w:sz w:val="32"/>
          <w:szCs w:val="32"/>
        </w:rPr>
      </w:pPr>
    </w:p>
    <w:p w14:paraId="40E3B08B">
      <w:pPr>
        <w:spacing w:line="360" w:lineRule="auto"/>
        <w:jc w:val="center"/>
        <w:rPr>
          <w:rFonts w:ascii="宋体" w:hAnsi="宋体" w:cs="宋体"/>
          <w:sz w:val="32"/>
          <w:szCs w:val="32"/>
        </w:rPr>
      </w:pPr>
    </w:p>
    <w:p w14:paraId="07A2FE2C">
      <w:pPr>
        <w:pStyle w:val="2"/>
        <w:rPr>
          <w:rFonts w:ascii="宋体" w:hAnsi="宋体" w:cs="宋体"/>
          <w:szCs w:val="21"/>
        </w:rPr>
      </w:pPr>
      <w:bookmarkStart w:id="397" w:name="_Toc12123"/>
      <w:bookmarkStart w:id="398" w:name="_Toc9500"/>
      <w:r>
        <w:rPr>
          <w:rFonts w:hint="eastAsia" w:ascii="宋体" w:hAnsi="宋体" w:cs="宋体"/>
          <w:szCs w:val="21"/>
        </w:rPr>
        <w:t>第四章 投标文件格式</w:t>
      </w:r>
      <w:bookmarkEnd w:id="396"/>
      <w:bookmarkEnd w:id="397"/>
      <w:bookmarkEnd w:id="398"/>
    </w:p>
    <w:p w14:paraId="197A6FC3">
      <w:pPr>
        <w:widowControl/>
        <w:jc w:val="left"/>
        <w:rPr>
          <w:rFonts w:ascii="宋体" w:hAnsi="宋体" w:cs="宋体"/>
          <w:b/>
          <w:bCs/>
          <w:kern w:val="0"/>
          <w:sz w:val="44"/>
          <w:szCs w:val="44"/>
        </w:rPr>
      </w:pPr>
      <w:r>
        <w:rPr>
          <w:rFonts w:hint="eastAsia" w:ascii="宋体" w:hAnsi="宋体" w:cs="宋体"/>
          <w:b/>
          <w:sz w:val="44"/>
          <w:szCs w:val="44"/>
        </w:rPr>
        <w:br w:type="page"/>
      </w:r>
    </w:p>
    <w:p w14:paraId="3D4DF05E">
      <w:pPr>
        <w:spacing w:line="360" w:lineRule="auto"/>
        <w:ind w:left="425"/>
        <w:jc w:val="center"/>
        <w:outlineLvl w:val="1"/>
        <w:rPr>
          <w:rFonts w:ascii="宋体" w:hAnsi="宋体" w:cs="宋体"/>
          <w:b/>
          <w:bCs/>
          <w:sz w:val="28"/>
          <w:szCs w:val="32"/>
        </w:rPr>
      </w:pPr>
      <w:bookmarkStart w:id="399" w:name="_Toc8306"/>
      <w:bookmarkStart w:id="400" w:name="_Toc10116"/>
      <w:bookmarkStart w:id="401" w:name="_Toc491307302"/>
      <w:bookmarkStart w:id="402" w:name="_Toc491307484"/>
      <w:bookmarkStart w:id="403" w:name="_Toc491307364"/>
      <w:bookmarkStart w:id="404" w:name="_Toc14582"/>
      <w:bookmarkStart w:id="405" w:name="_Toc19640"/>
      <w:bookmarkStart w:id="406" w:name="_Toc494043338"/>
      <w:bookmarkStart w:id="407" w:name="_Toc26152"/>
      <w:bookmarkStart w:id="408" w:name="_Toc5069"/>
      <w:r>
        <w:rPr>
          <w:rFonts w:hint="eastAsia" w:ascii="宋体" w:hAnsi="宋体" w:cs="宋体"/>
          <w:b/>
          <w:bCs/>
          <w:sz w:val="28"/>
          <w:szCs w:val="32"/>
        </w:rPr>
        <w:t>一、资格证明文件</w:t>
      </w:r>
      <w:bookmarkEnd w:id="399"/>
      <w:bookmarkEnd w:id="400"/>
      <w:bookmarkEnd w:id="401"/>
      <w:bookmarkEnd w:id="402"/>
      <w:bookmarkEnd w:id="403"/>
      <w:bookmarkEnd w:id="404"/>
      <w:bookmarkEnd w:id="405"/>
      <w:bookmarkEnd w:id="406"/>
      <w:bookmarkEnd w:id="407"/>
      <w:bookmarkEnd w:id="408"/>
    </w:p>
    <w:p w14:paraId="2991B5A8">
      <w:pPr>
        <w:pStyle w:val="21"/>
        <w:spacing w:line="360" w:lineRule="auto"/>
        <w:rPr>
          <w:rFonts w:hAnsi="宋体" w:cs="宋体"/>
          <w:szCs w:val="21"/>
        </w:rPr>
      </w:pPr>
      <w:r>
        <w:rPr>
          <w:rFonts w:hint="eastAsia" w:hAnsi="宋体" w:cs="宋体"/>
          <w:szCs w:val="21"/>
        </w:rPr>
        <w:t>1.投标人应填写和提交下述规定的有关资料。</w:t>
      </w:r>
    </w:p>
    <w:p w14:paraId="6DC57E4E">
      <w:pPr>
        <w:pStyle w:val="21"/>
        <w:spacing w:line="360" w:lineRule="auto"/>
        <w:rPr>
          <w:rFonts w:hAnsi="宋体" w:cs="宋体"/>
          <w:szCs w:val="21"/>
        </w:rPr>
      </w:pPr>
      <w:r>
        <w:rPr>
          <w:rFonts w:hint="eastAsia" w:hAnsi="宋体" w:cs="宋体"/>
          <w:szCs w:val="21"/>
        </w:rPr>
        <w:t>2.所附格式要求填写的全部内容都必须填写。</w:t>
      </w:r>
    </w:p>
    <w:p w14:paraId="52D47B99">
      <w:pPr>
        <w:pStyle w:val="21"/>
        <w:spacing w:line="360" w:lineRule="auto"/>
        <w:rPr>
          <w:rFonts w:hAnsi="宋体" w:cs="宋体"/>
          <w:szCs w:val="21"/>
        </w:rPr>
      </w:pPr>
      <w:r>
        <w:rPr>
          <w:rFonts w:hint="eastAsia" w:hAnsi="宋体" w:cs="宋体"/>
          <w:szCs w:val="21"/>
        </w:rPr>
        <w:t>3.投标人应保证全部声明和填写的内容是真实的和正确的。</w:t>
      </w:r>
    </w:p>
    <w:p w14:paraId="36DB9692">
      <w:pPr>
        <w:pStyle w:val="21"/>
        <w:spacing w:line="360" w:lineRule="auto"/>
        <w:rPr>
          <w:rFonts w:hAnsi="宋体" w:cs="宋体"/>
          <w:b/>
          <w:bCs/>
          <w:sz w:val="28"/>
          <w:szCs w:val="32"/>
        </w:rPr>
      </w:pPr>
      <w:r>
        <w:rPr>
          <w:rFonts w:hint="eastAsia" w:hAnsi="宋体" w:cs="宋体"/>
          <w:szCs w:val="21"/>
        </w:rPr>
        <w:t>4.投标人提交的材料将被保密，但不退还。</w:t>
      </w:r>
    </w:p>
    <w:p w14:paraId="3694D3F1">
      <w:pPr>
        <w:spacing w:line="360" w:lineRule="auto"/>
        <w:rPr>
          <w:rFonts w:ascii="宋体" w:hAnsi="宋体" w:cs="宋体"/>
          <w:b/>
          <w:bCs/>
          <w:sz w:val="28"/>
          <w:szCs w:val="32"/>
        </w:rPr>
      </w:pPr>
      <w:r>
        <w:rPr>
          <w:rFonts w:hint="eastAsia" w:ascii="宋体" w:hAnsi="宋体" w:cs="宋体"/>
          <w:szCs w:val="21"/>
        </w:rPr>
        <w:br w:type="page"/>
      </w:r>
    </w:p>
    <w:p w14:paraId="2E09EC47">
      <w:pPr>
        <w:pStyle w:val="21"/>
        <w:spacing w:line="600" w:lineRule="exact"/>
        <w:rPr>
          <w:rFonts w:hAnsi="宋体" w:cs="宋体"/>
          <w:b/>
          <w:sz w:val="28"/>
          <w:szCs w:val="28"/>
        </w:rPr>
      </w:pPr>
      <w:r>
        <w:rPr>
          <w:rFonts w:hint="eastAsia" w:hAnsi="宋体" w:cs="宋体"/>
          <w:b/>
          <w:sz w:val="28"/>
          <w:szCs w:val="28"/>
        </w:rPr>
        <w:t>格式1</w:t>
      </w:r>
    </w:p>
    <w:p w14:paraId="5DE9983A">
      <w:pPr>
        <w:widowControl/>
        <w:spacing w:line="440" w:lineRule="exact"/>
        <w:jc w:val="left"/>
        <w:rPr>
          <w:rFonts w:ascii="宋体" w:hAnsi="宋体" w:cs="宋体"/>
          <w:b/>
          <w:szCs w:val="21"/>
        </w:rPr>
      </w:pPr>
      <w:r>
        <w:rPr>
          <w:rFonts w:hint="eastAsia" w:ascii="宋体" w:hAnsi="宋体" w:cs="宋体"/>
          <w:b/>
          <w:szCs w:val="21"/>
        </w:rPr>
        <w:t>具有独立承担民事责任的能力：</w:t>
      </w:r>
      <w:r>
        <w:rPr>
          <w:rFonts w:hint="eastAsia" w:hAnsi="宋体" w:cs="宋体"/>
          <w:bCs/>
          <w:kern w:val="0"/>
          <w:szCs w:val="21"/>
          <w:lang w:eastAsia="zh-CN"/>
        </w:rPr>
        <w:t>投标人须在中华人民共和国境内注册，提供市场监督管理部门核发的有效的三证合一营业执照或其他组织形式的相关主体资格证明材料</w:t>
      </w:r>
      <w:r>
        <w:rPr>
          <w:rFonts w:hint="eastAsia" w:hAnsi="宋体" w:cs="宋体"/>
          <w:bCs/>
          <w:szCs w:val="21"/>
        </w:rPr>
        <w:t>；</w:t>
      </w:r>
      <w:r>
        <w:rPr>
          <w:rFonts w:hint="eastAsia" w:hAnsi="宋体" w:cs="宋体"/>
          <w:szCs w:val="21"/>
        </w:rPr>
        <w:t>若是分支机构参与本项目投标，须提供</w:t>
      </w:r>
      <w:r>
        <w:rPr>
          <w:rFonts w:hint="eastAsia"/>
        </w:rPr>
        <w:t>总公司及分支机构营业执照，并提供</w:t>
      </w:r>
      <w:r>
        <w:rPr>
          <w:rFonts w:hint="eastAsia" w:hAnsi="宋体" w:cs="宋体"/>
          <w:szCs w:val="21"/>
        </w:rPr>
        <w:t>其总公司出具愿为其参与本项目投标以及履约行为承担民事责任的授权承诺书</w:t>
      </w:r>
      <w:r>
        <w:rPr>
          <w:rFonts w:hint="eastAsia" w:hAnsi="宋体" w:cs="宋体"/>
          <w:b/>
          <w:bCs/>
          <w:szCs w:val="21"/>
        </w:rPr>
        <w:t>（同一家总公司只能授权一家分支机构参与投标，且总公司不能与下属的分支机构同时参与本次投标</w:t>
      </w:r>
      <w:r>
        <w:rPr>
          <w:rFonts w:hint="eastAsia" w:hAnsi="宋体" w:cs="宋体"/>
          <w:b/>
          <w:bCs/>
          <w:kern w:val="0"/>
          <w:szCs w:val="21"/>
        </w:rPr>
        <w:t>）</w:t>
      </w:r>
      <w:r>
        <w:rPr>
          <w:rFonts w:hint="eastAsia" w:ascii="宋体" w:hAnsi="宋体" w:cs="宋体"/>
          <w:b/>
          <w:szCs w:val="21"/>
        </w:rPr>
        <w:t>；</w:t>
      </w:r>
    </w:p>
    <w:p w14:paraId="10B5D601">
      <w:pPr>
        <w:widowControl/>
        <w:jc w:val="left"/>
        <w:rPr>
          <w:rFonts w:ascii="宋体" w:hAnsi="宋体" w:cs="宋体"/>
          <w:b/>
          <w:szCs w:val="21"/>
        </w:rPr>
      </w:pPr>
      <w:r>
        <w:rPr>
          <w:rFonts w:hint="eastAsia" w:ascii="宋体" w:hAnsi="宋体" w:cs="宋体"/>
          <w:b/>
          <w:szCs w:val="21"/>
        </w:rPr>
        <w:br w:type="page"/>
      </w:r>
    </w:p>
    <w:p w14:paraId="533DC9D1">
      <w:pPr>
        <w:pStyle w:val="21"/>
        <w:pageBreakBefore/>
        <w:spacing w:line="600" w:lineRule="exact"/>
        <w:rPr>
          <w:rFonts w:hAnsi="宋体" w:cs="宋体"/>
          <w:b/>
          <w:sz w:val="28"/>
          <w:szCs w:val="28"/>
        </w:rPr>
      </w:pPr>
      <w:r>
        <w:rPr>
          <w:rFonts w:hint="eastAsia" w:hAnsi="宋体" w:cs="宋体"/>
          <w:b/>
          <w:sz w:val="28"/>
          <w:szCs w:val="28"/>
        </w:rPr>
        <w:t>格式2</w:t>
      </w:r>
    </w:p>
    <w:p w14:paraId="64A10B3D">
      <w:pPr>
        <w:widowControl/>
        <w:spacing w:line="440" w:lineRule="exact"/>
        <w:jc w:val="left"/>
        <w:rPr>
          <w:rFonts w:ascii="宋体" w:hAnsi="宋体" w:cs="宋体"/>
          <w:b/>
          <w:bCs/>
          <w:szCs w:val="21"/>
        </w:rPr>
      </w:pPr>
      <w:r>
        <w:rPr>
          <w:rFonts w:hint="eastAsia" w:ascii="宋体" w:hAnsi="宋体" w:cs="宋体"/>
          <w:b/>
          <w:bCs/>
          <w:szCs w:val="21"/>
        </w:rPr>
        <w:t>具有良好的商业信誉和健全的财务会计制度：</w:t>
      </w:r>
    </w:p>
    <w:p w14:paraId="30137FE9">
      <w:pPr>
        <w:widowControl/>
        <w:spacing w:line="440" w:lineRule="exact"/>
        <w:jc w:val="left"/>
        <w:rPr>
          <w:rFonts w:ascii="宋体" w:hAnsi="宋体" w:cs="宋体"/>
          <w:b/>
          <w:kern w:val="0"/>
          <w:szCs w:val="21"/>
        </w:rPr>
      </w:pPr>
      <w:r>
        <w:rPr>
          <w:rFonts w:hint="eastAsia" w:ascii="宋体" w:hAnsi="宋体" w:cs="宋体"/>
          <w:szCs w:val="21"/>
          <w:lang w:eastAsia="zh-CN"/>
        </w:rPr>
        <w:t>提供投标人2023年度或2024年度经第三方审计的财务报告及报表（报表至少应包括资产负债表、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hAnsi="宋体" w:cs="宋体"/>
          <w:szCs w:val="21"/>
        </w:rPr>
        <w:t>；</w:t>
      </w:r>
      <w:r>
        <w:rPr>
          <w:rFonts w:hint="eastAsia" w:hAnsi="宋体" w:cs="宋体"/>
          <w:b/>
          <w:bCs/>
          <w:szCs w:val="21"/>
          <w:lang w:eastAsia="zh-CN"/>
        </w:rPr>
        <w:t>（若为分支机构参与投标的，可提供上级公司材料</w:t>
      </w:r>
      <w:r>
        <w:rPr>
          <w:rFonts w:hint="eastAsia" w:hAnsi="宋体" w:cs="宋体"/>
          <w:b/>
          <w:bCs/>
          <w:szCs w:val="21"/>
        </w:rPr>
        <w:t>）</w:t>
      </w:r>
      <w:r>
        <w:rPr>
          <w:rFonts w:hint="eastAsia" w:ascii="宋体" w:hAnsi="宋体" w:cs="宋体"/>
          <w:b/>
          <w:kern w:val="0"/>
          <w:szCs w:val="21"/>
        </w:rPr>
        <w:t>；</w:t>
      </w:r>
    </w:p>
    <w:p w14:paraId="775546B4">
      <w:pPr>
        <w:widowControl/>
        <w:spacing w:line="440" w:lineRule="exact"/>
        <w:jc w:val="left"/>
        <w:rPr>
          <w:rFonts w:ascii="宋体" w:hAnsi="宋体" w:cs="宋体"/>
          <w:kern w:val="0"/>
          <w:szCs w:val="21"/>
        </w:rPr>
      </w:pPr>
      <w:r>
        <w:rPr>
          <w:rFonts w:hint="eastAsia" w:ascii="宋体" w:hAnsi="宋体" w:cs="宋体"/>
          <w:b/>
          <w:kern w:val="0"/>
          <w:szCs w:val="21"/>
        </w:rPr>
        <w:br w:type="page"/>
      </w:r>
      <w:r>
        <w:rPr>
          <w:rFonts w:hint="eastAsia" w:ascii="宋体" w:hAnsi="宋体" w:cs="宋体"/>
          <w:b/>
          <w:sz w:val="28"/>
          <w:szCs w:val="28"/>
        </w:rPr>
        <w:t>格式3</w:t>
      </w:r>
    </w:p>
    <w:p w14:paraId="094C1E8E">
      <w:pPr>
        <w:widowControl/>
        <w:spacing w:line="440" w:lineRule="exact"/>
        <w:jc w:val="left"/>
        <w:rPr>
          <w:rFonts w:ascii="宋体" w:hAnsi="宋体" w:cs="宋体"/>
          <w:b/>
          <w:szCs w:val="21"/>
        </w:rPr>
      </w:pPr>
      <w:r>
        <w:rPr>
          <w:rFonts w:hint="eastAsia" w:ascii="宋体" w:hAnsi="宋体" w:cs="宋体"/>
          <w:b/>
          <w:szCs w:val="21"/>
        </w:rPr>
        <w:t>具有履行合同所必需的设备和专业技术能力：</w:t>
      </w:r>
      <w:r>
        <w:rPr>
          <w:rFonts w:hint="eastAsia" w:ascii="宋体" w:hAnsi="宋体" w:cs="宋体"/>
          <w:szCs w:val="21"/>
          <w:lang w:eastAsia="zh-CN"/>
        </w:rPr>
        <w:t>提供投标人具有履行合同所必需的设备和专业技术能力证明材料（扫描件加盖投标人电子公章）或书面声明（加盖投标人电子公章）</w:t>
      </w:r>
      <w:r>
        <w:rPr>
          <w:rFonts w:hint="eastAsia" w:ascii="宋体" w:hAnsi="宋体" w:cs="宋体"/>
          <w:b/>
          <w:szCs w:val="21"/>
        </w:rPr>
        <w:t>；</w:t>
      </w:r>
    </w:p>
    <w:p w14:paraId="4F8ACCE8">
      <w:pPr>
        <w:widowControl/>
        <w:spacing w:line="440" w:lineRule="exact"/>
        <w:jc w:val="left"/>
        <w:rPr>
          <w:rFonts w:ascii="宋体" w:hAnsi="宋体" w:cs="宋体"/>
          <w:b/>
          <w:szCs w:val="21"/>
        </w:rPr>
      </w:pPr>
      <w:r>
        <w:rPr>
          <w:rFonts w:hint="eastAsia" w:ascii="宋体" w:hAnsi="宋体" w:cs="宋体"/>
          <w:b/>
          <w:szCs w:val="21"/>
        </w:rPr>
        <w:br w:type="page"/>
      </w:r>
      <w:r>
        <w:rPr>
          <w:rFonts w:hint="eastAsia" w:ascii="宋体" w:hAnsi="宋体" w:cs="宋体"/>
          <w:b/>
          <w:sz w:val="28"/>
          <w:szCs w:val="28"/>
        </w:rPr>
        <w:t>格式4</w:t>
      </w:r>
    </w:p>
    <w:p w14:paraId="510064DE">
      <w:pPr>
        <w:widowControl/>
        <w:spacing w:line="440" w:lineRule="exact"/>
        <w:jc w:val="left"/>
        <w:rPr>
          <w:rFonts w:ascii="宋体" w:hAnsi="宋体" w:cs="宋体"/>
          <w:b/>
          <w:bCs/>
          <w:kern w:val="0"/>
          <w:szCs w:val="21"/>
        </w:rPr>
      </w:pPr>
      <w:r>
        <w:rPr>
          <w:rFonts w:hint="eastAsia" w:ascii="宋体" w:hAnsi="宋体" w:cs="宋体"/>
          <w:b/>
          <w:bCs/>
          <w:kern w:val="0"/>
          <w:szCs w:val="21"/>
        </w:rPr>
        <w:t>有依法缴纳税收和社会保障资金的良好记录：</w:t>
      </w:r>
    </w:p>
    <w:p w14:paraId="06811E16">
      <w:pPr>
        <w:widowControl/>
        <w:spacing w:line="440" w:lineRule="exact"/>
        <w:jc w:val="left"/>
        <w:rPr>
          <w:rFonts w:ascii="宋体" w:hAnsi="宋体" w:cs="宋体"/>
          <w:b/>
          <w:bCs/>
          <w:kern w:val="0"/>
          <w:szCs w:val="21"/>
        </w:rPr>
      </w:pPr>
      <w:r>
        <w:rPr>
          <w:rFonts w:hint="eastAsia" w:ascii="宋体" w:hAnsi="宋体" w:cs="宋体"/>
          <w:b/>
          <w:bCs/>
          <w:kern w:val="0"/>
          <w:szCs w:val="21"/>
        </w:rPr>
        <w:t>1.</w:t>
      </w:r>
      <w:r>
        <w:rPr>
          <w:rFonts w:hint="eastAsia" w:ascii="宋体" w:hAnsi="宋体" w:cs="宋体"/>
          <w:szCs w:val="21"/>
          <w:lang w:eastAsia="zh-CN"/>
        </w:rPr>
        <w:t>提供投标人缴税所属时间在2024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r>
        <w:rPr>
          <w:rFonts w:hint="eastAsia" w:ascii="宋体" w:hAnsi="宋体" w:cs="宋体"/>
          <w:szCs w:val="21"/>
        </w:rPr>
        <w:t>；</w:t>
      </w:r>
      <w:r>
        <w:rPr>
          <w:rFonts w:hint="eastAsia" w:hAnsi="宋体" w:cs="宋体"/>
          <w:b/>
          <w:bCs/>
          <w:szCs w:val="21"/>
          <w:lang w:eastAsia="zh-CN"/>
        </w:rPr>
        <w:t>（若为分支机构参与投标的，可提供上级公司材料</w:t>
      </w:r>
      <w:r>
        <w:rPr>
          <w:rFonts w:hint="eastAsia" w:hAnsi="宋体" w:cs="宋体"/>
          <w:b/>
          <w:bCs/>
          <w:szCs w:val="21"/>
        </w:rPr>
        <w:t>）</w:t>
      </w:r>
      <w:r>
        <w:rPr>
          <w:rFonts w:hint="eastAsia" w:ascii="宋体" w:hAnsi="宋体" w:cs="宋体"/>
          <w:b/>
          <w:bCs/>
          <w:kern w:val="0"/>
          <w:szCs w:val="21"/>
        </w:rPr>
        <w:t>；</w:t>
      </w:r>
    </w:p>
    <w:p w14:paraId="0C63CCF3">
      <w:pPr>
        <w:widowControl/>
        <w:spacing w:line="440" w:lineRule="exact"/>
        <w:jc w:val="left"/>
        <w:rPr>
          <w:rFonts w:ascii="宋体" w:hAnsi="宋体" w:cs="宋体"/>
          <w:b/>
          <w:bCs/>
          <w:kern w:val="0"/>
          <w:szCs w:val="21"/>
        </w:rPr>
      </w:pPr>
      <w:r>
        <w:rPr>
          <w:rFonts w:hint="eastAsia" w:ascii="宋体" w:hAnsi="宋体" w:cs="宋体"/>
          <w:b/>
          <w:bCs/>
          <w:kern w:val="0"/>
          <w:szCs w:val="21"/>
        </w:rPr>
        <w:t>2.</w:t>
      </w:r>
      <w:r>
        <w:rPr>
          <w:rFonts w:hint="eastAsia" w:ascii="宋体" w:hAnsi="宋体" w:cs="宋体"/>
          <w:szCs w:val="21"/>
          <w:lang w:eastAsia="zh-CN"/>
        </w:rPr>
        <w:t>提供投标人缴费所属时间在2024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r>
        <w:rPr>
          <w:rFonts w:hint="eastAsia" w:ascii="宋体" w:hAnsi="宋体" w:cs="宋体"/>
          <w:szCs w:val="21"/>
        </w:rPr>
        <w:t>；</w:t>
      </w:r>
      <w:r>
        <w:rPr>
          <w:rFonts w:hint="eastAsia" w:hAnsi="宋体" w:cs="宋体"/>
          <w:b/>
          <w:bCs/>
          <w:szCs w:val="21"/>
          <w:lang w:eastAsia="zh-CN"/>
        </w:rPr>
        <w:t>（若为分支机构参与投标的，可提供上级公司材料</w:t>
      </w:r>
      <w:r>
        <w:rPr>
          <w:rFonts w:hint="eastAsia" w:hAnsi="宋体" w:cs="宋体"/>
          <w:b/>
          <w:bCs/>
          <w:szCs w:val="21"/>
        </w:rPr>
        <w:t>）</w:t>
      </w:r>
      <w:r>
        <w:rPr>
          <w:rFonts w:hint="eastAsia" w:ascii="宋体" w:hAnsi="宋体" w:cs="宋体"/>
          <w:b/>
          <w:bCs/>
          <w:kern w:val="0"/>
          <w:szCs w:val="21"/>
        </w:rPr>
        <w:t>。</w:t>
      </w:r>
    </w:p>
    <w:p w14:paraId="0DDFA789">
      <w:pPr>
        <w:widowControl/>
        <w:spacing w:line="440" w:lineRule="exact"/>
        <w:rPr>
          <w:rFonts w:ascii="宋体" w:hAnsi="宋体" w:cs="宋体"/>
          <w:b/>
          <w:bCs/>
          <w:sz w:val="28"/>
          <w:szCs w:val="28"/>
        </w:rPr>
      </w:pPr>
      <w:r>
        <w:rPr>
          <w:rFonts w:hint="eastAsia" w:ascii="宋体" w:hAnsi="宋体" w:cs="宋体"/>
          <w:b/>
          <w:bCs/>
          <w:sz w:val="28"/>
          <w:szCs w:val="28"/>
        </w:rPr>
        <w:br w:type="page"/>
      </w:r>
      <w:r>
        <w:rPr>
          <w:rFonts w:hint="eastAsia" w:ascii="宋体" w:hAnsi="宋体" w:cs="宋体"/>
          <w:b/>
          <w:sz w:val="28"/>
          <w:szCs w:val="28"/>
        </w:rPr>
        <w:t>格式5</w:t>
      </w:r>
    </w:p>
    <w:p w14:paraId="14F1D62C">
      <w:pPr>
        <w:widowControl/>
        <w:spacing w:line="440" w:lineRule="exact"/>
        <w:jc w:val="left"/>
        <w:rPr>
          <w:rFonts w:hint="eastAsia" w:ascii="宋体" w:hAnsi="宋体" w:eastAsia="宋体" w:cs="宋体"/>
          <w:b/>
          <w:kern w:val="0"/>
          <w:szCs w:val="21"/>
          <w:lang w:eastAsia="zh-CN"/>
        </w:rPr>
      </w:pPr>
      <w:r>
        <w:rPr>
          <w:rFonts w:hint="eastAsia" w:ascii="宋体" w:hAnsi="宋体" w:cs="宋体"/>
          <w:szCs w:val="21"/>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r>
        <w:rPr>
          <w:rFonts w:hint="eastAsia" w:ascii="宋体" w:hAnsi="宋体" w:cs="宋体"/>
          <w:szCs w:val="21"/>
          <w:lang w:eastAsia="zh-CN"/>
        </w:rPr>
        <w:t>；</w:t>
      </w:r>
    </w:p>
    <w:p w14:paraId="4F3738F6">
      <w:pPr>
        <w:rPr>
          <w:rFonts w:ascii="宋体" w:hAnsi="宋体" w:cs="宋体"/>
          <w:b/>
          <w:kern w:val="0"/>
          <w:szCs w:val="21"/>
        </w:rPr>
      </w:pPr>
      <w:r>
        <w:rPr>
          <w:rFonts w:hint="eastAsia" w:ascii="宋体" w:hAnsi="宋体" w:cs="宋体"/>
          <w:b/>
          <w:kern w:val="0"/>
          <w:szCs w:val="21"/>
        </w:rPr>
        <w:br w:type="page"/>
      </w:r>
    </w:p>
    <w:p w14:paraId="6D2D5ADA">
      <w:pPr>
        <w:widowControl/>
        <w:spacing w:line="440" w:lineRule="exact"/>
        <w:rPr>
          <w:rFonts w:ascii="宋体" w:hAnsi="宋体" w:cs="宋体"/>
          <w:b/>
          <w:sz w:val="28"/>
          <w:szCs w:val="28"/>
        </w:rPr>
      </w:pPr>
      <w:r>
        <w:rPr>
          <w:rFonts w:hint="eastAsia" w:ascii="宋体" w:hAnsi="宋体" w:cs="宋体"/>
          <w:b/>
          <w:sz w:val="28"/>
          <w:szCs w:val="28"/>
        </w:rPr>
        <w:t>格式6</w:t>
      </w:r>
    </w:p>
    <w:p w14:paraId="6A8C7E98">
      <w:pPr>
        <w:widowControl/>
        <w:spacing w:line="440" w:lineRule="exact"/>
        <w:jc w:val="left"/>
        <w:rPr>
          <w:rFonts w:ascii="宋体" w:hAnsi="宋体" w:cs="宋体"/>
          <w:b/>
          <w:kern w:val="0"/>
          <w:szCs w:val="21"/>
        </w:rPr>
      </w:pPr>
      <w:r>
        <w:rPr>
          <w:rFonts w:hint="eastAsia" w:ascii="宋体" w:hAnsi="宋体" w:cs="宋体"/>
          <w:b/>
          <w:kern w:val="0"/>
          <w:szCs w:val="21"/>
        </w:rPr>
        <w:t>法律、行政法规规定的其他条件：</w:t>
      </w:r>
    </w:p>
    <w:p w14:paraId="2D5D22D7">
      <w:pPr>
        <w:widowControl/>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lang w:val="en-US" w:eastAsia="zh-CN"/>
          <w14:textFill>
            <w14:solidFill>
              <w14:schemeClr w14:val="tx1"/>
            </w14:solidFill>
          </w14:textFill>
        </w:rPr>
        <w:t>3</w:t>
      </w:r>
      <w:r>
        <w:rPr>
          <w:rFonts w:hint="eastAsia" w:ascii="宋体" w:hAnsi="宋体" w:eastAsia="宋体" w:cs="宋体"/>
          <w:b/>
          <w:color w:val="000000" w:themeColor="text1"/>
          <w:kern w:val="0"/>
          <w:szCs w:val="21"/>
          <w:highlight w:val="none"/>
          <w14:textFill>
            <w14:solidFill>
              <w14:schemeClr w14:val="tx1"/>
            </w14:solidFill>
          </w14:textFill>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p w14:paraId="6CF3FDE6">
      <w:pPr>
        <w:pStyle w:val="17"/>
      </w:pPr>
    </w:p>
    <w:p w14:paraId="510EC831">
      <w:pPr>
        <w:rPr>
          <w:rFonts w:ascii="宋体" w:hAnsi="宋体" w:cs="宋体"/>
          <w:b/>
          <w:kern w:val="0"/>
          <w:szCs w:val="21"/>
        </w:rPr>
      </w:pPr>
      <w:r>
        <w:rPr>
          <w:rFonts w:hint="eastAsia" w:ascii="宋体" w:hAnsi="宋体" w:cs="宋体"/>
          <w:b/>
          <w:kern w:val="0"/>
          <w:szCs w:val="21"/>
        </w:rPr>
        <w:br w:type="page"/>
      </w:r>
    </w:p>
    <w:p w14:paraId="25CA9CBF">
      <w:pPr>
        <w:widowControl/>
        <w:spacing w:line="440" w:lineRule="exact"/>
        <w:rPr>
          <w:rFonts w:ascii="宋体" w:hAnsi="宋体" w:cs="宋体"/>
          <w:b/>
          <w:sz w:val="28"/>
          <w:szCs w:val="28"/>
        </w:rPr>
      </w:pPr>
      <w:r>
        <w:rPr>
          <w:rFonts w:hint="eastAsia" w:ascii="宋体" w:hAnsi="宋体" w:cs="宋体"/>
          <w:b/>
          <w:sz w:val="28"/>
          <w:szCs w:val="28"/>
        </w:rPr>
        <w:t>格式7</w:t>
      </w:r>
    </w:p>
    <w:p w14:paraId="033D2213">
      <w:pPr>
        <w:widowControl/>
        <w:spacing w:line="440" w:lineRule="exact"/>
        <w:jc w:val="left"/>
        <w:rPr>
          <w:rFonts w:hint="eastAsia" w:ascii="宋体" w:hAnsi="宋体" w:eastAsia="宋体" w:cs="宋体"/>
          <w:b/>
          <w:bCs/>
          <w:szCs w:val="21"/>
          <w:lang w:val="en-US" w:eastAsia="zh-CN"/>
        </w:rPr>
      </w:pPr>
      <w:r>
        <w:rPr>
          <w:rFonts w:hint="eastAsia" w:ascii="宋体" w:hAnsi="宋体" w:cs="宋体"/>
          <w:b/>
          <w:kern w:val="0"/>
          <w:szCs w:val="21"/>
        </w:rPr>
        <w:t>落实政府采购政策需满足的资格要求：</w:t>
      </w:r>
      <w:r>
        <w:rPr>
          <w:rFonts w:hint="eastAsia" w:ascii="宋体" w:hAnsi="宋体" w:cs="宋体"/>
          <w:b/>
          <w:kern w:val="0"/>
          <w:szCs w:val="21"/>
          <w:lang w:val="en-US" w:eastAsia="zh-CN"/>
        </w:rPr>
        <w:t>无。</w:t>
      </w:r>
    </w:p>
    <w:p w14:paraId="7B5FA91A">
      <w:pPr>
        <w:rPr>
          <w:rFonts w:ascii="宋体" w:hAnsi="宋体" w:cs="宋体"/>
          <w:b/>
          <w:kern w:val="0"/>
          <w:szCs w:val="21"/>
        </w:rPr>
      </w:pPr>
    </w:p>
    <w:p w14:paraId="05C22FC6">
      <w:pPr>
        <w:rPr>
          <w:rFonts w:hAnsi="宋体" w:cs="宋体"/>
          <w:b/>
          <w:sz w:val="28"/>
          <w:szCs w:val="28"/>
        </w:rPr>
      </w:pPr>
      <w:bookmarkStart w:id="409" w:name="_Toc11295"/>
      <w:r>
        <w:rPr>
          <w:rFonts w:hint="eastAsia" w:hAnsi="宋体" w:cs="宋体"/>
          <w:b/>
          <w:sz w:val="28"/>
          <w:szCs w:val="28"/>
        </w:rPr>
        <w:br w:type="page"/>
      </w:r>
    </w:p>
    <w:p w14:paraId="319739F4">
      <w:pPr>
        <w:widowControl/>
        <w:spacing w:line="440" w:lineRule="exact"/>
        <w:rPr>
          <w:rFonts w:ascii="宋体" w:hAnsi="宋体" w:cs="宋体"/>
          <w:b/>
          <w:sz w:val="28"/>
          <w:szCs w:val="28"/>
        </w:rPr>
      </w:pPr>
      <w:r>
        <w:rPr>
          <w:rFonts w:hint="eastAsia" w:ascii="宋体" w:hAnsi="宋体" w:cs="宋体"/>
          <w:b/>
          <w:sz w:val="28"/>
          <w:szCs w:val="28"/>
        </w:rPr>
        <w:t>格式8</w:t>
      </w:r>
    </w:p>
    <w:p w14:paraId="37953FA8">
      <w:pPr>
        <w:spacing w:line="500" w:lineRule="exact"/>
        <w:rPr>
          <w:rFonts w:hAnsi="宋体" w:cs="宋体"/>
          <w:b/>
          <w:sz w:val="28"/>
          <w:szCs w:val="28"/>
        </w:rPr>
      </w:pPr>
      <w:r>
        <w:rPr>
          <w:rFonts w:hint="eastAsia" w:ascii="宋体" w:hAnsi="宋体" w:cs="宋体"/>
          <w:b/>
          <w:kern w:val="0"/>
          <w:szCs w:val="21"/>
        </w:rPr>
        <w:t>本项目的特定资格要求：</w:t>
      </w:r>
      <w:r>
        <w:rPr>
          <w:rFonts w:hint="eastAsia" w:ascii="宋体" w:hAnsi="宋体" w:cs="宋体"/>
          <w:szCs w:val="21"/>
        </w:rPr>
        <w:t>投标人须具备国家金融监督管理总局(原“中国银行保险监督管理委员会”)颁发的《经营保险业务许可证》或《保险许可证》</w:t>
      </w:r>
      <w:r>
        <w:rPr>
          <w:rFonts w:hint="eastAsia" w:ascii="宋体" w:hAnsi="宋体" w:cs="宋体"/>
          <w:szCs w:val="21"/>
          <w:lang w:eastAsia="zh-CN"/>
        </w:rPr>
        <w:t>。</w:t>
      </w:r>
      <w:r>
        <w:rPr>
          <w:rFonts w:hint="eastAsia" w:hAnsi="宋体" w:cs="宋体"/>
          <w:b/>
          <w:sz w:val="28"/>
          <w:szCs w:val="28"/>
        </w:rPr>
        <w:br w:type="page"/>
      </w:r>
    </w:p>
    <w:p w14:paraId="72C65979">
      <w:pPr>
        <w:pStyle w:val="21"/>
        <w:spacing w:line="500" w:lineRule="exact"/>
        <w:jc w:val="center"/>
        <w:outlineLvl w:val="1"/>
        <w:rPr>
          <w:rFonts w:hAnsi="宋体" w:cs="宋体"/>
        </w:rPr>
      </w:pPr>
      <w:r>
        <w:rPr>
          <w:rFonts w:hint="eastAsia" w:hAnsi="宋体" w:cs="宋体"/>
          <w:b/>
          <w:sz w:val="28"/>
          <w:szCs w:val="28"/>
        </w:rPr>
        <w:t>二、报价文件</w:t>
      </w:r>
      <w:bookmarkEnd w:id="409"/>
    </w:p>
    <w:p w14:paraId="58FB27CE">
      <w:pPr>
        <w:pStyle w:val="21"/>
        <w:spacing w:line="500" w:lineRule="exact"/>
        <w:jc w:val="left"/>
        <w:rPr>
          <w:rFonts w:hint="eastAsia" w:hAnsi="宋体" w:eastAsia="宋体" w:cs="宋体"/>
          <w:b/>
          <w:sz w:val="28"/>
          <w:szCs w:val="28"/>
          <w:lang w:eastAsia="zh-CN"/>
        </w:rPr>
      </w:pPr>
      <w:r>
        <w:rPr>
          <w:rFonts w:hint="eastAsia" w:hAnsi="宋体" w:cs="宋体"/>
          <w:b/>
          <w:sz w:val="28"/>
          <w:szCs w:val="28"/>
        </w:rPr>
        <w:t>格式</w:t>
      </w:r>
      <w:r>
        <w:rPr>
          <w:rFonts w:hint="eastAsia" w:hAnsi="宋体" w:cs="宋体"/>
          <w:b/>
          <w:sz w:val="28"/>
          <w:szCs w:val="28"/>
          <w:lang w:val="en-US" w:eastAsia="zh-CN"/>
        </w:rPr>
        <w:t>9</w:t>
      </w:r>
    </w:p>
    <w:p w14:paraId="09F01680">
      <w:pPr>
        <w:keepNext/>
        <w:keepLines/>
        <w:spacing w:before="120" w:after="120" w:line="360" w:lineRule="auto"/>
        <w:jc w:val="center"/>
        <w:outlineLvl w:val="1"/>
        <w:rPr>
          <w:rFonts w:ascii="宋体" w:hAnsi="宋体" w:cs="宋体"/>
          <w:b/>
          <w:sz w:val="28"/>
          <w:szCs w:val="28"/>
        </w:rPr>
      </w:pPr>
      <w:bookmarkStart w:id="410" w:name="_Toc489197854"/>
      <w:bookmarkStart w:id="411" w:name="_Toc14603905"/>
      <w:bookmarkStart w:id="412" w:name="_Toc31181"/>
      <w:bookmarkStart w:id="413" w:name="_Toc18287416"/>
      <w:bookmarkStart w:id="414" w:name="_Toc481694844"/>
      <w:bookmarkStart w:id="415" w:name="_Toc489145750"/>
      <w:bookmarkStart w:id="416" w:name="_Toc213141093"/>
      <w:bookmarkStart w:id="417" w:name="_Toc488633615"/>
      <w:bookmarkStart w:id="418" w:name="_Toc13559"/>
      <w:bookmarkStart w:id="419" w:name="_Toc25861"/>
      <w:r>
        <w:rPr>
          <w:rFonts w:hint="eastAsia" w:ascii="宋体" w:hAnsi="宋体" w:cs="宋体"/>
          <w:b/>
          <w:sz w:val="28"/>
          <w:szCs w:val="28"/>
        </w:rPr>
        <w:t>开标一览表</w:t>
      </w:r>
      <w:bookmarkEnd w:id="410"/>
      <w:bookmarkEnd w:id="411"/>
      <w:bookmarkEnd w:id="412"/>
      <w:bookmarkEnd w:id="413"/>
      <w:bookmarkEnd w:id="414"/>
      <w:bookmarkEnd w:id="415"/>
      <w:bookmarkEnd w:id="416"/>
      <w:bookmarkEnd w:id="417"/>
      <w:bookmarkEnd w:id="418"/>
      <w:bookmarkEnd w:id="419"/>
    </w:p>
    <w:p w14:paraId="03E468C0">
      <w:pPr>
        <w:pStyle w:val="21"/>
        <w:spacing w:line="360" w:lineRule="auto"/>
        <w:rPr>
          <w:rFonts w:hint="eastAsia" w:hAnsi="宋体" w:eastAsia="宋体" w:cs="宋体"/>
          <w:b/>
          <w:szCs w:val="21"/>
          <w:u w:val="single"/>
          <w:lang w:eastAsia="zh-CN"/>
        </w:rPr>
      </w:pPr>
      <w:r>
        <w:rPr>
          <w:rFonts w:hint="eastAsia" w:hAnsi="宋体" w:cs="宋体"/>
          <w:b/>
          <w:szCs w:val="21"/>
        </w:rPr>
        <w:t>项目名称：</w:t>
      </w:r>
    </w:p>
    <w:p w14:paraId="1AE8FF08">
      <w:pPr>
        <w:pStyle w:val="21"/>
        <w:spacing w:line="360" w:lineRule="auto"/>
        <w:rPr>
          <w:rFonts w:hint="eastAsia" w:hAnsi="宋体" w:eastAsia="宋体" w:cs="宋体"/>
          <w:bCs/>
          <w:szCs w:val="21"/>
          <w:lang w:eastAsia="zh-CN"/>
        </w:rPr>
      </w:pPr>
      <w:r>
        <w:rPr>
          <w:rFonts w:hint="eastAsia" w:hAnsi="宋体" w:cs="宋体"/>
          <w:b/>
          <w:szCs w:val="21"/>
        </w:rPr>
        <w:t>项目编号：</w:t>
      </w:r>
    </w:p>
    <w:tbl>
      <w:tblPr>
        <w:tblStyle w:val="41"/>
        <w:tblW w:w="8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7"/>
        <w:gridCol w:w="6090"/>
      </w:tblGrid>
      <w:tr w14:paraId="583F0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7E4571D6">
            <w:pPr>
              <w:spacing w:line="360" w:lineRule="auto"/>
              <w:jc w:val="center"/>
              <w:rPr>
                <w:rFonts w:ascii="宋体" w:hAnsi="宋体" w:cs="宋体"/>
                <w:bCs/>
                <w:szCs w:val="21"/>
              </w:rPr>
            </w:pPr>
            <w:r>
              <w:rPr>
                <w:rFonts w:hint="eastAsia" w:ascii="宋体" w:hAnsi="宋体" w:cs="宋体"/>
                <w:bCs/>
                <w:szCs w:val="21"/>
              </w:rPr>
              <w:t>投标人名称</w:t>
            </w:r>
          </w:p>
        </w:tc>
        <w:tc>
          <w:tcPr>
            <w:tcW w:w="6090" w:type="dxa"/>
            <w:tcBorders>
              <w:top w:val="single" w:color="auto" w:sz="4" w:space="0"/>
              <w:left w:val="single" w:color="auto" w:sz="4" w:space="0"/>
              <w:bottom w:val="single" w:color="auto" w:sz="4" w:space="0"/>
              <w:right w:val="single" w:color="auto" w:sz="4" w:space="0"/>
            </w:tcBorders>
            <w:vAlign w:val="center"/>
          </w:tcPr>
          <w:p w14:paraId="16F37396">
            <w:pPr>
              <w:spacing w:line="360" w:lineRule="auto"/>
              <w:jc w:val="center"/>
              <w:rPr>
                <w:rFonts w:ascii="宋体" w:hAnsi="宋体" w:cs="宋体"/>
                <w:bCs/>
                <w:szCs w:val="21"/>
              </w:rPr>
            </w:pPr>
          </w:p>
        </w:tc>
      </w:tr>
      <w:tr w14:paraId="2CEAD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187" w:type="dxa"/>
            <w:tcBorders>
              <w:top w:val="single" w:color="auto" w:sz="4" w:space="0"/>
              <w:left w:val="single" w:color="auto" w:sz="4" w:space="0"/>
              <w:right w:val="single" w:color="auto" w:sz="4" w:space="0"/>
            </w:tcBorders>
            <w:vAlign w:val="center"/>
          </w:tcPr>
          <w:p w14:paraId="0B78FDBD">
            <w:pPr>
              <w:pStyle w:val="21"/>
              <w:spacing w:line="360" w:lineRule="auto"/>
              <w:jc w:val="center"/>
              <w:rPr>
                <w:rFonts w:hAnsi="宋体" w:cs="宋体"/>
                <w:bCs/>
                <w:szCs w:val="21"/>
              </w:rPr>
            </w:pPr>
            <w:r>
              <w:rPr>
                <w:rFonts w:hint="eastAsia" w:hAnsi="宋体" w:cs="宋体"/>
                <w:b/>
                <w:szCs w:val="21"/>
              </w:rPr>
              <w:t>投标报价（</w:t>
            </w:r>
            <w:r>
              <w:rPr>
                <w:rFonts w:hint="eastAsia" w:hAnsi="宋体" w:cs="宋体"/>
                <w:b/>
                <w:bCs/>
                <w:szCs w:val="21"/>
              </w:rPr>
              <w:t>元</w:t>
            </w:r>
            <w:r>
              <w:rPr>
                <w:rFonts w:hint="eastAsia" w:hAnsi="宋体" w:cs="宋体"/>
                <w:b/>
                <w:bCs/>
                <w:szCs w:val="21"/>
                <w:lang w:val="en-US" w:eastAsia="zh-CN"/>
              </w:rPr>
              <w:t>/年</w:t>
            </w:r>
            <w:r>
              <w:rPr>
                <w:rFonts w:hint="eastAsia" w:hAnsi="宋体" w:cs="宋体"/>
                <w:b/>
                <w:szCs w:val="21"/>
              </w:rPr>
              <w:t>）</w:t>
            </w:r>
          </w:p>
        </w:tc>
        <w:tc>
          <w:tcPr>
            <w:tcW w:w="6090" w:type="dxa"/>
            <w:tcBorders>
              <w:top w:val="single" w:color="auto" w:sz="4" w:space="0"/>
              <w:left w:val="single" w:color="auto" w:sz="4" w:space="0"/>
              <w:bottom w:val="single" w:color="auto" w:sz="4" w:space="0"/>
              <w:right w:val="single" w:color="auto" w:sz="4" w:space="0"/>
            </w:tcBorders>
            <w:vAlign w:val="center"/>
          </w:tcPr>
          <w:p w14:paraId="145CD347">
            <w:pPr>
              <w:spacing w:line="360" w:lineRule="auto"/>
              <w:jc w:val="center"/>
              <w:rPr>
                <w:rFonts w:ascii="宋体" w:hAnsi="宋体" w:cs="宋体"/>
                <w:b/>
                <w:bCs/>
                <w:szCs w:val="21"/>
              </w:rPr>
            </w:pPr>
          </w:p>
        </w:tc>
      </w:tr>
      <w:tr w14:paraId="3526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68923336">
            <w:pPr>
              <w:spacing w:line="360" w:lineRule="auto"/>
              <w:jc w:val="center"/>
              <w:rPr>
                <w:rFonts w:hint="eastAsia" w:ascii="宋体" w:hAnsi="宋体" w:eastAsia="宋体" w:cs="宋体"/>
                <w:bCs/>
                <w:szCs w:val="21"/>
                <w:lang w:eastAsia="zh-CN"/>
              </w:rPr>
            </w:pPr>
            <w:r>
              <w:rPr>
                <w:rFonts w:hint="eastAsia" w:ascii="宋体" w:hAnsi="宋体" w:cs="宋体"/>
                <w:bCs/>
                <w:szCs w:val="21"/>
                <w:lang w:eastAsia="zh-CN"/>
              </w:rPr>
              <w:t>服务期限</w:t>
            </w:r>
          </w:p>
        </w:tc>
        <w:tc>
          <w:tcPr>
            <w:tcW w:w="6090" w:type="dxa"/>
            <w:tcBorders>
              <w:top w:val="single" w:color="auto" w:sz="4" w:space="0"/>
              <w:left w:val="single" w:color="auto" w:sz="4" w:space="0"/>
              <w:bottom w:val="single" w:color="auto" w:sz="4" w:space="0"/>
              <w:right w:val="single" w:color="auto" w:sz="4" w:space="0"/>
            </w:tcBorders>
            <w:vAlign w:val="center"/>
          </w:tcPr>
          <w:p w14:paraId="3BD1E784">
            <w:pPr>
              <w:spacing w:line="360" w:lineRule="auto"/>
              <w:rPr>
                <w:rFonts w:ascii="宋体" w:hAnsi="宋体" w:cs="宋体"/>
                <w:bCs/>
                <w:szCs w:val="21"/>
              </w:rPr>
            </w:pPr>
          </w:p>
        </w:tc>
      </w:tr>
      <w:tr w14:paraId="093D3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2A6765BB">
            <w:pPr>
              <w:spacing w:line="360" w:lineRule="auto"/>
              <w:jc w:val="center"/>
              <w:rPr>
                <w:rFonts w:ascii="宋体" w:hAnsi="宋体" w:cs="宋体"/>
                <w:bCs/>
                <w:szCs w:val="21"/>
              </w:rPr>
            </w:pPr>
            <w:r>
              <w:rPr>
                <w:rFonts w:hint="eastAsia" w:ascii="宋体" w:hAnsi="宋体" w:cs="宋体"/>
                <w:bCs/>
                <w:szCs w:val="21"/>
              </w:rPr>
              <w:t>服务地点</w:t>
            </w:r>
          </w:p>
        </w:tc>
        <w:tc>
          <w:tcPr>
            <w:tcW w:w="6090" w:type="dxa"/>
            <w:tcBorders>
              <w:top w:val="single" w:color="auto" w:sz="4" w:space="0"/>
              <w:left w:val="single" w:color="auto" w:sz="4" w:space="0"/>
              <w:bottom w:val="single" w:color="auto" w:sz="4" w:space="0"/>
              <w:right w:val="single" w:color="auto" w:sz="4" w:space="0"/>
            </w:tcBorders>
            <w:vAlign w:val="center"/>
          </w:tcPr>
          <w:p w14:paraId="0EDBA2C2">
            <w:pPr>
              <w:spacing w:line="360" w:lineRule="auto"/>
              <w:rPr>
                <w:rFonts w:ascii="宋体" w:hAnsi="宋体" w:cs="宋体"/>
                <w:bCs/>
                <w:szCs w:val="21"/>
              </w:rPr>
            </w:pPr>
          </w:p>
        </w:tc>
      </w:tr>
      <w:tr w14:paraId="1930F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0C494E8D">
            <w:pPr>
              <w:pStyle w:val="21"/>
              <w:spacing w:line="360" w:lineRule="auto"/>
              <w:jc w:val="center"/>
              <w:rPr>
                <w:rFonts w:hAnsi="宋体" w:cs="宋体"/>
                <w:bCs/>
                <w:szCs w:val="21"/>
              </w:rPr>
            </w:pPr>
            <w:r>
              <w:rPr>
                <w:rFonts w:hint="eastAsia" w:hAnsi="宋体" w:cs="宋体"/>
                <w:bCs/>
                <w:szCs w:val="21"/>
              </w:rPr>
              <w:t>投标保证金形式</w:t>
            </w:r>
          </w:p>
        </w:tc>
        <w:tc>
          <w:tcPr>
            <w:tcW w:w="6090" w:type="dxa"/>
            <w:tcBorders>
              <w:top w:val="single" w:color="auto" w:sz="4" w:space="0"/>
              <w:left w:val="single" w:color="auto" w:sz="4" w:space="0"/>
              <w:bottom w:val="single" w:color="auto" w:sz="4" w:space="0"/>
              <w:right w:val="single" w:color="auto" w:sz="4" w:space="0"/>
            </w:tcBorders>
            <w:vAlign w:val="center"/>
          </w:tcPr>
          <w:p w14:paraId="683B1652">
            <w:pPr>
              <w:spacing w:line="360" w:lineRule="auto"/>
              <w:rPr>
                <w:rFonts w:ascii="宋体" w:hAnsi="宋体" w:cs="宋体"/>
                <w:bCs/>
                <w:szCs w:val="21"/>
              </w:rPr>
            </w:pPr>
          </w:p>
        </w:tc>
      </w:tr>
      <w:tr w14:paraId="7F53D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8277" w:type="dxa"/>
            <w:gridSpan w:val="2"/>
            <w:tcBorders>
              <w:top w:val="single" w:color="auto" w:sz="4" w:space="0"/>
              <w:left w:val="single" w:color="auto" w:sz="4" w:space="0"/>
              <w:bottom w:val="single" w:color="auto" w:sz="4" w:space="0"/>
              <w:right w:val="single" w:color="auto" w:sz="4" w:space="0"/>
            </w:tcBorders>
            <w:vAlign w:val="center"/>
          </w:tcPr>
          <w:p w14:paraId="1AA01B35">
            <w:pPr>
              <w:spacing w:line="360" w:lineRule="auto"/>
              <w:jc w:val="left"/>
              <w:rPr>
                <w:rFonts w:ascii="宋体" w:hAnsi="宋体" w:cs="宋体"/>
                <w:bCs/>
                <w:szCs w:val="21"/>
                <w:u w:val="single"/>
              </w:rPr>
            </w:pPr>
            <w:r>
              <w:rPr>
                <w:rFonts w:hint="eastAsia" w:ascii="宋体" w:hAnsi="宋体" w:cs="宋体"/>
                <w:bCs/>
                <w:szCs w:val="21"/>
              </w:rPr>
              <w:t>备 注：</w:t>
            </w:r>
          </w:p>
        </w:tc>
      </w:tr>
    </w:tbl>
    <w:p w14:paraId="25F9A4B8">
      <w:pPr>
        <w:spacing w:line="360" w:lineRule="auto"/>
        <w:ind w:firstLine="2" w:firstLineChars="1"/>
        <w:rPr>
          <w:rFonts w:ascii="宋体" w:hAnsi="宋体" w:cs="宋体"/>
          <w:b/>
          <w:bCs w:val="0"/>
          <w:szCs w:val="21"/>
        </w:rPr>
      </w:pPr>
      <w:r>
        <w:rPr>
          <w:rFonts w:hint="eastAsia" w:ascii="宋体" w:hAnsi="宋体" w:cs="宋体"/>
          <w:b/>
          <w:bCs w:val="0"/>
          <w:szCs w:val="21"/>
        </w:rPr>
        <w:t>注：1、以上报价须包含保险费、经纪服务费（若发生）、人工费及为完成本项目须发生的全部费用、税费等全部费用及合理利润的总和，并充分考虑可能发生的各种风险。合同履行过程中，投标报价不得调整。</w:t>
      </w:r>
    </w:p>
    <w:p w14:paraId="410A770C">
      <w:pPr>
        <w:spacing w:line="360" w:lineRule="auto"/>
        <w:ind w:firstLine="2" w:firstLineChars="1"/>
        <w:rPr>
          <w:rFonts w:ascii="宋体" w:hAnsi="宋体" w:cs="宋体"/>
          <w:b/>
          <w:szCs w:val="21"/>
        </w:rPr>
      </w:pPr>
      <w:r>
        <w:rPr>
          <w:rFonts w:hint="eastAsia" w:ascii="宋体" w:hAnsi="宋体" w:cs="宋体"/>
          <w:b/>
          <w:bCs w:val="0"/>
          <w:szCs w:val="21"/>
          <w:lang w:val="en-US" w:eastAsia="zh-CN"/>
        </w:rPr>
        <w:t>2、表中“投标报价”应与“投标函”中“投标报价”一致</w:t>
      </w:r>
      <w:r>
        <w:rPr>
          <w:rFonts w:hint="eastAsia" w:ascii="宋体" w:hAnsi="宋体" w:cs="宋体"/>
          <w:b/>
          <w:bCs w:val="0"/>
          <w:szCs w:val="21"/>
        </w:rPr>
        <w:t>。</w:t>
      </w:r>
    </w:p>
    <w:p w14:paraId="0A64E195">
      <w:pPr>
        <w:spacing w:line="360" w:lineRule="auto"/>
        <w:ind w:firstLine="2" w:firstLineChars="1"/>
        <w:rPr>
          <w:rFonts w:ascii="宋体" w:hAnsi="宋体" w:cs="宋体"/>
          <w:szCs w:val="21"/>
        </w:rPr>
      </w:pPr>
    </w:p>
    <w:p w14:paraId="6A4CC93E">
      <w:pPr>
        <w:spacing w:line="360" w:lineRule="auto"/>
        <w:ind w:firstLine="2" w:firstLineChars="1"/>
        <w:rPr>
          <w:rFonts w:ascii="宋体" w:hAnsi="宋体" w:cs="宋体"/>
          <w:szCs w:val="21"/>
        </w:rPr>
      </w:pPr>
      <w:r>
        <w:rPr>
          <w:rFonts w:hint="eastAsia" w:ascii="宋体" w:hAnsi="宋体" w:cs="宋体"/>
          <w:szCs w:val="21"/>
        </w:rPr>
        <w:t>投标人（加盖投标人电子公章）：</w:t>
      </w:r>
    </w:p>
    <w:p w14:paraId="6CA54C64">
      <w:pPr>
        <w:spacing w:line="360" w:lineRule="auto"/>
        <w:ind w:firstLine="2" w:firstLineChars="1"/>
        <w:rPr>
          <w:rFonts w:ascii="宋体" w:hAnsi="宋体" w:cs="宋体"/>
          <w:szCs w:val="21"/>
          <w:u w:val="single"/>
        </w:rPr>
      </w:pPr>
      <w:r>
        <w:rPr>
          <w:rFonts w:hint="eastAsia" w:ascii="宋体" w:hAnsi="宋体" w:cs="宋体"/>
          <w:szCs w:val="21"/>
        </w:rPr>
        <w:t>法定代表人（负责人）（电子签名或电子签章）：</w:t>
      </w:r>
    </w:p>
    <w:p w14:paraId="69A020FB">
      <w:pPr>
        <w:pStyle w:val="21"/>
        <w:spacing w:line="360" w:lineRule="auto"/>
        <w:rPr>
          <w:rFonts w:hAnsi="宋体" w:cs="宋体"/>
          <w:sz w:val="24"/>
          <w:szCs w:val="24"/>
        </w:rPr>
      </w:pPr>
      <w:r>
        <w:rPr>
          <w:rFonts w:hint="eastAsia" w:hAnsi="宋体" w:cs="宋体"/>
          <w:szCs w:val="21"/>
        </w:rPr>
        <w:t>日期：</w:t>
      </w:r>
    </w:p>
    <w:p w14:paraId="0A31638C">
      <w:pPr>
        <w:widowControl/>
        <w:jc w:val="left"/>
        <w:rPr>
          <w:rFonts w:ascii="宋体" w:hAnsi="宋体" w:cs="宋体"/>
          <w:b/>
          <w:sz w:val="28"/>
          <w:szCs w:val="28"/>
        </w:rPr>
        <w:sectPr>
          <w:footerReference r:id="rId5" w:type="default"/>
          <w:pgSz w:w="12240" w:h="15840"/>
          <w:pgMar w:top="1440" w:right="1797" w:bottom="1440" w:left="1797" w:header="720" w:footer="720" w:gutter="0"/>
          <w:pgNumType w:start="1"/>
          <w:cols w:space="720" w:num="1"/>
        </w:sectPr>
      </w:pPr>
      <w:r>
        <w:rPr>
          <w:rFonts w:hint="eastAsia" w:ascii="宋体" w:hAnsi="宋体" w:cs="宋体"/>
          <w:b/>
          <w:sz w:val="28"/>
          <w:szCs w:val="28"/>
        </w:rPr>
        <w:br w:type="page"/>
      </w:r>
    </w:p>
    <w:p w14:paraId="214BB9E4">
      <w:pPr>
        <w:pStyle w:val="21"/>
        <w:spacing w:line="360" w:lineRule="auto"/>
        <w:jc w:val="center"/>
        <w:outlineLvl w:val="1"/>
        <w:rPr>
          <w:rFonts w:hAnsi="宋体" w:cs="宋体"/>
          <w:b/>
          <w:sz w:val="28"/>
          <w:szCs w:val="28"/>
        </w:rPr>
      </w:pPr>
      <w:r>
        <w:rPr>
          <w:rFonts w:hint="eastAsia" w:hAnsi="宋体" w:cs="宋体"/>
          <w:b/>
          <w:sz w:val="28"/>
          <w:szCs w:val="28"/>
        </w:rPr>
        <w:t>三、技术、商务文件</w:t>
      </w:r>
    </w:p>
    <w:p w14:paraId="698D7682">
      <w:pPr>
        <w:pStyle w:val="21"/>
        <w:spacing w:line="360" w:lineRule="auto"/>
        <w:rPr>
          <w:rFonts w:hint="eastAsia" w:hAnsi="宋体" w:eastAsia="宋体" w:cs="宋体"/>
          <w:b/>
          <w:sz w:val="28"/>
          <w:szCs w:val="28"/>
          <w:lang w:val="en-US" w:eastAsia="zh-CN"/>
        </w:rPr>
      </w:pPr>
      <w:r>
        <w:rPr>
          <w:rFonts w:hint="eastAsia" w:hAnsi="宋体" w:cs="宋体"/>
          <w:b/>
          <w:sz w:val="28"/>
          <w:szCs w:val="28"/>
        </w:rPr>
        <w:t>格式1</w:t>
      </w:r>
      <w:r>
        <w:rPr>
          <w:rFonts w:hint="eastAsia" w:hAnsi="宋体" w:cs="宋体"/>
          <w:b/>
          <w:sz w:val="28"/>
          <w:szCs w:val="28"/>
          <w:lang w:val="en-US" w:eastAsia="zh-CN"/>
        </w:rPr>
        <w:t>0</w:t>
      </w:r>
    </w:p>
    <w:p w14:paraId="15CF4A0C">
      <w:pPr>
        <w:pStyle w:val="3"/>
        <w:spacing w:before="0" w:line="360" w:lineRule="auto"/>
        <w:jc w:val="center"/>
        <w:rPr>
          <w:rFonts w:ascii="宋体" w:hAnsi="宋体" w:cs="宋体"/>
          <w:color w:val="auto"/>
          <w:sz w:val="28"/>
          <w:szCs w:val="28"/>
        </w:rPr>
      </w:pPr>
      <w:bookmarkStart w:id="420" w:name="_Toc17073"/>
      <w:bookmarkStart w:id="421" w:name="_Toc5019"/>
      <w:bookmarkStart w:id="422" w:name="_Toc488633616"/>
      <w:bookmarkStart w:id="423" w:name="_Toc489145751"/>
      <w:bookmarkStart w:id="424" w:name="_Toc481694845"/>
      <w:bookmarkStart w:id="425" w:name="_Toc489197855"/>
      <w:r>
        <w:rPr>
          <w:rFonts w:hint="eastAsia" w:ascii="宋体" w:hAnsi="宋体" w:cs="宋体"/>
          <w:color w:val="auto"/>
          <w:sz w:val="28"/>
          <w:szCs w:val="28"/>
        </w:rPr>
        <w:t>投标函</w:t>
      </w:r>
      <w:bookmarkEnd w:id="420"/>
      <w:bookmarkEnd w:id="421"/>
      <w:bookmarkEnd w:id="422"/>
      <w:bookmarkEnd w:id="423"/>
      <w:bookmarkEnd w:id="424"/>
      <w:bookmarkEnd w:id="425"/>
    </w:p>
    <w:p w14:paraId="2E6F5572">
      <w:pPr>
        <w:pStyle w:val="21"/>
        <w:spacing w:line="360" w:lineRule="auto"/>
        <w:rPr>
          <w:rFonts w:hAnsi="宋体" w:cs="宋体"/>
          <w:szCs w:val="21"/>
        </w:rPr>
      </w:pPr>
      <w:r>
        <w:rPr>
          <w:rFonts w:hint="eastAsia" w:hAnsi="宋体" w:cs="宋体"/>
          <w:szCs w:val="21"/>
        </w:rPr>
        <w:t>致：</w:t>
      </w:r>
      <w:r>
        <w:rPr>
          <w:rFonts w:hint="eastAsia" w:hAnsi="宋体" w:cs="宋体"/>
          <w:szCs w:val="21"/>
          <w:u w:val="single"/>
        </w:rPr>
        <w:t>（采购人名称）</w:t>
      </w:r>
    </w:p>
    <w:p w14:paraId="420CAC2A">
      <w:pPr>
        <w:pStyle w:val="21"/>
        <w:spacing w:line="360" w:lineRule="auto"/>
        <w:ind w:firstLine="482"/>
        <w:rPr>
          <w:rFonts w:hAnsi="宋体" w:cs="宋体"/>
          <w:szCs w:val="21"/>
        </w:rPr>
      </w:pPr>
      <w:r>
        <w:rPr>
          <w:rFonts w:hint="eastAsia" w:hAnsi="宋体" w:cs="宋体"/>
          <w:szCs w:val="21"/>
        </w:rPr>
        <w:t>我方仔细研究了</w:t>
      </w:r>
      <w:r>
        <w:rPr>
          <w:rFonts w:hint="eastAsia" w:hAnsi="宋体" w:cs="宋体"/>
          <w:szCs w:val="21"/>
          <w:u w:val="single"/>
        </w:rPr>
        <w:t xml:space="preserve">（采购项目名称） </w:t>
      </w:r>
      <w:r>
        <w:rPr>
          <w:rFonts w:hint="eastAsia" w:hAnsi="宋体" w:cs="宋体"/>
          <w:szCs w:val="21"/>
        </w:rPr>
        <w:t>（项目编号：</w:t>
      </w:r>
      <w:r>
        <w:rPr>
          <w:rFonts w:hint="eastAsia" w:hAnsi="宋体" w:cs="宋体"/>
          <w:szCs w:val="21"/>
          <w:u w:val="single"/>
        </w:rPr>
        <w:t xml:space="preserve">        </w:t>
      </w:r>
      <w:r>
        <w:rPr>
          <w:rFonts w:hint="eastAsia" w:hAnsi="宋体" w:cs="宋体"/>
          <w:szCs w:val="21"/>
        </w:rPr>
        <w:t>）项目招标文件的全部内容，正式授权</w:t>
      </w:r>
      <w:r>
        <w:rPr>
          <w:rFonts w:hint="eastAsia" w:hAnsi="宋体" w:cs="宋体"/>
          <w:szCs w:val="21"/>
          <w:u w:val="single"/>
        </w:rPr>
        <w:t xml:space="preserve">   （姓名和职务）     </w:t>
      </w:r>
      <w:r>
        <w:rPr>
          <w:rFonts w:hint="eastAsia" w:hAnsi="宋体" w:cs="宋体"/>
          <w:szCs w:val="21"/>
        </w:rPr>
        <w:t>全权代表投标人</w:t>
      </w:r>
      <w:r>
        <w:rPr>
          <w:rFonts w:hint="eastAsia" w:hAnsi="宋体" w:cs="宋体"/>
          <w:szCs w:val="21"/>
          <w:u w:val="single"/>
        </w:rPr>
        <w:t xml:space="preserve">  （投标人全称）   </w:t>
      </w:r>
      <w:r>
        <w:rPr>
          <w:rFonts w:hint="eastAsia" w:hAnsi="宋体" w:cs="宋体"/>
          <w:szCs w:val="21"/>
        </w:rPr>
        <w:t>参加投标，并提交电子投标文件。</w:t>
      </w:r>
    </w:p>
    <w:p w14:paraId="6D381D37">
      <w:pPr>
        <w:pStyle w:val="21"/>
        <w:spacing w:line="360" w:lineRule="auto"/>
        <w:ind w:firstLine="420"/>
        <w:rPr>
          <w:rFonts w:hAnsi="宋体" w:cs="宋体"/>
          <w:szCs w:val="21"/>
        </w:rPr>
      </w:pPr>
      <w:r>
        <w:rPr>
          <w:rFonts w:hint="eastAsia" w:hAnsi="宋体" w:cs="宋体"/>
          <w:szCs w:val="21"/>
        </w:rPr>
        <w:t>据此函，我公司兹宣布同意如下：</w:t>
      </w:r>
    </w:p>
    <w:p w14:paraId="6F3F9337">
      <w:pPr>
        <w:pStyle w:val="21"/>
        <w:spacing w:line="360" w:lineRule="auto"/>
        <w:ind w:firstLine="420"/>
        <w:rPr>
          <w:rFonts w:hAnsi="宋体" w:cs="宋体"/>
          <w:b/>
          <w:bCs/>
          <w:szCs w:val="21"/>
        </w:rPr>
      </w:pPr>
      <w:r>
        <w:rPr>
          <w:rFonts w:hint="eastAsia" w:hAnsi="宋体" w:cs="宋体"/>
          <w:szCs w:val="21"/>
        </w:rPr>
        <w:t>1．按招标文件采购需求及技术要求，</w:t>
      </w:r>
      <w:r>
        <w:rPr>
          <w:rFonts w:hint="eastAsia" w:ascii="宋体" w:hAnsi="宋体" w:eastAsia="宋体" w:cs="宋体"/>
          <w:color w:val="000000" w:themeColor="text1"/>
          <w:szCs w:val="21"/>
          <w:highlight w:val="none"/>
          <w14:textFill>
            <w14:solidFill>
              <w14:schemeClr w14:val="tx1"/>
            </w14:solidFill>
          </w14:textFill>
        </w:rPr>
        <w:t>我方投标报价（大写）</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，人民币</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元</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hAnsi="宋体" w:cs="宋体"/>
          <w:color w:val="000000" w:themeColor="text1"/>
          <w:szCs w:val="21"/>
          <w:highlight w:val="none"/>
          <w:lang w:val="en-US" w:eastAsia="zh-CN"/>
          <w14:textFill>
            <w14:solidFill>
              <w14:schemeClr w14:val="tx1"/>
            </w14:solidFill>
          </w14:textFill>
        </w:rPr>
        <w:t>服务期限</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w:t>
      </w:r>
    </w:p>
    <w:p w14:paraId="33ECFB37">
      <w:pPr>
        <w:pStyle w:val="21"/>
        <w:spacing w:line="360" w:lineRule="auto"/>
        <w:ind w:firstLine="420"/>
        <w:rPr>
          <w:rFonts w:hAnsi="宋体" w:cs="宋体"/>
          <w:szCs w:val="21"/>
        </w:rPr>
      </w:pPr>
      <w:r>
        <w:rPr>
          <w:rFonts w:hint="eastAsia" w:hAnsi="宋体" w:cs="宋体"/>
          <w:szCs w:val="21"/>
        </w:rPr>
        <w:t>2．我方已详细审查招标文件及相关文件全部内容，包括</w:t>
      </w:r>
      <w:r>
        <w:rPr>
          <w:rFonts w:hint="eastAsia" w:hAnsi="宋体" w:cs="宋体"/>
          <w:szCs w:val="21"/>
          <w:u w:val="single"/>
        </w:rPr>
        <w:t>（澄清文件）(如果有的话)</w:t>
      </w:r>
      <w:r>
        <w:rPr>
          <w:rFonts w:hint="eastAsia" w:hAnsi="宋体" w:cs="宋体"/>
          <w:szCs w:val="21"/>
        </w:rPr>
        <w:t>。我方完全理解招标文件及相关文件要求，并承担对这方面有不明及误解的后果。</w:t>
      </w:r>
    </w:p>
    <w:p w14:paraId="4A589DF3">
      <w:pPr>
        <w:pStyle w:val="21"/>
        <w:spacing w:line="360" w:lineRule="auto"/>
        <w:ind w:firstLine="420"/>
        <w:rPr>
          <w:rFonts w:hAnsi="宋体" w:cs="宋体"/>
          <w:szCs w:val="21"/>
        </w:rPr>
      </w:pPr>
      <w:r>
        <w:rPr>
          <w:rFonts w:hint="eastAsia" w:hAnsi="宋体" w:cs="宋体"/>
          <w:szCs w:val="21"/>
        </w:rPr>
        <w:t>3．在投标人须知规定的开标日期起遵循本投标文件，并在投标文件有效期满（从提交投标文件截止之日起90日历天）之前均具有约束力。</w:t>
      </w:r>
    </w:p>
    <w:p w14:paraId="2FECDF43">
      <w:pPr>
        <w:pStyle w:val="21"/>
        <w:spacing w:line="360" w:lineRule="auto"/>
        <w:ind w:firstLine="420"/>
        <w:rPr>
          <w:rFonts w:hAnsi="宋体" w:cs="宋体"/>
          <w:szCs w:val="21"/>
        </w:rPr>
      </w:pPr>
      <w:r>
        <w:rPr>
          <w:rFonts w:hint="eastAsia" w:hAnsi="宋体" w:cs="宋体"/>
          <w:szCs w:val="21"/>
        </w:rPr>
        <w:t>4．同意招标文件中关于没收投标保证金的规定。</w:t>
      </w:r>
    </w:p>
    <w:p w14:paraId="712AC40D">
      <w:pPr>
        <w:pStyle w:val="21"/>
        <w:spacing w:line="360" w:lineRule="auto"/>
        <w:ind w:firstLine="420"/>
        <w:rPr>
          <w:rFonts w:hAnsi="宋体" w:cs="宋体"/>
          <w:szCs w:val="21"/>
        </w:rPr>
      </w:pPr>
      <w:r>
        <w:rPr>
          <w:rFonts w:hint="eastAsia" w:hAnsi="宋体" w:cs="宋体"/>
          <w:szCs w:val="21"/>
        </w:rPr>
        <w:t>5．同意应贵方要求提供与本投标有关的任何数据或资料，并保证数据和资料的完整性和真实性。</w:t>
      </w:r>
    </w:p>
    <w:p w14:paraId="5FF6A4BC">
      <w:pPr>
        <w:pStyle w:val="21"/>
        <w:spacing w:line="360" w:lineRule="auto"/>
        <w:ind w:firstLine="420"/>
        <w:rPr>
          <w:rFonts w:hAnsi="宋体" w:cs="宋体"/>
          <w:szCs w:val="21"/>
        </w:rPr>
      </w:pPr>
      <w:r>
        <w:rPr>
          <w:rFonts w:hint="eastAsia" w:hAnsi="宋体" w:cs="宋体"/>
          <w:szCs w:val="21"/>
        </w:rPr>
        <w:t>6．完全理解贵方不一定要接受最低报价的投标人为中标人的行为。</w:t>
      </w:r>
    </w:p>
    <w:p w14:paraId="0853815D">
      <w:pPr>
        <w:pStyle w:val="21"/>
        <w:spacing w:line="360" w:lineRule="auto"/>
        <w:ind w:firstLine="420"/>
        <w:rPr>
          <w:rFonts w:hAnsi="宋体" w:cs="宋体"/>
          <w:szCs w:val="21"/>
        </w:rPr>
      </w:pPr>
      <w:r>
        <w:rPr>
          <w:rFonts w:hint="eastAsia" w:hAnsi="宋体" w:cs="宋体"/>
          <w:szCs w:val="21"/>
        </w:rPr>
        <w:t>7．如我方中标：</w:t>
      </w:r>
    </w:p>
    <w:p w14:paraId="2F491B82">
      <w:pPr>
        <w:pStyle w:val="21"/>
        <w:spacing w:line="360" w:lineRule="auto"/>
        <w:ind w:firstLine="420"/>
        <w:rPr>
          <w:rFonts w:hAnsi="宋体" w:cs="宋体"/>
          <w:szCs w:val="21"/>
        </w:rPr>
      </w:pPr>
      <w:r>
        <w:rPr>
          <w:rFonts w:hint="eastAsia" w:hAnsi="宋体" w:cs="宋体"/>
          <w:szCs w:val="21"/>
        </w:rPr>
        <w:t>（1）我方承诺在收到中标通知书后，在中标通知书规定的期限内与你方签订合同，并履行相应的合同责任和义务。</w:t>
      </w:r>
    </w:p>
    <w:p w14:paraId="23766F08">
      <w:pPr>
        <w:pStyle w:val="21"/>
        <w:spacing w:line="360" w:lineRule="auto"/>
        <w:ind w:firstLine="420"/>
        <w:rPr>
          <w:rFonts w:hAnsi="宋体" w:cs="宋体"/>
          <w:szCs w:val="21"/>
        </w:rPr>
      </w:pPr>
      <w:r>
        <w:rPr>
          <w:rFonts w:hint="eastAsia" w:hAnsi="宋体" w:cs="宋体"/>
          <w:szCs w:val="21"/>
        </w:rPr>
        <w:t>（2）我方承诺按照招标文件规定向你方递交履约保证金。</w:t>
      </w:r>
    </w:p>
    <w:p w14:paraId="5FEF657F">
      <w:pPr>
        <w:pStyle w:val="21"/>
        <w:spacing w:line="360" w:lineRule="auto"/>
        <w:ind w:firstLine="420"/>
        <w:rPr>
          <w:rFonts w:hAnsi="宋体" w:cs="宋体"/>
          <w:szCs w:val="21"/>
        </w:rPr>
      </w:pPr>
      <w:r>
        <w:rPr>
          <w:rFonts w:hint="eastAsia" w:hAnsi="宋体" w:cs="宋体"/>
          <w:szCs w:val="21"/>
        </w:rPr>
        <w:t>8．我方在此声明，所递交的投标文件及有关资料内容完整、真实和准确。</w:t>
      </w:r>
    </w:p>
    <w:p w14:paraId="715B0496">
      <w:pPr>
        <w:pStyle w:val="21"/>
        <w:spacing w:line="360" w:lineRule="auto"/>
        <w:ind w:firstLine="420"/>
        <w:rPr>
          <w:rFonts w:hAnsi="宋体" w:cs="宋体"/>
          <w:szCs w:val="21"/>
        </w:rPr>
      </w:pPr>
      <w:r>
        <w:rPr>
          <w:rFonts w:hint="eastAsia" w:hAnsi="宋体" w:cs="宋体"/>
          <w:szCs w:val="21"/>
        </w:rPr>
        <w:t>9．</w:t>
      </w:r>
      <w:r>
        <w:rPr>
          <w:rFonts w:hint="eastAsia" w:hAnsi="宋体" w:cs="宋体"/>
          <w:szCs w:val="21"/>
          <w:u w:val="single"/>
        </w:rPr>
        <w:t xml:space="preserve">                                       </w:t>
      </w:r>
      <w:r>
        <w:rPr>
          <w:rFonts w:hint="eastAsia" w:hAnsi="宋体" w:cs="宋体"/>
          <w:szCs w:val="21"/>
        </w:rPr>
        <w:t>（其他补充说明）。</w:t>
      </w:r>
    </w:p>
    <w:p w14:paraId="6DCC0FFC">
      <w:pPr>
        <w:pStyle w:val="21"/>
        <w:spacing w:line="360" w:lineRule="auto"/>
        <w:ind w:firstLine="420"/>
        <w:rPr>
          <w:rFonts w:hAnsi="宋体" w:cs="宋体"/>
          <w:szCs w:val="21"/>
        </w:rPr>
      </w:pPr>
    </w:p>
    <w:p w14:paraId="5164150F">
      <w:pPr>
        <w:pStyle w:val="21"/>
        <w:snapToGrid w:val="0"/>
        <w:spacing w:line="360" w:lineRule="auto"/>
        <w:ind w:firstLine="422"/>
        <w:rPr>
          <w:rFonts w:hAnsi="宋体" w:cs="宋体"/>
          <w:b/>
          <w:bCs/>
          <w:szCs w:val="21"/>
        </w:rPr>
      </w:pPr>
      <w:r>
        <w:rPr>
          <w:rFonts w:hint="eastAsia" w:hAnsi="宋体" w:cs="宋体"/>
          <w:b/>
          <w:bCs/>
          <w:szCs w:val="21"/>
        </w:rPr>
        <w:t>我单位正式通讯地址为：</w:t>
      </w:r>
    </w:p>
    <w:p w14:paraId="5704B3C2">
      <w:pPr>
        <w:pStyle w:val="21"/>
        <w:snapToGrid w:val="0"/>
        <w:spacing w:line="360" w:lineRule="auto"/>
        <w:ind w:firstLine="420"/>
        <w:rPr>
          <w:rFonts w:hAnsi="宋体" w:cs="宋体"/>
          <w:szCs w:val="21"/>
        </w:rPr>
      </w:pPr>
      <w:r>
        <w:rPr>
          <w:rFonts w:hint="eastAsia" w:hAnsi="宋体" w:cs="宋体"/>
          <w:szCs w:val="21"/>
        </w:rPr>
        <w:t>统一社会信用代码：</w:t>
      </w:r>
    </w:p>
    <w:p w14:paraId="280DDD6E">
      <w:pPr>
        <w:pStyle w:val="21"/>
        <w:snapToGrid w:val="0"/>
        <w:spacing w:line="360" w:lineRule="auto"/>
        <w:ind w:firstLine="420"/>
        <w:rPr>
          <w:rFonts w:hAnsi="宋体" w:cs="宋体"/>
          <w:szCs w:val="21"/>
        </w:rPr>
      </w:pPr>
      <w:r>
        <w:rPr>
          <w:rFonts w:hint="eastAsia" w:hAnsi="宋体" w:cs="宋体"/>
          <w:szCs w:val="21"/>
        </w:rPr>
        <w:t>地址：</w:t>
      </w:r>
    </w:p>
    <w:p w14:paraId="6EF041AF">
      <w:pPr>
        <w:pStyle w:val="21"/>
        <w:snapToGrid w:val="0"/>
        <w:spacing w:line="360" w:lineRule="auto"/>
        <w:ind w:firstLine="420"/>
        <w:rPr>
          <w:rFonts w:hAnsi="宋体" w:cs="宋体"/>
          <w:szCs w:val="21"/>
          <w:u w:val="single"/>
        </w:rPr>
      </w:pPr>
      <w:r>
        <w:rPr>
          <w:rFonts w:hint="eastAsia" w:hAnsi="宋体" w:cs="宋体"/>
          <w:szCs w:val="21"/>
        </w:rPr>
        <w:t>邮政编码：</w:t>
      </w:r>
    </w:p>
    <w:p w14:paraId="258877FE">
      <w:pPr>
        <w:pStyle w:val="21"/>
        <w:snapToGrid w:val="0"/>
        <w:spacing w:line="360" w:lineRule="auto"/>
        <w:ind w:firstLine="420"/>
        <w:rPr>
          <w:rFonts w:hAnsi="宋体" w:cs="宋体"/>
          <w:szCs w:val="21"/>
        </w:rPr>
      </w:pPr>
      <w:r>
        <w:rPr>
          <w:rFonts w:hint="eastAsia" w:hAnsi="宋体" w:cs="宋体"/>
          <w:szCs w:val="21"/>
        </w:rPr>
        <w:t>电话：</w:t>
      </w:r>
    </w:p>
    <w:p w14:paraId="62AF868E">
      <w:pPr>
        <w:pStyle w:val="21"/>
        <w:snapToGrid w:val="0"/>
        <w:spacing w:line="360" w:lineRule="auto"/>
        <w:ind w:firstLine="420"/>
        <w:rPr>
          <w:rFonts w:hAnsi="宋体" w:cs="宋体"/>
          <w:szCs w:val="21"/>
        </w:rPr>
      </w:pPr>
      <w:r>
        <w:rPr>
          <w:rFonts w:hint="eastAsia" w:hAnsi="宋体" w:cs="宋体"/>
          <w:szCs w:val="21"/>
        </w:rPr>
        <w:t>联系人：</w:t>
      </w:r>
    </w:p>
    <w:p w14:paraId="1EF57CA2">
      <w:pPr>
        <w:pStyle w:val="21"/>
        <w:snapToGrid w:val="0"/>
        <w:spacing w:line="360" w:lineRule="auto"/>
        <w:ind w:firstLine="420"/>
        <w:rPr>
          <w:rFonts w:hAnsi="宋体" w:cs="宋体"/>
          <w:szCs w:val="21"/>
        </w:rPr>
      </w:pPr>
      <w:r>
        <w:rPr>
          <w:rFonts w:hint="eastAsia" w:hAnsi="宋体" w:cs="宋体"/>
          <w:szCs w:val="21"/>
        </w:rPr>
        <w:t>联系电话：</w:t>
      </w:r>
    </w:p>
    <w:p w14:paraId="0454D813">
      <w:pPr>
        <w:pStyle w:val="21"/>
        <w:snapToGrid w:val="0"/>
        <w:spacing w:line="360" w:lineRule="auto"/>
        <w:ind w:firstLine="420"/>
        <w:rPr>
          <w:rFonts w:hAnsi="宋体" w:cs="宋体"/>
          <w:szCs w:val="21"/>
        </w:rPr>
      </w:pPr>
      <w:r>
        <w:rPr>
          <w:rFonts w:hint="eastAsia" w:hAnsi="宋体" w:cs="宋体"/>
          <w:szCs w:val="21"/>
        </w:rPr>
        <w:t>投标人地址：</w:t>
      </w:r>
    </w:p>
    <w:p w14:paraId="6DAD42E4">
      <w:pPr>
        <w:pStyle w:val="21"/>
        <w:snapToGrid w:val="0"/>
        <w:spacing w:line="360" w:lineRule="auto"/>
        <w:ind w:firstLine="420"/>
        <w:rPr>
          <w:rFonts w:hAnsi="宋体" w:cs="宋体"/>
          <w:szCs w:val="21"/>
        </w:rPr>
      </w:pPr>
      <w:r>
        <w:rPr>
          <w:rFonts w:hint="eastAsia" w:hAnsi="宋体" w:cs="宋体"/>
          <w:szCs w:val="21"/>
        </w:rPr>
        <w:t>邮箱：</w:t>
      </w:r>
    </w:p>
    <w:p w14:paraId="7BBC5F9A">
      <w:pPr>
        <w:pStyle w:val="21"/>
        <w:snapToGrid w:val="0"/>
        <w:spacing w:line="360" w:lineRule="auto"/>
        <w:ind w:firstLine="420"/>
        <w:rPr>
          <w:rFonts w:hAnsi="宋体" w:cs="宋体"/>
          <w:szCs w:val="21"/>
        </w:rPr>
      </w:pPr>
      <w:r>
        <w:rPr>
          <w:rFonts w:hint="eastAsia" w:hAnsi="宋体" w:cs="宋体"/>
          <w:szCs w:val="21"/>
        </w:rPr>
        <w:t>传真：</w:t>
      </w:r>
    </w:p>
    <w:p w14:paraId="2DDEFA9B">
      <w:pPr>
        <w:pStyle w:val="21"/>
        <w:snapToGrid w:val="0"/>
        <w:spacing w:line="360" w:lineRule="auto"/>
        <w:ind w:firstLine="420"/>
        <w:rPr>
          <w:rFonts w:hAnsi="宋体" w:cs="宋体"/>
          <w:szCs w:val="21"/>
        </w:rPr>
      </w:pPr>
      <w:r>
        <w:rPr>
          <w:rFonts w:hint="eastAsia" w:hAnsi="宋体" w:cs="宋体"/>
          <w:szCs w:val="21"/>
        </w:rPr>
        <w:t>开户名称：</w:t>
      </w:r>
    </w:p>
    <w:p w14:paraId="47D7C9ED">
      <w:pPr>
        <w:pStyle w:val="21"/>
        <w:snapToGrid w:val="0"/>
        <w:spacing w:line="360" w:lineRule="auto"/>
        <w:ind w:firstLine="420"/>
        <w:rPr>
          <w:rFonts w:hAnsi="宋体" w:cs="宋体"/>
          <w:szCs w:val="21"/>
        </w:rPr>
      </w:pPr>
      <w:r>
        <w:rPr>
          <w:rFonts w:hint="eastAsia" w:hAnsi="宋体" w:cs="宋体"/>
          <w:szCs w:val="21"/>
        </w:rPr>
        <w:t>开户银行：</w:t>
      </w:r>
    </w:p>
    <w:p w14:paraId="214D1F76">
      <w:pPr>
        <w:pStyle w:val="21"/>
        <w:spacing w:line="360" w:lineRule="auto"/>
        <w:ind w:firstLine="420"/>
        <w:rPr>
          <w:rFonts w:hAnsi="宋体" w:cs="宋体"/>
          <w:szCs w:val="21"/>
        </w:rPr>
      </w:pPr>
      <w:r>
        <w:rPr>
          <w:rFonts w:hint="eastAsia" w:hAnsi="宋体" w:cs="宋体"/>
          <w:szCs w:val="21"/>
        </w:rPr>
        <w:t>账号：</w:t>
      </w:r>
    </w:p>
    <w:p w14:paraId="2AE0178D">
      <w:pPr>
        <w:pStyle w:val="21"/>
        <w:spacing w:line="360" w:lineRule="auto"/>
        <w:ind w:firstLine="2" w:firstLineChars="1"/>
        <w:rPr>
          <w:rFonts w:hAnsi="宋体" w:cs="宋体"/>
          <w:szCs w:val="21"/>
        </w:rPr>
      </w:pPr>
    </w:p>
    <w:p w14:paraId="56A192B1">
      <w:pPr>
        <w:spacing w:line="360" w:lineRule="auto"/>
        <w:ind w:firstLine="2" w:firstLineChars="1"/>
        <w:rPr>
          <w:rFonts w:ascii="宋体" w:hAnsi="宋体" w:cs="宋体"/>
          <w:szCs w:val="21"/>
        </w:rPr>
      </w:pPr>
      <w:r>
        <w:rPr>
          <w:rFonts w:hint="eastAsia" w:ascii="宋体" w:hAnsi="宋体" w:cs="宋体"/>
          <w:szCs w:val="21"/>
        </w:rPr>
        <w:t>投标人（加盖投标人电子公章）：</w:t>
      </w:r>
    </w:p>
    <w:p w14:paraId="65483D4A">
      <w:pPr>
        <w:spacing w:line="360" w:lineRule="auto"/>
        <w:ind w:firstLine="2" w:firstLineChars="1"/>
        <w:rPr>
          <w:rFonts w:ascii="宋体" w:hAnsi="宋体" w:cs="宋体"/>
          <w:szCs w:val="21"/>
        </w:rPr>
      </w:pPr>
      <w:r>
        <w:rPr>
          <w:rFonts w:hint="eastAsia" w:ascii="宋体" w:hAnsi="宋体" w:cs="宋体"/>
          <w:szCs w:val="21"/>
        </w:rPr>
        <w:t>法定代表人（负责人）（电子签名或电子签章）：</w:t>
      </w:r>
    </w:p>
    <w:p w14:paraId="2B3A35DF">
      <w:pPr>
        <w:pStyle w:val="21"/>
        <w:spacing w:line="360" w:lineRule="auto"/>
        <w:rPr>
          <w:rFonts w:hAnsi="宋体" w:cs="宋体"/>
          <w:b/>
          <w:sz w:val="28"/>
          <w:szCs w:val="28"/>
        </w:rPr>
      </w:pPr>
      <w:r>
        <w:rPr>
          <w:rFonts w:hint="eastAsia" w:hAnsi="宋体" w:cs="宋体"/>
          <w:szCs w:val="21"/>
        </w:rPr>
        <w:t>日期：</w:t>
      </w:r>
    </w:p>
    <w:p w14:paraId="29BD2BF0">
      <w:pPr>
        <w:widowControl/>
        <w:jc w:val="left"/>
        <w:rPr>
          <w:rFonts w:ascii="宋体" w:hAnsi="宋体" w:cs="宋体"/>
          <w:b/>
          <w:sz w:val="28"/>
          <w:szCs w:val="28"/>
        </w:rPr>
      </w:pPr>
      <w:r>
        <w:rPr>
          <w:rFonts w:hint="eastAsia" w:ascii="宋体" w:hAnsi="宋体" w:cs="宋体"/>
          <w:b/>
          <w:sz w:val="28"/>
          <w:szCs w:val="28"/>
        </w:rPr>
        <w:br w:type="page"/>
      </w:r>
    </w:p>
    <w:p w14:paraId="51DC419D">
      <w:pPr>
        <w:widowControl/>
        <w:spacing w:line="360" w:lineRule="auto"/>
        <w:jc w:val="left"/>
        <w:rPr>
          <w:rFonts w:hint="eastAsia" w:ascii="宋体" w:hAnsi="宋体" w:eastAsia="宋体" w:cs="宋体"/>
          <w:b/>
          <w:spacing w:val="40"/>
          <w:sz w:val="28"/>
          <w:szCs w:val="28"/>
          <w:lang w:val="en-US" w:eastAsia="zh-CN"/>
        </w:rPr>
      </w:pPr>
      <w:bookmarkStart w:id="426" w:name="_Toc30859"/>
      <w:bookmarkStart w:id="427" w:name="_Toc11622"/>
      <w:r>
        <w:rPr>
          <w:rFonts w:hint="eastAsia" w:ascii="宋体" w:hAnsi="宋体" w:cs="宋体"/>
          <w:b/>
          <w:sz w:val="28"/>
          <w:szCs w:val="28"/>
        </w:rPr>
        <w:t>格式1</w:t>
      </w:r>
      <w:r>
        <w:rPr>
          <w:rFonts w:hint="eastAsia" w:ascii="宋体" w:hAnsi="宋体" w:cs="宋体"/>
          <w:b/>
          <w:sz w:val="28"/>
          <w:szCs w:val="28"/>
          <w:lang w:val="en-US" w:eastAsia="zh-CN"/>
        </w:rPr>
        <w:t>1</w:t>
      </w:r>
    </w:p>
    <w:bookmarkEnd w:id="426"/>
    <w:bookmarkEnd w:id="427"/>
    <w:p w14:paraId="24BB120A">
      <w:pPr>
        <w:keepNext/>
        <w:keepLines/>
        <w:adjustRightInd w:val="0"/>
        <w:snapToGrid w:val="0"/>
        <w:spacing w:line="360" w:lineRule="auto"/>
        <w:jc w:val="center"/>
        <w:rPr>
          <w:rFonts w:ascii="宋体" w:hAnsi="宋体" w:cs="宋体"/>
          <w:b/>
          <w:bCs/>
          <w:sz w:val="28"/>
          <w:szCs w:val="28"/>
        </w:rPr>
      </w:pPr>
      <w:r>
        <w:rPr>
          <w:rFonts w:hint="eastAsia" w:ascii="宋体" w:hAnsi="宋体" w:cs="宋体"/>
          <w:b/>
          <w:bCs/>
          <w:sz w:val="28"/>
          <w:szCs w:val="28"/>
          <w:lang w:val="en-US" w:eastAsia="zh-CN"/>
        </w:rPr>
        <w:t>整体服务方案</w:t>
      </w:r>
    </w:p>
    <w:p w14:paraId="48FBEDAB">
      <w:pPr>
        <w:spacing w:line="360" w:lineRule="auto"/>
        <w:jc w:val="center"/>
        <w:rPr>
          <w:rFonts w:ascii="宋体" w:hAnsi="宋体" w:cs="宋体"/>
          <w:b/>
          <w:bCs/>
          <w:kern w:val="0"/>
          <w:szCs w:val="21"/>
        </w:rPr>
      </w:pPr>
      <w:r>
        <w:rPr>
          <w:rFonts w:hint="eastAsia" w:ascii="宋体" w:hAnsi="宋体" w:cs="宋体"/>
          <w:b/>
          <w:bCs/>
          <w:kern w:val="0"/>
          <w:szCs w:val="21"/>
        </w:rPr>
        <w:t>（</w:t>
      </w:r>
      <w:r>
        <w:rPr>
          <w:rFonts w:hint="eastAsia" w:ascii="宋体" w:hAnsi="宋体" w:cs="宋体"/>
          <w:b/>
          <w:bCs/>
          <w:kern w:val="0"/>
          <w:szCs w:val="21"/>
          <w:lang w:eastAsia="zh-CN"/>
        </w:rPr>
        <w:t>内容自拟</w:t>
      </w:r>
      <w:r>
        <w:rPr>
          <w:rFonts w:hint="eastAsia" w:ascii="宋体" w:hAnsi="宋体" w:cs="宋体"/>
          <w:b/>
          <w:bCs/>
          <w:kern w:val="0"/>
          <w:szCs w:val="21"/>
        </w:rPr>
        <w:t>）</w:t>
      </w:r>
    </w:p>
    <w:p w14:paraId="1052D96E">
      <w:pPr>
        <w:rPr>
          <w:rFonts w:ascii="宋体" w:hAnsi="宋体" w:cs="宋体"/>
          <w:b/>
          <w:bCs/>
          <w:sz w:val="28"/>
          <w:szCs w:val="28"/>
        </w:rPr>
      </w:pPr>
      <w:r>
        <w:rPr>
          <w:rFonts w:hint="eastAsia" w:ascii="宋体" w:hAnsi="宋体" w:cs="宋体"/>
          <w:b/>
          <w:bCs/>
          <w:sz w:val="28"/>
          <w:szCs w:val="28"/>
        </w:rPr>
        <w:br w:type="page"/>
      </w:r>
    </w:p>
    <w:p w14:paraId="4BB1EED2">
      <w:pPr>
        <w:keepNext/>
        <w:keepLines/>
        <w:spacing w:after="120" w:line="360" w:lineRule="auto"/>
        <w:jc w:val="left"/>
        <w:outlineLvl w:val="1"/>
        <w:rPr>
          <w:rFonts w:hint="eastAsia" w:ascii="宋体" w:hAnsi="宋体" w:eastAsia="宋体" w:cs="宋体"/>
          <w:b/>
          <w:sz w:val="28"/>
          <w:szCs w:val="28"/>
          <w:lang w:val="en-US" w:eastAsia="zh-CN"/>
        </w:rPr>
      </w:pPr>
      <w:r>
        <w:rPr>
          <w:rFonts w:hint="eastAsia" w:ascii="宋体" w:hAnsi="宋体" w:cs="宋体"/>
          <w:b/>
          <w:bCs/>
          <w:sz w:val="28"/>
          <w:szCs w:val="28"/>
        </w:rPr>
        <w:t>格式1</w:t>
      </w:r>
      <w:r>
        <w:rPr>
          <w:rFonts w:hint="eastAsia" w:ascii="宋体" w:hAnsi="宋体" w:cs="宋体"/>
          <w:b/>
          <w:bCs/>
          <w:sz w:val="28"/>
          <w:szCs w:val="28"/>
          <w:lang w:val="en-US" w:eastAsia="zh-CN"/>
        </w:rPr>
        <w:t>2</w:t>
      </w:r>
    </w:p>
    <w:p w14:paraId="4A2892EC">
      <w:pPr>
        <w:keepNext/>
        <w:keepLines/>
        <w:adjustRightInd w:val="0"/>
        <w:snapToGrid w:val="0"/>
        <w:spacing w:line="360" w:lineRule="auto"/>
        <w:jc w:val="center"/>
        <w:rPr>
          <w:rFonts w:ascii="宋体" w:hAnsi="宋体" w:cs="宋体"/>
          <w:b/>
          <w:bCs/>
          <w:sz w:val="28"/>
          <w:szCs w:val="28"/>
        </w:rPr>
      </w:pPr>
      <w:r>
        <w:rPr>
          <w:rFonts w:hint="eastAsia" w:ascii="宋体" w:hAnsi="宋体" w:cs="宋体"/>
          <w:b/>
          <w:bCs/>
          <w:sz w:val="28"/>
          <w:szCs w:val="28"/>
          <w:lang w:val="en-US" w:eastAsia="zh-CN"/>
        </w:rPr>
        <w:t>医疗责任保险服务方案</w:t>
      </w:r>
    </w:p>
    <w:p w14:paraId="35C17EBD">
      <w:pPr>
        <w:spacing w:line="360" w:lineRule="auto"/>
        <w:jc w:val="center"/>
        <w:rPr>
          <w:rFonts w:ascii="宋体" w:hAnsi="宋体" w:cs="宋体"/>
          <w:kern w:val="0"/>
          <w:szCs w:val="21"/>
        </w:rPr>
      </w:pPr>
      <w:r>
        <w:rPr>
          <w:rFonts w:hint="eastAsia" w:ascii="宋体" w:hAnsi="宋体" w:cs="宋体"/>
          <w:kern w:val="0"/>
          <w:szCs w:val="21"/>
        </w:rPr>
        <w:t>（</w:t>
      </w:r>
      <w:r>
        <w:rPr>
          <w:rFonts w:hint="eastAsia" w:ascii="宋体" w:hAnsi="宋体" w:cs="宋体"/>
          <w:kern w:val="0"/>
          <w:szCs w:val="21"/>
          <w:lang w:eastAsia="zh-CN"/>
        </w:rPr>
        <w:t>内容自拟</w:t>
      </w:r>
      <w:r>
        <w:rPr>
          <w:rFonts w:hint="eastAsia" w:ascii="宋体" w:hAnsi="宋体" w:cs="宋体"/>
          <w:kern w:val="0"/>
          <w:szCs w:val="21"/>
        </w:rPr>
        <w:t>）</w:t>
      </w:r>
    </w:p>
    <w:p w14:paraId="7376801F">
      <w:r>
        <w:rPr>
          <w:rFonts w:hint="eastAsia"/>
        </w:rPr>
        <w:br w:type="page"/>
      </w:r>
    </w:p>
    <w:p w14:paraId="49083A3A">
      <w:pPr>
        <w:keepNext/>
        <w:keepLines/>
        <w:spacing w:after="120" w:line="360" w:lineRule="auto"/>
        <w:jc w:val="left"/>
        <w:outlineLvl w:val="1"/>
        <w:rPr>
          <w:rFonts w:hint="eastAsia" w:ascii="宋体" w:hAnsi="宋体" w:eastAsia="宋体" w:cs="宋体"/>
          <w:b/>
          <w:sz w:val="28"/>
          <w:szCs w:val="28"/>
          <w:lang w:val="en-US" w:eastAsia="zh-CN"/>
        </w:rPr>
      </w:pPr>
      <w:r>
        <w:rPr>
          <w:rFonts w:hint="eastAsia" w:ascii="宋体" w:hAnsi="宋体" w:cs="宋体"/>
          <w:b/>
          <w:bCs/>
          <w:sz w:val="28"/>
          <w:szCs w:val="28"/>
        </w:rPr>
        <w:t>格式1</w:t>
      </w:r>
      <w:r>
        <w:rPr>
          <w:rFonts w:hint="eastAsia" w:ascii="宋体" w:hAnsi="宋体" w:cs="宋体"/>
          <w:b/>
          <w:bCs/>
          <w:sz w:val="28"/>
          <w:szCs w:val="28"/>
          <w:lang w:val="en-US" w:eastAsia="zh-CN"/>
        </w:rPr>
        <w:t>3</w:t>
      </w:r>
    </w:p>
    <w:p w14:paraId="4BA893CA">
      <w:pPr>
        <w:keepNext/>
        <w:keepLines/>
        <w:adjustRightInd w:val="0"/>
        <w:snapToGrid w:val="0"/>
        <w:spacing w:line="360" w:lineRule="auto"/>
        <w:jc w:val="center"/>
        <w:rPr>
          <w:rFonts w:ascii="宋体" w:hAnsi="宋体" w:cs="宋体"/>
          <w:b/>
          <w:bCs/>
          <w:sz w:val="28"/>
          <w:szCs w:val="28"/>
        </w:rPr>
      </w:pPr>
      <w:r>
        <w:rPr>
          <w:rFonts w:hint="eastAsia" w:ascii="宋体" w:hAnsi="宋体" w:cs="宋体"/>
          <w:b/>
          <w:bCs/>
          <w:sz w:val="28"/>
          <w:szCs w:val="28"/>
          <w:lang w:val="en-US" w:eastAsia="zh-CN"/>
        </w:rPr>
        <w:t>理赔服务</w:t>
      </w:r>
      <w:r>
        <w:rPr>
          <w:rFonts w:hint="eastAsia" w:ascii="宋体" w:hAnsi="宋体" w:cs="宋体"/>
          <w:b/>
          <w:bCs/>
          <w:sz w:val="28"/>
          <w:szCs w:val="28"/>
        </w:rPr>
        <w:t>方案</w:t>
      </w:r>
    </w:p>
    <w:p w14:paraId="31F6A43F">
      <w:pPr>
        <w:spacing w:line="360" w:lineRule="auto"/>
        <w:jc w:val="center"/>
        <w:rPr>
          <w:rFonts w:ascii="宋体" w:hAnsi="宋体" w:cs="宋体"/>
          <w:kern w:val="0"/>
          <w:szCs w:val="21"/>
        </w:rPr>
      </w:pPr>
      <w:r>
        <w:rPr>
          <w:rFonts w:hint="eastAsia" w:ascii="宋体" w:hAnsi="宋体" w:cs="宋体"/>
          <w:kern w:val="0"/>
          <w:szCs w:val="21"/>
        </w:rPr>
        <w:t>（</w:t>
      </w:r>
      <w:r>
        <w:rPr>
          <w:rFonts w:hint="eastAsia" w:ascii="宋体" w:hAnsi="宋体" w:cs="宋体"/>
          <w:kern w:val="0"/>
          <w:szCs w:val="21"/>
          <w:lang w:eastAsia="zh-CN"/>
        </w:rPr>
        <w:t>内容自拟</w:t>
      </w:r>
      <w:r>
        <w:rPr>
          <w:rFonts w:hint="eastAsia" w:ascii="宋体" w:hAnsi="宋体" w:cs="宋体"/>
          <w:kern w:val="0"/>
          <w:szCs w:val="21"/>
        </w:rPr>
        <w:t>）</w:t>
      </w:r>
    </w:p>
    <w:p w14:paraId="3CB09CF6">
      <w:r>
        <w:rPr>
          <w:rFonts w:hint="eastAsia"/>
        </w:rPr>
        <w:br w:type="page"/>
      </w:r>
    </w:p>
    <w:p w14:paraId="7498427E">
      <w:pPr>
        <w:keepNext/>
        <w:keepLines/>
        <w:spacing w:after="120" w:line="360" w:lineRule="auto"/>
        <w:jc w:val="left"/>
        <w:outlineLvl w:val="1"/>
        <w:rPr>
          <w:rFonts w:hint="eastAsia" w:ascii="宋体" w:hAnsi="宋体" w:eastAsia="宋体" w:cs="宋体"/>
          <w:b/>
          <w:sz w:val="28"/>
          <w:szCs w:val="28"/>
          <w:lang w:val="en-US" w:eastAsia="zh-CN"/>
        </w:rPr>
      </w:pPr>
      <w:r>
        <w:rPr>
          <w:rFonts w:hint="eastAsia" w:ascii="宋体" w:hAnsi="宋体" w:cs="宋体"/>
          <w:b/>
          <w:bCs/>
          <w:sz w:val="28"/>
          <w:szCs w:val="28"/>
        </w:rPr>
        <w:t>格式1</w:t>
      </w:r>
      <w:r>
        <w:rPr>
          <w:rFonts w:hint="eastAsia" w:ascii="宋体" w:hAnsi="宋体" w:cs="宋体"/>
          <w:b/>
          <w:bCs/>
          <w:sz w:val="28"/>
          <w:szCs w:val="28"/>
          <w:lang w:val="en-US" w:eastAsia="zh-CN"/>
        </w:rPr>
        <w:t>4</w:t>
      </w:r>
    </w:p>
    <w:p w14:paraId="64BE5A8B">
      <w:pPr>
        <w:keepNext/>
        <w:keepLines/>
        <w:adjustRightInd w:val="0"/>
        <w:snapToGrid w:val="0"/>
        <w:spacing w:line="360" w:lineRule="auto"/>
        <w:jc w:val="center"/>
        <w:rPr>
          <w:rFonts w:ascii="宋体" w:hAnsi="宋体" w:cs="宋体"/>
          <w:b/>
          <w:bCs/>
          <w:sz w:val="28"/>
          <w:szCs w:val="28"/>
        </w:rPr>
      </w:pPr>
      <w:r>
        <w:rPr>
          <w:rFonts w:hint="eastAsia" w:ascii="宋体" w:hAnsi="宋体" w:cs="宋体"/>
          <w:b/>
          <w:bCs/>
          <w:sz w:val="28"/>
          <w:szCs w:val="28"/>
        </w:rPr>
        <w:t>承保服务</w:t>
      </w:r>
      <w:r>
        <w:rPr>
          <w:rFonts w:hint="eastAsia" w:ascii="宋体" w:hAnsi="宋体" w:cs="宋体"/>
          <w:b/>
          <w:bCs/>
          <w:sz w:val="28"/>
          <w:szCs w:val="28"/>
          <w:lang w:val="en-US" w:eastAsia="zh-CN"/>
        </w:rPr>
        <w:t>方</w:t>
      </w:r>
      <w:r>
        <w:rPr>
          <w:rFonts w:hint="eastAsia" w:ascii="宋体" w:hAnsi="宋体" w:cs="宋体"/>
          <w:b/>
          <w:bCs/>
          <w:sz w:val="28"/>
          <w:szCs w:val="28"/>
        </w:rPr>
        <w:t>案</w:t>
      </w:r>
    </w:p>
    <w:p w14:paraId="08310425">
      <w:pPr>
        <w:spacing w:line="360" w:lineRule="auto"/>
        <w:jc w:val="center"/>
        <w:rPr>
          <w:rFonts w:ascii="宋体" w:hAnsi="宋体" w:cs="宋体"/>
          <w:kern w:val="0"/>
          <w:szCs w:val="21"/>
        </w:rPr>
      </w:pPr>
      <w:r>
        <w:rPr>
          <w:rFonts w:hint="eastAsia" w:ascii="宋体" w:hAnsi="宋体" w:cs="宋体"/>
          <w:kern w:val="0"/>
          <w:szCs w:val="21"/>
        </w:rPr>
        <w:t>（</w:t>
      </w:r>
      <w:r>
        <w:rPr>
          <w:rFonts w:hint="eastAsia" w:ascii="宋体" w:hAnsi="宋体" w:cs="宋体"/>
          <w:kern w:val="0"/>
          <w:szCs w:val="21"/>
          <w:lang w:eastAsia="zh-CN"/>
        </w:rPr>
        <w:t>内容自拟</w:t>
      </w:r>
      <w:r>
        <w:rPr>
          <w:rFonts w:hint="eastAsia" w:ascii="宋体" w:hAnsi="宋体" w:cs="宋体"/>
          <w:kern w:val="0"/>
          <w:szCs w:val="21"/>
        </w:rPr>
        <w:t>）</w:t>
      </w:r>
    </w:p>
    <w:p w14:paraId="5A5C7D3F">
      <w:pPr>
        <w:outlineLvl w:val="9"/>
      </w:pPr>
    </w:p>
    <w:p w14:paraId="205F8F77">
      <w:r>
        <w:rPr>
          <w:rFonts w:hint="eastAsia"/>
        </w:rPr>
        <w:br w:type="page"/>
      </w:r>
    </w:p>
    <w:p w14:paraId="31A1F520">
      <w:pPr>
        <w:keepNext/>
        <w:keepLines/>
        <w:spacing w:after="120" w:line="360" w:lineRule="auto"/>
        <w:jc w:val="left"/>
        <w:outlineLvl w:val="1"/>
        <w:rPr>
          <w:rFonts w:hint="default" w:ascii="宋体" w:hAnsi="宋体" w:eastAsia="宋体" w:cs="宋体"/>
          <w:b/>
          <w:sz w:val="28"/>
          <w:szCs w:val="28"/>
          <w:lang w:val="en-US" w:eastAsia="zh-CN"/>
        </w:rPr>
      </w:pPr>
      <w:r>
        <w:rPr>
          <w:rFonts w:hint="eastAsia" w:ascii="宋体" w:hAnsi="宋体" w:cs="宋体"/>
          <w:b/>
          <w:bCs/>
          <w:sz w:val="28"/>
          <w:szCs w:val="28"/>
        </w:rPr>
        <w:t>格式</w:t>
      </w:r>
      <w:r>
        <w:rPr>
          <w:rFonts w:hint="eastAsia" w:ascii="宋体" w:hAnsi="宋体" w:cs="宋体"/>
          <w:b/>
          <w:bCs/>
          <w:sz w:val="28"/>
          <w:szCs w:val="28"/>
          <w:lang w:val="en-US" w:eastAsia="zh-CN"/>
        </w:rPr>
        <w:t>15</w:t>
      </w:r>
    </w:p>
    <w:p w14:paraId="40F37A02">
      <w:pPr>
        <w:spacing w:line="360" w:lineRule="auto"/>
        <w:jc w:val="center"/>
        <w:rPr>
          <w:rFonts w:ascii="宋体"/>
          <w:b/>
          <w:bCs/>
          <w:sz w:val="32"/>
          <w:szCs w:val="32"/>
        </w:rPr>
      </w:pPr>
      <w:r>
        <w:rPr>
          <w:rFonts w:hint="eastAsia" w:ascii="宋体"/>
          <w:b/>
          <w:bCs/>
          <w:sz w:val="32"/>
          <w:szCs w:val="32"/>
        </w:rPr>
        <w:t>项目负责人信息表</w:t>
      </w:r>
    </w:p>
    <w:p w14:paraId="3C007115"/>
    <w:tbl>
      <w:tblPr>
        <w:tblStyle w:val="41"/>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38"/>
        <w:gridCol w:w="553"/>
        <w:gridCol w:w="184"/>
        <w:gridCol w:w="579"/>
        <w:gridCol w:w="775"/>
        <w:gridCol w:w="319"/>
        <w:gridCol w:w="456"/>
        <w:gridCol w:w="655"/>
        <w:gridCol w:w="94"/>
        <w:gridCol w:w="674"/>
        <w:gridCol w:w="531"/>
        <w:gridCol w:w="225"/>
        <w:gridCol w:w="980"/>
        <w:gridCol w:w="220"/>
        <w:gridCol w:w="985"/>
        <w:gridCol w:w="128"/>
        <w:gridCol w:w="1081"/>
      </w:tblGrid>
      <w:tr w14:paraId="428EE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328" w:type="dxa"/>
            <w:gridSpan w:val="3"/>
            <w:vAlign w:val="center"/>
          </w:tcPr>
          <w:p w14:paraId="39DFA59F">
            <w:pPr>
              <w:spacing w:line="360" w:lineRule="exact"/>
              <w:jc w:val="center"/>
              <w:rPr>
                <w:rFonts w:hAnsi="宋体"/>
                <w:szCs w:val="21"/>
              </w:rPr>
            </w:pPr>
            <w:r>
              <w:rPr>
                <w:rFonts w:hint="eastAsia" w:hAnsi="宋体"/>
                <w:szCs w:val="21"/>
              </w:rPr>
              <w:t>负责人姓名</w:t>
            </w:r>
          </w:p>
        </w:tc>
        <w:tc>
          <w:tcPr>
            <w:tcW w:w="763" w:type="dxa"/>
            <w:gridSpan w:val="2"/>
            <w:vAlign w:val="center"/>
          </w:tcPr>
          <w:p w14:paraId="6E3CA082">
            <w:pPr>
              <w:spacing w:line="360" w:lineRule="exact"/>
              <w:jc w:val="center"/>
              <w:rPr>
                <w:rFonts w:hAnsi="宋体"/>
                <w:szCs w:val="21"/>
              </w:rPr>
            </w:pPr>
            <w:r>
              <w:rPr>
                <w:rFonts w:hint="eastAsia" w:hAnsi="宋体"/>
                <w:szCs w:val="21"/>
              </w:rPr>
              <w:t>性别</w:t>
            </w:r>
          </w:p>
        </w:tc>
        <w:tc>
          <w:tcPr>
            <w:tcW w:w="775" w:type="dxa"/>
            <w:vAlign w:val="center"/>
          </w:tcPr>
          <w:p w14:paraId="6FF5EEC3">
            <w:pPr>
              <w:spacing w:line="360" w:lineRule="exact"/>
              <w:jc w:val="center"/>
              <w:rPr>
                <w:rFonts w:hAnsi="宋体"/>
                <w:szCs w:val="21"/>
              </w:rPr>
            </w:pPr>
          </w:p>
        </w:tc>
        <w:tc>
          <w:tcPr>
            <w:tcW w:w="775" w:type="dxa"/>
            <w:gridSpan w:val="2"/>
            <w:vAlign w:val="center"/>
          </w:tcPr>
          <w:p w14:paraId="763B105A">
            <w:pPr>
              <w:spacing w:line="360" w:lineRule="exact"/>
              <w:jc w:val="center"/>
              <w:rPr>
                <w:rFonts w:hAnsi="宋体"/>
                <w:szCs w:val="21"/>
              </w:rPr>
            </w:pPr>
            <w:r>
              <w:rPr>
                <w:rFonts w:hint="eastAsia" w:hAnsi="宋体"/>
                <w:szCs w:val="21"/>
              </w:rPr>
              <w:t>出生日期</w:t>
            </w:r>
          </w:p>
        </w:tc>
        <w:tc>
          <w:tcPr>
            <w:tcW w:w="655" w:type="dxa"/>
            <w:vAlign w:val="center"/>
          </w:tcPr>
          <w:p w14:paraId="69829BC0">
            <w:pPr>
              <w:spacing w:line="360" w:lineRule="exact"/>
              <w:jc w:val="center"/>
              <w:rPr>
                <w:rFonts w:hAnsi="宋体"/>
                <w:szCs w:val="21"/>
              </w:rPr>
            </w:pPr>
            <w:r>
              <w:rPr>
                <w:rFonts w:hint="eastAsia" w:hAnsi="宋体"/>
                <w:szCs w:val="21"/>
              </w:rPr>
              <w:t>学历</w:t>
            </w:r>
          </w:p>
        </w:tc>
        <w:tc>
          <w:tcPr>
            <w:tcW w:w="768" w:type="dxa"/>
            <w:gridSpan w:val="2"/>
            <w:vAlign w:val="center"/>
          </w:tcPr>
          <w:p w14:paraId="6DCF69E8">
            <w:pPr>
              <w:spacing w:line="360" w:lineRule="exact"/>
              <w:jc w:val="center"/>
              <w:rPr>
                <w:rFonts w:hAnsi="宋体"/>
                <w:szCs w:val="21"/>
              </w:rPr>
            </w:pPr>
            <w:r>
              <w:rPr>
                <w:rFonts w:hint="eastAsia" w:hAnsi="宋体"/>
                <w:szCs w:val="21"/>
              </w:rPr>
              <w:t>专业</w:t>
            </w:r>
          </w:p>
        </w:tc>
        <w:tc>
          <w:tcPr>
            <w:tcW w:w="756" w:type="dxa"/>
            <w:gridSpan w:val="2"/>
            <w:vAlign w:val="center"/>
          </w:tcPr>
          <w:p w14:paraId="1FC7147E">
            <w:pPr>
              <w:spacing w:line="360" w:lineRule="exact"/>
              <w:jc w:val="center"/>
              <w:rPr>
                <w:rFonts w:hAnsi="宋体"/>
                <w:szCs w:val="21"/>
              </w:rPr>
            </w:pPr>
            <w:r>
              <w:rPr>
                <w:rFonts w:hint="eastAsia" w:hAnsi="宋体"/>
                <w:szCs w:val="21"/>
              </w:rPr>
              <w:t>相关证书</w:t>
            </w:r>
          </w:p>
        </w:tc>
        <w:tc>
          <w:tcPr>
            <w:tcW w:w="1200" w:type="dxa"/>
            <w:gridSpan w:val="2"/>
            <w:vAlign w:val="center"/>
          </w:tcPr>
          <w:p w14:paraId="1DDE748A">
            <w:pPr>
              <w:spacing w:line="360" w:lineRule="exact"/>
              <w:jc w:val="center"/>
              <w:rPr>
                <w:rFonts w:hAnsi="宋体"/>
                <w:szCs w:val="21"/>
              </w:rPr>
            </w:pPr>
            <w:r>
              <w:rPr>
                <w:rFonts w:hint="eastAsia" w:hAnsi="宋体"/>
                <w:szCs w:val="21"/>
              </w:rPr>
              <w:t>相关荣誉</w:t>
            </w:r>
          </w:p>
        </w:tc>
        <w:tc>
          <w:tcPr>
            <w:tcW w:w="1113" w:type="dxa"/>
            <w:gridSpan w:val="2"/>
            <w:vAlign w:val="center"/>
          </w:tcPr>
          <w:p w14:paraId="663FEA50">
            <w:pPr>
              <w:spacing w:line="360" w:lineRule="exact"/>
              <w:jc w:val="center"/>
              <w:rPr>
                <w:rFonts w:hAnsi="宋体"/>
                <w:szCs w:val="21"/>
              </w:rPr>
            </w:pPr>
            <w:r>
              <w:rPr>
                <w:rFonts w:hint="eastAsia" w:hAnsi="宋体"/>
                <w:szCs w:val="21"/>
              </w:rPr>
              <w:t>工作年限</w:t>
            </w:r>
          </w:p>
        </w:tc>
        <w:tc>
          <w:tcPr>
            <w:tcW w:w="1081" w:type="dxa"/>
            <w:vAlign w:val="center"/>
          </w:tcPr>
          <w:p w14:paraId="04D0FF56">
            <w:pPr>
              <w:spacing w:line="360" w:lineRule="exact"/>
              <w:jc w:val="center"/>
              <w:rPr>
                <w:rFonts w:hAnsi="宋体"/>
                <w:szCs w:val="21"/>
              </w:rPr>
            </w:pPr>
            <w:r>
              <w:rPr>
                <w:rFonts w:hint="eastAsia" w:hAnsi="宋体"/>
                <w:szCs w:val="21"/>
              </w:rPr>
              <w:t>在本项目拟任职务</w:t>
            </w:r>
          </w:p>
        </w:tc>
      </w:tr>
      <w:tr w14:paraId="0BAD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328" w:type="dxa"/>
            <w:gridSpan w:val="3"/>
            <w:vAlign w:val="center"/>
          </w:tcPr>
          <w:p w14:paraId="5F765107">
            <w:pPr>
              <w:rPr>
                <w:rFonts w:hAnsi="宋体"/>
                <w:szCs w:val="21"/>
              </w:rPr>
            </w:pPr>
          </w:p>
        </w:tc>
        <w:tc>
          <w:tcPr>
            <w:tcW w:w="763" w:type="dxa"/>
            <w:gridSpan w:val="2"/>
            <w:vAlign w:val="center"/>
          </w:tcPr>
          <w:p w14:paraId="4E356AEF">
            <w:pPr>
              <w:rPr>
                <w:rFonts w:hAnsi="宋体"/>
                <w:szCs w:val="21"/>
              </w:rPr>
            </w:pPr>
          </w:p>
        </w:tc>
        <w:tc>
          <w:tcPr>
            <w:tcW w:w="775" w:type="dxa"/>
            <w:vAlign w:val="center"/>
          </w:tcPr>
          <w:p w14:paraId="6E871603">
            <w:pPr>
              <w:rPr>
                <w:rFonts w:hAnsi="宋体"/>
                <w:szCs w:val="21"/>
              </w:rPr>
            </w:pPr>
          </w:p>
        </w:tc>
        <w:tc>
          <w:tcPr>
            <w:tcW w:w="775" w:type="dxa"/>
            <w:gridSpan w:val="2"/>
            <w:vAlign w:val="center"/>
          </w:tcPr>
          <w:p w14:paraId="4770ED8A">
            <w:pPr>
              <w:rPr>
                <w:rFonts w:hAnsi="宋体"/>
                <w:szCs w:val="21"/>
              </w:rPr>
            </w:pPr>
          </w:p>
        </w:tc>
        <w:tc>
          <w:tcPr>
            <w:tcW w:w="655" w:type="dxa"/>
            <w:vAlign w:val="center"/>
          </w:tcPr>
          <w:p w14:paraId="7413E895">
            <w:pPr>
              <w:rPr>
                <w:rFonts w:hAnsi="宋体"/>
                <w:szCs w:val="21"/>
              </w:rPr>
            </w:pPr>
          </w:p>
        </w:tc>
        <w:tc>
          <w:tcPr>
            <w:tcW w:w="768" w:type="dxa"/>
            <w:gridSpan w:val="2"/>
            <w:vAlign w:val="center"/>
          </w:tcPr>
          <w:p w14:paraId="3761BB23">
            <w:pPr>
              <w:rPr>
                <w:rFonts w:hAnsi="宋体"/>
                <w:szCs w:val="21"/>
              </w:rPr>
            </w:pPr>
          </w:p>
        </w:tc>
        <w:tc>
          <w:tcPr>
            <w:tcW w:w="756" w:type="dxa"/>
            <w:gridSpan w:val="2"/>
            <w:vAlign w:val="center"/>
          </w:tcPr>
          <w:p w14:paraId="708F27F5">
            <w:pPr>
              <w:rPr>
                <w:rFonts w:hAnsi="宋体"/>
                <w:szCs w:val="21"/>
              </w:rPr>
            </w:pPr>
          </w:p>
        </w:tc>
        <w:tc>
          <w:tcPr>
            <w:tcW w:w="1200" w:type="dxa"/>
            <w:gridSpan w:val="2"/>
            <w:vAlign w:val="center"/>
          </w:tcPr>
          <w:p w14:paraId="22334881">
            <w:pPr>
              <w:rPr>
                <w:rFonts w:hAnsi="宋体"/>
                <w:szCs w:val="21"/>
              </w:rPr>
            </w:pPr>
          </w:p>
        </w:tc>
        <w:tc>
          <w:tcPr>
            <w:tcW w:w="1113" w:type="dxa"/>
            <w:gridSpan w:val="2"/>
            <w:vAlign w:val="center"/>
          </w:tcPr>
          <w:p w14:paraId="52C20AE4">
            <w:pPr>
              <w:rPr>
                <w:rFonts w:hAnsi="宋体"/>
                <w:szCs w:val="21"/>
              </w:rPr>
            </w:pPr>
          </w:p>
        </w:tc>
        <w:tc>
          <w:tcPr>
            <w:tcW w:w="1081" w:type="dxa"/>
            <w:vAlign w:val="center"/>
          </w:tcPr>
          <w:p w14:paraId="5C73683D">
            <w:pPr>
              <w:rPr>
                <w:rFonts w:hAnsi="宋体"/>
                <w:szCs w:val="21"/>
              </w:rPr>
            </w:pPr>
          </w:p>
        </w:tc>
      </w:tr>
      <w:tr w14:paraId="3096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9214" w:type="dxa"/>
            <w:gridSpan w:val="18"/>
          </w:tcPr>
          <w:p w14:paraId="60D04611">
            <w:pPr>
              <w:jc w:val="left"/>
              <w:rPr>
                <w:rFonts w:hAnsi="宋体"/>
                <w:szCs w:val="21"/>
              </w:rPr>
            </w:pPr>
            <w:r>
              <w:rPr>
                <w:rFonts w:hint="eastAsia" w:ascii="宋体" w:hAnsi="宋体"/>
                <w:szCs w:val="21"/>
              </w:rPr>
              <w:t>个人简历：</w:t>
            </w:r>
          </w:p>
        </w:tc>
      </w:tr>
      <w:tr w14:paraId="7DE4B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214" w:type="dxa"/>
            <w:gridSpan w:val="18"/>
          </w:tcPr>
          <w:p w14:paraId="7C6266DA">
            <w:pPr>
              <w:jc w:val="left"/>
              <w:rPr>
                <w:rFonts w:ascii="宋体" w:hAnsi="宋体"/>
                <w:szCs w:val="21"/>
              </w:rPr>
            </w:pPr>
            <w:r>
              <w:rPr>
                <w:rFonts w:hint="eastAsia" w:hAnsi="宋体"/>
                <w:szCs w:val="21"/>
              </w:rPr>
              <w:t>类似项目经验：</w:t>
            </w:r>
          </w:p>
        </w:tc>
      </w:tr>
      <w:tr w14:paraId="6ADF5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37" w:type="dxa"/>
          </w:tcPr>
          <w:p w14:paraId="2EE1D216">
            <w:pPr>
              <w:jc w:val="center"/>
              <w:rPr>
                <w:rFonts w:hAnsi="宋体"/>
                <w:szCs w:val="21"/>
              </w:rPr>
            </w:pPr>
            <w:r>
              <w:rPr>
                <w:rFonts w:hint="eastAsia" w:hAnsi="宋体"/>
                <w:szCs w:val="21"/>
              </w:rPr>
              <w:t>序号</w:t>
            </w:r>
          </w:p>
        </w:tc>
        <w:tc>
          <w:tcPr>
            <w:tcW w:w="775" w:type="dxa"/>
            <w:gridSpan w:val="3"/>
          </w:tcPr>
          <w:p w14:paraId="15F0C65B">
            <w:pPr>
              <w:jc w:val="center"/>
              <w:rPr>
                <w:rFonts w:hAnsi="宋体"/>
                <w:szCs w:val="21"/>
              </w:rPr>
            </w:pPr>
          </w:p>
        </w:tc>
        <w:tc>
          <w:tcPr>
            <w:tcW w:w="1673" w:type="dxa"/>
            <w:gridSpan w:val="3"/>
          </w:tcPr>
          <w:p w14:paraId="14DC2B4B">
            <w:pPr>
              <w:jc w:val="center"/>
              <w:rPr>
                <w:rFonts w:hAnsi="宋体"/>
                <w:szCs w:val="21"/>
              </w:rPr>
            </w:pPr>
            <w:r>
              <w:rPr>
                <w:rFonts w:hint="eastAsia" w:hAnsi="宋体"/>
                <w:szCs w:val="21"/>
              </w:rPr>
              <w:t>业绩名称</w:t>
            </w:r>
          </w:p>
        </w:tc>
        <w:tc>
          <w:tcPr>
            <w:tcW w:w="1205" w:type="dxa"/>
            <w:gridSpan w:val="3"/>
          </w:tcPr>
          <w:p w14:paraId="2E0EE8C1">
            <w:pPr>
              <w:jc w:val="center"/>
              <w:rPr>
                <w:rFonts w:hAnsi="宋体"/>
                <w:szCs w:val="21"/>
              </w:rPr>
            </w:pPr>
            <w:r>
              <w:rPr>
                <w:rFonts w:hint="eastAsia" w:hAnsi="宋体"/>
                <w:szCs w:val="21"/>
              </w:rPr>
              <w:t>委托人</w:t>
            </w:r>
          </w:p>
        </w:tc>
        <w:tc>
          <w:tcPr>
            <w:tcW w:w="1205" w:type="dxa"/>
            <w:gridSpan w:val="2"/>
          </w:tcPr>
          <w:p w14:paraId="240D6824">
            <w:pPr>
              <w:jc w:val="center"/>
              <w:rPr>
                <w:rFonts w:hAnsi="宋体"/>
                <w:szCs w:val="21"/>
              </w:rPr>
            </w:pPr>
            <w:r>
              <w:rPr>
                <w:rFonts w:hint="eastAsia" w:hAnsi="宋体"/>
                <w:szCs w:val="21"/>
              </w:rPr>
              <w:t>联系电话</w:t>
            </w:r>
          </w:p>
        </w:tc>
        <w:tc>
          <w:tcPr>
            <w:tcW w:w="1205" w:type="dxa"/>
            <w:gridSpan w:val="2"/>
          </w:tcPr>
          <w:p w14:paraId="48B59920">
            <w:pPr>
              <w:jc w:val="center"/>
              <w:rPr>
                <w:rFonts w:hAnsi="宋体"/>
                <w:szCs w:val="21"/>
              </w:rPr>
            </w:pPr>
            <w:r>
              <w:rPr>
                <w:rFonts w:hint="eastAsia" w:hAnsi="宋体"/>
                <w:szCs w:val="21"/>
              </w:rPr>
              <w:t>项目金额</w:t>
            </w:r>
          </w:p>
        </w:tc>
        <w:tc>
          <w:tcPr>
            <w:tcW w:w="1205" w:type="dxa"/>
            <w:gridSpan w:val="2"/>
          </w:tcPr>
          <w:p w14:paraId="45745528">
            <w:pPr>
              <w:jc w:val="center"/>
              <w:rPr>
                <w:rFonts w:hAnsi="宋体"/>
                <w:szCs w:val="21"/>
              </w:rPr>
            </w:pPr>
            <w:r>
              <w:rPr>
                <w:rFonts w:hint="eastAsia" w:hAnsi="宋体"/>
                <w:szCs w:val="21"/>
              </w:rPr>
              <w:t>项目时间</w:t>
            </w:r>
          </w:p>
        </w:tc>
        <w:tc>
          <w:tcPr>
            <w:tcW w:w="1209" w:type="dxa"/>
            <w:gridSpan w:val="2"/>
          </w:tcPr>
          <w:p w14:paraId="7F28EB18">
            <w:pPr>
              <w:jc w:val="center"/>
              <w:rPr>
                <w:rFonts w:hAnsi="宋体"/>
                <w:szCs w:val="21"/>
              </w:rPr>
            </w:pPr>
            <w:r>
              <w:rPr>
                <w:rFonts w:hint="eastAsia" w:hAnsi="宋体"/>
                <w:szCs w:val="21"/>
              </w:rPr>
              <w:t>评价意见</w:t>
            </w:r>
          </w:p>
        </w:tc>
      </w:tr>
      <w:tr w14:paraId="14D7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37" w:type="dxa"/>
          </w:tcPr>
          <w:p w14:paraId="098DE41A">
            <w:pPr>
              <w:jc w:val="center"/>
              <w:rPr>
                <w:rFonts w:hAnsi="宋体"/>
                <w:szCs w:val="21"/>
              </w:rPr>
            </w:pPr>
            <w:r>
              <w:rPr>
                <w:rFonts w:hint="eastAsia" w:hAnsi="宋体"/>
                <w:szCs w:val="21"/>
              </w:rPr>
              <w:t>1</w:t>
            </w:r>
          </w:p>
        </w:tc>
        <w:tc>
          <w:tcPr>
            <w:tcW w:w="775" w:type="dxa"/>
            <w:gridSpan w:val="3"/>
          </w:tcPr>
          <w:p w14:paraId="7D1911EA">
            <w:pPr>
              <w:jc w:val="center"/>
              <w:rPr>
                <w:rFonts w:hAnsi="宋体"/>
                <w:szCs w:val="21"/>
              </w:rPr>
            </w:pPr>
          </w:p>
        </w:tc>
        <w:tc>
          <w:tcPr>
            <w:tcW w:w="1673" w:type="dxa"/>
            <w:gridSpan w:val="3"/>
          </w:tcPr>
          <w:p w14:paraId="3362BA96">
            <w:pPr>
              <w:jc w:val="center"/>
              <w:rPr>
                <w:rFonts w:hAnsi="宋体"/>
                <w:szCs w:val="21"/>
              </w:rPr>
            </w:pPr>
          </w:p>
        </w:tc>
        <w:tc>
          <w:tcPr>
            <w:tcW w:w="1205" w:type="dxa"/>
            <w:gridSpan w:val="3"/>
          </w:tcPr>
          <w:p w14:paraId="763C28A7">
            <w:pPr>
              <w:jc w:val="center"/>
              <w:rPr>
                <w:rFonts w:hAnsi="宋体"/>
                <w:szCs w:val="21"/>
              </w:rPr>
            </w:pPr>
          </w:p>
        </w:tc>
        <w:tc>
          <w:tcPr>
            <w:tcW w:w="1205" w:type="dxa"/>
            <w:gridSpan w:val="2"/>
          </w:tcPr>
          <w:p w14:paraId="4A263469">
            <w:pPr>
              <w:jc w:val="center"/>
              <w:rPr>
                <w:rFonts w:hAnsi="宋体"/>
                <w:szCs w:val="21"/>
              </w:rPr>
            </w:pPr>
          </w:p>
        </w:tc>
        <w:tc>
          <w:tcPr>
            <w:tcW w:w="1205" w:type="dxa"/>
            <w:gridSpan w:val="2"/>
          </w:tcPr>
          <w:p w14:paraId="06A5B315">
            <w:pPr>
              <w:jc w:val="center"/>
              <w:rPr>
                <w:rFonts w:hAnsi="宋体"/>
                <w:szCs w:val="21"/>
              </w:rPr>
            </w:pPr>
          </w:p>
        </w:tc>
        <w:tc>
          <w:tcPr>
            <w:tcW w:w="1205" w:type="dxa"/>
            <w:gridSpan w:val="2"/>
          </w:tcPr>
          <w:p w14:paraId="27F74C5E">
            <w:pPr>
              <w:jc w:val="center"/>
              <w:rPr>
                <w:rFonts w:hAnsi="宋体"/>
                <w:szCs w:val="21"/>
              </w:rPr>
            </w:pPr>
          </w:p>
        </w:tc>
        <w:tc>
          <w:tcPr>
            <w:tcW w:w="1209" w:type="dxa"/>
            <w:gridSpan w:val="2"/>
          </w:tcPr>
          <w:p w14:paraId="7C0A3AAF">
            <w:pPr>
              <w:jc w:val="center"/>
              <w:rPr>
                <w:rFonts w:hAnsi="宋体"/>
                <w:szCs w:val="21"/>
              </w:rPr>
            </w:pPr>
          </w:p>
        </w:tc>
      </w:tr>
      <w:tr w14:paraId="3DEC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37" w:type="dxa"/>
          </w:tcPr>
          <w:p w14:paraId="3153CDF2">
            <w:pPr>
              <w:jc w:val="center"/>
              <w:rPr>
                <w:rFonts w:hAnsi="宋体"/>
                <w:szCs w:val="21"/>
              </w:rPr>
            </w:pPr>
            <w:r>
              <w:rPr>
                <w:rFonts w:hint="eastAsia" w:hAnsi="宋体"/>
                <w:szCs w:val="21"/>
              </w:rPr>
              <w:t>2</w:t>
            </w:r>
          </w:p>
        </w:tc>
        <w:tc>
          <w:tcPr>
            <w:tcW w:w="775" w:type="dxa"/>
            <w:gridSpan w:val="3"/>
          </w:tcPr>
          <w:p w14:paraId="47D646D7">
            <w:pPr>
              <w:jc w:val="center"/>
              <w:rPr>
                <w:rFonts w:hAnsi="宋体"/>
                <w:szCs w:val="21"/>
              </w:rPr>
            </w:pPr>
          </w:p>
        </w:tc>
        <w:tc>
          <w:tcPr>
            <w:tcW w:w="1673" w:type="dxa"/>
            <w:gridSpan w:val="3"/>
          </w:tcPr>
          <w:p w14:paraId="2841F512">
            <w:pPr>
              <w:jc w:val="center"/>
              <w:rPr>
                <w:rFonts w:hAnsi="宋体"/>
                <w:szCs w:val="21"/>
              </w:rPr>
            </w:pPr>
          </w:p>
        </w:tc>
        <w:tc>
          <w:tcPr>
            <w:tcW w:w="1205" w:type="dxa"/>
            <w:gridSpan w:val="3"/>
          </w:tcPr>
          <w:p w14:paraId="3E26A379">
            <w:pPr>
              <w:jc w:val="center"/>
              <w:rPr>
                <w:rFonts w:hAnsi="宋体"/>
                <w:szCs w:val="21"/>
              </w:rPr>
            </w:pPr>
          </w:p>
        </w:tc>
        <w:tc>
          <w:tcPr>
            <w:tcW w:w="1205" w:type="dxa"/>
            <w:gridSpan w:val="2"/>
          </w:tcPr>
          <w:p w14:paraId="0F3CEF0E">
            <w:pPr>
              <w:jc w:val="center"/>
              <w:rPr>
                <w:rFonts w:hAnsi="宋体"/>
                <w:szCs w:val="21"/>
              </w:rPr>
            </w:pPr>
          </w:p>
        </w:tc>
        <w:tc>
          <w:tcPr>
            <w:tcW w:w="1205" w:type="dxa"/>
            <w:gridSpan w:val="2"/>
          </w:tcPr>
          <w:p w14:paraId="7A8AD696">
            <w:pPr>
              <w:jc w:val="center"/>
              <w:rPr>
                <w:rFonts w:hAnsi="宋体"/>
                <w:szCs w:val="21"/>
              </w:rPr>
            </w:pPr>
          </w:p>
        </w:tc>
        <w:tc>
          <w:tcPr>
            <w:tcW w:w="1205" w:type="dxa"/>
            <w:gridSpan w:val="2"/>
          </w:tcPr>
          <w:p w14:paraId="7F18BD76">
            <w:pPr>
              <w:jc w:val="center"/>
              <w:rPr>
                <w:rFonts w:hAnsi="宋体"/>
                <w:szCs w:val="21"/>
              </w:rPr>
            </w:pPr>
          </w:p>
        </w:tc>
        <w:tc>
          <w:tcPr>
            <w:tcW w:w="1209" w:type="dxa"/>
            <w:gridSpan w:val="2"/>
          </w:tcPr>
          <w:p w14:paraId="51A073DE">
            <w:pPr>
              <w:jc w:val="center"/>
              <w:rPr>
                <w:rFonts w:hAnsi="宋体"/>
                <w:szCs w:val="21"/>
              </w:rPr>
            </w:pPr>
          </w:p>
        </w:tc>
      </w:tr>
      <w:tr w14:paraId="1C36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37" w:type="dxa"/>
          </w:tcPr>
          <w:p w14:paraId="520D2D4C">
            <w:pPr>
              <w:jc w:val="center"/>
              <w:rPr>
                <w:rFonts w:hAnsi="宋体"/>
                <w:szCs w:val="21"/>
              </w:rPr>
            </w:pPr>
            <w:r>
              <w:rPr>
                <w:rFonts w:hint="eastAsia" w:hAnsi="宋体"/>
                <w:szCs w:val="21"/>
              </w:rPr>
              <w:t>3</w:t>
            </w:r>
          </w:p>
        </w:tc>
        <w:tc>
          <w:tcPr>
            <w:tcW w:w="775" w:type="dxa"/>
            <w:gridSpan w:val="3"/>
          </w:tcPr>
          <w:p w14:paraId="45D8586A">
            <w:pPr>
              <w:jc w:val="center"/>
              <w:rPr>
                <w:rFonts w:hAnsi="宋体"/>
                <w:szCs w:val="21"/>
              </w:rPr>
            </w:pPr>
          </w:p>
        </w:tc>
        <w:tc>
          <w:tcPr>
            <w:tcW w:w="1673" w:type="dxa"/>
            <w:gridSpan w:val="3"/>
          </w:tcPr>
          <w:p w14:paraId="4430CEBE">
            <w:pPr>
              <w:jc w:val="center"/>
              <w:rPr>
                <w:rFonts w:hAnsi="宋体"/>
                <w:szCs w:val="21"/>
              </w:rPr>
            </w:pPr>
          </w:p>
        </w:tc>
        <w:tc>
          <w:tcPr>
            <w:tcW w:w="1205" w:type="dxa"/>
            <w:gridSpan w:val="3"/>
          </w:tcPr>
          <w:p w14:paraId="69AD7716">
            <w:pPr>
              <w:jc w:val="center"/>
              <w:rPr>
                <w:rFonts w:hAnsi="宋体"/>
                <w:szCs w:val="21"/>
              </w:rPr>
            </w:pPr>
          </w:p>
        </w:tc>
        <w:tc>
          <w:tcPr>
            <w:tcW w:w="1205" w:type="dxa"/>
            <w:gridSpan w:val="2"/>
          </w:tcPr>
          <w:p w14:paraId="1E29CE37">
            <w:pPr>
              <w:jc w:val="center"/>
              <w:rPr>
                <w:rFonts w:hAnsi="宋体"/>
                <w:szCs w:val="21"/>
              </w:rPr>
            </w:pPr>
          </w:p>
        </w:tc>
        <w:tc>
          <w:tcPr>
            <w:tcW w:w="1205" w:type="dxa"/>
            <w:gridSpan w:val="2"/>
          </w:tcPr>
          <w:p w14:paraId="51AB1F5D">
            <w:pPr>
              <w:jc w:val="center"/>
              <w:rPr>
                <w:rFonts w:hAnsi="宋体"/>
                <w:szCs w:val="21"/>
              </w:rPr>
            </w:pPr>
          </w:p>
        </w:tc>
        <w:tc>
          <w:tcPr>
            <w:tcW w:w="1205" w:type="dxa"/>
            <w:gridSpan w:val="2"/>
          </w:tcPr>
          <w:p w14:paraId="2ADB9B5F">
            <w:pPr>
              <w:jc w:val="center"/>
              <w:rPr>
                <w:rFonts w:hAnsi="宋体"/>
                <w:szCs w:val="21"/>
              </w:rPr>
            </w:pPr>
          </w:p>
        </w:tc>
        <w:tc>
          <w:tcPr>
            <w:tcW w:w="1209" w:type="dxa"/>
            <w:gridSpan w:val="2"/>
          </w:tcPr>
          <w:p w14:paraId="73F3F229">
            <w:pPr>
              <w:jc w:val="center"/>
              <w:rPr>
                <w:rFonts w:hAnsi="宋体"/>
                <w:szCs w:val="21"/>
              </w:rPr>
            </w:pPr>
          </w:p>
        </w:tc>
      </w:tr>
      <w:tr w14:paraId="1E09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37" w:type="dxa"/>
          </w:tcPr>
          <w:p w14:paraId="05A0ED7D">
            <w:pPr>
              <w:jc w:val="center"/>
              <w:rPr>
                <w:rFonts w:hAnsi="宋体"/>
                <w:szCs w:val="21"/>
              </w:rPr>
            </w:pPr>
            <w:r>
              <w:rPr>
                <w:rFonts w:hint="eastAsia" w:hAnsi="宋体"/>
                <w:szCs w:val="21"/>
              </w:rPr>
              <w:t>......</w:t>
            </w:r>
          </w:p>
        </w:tc>
        <w:tc>
          <w:tcPr>
            <w:tcW w:w="775" w:type="dxa"/>
            <w:gridSpan w:val="3"/>
          </w:tcPr>
          <w:p w14:paraId="37D46BBE">
            <w:pPr>
              <w:jc w:val="center"/>
              <w:rPr>
                <w:rFonts w:hAnsi="宋体"/>
                <w:szCs w:val="21"/>
              </w:rPr>
            </w:pPr>
          </w:p>
        </w:tc>
        <w:tc>
          <w:tcPr>
            <w:tcW w:w="1673" w:type="dxa"/>
            <w:gridSpan w:val="3"/>
          </w:tcPr>
          <w:p w14:paraId="3859EC04">
            <w:pPr>
              <w:jc w:val="center"/>
              <w:rPr>
                <w:rFonts w:hAnsi="宋体"/>
                <w:szCs w:val="21"/>
              </w:rPr>
            </w:pPr>
          </w:p>
        </w:tc>
        <w:tc>
          <w:tcPr>
            <w:tcW w:w="1205" w:type="dxa"/>
            <w:gridSpan w:val="3"/>
          </w:tcPr>
          <w:p w14:paraId="47CB10FD">
            <w:pPr>
              <w:jc w:val="center"/>
              <w:rPr>
                <w:rFonts w:hAnsi="宋体"/>
                <w:szCs w:val="21"/>
              </w:rPr>
            </w:pPr>
          </w:p>
        </w:tc>
        <w:tc>
          <w:tcPr>
            <w:tcW w:w="1205" w:type="dxa"/>
            <w:gridSpan w:val="2"/>
          </w:tcPr>
          <w:p w14:paraId="01AE81B8">
            <w:pPr>
              <w:jc w:val="center"/>
              <w:rPr>
                <w:rFonts w:hAnsi="宋体"/>
                <w:szCs w:val="21"/>
              </w:rPr>
            </w:pPr>
          </w:p>
        </w:tc>
        <w:tc>
          <w:tcPr>
            <w:tcW w:w="1205" w:type="dxa"/>
            <w:gridSpan w:val="2"/>
          </w:tcPr>
          <w:p w14:paraId="5A451B67">
            <w:pPr>
              <w:jc w:val="center"/>
              <w:rPr>
                <w:rFonts w:hAnsi="宋体"/>
                <w:szCs w:val="21"/>
              </w:rPr>
            </w:pPr>
          </w:p>
        </w:tc>
        <w:tc>
          <w:tcPr>
            <w:tcW w:w="1205" w:type="dxa"/>
            <w:gridSpan w:val="2"/>
          </w:tcPr>
          <w:p w14:paraId="2D30CC9C">
            <w:pPr>
              <w:jc w:val="center"/>
              <w:rPr>
                <w:rFonts w:hAnsi="宋体"/>
                <w:szCs w:val="21"/>
              </w:rPr>
            </w:pPr>
          </w:p>
        </w:tc>
        <w:tc>
          <w:tcPr>
            <w:tcW w:w="1209" w:type="dxa"/>
            <w:gridSpan w:val="2"/>
          </w:tcPr>
          <w:p w14:paraId="24903ABF">
            <w:pPr>
              <w:jc w:val="center"/>
              <w:rPr>
                <w:rFonts w:hAnsi="宋体"/>
                <w:szCs w:val="21"/>
              </w:rPr>
            </w:pPr>
          </w:p>
        </w:tc>
      </w:tr>
      <w:tr w14:paraId="66FA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jc w:val="center"/>
        </w:trPr>
        <w:tc>
          <w:tcPr>
            <w:tcW w:w="775" w:type="dxa"/>
            <w:gridSpan w:val="2"/>
            <w:vAlign w:val="center"/>
          </w:tcPr>
          <w:p w14:paraId="3BDDCA52">
            <w:pPr>
              <w:rPr>
                <w:rFonts w:hAnsi="宋体"/>
                <w:szCs w:val="21"/>
              </w:rPr>
            </w:pPr>
          </w:p>
        </w:tc>
        <w:tc>
          <w:tcPr>
            <w:tcW w:w="8439" w:type="dxa"/>
            <w:gridSpan w:val="16"/>
            <w:vAlign w:val="center"/>
          </w:tcPr>
          <w:p w14:paraId="340A46F8">
            <w:pPr>
              <w:rPr>
                <w:rFonts w:hAnsi="宋体"/>
                <w:szCs w:val="21"/>
              </w:rPr>
            </w:pPr>
            <w:r>
              <w:rPr>
                <w:rFonts w:hint="eastAsia" w:hAnsi="宋体"/>
                <w:szCs w:val="21"/>
              </w:rPr>
              <w:t>注：</w:t>
            </w:r>
          </w:p>
          <w:p w14:paraId="4E498D03">
            <w:pPr>
              <w:rPr>
                <w:rFonts w:hint="default" w:hAnsi="宋体"/>
                <w:szCs w:val="21"/>
                <w:lang w:val="en-US"/>
              </w:rPr>
            </w:pPr>
            <w:r>
              <w:rPr>
                <w:rFonts w:hint="eastAsia" w:hAnsi="宋体"/>
                <w:szCs w:val="21"/>
              </w:rPr>
              <w:t>1.</w:t>
            </w:r>
            <w:r>
              <w:rPr>
                <w:rFonts w:hint="eastAsia"/>
                <w:b w:val="0"/>
                <w:bCs/>
                <w:color w:val="auto"/>
                <w:szCs w:val="21"/>
                <w:lang w:val="en-US" w:eastAsia="zh-CN"/>
              </w:rPr>
              <w:t>相对应的人员资料，人员资料包括身份证、劳动合同或社保证明、在类似项目中具有担任项目负责人经验的相关证明材料（证明材料为合同或业主证明材料或其他能证明项目负责人经验的有效证明，其中应明确体现出项目负责人姓名），无人员或项目人员资料不明确、无法体现对应内容的，不予认可。</w:t>
            </w:r>
          </w:p>
          <w:p w14:paraId="1455A216">
            <w:pPr>
              <w:rPr>
                <w:rFonts w:hAnsi="宋体"/>
                <w:szCs w:val="21"/>
              </w:rPr>
            </w:pPr>
            <w:r>
              <w:rPr>
                <w:rFonts w:hint="eastAsia" w:hAnsi="宋体"/>
                <w:szCs w:val="21"/>
              </w:rPr>
              <w:t>2.投标人可根据情况拓展本表。</w:t>
            </w:r>
          </w:p>
        </w:tc>
      </w:tr>
    </w:tbl>
    <w:p w14:paraId="6599247D"/>
    <w:p w14:paraId="7CA8959A"/>
    <w:p w14:paraId="0D0005BE"/>
    <w:p w14:paraId="357E51AE">
      <w:pPr>
        <w:pStyle w:val="13"/>
        <w:rPr>
          <w:rFonts w:ascii="宋体"/>
          <w:b/>
          <w:bCs/>
          <w:sz w:val="32"/>
          <w:szCs w:val="32"/>
        </w:rPr>
      </w:pPr>
    </w:p>
    <w:p w14:paraId="5978F354">
      <w:pPr>
        <w:jc w:val="center"/>
        <w:rPr>
          <w:rFonts w:ascii="宋体"/>
          <w:b/>
          <w:bCs/>
          <w:sz w:val="32"/>
          <w:szCs w:val="32"/>
        </w:rPr>
      </w:pPr>
      <w:r>
        <w:rPr>
          <w:rFonts w:hint="eastAsia" w:ascii="宋体"/>
          <w:b/>
          <w:bCs/>
          <w:sz w:val="32"/>
          <w:szCs w:val="32"/>
        </w:rPr>
        <w:t>项目团队成员信息表</w:t>
      </w:r>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177"/>
        <w:gridCol w:w="675"/>
        <w:gridCol w:w="791"/>
        <w:gridCol w:w="714"/>
        <w:gridCol w:w="738"/>
        <w:gridCol w:w="728"/>
        <w:gridCol w:w="1154"/>
        <w:gridCol w:w="1071"/>
        <w:gridCol w:w="1050"/>
      </w:tblGrid>
      <w:tr w14:paraId="6D043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425" w:type="pct"/>
            <w:vAlign w:val="center"/>
          </w:tcPr>
          <w:p w14:paraId="1070CC76">
            <w:pPr>
              <w:spacing w:line="360" w:lineRule="exact"/>
              <w:jc w:val="center"/>
              <w:rPr>
                <w:rFonts w:hAnsi="宋体"/>
                <w:szCs w:val="21"/>
              </w:rPr>
            </w:pPr>
            <w:r>
              <w:rPr>
                <w:rFonts w:hint="eastAsia" w:hAnsi="宋体"/>
                <w:szCs w:val="21"/>
              </w:rPr>
              <w:t>序号</w:t>
            </w:r>
          </w:p>
        </w:tc>
        <w:tc>
          <w:tcPr>
            <w:tcW w:w="665" w:type="pct"/>
            <w:vAlign w:val="center"/>
          </w:tcPr>
          <w:p w14:paraId="4A91DB4F">
            <w:pPr>
              <w:spacing w:line="360" w:lineRule="exact"/>
              <w:jc w:val="center"/>
              <w:rPr>
                <w:rFonts w:hAnsi="宋体"/>
                <w:szCs w:val="21"/>
              </w:rPr>
            </w:pPr>
            <w:r>
              <w:rPr>
                <w:rFonts w:hint="eastAsia" w:hAnsi="宋体"/>
                <w:szCs w:val="21"/>
              </w:rPr>
              <w:t>项目团队人员姓名</w:t>
            </w:r>
          </w:p>
        </w:tc>
        <w:tc>
          <w:tcPr>
            <w:tcW w:w="381" w:type="pct"/>
            <w:vAlign w:val="center"/>
          </w:tcPr>
          <w:p w14:paraId="4CEA0FA4">
            <w:pPr>
              <w:spacing w:line="360" w:lineRule="exact"/>
              <w:jc w:val="center"/>
              <w:rPr>
                <w:rFonts w:hAnsi="宋体"/>
                <w:szCs w:val="21"/>
              </w:rPr>
            </w:pPr>
            <w:r>
              <w:rPr>
                <w:rFonts w:hint="eastAsia" w:hAnsi="宋体"/>
                <w:szCs w:val="21"/>
              </w:rPr>
              <w:t>性别</w:t>
            </w:r>
          </w:p>
        </w:tc>
        <w:tc>
          <w:tcPr>
            <w:tcW w:w="447" w:type="pct"/>
            <w:vAlign w:val="center"/>
          </w:tcPr>
          <w:p w14:paraId="1E8CD039">
            <w:pPr>
              <w:spacing w:line="360" w:lineRule="exact"/>
              <w:jc w:val="center"/>
              <w:rPr>
                <w:rFonts w:hAnsi="宋体"/>
                <w:szCs w:val="21"/>
              </w:rPr>
            </w:pPr>
            <w:r>
              <w:rPr>
                <w:rFonts w:hint="eastAsia" w:hAnsi="宋体"/>
                <w:szCs w:val="21"/>
              </w:rPr>
              <w:t>出生日期</w:t>
            </w:r>
          </w:p>
        </w:tc>
        <w:tc>
          <w:tcPr>
            <w:tcW w:w="403" w:type="pct"/>
            <w:vAlign w:val="center"/>
          </w:tcPr>
          <w:p w14:paraId="1AC569B4">
            <w:pPr>
              <w:spacing w:line="360" w:lineRule="exact"/>
              <w:jc w:val="center"/>
              <w:rPr>
                <w:rFonts w:hAnsi="宋体"/>
                <w:szCs w:val="21"/>
              </w:rPr>
            </w:pPr>
            <w:r>
              <w:rPr>
                <w:rFonts w:hint="eastAsia" w:hAnsi="宋体"/>
                <w:szCs w:val="21"/>
              </w:rPr>
              <w:t>学历</w:t>
            </w:r>
          </w:p>
        </w:tc>
        <w:tc>
          <w:tcPr>
            <w:tcW w:w="417" w:type="pct"/>
            <w:vAlign w:val="center"/>
          </w:tcPr>
          <w:p w14:paraId="33AE2D54">
            <w:pPr>
              <w:spacing w:line="360" w:lineRule="exact"/>
              <w:jc w:val="center"/>
              <w:rPr>
                <w:rFonts w:hAnsi="宋体"/>
                <w:szCs w:val="21"/>
              </w:rPr>
            </w:pPr>
            <w:r>
              <w:rPr>
                <w:rFonts w:hint="eastAsia" w:hAnsi="宋体"/>
                <w:szCs w:val="21"/>
              </w:rPr>
              <w:t>专业</w:t>
            </w:r>
          </w:p>
        </w:tc>
        <w:tc>
          <w:tcPr>
            <w:tcW w:w="411" w:type="pct"/>
            <w:vAlign w:val="center"/>
          </w:tcPr>
          <w:p w14:paraId="01264CD2">
            <w:pPr>
              <w:spacing w:line="360" w:lineRule="exact"/>
              <w:jc w:val="center"/>
              <w:rPr>
                <w:rFonts w:hAnsi="宋体"/>
                <w:szCs w:val="21"/>
              </w:rPr>
            </w:pPr>
            <w:r>
              <w:rPr>
                <w:rFonts w:hint="eastAsia" w:hAnsi="宋体"/>
                <w:szCs w:val="21"/>
              </w:rPr>
              <w:t>相关证书</w:t>
            </w:r>
          </w:p>
        </w:tc>
        <w:tc>
          <w:tcPr>
            <w:tcW w:w="652" w:type="pct"/>
            <w:vAlign w:val="center"/>
          </w:tcPr>
          <w:p w14:paraId="0AD105DB">
            <w:pPr>
              <w:spacing w:line="360" w:lineRule="exact"/>
              <w:jc w:val="center"/>
              <w:rPr>
                <w:rFonts w:hAnsi="宋体"/>
                <w:szCs w:val="21"/>
              </w:rPr>
            </w:pPr>
            <w:r>
              <w:rPr>
                <w:rFonts w:hint="eastAsia" w:hAnsi="宋体"/>
                <w:szCs w:val="21"/>
              </w:rPr>
              <w:t>相关荣誉</w:t>
            </w:r>
          </w:p>
        </w:tc>
        <w:tc>
          <w:tcPr>
            <w:tcW w:w="605" w:type="pct"/>
            <w:vAlign w:val="center"/>
          </w:tcPr>
          <w:p w14:paraId="6CD1F5C9">
            <w:pPr>
              <w:spacing w:line="360" w:lineRule="exact"/>
              <w:jc w:val="center"/>
              <w:rPr>
                <w:rFonts w:hAnsi="宋体"/>
                <w:szCs w:val="21"/>
              </w:rPr>
            </w:pPr>
            <w:r>
              <w:rPr>
                <w:rFonts w:hint="eastAsia" w:hAnsi="宋体"/>
                <w:szCs w:val="21"/>
              </w:rPr>
              <w:t>工作年限</w:t>
            </w:r>
          </w:p>
        </w:tc>
        <w:tc>
          <w:tcPr>
            <w:tcW w:w="588" w:type="pct"/>
            <w:vAlign w:val="center"/>
          </w:tcPr>
          <w:p w14:paraId="72F26335">
            <w:pPr>
              <w:spacing w:line="360" w:lineRule="exact"/>
              <w:jc w:val="center"/>
              <w:rPr>
                <w:rFonts w:hAnsi="宋体"/>
                <w:szCs w:val="21"/>
              </w:rPr>
            </w:pPr>
            <w:r>
              <w:rPr>
                <w:rFonts w:hint="eastAsia" w:hAnsi="宋体"/>
                <w:szCs w:val="21"/>
              </w:rPr>
              <w:t>在本项目拟任职务</w:t>
            </w:r>
          </w:p>
        </w:tc>
      </w:tr>
      <w:tr w14:paraId="1652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425" w:type="pct"/>
            <w:vAlign w:val="center"/>
          </w:tcPr>
          <w:p w14:paraId="16EA6EB8">
            <w:pPr>
              <w:rPr>
                <w:rFonts w:hAnsi="宋体"/>
                <w:szCs w:val="21"/>
              </w:rPr>
            </w:pPr>
          </w:p>
        </w:tc>
        <w:tc>
          <w:tcPr>
            <w:tcW w:w="665" w:type="pct"/>
            <w:vAlign w:val="center"/>
          </w:tcPr>
          <w:p w14:paraId="4C9BCA60">
            <w:pPr>
              <w:rPr>
                <w:rFonts w:hAnsi="宋体"/>
                <w:szCs w:val="21"/>
              </w:rPr>
            </w:pPr>
          </w:p>
        </w:tc>
        <w:tc>
          <w:tcPr>
            <w:tcW w:w="381" w:type="pct"/>
            <w:vAlign w:val="center"/>
          </w:tcPr>
          <w:p w14:paraId="06561B15">
            <w:pPr>
              <w:rPr>
                <w:rFonts w:hAnsi="宋体"/>
                <w:szCs w:val="21"/>
              </w:rPr>
            </w:pPr>
          </w:p>
        </w:tc>
        <w:tc>
          <w:tcPr>
            <w:tcW w:w="447" w:type="pct"/>
            <w:vAlign w:val="center"/>
          </w:tcPr>
          <w:p w14:paraId="6BEF7A23">
            <w:pPr>
              <w:rPr>
                <w:rFonts w:hAnsi="宋体"/>
                <w:szCs w:val="21"/>
              </w:rPr>
            </w:pPr>
          </w:p>
        </w:tc>
        <w:tc>
          <w:tcPr>
            <w:tcW w:w="403" w:type="pct"/>
            <w:vAlign w:val="center"/>
          </w:tcPr>
          <w:p w14:paraId="1DB1DFDA">
            <w:pPr>
              <w:rPr>
                <w:rFonts w:hAnsi="宋体"/>
                <w:szCs w:val="21"/>
              </w:rPr>
            </w:pPr>
          </w:p>
        </w:tc>
        <w:tc>
          <w:tcPr>
            <w:tcW w:w="417" w:type="pct"/>
            <w:vAlign w:val="center"/>
          </w:tcPr>
          <w:p w14:paraId="287B000E">
            <w:pPr>
              <w:rPr>
                <w:rFonts w:hAnsi="宋体"/>
                <w:szCs w:val="21"/>
              </w:rPr>
            </w:pPr>
          </w:p>
        </w:tc>
        <w:tc>
          <w:tcPr>
            <w:tcW w:w="411" w:type="pct"/>
            <w:vAlign w:val="center"/>
          </w:tcPr>
          <w:p w14:paraId="47239018">
            <w:pPr>
              <w:rPr>
                <w:rFonts w:hAnsi="宋体"/>
                <w:szCs w:val="21"/>
              </w:rPr>
            </w:pPr>
          </w:p>
        </w:tc>
        <w:tc>
          <w:tcPr>
            <w:tcW w:w="652" w:type="pct"/>
            <w:vAlign w:val="center"/>
          </w:tcPr>
          <w:p w14:paraId="2072E692">
            <w:pPr>
              <w:rPr>
                <w:rFonts w:hAnsi="宋体"/>
                <w:szCs w:val="21"/>
              </w:rPr>
            </w:pPr>
          </w:p>
        </w:tc>
        <w:tc>
          <w:tcPr>
            <w:tcW w:w="605" w:type="pct"/>
            <w:vAlign w:val="center"/>
          </w:tcPr>
          <w:p w14:paraId="5FE792C1">
            <w:pPr>
              <w:rPr>
                <w:rFonts w:hAnsi="宋体"/>
                <w:szCs w:val="21"/>
              </w:rPr>
            </w:pPr>
          </w:p>
        </w:tc>
        <w:tc>
          <w:tcPr>
            <w:tcW w:w="588" w:type="pct"/>
            <w:vAlign w:val="center"/>
          </w:tcPr>
          <w:p w14:paraId="1B46166D">
            <w:pPr>
              <w:rPr>
                <w:rFonts w:hAnsi="宋体"/>
                <w:szCs w:val="21"/>
              </w:rPr>
            </w:pPr>
          </w:p>
        </w:tc>
      </w:tr>
      <w:tr w14:paraId="353A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25" w:type="pct"/>
            <w:vAlign w:val="center"/>
          </w:tcPr>
          <w:p w14:paraId="75D2B20C">
            <w:pPr>
              <w:rPr>
                <w:rFonts w:hAnsi="宋体"/>
                <w:szCs w:val="21"/>
              </w:rPr>
            </w:pPr>
          </w:p>
        </w:tc>
        <w:tc>
          <w:tcPr>
            <w:tcW w:w="665" w:type="pct"/>
            <w:vAlign w:val="center"/>
          </w:tcPr>
          <w:p w14:paraId="54F13F24">
            <w:pPr>
              <w:rPr>
                <w:rFonts w:hAnsi="宋体"/>
                <w:szCs w:val="21"/>
              </w:rPr>
            </w:pPr>
          </w:p>
        </w:tc>
        <w:tc>
          <w:tcPr>
            <w:tcW w:w="381" w:type="pct"/>
            <w:vAlign w:val="center"/>
          </w:tcPr>
          <w:p w14:paraId="4BFB51A6">
            <w:pPr>
              <w:rPr>
                <w:rFonts w:hAnsi="宋体"/>
                <w:szCs w:val="21"/>
              </w:rPr>
            </w:pPr>
          </w:p>
        </w:tc>
        <w:tc>
          <w:tcPr>
            <w:tcW w:w="447" w:type="pct"/>
            <w:vAlign w:val="center"/>
          </w:tcPr>
          <w:p w14:paraId="31BF09DE">
            <w:pPr>
              <w:rPr>
                <w:rFonts w:hAnsi="宋体"/>
                <w:szCs w:val="21"/>
              </w:rPr>
            </w:pPr>
          </w:p>
        </w:tc>
        <w:tc>
          <w:tcPr>
            <w:tcW w:w="403" w:type="pct"/>
            <w:vAlign w:val="center"/>
          </w:tcPr>
          <w:p w14:paraId="54244E01">
            <w:pPr>
              <w:rPr>
                <w:rFonts w:hAnsi="宋体"/>
                <w:szCs w:val="21"/>
              </w:rPr>
            </w:pPr>
          </w:p>
        </w:tc>
        <w:tc>
          <w:tcPr>
            <w:tcW w:w="417" w:type="pct"/>
            <w:vAlign w:val="center"/>
          </w:tcPr>
          <w:p w14:paraId="72B54EFF">
            <w:pPr>
              <w:rPr>
                <w:rFonts w:hAnsi="宋体"/>
                <w:szCs w:val="21"/>
              </w:rPr>
            </w:pPr>
          </w:p>
        </w:tc>
        <w:tc>
          <w:tcPr>
            <w:tcW w:w="411" w:type="pct"/>
            <w:vAlign w:val="center"/>
          </w:tcPr>
          <w:p w14:paraId="286341C0">
            <w:pPr>
              <w:rPr>
                <w:rFonts w:hAnsi="宋体"/>
                <w:szCs w:val="21"/>
              </w:rPr>
            </w:pPr>
          </w:p>
        </w:tc>
        <w:tc>
          <w:tcPr>
            <w:tcW w:w="652" w:type="pct"/>
            <w:vAlign w:val="center"/>
          </w:tcPr>
          <w:p w14:paraId="42A86D9C">
            <w:pPr>
              <w:rPr>
                <w:rFonts w:hAnsi="宋体"/>
                <w:szCs w:val="21"/>
              </w:rPr>
            </w:pPr>
          </w:p>
        </w:tc>
        <w:tc>
          <w:tcPr>
            <w:tcW w:w="605" w:type="pct"/>
            <w:vAlign w:val="center"/>
          </w:tcPr>
          <w:p w14:paraId="74AD897B">
            <w:pPr>
              <w:rPr>
                <w:rFonts w:hAnsi="宋体"/>
                <w:szCs w:val="21"/>
              </w:rPr>
            </w:pPr>
          </w:p>
        </w:tc>
        <w:tc>
          <w:tcPr>
            <w:tcW w:w="588" w:type="pct"/>
            <w:vAlign w:val="center"/>
          </w:tcPr>
          <w:p w14:paraId="527D645B">
            <w:pPr>
              <w:rPr>
                <w:rFonts w:hAnsi="宋体"/>
                <w:szCs w:val="21"/>
              </w:rPr>
            </w:pPr>
          </w:p>
        </w:tc>
      </w:tr>
      <w:tr w14:paraId="67B8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25" w:type="pct"/>
            <w:vAlign w:val="center"/>
          </w:tcPr>
          <w:p w14:paraId="1547D33F">
            <w:pPr>
              <w:rPr>
                <w:rFonts w:hAnsi="宋体"/>
                <w:szCs w:val="21"/>
              </w:rPr>
            </w:pPr>
          </w:p>
        </w:tc>
        <w:tc>
          <w:tcPr>
            <w:tcW w:w="665" w:type="pct"/>
            <w:vAlign w:val="center"/>
          </w:tcPr>
          <w:p w14:paraId="7DD8D843">
            <w:pPr>
              <w:rPr>
                <w:rFonts w:hAnsi="宋体"/>
                <w:szCs w:val="21"/>
              </w:rPr>
            </w:pPr>
          </w:p>
        </w:tc>
        <w:tc>
          <w:tcPr>
            <w:tcW w:w="381" w:type="pct"/>
            <w:vAlign w:val="center"/>
          </w:tcPr>
          <w:p w14:paraId="10D29A2F">
            <w:pPr>
              <w:rPr>
                <w:rFonts w:hAnsi="宋体"/>
                <w:szCs w:val="21"/>
              </w:rPr>
            </w:pPr>
          </w:p>
        </w:tc>
        <w:tc>
          <w:tcPr>
            <w:tcW w:w="447" w:type="pct"/>
            <w:vAlign w:val="center"/>
          </w:tcPr>
          <w:p w14:paraId="58655C81">
            <w:pPr>
              <w:rPr>
                <w:rFonts w:hAnsi="宋体"/>
                <w:szCs w:val="21"/>
              </w:rPr>
            </w:pPr>
          </w:p>
        </w:tc>
        <w:tc>
          <w:tcPr>
            <w:tcW w:w="403" w:type="pct"/>
            <w:vAlign w:val="center"/>
          </w:tcPr>
          <w:p w14:paraId="05009505">
            <w:pPr>
              <w:rPr>
                <w:rFonts w:hAnsi="宋体"/>
                <w:szCs w:val="21"/>
              </w:rPr>
            </w:pPr>
          </w:p>
        </w:tc>
        <w:tc>
          <w:tcPr>
            <w:tcW w:w="417" w:type="pct"/>
            <w:vAlign w:val="center"/>
          </w:tcPr>
          <w:p w14:paraId="4353B4BC">
            <w:pPr>
              <w:rPr>
                <w:rFonts w:hAnsi="宋体"/>
                <w:szCs w:val="21"/>
              </w:rPr>
            </w:pPr>
          </w:p>
        </w:tc>
        <w:tc>
          <w:tcPr>
            <w:tcW w:w="411" w:type="pct"/>
            <w:vAlign w:val="center"/>
          </w:tcPr>
          <w:p w14:paraId="71AE0DA5">
            <w:pPr>
              <w:rPr>
                <w:rFonts w:hAnsi="宋体"/>
                <w:szCs w:val="21"/>
              </w:rPr>
            </w:pPr>
          </w:p>
        </w:tc>
        <w:tc>
          <w:tcPr>
            <w:tcW w:w="652" w:type="pct"/>
            <w:vAlign w:val="center"/>
          </w:tcPr>
          <w:p w14:paraId="51DC3A83">
            <w:pPr>
              <w:rPr>
                <w:rFonts w:hAnsi="宋体"/>
                <w:szCs w:val="21"/>
              </w:rPr>
            </w:pPr>
          </w:p>
        </w:tc>
        <w:tc>
          <w:tcPr>
            <w:tcW w:w="605" w:type="pct"/>
            <w:vAlign w:val="center"/>
          </w:tcPr>
          <w:p w14:paraId="486B5AF5">
            <w:pPr>
              <w:rPr>
                <w:rFonts w:hAnsi="宋体"/>
                <w:szCs w:val="21"/>
              </w:rPr>
            </w:pPr>
          </w:p>
        </w:tc>
        <w:tc>
          <w:tcPr>
            <w:tcW w:w="588" w:type="pct"/>
            <w:vAlign w:val="center"/>
          </w:tcPr>
          <w:p w14:paraId="497D427D">
            <w:pPr>
              <w:rPr>
                <w:rFonts w:hAnsi="宋体"/>
                <w:szCs w:val="21"/>
              </w:rPr>
            </w:pPr>
          </w:p>
        </w:tc>
      </w:tr>
      <w:tr w14:paraId="5858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25" w:type="pct"/>
            <w:vAlign w:val="center"/>
          </w:tcPr>
          <w:p w14:paraId="7D8148FE">
            <w:pPr>
              <w:rPr>
                <w:rFonts w:hAnsi="宋体"/>
                <w:szCs w:val="21"/>
              </w:rPr>
            </w:pPr>
          </w:p>
        </w:tc>
        <w:tc>
          <w:tcPr>
            <w:tcW w:w="665" w:type="pct"/>
            <w:vAlign w:val="center"/>
          </w:tcPr>
          <w:p w14:paraId="3AC9154F">
            <w:pPr>
              <w:rPr>
                <w:rFonts w:hAnsi="宋体"/>
                <w:szCs w:val="21"/>
              </w:rPr>
            </w:pPr>
          </w:p>
        </w:tc>
        <w:tc>
          <w:tcPr>
            <w:tcW w:w="381" w:type="pct"/>
            <w:vAlign w:val="center"/>
          </w:tcPr>
          <w:p w14:paraId="08A721C6">
            <w:pPr>
              <w:rPr>
                <w:rFonts w:hAnsi="宋体"/>
                <w:szCs w:val="21"/>
              </w:rPr>
            </w:pPr>
          </w:p>
        </w:tc>
        <w:tc>
          <w:tcPr>
            <w:tcW w:w="447" w:type="pct"/>
            <w:vAlign w:val="center"/>
          </w:tcPr>
          <w:p w14:paraId="6C9C01F4">
            <w:pPr>
              <w:rPr>
                <w:rFonts w:hAnsi="宋体"/>
                <w:szCs w:val="21"/>
              </w:rPr>
            </w:pPr>
          </w:p>
        </w:tc>
        <w:tc>
          <w:tcPr>
            <w:tcW w:w="403" w:type="pct"/>
            <w:vAlign w:val="center"/>
          </w:tcPr>
          <w:p w14:paraId="69EF7A93">
            <w:pPr>
              <w:rPr>
                <w:rFonts w:hAnsi="宋体"/>
                <w:szCs w:val="21"/>
              </w:rPr>
            </w:pPr>
          </w:p>
        </w:tc>
        <w:tc>
          <w:tcPr>
            <w:tcW w:w="417" w:type="pct"/>
            <w:vAlign w:val="center"/>
          </w:tcPr>
          <w:p w14:paraId="4CA90289">
            <w:pPr>
              <w:rPr>
                <w:rFonts w:hAnsi="宋体"/>
                <w:szCs w:val="21"/>
              </w:rPr>
            </w:pPr>
          </w:p>
        </w:tc>
        <w:tc>
          <w:tcPr>
            <w:tcW w:w="411" w:type="pct"/>
            <w:vAlign w:val="center"/>
          </w:tcPr>
          <w:p w14:paraId="46BD4E77">
            <w:pPr>
              <w:rPr>
                <w:rFonts w:hAnsi="宋体"/>
                <w:szCs w:val="21"/>
              </w:rPr>
            </w:pPr>
          </w:p>
        </w:tc>
        <w:tc>
          <w:tcPr>
            <w:tcW w:w="652" w:type="pct"/>
            <w:vAlign w:val="center"/>
          </w:tcPr>
          <w:p w14:paraId="1051B729">
            <w:pPr>
              <w:rPr>
                <w:rFonts w:hAnsi="宋体"/>
                <w:szCs w:val="21"/>
              </w:rPr>
            </w:pPr>
          </w:p>
        </w:tc>
        <w:tc>
          <w:tcPr>
            <w:tcW w:w="605" w:type="pct"/>
            <w:vAlign w:val="center"/>
          </w:tcPr>
          <w:p w14:paraId="23E56FCF">
            <w:pPr>
              <w:rPr>
                <w:rFonts w:hAnsi="宋体"/>
                <w:szCs w:val="21"/>
              </w:rPr>
            </w:pPr>
          </w:p>
        </w:tc>
        <w:tc>
          <w:tcPr>
            <w:tcW w:w="588" w:type="pct"/>
            <w:vAlign w:val="center"/>
          </w:tcPr>
          <w:p w14:paraId="7A99BB8F">
            <w:pPr>
              <w:rPr>
                <w:rFonts w:hAnsi="宋体"/>
                <w:szCs w:val="21"/>
              </w:rPr>
            </w:pPr>
          </w:p>
        </w:tc>
      </w:tr>
      <w:tr w14:paraId="51262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25" w:type="pct"/>
            <w:vAlign w:val="center"/>
          </w:tcPr>
          <w:p w14:paraId="5E4E9153">
            <w:pPr>
              <w:rPr>
                <w:rFonts w:hAnsi="宋体"/>
                <w:szCs w:val="21"/>
              </w:rPr>
            </w:pPr>
          </w:p>
        </w:tc>
        <w:tc>
          <w:tcPr>
            <w:tcW w:w="665" w:type="pct"/>
            <w:vAlign w:val="center"/>
          </w:tcPr>
          <w:p w14:paraId="64EBC2CE">
            <w:pPr>
              <w:rPr>
                <w:rFonts w:hAnsi="宋体"/>
                <w:szCs w:val="21"/>
              </w:rPr>
            </w:pPr>
          </w:p>
        </w:tc>
        <w:tc>
          <w:tcPr>
            <w:tcW w:w="381" w:type="pct"/>
            <w:vAlign w:val="center"/>
          </w:tcPr>
          <w:p w14:paraId="31690008">
            <w:pPr>
              <w:rPr>
                <w:rFonts w:hAnsi="宋体"/>
                <w:szCs w:val="21"/>
              </w:rPr>
            </w:pPr>
          </w:p>
        </w:tc>
        <w:tc>
          <w:tcPr>
            <w:tcW w:w="447" w:type="pct"/>
            <w:vAlign w:val="center"/>
          </w:tcPr>
          <w:p w14:paraId="5DB0AAC2">
            <w:pPr>
              <w:rPr>
                <w:rFonts w:hAnsi="宋体"/>
                <w:szCs w:val="21"/>
              </w:rPr>
            </w:pPr>
          </w:p>
        </w:tc>
        <w:tc>
          <w:tcPr>
            <w:tcW w:w="403" w:type="pct"/>
            <w:vAlign w:val="center"/>
          </w:tcPr>
          <w:p w14:paraId="67952449">
            <w:pPr>
              <w:rPr>
                <w:rFonts w:hAnsi="宋体"/>
                <w:szCs w:val="21"/>
              </w:rPr>
            </w:pPr>
          </w:p>
        </w:tc>
        <w:tc>
          <w:tcPr>
            <w:tcW w:w="417" w:type="pct"/>
            <w:vAlign w:val="center"/>
          </w:tcPr>
          <w:p w14:paraId="2893F398">
            <w:pPr>
              <w:rPr>
                <w:rFonts w:hAnsi="宋体"/>
                <w:szCs w:val="21"/>
              </w:rPr>
            </w:pPr>
          </w:p>
        </w:tc>
        <w:tc>
          <w:tcPr>
            <w:tcW w:w="411" w:type="pct"/>
            <w:vAlign w:val="center"/>
          </w:tcPr>
          <w:p w14:paraId="2BA20E55">
            <w:pPr>
              <w:rPr>
                <w:rFonts w:hAnsi="宋体"/>
                <w:szCs w:val="21"/>
              </w:rPr>
            </w:pPr>
          </w:p>
        </w:tc>
        <w:tc>
          <w:tcPr>
            <w:tcW w:w="652" w:type="pct"/>
            <w:vAlign w:val="center"/>
          </w:tcPr>
          <w:p w14:paraId="43C69035">
            <w:pPr>
              <w:rPr>
                <w:rFonts w:hAnsi="宋体"/>
                <w:szCs w:val="21"/>
              </w:rPr>
            </w:pPr>
          </w:p>
        </w:tc>
        <w:tc>
          <w:tcPr>
            <w:tcW w:w="605" w:type="pct"/>
            <w:vAlign w:val="center"/>
          </w:tcPr>
          <w:p w14:paraId="5EC1B8AB">
            <w:pPr>
              <w:rPr>
                <w:rFonts w:hAnsi="宋体"/>
                <w:szCs w:val="21"/>
              </w:rPr>
            </w:pPr>
          </w:p>
        </w:tc>
        <w:tc>
          <w:tcPr>
            <w:tcW w:w="588" w:type="pct"/>
            <w:vAlign w:val="center"/>
          </w:tcPr>
          <w:p w14:paraId="05F7BADE">
            <w:pPr>
              <w:rPr>
                <w:rFonts w:hAnsi="宋体"/>
                <w:szCs w:val="21"/>
              </w:rPr>
            </w:pPr>
          </w:p>
        </w:tc>
      </w:tr>
      <w:tr w14:paraId="602EF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425" w:type="pct"/>
            <w:vAlign w:val="center"/>
          </w:tcPr>
          <w:p w14:paraId="4FFFDACD">
            <w:pPr>
              <w:rPr>
                <w:rFonts w:ascii="宋体" w:hAnsi="宋体" w:cs="宋体"/>
                <w:szCs w:val="21"/>
              </w:rPr>
            </w:pPr>
            <w:r>
              <w:rPr>
                <w:rFonts w:hint="eastAsia" w:ascii="宋体" w:hAnsi="宋体" w:cs="宋体"/>
                <w:szCs w:val="21"/>
              </w:rPr>
              <w:t>注：</w:t>
            </w:r>
          </w:p>
        </w:tc>
        <w:tc>
          <w:tcPr>
            <w:tcW w:w="4574" w:type="pct"/>
            <w:gridSpan w:val="9"/>
            <w:vAlign w:val="center"/>
          </w:tcPr>
          <w:p w14:paraId="098C70FF">
            <w:pPr>
              <w:rPr>
                <w:rFonts w:ascii="宋体" w:hAnsi="宋体" w:cs="宋体"/>
                <w:szCs w:val="21"/>
              </w:rPr>
            </w:pPr>
            <w:r>
              <w:rPr>
                <w:rFonts w:hint="eastAsia" w:ascii="宋体" w:hAnsi="宋体" w:cs="宋体"/>
                <w:szCs w:val="21"/>
              </w:rPr>
              <w:t>1.本表后请附相对应人员资料扫描件，资料包括身份证、劳动合同或社保证明、学历证书（若有）、相关证书（若有）、相关荣誉证明材料（若有）、类似项目经验证明材料（若有）。无人员资料或资料不明确、无法体现对应内容的，不予认可。</w:t>
            </w:r>
          </w:p>
          <w:p w14:paraId="2D9E4125">
            <w:pPr>
              <w:rPr>
                <w:rFonts w:ascii="宋体" w:hAnsi="宋体" w:cs="宋体"/>
                <w:szCs w:val="21"/>
              </w:rPr>
            </w:pPr>
            <w:r>
              <w:rPr>
                <w:rFonts w:hint="eastAsia" w:ascii="宋体" w:hAnsi="宋体" w:cs="宋体"/>
                <w:szCs w:val="21"/>
              </w:rPr>
              <w:t>2.投标人可根据人员配备情况拓展本表。</w:t>
            </w:r>
          </w:p>
        </w:tc>
      </w:tr>
    </w:tbl>
    <w:p w14:paraId="7E9EEB56">
      <w:pPr>
        <w:adjustRightInd w:val="0"/>
        <w:snapToGrid w:val="0"/>
        <w:spacing w:line="360" w:lineRule="auto"/>
        <w:jc w:val="left"/>
        <w:rPr>
          <w:rFonts w:ascii="宋体" w:hAnsi="宋体" w:cs="宋体"/>
          <w:b/>
          <w:bCs/>
          <w:sz w:val="28"/>
          <w:szCs w:val="28"/>
        </w:rPr>
      </w:pPr>
      <w:r>
        <w:rPr>
          <w:rFonts w:hint="eastAsia" w:ascii="宋体" w:hAnsi="宋体" w:cs="宋体"/>
        </w:rPr>
        <w:t>。</w:t>
      </w:r>
    </w:p>
    <w:p w14:paraId="4DC2933A">
      <w:pPr>
        <w:adjustRightInd w:val="0"/>
        <w:snapToGrid w:val="0"/>
        <w:spacing w:line="360" w:lineRule="auto"/>
        <w:rPr>
          <w:rFonts w:ascii="宋体" w:hAnsi="宋体" w:cs="宋体"/>
          <w:b/>
          <w:bCs/>
          <w:sz w:val="28"/>
          <w:szCs w:val="28"/>
        </w:rPr>
      </w:pPr>
      <w:r>
        <w:rPr>
          <w:rFonts w:hint="eastAsia" w:ascii="宋体" w:hAnsi="宋体" w:cs="宋体"/>
          <w:b/>
          <w:bCs/>
          <w:sz w:val="28"/>
          <w:szCs w:val="28"/>
        </w:rPr>
        <w:br w:type="page"/>
      </w:r>
    </w:p>
    <w:p w14:paraId="6435E7BD">
      <w:pPr>
        <w:keepNext/>
        <w:keepLines/>
        <w:adjustRightInd w:val="0"/>
        <w:snapToGrid w:val="0"/>
        <w:spacing w:line="360" w:lineRule="auto"/>
        <w:jc w:val="center"/>
        <w:rPr>
          <w:rFonts w:ascii="宋体" w:hAnsi="宋体" w:cs="宋体"/>
          <w:b/>
          <w:bCs/>
          <w:sz w:val="28"/>
          <w:szCs w:val="28"/>
        </w:rPr>
      </w:pPr>
      <w:r>
        <w:rPr>
          <w:rFonts w:hint="eastAsia" w:ascii="宋体" w:hAnsi="宋体" w:cs="宋体"/>
          <w:b/>
          <w:bCs/>
          <w:sz w:val="28"/>
          <w:szCs w:val="28"/>
        </w:rPr>
        <w:t>团队人员服务经验及其他说明</w:t>
      </w:r>
    </w:p>
    <w:p w14:paraId="11762389">
      <w:pPr>
        <w:adjustRightInd w:val="0"/>
        <w:snapToGrid w:val="0"/>
        <w:spacing w:line="360" w:lineRule="auto"/>
        <w:jc w:val="center"/>
        <w:rPr>
          <w:rFonts w:ascii="宋体" w:hAnsi="宋体" w:cs="宋体"/>
          <w:szCs w:val="21"/>
        </w:rPr>
      </w:pPr>
      <w:r>
        <w:rPr>
          <w:rFonts w:hint="eastAsia" w:ascii="宋体" w:hAnsi="宋体" w:cs="宋体"/>
          <w:szCs w:val="21"/>
        </w:rPr>
        <w:t>（</w:t>
      </w:r>
      <w:r>
        <w:rPr>
          <w:rFonts w:hint="eastAsia" w:ascii="宋体" w:hAnsi="宋体" w:cs="宋体"/>
          <w:szCs w:val="21"/>
          <w:lang w:eastAsia="zh-CN"/>
        </w:rPr>
        <w:t>内容自拟</w:t>
      </w:r>
      <w:r>
        <w:rPr>
          <w:rFonts w:hint="eastAsia" w:ascii="宋体" w:hAnsi="宋体" w:cs="宋体"/>
          <w:szCs w:val="21"/>
        </w:rPr>
        <w:t>）</w:t>
      </w:r>
    </w:p>
    <w:p w14:paraId="5432187E">
      <w:pPr>
        <w:rPr>
          <w:rFonts w:hAnsi="宋体" w:cs="宋体"/>
          <w:szCs w:val="21"/>
        </w:rPr>
      </w:pPr>
      <w:r>
        <w:rPr>
          <w:rFonts w:hint="eastAsia" w:ascii="宋体" w:hAnsi="宋体" w:cs="宋体"/>
          <w:b/>
          <w:bCs/>
          <w:sz w:val="28"/>
          <w:szCs w:val="28"/>
        </w:rPr>
        <w:br w:type="page"/>
      </w:r>
    </w:p>
    <w:p w14:paraId="7537C549">
      <w:pPr>
        <w:keepNext/>
        <w:keepLines/>
        <w:spacing w:after="120" w:line="360" w:lineRule="auto"/>
        <w:jc w:val="left"/>
        <w:outlineLvl w:val="1"/>
        <w:rPr>
          <w:rFonts w:hint="default" w:ascii="宋体" w:hAnsi="宋体" w:eastAsia="宋体" w:cs="宋体"/>
          <w:b/>
          <w:sz w:val="28"/>
          <w:szCs w:val="28"/>
          <w:lang w:val="en-US" w:eastAsia="zh-CN"/>
        </w:rPr>
      </w:pPr>
      <w:r>
        <w:rPr>
          <w:rFonts w:hint="eastAsia" w:ascii="宋体" w:hAnsi="宋体" w:cs="宋体"/>
          <w:b/>
          <w:bCs/>
          <w:sz w:val="28"/>
          <w:szCs w:val="28"/>
        </w:rPr>
        <w:t>格式</w:t>
      </w:r>
      <w:r>
        <w:rPr>
          <w:rFonts w:hint="eastAsia" w:ascii="宋体" w:hAnsi="宋体" w:cs="宋体"/>
          <w:b/>
          <w:bCs/>
          <w:sz w:val="28"/>
          <w:szCs w:val="28"/>
          <w:lang w:val="en-US" w:eastAsia="zh-CN"/>
        </w:rPr>
        <w:t>16</w:t>
      </w:r>
    </w:p>
    <w:p w14:paraId="1333A563">
      <w:pPr>
        <w:keepNext/>
        <w:keepLines/>
        <w:adjustRightInd w:val="0"/>
        <w:snapToGrid w:val="0"/>
        <w:spacing w:line="360" w:lineRule="auto"/>
        <w:jc w:val="center"/>
        <w:rPr>
          <w:rFonts w:ascii="宋体" w:hAnsi="宋体" w:cs="宋体"/>
          <w:b/>
          <w:bCs/>
          <w:sz w:val="28"/>
          <w:szCs w:val="28"/>
        </w:rPr>
      </w:pPr>
      <w:r>
        <w:rPr>
          <w:rFonts w:hint="eastAsia" w:ascii="宋体" w:hAnsi="宋体" w:cs="宋体"/>
          <w:b/>
          <w:bCs/>
          <w:sz w:val="28"/>
          <w:szCs w:val="28"/>
        </w:rPr>
        <w:t>服务质量承诺及保证措施</w:t>
      </w:r>
    </w:p>
    <w:p w14:paraId="7515C1ED">
      <w:pPr>
        <w:spacing w:line="360" w:lineRule="auto"/>
        <w:jc w:val="center"/>
        <w:rPr>
          <w:rFonts w:ascii="宋体" w:hAnsi="宋体" w:cs="宋体"/>
          <w:kern w:val="0"/>
          <w:szCs w:val="21"/>
        </w:rPr>
      </w:pPr>
      <w:r>
        <w:rPr>
          <w:rFonts w:hint="eastAsia" w:ascii="宋体" w:hAnsi="宋体" w:cs="宋体"/>
          <w:kern w:val="0"/>
          <w:szCs w:val="21"/>
        </w:rPr>
        <w:t>（</w:t>
      </w:r>
      <w:r>
        <w:rPr>
          <w:rFonts w:hint="eastAsia" w:ascii="宋体" w:hAnsi="宋体" w:cs="宋体"/>
          <w:kern w:val="0"/>
          <w:szCs w:val="21"/>
          <w:lang w:eastAsia="zh-CN"/>
        </w:rPr>
        <w:t>内容自拟</w:t>
      </w:r>
      <w:r>
        <w:rPr>
          <w:rFonts w:hint="eastAsia" w:ascii="宋体" w:hAnsi="宋体" w:cs="宋体"/>
          <w:kern w:val="0"/>
          <w:szCs w:val="21"/>
        </w:rPr>
        <w:t>）</w:t>
      </w:r>
    </w:p>
    <w:p w14:paraId="5BB245CC">
      <w:pPr>
        <w:rPr>
          <w:rFonts w:ascii="宋体" w:hAnsi="宋体" w:cs="宋体"/>
          <w:b/>
          <w:bCs/>
          <w:sz w:val="28"/>
          <w:szCs w:val="28"/>
        </w:rPr>
      </w:pPr>
      <w:r>
        <w:rPr>
          <w:rFonts w:hint="eastAsia" w:ascii="宋体" w:hAnsi="宋体" w:cs="宋体"/>
          <w:b/>
          <w:bCs/>
          <w:sz w:val="28"/>
          <w:szCs w:val="28"/>
        </w:rPr>
        <w:br w:type="page"/>
      </w:r>
    </w:p>
    <w:p w14:paraId="6EEEE4E5">
      <w:pPr>
        <w:keepNext/>
        <w:keepLines/>
        <w:spacing w:after="120" w:line="360" w:lineRule="auto"/>
        <w:jc w:val="left"/>
        <w:outlineLvl w:val="1"/>
        <w:rPr>
          <w:rFonts w:hint="default" w:ascii="宋体" w:hAnsi="宋体" w:eastAsia="宋体" w:cs="宋体"/>
          <w:b/>
          <w:sz w:val="28"/>
          <w:szCs w:val="28"/>
          <w:lang w:val="en-US" w:eastAsia="zh-CN"/>
        </w:rPr>
      </w:pPr>
      <w:r>
        <w:rPr>
          <w:rFonts w:hint="eastAsia" w:ascii="宋体" w:hAnsi="宋体" w:cs="宋体"/>
          <w:b/>
          <w:bCs/>
          <w:sz w:val="28"/>
          <w:szCs w:val="28"/>
        </w:rPr>
        <w:t>格式</w:t>
      </w:r>
      <w:r>
        <w:rPr>
          <w:rFonts w:hint="eastAsia" w:ascii="宋体" w:hAnsi="宋体" w:cs="宋体"/>
          <w:b/>
          <w:bCs/>
          <w:sz w:val="28"/>
          <w:szCs w:val="28"/>
          <w:lang w:val="en-US" w:eastAsia="zh-CN"/>
        </w:rPr>
        <w:t>17</w:t>
      </w:r>
    </w:p>
    <w:p w14:paraId="56043D45">
      <w:pPr>
        <w:keepNext/>
        <w:keepLines/>
        <w:adjustRightInd w:val="0"/>
        <w:snapToGrid w:val="0"/>
        <w:spacing w:line="360" w:lineRule="auto"/>
        <w:jc w:val="center"/>
        <w:rPr>
          <w:rFonts w:ascii="宋体" w:hAnsi="宋体" w:cs="宋体"/>
          <w:b/>
          <w:bCs/>
          <w:sz w:val="28"/>
          <w:szCs w:val="28"/>
        </w:rPr>
      </w:pPr>
      <w:r>
        <w:rPr>
          <w:rFonts w:hint="eastAsia" w:ascii="宋体" w:hAnsi="宋体" w:cs="宋体"/>
          <w:b/>
          <w:bCs/>
          <w:sz w:val="28"/>
          <w:szCs w:val="28"/>
        </w:rPr>
        <w:t>应急预案</w:t>
      </w:r>
    </w:p>
    <w:p w14:paraId="1EB051E6">
      <w:pPr>
        <w:spacing w:line="360" w:lineRule="auto"/>
        <w:jc w:val="center"/>
        <w:rPr>
          <w:rFonts w:ascii="宋体" w:hAnsi="宋体" w:cs="宋体"/>
          <w:kern w:val="0"/>
          <w:szCs w:val="21"/>
        </w:rPr>
      </w:pPr>
      <w:r>
        <w:rPr>
          <w:rFonts w:hint="eastAsia" w:ascii="宋体" w:hAnsi="宋体" w:cs="宋体"/>
          <w:kern w:val="0"/>
          <w:szCs w:val="21"/>
        </w:rPr>
        <w:t>（</w:t>
      </w:r>
      <w:r>
        <w:rPr>
          <w:rFonts w:hint="eastAsia" w:ascii="宋体" w:hAnsi="宋体" w:cs="宋体"/>
          <w:kern w:val="0"/>
          <w:szCs w:val="21"/>
          <w:lang w:eastAsia="zh-CN"/>
        </w:rPr>
        <w:t>内容自拟</w:t>
      </w:r>
      <w:r>
        <w:rPr>
          <w:rFonts w:hint="eastAsia" w:ascii="宋体" w:hAnsi="宋体" w:cs="宋体"/>
          <w:kern w:val="0"/>
          <w:szCs w:val="21"/>
        </w:rPr>
        <w:t>）</w:t>
      </w:r>
    </w:p>
    <w:p w14:paraId="0EA9B827">
      <w:pPr>
        <w:spacing w:line="360" w:lineRule="auto"/>
        <w:rPr>
          <w:rFonts w:ascii="宋体" w:hAnsi="宋体" w:cs="宋体"/>
          <w:b/>
          <w:bCs/>
          <w:sz w:val="32"/>
          <w:szCs w:val="32"/>
        </w:rPr>
      </w:pPr>
      <w:r>
        <w:rPr>
          <w:rFonts w:hint="eastAsia" w:ascii="宋体" w:hAnsi="宋体" w:cs="宋体"/>
          <w:b/>
          <w:bCs/>
          <w:sz w:val="28"/>
          <w:szCs w:val="28"/>
        </w:rPr>
        <w:br w:type="page"/>
      </w:r>
    </w:p>
    <w:p w14:paraId="75B2AD78">
      <w:pPr>
        <w:keepNext/>
        <w:keepLines/>
        <w:spacing w:after="120" w:line="360" w:lineRule="auto"/>
        <w:jc w:val="left"/>
        <w:outlineLvl w:val="1"/>
        <w:rPr>
          <w:rFonts w:hint="default" w:ascii="宋体" w:hAnsi="宋体" w:eastAsia="宋体" w:cs="宋体"/>
          <w:bCs/>
          <w:sz w:val="28"/>
          <w:szCs w:val="28"/>
          <w:lang w:val="en-US" w:eastAsia="zh-CN"/>
        </w:rPr>
      </w:pPr>
      <w:r>
        <w:rPr>
          <w:rFonts w:hint="eastAsia" w:ascii="宋体" w:hAnsi="宋体" w:cs="宋体"/>
          <w:b/>
          <w:bCs/>
          <w:sz w:val="28"/>
          <w:szCs w:val="28"/>
        </w:rPr>
        <w:t>格式</w:t>
      </w:r>
      <w:r>
        <w:rPr>
          <w:rFonts w:hint="eastAsia" w:ascii="宋体" w:hAnsi="宋体" w:cs="宋体"/>
          <w:b/>
          <w:bCs/>
          <w:sz w:val="28"/>
          <w:szCs w:val="28"/>
          <w:lang w:val="en-US" w:eastAsia="zh-CN"/>
        </w:rPr>
        <w:t>18</w:t>
      </w:r>
    </w:p>
    <w:p w14:paraId="30FE8D8C">
      <w:pPr>
        <w:keepNext/>
        <w:keepLines/>
        <w:spacing w:before="120" w:after="120" w:line="360" w:lineRule="auto"/>
        <w:jc w:val="center"/>
        <w:outlineLvl w:val="1"/>
        <w:rPr>
          <w:rFonts w:ascii="宋体" w:hAnsi="宋体" w:cs="宋体"/>
          <w:b/>
          <w:bCs/>
          <w:sz w:val="28"/>
          <w:szCs w:val="28"/>
        </w:rPr>
      </w:pPr>
      <w:bookmarkStart w:id="428" w:name="_Toc489197873"/>
      <w:bookmarkStart w:id="429" w:name="_Toc481694862"/>
      <w:bookmarkStart w:id="430" w:name="_Toc489145769"/>
      <w:bookmarkStart w:id="431" w:name="_Toc488633634"/>
      <w:r>
        <w:rPr>
          <w:rFonts w:hint="eastAsia" w:ascii="宋体" w:hAnsi="宋体" w:cs="宋体"/>
          <w:b/>
          <w:bCs/>
          <w:sz w:val="28"/>
          <w:szCs w:val="28"/>
          <w:lang w:val="en-US" w:eastAsia="zh-CN"/>
        </w:rPr>
        <w:t>投标人以往类似项目履约情况表</w:t>
      </w:r>
    </w:p>
    <w:p w14:paraId="06A317CE">
      <w:pPr>
        <w:pStyle w:val="21"/>
        <w:spacing w:line="360" w:lineRule="auto"/>
        <w:rPr>
          <w:rFonts w:hAnsi="宋体" w:cs="宋体"/>
          <w:b/>
          <w:szCs w:val="21"/>
          <w:u w:val="single"/>
        </w:rPr>
      </w:pPr>
      <w:r>
        <w:rPr>
          <w:rFonts w:hint="eastAsia" w:hAnsi="宋体" w:cs="宋体"/>
          <w:b/>
          <w:szCs w:val="21"/>
        </w:rPr>
        <w:t>项目名称：</w:t>
      </w:r>
    </w:p>
    <w:p w14:paraId="008929C6">
      <w:pPr>
        <w:pStyle w:val="21"/>
        <w:spacing w:line="360" w:lineRule="auto"/>
        <w:rPr>
          <w:rFonts w:hAnsi="宋体" w:cs="宋体"/>
          <w:b/>
          <w:szCs w:val="21"/>
        </w:rPr>
      </w:pPr>
      <w:r>
        <w:rPr>
          <w:rFonts w:hint="eastAsia" w:hAnsi="宋体" w:cs="宋体"/>
          <w:b/>
          <w:szCs w:val="21"/>
        </w:rPr>
        <w:t>项目编号：</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2531"/>
        <w:gridCol w:w="1279"/>
        <w:gridCol w:w="1145"/>
        <w:gridCol w:w="851"/>
        <w:gridCol w:w="1214"/>
        <w:gridCol w:w="817"/>
      </w:tblGrid>
      <w:tr w14:paraId="5325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vAlign w:val="center"/>
          </w:tcPr>
          <w:p w14:paraId="4E6B5784">
            <w:pPr>
              <w:pStyle w:val="37"/>
              <w:spacing w:beforeAutospacing="0" w:after="0" w:afterAutospacing="0" w:line="360" w:lineRule="auto"/>
              <w:jc w:val="center"/>
              <w:textAlignment w:val="center"/>
              <w:rPr>
                <w:rFonts w:cs="宋体"/>
                <w:b/>
                <w:bCs/>
                <w:sz w:val="21"/>
                <w:szCs w:val="21"/>
              </w:rPr>
            </w:pPr>
            <w:r>
              <w:rPr>
                <w:rFonts w:hint="eastAsia" w:cs="宋体"/>
                <w:b/>
                <w:bCs/>
                <w:sz w:val="21"/>
                <w:szCs w:val="21"/>
              </w:rPr>
              <w:t>序号</w:t>
            </w:r>
          </w:p>
        </w:tc>
        <w:tc>
          <w:tcPr>
            <w:tcW w:w="2531" w:type="dxa"/>
            <w:vAlign w:val="center"/>
          </w:tcPr>
          <w:p w14:paraId="4A75C38A">
            <w:pPr>
              <w:pStyle w:val="37"/>
              <w:spacing w:beforeAutospacing="0" w:after="0" w:afterAutospacing="0" w:line="360" w:lineRule="auto"/>
              <w:jc w:val="center"/>
              <w:textAlignment w:val="center"/>
              <w:rPr>
                <w:rFonts w:cs="宋体"/>
                <w:b/>
                <w:bCs/>
                <w:sz w:val="21"/>
                <w:szCs w:val="21"/>
              </w:rPr>
            </w:pPr>
            <w:r>
              <w:rPr>
                <w:rFonts w:hint="eastAsia" w:cs="宋体"/>
                <w:b/>
                <w:bCs/>
                <w:sz w:val="21"/>
                <w:szCs w:val="21"/>
              </w:rPr>
              <w:t>项目名称</w:t>
            </w:r>
          </w:p>
        </w:tc>
        <w:tc>
          <w:tcPr>
            <w:tcW w:w="1279" w:type="dxa"/>
            <w:vAlign w:val="center"/>
          </w:tcPr>
          <w:p w14:paraId="495818DA">
            <w:pPr>
              <w:pStyle w:val="37"/>
              <w:spacing w:beforeAutospacing="0" w:after="0" w:afterAutospacing="0" w:line="360" w:lineRule="auto"/>
              <w:jc w:val="center"/>
              <w:textAlignment w:val="center"/>
              <w:rPr>
                <w:rFonts w:cs="宋体"/>
                <w:b/>
                <w:bCs/>
                <w:sz w:val="21"/>
                <w:szCs w:val="21"/>
              </w:rPr>
            </w:pPr>
            <w:r>
              <w:rPr>
                <w:rFonts w:hint="eastAsia" w:cs="宋体"/>
                <w:b/>
                <w:bCs/>
                <w:sz w:val="21"/>
                <w:szCs w:val="21"/>
              </w:rPr>
              <w:t>用户单位</w:t>
            </w:r>
          </w:p>
        </w:tc>
        <w:tc>
          <w:tcPr>
            <w:tcW w:w="1145" w:type="dxa"/>
            <w:vAlign w:val="center"/>
          </w:tcPr>
          <w:p w14:paraId="261006E4">
            <w:pPr>
              <w:pStyle w:val="37"/>
              <w:spacing w:beforeAutospacing="0" w:after="0" w:afterAutospacing="0" w:line="360" w:lineRule="auto"/>
              <w:jc w:val="center"/>
              <w:textAlignment w:val="center"/>
              <w:rPr>
                <w:rFonts w:cs="宋体"/>
                <w:b/>
                <w:bCs/>
                <w:sz w:val="21"/>
                <w:szCs w:val="21"/>
              </w:rPr>
            </w:pPr>
            <w:r>
              <w:rPr>
                <w:rFonts w:hint="eastAsia" w:cs="宋体"/>
                <w:b/>
                <w:bCs/>
                <w:sz w:val="21"/>
                <w:szCs w:val="21"/>
              </w:rPr>
              <w:t>联系人</w:t>
            </w:r>
          </w:p>
        </w:tc>
        <w:tc>
          <w:tcPr>
            <w:tcW w:w="851" w:type="dxa"/>
            <w:vAlign w:val="center"/>
          </w:tcPr>
          <w:p w14:paraId="768F25F7">
            <w:pPr>
              <w:pStyle w:val="37"/>
              <w:spacing w:beforeAutospacing="0" w:after="0" w:afterAutospacing="0" w:line="360" w:lineRule="auto"/>
              <w:jc w:val="center"/>
              <w:textAlignment w:val="center"/>
              <w:rPr>
                <w:rFonts w:cs="宋体"/>
                <w:b/>
                <w:bCs/>
                <w:sz w:val="21"/>
                <w:szCs w:val="21"/>
              </w:rPr>
            </w:pPr>
            <w:r>
              <w:rPr>
                <w:rFonts w:hint="eastAsia" w:cs="宋体"/>
                <w:b/>
                <w:bCs/>
                <w:sz w:val="21"/>
                <w:szCs w:val="21"/>
              </w:rPr>
              <w:t>电话</w:t>
            </w:r>
          </w:p>
        </w:tc>
        <w:tc>
          <w:tcPr>
            <w:tcW w:w="1214" w:type="dxa"/>
            <w:vAlign w:val="center"/>
          </w:tcPr>
          <w:p w14:paraId="09A7DD52">
            <w:pPr>
              <w:pStyle w:val="37"/>
              <w:spacing w:beforeAutospacing="0" w:after="0" w:afterAutospacing="0" w:line="360" w:lineRule="auto"/>
              <w:jc w:val="center"/>
              <w:textAlignment w:val="center"/>
              <w:rPr>
                <w:rFonts w:cs="宋体"/>
                <w:b/>
                <w:bCs/>
                <w:sz w:val="21"/>
                <w:szCs w:val="21"/>
              </w:rPr>
            </w:pPr>
            <w:r>
              <w:rPr>
                <w:rFonts w:hint="eastAsia" w:cs="宋体"/>
                <w:b/>
                <w:bCs/>
                <w:sz w:val="21"/>
                <w:szCs w:val="21"/>
              </w:rPr>
              <w:t>合同金额（万元）</w:t>
            </w:r>
          </w:p>
        </w:tc>
        <w:tc>
          <w:tcPr>
            <w:tcW w:w="817" w:type="dxa"/>
            <w:vAlign w:val="center"/>
          </w:tcPr>
          <w:p w14:paraId="0AD9F444">
            <w:pPr>
              <w:pStyle w:val="37"/>
              <w:spacing w:beforeAutospacing="0" w:after="0" w:afterAutospacing="0" w:line="360" w:lineRule="auto"/>
              <w:jc w:val="center"/>
              <w:textAlignment w:val="center"/>
              <w:rPr>
                <w:rFonts w:cs="宋体"/>
                <w:b/>
                <w:bCs/>
                <w:sz w:val="21"/>
                <w:szCs w:val="21"/>
              </w:rPr>
            </w:pPr>
            <w:r>
              <w:rPr>
                <w:rFonts w:hint="eastAsia" w:cs="宋体"/>
                <w:b/>
                <w:bCs/>
                <w:sz w:val="21"/>
                <w:szCs w:val="21"/>
              </w:rPr>
              <w:t>备注</w:t>
            </w:r>
          </w:p>
        </w:tc>
      </w:tr>
      <w:tr w14:paraId="2C7B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tcPr>
          <w:p w14:paraId="376D39E4">
            <w:pPr>
              <w:pStyle w:val="37"/>
              <w:spacing w:beforeAutospacing="0" w:after="0" w:afterAutospacing="0" w:line="360" w:lineRule="auto"/>
              <w:jc w:val="center"/>
              <w:textAlignment w:val="center"/>
              <w:rPr>
                <w:rFonts w:cs="宋体"/>
                <w:sz w:val="21"/>
                <w:szCs w:val="21"/>
              </w:rPr>
            </w:pPr>
          </w:p>
        </w:tc>
        <w:tc>
          <w:tcPr>
            <w:tcW w:w="2531" w:type="dxa"/>
          </w:tcPr>
          <w:p w14:paraId="1591AE7B">
            <w:pPr>
              <w:pStyle w:val="37"/>
              <w:spacing w:beforeAutospacing="0" w:after="0" w:afterAutospacing="0" w:line="360" w:lineRule="auto"/>
              <w:jc w:val="center"/>
              <w:textAlignment w:val="center"/>
              <w:rPr>
                <w:rFonts w:cs="宋体"/>
                <w:sz w:val="21"/>
                <w:szCs w:val="21"/>
              </w:rPr>
            </w:pPr>
          </w:p>
        </w:tc>
        <w:tc>
          <w:tcPr>
            <w:tcW w:w="1279" w:type="dxa"/>
          </w:tcPr>
          <w:p w14:paraId="4936ED67">
            <w:pPr>
              <w:pStyle w:val="37"/>
              <w:spacing w:beforeAutospacing="0" w:after="0" w:afterAutospacing="0" w:line="360" w:lineRule="auto"/>
              <w:jc w:val="center"/>
              <w:textAlignment w:val="center"/>
              <w:rPr>
                <w:rFonts w:cs="宋体"/>
                <w:sz w:val="21"/>
                <w:szCs w:val="21"/>
              </w:rPr>
            </w:pPr>
          </w:p>
        </w:tc>
        <w:tc>
          <w:tcPr>
            <w:tcW w:w="1145" w:type="dxa"/>
          </w:tcPr>
          <w:p w14:paraId="2337ACAD">
            <w:pPr>
              <w:pStyle w:val="37"/>
              <w:spacing w:beforeAutospacing="0" w:after="0" w:afterAutospacing="0" w:line="360" w:lineRule="auto"/>
              <w:jc w:val="center"/>
              <w:textAlignment w:val="center"/>
              <w:rPr>
                <w:rFonts w:cs="宋体"/>
                <w:sz w:val="21"/>
                <w:szCs w:val="21"/>
              </w:rPr>
            </w:pPr>
          </w:p>
        </w:tc>
        <w:tc>
          <w:tcPr>
            <w:tcW w:w="851" w:type="dxa"/>
          </w:tcPr>
          <w:p w14:paraId="6B6D7527">
            <w:pPr>
              <w:pStyle w:val="37"/>
              <w:spacing w:beforeAutospacing="0" w:after="0" w:afterAutospacing="0" w:line="360" w:lineRule="auto"/>
              <w:jc w:val="center"/>
              <w:textAlignment w:val="center"/>
              <w:rPr>
                <w:rFonts w:cs="宋体"/>
                <w:sz w:val="21"/>
                <w:szCs w:val="21"/>
              </w:rPr>
            </w:pPr>
          </w:p>
        </w:tc>
        <w:tc>
          <w:tcPr>
            <w:tcW w:w="1214" w:type="dxa"/>
          </w:tcPr>
          <w:p w14:paraId="4B0F8867">
            <w:pPr>
              <w:pStyle w:val="37"/>
              <w:spacing w:beforeAutospacing="0" w:after="0" w:afterAutospacing="0" w:line="360" w:lineRule="auto"/>
              <w:jc w:val="center"/>
              <w:textAlignment w:val="center"/>
              <w:rPr>
                <w:rFonts w:cs="宋体"/>
                <w:sz w:val="21"/>
                <w:szCs w:val="21"/>
              </w:rPr>
            </w:pPr>
          </w:p>
        </w:tc>
        <w:tc>
          <w:tcPr>
            <w:tcW w:w="817" w:type="dxa"/>
          </w:tcPr>
          <w:p w14:paraId="379F69F7">
            <w:pPr>
              <w:pStyle w:val="37"/>
              <w:spacing w:beforeAutospacing="0" w:after="0" w:afterAutospacing="0" w:line="360" w:lineRule="auto"/>
              <w:jc w:val="center"/>
              <w:textAlignment w:val="center"/>
              <w:rPr>
                <w:rFonts w:cs="宋体"/>
                <w:sz w:val="21"/>
                <w:szCs w:val="21"/>
              </w:rPr>
            </w:pPr>
          </w:p>
        </w:tc>
      </w:tr>
      <w:tr w14:paraId="3687C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tcPr>
          <w:p w14:paraId="416A7B32">
            <w:pPr>
              <w:pStyle w:val="37"/>
              <w:spacing w:beforeAutospacing="0" w:after="0" w:afterAutospacing="0" w:line="360" w:lineRule="auto"/>
              <w:jc w:val="center"/>
              <w:textAlignment w:val="center"/>
              <w:rPr>
                <w:rFonts w:cs="宋体"/>
                <w:sz w:val="21"/>
                <w:szCs w:val="21"/>
              </w:rPr>
            </w:pPr>
          </w:p>
        </w:tc>
        <w:tc>
          <w:tcPr>
            <w:tcW w:w="2531" w:type="dxa"/>
          </w:tcPr>
          <w:p w14:paraId="1EA1FA1A">
            <w:pPr>
              <w:pStyle w:val="37"/>
              <w:spacing w:beforeAutospacing="0" w:after="0" w:afterAutospacing="0" w:line="360" w:lineRule="auto"/>
              <w:jc w:val="center"/>
              <w:textAlignment w:val="center"/>
              <w:rPr>
                <w:rFonts w:cs="宋体"/>
                <w:sz w:val="21"/>
                <w:szCs w:val="21"/>
              </w:rPr>
            </w:pPr>
          </w:p>
        </w:tc>
        <w:tc>
          <w:tcPr>
            <w:tcW w:w="1279" w:type="dxa"/>
          </w:tcPr>
          <w:p w14:paraId="55AE522D">
            <w:pPr>
              <w:pStyle w:val="37"/>
              <w:spacing w:beforeAutospacing="0" w:after="0" w:afterAutospacing="0" w:line="360" w:lineRule="auto"/>
              <w:jc w:val="center"/>
              <w:textAlignment w:val="center"/>
              <w:rPr>
                <w:rFonts w:cs="宋体"/>
                <w:sz w:val="21"/>
                <w:szCs w:val="21"/>
              </w:rPr>
            </w:pPr>
          </w:p>
        </w:tc>
        <w:tc>
          <w:tcPr>
            <w:tcW w:w="1145" w:type="dxa"/>
          </w:tcPr>
          <w:p w14:paraId="6EF2C60D">
            <w:pPr>
              <w:pStyle w:val="37"/>
              <w:spacing w:beforeAutospacing="0" w:after="0" w:afterAutospacing="0" w:line="360" w:lineRule="auto"/>
              <w:jc w:val="center"/>
              <w:textAlignment w:val="center"/>
              <w:rPr>
                <w:rFonts w:cs="宋体"/>
                <w:sz w:val="21"/>
                <w:szCs w:val="21"/>
              </w:rPr>
            </w:pPr>
          </w:p>
        </w:tc>
        <w:tc>
          <w:tcPr>
            <w:tcW w:w="851" w:type="dxa"/>
          </w:tcPr>
          <w:p w14:paraId="4A88BE10">
            <w:pPr>
              <w:pStyle w:val="37"/>
              <w:spacing w:beforeAutospacing="0" w:after="0" w:afterAutospacing="0" w:line="360" w:lineRule="auto"/>
              <w:jc w:val="center"/>
              <w:textAlignment w:val="center"/>
              <w:rPr>
                <w:rFonts w:cs="宋体"/>
                <w:sz w:val="21"/>
                <w:szCs w:val="21"/>
              </w:rPr>
            </w:pPr>
          </w:p>
        </w:tc>
        <w:tc>
          <w:tcPr>
            <w:tcW w:w="1214" w:type="dxa"/>
          </w:tcPr>
          <w:p w14:paraId="7D7DCA93">
            <w:pPr>
              <w:pStyle w:val="37"/>
              <w:spacing w:beforeAutospacing="0" w:after="0" w:afterAutospacing="0" w:line="360" w:lineRule="auto"/>
              <w:jc w:val="center"/>
              <w:textAlignment w:val="center"/>
              <w:rPr>
                <w:rFonts w:cs="宋体"/>
                <w:sz w:val="21"/>
                <w:szCs w:val="21"/>
              </w:rPr>
            </w:pPr>
          </w:p>
        </w:tc>
        <w:tc>
          <w:tcPr>
            <w:tcW w:w="817" w:type="dxa"/>
          </w:tcPr>
          <w:p w14:paraId="230F26CF">
            <w:pPr>
              <w:pStyle w:val="37"/>
              <w:spacing w:beforeAutospacing="0" w:after="0" w:afterAutospacing="0" w:line="360" w:lineRule="auto"/>
              <w:jc w:val="center"/>
              <w:textAlignment w:val="center"/>
              <w:rPr>
                <w:rFonts w:cs="宋体"/>
                <w:sz w:val="21"/>
                <w:szCs w:val="21"/>
              </w:rPr>
            </w:pPr>
          </w:p>
        </w:tc>
      </w:tr>
      <w:tr w14:paraId="65F1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tcPr>
          <w:p w14:paraId="5115A2F8">
            <w:pPr>
              <w:pStyle w:val="37"/>
              <w:spacing w:beforeAutospacing="0" w:after="0" w:afterAutospacing="0" w:line="360" w:lineRule="auto"/>
              <w:jc w:val="center"/>
              <w:textAlignment w:val="center"/>
              <w:rPr>
                <w:rFonts w:cs="宋体"/>
                <w:sz w:val="21"/>
                <w:szCs w:val="21"/>
              </w:rPr>
            </w:pPr>
          </w:p>
        </w:tc>
        <w:tc>
          <w:tcPr>
            <w:tcW w:w="2531" w:type="dxa"/>
          </w:tcPr>
          <w:p w14:paraId="4390211C">
            <w:pPr>
              <w:pStyle w:val="37"/>
              <w:spacing w:beforeAutospacing="0" w:after="0" w:afterAutospacing="0" w:line="360" w:lineRule="auto"/>
              <w:jc w:val="center"/>
              <w:textAlignment w:val="center"/>
              <w:rPr>
                <w:rFonts w:cs="宋体"/>
                <w:sz w:val="21"/>
                <w:szCs w:val="21"/>
              </w:rPr>
            </w:pPr>
          </w:p>
        </w:tc>
        <w:tc>
          <w:tcPr>
            <w:tcW w:w="1279" w:type="dxa"/>
          </w:tcPr>
          <w:p w14:paraId="4964C85A">
            <w:pPr>
              <w:pStyle w:val="37"/>
              <w:spacing w:beforeAutospacing="0" w:after="0" w:afterAutospacing="0" w:line="360" w:lineRule="auto"/>
              <w:jc w:val="center"/>
              <w:textAlignment w:val="center"/>
              <w:rPr>
                <w:rFonts w:cs="宋体"/>
                <w:sz w:val="21"/>
                <w:szCs w:val="21"/>
              </w:rPr>
            </w:pPr>
          </w:p>
        </w:tc>
        <w:tc>
          <w:tcPr>
            <w:tcW w:w="1145" w:type="dxa"/>
          </w:tcPr>
          <w:p w14:paraId="18E33A86">
            <w:pPr>
              <w:pStyle w:val="37"/>
              <w:spacing w:beforeAutospacing="0" w:after="0" w:afterAutospacing="0" w:line="360" w:lineRule="auto"/>
              <w:jc w:val="center"/>
              <w:textAlignment w:val="center"/>
              <w:rPr>
                <w:rFonts w:cs="宋体"/>
                <w:sz w:val="21"/>
                <w:szCs w:val="21"/>
              </w:rPr>
            </w:pPr>
          </w:p>
        </w:tc>
        <w:tc>
          <w:tcPr>
            <w:tcW w:w="851" w:type="dxa"/>
          </w:tcPr>
          <w:p w14:paraId="632A85FD">
            <w:pPr>
              <w:pStyle w:val="37"/>
              <w:spacing w:beforeAutospacing="0" w:after="0" w:afterAutospacing="0" w:line="360" w:lineRule="auto"/>
              <w:jc w:val="center"/>
              <w:textAlignment w:val="center"/>
              <w:rPr>
                <w:rFonts w:cs="宋体"/>
                <w:sz w:val="21"/>
                <w:szCs w:val="21"/>
              </w:rPr>
            </w:pPr>
          </w:p>
        </w:tc>
        <w:tc>
          <w:tcPr>
            <w:tcW w:w="1214" w:type="dxa"/>
          </w:tcPr>
          <w:p w14:paraId="0C4191B3">
            <w:pPr>
              <w:pStyle w:val="37"/>
              <w:spacing w:beforeAutospacing="0" w:after="0" w:afterAutospacing="0" w:line="360" w:lineRule="auto"/>
              <w:jc w:val="center"/>
              <w:textAlignment w:val="center"/>
              <w:rPr>
                <w:rFonts w:cs="宋体"/>
                <w:sz w:val="21"/>
                <w:szCs w:val="21"/>
              </w:rPr>
            </w:pPr>
          </w:p>
        </w:tc>
        <w:tc>
          <w:tcPr>
            <w:tcW w:w="817" w:type="dxa"/>
          </w:tcPr>
          <w:p w14:paraId="6B88ED56">
            <w:pPr>
              <w:pStyle w:val="37"/>
              <w:spacing w:beforeAutospacing="0" w:after="0" w:afterAutospacing="0" w:line="360" w:lineRule="auto"/>
              <w:jc w:val="center"/>
              <w:textAlignment w:val="center"/>
              <w:rPr>
                <w:rFonts w:cs="宋体"/>
                <w:sz w:val="21"/>
                <w:szCs w:val="21"/>
              </w:rPr>
            </w:pPr>
          </w:p>
        </w:tc>
      </w:tr>
    </w:tbl>
    <w:p w14:paraId="082C83C4">
      <w:pPr>
        <w:spacing w:line="360" w:lineRule="auto"/>
        <w:rPr>
          <w:rFonts w:ascii="宋体" w:hAnsi="宋体" w:cs="宋体"/>
          <w:szCs w:val="21"/>
        </w:rPr>
      </w:pPr>
      <w:r>
        <w:rPr>
          <w:rFonts w:hint="eastAsia" w:ascii="宋体" w:hAnsi="宋体" w:cs="宋体"/>
          <w:szCs w:val="21"/>
        </w:rPr>
        <w:t>注：</w:t>
      </w:r>
    </w:p>
    <w:p w14:paraId="66E9381A">
      <w:pPr>
        <w:spacing w:line="360" w:lineRule="auto"/>
        <w:rPr>
          <w:rFonts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投标文件中须提供《投标人以往类似项目履约情况表》及相对应的证明材料（扫描件加盖投标人电子公章），证明材料为中标（成交）通知书或合同（合同首页、标的及金额所在页及合同签字盖章页）或委托方出具的盖章证明。无证明材料或未按要求提供证明材料或证明材料无法体现具体内容的，本项评审不得分。</w:t>
      </w:r>
    </w:p>
    <w:p w14:paraId="137E0F04">
      <w:pPr>
        <w:spacing w:line="360" w:lineRule="auto"/>
        <w:rPr>
          <w:rFonts w:ascii="宋体" w:hAnsi="宋体" w:cs="宋体"/>
          <w:bCs/>
          <w:szCs w:val="21"/>
        </w:rPr>
      </w:pPr>
      <w:r>
        <w:rPr>
          <w:rFonts w:hint="eastAsia" w:ascii="宋体" w:hAnsi="宋体" w:cs="宋体"/>
          <w:bCs/>
          <w:szCs w:val="21"/>
        </w:rPr>
        <w:t>2.投标人可根据实际情况拓展本表。</w:t>
      </w:r>
    </w:p>
    <w:p w14:paraId="347B1DDB">
      <w:pPr>
        <w:spacing w:line="360" w:lineRule="auto"/>
        <w:rPr>
          <w:rFonts w:ascii="宋体" w:hAnsi="宋体" w:cs="宋体"/>
          <w:bCs/>
          <w:szCs w:val="21"/>
        </w:rPr>
      </w:pPr>
    </w:p>
    <w:p w14:paraId="529A743A">
      <w:pPr>
        <w:spacing w:line="360" w:lineRule="auto"/>
        <w:rPr>
          <w:rFonts w:ascii="宋体" w:hAnsi="宋体" w:cs="宋体"/>
          <w:bCs/>
          <w:szCs w:val="21"/>
        </w:rPr>
      </w:pPr>
    </w:p>
    <w:p w14:paraId="47038062">
      <w:pPr>
        <w:spacing w:line="360" w:lineRule="auto"/>
        <w:rPr>
          <w:rFonts w:ascii="宋体" w:hAnsi="宋体" w:cs="宋体"/>
          <w:bCs/>
          <w:szCs w:val="21"/>
        </w:rPr>
      </w:pPr>
    </w:p>
    <w:bookmarkEnd w:id="428"/>
    <w:bookmarkEnd w:id="429"/>
    <w:bookmarkEnd w:id="430"/>
    <w:bookmarkEnd w:id="431"/>
    <w:p w14:paraId="4266D46A">
      <w:pPr>
        <w:spacing w:line="360" w:lineRule="auto"/>
        <w:ind w:firstLine="3" w:firstLineChars="1"/>
        <w:rPr>
          <w:rFonts w:hint="default" w:ascii="宋体" w:hAnsi="宋体" w:eastAsia="宋体" w:cs="宋体"/>
          <w:b/>
          <w:sz w:val="28"/>
          <w:szCs w:val="28"/>
          <w:lang w:val="en-US" w:eastAsia="zh-CN"/>
        </w:rPr>
      </w:pPr>
      <w:r>
        <w:rPr>
          <w:rFonts w:hint="eastAsia" w:ascii="宋体" w:hAnsi="宋体" w:cs="宋体"/>
          <w:b/>
          <w:sz w:val="28"/>
          <w:szCs w:val="28"/>
        </w:rPr>
        <w:br w:type="page"/>
      </w:r>
      <w:r>
        <w:rPr>
          <w:rFonts w:hint="eastAsia" w:ascii="宋体" w:hAnsi="宋体" w:cs="宋体"/>
          <w:b/>
          <w:sz w:val="28"/>
          <w:szCs w:val="28"/>
        </w:rPr>
        <w:t>格式</w:t>
      </w:r>
      <w:r>
        <w:rPr>
          <w:rFonts w:hint="eastAsia" w:ascii="宋体" w:hAnsi="宋体" w:cs="宋体"/>
          <w:b/>
          <w:sz w:val="28"/>
          <w:szCs w:val="28"/>
          <w:lang w:val="en-US" w:eastAsia="zh-CN"/>
        </w:rPr>
        <w:t>19</w:t>
      </w:r>
    </w:p>
    <w:p w14:paraId="0CFED8E4">
      <w:pPr>
        <w:pStyle w:val="21"/>
        <w:spacing w:line="360" w:lineRule="auto"/>
        <w:jc w:val="left"/>
        <w:rPr>
          <w:rFonts w:hAnsi="宋体" w:cs="宋体"/>
          <w:b/>
          <w:szCs w:val="21"/>
        </w:rPr>
      </w:pPr>
      <w:bookmarkStart w:id="432" w:name="_Toc38338329"/>
      <w:bookmarkStart w:id="433" w:name="_Toc23471"/>
      <w:bookmarkStart w:id="434" w:name="_Toc18732"/>
      <w:bookmarkStart w:id="435" w:name="_Toc37716409"/>
      <w:bookmarkStart w:id="436" w:name="_Toc20284"/>
    </w:p>
    <w:bookmarkEnd w:id="432"/>
    <w:bookmarkEnd w:id="433"/>
    <w:bookmarkEnd w:id="434"/>
    <w:bookmarkEnd w:id="435"/>
    <w:bookmarkEnd w:id="436"/>
    <w:p w14:paraId="2D062402">
      <w:pPr>
        <w:keepNext/>
        <w:keepLines/>
        <w:spacing w:before="120" w:after="120" w:line="360" w:lineRule="auto"/>
        <w:ind w:left="425"/>
        <w:jc w:val="center"/>
        <w:outlineLvl w:val="1"/>
        <w:rPr>
          <w:rFonts w:ascii="宋体" w:hAnsi="宋体" w:cs="宋体"/>
          <w:b/>
          <w:sz w:val="32"/>
          <w:szCs w:val="32"/>
        </w:rPr>
      </w:pPr>
      <w:r>
        <w:rPr>
          <w:rFonts w:hint="eastAsia" w:ascii="宋体" w:hAnsi="宋体" w:cs="宋体"/>
          <w:b/>
          <w:sz w:val="32"/>
          <w:szCs w:val="32"/>
        </w:rPr>
        <w:t>法定代表人（负责人）身份证明书</w:t>
      </w:r>
    </w:p>
    <w:p w14:paraId="381E87AE">
      <w:pPr>
        <w:spacing w:line="360" w:lineRule="auto"/>
        <w:jc w:val="center"/>
        <w:rPr>
          <w:rFonts w:ascii="宋体" w:hAnsi="宋体" w:cs="宋体"/>
          <w:bCs/>
          <w:sz w:val="30"/>
          <w:szCs w:val="30"/>
        </w:rPr>
      </w:pPr>
    </w:p>
    <w:p w14:paraId="2C5DE9D8">
      <w:pPr>
        <w:spacing w:line="360" w:lineRule="auto"/>
        <w:rPr>
          <w:rFonts w:ascii="宋体" w:hAnsi="宋体" w:cs="宋体"/>
          <w:bCs/>
          <w:szCs w:val="21"/>
        </w:rPr>
      </w:pPr>
      <w:r>
        <w:rPr>
          <w:rFonts w:hint="eastAsia" w:ascii="宋体" w:hAnsi="宋体" w:cs="宋体"/>
          <w:bCs/>
          <w:szCs w:val="21"/>
        </w:rPr>
        <w:t>投标人名称：</w:t>
      </w:r>
      <w:r>
        <w:rPr>
          <w:rFonts w:hint="eastAsia" w:ascii="宋体" w:hAnsi="宋体" w:cs="宋体"/>
          <w:bCs/>
          <w:szCs w:val="21"/>
          <w:u w:val="single"/>
        </w:rPr>
        <w:t xml:space="preserve">                        。</w:t>
      </w:r>
    </w:p>
    <w:p w14:paraId="5683C7AE">
      <w:pPr>
        <w:spacing w:line="360" w:lineRule="auto"/>
        <w:rPr>
          <w:rFonts w:ascii="宋体" w:hAnsi="宋体" w:cs="宋体"/>
          <w:bCs/>
          <w:szCs w:val="21"/>
        </w:rPr>
      </w:pPr>
      <w:r>
        <w:rPr>
          <w:rFonts w:hint="eastAsia" w:ascii="宋体" w:hAnsi="宋体" w:cs="宋体"/>
          <w:bCs/>
          <w:szCs w:val="21"/>
        </w:rPr>
        <w:t>单位性质：</w:t>
      </w:r>
      <w:r>
        <w:rPr>
          <w:rFonts w:hint="eastAsia" w:ascii="宋体" w:hAnsi="宋体" w:cs="宋体"/>
          <w:bCs/>
          <w:szCs w:val="21"/>
          <w:u w:val="single"/>
        </w:rPr>
        <w:t xml:space="preserve">                          。</w:t>
      </w:r>
    </w:p>
    <w:p w14:paraId="4ACE0E29">
      <w:pPr>
        <w:spacing w:line="360" w:lineRule="auto"/>
        <w:rPr>
          <w:rFonts w:ascii="宋体" w:hAnsi="宋体" w:cs="宋体"/>
          <w:bCs/>
          <w:szCs w:val="21"/>
        </w:rPr>
      </w:pPr>
      <w:r>
        <w:rPr>
          <w:rFonts w:hint="eastAsia" w:ascii="宋体" w:hAnsi="宋体" w:cs="宋体"/>
          <w:bCs/>
          <w:szCs w:val="21"/>
        </w:rPr>
        <w:t>成立时间：</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14:paraId="1A4489DC">
      <w:pPr>
        <w:spacing w:line="360" w:lineRule="auto"/>
        <w:rPr>
          <w:rFonts w:ascii="宋体" w:hAnsi="宋体" w:cs="宋体"/>
          <w:bCs/>
          <w:szCs w:val="21"/>
        </w:rPr>
      </w:pPr>
      <w:r>
        <w:rPr>
          <w:rFonts w:hint="eastAsia" w:ascii="宋体" w:hAnsi="宋体" w:cs="宋体"/>
          <w:bCs/>
          <w:szCs w:val="21"/>
        </w:rPr>
        <w:t>经营期限：</w:t>
      </w:r>
      <w:r>
        <w:rPr>
          <w:rFonts w:hint="eastAsia" w:ascii="宋体" w:hAnsi="宋体" w:cs="宋体"/>
          <w:bCs/>
          <w:szCs w:val="21"/>
          <w:u w:val="single"/>
        </w:rPr>
        <w:t xml:space="preserve">                          </w:t>
      </w:r>
    </w:p>
    <w:p w14:paraId="48787027">
      <w:pPr>
        <w:spacing w:line="360" w:lineRule="auto"/>
        <w:rPr>
          <w:rFonts w:ascii="宋体" w:hAnsi="宋体" w:cs="宋体"/>
          <w:bCs/>
          <w:szCs w:val="21"/>
        </w:rPr>
      </w:pPr>
      <w:r>
        <w:rPr>
          <w:rFonts w:hint="eastAsia" w:ascii="宋体" w:hAnsi="宋体" w:cs="宋体"/>
          <w:bCs/>
          <w:szCs w:val="21"/>
        </w:rPr>
        <w:t>姓名：</w:t>
      </w:r>
      <w:r>
        <w:rPr>
          <w:rFonts w:hint="eastAsia" w:ascii="宋体" w:hAnsi="宋体" w:cs="宋体"/>
          <w:bCs/>
          <w:szCs w:val="21"/>
          <w:u w:val="single"/>
        </w:rPr>
        <w:t xml:space="preserve">            </w:t>
      </w:r>
      <w:r>
        <w:rPr>
          <w:rFonts w:hint="eastAsia" w:ascii="宋体" w:hAnsi="宋体" w:cs="宋体"/>
          <w:bCs/>
          <w:szCs w:val="21"/>
        </w:rPr>
        <w:t>性别：</w:t>
      </w:r>
      <w:r>
        <w:rPr>
          <w:rFonts w:hint="eastAsia" w:ascii="宋体" w:hAnsi="宋体" w:cs="宋体"/>
          <w:bCs/>
          <w:szCs w:val="21"/>
          <w:u w:val="single"/>
        </w:rPr>
        <w:t xml:space="preserve">            </w:t>
      </w:r>
      <w:r>
        <w:rPr>
          <w:rFonts w:hint="eastAsia" w:ascii="宋体" w:hAnsi="宋体" w:cs="宋体"/>
          <w:bCs/>
          <w:szCs w:val="21"/>
        </w:rPr>
        <w:t>年龄：</w:t>
      </w:r>
      <w:r>
        <w:rPr>
          <w:rFonts w:hint="eastAsia" w:ascii="宋体" w:hAnsi="宋体" w:cs="宋体"/>
          <w:bCs/>
          <w:szCs w:val="21"/>
          <w:u w:val="single"/>
        </w:rPr>
        <w:t xml:space="preserve">            </w:t>
      </w:r>
      <w:r>
        <w:rPr>
          <w:rFonts w:hint="eastAsia" w:ascii="宋体" w:hAnsi="宋体" w:cs="宋体"/>
          <w:bCs/>
          <w:szCs w:val="21"/>
        </w:rPr>
        <w:t>职务：</w:t>
      </w:r>
      <w:r>
        <w:rPr>
          <w:rFonts w:hint="eastAsia" w:ascii="宋体" w:hAnsi="宋体" w:cs="宋体"/>
          <w:bCs/>
          <w:szCs w:val="21"/>
          <w:u w:val="single"/>
        </w:rPr>
        <w:t xml:space="preserve">            。</w:t>
      </w:r>
    </w:p>
    <w:p w14:paraId="3A3DF575">
      <w:pPr>
        <w:spacing w:line="360" w:lineRule="auto"/>
        <w:rPr>
          <w:rFonts w:ascii="宋体" w:hAnsi="宋体" w:cs="宋体"/>
          <w:bCs/>
          <w:szCs w:val="21"/>
        </w:rPr>
      </w:pPr>
      <w:r>
        <w:rPr>
          <w:rFonts w:hint="eastAsia" w:ascii="宋体" w:hAnsi="宋体" w:cs="宋体"/>
          <w:bCs/>
          <w:szCs w:val="21"/>
        </w:rPr>
        <w:t>系</w:t>
      </w:r>
      <w:r>
        <w:rPr>
          <w:rFonts w:hint="eastAsia" w:ascii="宋体" w:hAnsi="宋体" w:cs="宋体"/>
          <w:bCs/>
          <w:szCs w:val="21"/>
          <w:u w:val="single"/>
        </w:rPr>
        <w:t xml:space="preserve">                        </w:t>
      </w:r>
      <w:r>
        <w:rPr>
          <w:rFonts w:hint="eastAsia" w:ascii="宋体" w:hAnsi="宋体" w:cs="宋体"/>
          <w:bCs/>
          <w:szCs w:val="21"/>
        </w:rPr>
        <w:t>（投标人名称）的法定代表人（负责人）。</w:t>
      </w:r>
    </w:p>
    <w:p w14:paraId="155870D2">
      <w:pPr>
        <w:spacing w:line="360" w:lineRule="auto"/>
        <w:rPr>
          <w:rFonts w:ascii="宋体" w:hAnsi="宋体" w:cs="宋体"/>
          <w:bCs/>
          <w:szCs w:val="21"/>
        </w:rPr>
      </w:pPr>
    </w:p>
    <w:p w14:paraId="3DFB9A2C">
      <w:pPr>
        <w:spacing w:line="360" w:lineRule="auto"/>
        <w:ind w:firstLine="420" w:firstLineChars="200"/>
        <w:rPr>
          <w:rFonts w:ascii="宋体" w:hAnsi="宋体" w:cs="宋体"/>
          <w:bCs/>
          <w:szCs w:val="21"/>
        </w:rPr>
      </w:pPr>
    </w:p>
    <w:p w14:paraId="1523EB6E">
      <w:pPr>
        <w:spacing w:line="360" w:lineRule="auto"/>
        <w:ind w:firstLine="420" w:firstLineChars="200"/>
        <w:rPr>
          <w:rFonts w:ascii="宋体" w:hAnsi="宋体" w:cs="宋体"/>
          <w:bCs/>
          <w:szCs w:val="21"/>
        </w:rPr>
      </w:pPr>
      <w:r>
        <w:rPr>
          <w:rFonts w:hint="eastAsia" w:ascii="宋体" w:hAnsi="宋体" w:cs="宋体"/>
          <w:bCs/>
          <w:szCs w:val="21"/>
        </w:rPr>
        <w:t>特此证明。</w:t>
      </w:r>
    </w:p>
    <w:p w14:paraId="7ED9B938">
      <w:pPr>
        <w:spacing w:line="360" w:lineRule="auto"/>
        <w:rPr>
          <w:rFonts w:ascii="宋体" w:hAnsi="宋体" w:cs="宋体"/>
          <w:bCs/>
          <w:szCs w:val="21"/>
        </w:rPr>
      </w:pPr>
    </w:p>
    <w:p w14:paraId="3FC2BC26">
      <w:pPr>
        <w:spacing w:line="360" w:lineRule="auto"/>
        <w:rPr>
          <w:rFonts w:ascii="宋体" w:hAnsi="宋体" w:cs="宋体"/>
          <w:bCs/>
          <w:szCs w:val="21"/>
        </w:rPr>
      </w:pPr>
    </w:p>
    <w:p w14:paraId="79D2DF8F">
      <w:pPr>
        <w:spacing w:line="360" w:lineRule="auto"/>
        <w:rPr>
          <w:rFonts w:ascii="宋体" w:hAnsi="宋体" w:cs="宋体"/>
          <w:bCs/>
          <w:szCs w:val="21"/>
        </w:rPr>
      </w:pPr>
    </w:p>
    <w:p w14:paraId="5B27A631">
      <w:pPr>
        <w:spacing w:line="360" w:lineRule="auto"/>
        <w:rPr>
          <w:rFonts w:ascii="宋体" w:hAnsi="宋体" w:cs="宋体"/>
          <w:szCs w:val="21"/>
        </w:rPr>
      </w:pPr>
    </w:p>
    <w:p w14:paraId="772C90B0">
      <w:pPr>
        <w:spacing w:line="360" w:lineRule="auto"/>
        <w:ind w:left="5397" w:leftChars="2570"/>
        <w:rPr>
          <w:rFonts w:ascii="宋体" w:hAnsi="宋体" w:cs="宋体"/>
          <w:szCs w:val="21"/>
        </w:rPr>
      </w:pPr>
      <w:r>
        <w:rPr>
          <w:rFonts w:hint="eastAsia" w:ascii="宋体" w:hAnsi="宋体" w:cs="宋体"/>
          <w:szCs w:val="21"/>
        </w:rPr>
        <w:t>投标人（加盖投标人电子公章）：</w:t>
      </w:r>
    </w:p>
    <w:p w14:paraId="21C8FF37">
      <w:pPr>
        <w:spacing w:line="360" w:lineRule="auto"/>
        <w:ind w:left="5397" w:leftChars="2570"/>
        <w:rPr>
          <w:rFonts w:ascii="宋体" w:hAnsi="宋体" w:cs="宋体"/>
          <w:szCs w:val="21"/>
        </w:rPr>
      </w:pPr>
    </w:p>
    <w:p w14:paraId="5D8CFBD7">
      <w:pPr>
        <w:spacing w:line="360" w:lineRule="auto"/>
        <w:ind w:left="5397" w:leftChars="2570"/>
        <w:rPr>
          <w:rFonts w:ascii="宋体" w:hAnsi="宋体" w:cs="宋体"/>
          <w:szCs w:val="21"/>
        </w:rPr>
      </w:pPr>
      <w:r>
        <w:rPr>
          <w:rFonts w:hint="eastAsia" w:ascii="宋体" w:hAnsi="宋体" w:cs="宋体"/>
          <w:szCs w:val="21"/>
        </w:rPr>
        <w:t>日期：</w:t>
      </w:r>
    </w:p>
    <w:p w14:paraId="569EEF1C">
      <w:pPr>
        <w:pStyle w:val="21"/>
        <w:spacing w:line="360" w:lineRule="auto"/>
        <w:ind w:firstLine="420"/>
        <w:rPr>
          <w:rFonts w:hAnsi="宋体" w:cs="宋体"/>
          <w:bCs/>
          <w:szCs w:val="21"/>
        </w:rPr>
      </w:pPr>
      <w:r>
        <w:rPr>
          <w:rFonts w:hint="eastAsia" w:hAnsi="宋体" w:cs="宋体"/>
          <w:bCs/>
          <w:szCs w:val="21"/>
        </w:rPr>
        <w:t>注：附法定代表人（负责人）居民身份证扫描件。</w:t>
      </w:r>
    </w:p>
    <w:p w14:paraId="17577671">
      <w:pPr>
        <w:spacing w:line="360" w:lineRule="auto"/>
        <w:rPr>
          <w:rFonts w:ascii="宋体" w:hAnsi="宋体" w:cs="宋体"/>
          <w:szCs w:val="21"/>
        </w:rPr>
      </w:pPr>
    </w:p>
    <w:p w14:paraId="70C460C4">
      <w:pPr>
        <w:spacing w:line="360" w:lineRule="auto"/>
        <w:rPr>
          <w:rFonts w:ascii="宋体" w:hAnsi="宋体" w:cs="宋体"/>
          <w:szCs w:val="21"/>
        </w:rPr>
      </w:pPr>
    </w:p>
    <w:p w14:paraId="2D318D9A">
      <w:pPr>
        <w:spacing w:line="360" w:lineRule="auto"/>
        <w:rPr>
          <w:rFonts w:ascii="宋体" w:hAnsi="宋体" w:cs="宋体"/>
          <w:szCs w:val="21"/>
        </w:rPr>
      </w:pPr>
    </w:p>
    <w:p w14:paraId="0CD02143">
      <w:pPr>
        <w:widowControl/>
        <w:spacing w:line="360" w:lineRule="auto"/>
        <w:jc w:val="left"/>
        <w:rPr>
          <w:rFonts w:hint="eastAsia" w:ascii="宋体" w:hAnsi="宋体" w:eastAsia="宋体" w:cs="宋体"/>
          <w:b/>
          <w:sz w:val="28"/>
          <w:szCs w:val="28"/>
          <w:lang w:val="en-US" w:eastAsia="zh-CN"/>
        </w:rPr>
      </w:pPr>
      <w:r>
        <w:rPr>
          <w:rFonts w:hint="eastAsia" w:ascii="宋体" w:hAnsi="宋体" w:cs="宋体"/>
          <w:b/>
          <w:sz w:val="28"/>
          <w:szCs w:val="28"/>
        </w:rPr>
        <w:br w:type="page"/>
      </w:r>
      <w:r>
        <w:rPr>
          <w:rFonts w:hint="eastAsia" w:ascii="宋体" w:hAnsi="宋体" w:cs="宋体"/>
          <w:b/>
          <w:sz w:val="28"/>
          <w:szCs w:val="28"/>
        </w:rPr>
        <w:t>格式2</w:t>
      </w:r>
      <w:r>
        <w:rPr>
          <w:rFonts w:hint="eastAsia" w:ascii="宋体" w:hAnsi="宋体" w:cs="宋体"/>
          <w:b/>
          <w:sz w:val="28"/>
          <w:szCs w:val="28"/>
          <w:lang w:val="en-US" w:eastAsia="zh-CN"/>
        </w:rPr>
        <w:t>0</w:t>
      </w:r>
    </w:p>
    <w:p w14:paraId="3298445E">
      <w:pPr>
        <w:keepNext/>
        <w:keepLines/>
        <w:spacing w:before="120" w:after="120" w:line="360" w:lineRule="auto"/>
        <w:ind w:left="425"/>
        <w:jc w:val="center"/>
        <w:outlineLvl w:val="1"/>
        <w:rPr>
          <w:rFonts w:ascii="宋体" w:hAnsi="宋体" w:cs="宋体"/>
          <w:b/>
          <w:sz w:val="32"/>
          <w:szCs w:val="32"/>
        </w:rPr>
      </w:pPr>
      <w:bookmarkStart w:id="437" w:name="_Toc14603921"/>
      <w:bookmarkStart w:id="438" w:name="_Toc18287444"/>
      <w:bookmarkStart w:id="439" w:name="_Toc4001"/>
      <w:bookmarkStart w:id="440" w:name="_Toc1109"/>
      <w:bookmarkStart w:id="441" w:name="_Toc213141107"/>
      <w:bookmarkStart w:id="442" w:name="_Toc489197869"/>
      <w:bookmarkStart w:id="443" w:name="_Toc488633630"/>
      <w:bookmarkStart w:id="444" w:name="_Toc20663"/>
      <w:bookmarkStart w:id="445" w:name="_Toc481694858"/>
      <w:bookmarkStart w:id="446" w:name="_Toc489145765"/>
      <w:r>
        <w:rPr>
          <w:rFonts w:hint="eastAsia" w:ascii="宋体" w:hAnsi="宋体" w:cs="宋体"/>
          <w:b/>
          <w:sz w:val="32"/>
          <w:szCs w:val="32"/>
        </w:rPr>
        <w:t>法定代表人（负责人）授权委托书</w:t>
      </w:r>
      <w:bookmarkEnd w:id="437"/>
      <w:bookmarkEnd w:id="438"/>
      <w:bookmarkEnd w:id="439"/>
      <w:bookmarkEnd w:id="440"/>
      <w:bookmarkEnd w:id="441"/>
      <w:bookmarkEnd w:id="442"/>
      <w:bookmarkEnd w:id="443"/>
      <w:bookmarkEnd w:id="444"/>
      <w:bookmarkEnd w:id="445"/>
      <w:bookmarkEnd w:id="446"/>
    </w:p>
    <w:p w14:paraId="19D40878">
      <w:pPr>
        <w:spacing w:line="360" w:lineRule="auto"/>
        <w:ind w:firstLine="420" w:firstLineChars="200"/>
        <w:rPr>
          <w:rFonts w:ascii="宋体" w:hAnsi="宋体" w:cs="宋体"/>
          <w:bCs/>
          <w:szCs w:val="21"/>
        </w:rPr>
      </w:pPr>
      <w:r>
        <w:rPr>
          <w:rFonts w:hint="eastAsia" w:ascii="宋体" w:hAnsi="宋体" w:cs="宋体"/>
          <w:bCs/>
          <w:szCs w:val="21"/>
        </w:rPr>
        <w:t>本授权书声明：</w:t>
      </w:r>
      <w:r>
        <w:rPr>
          <w:rFonts w:hint="eastAsia" w:ascii="宋体" w:hAnsi="宋体" w:cs="宋体"/>
          <w:bCs/>
          <w:szCs w:val="21"/>
          <w:u w:val="single"/>
        </w:rPr>
        <w:t xml:space="preserve">（投标人全称） </w:t>
      </w:r>
      <w:r>
        <w:rPr>
          <w:rFonts w:hint="eastAsia" w:ascii="宋体" w:hAnsi="宋体" w:cs="宋体"/>
          <w:bCs/>
          <w:szCs w:val="21"/>
        </w:rPr>
        <w:t>的法定代表人（负责人）代表本公司授权</w:t>
      </w:r>
      <w:r>
        <w:rPr>
          <w:rFonts w:hint="eastAsia" w:ascii="宋体" w:hAnsi="宋体" w:cs="宋体"/>
          <w:bCs/>
          <w:szCs w:val="21"/>
          <w:u w:val="single"/>
        </w:rPr>
        <w:t>（委托代理人姓名）</w:t>
      </w:r>
      <w:r>
        <w:rPr>
          <w:rFonts w:hint="eastAsia" w:ascii="宋体" w:hAnsi="宋体" w:cs="宋体"/>
          <w:bCs/>
          <w:szCs w:val="21"/>
        </w:rPr>
        <w:t>为本单位合法代理人，就贵方组织的有关</w:t>
      </w:r>
      <w:r>
        <w:rPr>
          <w:rFonts w:hint="eastAsia" w:ascii="宋体" w:hAnsi="宋体" w:cs="宋体"/>
          <w:bCs/>
          <w:szCs w:val="21"/>
          <w:u w:val="single"/>
        </w:rPr>
        <w:t>（项目名称）</w:t>
      </w:r>
      <w:r>
        <w:rPr>
          <w:rFonts w:hint="eastAsia" w:ascii="宋体" w:hAnsi="宋体" w:cs="宋体"/>
          <w:bCs/>
          <w:szCs w:val="21"/>
        </w:rPr>
        <w:t>项目（项目编号：</w:t>
      </w:r>
      <w:r>
        <w:rPr>
          <w:rFonts w:hint="eastAsia" w:ascii="宋体" w:hAnsi="宋体" w:cs="宋体"/>
          <w:bCs/>
          <w:szCs w:val="21"/>
          <w:u w:val="single"/>
        </w:rPr>
        <w:t xml:space="preserve">            </w:t>
      </w:r>
      <w:r>
        <w:rPr>
          <w:rFonts w:hint="eastAsia" w:ascii="宋体" w:hAnsi="宋体" w:cs="宋体"/>
          <w:bCs/>
          <w:szCs w:val="21"/>
        </w:rPr>
        <w:t>）的招标，以本单位名义投标。代理人在本项目投标过程中所签署的一切文件和处理与之有关的一切事务，我方均予承认。</w:t>
      </w:r>
    </w:p>
    <w:p w14:paraId="0D2860AF">
      <w:pPr>
        <w:pStyle w:val="21"/>
        <w:spacing w:line="360" w:lineRule="auto"/>
        <w:ind w:firstLine="420"/>
        <w:rPr>
          <w:rFonts w:hAnsi="宋体" w:cs="宋体"/>
          <w:bCs/>
          <w:szCs w:val="21"/>
        </w:rPr>
      </w:pPr>
      <w:r>
        <w:rPr>
          <w:rFonts w:hint="eastAsia" w:hAnsi="宋体" w:cs="宋体"/>
          <w:bCs/>
          <w:szCs w:val="21"/>
        </w:rPr>
        <w:t>代理人无转委托权。</w:t>
      </w:r>
    </w:p>
    <w:p w14:paraId="13D7A51E">
      <w:pPr>
        <w:pStyle w:val="21"/>
        <w:spacing w:line="360" w:lineRule="auto"/>
        <w:jc w:val="left"/>
        <w:rPr>
          <w:rFonts w:hAnsi="宋体" w:cs="宋体"/>
          <w:bCs/>
          <w:szCs w:val="21"/>
        </w:rPr>
      </w:pPr>
    </w:p>
    <w:p w14:paraId="0F241D63">
      <w:pPr>
        <w:pStyle w:val="21"/>
        <w:spacing w:line="360" w:lineRule="auto"/>
        <w:jc w:val="left"/>
        <w:rPr>
          <w:rFonts w:hAnsi="宋体" w:cs="宋体"/>
          <w:bCs/>
          <w:szCs w:val="21"/>
        </w:rPr>
      </w:pPr>
      <w:r>
        <w:rPr>
          <w:rFonts w:hint="eastAsia" w:hAnsi="宋体" w:cs="宋体"/>
          <w:bCs/>
          <w:szCs w:val="21"/>
        </w:rPr>
        <w:t>投标人（加盖投标人电子公章）：</w:t>
      </w:r>
    </w:p>
    <w:p w14:paraId="252428C9">
      <w:pPr>
        <w:pStyle w:val="21"/>
        <w:spacing w:line="360" w:lineRule="auto"/>
        <w:jc w:val="left"/>
        <w:rPr>
          <w:rFonts w:hAnsi="宋体" w:cs="宋体"/>
          <w:bCs/>
          <w:szCs w:val="21"/>
        </w:rPr>
      </w:pPr>
    </w:p>
    <w:p w14:paraId="57A51824">
      <w:pPr>
        <w:pStyle w:val="21"/>
        <w:spacing w:line="360" w:lineRule="auto"/>
        <w:jc w:val="left"/>
        <w:rPr>
          <w:rFonts w:hAnsi="宋体" w:cs="宋体"/>
          <w:szCs w:val="21"/>
          <w:u w:val="single"/>
        </w:rPr>
      </w:pPr>
      <w:r>
        <w:rPr>
          <w:rFonts w:hint="eastAsia" w:hAnsi="宋体" w:cs="宋体"/>
          <w:szCs w:val="21"/>
        </w:rPr>
        <w:t>法定代表人（负责人）（电子签名或电子签章）：</w:t>
      </w:r>
    </w:p>
    <w:p w14:paraId="6FDBFDE2">
      <w:pPr>
        <w:pStyle w:val="21"/>
        <w:spacing w:line="360" w:lineRule="auto"/>
        <w:jc w:val="left"/>
        <w:rPr>
          <w:rFonts w:hAnsi="宋体" w:cs="宋体"/>
          <w:szCs w:val="21"/>
        </w:rPr>
      </w:pPr>
    </w:p>
    <w:p w14:paraId="40216A2D">
      <w:pPr>
        <w:pStyle w:val="21"/>
        <w:spacing w:line="360" w:lineRule="auto"/>
        <w:rPr>
          <w:rFonts w:hAnsi="宋体" w:cs="宋体"/>
          <w:bCs/>
          <w:szCs w:val="21"/>
        </w:rPr>
      </w:pPr>
      <w:r>
        <w:rPr>
          <w:rFonts w:hint="eastAsia" w:hAnsi="宋体" w:cs="宋体"/>
          <w:bCs/>
          <w:szCs w:val="21"/>
        </w:rPr>
        <w:t>日期：</w:t>
      </w:r>
    </w:p>
    <w:p w14:paraId="09FFC51E">
      <w:pPr>
        <w:spacing w:line="360" w:lineRule="auto"/>
        <w:rPr>
          <w:rFonts w:ascii="宋体" w:hAnsi="宋体" w:cs="宋体"/>
        </w:rPr>
      </w:pPr>
    </w:p>
    <w:tbl>
      <w:tblPr>
        <w:tblStyle w:val="41"/>
        <w:tblW w:w="5868" w:type="dxa"/>
        <w:tblInd w:w="720" w:type="dxa"/>
        <w:tblLayout w:type="fixed"/>
        <w:tblCellMar>
          <w:top w:w="0" w:type="dxa"/>
          <w:left w:w="108" w:type="dxa"/>
          <w:bottom w:w="0" w:type="dxa"/>
          <w:right w:w="108" w:type="dxa"/>
        </w:tblCellMar>
      </w:tblPr>
      <w:tblGrid>
        <w:gridCol w:w="1908"/>
        <w:gridCol w:w="3960"/>
      </w:tblGrid>
      <w:tr w14:paraId="7F925923">
        <w:tblPrEx>
          <w:tblCellMar>
            <w:top w:w="0" w:type="dxa"/>
            <w:left w:w="108" w:type="dxa"/>
            <w:bottom w:w="0" w:type="dxa"/>
            <w:right w:w="108" w:type="dxa"/>
          </w:tblCellMar>
        </w:tblPrEx>
        <w:tc>
          <w:tcPr>
            <w:tcW w:w="1908" w:type="dxa"/>
            <w:tcBorders>
              <w:top w:val="nil"/>
              <w:left w:val="nil"/>
              <w:bottom w:val="nil"/>
              <w:right w:val="nil"/>
            </w:tcBorders>
          </w:tcPr>
          <w:p w14:paraId="40FE866D">
            <w:pPr>
              <w:pStyle w:val="21"/>
              <w:spacing w:line="360" w:lineRule="auto"/>
              <w:rPr>
                <w:rFonts w:hAnsi="宋体" w:cs="宋体"/>
                <w:bCs/>
                <w:szCs w:val="21"/>
              </w:rPr>
            </w:pPr>
            <w:r>
              <w:rPr>
                <w:rFonts w:hint="eastAsia" w:hAnsi="宋体" w:cs="宋体"/>
                <w:bCs/>
                <w:szCs w:val="21"/>
              </w:rPr>
              <w:t xml:space="preserve">附： </w:t>
            </w:r>
          </w:p>
        </w:tc>
        <w:tc>
          <w:tcPr>
            <w:tcW w:w="3960" w:type="dxa"/>
            <w:tcBorders>
              <w:top w:val="nil"/>
              <w:left w:val="nil"/>
              <w:bottom w:val="nil"/>
              <w:right w:val="nil"/>
            </w:tcBorders>
          </w:tcPr>
          <w:p w14:paraId="01FD2ED1">
            <w:pPr>
              <w:pStyle w:val="21"/>
              <w:spacing w:line="360" w:lineRule="auto"/>
              <w:rPr>
                <w:rFonts w:hAnsi="宋体" w:cs="宋体"/>
                <w:bCs/>
                <w:szCs w:val="21"/>
              </w:rPr>
            </w:pPr>
            <w:r>
              <w:rPr>
                <w:rFonts w:hint="eastAsia" w:hAnsi="宋体" w:cs="宋体"/>
                <w:bCs/>
                <w:szCs w:val="21"/>
              </w:rPr>
              <w:tab/>
            </w:r>
            <w:r>
              <w:rPr>
                <w:rFonts w:hint="eastAsia" w:hAnsi="宋体" w:cs="宋体"/>
                <w:bCs/>
                <w:szCs w:val="21"/>
              </w:rPr>
              <w:tab/>
            </w:r>
            <w:r>
              <w:rPr>
                <w:rFonts w:hint="eastAsia" w:hAnsi="宋体" w:cs="宋体"/>
                <w:bCs/>
                <w:szCs w:val="21"/>
              </w:rPr>
              <w:tab/>
            </w:r>
            <w:r>
              <w:rPr>
                <w:rFonts w:hint="eastAsia" w:hAnsi="宋体" w:cs="宋体"/>
                <w:bCs/>
                <w:szCs w:val="21"/>
              </w:rPr>
              <w:tab/>
            </w:r>
            <w:r>
              <w:rPr>
                <w:rFonts w:hint="eastAsia" w:hAnsi="宋体" w:cs="宋体"/>
                <w:bCs/>
                <w:szCs w:val="21"/>
              </w:rPr>
              <w:tab/>
            </w:r>
          </w:p>
        </w:tc>
      </w:tr>
      <w:tr w14:paraId="64132E2D">
        <w:tblPrEx>
          <w:tblCellMar>
            <w:top w:w="0" w:type="dxa"/>
            <w:left w:w="108" w:type="dxa"/>
            <w:bottom w:w="0" w:type="dxa"/>
            <w:right w:w="108" w:type="dxa"/>
          </w:tblCellMar>
        </w:tblPrEx>
        <w:tc>
          <w:tcPr>
            <w:tcW w:w="1908" w:type="dxa"/>
            <w:tcBorders>
              <w:top w:val="nil"/>
              <w:left w:val="nil"/>
              <w:bottom w:val="nil"/>
              <w:right w:val="nil"/>
            </w:tcBorders>
          </w:tcPr>
          <w:p w14:paraId="59A3B934">
            <w:pPr>
              <w:pStyle w:val="21"/>
              <w:spacing w:line="360" w:lineRule="auto"/>
              <w:jc w:val="distribute"/>
              <w:rPr>
                <w:rFonts w:hAnsi="宋体" w:cs="宋体"/>
                <w:bCs/>
                <w:szCs w:val="21"/>
              </w:rPr>
            </w:pPr>
            <w:r>
              <w:rPr>
                <w:rFonts w:hint="eastAsia" w:hAnsi="宋体" w:cs="宋体"/>
                <w:bCs/>
                <w:szCs w:val="21"/>
              </w:rPr>
              <w:t>委托代理人姓名：</w:t>
            </w:r>
          </w:p>
        </w:tc>
        <w:tc>
          <w:tcPr>
            <w:tcW w:w="3960" w:type="dxa"/>
            <w:tcBorders>
              <w:top w:val="nil"/>
              <w:left w:val="nil"/>
              <w:bottom w:val="nil"/>
              <w:right w:val="nil"/>
            </w:tcBorders>
          </w:tcPr>
          <w:p w14:paraId="5C198A21">
            <w:pPr>
              <w:pStyle w:val="21"/>
              <w:spacing w:line="360" w:lineRule="auto"/>
              <w:rPr>
                <w:rFonts w:hAnsi="宋体" w:cs="宋体"/>
                <w:bCs/>
                <w:szCs w:val="21"/>
              </w:rPr>
            </w:pPr>
          </w:p>
        </w:tc>
      </w:tr>
      <w:tr w14:paraId="35F6980D">
        <w:tblPrEx>
          <w:tblCellMar>
            <w:top w:w="0" w:type="dxa"/>
            <w:left w:w="108" w:type="dxa"/>
            <w:bottom w:w="0" w:type="dxa"/>
            <w:right w:w="108" w:type="dxa"/>
          </w:tblCellMar>
        </w:tblPrEx>
        <w:tc>
          <w:tcPr>
            <w:tcW w:w="1908" w:type="dxa"/>
            <w:tcBorders>
              <w:top w:val="nil"/>
              <w:left w:val="nil"/>
              <w:bottom w:val="nil"/>
              <w:right w:val="nil"/>
            </w:tcBorders>
          </w:tcPr>
          <w:p w14:paraId="5AF64F37">
            <w:pPr>
              <w:pStyle w:val="21"/>
              <w:spacing w:line="360" w:lineRule="auto"/>
              <w:jc w:val="distribute"/>
              <w:rPr>
                <w:rFonts w:hAnsi="宋体" w:cs="宋体"/>
                <w:bCs/>
                <w:szCs w:val="21"/>
              </w:rPr>
            </w:pPr>
            <w:r>
              <w:rPr>
                <w:rFonts w:hint="eastAsia" w:hAnsi="宋体" w:cs="宋体"/>
                <w:bCs/>
                <w:szCs w:val="21"/>
              </w:rPr>
              <w:t>职       务：</w:t>
            </w:r>
          </w:p>
        </w:tc>
        <w:tc>
          <w:tcPr>
            <w:tcW w:w="3960" w:type="dxa"/>
            <w:tcBorders>
              <w:top w:val="nil"/>
              <w:left w:val="nil"/>
              <w:bottom w:val="nil"/>
              <w:right w:val="nil"/>
            </w:tcBorders>
          </w:tcPr>
          <w:p w14:paraId="1B81EF05">
            <w:pPr>
              <w:pStyle w:val="21"/>
              <w:spacing w:line="360" w:lineRule="auto"/>
              <w:rPr>
                <w:rFonts w:hAnsi="宋体" w:cs="宋体"/>
                <w:bCs/>
                <w:szCs w:val="21"/>
              </w:rPr>
            </w:pPr>
          </w:p>
        </w:tc>
      </w:tr>
      <w:tr w14:paraId="044F50A9">
        <w:tblPrEx>
          <w:tblCellMar>
            <w:top w:w="0" w:type="dxa"/>
            <w:left w:w="108" w:type="dxa"/>
            <w:bottom w:w="0" w:type="dxa"/>
            <w:right w:w="108" w:type="dxa"/>
          </w:tblCellMar>
        </w:tblPrEx>
        <w:tc>
          <w:tcPr>
            <w:tcW w:w="1908" w:type="dxa"/>
            <w:tcBorders>
              <w:top w:val="nil"/>
              <w:left w:val="nil"/>
              <w:bottom w:val="nil"/>
              <w:right w:val="nil"/>
            </w:tcBorders>
          </w:tcPr>
          <w:p w14:paraId="6B68AD87">
            <w:pPr>
              <w:pStyle w:val="21"/>
              <w:spacing w:line="360" w:lineRule="auto"/>
              <w:jc w:val="distribute"/>
              <w:rPr>
                <w:rFonts w:hAnsi="宋体" w:cs="宋体"/>
                <w:bCs/>
                <w:szCs w:val="21"/>
              </w:rPr>
            </w:pPr>
            <w:r>
              <w:rPr>
                <w:rFonts w:hint="eastAsia" w:hAnsi="宋体" w:cs="宋体"/>
                <w:bCs/>
                <w:szCs w:val="21"/>
              </w:rPr>
              <w:t>居民身份证号码：</w:t>
            </w:r>
          </w:p>
        </w:tc>
        <w:tc>
          <w:tcPr>
            <w:tcW w:w="3960" w:type="dxa"/>
            <w:tcBorders>
              <w:top w:val="nil"/>
              <w:left w:val="nil"/>
              <w:bottom w:val="nil"/>
              <w:right w:val="nil"/>
            </w:tcBorders>
          </w:tcPr>
          <w:p w14:paraId="6ACF768E">
            <w:pPr>
              <w:pStyle w:val="21"/>
              <w:spacing w:line="360" w:lineRule="auto"/>
              <w:rPr>
                <w:rFonts w:hAnsi="宋体" w:cs="宋体"/>
                <w:bCs/>
                <w:szCs w:val="21"/>
              </w:rPr>
            </w:pPr>
          </w:p>
        </w:tc>
      </w:tr>
      <w:tr w14:paraId="2333F360">
        <w:tblPrEx>
          <w:tblCellMar>
            <w:top w:w="0" w:type="dxa"/>
            <w:left w:w="108" w:type="dxa"/>
            <w:bottom w:w="0" w:type="dxa"/>
            <w:right w:w="108" w:type="dxa"/>
          </w:tblCellMar>
        </w:tblPrEx>
        <w:tc>
          <w:tcPr>
            <w:tcW w:w="1908" w:type="dxa"/>
            <w:tcBorders>
              <w:top w:val="nil"/>
              <w:left w:val="nil"/>
              <w:bottom w:val="nil"/>
              <w:right w:val="nil"/>
            </w:tcBorders>
          </w:tcPr>
          <w:p w14:paraId="5C174471">
            <w:pPr>
              <w:pStyle w:val="21"/>
              <w:spacing w:line="360" w:lineRule="auto"/>
              <w:jc w:val="distribute"/>
              <w:rPr>
                <w:rFonts w:hAnsi="宋体" w:cs="宋体"/>
                <w:bCs/>
                <w:szCs w:val="21"/>
              </w:rPr>
            </w:pPr>
            <w:r>
              <w:rPr>
                <w:rFonts w:hint="eastAsia" w:hAnsi="宋体" w:cs="宋体"/>
                <w:bCs/>
                <w:szCs w:val="21"/>
              </w:rPr>
              <w:t>详 细  地 址：</w:t>
            </w:r>
          </w:p>
        </w:tc>
        <w:tc>
          <w:tcPr>
            <w:tcW w:w="3960" w:type="dxa"/>
            <w:tcBorders>
              <w:top w:val="nil"/>
              <w:left w:val="nil"/>
              <w:bottom w:val="nil"/>
              <w:right w:val="nil"/>
            </w:tcBorders>
          </w:tcPr>
          <w:p w14:paraId="75941F8B">
            <w:pPr>
              <w:pStyle w:val="21"/>
              <w:spacing w:line="360" w:lineRule="auto"/>
              <w:rPr>
                <w:rFonts w:hAnsi="宋体" w:cs="宋体"/>
                <w:bCs/>
                <w:szCs w:val="21"/>
              </w:rPr>
            </w:pPr>
          </w:p>
        </w:tc>
      </w:tr>
      <w:tr w14:paraId="4E0383C8">
        <w:tblPrEx>
          <w:tblCellMar>
            <w:top w:w="0" w:type="dxa"/>
            <w:left w:w="108" w:type="dxa"/>
            <w:bottom w:w="0" w:type="dxa"/>
            <w:right w:w="108" w:type="dxa"/>
          </w:tblCellMar>
        </w:tblPrEx>
        <w:tc>
          <w:tcPr>
            <w:tcW w:w="1908" w:type="dxa"/>
            <w:tcBorders>
              <w:top w:val="nil"/>
              <w:left w:val="nil"/>
              <w:bottom w:val="nil"/>
              <w:right w:val="nil"/>
            </w:tcBorders>
          </w:tcPr>
          <w:p w14:paraId="363ED903">
            <w:pPr>
              <w:pStyle w:val="21"/>
              <w:spacing w:line="360" w:lineRule="auto"/>
              <w:jc w:val="distribute"/>
              <w:rPr>
                <w:rFonts w:hAnsi="宋体" w:cs="宋体"/>
                <w:bCs/>
                <w:szCs w:val="21"/>
              </w:rPr>
            </w:pPr>
            <w:r>
              <w:rPr>
                <w:rFonts w:hint="eastAsia" w:hAnsi="宋体" w:cs="宋体"/>
                <w:bCs/>
                <w:szCs w:val="21"/>
              </w:rPr>
              <w:t>电       话：</w:t>
            </w:r>
          </w:p>
        </w:tc>
        <w:tc>
          <w:tcPr>
            <w:tcW w:w="3960" w:type="dxa"/>
            <w:tcBorders>
              <w:top w:val="nil"/>
              <w:left w:val="nil"/>
              <w:bottom w:val="nil"/>
              <w:right w:val="nil"/>
            </w:tcBorders>
          </w:tcPr>
          <w:p w14:paraId="760A5EAC">
            <w:pPr>
              <w:pStyle w:val="21"/>
              <w:spacing w:line="360" w:lineRule="auto"/>
              <w:rPr>
                <w:rFonts w:hAnsi="宋体" w:cs="宋体"/>
                <w:bCs/>
                <w:szCs w:val="21"/>
              </w:rPr>
            </w:pPr>
          </w:p>
        </w:tc>
      </w:tr>
      <w:tr w14:paraId="22E92721">
        <w:tblPrEx>
          <w:tblCellMar>
            <w:top w:w="0" w:type="dxa"/>
            <w:left w:w="108" w:type="dxa"/>
            <w:bottom w:w="0" w:type="dxa"/>
            <w:right w:w="108" w:type="dxa"/>
          </w:tblCellMar>
        </w:tblPrEx>
        <w:tc>
          <w:tcPr>
            <w:tcW w:w="1908" w:type="dxa"/>
            <w:tcBorders>
              <w:top w:val="nil"/>
              <w:left w:val="nil"/>
              <w:bottom w:val="nil"/>
              <w:right w:val="nil"/>
            </w:tcBorders>
          </w:tcPr>
          <w:p w14:paraId="248B6483">
            <w:pPr>
              <w:pStyle w:val="21"/>
              <w:spacing w:line="360" w:lineRule="auto"/>
              <w:jc w:val="distribute"/>
              <w:rPr>
                <w:rFonts w:hAnsi="宋体" w:cs="宋体"/>
                <w:bCs/>
                <w:szCs w:val="21"/>
              </w:rPr>
            </w:pPr>
            <w:r>
              <w:rPr>
                <w:rFonts w:hint="eastAsia" w:hAnsi="宋体" w:cs="宋体"/>
                <w:bCs/>
                <w:szCs w:val="21"/>
              </w:rPr>
              <w:t>电子邮箱：</w:t>
            </w:r>
          </w:p>
        </w:tc>
        <w:tc>
          <w:tcPr>
            <w:tcW w:w="3960" w:type="dxa"/>
            <w:tcBorders>
              <w:top w:val="nil"/>
              <w:left w:val="nil"/>
              <w:bottom w:val="nil"/>
              <w:right w:val="nil"/>
            </w:tcBorders>
          </w:tcPr>
          <w:p w14:paraId="481550C3">
            <w:pPr>
              <w:pStyle w:val="21"/>
              <w:spacing w:line="360" w:lineRule="auto"/>
              <w:rPr>
                <w:rFonts w:hAnsi="宋体" w:cs="宋体"/>
                <w:bCs/>
                <w:szCs w:val="21"/>
              </w:rPr>
            </w:pPr>
          </w:p>
        </w:tc>
      </w:tr>
    </w:tbl>
    <w:p w14:paraId="74609C2B">
      <w:pPr>
        <w:pStyle w:val="21"/>
        <w:spacing w:line="360" w:lineRule="auto"/>
        <w:ind w:firstLine="420"/>
        <w:rPr>
          <w:rFonts w:hAnsi="宋体" w:cs="宋体"/>
          <w:bCs/>
          <w:szCs w:val="21"/>
        </w:rPr>
      </w:pPr>
    </w:p>
    <w:p w14:paraId="51B0FEEE">
      <w:pPr>
        <w:pStyle w:val="21"/>
        <w:spacing w:line="360" w:lineRule="auto"/>
        <w:ind w:firstLine="420"/>
        <w:rPr>
          <w:rFonts w:hAnsi="宋体" w:cs="宋体"/>
          <w:sz w:val="24"/>
          <w:szCs w:val="24"/>
        </w:rPr>
      </w:pPr>
      <w:r>
        <w:rPr>
          <w:rFonts w:hint="eastAsia" w:hAnsi="宋体" w:cs="宋体"/>
          <w:b/>
          <w:bCs/>
          <w:szCs w:val="21"/>
        </w:rPr>
        <w:t>注：在投标文件中附委托代理人居民身份证复印件。</w:t>
      </w:r>
    </w:p>
    <w:p w14:paraId="18B67326">
      <w:pPr>
        <w:widowControl/>
        <w:spacing w:line="360" w:lineRule="auto"/>
        <w:jc w:val="left"/>
        <w:rPr>
          <w:rFonts w:hint="eastAsia" w:ascii="宋体" w:hAnsi="宋体" w:eastAsia="宋体" w:cs="宋体"/>
          <w:b/>
          <w:sz w:val="28"/>
          <w:szCs w:val="28"/>
          <w:lang w:val="en-US" w:eastAsia="zh-CN"/>
        </w:rPr>
      </w:pPr>
      <w:r>
        <w:rPr>
          <w:rFonts w:hint="eastAsia" w:ascii="宋体" w:hAnsi="宋体" w:cs="宋体"/>
          <w:b/>
          <w:sz w:val="28"/>
          <w:szCs w:val="28"/>
        </w:rPr>
        <w:br w:type="page"/>
      </w:r>
      <w:r>
        <w:rPr>
          <w:rFonts w:hint="eastAsia" w:ascii="宋体" w:hAnsi="宋体" w:cs="宋体"/>
          <w:b/>
          <w:sz w:val="28"/>
          <w:szCs w:val="28"/>
        </w:rPr>
        <w:t>格式2</w:t>
      </w:r>
      <w:r>
        <w:rPr>
          <w:rFonts w:hint="eastAsia" w:ascii="宋体" w:hAnsi="宋体" w:cs="宋体"/>
          <w:b/>
          <w:sz w:val="28"/>
          <w:szCs w:val="28"/>
          <w:lang w:val="en-US" w:eastAsia="zh-CN"/>
        </w:rPr>
        <w:t>1</w:t>
      </w:r>
    </w:p>
    <w:p w14:paraId="2DDC3D72">
      <w:pPr>
        <w:pStyle w:val="3"/>
        <w:spacing w:line="360" w:lineRule="auto"/>
        <w:ind w:left="425"/>
        <w:jc w:val="center"/>
        <w:rPr>
          <w:rFonts w:ascii="宋体" w:hAnsi="宋体" w:cs="宋体"/>
          <w:color w:val="auto"/>
          <w:spacing w:val="0"/>
          <w:szCs w:val="32"/>
        </w:rPr>
      </w:pPr>
      <w:bookmarkStart w:id="447" w:name="_Toc5386"/>
      <w:bookmarkStart w:id="448" w:name="_Toc29828"/>
      <w:bookmarkStart w:id="449" w:name="_Toc15072"/>
      <w:bookmarkStart w:id="450" w:name="_Toc694"/>
      <w:bookmarkStart w:id="451" w:name="_Toc37716412"/>
      <w:bookmarkStart w:id="452" w:name="_Toc38338332"/>
      <w:r>
        <w:rPr>
          <w:rFonts w:hint="eastAsia" w:ascii="宋体" w:hAnsi="宋体" w:cs="宋体"/>
          <w:color w:val="auto"/>
          <w:spacing w:val="0"/>
          <w:szCs w:val="32"/>
        </w:rPr>
        <w:t>投标人具备参加政府采购活动条件承诺书</w:t>
      </w:r>
      <w:bookmarkEnd w:id="447"/>
      <w:bookmarkEnd w:id="448"/>
      <w:bookmarkEnd w:id="449"/>
      <w:bookmarkEnd w:id="450"/>
      <w:bookmarkEnd w:id="451"/>
      <w:bookmarkEnd w:id="452"/>
    </w:p>
    <w:p w14:paraId="7B2635A8">
      <w:pPr>
        <w:spacing w:line="360" w:lineRule="auto"/>
        <w:rPr>
          <w:rFonts w:ascii="宋体" w:hAnsi="宋体" w:cs="宋体"/>
          <w:szCs w:val="21"/>
        </w:rPr>
      </w:pPr>
      <w:r>
        <w:rPr>
          <w:rFonts w:hint="eastAsia" w:ascii="宋体" w:hAnsi="宋体" w:cs="宋体"/>
          <w:szCs w:val="21"/>
        </w:rPr>
        <w:t>致：（采购人名称）</w:t>
      </w:r>
    </w:p>
    <w:p w14:paraId="2796472B">
      <w:pPr>
        <w:spacing w:line="360" w:lineRule="auto"/>
        <w:ind w:firstLine="4410" w:firstLineChars="2100"/>
        <w:rPr>
          <w:rFonts w:ascii="宋体" w:hAnsi="宋体" w:cs="宋体"/>
          <w:szCs w:val="21"/>
        </w:rPr>
      </w:pPr>
    </w:p>
    <w:p w14:paraId="01A28451">
      <w:pPr>
        <w:spacing w:line="360" w:lineRule="auto"/>
        <w:jc w:val="center"/>
        <w:rPr>
          <w:rFonts w:ascii="宋体" w:hAnsi="宋体" w:cs="宋体"/>
          <w:szCs w:val="21"/>
        </w:rPr>
      </w:pPr>
      <w:r>
        <w:rPr>
          <w:rFonts w:hint="eastAsia" w:ascii="宋体" w:hAnsi="宋体" w:cs="宋体"/>
          <w:szCs w:val="21"/>
        </w:rPr>
        <w:t>（投标人自行承诺及说明，内容自拟）</w:t>
      </w:r>
    </w:p>
    <w:p w14:paraId="630150C9">
      <w:pPr>
        <w:spacing w:line="360" w:lineRule="auto"/>
        <w:jc w:val="left"/>
        <w:rPr>
          <w:rFonts w:ascii="宋体" w:hAnsi="宋体" w:cs="宋体"/>
          <w:szCs w:val="21"/>
        </w:rPr>
      </w:pPr>
    </w:p>
    <w:p w14:paraId="7C8A0DB5">
      <w:pPr>
        <w:spacing w:line="360" w:lineRule="auto"/>
        <w:jc w:val="left"/>
        <w:rPr>
          <w:rFonts w:ascii="宋体" w:hAnsi="宋体" w:cs="宋体"/>
          <w:szCs w:val="21"/>
        </w:rPr>
      </w:pPr>
    </w:p>
    <w:p w14:paraId="2BE4273E">
      <w:pPr>
        <w:spacing w:line="360" w:lineRule="auto"/>
        <w:jc w:val="left"/>
        <w:rPr>
          <w:rFonts w:ascii="宋体" w:hAnsi="宋体" w:cs="宋体"/>
          <w:szCs w:val="21"/>
        </w:rPr>
      </w:pPr>
    </w:p>
    <w:p w14:paraId="590F1535">
      <w:pPr>
        <w:spacing w:line="360" w:lineRule="auto"/>
        <w:jc w:val="left"/>
        <w:rPr>
          <w:rFonts w:ascii="宋体" w:hAnsi="宋体" w:cs="宋体"/>
          <w:szCs w:val="21"/>
        </w:rPr>
      </w:pPr>
    </w:p>
    <w:p w14:paraId="7B68D2FF">
      <w:pPr>
        <w:spacing w:line="360" w:lineRule="auto"/>
        <w:jc w:val="left"/>
        <w:rPr>
          <w:rFonts w:ascii="宋体" w:hAnsi="宋体" w:cs="宋体"/>
          <w:szCs w:val="21"/>
        </w:rPr>
      </w:pPr>
    </w:p>
    <w:p w14:paraId="3F33CB40">
      <w:pPr>
        <w:spacing w:line="360" w:lineRule="auto"/>
        <w:ind w:firstLine="2" w:firstLineChars="1"/>
        <w:rPr>
          <w:rFonts w:ascii="宋体" w:hAnsi="宋体" w:cs="宋体"/>
          <w:szCs w:val="21"/>
        </w:rPr>
      </w:pPr>
    </w:p>
    <w:p w14:paraId="4F1CAD7E">
      <w:pPr>
        <w:pStyle w:val="21"/>
        <w:spacing w:line="360" w:lineRule="auto"/>
        <w:jc w:val="left"/>
        <w:rPr>
          <w:rFonts w:hAnsi="宋体" w:cs="宋体"/>
          <w:szCs w:val="21"/>
        </w:rPr>
      </w:pPr>
      <w:r>
        <w:rPr>
          <w:rFonts w:hint="eastAsia" w:hAnsi="宋体" w:cs="宋体"/>
          <w:szCs w:val="21"/>
        </w:rPr>
        <w:t>投标人（加盖投标人电子公章）：</w:t>
      </w:r>
    </w:p>
    <w:p w14:paraId="6018879E">
      <w:pPr>
        <w:pStyle w:val="21"/>
        <w:spacing w:line="360" w:lineRule="auto"/>
        <w:jc w:val="left"/>
        <w:rPr>
          <w:rFonts w:hAnsi="宋体" w:cs="宋体"/>
          <w:szCs w:val="21"/>
        </w:rPr>
      </w:pPr>
    </w:p>
    <w:p w14:paraId="768E607B">
      <w:pPr>
        <w:pStyle w:val="21"/>
        <w:spacing w:line="360" w:lineRule="auto"/>
        <w:jc w:val="left"/>
        <w:rPr>
          <w:rFonts w:hAnsi="宋体" w:cs="宋体"/>
          <w:szCs w:val="21"/>
          <w:u w:val="single"/>
        </w:rPr>
      </w:pPr>
      <w:r>
        <w:rPr>
          <w:rFonts w:hint="eastAsia" w:hAnsi="宋体" w:cs="宋体"/>
          <w:szCs w:val="21"/>
        </w:rPr>
        <w:t>法定代表人（负责人）（电子签名或电子签章）：</w:t>
      </w:r>
      <w:r>
        <w:rPr>
          <w:rFonts w:hint="eastAsia" w:hAnsi="宋体" w:cs="宋体"/>
          <w:szCs w:val="21"/>
          <w:u w:val="single"/>
        </w:rPr>
        <w:t xml:space="preserve">  </w:t>
      </w:r>
    </w:p>
    <w:p w14:paraId="36109B51">
      <w:pPr>
        <w:pStyle w:val="21"/>
        <w:spacing w:line="360" w:lineRule="auto"/>
        <w:jc w:val="left"/>
        <w:rPr>
          <w:rFonts w:hAnsi="宋体" w:cs="宋体"/>
          <w:szCs w:val="21"/>
          <w:u w:val="single"/>
        </w:rPr>
      </w:pPr>
    </w:p>
    <w:p w14:paraId="06CDF7DA">
      <w:pPr>
        <w:pStyle w:val="21"/>
        <w:spacing w:line="360" w:lineRule="auto"/>
        <w:rPr>
          <w:rFonts w:hAnsi="宋体" w:cs="宋体"/>
          <w:szCs w:val="21"/>
        </w:rPr>
      </w:pPr>
      <w:r>
        <w:rPr>
          <w:rFonts w:hint="eastAsia" w:hAnsi="宋体" w:cs="宋体"/>
          <w:szCs w:val="21"/>
        </w:rPr>
        <w:t>日期</w:t>
      </w:r>
    </w:p>
    <w:p w14:paraId="09006BAE">
      <w:pPr>
        <w:spacing w:line="360" w:lineRule="auto"/>
        <w:ind w:firstLine="2" w:firstLineChars="1"/>
        <w:rPr>
          <w:rFonts w:ascii="宋体" w:hAnsi="宋体" w:cs="宋体"/>
          <w:szCs w:val="21"/>
        </w:rPr>
      </w:pPr>
    </w:p>
    <w:p w14:paraId="0EBD1E7D">
      <w:pPr>
        <w:spacing w:line="360" w:lineRule="auto"/>
        <w:jc w:val="left"/>
        <w:rPr>
          <w:rFonts w:ascii="宋体" w:hAnsi="宋体" w:cs="宋体"/>
          <w:szCs w:val="21"/>
        </w:rPr>
      </w:pPr>
      <w:r>
        <w:rPr>
          <w:rFonts w:hint="eastAsia" w:ascii="宋体" w:hAnsi="宋体" w:cs="宋体"/>
          <w:szCs w:val="21"/>
        </w:rPr>
        <w:t>注：</w:t>
      </w:r>
    </w:p>
    <w:p w14:paraId="6F065FD0">
      <w:pPr>
        <w:spacing w:line="360" w:lineRule="auto"/>
        <w:jc w:val="left"/>
        <w:rPr>
          <w:rFonts w:ascii="宋体" w:hAnsi="宋体" w:cs="宋体"/>
          <w:szCs w:val="21"/>
        </w:rPr>
      </w:pPr>
      <w:r>
        <w:rPr>
          <w:rFonts w:hint="eastAsia" w:ascii="宋体" w:hAnsi="宋体" w:cs="宋体"/>
          <w:szCs w:val="21"/>
        </w:rPr>
        <w:t>1.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中华人民共和国政府采购法》第二十二条规定）进行说明和承诺；</w:t>
      </w:r>
    </w:p>
    <w:p w14:paraId="0390EC11">
      <w:pPr>
        <w:spacing w:line="360" w:lineRule="auto"/>
        <w:jc w:val="left"/>
        <w:rPr>
          <w:rFonts w:ascii="宋体" w:hAnsi="宋体" w:cs="宋体"/>
          <w:szCs w:val="21"/>
        </w:rPr>
      </w:pPr>
      <w:r>
        <w:rPr>
          <w:rFonts w:hint="eastAsia" w:ascii="宋体" w:hAnsi="宋体" w:cs="宋体"/>
          <w:szCs w:val="21"/>
        </w:rPr>
        <w:t>2.若招标文件中明确要求提供证明资料的，以证明资料为准。</w:t>
      </w:r>
    </w:p>
    <w:p w14:paraId="06BF2D63">
      <w:pPr>
        <w:pageBreakBefore w:val="0"/>
        <w:widowControl/>
        <w:kinsoku/>
        <w:overflowPunct/>
        <w:topLinePunct w:val="0"/>
        <w:autoSpaceDE/>
        <w:autoSpaceDN/>
        <w:bidi w:val="0"/>
        <w:spacing w:line="480" w:lineRule="exact"/>
        <w:ind w:left="0" w:leftChars="0" w:right="0"/>
        <w:jc w:val="left"/>
        <w:outlineLvl w:val="9"/>
        <w:rPr>
          <w:rFonts w:hint="default"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cs="宋体"/>
          <w:b/>
          <w:sz w:val="28"/>
          <w:szCs w:val="28"/>
        </w:rPr>
        <w:br w:type="page"/>
      </w:r>
      <w:r>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t>格式2</w:t>
      </w:r>
      <w:r>
        <w:rPr>
          <w:rFonts w:hint="eastAsia" w:ascii="宋体" w:hAnsi="宋体" w:cs="宋体"/>
          <w:b/>
          <w:color w:val="000000" w:themeColor="text1"/>
          <w:kern w:val="2"/>
          <w:sz w:val="28"/>
          <w:szCs w:val="28"/>
          <w:highlight w:val="none"/>
          <w:lang w:val="en-US" w:eastAsia="zh-CN" w:bidi="ar-SA"/>
          <w14:textFill>
            <w14:solidFill>
              <w14:schemeClr w14:val="tx1"/>
            </w14:solidFill>
          </w14:textFill>
        </w:rPr>
        <w:t>2</w:t>
      </w:r>
    </w:p>
    <w:p w14:paraId="441C4524">
      <w:pPr>
        <w:pageBreakBefore w:val="0"/>
        <w:tabs>
          <w:tab w:val="left" w:pos="5580"/>
        </w:tabs>
        <w:kinsoku/>
        <w:overflowPunct/>
        <w:topLinePunct w:val="0"/>
        <w:autoSpaceDE/>
        <w:autoSpaceDN/>
        <w:bidi w:val="0"/>
        <w:spacing w:line="480" w:lineRule="exact"/>
        <w:ind w:left="0" w:leftChars="0" w:right="0"/>
        <w:jc w:val="center"/>
        <w:outlineLvl w:val="9"/>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《中小企业声明函》（符合《政府采购促进中小企业发展管理办法》（财库〔2020〕46号）价格扣减条件的投标人需提交）</w:t>
      </w:r>
    </w:p>
    <w:p w14:paraId="71B80C59">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t>中小企业声明函</w:t>
      </w:r>
    </w:p>
    <w:p w14:paraId="305A39DD">
      <w:pPr>
        <w:widowControl/>
        <w:spacing w:line="360" w:lineRule="auto"/>
        <w:ind w:firstLine="420" w:firstLineChars="200"/>
        <w:jc w:val="left"/>
        <w:rPr>
          <w:rFonts w:ascii="宋体" w:hAnsi="宋体" w:cs="宋体"/>
          <w:szCs w:val="21"/>
        </w:rPr>
      </w:pPr>
      <w:r>
        <w:rPr>
          <w:rFonts w:hint="eastAsia" w:ascii="宋体" w:hAnsi="宋体" w:cs="宋体"/>
          <w:snapToGrid w:val="0"/>
          <w:color w:val="000000"/>
          <w:kern w:val="0"/>
          <w:szCs w:val="21"/>
          <w:lang w:bidi="ar"/>
        </w:rPr>
        <w:t>本公司（联合体）郑重声明，根据《政府采购促进中小企业发展管理办法》（财库﹝2020﹞46 号）的规定，本公司（联合体）参加</w:t>
      </w:r>
      <w:r>
        <w:rPr>
          <w:rFonts w:hint="eastAsia" w:ascii="宋体" w:hAnsi="宋体" w:cs="宋体"/>
          <w:snapToGrid w:val="0"/>
          <w:color w:val="000000"/>
          <w:kern w:val="0"/>
          <w:szCs w:val="21"/>
          <w:u w:val="single"/>
          <w:lang w:bidi="ar"/>
        </w:rPr>
        <w:t xml:space="preserve">   （单位名称）   </w:t>
      </w:r>
      <w:r>
        <w:rPr>
          <w:rFonts w:hint="eastAsia" w:ascii="宋体" w:hAnsi="宋体" w:cs="宋体"/>
          <w:snapToGrid w:val="0"/>
          <w:color w:val="000000"/>
          <w:kern w:val="0"/>
          <w:szCs w:val="21"/>
          <w:lang w:bidi="ar"/>
        </w:rPr>
        <w:t>的</w:t>
      </w:r>
      <w:r>
        <w:rPr>
          <w:rFonts w:hint="eastAsia" w:ascii="宋体" w:hAnsi="宋体" w:cs="宋体"/>
          <w:snapToGrid w:val="0"/>
          <w:color w:val="000000"/>
          <w:kern w:val="0"/>
          <w:szCs w:val="21"/>
          <w:u w:val="single"/>
          <w:lang w:bidi="ar"/>
        </w:rPr>
        <w:t xml:space="preserve">   （项目名称）   </w:t>
      </w:r>
      <w:r>
        <w:rPr>
          <w:rFonts w:hint="eastAsia" w:ascii="宋体" w:hAnsi="宋体" w:cs="宋体"/>
          <w:snapToGrid w:val="0"/>
          <w:color w:val="000000"/>
          <w:kern w:val="0"/>
          <w:szCs w:val="21"/>
          <w:lang w:bidi="ar"/>
        </w:rPr>
        <w:t>采购活动，服务全部由符合政策要求的中小企业承接。相关企业（含联合体中的中小企业、签订分包意向协议的中小企业）的具体情况如下：</w:t>
      </w:r>
    </w:p>
    <w:p w14:paraId="3294A352">
      <w:pPr>
        <w:widowControl/>
        <w:spacing w:line="360" w:lineRule="auto"/>
        <w:jc w:val="left"/>
        <w:rPr>
          <w:rFonts w:ascii="宋体" w:hAnsi="宋体" w:cs="宋体"/>
          <w:szCs w:val="21"/>
        </w:rPr>
      </w:pPr>
      <w:r>
        <w:rPr>
          <w:rFonts w:hint="eastAsia" w:ascii="宋体" w:hAnsi="宋体" w:cs="宋体"/>
          <w:snapToGrid w:val="0"/>
          <w:color w:val="000000"/>
          <w:kern w:val="0"/>
          <w:szCs w:val="21"/>
          <w:lang w:bidi="ar"/>
        </w:rPr>
        <w:t>1.</w:t>
      </w:r>
      <w:r>
        <w:rPr>
          <w:rFonts w:hint="eastAsia" w:ascii="宋体" w:hAnsi="宋体" w:cs="宋体"/>
          <w:snapToGrid w:val="0"/>
          <w:color w:val="000000"/>
          <w:kern w:val="0"/>
          <w:szCs w:val="21"/>
          <w:u w:val="single"/>
          <w:lang w:bidi="ar"/>
        </w:rPr>
        <w:t xml:space="preserve"> （标的名称） </w:t>
      </w:r>
      <w:r>
        <w:rPr>
          <w:rFonts w:hint="eastAsia" w:ascii="宋体" w:hAnsi="宋体" w:cs="宋体"/>
          <w:snapToGrid w:val="0"/>
          <w:color w:val="000000"/>
          <w:kern w:val="0"/>
          <w:szCs w:val="21"/>
          <w:lang w:bidi="ar"/>
        </w:rPr>
        <w:t>，属于</w:t>
      </w:r>
      <w:r>
        <w:rPr>
          <w:rFonts w:hint="eastAsia" w:ascii="宋体" w:hAnsi="宋体" w:cs="宋体"/>
          <w:snapToGrid w:val="0"/>
          <w:color w:val="000000"/>
          <w:kern w:val="0"/>
          <w:szCs w:val="21"/>
          <w:u w:val="single"/>
          <w:lang w:bidi="ar"/>
        </w:rPr>
        <w:t>（采购文件中明确的所属行业）</w:t>
      </w:r>
      <w:r>
        <w:rPr>
          <w:rFonts w:hint="eastAsia" w:ascii="宋体" w:hAnsi="宋体" w:cs="宋体"/>
          <w:snapToGrid w:val="0"/>
          <w:color w:val="000000"/>
          <w:kern w:val="0"/>
          <w:szCs w:val="21"/>
          <w:lang w:bidi="ar"/>
        </w:rPr>
        <w:t>；承建（承接）企业为</w:t>
      </w:r>
      <w:r>
        <w:rPr>
          <w:rFonts w:hint="eastAsia" w:ascii="宋体" w:hAnsi="宋体" w:cs="宋体"/>
          <w:snapToGrid w:val="0"/>
          <w:color w:val="000000"/>
          <w:kern w:val="0"/>
          <w:szCs w:val="21"/>
          <w:u w:val="single"/>
          <w:lang w:bidi="ar"/>
        </w:rPr>
        <w:t xml:space="preserve">   （企业名称）   </w:t>
      </w:r>
      <w:r>
        <w:rPr>
          <w:rFonts w:hint="eastAsia" w:ascii="宋体" w:hAnsi="宋体" w:cs="宋体"/>
          <w:snapToGrid w:val="0"/>
          <w:color w:val="000000"/>
          <w:kern w:val="0"/>
          <w:szCs w:val="21"/>
          <w:lang w:bidi="ar"/>
        </w:rPr>
        <w:t>，从业人员</w:t>
      </w:r>
      <w:r>
        <w:rPr>
          <w:rFonts w:hint="eastAsia" w:ascii="宋体" w:hAnsi="宋体" w:cs="宋体"/>
          <w:snapToGrid w:val="0"/>
          <w:color w:val="000000"/>
          <w:kern w:val="0"/>
          <w:szCs w:val="21"/>
          <w:u w:val="single"/>
          <w:lang w:bidi="ar"/>
        </w:rPr>
        <w:t xml:space="preserve">   </w:t>
      </w:r>
      <w:r>
        <w:rPr>
          <w:rFonts w:hint="eastAsia" w:ascii="宋体" w:hAnsi="宋体" w:cs="宋体"/>
          <w:snapToGrid w:val="0"/>
          <w:color w:val="000000"/>
          <w:kern w:val="0"/>
          <w:szCs w:val="21"/>
          <w:lang w:bidi="ar"/>
        </w:rPr>
        <w:t>人，营业收入为</w:t>
      </w:r>
      <w:r>
        <w:rPr>
          <w:rFonts w:hint="eastAsia" w:ascii="宋体" w:hAnsi="宋体" w:cs="宋体"/>
          <w:snapToGrid w:val="0"/>
          <w:color w:val="000000"/>
          <w:kern w:val="0"/>
          <w:szCs w:val="21"/>
          <w:u w:val="single"/>
          <w:lang w:bidi="ar"/>
        </w:rPr>
        <w:t xml:space="preserve">   </w:t>
      </w:r>
      <w:r>
        <w:rPr>
          <w:rFonts w:hint="eastAsia" w:ascii="宋体" w:hAnsi="宋体" w:cs="宋体"/>
          <w:snapToGrid w:val="0"/>
          <w:color w:val="000000"/>
          <w:kern w:val="0"/>
          <w:szCs w:val="21"/>
          <w:lang w:bidi="ar"/>
        </w:rPr>
        <w:t>万元，资产总额为</w:t>
      </w:r>
      <w:r>
        <w:rPr>
          <w:rFonts w:hint="eastAsia" w:ascii="宋体" w:hAnsi="宋体" w:cs="宋体"/>
          <w:snapToGrid w:val="0"/>
          <w:color w:val="000000"/>
          <w:kern w:val="0"/>
          <w:szCs w:val="21"/>
          <w:u w:val="single"/>
          <w:lang w:bidi="ar"/>
        </w:rPr>
        <w:t xml:space="preserve">   </w:t>
      </w:r>
      <w:r>
        <w:rPr>
          <w:rFonts w:hint="eastAsia" w:ascii="宋体" w:hAnsi="宋体" w:cs="宋体"/>
          <w:snapToGrid w:val="0"/>
          <w:color w:val="000000"/>
          <w:kern w:val="0"/>
          <w:szCs w:val="21"/>
          <w:lang w:bidi="ar"/>
        </w:rPr>
        <w:t>万元</w:t>
      </w:r>
      <w:r>
        <w:rPr>
          <w:rFonts w:hint="eastAsia" w:ascii="宋体" w:hAnsi="宋体" w:cs="宋体"/>
          <w:snapToGrid w:val="0"/>
          <w:color w:val="000000"/>
          <w:kern w:val="0"/>
          <w:szCs w:val="21"/>
          <w:vertAlign w:val="superscript"/>
          <w:lang w:bidi="ar"/>
        </w:rPr>
        <w:t>1</w:t>
      </w:r>
      <w:r>
        <w:rPr>
          <w:rFonts w:hint="eastAsia" w:ascii="宋体" w:hAnsi="宋体" w:cs="宋体"/>
          <w:snapToGrid w:val="0"/>
          <w:color w:val="000000"/>
          <w:kern w:val="0"/>
          <w:szCs w:val="21"/>
          <w:lang w:bidi="ar"/>
        </w:rPr>
        <w:t>，属于</w:t>
      </w:r>
      <w:r>
        <w:rPr>
          <w:rFonts w:hint="eastAsia" w:ascii="宋体" w:hAnsi="宋体" w:cs="宋体"/>
          <w:snapToGrid w:val="0"/>
          <w:color w:val="000000"/>
          <w:kern w:val="0"/>
          <w:szCs w:val="21"/>
          <w:u w:val="single"/>
          <w:lang w:bidi="ar"/>
        </w:rPr>
        <w:t>（中型企业、小型企业、微型企业）</w:t>
      </w:r>
      <w:r>
        <w:rPr>
          <w:rFonts w:hint="eastAsia" w:ascii="宋体" w:hAnsi="宋体" w:cs="宋体"/>
          <w:snapToGrid w:val="0"/>
          <w:color w:val="000000"/>
          <w:kern w:val="0"/>
          <w:szCs w:val="21"/>
          <w:lang w:bidi="ar"/>
        </w:rPr>
        <w:t>；</w:t>
      </w:r>
    </w:p>
    <w:p w14:paraId="5ECAABFA">
      <w:pPr>
        <w:widowControl/>
        <w:spacing w:line="360" w:lineRule="auto"/>
        <w:jc w:val="left"/>
        <w:rPr>
          <w:rFonts w:ascii="宋体" w:hAnsi="宋体" w:cs="宋体"/>
          <w:szCs w:val="21"/>
        </w:rPr>
      </w:pPr>
      <w:r>
        <w:rPr>
          <w:rFonts w:hint="eastAsia" w:ascii="宋体" w:hAnsi="宋体" w:cs="宋体"/>
          <w:snapToGrid w:val="0"/>
          <w:color w:val="000000"/>
          <w:kern w:val="0"/>
          <w:szCs w:val="21"/>
          <w:lang w:bidi="ar"/>
        </w:rPr>
        <w:t>2</w:t>
      </w:r>
      <w:r>
        <w:rPr>
          <w:rFonts w:hint="eastAsia" w:ascii="宋体" w:hAnsi="宋体" w:cs="宋体"/>
          <w:snapToGrid w:val="0"/>
          <w:color w:val="000000"/>
          <w:kern w:val="0"/>
          <w:szCs w:val="21"/>
          <w:u w:val="single"/>
          <w:lang w:bidi="ar"/>
        </w:rPr>
        <w:t xml:space="preserve">. （标的名称） </w:t>
      </w:r>
      <w:r>
        <w:rPr>
          <w:rFonts w:hint="eastAsia" w:ascii="宋体" w:hAnsi="宋体" w:cs="宋体"/>
          <w:snapToGrid w:val="0"/>
          <w:color w:val="000000"/>
          <w:kern w:val="0"/>
          <w:szCs w:val="21"/>
          <w:lang w:bidi="ar"/>
        </w:rPr>
        <w:t>，属于</w:t>
      </w:r>
      <w:r>
        <w:rPr>
          <w:rFonts w:hint="eastAsia" w:ascii="宋体" w:hAnsi="宋体" w:cs="宋体"/>
          <w:snapToGrid w:val="0"/>
          <w:color w:val="000000"/>
          <w:kern w:val="0"/>
          <w:szCs w:val="21"/>
          <w:u w:val="single"/>
          <w:lang w:bidi="ar"/>
        </w:rPr>
        <w:t>（采购文件中明确的所属行业）</w:t>
      </w:r>
      <w:r>
        <w:rPr>
          <w:rFonts w:hint="eastAsia" w:ascii="宋体" w:hAnsi="宋体" w:cs="宋体"/>
          <w:snapToGrid w:val="0"/>
          <w:color w:val="000000"/>
          <w:kern w:val="0"/>
          <w:szCs w:val="21"/>
          <w:lang w:bidi="ar"/>
        </w:rPr>
        <w:t>；承建（承接）企业为</w:t>
      </w:r>
      <w:r>
        <w:rPr>
          <w:rFonts w:hint="eastAsia" w:ascii="宋体" w:hAnsi="宋体" w:cs="宋体"/>
          <w:snapToGrid w:val="0"/>
          <w:color w:val="000000"/>
          <w:kern w:val="0"/>
          <w:szCs w:val="21"/>
          <w:u w:val="single"/>
          <w:lang w:bidi="ar"/>
        </w:rPr>
        <w:t>（企业名称）</w:t>
      </w:r>
      <w:r>
        <w:rPr>
          <w:rFonts w:hint="eastAsia" w:ascii="宋体" w:hAnsi="宋体" w:cs="宋体"/>
          <w:snapToGrid w:val="0"/>
          <w:color w:val="000000"/>
          <w:kern w:val="0"/>
          <w:szCs w:val="21"/>
          <w:lang w:bidi="ar"/>
        </w:rPr>
        <w:t>，从业人员</w:t>
      </w:r>
      <w:r>
        <w:rPr>
          <w:rFonts w:hint="eastAsia" w:ascii="宋体" w:hAnsi="宋体" w:cs="宋体"/>
          <w:snapToGrid w:val="0"/>
          <w:color w:val="000000"/>
          <w:kern w:val="0"/>
          <w:szCs w:val="21"/>
          <w:u w:val="single"/>
          <w:lang w:bidi="ar"/>
        </w:rPr>
        <w:t xml:space="preserve">   </w:t>
      </w:r>
      <w:r>
        <w:rPr>
          <w:rFonts w:hint="eastAsia" w:ascii="宋体" w:hAnsi="宋体" w:cs="宋体"/>
          <w:snapToGrid w:val="0"/>
          <w:color w:val="000000"/>
          <w:kern w:val="0"/>
          <w:szCs w:val="21"/>
          <w:lang w:bidi="ar"/>
        </w:rPr>
        <w:t>人，营业收入为</w:t>
      </w:r>
      <w:r>
        <w:rPr>
          <w:rFonts w:hint="eastAsia" w:ascii="宋体" w:hAnsi="宋体" w:cs="宋体"/>
          <w:snapToGrid w:val="0"/>
          <w:color w:val="000000"/>
          <w:kern w:val="0"/>
          <w:szCs w:val="21"/>
          <w:u w:val="single"/>
          <w:lang w:bidi="ar"/>
        </w:rPr>
        <w:t xml:space="preserve">   </w:t>
      </w:r>
      <w:r>
        <w:rPr>
          <w:rFonts w:hint="eastAsia" w:ascii="宋体" w:hAnsi="宋体" w:cs="宋体"/>
          <w:snapToGrid w:val="0"/>
          <w:color w:val="000000"/>
          <w:kern w:val="0"/>
          <w:szCs w:val="21"/>
          <w:lang w:bidi="ar"/>
        </w:rPr>
        <w:t>万元，资产总额为</w:t>
      </w:r>
      <w:r>
        <w:rPr>
          <w:rFonts w:hint="eastAsia" w:ascii="宋体" w:hAnsi="宋体" w:cs="宋体"/>
          <w:snapToGrid w:val="0"/>
          <w:color w:val="000000"/>
          <w:kern w:val="0"/>
          <w:szCs w:val="21"/>
          <w:u w:val="single"/>
          <w:lang w:bidi="ar"/>
        </w:rPr>
        <w:t xml:space="preserve">   </w:t>
      </w:r>
      <w:r>
        <w:rPr>
          <w:rFonts w:hint="eastAsia" w:ascii="宋体" w:hAnsi="宋体" w:cs="宋体"/>
          <w:snapToGrid w:val="0"/>
          <w:color w:val="000000"/>
          <w:kern w:val="0"/>
          <w:szCs w:val="21"/>
          <w:lang w:bidi="ar"/>
        </w:rPr>
        <w:t>万元，属于</w:t>
      </w:r>
      <w:r>
        <w:rPr>
          <w:rFonts w:hint="eastAsia" w:ascii="宋体" w:hAnsi="宋体" w:cs="宋体"/>
          <w:snapToGrid w:val="0"/>
          <w:color w:val="000000"/>
          <w:kern w:val="0"/>
          <w:szCs w:val="21"/>
          <w:u w:val="single"/>
          <w:lang w:bidi="ar"/>
        </w:rPr>
        <w:t>（中型企业、小型企业、微型企业）</w:t>
      </w:r>
      <w:r>
        <w:rPr>
          <w:rFonts w:hint="eastAsia" w:ascii="宋体" w:hAnsi="宋体" w:cs="宋体"/>
          <w:snapToGrid w:val="0"/>
          <w:color w:val="000000"/>
          <w:kern w:val="0"/>
          <w:szCs w:val="21"/>
          <w:lang w:bidi="ar"/>
        </w:rPr>
        <w:t>；</w:t>
      </w:r>
    </w:p>
    <w:p w14:paraId="65F40904">
      <w:pPr>
        <w:widowControl/>
        <w:spacing w:line="360" w:lineRule="auto"/>
        <w:jc w:val="left"/>
        <w:rPr>
          <w:rFonts w:ascii="宋体" w:hAnsi="宋体" w:cs="宋体"/>
          <w:szCs w:val="21"/>
        </w:rPr>
      </w:pPr>
      <w:r>
        <w:rPr>
          <w:rFonts w:hint="eastAsia" w:ascii="宋体" w:hAnsi="宋体" w:cs="宋体"/>
          <w:snapToGrid w:val="0"/>
          <w:color w:val="000000"/>
          <w:kern w:val="0"/>
          <w:szCs w:val="21"/>
          <w:lang w:bidi="ar"/>
        </w:rPr>
        <w:t>……</w:t>
      </w:r>
    </w:p>
    <w:p w14:paraId="3A890167">
      <w:pPr>
        <w:widowControl/>
        <w:spacing w:line="360" w:lineRule="auto"/>
        <w:jc w:val="left"/>
        <w:rPr>
          <w:rFonts w:ascii="宋体" w:hAnsi="宋体" w:cs="宋体"/>
          <w:szCs w:val="21"/>
        </w:rPr>
      </w:pPr>
      <w:r>
        <w:rPr>
          <w:rFonts w:hint="eastAsia" w:ascii="宋体" w:hAnsi="宋体" w:cs="宋体"/>
          <w:snapToGrid w:val="0"/>
          <w:color w:val="000000"/>
          <w:kern w:val="0"/>
          <w:szCs w:val="21"/>
          <w:lang w:bidi="ar"/>
        </w:rPr>
        <w:t>以上企业，不属于大企业的分支机构，不存在控股股东为大企业的情形，也不存在与大企业的负责人为同一人的情形。</w:t>
      </w:r>
    </w:p>
    <w:p w14:paraId="44834F70">
      <w:pPr>
        <w:pageBreakBefore w:val="0"/>
        <w:widowControl/>
        <w:kinsoku/>
        <w:overflowPunct/>
        <w:topLinePunct w:val="0"/>
        <w:autoSpaceDE/>
        <w:autoSpaceDN/>
        <w:bidi w:val="0"/>
        <w:spacing w:line="480" w:lineRule="exact"/>
        <w:ind w:left="0" w:leftChars="0" w:right="0"/>
        <w:jc w:val="left"/>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snapToGrid w:val="0"/>
          <w:color w:val="000000"/>
          <w:kern w:val="0"/>
          <w:szCs w:val="21"/>
          <w:lang w:bidi="ar"/>
        </w:rPr>
        <w:t>本企业对上述声明内容的真实性负责。如有虚假，将依法承担相应责任。</w:t>
      </w:r>
    </w:p>
    <w:p w14:paraId="25C272DB">
      <w:pPr>
        <w:pageBreakBefore w:val="0"/>
        <w:widowControl/>
        <w:kinsoku/>
        <w:overflowPunct/>
        <w:topLinePunct w:val="0"/>
        <w:autoSpaceDE/>
        <w:autoSpaceDN/>
        <w:bidi w:val="0"/>
        <w:spacing w:line="480" w:lineRule="exact"/>
        <w:ind w:left="0" w:leftChars="0" w:right="0" w:firstLine="405"/>
        <w:jc w:val="left"/>
        <w:outlineLvl w:val="9"/>
        <w:rPr>
          <w:rFonts w:hint="eastAsia" w:ascii="宋体" w:hAnsi="宋体" w:eastAsia="宋体" w:cs="宋体"/>
          <w:color w:val="000000" w:themeColor="text1"/>
          <w:kern w:val="0"/>
          <w:szCs w:val="21"/>
          <w:highlight w:val="none"/>
          <w14:textFill>
            <w14:solidFill>
              <w14:schemeClr w14:val="tx1"/>
            </w14:solidFill>
          </w14:textFill>
        </w:rPr>
      </w:pPr>
    </w:p>
    <w:p w14:paraId="62AEB7BE">
      <w:pPr>
        <w:pageBreakBefore w:val="0"/>
        <w:widowControl/>
        <w:kinsoku/>
        <w:overflowPunct/>
        <w:topLinePunct w:val="0"/>
        <w:autoSpaceDE/>
        <w:autoSpaceDN/>
        <w:bidi w:val="0"/>
        <w:spacing w:line="480" w:lineRule="exact"/>
        <w:ind w:left="0" w:leftChars="0" w:right="0" w:firstLine="405"/>
        <w:jc w:val="right"/>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企业名称（盖章）： </w:t>
      </w:r>
    </w:p>
    <w:p w14:paraId="351D4585">
      <w:pPr>
        <w:pageBreakBefore w:val="0"/>
        <w:widowControl/>
        <w:kinsoku/>
        <w:overflowPunct/>
        <w:topLinePunct w:val="0"/>
        <w:autoSpaceDE/>
        <w:autoSpaceDN/>
        <w:bidi w:val="0"/>
        <w:spacing w:line="480" w:lineRule="exact"/>
        <w:ind w:left="0" w:leftChars="0" w:right="0" w:firstLine="405"/>
        <w:jc w:val="right"/>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日     期：</w:t>
      </w:r>
    </w:p>
    <w:p w14:paraId="28234C9A">
      <w:pPr>
        <w:pStyle w:val="37"/>
        <w:pageBreakBefore w:val="0"/>
        <w:kinsoku/>
        <w:wordWrap w:val="0"/>
        <w:overflowPunct/>
        <w:topLinePunct w:val="0"/>
        <w:autoSpaceDE/>
        <w:autoSpaceDN/>
        <w:bidi w:val="0"/>
        <w:spacing w:before="0" w:beforeAutospacing="0" w:after="0" w:afterAutospacing="0" w:line="480" w:lineRule="exact"/>
        <w:ind w:left="0" w:leftChars="0" w:right="0"/>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注：1</w:t>
      </w:r>
      <w:r>
        <w:rPr>
          <w:rFonts w:hint="eastAsia" w:cs="宋体"/>
          <w:b/>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从业人员、营业收入、资产总额填报上一年度数据，无上一年度数据的新成立企业可不填报。</w:t>
      </w:r>
    </w:p>
    <w:p w14:paraId="660C55CE">
      <w:pPr>
        <w:pageBreakBefore w:val="0"/>
        <w:kinsoku/>
        <w:overflowPunct/>
        <w:topLinePunct w:val="0"/>
        <w:autoSpaceDE/>
        <w:autoSpaceDN/>
        <w:bidi w:val="0"/>
        <w:spacing w:line="480" w:lineRule="exact"/>
        <w:ind w:left="0" w:leftChars="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0B71EC5E">
      <w:pPr>
        <w:pageBreakBefore w:val="0"/>
        <w:widowControl/>
        <w:kinsoku/>
        <w:overflowPunct/>
        <w:topLinePunct w:val="0"/>
        <w:autoSpaceDE/>
        <w:autoSpaceDN/>
        <w:bidi w:val="0"/>
        <w:spacing w:line="480" w:lineRule="exact"/>
        <w:ind w:left="0" w:leftChars="0" w:right="0"/>
        <w:jc w:val="left"/>
        <w:outlineLvl w:val="9"/>
        <w:rPr>
          <w:rFonts w:hint="default"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格式</w:t>
      </w:r>
      <w:r>
        <w:rPr>
          <w:rFonts w:hint="eastAsia" w:ascii="宋体" w:hAnsi="宋体" w:eastAsia="宋体" w:cs="宋体"/>
          <w:b/>
          <w:color w:val="000000" w:themeColor="text1"/>
          <w:sz w:val="28"/>
          <w:szCs w:val="28"/>
          <w:highlight w:val="none"/>
          <w:lang w:val="en-US" w:eastAsia="zh-CN"/>
          <w14:textFill>
            <w14:solidFill>
              <w14:schemeClr w14:val="tx1"/>
            </w14:solidFill>
          </w14:textFill>
        </w:rPr>
        <w:t>2</w:t>
      </w:r>
      <w:r>
        <w:rPr>
          <w:rFonts w:hint="eastAsia" w:ascii="宋体" w:hAnsi="宋体" w:cs="宋体"/>
          <w:b/>
          <w:color w:val="000000" w:themeColor="text1"/>
          <w:sz w:val="28"/>
          <w:szCs w:val="28"/>
          <w:highlight w:val="none"/>
          <w:lang w:val="en-US" w:eastAsia="zh-CN"/>
          <w14:textFill>
            <w14:solidFill>
              <w14:schemeClr w14:val="tx1"/>
            </w14:solidFill>
          </w14:textFill>
        </w:rPr>
        <w:t>3</w:t>
      </w:r>
    </w:p>
    <w:p w14:paraId="6D3F6EFF">
      <w:pPr>
        <w:pageBreakBefore w:val="0"/>
        <w:tabs>
          <w:tab w:val="left" w:pos="5580"/>
        </w:tabs>
        <w:kinsoku/>
        <w:overflowPunct/>
        <w:topLinePunct w:val="0"/>
        <w:autoSpaceDE/>
        <w:autoSpaceDN/>
        <w:bidi w:val="0"/>
        <w:spacing w:line="480" w:lineRule="exact"/>
        <w:ind w:left="0" w:leftChars="0" w:right="0"/>
        <w:jc w:val="center"/>
        <w:outlineLvl w:val="9"/>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《监狱企业证明文件》（</w:t>
      </w:r>
      <w:r>
        <w:rPr>
          <w:rFonts w:hint="eastAsia" w:ascii="宋体" w:hAnsi="宋体" w:eastAsia="宋体" w:cs="宋体"/>
          <w:b/>
          <w:color w:val="000000" w:themeColor="text1"/>
          <w:sz w:val="28"/>
          <w:highlight w:val="none"/>
          <w:lang w:eastAsia="zh-CN"/>
          <w14:textFill>
            <w14:solidFill>
              <w14:schemeClr w14:val="tx1"/>
            </w14:solidFill>
          </w14:textFill>
        </w:rPr>
        <w:t>扫描件加盖投标人电子公章</w:t>
      </w:r>
      <w:r>
        <w:rPr>
          <w:rFonts w:hint="eastAsia" w:ascii="宋体" w:hAnsi="宋体" w:eastAsia="宋体" w:cs="宋体"/>
          <w:b/>
          <w:color w:val="000000" w:themeColor="text1"/>
          <w:sz w:val="28"/>
          <w:highlight w:val="none"/>
          <w14:textFill>
            <w14:solidFill>
              <w14:schemeClr w14:val="tx1"/>
            </w14:solidFill>
          </w14:textFill>
        </w:rPr>
        <w:t>，符合《财政部 司法部关于政府采购支持监狱企业发展有关问题的通知》（财库[2014]68号）价格扣减条件的投标人需提交）</w:t>
      </w:r>
    </w:p>
    <w:p w14:paraId="512DF469">
      <w:pPr>
        <w:pageBreakBefore w:val="0"/>
        <w:widowControl/>
        <w:kinsoku/>
        <w:overflowPunct/>
        <w:topLinePunct w:val="0"/>
        <w:autoSpaceDE/>
        <w:autoSpaceDN/>
        <w:bidi w:val="0"/>
        <w:spacing w:line="480" w:lineRule="exact"/>
        <w:ind w:left="0" w:leftChars="0" w:right="0"/>
        <w:jc w:val="center"/>
        <w:outlineLvl w:val="9"/>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t>监狱企业证明文件</w:t>
      </w:r>
    </w:p>
    <w:p w14:paraId="2373AB11">
      <w:pPr>
        <w:pageBreakBefore w:val="0"/>
        <w:kinsoku/>
        <w:overflowPunct/>
        <w:topLinePunct w:val="0"/>
        <w:autoSpaceDE/>
        <w:autoSpaceDN/>
        <w:bidi w:val="0"/>
        <w:spacing w:line="480" w:lineRule="exact"/>
        <w:ind w:left="0" w:leftChars="0" w:right="0" w:firstLine="420" w:firstLineChars="200"/>
        <w:jc w:val="left"/>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AF3A4F">
      <w:pPr>
        <w:pageBreakBefore w:val="0"/>
        <w:widowControl/>
        <w:kinsoku/>
        <w:overflowPunct/>
        <w:topLinePunct w:val="0"/>
        <w:autoSpaceDE/>
        <w:autoSpaceDN/>
        <w:bidi w:val="0"/>
        <w:spacing w:line="480" w:lineRule="exact"/>
        <w:ind w:left="0" w:leftChars="0" w:right="0" w:firstLine="420" w:firstLineChars="200"/>
        <w:jc w:val="left"/>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0D55E3FB">
      <w:pPr>
        <w:pageBreakBefore w:val="0"/>
        <w:widowControl/>
        <w:kinsoku/>
        <w:overflowPunct/>
        <w:topLinePunct w:val="0"/>
        <w:autoSpaceDE/>
        <w:autoSpaceDN/>
        <w:bidi w:val="0"/>
        <w:spacing w:line="480" w:lineRule="exact"/>
        <w:ind w:left="0" w:leftChars="0" w:right="0"/>
        <w:jc w:val="left"/>
        <w:outlineLvl w:val="9"/>
        <w:rPr>
          <w:rFonts w:hint="eastAsia" w:ascii="宋体" w:hAnsi="宋体" w:eastAsia="宋体" w:cs="宋体"/>
          <w:b/>
          <w:color w:val="000000" w:themeColor="text1"/>
          <w:sz w:val="28"/>
          <w:szCs w:val="28"/>
          <w:highlight w:val="none"/>
          <w14:textFill>
            <w14:solidFill>
              <w14:schemeClr w14:val="tx1"/>
            </w14:solidFill>
          </w14:textFill>
        </w:rPr>
      </w:pPr>
    </w:p>
    <w:p w14:paraId="324BA89B">
      <w:pPr>
        <w:pageBreakBefore w:val="0"/>
        <w:widowControl/>
        <w:kinsoku/>
        <w:overflowPunct/>
        <w:topLinePunct w:val="0"/>
        <w:autoSpaceDE/>
        <w:autoSpaceDN/>
        <w:bidi w:val="0"/>
        <w:spacing w:line="480" w:lineRule="exact"/>
        <w:ind w:left="0" w:leftChars="0" w:right="0"/>
        <w:jc w:val="left"/>
        <w:outlineLvl w:val="9"/>
        <w:rPr>
          <w:rFonts w:hint="default"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司法部关于政府采购支持监狱企业发展有关问题的通知》（财库[2014]68号）提供规定的《监狱企业证明文件》，并对证明文件的真实性负责。</w:t>
      </w:r>
      <w:r>
        <w:rPr>
          <w:rFonts w:hint="eastAsia" w:ascii="宋体" w:hAnsi="宋体" w:eastAsia="宋体" w:cs="宋体"/>
          <w:b/>
          <w:color w:val="000000" w:themeColor="text1"/>
          <w:sz w:val="28"/>
          <w:szCs w:val="28"/>
          <w:highlight w:val="none"/>
          <w14:textFill>
            <w14:solidFill>
              <w14:schemeClr w14:val="tx1"/>
            </w14:solidFill>
          </w14:textFill>
        </w:rPr>
        <w:br w:type="page"/>
      </w:r>
      <w:r>
        <w:rPr>
          <w:rFonts w:hint="eastAsia" w:ascii="宋体" w:hAnsi="宋体" w:eastAsia="宋体" w:cs="宋体"/>
          <w:b/>
          <w:color w:val="000000" w:themeColor="text1"/>
          <w:sz w:val="28"/>
          <w:szCs w:val="28"/>
          <w:highlight w:val="none"/>
          <w14:textFill>
            <w14:solidFill>
              <w14:schemeClr w14:val="tx1"/>
            </w14:solidFill>
          </w14:textFill>
        </w:rPr>
        <w:t>格式</w:t>
      </w:r>
      <w:r>
        <w:rPr>
          <w:rFonts w:hint="eastAsia" w:ascii="宋体" w:hAnsi="宋体" w:eastAsia="宋体" w:cs="宋体"/>
          <w:b/>
          <w:color w:val="000000" w:themeColor="text1"/>
          <w:sz w:val="28"/>
          <w:szCs w:val="28"/>
          <w:highlight w:val="none"/>
          <w:lang w:val="en-US" w:eastAsia="zh-CN"/>
          <w14:textFill>
            <w14:solidFill>
              <w14:schemeClr w14:val="tx1"/>
            </w14:solidFill>
          </w14:textFill>
        </w:rPr>
        <w:t>2</w:t>
      </w:r>
      <w:r>
        <w:rPr>
          <w:rFonts w:hint="eastAsia" w:ascii="宋体" w:hAnsi="宋体" w:cs="宋体"/>
          <w:b/>
          <w:color w:val="000000" w:themeColor="text1"/>
          <w:sz w:val="28"/>
          <w:szCs w:val="28"/>
          <w:highlight w:val="none"/>
          <w:lang w:val="en-US" w:eastAsia="zh-CN"/>
          <w14:textFill>
            <w14:solidFill>
              <w14:schemeClr w14:val="tx1"/>
            </w14:solidFill>
          </w14:textFill>
        </w:rPr>
        <w:t>4</w:t>
      </w:r>
    </w:p>
    <w:p w14:paraId="60E5F31D">
      <w:pPr>
        <w:pageBreakBefore w:val="0"/>
        <w:tabs>
          <w:tab w:val="left" w:pos="5580"/>
        </w:tabs>
        <w:kinsoku/>
        <w:overflowPunct/>
        <w:topLinePunct w:val="0"/>
        <w:autoSpaceDE/>
        <w:autoSpaceDN/>
        <w:bidi w:val="0"/>
        <w:spacing w:line="480" w:lineRule="exact"/>
        <w:ind w:left="0" w:leftChars="0" w:right="0"/>
        <w:jc w:val="center"/>
        <w:outlineLvl w:val="9"/>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《残疾人福利性单位声明函》（符合《三部门联合发布关于促进残疾人就业政府采购政策的通知》（财库〔2017〕141号）价格扣减条件的投标人需提交）</w:t>
      </w:r>
    </w:p>
    <w:p w14:paraId="21D817E5">
      <w:pPr>
        <w:pageBreakBefore w:val="0"/>
        <w:kinsoku/>
        <w:overflowPunct/>
        <w:topLinePunct w:val="0"/>
        <w:autoSpaceDE/>
        <w:autoSpaceDN/>
        <w:bidi w:val="0"/>
        <w:spacing w:line="480" w:lineRule="exact"/>
        <w:ind w:left="0" w:leftChars="0" w:right="0"/>
        <w:jc w:val="center"/>
        <w:outlineLvl w:val="9"/>
        <w:rPr>
          <w:rFonts w:hint="eastAsia" w:ascii="宋体" w:hAnsi="宋体" w:eastAsia="宋体" w:cs="宋体"/>
          <w:b w:val="0"/>
          <w:color w:val="000000" w:themeColor="text1"/>
          <w:spacing w:val="6"/>
          <w:szCs w:val="32"/>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t>残疾人福利性单位声明函</w:t>
      </w:r>
    </w:p>
    <w:p w14:paraId="697D66B9">
      <w:pPr>
        <w:pageBreakBefore w:val="0"/>
        <w:kinsoku/>
        <w:overflowPunct/>
        <w:topLinePunct w:val="0"/>
        <w:autoSpaceDE/>
        <w:autoSpaceDN/>
        <w:bidi w:val="0"/>
        <w:spacing w:line="480" w:lineRule="exact"/>
        <w:ind w:left="0" w:leftChars="0" w:right="0" w:firstLine="444" w:firstLineChars="200"/>
        <w:outlineLvl w:val="9"/>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Cs w:val="21"/>
          <w:highlight w:val="none"/>
          <w14:textFill>
            <w14:solidFill>
              <w14:schemeClr w14:val="tx1"/>
            </w14:solidFill>
          </w14:textFill>
        </w:rPr>
        <w:t>〔2017〕 141</w:t>
      </w:r>
      <w:r>
        <w:rPr>
          <w:rFonts w:hint="eastAsia" w:ascii="宋体" w:hAnsi="宋体" w:eastAsia="宋体" w:cs="宋体"/>
          <w:color w:val="000000" w:themeColor="text1"/>
          <w:spacing w:val="6"/>
          <w:szCs w:val="21"/>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DD46CB8">
      <w:pPr>
        <w:pageBreakBefore w:val="0"/>
        <w:kinsoku/>
        <w:overflowPunct/>
        <w:topLinePunct w:val="0"/>
        <w:autoSpaceDE/>
        <w:autoSpaceDN/>
        <w:bidi w:val="0"/>
        <w:spacing w:line="480" w:lineRule="exact"/>
        <w:ind w:left="0" w:leftChars="0" w:right="0" w:firstLine="444" w:firstLineChars="200"/>
        <w:outlineLvl w:val="9"/>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本单位对上述声明的真实性负责。如有虚假，将依法承担相应责任。</w:t>
      </w:r>
    </w:p>
    <w:p w14:paraId="67DE58CE">
      <w:pPr>
        <w:pageBreakBefore w:val="0"/>
        <w:kinsoku/>
        <w:overflowPunct/>
        <w:topLinePunct w:val="0"/>
        <w:autoSpaceDE/>
        <w:autoSpaceDN/>
        <w:bidi w:val="0"/>
        <w:spacing w:line="480" w:lineRule="exact"/>
        <w:ind w:left="0" w:leftChars="0" w:right="0" w:firstLine="444" w:firstLineChars="200"/>
        <w:outlineLvl w:val="9"/>
        <w:rPr>
          <w:rFonts w:hint="eastAsia" w:ascii="宋体" w:hAnsi="宋体" w:eastAsia="宋体" w:cs="宋体"/>
          <w:color w:val="000000" w:themeColor="text1"/>
          <w:spacing w:val="6"/>
          <w:szCs w:val="21"/>
          <w:highlight w:val="none"/>
          <w14:textFill>
            <w14:solidFill>
              <w14:schemeClr w14:val="tx1"/>
            </w14:solidFill>
          </w14:textFill>
        </w:rPr>
      </w:pPr>
    </w:p>
    <w:p w14:paraId="43507BA7">
      <w:pPr>
        <w:pageBreakBefore w:val="0"/>
        <w:kinsoku/>
        <w:overflowPunct/>
        <w:topLinePunct w:val="0"/>
        <w:autoSpaceDE/>
        <w:autoSpaceDN/>
        <w:bidi w:val="0"/>
        <w:spacing w:line="480" w:lineRule="exact"/>
        <w:ind w:left="0" w:leftChars="0" w:right="0" w:firstLine="444" w:firstLineChars="200"/>
        <w:outlineLvl w:val="9"/>
        <w:rPr>
          <w:rFonts w:hint="eastAsia" w:ascii="宋体" w:hAnsi="宋体" w:eastAsia="宋体" w:cs="宋体"/>
          <w:color w:val="000000" w:themeColor="text1"/>
          <w:spacing w:val="6"/>
          <w:szCs w:val="21"/>
          <w:highlight w:val="none"/>
          <w14:textFill>
            <w14:solidFill>
              <w14:schemeClr w14:val="tx1"/>
            </w14:solidFill>
          </w14:textFill>
        </w:rPr>
      </w:pPr>
    </w:p>
    <w:p w14:paraId="6C869A7D">
      <w:pPr>
        <w:pageBreakBefore w:val="0"/>
        <w:tabs>
          <w:tab w:val="left" w:pos="4860"/>
        </w:tabs>
        <w:kinsoku/>
        <w:overflowPunct/>
        <w:topLinePunct w:val="0"/>
        <w:autoSpaceDE/>
        <w:autoSpaceDN/>
        <w:bidi w:val="0"/>
        <w:spacing w:line="480" w:lineRule="exact"/>
        <w:ind w:left="0" w:leftChars="0" w:right="0" w:firstLine="444" w:firstLineChars="200"/>
        <w:jc w:val="center"/>
        <w:outlineLvl w:val="9"/>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               单位名称（盖章）：</w:t>
      </w:r>
    </w:p>
    <w:p w14:paraId="1706A2D9">
      <w:pPr>
        <w:pageBreakBefore w:val="0"/>
        <w:tabs>
          <w:tab w:val="left" w:pos="4860"/>
        </w:tabs>
        <w:kinsoku/>
        <w:overflowPunct/>
        <w:topLinePunct w:val="0"/>
        <w:autoSpaceDE/>
        <w:autoSpaceDN/>
        <w:bidi w:val="0"/>
        <w:spacing w:line="480" w:lineRule="exact"/>
        <w:ind w:left="0" w:leftChars="0" w:right="0" w:firstLine="444" w:firstLineChars="200"/>
        <w:jc w:val="center"/>
        <w:outlineLvl w:val="9"/>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      日  期：</w:t>
      </w:r>
    </w:p>
    <w:p w14:paraId="14F3427E">
      <w:pPr>
        <w:pageBreakBefore w:val="0"/>
        <w:kinsoku/>
        <w:overflowPunct/>
        <w:topLinePunct w:val="0"/>
        <w:autoSpaceDE/>
        <w:autoSpaceDN/>
        <w:bidi w:val="0"/>
        <w:spacing w:line="480" w:lineRule="exact"/>
        <w:ind w:left="0" w:leftChars="0" w:right="0"/>
        <w:outlineLvl w:val="9"/>
        <w:rPr>
          <w:rFonts w:hint="eastAsia" w:ascii="宋体" w:hAnsi="宋体" w:eastAsia="宋体" w:cs="宋体"/>
          <w:b/>
          <w:color w:val="000000" w:themeColor="text1"/>
          <w:szCs w:val="21"/>
          <w:highlight w:val="none"/>
          <w14:textFill>
            <w14:solidFill>
              <w14:schemeClr w14:val="tx1"/>
            </w14:solidFill>
          </w14:textFill>
        </w:rPr>
      </w:pPr>
    </w:p>
    <w:p w14:paraId="7BC86482">
      <w:pPr>
        <w:pageBreakBefore w:val="0"/>
        <w:kinsoku/>
        <w:overflowPunct/>
        <w:topLinePunct w:val="0"/>
        <w:autoSpaceDE/>
        <w:autoSpaceDN/>
        <w:bidi w:val="0"/>
        <w:spacing w:line="480" w:lineRule="exact"/>
        <w:ind w:left="0" w:leftChars="0" w:right="0"/>
        <w:outlineLvl w:val="9"/>
        <w:rPr>
          <w:rFonts w:hint="eastAsia" w:ascii="宋体" w:hAnsi="宋体" w:eastAsia="宋体" w:cs="宋体"/>
          <w:b/>
          <w:color w:val="000000" w:themeColor="text1"/>
          <w:szCs w:val="21"/>
          <w:highlight w:val="none"/>
          <w14:textFill>
            <w14:solidFill>
              <w14:schemeClr w14:val="tx1"/>
            </w14:solidFill>
          </w14:textFill>
        </w:rPr>
      </w:pPr>
    </w:p>
    <w:p w14:paraId="412C87C1">
      <w:pPr>
        <w:pageBreakBefore w:val="0"/>
        <w:kinsoku/>
        <w:overflowPunct/>
        <w:topLinePunct w:val="0"/>
        <w:autoSpaceDE/>
        <w:autoSpaceDN/>
        <w:bidi w:val="0"/>
        <w:spacing w:line="480" w:lineRule="exact"/>
        <w:ind w:left="0" w:leftChars="0" w:right="0"/>
        <w:outlineLvl w:val="9"/>
        <w:rPr>
          <w:rFonts w:hint="eastAsia" w:ascii="宋体" w:hAnsi="宋体" w:eastAsia="宋体" w:cs="宋体"/>
          <w:b/>
          <w:color w:val="000000" w:themeColor="text1"/>
          <w:szCs w:val="21"/>
          <w:highlight w:val="none"/>
          <w14:textFill>
            <w14:solidFill>
              <w14:schemeClr w14:val="tx1"/>
            </w14:solidFill>
          </w14:textFill>
        </w:rPr>
      </w:pPr>
    </w:p>
    <w:p w14:paraId="06C06A22">
      <w:pPr>
        <w:pageBreakBefore w:val="0"/>
        <w:kinsoku/>
        <w:overflowPunct/>
        <w:topLinePunct w:val="0"/>
        <w:autoSpaceDE/>
        <w:autoSpaceDN/>
        <w:bidi w:val="0"/>
        <w:spacing w:line="480" w:lineRule="exact"/>
        <w:ind w:left="0" w:leftChars="0" w:right="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注：符合条件的残疾人福利性单位在参加政府采购活动时，应当按《三部门联合发布关于促进残疾人就业政府采购政策的通知》（财库〔2017〕141号）提供规定的《残疾人福利性单位声明函》，并对声明的真实性负责。</w:t>
      </w:r>
    </w:p>
    <w:p w14:paraId="5D080177">
      <w:pPr>
        <w:widowControl/>
        <w:spacing w:line="360" w:lineRule="auto"/>
        <w:jc w:val="left"/>
        <w:rPr>
          <w:rFonts w:hint="eastAsia" w:ascii="宋体" w:hAnsi="宋体" w:eastAsia="宋体" w:cs="宋体"/>
          <w:b/>
          <w:sz w:val="28"/>
          <w:szCs w:val="28"/>
          <w:lang w:val="en-US" w:eastAsia="zh-CN"/>
        </w:rPr>
      </w:pPr>
      <w:r>
        <w:rPr>
          <w:rFonts w:hint="eastAsia" w:ascii="宋体" w:hAnsi="宋体" w:eastAsia="宋体" w:cs="宋体"/>
          <w:b/>
          <w:color w:val="000000" w:themeColor="text1"/>
          <w:sz w:val="28"/>
          <w:szCs w:val="28"/>
          <w:highlight w:val="none"/>
          <w14:textFill>
            <w14:solidFill>
              <w14:schemeClr w14:val="tx1"/>
            </w14:solidFill>
          </w14:textFill>
        </w:rPr>
        <w:br w:type="page"/>
      </w:r>
      <w:r>
        <w:rPr>
          <w:rFonts w:hint="eastAsia" w:ascii="宋体" w:hAnsi="宋体" w:cs="宋体"/>
          <w:b/>
          <w:sz w:val="28"/>
          <w:szCs w:val="28"/>
        </w:rPr>
        <w:t>格式2</w:t>
      </w:r>
      <w:r>
        <w:rPr>
          <w:rFonts w:hint="eastAsia" w:ascii="宋体" w:hAnsi="宋体" w:cs="宋体"/>
          <w:b/>
          <w:sz w:val="28"/>
          <w:szCs w:val="28"/>
          <w:lang w:val="en-US" w:eastAsia="zh-CN"/>
        </w:rPr>
        <w:t>5</w:t>
      </w:r>
    </w:p>
    <w:p w14:paraId="56B5B0CB">
      <w:pPr>
        <w:pStyle w:val="3"/>
        <w:spacing w:line="360" w:lineRule="auto"/>
        <w:jc w:val="center"/>
        <w:rPr>
          <w:rFonts w:ascii="宋体" w:hAnsi="宋体" w:cs="宋体"/>
          <w:color w:val="auto"/>
          <w:szCs w:val="32"/>
        </w:rPr>
      </w:pPr>
      <w:bookmarkStart w:id="453" w:name="_Toc31336"/>
      <w:bookmarkStart w:id="454" w:name="_Toc2914"/>
      <w:bookmarkStart w:id="455" w:name="_Toc37716417"/>
      <w:bookmarkStart w:id="456" w:name="_Toc25645"/>
      <w:bookmarkStart w:id="457" w:name="_Toc38338337"/>
      <w:bookmarkStart w:id="458" w:name="_Toc2152"/>
      <w:r>
        <w:rPr>
          <w:rFonts w:hint="eastAsia" w:ascii="宋体" w:hAnsi="宋体" w:cs="宋体"/>
          <w:color w:val="auto"/>
          <w:szCs w:val="32"/>
        </w:rPr>
        <w:t>构成投标文件的其它资料</w:t>
      </w:r>
      <w:bookmarkEnd w:id="453"/>
      <w:bookmarkEnd w:id="454"/>
      <w:bookmarkEnd w:id="455"/>
      <w:bookmarkEnd w:id="456"/>
      <w:bookmarkEnd w:id="457"/>
      <w:bookmarkEnd w:id="458"/>
    </w:p>
    <w:p w14:paraId="2CFC8346">
      <w:pPr>
        <w:spacing w:line="360" w:lineRule="auto"/>
        <w:jc w:val="left"/>
        <w:rPr>
          <w:rFonts w:ascii="宋体" w:hAnsi="宋体" w:cs="宋体"/>
          <w:szCs w:val="21"/>
        </w:rPr>
      </w:pPr>
      <w:r>
        <w:rPr>
          <w:rFonts w:hint="eastAsia" w:ascii="宋体" w:hAnsi="宋体" w:cs="宋体"/>
          <w:szCs w:val="21"/>
        </w:rPr>
        <w:t>详见第二章《投标人须知前附表》第15.2条，请自拟格式。</w:t>
      </w:r>
    </w:p>
    <w:p w14:paraId="67912E60">
      <w:pPr>
        <w:spacing w:line="360" w:lineRule="auto"/>
        <w:jc w:val="left"/>
        <w:rPr>
          <w:rFonts w:ascii="宋体" w:hAnsi="宋体" w:cs="宋体"/>
          <w:szCs w:val="21"/>
        </w:rPr>
      </w:pPr>
      <w:r>
        <w:rPr>
          <w:rFonts w:hint="eastAsia" w:ascii="宋体" w:hAnsi="宋体" w:cs="宋体"/>
          <w:szCs w:val="21"/>
        </w:rPr>
        <w:t>1.投标保证金交纳凭证或保函或投标（竞标）保证保险保单（扫描件加盖投标人电子公章）；</w:t>
      </w:r>
    </w:p>
    <w:p w14:paraId="56D6FA9C">
      <w:pPr>
        <w:spacing w:line="360" w:lineRule="auto"/>
        <w:jc w:val="left"/>
        <w:rPr>
          <w:rFonts w:ascii="宋体" w:hAnsi="宋体" w:cs="宋体"/>
          <w:szCs w:val="21"/>
        </w:rPr>
      </w:pPr>
      <w:r>
        <w:rPr>
          <w:rFonts w:hint="eastAsia" w:ascii="宋体" w:hAnsi="宋体" w:cs="宋体"/>
          <w:szCs w:val="21"/>
        </w:rPr>
        <w:t>2.第五章《采购需求》中要求提供的其他资料；</w:t>
      </w:r>
    </w:p>
    <w:p w14:paraId="6675B0E1">
      <w:pPr>
        <w:spacing w:line="360" w:lineRule="auto"/>
        <w:jc w:val="left"/>
        <w:rPr>
          <w:rFonts w:ascii="宋体" w:hAnsi="宋体" w:cs="宋体"/>
          <w:szCs w:val="21"/>
        </w:rPr>
      </w:pPr>
      <w:r>
        <w:rPr>
          <w:rFonts w:hint="eastAsia" w:ascii="宋体" w:hAnsi="宋体" w:cs="宋体"/>
          <w:szCs w:val="21"/>
        </w:rPr>
        <w:t>3.招标文件中所涉及到的相关资料及证明文件或投标人认为必须提供的其他相关资料。</w:t>
      </w:r>
    </w:p>
    <w:p w14:paraId="46EB28C6">
      <w:pPr>
        <w:widowControl/>
        <w:spacing w:line="360" w:lineRule="auto"/>
        <w:jc w:val="left"/>
        <w:rPr>
          <w:rFonts w:ascii="宋体" w:hAnsi="宋体" w:cs="宋体"/>
          <w:szCs w:val="21"/>
        </w:rPr>
      </w:pPr>
    </w:p>
    <w:p w14:paraId="5A93DD54">
      <w:pPr>
        <w:spacing w:line="360" w:lineRule="auto"/>
        <w:rPr>
          <w:rFonts w:ascii="宋体" w:hAnsi="宋体" w:cs="宋体"/>
          <w:kern w:val="0"/>
          <w:szCs w:val="21"/>
        </w:rPr>
      </w:pPr>
      <w:r>
        <w:rPr>
          <w:rFonts w:hint="eastAsia" w:ascii="宋体" w:hAnsi="宋体" w:cs="宋体"/>
          <w:szCs w:val="21"/>
        </w:rPr>
        <w:br w:type="page"/>
      </w:r>
    </w:p>
    <w:p w14:paraId="5659BFE8">
      <w:pPr>
        <w:pStyle w:val="2"/>
        <w:spacing w:line="360" w:lineRule="auto"/>
        <w:rPr>
          <w:rFonts w:ascii="宋体" w:hAnsi="宋体" w:cs="宋体"/>
          <w:szCs w:val="32"/>
        </w:rPr>
      </w:pPr>
      <w:bookmarkStart w:id="459" w:name="_Toc489145771"/>
      <w:bookmarkStart w:id="460" w:name="_Toc26540"/>
      <w:bookmarkStart w:id="461" w:name="_Toc31992"/>
      <w:r>
        <w:rPr>
          <w:rFonts w:hint="eastAsia" w:ascii="宋体" w:hAnsi="宋体" w:cs="宋体"/>
          <w:szCs w:val="32"/>
        </w:rPr>
        <w:t xml:space="preserve">第五章  </w:t>
      </w:r>
      <w:bookmarkEnd w:id="459"/>
      <w:bookmarkEnd w:id="460"/>
      <w:r>
        <w:rPr>
          <w:rFonts w:hint="eastAsia" w:ascii="宋体" w:hAnsi="宋体" w:cs="宋体"/>
          <w:szCs w:val="32"/>
        </w:rPr>
        <w:t>采购需求</w:t>
      </w:r>
      <w:bookmarkEnd w:id="461"/>
    </w:p>
    <w:bookmarkEnd w:id="8"/>
    <w:bookmarkEnd w:id="9"/>
    <w:p w14:paraId="3490CFDA">
      <w:pPr>
        <w:widowControl/>
        <w:shd w:val="clear" w:color="auto" w:fill="FFFFFF"/>
        <w:spacing w:line="360" w:lineRule="auto"/>
        <w:ind w:firstLine="316" w:firstLineChars="150"/>
        <w:rPr>
          <w:rFonts w:asciiTheme="minorEastAsia" w:hAnsiTheme="minorEastAsia" w:eastAsiaTheme="minorEastAsia" w:cstheme="minorEastAsia"/>
          <w:b/>
          <w:kern w:val="0"/>
          <w:szCs w:val="21"/>
        </w:rPr>
      </w:pPr>
      <w:bookmarkStart w:id="462" w:name="_Toc7630"/>
      <w:bookmarkStart w:id="463" w:name="_Toc4546"/>
      <w:bookmarkStart w:id="464" w:name="_Toc31507"/>
      <w:r>
        <w:rPr>
          <w:rFonts w:hint="eastAsia" w:asciiTheme="minorEastAsia" w:hAnsiTheme="minorEastAsia" w:eastAsiaTheme="minorEastAsia" w:cstheme="minorEastAsia"/>
          <w:b/>
          <w:kern w:val="0"/>
          <w:szCs w:val="21"/>
        </w:rPr>
        <w:t>（一）采购标的需实现的功能或者目标</w:t>
      </w:r>
    </w:p>
    <w:p w14:paraId="24927546">
      <w:pPr>
        <w:widowControl/>
        <w:shd w:val="clear" w:color="auto" w:fill="FFFFFF"/>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en-US" w:eastAsia="zh-CN"/>
        </w:rPr>
        <w:t>1.</w:t>
      </w:r>
      <w:r>
        <w:rPr>
          <w:rFonts w:asciiTheme="minorEastAsia" w:hAnsiTheme="minorEastAsia" w:eastAsiaTheme="minorEastAsia" w:cstheme="minorEastAsia"/>
          <w:kern w:val="0"/>
          <w:szCs w:val="21"/>
        </w:rPr>
        <w:t>‌转嫁医疗风险‌：医疗行为中存在诸多不确定因素，如医疗技术的限制、疾病谱的不可预测性和患者体质的差异性，这些都可能导致医疗事故或意外。购买医疗责任保险可以将这些风险转嫁给保险公司，减轻医院和医护人员的经济压力。</w:t>
      </w:r>
    </w:p>
    <w:p w14:paraId="71FED9E6">
      <w:pPr>
        <w:widowControl/>
        <w:shd w:val="clear" w:color="auto" w:fill="FFFFFF"/>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en-US" w:eastAsia="zh-CN"/>
        </w:rPr>
        <w:t>2.</w:t>
      </w:r>
      <w:r>
        <w:rPr>
          <w:rFonts w:asciiTheme="minorEastAsia" w:hAnsiTheme="minorEastAsia" w:eastAsiaTheme="minorEastAsia" w:cstheme="minorEastAsia"/>
          <w:kern w:val="0"/>
          <w:szCs w:val="21"/>
        </w:rPr>
        <w:t>‌保障患者权益‌：一旦发生医疗事故，患者可以通过医疗责任保险获得相应的赔偿，有助于及时、合理地解决纠纷，保障患者的合法权益，减少患者因赔偿问题而面临的经济压力和维权困难。</w:t>
      </w:r>
    </w:p>
    <w:p w14:paraId="153EB125">
      <w:pPr>
        <w:widowControl/>
        <w:shd w:val="clear" w:color="auto" w:fill="FFFFFF"/>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en-US" w:eastAsia="zh-CN"/>
        </w:rPr>
        <w:t>3.</w:t>
      </w:r>
      <w:r>
        <w:rPr>
          <w:rFonts w:asciiTheme="minorEastAsia" w:hAnsiTheme="minorEastAsia" w:eastAsiaTheme="minorEastAsia" w:cstheme="minorEastAsia"/>
          <w:kern w:val="0"/>
          <w:szCs w:val="21"/>
        </w:rPr>
        <w:t>‌提升医疗服务质量‌：购买医疗责任保险后，医疗机构和医护人员会更加注重医疗安全和服务质量，以降低医疗风险的发生概率，从而推动整个医疗行业服务水平的提升。</w:t>
      </w:r>
    </w:p>
    <w:p w14:paraId="6F27EAFD">
      <w:pPr>
        <w:widowControl/>
        <w:shd w:val="clear" w:color="auto" w:fill="FFFFFF"/>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en-US" w:eastAsia="zh-CN"/>
        </w:rPr>
        <w:t>4.</w:t>
      </w:r>
      <w:r>
        <w:rPr>
          <w:rFonts w:asciiTheme="minorEastAsia" w:hAnsiTheme="minorEastAsia" w:eastAsiaTheme="minorEastAsia" w:cstheme="minorEastAsia"/>
          <w:kern w:val="0"/>
          <w:szCs w:val="21"/>
        </w:rPr>
        <w:t>‌维护医疗秩序‌：医疗责任保险可以有效减少医疗纠纷对医疗秩序的干扰，让医疗机构能够更加专注于医疗服务，为患者提供更好的医疗环境。</w:t>
      </w:r>
    </w:p>
    <w:p w14:paraId="012F651D">
      <w:pPr>
        <w:widowControl/>
        <w:shd w:val="clear" w:color="auto" w:fill="FFFFFF"/>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en-US" w:eastAsia="zh-CN"/>
        </w:rPr>
        <w:t>5.</w:t>
      </w:r>
      <w:r>
        <w:rPr>
          <w:rFonts w:asciiTheme="minorEastAsia" w:hAnsiTheme="minorEastAsia" w:eastAsiaTheme="minorEastAsia" w:cstheme="minorEastAsia"/>
          <w:kern w:val="0"/>
          <w:szCs w:val="21"/>
        </w:rPr>
        <w:t>‌法律保障‌：根据《侵权责任法》第五十四条的规定，患者在诊疗活动中受到损害，医疗机构及其医务人员有过错的，由医疗机构承担赔偿责任。购买医疗责任保险可以为医院提供法律保障，确保在发生医疗事故时能够依法进行赔偿‌。</w:t>
      </w:r>
    </w:p>
    <w:p w14:paraId="27FA3D00">
      <w:pPr>
        <w:widowControl/>
        <w:shd w:val="clear" w:color="auto" w:fill="FFFFFF"/>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（二）采购标的需满足的服务要求；</w:t>
      </w:r>
    </w:p>
    <w:tbl>
      <w:tblPr>
        <w:tblStyle w:val="41"/>
        <w:tblW w:w="8789" w:type="dxa"/>
        <w:jc w:val="center"/>
        <w:tblLayout w:type="fixed"/>
        <w:tblCellMar>
          <w:top w:w="0" w:type="dxa"/>
          <w:left w:w="108" w:type="dxa"/>
          <w:bottom w:w="0" w:type="dxa"/>
          <w:right w:w="108" w:type="dxa"/>
        </w:tblCellMar>
      </w:tblPr>
      <w:tblGrid>
        <w:gridCol w:w="1277"/>
        <w:gridCol w:w="1842"/>
        <w:gridCol w:w="1843"/>
        <w:gridCol w:w="2126"/>
        <w:gridCol w:w="1701"/>
      </w:tblGrid>
      <w:tr w14:paraId="3FDB7CCD">
        <w:tblPrEx>
          <w:tblCellMar>
            <w:top w:w="0" w:type="dxa"/>
            <w:left w:w="108" w:type="dxa"/>
            <w:bottom w:w="0" w:type="dxa"/>
            <w:right w:w="108" w:type="dxa"/>
          </w:tblCellMar>
        </w:tblPrEx>
        <w:trPr>
          <w:trHeight w:val="405" w:hRule="atLeast"/>
          <w:jc w:val="center"/>
        </w:trPr>
        <w:tc>
          <w:tcPr>
            <w:tcW w:w="8789" w:type="dxa"/>
            <w:gridSpan w:val="5"/>
            <w:tcBorders>
              <w:top w:val="single" w:color="auto" w:sz="4" w:space="0"/>
              <w:left w:val="single" w:color="auto" w:sz="4" w:space="0"/>
              <w:bottom w:val="single" w:color="auto" w:sz="4" w:space="0"/>
              <w:right w:val="single" w:color="000000" w:sz="4" w:space="0"/>
            </w:tcBorders>
            <w:noWrap/>
            <w:vAlign w:val="center"/>
          </w:tcPr>
          <w:p w14:paraId="11C8AB91">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rFonts w:hint="eastAsia" w:ascii="宋体" w:hAnsi="宋体" w:cs="宋体"/>
                <w:sz w:val="21"/>
                <w:szCs w:val="21"/>
              </w:rPr>
            </w:pPr>
            <w:r>
              <w:rPr>
                <w:rFonts w:hint="eastAsia" w:ascii="宋体" w:hAnsi="宋体" w:cs="宋体"/>
                <w:sz w:val="21"/>
                <w:szCs w:val="21"/>
              </w:rPr>
              <w:t>承保方案</w:t>
            </w:r>
          </w:p>
          <w:p w14:paraId="415DD8B1">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rFonts w:hint="eastAsia" w:ascii="宋体" w:hAnsi="宋体" w:cs="宋体"/>
                <w:sz w:val="21"/>
                <w:szCs w:val="21"/>
                <w:lang w:eastAsia="zh-CN"/>
              </w:rPr>
            </w:pPr>
            <w:r>
              <w:rPr>
                <w:rFonts w:hint="eastAsia" w:ascii="宋体" w:hAnsi="宋体" w:cs="宋体"/>
                <w:sz w:val="21"/>
                <w:szCs w:val="21"/>
                <w:lang w:val="en-US" w:eastAsia="zh-CN"/>
              </w:rPr>
              <w:t>（仅供参考）</w:t>
            </w:r>
          </w:p>
        </w:tc>
      </w:tr>
      <w:tr w14:paraId="2AEDF24A">
        <w:tblPrEx>
          <w:tblCellMar>
            <w:top w:w="0" w:type="dxa"/>
            <w:left w:w="108" w:type="dxa"/>
            <w:bottom w:w="0" w:type="dxa"/>
            <w:right w:w="108" w:type="dxa"/>
          </w:tblCellMar>
        </w:tblPrEx>
        <w:trPr>
          <w:trHeight w:val="375" w:hRule="atLeast"/>
          <w:jc w:val="center"/>
        </w:trPr>
        <w:tc>
          <w:tcPr>
            <w:tcW w:w="1277" w:type="dxa"/>
            <w:vMerge w:val="restart"/>
            <w:tcBorders>
              <w:top w:val="nil"/>
              <w:left w:val="single" w:color="auto" w:sz="4" w:space="0"/>
              <w:bottom w:val="single" w:color="000000" w:sz="4" w:space="0"/>
              <w:right w:val="single" w:color="auto" w:sz="4" w:space="0"/>
            </w:tcBorders>
            <w:noWrap/>
            <w:vAlign w:val="center"/>
          </w:tcPr>
          <w:p w14:paraId="2C7944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标的信息</w:t>
            </w:r>
          </w:p>
        </w:tc>
        <w:tc>
          <w:tcPr>
            <w:tcW w:w="1842" w:type="dxa"/>
            <w:tcBorders>
              <w:top w:val="nil"/>
              <w:left w:val="nil"/>
              <w:bottom w:val="single" w:color="auto" w:sz="4" w:space="0"/>
              <w:right w:val="single" w:color="auto" w:sz="4" w:space="0"/>
            </w:tcBorders>
            <w:noWrap/>
            <w:vAlign w:val="center"/>
          </w:tcPr>
          <w:p w14:paraId="24E8C9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医院等级</w:t>
            </w:r>
          </w:p>
        </w:tc>
        <w:tc>
          <w:tcPr>
            <w:tcW w:w="1843" w:type="dxa"/>
            <w:tcBorders>
              <w:top w:val="nil"/>
              <w:left w:val="nil"/>
              <w:bottom w:val="single" w:color="auto" w:sz="4" w:space="0"/>
              <w:right w:val="single" w:color="auto" w:sz="4" w:space="0"/>
            </w:tcBorders>
            <w:noWrap/>
            <w:vAlign w:val="center"/>
          </w:tcPr>
          <w:p w14:paraId="56F108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二级甲等</w:t>
            </w:r>
          </w:p>
        </w:tc>
        <w:tc>
          <w:tcPr>
            <w:tcW w:w="2126" w:type="dxa"/>
            <w:tcBorders>
              <w:top w:val="nil"/>
              <w:left w:val="nil"/>
              <w:bottom w:val="single" w:color="auto" w:sz="4" w:space="0"/>
              <w:right w:val="single" w:color="auto" w:sz="4" w:space="0"/>
            </w:tcBorders>
            <w:noWrap/>
            <w:vAlign w:val="center"/>
          </w:tcPr>
          <w:p w14:paraId="0BF772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床位数</w:t>
            </w:r>
          </w:p>
        </w:tc>
        <w:tc>
          <w:tcPr>
            <w:tcW w:w="1701" w:type="dxa"/>
            <w:tcBorders>
              <w:top w:val="nil"/>
              <w:left w:val="nil"/>
              <w:bottom w:val="single" w:color="auto" w:sz="4" w:space="0"/>
              <w:right w:val="single" w:color="auto" w:sz="4" w:space="0"/>
            </w:tcBorders>
            <w:noWrap/>
            <w:vAlign w:val="center"/>
          </w:tcPr>
          <w:p w14:paraId="55DE4F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500</w:t>
            </w:r>
            <w:r>
              <w:rPr>
                <w:rFonts w:hint="eastAsia" w:ascii="宋体" w:hAnsi="宋体" w:cs="宋体"/>
                <w:sz w:val="21"/>
                <w:szCs w:val="21"/>
              </w:rPr>
              <w:t>个</w:t>
            </w:r>
          </w:p>
        </w:tc>
      </w:tr>
      <w:tr w14:paraId="20F89DEE">
        <w:tblPrEx>
          <w:tblCellMar>
            <w:top w:w="0" w:type="dxa"/>
            <w:left w:w="108" w:type="dxa"/>
            <w:bottom w:w="0" w:type="dxa"/>
            <w:right w:w="108" w:type="dxa"/>
          </w:tblCellMar>
        </w:tblPrEx>
        <w:trPr>
          <w:trHeight w:val="375" w:hRule="atLeast"/>
          <w:jc w:val="center"/>
        </w:trPr>
        <w:tc>
          <w:tcPr>
            <w:tcW w:w="1277" w:type="dxa"/>
            <w:vMerge w:val="continue"/>
            <w:tcBorders>
              <w:top w:val="nil"/>
              <w:left w:val="single" w:color="auto" w:sz="4" w:space="0"/>
              <w:bottom w:val="single" w:color="000000" w:sz="4" w:space="0"/>
              <w:right w:val="single" w:color="auto" w:sz="4" w:space="0"/>
            </w:tcBorders>
            <w:noWrap w:val="0"/>
            <w:vAlign w:val="center"/>
          </w:tcPr>
          <w:p w14:paraId="1C9EB2F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rFonts w:hint="eastAsia" w:ascii="宋体" w:hAnsi="宋体" w:cs="宋体"/>
                <w:sz w:val="21"/>
                <w:szCs w:val="21"/>
              </w:rPr>
            </w:pPr>
          </w:p>
        </w:tc>
        <w:tc>
          <w:tcPr>
            <w:tcW w:w="1842" w:type="dxa"/>
            <w:tcBorders>
              <w:top w:val="nil"/>
              <w:left w:val="nil"/>
              <w:bottom w:val="single" w:color="auto" w:sz="4" w:space="0"/>
              <w:right w:val="single" w:color="auto" w:sz="4" w:space="0"/>
            </w:tcBorders>
            <w:noWrap/>
            <w:vAlign w:val="center"/>
          </w:tcPr>
          <w:p w14:paraId="47B6A8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医院类型</w:t>
            </w:r>
          </w:p>
        </w:tc>
        <w:tc>
          <w:tcPr>
            <w:tcW w:w="1843" w:type="dxa"/>
            <w:tcBorders>
              <w:top w:val="nil"/>
              <w:left w:val="nil"/>
              <w:bottom w:val="single" w:color="auto" w:sz="4" w:space="0"/>
              <w:right w:val="single" w:color="auto" w:sz="4" w:space="0"/>
            </w:tcBorders>
            <w:noWrap/>
            <w:vAlign w:val="center"/>
          </w:tcPr>
          <w:p w14:paraId="2760C5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综合性医院</w:t>
            </w:r>
          </w:p>
        </w:tc>
        <w:tc>
          <w:tcPr>
            <w:tcW w:w="2126" w:type="dxa"/>
            <w:tcBorders>
              <w:top w:val="nil"/>
              <w:left w:val="nil"/>
              <w:bottom w:val="single" w:color="auto" w:sz="4" w:space="0"/>
              <w:right w:val="single" w:color="auto" w:sz="4" w:space="0"/>
            </w:tcBorders>
            <w:noWrap/>
            <w:vAlign w:val="center"/>
          </w:tcPr>
          <w:p w14:paraId="35DB83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医护人员总数</w:t>
            </w:r>
          </w:p>
        </w:tc>
        <w:tc>
          <w:tcPr>
            <w:tcW w:w="1701" w:type="dxa"/>
            <w:tcBorders>
              <w:top w:val="nil"/>
              <w:left w:val="nil"/>
              <w:bottom w:val="single" w:color="auto" w:sz="4" w:space="0"/>
              <w:right w:val="single" w:color="auto" w:sz="4" w:space="0"/>
            </w:tcBorders>
            <w:noWrap/>
            <w:vAlign w:val="center"/>
          </w:tcPr>
          <w:p w14:paraId="2B13DD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65</w:t>
            </w:r>
            <w:r>
              <w:rPr>
                <w:rFonts w:hint="eastAsia" w:ascii="宋体" w:hAnsi="宋体" w:cs="宋体"/>
                <w:sz w:val="21"/>
                <w:szCs w:val="21"/>
              </w:rPr>
              <w:t>0人</w:t>
            </w:r>
          </w:p>
        </w:tc>
      </w:tr>
      <w:tr w14:paraId="1AB2C0FB">
        <w:tblPrEx>
          <w:tblCellMar>
            <w:top w:w="0" w:type="dxa"/>
            <w:left w:w="108" w:type="dxa"/>
            <w:bottom w:w="0" w:type="dxa"/>
            <w:right w:w="108" w:type="dxa"/>
          </w:tblCellMar>
        </w:tblPrEx>
        <w:trPr>
          <w:trHeight w:val="375" w:hRule="atLeast"/>
          <w:jc w:val="center"/>
        </w:trPr>
        <w:tc>
          <w:tcPr>
            <w:tcW w:w="1277" w:type="dxa"/>
            <w:vMerge w:val="continue"/>
            <w:tcBorders>
              <w:top w:val="nil"/>
              <w:left w:val="single" w:color="auto" w:sz="4" w:space="0"/>
              <w:bottom w:val="single" w:color="000000" w:sz="4" w:space="0"/>
              <w:right w:val="single" w:color="auto" w:sz="4" w:space="0"/>
            </w:tcBorders>
            <w:noWrap w:val="0"/>
            <w:vAlign w:val="center"/>
          </w:tcPr>
          <w:p w14:paraId="2A04E0A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rFonts w:hint="eastAsia" w:ascii="宋体" w:hAnsi="宋体" w:cs="宋体"/>
                <w:sz w:val="21"/>
                <w:szCs w:val="21"/>
              </w:rPr>
            </w:pPr>
          </w:p>
        </w:tc>
        <w:tc>
          <w:tcPr>
            <w:tcW w:w="1842" w:type="dxa"/>
            <w:tcBorders>
              <w:top w:val="nil"/>
              <w:left w:val="nil"/>
              <w:bottom w:val="single" w:color="auto" w:sz="4" w:space="0"/>
              <w:right w:val="single" w:color="auto" w:sz="4" w:space="0"/>
            </w:tcBorders>
            <w:noWrap/>
            <w:vAlign w:val="center"/>
          </w:tcPr>
          <w:p w14:paraId="7EDC90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医院所在地</w:t>
            </w:r>
          </w:p>
        </w:tc>
        <w:tc>
          <w:tcPr>
            <w:tcW w:w="1843" w:type="dxa"/>
            <w:tcBorders>
              <w:top w:val="nil"/>
              <w:left w:val="nil"/>
              <w:bottom w:val="single" w:color="auto" w:sz="4" w:space="0"/>
              <w:right w:val="single" w:color="auto" w:sz="4" w:space="0"/>
            </w:tcBorders>
            <w:noWrap/>
            <w:vAlign w:val="center"/>
          </w:tcPr>
          <w:p w14:paraId="1AEBB7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云南省昆明市</w:t>
            </w:r>
          </w:p>
        </w:tc>
        <w:tc>
          <w:tcPr>
            <w:tcW w:w="2126" w:type="dxa"/>
            <w:tcBorders>
              <w:top w:val="nil"/>
              <w:left w:val="nil"/>
              <w:bottom w:val="single" w:color="auto" w:sz="4" w:space="0"/>
              <w:right w:val="single" w:color="auto" w:sz="4" w:space="0"/>
            </w:tcBorders>
            <w:noWrap/>
            <w:vAlign w:val="center"/>
          </w:tcPr>
          <w:p w14:paraId="148D1F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投保医护人员数</w:t>
            </w:r>
          </w:p>
        </w:tc>
        <w:tc>
          <w:tcPr>
            <w:tcW w:w="1701" w:type="dxa"/>
            <w:tcBorders>
              <w:top w:val="nil"/>
              <w:left w:val="nil"/>
              <w:bottom w:val="single" w:color="auto" w:sz="4" w:space="0"/>
              <w:right w:val="single" w:color="auto" w:sz="4" w:space="0"/>
            </w:tcBorders>
            <w:noWrap/>
            <w:vAlign w:val="center"/>
          </w:tcPr>
          <w:p w14:paraId="3CC489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60</w:t>
            </w:r>
            <w:r>
              <w:rPr>
                <w:rFonts w:hint="eastAsia" w:ascii="宋体" w:hAnsi="宋体" w:cs="宋体"/>
                <w:sz w:val="21"/>
                <w:szCs w:val="21"/>
              </w:rPr>
              <w:t>0人</w:t>
            </w:r>
          </w:p>
        </w:tc>
      </w:tr>
      <w:tr w14:paraId="5931AAF7">
        <w:tblPrEx>
          <w:tblCellMar>
            <w:top w:w="0" w:type="dxa"/>
            <w:left w:w="108" w:type="dxa"/>
            <w:bottom w:w="0" w:type="dxa"/>
            <w:right w:w="108" w:type="dxa"/>
          </w:tblCellMar>
        </w:tblPrEx>
        <w:trPr>
          <w:trHeight w:val="375" w:hRule="atLeast"/>
          <w:jc w:val="center"/>
        </w:trPr>
        <w:tc>
          <w:tcPr>
            <w:tcW w:w="8789" w:type="dxa"/>
            <w:gridSpan w:val="5"/>
            <w:tcBorders>
              <w:top w:val="single" w:color="auto" w:sz="4" w:space="0"/>
              <w:left w:val="single" w:color="auto" w:sz="4" w:space="0"/>
              <w:bottom w:val="single" w:color="auto" w:sz="4" w:space="0"/>
              <w:right w:val="single" w:color="000000" w:sz="4" w:space="0"/>
            </w:tcBorders>
            <w:noWrap/>
            <w:vAlign w:val="center"/>
          </w:tcPr>
          <w:p w14:paraId="7F086EB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主条款信息</w:t>
            </w:r>
          </w:p>
        </w:tc>
      </w:tr>
      <w:tr w14:paraId="132E3F52">
        <w:tblPrEx>
          <w:tblCellMar>
            <w:top w:w="0" w:type="dxa"/>
            <w:left w:w="108" w:type="dxa"/>
            <w:bottom w:w="0" w:type="dxa"/>
            <w:right w:w="108" w:type="dxa"/>
          </w:tblCellMar>
        </w:tblPrEx>
        <w:trPr>
          <w:trHeight w:val="375" w:hRule="atLeast"/>
          <w:jc w:val="center"/>
        </w:trPr>
        <w:tc>
          <w:tcPr>
            <w:tcW w:w="3119" w:type="dxa"/>
            <w:gridSpan w:val="2"/>
            <w:tcBorders>
              <w:top w:val="single" w:color="auto" w:sz="4" w:space="0"/>
              <w:left w:val="single" w:color="auto" w:sz="4" w:space="0"/>
              <w:bottom w:val="single" w:color="auto" w:sz="4" w:space="0"/>
              <w:right w:val="single" w:color="000000" w:sz="4" w:space="0"/>
            </w:tcBorders>
            <w:noWrap/>
            <w:vAlign w:val="center"/>
          </w:tcPr>
          <w:p w14:paraId="4DD13F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每名患者赔偿限额</w:t>
            </w:r>
          </w:p>
        </w:tc>
        <w:tc>
          <w:tcPr>
            <w:tcW w:w="1843" w:type="dxa"/>
            <w:tcBorders>
              <w:top w:val="nil"/>
              <w:left w:val="nil"/>
              <w:bottom w:val="single" w:color="auto" w:sz="4" w:space="0"/>
              <w:right w:val="single" w:color="auto" w:sz="4" w:space="0"/>
            </w:tcBorders>
            <w:noWrap/>
            <w:vAlign w:val="center"/>
          </w:tcPr>
          <w:p w14:paraId="46A848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30万元</w:t>
            </w:r>
          </w:p>
        </w:tc>
        <w:tc>
          <w:tcPr>
            <w:tcW w:w="2126" w:type="dxa"/>
            <w:tcBorders>
              <w:top w:val="nil"/>
              <w:left w:val="nil"/>
              <w:bottom w:val="single" w:color="auto" w:sz="4" w:space="0"/>
              <w:right w:val="single" w:color="auto" w:sz="4" w:space="0"/>
            </w:tcBorders>
            <w:noWrap/>
            <w:vAlign w:val="center"/>
          </w:tcPr>
          <w:p w14:paraId="13C435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每次事故赔偿限额</w:t>
            </w:r>
          </w:p>
        </w:tc>
        <w:tc>
          <w:tcPr>
            <w:tcW w:w="1701" w:type="dxa"/>
            <w:tcBorders>
              <w:top w:val="nil"/>
              <w:left w:val="nil"/>
              <w:bottom w:val="single" w:color="auto" w:sz="4" w:space="0"/>
              <w:right w:val="single" w:color="auto" w:sz="4" w:space="0"/>
            </w:tcBorders>
            <w:noWrap/>
            <w:vAlign w:val="center"/>
          </w:tcPr>
          <w:p w14:paraId="5FDAE0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100万元</w:t>
            </w:r>
          </w:p>
        </w:tc>
      </w:tr>
      <w:tr w14:paraId="3B26C093">
        <w:tblPrEx>
          <w:tblCellMar>
            <w:top w:w="0" w:type="dxa"/>
            <w:left w:w="108" w:type="dxa"/>
            <w:bottom w:w="0" w:type="dxa"/>
            <w:right w:w="108" w:type="dxa"/>
          </w:tblCellMar>
        </w:tblPrEx>
        <w:trPr>
          <w:trHeight w:val="352" w:hRule="atLeast"/>
          <w:jc w:val="center"/>
        </w:trPr>
        <w:tc>
          <w:tcPr>
            <w:tcW w:w="4962" w:type="dxa"/>
            <w:gridSpan w:val="3"/>
            <w:tcBorders>
              <w:top w:val="single" w:color="auto" w:sz="4" w:space="0"/>
              <w:left w:val="single" w:color="auto" w:sz="4" w:space="0"/>
              <w:bottom w:val="single" w:color="auto" w:sz="4" w:space="0"/>
              <w:right w:val="single" w:color="000000" w:sz="4" w:space="0"/>
            </w:tcBorders>
            <w:noWrap/>
            <w:vAlign w:val="center"/>
          </w:tcPr>
          <w:p w14:paraId="7FE205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累计赔偿限额</w:t>
            </w:r>
          </w:p>
        </w:tc>
        <w:tc>
          <w:tcPr>
            <w:tcW w:w="3827" w:type="dxa"/>
            <w:gridSpan w:val="2"/>
            <w:tcBorders>
              <w:top w:val="single" w:color="auto" w:sz="4" w:space="0"/>
              <w:left w:val="nil"/>
              <w:bottom w:val="single" w:color="auto" w:sz="4" w:space="0"/>
              <w:right w:val="single" w:color="000000" w:sz="4" w:space="0"/>
            </w:tcBorders>
            <w:noWrap/>
            <w:vAlign w:val="center"/>
          </w:tcPr>
          <w:p w14:paraId="3151C6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350万元</w:t>
            </w:r>
          </w:p>
        </w:tc>
      </w:tr>
      <w:tr w14:paraId="5CC07D46">
        <w:tblPrEx>
          <w:tblCellMar>
            <w:top w:w="0" w:type="dxa"/>
            <w:left w:w="108" w:type="dxa"/>
            <w:bottom w:w="0" w:type="dxa"/>
            <w:right w:w="108" w:type="dxa"/>
          </w:tblCellMar>
        </w:tblPrEx>
        <w:trPr>
          <w:trHeight w:val="780" w:hRule="atLeast"/>
          <w:jc w:val="center"/>
        </w:trPr>
        <w:tc>
          <w:tcPr>
            <w:tcW w:w="8789" w:type="dxa"/>
            <w:gridSpan w:val="5"/>
            <w:tcBorders>
              <w:top w:val="single" w:color="auto" w:sz="4" w:space="0"/>
              <w:left w:val="single" w:color="auto" w:sz="4" w:space="0"/>
              <w:bottom w:val="single" w:color="auto" w:sz="4" w:space="0"/>
              <w:right w:val="single" w:color="000000" w:sz="4" w:space="0"/>
            </w:tcBorders>
            <w:noWrap/>
            <w:vAlign w:val="center"/>
          </w:tcPr>
          <w:p w14:paraId="4EE907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附加医务人员人身损害责任保险（累计赔偿限额200万元，每次事故赔偿限额80万元，每人赔偿限额40万元）</w:t>
            </w:r>
          </w:p>
        </w:tc>
      </w:tr>
      <w:tr w14:paraId="56D8B666">
        <w:tblPrEx>
          <w:tblCellMar>
            <w:top w:w="0" w:type="dxa"/>
            <w:left w:w="108" w:type="dxa"/>
            <w:bottom w:w="0" w:type="dxa"/>
            <w:right w:w="108" w:type="dxa"/>
          </w:tblCellMar>
        </w:tblPrEx>
        <w:trPr>
          <w:trHeight w:val="375" w:hRule="atLeast"/>
          <w:jc w:val="center"/>
        </w:trPr>
        <w:tc>
          <w:tcPr>
            <w:tcW w:w="8789" w:type="dxa"/>
            <w:gridSpan w:val="5"/>
            <w:tcBorders>
              <w:top w:val="single" w:color="auto" w:sz="4" w:space="0"/>
              <w:left w:val="single" w:color="auto" w:sz="4" w:space="0"/>
              <w:bottom w:val="single" w:color="auto" w:sz="4" w:space="0"/>
              <w:right w:val="single" w:color="000000" w:sz="4" w:space="0"/>
            </w:tcBorders>
            <w:noWrap/>
            <w:vAlign w:val="center"/>
          </w:tcPr>
          <w:p w14:paraId="325454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附加医疗意外责任保险（累计赔偿限额200万元，每次事故赔偿限额40万元，每人赔偿限额20万元）</w:t>
            </w:r>
          </w:p>
        </w:tc>
      </w:tr>
      <w:tr w14:paraId="60A6216B">
        <w:tblPrEx>
          <w:tblCellMar>
            <w:top w:w="0" w:type="dxa"/>
            <w:left w:w="108" w:type="dxa"/>
            <w:bottom w:w="0" w:type="dxa"/>
            <w:right w:w="108" w:type="dxa"/>
          </w:tblCellMar>
        </w:tblPrEx>
        <w:trPr>
          <w:trHeight w:val="375" w:hRule="atLeast"/>
          <w:jc w:val="center"/>
        </w:trPr>
        <w:tc>
          <w:tcPr>
            <w:tcW w:w="8789" w:type="dxa"/>
            <w:gridSpan w:val="5"/>
            <w:tcBorders>
              <w:top w:val="single" w:color="auto" w:sz="4" w:space="0"/>
              <w:left w:val="single" w:color="auto" w:sz="4" w:space="0"/>
              <w:bottom w:val="single" w:color="auto" w:sz="4" w:space="0"/>
              <w:right w:val="single" w:color="000000" w:sz="4" w:space="0"/>
            </w:tcBorders>
            <w:noWrap/>
            <w:vAlign w:val="center"/>
          </w:tcPr>
          <w:p w14:paraId="2BC346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附加医疗机构场所责任保险（累计赔偿限额200万元，每次事故赔偿限额40万元，每人赔偿限额20万元）</w:t>
            </w:r>
          </w:p>
        </w:tc>
      </w:tr>
      <w:tr w14:paraId="55E44EE5">
        <w:tblPrEx>
          <w:tblCellMar>
            <w:top w:w="0" w:type="dxa"/>
            <w:left w:w="108" w:type="dxa"/>
            <w:bottom w:w="0" w:type="dxa"/>
            <w:right w:w="108" w:type="dxa"/>
          </w:tblCellMar>
        </w:tblPrEx>
        <w:trPr>
          <w:trHeight w:val="375" w:hRule="atLeast"/>
          <w:jc w:val="center"/>
        </w:trPr>
        <w:tc>
          <w:tcPr>
            <w:tcW w:w="8789" w:type="dxa"/>
            <w:gridSpan w:val="5"/>
            <w:tcBorders>
              <w:top w:val="single" w:color="auto" w:sz="4" w:space="0"/>
              <w:left w:val="single" w:color="auto" w:sz="4" w:space="0"/>
              <w:bottom w:val="single" w:color="auto" w:sz="4" w:space="0"/>
              <w:right w:val="single" w:color="000000" w:sz="4" w:space="0"/>
            </w:tcBorders>
            <w:noWrap/>
            <w:vAlign w:val="center"/>
          </w:tcPr>
          <w:p w14:paraId="01CF89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医疗责任保险附加精神损害赔偿责任保险（每次事故赔偿5万元）</w:t>
            </w:r>
          </w:p>
        </w:tc>
      </w:tr>
      <w:tr w14:paraId="0214AFD8">
        <w:tblPrEx>
          <w:tblCellMar>
            <w:top w:w="0" w:type="dxa"/>
            <w:left w:w="108" w:type="dxa"/>
            <w:bottom w:w="0" w:type="dxa"/>
            <w:right w:w="108" w:type="dxa"/>
          </w:tblCellMar>
        </w:tblPrEx>
        <w:trPr>
          <w:trHeight w:val="375" w:hRule="atLeast"/>
          <w:jc w:val="center"/>
        </w:trPr>
        <w:tc>
          <w:tcPr>
            <w:tcW w:w="4962" w:type="dxa"/>
            <w:gridSpan w:val="3"/>
            <w:tcBorders>
              <w:top w:val="single" w:color="auto" w:sz="4" w:space="0"/>
              <w:left w:val="single" w:color="auto" w:sz="4" w:space="0"/>
              <w:bottom w:val="single" w:color="auto" w:sz="4" w:space="0"/>
              <w:right w:val="single" w:color="000000" w:sz="4" w:space="0"/>
            </w:tcBorders>
            <w:noWrap/>
            <w:vAlign w:val="center"/>
          </w:tcPr>
          <w:p w14:paraId="4C572E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rPr>
              <w:t>合计总保险费/年</w:t>
            </w:r>
          </w:p>
        </w:tc>
        <w:tc>
          <w:tcPr>
            <w:tcW w:w="3827" w:type="dxa"/>
            <w:gridSpan w:val="2"/>
            <w:tcBorders>
              <w:top w:val="single" w:color="auto" w:sz="4" w:space="0"/>
              <w:left w:val="nil"/>
              <w:bottom w:val="single" w:color="auto" w:sz="4" w:space="0"/>
              <w:right w:val="single" w:color="000000" w:sz="4" w:space="0"/>
            </w:tcBorders>
            <w:noWrap/>
            <w:vAlign w:val="center"/>
          </w:tcPr>
          <w:p w14:paraId="51F382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60</w:t>
            </w:r>
            <w:r>
              <w:rPr>
                <w:rFonts w:hint="eastAsia" w:ascii="宋体" w:hAnsi="宋体" w:cs="宋体"/>
                <w:sz w:val="21"/>
                <w:szCs w:val="21"/>
              </w:rPr>
              <w:t>万元</w:t>
            </w:r>
          </w:p>
        </w:tc>
      </w:tr>
    </w:tbl>
    <w:p w14:paraId="2645B54B">
      <w:pPr>
        <w:kinsoku w:val="0"/>
        <w:autoSpaceDE w:val="0"/>
        <w:autoSpaceDN w:val="0"/>
        <w:adjustRightInd w:val="0"/>
        <w:snapToGrid w:val="0"/>
        <w:spacing w:before="50" w:line="360" w:lineRule="auto"/>
        <w:ind w:left="431"/>
        <w:jc w:val="left"/>
        <w:textAlignment w:val="baseline"/>
        <w:rPr>
          <w:rFonts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zh-CN" w:bidi="ar-SA"/>
        </w:rPr>
        <w:t>特别约定：</w:t>
      </w:r>
    </w:p>
    <w:p w14:paraId="3EC2EDA7">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16"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1"/>
          <w:kern w:val="0"/>
          <w:sz w:val="21"/>
          <w:szCs w:val="21"/>
          <w:highlight w:val="none"/>
          <w:lang w:val="en-US" w:eastAsia="en-US" w:bidi="ar-SA"/>
        </w:rPr>
        <w:t>(</w:t>
      </w:r>
      <w:r>
        <w:rPr>
          <w:rFonts w:hint="eastAsia" w:ascii="宋体" w:hAnsi="宋体" w:eastAsia="宋体" w:cs="宋体"/>
          <w:snapToGrid w:val="0"/>
          <w:color w:val="000000"/>
          <w:spacing w:val="-1"/>
          <w:kern w:val="0"/>
          <w:sz w:val="21"/>
          <w:szCs w:val="21"/>
          <w:highlight w:val="none"/>
          <w:lang w:val="en-US" w:eastAsia="zh-CN" w:bidi="ar-SA"/>
        </w:rPr>
        <w:t>1</w:t>
      </w:r>
      <w:r>
        <w:rPr>
          <w:rFonts w:ascii="宋体" w:hAnsi="宋体" w:eastAsia="宋体" w:cs="宋体"/>
          <w:snapToGrid w:val="0"/>
          <w:color w:val="000000"/>
          <w:spacing w:val="-1"/>
          <w:kern w:val="0"/>
          <w:sz w:val="21"/>
          <w:szCs w:val="21"/>
          <w:highlight w:val="none"/>
          <w:lang w:val="en-US" w:eastAsia="en-US" w:bidi="ar-SA"/>
        </w:rPr>
        <w:t>)属于医疗事故，经医疗事故技术鉴定的，根据鉴定结果及赔偿合同按照《医疗</w:t>
      </w:r>
      <w:r>
        <w:rPr>
          <w:rFonts w:ascii="宋体" w:hAnsi="宋体" w:eastAsia="宋体" w:cs="宋体"/>
          <w:snapToGrid w:val="0"/>
          <w:color w:val="000000"/>
          <w:spacing w:val="4"/>
          <w:kern w:val="0"/>
          <w:sz w:val="21"/>
          <w:szCs w:val="21"/>
          <w:highlight w:val="none"/>
          <w:lang w:val="en-US" w:eastAsia="en-US" w:bidi="ar-SA"/>
        </w:rPr>
        <w:t>事故处理条例》医疗事故的等级赔偿标准处理；</w:t>
      </w:r>
    </w:p>
    <w:p w14:paraId="670A2038">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00"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5"/>
          <w:kern w:val="0"/>
          <w:sz w:val="21"/>
          <w:szCs w:val="21"/>
          <w:highlight w:val="none"/>
          <w:lang w:val="en-US" w:eastAsia="en-US" w:bidi="ar-SA"/>
        </w:rPr>
        <w:t>(</w:t>
      </w:r>
      <w:r>
        <w:rPr>
          <w:rFonts w:hint="eastAsia" w:ascii="宋体" w:hAnsi="宋体" w:eastAsia="宋体" w:cs="宋体"/>
          <w:snapToGrid w:val="0"/>
          <w:color w:val="000000"/>
          <w:spacing w:val="-5"/>
          <w:kern w:val="0"/>
          <w:sz w:val="21"/>
          <w:szCs w:val="21"/>
          <w:highlight w:val="none"/>
          <w:lang w:val="en-US" w:eastAsia="zh-CN" w:bidi="ar-SA"/>
        </w:rPr>
        <w:t>2</w:t>
      </w:r>
      <w:r>
        <w:rPr>
          <w:rFonts w:ascii="宋体" w:hAnsi="宋体" w:eastAsia="宋体" w:cs="宋体"/>
          <w:snapToGrid w:val="0"/>
          <w:color w:val="000000"/>
          <w:spacing w:val="-5"/>
          <w:kern w:val="0"/>
          <w:sz w:val="21"/>
          <w:szCs w:val="21"/>
          <w:highlight w:val="none"/>
          <w:lang w:val="en-US" w:eastAsia="en-US" w:bidi="ar-SA"/>
        </w:rPr>
        <w:t>)医患双方有争议但患方不接受医疗事故鉴定的，可以参照《医疗事故</w:t>
      </w:r>
      <w:r>
        <w:rPr>
          <w:rFonts w:ascii="宋体" w:hAnsi="宋体" w:eastAsia="宋体" w:cs="宋体"/>
          <w:snapToGrid w:val="0"/>
          <w:color w:val="000000"/>
          <w:spacing w:val="-6"/>
          <w:kern w:val="0"/>
          <w:sz w:val="21"/>
          <w:szCs w:val="21"/>
          <w:highlight w:val="none"/>
          <w:lang w:val="en-US" w:eastAsia="en-US" w:bidi="ar-SA"/>
        </w:rPr>
        <w:t>处理条例》</w:t>
      </w:r>
      <w:r>
        <w:rPr>
          <w:rFonts w:ascii="宋体" w:hAnsi="宋体" w:eastAsia="宋体" w:cs="宋体"/>
          <w:snapToGrid w:val="0"/>
          <w:color w:val="000000"/>
          <w:kern w:val="0"/>
          <w:sz w:val="21"/>
          <w:szCs w:val="21"/>
          <w:highlight w:val="none"/>
          <w:lang w:val="en-US" w:eastAsia="en-US" w:bidi="ar-SA"/>
        </w:rPr>
        <w:t>医疗事故的等级赔偿标准处理，不能确定或有争议的，以《中华人民共和国民法典</w:t>
      </w:r>
      <w:r>
        <w:rPr>
          <w:rFonts w:hint="eastAsia" w:ascii="宋体" w:hAnsi="宋体" w:eastAsia="宋体" w:cs="宋体"/>
          <w:snapToGrid w:val="0"/>
          <w:color w:val="000000"/>
          <w:kern w:val="0"/>
          <w:sz w:val="21"/>
          <w:szCs w:val="21"/>
          <w:highlight w:val="none"/>
          <w:lang w:val="en-US" w:eastAsia="zh-CN" w:bidi="ar-SA"/>
        </w:rPr>
        <w:t>》</w:t>
      </w:r>
      <w:r>
        <w:rPr>
          <w:rFonts w:ascii="宋体" w:hAnsi="宋体" w:eastAsia="宋体" w:cs="宋体"/>
          <w:snapToGrid w:val="0"/>
          <w:color w:val="000000"/>
          <w:kern w:val="0"/>
          <w:sz w:val="21"/>
          <w:szCs w:val="21"/>
          <w:highlight w:val="none"/>
          <w:lang w:val="en-US" w:eastAsia="en-US" w:bidi="ar-SA"/>
        </w:rPr>
        <w:t>、</w:t>
      </w:r>
      <w:r>
        <w:rPr>
          <w:rFonts w:ascii="宋体" w:hAnsi="宋体" w:eastAsia="宋体" w:cs="宋体"/>
          <w:snapToGrid w:val="0"/>
          <w:color w:val="000000"/>
          <w:spacing w:val="-2"/>
          <w:kern w:val="0"/>
          <w:sz w:val="21"/>
          <w:szCs w:val="21"/>
          <w:highlight w:val="none"/>
          <w:lang w:val="en-US" w:eastAsia="en-US" w:bidi="ar-SA"/>
        </w:rPr>
        <w:t>《最高人民法院关于审理人身损害赔偿案件适用法律若</w:t>
      </w:r>
      <w:r>
        <w:rPr>
          <w:rFonts w:ascii="宋体" w:hAnsi="宋体" w:eastAsia="宋体" w:cs="宋体"/>
          <w:snapToGrid w:val="0"/>
          <w:color w:val="000000"/>
          <w:spacing w:val="-3"/>
          <w:kern w:val="0"/>
          <w:sz w:val="21"/>
          <w:szCs w:val="21"/>
          <w:highlight w:val="none"/>
          <w:lang w:val="en-US" w:eastAsia="en-US" w:bidi="ar-SA"/>
        </w:rPr>
        <w:t>干问题的解释〉处理。</w:t>
      </w:r>
    </w:p>
    <w:p w14:paraId="1754A716">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16"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1"/>
          <w:kern w:val="0"/>
          <w:sz w:val="21"/>
          <w:szCs w:val="21"/>
          <w:highlight w:val="none"/>
          <w:lang w:val="en-US" w:eastAsia="en-US" w:bidi="ar-SA"/>
        </w:rPr>
        <w:t>(</w:t>
      </w:r>
      <w:r>
        <w:rPr>
          <w:rFonts w:hint="eastAsia" w:ascii="宋体" w:hAnsi="宋体" w:eastAsia="宋体" w:cs="宋体"/>
          <w:snapToGrid w:val="0"/>
          <w:color w:val="000000"/>
          <w:spacing w:val="-1"/>
          <w:kern w:val="0"/>
          <w:sz w:val="21"/>
          <w:szCs w:val="21"/>
          <w:highlight w:val="none"/>
          <w:lang w:val="en-US" w:eastAsia="zh-CN" w:bidi="ar-SA"/>
        </w:rPr>
        <w:t>3</w:t>
      </w:r>
      <w:r>
        <w:rPr>
          <w:rFonts w:ascii="宋体" w:hAnsi="宋体" w:eastAsia="宋体" w:cs="宋体"/>
          <w:snapToGrid w:val="0"/>
          <w:color w:val="000000"/>
          <w:spacing w:val="-1"/>
          <w:kern w:val="0"/>
          <w:sz w:val="21"/>
          <w:szCs w:val="21"/>
          <w:highlight w:val="none"/>
          <w:lang w:val="en-US" w:eastAsia="en-US" w:bidi="ar-SA"/>
        </w:rPr>
        <w:t>)责任认定方式：</w:t>
      </w:r>
    </w:p>
    <w:p w14:paraId="4FA68C48">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56"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9"/>
          <w:kern w:val="0"/>
          <w:sz w:val="21"/>
          <w:szCs w:val="21"/>
          <w:highlight w:val="none"/>
          <w:lang w:val="en-US" w:eastAsia="en-US" w:bidi="ar-SA"/>
        </w:rPr>
        <w:t>1)人民法院判决；</w:t>
      </w:r>
    </w:p>
    <w:p w14:paraId="7A6CE8CC">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56"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9"/>
          <w:kern w:val="0"/>
          <w:sz w:val="21"/>
          <w:szCs w:val="21"/>
          <w:highlight w:val="none"/>
          <w:lang w:val="en-US" w:eastAsia="en-US" w:bidi="ar-SA"/>
        </w:rPr>
        <w:t>2)仲裁机构裁决；</w:t>
      </w:r>
    </w:p>
    <w:p w14:paraId="41306F49">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16"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1"/>
          <w:kern w:val="0"/>
          <w:sz w:val="21"/>
          <w:szCs w:val="21"/>
          <w:highlight w:val="none"/>
          <w:lang w:val="en-US" w:eastAsia="en-US" w:bidi="ar-SA"/>
        </w:rPr>
        <w:t>3)保险公司认可的其它方式，包括：</w:t>
      </w:r>
    </w:p>
    <w:p w14:paraId="519A4C91">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24"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1"/>
          <w:kern w:val="0"/>
          <w:sz w:val="21"/>
          <w:szCs w:val="21"/>
          <w:highlight w:val="none"/>
          <w:lang w:val="en-US" w:eastAsia="en-US" w:bidi="ar-SA"/>
        </w:rPr>
        <w:t>1、医患协商赔付：对于实际损失金额在</w:t>
      </w:r>
      <w:r>
        <w:rPr>
          <w:rFonts w:hint="eastAsia" w:ascii="宋体" w:hAnsi="宋体" w:eastAsia="宋体" w:cs="宋体"/>
          <w:snapToGrid w:val="0"/>
          <w:color w:val="000000"/>
          <w:spacing w:val="1"/>
          <w:kern w:val="0"/>
          <w:sz w:val="21"/>
          <w:szCs w:val="21"/>
          <w:highlight w:val="none"/>
          <w:lang w:val="en-US" w:eastAsia="en-US" w:bidi="ar-SA"/>
        </w:rPr>
        <w:t>两</w:t>
      </w:r>
      <w:r>
        <w:rPr>
          <w:rFonts w:ascii="宋体" w:hAnsi="宋体" w:eastAsia="宋体" w:cs="宋体"/>
          <w:snapToGrid w:val="0"/>
          <w:color w:val="000000"/>
          <w:spacing w:val="1"/>
          <w:kern w:val="0"/>
          <w:sz w:val="21"/>
          <w:szCs w:val="21"/>
          <w:highlight w:val="none"/>
          <w:lang w:val="en-US" w:eastAsia="en-US" w:bidi="ar-SA"/>
        </w:rPr>
        <w:t>万元(含</w:t>
      </w:r>
      <w:r>
        <w:rPr>
          <w:rFonts w:hint="eastAsia" w:ascii="宋体" w:hAnsi="宋体" w:eastAsia="宋体" w:cs="宋体"/>
          <w:snapToGrid w:val="0"/>
          <w:color w:val="000000"/>
          <w:spacing w:val="1"/>
          <w:kern w:val="0"/>
          <w:sz w:val="21"/>
          <w:szCs w:val="21"/>
          <w:highlight w:val="none"/>
          <w:lang w:val="en-US" w:eastAsia="en-US" w:bidi="ar-SA"/>
        </w:rPr>
        <w:t>两</w:t>
      </w:r>
      <w:r>
        <w:rPr>
          <w:rFonts w:ascii="宋体" w:hAnsi="宋体" w:eastAsia="宋体" w:cs="宋体"/>
          <w:snapToGrid w:val="0"/>
          <w:color w:val="000000"/>
          <w:spacing w:val="1"/>
          <w:kern w:val="0"/>
          <w:sz w:val="21"/>
          <w:szCs w:val="21"/>
          <w:highlight w:val="none"/>
          <w:lang w:val="en-US" w:eastAsia="en-US" w:bidi="ar-SA"/>
        </w:rPr>
        <w:t>万元)以下的赔案</w:t>
      </w:r>
      <w:r>
        <w:rPr>
          <w:rFonts w:hint="eastAsia" w:ascii="宋体" w:hAnsi="宋体" w:eastAsia="宋体" w:cs="宋体"/>
          <w:snapToGrid w:val="0"/>
          <w:color w:val="000000"/>
          <w:spacing w:val="1"/>
          <w:kern w:val="0"/>
          <w:sz w:val="21"/>
          <w:szCs w:val="21"/>
          <w:highlight w:val="none"/>
          <w:lang w:val="en-US" w:eastAsia="en-US" w:bidi="ar-SA"/>
        </w:rPr>
        <w:t>，</w:t>
      </w:r>
      <w:r>
        <w:rPr>
          <w:rFonts w:ascii="宋体" w:hAnsi="宋体" w:eastAsia="宋体" w:cs="宋体"/>
          <w:snapToGrid w:val="0"/>
          <w:color w:val="000000"/>
          <w:spacing w:val="1"/>
          <w:kern w:val="0"/>
          <w:sz w:val="21"/>
          <w:szCs w:val="21"/>
          <w:highlight w:val="none"/>
          <w:lang w:val="en-US" w:eastAsia="en-US" w:bidi="ar-SA"/>
        </w:rPr>
        <w:t>医患双方有争议但患方不接受医疗事故鉴定的</w:t>
      </w:r>
      <w:r>
        <w:rPr>
          <w:rFonts w:hint="eastAsia" w:ascii="宋体" w:hAnsi="宋体" w:eastAsia="宋体" w:cs="宋体"/>
          <w:snapToGrid w:val="0"/>
          <w:color w:val="000000"/>
          <w:spacing w:val="1"/>
          <w:kern w:val="0"/>
          <w:sz w:val="21"/>
          <w:szCs w:val="21"/>
          <w:highlight w:val="none"/>
          <w:lang w:val="en-US" w:eastAsia="en-US" w:bidi="ar-SA"/>
        </w:rPr>
        <w:t>，</w:t>
      </w:r>
      <w:r>
        <w:rPr>
          <w:rFonts w:ascii="宋体" w:hAnsi="宋体" w:eastAsia="宋体" w:cs="宋体"/>
          <w:snapToGrid w:val="0"/>
          <w:color w:val="000000"/>
          <w:spacing w:val="1"/>
          <w:kern w:val="0"/>
          <w:sz w:val="21"/>
          <w:szCs w:val="21"/>
          <w:highlight w:val="none"/>
          <w:lang w:val="en-US" w:eastAsia="en-US" w:bidi="ar-SA"/>
        </w:rPr>
        <w:t>在保险人指导下医患双方可以进行协商赔付，属于保险责任的，保险人按医患双方协商后双方签章生效的赔偿合同书中约定的赔偿金额的90%赔付，其中患者鉴定(医学、司法)费</w:t>
      </w:r>
      <w:r>
        <w:rPr>
          <w:rFonts w:hint="eastAsia" w:ascii="宋体" w:hAnsi="宋体" w:eastAsia="宋体" w:cs="宋体"/>
          <w:snapToGrid w:val="0"/>
          <w:color w:val="000000"/>
          <w:spacing w:val="1"/>
          <w:kern w:val="0"/>
          <w:sz w:val="21"/>
          <w:szCs w:val="21"/>
          <w:highlight w:val="none"/>
          <w:lang w:val="en-US" w:eastAsia="en-US" w:bidi="ar-SA"/>
        </w:rPr>
        <w:t>，</w:t>
      </w:r>
      <w:r>
        <w:rPr>
          <w:rFonts w:ascii="宋体" w:hAnsi="宋体" w:eastAsia="宋体" w:cs="宋体"/>
          <w:snapToGrid w:val="0"/>
          <w:color w:val="000000"/>
          <w:spacing w:val="1"/>
          <w:kern w:val="0"/>
          <w:sz w:val="21"/>
          <w:szCs w:val="21"/>
          <w:highlight w:val="none"/>
          <w:lang w:val="en-US" w:eastAsia="en-US" w:bidi="ar-SA"/>
        </w:rPr>
        <w:t>应由甲方承担的部分</w:t>
      </w:r>
      <w:r>
        <w:rPr>
          <w:rFonts w:hint="eastAsia" w:ascii="宋体" w:hAnsi="宋体" w:eastAsia="宋体" w:cs="宋体"/>
          <w:snapToGrid w:val="0"/>
          <w:color w:val="000000"/>
          <w:spacing w:val="1"/>
          <w:kern w:val="0"/>
          <w:sz w:val="21"/>
          <w:szCs w:val="21"/>
          <w:highlight w:val="none"/>
          <w:lang w:val="en-US" w:eastAsia="en-US" w:bidi="ar-SA"/>
        </w:rPr>
        <w:t>，</w:t>
      </w:r>
      <w:r>
        <w:rPr>
          <w:rFonts w:ascii="宋体" w:hAnsi="宋体" w:eastAsia="宋体" w:cs="宋体"/>
          <w:snapToGrid w:val="0"/>
          <w:color w:val="000000"/>
          <w:spacing w:val="1"/>
          <w:kern w:val="0"/>
          <w:sz w:val="21"/>
          <w:szCs w:val="21"/>
          <w:highlight w:val="none"/>
          <w:lang w:val="en-US" w:eastAsia="en-US" w:bidi="ar-SA"/>
        </w:rPr>
        <w:t>乙方</w:t>
      </w:r>
      <w:r>
        <w:rPr>
          <w:rFonts w:hint="eastAsia" w:ascii="宋体" w:hAnsi="宋体" w:eastAsia="宋体" w:cs="宋体"/>
          <w:snapToGrid w:val="0"/>
          <w:color w:val="000000"/>
          <w:spacing w:val="1"/>
          <w:kern w:val="0"/>
          <w:sz w:val="21"/>
          <w:szCs w:val="21"/>
          <w:highlight w:val="none"/>
          <w:lang w:val="en-US" w:eastAsia="en-US" w:bidi="ar-SA"/>
        </w:rPr>
        <w:t>100%</w:t>
      </w:r>
      <w:r>
        <w:rPr>
          <w:rFonts w:ascii="宋体" w:hAnsi="宋体" w:eastAsia="宋体" w:cs="宋体"/>
          <w:snapToGrid w:val="0"/>
          <w:color w:val="000000"/>
          <w:spacing w:val="1"/>
          <w:kern w:val="0"/>
          <w:sz w:val="21"/>
          <w:szCs w:val="21"/>
          <w:highlight w:val="none"/>
          <w:lang w:val="en-US" w:eastAsia="en-US" w:bidi="ar-SA"/>
        </w:rPr>
        <w:t>赔付。</w:t>
      </w:r>
    </w:p>
    <w:p w14:paraId="5E6321C6">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20" w:firstLineChars="200"/>
        <w:jc w:val="left"/>
        <w:textAlignment w:val="baseline"/>
        <w:rPr>
          <w:rFonts w:ascii="宋体" w:hAnsi="宋体" w:eastAsia="宋体" w:cs="宋体"/>
          <w:strike/>
          <w:dstrike w:val="0"/>
          <w:snapToGrid w:val="0"/>
          <w:color w:val="000000"/>
          <w:kern w:val="0"/>
          <w:sz w:val="21"/>
          <w:szCs w:val="21"/>
          <w:highlight w:val="none"/>
          <w:lang w:val="en-US" w:eastAsia="en-US" w:bidi="ar-SA"/>
        </w:rPr>
      </w:pPr>
      <w:r>
        <w:rPr>
          <w:rFonts w:ascii="宋体" w:hAnsi="宋体" w:eastAsia="宋体" w:cs="宋体"/>
          <w:snapToGrid w:val="0"/>
          <w:color w:val="000000"/>
          <w:kern w:val="0"/>
          <w:sz w:val="21"/>
          <w:szCs w:val="21"/>
          <w:highlight w:val="none"/>
          <w:lang w:val="en-US" w:eastAsia="en-US" w:bidi="ar-SA"/>
        </w:rPr>
        <w:t>2、</w:t>
      </w:r>
      <w:r>
        <w:rPr>
          <w:rFonts w:ascii="宋体" w:hAnsi="宋体" w:eastAsia="宋体" w:cs="宋体"/>
          <w:strike w:val="0"/>
          <w:dstrike w:val="0"/>
          <w:snapToGrid w:val="0"/>
          <w:color w:val="000000"/>
          <w:kern w:val="0"/>
          <w:sz w:val="21"/>
          <w:szCs w:val="21"/>
          <w:highlight w:val="none"/>
          <w:lang w:val="en-US" w:eastAsia="en-US" w:bidi="ar-SA"/>
        </w:rPr>
        <w:t>第三方调解协商赔付：对于实际损失金额在两万元以上十万元(含十万元)以内的赔案，医患双方有争议但患方不接受医疗事故鉴定的</w:t>
      </w:r>
      <w:r>
        <w:rPr>
          <w:rFonts w:hint="eastAsia" w:ascii="宋体" w:hAnsi="宋体" w:eastAsia="宋体" w:cs="宋体"/>
          <w:strike w:val="0"/>
          <w:dstrike w:val="0"/>
          <w:snapToGrid w:val="0"/>
          <w:color w:val="000000"/>
          <w:kern w:val="0"/>
          <w:sz w:val="21"/>
          <w:szCs w:val="21"/>
          <w:highlight w:val="none"/>
          <w:lang w:val="en-US" w:eastAsia="zh-CN" w:bidi="ar-SA"/>
        </w:rPr>
        <w:t>，</w:t>
      </w:r>
      <w:r>
        <w:rPr>
          <w:rFonts w:ascii="宋体" w:hAnsi="宋体" w:eastAsia="宋体" w:cs="宋体"/>
          <w:strike w:val="0"/>
          <w:dstrike w:val="0"/>
          <w:snapToGrid w:val="0"/>
          <w:color w:val="000000"/>
          <w:kern w:val="0"/>
          <w:sz w:val="21"/>
          <w:szCs w:val="21"/>
          <w:highlight w:val="none"/>
          <w:lang w:val="en-US" w:eastAsia="en-US" w:bidi="ar-SA"/>
        </w:rPr>
        <w:t>在保险人的参与下</w:t>
      </w:r>
      <w:r>
        <w:rPr>
          <w:rFonts w:ascii="宋体" w:hAnsi="宋体" w:eastAsia="宋体" w:cs="宋体"/>
          <w:strike w:val="0"/>
          <w:dstrike w:val="0"/>
          <w:snapToGrid w:val="0"/>
          <w:color w:val="000000"/>
          <w:spacing w:val="-1"/>
          <w:kern w:val="0"/>
          <w:sz w:val="21"/>
          <w:szCs w:val="21"/>
          <w:highlight w:val="none"/>
          <w:lang w:val="en-US" w:eastAsia="en-US" w:bidi="ar-SA"/>
        </w:rPr>
        <w:t>，可以申请</w:t>
      </w:r>
      <w:r>
        <w:rPr>
          <w:rFonts w:ascii="宋体" w:hAnsi="宋体" w:eastAsia="宋体" w:cs="宋体"/>
          <w:strike w:val="0"/>
          <w:dstrike w:val="0"/>
          <w:snapToGrid w:val="0"/>
          <w:color w:val="000000"/>
          <w:kern w:val="0"/>
          <w:sz w:val="21"/>
          <w:szCs w:val="21"/>
          <w:highlight w:val="none"/>
          <w:lang w:val="en-US" w:eastAsia="en-US" w:bidi="ar-SA"/>
        </w:rPr>
        <w:t>人民调解委员会或医疗纠纷调解委员会或卫生行政部门进行调解，属于保</w:t>
      </w:r>
      <w:r>
        <w:rPr>
          <w:rFonts w:ascii="宋体" w:hAnsi="宋体" w:eastAsia="宋体" w:cs="宋体"/>
          <w:strike w:val="0"/>
          <w:dstrike w:val="0"/>
          <w:snapToGrid w:val="0"/>
          <w:color w:val="000000"/>
          <w:spacing w:val="-1"/>
          <w:kern w:val="0"/>
          <w:sz w:val="21"/>
          <w:szCs w:val="21"/>
          <w:highlight w:val="none"/>
          <w:lang w:val="en-US" w:eastAsia="en-US" w:bidi="ar-SA"/>
        </w:rPr>
        <w:t>险责任的，保</w:t>
      </w:r>
      <w:r>
        <w:rPr>
          <w:rFonts w:ascii="宋体" w:hAnsi="宋体" w:eastAsia="宋体" w:cs="宋体"/>
          <w:strike w:val="0"/>
          <w:dstrike w:val="0"/>
          <w:snapToGrid w:val="0"/>
          <w:color w:val="000000"/>
          <w:kern w:val="0"/>
          <w:sz w:val="21"/>
          <w:szCs w:val="21"/>
          <w:highlight w:val="none"/>
          <w:lang w:val="en-US" w:eastAsia="en-US" w:bidi="ar-SA"/>
        </w:rPr>
        <w:t>险人根据院方应承担的责任比例，按照甲方依法应承担的赔偿金额的90%赔付，其中患者鉴定(医学、司法)费，应由甲方承担的部分，乙方10</w:t>
      </w:r>
      <w:r>
        <w:rPr>
          <w:rFonts w:ascii="宋体" w:hAnsi="宋体" w:eastAsia="宋体" w:cs="宋体"/>
          <w:strike w:val="0"/>
          <w:dstrike w:val="0"/>
          <w:snapToGrid w:val="0"/>
          <w:color w:val="000000"/>
          <w:spacing w:val="-1"/>
          <w:kern w:val="0"/>
          <w:sz w:val="21"/>
          <w:szCs w:val="21"/>
          <w:highlight w:val="none"/>
          <w:lang w:val="en-US" w:eastAsia="en-US" w:bidi="ar-SA"/>
        </w:rPr>
        <w:t>0%赔付。</w:t>
      </w:r>
    </w:p>
    <w:p w14:paraId="1992764F">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04"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4"/>
          <w:kern w:val="0"/>
          <w:sz w:val="21"/>
          <w:szCs w:val="21"/>
          <w:highlight w:val="none"/>
          <w:lang w:val="en-US" w:eastAsia="en-US" w:bidi="ar-SA"/>
        </w:rPr>
        <w:t>3、医疗鉴定、人民法院判决：对于实际损失金额超过十万元，或实际损失金额不足八万元但患方同意进行医疗事故技术鉴定的，提供医疗事故鉴定报告，属于保险</w:t>
      </w:r>
      <w:r>
        <w:rPr>
          <w:rFonts w:hint="eastAsia" w:ascii="宋体" w:hAnsi="宋体" w:eastAsia="宋体" w:cs="宋体"/>
          <w:snapToGrid w:val="0"/>
          <w:color w:val="000000"/>
          <w:spacing w:val="-4"/>
          <w:kern w:val="0"/>
          <w:sz w:val="21"/>
          <w:szCs w:val="21"/>
          <w:highlight w:val="none"/>
          <w:lang w:val="en-US" w:eastAsia="zh-CN" w:bidi="ar-SA"/>
        </w:rPr>
        <w:t>责</w:t>
      </w:r>
      <w:r>
        <w:rPr>
          <w:rFonts w:ascii="宋体" w:hAnsi="宋体" w:eastAsia="宋体" w:cs="宋体"/>
          <w:snapToGrid w:val="0"/>
          <w:color w:val="000000"/>
          <w:spacing w:val="-4"/>
          <w:kern w:val="0"/>
          <w:sz w:val="21"/>
          <w:szCs w:val="21"/>
          <w:highlight w:val="none"/>
          <w:lang w:val="en-US" w:eastAsia="en-US" w:bidi="ar-SA"/>
        </w:rPr>
        <w:t>任的，</w:t>
      </w:r>
      <w:r>
        <w:rPr>
          <w:rFonts w:ascii="宋体" w:hAnsi="宋体" w:eastAsia="宋体" w:cs="宋体"/>
          <w:snapToGrid w:val="0"/>
          <w:color w:val="000000"/>
          <w:kern w:val="0"/>
          <w:sz w:val="21"/>
          <w:szCs w:val="21"/>
          <w:highlight w:val="none"/>
          <w:lang w:val="en-US" w:eastAsia="en-US" w:bidi="ar-SA"/>
        </w:rPr>
        <w:t>保险人根据鉴定报告中确定的责任比例，按照院方依法应承担的赔偿金额的90%赔付；</w:t>
      </w:r>
      <w:r>
        <w:rPr>
          <w:rFonts w:ascii="宋体" w:hAnsi="宋体" w:eastAsia="宋体" w:cs="宋体"/>
          <w:snapToGrid w:val="0"/>
          <w:color w:val="000000"/>
          <w:spacing w:val="-4"/>
          <w:kern w:val="0"/>
          <w:sz w:val="21"/>
          <w:szCs w:val="21"/>
          <w:highlight w:val="none"/>
          <w:lang w:val="en-US" w:eastAsia="en-US" w:bidi="ar-SA"/>
        </w:rPr>
        <w:t>对于司法鉴定、人民法院判决的，属于保险责任的，保险人根据院方应承担的</w:t>
      </w:r>
      <w:r>
        <w:rPr>
          <w:rFonts w:hint="eastAsia" w:ascii="宋体" w:hAnsi="宋体" w:eastAsia="宋体" w:cs="宋体"/>
          <w:snapToGrid w:val="0"/>
          <w:color w:val="000000"/>
          <w:spacing w:val="-4"/>
          <w:kern w:val="0"/>
          <w:sz w:val="21"/>
          <w:szCs w:val="21"/>
          <w:highlight w:val="none"/>
          <w:lang w:val="en-US" w:eastAsia="zh-CN" w:bidi="ar-SA"/>
        </w:rPr>
        <w:t>责</w:t>
      </w:r>
      <w:r>
        <w:rPr>
          <w:rFonts w:ascii="宋体" w:hAnsi="宋体" w:eastAsia="宋体" w:cs="宋体"/>
          <w:snapToGrid w:val="0"/>
          <w:color w:val="000000"/>
          <w:spacing w:val="-4"/>
          <w:kern w:val="0"/>
          <w:sz w:val="21"/>
          <w:szCs w:val="21"/>
          <w:highlight w:val="none"/>
          <w:lang w:val="en-US" w:eastAsia="en-US" w:bidi="ar-SA"/>
        </w:rPr>
        <w:t>任比例，</w:t>
      </w:r>
      <w:r>
        <w:rPr>
          <w:rFonts w:ascii="宋体" w:hAnsi="宋体" w:eastAsia="宋体" w:cs="宋体"/>
          <w:snapToGrid w:val="0"/>
          <w:color w:val="000000"/>
          <w:spacing w:val="-1"/>
          <w:kern w:val="0"/>
          <w:sz w:val="21"/>
          <w:szCs w:val="21"/>
          <w:highlight w:val="none"/>
          <w:lang w:val="en-US" w:eastAsia="en-US" w:bidi="ar-SA"/>
        </w:rPr>
        <w:t>按照院方依法应承担的赔偿金额的90%赔付，其中患者鉴定(医学、司法)费</w:t>
      </w:r>
      <w:r>
        <w:rPr>
          <w:rFonts w:hint="eastAsia" w:ascii="宋体" w:hAnsi="宋体" w:eastAsia="宋体" w:cs="宋体"/>
          <w:snapToGrid w:val="0"/>
          <w:color w:val="000000"/>
          <w:spacing w:val="-1"/>
          <w:kern w:val="0"/>
          <w:sz w:val="21"/>
          <w:szCs w:val="21"/>
          <w:highlight w:val="none"/>
          <w:lang w:val="en-US" w:eastAsia="zh-CN" w:bidi="ar-SA"/>
        </w:rPr>
        <w:t>，</w:t>
      </w:r>
      <w:r>
        <w:rPr>
          <w:rFonts w:ascii="宋体" w:hAnsi="宋体" w:eastAsia="宋体" w:cs="宋体"/>
          <w:snapToGrid w:val="0"/>
          <w:color w:val="000000"/>
          <w:spacing w:val="-1"/>
          <w:kern w:val="0"/>
          <w:sz w:val="21"/>
          <w:szCs w:val="21"/>
          <w:highlight w:val="none"/>
          <w:lang w:val="en-US" w:eastAsia="en-US" w:bidi="ar-SA"/>
        </w:rPr>
        <w:t>应由甲</w:t>
      </w:r>
      <w:r>
        <w:rPr>
          <w:rFonts w:ascii="宋体" w:hAnsi="宋体" w:eastAsia="宋体" w:cs="宋体"/>
          <w:snapToGrid w:val="0"/>
          <w:color w:val="000000"/>
          <w:kern w:val="0"/>
          <w:sz w:val="21"/>
          <w:szCs w:val="21"/>
          <w:highlight w:val="none"/>
          <w:lang w:val="en-US" w:eastAsia="en-US" w:bidi="ar-SA"/>
        </w:rPr>
        <w:t>方承担的部分，乙方100%赔付。</w:t>
      </w:r>
    </w:p>
    <w:p w14:paraId="78C25CFB">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12"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2"/>
          <w:kern w:val="0"/>
          <w:sz w:val="21"/>
          <w:szCs w:val="21"/>
          <w:highlight w:val="none"/>
          <w:lang w:val="en-US" w:eastAsia="en-US" w:bidi="ar-SA"/>
        </w:rPr>
        <w:t>4、本保险设定追溯期，规定如下：在保险期间内如果发生医疗责任事故，从事故发</w:t>
      </w:r>
      <w:r>
        <w:rPr>
          <w:rFonts w:ascii="宋体" w:hAnsi="宋体" w:eastAsia="宋体" w:cs="宋体"/>
          <w:snapToGrid w:val="0"/>
          <w:color w:val="000000"/>
          <w:spacing w:val="-1"/>
          <w:kern w:val="0"/>
          <w:sz w:val="21"/>
          <w:szCs w:val="21"/>
          <w:highlight w:val="none"/>
          <w:lang w:val="en-US" w:eastAsia="en-US" w:bidi="ar-SA"/>
        </w:rPr>
        <w:t>生次日起后二年为追溯期。</w:t>
      </w:r>
    </w:p>
    <w:p w14:paraId="311D258C">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12" w:firstLineChars="200"/>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2"/>
          <w:kern w:val="0"/>
          <w:sz w:val="21"/>
          <w:szCs w:val="21"/>
          <w:highlight w:val="none"/>
          <w:lang w:val="en-US" w:eastAsia="en-US" w:bidi="ar-SA"/>
        </w:rPr>
        <w:t>5、由保险公司安排对医院进行二次培训，内容包括：理赔程序、报</w:t>
      </w:r>
      <w:r>
        <w:rPr>
          <w:rFonts w:ascii="宋体" w:hAnsi="宋体" w:eastAsia="宋体" w:cs="宋体"/>
          <w:snapToGrid w:val="0"/>
          <w:color w:val="000000"/>
          <w:spacing w:val="-3"/>
          <w:kern w:val="0"/>
          <w:sz w:val="21"/>
          <w:szCs w:val="21"/>
          <w:highlight w:val="none"/>
          <w:lang w:val="en-US" w:eastAsia="en-US" w:bidi="ar-SA"/>
        </w:rPr>
        <w:t>案流程、相关法</w:t>
      </w:r>
      <w:r>
        <w:rPr>
          <w:rFonts w:ascii="宋体" w:hAnsi="宋体" w:eastAsia="宋体" w:cs="宋体"/>
          <w:snapToGrid w:val="0"/>
          <w:color w:val="000000"/>
          <w:spacing w:val="-1"/>
          <w:kern w:val="0"/>
          <w:sz w:val="21"/>
          <w:szCs w:val="21"/>
          <w:highlight w:val="none"/>
          <w:lang w:val="en-US" w:eastAsia="en-US" w:bidi="ar-SA"/>
        </w:rPr>
        <w:t>律法规等，时间地点由双方另行商定。</w:t>
      </w:r>
    </w:p>
    <w:p w14:paraId="2AAD8571">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12" w:firstLineChars="200"/>
        <w:jc w:val="left"/>
        <w:textAlignment w:val="baseline"/>
        <w:rPr>
          <w:rFonts w:hint="eastAsia" w:ascii="宋体" w:hAnsi="宋体" w:eastAsia="宋体" w:cs="宋体"/>
          <w:snapToGrid w:val="0"/>
          <w:color w:val="000000"/>
          <w:kern w:val="0"/>
          <w:sz w:val="21"/>
          <w:szCs w:val="21"/>
          <w:highlight w:val="none"/>
          <w:lang w:val="en-US" w:eastAsia="zh-CN" w:bidi="ar-SA"/>
        </w:rPr>
      </w:pPr>
      <w:r>
        <w:rPr>
          <w:rFonts w:ascii="宋体" w:hAnsi="宋体" w:eastAsia="宋体" w:cs="宋体"/>
          <w:snapToGrid w:val="0"/>
          <w:color w:val="000000"/>
          <w:spacing w:val="-2"/>
          <w:kern w:val="0"/>
          <w:sz w:val="21"/>
          <w:szCs w:val="21"/>
          <w:highlight w:val="none"/>
          <w:lang w:val="en-US" w:eastAsia="en-US" w:bidi="ar-SA"/>
        </w:rPr>
        <w:t>6、甲方对每位患者的诊疗行为是由三级医师或医疗组共同完成的，发生纠纷时要以</w:t>
      </w:r>
      <w:r>
        <w:rPr>
          <w:rFonts w:ascii="宋体" w:hAnsi="宋体" w:eastAsia="宋体" w:cs="宋体"/>
          <w:snapToGrid w:val="0"/>
          <w:color w:val="000000"/>
          <w:spacing w:val="-1"/>
          <w:kern w:val="0"/>
          <w:sz w:val="21"/>
          <w:szCs w:val="21"/>
          <w:highlight w:val="none"/>
          <w:lang w:val="en-US" w:eastAsia="en-US" w:bidi="ar-SA"/>
        </w:rPr>
        <w:t>整个医疗团队为单位进行理赔</w:t>
      </w:r>
      <w:r>
        <w:rPr>
          <w:rFonts w:hint="eastAsia" w:ascii="宋体" w:hAnsi="宋体" w:eastAsia="宋体" w:cs="宋体"/>
          <w:snapToGrid w:val="0"/>
          <w:color w:val="000000"/>
          <w:spacing w:val="-1"/>
          <w:kern w:val="0"/>
          <w:sz w:val="21"/>
          <w:szCs w:val="21"/>
          <w:highlight w:val="none"/>
          <w:lang w:val="en-US" w:eastAsia="zh-CN" w:bidi="ar-SA"/>
        </w:rPr>
        <w:t>。</w:t>
      </w:r>
    </w:p>
    <w:bookmarkEnd w:id="462"/>
    <w:bookmarkEnd w:id="463"/>
    <w:bookmarkEnd w:id="464"/>
    <w:p w14:paraId="52D8D6E8">
      <w:pPr>
        <w:rPr>
          <w:rFonts w:hint="eastAsia" w:ascii="宋体" w:hAnsi="宋体" w:cs="宋体"/>
        </w:rPr>
      </w:pPr>
      <w:bookmarkStart w:id="465" w:name="_Toc14295"/>
      <w:bookmarkStart w:id="466" w:name="_Toc16554"/>
      <w:r>
        <w:rPr>
          <w:rFonts w:hint="eastAsia" w:ascii="宋体" w:hAnsi="宋体" w:cs="宋体"/>
        </w:rPr>
        <w:br w:type="page"/>
      </w:r>
    </w:p>
    <w:p w14:paraId="25526D9D">
      <w:pPr>
        <w:pStyle w:val="2"/>
        <w:spacing w:before="0" w:after="0" w:line="360" w:lineRule="auto"/>
        <w:rPr>
          <w:rFonts w:ascii="宋体" w:hAnsi="宋体" w:cs="宋体"/>
        </w:rPr>
      </w:pPr>
      <w:r>
        <w:rPr>
          <w:rFonts w:hint="eastAsia" w:ascii="宋体" w:hAnsi="宋体" w:cs="宋体"/>
        </w:rPr>
        <w:t>第六章 资格审查</w:t>
      </w:r>
      <w:bookmarkEnd w:id="465"/>
      <w:bookmarkEnd w:id="466"/>
    </w:p>
    <w:p w14:paraId="52885309">
      <w:pPr>
        <w:pStyle w:val="3"/>
        <w:spacing w:before="0" w:line="360" w:lineRule="auto"/>
        <w:jc w:val="center"/>
        <w:rPr>
          <w:rFonts w:ascii="宋体" w:hAnsi="宋体" w:cs="宋体"/>
          <w:bCs/>
          <w:caps/>
          <w:color w:val="auto"/>
          <w:spacing w:val="0"/>
          <w:sz w:val="28"/>
          <w:szCs w:val="32"/>
        </w:rPr>
      </w:pPr>
      <w:bookmarkStart w:id="467" w:name="_Toc27143"/>
      <w:bookmarkStart w:id="468" w:name="_Toc21544"/>
      <w:bookmarkStart w:id="469" w:name="_Toc18287453"/>
      <w:r>
        <w:rPr>
          <w:rFonts w:hint="eastAsia" w:ascii="宋体" w:hAnsi="宋体" w:cs="宋体"/>
          <w:bCs/>
          <w:caps/>
          <w:color w:val="auto"/>
          <w:spacing w:val="0"/>
          <w:sz w:val="28"/>
          <w:szCs w:val="32"/>
        </w:rPr>
        <w:t>投标人资格要求前附表</w:t>
      </w:r>
      <w:bookmarkEnd w:id="467"/>
      <w:bookmarkEnd w:id="468"/>
      <w:bookmarkEnd w:id="469"/>
    </w:p>
    <w:tbl>
      <w:tblPr>
        <w:tblStyle w:val="41"/>
        <w:tblW w:w="85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6585"/>
      </w:tblGrid>
      <w:tr w14:paraId="65B42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blHeader/>
          <w:jc w:val="center"/>
        </w:trPr>
        <w:tc>
          <w:tcPr>
            <w:tcW w:w="1980" w:type="dxa"/>
            <w:tcBorders>
              <w:top w:val="single" w:color="auto" w:sz="4" w:space="0"/>
              <w:left w:val="single" w:color="auto" w:sz="4" w:space="0"/>
              <w:bottom w:val="single" w:color="auto" w:sz="4" w:space="0"/>
              <w:right w:val="single" w:color="auto" w:sz="4" w:space="0"/>
            </w:tcBorders>
            <w:vAlign w:val="center"/>
          </w:tcPr>
          <w:p w14:paraId="32401662">
            <w:pPr>
              <w:spacing w:line="360" w:lineRule="auto"/>
              <w:jc w:val="center"/>
              <w:rPr>
                <w:rFonts w:ascii="宋体" w:hAnsi="宋体" w:cs="宋体"/>
                <w:bCs/>
                <w:szCs w:val="21"/>
              </w:rPr>
            </w:pPr>
            <w:r>
              <w:rPr>
                <w:rFonts w:hint="eastAsia" w:ascii="宋体" w:hAnsi="宋体" w:cs="宋体"/>
                <w:bCs/>
                <w:szCs w:val="21"/>
              </w:rPr>
              <w:t>资 格 要 求</w:t>
            </w:r>
          </w:p>
        </w:tc>
        <w:tc>
          <w:tcPr>
            <w:tcW w:w="6585" w:type="dxa"/>
            <w:tcBorders>
              <w:top w:val="single" w:color="auto" w:sz="4" w:space="0"/>
              <w:left w:val="single" w:color="auto" w:sz="4" w:space="0"/>
              <w:bottom w:val="single" w:color="auto" w:sz="4" w:space="0"/>
              <w:right w:val="single" w:color="auto" w:sz="4" w:space="0"/>
            </w:tcBorders>
            <w:vAlign w:val="center"/>
          </w:tcPr>
          <w:p w14:paraId="746BE735">
            <w:pPr>
              <w:spacing w:line="360" w:lineRule="auto"/>
              <w:jc w:val="center"/>
              <w:rPr>
                <w:rFonts w:ascii="宋体" w:hAnsi="宋体" w:cs="宋体"/>
                <w:bCs/>
                <w:szCs w:val="21"/>
              </w:rPr>
            </w:pPr>
            <w:r>
              <w:rPr>
                <w:rFonts w:hint="eastAsia" w:ascii="宋体" w:hAnsi="宋体" w:cs="宋体"/>
                <w:bCs/>
                <w:szCs w:val="21"/>
              </w:rPr>
              <w:t>审 查 标 准</w:t>
            </w:r>
          </w:p>
        </w:tc>
      </w:tr>
      <w:tr w14:paraId="6E83C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980" w:type="dxa"/>
            <w:vAlign w:val="center"/>
          </w:tcPr>
          <w:p w14:paraId="2F766F8F">
            <w:pPr>
              <w:spacing w:line="360" w:lineRule="auto"/>
              <w:jc w:val="center"/>
              <w:rPr>
                <w:rFonts w:ascii="宋体" w:hAnsi="宋体" w:cs="宋体"/>
                <w:bCs/>
                <w:szCs w:val="21"/>
              </w:rPr>
            </w:pPr>
            <w:r>
              <w:rPr>
                <w:rFonts w:hint="eastAsia" w:ascii="宋体" w:hAnsi="宋体" w:cs="宋体"/>
                <w:bCs/>
                <w:szCs w:val="21"/>
              </w:rPr>
              <w:t>具有独立承担民事责任的能力</w:t>
            </w:r>
          </w:p>
        </w:tc>
        <w:tc>
          <w:tcPr>
            <w:tcW w:w="6585" w:type="dxa"/>
            <w:vAlign w:val="center"/>
          </w:tcPr>
          <w:p w14:paraId="0F45D269">
            <w:pPr>
              <w:spacing w:line="360" w:lineRule="auto"/>
              <w:jc w:val="left"/>
              <w:rPr>
                <w:rFonts w:ascii="宋体" w:hAnsi="宋体" w:cs="宋体"/>
                <w:bCs/>
                <w:szCs w:val="21"/>
              </w:rPr>
            </w:pPr>
            <w:r>
              <w:rPr>
                <w:rFonts w:hint="eastAsia" w:hAnsi="宋体" w:cs="宋体"/>
                <w:bCs/>
                <w:kern w:val="0"/>
                <w:szCs w:val="21"/>
                <w:lang w:eastAsia="zh-CN"/>
              </w:rPr>
              <w:t>投标人须在中华人民共和国境内注册，提供市场监督管理部门核发的有效的三证合一营业执照或其他组织形式的相关主体资格证明材料</w:t>
            </w:r>
            <w:r>
              <w:rPr>
                <w:rFonts w:hint="eastAsia" w:hAnsi="宋体" w:cs="宋体"/>
                <w:bCs/>
                <w:szCs w:val="21"/>
              </w:rPr>
              <w:t>；</w:t>
            </w:r>
            <w:r>
              <w:rPr>
                <w:rFonts w:hint="eastAsia" w:hAnsi="宋体" w:cs="宋体"/>
                <w:szCs w:val="21"/>
              </w:rPr>
              <w:t>若是分支机构参与本项目投标，须提供</w:t>
            </w:r>
            <w:r>
              <w:rPr>
                <w:rFonts w:hint="eastAsia"/>
              </w:rPr>
              <w:t>总公司及分支机构营业执照，并提供</w:t>
            </w:r>
            <w:r>
              <w:rPr>
                <w:rFonts w:hint="eastAsia" w:hAnsi="宋体" w:cs="宋体"/>
                <w:szCs w:val="21"/>
              </w:rPr>
              <w:t>其总公司出具愿为其参与本项目投标以及履约行为承担民事责任的授权承诺书</w:t>
            </w:r>
            <w:r>
              <w:rPr>
                <w:rFonts w:hint="eastAsia" w:hAnsi="宋体" w:cs="宋体"/>
                <w:b/>
                <w:bCs/>
                <w:szCs w:val="21"/>
              </w:rPr>
              <w:t>（同一家总公司只能授权一家分支机构参与投标，且总公司不能与下属的分支机构同时参与本次投标</w:t>
            </w:r>
            <w:r>
              <w:rPr>
                <w:rFonts w:hint="eastAsia" w:hAnsi="宋体" w:cs="宋体"/>
                <w:b/>
                <w:bCs/>
                <w:kern w:val="0"/>
                <w:szCs w:val="21"/>
              </w:rPr>
              <w:t>）</w:t>
            </w:r>
            <w:r>
              <w:rPr>
                <w:rFonts w:hint="eastAsia" w:ascii="宋体" w:hAnsi="宋体" w:cs="宋体"/>
                <w:b/>
                <w:szCs w:val="21"/>
              </w:rPr>
              <w:t>；</w:t>
            </w:r>
          </w:p>
        </w:tc>
      </w:tr>
      <w:tr w14:paraId="27CE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7" w:hRule="atLeast"/>
          <w:tblHeader/>
          <w:jc w:val="center"/>
        </w:trPr>
        <w:tc>
          <w:tcPr>
            <w:tcW w:w="1980" w:type="dxa"/>
            <w:vAlign w:val="center"/>
          </w:tcPr>
          <w:p w14:paraId="221D62B2">
            <w:pPr>
              <w:spacing w:line="360" w:lineRule="auto"/>
              <w:jc w:val="center"/>
              <w:rPr>
                <w:rFonts w:ascii="宋体" w:hAnsi="宋体" w:cs="宋体"/>
                <w:bCs/>
                <w:szCs w:val="21"/>
              </w:rPr>
            </w:pPr>
            <w:r>
              <w:rPr>
                <w:rFonts w:hint="eastAsia" w:ascii="宋体" w:hAnsi="宋体" w:cs="宋体"/>
                <w:bCs/>
                <w:szCs w:val="21"/>
              </w:rPr>
              <w:t>具有良好的商业信誉和健全的财务会计制度</w:t>
            </w:r>
          </w:p>
        </w:tc>
        <w:tc>
          <w:tcPr>
            <w:tcW w:w="6585" w:type="dxa"/>
            <w:vAlign w:val="center"/>
          </w:tcPr>
          <w:p w14:paraId="0585E155">
            <w:pPr>
              <w:widowControl/>
              <w:spacing w:line="440" w:lineRule="exact"/>
              <w:jc w:val="left"/>
              <w:rPr>
                <w:rFonts w:ascii="宋体" w:hAnsi="宋体" w:cs="宋体"/>
                <w:bCs/>
                <w:szCs w:val="21"/>
              </w:rPr>
            </w:pPr>
            <w:r>
              <w:rPr>
                <w:rFonts w:hint="eastAsia" w:ascii="宋体" w:hAnsi="宋体" w:cs="宋体"/>
                <w:szCs w:val="21"/>
                <w:lang w:eastAsia="zh-CN"/>
              </w:rPr>
              <w:t>提供投标人2023年度或2024年度经第三方审计的财务报告及报表（报表至少应包括资产负债表、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hAnsi="宋体" w:cs="宋体"/>
                <w:szCs w:val="21"/>
              </w:rPr>
              <w:t>；</w:t>
            </w:r>
            <w:r>
              <w:rPr>
                <w:rFonts w:hint="eastAsia" w:hAnsi="宋体" w:cs="宋体"/>
                <w:b/>
                <w:bCs/>
                <w:szCs w:val="21"/>
                <w:lang w:eastAsia="zh-CN"/>
              </w:rPr>
              <w:t>（若为分支机构参与投标的，可提供上级公司材料</w:t>
            </w:r>
            <w:r>
              <w:rPr>
                <w:rFonts w:hint="eastAsia" w:hAnsi="宋体" w:cs="宋体"/>
                <w:b/>
                <w:bCs/>
                <w:szCs w:val="21"/>
              </w:rPr>
              <w:t>）</w:t>
            </w:r>
            <w:r>
              <w:rPr>
                <w:rFonts w:hint="eastAsia" w:ascii="宋体" w:hAnsi="宋体" w:cs="宋体"/>
                <w:b/>
                <w:kern w:val="0"/>
                <w:szCs w:val="21"/>
              </w:rPr>
              <w:t>；</w:t>
            </w:r>
          </w:p>
        </w:tc>
      </w:tr>
      <w:tr w14:paraId="0CA1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980" w:type="dxa"/>
            <w:vAlign w:val="center"/>
          </w:tcPr>
          <w:p w14:paraId="551A37FA">
            <w:pPr>
              <w:spacing w:line="360" w:lineRule="auto"/>
              <w:jc w:val="center"/>
              <w:rPr>
                <w:rFonts w:ascii="宋体" w:hAnsi="宋体" w:cs="宋体"/>
                <w:bCs/>
                <w:szCs w:val="21"/>
              </w:rPr>
            </w:pPr>
            <w:r>
              <w:rPr>
                <w:rFonts w:hint="eastAsia" w:ascii="宋体" w:hAnsi="宋体" w:cs="宋体"/>
                <w:bCs/>
                <w:szCs w:val="21"/>
              </w:rPr>
              <w:t>具有履行合同所必需的设备和专业技术能力</w:t>
            </w:r>
          </w:p>
        </w:tc>
        <w:tc>
          <w:tcPr>
            <w:tcW w:w="6585" w:type="dxa"/>
            <w:vAlign w:val="center"/>
          </w:tcPr>
          <w:p w14:paraId="08F7FE17">
            <w:pPr>
              <w:wordWrap w:val="0"/>
              <w:spacing w:line="360" w:lineRule="auto"/>
              <w:jc w:val="left"/>
              <w:rPr>
                <w:rFonts w:ascii="宋体" w:hAnsi="宋体" w:cs="宋体"/>
                <w:bCs/>
                <w:szCs w:val="21"/>
              </w:rPr>
            </w:pPr>
            <w:r>
              <w:rPr>
                <w:rFonts w:hint="eastAsia" w:ascii="宋体" w:hAnsi="宋体" w:cs="宋体"/>
                <w:szCs w:val="21"/>
                <w:lang w:eastAsia="zh-CN"/>
              </w:rPr>
              <w:t>提供投标人具有履行合同所必需的设备和专业技术能力证明材料（扫描件加盖投标人电子公章）或书面声明（加盖投标人电子公章）</w:t>
            </w:r>
            <w:r>
              <w:rPr>
                <w:rFonts w:hint="eastAsia" w:ascii="宋体" w:hAnsi="宋体" w:cs="宋体"/>
                <w:b/>
                <w:szCs w:val="21"/>
              </w:rPr>
              <w:t>；</w:t>
            </w:r>
          </w:p>
        </w:tc>
      </w:tr>
      <w:tr w14:paraId="2D5A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980" w:type="dxa"/>
            <w:vMerge w:val="restart"/>
            <w:vAlign w:val="center"/>
          </w:tcPr>
          <w:p w14:paraId="5B0FE6B7">
            <w:pPr>
              <w:spacing w:line="360" w:lineRule="auto"/>
              <w:jc w:val="center"/>
              <w:rPr>
                <w:rFonts w:ascii="宋体" w:hAnsi="宋体" w:cs="宋体"/>
                <w:bCs/>
                <w:szCs w:val="21"/>
              </w:rPr>
            </w:pPr>
            <w:r>
              <w:rPr>
                <w:rFonts w:hint="eastAsia" w:ascii="宋体" w:hAnsi="宋体" w:cs="宋体"/>
                <w:bCs/>
                <w:szCs w:val="21"/>
              </w:rPr>
              <w:t>有依法缴纳税收和社会保障资金的良好记录</w:t>
            </w:r>
          </w:p>
        </w:tc>
        <w:tc>
          <w:tcPr>
            <w:tcW w:w="6585" w:type="dxa"/>
            <w:vAlign w:val="center"/>
          </w:tcPr>
          <w:p w14:paraId="5D530FF2">
            <w:pPr>
              <w:wordWrap w:val="0"/>
              <w:spacing w:line="360" w:lineRule="auto"/>
              <w:jc w:val="left"/>
              <w:rPr>
                <w:rFonts w:ascii="宋体" w:hAnsi="宋体" w:cs="宋体"/>
                <w:bCs/>
                <w:szCs w:val="21"/>
              </w:rPr>
            </w:pPr>
            <w:r>
              <w:rPr>
                <w:rFonts w:hint="eastAsia" w:ascii="宋体" w:hAnsi="宋体" w:cs="宋体"/>
                <w:szCs w:val="21"/>
                <w:lang w:eastAsia="zh-CN"/>
              </w:rPr>
              <w:t>提供投标人缴税所属时间在2024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r>
              <w:rPr>
                <w:rFonts w:hint="eastAsia" w:ascii="宋体" w:hAnsi="宋体" w:cs="宋体"/>
                <w:szCs w:val="21"/>
              </w:rPr>
              <w:t>；</w:t>
            </w:r>
            <w:r>
              <w:rPr>
                <w:rFonts w:hint="eastAsia" w:hAnsi="宋体" w:cs="宋体"/>
                <w:b/>
                <w:bCs/>
                <w:szCs w:val="21"/>
                <w:lang w:eastAsia="zh-CN"/>
              </w:rPr>
              <w:t>（若为分支机构参与投标的，可提供上级公司材料</w:t>
            </w:r>
            <w:r>
              <w:rPr>
                <w:rFonts w:hint="eastAsia" w:hAnsi="宋体" w:cs="宋体"/>
                <w:b/>
                <w:bCs/>
                <w:szCs w:val="21"/>
              </w:rPr>
              <w:t>）</w:t>
            </w:r>
            <w:r>
              <w:rPr>
                <w:rFonts w:hint="eastAsia" w:ascii="宋体" w:hAnsi="宋体" w:cs="宋体"/>
                <w:b/>
                <w:bCs/>
                <w:kern w:val="0"/>
                <w:szCs w:val="21"/>
              </w:rPr>
              <w:t>；</w:t>
            </w:r>
          </w:p>
        </w:tc>
      </w:tr>
      <w:tr w14:paraId="7E20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980" w:type="dxa"/>
            <w:vMerge w:val="continue"/>
            <w:vAlign w:val="center"/>
          </w:tcPr>
          <w:p w14:paraId="7FB4F3C1">
            <w:pPr>
              <w:spacing w:line="360" w:lineRule="auto"/>
              <w:jc w:val="center"/>
              <w:rPr>
                <w:rFonts w:ascii="宋体" w:hAnsi="宋体" w:cs="宋体"/>
                <w:bCs/>
                <w:szCs w:val="21"/>
              </w:rPr>
            </w:pPr>
          </w:p>
        </w:tc>
        <w:tc>
          <w:tcPr>
            <w:tcW w:w="6585" w:type="dxa"/>
            <w:vAlign w:val="center"/>
          </w:tcPr>
          <w:p w14:paraId="70E92B0E">
            <w:pPr>
              <w:wordWrap w:val="0"/>
              <w:spacing w:line="360" w:lineRule="auto"/>
              <w:jc w:val="left"/>
              <w:rPr>
                <w:rFonts w:ascii="宋体" w:hAnsi="宋体" w:cs="宋体"/>
                <w:bCs/>
                <w:szCs w:val="21"/>
              </w:rPr>
            </w:pPr>
            <w:r>
              <w:rPr>
                <w:rFonts w:hint="eastAsia" w:ascii="宋体" w:hAnsi="宋体" w:cs="宋体"/>
                <w:szCs w:val="21"/>
                <w:lang w:eastAsia="zh-CN"/>
              </w:rPr>
              <w:t>提供投标人缴费所属时间在2024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r>
              <w:rPr>
                <w:rFonts w:hint="eastAsia" w:ascii="宋体" w:hAnsi="宋体" w:cs="宋体"/>
                <w:szCs w:val="21"/>
              </w:rPr>
              <w:t>；</w:t>
            </w:r>
            <w:r>
              <w:rPr>
                <w:rFonts w:hint="eastAsia" w:hAnsi="宋体" w:cs="宋体"/>
                <w:b/>
                <w:bCs/>
                <w:szCs w:val="21"/>
                <w:lang w:eastAsia="zh-CN"/>
              </w:rPr>
              <w:t>（若为分支机构参与投标的，可提供上级公司材料</w:t>
            </w:r>
            <w:r>
              <w:rPr>
                <w:rFonts w:hint="eastAsia" w:hAnsi="宋体" w:cs="宋体"/>
                <w:b/>
                <w:bCs/>
                <w:szCs w:val="21"/>
              </w:rPr>
              <w:t>）；</w:t>
            </w:r>
          </w:p>
        </w:tc>
      </w:tr>
      <w:tr w14:paraId="4D128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980" w:type="dxa"/>
            <w:vAlign w:val="center"/>
          </w:tcPr>
          <w:p w14:paraId="2AC88631">
            <w:pPr>
              <w:spacing w:line="360" w:lineRule="auto"/>
              <w:jc w:val="center"/>
              <w:rPr>
                <w:rFonts w:ascii="宋体" w:hAnsi="宋体" w:cs="宋体"/>
                <w:bCs/>
                <w:szCs w:val="21"/>
              </w:rPr>
            </w:pPr>
            <w:r>
              <w:rPr>
                <w:rFonts w:hint="eastAsia" w:ascii="宋体" w:hAnsi="宋体" w:cs="宋体"/>
                <w:bCs/>
                <w:kern w:val="0"/>
                <w:szCs w:val="21"/>
              </w:rPr>
              <w:t>参加政府采购活动前三年内，在经营活动中没有重大违法记录</w:t>
            </w:r>
          </w:p>
        </w:tc>
        <w:tc>
          <w:tcPr>
            <w:tcW w:w="6585" w:type="dxa"/>
            <w:vAlign w:val="center"/>
          </w:tcPr>
          <w:p w14:paraId="61BAD8FE">
            <w:pPr>
              <w:widowControl/>
              <w:spacing w:line="440" w:lineRule="exact"/>
              <w:jc w:val="left"/>
              <w:rPr>
                <w:rFonts w:hint="eastAsia" w:ascii="宋体" w:hAnsi="宋体" w:eastAsia="宋体" w:cs="宋体"/>
                <w:bCs/>
                <w:szCs w:val="21"/>
                <w:lang w:eastAsia="zh-CN"/>
              </w:rPr>
            </w:pPr>
            <w:r>
              <w:rPr>
                <w:rFonts w:hint="eastAsia" w:ascii="宋体" w:hAnsi="宋体" w:cs="宋体"/>
                <w:szCs w:val="21"/>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r>
              <w:rPr>
                <w:rFonts w:hint="eastAsia" w:ascii="宋体" w:hAnsi="宋体" w:cs="宋体"/>
                <w:szCs w:val="21"/>
                <w:lang w:eastAsia="zh-CN"/>
              </w:rPr>
              <w:t>；</w:t>
            </w:r>
          </w:p>
        </w:tc>
      </w:tr>
      <w:tr w14:paraId="5B737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980" w:type="dxa"/>
            <w:vMerge w:val="restart"/>
            <w:vAlign w:val="center"/>
          </w:tcPr>
          <w:p w14:paraId="7672FED1">
            <w:pPr>
              <w:spacing w:line="360" w:lineRule="auto"/>
              <w:jc w:val="center"/>
              <w:rPr>
                <w:rFonts w:ascii="宋体" w:hAnsi="宋体" w:cs="宋体"/>
                <w:bCs/>
                <w:szCs w:val="21"/>
              </w:rPr>
            </w:pPr>
            <w:r>
              <w:rPr>
                <w:rFonts w:hint="eastAsia" w:ascii="宋体" w:hAnsi="宋体" w:cs="宋体"/>
                <w:bCs/>
                <w:szCs w:val="21"/>
              </w:rPr>
              <w:t>法律、行政法规规定的其他条件</w:t>
            </w:r>
          </w:p>
        </w:tc>
        <w:tc>
          <w:tcPr>
            <w:tcW w:w="6585" w:type="dxa"/>
            <w:vAlign w:val="center"/>
          </w:tcPr>
          <w:p w14:paraId="3DDFB64E">
            <w:pPr>
              <w:widowControl/>
              <w:spacing w:line="440" w:lineRule="exact"/>
              <w:jc w:val="left"/>
              <w:rPr>
                <w:rFonts w:ascii="宋体" w:hAnsi="宋体" w:cs="宋体"/>
                <w:bCs/>
                <w:szCs w:val="21"/>
              </w:rPr>
            </w:pPr>
            <w:r>
              <w:rPr>
                <w:rFonts w:hint="eastAsia" w:ascii="宋体" w:hAnsi="宋体" w:cs="宋体"/>
                <w:bCs/>
                <w:szCs w:val="21"/>
                <w:lang w:eastAsia="zh-CN"/>
              </w:rPr>
              <w:t>投标人在“信用中国”网站（www.creditchina.gov.cn）中查询结果应未被列入失信被执行人（按网站要求链接到中国执行信息网（http://zxgk.court.gov.cn/shixin/）查询）、重大税收违法失信主体（查询时间为本公告发布之日起至提交投标文件截止之日止，查询结果以采购人、采购代理机构查询结果为准，并将查询记录和证据留存）；</w:t>
            </w:r>
          </w:p>
        </w:tc>
      </w:tr>
      <w:tr w14:paraId="66B97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3" w:hRule="atLeast"/>
          <w:tblHeader/>
          <w:jc w:val="center"/>
        </w:trPr>
        <w:tc>
          <w:tcPr>
            <w:tcW w:w="1980" w:type="dxa"/>
            <w:vMerge w:val="continue"/>
            <w:vAlign w:val="center"/>
          </w:tcPr>
          <w:p w14:paraId="5BC0E010">
            <w:pPr>
              <w:spacing w:line="360" w:lineRule="auto"/>
              <w:jc w:val="center"/>
              <w:rPr>
                <w:rFonts w:ascii="宋体" w:hAnsi="宋体" w:cs="宋体"/>
                <w:bCs/>
                <w:szCs w:val="21"/>
              </w:rPr>
            </w:pPr>
          </w:p>
        </w:tc>
        <w:tc>
          <w:tcPr>
            <w:tcW w:w="6585" w:type="dxa"/>
            <w:vAlign w:val="center"/>
          </w:tcPr>
          <w:p w14:paraId="6EFE2DCB">
            <w:pPr>
              <w:widowControl/>
              <w:spacing w:line="440" w:lineRule="exact"/>
              <w:jc w:val="left"/>
              <w:rPr>
                <w:rFonts w:hint="eastAsia" w:ascii="宋体" w:hAnsi="宋体" w:eastAsia="宋体" w:cs="宋体"/>
                <w:bCs/>
                <w:szCs w:val="21"/>
                <w:lang w:eastAsia="zh-CN"/>
              </w:rPr>
            </w:pPr>
            <w:r>
              <w:rPr>
                <w:rFonts w:hint="eastAsia" w:ascii="宋体" w:hAnsi="宋体" w:eastAsia="宋体" w:cs="宋体"/>
                <w:bCs/>
                <w:szCs w:val="21"/>
                <w:lang w:eastAsia="zh-CN"/>
              </w:rPr>
              <w:t>投标人在“中国政府采购网”（www.ccgp.gov.cn）未被列入政府采购严重违法失信行为记录名单（查询时间为本公告发布之日起至提交投标文件截止之日止，查询结果以采购人、采购代理机构查询结果为准，并将查询记录和证据留存）</w:t>
            </w:r>
            <w:r>
              <w:rPr>
                <w:rFonts w:hint="eastAsia" w:ascii="宋体" w:hAnsi="宋体" w:cs="宋体"/>
                <w:bCs/>
                <w:szCs w:val="21"/>
                <w:lang w:eastAsia="zh-CN"/>
              </w:rPr>
              <w:t>；</w:t>
            </w:r>
          </w:p>
        </w:tc>
      </w:tr>
      <w:tr w14:paraId="45C8A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980" w:type="dxa"/>
            <w:vMerge w:val="continue"/>
            <w:vAlign w:val="center"/>
          </w:tcPr>
          <w:p w14:paraId="794D9854">
            <w:pPr>
              <w:spacing w:line="360" w:lineRule="auto"/>
              <w:jc w:val="center"/>
              <w:rPr>
                <w:rFonts w:ascii="宋体" w:hAnsi="宋体" w:cs="宋体"/>
                <w:bCs/>
                <w:szCs w:val="21"/>
              </w:rPr>
            </w:pPr>
          </w:p>
        </w:tc>
        <w:tc>
          <w:tcPr>
            <w:tcW w:w="6585" w:type="dxa"/>
            <w:vAlign w:val="center"/>
          </w:tcPr>
          <w:p w14:paraId="50AB5467">
            <w:pPr>
              <w:widowControl/>
              <w:spacing w:line="440" w:lineRule="exact"/>
              <w:jc w:val="left"/>
              <w:rPr>
                <w:rFonts w:hint="eastAsia" w:ascii="宋体" w:hAnsi="宋体" w:eastAsia="宋体" w:cs="宋体"/>
                <w:bCs/>
                <w:szCs w:val="21"/>
                <w:lang w:eastAsia="zh-CN"/>
              </w:rPr>
            </w:pPr>
            <w:r>
              <w:rPr>
                <w:rFonts w:hint="eastAsia" w:ascii="宋体" w:hAnsi="宋体" w:eastAsia="宋体" w:cs="宋体"/>
                <w:bCs/>
                <w:szCs w:val="21"/>
                <w:lang w:eastAsia="zh-CN"/>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r>
              <w:rPr>
                <w:rFonts w:hint="eastAsia" w:ascii="宋体" w:hAnsi="宋体" w:cs="宋体"/>
                <w:bCs/>
                <w:szCs w:val="21"/>
                <w:lang w:eastAsia="zh-CN"/>
              </w:rPr>
              <w:t>；</w:t>
            </w:r>
          </w:p>
        </w:tc>
      </w:tr>
      <w:tr w14:paraId="32F6B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980" w:type="dxa"/>
            <w:vAlign w:val="center"/>
          </w:tcPr>
          <w:p w14:paraId="65C7A653">
            <w:pPr>
              <w:spacing w:line="360" w:lineRule="auto"/>
              <w:jc w:val="center"/>
              <w:rPr>
                <w:rFonts w:ascii="宋体" w:hAnsi="宋体" w:cs="宋体"/>
                <w:bCs/>
                <w:szCs w:val="21"/>
              </w:rPr>
            </w:pPr>
            <w:r>
              <w:rPr>
                <w:rFonts w:hint="eastAsia" w:ascii="宋体" w:hAnsi="宋体" w:cs="宋体"/>
                <w:bCs/>
                <w:szCs w:val="21"/>
              </w:rPr>
              <w:t>落实政府采购政策需满足的资格要求</w:t>
            </w:r>
          </w:p>
        </w:tc>
        <w:tc>
          <w:tcPr>
            <w:tcW w:w="6585" w:type="dxa"/>
            <w:vAlign w:val="center"/>
          </w:tcPr>
          <w:p w14:paraId="5EDFED49">
            <w:pPr>
              <w:wordWrap w:val="0"/>
              <w:spacing w:line="360" w:lineRule="auto"/>
              <w:jc w:val="center"/>
              <w:rPr>
                <w:rFonts w:ascii="宋体" w:hAnsi="宋体" w:cs="宋体"/>
                <w:bCs/>
                <w:szCs w:val="21"/>
              </w:rPr>
            </w:pPr>
            <w:r>
              <w:rPr>
                <w:rFonts w:hint="eastAsia" w:ascii="宋体" w:hAnsi="宋体" w:cs="宋体"/>
                <w:bCs/>
                <w:szCs w:val="21"/>
              </w:rPr>
              <w:t>无</w:t>
            </w:r>
          </w:p>
        </w:tc>
      </w:tr>
      <w:tr w14:paraId="7837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blHeader/>
          <w:jc w:val="center"/>
        </w:trPr>
        <w:tc>
          <w:tcPr>
            <w:tcW w:w="1980" w:type="dxa"/>
            <w:vAlign w:val="center"/>
          </w:tcPr>
          <w:p w14:paraId="0CEFE046">
            <w:pPr>
              <w:spacing w:line="360" w:lineRule="auto"/>
              <w:jc w:val="center"/>
              <w:rPr>
                <w:rFonts w:ascii="宋体" w:hAnsi="宋体" w:cs="宋体"/>
                <w:bCs/>
                <w:szCs w:val="21"/>
              </w:rPr>
            </w:pPr>
            <w:r>
              <w:rPr>
                <w:rFonts w:hint="eastAsia" w:ascii="宋体" w:hAnsi="宋体" w:cs="宋体"/>
                <w:bCs/>
                <w:szCs w:val="21"/>
              </w:rPr>
              <w:t>本项目的特定资格要求</w:t>
            </w:r>
          </w:p>
        </w:tc>
        <w:tc>
          <w:tcPr>
            <w:tcW w:w="6585" w:type="dxa"/>
            <w:vAlign w:val="center"/>
          </w:tcPr>
          <w:p w14:paraId="74B2BFE1">
            <w:pPr>
              <w:spacing w:line="360" w:lineRule="auto"/>
              <w:jc w:val="left"/>
              <w:rPr>
                <w:rFonts w:ascii="宋体" w:hAnsi="宋体" w:cs="宋体"/>
                <w:bCs/>
                <w:szCs w:val="21"/>
              </w:rPr>
            </w:pPr>
            <w:r>
              <w:rPr>
                <w:rFonts w:hint="eastAsia" w:ascii="宋体" w:hAnsi="宋体" w:cs="宋体"/>
                <w:bCs/>
                <w:szCs w:val="21"/>
              </w:rPr>
              <w:t>投标人须具备国家金融监督管理总局(原“中国银行保险监督管理委员会”)颁发的《经营保险业务许可证》或《保险许可证》</w:t>
            </w:r>
            <w:r>
              <w:rPr>
                <w:rFonts w:hint="eastAsia" w:ascii="宋体" w:hAnsi="宋体" w:cs="宋体"/>
                <w:bCs/>
                <w:szCs w:val="21"/>
                <w:lang w:eastAsia="zh-CN"/>
              </w:rPr>
              <w:t>。</w:t>
            </w:r>
          </w:p>
        </w:tc>
      </w:tr>
    </w:tbl>
    <w:p w14:paraId="7A162268">
      <w:pPr>
        <w:spacing w:line="360" w:lineRule="auto"/>
        <w:jc w:val="left"/>
        <w:rPr>
          <w:rFonts w:ascii="宋体" w:hAnsi="宋体" w:cs="宋体"/>
          <w:szCs w:val="21"/>
        </w:rPr>
      </w:pPr>
    </w:p>
    <w:p w14:paraId="576CC58B">
      <w:pPr>
        <w:spacing w:line="360" w:lineRule="auto"/>
        <w:jc w:val="left"/>
        <w:rPr>
          <w:rFonts w:ascii="宋体" w:hAnsi="宋体" w:cs="宋体"/>
          <w:szCs w:val="21"/>
        </w:rPr>
      </w:pPr>
      <w:r>
        <w:rPr>
          <w:rFonts w:hint="eastAsia" w:ascii="宋体" w:hAnsi="宋体" w:cs="宋体"/>
          <w:szCs w:val="21"/>
        </w:rPr>
        <w:t>1.开标结束后，采购人或者采购代理机构将依法对投标人的资格进行审查，合格投标人不足3家的，不得评标。</w:t>
      </w:r>
    </w:p>
    <w:p w14:paraId="1724F5EC">
      <w:pPr>
        <w:spacing w:line="360" w:lineRule="auto"/>
        <w:jc w:val="left"/>
        <w:rPr>
          <w:rFonts w:ascii="宋体" w:hAnsi="宋体" w:cs="宋体"/>
          <w:szCs w:val="21"/>
        </w:rPr>
      </w:pPr>
      <w:r>
        <w:rPr>
          <w:rFonts w:hint="eastAsia" w:ascii="宋体" w:hAnsi="宋体" w:cs="宋体"/>
          <w:szCs w:val="21"/>
        </w:rPr>
        <w:t>2.采购人或者采购代理机构按照招标文件第一章《公开招标公告》二、投标人资格要求（投标人应符合《中华人民共和国政府采购法》第二十二条规定的条件）和第二章《投标人须知》“4. 投标人资格要求”的规定对投标人电子投标文件中资格证明文件及采购人、采购代理机构通过互联网或者相关信息系统的查询结果进行审查。</w:t>
      </w:r>
    </w:p>
    <w:p w14:paraId="4922E831">
      <w:pPr>
        <w:spacing w:line="360" w:lineRule="auto"/>
        <w:jc w:val="left"/>
        <w:rPr>
          <w:rFonts w:ascii="宋体" w:hAnsi="宋体" w:cs="宋体"/>
          <w:szCs w:val="32"/>
        </w:rPr>
      </w:pPr>
      <w:r>
        <w:rPr>
          <w:rFonts w:hint="eastAsia" w:ascii="宋体" w:hAnsi="宋体" w:cs="宋体"/>
          <w:szCs w:val="32"/>
        </w:rPr>
        <w:t>3.如投标人为满足投标人资格要求提供虚假材料，一经查实，视为未实质性响应招标文件，投标人投标文件将按无效处理。</w:t>
      </w:r>
    </w:p>
    <w:p w14:paraId="1C635917">
      <w:pPr>
        <w:spacing w:line="360" w:lineRule="auto"/>
        <w:jc w:val="left"/>
        <w:rPr>
          <w:rFonts w:ascii="宋体" w:hAnsi="宋体" w:cs="宋体"/>
        </w:rPr>
      </w:pPr>
      <w:r>
        <w:rPr>
          <w:rFonts w:hint="eastAsia" w:ascii="宋体" w:hAnsi="宋体" w:cs="宋体"/>
          <w:szCs w:val="32"/>
        </w:rPr>
        <w:t>4.采购人或者采购代理机构在资格审查过程中发现投标人有一项不符合上述规定的，该投标文件按无效投标处理。</w:t>
      </w:r>
      <w:r>
        <w:rPr>
          <w:rFonts w:hint="eastAsia" w:ascii="宋体" w:hAnsi="宋体" w:cs="宋体"/>
        </w:rPr>
        <w:br w:type="page"/>
      </w:r>
    </w:p>
    <w:p w14:paraId="7495786B">
      <w:pPr>
        <w:pStyle w:val="2"/>
        <w:spacing w:before="0" w:after="0" w:line="360" w:lineRule="auto"/>
        <w:rPr>
          <w:rFonts w:ascii="宋体" w:hAnsi="宋体" w:cs="宋体"/>
        </w:rPr>
      </w:pPr>
      <w:bookmarkStart w:id="470" w:name="_Toc7720"/>
      <w:bookmarkStart w:id="471" w:name="_Toc29737"/>
      <w:r>
        <w:rPr>
          <w:rFonts w:hint="eastAsia" w:ascii="宋体" w:hAnsi="宋体" w:cs="宋体"/>
        </w:rPr>
        <w:t>第七章 评标方法（综合</w:t>
      </w:r>
      <w:bookmarkStart w:id="472" w:name="_Toc979"/>
      <w:r>
        <w:rPr>
          <w:rFonts w:hint="eastAsia" w:ascii="宋体" w:hAnsi="宋体" w:cs="宋体"/>
        </w:rPr>
        <w:t>评</w:t>
      </w:r>
      <w:bookmarkStart w:id="473" w:name="_Toc480817655"/>
      <w:r>
        <w:rPr>
          <w:rFonts w:hint="eastAsia" w:ascii="宋体" w:hAnsi="宋体" w:cs="宋体"/>
        </w:rPr>
        <w:t>分法）</w:t>
      </w:r>
      <w:bookmarkEnd w:id="470"/>
      <w:bookmarkEnd w:id="471"/>
      <w:bookmarkStart w:id="474" w:name="_Toc481694866"/>
    </w:p>
    <w:p w14:paraId="6515272F">
      <w:pPr>
        <w:pStyle w:val="3"/>
        <w:spacing w:before="0" w:line="360" w:lineRule="auto"/>
        <w:jc w:val="center"/>
        <w:rPr>
          <w:rFonts w:ascii="宋体" w:hAnsi="宋体" w:cs="宋体"/>
          <w:color w:val="auto"/>
        </w:rPr>
      </w:pPr>
      <w:bookmarkStart w:id="475" w:name="_Toc488633639"/>
      <w:bookmarkStart w:id="476" w:name="_Toc22093"/>
      <w:bookmarkStart w:id="477" w:name="_Toc489145774"/>
      <w:bookmarkStart w:id="478" w:name="_Toc3327"/>
      <w:r>
        <w:rPr>
          <w:rFonts w:hint="eastAsia" w:ascii="宋体" w:hAnsi="宋体" w:cs="宋体"/>
          <w:color w:val="auto"/>
        </w:rPr>
        <w:t>评标方法前附表</w:t>
      </w:r>
      <w:bookmarkEnd w:id="474"/>
      <w:bookmarkEnd w:id="475"/>
      <w:bookmarkEnd w:id="476"/>
      <w:bookmarkEnd w:id="477"/>
      <w:bookmarkEnd w:id="478"/>
    </w:p>
    <w:bookmarkEnd w:id="472"/>
    <w:bookmarkEnd w:id="473"/>
    <w:tbl>
      <w:tblPr>
        <w:tblStyle w:val="41"/>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36"/>
        <w:gridCol w:w="2242"/>
        <w:gridCol w:w="5506"/>
      </w:tblGrid>
      <w:tr w14:paraId="5CA63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646" w:type="dxa"/>
            <w:gridSpan w:val="2"/>
            <w:vAlign w:val="center"/>
          </w:tcPr>
          <w:p w14:paraId="3938CA53">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条款号</w:t>
            </w:r>
          </w:p>
        </w:tc>
        <w:tc>
          <w:tcPr>
            <w:tcW w:w="2242" w:type="dxa"/>
            <w:vAlign w:val="center"/>
          </w:tcPr>
          <w:p w14:paraId="74638DEA">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评 审 内 容</w:t>
            </w:r>
          </w:p>
        </w:tc>
        <w:tc>
          <w:tcPr>
            <w:tcW w:w="5506" w:type="dxa"/>
            <w:vAlign w:val="center"/>
          </w:tcPr>
          <w:p w14:paraId="2A3C88F2">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评 审 标 准</w:t>
            </w:r>
          </w:p>
        </w:tc>
      </w:tr>
      <w:tr w14:paraId="5BCF6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restart"/>
            <w:vAlign w:val="center"/>
          </w:tcPr>
          <w:p w14:paraId="44CBC01E">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w:t>
            </w:r>
          </w:p>
        </w:tc>
        <w:tc>
          <w:tcPr>
            <w:tcW w:w="836" w:type="dxa"/>
            <w:vMerge w:val="restart"/>
            <w:vAlign w:val="center"/>
          </w:tcPr>
          <w:p w14:paraId="7626A1C1">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符合性审查</w:t>
            </w:r>
          </w:p>
        </w:tc>
        <w:tc>
          <w:tcPr>
            <w:tcW w:w="2242" w:type="dxa"/>
            <w:vAlign w:val="center"/>
          </w:tcPr>
          <w:p w14:paraId="0820A890">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投标有效期</w:t>
            </w:r>
          </w:p>
        </w:tc>
        <w:tc>
          <w:tcPr>
            <w:tcW w:w="5506" w:type="dxa"/>
            <w:vAlign w:val="center"/>
          </w:tcPr>
          <w:p w14:paraId="1466B04A">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符合第二章《投标人须知》第17.1项规定</w:t>
            </w:r>
          </w:p>
        </w:tc>
      </w:tr>
      <w:tr w14:paraId="0ED7E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10" w:type="dxa"/>
            <w:vMerge w:val="continue"/>
            <w:vAlign w:val="center"/>
          </w:tcPr>
          <w:p w14:paraId="1955C0C8">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16F6F784">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4275BF5F">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投标保证金</w:t>
            </w:r>
          </w:p>
        </w:tc>
        <w:tc>
          <w:tcPr>
            <w:tcW w:w="5506" w:type="dxa"/>
            <w:vAlign w:val="center"/>
          </w:tcPr>
          <w:p w14:paraId="0BAB2177">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符合第二章《投标人须知》第18.1项规定</w:t>
            </w:r>
          </w:p>
        </w:tc>
      </w:tr>
      <w:tr w14:paraId="4D93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665020CB">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44F46E32">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5D059D6C">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投标函</w:t>
            </w:r>
          </w:p>
        </w:tc>
        <w:tc>
          <w:tcPr>
            <w:tcW w:w="5506" w:type="dxa"/>
            <w:vAlign w:val="center"/>
          </w:tcPr>
          <w:p w14:paraId="17F32B25">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符合第四章《投标文件格式》中规定的格式及内容，有</w:t>
            </w:r>
            <w:r>
              <w:rPr>
                <w:rFonts w:hint="eastAsia" w:ascii="宋体" w:hAnsi="宋体" w:cs="宋体"/>
                <w:color w:val="000000" w:themeColor="text1"/>
                <w:szCs w:val="21"/>
                <w:highlight w:val="none"/>
                <w:lang w:eastAsia="zh-CN"/>
                <w14:textFill>
                  <w14:solidFill>
                    <w14:schemeClr w14:val="tx1"/>
                  </w14:solidFill>
                </w14:textFill>
              </w:rPr>
              <w:t>法定代表人（负责人）</w:t>
            </w:r>
            <w:r>
              <w:rPr>
                <w:rFonts w:hint="eastAsia" w:ascii="宋体" w:hAnsi="宋体" w:eastAsia="宋体" w:cs="宋体"/>
                <w:color w:val="000000" w:themeColor="text1"/>
                <w:szCs w:val="21"/>
                <w:highlight w:val="none"/>
                <w:lang w:eastAsia="zh-CN"/>
                <w14:textFill>
                  <w14:solidFill>
                    <w14:schemeClr w14:val="tx1"/>
                  </w14:solidFill>
                </w14:textFill>
              </w:rPr>
              <w:t>电子签名</w:t>
            </w:r>
            <w:r>
              <w:rPr>
                <w:rFonts w:hint="eastAsia" w:ascii="宋体" w:hAnsi="宋体" w:eastAsia="宋体" w:cs="宋体"/>
                <w:color w:val="000000" w:themeColor="text1"/>
                <w:szCs w:val="21"/>
                <w:highlight w:val="none"/>
                <w14:textFill>
                  <w14:solidFill>
                    <w14:schemeClr w14:val="tx1"/>
                  </w14:solidFill>
                </w14:textFill>
              </w:rPr>
              <w:t>或</w:t>
            </w:r>
            <w:r>
              <w:rPr>
                <w:rFonts w:hint="eastAsia" w:ascii="宋体" w:hAnsi="宋体" w:eastAsia="宋体" w:cs="宋体"/>
                <w:color w:val="000000" w:themeColor="text1"/>
                <w:szCs w:val="21"/>
                <w:highlight w:val="none"/>
                <w:lang w:eastAsia="zh-CN"/>
                <w14:textFill>
                  <w14:solidFill>
                    <w14:schemeClr w14:val="tx1"/>
                  </w14:solidFill>
                </w14:textFill>
              </w:rPr>
              <w:t>电子签章</w:t>
            </w:r>
            <w:r>
              <w:rPr>
                <w:rFonts w:hint="eastAsia" w:ascii="宋体" w:hAnsi="宋体" w:eastAsia="宋体" w:cs="宋体"/>
                <w:color w:val="000000" w:themeColor="text1"/>
                <w:szCs w:val="21"/>
                <w:highlight w:val="none"/>
                <w14:textFill>
                  <w14:solidFill>
                    <w14:schemeClr w14:val="tx1"/>
                  </w14:solidFill>
                </w14:textFill>
              </w:rPr>
              <w:t>，并加盖投标人</w:t>
            </w:r>
            <w:r>
              <w:rPr>
                <w:rFonts w:hint="eastAsia" w:ascii="宋体" w:hAnsi="宋体" w:eastAsia="宋体" w:cs="宋体"/>
                <w:color w:val="000000" w:themeColor="text1"/>
                <w:szCs w:val="21"/>
                <w:highlight w:val="none"/>
                <w:lang w:eastAsia="zh-CN"/>
                <w14:textFill>
                  <w14:solidFill>
                    <w14:schemeClr w14:val="tx1"/>
                  </w14:solidFill>
                </w14:textFill>
              </w:rPr>
              <w:t>电子</w:t>
            </w:r>
            <w:r>
              <w:rPr>
                <w:rFonts w:hint="eastAsia" w:ascii="宋体" w:hAnsi="宋体" w:eastAsia="宋体" w:cs="宋体"/>
                <w:color w:val="000000" w:themeColor="text1"/>
                <w:szCs w:val="21"/>
                <w:highlight w:val="none"/>
                <w14:textFill>
                  <w14:solidFill>
                    <w14:schemeClr w14:val="tx1"/>
                  </w14:solidFill>
                </w14:textFill>
              </w:rPr>
              <w:t>公章。</w:t>
            </w:r>
          </w:p>
        </w:tc>
      </w:tr>
      <w:tr w14:paraId="0B92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51A63463">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621E4EF4">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6B6A52A6">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投标报价表</w:t>
            </w:r>
          </w:p>
        </w:tc>
        <w:tc>
          <w:tcPr>
            <w:tcW w:w="5506" w:type="dxa"/>
            <w:vAlign w:val="center"/>
          </w:tcPr>
          <w:p w14:paraId="42DDA3BE">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符合第四章《投标文件格式》中规定的格式及内容，提供开标一览表，有</w:t>
            </w:r>
            <w:r>
              <w:rPr>
                <w:rFonts w:hint="eastAsia" w:ascii="宋体" w:hAnsi="宋体" w:cs="宋体"/>
                <w:color w:val="000000" w:themeColor="text1"/>
                <w:szCs w:val="21"/>
                <w:highlight w:val="none"/>
                <w:lang w:eastAsia="zh-CN"/>
                <w14:textFill>
                  <w14:solidFill>
                    <w14:schemeClr w14:val="tx1"/>
                  </w14:solidFill>
                </w14:textFill>
              </w:rPr>
              <w:t>法定代表人（负责人）</w:t>
            </w:r>
            <w:r>
              <w:rPr>
                <w:rFonts w:hint="eastAsia" w:ascii="宋体" w:hAnsi="宋体" w:eastAsia="宋体" w:cs="宋体"/>
                <w:color w:val="000000" w:themeColor="text1"/>
                <w:szCs w:val="21"/>
                <w:highlight w:val="none"/>
                <w:lang w:eastAsia="zh-CN"/>
                <w14:textFill>
                  <w14:solidFill>
                    <w14:schemeClr w14:val="tx1"/>
                  </w14:solidFill>
                </w14:textFill>
              </w:rPr>
              <w:t>电子签名</w:t>
            </w:r>
            <w:r>
              <w:rPr>
                <w:rFonts w:hint="eastAsia" w:ascii="宋体" w:hAnsi="宋体" w:eastAsia="宋体" w:cs="宋体"/>
                <w:color w:val="000000" w:themeColor="text1"/>
                <w:szCs w:val="21"/>
                <w:highlight w:val="none"/>
                <w14:textFill>
                  <w14:solidFill>
                    <w14:schemeClr w14:val="tx1"/>
                  </w14:solidFill>
                </w14:textFill>
              </w:rPr>
              <w:t>或</w:t>
            </w:r>
            <w:r>
              <w:rPr>
                <w:rFonts w:hint="eastAsia" w:ascii="宋体" w:hAnsi="宋体" w:eastAsia="宋体" w:cs="宋体"/>
                <w:color w:val="000000" w:themeColor="text1"/>
                <w:szCs w:val="21"/>
                <w:highlight w:val="none"/>
                <w:lang w:eastAsia="zh-CN"/>
                <w14:textFill>
                  <w14:solidFill>
                    <w14:schemeClr w14:val="tx1"/>
                  </w14:solidFill>
                </w14:textFill>
              </w:rPr>
              <w:t>电子签章</w:t>
            </w:r>
            <w:r>
              <w:rPr>
                <w:rFonts w:hint="eastAsia" w:ascii="宋体" w:hAnsi="宋体" w:eastAsia="宋体" w:cs="宋体"/>
                <w:color w:val="000000" w:themeColor="text1"/>
                <w:szCs w:val="21"/>
                <w:highlight w:val="none"/>
                <w14:textFill>
                  <w14:solidFill>
                    <w14:schemeClr w14:val="tx1"/>
                  </w14:solidFill>
                </w14:textFill>
              </w:rPr>
              <w:t>，并加盖投标人</w:t>
            </w:r>
            <w:r>
              <w:rPr>
                <w:rFonts w:hint="eastAsia" w:ascii="宋体" w:hAnsi="宋体" w:eastAsia="宋体" w:cs="宋体"/>
                <w:color w:val="000000" w:themeColor="text1"/>
                <w:szCs w:val="21"/>
                <w:highlight w:val="none"/>
                <w:lang w:eastAsia="zh-CN"/>
                <w14:textFill>
                  <w14:solidFill>
                    <w14:schemeClr w14:val="tx1"/>
                  </w14:solidFill>
                </w14:textFill>
              </w:rPr>
              <w:t>电子</w:t>
            </w:r>
            <w:r>
              <w:rPr>
                <w:rFonts w:hint="eastAsia" w:ascii="宋体" w:hAnsi="宋体" w:eastAsia="宋体" w:cs="宋体"/>
                <w:color w:val="000000" w:themeColor="text1"/>
                <w:szCs w:val="21"/>
                <w:highlight w:val="none"/>
                <w14:textFill>
                  <w14:solidFill>
                    <w14:schemeClr w14:val="tx1"/>
                  </w14:solidFill>
                </w14:textFill>
              </w:rPr>
              <w:t>公章。</w:t>
            </w:r>
          </w:p>
        </w:tc>
      </w:tr>
      <w:tr w14:paraId="2DB5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04D4A931">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647DFC3A">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6D031D8D">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w:t>
            </w:r>
          </w:p>
        </w:tc>
        <w:tc>
          <w:tcPr>
            <w:tcW w:w="5506" w:type="dxa"/>
            <w:vAlign w:val="center"/>
          </w:tcPr>
          <w:p w14:paraId="00EC8B4A">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未超过采购预算</w:t>
            </w:r>
            <w:r>
              <w:rPr>
                <w:rFonts w:hint="eastAsia" w:ascii="宋体" w:hAnsi="宋体" w:eastAsia="宋体" w:cs="宋体"/>
                <w:color w:val="000000" w:themeColor="text1"/>
                <w:szCs w:val="21"/>
                <w:highlight w:val="none"/>
                <w:lang w:val="en-US" w:eastAsia="zh-CN"/>
                <w14:textFill>
                  <w14:solidFill>
                    <w14:schemeClr w14:val="tx1"/>
                  </w14:solidFill>
                </w14:textFill>
              </w:rPr>
              <w:t>或</w:t>
            </w:r>
            <w:r>
              <w:rPr>
                <w:rFonts w:hint="eastAsia" w:ascii="宋体" w:hAnsi="宋体" w:eastAsia="宋体" w:cs="宋体"/>
                <w:color w:val="000000" w:themeColor="text1"/>
                <w:szCs w:val="21"/>
                <w:highlight w:val="none"/>
                <w14:textFill>
                  <w14:solidFill>
                    <w14:schemeClr w14:val="tx1"/>
                  </w14:solidFill>
                </w14:textFill>
              </w:rPr>
              <w:t>最高限价，未出现缺项、漏项，对本项目所有内容作出完整唯一的投标报价</w:t>
            </w:r>
          </w:p>
        </w:tc>
      </w:tr>
      <w:tr w14:paraId="628B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10" w:type="dxa"/>
            <w:vMerge w:val="continue"/>
            <w:vAlign w:val="center"/>
          </w:tcPr>
          <w:p w14:paraId="30EBC384">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6BCDE326">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74F71BF2">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法定代表人（负责人）</w:t>
            </w:r>
            <w:r>
              <w:rPr>
                <w:rFonts w:hint="eastAsia" w:ascii="宋体" w:hAnsi="宋体" w:eastAsia="宋体" w:cs="宋体"/>
                <w:color w:val="000000" w:themeColor="text1"/>
                <w:szCs w:val="21"/>
                <w:highlight w:val="none"/>
                <w14:textFill>
                  <w14:solidFill>
                    <w14:schemeClr w14:val="tx1"/>
                  </w14:solidFill>
                </w14:textFill>
              </w:rPr>
              <w:t>身份证明书</w:t>
            </w:r>
          </w:p>
        </w:tc>
        <w:tc>
          <w:tcPr>
            <w:tcW w:w="5506" w:type="dxa"/>
            <w:vAlign w:val="center"/>
          </w:tcPr>
          <w:p w14:paraId="04044A51">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符合第四章《投标文件格式》中规定的格式及内容，并加盖投标人</w:t>
            </w:r>
            <w:r>
              <w:rPr>
                <w:rFonts w:hint="eastAsia" w:ascii="宋体" w:hAnsi="宋体" w:eastAsia="宋体" w:cs="宋体"/>
                <w:color w:val="000000" w:themeColor="text1"/>
                <w:szCs w:val="21"/>
                <w:highlight w:val="none"/>
                <w:lang w:eastAsia="zh-CN"/>
                <w14:textFill>
                  <w14:solidFill>
                    <w14:schemeClr w14:val="tx1"/>
                  </w14:solidFill>
                </w14:textFill>
              </w:rPr>
              <w:t>电子</w:t>
            </w:r>
            <w:r>
              <w:rPr>
                <w:rFonts w:hint="eastAsia" w:ascii="宋体" w:hAnsi="宋体" w:eastAsia="宋体" w:cs="宋体"/>
                <w:color w:val="000000" w:themeColor="text1"/>
                <w:szCs w:val="21"/>
                <w:highlight w:val="none"/>
                <w14:textFill>
                  <w14:solidFill>
                    <w14:schemeClr w14:val="tx1"/>
                  </w14:solidFill>
                </w14:textFill>
              </w:rPr>
              <w:t>公章；</w:t>
            </w:r>
          </w:p>
        </w:tc>
      </w:tr>
      <w:tr w14:paraId="28DC3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2702CF56">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5E341ED3">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2E553CF9">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法定代表人（负责人）</w:t>
            </w:r>
            <w:r>
              <w:rPr>
                <w:rFonts w:hint="eastAsia" w:ascii="宋体" w:hAnsi="宋体" w:eastAsia="宋体" w:cs="宋体"/>
                <w:color w:val="000000" w:themeColor="text1"/>
                <w:szCs w:val="21"/>
                <w:highlight w:val="none"/>
                <w14:textFill>
                  <w14:solidFill>
                    <w14:schemeClr w14:val="tx1"/>
                  </w14:solidFill>
                </w14:textFill>
              </w:rPr>
              <w:t>授权委托书</w:t>
            </w:r>
          </w:p>
        </w:tc>
        <w:tc>
          <w:tcPr>
            <w:tcW w:w="5506" w:type="dxa"/>
            <w:vAlign w:val="center"/>
          </w:tcPr>
          <w:p w14:paraId="38D37E30">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符合第四章《投标文件格式》中规定的格式及内容，有</w:t>
            </w:r>
            <w:r>
              <w:rPr>
                <w:rFonts w:hint="eastAsia" w:ascii="宋体" w:hAnsi="宋体" w:cs="宋体"/>
                <w:color w:val="000000" w:themeColor="text1"/>
                <w:szCs w:val="21"/>
                <w:highlight w:val="none"/>
                <w:lang w:eastAsia="zh-CN"/>
                <w14:textFill>
                  <w14:solidFill>
                    <w14:schemeClr w14:val="tx1"/>
                  </w14:solidFill>
                </w14:textFill>
              </w:rPr>
              <w:t>法定代表人（负责人）</w:t>
            </w:r>
            <w:r>
              <w:rPr>
                <w:rFonts w:hint="eastAsia" w:ascii="宋体" w:hAnsi="宋体" w:eastAsia="宋体" w:cs="宋体"/>
                <w:color w:val="000000" w:themeColor="text1"/>
                <w:szCs w:val="21"/>
                <w:highlight w:val="none"/>
                <w:lang w:eastAsia="zh-CN"/>
                <w14:textFill>
                  <w14:solidFill>
                    <w14:schemeClr w14:val="tx1"/>
                  </w14:solidFill>
                </w14:textFill>
              </w:rPr>
              <w:t>电子签名</w:t>
            </w:r>
            <w:r>
              <w:rPr>
                <w:rFonts w:hint="eastAsia" w:ascii="宋体" w:hAnsi="宋体" w:eastAsia="宋体" w:cs="宋体"/>
                <w:color w:val="000000" w:themeColor="text1"/>
                <w:szCs w:val="21"/>
                <w:highlight w:val="none"/>
                <w14:textFill>
                  <w14:solidFill>
                    <w14:schemeClr w14:val="tx1"/>
                  </w14:solidFill>
                </w14:textFill>
              </w:rPr>
              <w:t>或</w:t>
            </w:r>
            <w:r>
              <w:rPr>
                <w:rFonts w:hint="eastAsia" w:ascii="宋体" w:hAnsi="宋体" w:eastAsia="宋体" w:cs="宋体"/>
                <w:color w:val="000000" w:themeColor="text1"/>
                <w:szCs w:val="21"/>
                <w:highlight w:val="none"/>
                <w:lang w:eastAsia="zh-CN"/>
                <w14:textFill>
                  <w14:solidFill>
                    <w14:schemeClr w14:val="tx1"/>
                  </w14:solidFill>
                </w14:textFill>
              </w:rPr>
              <w:t>电子签章</w:t>
            </w:r>
            <w:r>
              <w:rPr>
                <w:rFonts w:hint="eastAsia" w:ascii="宋体" w:hAnsi="宋体" w:eastAsia="宋体" w:cs="宋体"/>
                <w:color w:val="000000" w:themeColor="text1"/>
                <w:szCs w:val="21"/>
                <w:highlight w:val="none"/>
                <w14:textFill>
                  <w14:solidFill>
                    <w14:schemeClr w14:val="tx1"/>
                  </w14:solidFill>
                </w14:textFill>
              </w:rPr>
              <w:t>，并加盖投标人</w:t>
            </w:r>
            <w:r>
              <w:rPr>
                <w:rFonts w:hint="eastAsia" w:ascii="宋体" w:hAnsi="宋体" w:eastAsia="宋体" w:cs="宋体"/>
                <w:color w:val="000000" w:themeColor="text1"/>
                <w:szCs w:val="21"/>
                <w:highlight w:val="none"/>
                <w:lang w:eastAsia="zh-CN"/>
                <w14:textFill>
                  <w14:solidFill>
                    <w14:schemeClr w14:val="tx1"/>
                  </w14:solidFill>
                </w14:textFill>
              </w:rPr>
              <w:t>电子</w:t>
            </w:r>
            <w:r>
              <w:rPr>
                <w:rFonts w:hint="eastAsia" w:ascii="宋体" w:hAnsi="宋体" w:eastAsia="宋体" w:cs="宋体"/>
                <w:color w:val="000000" w:themeColor="text1"/>
                <w:szCs w:val="21"/>
                <w:highlight w:val="none"/>
                <w14:textFill>
                  <w14:solidFill>
                    <w14:schemeClr w14:val="tx1"/>
                  </w14:solidFill>
                </w14:textFill>
              </w:rPr>
              <w:t>公章；</w:t>
            </w:r>
          </w:p>
        </w:tc>
      </w:tr>
      <w:tr w14:paraId="2EAF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559F157D">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0B4DE37D">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35906FAA">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投标人具备参加政府采购活动条件承诺书</w:t>
            </w:r>
          </w:p>
        </w:tc>
        <w:tc>
          <w:tcPr>
            <w:tcW w:w="5506" w:type="dxa"/>
            <w:vAlign w:val="center"/>
          </w:tcPr>
          <w:p w14:paraId="693D8A1F">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符合《政府采购法》第二十二条规定</w:t>
            </w:r>
          </w:p>
        </w:tc>
      </w:tr>
      <w:tr w14:paraId="0BBA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7DC4F347">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381741E6">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00C4F98C">
            <w:pPr>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其它实质性要求</w:t>
            </w:r>
          </w:p>
        </w:tc>
        <w:tc>
          <w:tcPr>
            <w:tcW w:w="5506" w:type="dxa"/>
            <w:vAlign w:val="center"/>
          </w:tcPr>
          <w:p w14:paraId="42001D3C">
            <w:pPr>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投标文件未出现其他不满足招标文件中标注★条款内容且未出现招标文件规定的其他投标无效情形</w:t>
            </w:r>
          </w:p>
        </w:tc>
      </w:tr>
      <w:tr w14:paraId="1814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restart"/>
            <w:vAlign w:val="center"/>
          </w:tcPr>
          <w:p w14:paraId="70F3F666">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w:t>
            </w:r>
          </w:p>
        </w:tc>
        <w:tc>
          <w:tcPr>
            <w:tcW w:w="836" w:type="dxa"/>
            <w:vMerge w:val="restart"/>
            <w:vAlign w:val="center"/>
          </w:tcPr>
          <w:p w14:paraId="0A5AE7EB">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详细评审标准</w:t>
            </w:r>
          </w:p>
        </w:tc>
        <w:tc>
          <w:tcPr>
            <w:tcW w:w="2242" w:type="dxa"/>
            <w:vAlign w:val="center"/>
          </w:tcPr>
          <w:p w14:paraId="00674663">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1）评标总得分计算公式</w:t>
            </w:r>
          </w:p>
        </w:tc>
        <w:tc>
          <w:tcPr>
            <w:tcW w:w="5506" w:type="dxa"/>
            <w:vAlign w:val="center"/>
          </w:tcPr>
          <w:p w14:paraId="4F40631F">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投标人的评标总得分＝F1＋F2</w:t>
            </w:r>
          </w:p>
          <w:p w14:paraId="4D5C8DC5">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其中：F1、F2分别为投标报价、技术商务部分</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项评分因素的汇总得分；</w:t>
            </w:r>
          </w:p>
        </w:tc>
      </w:tr>
      <w:tr w14:paraId="1683D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72A70055">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6A8CC73A">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14527571">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2）评分因素权重</w:t>
            </w:r>
          </w:p>
        </w:tc>
        <w:tc>
          <w:tcPr>
            <w:tcW w:w="5506" w:type="dxa"/>
            <w:vAlign w:val="center"/>
          </w:tcPr>
          <w:p w14:paraId="07BA58BC">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投标报价F1：</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分。</w:t>
            </w:r>
          </w:p>
          <w:p w14:paraId="32417876">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技术商务部分F2：</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分。</w:t>
            </w:r>
          </w:p>
        </w:tc>
      </w:tr>
      <w:tr w14:paraId="7719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34EA84E8">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30A4B692">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Align w:val="center"/>
          </w:tcPr>
          <w:p w14:paraId="1848B130">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3）投标报价得分F1（满分</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分）</w:t>
            </w:r>
          </w:p>
        </w:tc>
        <w:tc>
          <w:tcPr>
            <w:tcW w:w="5506" w:type="dxa"/>
            <w:vAlign w:val="center"/>
          </w:tcPr>
          <w:p w14:paraId="62114F0F">
            <w:pPr>
              <w:keepNext/>
              <w:keepLines w:val="0"/>
              <w:pageBreakBefore w:val="0"/>
              <w:kinsoku/>
              <w:topLinePunct w:val="0"/>
              <w:autoSpaceDE/>
              <w:autoSpaceDN/>
              <w:bidi w:val="0"/>
              <w:adjustRightInd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价格分采用低价优先法计算，即满足招标文件要求且投标价格最低的投标报价为评标基准价，其价格分为满分。其他投标人的价格分统一按照下列公式计算：</w:t>
            </w:r>
          </w:p>
          <w:p w14:paraId="34C71D18">
            <w:pPr>
              <w:keepNext/>
              <w:keepLines w:val="0"/>
              <w:pageBreakBefore w:val="0"/>
              <w:kinsoku/>
              <w:topLinePunct w:val="0"/>
              <w:autoSpaceDE/>
              <w:autoSpaceDN/>
              <w:bidi w:val="0"/>
              <w:adjustRightInd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投标报价计算公式=评标基准价/投标报价×</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0</w:t>
            </w:r>
          </w:p>
          <w:p w14:paraId="73EDA2CE">
            <w:pPr>
              <w:keepNext/>
              <w:keepLines w:val="0"/>
              <w:pageBreakBefore w:val="0"/>
              <w:kinsoku/>
              <w:topLinePunct w:val="0"/>
              <w:autoSpaceDE/>
              <w:autoSpaceDN/>
              <w:bidi w:val="0"/>
              <w:adjustRightInd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即：F1=[C/（B1，B2，…，Bn）]×</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0</w:t>
            </w:r>
          </w:p>
          <w:p w14:paraId="37E5C3CB">
            <w:pPr>
              <w:keepNext/>
              <w:keepLines w:val="0"/>
              <w:pageBreakBefore w:val="0"/>
              <w:kinsoku/>
              <w:topLinePunct w:val="0"/>
              <w:autoSpaceDE/>
              <w:autoSpaceDN/>
              <w:bidi w:val="0"/>
              <w:adjustRightInd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w:t>
            </w:r>
          </w:p>
          <w:p w14:paraId="3CED3A42">
            <w:pPr>
              <w:keepNext/>
              <w:keepLines w:val="0"/>
              <w:pageBreakBefore w:val="0"/>
              <w:kinsoku/>
              <w:topLinePunct w:val="0"/>
              <w:autoSpaceDE/>
              <w:autoSpaceDN/>
              <w:bidi w:val="0"/>
              <w:adjustRightInd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C为评标基准价，即满足招标文件且投标价格最低的有效投标报价；</w:t>
            </w:r>
          </w:p>
          <w:p w14:paraId="432CDA85">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B1，B2，…，Bn为第n个满足招标文件的有效投标报价。</w:t>
            </w:r>
          </w:p>
          <w:p w14:paraId="7B1594B0">
            <w:pPr>
              <w:keepNext/>
              <w:keepLines w:val="0"/>
              <w:pageBreakBefore w:val="0"/>
              <w:kinsoku/>
              <w:topLinePunct w:val="0"/>
              <w:autoSpaceDE/>
              <w:autoSpaceDN/>
              <w:bidi w:val="0"/>
              <w:snapToGrid/>
              <w:spacing w:beforeAutospacing="0" w:afterAutospacing="0" w:line="480" w:lineRule="exact"/>
              <w:ind w:left="0" w:leftChars="0"/>
              <w:textAlignment w:val="auto"/>
              <w:rPr>
                <w:rFonts w:hint="default"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3、</w:t>
            </w:r>
            <w:r>
              <w:rPr>
                <w:rFonts w:hint="eastAsia" w:ascii="宋体" w:hAnsi="宋体" w:cs="宋体"/>
                <w:b/>
              </w:rPr>
              <w:t>本项目针对小型和微型企业或残疾人福利性单位的价格给予</w:t>
            </w:r>
            <w:r>
              <w:rPr>
                <w:rFonts w:hint="eastAsia" w:ascii="宋体" w:hAnsi="宋体" w:cs="宋体"/>
                <w:b/>
                <w:lang w:val="en-US" w:eastAsia="zh-CN"/>
              </w:rPr>
              <w:t>10</w:t>
            </w:r>
            <w:r>
              <w:rPr>
                <w:rFonts w:hint="eastAsia" w:ascii="宋体" w:hAnsi="宋体" w:cs="宋体"/>
                <w:b/>
              </w:rPr>
              <w:t>%的扣除，用扣除后的价格参与评审，残疾人福利性单位属于小型、微型企业的，不重复享受政策。</w:t>
            </w:r>
          </w:p>
        </w:tc>
      </w:tr>
      <w:tr w14:paraId="1345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0D8A4171">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7DDDE5B4">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Merge w:val="restart"/>
            <w:vAlign w:val="center"/>
          </w:tcPr>
          <w:p w14:paraId="4E5BFCE4">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4）技术商务部分得分F2（满分</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分）</w:t>
            </w:r>
          </w:p>
        </w:tc>
        <w:tc>
          <w:tcPr>
            <w:tcW w:w="5506" w:type="dxa"/>
            <w:vAlign w:val="center"/>
          </w:tcPr>
          <w:p w14:paraId="0005545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rPr>
              <w:t>1）</w:t>
            </w:r>
            <w:r>
              <w:rPr>
                <w:rFonts w:hint="eastAsia" w:ascii="宋体" w:hAnsi="宋体" w:cs="宋体"/>
                <w:b/>
                <w:bCs/>
                <w:color w:val="auto"/>
                <w:szCs w:val="21"/>
                <w:highlight w:val="none"/>
                <w:lang w:val="en-US" w:eastAsia="zh-CN"/>
              </w:rPr>
              <w:t>整体服务方案评审评分（满分12分）</w:t>
            </w:r>
          </w:p>
          <w:p w14:paraId="470AE80F">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kern w:val="2"/>
                <w:sz w:val="21"/>
                <w:szCs w:val="21"/>
                <w:highlight w:val="yellow"/>
                <w:lang w:val="en-US" w:eastAsia="zh-CN" w:bidi="ar-SA"/>
              </w:rPr>
            </w:pPr>
            <w:r>
              <w:rPr>
                <w:rFonts w:hint="eastAsia" w:ascii="宋体" w:hAnsi="宋体" w:cs="宋体"/>
                <w:b w:val="0"/>
                <w:bCs w:val="0"/>
                <w:color w:val="auto"/>
                <w:szCs w:val="21"/>
                <w:highlight w:val="none"/>
                <w:lang w:val="en-US" w:eastAsia="zh-CN"/>
              </w:rPr>
              <w:t>根据投标人针对本项目提供的整体服务方案进行评审，</w:t>
            </w:r>
            <w:r>
              <w:rPr>
                <w:rFonts w:hint="eastAsia" w:asciiTheme="minorEastAsia" w:hAnsiTheme="minorEastAsia" w:cstheme="minorEastAsia"/>
                <w:color w:val="auto"/>
                <w:szCs w:val="21"/>
                <w:highlight w:val="none"/>
              </w:rPr>
              <w:t>包括</w:t>
            </w:r>
            <w:r>
              <w:rPr>
                <w:rFonts w:hint="eastAsia" w:asciiTheme="minorEastAsia" w:hAnsiTheme="minorEastAsia" w:cstheme="minorEastAsia"/>
                <w:color w:val="auto"/>
                <w:szCs w:val="21"/>
                <w:highlight w:val="none"/>
                <w:lang w:val="en-US" w:eastAsia="zh-CN"/>
              </w:rPr>
              <w:t>需求分析、保障</w:t>
            </w:r>
            <w:r>
              <w:rPr>
                <w:rFonts w:hint="eastAsia" w:asciiTheme="minorEastAsia" w:hAnsiTheme="minorEastAsia" w:cstheme="minorEastAsia"/>
                <w:color w:val="auto"/>
                <w:szCs w:val="21"/>
                <w:highlight w:val="none"/>
              </w:rPr>
              <w:t>范围</w:t>
            </w:r>
            <w:r>
              <w:rPr>
                <w:rFonts w:hint="eastAsia" w:asciiTheme="minorEastAsia" w:hAnsiTheme="minorEastAsia" w:cstheme="minorEastAsia"/>
                <w:color w:val="auto"/>
                <w:szCs w:val="21"/>
                <w:highlight w:val="none"/>
                <w:lang w:eastAsia="zh-CN"/>
              </w:rPr>
              <w:t>、</w:t>
            </w:r>
            <w:r>
              <w:rPr>
                <w:rFonts w:hint="eastAsia" w:asciiTheme="minorEastAsia" w:hAnsiTheme="minorEastAsia" w:cstheme="minorEastAsia"/>
                <w:color w:val="auto"/>
                <w:szCs w:val="21"/>
                <w:highlight w:val="none"/>
                <w:lang w:val="en-US" w:eastAsia="zh-CN"/>
              </w:rPr>
              <w:t>增值服务、医疗行业专项服务</w:t>
            </w:r>
            <w:r>
              <w:rPr>
                <w:rFonts w:hint="eastAsia" w:asciiTheme="minorEastAsia" w:hAnsiTheme="minorEastAsia" w:cstheme="minorEastAsia"/>
                <w:color w:val="auto"/>
                <w:szCs w:val="21"/>
                <w:highlight w:val="none"/>
                <w:lang w:eastAsia="zh-CN"/>
              </w:rPr>
              <w:t>，</w:t>
            </w:r>
            <w:r>
              <w:rPr>
                <w:rFonts w:hint="eastAsia" w:ascii="宋体" w:hAnsi="宋体" w:cs="宋体"/>
                <w:color w:val="auto"/>
                <w:szCs w:val="21"/>
                <w:highlight w:val="none"/>
                <w:lang w:val="en-US" w:eastAsia="zh-CN"/>
              </w:rPr>
              <w:t>每项内容应均有完整、具体详细、合理可行的方案描述，每有一项缺项漏项的扣3分；每有一项描述缺乏完整性或合理性的扣1.5分。</w:t>
            </w:r>
          </w:p>
        </w:tc>
      </w:tr>
      <w:tr w14:paraId="7EB11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250A4080">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45707A17">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Merge w:val="continue"/>
            <w:vAlign w:val="center"/>
          </w:tcPr>
          <w:p w14:paraId="0FD52BA2">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5506" w:type="dxa"/>
            <w:vAlign w:val="center"/>
          </w:tcPr>
          <w:p w14:paraId="5CCD4E8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2）医疗责任保险服务方案评审评分（满分12分）</w:t>
            </w:r>
          </w:p>
          <w:p w14:paraId="7DE22DAE">
            <w:pPr>
              <w:keepNext w:val="0"/>
              <w:keepLines w:val="0"/>
              <w:widowControl/>
              <w:suppressLineNumbers w:val="0"/>
              <w:spacing w:line="360" w:lineRule="auto"/>
              <w:jc w:val="left"/>
              <w:rPr>
                <w:rFonts w:hint="eastAsia" w:ascii="宋体" w:hAnsi="宋体" w:eastAsia="宋体" w:cs="宋体"/>
                <w:color w:val="auto"/>
                <w:kern w:val="2"/>
                <w:sz w:val="21"/>
                <w:szCs w:val="21"/>
                <w:highlight w:val="yellow"/>
                <w:lang w:val="en-US" w:eastAsia="zh-CN" w:bidi="ar-SA"/>
              </w:rPr>
            </w:pPr>
            <w:r>
              <w:rPr>
                <w:rFonts w:hint="eastAsia" w:ascii="宋体" w:hAnsi="宋体" w:cs="宋体"/>
                <w:b w:val="0"/>
                <w:bCs w:val="0"/>
                <w:color w:val="auto"/>
                <w:szCs w:val="21"/>
                <w:highlight w:val="none"/>
                <w:lang w:val="en-US" w:eastAsia="zh-CN"/>
              </w:rPr>
              <w:t>根据投标人针对本项目提供的医疗责任保险服务方案进行评审，</w:t>
            </w:r>
            <w:r>
              <w:rPr>
                <w:rFonts w:hint="eastAsia" w:asciiTheme="minorEastAsia" w:hAnsiTheme="minorEastAsia" w:cstheme="minorEastAsia"/>
                <w:color w:val="auto"/>
                <w:szCs w:val="21"/>
                <w:highlight w:val="none"/>
              </w:rPr>
              <w:t>包括医务人员人身损害责任保险、医疗意外责任保险、医疗机构场所责任保险、医疗责任保险附加精神损害赔偿责任保险</w:t>
            </w:r>
            <w:r>
              <w:rPr>
                <w:rFonts w:hint="eastAsia" w:asciiTheme="minorEastAsia" w:hAnsiTheme="minorEastAsia" w:cstheme="minorEastAsia"/>
                <w:color w:val="auto"/>
                <w:szCs w:val="21"/>
                <w:highlight w:val="none"/>
                <w:lang w:eastAsia="zh-CN"/>
              </w:rPr>
              <w:t>，</w:t>
            </w:r>
            <w:r>
              <w:rPr>
                <w:rFonts w:hint="eastAsia" w:ascii="宋体" w:hAnsi="宋体" w:cs="宋体"/>
                <w:color w:val="auto"/>
                <w:szCs w:val="21"/>
                <w:highlight w:val="none"/>
                <w:lang w:val="en-US" w:eastAsia="zh-CN"/>
              </w:rPr>
              <w:t>每项内容应均有完整、具体详细、合理可行的方案描述，每有一项缺项漏项的扣3分；每有一项描述缺乏完整性或合理性的扣1.5分。</w:t>
            </w:r>
          </w:p>
        </w:tc>
      </w:tr>
      <w:tr w14:paraId="24906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1F84991A">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32BE105F">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Merge w:val="continue"/>
            <w:vAlign w:val="center"/>
          </w:tcPr>
          <w:p w14:paraId="6C1BF836">
            <w:pPr>
              <w:keepNext/>
              <w:keepLines w:val="0"/>
              <w:pageBreakBefore w:val="0"/>
              <w:kinsoku/>
              <w:topLinePunct w:val="0"/>
              <w:autoSpaceDE/>
              <w:autoSpaceDN/>
              <w:bidi w:val="0"/>
              <w:snapToGrid/>
              <w:spacing w:beforeAutospacing="0" w:afterAutospacing="0" w:line="480" w:lineRule="exact"/>
              <w:ind w:left="0" w:left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5506" w:type="dxa"/>
            <w:vAlign w:val="center"/>
          </w:tcPr>
          <w:p w14:paraId="2B250303">
            <w:pPr>
              <w:keepNext w:val="0"/>
              <w:keepLines w:val="0"/>
              <w:pageBreakBefore w:val="0"/>
              <w:kinsoku/>
              <w:wordWrap/>
              <w:overflowPunct/>
              <w:topLinePunct w:val="0"/>
              <w:autoSpaceDE/>
              <w:autoSpaceDN/>
              <w:bidi w:val="0"/>
              <w:adjustRightInd w:val="0"/>
              <w:snapToGrid w:val="0"/>
              <w:spacing w:line="360" w:lineRule="auto"/>
              <w:textAlignment w:val="auto"/>
              <w:rPr>
                <w:rFonts w:hint="eastAsia"/>
                <w:b/>
                <w:color w:val="auto"/>
                <w:szCs w:val="21"/>
                <w:highlight w:val="none"/>
                <w:lang w:val="en-US" w:eastAsia="zh-CN"/>
              </w:rPr>
            </w:pPr>
            <w:r>
              <w:rPr>
                <w:rFonts w:hint="eastAsia"/>
                <w:b/>
                <w:color w:val="auto"/>
                <w:szCs w:val="21"/>
                <w:highlight w:val="none"/>
                <w:lang w:val="en-US" w:eastAsia="zh-CN"/>
              </w:rPr>
              <w:t>3）理赔服务方案评审评分（满分15分）</w:t>
            </w:r>
          </w:p>
          <w:p w14:paraId="2FAFDDEB">
            <w:pPr>
              <w:keepNext w:val="0"/>
              <w:keepLines w:val="0"/>
              <w:pageBreakBefore w:val="0"/>
              <w:kinsoku/>
              <w:wordWrap/>
              <w:overflowPunct/>
              <w:topLinePunct w:val="0"/>
              <w:autoSpaceDE/>
              <w:autoSpaceDN/>
              <w:bidi w:val="0"/>
              <w:adjustRightInd w:val="0"/>
              <w:snapToGrid w:val="0"/>
              <w:spacing w:line="360" w:lineRule="auto"/>
              <w:textAlignment w:val="auto"/>
              <w:rPr>
                <w:rFonts w:hint="default"/>
                <w:color w:val="auto"/>
                <w:szCs w:val="21"/>
                <w:lang w:val="en-US" w:eastAsia="zh-CN"/>
              </w:rPr>
            </w:pPr>
            <w:r>
              <w:rPr>
                <w:rFonts w:hint="eastAsia" w:ascii="宋体" w:hAnsi="宋体" w:cs="宋体"/>
                <w:b w:val="0"/>
                <w:bCs w:val="0"/>
                <w:color w:val="auto"/>
                <w:szCs w:val="21"/>
                <w:highlight w:val="none"/>
                <w:lang w:val="en-US" w:eastAsia="zh-CN"/>
              </w:rPr>
              <w:t>根据投标人针对本项目提供的理赔服务方案进行评审，</w:t>
            </w:r>
            <w:r>
              <w:rPr>
                <w:rFonts w:hint="eastAsia" w:asciiTheme="minorEastAsia" w:hAnsiTheme="minorEastAsia" w:cstheme="minorEastAsia"/>
                <w:color w:val="auto"/>
                <w:szCs w:val="21"/>
              </w:rPr>
              <w:t>包括</w:t>
            </w:r>
            <w:r>
              <w:rPr>
                <w:rFonts w:hint="eastAsia" w:asciiTheme="minorEastAsia" w:hAnsiTheme="minorEastAsia" w:cstheme="minorEastAsia"/>
                <w:color w:val="auto"/>
                <w:szCs w:val="21"/>
                <w:lang w:val="en-US" w:eastAsia="zh-CN"/>
              </w:rPr>
              <w:t>理赔限额</w:t>
            </w:r>
            <w:r>
              <w:rPr>
                <w:rFonts w:hint="eastAsia" w:asciiTheme="minorEastAsia" w:hAnsiTheme="minorEastAsia" w:cstheme="minorEastAsia"/>
                <w:color w:val="auto"/>
                <w:szCs w:val="21"/>
                <w:lang w:eastAsia="zh-CN"/>
              </w:rPr>
              <w:t>、理赔专岗人员配置、接报案电话设置、查勘时效、赔款时效，</w:t>
            </w:r>
            <w:r>
              <w:rPr>
                <w:rFonts w:hint="eastAsia" w:ascii="宋体" w:hAnsi="宋体" w:cs="宋体"/>
                <w:color w:val="auto"/>
                <w:szCs w:val="21"/>
                <w:highlight w:val="none"/>
                <w:lang w:val="en-US" w:eastAsia="zh-CN"/>
              </w:rPr>
              <w:t>每项内容应均有完整、具体详细、合理可行的方案描述，每有一项缺项漏项的扣3分；每有一项描述缺乏完整性或合理性的扣1.5分。</w:t>
            </w:r>
          </w:p>
        </w:tc>
      </w:tr>
      <w:tr w14:paraId="1D511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3EF97593">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4E75399E">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Merge w:val="continue"/>
            <w:vAlign w:val="center"/>
          </w:tcPr>
          <w:p w14:paraId="6E80ECF4">
            <w:pPr>
              <w:keepNext/>
              <w:keepLines w:val="0"/>
              <w:pageBreakBefore w:val="0"/>
              <w:kinsoku/>
              <w:topLinePunct w:val="0"/>
              <w:autoSpaceDE/>
              <w:autoSpaceDN/>
              <w:bidi w:val="0"/>
              <w:snapToGrid/>
              <w:spacing w:beforeAutospacing="0" w:afterAutospacing="0" w:line="480" w:lineRule="exact"/>
              <w:ind w:left="0" w:leftChars="0"/>
              <w:jc w:val="both"/>
              <w:textAlignment w:val="auto"/>
              <w:rPr>
                <w:rFonts w:hint="eastAsia" w:ascii="宋体" w:hAnsi="宋体" w:eastAsia="宋体" w:cs="宋体"/>
                <w:color w:val="000000" w:themeColor="text1"/>
                <w:szCs w:val="21"/>
                <w:highlight w:val="none"/>
                <w14:textFill>
                  <w14:solidFill>
                    <w14:schemeClr w14:val="tx1"/>
                  </w14:solidFill>
                </w14:textFill>
              </w:rPr>
            </w:pPr>
          </w:p>
        </w:tc>
        <w:tc>
          <w:tcPr>
            <w:tcW w:w="5506" w:type="dxa"/>
            <w:vAlign w:val="center"/>
          </w:tcPr>
          <w:p w14:paraId="504CE98F">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cs="宋体"/>
                <w:b/>
                <w:bCs/>
                <w:color w:val="auto"/>
                <w:szCs w:val="21"/>
                <w:lang w:val="en-US" w:eastAsia="zh-CN"/>
              </w:rPr>
            </w:pPr>
            <w:r>
              <w:rPr>
                <w:rFonts w:hint="eastAsia" w:ascii="宋体" w:hAnsi="宋体" w:eastAsia="宋体" w:cs="宋体"/>
                <w:b/>
                <w:bCs/>
                <w:color w:val="auto"/>
                <w:kern w:val="2"/>
                <w:sz w:val="21"/>
                <w:szCs w:val="21"/>
                <w:lang w:val="en-US" w:eastAsia="zh-CN" w:bidi="ar-SA"/>
              </w:rPr>
              <w:t>4）</w:t>
            </w:r>
            <w:r>
              <w:rPr>
                <w:rFonts w:hint="eastAsia" w:ascii="宋体" w:hAnsi="宋体" w:cs="宋体"/>
                <w:b/>
                <w:bCs/>
                <w:color w:val="auto"/>
                <w:szCs w:val="21"/>
                <w:lang w:val="en-US" w:eastAsia="zh-CN"/>
              </w:rPr>
              <w:t>承保服务方案评审评分（满分6分）</w:t>
            </w:r>
          </w:p>
          <w:p w14:paraId="5C3804DD">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cs="宋体"/>
                <w:b/>
                <w:bCs/>
                <w:color w:val="auto"/>
                <w:szCs w:val="21"/>
                <w:lang w:val="en-US" w:eastAsia="zh-CN"/>
              </w:rPr>
            </w:pPr>
            <w:r>
              <w:rPr>
                <w:rFonts w:hint="eastAsia" w:ascii="宋体" w:hAnsi="宋体" w:cs="宋体"/>
                <w:b w:val="0"/>
                <w:bCs w:val="0"/>
                <w:color w:val="auto"/>
                <w:szCs w:val="21"/>
                <w:highlight w:val="none"/>
                <w:lang w:val="en-US" w:eastAsia="zh-CN"/>
              </w:rPr>
              <w:t>根据投标人针对本项目提供的承保服务方案进行评审，</w:t>
            </w:r>
            <w:r>
              <w:rPr>
                <w:rFonts w:hint="eastAsia" w:asciiTheme="minorEastAsia" w:hAnsiTheme="minorEastAsia" w:cstheme="minorEastAsia"/>
                <w:color w:val="auto"/>
                <w:szCs w:val="21"/>
              </w:rPr>
              <w:t>包括承保出单时效、保费收取方式及收取时效</w:t>
            </w:r>
            <w:r>
              <w:rPr>
                <w:rFonts w:hint="eastAsia" w:asciiTheme="minorEastAsia" w:hAnsiTheme="minorEastAsia" w:cstheme="minorEastAsia"/>
                <w:color w:val="auto"/>
                <w:szCs w:val="21"/>
                <w:lang w:eastAsia="zh-CN"/>
              </w:rPr>
              <w:t>，</w:t>
            </w:r>
            <w:r>
              <w:rPr>
                <w:rFonts w:hint="eastAsia" w:ascii="宋体" w:hAnsi="宋体" w:cs="宋体"/>
                <w:color w:val="auto"/>
                <w:szCs w:val="21"/>
                <w:highlight w:val="none"/>
                <w:lang w:val="en-US" w:eastAsia="zh-CN"/>
              </w:rPr>
              <w:t>每项内容应均有完整、具体详细、合理可行的方案描述，每有一项缺项漏项的扣3分；每有一项描述缺乏完整性或合理性的扣1.5分。</w:t>
            </w:r>
          </w:p>
        </w:tc>
      </w:tr>
      <w:tr w14:paraId="4EAD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D9BC99E">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0BBE9F54">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Merge w:val="continue"/>
            <w:vAlign w:val="center"/>
          </w:tcPr>
          <w:p w14:paraId="0272DD0D">
            <w:pPr>
              <w:keepNext/>
              <w:keepLines w:val="0"/>
              <w:pageBreakBefore w:val="0"/>
              <w:kinsoku/>
              <w:topLinePunct w:val="0"/>
              <w:autoSpaceDE/>
              <w:autoSpaceDN/>
              <w:bidi w:val="0"/>
              <w:snapToGrid/>
              <w:spacing w:beforeAutospacing="0" w:afterAutospacing="0" w:line="480" w:lineRule="exact"/>
              <w:ind w:left="0" w:leftChars="0"/>
              <w:jc w:val="both"/>
              <w:textAlignment w:val="auto"/>
              <w:rPr>
                <w:rFonts w:hint="eastAsia" w:ascii="宋体" w:hAnsi="宋体" w:eastAsia="宋体" w:cs="宋体"/>
                <w:color w:val="000000" w:themeColor="text1"/>
                <w:szCs w:val="21"/>
                <w:highlight w:val="none"/>
                <w14:textFill>
                  <w14:solidFill>
                    <w14:schemeClr w14:val="tx1"/>
                  </w14:solidFill>
                </w14:textFill>
              </w:rPr>
            </w:pPr>
          </w:p>
        </w:tc>
        <w:tc>
          <w:tcPr>
            <w:tcW w:w="5506" w:type="dxa"/>
            <w:vAlign w:val="center"/>
          </w:tcPr>
          <w:p w14:paraId="6D6188BB">
            <w:pPr>
              <w:keepNext w:val="0"/>
              <w:keepLines w:val="0"/>
              <w:pageBreakBefore w:val="0"/>
              <w:kinsoku/>
              <w:wordWrap/>
              <w:overflowPunct/>
              <w:topLinePunct w:val="0"/>
              <w:autoSpaceDE/>
              <w:autoSpaceDN/>
              <w:bidi w:val="0"/>
              <w:adjustRightInd w:val="0"/>
              <w:snapToGrid w:val="0"/>
              <w:spacing w:line="360" w:lineRule="auto"/>
              <w:textAlignment w:val="auto"/>
              <w:rPr>
                <w:rFonts w:hint="eastAsia"/>
                <w:b/>
                <w:color w:val="auto"/>
                <w:szCs w:val="21"/>
                <w:lang w:val="en-US" w:eastAsia="zh-CN"/>
              </w:rPr>
            </w:pPr>
            <w:r>
              <w:rPr>
                <w:rFonts w:hint="eastAsia"/>
                <w:b/>
                <w:color w:val="auto"/>
                <w:szCs w:val="21"/>
                <w:lang w:val="en-US" w:eastAsia="zh-CN"/>
              </w:rPr>
              <w:t>5）本项目人员配置评审评分（满分15分）</w:t>
            </w:r>
          </w:p>
          <w:p w14:paraId="78E366C8">
            <w:pPr>
              <w:keepNext w:val="0"/>
              <w:keepLines w:val="0"/>
              <w:pageBreakBefore w:val="0"/>
              <w:kinsoku/>
              <w:wordWrap/>
              <w:overflowPunct/>
              <w:topLinePunct w:val="0"/>
              <w:autoSpaceDE/>
              <w:autoSpaceDN/>
              <w:bidi w:val="0"/>
              <w:adjustRightInd w:val="0"/>
              <w:snapToGrid w:val="0"/>
              <w:spacing w:line="360" w:lineRule="auto"/>
              <w:textAlignment w:val="auto"/>
              <w:rPr>
                <w:rFonts w:hint="eastAsia"/>
                <w:b/>
                <w:color w:val="auto"/>
                <w:szCs w:val="21"/>
                <w:lang w:val="en-US" w:eastAsia="zh-CN"/>
              </w:rPr>
            </w:pPr>
            <w:r>
              <w:rPr>
                <w:rFonts w:hint="eastAsia"/>
                <w:b/>
                <w:color w:val="auto"/>
                <w:szCs w:val="21"/>
                <w:lang w:val="en-US" w:eastAsia="zh-CN"/>
              </w:rPr>
              <w:t>①项目负责人评审评分（满分3分）</w:t>
            </w:r>
          </w:p>
          <w:p w14:paraId="681774BA">
            <w:pPr>
              <w:keepNext w:val="0"/>
              <w:keepLines w:val="0"/>
              <w:pageBreakBefore w:val="0"/>
              <w:kinsoku/>
              <w:wordWrap/>
              <w:overflowPunct/>
              <w:topLinePunct w:val="0"/>
              <w:autoSpaceDE/>
              <w:autoSpaceDN/>
              <w:bidi w:val="0"/>
              <w:adjustRightInd w:val="0"/>
              <w:snapToGrid w:val="0"/>
              <w:spacing w:line="360" w:lineRule="auto"/>
              <w:textAlignment w:val="auto"/>
              <w:rPr>
                <w:rFonts w:hint="eastAsia"/>
                <w:b w:val="0"/>
                <w:bCs/>
                <w:color w:val="auto"/>
                <w:szCs w:val="21"/>
                <w:lang w:val="en-US" w:eastAsia="zh-CN"/>
              </w:rPr>
            </w:pPr>
            <w:r>
              <w:rPr>
                <w:rFonts w:hint="eastAsia"/>
                <w:b w:val="0"/>
                <w:bCs/>
                <w:color w:val="auto"/>
                <w:szCs w:val="21"/>
                <w:lang w:val="en-US" w:eastAsia="zh-CN"/>
              </w:rPr>
              <w:t>拟派往本项目的项目负责人自投标文件提交截止时间前每提供一个类似项目业绩得1分，满分3分。</w:t>
            </w:r>
          </w:p>
          <w:p w14:paraId="0E61DC2C">
            <w:pPr>
              <w:keepNext w:val="0"/>
              <w:keepLines w:val="0"/>
              <w:pageBreakBefore w:val="0"/>
              <w:kinsoku/>
              <w:wordWrap/>
              <w:overflowPunct/>
              <w:topLinePunct w:val="0"/>
              <w:autoSpaceDE/>
              <w:autoSpaceDN/>
              <w:bidi w:val="0"/>
              <w:adjustRightInd w:val="0"/>
              <w:snapToGrid w:val="0"/>
              <w:spacing w:line="360" w:lineRule="auto"/>
              <w:textAlignment w:val="auto"/>
              <w:rPr>
                <w:rFonts w:hint="eastAsia"/>
                <w:b/>
                <w:color w:val="auto"/>
                <w:szCs w:val="21"/>
                <w:lang w:val="en-US" w:eastAsia="zh-CN"/>
              </w:rPr>
            </w:pPr>
            <w:r>
              <w:rPr>
                <w:rFonts w:hint="eastAsia"/>
                <w:b w:val="0"/>
                <w:bCs/>
                <w:color w:val="auto"/>
                <w:szCs w:val="21"/>
                <w:lang w:val="en-US" w:eastAsia="zh-CN"/>
              </w:rPr>
              <w:t>注：投标文件中须提供《项目负责人信息表》及相对应的人员资料，人员资料包括身份证、劳动合同或社保证明、在类似项目中具有担任项目负责人经验的相关证明材料（证明材料为合同或业主证明材料或其他能证明项目负责人经验的有效证明，其中应明确体现出项目负责人姓名），无人员或项目人员资料不明确、无法体现对应内容的，不予认可。</w:t>
            </w:r>
          </w:p>
          <w:p w14:paraId="40CCCD1A">
            <w:pPr>
              <w:keepNext w:val="0"/>
              <w:keepLines w:val="0"/>
              <w:pageBreakBefore w:val="0"/>
              <w:kinsoku/>
              <w:wordWrap/>
              <w:overflowPunct/>
              <w:topLinePunct w:val="0"/>
              <w:autoSpaceDE/>
              <w:autoSpaceDN/>
              <w:bidi w:val="0"/>
              <w:adjustRightInd w:val="0"/>
              <w:snapToGrid w:val="0"/>
              <w:spacing w:line="360" w:lineRule="auto"/>
              <w:textAlignment w:val="auto"/>
              <w:rPr>
                <w:rFonts w:hint="eastAsia"/>
                <w:b/>
                <w:color w:val="auto"/>
                <w:szCs w:val="21"/>
                <w:lang w:val="en-US" w:eastAsia="zh-CN"/>
              </w:rPr>
            </w:pPr>
            <w:r>
              <w:rPr>
                <w:rFonts w:hint="eastAsia"/>
                <w:b/>
                <w:color w:val="auto"/>
                <w:szCs w:val="21"/>
                <w:lang w:val="en-US" w:eastAsia="zh-CN"/>
              </w:rPr>
              <w:t>②项目团队成员评审评分（满分12分）</w:t>
            </w:r>
          </w:p>
          <w:p w14:paraId="04E6BD7A">
            <w:pPr>
              <w:keepNext w:val="0"/>
              <w:keepLines w:val="0"/>
              <w:pageBreakBefore w:val="0"/>
              <w:kinsoku/>
              <w:wordWrap/>
              <w:overflowPunct/>
              <w:topLinePunct w:val="0"/>
              <w:autoSpaceDE/>
              <w:autoSpaceDN/>
              <w:bidi w:val="0"/>
              <w:adjustRightInd w:val="0"/>
              <w:snapToGrid w:val="0"/>
              <w:spacing w:line="360" w:lineRule="auto"/>
              <w:textAlignment w:val="auto"/>
              <w:rPr>
                <w:rFonts w:hint="eastAsia"/>
                <w:b w:val="0"/>
                <w:bCs/>
                <w:color w:val="auto"/>
                <w:szCs w:val="21"/>
                <w:lang w:val="en-US" w:eastAsia="zh-CN"/>
              </w:rPr>
            </w:pPr>
            <w:r>
              <w:rPr>
                <w:rFonts w:hint="eastAsia"/>
                <w:b w:val="0"/>
                <w:bCs/>
                <w:color w:val="auto"/>
                <w:szCs w:val="21"/>
                <w:lang w:val="en-US" w:eastAsia="zh-CN"/>
              </w:rPr>
              <w:t>根据投标人提供的项目团队成员进行评审，包括法律专员、理赔专岗人员、其他服务人员，</w:t>
            </w:r>
            <w:r>
              <w:rPr>
                <w:rFonts w:hint="eastAsia" w:ascii="宋体" w:hAnsi="宋体" w:cs="宋体"/>
                <w:color w:val="auto"/>
                <w:szCs w:val="21"/>
                <w:highlight w:val="none"/>
                <w:lang w:val="en-US" w:eastAsia="zh-CN"/>
              </w:rPr>
              <w:t>每项内容应有投标人针对本项目提出完整的人员配置架构、明确的职责分工，能完全满足本项目的实际需求、确保项目顺利实施，每有一项缺项漏项的扣4分；每有一项描述缺乏完整性或合理性的扣2分。</w:t>
            </w:r>
          </w:p>
          <w:p w14:paraId="560F6DB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1"/>
                <w:highlight w:val="none"/>
                <w:lang w:val="en-US" w:eastAsia="zh-CN" w:bidi="ar-SA"/>
              </w:rPr>
            </w:pPr>
            <w:r>
              <w:rPr>
                <w:rFonts w:hint="eastAsia"/>
                <w:b w:val="0"/>
                <w:bCs/>
                <w:color w:val="auto"/>
                <w:szCs w:val="21"/>
                <w:lang w:val="en-US" w:eastAsia="zh-CN"/>
              </w:rPr>
              <w:t>注：投标人根据实际投标情况填写《项目团队成员信息表》，表后请附相对应人员资料扫描件，资料包括身份证、劳动合同或社保证明、学历证书（若有）、相关证书（若有）、相关荣誉证明材料（若有）、类似项目经验证明材料（若有）。无人员资料或资料不明确、无法体现对应内容的，不予认可。</w:t>
            </w:r>
          </w:p>
        </w:tc>
      </w:tr>
      <w:tr w14:paraId="195A7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A0845C1">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23D1A316">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Merge w:val="continue"/>
            <w:vAlign w:val="center"/>
          </w:tcPr>
          <w:p w14:paraId="551008DE">
            <w:pPr>
              <w:keepNext/>
              <w:keepLines w:val="0"/>
              <w:pageBreakBefore w:val="0"/>
              <w:kinsoku/>
              <w:topLinePunct w:val="0"/>
              <w:autoSpaceDE/>
              <w:autoSpaceDN/>
              <w:bidi w:val="0"/>
              <w:snapToGrid/>
              <w:spacing w:beforeAutospacing="0" w:afterAutospacing="0" w:line="480" w:lineRule="exact"/>
              <w:ind w:left="0" w:leftChars="0"/>
              <w:jc w:val="both"/>
              <w:textAlignment w:val="auto"/>
              <w:rPr>
                <w:rFonts w:hint="eastAsia" w:ascii="宋体" w:hAnsi="宋体" w:eastAsia="宋体" w:cs="宋体"/>
                <w:color w:val="000000" w:themeColor="text1"/>
                <w:szCs w:val="21"/>
                <w:highlight w:val="none"/>
                <w14:textFill>
                  <w14:solidFill>
                    <w14:schemeClr w14:val="tx1"/>
                  </w14:solidFill>
                </w14:textFill>
              </w:rPr>
            </w:pPr>
          </w:p>
        </w:tc>
        <w:tc>
          <w:tcPr>
            <w:tcW w:w="5506" w:type="dxa"/>
            <w:vAlign w:val="center"/>
          </w:tcPr>
          <w:p w14:paraId="5843486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6）服务质量承诺及保证措施评审评分(满分9分）</w:t>
            </w:r>
          </w:p>
          <w:p w14:paraId="63509445">
            <w:pPr>
              <w:keepNext w:val="0"/>
              <w:keepLines w:val="0"/>
              <w:pageBreakBefore w:val="0"/>
              <w:kinsoku/>
              <w:wordWrap/>
              <w:overflowPunct/>
              <w:topLinePunct w:val="0"/>
              <w:autoSpaceDE/>
              <w:autoSpaceDN/>
              <w:bidi w:val="0"/>
              <w:adjustRightInd w:val="0"/>
              <w:snapToGrid w:val="0"/>
              <w:spacing w:line="360" w:lineRule="auto"/>
              <w:textAlignment w:val="auto"/>
              <w:rPr>
                <w:rFonts w:hint="default" w:ascii="宋体" w:hAnsi="宋体" w:cs="宋体"/>
                <w:b/>
                <w:bCs/>
                <w:color w:val="auto"/>
                <w:szCs w:val="21"/>
                <w:lang w:val="en-US" w:eastAsia="zh-CN"/>
              </w:rPr>
            </w:pPr>
            <w:r>
              <w:rPr>
                <w:rFonts w:hint="eastAsia" w:ascii="宋体" w:hAnsi="宋体" w:cs="宋体"/>
                <w:b w:val="0"/>
                <w:bCs w:val="0"/>
                <w:color w:val="auto"/>
                <w:szCs w:val="21"/>
                <w:lang w:val="en-US" w:eastAsia="zh-CN"/>
              </w:rPr>
              <w:t>根据投标人针对本项目提供的服务质量承诺及保证措施进行评审，包括服务质量承诺、服务质量保证措施、履约过程各工作环节违约情况的惩罚措施，每项内容应均有完整、具体详细、合理可行的方案描述，每有一项缺项漏项的扣3分；每有一项描述缺乏完整性或合理性的扣1.5分。</w:t>
            </w:r>
          </w:p>
        </w:tc>
      </w:tr>
      <w:tr w14:paraId="0D2E7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791CBAFE">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28DDAE1C">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Merge w:val="continue"/>
            <w:vAlign w:val="center"/>
          </w:tcPr>
          <w:p w14:paraId="181080CE">
            <w:pPr>
              <w:keepNext/>
              <w:keepLines w:val="0"/>
              <w:pageBreakBefore w:val="0"/>
              <w:kinsoku/>
              <w:topLinePunct w:val="0"/>
              <w:autoSpaceDE/>
              <w:autoSpaceDN/>
              <w:bidi w:val="0"/>
              <w:snapToGrid/>
              <w:spacing w:beforeAutospacing="0" w:afterAutospacing="0" w:line="480" w:lineRule="exact"/>
              <w:ind w:left="0" w:leftChars="0"/>
              <w:jc w:val="both"/>
              <w:textAlignment w:val="auto"/>
              <w:rPr>
                <w:rFonts w:hint="eastAsia" w:ascii="宋体" w:hAnsi="宋体" w:eastAsia="宋体" w:cs="宋体"/>
                <w:color w:val="000000" w:themeColor="text1"/>
                <w:szCs w:val="21"/>
                <w:highlight w:val="none"/>
                <w14:textFill>
                  <w14:solidFill>
                    <w14:schemeClr w14:val="tx1"/>
                  </w14:solidFill>
                </w14:textFill>
              </w:rPr>
            </w:pPr>
          </w:p>
        </w:tc>
        <w:tc>
          <w:tcPr>
            <w:tcW w:w="5506" w:type="dxa"/>
            <w:vAlign w:val="center"/>
          </w:tcPr>
          <w:p w14:paraId="6B0DE5D8">
            <w:pPr>
              <w:adjustRightInd w:val="0"/>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应急预案评审评分(满分</w:t>
            </w: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分）</w:t>
            </w:r>
          </w:p>
          <w:p w14:paraId="2F9CA45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Cs w:val="21"/>
                <w:lang w:val="en-US" w:eastAsia="zh-CN"/>
              </w:rPr>
            </w:pPr>
            <w:r>
              <w:rPr>
                <w:rFonts w:hint="eastAsia" w:ascii="宋体" w:hAnsi="宋体" w:cs="宋体"/>
                <w:color w:val="auto"/>
                <w:szCs w:val="21"/>
                <w:lang w:val="en-US" w:eastAsia="zh-CN"/>
              </w:rPr>
              <w:t>根据投标人针对本项目提供的应急预案进行评审，包括纠纷应急处理预案、政策突发调整应急处理预案、重大理赔事件应急处理预案，每项内容应均有完整、具体详细、合理可行的方案描述，每有一项缺项漏项的扣3分；每有一项描述缺乏完整性或合理性的扣1.5分。</w:t>
            </w:r>
          </w:p>
        </w:tc>
      </w:tr>
      <w:tr w14:paraId="38BA6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20EA7F17">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836" w:type="dxa"/>
            <w:vMerge w:val="continue"/>
            <w:vAlign w:val="center"/>
          </w:tcPr>
          <w:p w14:paraId="48696D61">
            <w:pPr>
              <w:keepNext/>
              <w:keepLines w:val="0"/>
              <w:pageBreakBefore w:val="0"/>
              <w:kinsoku/>
              <w:topLinePunct w:val="0"/>
              <w:autoSpaceDE/>
              <w:autoSpaceDN/>
              <w:bidi w:val="0"/>
              <w:snapToGrid/>
              <w:spacing w:beforeAutospacing="0" w:afterAutospacing="0" w:line="480" w:lineRule="exact"/>
              <w:ind w:left="0" w:left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242" w:type="dxa"/>
            <w:vMerge w:val="continue"/>
            <w:vAlign w:val="center"/>
          </w:tcPr>
          <w:p w14:paraId="515F90F1">
            <w:pPr>
              <w:keepNext/>
              <w:keepLines w:val="0"/>
              <w:pageBreakBefore w:val="0"/>
              <w:kinsoku/>
              <w:topLinePunct w:val="0"/>
              <w:autoSpaceDE/>
              <w:autoSpaceDN/>
              <w:bidi w:val="0"/>
              <w:snapToGrid/>
              <w:spacing w:beforeAutospacing="0" w:afterAutospacing="0" w:line="480" w:lineRule="exact"/>
              <w:ind w:left="0" w:leftChars="0"/>
              <w:jc w:val="both"/>
              <w:textAlignment w:val="auto"/>
              <w:rPr>
                <w:rFonts w:hint="eastAsia" w:ascii="宋体" w:hAnsi="宋体" w:eastAsia="宋体" w:cs="宋体"/>
                <w:color w:val="000000" w:themeColor="text1"/>
                <w:szCs w:val="21"/>
                <w:highlight w:val="none"/>
                <w14:textFill>
                  <w14:solidFill>
                    <w14:schemeClr w14:val="tx1"/>
                  </w14:solidFill>
                </w14:textFill>
              </w:rPr>
            </w:pPr>
          </w:p>
        </w:tc>
        <w:tc>
          <w:tcPr>
            <w:tcW w:w="5506" w:type="dxa"/>
            <w:vAlign w:val="center"/>
          </w:tcPr>
          <w:p w14:paraId="24C859DA">
            <w:pPr>
              <w:adjustRightInd w:val="0"/>
              <w:snapToGrid w:val="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val="0"/>
                <w:color w:val="auto"/>
                <w:szCs w:val="21"/>
                <w:highlight w:val="none"/>
                <w:lang w:val="en-US" w:eastAsia="zh-CN"/>
              </w:rPr>
              <w:t>8</w:t>
            </w:r>
            <w:r>
              <w:rPr>
                <w:rFonts w:hint="eastAsia" w:ascii="宋体" w:hAnsi="宋体" w:eastAsia="宋体" w:cs="宋体"/>
                <w:b/>
                <w:bCs w:val="0"/>
                <w:color w:val="auto"/>
                <w:szCs w:val="21"/>
                <w:highlight w:val="none"/>
                <w:lang w:val="en-US" w:eastAsia="zh-CN"/>
              </w:rPr>
              <w:t>）投标人类似</w:t>
            </w:r>
            <w:r>
              <w:rPr>
                <w:rFonts w:hint="eastAsia" w:ascii="宋体" w:hAnsi="宋体" w:eastAsia="宋体" w:cs="宋体"/>
                <w:b/>
                <w:bCs/>
                <w:color w:val="auto"/>
                <w:sz w:val="21"/>
                <w:szCs w:val="21"/>
                <w:highlight w:val="none"/>
              </w:rPr>
              <w:t>项目履约情况评审评分（满分</w:t>
            </w:r>
            <w:r>
              <w:rPr>
                <w:rFonts w:hint="eastAsia" w:ascii="宋体" w:hAnsi="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6ABD478F">
            <w:pPr>
              <w:keepNext w:val="0"/>
              <w:keepLines w:val="0"/>
              <w:widowControl/>
              <w:suppressLineNumbers w:val="0"/>
              <w:spacing w:line="360" w:lineRule="auto"/>
              <w:jc w:val="left"/>
              <w:rPr>
                <w:rFonts w:hint="eastAsia" w:ascii="宋体" w:hAnsi="宋体" w:cs="宋体"/>
                <w:color w:val="auto"/>
                <w:szCs w:val="21"/>
                <w:lang w:val="en-US" w:eastAsia="zh-CN"/>
              </w:rPr>
            </w:pPr>
            <w:r>
              <w:rPr>
                <w:rFonts w:hint="eastAsia" w:ascii="宋体" w:hAnsi="宋体" w:cs="宋体"/>
                <w:color w:val="auto"/>
                <w:szCs w:val="21"/>
                <w:lang w:val="en-US" w:eastAsia="zh-CN"/>
              </w:rPr>
              <w:t>根据投标人类似项目履约情况进行打分，每提供一份证明材料得3分，满分12分。</w:t>
            </w:r>
          </w:p>
          <w:p w14:paraId="38697A0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szCs w:val="21"/>
                <w:lang w:val="en-US" w:eastAsia="zh-CN"/>
              </w:rPr>
              <w:t>注：投标文件中须提供《投标人以往类似项目履约情况表》及相对应的证明材料（扫描件加盖投标人电子公章），证明材料为中标（成交）通知书或合同（合同首页、标的及金额所在页及合同签字盖章页）或委托方出具的盖章证明。无证明材料或未按要求提供证明材料或证明材料无法体现具体内容的，本项评审不得分。</w:t>
            </w:r>
          </w:p>
        </w:tc>
      </w:tr>
    </w:tbl>
    <w:p w14:paraId="4F595846">
      <w:pPr>
        <w:pageBreakBefore w:val="0"/>
        <w:kinsoku/>
        <w:topLinePunct w:val="0"/>
        <w:autoSpaceDE/>
        <w:autoSpaceDN/>
        <w:bidi w:val="0"/>
        <w:snapToGrid/>
        <w:spacing w:beforeAutospacing="0" w:afterAutospacing="0" w:line="480" w:lineRule="exact"/>
        <w:ind w:left="0" w:leftChars="0"/>
        <w:textAlignment w:val="auto"/>
        <w:outlineLvl w:val="1"/>
        <w:rPr>
          <w:rFonts w:hint="eastAsia" w:ascii="宋体" w:hAnsi="宋体" w:eastAsia="宋体" w:cs="宋体"/>
          <w:b/>
          <w:bCs w:val="0"/>
          <w:color w:val="000000" w:themeColor="text1"/>
          <w:szCs w:val="22"/>
          <w:highlight w:val="none"/>
          <w14:textFill>
            <w14:solidFill>
              <w14:schemeClr w14:val="tx1"/>
            </w14:solidFill>
          </w14:textFill>
        </w:rPr>
      </w:pPr>
      <w:bookmarkStart w:id="479" w:name="_Toc5633"/>
      <w:bookmarkStart w:id="480" w:name="_Toc3426"/>
      <w:r>
        <w:rPr>
          <w:rFonts w:hint="eastAsia" w:ascii="宋体" w:hAnsi="宋体" w:eastAsia="宋体" w:cs="宋体"/>
          <w:b/>
          <w:bCs w:val="0"/>
          <w:color w:val="000000" w:themeColor="text1"/>
          <w:szCs w:val="22"/>
          <w:highlight w:val="none"/>
          <w14:textFill>
            <w14:solidFill>
              <w14:schemeClr w14:val="tx1"/>
            </w14:solidFill>
          </w14:textFill>
        </w:rPr>
        <w:t>1.符合性审查</w:t>
      </w:r>
      <w:bookmarkEnd w:id="479"/>
      <w:bookmarkEnd w:id="480"/>
    </w:p>
    <w:p w14:paraId="05FDB2E9">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1.1评标</w:t>
      </w:r>
      <w:r>
        <w:rPr>
          <w:rFonts w:hint="eastAsia" w:ascii="宋体" w:hAnsi="宋体" w:eastAsia="宋体" w:cs="宋体"/>
          <w:color w:val="000000" w:themeColor="text1"/>
          <w:kern w:val="0"/>
          <w:szCs w:val="21"/>
          <w:highlight w:val="none"/>
          <w14:textFill>
            <w14:solidFill>
              <w14:schemeClr w14:val="tx1"/>
            </w14:solidFill>
          </w14:textFill>
        </w:rPr>
        <w:t>委员会</w:t>
      </w:r>
      <w:r>
        <w:rPr>
          <w:rFonts w:hint="eastAsia" w:ascii="宋体" w:hAnsi="宋体" w:eastAsia="宋体" w:cs="宋体"/>
          <w:color w:val="000000" w:themeColor="text1"/>
          <w:szCs w:val="21"/>
          <w:highlight w:val="none"/>
          <w14:textFill>
            <w14:solidFill>
              <w14:schemeClr w14:val="tx1"/>
            </w14:solidFill>
          </w14:textFill>
        </w:rPr>
        <w:t>对符合资格的投标人的投标文件进行符合性审查，以确定其是否满足招标文件的实质性要求。</w:t>
      </w:r>
    </w:p>
    <w:p w14:paraId="2BB71F75">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1.2符合性审查</w:t>
      </w:r>
      <w:r>
        <w:rPr>
          <w:rFonts w:hint="eastAsia" w:ascii="宋体" w:hAnsi="宋体" w:eastAsia="宋体" w:cs="宋体"/>
          <w:color w:val="000000" w:themeColor="text1"/>
          <w:kern w:val="0"/>
          <w:szCs w:val="21"/>
          <w:highlight w:val="none"/>
          <w14:textFill>
            <w14:solidFill>
              <w14:schemeClr w14:val="tx1"/>
            </w14:solidFill>
          </w14:textFill>
        </w:rPr>
        <w:t>内容</w:t>
      </w:r>
      <w:r>
        <w:rPr>
          <w:rFonts w:hint="eastAsia" w:ascii="宋体" w:hAnsi="宋体" w:eastAsia="宋体" w:cs="宋体"/>
          <w:color w:val="000000" w:themeColor="text1"/>
          <w:szCs w:val="21"/>
          <w:highlight w:val="none"/>
          <w14:textFill>
            <w14:solidFill>
              <w14:schemeClr w14:val="tx1"/>
            </w14:solidFill>
          </w14:textFill>
        </w:rPr>
        <w:t>及标准：详见招标文件第七章《评标方法》“评标方法前附表1.2符合性审查”，经审查有一项不符合的，该投标文件按无效投标处理。</w:t>
      </w:r>
    </w:p>
    <w:p w14:paraId="1957A1DD">
      <w:pPr>
        <w:pageBreakBefore w:val="0"/>
        <w:kinsoku/>
        <w:topLinePunct w:val="0"/>
        <w:autoSpaceDE/>
        <w:autoSpaceDN/>
        <w:bidi w:val="0"/>
        <w:snapToGrid/>
        <w:spacing w:beforeAutospacing="0" w:afterAutospacing="0" w:line="480" w:lineRule="exact"/>
        <w:ind w:left="0" w:leftChars="0"/>
        <w:textAlignment w:val="auto"/>
        <w:outlineLvl w:val="1"/>
        <w:rPr>
          <w:rFonts w:hint="eastAsia" w:ascii="宋体" w:hAnsi="宋体" w:eastAsia="宋体" w:cs="宋体"/>
          <w:b/>
          <w:bCs w:val="0"/>
          <w:color w:val="000000" w:themeColor="text1"/>
          <w:szCs w:val="22"/>
          <w:highlight w:val="none"/>
          <w14:textFill>
            <w14:solidFill>
              <w14:schemeClr w14:val="tx1"/>
            </w14:solidFill>
          </w14:textFill>
        </w:rPr>
      </w:pPr>
      <w:bookmarkStart w:id="481" w:name="_Toc22202"/>
      <w:bookmarkStart w:id="482" w:name="_Toc2812"/>
      <w:r>
        <w:rPr>
          <w:rFonts w:hint="eastAsia" w:ascii="宋体" w:hAnsi="宋体" w:eastAsia="宋体" w:cs="宋体"/>
          <w:b/>
          <w:bCs w:val="0"/>
          <w:color w:val="000000" w:themeColor="text1"/>
          <w:szCs w:val="22"/>
          <w:highlight w:val="none"/>
          <w14:textFill>
            <w14:solidFill>
              <w14:schemeClr w14:val="tx1"/>
            </w14:solidFill>
          </w14:textFill>
        </w:rPr>
        <w:t>2.评标</w:t>
      </w:r>
      <w:r>
        <w:rPr>
          <w:rFonts w:hint="eastAsia" w:ascii="宋体" w:hAnsi="宋体" w:eastAsia="宋体" w:cs="宋体"/>
          <w:b/>
          <w:bCs w:val="0"/>
          <w:color w:val="000000" w:themeColor="text1"/>
          <w:szCs w:val="24"/>
          <w:highlight w:val="none"/>
          <w14:textFill>
            <w14:solidFill>
              <w14:schemeClr w14:val="tx1"/>
            </w14:solidFill>
          </w14:textFill>
        </w:rPr>
        <w:t>方法</w:t>
      </w:r>
      <w:r>
        <w:rPr>
          <w:rFonts w:hint="eastAsia" w:ascii="宋体" w:hAnsi="宋体" w:eastAsia="宋体" w:cs="宋体"/>
          <w:b/>
          <w:bCs w:val="0"/>
          <w:color w:val="000000" w:themeColor="text1"/>
          <w:szCs w:val="22"/>
          <w:highlight w:val="none"/>
          <w14:textFill>
            <w14:solidFill>
              <w14:schemeClr w14:val="tx1"/>
            </w14:solidFill>
          </w14:textFill>
        </w:rPr>
        <w:t>和标准</w:t>
      </w:r>
      <w:bookmarkEnd w:id="481"/>
      <w:bookmarkEnd w:id="482"/>
    </w:p>
    <w:p w14:paraId="4C7907E5">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2.1评标委员会按照</w:t>
      </w:r>
      <w:r>
        <w:rPr>
          <w:rFonts w:hint="eastAsia" w:ascii="宋体" w:hAnsi="宋体" w:eastAsia="宋体" w:cs="宋体"/>
          <w:color w:val="000000" w:themeColor="text1"/>
          <w:kern w:val="0"/>
          <w:szCs w:val="21"/>
          <w:highlight w:val="none"/>
          <w14:textFill>
            <w14:solidFill>
              <w14:schemeClr w14:val="tx1"/>
            </w14:solidFill>
          </w14:textFill>
        </w:rPr>
        <w:t>招标</w:t>
      </w:r>
      <w:r>
        <w:rPr>
          <w:rFonts w:hint="eastAsia" w:ascii="宋体" w:hAnsi="宋体" w:eastAsia="宋体" w:cs="宋体"/>
          <w:color w:val="000000" w:themeColor="text1"/>
          <w:szCs w:val="21"/>
          <w:highlight w:val="none"/>
          <w14:textFill>
            <w14:solidFill>
              <w14:schemeClr w14:val="tx1"/>
            </w14:solidFill>
          </w14:textFill>
        </w:rPr>
        <w:t>文件中规定的评标方法和标准，对符合性审查合格的投标文件进行商务和技术评估，综合比较与评价。招标文件中没有规定的方法、评审因素和标准，不作为评标依据。</w:t>
      </w:r>
    </w:p>
    <w:p w14:paraId="650CCB80">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2.1.1投标报价得分F1：按本章《评标方法前附表》的规定对投标报价进行计算并得出F1得分；</w:t>
      </w:r>
    </w:p>
    <w:p w14:paraId="34AB9D87">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2.1.2技术商务部分得分F2：按本章《评标方法前附表》的规定对技术商务部分评分并计算出F2汇总得分</w:t>
      </w:r>
    </w:p>
    <w:p w14:paraId="3A46AA1D">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2.1.3评标总得分：按本章《评标方法前附表》的规定计算评标总得分。</w:t>
      </w:r>
    </w:p>
    <w:p w14:paraId="56BA48DA">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2.2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认定其投标无效。</w:t>
      </w:r>
    </w:p>
    <w:p w14:paraId="3D556DAA">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2.3对投标人的价格分等客观评分项的评分应当一致，对其他需要借助专业知识评判的主观评分项，应当严格按照评分细则公正评分。</w:t>
      </w:r>
    </w:p>
    <w:p w14:paraId="06333D9A">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2.4技术商务部分（F2）由评标委员会各成员独立对每个投标人的投标文件进行评价，并汇总每个投标人的得分。投标人各项评分因素得分为该项因素评标委员会各成员汇总得分的算术平均值（保留小数点后两位），小数点后第三位“四舍五入”。</w:t>
      </w:r>
    </w:p>
    <w:p w14:paraId="1CC695F6">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2.5评标委员会成员要依法独立评审，并对评审意见承担个人</w:t>
      </w:r>
      <w:r>
        <w:rPr>
          <w:rFonts w:hint="eastAsia" w:ascii="宋体" w:hAnsi="宋体" w:eastAsia="宋体" w:cs="宋体"/>
          <w:color w:val="000000" w:themeColor="text1"/>
          <w:szCs w:val="21"/>
          <w:highlight w:val="none"/>
          <w14:textFill>
            <w14:solidFill>
              <w14:schemeClr w14:val="tx1"/>
            </w14:solidFill>
          </w14:textFill>
        </w:rPr>
        <w:t>责任。</w:t>
      </w:r>
    </w:p>
    <w:p w14:paraId="7EB8C8B0">
      <w:pPr>
        <w:pageBreakBefore w:val="0"/>
        <w:kinsoku/>
        <w:topLinePunct w:val="0"/>
        <w:autoSpaceDE/>
        <w:autoSpaceDN/>
        <w:bidi w:val="0"/>
        <w:snapToGrid/>
        <w:spacing w:beforeAutospacing="0" w:afterAutospacing="0" w:line="480" w:lineRule="exact"/>
        <w:ind w:left="0" w:leftChars="0"/>
        <w:textAlignment w:val="auto"/>
        <w:outlineLvl w:val="1"/>
        <w:rPr>
          <w:rFonts w:hint="eastAsia" w:ascii="宋体" w:hAnsi="宋体" w:eastAsia="宋体" w:cs="宋体"/>
          <w:b/>
          <w:bCs w:val="0"/>
          <w:color w:val="000000" w:themeColor="text1"/>
          <w:szCs w:val="22"/>
          <w:highlight w:val="none"/>
          <w14:textFill>
            <w14:solidFill>
              <w14:schemeClr w14:val="tx1"/>
            </w14:solidFill>
          </w14:textFill>
        </w:rPr>
      </w:pPr>
      <w:bookmarkStart w:id="483" w:name="_Toc27049"/>
      <w:r>
        <w:rPr>
          <w:rFonts w:hint="eastAsia" w:ascii="宋体" w:hAnsi="宋体" w:eastAsia="宋体" w:cs="宋体"/>
          <w:b/>
          <w:bCs w:val="0"/>
          <w:color w:val="000000" w:themeColor="text1"/>
          <w:szCs w:val="22"/>
          <w:highlight w:val="none"/>
          <w14:textFill>
            <w14:solidFill>
              <w14:schemeClr w14:val="tx1"/>
            </w14:solidFill>
          </w14:textFill>
        </w:rPr>
        <w:t>3.投标文件的澄清、说明或者补正</w:t>
      </w:r>
      <w:bookmarkEnd w:id="483"/>
      <w:r>
        <w:rPr>
          <w:rFonts w:hint="eastAsia" w:ascii="宋体" w:hAnsi="宋体" w:eastAsia="宋体" w:cs="宋体"/>
          <w:b/>
          <w:bCs w:val="0"/>
          <w:color w:val="000000" w:themeColor="text1"/>
          <w:szCs w:val="22"/>
          <w:highlight w:val="none"/>
          <w14:textFill>
            <w14:solidFill>
              <w14:schemeClr w14:val="tx1"/>
            </w14:solidFill>
          </w14:textFill>
        </w:rPr>
        <w:t xml:space="preserve"> </w:t>
      </w:r>
    </w:p>
    <w:p w14:paraId="3E1790EC">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3.1投标文件中出现含义不明确、同类问题表述不一致或者有明显文字和计算错误的内容，评标委员会将以书面形式要求投标人作出必要的澄清、说明或者补正。投标人的澄清、说明或者补正应当采用书面形式，并加盖投标人公章，或者由</w:t>
      </w:r>
      <w:r>
        <w:rPr>
          <w:rFonts w:hint="eastAsia" w:ascii="宋体" w:hAnsi="宋体" w:cs="宋体"/>
          <w:color w:val="000000" w:themeColor="text1"/>
          <w:kern w:val="0"/>
          <w:szCs w:val="21"/>
          <w:highlight w:val="none"/>
          <w:lang w:eastAsia="zh-CN"/>
          <w14:textFill>
            <w14:solidFill>
              <w14:schemeClr w14:val="tx1"/>
            </w14:solidFill>
          </w14:textFill>
        </w:rPr>
        <w:t>法定代表人（负责人）</w:t>
      </w:r>
      <w:r>
        <w:rPr>
          <w:rFonts w:hint="eastAsia" w:ascii="宋体" w:hAnsi="宋体" w:eastAsia="宋体" w:cs="宋体"/>
          <w:color w:val="000000" w:themeColor="text1"/>
          <w:kern w:val="0"/>
          <w:szCs w:val="21"/>
          <w:highlight w:val="none"/>
          <w14:textFill>
            <w14:solidFill>
              <w14:schemeClr w14:val="tx1"/>
            </w14:solidFill>
          </w14:textFill>
        </w:rPr>
        <w:t>或其授权的代表签字。投标人的澄清、说明或者补正不得超出投标文件的范围或者改变投标文件的实质性内容。</w:t>
      </w:r>
    </w:p>
    <w:p w14:paraId="46876D6A">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3.2评标委员会不接受投标人主动提出的澄清、说明或者补正。</w:t>
      </w:r>
    </w:p>
    <w:p w14:paraId="24AEA6DE">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 评标委员会对投标人提交的澄清、说明或者补正有疑问的，可以要求投标人进一步澄清、说明或者补正。</w:t>
      </w:r>
    </w:p>
    <w:p w14:paraId="75EDBCBA">
      <w:pPr>
        <w:pageBreakBefore w:val="0"/>
        <w:kinsoku/>
        <w:topLinePunct w:val="0"/>
        <w:autoSpaceDE/>
        <w:autoSpaceDN/>
        <w:bidi w:val="0"/>
        <w:snapToGrid/>
        <w:spacing w:beforeAutospacing="0" w:afterAutospacing="0" w:line="480" w:lineRule="exact"/>
        <w:ind w:left="0" w:leftChars="0"/>
        <w:textAlignment w:val="auto"/>
        <w:outlineLvl w:val="1"/>
        <w:rPr>
          <w:rFonts w:hint="eastAsia" w:ascii="宋体" w:hAnsi="宋体" w:eastAsia="宋体" w:cs="宋体"/>
          <w:b/>
          <w:bCs w:val="0"/>
          <w:color w:val="000000" w:themeColor="text1"/>
          <w:szCs w:val="22"/>
          <w:highlight w:val="none"/>
          <w14:textFill>
            <w14:solidFill>
              <w14:schemeClr w14:val="tx1"/>
            </w14:solidFill>
          </w14:textFill>
        </w:rPr>
      </w:pPr>
      <w:bookmarkStart w:id="484" w:name="_Toc7788"/>
      <w:bookmarkStart w:id="485" w:name="_Toc24686"/>
      <w:r>
        <w:rPr>
          <w:rFonts w:hint="eastAsia" w:ascii="宋体" w:hAnsi="宋体" w:eastAsia="宋体" w:cs="宋体"/>
          <w:b/>
          <w:bCs w:val="0"/>
          <w:color w:val="000000" w:themeColor="text1"/>
          <w:szCs w:val="22"/>
          <w:highlight w:val="none"/>
          <w14:textFill>
            <w14:solidFill>
              <w14:schemeClr w14:val="tx1"/>
            </w14:solidFill>
          </w14:textFill>
        </w:rPr>
        <w:t>4.评标结果</w:t>
      </w:r>
      <w:bookmarkEnd w:id="484"/>
      <w:bookmarkEnd w:id="485"/>
    </w:p>
    <w:p w14:paraId="3525C943">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4.1提供相同品牌产品</w:t>
      </w:r>
      <w:r>
        <w:rPr>
          <w:rFonts w:hint="eastAsia" w:ascii="宋体" w:hAnsi="宋体" w:eastAsia="宋体" w:cs="宋体"/>
          <w:color w:val="000000" w:themeColor="text1"/>
          <w:kern w:val="0"/>
          <w:szCs w:val="21"/>
          <w:highlight w:val="none"/>
          <w14:textFill>
            <w14:solidFill>
              <w14:schemeClr w14:val="tx1"/>
            </w14:solidFill>
          </w14:textFill>
        </w:rPr>
        <w:t>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p w14:paraId="0A0BFFDA">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4.2非单一产品采购项目，采购人根据采购项目技术构成、产品价格比重等确定核心产品，投标人提供的核心产品品牌相同的，按前款规定处理。</w:t>
      </w:r>
    </w:p>
    <w:p w14:paraId="4B01A4DA">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4.3投标文件满足招标文件全部实质性要求，且按照评审因素的量化指标评审得分最高的投标人将会被推荐为排名第一的中标候选人。</w:t>
      </w:r>
    </w:p>
    <w:p w14:paraId="36842109">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4.4评标委员会按评标总得分由高到低顺序推荐中标候选人，评标总得分相等时，按投标报价由低到高顺序排序，得分且投标报价相同的并列</w:t>
      </w:r>
      <w:r>
        <w:rPr>
          <w:rFonts w:hint="eastAsia" w:ascii="宋体" w:hAnsi="宋体" w:eastAsia="宋体" w:cs="宋体"/>
          <w:color w:val="000000" w:themeColor="text1"/>
          <w:kern w:val="0"/>
          <w:szCs w:val="21"/>
          <w:highlight w:val="none"/>
          <w:lang w:eastAsia="zh-CN"/>
          <w14:textFill>
            <w14:solidFill>
              <w14:schemeClr w14:val="tx1"/>
            </w14:solidFill>
          </w14:textFill>
        </w:rPr>
        <w:t>。</w:t>
      </w:r>
    </w:p>
    <w:p w14:paraId="363C15DE">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4.5评标委员会根据全体评标成员签字的原始评标记录和评标结果编写评标报告。</w:t>
      </w:r>
    </w:p>
    <w:p w14:paraId="5DCC0E4A">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4.6评标委员会成员对需要共同认定的事项存在争议的，应当按照少数服从多数的原则作出结论。持不同意见的评标委员会成员应当在评标报告上签署不同意见及理由，否则视为同意评标报告。</w:t>
      </w:r>
    </w:p>
    <w:p w14:paraId="7D90F3CF">
      <w:pPr>
        <w:pageBreakBefore w:val="0"/>
        <w:widowControl/>
        <w:kinsoku/>
        <w:topLinePunct w:val="0"/>
        <w:autoSpaceDE/>
        <w:autoSpaceDN/>
        <w:bidi w:val="0"/>
        <w:snapToGrid/>
        <w:spacing w:beforeAutospacing="0" w:afterAutospacing="0" w:line="480" w:lineRule="exact"/>
        <w:ind w:left="0" w:leftChars="0" w:firstLine="525" w:firstLineChars="250"/>
        <w:jc w:val="left"/>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w:t>
      </w:r>
      <w:r>
        <w:rPr>
          <w:rFonts w:hint="eastAsia" w:ascii="宋体" w:hAnsi="宋体" w:eastAsia="宋体" w:cs="宋体"/>
          <w:color w:val="000000" w:themeColor="text1"/>
          <w:szCs w:val="21"/>
          <w:highlight w:val="none"/>
          <w14:textFill>
            <w14:solidFill>
              <w14:schemeClr w14:val="tx1"/>
            </w14:solidFill>
          </w14:textFill>
        </w:rPr>
        <w:t>组织采购活动。</w:t>
      </w:r>
    </w:p>
    <w:p w14:paraId="6564E061">
      <w:pPr>
        <w:spacing w:line="360" w:lineRule="auto"/>
        <w:ind w:firstLine="420" w:firstLineChars="200"/>
        <w:jc w:val="left"/>
        <w:rPr>
          <w:rFonts w:ascii="宋体" w:hAnsi="宋体" w:cs="宋体"/>
          <w:szCs w:val="21"/>
        </w:rPr>
      </w:pPr>
    </w:p>
    <w:sectPr>
      <w:headerReference r:id="rId6" w:type="default"/>
      <w:footerReference r:id="rId7" w:type="default"/>
      <w:pgSz w:w="12240" w:h="15840"/>
      <w:pgMar w:top="1440" w:right="1800" w:bottom="1440" w:left="1800" w:header="567" w:footer="56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AC9FDCB-CE35-4B0C-8D58-238B44E75895}"/>
  </w:font>
  <w:font w:name="黑体">
    <w:panose1 w:val="02010609060101010101"/>
    <w:charset w:val="86"/>
    <w:family w:val="auto"/>
    <w:pitch w:val="default"/>
    <w:sig w:usb0="800002BF" w:usb1="38CF7CFA" w:usb2="00000016" w:usb3="00000000" w:csb0="00040001" w:csb1="00000000"/>
    <w:embedRegular r:id="rId2" w:fontKey="{6503DA88-8F4B-415C-8136-80433F2CB64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embedRegular r:id="rId3" w:fontKey="{00503A4C-6801-405C-A135-ED37BD04F5B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7180A5A7-5BF9-4F75-BA1A-7A469A4EA7DD}"/>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embedRegular r:id="rId5" w:fontKey="{48755B52-FBFB-4B9A-AC35-C7DAE4057D72}"/>
  </w:font>
  <w:font w:name="方正小标宋_GBK">
    <w:panose1 w:val="02000000000000000000"/>
    <w:charset w:val="86"/>
    <w:family w:val="script"/>
    <w:pitch w:val="default"/>
    <w:sig w:usb0="A00002BF" w:usb1="38CF7CFA" w:usb2="00082016" w:usb3="00000000" w:csb0="00040001" w:csb1="00000000"/>
    <w:embedRegular r:id="rId6" w:fontKey="{3EFB684C-567A-4BD6-BF41-DB5EE1745BC1}"/>
  </w:font>
  <w:font w:name="方正小标宋简体">
    <w:panose1 w:val="03000509000000000000"/>
    <w:charset w:val="86"/>
    <w:family w:val="script"/>
    <w:pitch w:val="default"/>
    <w:sig w:usb0="00000001" w:usb1="080E0000" w:usb2="00000000" w:usb3="00000000" w:csb0="00040000" w:csb1="00000000"/>
    <w:embedRegular r:id="rId7" w:fontKey="{EDB9CD8A-3EA4-4FB6-B16F-F496610EA50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B1A92">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35FCA">
    <w:pPr>
      <w:pStyle w:val="26"/>
      <w:jc w:val="right"/>
    </w:pPr>
    <w:r>
      <w:drawing>
        <wp:inline distT="0" distB="0" distL="114300" distR="114300">
          <wp:extent cx="1438275" cy="266700"/>
          <wp:effectExtent l="0" t="0" r="9525" b="0"/>
          <wp:docPr id="1" name="图片 3"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F441922">
                          <w:pPr>
                            <w:pStyle w:val="2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5F441922">
                    <w:pPr>
                      <w:pStyle w:val="26"/>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1A50A">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2977D09">
                          <w:pPr>
                            <w:pStyle w:val="26"/>
                            <w:jc w:val="center"/>
                          </w:pPr>
                          <w:r>
                            <w:fldChar w:fldCharType="begin"/>
                          </w:r>
                          <w:r>
                            <w:instrText xml:space="preserve"> PAGE   \* MERGEFORMAT </w:instrText>
                          </w:r>
                          <w:r>
                            <w:fldChar w:fldCharType="separate"/>
                          </w:r>
                          <w:r>
                            <w:rPr>
                              <w:lang w:val="zh-CN"/>
                            </w:rPr>
                            <w:t>77</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72977D09">
                    <w:pPr>
                      <w:pStyle w:val="26"/>
                      <w:jc w:val="center"/>
                    </w:pPr>
                    <w:r>
                      <w:fldChar w:fldCharType="begin"/>
                    </w:r>
                    <w:r>
                      <w:instrText xml:space="preserve"> PAGE   \* MERGEFORMAT </w:instrText>
                    </w:r>
                    <w:r>
                      <w:fldChar w:fldCharType="separate"/>
                    </w:r>
                    <w:r>
                      <w:rPr>
                        <w:lang w:val="zh-CN"/>
                      </w:rPr>
                      <w:t>77</w:t>
                    </w:r>
                    <w:r>
                      <w:rPr>
                        <w:lang w:val="zh-CN"/>
                      </w:rPr>
                      <w:fldChar w:fldCharType="end"/>
                    </w:r>
                  </w:p>
                </w:txbxContent>
              </v:textbox>
            </v:shape>
          </w:pict>
        </mc:Fallback>
      </mc:AlternateContent>
    </w:r>
  </w:p>
  <w:p w14:paraId="73DFC2BE">
    <w:pPr>
      <w:pStyle w:val="26"/>
      <w:jc w:val="right"/>
    </w:pPr>
    <w:r>
      <w:drawing>
        <wp:inline distT="0" distB="0" distL="114300" distR="114300">
          <wp:extent cx="1438275" cy="266700"/>
          <wp:effectExtent l="0" t="0" r="9525" b="0"/>
          <wp:docPr id="7" name="图片 3"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CD7B7">
    <w:pPr>
      <w:pStyle w:val="27"/>
      <w:rPr>
        <w:sz w:val="16"/>
        <w:szCs w:val="16"/>
      </w:rPr>
    </w:pPr>
    <w:r>
      <w:rPr>
        <w:rFonts w:hint="eastAsia" w:ascii="宋体" w:hAnsi="宋体" w:cs="宋体"/>
        <w:color w:val="333333"/>
        <w:sz w:val="16"/>
        <w:szCs w:val="16"/>
        <w:shd w:val="clear" w:color="auto" w:fill="FFFFFF"/>
        <w:lang w:eastAsia="zh-CN"/>
      </w:rPr>
      <w:t>昆明市官渡区人民医院医疗责任保险服务项目（四次）</w:t>
    </w:r>
    <w:r>
      <w:rPr>
        <w:rFonts w:hint="eastAsia" w:ascii="Arial" w:hAnsi="Arial" w:cs="Arial"/>
        <w:color w:val="333333"/>
        <w:sz w:val="16"/>
        <w:szCs w:val="16"/>
        <w:shd w:val="clear" w:color="auto" w:fill="FFFFFF"/>
      </w:rPr>
      <w:t xml:space="preserve">                                                  </w:t>
    </w:r>
    <w:r>
      <w:rPr>
        <w:rFonts w:hint="eastAsia"/>
        <w:sz w:val="16"/>
        <w:szCs w:val="16"/>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E172B">
    <w:pPr>
      <w:pStyle w:val="27"/>
      <w:rPr>
        <w:szCs w:val="18"/>
      </w:rPr>
    </w:pPr>
    <w:r>
      <w:rPr>
        <w:rFonts w:hint="eastAsia" w:ascii="宋体" w:hAnsi="宋体" w:cs="宋体"/>
        <w:color w:val="333333"/>
        <w:szCs w:val="18"/>
        <w:shd w:val="clear" w:color="auto" w:fill="FFFFFF"/>
        <w:lang w:eastAsia="zh-CN"/>
      </w:rPr>
      <w:t>昆明市官渡区人民医院医疗责任保险服务项目（四次）</w:t>
    </w:r>
    <w:r>
      <w:rPr>
        <w:rFonts w:hint="eastAsia" w:ascii="Arial" w:hAnsi="Arial" w:cs="Arial"/>
        <w:color w:val="333333"/>
        <w:szCs w:val="18"/>
        <w:shd w:val="clear" w:color="auto" w:fill="FFFFFF"/>
      </w:rPr>
      <w:t xml:space="preserve">                                      </w:t>
    </w:r>
    <w:r>
      <w:rPr>
        <w:rFonts w:hint="eastAsia"/>
        <w:szCs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500F07"/>
    <w:multiLevelType w:val="multilevel"/>
    <w:tmpl w:val="1B500F07"/>
    <w:lvl w:ilvl="0" w:tentative="0">
      <w:start w:val="1"/>
      <w:numFmt w:val="chineseCounting"/>
      <w:lvlText w:val="%1."/>
      <w:lvlJc w:val="left"/>
      <w:pPr>
        <w:ind w:left="432" w:hanging="432"/>
      </w:pPr>
      <w:rPr>
        <w:rFonts w:hint="eastAsia" w:ascii="宋体" w:hAnsi="宋体" w:eastAsia="宋体" w:cs="宋体"/>
      </w:rPr>
    </w:lvl>
    <w:lvl w:ilvl="1" w:tentative="0">
      <w:start w:val="1"/>
      <w:numFmt w:val="decimal"/>
      <w:isLgl/>
      <w:lvlText w:val="%1.%2."/>
      <w:lvlJc w:val="left"/>
      <w:pPr>
        <w:ind w:left="575" w:hanging="575"/>
      </w:pPr>
      <w:rPr>
        <w:rFonts w:hint="eastAsia" w:ascii="宋体" w:hAnsi="宋体" w:eastAsia="宋体" w:cs="宋体"/>
      </w:rPr>
    </w:lvl>
    <w:lvl w:ilvl="2" w:tentative="0">
      <w:start w:val="1"/>
      <w:numFmt w:val="decimal"/>
      <w:isLgl/>
      <w:lvlText w:val="%1.%2.%3."/>
      <w:lvlJc w:val="left"/>
      <w:pPr>
        <w:ind w:left="720" w:hanging="720"/>
      </w:pPr>
      <w:rPr>
        <w:rFonts w:hint="eastAsia" w:ascii="宋体" w:hAnsi="宋体" w:eastAsia="宋体" w:cs="宋体"/>
      </w:rPr>
    </w:lvl>
    <w:lvl w:ilvl="3" w:tentative="0">
      <w:start w:val="1"/>
      <w:numFmt w:val="decimal"/>
      <w:isLgl/>
      <w:lvlText w:val="%1.%2.%3.%4."/>
      <w:lvlJc w:val="left"/>
      <w:pPr>
        <w:ind w:left="864" w:hanging="864"/>
      </w:pPr>
      <w:rPr>
        <w:rFonts w:hint="eastAsia" w:ascii="宋体" w:hAnsi="宋体" w:eastAsia="宋体" w:cs="宋体"/>
      </w:rPr>
    </w:lvl>
    <w:lvl w:ilvl="4" w:tentative="0">
      <w:start w:val="1"/>
      <w:numFmt w:val="decimal"/>
      <w:isLgl/>
      <w:lvlText w:val="%1.%2.%3.%4.%5."/>
      <w:lvlJc w:val="left"/>
      <w:pPr>
        <w:ind w:left="1008" w:hanging="1008"/>
      </w:pPr>
      <w:rPr>
        <w:rFonts w:hint="eastAsia" w:ascii="宋体" w:hAnsi="宋体" w:eastAsia="宋体" w:cs="宋体"/>
      </w:rPr>
    </w:lvl>
    <w:lvl w:ilvl="5" w:tentative="0">
      <w:start w:val="1"/>
      <w:numFmt w:val="decimal"/>
      <w:isLgl/>
      <w:lvlText w:val="%1.%2.%3.%4.%5.%6."/>
      <w:lvlJc w:val="left"/>
      <w:pPr>
        <w:ind w:left="1151" w:hanging="1151"/>
      </w:pPr>
      <w:rPr>
        <w:rFonts w:hint="eastAsia" w:ascii="宋体" w:hAnsi="宋体" w:eastAsia="宋体" w:cs="宋体"/>
      </w:rPr>
    </w:lvl>
    <w:lvl w:ilvl="6" w:tentative="0">
      <w:start w:val="1"/>
      <w:numFmt w:val="decimal"/>
      <w:pStyle w:val="9"/>
      <w:isLgl/>
      <w:lvlText w:val="%1.%2.%3.%4.%5.%6.%7."/>
      <w:lvlJc w:val="left"/>
      <w:pPr>
        <w:ind w:left="1296" w:hanging="1296"/>
      </w:pPr>
      <w:rPr>
        <w:rFonts w:hint="eastAsia" w:ascii="宋体" w:hAnsi="宋体" w:eastAsia="宋体" w:cs="宋体"/>
      </w:rPr>
    </w:lvl>
    <w:lvl w:ilvl="7" w:tentative="0">
      <w:start w:val="1"/>
      <w:numFmt w:val="decimal"/>
      <w:pStyle w:val="10"/>
      <w:isLgl/>
      <w:lvlText w:val="%1.%2.%3.%4.%5.%6.%7.%8."/>
      <w:lvlJc w:val="left"/>
      <w:pPr>
        <w:ind w:left="1440" w:hanging="1440"/>
      </w:pPr>
      <w:rPr>
        <w:rFonts w:hint="eastAsia" w:ascii="宋体" w:hAnsi="宋体" w:eastAsia="宋体" w:cs="宋体"/>
      </w:rPr>
    </w:lvl>
    <w:lvl w:ilvl="8" w:tentative="0">
      <w:start w:val="1"/>
      <w:numFmt w:val="decimal"/>
      <w:pStyle w:val="11"/>
      <w:isLgl/>
      <w:lvlText w:val="%1.%2.%3.%4.%5.%6.%7.%8.%9."/>
      <w:lvlJc w:val="left"/>
      <w:pPr>
        <w:ind w:left="1583" w:hanging="1583"/>
      </w:pPr>
      <w:rPr>
        <w:rFonts w:hint="eastAsia" w:ascii="宋体" w:hAnsi="宋体" w:eastAsia="宋体" w:cs="宋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4"/>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Y1NTMzYmViNWYxZGM3Yzk4YWE4ZTBkMTEyMTNlNDUifQ=="/>
    <w:docVar w:name="KSO_WPS_MARK_KEY" w:val="10400261-ee10-4e50-8c69-b6d5a3ebbf77"/>
  </w:docVars>
  <w:rsids>
    <w:rsidRoot w:val="00172A27"/>
    <w:rsid w:val="000001DD"/>
    <w:rsid w:val="000007C7"/>
    <w:rsid w:val="00001193"/>
    <w:rsid w:val="000012D0"/>
    <w:rsid w:val="00002418"/>
    <w:rsid w:val="000026CF"/>
    <w:rsid w:val="00002713"/>
    <w:rsid w:val="00002AF6"/>
    <w:rsid w:val="00002CC3"/>
    <w:rsid w:val="00002DAF"/>
    <w:rsid w:val="000030C1"/>
    <w:rsid w:val="00003394"/>
    <w:rsid w:val="00005A2B"/>
    <w:rsid w:val="000062FE"/>
    <w:rsid w:val="00006587"/>
    <w:rsid w:val="000067DF"/>
    <w:rsid w:val="00006963"/>
    <w:rsid w:val="00007E1B"/>
    <w:rsid w:val="00010641"/>
    <w:rsid w:val="000129F1"/>
    <w:rsid w:val="00013089"/>
    <w:rsid w:val="00013235"/>
    <w:rsid w:val="000141BE"/>
    <w:rsid w:val="000156B4"/>
    <w:rsid w:val="000159BF"/>
    <w:rsid w:val="000163E7"/>
    <w:rsid w:val="00016724"/>
    <w:rsid w:val="0001690F"/>
    <w:rsid w:val="00016B3A"/>
    <w:rsid w:val="000170F3"/>
    <w:rsid w:val="000173C8"/>
    <w:rsid w:val="00017E2C"/>
    <w:rsid w:val="000202DF"/>
    <w:rsid w:val="00023146"/>
    <w:rsid w:val="00024837"/>
    <w:rsid w:val="00025194"/>
    <w:rsid w:val="000258E1"/>
    <w:rsid w:val="000277E1"/>
    <w:rsid w:val="00030E86"/>
    <w:rsid w:val="00031014"/>
    <w:rsid w:val="00031453"/>
    <w:rsid w:val="00031AB7"/>
    <w:rsid w:val="00034746"/>
    <w:rsid w:val="0003521E"/>
    <w:rsid w:val="000361EA"/>
    <w:rsid w:val="00036355"/>
    <w:rsid w:val="0003649A"/>
    <w:rsid w:val="00036537"/>
    <w:rsid w:val="00037D44"/>
    <w:rsid w:val="00041C3B"/>
    <w:rsid w:val="00041F03"/>
    <w:rsid w:val="000421E6"/>
    <w:rsid w:val="00042A69"/>
    <w:rsid w:val="00043998"/>
    <w:rsid w:val="00043FF3"/>
    <w:rsid w:val="00046CDE"/>
    <w:rsid w:val="00046F86"/>
    <w:rsid w:val="00050AD7"/>
    <w:rsid w:val="00050EA2"/>
    <w:rsid w:val="00051742"/>
    <w:rsid w:val="00051E2B"/>
    <w:rsid w:val="00052436"/>
    <w:rsid w:val="00053223"/>
    <w:rsid w:val="00054319"/>
    <w:rsid w:val="000548E1"/>
    <w:rsid w:val="00055893"/>
    <w:rsid w:val="000559E2"/>
    <w:rsid w:val="00055CA8"/>
    <w:rsid w:val="00055D2D"/>
    <w:rsid w:val="000562B9"/>
    <w:rsid w:val="0005687F"/>
    <w:rsid w:val="00057EE7"/>
    <w:rsid w:val="000609A9"/>
    <w:rsid w:val="00061775"/>
    <w:rsid w:val="00061BE0"/>
    <w:rsid w:val="00061E2C"/>
    <w:rsid w:val="0006234B"/>
    <w:rsid w:val="0006298A"/>
    <w:rsid w:val="00062A4C"/>
    <w:rsid w:val="0006303A"/>
    <w:rsid w:val="00065399"/>
    <w:rsid w:val="00065B5E"/>
    <w:rsid w:val="00066088"/>
    <w:rsid w:val="000664A0"/>
    <w:rsid w:val="0007041C"/>
    <w:rsid w:val="000704E8"/>
    <w:rsid w:val="00070960"/>
    <w:rsid w:val="00070D56"/>
    <w:rsid w:val="0007105D"/>
    <w:rsid w:val="00072A96"/>
    <w:rsid w:val="000738C3"/>
    <w:rsid w:val="00073A3C"/>
    <w:rsid w:val="00073A91"/>
    <w:rsid w:val="00073BD5"/>
    <w:rsid w:val="000746CA"/>
    <w:rsid w:val="00075E0D"/>
    <w:rsid w:val="000765CB"/>
    <w:rsid w:val="00076B83"/>
    <w:rsid w:val="000770A3"/>
    <w:rsid w:val="00077676"/>
    <w:rsid w:val="000778CD"/>
    <w:rsid w:val="00077AB7"/>
    <w:rsid w:val="00077F2B"/>
    <w:rsid w:val="000803D4"/>
    <w:rsid w:val="00081818"/>
    <w:rsid w:val="00082A86"/>
    <w:rsid w:val="00082F73"/>
    <w:rsid w:val="000844D7"/>
    <w:rsid w:val="000859AC"/>
    <w:rsid w:val="00085B35"/>
    <w:rsid w:val="00087335"/>
    <w:rsid w:val="000874C1"/>
    <w:rsid w:val="000875A1"/>
    <w:rsid w:val="00087819"/>
    <w:rsid w:val="00087B28"/>
    <w:rsid w:val="000915B9"/>
    <w:rsid w:val="00091AB0"/>
    <w:rsid w:val="00092D6A"/>
    <w:rsid w:val="00092D8D"/>
    <w:rsid w:val="0009306E"/>
    <w:rsid w:val="00094070"/>
    <w:rsid w:val="00096065"/>
    <w:rsid w:val="000965B8"/>
    <w:rsid w:val="00096603"/>
    <w:rsid w:val="000967EB"/>
    <w:rsid w:val="000974FB"/>
    <w:rsid w:val="000A03C8"/>
    <w:rsid w:val="000A1714"/>
    <w:rsid w:val="000A1B7E"/>
    <w:rsid w:val="000A2880"/>
    <w:rsid w:val="000A2C52"/>
    <w:rsid w:val="000A33FA"/>
    <w:rsid w:val="000A37C8"/>
    <w:rsid w:val="000A3C50"/>
    <w:rsid w:val="000A47DF"/>
    <w:rsid w:val="000A481C"/>
    <w:rsid w:val="000A4859"/>
    <w:rsid w:val="000A51A7"/>
    <w:rsid w:val="000A5386"/>
    <w:rsid w:val="000A54CD"/>
    <w:rsid w:val="000A558D"/>
    <w:rsid w:val="000A5FB9"/>
    <w:rsid w:val="000A60BA"/>
    <w:rsid w:val="000A614E"/>
    <w:rsid w:val="000A67B9"/>
    <w:rsid w:val="000A6804"/>
    <w:rsid w:val="000A6A24"/>
    <w:rsid w:val="000A6B83"/>
    <w:rsid w:val="000A6FFB"/>
    <w:rsid w:val="000A7450"/>
    <w:rsid w:val="000A78BA"/>
    <w:rsid w:val="000A7BF4"/>
    <w:rsid w:val="000A7DB3"/>
    <w:rsid w:val="000B0F93"/>
    <w:rsid w:val="000B29FD"/>
    <w:rsid w:val="000B3EDD"/>
    <w:rsid w:val="000B4976"/>
    <w:rsid w:val="000B6CE1"/>
    <w:rsid w:val="000C2916"/>
    <w:rsid w:val="000C314C"/>
    <w:rsid w:val="000C33D3"/>
    <w:rsid w:val="000C3A7A"/>
    <w:rsid w:val="000C3F3B"/>
    <w:rsid w:val="000C554D"/>
    <w:rsid w:val="000C5EF0"/>
    <w:rsid w:val="000C6E53"/>
    <w:rsid w:val="000C7124"/>
    <w:rsid w:val="000C715D"/>
    <w:rsid w:val="000D0525"/>
    <w:rsid w:val="000D0EC7"/>
    <w:rsid w:val="000D125D"/>
    <w:rsid w:val="000D172F"/>
    <w:rsid w:val="000D27FB"/>
    <w:rsid w:val="000D281D"/>
    <w:rsid w:val="000D306F"/>
    <w:rsid w:val="000D5478"/>
    <w:rsid w:val="000D563F"/>
    <w:rsid w:val="000D57BE"/>
    <w:rsid w:val="000D60DD"/>
    <w:rsid w:val="000D612B"/>
    <w:rsid w:val="000D6E92"/>
    <w:rsid w:val="000D784C"/>
    <w:rsid w:val="000D7D53"/>
    <w:rsid w:val="000E0B0A"/>
    <w:rsid w:val="000E0E5C"/>
    <w:rsid w:val="000E131B"/>
    <w:rsid w:val="000E1687"/>
    <w:rsid w:val="000E199E"/>
    <w:rsid w:val="000E4677"/>
    <w:rsid w:val="000E5349"/>
    <w:rsid w:val="000E5BF2"/>
    <w:rsid w:val="000E7548"/>
    <w:rsid w:val="000F0112"/>
    <w:rsid w:val="000F09A2"/>
    <w:rsid w:val="000F0BEC"/>
    <w:rsid w:val="000F13B3"/>
    <w:rsid w:val="000F16C0"/>
    <w:rsid w:val="000F40CD"/>
    <w:rsid w:val="000F452B"/>
    <w:rsid w:val="000F4C18"/>
    <w:rsid w:val="000F744F"/>
    <w:rsid w:val="000F74FB"/>
    <w:rsid w:val="000F7C20"/>
    <w:rsid w:val="0010042B"/>
    <w:rsid w:val="00101542"/>
    <w:rsid w:val="00101E4F"/>
    <w:rsid w:val="001034CA"/>
    <w:rsid w:val="0010364F"/>
    <w:rsid w:val="00103CC5"/>
    <w:rsid w:val="00105D31"/>
    <w:rsid w:val="00105D7C"/>
    <w:rsid w:val="00107796"/>
    <w:rsid w:val="00110334"/>
    <w:rsid w:val="001104EF"/>
    <w:rsid w:val="0011216F"/>
    <w:rsid w:val="001128DD"/>
    <w:rsid w:val="00114520"/>
    <w:rsid w:val="0011485F"/>
    <w:rsid w:val="00114C77"/>
    <w:rsid w:val="00114E06"/>
    <w:rsid w:val="00116821"/>
    <w:rsid w:val="00116C62"/>
    <w:rsid w:val="00116F8A"/>
    <w:rsid w:val="0012009A"/>
    <w:rsid w:val="001203DD"/>
    <w:rsid w:val="001210CD"/>
    <w:rsid w:val="00122AB2"/>
    <w:rsid w:val="00122C80"/>
    <w:rsid w:val="00123B62"/>
    <w:rsid w:val="0012504B"/>
    <w:rsid w:val="0012509F"/>
    <w:rsid w:val="001251F4"/>
    <w:rsid w:val="00125971"/>
    <w:rsid w:val="00125B78"/>
    <w:rsid w:val="00125B7B"/>
    <w:rsid w:val="00126AB0"/>
    <w:rsid w:val="00126F18"/>
    <w:rsid w:val="001270FE"/>
    <w:rsid w:val="001279CA"/>
    <w:rsid w:val="00131DA9"/>
    <w:rsid w:val="00131F9F"/>
    <w:rsid w:val="001341F7"/>
    <w:rsid w:val="0013609E"/>
    <w:rsid w:val="0013696C"/>
    <w:rsid w:val="00136D32"/>
    <w:rsid w:val="00137774"/>
    <w:rsid w:val="00137994"/>
    <w:rsid w:val="00141325"/>
    <w:rsid w:val="00141382"/>
    <w:rsid w:val="0014146E"/>
    <w:rsid w:val="001420D7"/>
    <w:rsid w:val="00144125"/>
    <w:rsid w:val="00144215"/>
    <w:rsid w:val="001443EA"/>
    <w:rsid w:val="00144AE2"/>
    <w:rsid w:val="00144E1C"/>
    <w:rsid w:val="00145112"/>
    <w:rsid w:val="001465AB"/>
    <w:rsid w:val="0014661E"/>
    <w:rsid w:val="0014677E"/>
    <w:rsid w:val="00150094"/>
    <w:rsid w:val="001512E5"/>
    <w:rsid w:val="00151EC8"/>
    <w:rsid w:val="001522C2"/>
    <w:rsid w:val="001523DF"/>
    <w:rsid w:val="001529F8"/>
    <w:rsid w:val="001533A5"/>
    <w:rsid w:val="00153884"/>
    <w:rsid w:val="0015460E"/>
    <w:rsid w:val="00154666"/>
    <w:rsid w:val="0015534F"/>
    <w:rsid w:val="001555F9"/>
    <w:rsid w:val="00155DF7"/>
    <w:rsid w:val="00155E75"/>
    <w:rsid w:val="00156B9B"/>
    <w:rsid w:val="0016095C"/>
    <w:rsid w:val="00160E34"/>
    <w:rsid w:val="00161182"/>
    <w:rsid w:val="0016147C"/>
    <w:rsid w:val="001619E9"/>
    <w:rsid w:val="00161C98"/>
    <w:rsid w:val="00162787"/>
    <w:rsid w:val="00162A49"/>
    <w:rsid w:val="00163A9C"/>
    <w:rsid w:val="00163DB3"/>
    <w:rsid w:val="001642A1"/>
    <w:rsid w:val="00164F51"/>
    <w:rsid w:val="0016659D"/>
    <w:rsid w:val="00167E63"/>
    <w:rsid w:val="0017004F"/>
    <w:rsid w:val="0017051C"/>
    <w:rsid w:val="00170789"/>
    <w:rsid w:val="001714C8"/>
    <w:rsid w:val="00171FE3"/>
    <w:rsid w:val="0017250D"/>
    <w:rsid w:val="0017292B"/>
    <w:rsid w:val="00172A27"/>
    <w:rsid w:val="00173DAB"/>
    <w:rsid w:val="00173E4D"/>
    <w:rsid w:val="00174B18"/>
    <w:rsid w:val="001764DB"/>
    <w:rsid w:val="00176D99"/>
    <w:rsid w:val="00177AAD"/>
    <w:rsid w:val="001804D9"/>
    <w:rsid w:val="00181409"/>
    <w:rsid w:val="00181DE5"/>
    <w:rsid w:val="001834A1"/>
    <w:rsid w:val="00183717"/>
    <w:rsid w:val="00183D92"/>
    <w:rsid w:val="00185157"/>
    <w:rsid w:val="0018639E"/>
    <w:rsid w:val="001867AE"/>
    <w:rsid w:val="00187119"/>
    <w:rsid w:val="0018712A"/>
    <w:rsid w:val="00187389"/>
    <w:rsid w:val="0018773F"/>
    <w:rsid w:val="00187A06"/>
    <w:rsid w:val="00187A0A"/>
    <w:rsid w:val="00190B72"/>
    <w:rsid w:val="00190F22"/>
    <w:rsid w:val="00191076"/>
    <w:rsid w:val="0019248B"/>
    <w:rsid w:val="00192973"/>
    <w:rsid w:val="0019369F"/>
    <w:rsid w:val="00194EAD"/>
    <w:rsid w:val="00196DB9"/>
    <w:rsid w:val="0019719C"/>
    <w:rsid w:val="00197E5E"/>
    <w:rsid w:val="001A0151"/>
    <w:rsid w:val="001A071B"/>
    <w:rsid w:val="001A0BD3"/>
    <w:rsid w:val="001A0C8D"/>
    <w:rsid w:val="001A0D1F"/>
    <w:rsid w:val="001A1300"/>
    <w:rsid w:val="001A19B9"/>
    <w:rsid w:val="001A3D85"/>
    <w:rsid w:val="001A4BAA"/>
    <w:rsid w:val="001A4D00"/>
    <w:rsid w:val="001A58A2"/>
    <w:rsid w:val="001A5970"/>
    <w:rsid w:val="001A668C"/>
    <w:rsid w:val="001A71F7"/>
    <w:rsid w:val="001A74F8"/>
    <w:rsid w:val="001A7519"/>
    <w:rsid w:val="001A7CF8"/>
    <w:rsid w:val="001B2041"/>
    <w:rsid w:val="001B21E5"/>
    <w:rsid w:val="001B2738"/>
    <w:rsid w:val="001B38D6"/>
    <w:rsid w:val="001B38FB"/>
    <w:rsid w:val="001B3CFC"/>
    <w:rsid w:val="001B4184"/>
    <w:rsid w:val="001B4767"/>
    <w:rsid w:val="001B48A0"/>
    <w:rsid w:val="001B5081"/>
    <w:rsid w:val="001B5373"/>
    <w:rsid w:val="001B5433"/>
    <w:rsid w:val="001B5C8D"/>
    <w:rsid w:val="001B5CB8"/>
    <w:rsid w:val="001B65BE"/>
    <w:rsid w:val="001B6EAB"/>
    <w:rsid w:val="001C082C"/>
    <w:rsid w:val="001C111F"/>
    <w:rsid w:val="001C1380"/>
    <w:rsid w:val="001C1616"/>
    <w:rsid w:val="001C169D"/>
    <w:rsid w:val="001C1B0E"/>
    <w:rsid w:val="001C2038"/>
    <w:rsid w:val="001C20DA"/>
    <w:rsid w:val="001C2E09"/>
    <w:rsid w:val="001C2F2C"/>
    <w:rsid w:val="001C350F"/>
    <w:rsid w:val="001C57A1"/>
    <w:rsid w:val="001C5FAE"/>
    <w:rsid w:val="001C6385"/>
    <w:rsid w:val="001C6470"/>
    <w:rsid w:val="001C7E87"/>
    <w:rsid w:val="001D0733"/>
    <w:rsid w:val="001D0776"/>
    <w:rsid w:val="001D175D"/>
    <w:rsid w:val="001D4434"/>
    <w:rsid w:val="001D46B7"/>
    <w:rsid w:val="001D4C09"/>
    <w:rsid w:val="001D4D81"/>
    <w:rsid w:val="001D5101"/>
    <w:rsid w:val="001D6F07"/>
    <w:rsid w:val="001E0002"/>
    <w:rsid w:val="001E0A44"/>
    <w:rsid w:val="001E162C"/>
    <w:rsid w:val="001E2844"/>
    <w:rsid w:val="001E2B45"/>
    <w:rsid w:val="001E2D8E"/>
    <w:rsid w:val="001E3AA0"/>
    <w:rsid w:val="001E5099"/>
    <w:rsid w:val="001E538E"/>
    <w:rsid w:val="001E5594"/>
    <w:rsid w:val="001E567E"/>
    <w:rsid w:val="001E7488"/>
    <w:rsid w:val="001E7F78"/>
    <w:rsid w:val="001F07E3"/>
    <w:rsid w:val="001F1152"/>
    <w:rsid w:val="001F16A1"/>
    <w:rsid w:val="001F36AD"/>
    <w:rsid w:val="001F3846"/>
    <w:rsid w:val="001F4149"/>
    <w:rsid w:val="001F45E0"/>
    <w:rsid w:val="001F47AE"/>
    <w:rsid w:val="001F4B16"/>
    <w:rsid w:val="001F785E"/>
    <w:rsid w:val="002006C1"/>
    <w:rsid w:val="00200C5F"/>
    <w:rsid w:val="002014AE"/>
    <w:rsid w:val="002014FA"/>
    <w:rsid w:val="00201ED3"/>
    <w:rsid w:val="00203833"/>
    <w:rsid w:val="00203881"/>
    <w:rsid w:val="002038E8"/>
    <w:rsid w:val="00203BD6"/>
    <w:rsid w:val="00204CC8"/>
    <w:rsid w:val="00207500"/>
    <w:rsid w:val="002078B4"/>
    <w:rsid w:val="00210407"/>
    <w:rsid w:val="0021097F"/>
    <w:rsid w:val="002126EE"/>
    <w:rsid w:val="00212F5B"/>
    <w:rsid w:val="0021464C"/>
    <w:rsid w:val="00214C4D"/>
    <w:rsid w:val="0021511B"/>
    <w:rsid w:val="00215325"/>
    <w:rsid w:val="00215EDA"/>
    <w:rsid w:val="002162BF"/>
    <w:rsid w:val="002167B3"/>
    <w:rsid w:val="002210FF"/>
    <w:rsid w:val="002227CE"/>
    <w:rsid w:val="00222BA5"/>
    <w:rsid w:val="002231A3"/>
    <w:rsid w:val="0022329E"/>
    <w:rsid w:val="002233E6"/>
    <w:rsid w:val="00223776"/>
    <w:rsid w:val="002237B5"/>
    <w:rsid w:val="00223AF7"/>
    <w:rsid w:val="00225838"/>
    <w:rsid w:val="00225D4A"/>
    <w:rsid w:val="00225E53"/>
    <w:rsid w:val="00225EED"/>
    <w:rsid w:val="002265DF"/>
    <w:rsid w:val="00227D11"/>
    <w:rsid w:val="002314F1"/>
    <w:rsid w:val="00231AAB"/>
    <w:rsid w:val="00232420"/>
    <w:rsid w:val="0023247D"/>
    <w:rsid w:val="00232D01"/>
    <w:rsid w:val="00232E59"/>
    <w:rsid w:val="00232F36"/>
    <w:rsid w:val="00233432"/>
    <w:rsid w:val="00233972"/>
    <w:rsid w:val="00233E37"/>
    <w:rsid w:val="002368E0"/>
    <w:rsid w:val="002411E8"/>
    <w:rsid w:val="002424E0"/>
    <w:rsid w:val="002431EF"/>
    <w:rsid w:val="00243B50"/>
    <w:rsid w:val="00243D67"/>
    <w:rsid w:val="00244035"/>
    <w:rsid w:val="002446EE"/>
    <w:rsid w:val="00244CA8"/>
    <w:rsid w:val="00244CED"/>
    <w:rsid w:val="00244F02"/>
    <w:rsid w:val="00245927"/>
    <w:rsid w:val="0024618E"/>
    <w:rsid w:val="00246522"/>
    <w:rsid w:val="00246C42"/>
    <w:rsid w:val="00247CFD"/>
    <w:rsid w:val="00247F4B"/>
    <w:rsid w:val="002503EC"/>
    <w:rsid w:val="0025180F"/>
    <w:rsid w:val="00251B11"/>
    <w:rsid w:val="00252891"/>
    <w:rsid w:val="00252CDB"/>
    <w:rsid w:val="00253D68"/>
    <w:rsid w:val="0025474D"/>
    <w:rsid w:val="00254B23"/>
    <w:rsid w:val="00254DDC"/>
    <w:rsid w:val="00255684"/>
    <w:rsid w:val="002557FF"/>
    <w:rsid w:val="00256557"/>
    <w:rsid w:val="0025783C"/>
    <w:rsid w:val="0026014B"/>
    <w:rsid w:val="002618D5"/>
    <w:rsid w:val="00261AF4"/>
    <w:rsid w:val="002627EB"/>
    <w:rsid w:val="00263919"/>
    <w:rsid w:val="0026563C"/>
    <w:rsid w:val="00265A27"/>
    <w:rsid w:val="00266394"/>
    <w:rsid w:val="00266672"/>
    <w:rsid w:val="00267B7D"/>
    <w:rsid w:val="0027075D"/>
    <w:rsid w:val="00270972"/>
    <w:rsid w:val="0027156B"/>
    <w:rsid w:val="00272CA0"/>
    <w:rsid w:val="0027343B"/>
    <w:rsid w:val="002746FD"/>
    <w:rsid w:val="002749CE"/>
    <w:rsid w:val="00275410"/>
    <w:rsid w:val="0027668F"/>
    <w:rsid w:val="002800D7"/>
    <w:rsid w:val="002809AE"/>
    <w:rsid w:val="00281DAC"/>
    <w:rsid w:val="00281FE1"/>
    <w:rsid w:val="00281FEF"/>
    <w:rsid w:val="00283045"/>
    <w:rsid w:val="00283C00"/>
    <w:rsid w:val="00284ED8"/>
    <w:rsid w:val="00285035"/>
    <w:rsid w:val="00285E55"/>
    <w:rsid w:val="002863CB"/>
    <w:rsid w:val="002874EE"/>
    <w:rsid w:val="00287C48"/>
    <w:rsid w:val="00287CA6"/>
    <w:rsid w:val="00287CF6"/>
    <w:rsid w:val="00290CDB"/>
    <w:rsid w:val="00291501"/>
    <w:rsid w:val="0029173A"/>
    <w:rsid w:val="00292638"/>
    <w:rsid w:val="00292C33"/>
    <w:rsid w:val="002932EC"/>
    <w:rsid w:val="00293A44"/>
    <w:rsid w:val="0029403F"/>
    <w:rsid w:val="002952DA"/>
    <w:rsid w:val="0029568C"/>
    <w:rsid w:val="00295EBB"/>
    <w:rsid w:val="0029630D"/>
    <w:rsid w:val="0029764C"/>
    <w:rsid w:val="002A0195"/>
    <w:rsid w:val="002A045C"/>
    <w:rsid w:val="002A063E"/>
    <w:rsid w:val="002A0E89"/>
    <w:rsid w:val="002A1A3D"/>
    <w:rsid w:val="002A1BA1"/>
    <w:rsid w:val="002A1CB9"/>
    <w:rsid w:val="002A1E96"/>
    <w:rsid w:val="002A297C"/>
    <w:rsid w:val="002A36C3"/>
    <w:rsid w:val="002A3DE8"/>
    <w:rsid w:val="002A490E"/>
    <w:rsid w:val="002A4FE2"/>
    <w:rsid w:val="002A5CCA"/>
    <w:rsid w:val="002A5DE7"/>
    <w:rsid w:val="002A5F37"/>
    <w:rsid w:val="002A6EEB"/>
    <w:rsid w:val="002A7CEF"/>
    <w:rsid w:val="002B1108"/>
    <w:rsid w:val="002B2708"/>
    <w:rsid w:val="002B30B0"/>
    <w:rsid w:val="002B4378"/>
    <w:rsid w:val="002B47DC"/>
    <w:rsid w:val="002B5826"/>
    <w:rsid w:val="002B5947"/>
    <w:rsid w:val="002B6728"/>
    <w:rsid w:val="002B67C0"/>
    <w:rsid w:val="002B769A"/>
    <w:rsid w:val="002C19D5"/>
    <w:rsid w:val="002C4849"/>
    <w:rsid w:val="002C4A51"/>
    <w:rsid w:val="002C5D9F"/>
    <w:rsid w:val="002C6162"/>
    <w:rsid w:val="002C6903"/>
    <w:rsid w:val="002C69E5"/>
    <w:rsid w:val="002C73BF"/>
    <w:rsid w:val="002C7AA4"/>
    <w:rsid w:val="002D0C43"/>
    <w:rsid w:val="002D1095"/>
    <w:rsid w:val="002D1759"/>
    <w:rsid w:val="002D20C1"/>
    <w:rsid w:val="002D2DA5"/>
    <w:rsid w:val="002D3034"/>
    <w:rsid w:val="002D31E7"/>
    <w:rsid w:val="002D37BA"/>
    <w:rsid w:val="002D432F"/>
    <w:rsid w:val="002D4521"/>
    <w:rsid w:val="002D545E"/>
    <w:rsid w:val="002D69F0"/>
    <w:rsid w:val="002D6C48"/>
    <w:rsid w:val="002D7282"/>
    <w:rsid w:val="002E0F80"/>
    <w:rsid w:val="002E17AC"/>
    <w:rsid w:val="002E1BEE"/>
    <w:rsid w:val="002E1CCA"/>
    <w:rsid w:val="002E23BF"/>
    <w:rsid w:val="002E42CA"/>
    <w:rsid w:val="002E5B57"/>
    <w:rsid w:val="002E608F"/>
    <w:rsid w:val="002E6F28"/>
    <w:rsid w:val="002E7817"/>
    <w:rsid w:val="002E7BBC"/>
    <w:rsid w:val="002F2095"/>
    <w:rsid w:val="002F2D66"/>
    <w:rsid w:val="002F2E07"/>
    <w:rsid w:val="002F2E39"/>
    <w:rsid w:val="002F2EBE"/>
    <w:rsid w:val="002F32A2"/>
    <w:rsid w:val="002F4FDA"/>
    <w:rsid w:val="002F5151"/>
    <w:rsid w:val="002F51C1"/>
    <w:rsid w:val="002F5929"/>
    <w:rsid w:val="002F5B42"/>
    <w:rsid w:val="002F5DCC"/>
    <w:rsid w:val="002F6E04"/>
    <w:rsid w:val="002F750E"/>
    <w:rsid w:val="002F7703"/>
    <w:rsid w:val="00300DC6"/>
    <w:rsid w:val="00300DD0"/>
    <w:rsid w:val="00301FE7"/>
    <w:rsid w:val="00302135"/>
    <w:rsid w:val="00302686"/>
    <w:rsid w:val="00302920"/>
    <w:rsid w:val="00302BE1"/>
    <w:rsid w:val="00302C0B"/>
    <w:rsid w:val="003035F0"/>
    <w:rsid w:val="00303B1C"/>
    <w:rsid w:val="003041C8"/>
    <w:rsid w:val="00304207"/>
    <w:rsid w:val="00305476"/>
    <w:rsid w:val="003061FD"/>
    <w:rsid w:val="003105ED"/>
    <w:rsid w:val="00310795"/>
    <w:rsid w:val="00310D9A"/>
    <w:rsid w:val="00311403"/>
    <w:rsid w:val="003118EC"/>
    <w:rsid w:val="00312A89"/>
    <w:rsid w:val="00312EAE"/>
    <w:rsid w:val="00313A68"/>
    <w:rsid w:val="00313A7E"/>
    <w:rsid w:val="00313C3D"/>
    <w:rsid w:val="00314ECF"/>
    <w:rsid w:val="00315E0A"/>
    <w:rsid w:val="003175E7"/>
    <w:rsid w:val="003175F1"/>
    <w:rsid w:val="00317F7F"/>
    <w:rsid w:val="0032069B"/>
    <w:rsid w:val="00320FA6"/>
    <w:rsid w:val="00320FF1"/>
    <w:rsid w:val="00321520"/>
    <w:rsid w:val="003215AF"/>
    <w:rsid w:val="00321A56"/>
    <w:rsid w:val="00321B48"/>
    <w:rsid w:val="00322ADD"/>
    <w:rsid w:val="0032300A"/>
    <w:rsid w:val="00323076"/>
    <w:rsid w:val="0032325D"/>
    <w:rsid w:val="0032378C"/>
    <w:rsid w:val="003241C5"/>
    <w:rsid w:val="00324515"/>
    <w:rsid w:val="00324B53"/>
    <w:rsid w:val="0032505F"/>
    <w:rsid w:val="003272A0"/>
    <w:rsid w:val="00327475"/>
    <w:rsid w:val="00327549"/>
    <w:rsid w:val="00327E40"/>
    <w:rsid w:val="00330D28"/>
    <w:rsid w:val="00330D88"/>
    <w:rsid w:val="00330E0B"/>
    <w:rsid w:val="003321DD"/>
    <w:rsid w:val="003324C1"/>
    <w:rsid w:val="00332501"/>
    <w:rsid w:val="00332943"/>
    <w:rsid w:val="00332C02"/>
    <w:rsid w:val="00334E84"/>
    <w:rsid w:val="00336F95"/>
    <w:rsid w:val="00340215"/>
    <w:rsid w:val="003414BD"/>
    <w:rsid w:val="00343A4A"/>
    <w:rsid w:val="00345F13"/>
    <w:rsid w:val="003463B1"/>
    <w:rsid w:val="00346491"/>
    <w:rsid w:val="00346868"/>
    <w:rsid w:val="003478FE"/>
    <w:rsid w:val="003504B9"/>
    <w:rsid w:val="0035080C"/>
    <w:rsid w:val="00352190"/>
    <w:rsid w:val="003534BB"/>
    <w:rsid w:val="00353B83"/>
    <w:rsid w:val="003553A8"/>
    <w:rsid w:val="00355A8C"/>
    <w:rsid w:val="00355EFB"/>
    <w:rsid w:val="003561E4"/>
    <w:rsid w:val="00356AA2"/>
    <w:rsid w:val="00356F14"/>
    <w:rsid w:val="00356F21"/>
    <w:rsid w:val="00357276"/>
    <w:rsid w:val="00357A28"/>
    <w:rsid w:val="003600DB"/>
    <w:rsid w:val="003614FA"/>
    <w:rsid w:val="00362870"/>
    <w:rsid w:val="00362B2E"/>
    <w:rsid w:val="00363119"/>
    <w:rsid w:val="003631AA"/>
    <w:rsid w:val="003646CB"/>
    <w:rsid w:val="00366965"/>
    <w:rsid w:val="00366A46"/>
    <w:rsid w:val="00366B2E"/>
    <w:rsid w:val="00366C4B"/>
    <w:rsid w:val="003671BC"/>
    <w:rsid w:val="003705A3"/>
    <w:rsid w:val="00370EA5"/>
    <w:rsid w:val="00370EDB"/>
    <w:rsid w:val="00371971"/>
    <w:rsid w:val="00371E54"/>
    <w:rsid w:val="0037274D"/>
    <w:rsid w:val="00372D75"/>
    <w:rsid w:val="00374224"/>
    <w:rsid w:val="00375235"/>
    <w:rsid w:val="0037576D"/>
    <w:rsid w:val="00375C0E"/>
    <w:rsid w:val="003774AB"/>
    <w:rsid w:val="00377D97"/>
    <w:rsid w:val="00380A39"/>
    <w:rsid w:val="00380C96"/>
    <w:rsid w:val="00381AB2"/>
    <w:rsid w:val="0038202E"/>
    <w:rsid w:val="003824BD"/>
    <w:rsid w:val="0038302E"/>
    <w:rsid w:val="00384B74"/>
    <w:rsid w:val="0038523F"/>
    <w:rsid w:val="003852D1"/>
    <w:rsid w:val="00386540"/>
    <w:rsid w:val="00386787"/>
    <w:rsid w:val="00386A4E"/>
    <w:rsid w:val="00387118"/>
    <w:rsid w:val="003879B6"/>
    <w:rsid w:val="00391AB3"/>
    <w:rsid w:val="00391C3D"/>
    <w:rsid w:val="00391E5D"/>
    <w:rsid w:val="00392353"/>
    <w:rsid w:val="00392565"/>
    <w:rsid w:val="00392B62"/>
    <w:rsid w:val="00392E3B"/>
    <w:rsid w:val="00394AFD"/>
    <w:rsid w:val="00395DAE"/>
    <w:rsid w:val="00395FD4"/>
    <w:rsid w:val="00396A31"/>
    <w:rsid w:val="00396E4E"/>
    <w:rsid w:val="00397C90"/>
    <w:rsid w:val="00397FB8"/>
    <w:rsid w:val="003A2057"/>
    <w:rsid w:val="003A2547"/>
    <w:rsid w:val="003A2AC4"/>
    <w:rsid w:val="003A3335"/>
    <w:rsid w:val="003A344E"/>
    <w:rsid w:val="003A40BC"/>
    <w:rsid w:val="003A4122"/>
    <w:rsid w:val="003A449E"/>
    <w:rsid w:val="003A44F5"/>
    <w:rsid w:val="003A4583"/>
    <w:rsid w:val="003A4A96"/>
    <w:rsid w:val="003A5A5F"/>
    <w:rsid w:val="003A619C"/>
    <w:rsid w:val="003A73C1"/>
    <w:rsid w:val="003A7F15"/>
    <w:rsid w:val="003B019D"/>
    <w:rsid w:val="003B01BE"/>
    <w:rsid w:val="003B038B"/>
    <w:rsid w:val="003B0F28"/>
    <w:rsid w:val="003B27A5"/>
    <w:rsid w:val="003B2A99"/>
    <w:rsid w:val="003B3A6B"/>
    <w:rsid w:val="003B4486"/>
    <w:rsid w:val="003B510B"/>
    <w:rsid w:val="003B5435"/>
    <w:rsid w:val="003B5C33"/>
    <w:rsid w:val="003B6E18"/>
    <w:rsid w:val="003B759C"/>
    <w:rsid w:val="003B75B5"/>
    <w:rsid w:val="003B766F"/>
    <w:rsid w:val="003B79DB"/>
    <w:rsid w:val="003C0518"/>
    <w:rsid w:val="003C07A0"/>
    <w:rsid w:val="003C0891"/>
    <w:rsid w:val="003C0BC6"/>
    <w:rsid w:val="003C10D6"/>
    <w:rsid w:val="003C2C5C"/>
    <w:rsid w:val="003C2E6A"/>
    <w:rsid w:val="003C307E"/>
    <w:rsid w:val="003C3B91"/>
    <w:rsid w:val="003C4232"/>
    <w:rsid w:val="003C50D6"/>
    <w:rsid w:val="003C5F1A"/>
    <w:rsid w:val="003C6798"/>
    <w:rsid w:val="003C6933"/>
    <w:rsid w:val="003C6F3A"/>
    <w:rsid w:val="003C7B9A"/>
    <w:rsid w:val="003C7D26"/>
    <w:rsid w:val="003D0302"/>
    <w:rsid w:val="003D0C04"/>
    <w:rsid w:val="003D1759"/>
    <w:rsid w:val="003D2042"/>
    <w:rsid w:val="003D21F2"/>
    <w:rsid w:val="003D41C8"/>
    <w:rsid w:val="003D439B"/>
    <w:rsid w:val="003D43D1"/>
    <w:rsid w:val="003D54F0"/>
    <w:rsid w:val="003D67A2"/>
    <w:rsid w:val="003D6CCB"/>
    <w:rsid w:val="003D7DFC"/>
    <w:rsid w:val="003E02B4"/>
    <w:rsid w:val="003E06A0"/>
    <w:rsid w:val="003E076C"/>
    <w:rsid w:val="003E0B97"/>
    <w:rsid w:val="003E1006"/>
    <w:rsid w:val="003E1319"/>
    <w:rsid w:val="003E26AF"/>
    <w:rsid w:val="003E2FDB"/>
    <w:rsid w:val="003E3706"/>
    <w:rsid w:val="003E413B"/>
    <w:rsid w:val="003E4DDB"/>
    <w:rsid w:val="003E52AD"/>
    <w:rsid w:val="003E539D"/>
    <w:rsid w:val="003E5B6D"/>
    <w:rsid w:val="003E5C5E"/>
    <w:rsid w:val="003E5D13"/>
    <w:rsid w:val="003E6FA6"/>
    <w:rsid w:val="003F0C96"/>
    <w:rsid w:val="003F12D7"/>
    <w:rsid w:val="003F1811"/>
    <w:rsid w:val="003F19CF"/>
    <w:rsid w:val="003F1D97"/>
    <w:rsid w:val="003F2697"/>
    <w:rsid w:val="003F2B18"/>
    <w:rsid w:val="003F2DE9"/>
    <w:rsid w:val="003F309D"/>
    <w:rsid w:val="003F3530"/>
    <w:rsid w:val="003F3A23"/>
    <w:rsid w:val="003F415C"/>
    <w:rsid w:val="003F45BD"/>
    <w:rsid w:val="003F4771"/>
    <w:rsid w:val="003F4A5E"/>
    <w:rsid w:val="003F5222"/>
    <w:rsid w:val="003F6808"/>
    <w:rsid w:val="003F6B92"/>
    <w:rsid w:val="003F74BE"/>
    <w:rsid w:val="003F7D86"/>
    <w:rsid w:val="003F7DE1"/>
    <w:rsid w:val="00400E29"/>
    <w:rsid w:val="00401C11"/>
    <w:rsid w:val="00401C1C"/>
    <w:rsid w:val="00402674"/>
    <w:rsid w:val="00403544"/>
    <w:rsid w:val="00404DC9"/>
    <w:rsid w:val="004072C6"/>
    <w:rsid w:val="0040732F"/>
    <w:rsid w:val="00407888"/>
    <w:rsid w:val="00410CA0"/>
    <w:rsid w:val="004126F3"/>
    <w:rsid w:val="00412A97"/>
    <w:rsid w:val="00412AA7"/>
    <w:rsid w:val="0041455A"/>
    <w:rsid w:val="00414D4D"/>
    <w:rsid w:val="004168C9"/>
    <w:rsid w:val="00420045"/>
    <w:rsid w:val="00420F79"/>
    <w:rsid w:val="00421E66"/>
    <w:rsid w:val="00423640"/>
    <w:rsid w:val="00423857"/>
    <w:rsid w:val="00423C66"/>
    <w:rsid w:val="00423D2C"/>
    <w:rsid w:val="00423DE5"/>
    <w:rsid w:val="0042436B"/>
    <w:rsid w:val="00424D01"/>
    <w:rsid w:val="00424D86"/>
    <w:rsid w:val="0042520C"/>
    <w:rsid w:val="00425F81"/>
    <w:rsid w:val="00426304"/>
    <w:rsid w:val="00426328"/>
    <w:rsid w:val="00427177"/>
    <w:rsid w:val="00427909"/>
    <w:rsid w:val="00427F1C"/>
    <w:rsid w:val="004300DE"/>
    <w:rsid w:val="004304BD"/>
    <w:rsid w:val="00430BD6"/>
    <w:rsid w:val="00430C92"/>
    <w:rsid w:val="00430F0F"/>
    <w:rsid w:val="00431F7D"/>
    <w:rsid w:val="00433C6C"/>
    <w:rsid w:val="0043584D"/>
    <w:rsid w:val="00435F2D"/>
    <w:rsid w:val="00436571"/>
    <w:rsid w:val="00436F53"/>
    <w:rsid w:val="00441FA8"/>
    <w:rsid w:val="00442AFC"/>
    <w:rsid w:val="00442D5A"/>
    <w:rsid w:val="00443184"/>
    <w:rsid w:val="00443640"/>
    <w:rsid w:val="00443A2F"/>
    <w:rsid w:val="00443F44"/>
    <w:rsid w:val="00444340"/>
    <w:rsid w:val="004446B9"/>
    <w:rsid w:val="004462E3"/>
    <w:rsid w:val="00446A22"/>
    <w:rsid w:val="00451499"/>
    <w:rsid w:val="0045165B"/>
    <w:rsid w:val="00453F59"/>
    <w:rsid w:val="004545E4"/>
    <w:rsid w:val="0045477D"/>
    <w:rsid w:val="00454A77"/>
    <w:rsid w:val="00455558"/>
    <w:rsid w:val="00456BBA"/>
    <w:rsid w:val="00456ED2"/>
    <w:rsid w:val="00457D3E"/>
    <w:rsid w:val="004619D0"/>
    <w:rsid w:val="00462730"/>
    <w:rsid w:val="00462A79"/>
    <w:rsid w:val="00462AB9"/>
    <w:rsid w:val="0046517F"/>
    <w:rsid w:val="00465A56"/>
    <w:rsid w:val="004666AD"/>
    <w:rsid w:val="00467398"/>
    <w:rsid w:val="004675F4"/>
    <w:rsid w:val="0047009E"/>
    <w:rsid w:val="00470E98"/>
    <w:rsid w:val="00472015"/>
    <w:rsid w:val="004723E8"/>
    <w:rsid w:val="004743F7"/>
    <w:rsid w:val="00475197"/>
    <w:rsid w:val="004752D8"/>
    <w:rsid w:val="004756B7"/>
    <w:rsid w:val="00475BFD"/>
    <w:rsid w:val="00477A95"/>
    <w:rsid w:val="00480BC6"/>
    <w:rsid w:val="00481197"/>
    <w:rsid w:val="004819D2"/>
    <w:rsid w:val="00481F1C"/>
    <w:rsid w:val="00483409"/>
    <w:rsid w:val="004849BC"/>
    <w:rsid w:val="0048547E"/>
    <w:rsid w:val="004854C9"/>
    <w:rsid w:val="00485A03"/>
    <w:rsid w:val="004879A0"/>
    <w:rsid w:val="004900AF"/>
    <w:rsid w:val="0049041E"/>
    <w:rsid w:val="00490C7A"/>
    <w:rsid w:val="00490D96"/>
    <w:rsid w:val="00490E11"/>
    <w:rsid w:val="00491965"/>
    <w:rsid w:val="00492E6B"/>
    <w:rsid w:val="004932AD"/>
    <w:rsid w:val="004937C6"/>
    <w:rsid w:val="00495232"/>
    <w:rsid w:val="00495618"/>
    <w:rsid w:val="00495889"/>
    <w:rsid w:val="00495B56"/>
    <w:rsid w:val="00496049"/>
    <w:rsid w:val="004A003C"/>
    <w:rsid w:val="004A0BF6"/>
    <w:rsid w:val="004A11EB"/>
    <w:rsid w:val="004A12BA"/>
    <w:rsid w:val="004A1EFF"/>
    <w:rsid w:val="004A217F"/>
    <w:rsid w:val="004A2297"/>
    <w:rsid w:val="004A2402"/>
    <w:rsid w:val="004A2C28"/>
    <w:rsid w:val="004A32CD"/>
    <w:rsid w:val="004A3A61"/>
    <w:rsid w:val="004A3CA4"/>
    <w:rsid w:val="004A40F8"/>
    <w:rsid w:val="004A5086"/>
    <w:rsid w:val="004A6276"/>
    <w:rsid w:val="004A7851"/>
    <w:rsid w:val="004A7F5D"/>
    <w:rsid w:val="004B086E"/>
    <w:rsid w:val="004B0C4E"/>
    <w:rsid w:val="004B0C6B"/>
    <w:rsid w:val="004B16D0"/>
    <w:rsid w:val="004B206F"/>
    <w:rsid w:val="004B2DEB"/>
    <w:rsid w:val="004B3574"/>
    <w:rsid w:val="004B4699"/>
    <w:rsid w:val="004B4A2E"/>
    <w:rsid w:val="004B4CEA"/>
    <w:rsid w:val="004B5787"/>
    <w:rsid w:val="004B63F9"/>
    <w:rsid w:val="004B66E0"/>
    <w:rsid w:val="004B792D"/>
    <w:rsid w:val="004C054A"/>
    <w:rsid w:val="004C125C"/>
    <w:rsid w:val="004C33A1"/>
    <w:rsid w:val="004C4AEE"/>
    <w:rsid w:val="004C4BA9"/>
    <w:rsid w:val="004C4EEF"/>
    <w:rsid w:val="004C520A"/>
    <w:rsid w:val="004C5DB3"/>
    <w:rsid w:val="004C66E0"/>
    <w:rsid w:val="004C7A06"/>
    <w:rsid w:val="004D0D3B"/>
    <w:rsid w:val="004D1EC8"/>
    <w:rsid w:val="004D235A"/>
    <w:rsid w:val="004D32B9"/>
    <w:rsid w:val="004D4013"/>
    <w:rsid w:val="004D428E"/>
    <w:rsid w:val="004D44E7"/>
    <w:rsid w:val="004D5A25"/>
    <w:rsid w:val="004D5EAA"/>
    <w:rsid w:val="004D71FC"/>
    <w:rsid w:val="004E1BA9"/>
    <w:rsid w:val="004E2B55"/>
    <w:rsid w:val="004E3978"/>
    <w:rsid w:val="004E7A88"/>
    <w:rsid w:val="004F2349"/>
    <w:rsid w:val="004F32ED"/>
    <w:rsid w:val="004F37C2"/>
    <w:rsid w:val="004F3B6E"/>
    <w:rsid w:val="004F427C"/>
    <w:rsid w:val="004F4C9D"/>
    <w:rsid w:val="004F5B9F"/>
    <w:rsid w:val="004F5FBF"/>
    <w:rsid w:val="004F6190"/>
    <w:rsid w:val="004F63EA"/>
    <w:rsid w:val="004F6BF5"/>
    <w:rsid w:val="004F71FE"/>
    <w:rsid w:val="004F7324"/>
    <w:rsid w:val="00500283"/>
    <w:rsid w:val="00500E61"/>
    <w:rsid w:val="00502423"/>
    <w:rsid w:val="005033C2"/>
    <w:rsid w:val="00506822"/>
    <w:rsid w:val="005069B1"/>
    <w:rsid w:val="00506C44"/>
    <w:rsid w:val="005073F1"/>
    <w:rsid w:val="0051011F"/>
    <w:rsid w:val="005114C0"/>
    <w:rsid w:val="00511F7B"/>
    <w:rsid w:val="00512290"/>
    <w:rsid w:val="00514300"/>
    <w:rsid w:val="00514EDF"/>
    <w:rsid w:val="00515374"/>
    <w:rsid w:val="00515CA8"/>
    <w:rsid w:val="005164F3"/>
    <w:rsid w:val="00516AF9"/>
    <w:rsid w:val="00520C8A"/>
    <w:rsid w:val="00521875"/>
    <w:rsid w:val="00521D8D"/>
    <w:rsid w:val="00523387"/>
    <w:rsid w:val="005255B4"/>
    <w:rsid w:val="005264A0"/>
    <w:rsid w:val="00526A22"/>
    <w:rsid w:val="00526B00"/>
    <w:rsid w:val="005277E8"/>
    <w:rsid w:val="0052795F"/>
    <w:rsid w:val="00527A3A"/>
    <w:rsid w:val="00530000"/>
    <w:rsid w:val="00530846"/>
    <w:rsid w:val="005311CD"/>
    <w:rsid w:val="00531207"/>
    <w:rsid w:val="00531870"/>
    <w:rsid w:val="00532426"/>
    <w:rsid w:val="00533143"/>
    <w:rsid w:val="005335B4"/>
    <w:rsid w:val="0053371A"/>
    <w:rsid w:val="005337B1"/>
    <w:rsid w:val="005340FF"/>
    <w:rsid w:val="00534273"/>
    <w:rsid w:val="00534398"/>
    <w:rsid w:val="005344F5"/>
    <w:rsid w:val="0053576A"/>
    <w:rsid w:val="005369F6"/>
    <w:rsid w:val="005372EC"/>
    <w:rsid w:val="005379B7"/>
    <w:rsid w:val="0054073F"/>
    <w:rsid w:val="00542550"/>
    <w:rsid w:val="00543157"/>
    <w:rsid w:val="005435DA"/>
    <w:rsid w:val="0054399A"/>
    <w:rsid w:val="00543B2D"/>
    <w:rsid w:val="0054463C"/>
    <w:rsid w:val="00545458"/>
    <w:rsid w:val="00546486"/>
    <w:rsid w:val="00546914"/>
    <w:rsid w:val="00547313"/>
    <w:rsid w:val="00547935"/>
    <w:rsid w:val="00547A15"/>
    <w:rsid w:val="005506C6"/>
    <w:rsid w:val="00550AB4"/>
    <w:rsid w:val="0055100C"/>
    <w:rsid w:val="005516F8"/>
    <w:rsid w:val="00552038"/>
    <w:rsid w:val="00552DC3"/>
    <w:rsid w:val="00553419"/>
    <w:rsid w:val="00553EE3"/>
    <w:rsid w:val="00553F22"/>
    <w:rsid w:val="00554312"/>
    <w:rsid w:val="00554A70"/>
    <w:rsid w:val="00555A3C"/>
    <w:rsid w:val="00555E51"/>
    <w:rsid w:val="0055798E"/>
    <w:rsid w:val="005579DD"/>
    <w:rsid w:val="00560B27"/>
    <w:rsid w:val="00560DAC"/>
    <w:rsid w:val="0056153F"/>
    <w:rsid w:val="0056209D"/>
    <w:rsid w:val="005629AE"/>
    <w:rsid w:val="00562B17"/>
    <w:rsid w:val="00562C7E"/>
    <w:rsid w:val="00564656"/>
    <w:rsid w:val="00564EB6"/>
    <w:rsid w:val="00565B67"/>
    <w:rsid w:val="00567046"/>
    <w:rsid w:val="00567190"/>
    <w:rsid w:val="0056772A"/>
    <w:rsid w:val="005711FF"/>
    <w:rsid w:val="005716E2"/>
    <w:rsid w:val="00572829"/>
    <w:rsid w:val="00572872"/>
    <w:rsid w:val="00572B86"/>
    <w:rsid w:val="00573730"/>
    <w:rsid w:val="0057469E"/>
    <w:rsid w:val="00574E5F"/>
    <w:rsid w:val="005754BA"/>
    <w:rsid w:val="00576CC3"/>
    <w:rsid w:val="00576DF5"/>
    <w:rsid w:val="005772B7"/>
    <w:rsid w:val="00577A03"/>
    <w:rsid w:val="00577B09"/>
    <w:rsid w:val="00577DE9"/>
    <w:rsid w:val="005801DA"/>
    <w:rsid w:val="0058045F"/>
    <w:rsid w:val="005805A5"/>
    <w:rsid w:val="00580ABD"/>
    <w:rsid w:val="00580BAC"/>
    <w:rsid w:val="00581D93"/>
    <w:rsid w:val="00582417"/>
    <w:rsid w:val="005836A7"/>
    <w:rsid w:val="00583B2B"/>
    <w:rsid w:val="00583BB0"/>
    <w:rsid w:val="00584E00"/>
    <w:rsid w:val="005855BB"/>
    <w:rsid w:val="0058564C"/>
    <w:rsid w:val="0058713B"/>
    <w:rsid w:val="00587544"/>
    <w:rsid w:val="00587800"/>
    <w:rsid w:val="00587E9E"/>
    <w:rsid w:val="00590065"/>
    <w:rsid w:val="0059127B"/>
    <w:rsid w:val="00591E17"/>
    <w:rsid w:val="00591E86"/>
    <w:rsid w:val="00593F3C"/>
    <w:rsid w:val="00594C2C"/>
    <w:rsid w:val="00594E05"/>
    <w:rsid w:val="0059521C"/>
    <w:rsid w:val="005969C9"/>
    <w:rsid w:val="00597373"/>
    <w:rsid w:val="005A00F2"/>
    <w:rsid w:val="005A143E"/>
    <w:rsid w:val="005A361E"/>
    <w:rsid w:val="005A3752"/>
    <w:rsid w:val="005A404A"/>
    <w:rsid w:val="005A439C"/>
    <w:rsid w:val="005A5320"/>
    <w:rsid w:val="005A5336"/>
    <w:rsid w:val="005A6ADD"/>
    <w:rsid w:val="005A6B32"/>
    <w:rsid w:val="005A6D7D"/>
    <w:rsid w:val="005A7130"/>
    <w:rsid w:val="005A718E"/>
    <w:rsid w:val="005A79E1"/>
    <w:rsid w:val="005B0152"/>
    <w:rsid w:val="005B047B"/>
    <w:rsid w:val="005B077F"/>
    <w:rsid w:val="005B0CC8"/>
    <w:rsid w:val="005B0E8C"/>
    <w:rsid w:val="005B19DF"/>
    <w:rsid w:val="005B1A9C"/>
    <w:rsid w:val="005B1B66"/>
    <w:rsid w:val="005B1EFA"/>
    <w:rsid w:val="005B29D4"/>
    <w:rsid w:val="005B2E81"/>
    <w:rsid w:val="005B3044"/>
    <w:rsid w:val="005B30E0"/>
    <w:rsid w:val="005B593B"/>
    <w:rsid w:val="005B5E2B"/>
    <w:rsid w:val="005B6909"/>
    <w:rsid w:val="005B7367"/>
    <w:rsid w:val="005C00A3"/>
    <w:rsid w:val="005C1FC8"/>
    <w:rsid w:val="005C2FBF"/>
    <w:rsid w:val="005C3605"/>
    <w:rsid w:val="005C3E08"/>
    <w:rsid w:val="005C4D24"/>
    <w:rsid w:val="005C66FB"/>
    <w:rsid w:val="005C6E43"/>
    <w:rsid w:val="005C7652"/>
    <w:rsid w:val="005C77D9"/>
    <w:rsid w:val="005C78B7"/>
    <w:rsid w:val="005D0E44"/>
    <w:rsid w:val="005D1556"/>
    <w:rsid w:val="005D2497"/>
    <w:rsid w:val="005D4504"/>
    <w:rsid w:val="005D4725"/>
    <w:rsid w:val="005D4B0C"/>
    <w:rsid w:val="005D5C98"/>
    <w:rsid w:val="005D6677"/>
    <w:rsid w:val="005D69FE"/>
    <w:rsid w:val="005D75FE"/>
    <w:rsid w:val="005E054D"/>
    <w:rsid w:val="005E05CC"/>
    <w:rsid w:val="005E0E7C"/>
    <w:rsid w:val="005E10A6"/>
    <w:rsid w:val="005E1B34"/>
    <w:rsid w:val="005E413D"/>
    <w:rsid w:val="005E514A"/>
    <w:rsid w:val="005E550F"/>
    <w:rsid w:val="005E599C"/>
    <w:rsid w:val="005E600D"/>
    <w:rsid w:val="005E6057"/>
    <w:rsid w:val="005E6A2B"/>
    <w:rsid w:val="005E7E49"/>
    <w:rsid w:val="005F05A7"/>
    <w:rsid w:val="005F17CE"/>
    <w:rsid w:val="005F27CC"/>
    <w:rsid w:val="005F35B7"/>
    <w:rsid w:val="005F3A69"/>
    <w:rsid w:val="005F3A6A"/>
    <w:rsid w:val="005F3BD0"/>
    <w:rsid w:val="005F3F4D"/>
    <w:rsid w:val="005F4037"/>
    <w:rsid w:val="005F5B86"/>
    <w:rsid w:val="005F65B3"/>
    <w:rsid w:val="005F661F"/>
    <w:rsid w:val="005F67D4"/>
    <w:rsid w:val="005F68A9"/>
    <w:rsid w:val="005F72A6"/>
    <w:rsid w:val="005F7960"/>
    <w:rsid w:val="005F7B09"/>
    <w:rsid w:val="00600F6A"/>
    <w:rsid w:val="0060146D"/>
    <w:rsid w:val="00602C23"/>
    <w:rsid w:val="00602D41"/>
    <w:rsid w:val="00602E0B"/>
    <w:rsid w:val="00602FD9"/>
    <w:rsid w:val="00603583"/>
    <w:rsid w:val="006039D1"/>
    <w:rsid w:val="006041F5"/>
    <w:rsid w:val="00606EF6"/>
    <w:rsid w:val="00607052"/>
    <w:rsid w:val="0060748C"/>
    <w:rsid w:val="0060752C"/>
    <w:rsid w:val="00607E52"/>
    <w:rsid w:val="00610049"/>
    <w:rsid w:val="00610F5A"/>
    <w:rsid w:val="00611FB5"/>
    <w:rsid w:val="006131DC"/>
    <w:rsid w:val="0061377D"/>
    <w:rsid w:val="006138E4"/>
    <w:rsid w:val="00614A9B"/>
    <w:rsid w:val="00615194"/>
    <w:rsid w:val="00615412"/>
    <w:rsid w:val="00615979"/>
    <w:rsid w:val="00615D52"/>
    <w:rsid w:val="006168AE"/>
    <w:rsid w:val="00616D03"/>
    <w:rsid w:val="00616EA0"/>
    <w:rsid w:val="00616FAA"/>
    <w:rsid w:val="0061775F"/>
    <w:rsid w:val="00617AC6"/>
    <w:rsid w:val="00617D1D"/>
    <w:rsid w:val="00617D49"/>
    <w:rsid w:val="00617DE3"/>
    <w:rsid w:val="00621AA8"/>
    <w:rsid w:val="006220A5"/>
    <w:rsid w:val="0062318F"/>
    <w:rsid w:val="00623855"/>
    <w:rsid w:val="006239BC"/>
    <w:rsid w:val="00623CB7"/>
    <w:rsid w:val="00625447"/>
    <w:rsid w:val="006254F9"/>
    <w:rsid w:val="00625611"/>
    <w:rsid w:val="0062663B"/>
    <w:rsid w:val="00626D7E"/>
    <w:rsid w:val="006279AD"/>
    <w:rsid w:val="00631227"/>
    <w:rsid w:val="00631A7D"/>
    <w:rsid w:val="00631F15"/>
    <w:rsid w:val="006326DA"/>
    <w:rsid w:val="00633161"/>
    <w:rsid w:val="006335FE"/>
    <w:rsid w:val="00634888"/>
    <w:rsid w:val="00634E50"/>
    <w:rsid w:val="006351B0"/>
    <w:rsid w:val="00635B45"/>
    <w:rsid w:val="00635BA4"/>
    <w:rsid w:val="00635E05"/>
    <w:rsid w:val="00635FA7"/>
    <w:rsid w:val="0063611E"/>
    <w:rsid w:val="006362D9"/>
    <w:rsid w:val="00637316"/>
    <w:rsid w:val="0063734B"/>
    <w:rsid w:val="006402A0"/>
    <w:rsid w:val="00640B5B"/>
    <w:rsid w:val="006421F8"/>
    <w:rsid w:val="006428E2"/>
    <w:rsid w:val="00642B60"/>
    <w:rsid w:val="00643096"/>
    <w:rsid w:val="006437B9"/>
    <w:rsid w:val="00644683"/>
    <w:rsid w:val="00644E0D"/>
    <w:rsid w:val="00646855"/>
    <w:rsid w:val="00646E7B"/>
    <w:rsid w:val="00647574"/>
    <w:rsid w:val="006501CE"/>
    <w:rsid w:val="0065039D"/>
    <w:rsid w:val="006523FA"/>
    <w:rsid w:val="0065261F"/>
    <w:rsid w:val="00652CD7"/>
    <w:rsid w:val="006537A0"/>
    <w:rsid w:val="00653924"/>
    <w:rsid w:val="00653BC3"/>
    <w:rsid w:val="00653E45"/>
    <w:rsid w:val="0065405D"/>
    <w:rsid w:val="00654911"/>
    <w:rsid w:val="00655871"/>
    <w:rsid w:val="00655CB2"/>
    <w:rsid w:val="006560E3"/>
    <w:rsid w:val="00656EA5"/>
    <w:rsid w:val="00656F43"/>
    <w:rsid w:val="0066169E"/>
    <w:rsid w:val="00661F0E"/>
    <w:rsid w:val="00661F71"/>
    <w:rsid w:val="00663311"/>
    <w:rsid w:val="00663514"/>
    <w:rsid w:val="00665908"/>
    <w:rsid w:val="00666250"/>
    <w:rsid w:val="00666A8C"/>
    <w:rsid w:val="006670B7"/>
    <w:rsid w:val="00667332"/>
    <w:rsid w:val="00670190"/>
    <w:rsid w:val="0067035F"/>
    <w:rsid w:val="006714F6"/>
    <w:rsid w:val="00671638"/>
    <w:rsid w:val="00671725"/>
    <w:rsid w:val="00671CFF"/>
    <w:rsid w:val="00673B51"/>
    <w:rsid w:val="006745EA"/>
    <w:rsid w:val="00675224"/>
    <w:rsid w:val="006764D4"/>
    <w:rsid w:val="00676827"/>
    <w:rsid w:val="00676ACD"/>
    <w:rsid w:val="00676E07"/>
    <w:rsid w:val="00677C39"/>
    <w:rsid w:val="00677EAE"/>
    <w:rsid w:val="0068135F"/>
    <w:rsid w:val="00682775"/>
    <w:rsid w:val="00682815"/>
    <w:rsid w:val="00683283"/>
    <w:rsid w:val="0068354E"/>
    <w:rsid w:val="00683B43"/>
    <w:rsid w:val="00683F9C"/>
    <w:rsid w:val="00684951"/>
    <w:rsid w:val="00684C20"/>
    <w:rsid w:val="00684F0B"/>
    <w:rsid w:val="0068566C"/>
    <w:rsid w:val="00685AC3"/>
    <w:rsid w:val="00685CCB"/>
    <w:rsid w:val="006874D1"/>
    <w:rsid w:val="00690420"/>
    <w:rsid w:val="0069083D"/>
    <w:rsid w:val="00690DDF"/>
    <w:rsid w:val="00690F1C"/>
    <w:rsid w:val="006913B1"/>
    <w:rsid w:val="006920BD"/>
    <w:rsid w:val="006920FA"/>
    <w:rsid w:val="00692772"/>
    <w:rsid w:val="00692899"/>
    <w:rsid w:val="00692C71"/>
    <w:rsid w:val="00693C08"/>
    <w:rsid w:val="00694271"/>
    <w:rsid w:val="00694B7F"/>
    <w:rsid w:val="006955D3"/>
    <w:rsid w:val="0069593A"/>
    <w:rsid w:val="006959D4"/>
    <w:rsid w:val="006961B9"/>
    <w:rsid w:val="00696F02"/>
    <w:rsid w:val="00697E1F"/>
    <w:rsid w:val="006A0912"/>
    <w:rsid w:val="006A0972"/>
    <w:rsid w:val="006A231D"/>
    <w:rsid w:val="006A2592"/>
    <w:rsid w:val="006A263B"/>
    <w:rsid w:val="006A2855"/>
    <w:rsid w:val="006A424C"/>
    <w:rsid w:val="006A4B31"/>
    <w:rsid w:val="006A4F07"/>
    <w:rsid w:val="006A595E"/>
    <w:rsid w:val="006A5A4F"/>
    <w:rsid w:val="006A6B6A"/>
    <w:rsid w:val="006A72CB"/>
    <w:rsid w:val="006A757C"/>
    <w:rsid w:val="006A765C"/>
    <w:rsid w:val="006A77A2"/>
    <w:rsid w:val="006B05EC"/>
    <w:rsid w:val="006B0668"/>
    <w:rsid w:val="006B0FC9"/>
    <w:rsid w:val="006B10E6"/>
    <w:rsid w:val="006B124C"/>
    <w:rsid w:val="006B2C1F"/>
    <w:rsid w:val="006B3F92"/>
    <w:rsid w:val="006B623E"/>
    <w:rsid w:val="006B6633"/>
    <w:rsid w:val="006B6748"/>
    <w:rsid w:val="006B6F66"/>
    <w:rsid w:val="006B7211"/>
    <w:rsid w:val="006B724A"/>
    <w:rsid w:val="006C061B"/>
    <w:rsid w:val="006C1C09"/>
    <w:rsid w:val="006C20F8"/>
    <w:rsid w:val="006C2563"/>
    <w:rsid w:val="006C3CD5"/>
    <w:rsid w:val="006C3F83"/>
    <w:rsid w:val="006C6557"/>
    <w:rsid w:val="006C7598"/>
    <w:rsid w:val="006C778A"/>
    <w:rsid w:val="006D038B"/>
    <w:rsid w:val="006D18C1"/>
    <w:rsid w:val="006D18D4"/>
    <w:rsid w:val="006D278A"/>
    <w:rsid w:val="006D7270"/>
    <w:rsid w:val="006D73EC"/>
    <w:rsid w:val="006D79AA"/>
    <w:rsid w:val="006D7DBA"/>
    <w:rsid w:val="006E01EB"/>
    <w:rsid w:val="006E0354"/>
    <w:rsid w:val="006E04D1"/>
    <w:rsid w:val="006E05B8"/>
    <w:rsid w:val="006E187A"/>
    <w:rsid w:val="006E2028"/>
    <w:rsid w:val="006E340E"/>
    <w:rsid w:val="006E4668"/>
    <w:rsid w:val="006E5015"/>
    <w:rsid w:val="006E5F5B"/>
    <w:rsid w:val="006E6A82"/>
    <w:rsid w:val="006F09BF"/>
    <w:rsid w:val="006F0B9F"/>
    <w:rsid w:val="006F0E6F"/>
    <w:rsid w:val="006F15CA"/>
    <w:rsid w:val="006F25E7"/>
    <w:rsid w:val="006F3593"/>
    <w:rsid w:val="006F3B38"/>
    <w:rsid w:val="006F3E06"/>
    <w:rsid w:val="006F3F0E"/>
    <w:rsid w:val="006F45F8"/>
    <w:rsid w:val="006F4B15"/>
    <w:rsid w:val="006F4CE4"/>
    <w:rsid w:val="006F54E5"/>
    <w:rsid w:val="006F5B09"/>
    <w:rsid w:val="006F6174"/>
    <w:rsid w:val="006F6C79"/>
    <w:rsid w:val="006F7110"/>
    <w:rsid w:val="006F75D4"/>
    <w:rsid w:val="006F7BB6"/>
    <w:rsid w:val="007014B0"/>
    <w:rsid w:val="00702694"/>
    <w:rsid w:val="00705476"/>
    <w:rsid w:val="007063FA"/>
    <w:rsid w:val="0070688F"/>
    <w:rsid w:val="0070732F"/>
    <w:rsid w:val="00707666"/>
    <w:rsid w:val="007077D4"/>
    <w:rsid w:val="00707F31"/>
    <w:rsid w:val="00710A06"/>
    <w:rsid w:val="00712488"/>
    <w:rsid w:val="00712561"/>
    <w:rsid w:val="00713C16"/>
    <w:rsid w:val="00713F4D"/>
    <w:rsid w:val="00714D3D"/>
    <w:rsid w:val="00715312"/>
    <w:rsid w:val="007169DD"/>
    <w:rsid w:val="00720295"/>
    <w:rsid w:val="00720882"/>
    <w:rsid w:val="00721FAD"/>
    <w:rsid w:val="0072392C"/>
    <w:rsid w:val="00723F9A"/>
    <w:rsid w:val="00724047"/>
    <w:rsid w:val="007244C1"/>
    <w:rsid w:val="00726A1F"/>
    <w:rsid w:val="00727993"/>
    <w:rsid w:val="00727D50"/>
    <w:rsid w:val="00727E37"/>
    <w:rsid w:val="00727F04"/>
    <w:rsid w:val="007302B0"/>
    <w:rsid w:val="00730794"/>
    <w:rsid w:val="007309F5"/>
    <w:rsid w:val="00730E52"/>
    <w:rsid w:val="00731352"/>
    <w:rsid w:val="00731E03"/>
    <w:rsid w:val="00731EBE"/>
    <w:rsid w:val="007329A2"/>
    <w:rsid w:val="00732D8B"/>
    <w:rsid w:val="00732E52"/>
    <w:rsid w:val="00734089"/>
    <w:rsid w:val="00734869"/>
    <w:rsid w:val="00734CDE"/>
    <w:rsid w:val="00734D80"/>
    <w:rsid w:val="00735982"/>
    <w:rsid w:val="00735A96"/>
    <w:rsid w:val="00735F25"/>
    <w:rsid w:val="00736308"/>
    <w:rsid w:val="00736465"/>
    <w:rsid w:val="00740A1B"/>
    <w:rsid w:val="007412F0"/>
    <w:rsid w:val="00741B51"/>
    <w:rsid w:val="00741D46"/>
    <w:rsid w:val="00742DBE"/>
    <w:rsid w:val="00744034"/>
    <w:rsid w:val="007463FB"/>
    <w:rsid w:val="00746F04"/>
    <w:rsid w:val="00747D69"/>
    <w:rsid w:val="0075007E"/>
    <w:rsid w:val="00750222"/>
    <w:rsid w:val="00750336"/>
    <w:rsid w:val="0075052B"/>
    <w:rsid w:val="007513C6"/>
    <w:rsid w:val="00751749"/>
    <w:rsid w:val="0075244E"/>
    <w:rsid w:val="007529F4"/>
    <w:rsid w:val="00752E84"/>
    <w:rsid w:val="00753D26"/>
    <w:rsid w:val="0075403A"/>
    <w:rsid w:val="007540AB"/>
    <w:rsid w:val="0075416D"/>
    <w:rsid w:val="00755688"/>
    <w:rsid w:val="007563A4"/>
    <w:rsid w:val="00761D47"/>
    <w:rsid w:val="0076305C"/>
    <w:rsid w:val="00763133"/>
    <w:rsid w:val="0076345C"/>
    <w:rsid w:val="007648E1"/>
    <w:rsid w:val="00765082"/>
    <w:rsid w:val="00765376"/>
    <w:rsid w:val="007654B5"/>
    <w:rsid w:val="00765830"/>
    <w:rsid w:val="00766705"/>
    <w:rsid w:val="00766B64"/>
    <w:rsid w:val="007703FF"/>
    <w:rsid w:val="00770737"/>
    <w:rsid w:val="00770D7E"/>
    <w:rsid w:val="00772F26"/>
    <w:rsid w:val="00773E29"/>
    <w:rsid w:val="00774CFB"/>
    <w:rsid w:val="00775C3F"/>
    <w:rsid w:val="0077621C"/>
    <w:rsid w:val="00776A68"/>
    <w:rsid w:val="0077798C"/>
    <w:rsid w:val="00780CD5"/>
    <w:rsid w:val="00781D7B"/>
    <w:rsid w:val="0078394C"/>
    <w:rsid w:val="007846AC"/>
    <w:rsid w:val="00785166"/>
    <w:rsid w:val="0078549F"/>
    <w:rsid w:val="0078570C"/>
    <w:rsid w:val="0078661B"/>
    <w:rsid w:val="00786A9B"/>
    <w:rsid w:val="007900BA"/>
    <w:rsid w:val="00790188"/>
    <w:rsid w:val="00790885"/>
    <w:rsid w:val="007916AD"/>
    <w:rsid w:val="0079228C"/>
    <w:rsid w:val="00793619"/>
    <w:rsid w:val="00793C60"/>
    <w:rsid w:val="00793D9A"/>
    <w:rsid w:val="00793FFE"/>
    <w:rsid w:val="007949AF"/>
    <w:rsid w:val="00794BEE"/>
    <w:rsid w:val="00794E09"/>
    <w:rsid w:val="00795077"/>
    <w:rsid w:val="007950E3"/>
    <w:rsid w:val="007962A7"/>
    <w:rsid w:val="0079653C"/>
    <w:rsid w:val="007A0612"/>
    <w:rsid w:val="007A17A3"/>
    <w:rsid w:val="007A1927"/>
    <w:rsid w:val="007A3DD7"/>
    <w:rsid w:val="007A405F"/>
    <w:rsid w:val="007A520B"/>
    <w:rsid w:val="007A5DD2"/>
    <w:rsid w:val="007A6788"/>
    <w:rsid w:val="007A6B71"/>
    <w:rsid w:val="007A758C"/>
    <w:rsid w:val="007B0083"/>
    <w:rsid w:val="007B0101"/>
    <w:rsid w:val="007B01E6"/>
    <w:rsid w:val="007B1C57"/>
    <w:rsid w:val="007B1D0C"/>
    <w:rsid w:val="007B1D28"/>
    <w:rsid w:val="007B338C"/>
    <w:rsid w:val="007B36BA"/>
    <w:rsid w:val="007B3CA7"/>
    <w:rsid w:val="007B4940"/>
    <w:rsid w:val="007B50DB"/>
    <w:rsid w:val="007B5C04"/>
    <w:rsid w:val="007B6592"/>
    <w:rsid w:val="007B7076"/>
    <w:rsid w:val="007B7AD1"/>
    <w:rsid w:val="007C01FB"/>
    <w:rsid w:val="007C0854"/>
    <w:rsid w:val="007C0868"/>
    <w:rsid w:val="007C1954"/>
    <w:rsid w:val="007C1ADC"/>
    <w:rsid w:val="007C32AE"/>
    <w:rsid w:val="007C4273"/>
    <w:rsid w:val="007C4C16"/>
    <w:rsid w:val="007C4FA9"/>
    <w:rsid w:val="007C5736"/>
    <w:rsid w:val="007C664F"/>
    <w:rsid w:val="007C67E2"/>
    <w:rsid w:val="007D079E"/>
    <w:rsid w:val="007D2487"/>
    <w:rsid w:val="007D2D5E"/>
    <w:rsid w:val="007D2E18"/>
    <w:rsid w:val="007D35AE"/>
    <w:rsid w:val="007D3864"/>
    <w:rsid w:val="007D3F4D"/>
    <w:rsid w:val="007D4658"/>
    <w:rsid w:val="007D6688"/>
    <w:rsid w:val="007D6BB3"/>
    <w:rsid w:val="007D788D"/>
    <w:rsid w:val="007E0AC6"/>
    <w:rsid w:val="007E1C16"/>
    <w:rsid w:val="007E2618"/>
    <w:rsid w:val="007E2EA3"/>
    <w:rsid w:val="007E3269"/>
    <w:rsid w:val="007E4670"/>
    <w:rsid w:val="007E48E1"/>
    <w:rsid w:val="007E51BF"/>
    <w:rsid w:val="007E61B7"/>
    <w:rsid w:val="007E698E"/>
    <w:rsid w:val="007E731A"/>
    <w:rsid w:val="007E77FF"/>
    <w:rsid w:val="007F01D7"/>
    <w:rsid w:val="007F0DAD"/>
    <w:rsid w:val="007F0FEF"/>
    <w:rsid w:val="007F300E"/>
    <w:rsid w:val="007F35E9"/>
    <w:rsid w:val="007F3C6E"/>
    <w:rsid w:val="007F492A"/>
    <w:rsid w:val="007F4CB5"/>
    <w:rsid w:val="007F515D"/>
    <w:rsid w:val="007F64E4"/>
    <w:rsid w:val="00800376"/>
    <w:rsid w:val="008006D2"/>
    <w:rsid w:val="008013DE"/>
    <w:rsid w:val="00802127"/>
    <w:rsid w:val="00802F09"/>
    <w:rsid w:val="00804A01"/>
    <w:rsid w:val="008058AF"/>
    <w:rsid w:val="00805FD7"/>
    <w:rsid w:val="00806A7E"/>
    <w:rsid w:val="00807A22"/>
    <w:rsid w:val="00807EC1"/>
    <w:rsid w:val="00810B10"/>
    <w:rsid w:val="00811A5E"/>
    <w:rsid w:val="00811CC9"/>
    <w:rsid w:val="00812402"/>
    <w:rsid w:val="008131D7"/>
    <w:rsid w:val="00813AC4"/>
    <w:rsid w:val="00813D56"/>
    <w:rsid w:val="0081439C"/>
    <w:rsid w:val="008146AA"/>
    <w:rsid w:val="00814854"/>
    <w:rsid w:val="00814DFF"/>
    <w:rsid w:val="00814F7F"/>
    <w:rsid w:val="00817068"/>
    <w:rsid w:val="0081726C"/>
    <w:rsid w:val="0081744A"/>
    <w:rsid w:val="0081745C"/>
    <w:rsid w:val="0082034C"/>
    <w:rsid w:val="008211F8"/>
    <w:rsid w:val="0082191D"/>
    <w:rsid w:val="00822370"/>
    <w:rsid w:val="0082290B"/>
    <w:rsid w:val="0082343F"/>
    <w:rsid w:val="008237E8"/>
    <w:rsid w:val="00824024"/>
    <w:rsid w:val="008241B7"/>
    <w:rsid w:val="00824973"/>
    <w:rsid w:val="00824A82"/>
    <w:rsid w:val="00824F1A"/>
    <w:rsid w:val="00824F7C"/>
    <w:rsid w:val="00825159"/>
    <w:rsid w:val="00825A21"/>
    <w:rsid w:val="00826B9C"/>
    <w:rsid w:val="00826C51"/>
    <w:rsid w:val="00826FD7"/>
    <w:rsid w:val="00827CE2"/>
    <w:rsid w:val="00830B78"/>
    <w:rsid w:val="00830D62"/>
    <w:rsid w:val="008311D6"/>
    <w:rsid w:val="00831782"/>
    <w:rsid w:val="008320D0"/>
    <w:rsid w:val="0083261E"/>
    <w:rsid w:val="0083292B"/>
    <w:rsid w:val="00832C9D"/>
    <w:rsid w:val="008334D4"/>
    <w:rsid w:val="00833B4E"/>
    <w:rsid w:val="00834BBC"/>
    <w:rsid w:val="008368FD"/>
    <w:rsid w:val="00836D8E"/>
    <w:rsid w:val="00837EA5"/>
    <w:rsid w:val="00837EDA"/>
    <w:rsid w:val="00837F95"/>
    <w:rsid w:val="00841A12"/>
    <w:rsid w:val="00842934"/>
    <w:rsid w:val="00842B77"/>
    <w:rsid w:val="00842D24"/>
    <w:rsid w:val="00843CEA"/>
    <w:rsid w:val="008450E2"/>
    <w:rsid w:val="00845868"/>
    <w:rsid w:val="00845F94"/>
    <w:rsid w:val="00846411"/>
    <w:rsid w:val="00846F28"/>
    <w:rsid w:val="008477F1"/>
    <w:rsid w:val="00847897"/>
    <w:rsid w:val="00850A1A"/>
    <w:rsid w:val="00850C6B"/>
    <w:rsid w:val="00850FA1"/>
    <w:rsid w:val="00851649"/>
    <w:rsid w:val="00852939"/>
    <w:rsid w:val="00852AB6"/>
    <w:rsid w:val="00852B5D"/>
    <w:rsid w:val="00852DAE"/>
    <w:rsid w:val="00853069"/>
    <w:rsid w:val="008530A1"/>
    <w:rsid w:val="00853BAF"/>
    <w:rsid w:val="008558DF"/>
    <w:rsid w:val="008568A2"/>
    <w:rsid w:val="00857209"/>
    <w:rsid w:val="00857FAD"/>
    <w:rsid w:val="00861540"/>
    <w:rsid w:val="008615CE"/>
    <w:rsid w:val="00861E3F"/>
    <w:rsid w:val="0086282F"/>
    <w:rsid w:val="008628B5"/>
    <w:rsid w:val="00862CCE"/>
    <w:rsid w:val="00862DE3"/>
    <w:rsid w:val="00862F0A"/>
    <w:rsid w:val="0086301C"/>
    <w:rsid w:val="008631D4"/>
    <w:rsid w:val="0086350F"/>
    <w:rsid w:val="0086393C"/>
    <w:rsid w:val="00863B59"/>
    <w:rsid w:val="00864097"/>
    <w:rsid w:val="00865F91"/>
    <w:rsid w:val="00866014"/>
    <w:rsid w:val="008661D3"/>
    <w:rsid w:val="00866BD5"/>
    <w:rsid w:val="00866C6C"/>
    <w:rsid w:val="00870637"/>
    <w:rsid w:val="00871074"/>
    <w:rsid w:val="00872A24"/>
    <w:rsid w:val="00872C18"/>
    <w:rsid w:val="008734F5"/>
    <w:rsid w:val="0087376D"/>
    <w:rsid w:val="00874430"/>
    <w:rsid w:val="0087445B"/>
    <w:rsid w:val="00874B3C"/>
    <w:rsid w:val="00874ED9"/>
    <w:rsid w:val="00875138"/>
    <w:rsid w:val="00875ABD"/>
    <w:rsid w:val="00875F82"/>
    <w:rsid w:val="00876115"/>
    <w:rsid w:val="0087661C"/>
    <w:rsid w:val="008771EE"/>
    <w:rsid w:val="00877B11"/>
    <w:rsid w:val="00880087"/>
    <w:rsid w:val="00881184"/>
    <w:rsid w:val="008814AD"/>
    <w:rsid w:val="008818ED"/>
    <w:rsid w:val="00881B66"/>
    <w:rsid w:val="00882CF8"/>
    <w:rsid w:val="00882F77"/>
    <w:rsid w:val="008835D6"/>
    <w:rsid w:val="0088374D"/>
    <w:rsid w:val="008842F8"/>
    <w:rsid w:val="008848DA"/>
    <w:rsid w:val="00884AAF"/>
    <w:rsid w:val="0088508E"/>
    <w:rsid w:val="00886AE8"/>
    <w:rsid w:val="00886FAE"/>
    <w:rsid w:val="008874CF"/>
    <w:rsid w:val="00887E13"/>
    <w:rsid w:val="00890D8F"/>
    <w:rsid w:val="008914F7"/>
    <w:rsid w:val="0089160A"/>
    <w:rsid w:val="00891928"/>
    <w:rsid w:val="00892113"/>
    <w:rsid w:val="00892DB6"/>
    <w:rsid w:val="0089523C"/>
    <w:rsid w:val="00896171"/>
    <w:rsid w:val="008964F1"/>
    <w:rsid w:val="00896BFC"/>
    <w:rsid w:val="00897C79"/>
    <w:rsid w:val="008A1C7D"/>
    <w:rsid w:val="008A2A9B"/>
    <w:rsid w:val="008A2FB9"/>
    <w:rsid w:val="008A317E"/>
    <w:rsid w:val="008A318F"/>
    <w:rsid w:val="008A37DA"/>
    <w:rsid w:val="008A390E"/>
    <w:rsid w:val="008A3C3E"/>
    <w:rsid w:val="008A523F"/>
    <w:rsid w:val="008A5549"/>
    <w:rsid w:val="008A5BA0"/>
    <w:rsid w:val="008A6547"/>
    <w:rsid w:val="008A762C"/>
    <w:rsid w:val="008B090C"/>
    <w:rsid w:val="008B1DDF"/>
    <w:rsid w:val="008B1E35"/>
    <w:rsid w:val="008B4367"/>
    <w:rsid w:val="008B5FC8"/>
    <w:rsid w:val="008B693D"/>
    <w:rsid w:val="008B6EAD"/>
    <w:rsid w:val="008B77C0"/>
    <w:rsid w:val="008B7F13"/>
    <w:rsid w:val="008B7F49"/>
    <w:rsid w:val="008C07D6"/>
    <w:rsid w:val="008C1381"/>
    <w:rsid w:val="008C16C5"/>
    <w:rsid w:val="008C20DA"/>
    <w:rsid w:val="008C2747"/>
    <w:rsid w:val="008C2978"/>
    <w:rsid w:val="008C2FE4"/>
    <w:rsid w:val="008C3B31"/>
    <w:rsid w:val="008C3BB3"/>
    <w:rsid w:val="008C4A94"/>
    <w:rsid w:val="008C5B25"/>
    <w:rsid w:val="008C5DF2"/>
    <w:rsid w:val="008C6844"/>
    <w:rsid w:val="008C686B"/>
    <w:rsid w:val="008C6E4B"/>
    <w:rsid w:val="008C75B5"/>
    <w:rsid w:val="008C75C4"/>
    <w:rsid w:val="008D0524"/>
    <w:rsid w:val="008D0B26"/>
    <w:rsid w:val="008D12B1"/>
    <w:rsid w:val="008D1E2E"/>
    <w:rsid w:val="008D1EBC"/>
    <w:rsid w:val="008D2A15"/>
    <w:rsid w:val="008D2F09"/>
    <w:rsid w:val="008D34A1"/>
    <w:rsid w:val="008D397F"/>
    <w:rsid w:val="008D3A46"/>
    <w:rsid w:val="008D5148"/>
    <w:rsid w:val="008D5F85"/>
    <w:rsid w:val="008D67E2"/>
    <w:rsid w:val="008D6F25"/>
    <w:rsid w:val="008E0010"/>
    <w:rsid w:val="008E01FC"/>
    <w:rsid w:val="008E0467"/>
    <w:rsid w:val="008E0C69"/>
    <w:rsid w:val="008E1552"/>
    <w:rsid w:val="008E2A6D"/>
    <w:rsid w:val="008E3F18"/>
    <w:rsid w:val="008E4E58"/>
    <w:rsid w:val="008E5CC5"/>
    <w:rsid w:val="008E6174"/>
    <w:rsid w:val="008E6211"/>
    <w:rsid w:val="008E642E"/>
    <w:rsid w:val="008E6947"/>
    <w:rsid w:val="008E780E"/>
    <w:rsid w:val="008E7984"/>
    <w:rsid w:val="008F0332"/>
    <w:rsid w:val="008F08FB"/>
    <w:rsid w:val="008F1CCC"/>
    <w:rsid w:val="008F2962"/>
    <w:rsid w:val="008F3235"/>
    <w:rsid w:val="008F3BFF"/>
    <w:rsid w:val="008F3F8F"/>
    <w:rsid w:val="008F4015"/>
    <w:rsid w:val="008F42A9"/>
    <w:rsid w:val="008F4507"/>
    <w:rsid w:val="008F4598"/>
    <w:rsid w:val="008F4E6D"/>
    <w:rsid w:val="008F603F"/>
    <w:rsid w:val="008F6133"/>
    <w:rsid w:val="00900E91"/>
    <w:rsid w:val="00901089"/>
    <w:rsid w:val="00901A3D"/>
    <w:rsid w:val="00901DB9"/>
    <w:rsid w:val="0090222E"/>
    <w:rsid w:val="009045B9"/>
    <w:rsid w:val="0090516F"/>
    <w:rsid w:val="00905CEF"/>
    <w:rsid w:val="00905F34"/>
    <w:rsid w:val="00905F82"/>
    <w:rsid w:val="009064F8"/>
    <w:rsid w:val="009079C2"/>
    <w:rsid w:val="009101B1"/>
    <w:rsid w:val="009125BD"/>
    <w:rsid w:val="00913E79"/>
    <w:rsid w:val="009166B6"/>
    <w:rsid w:val="00916F0A"/>
    <w:rsid w:val="00917756"/>
    <w:rsid w:val="00917DF6"/>
    <w:rsid w:val="0092079C"/>
    <w:rsid w:val="00920817"/>
    <w:rsid w:val="00921333"/>
    <w:rsid w:val="00921B46"/>
    <w:rsid w:val="00921E3B"/>
    <w:rsid w:val="00922D99"/>
    <w:rsid w:val="00923106"/>
    <w:rsid w:val="009232F0"/>
    <w:rsid w:val="00923C89"/>
    <w:rsid w:val="00924B83"/>
    <w:rsid w:val="00925046"/>
    <w:rsid w:val="00925082"/>
    <w:rsid w:val="0092641B"/>
    <w:rsid w:val="0092739C"/>
    <w:rsid w:val="00927B64"/>
    <w:rsid w:val="0093022E"/>
    <w:rsid w:val="009306EF"/>
    <w:rsid w:val="009327DE"/>
    <w:rsid w:val="00932DA9"/>
    <w:rsid w:val="00933428"/>
    <w:rsid w:val="0093363A"/>
    <w:rsid w:val="00934192"/>
    <w:rsid w:val="009351C1"/>
    <w:rsid w:val="00935FC7"/>
    <w:rsid w:val="00935FD3"/>
    <w:rsid w:val="00936222"/>
    <w:rsid w:val="00937A54"/>
    <w:rsid w:val="009406F9"/>
    <w:rsid w:val="00940DC8"/>
    <w:rsid w:val="00941DE9"/>
    <w:rsid w:val="00942DA1"/>
    <w:rsid w:val="0094388D"/>
    <w:rsid w:val="00944357"/>
    <w:rsid w:val="009450B3"/>
    <w:rsid w:val="0094546D"/>
    <w:rsid w:val="00945868"/>
    <w:rsid w:val="009460E9"/>
    <w:rsid w:val="0094700A"/>
    <w:rsid w:val="0094722B"/>
    <w:rsid w:val="00951A17"/>
    <w:rsid w:val="00951E6F"/>
    <w:rsid w:val="00954424"/>
    <w:rsid w:val="009544B3"/>
    <w:rsid w:val="00955CD6"/>
    <w:rsid w:val="00955EEA"/>
    <w:rsid w:val="009601C1"/>
    <w:rsid w:val="0096035C"/>
    <w:rsid w:val="00960E42"/>
    <w:rsid w:val="00961B63"/>
    <w:rsid w:val="009622A8"/>
    <w:rsid w:val="00962B6D"/>
    <w:rsid w:val="00963310"/>
    <w:rsid w:val="00964EE0"/>
    <w:rsid w:val="009667F5"/>
    <w:rsid w:val="009676C4"/>
    <w:rsid w:val="00967CCE"/>
    <w:rsid w:val="00972896"/>
    <w:rsid w:val="009732C2"/>
    <w:rsid w:val="00973AD0"/>
    <w:rsid w:val="00973B0E"/>
    <w:rsid w:val="0097421C"/>
    <w:rsid w:val="0097497A"/>
    <w:rsid w:val="009755B0"/>
    <w:rsid w:val="00975B05"/>
    <w:rsid w:val="00975F8B"/>
    <w:rsid w:val="009765F1"/>
    <w:rsid w:val="00976BEF"/>
    <w:rsid w:val="00976C58"/>
    <w:rsid w:val="00976CC0"/>
    <w:rsid w:val="00976F76"/>
    <w:rsid w:val="009773C6"/>
    <w:rsid w:val="00977E14"/>
    <w:rsid w:val="0098056A"/>
    <w:rsid w:val="00980885"/>
    <w:rsid w:val="00981417"/>
    <w:rsid w:val="00981452"/>
    <w:rsid w:val="00981826"/>
    <w:rsid w:val="00981904"/>
    <w:rsid w:val="00981A86"/>
    <w:rsid w:val="00981C0A"/>
    <w:rsid w:val="0098426C"/>
    <w:rsid w:val="009842F1"/>
    <w:rsid w:val="00984862"/>
    <w:rsid w:val="00984AD9"/>
    <w:rsid w:val="00985366"/>
    <w:rsid w:val="009861A6"/>
    <w:rsid w:val="00986475"/>
    <w:rsid w:val="009866A5"/>
    <w:rsid w:val="00986A13"/>
    <w:rsid w:val="00987976"/>
    <w:rsid w:val="009916E1"/>
    <w:rsid w:val="009919F8"/>
    <w:rsid w:val="00991F64"/>
    <w:rsid w:val="0099261A"/>
    <w:rsid w:val="009928FD"/>
    <w:rsid w:val="009931F5"/>
    <w:rsid w:val="0099349F"/>
    <w:rsid w:val="0099365C"/>
    <w:rsid w:val="009952E4"/>
    <w:rsid w:val="009960E8"/>
    <w:rsid w:val="0099654D"/>
    <w:rsid w:val="00997295"/>
    <w:rsid w:val="00997C52"/>
    <w:rsid w:val="009A0721"/>
    <w:rsid w:val="009A0984"/>
    <w:rsid w:val="009A0C6E"/>
    <w:rsid w:val="009A1B2F"/>
    <w:rsid w:val="009A1B65"/>
    <w:rsid w:val="009A1BA4"/>
    <w:rsid w:val="009A1FC0"/>
    <w:rsid w:val="009A2F2B"/>
    <w:rsid w:val="009A34C5"/>
    <w:rsid w:val="009A3EFE"/>
    <w:rsid w:val="009A3F21"/>
    <w:rsid w:val="009A4898"/>
    <w:rsid w:val="009A4FC3"/>
    <w:rsid w:val="009A563D"/>
    <w:rsid w:val="009A600A"/>
    <w:rsid w:val="009A7605"/>
    <w:rsid w:val="009A7910"/>
    <w:rsid w:val="009A7D86"/>
    <w:rsid w:val="009B07B1"/>
    <w:rsid w:val="009B07C1"/>
    <w:rsid w:val="009B188F"/>
    <w:rsid w:val="009B1EFE"/>
    <w:rsid w:val="009B1F85"/>
    <w:rsid w:val="009B22A8"/>
    <w:rsid w:val="009B3309"/>
    <w:rsid w:val="009B37CE"/>
    <w:rsid w:val="009B3892"/>
    <w:rsid w:val="009B39BA"/>
    <w:rsid w:val="009B3EFF"/>
    <w:rsid w:val="009B532D"/>
    <w:rsid w:val="009B6BB8"/>
    <w:rsid w:val="009C0284"/>
    <w:rsid w:val="009C07E9"/>
    <w:rsid w:val="009C1323"/>
    <w:rsid w:val="009C1616"/>
    <w:rsid w:val="009C2A18"/>
    <w:rsid w:val="009C2FF7"/>
    <w:rsid w:val="009C313F"/>
    <w:rsid w:val="009C384C"/>
    <w:rsid w:val="009C5BB8"/>
    <w:rsid w:val="009C5F16"/>
    <w:rsid w:val="009C636F"/>
    <w:rsid w:val="009C66F3"/>
    <w:rsid w:val="009C6B2D"/>
    <w:rsid w:val="009C6C64"/>
    <w:rsid w:val="009C6C91"/>
    <w:rsid w:val="009C70CA"/>
    <w:rsid w:val="009C71B6"/>
    <w:rsid w:val="009C7AD6"/>
    <w:rsid w:val="009D06B0"/>
    <w:rsid w:val="009D088C"/>
    <w:rsid w:val="009D0B95"/>
    <w:rsid w:val="009D0CBF"/>
    <w:rsid w:val="009D0DC9"/>
    <w:rsid w:val="009D1991"/>
    <w:rsid w:val="009D258E"/>
    <w:rsid w:val="009D2E88"/>
    <w:rsid w:val="009D3563"/>
    <w:rsid w:val="009D3E88"/>
    <w:rsid w:val="009D3F35"/>
    <w:rsid w:val="009D4422"/>
    <w:rsid w:val="009D485A"/>
    <w:rsid w:val="009D5072"/>
    <w:rsid w:val="009D6706"/>
    <w:rsid w:val="009D6B79"/>
    <w:rsid w:val="009D7F68"/>
    <w:rsid w:val="009E07B4"/>
    <w:rsid w:val="009E08F9"/>
    <w:rsid w:val="009E12C1"/>
    <w:rsid w:val="009E1BDF"/>
    <w:rsid w:val="009E1FC2"/>
    <w:rsid w:val="009E2DB0"/>
    <w:rsid w:val="009E2DB4"/>
    <w:rsid w:val="009E2E21"/>
    <w:rsid w:val="009E2E24"/>
    <w:rsid w:val="009E36A2"/>
    <w:rsid w:val="009E581E"/>
    <w:rsid w:val="009E5C46"/>
    <w:rsid w:val="009E5CE5"/>
    <w:rsid w:val="009E6BE7"/>
    <w:rsid w:val="009E6EA8"/>
    <w:rsid w:val="009E7A9D"/>
    <w:rsid w:val="009E7D2A"/>
    <w:rsid w:val="009F0F56"/>
    <w:rsid w:val="009F171A"/>
    <w:rsid w:val="009F1FDF"/>
    <w:rsid w:val="009F2E69"/>
    <w:rsid w:val="009F36CB"/>
    <w:rsid w:val="009F414D"/>
    <w:rsid w:val="009F46CC"/>
    <w:rsid w:val="009F48C1"/>
    <w:rsid w:val="009F4A81"/>
    <w:rsid w:val="009F4D5A"/>
    <w:rsid w:val="009F6ECC"/>
    <w:rsid w:val="00A01195"/>
    <w:rsid w:val="00A021E9"/>
    <w:rsid w:val="00A02656"/>
    <w:rsid w:val="00A02816"/>
    <w:rsid w:val="00A0291E"/>
    <w:rsid w:val="00A02B69"/>
    <w:rsid w:val="00A030F4"/>
    <w:rsid w:val="00A0399A"/>
    <w:rsid w:val="00A05728"/>
    <w:rsid w:val="00A05BE8"/>
    <w:rsid w:val="00A05F5F"/>
    <w:rsid w:val="00A107A6"/>
    <w:rsid w:val="00A121F1"/>
    <w:rsid w:val="00A126C8"/>
    <w:rsid w:val="00A12837"/>
    <w:rsid w:val="00A13551"/>
    <w:rsid w:val="00A137D6"/>
    <w:rsid w:val="00A13CAB"/>
    <w:rsid w:val="00A16366"/>
    <w:rsid w:val="00A16CFB"/>
    <w:rsid w:val="00A20004"/>
    <w:rsid w:val="00A21445"/>
    <w:rsid w:val="00A21543"/>
    <w:rsid w:val="00A22C47"/>
    <w:rsid w:val="00A22D0B"/>
    <w:rsid w:val="00A22E48"/>
    <w:rsid w:val="00A23963"/>
    <w:rsid w:val="00A24183"/>
    <w:rsid w:val="00A25569"/>
    <w:rsid w:val="00A2637A"/>
    <w:rsid w:val="00A270BE"/>
    <w:rsid w:val="00A27317"/>
    <w:rsid w:val="00A27462"/>
    <w:rsid w:val="00A27A88"/>
    <w:rsid w:val="00A31A88"/>
    <w:rsid w:val="00A326E0"/>
    <w:rsid w:val="00A32A97"/>
    <w:rsid w:val="00A33996"/>
    <w:rsid w:val="00A34FBB"/>
    <w:rsid w:val="00A3707C"/>
    <w:rsid w:val="00A37223"/>
    <w:rsid w:val="00A406E3"/>
    <w:rsid w:val="00A41528"/>
    <w:rsid w:val="00A41610"/>
    <w:rsid w:val="00A421FA"/>
    <w:rsid w:val="00A42B17"/>
    <w:rsid w:val="00A4342B"/>
    <w:rsid w:val="00A43795"/>
    <w:rsid w:val="00A438A1"/>
    <w:rsid w:val="00A43E91"/>
    <w:rsid w:val="00A449FC"/>
    <w:rsid w:val="00A454E6"/>
    <w:rsid w:val="00A456E1"/>
    <w:rsid w:val="00A464CC"/>
    <w:rsid w:val="00A47B30"/>
    <w:rsid w:val="00A5064D"/>
    <w:rsid w:val="00A507D5"/>
    <w:rsid w:val="00A509B8"/>
    <w:rsid w:val="00A50B2C"/>
    <w:rsid w:val="00A515A5"/>
    <w:rsid w:val="00A51F21"/>
    <w:rsid w:val="00A52A9A"/>
    <w:rsid w:val="00A530C1"/>
    <w:rsid w:val="00A5364B"/>
    <w:rsid w:val="00A53E9A"/>
    <w:rsid w:val="00A54229"/>
    <w:rsid w:val="00A54E35"/>
    <w:rsid w:val="00A55443"/>
    <w:rsid w:val="00A5544D"/>
    <w:rsid w:val="00A5573F"/>
    <w:rsid w:val="00A55845"/>
    <w:rsid w:val="00A55CE0"/>
    <w:rsid w:val="00A56601"/>
    <w:rsid w:val="00A56E86"/>
    <w:rsid w:val="00A56F3A"/>
    <w:rsid w:val="00A578DA"/>
    <w:rsid w:val="00A57B43"/>
    <w:rsid w:val="00A60269"/>
    <w:rsid w:val="00A60494"/>
    <w:rsid w:val="00A6051D"/>
    <w:rsid w:val="00A61305"/>
    <w:rsid w:val="00A61B1A"/>
    <w:rsid w:val="00A622C3"/>
    <w:rsid w:val="00A6244D"/>
    <w:rsid w:val="00A63565"/>
    <w:rsid w:val="00A649F8"/>
    <w:rsid w:val="00A65112"/>
    <w:rsid w:val="00A65636"/>
    <w:rsid w:val="00A663E8"/>
    <w:rsid w:val="00A6649B"/>
    <w:rsid w:val="00A678C4"/>
    <w:rsid w:val="00A706C1"/>
    <w:rsid w:val="00A70BAA"/>
    <w:rsid w:val="00A70F12"/>
    <w:rsid w:val="00A710C1"/>
    <w:rsid w:val="00A71DD1"/>
    <w:rsid w:val="00A7265B"/>
    <w:rsid w:val="00A72A83"/>
    <w:rsid w:val="00A72FDF"/>
    <w:rsid w:val="00A74F98"/>
    <w:rsid w:val="00A75200"/>
    <w:rsid w:val="00A75415"/>
    <w:rsid w:val="00A75656"/>
    <w:rsid w:val="00A75727"/>
    <w:rsid w:val="00A75824"/>
    <w:rsid w:val="00A75901"/>
    <w:rsid w:val="00A75EC1"/>
    <w:rsid w:val="00A7748D"/>
    <w:rsid w:val="00A777CF"/>
    <w:rsid w:val="00A778DD"/>
    <w:rsid w:val="00A77C2F"/>
    <w:rsid w:val="00A8138A"/>
    <w:rsid w:val="00A813E1"/>
    <w:rsid w:val="00A81BD7"/>
    <w:rsid w:val="00A829DE"/>
    <w:rsid w:val="00A83C87"/>
    <w:rsid w:val="00A848E1"/>
    <w:rsid w:val="00A8631D"/>
    <w:rsid w:val="00A8742F"/>
    <w:rsid w:val="00A87E5B"/>
    <w:rsid w:val="00A903BA"/>
    <w:rsid w:val="00A91A90"/>
    <w:rsid w:val="00A91DD2"/>
    <w:rsid w:val="00A92D26"/>
    <w:rsid w:val="00A92D8A"/>
    <w:rsid w:val="00A96CF5"/>
    <w:rsid w:val="00A97166"/>
    <w:rsid w:val="00A97D07"/>
    <w:rsid w:val="00A97E39"/>
    <w:rsid w:val="00A97E96"/>
    <w:rsid w:val="00AA05C4"/>
    <w:rsid w:val="00AA0BFA"/>
    <w:rsid w:val="00AA0EF3"/>
    <w:rsid w:val="00AA246E"/>
    <w:rsid w:val="00AA5128"/>
    <w:rsid w:val="00AA5A65"/>
    <w:rsid w:val="00AA5BDB"/>
    <w:rsid w:val="00AA60DE"/>
    <w:rsid w:val="00AA63A0"/>
    <w:rsid w:val="00AA63F2"/>
    <w:rsid w:val="00AA6609"/>
    <w:rsid w:val="00AA6674"/>
    <w:rsid w:val="00AA7A4B"/>
    <w:rsid w:val="00AA7DE1"/>
    <w:rsid w:val="00AA7DE7"/>
    <w:rsid w:val="00AA7FCA"/>
    <w:rsid w:val="00AB0509"/>
    <w:rsid w:val="00AB06C6"/>
    <w:rsid w:val="00AB097A"/>
    <w:rsid w:val="00AB0AD3"/>
    <w:rsid w:val="00AB1210"/>
    <w:rsid w:val="00AB1540"/>
    <w:rsid w:val="00AB1D13"/>
    <w:rsid w:val="00AB2F12"/>
    <w:rsid w:val="00AB2F9A"/>
    <w:rsid w:val="00AB3132"/>
    <w:rsid w:val="00AB491D"/>
    <w:rsid w:val="00AB4A1D"/>
    <w:rsid w:val="00AB4D8F"/>
    <w:rsid w:val="00AB50EF"/>
    <w:rsid w:val="00AB53A7"/>
    <w:rsid w:val="00AB57B0"/>
    <w:rsid w:val="00AB58B8"/>
    <w:rsid w:val="00AB6080"/>
    <w:rsid w:val="00AB63E6"/>
    <w:rsid w:val="00AB6CF8"/>
    <w:rsid w:val="00AB6FA0"/>
    <w:rsid w:val="00AB7BC5"/>
    <w:rsid w:val="00AC136A"/>
    <w:rsid w:val="00AC168A"/>
    <w:rsid w:val="00AC1BA6"/>
    <w:rsid w:val="00AC1ED7"/>
    <w:rsid w:val="00AC1FB9"/>
    <w:rsid w:val="00AC2332"/>
    <w:rsid w:val="00AC47ED"/>
    <w:rsid w:val="00AC4B83"/>
    <w:rsid w:val="00AC58F8"/>
    <w:rsid w:val="00AC73BF"/>
    <w:rsid w:val="00AC788E"/>
    <w:rsid w:val="00AC7C17"/>
    <w:rsid w:val="00AD10BF"/>
    <w:rsid w:val="00AD1A97"/>
    <w:rsid w:val="00AD1FBA"/>
    <w:rsid w:val="00AD3A38"/>
    <w:rsid w:val="00AD3BB8"/>
    <w:rsid w:val="00AD3F09"/>
    <w:rsid w:val="00AD494C"/>
    <w:rsid w:val="00AD4ED2"/>
    <w:rsid w:val="00AD5059"/>
    <w:rsid w:val="00AD5A72"/>
    <w:rsid w:val="00AD61F7"/>
    <w:rsid w:val="00AD62C6"/>
    <w:rsid w:val="00AD681E"/>
    <w:rsid w:val="00AE0097"/>
    <w:rsid w:val="00AE01F3"/>
    <w:rsid w:val="00AE046A"/>
    <w:rsid w:val="00AE17A8"/>
    <w:rsid w:val="00AE1EBB"/>
    <w:rsid w:val="00AE1F03"/>
    <w:rsid w:val="00AE267B"/>
    <w:rsid w:val="00AE2CF1"/>
    <w:rsid w:val="00AE2EFB"/>
    <w:rsid w:val="00AE330C"/>
    <w:rsid w:val="00AE4366"/>
    <w:rsid w:val="00AE45F5"/>
    <w:rsid w:val="00AE4AA9"/>
    <w:rsid w:val="00AE58E3"/>
    <w:rsid w:val="00AE5FCC"/>
    <w:rsid w:val="00AE6784"/>
    <w:rsid w:val="00AE6AD5"/>
    <w:rsid w:val="00AE6D66"/>
    <w:rsid w:val="00AF07AA"/>
    <w:rsid w:val="00AF0C21"/>
    <w:rsid w:val="00AF16CE"/>
    <w:rsid w:val="00AF308F"/>
    <w:rsid w:val="00AF367E"/>
    <w:rsid w:val="00AF3A52"/>
    <w:rsid w:val="00AF45E0"/>
    <w:rsid w:val="00AF47F6"/>
    <w:rsid w:val="00AF51EF"/>
    <w:rsid w:val="00AF5EA5"/>
    <w:rsid w:val="00AF6601"/>
    <w:rsid w:val="00AF780D"/>
    <w:rsid w:val="00AF7FD7"/>
    <w:rsid w:val="00B0043D"/>
    <w:rsid w:val="00B01672"/>
    <w:rsid w:val="00B02012"/>
    <w:rsid w:val="00B024AA"/>
    <w:rsid w:val="00B0257D"/>
    <w:rsid w:val="00B02804"/>
    <w:rsid w:val="00B02902"/>
    <w:rsid w:val="00B02C2C"/>
    <w:rsid w:val="00B03ABB"/>
    <w:rsid w:val="00B0426C"/>
    <w:rsid w:val="00B04AF8"/>
    <w:rsid w:val="00B04BE2"/>
    <w:rsid w:val="00B057FD"/>
    <w:rsid w:val="00B05B4F"/>
    <w:rsid w:val="00B05FEB"/>
    <w:rsid w:val="00B06312"/>
    <w:rsid w:val="00B06B83"/>
    <w:rsid w:val="00B0790C"/>
    <w:rsid w:val="00B10363"/>
    <w:rsid w:val="00B10FC1"/>
    <w:rsid w:val="00B11D00"/>
    <w:rsid w:val="00B11EBE"/>
    <w:rsid w:val="00B13519"/>
    <w:rsid w:val="00B13587"/>
    <w:rsid w:val="00B144D4"/>
    <w:rsid w:val="00B14691"/>
    <w:rsid w:val="00B15A8F"/>
    <w:rsid w:val="00B15CEC"/>
    <w:rsid w:val="00B17162"/>
    <w:rsid w:val="00B17EBD"/>
    <w:rsid w:val="00B20444"/>
    <w:rsid w:val="00B21B7C"/>
    <w:rsid w:val="00B22CE4"/>
    <w:rsid w:val="00B23C24"/>
    <w:rsid w:val="00B23F62"/>
    <w:rsid w:val="00B24506"/>
    <w:rsid w:val="00B24CBE"/>
    <w:rsid w:val="00B26504"/>
    <w:rsid w:val="00B26835"/>
    <w:rsid w:val="00B26A9F"/>
    <w:rsid w:val="00B27293"/>
    <w:rsid w:val="00B27F49"/>
    <w:rsid w:val="00B302D7"/>
    <w:rsid w:val="00B30DB1"/>
    <w:rsid w:val="00B31DC1"/>
    <w:rsid w:val="00B321DA"/>
    <w:rsid w:val="00B3367F"/>
    <w:rsid w:val="00B34F59"/>
    <w:rsid w:val="00B35296"/>
    <w:rsid w:val="00B356D0"/>
    <w:rsid w:val="00B367EE"/>
    <w:rsid w:val="00B36A13"/>
    <w:rsid w:val="00B36CFD"/>
    <w:rsid w:val="00B379D9"/>
    <w:rsid w:val="00B37E90"/>
    <w:rsid w:val="00B37EBD"/>
    <w:rsid w:val="00B40196"/>
    <w:rsid w:val="00B41970"/>
    <w:rsid w:val="00B428BD"/>
    <w:rsid w:val="00B4477A"/>
    <w:rsid w:val="00B451C6"/>
    <w:rsid w:val="00B45810"/>
    <w:rsid w:val="00B45C90"/>
    <w:rsid w:val="00B464E5"/>
    <w:rsid w:val="00B46547"/>
    <w:rsid w:val="00B4678B"/>
    <w:rsid w:val="00B50707"/>
    <w:rsid w:val="00B5230F"/>
    <w:rsid w:val="00B52499"/>
    <w:rsid w:val="00B5273C"/>
    <w:rsid w:val="00B528FE"/>
    <w:rsid w:val="00B52B81"/>
    <w:rsid w:val="00B52E7F"/>
    <w:rsid w:val="00B533F5"/>
    <w:rsid w:val="00B53C06"/>
    <w:rsid w:val="00B55451"/>
    <w:rsid w:val="00B56BF6"/>
    <w:rsid w:val="00B60D68"/>
    <w:rsid w:val="00B60DED"/>
    <w:rsid w:val="00B6151F"/>
    <w:rsid w:val="00B6174E"/>
    <w:rsid w:val="00B61D72"/>
    <w:rsid w:val="00B6287F"/>
    <w:rsid w:val="00B63138"/>
    <w:rsid w:val="00B63E63"/>
    <w:rsid w:val="00B63F94"/>
    <w:rsid w:val="00B642EF"/>
    <w:rsid w:val="00B64867"/>
    <w:rsid w:val="00B64F6C"/>
    <w:rsid w:val="00B660D1"/>
    <w:rsid w:val="00B675AC"/>
    <w:rsid w:val="00B678D0"/>
    <w:rsid w:val="00B67BF6"/>
    <w:rsid w:val="00B7016C"/>
    <w:rsid w:val="00B70D3D"/>
    <w:rsid w:val="00B711D8"/>
    <w:rsid w:val="00B717F1"/>
    <w:rsid w:val="00B7217E"/>
    <w:rsid w:val="00B7233A"/>
    <w:rsid w:val="00B73982"/>
    <w:rsid w:val="00B7444A"/>
    <w:rsid w:val="00B74C90"/>
    <w:rsid w:val="00B764C7"/>
    <w:rsid w:val="00B806CD"/>
    <w:rsid w:val="00B8070D"/>
    <w:rsid w:val="00B8134A"/>
    <w:rsid w:val="00B822B5"/>
    <w:rsid w:val="00B83189"/>
    <w:rsid w:val="00B83349"/>
    <w:rsid w:val="00B8355A"/>
    <w:rsid w:val="00B8365F"/>
    <w:rsid w:val="00B843F3"/>
    <w:rsid w:val="00B8462A"/>
    <w:rsid w:val="00B859F2"/>
    <w:rsid w:val="00B862DC"/>
    <w:rsid w:val="00B867CF"/>
    <w:rsid w:val="00B86F12"/>
    <w:rsid w:val="00B87CD6"/>
    <w:rsid w:val="00B87F21"/>
    <w:rsid w:val="00B87FD1"/>
    <w:rsid w:val="00B90972"/>
    <w:rsid w:val="00B90FD4"/>
    <w:rsid w:val="00B912C2"/>
    <w:rsid w:val="00B9378F"/>
    <w:rsid w:val="00B9380C"/>
    <w:rsid w:val="00B94638"/>
    <w:rsid w:val="00B947CA"/>
    <w:rsid w:val="00B94B4D"/>
    <w:rsid w:val="00B95190"/>
    <w:rsid w:val="00B95863"/>
    <w:rsid w:val="00B95E90"/>
    <w:rsid w:val="00BA0344"/>
    <w:rsid w:val="00BA1A31"/>
    <w:rsid w:val="00BA292A"/>
    <w:rsid w:val="00BA3685"/>
    <w:rsid w:val="00BA3C2F"/>
    <w:rsid w:val="00BA49BA"/>
    <w:rsid w:val="00BA4DD1"/>
    <w:rsid w:val="00BA50D4"/>
    <w:rsid w:val="00BA519D"/>
    <w:rsid w:val="00BA5F02"/>
    <w:rsid w:val="00BA704C"/>
    <w:rsid w:val="00BB0933"/>
    <w:rsid w:val="00BB1263"/>
    <w:rsid w:val="00BB14D8"/>
    <w:rsid w:val="00BB3176"/>
    <w:rsid w:val="00BB31BF"/>
    <w:rsid w:val="00BB370E"/>
    <w:rsid w:val="00BB4030"/>
    <w:rsid w:val="00BB6FDF"/>
    <w:rsid w:val="00BB79F0"/>
    <w:rsid w:val="00BB7C2F"/>
    <w:rsid w:val="00BB7F22"/>
    <w:rsid w:val="00BC0E19"/>
    <w:rsid w:val="00BC2CE0"/>
    <w:rsid w:val="00BC3343"/>
    <w:rsid w:val="00BC3F50"/>
    <w:rsid w:val="00BC4488"/>
    <w:rsid w:val="00BC4A21"/>
    <w:rsid w:val="00BC4EAE"/>
    <w:rsid w:val="00BC4F09"/>
    <w:rsid w:val="00BC5107"/>
    <w:rsid w:val="00BC5878"/>
    <w:rsid w:val="00BC58EF"/>
    <w:rsid w:val="00BC5B33"/>
    <w:rsid w:val="00BC7188"/>
    <w:rsid w:val="00BC7289"/>
    <w:rsid w:val="00BD04FA"/>
    <w:rsid w:val="00BD18D2"/>
    <w:rsid w:val="00BD29FA"/>
    <w:rsid w:val="00BD3226"/>
    <w:rsid w:val="00BD49E2"/>
    <w:rsid w:val="00BD4CE2"/>
    <w:rsid w:val="00BD58E7"/>
    <w:rsid w:val="00BD5BF4"/>
    <w:rsid w:val="00BD6549"/>
    <w:rsid w:val="00BD6A2B"/>
    <w:rsid w:val="00BD7DAC"/>
    <w:rsid w:val="00BE0851"/>
    <w:rsid w:val="00BE08C4"/>
    <w:rsid w:val="00BE144E"/>
    <w:rsid w:val="00BE1566"/>
    <w:rsid w:val="00BE2A2E"/>
    <w:rsid w:val="00BE309F"/>
    <w:rsid w:val="00BE3732"/>
    <w:rsid w:val="00BE3D19"/>
    <w:rsid w:val="00BE4771"/>
    <w:rsid w:val="00BE4835"/>
    <w:rsid w:val="00BE4857"/>
    <w:rsid w:val="00BE4BB1"/>
    <w:rsid w:val="00BE50F3"/>
    <w:rsid w:val="00BE5EEA"/>
    <w:rsid w:val="00BE653C"/>
    <w:rsid w:val="00BE67F0"/>
    <w:rsid w:val="00BE7757"/>
    <w:rsid w:val="00BE7E09"/>
    <w:rsid w:val="00BF07A9"/>
    <w:rsid w:val="00BF1C3B"/>
    <w:rsid w:val="00BF203A"/>
    <w:rsid w:val="00BF2995"/>
    <w:rsid w:val="00BF355D"/>
    <w:rsid w:val="00BF46A7"/>
    <w:rsid w:val="00BF4B73"/>
    <w:rsid w:val="00BF565B"/>
    <w:rsid w:val="00BF5E60"/>
    <w:rsid w:val="00BF6A23"/>
    <w:rsid w:val="00BF6F97"/>
    <w:rsid w:val="00BF7109"/>
    <w:rsid w:val="00BF7538"/>
    <w:rsid w:val="00C006EE"/>
    <w:rsid w:val="00C00721"/>
    <w:rsid w:val="00C00DF7"/>
    <w:rsid w:val="00C019B5"/>
    <w:rsid w:val="00C01BCF"/>
    <w:rsid w:val="00C02094"/>
    <w:rsid w:val="00C0405A"/>
    <w:rsid w:val="00C04218"/>
    <w:rsid w:val="00C047A2"/>
    <w:rsid w:val="00C04E65"/>
    <w:rsid w:val="00C05659"/>
    <w:rsid w:val="00C05B73"/>
    <w:rsid w:val="00C06001"/>
    <w:rsid w:val="00C0711D"/>
    <w:rsid w:val="00C101C1"/>
    <w:rsid w:val="00C10F74"/>
    <w:rsid w:val="00C1102B"/>
    <w:rsid w:val="00C110AE"/>
    <w:rsid w:val="00C11256"/>
    <w:rsid w:val="00C1134F"/>
    <w:rsid w:val="00C1140F"/>
    <w:rsid w:val="00C11EA8"/>
    <w:rsid w:val="00C12836"/>
    <w:rsid w:val="00C12E6D"/>
    <w:rsid w:val="00C12F34"/>
    <w:rsid w:val="00C130D4"/>
    <w:rsid w:val="00C13494"/>
    <w:rsid w:val="00C134DE"/>
    <w:rsid w:val="00C14602"/>
    <w:rsid w:val="00C146CE"/>
    <w:rsid w:val="00C148CE"/>
    <w:rsid w:val="00C1533C"/>
    <w:rsid w:val="00C15956"/>
    <w:rsid w:val="00C15A18"/>
    <w:rsid w:val="00C162F1"/>
    <w:rsid w:val="00C1677D"/>
    <w:rsid w:val="00C17816"/>
    <w:rsid w:val="00C17847"/>
    <w:rsid w:val="00C17CD4"/>
    <w:rsid w:val="00C20E6C"/>
    <w:rsid w:val="00C2137A"/>
    <w:rsid w:val="00C2282C"/>
    <w:rsid w:val="00C229FC"/>
    <w:rsid w:val="00C22C50"/>
    <w:rsid w:val="00C23085"/>
    <w:rsid w:val="00C23C4E"/>
    <w:rsid w:val="00C246A7"/>
    <w:rsid w:val="00C25136"/>
    <w:rsid w:val="00C256BA"/>
    <w:rsid w:val="00C25A21"/>
    <w:rsid w:val="00C262A8"/>
    <w:rsid w:val="00C26501"/>
    <w:rsid w:val="00C27513"/>
    <w:rsid w:val="00C30C8F"/>
    <w:rsid w:val="00C3153D"/>
    <w:rsid w:val="00C317C8"/>
    <w:rsid w:val="00C33414"/>
    <w:rsid w:val="00C33B79"/>
    <w:rsid w:val="00C33DD5"/>
    <w:rsid w:val="00C353BD"/>
    <w:rsid w:val="00C3543C"/>
    <w:rsid w:val="00C358DB"/>
    <w:rsid w:val="00C35A76"/>
    <w:rsid w:val="00C3686F"/>
    <w:rsid w:val="00C3797C"/>
    <w:rsid w:val="00C37A7D"/>
    <w:rsid w:val="00C37F8F"/>
    <w:rsid w:val="00C403C8"/>
    <w:rsid w:val="00C40429"/>
    <w:rsid w:val="00C4062D"/>
    <w:rsid w:val="00C40E40"/>
    <w:rsid w:val="00C41924"/>
    <w:rsid w:val="00C41B96"/>
    <w:rsid w:val="00C41D74"/>
    <w:rsid w:val="00C41FC5"/>
    <w:rsid w:val="00C4219C"/>
    <w:rsid w:val="00C424E5"/>
    <w:rsid w:val="00C42CF1"/>
    <w:rsid w:val="00C43960"/>
    <w:rsid w:val="00C44139"/>
    <w:rsid w:val="00C45485"/>
    <w:rsid w:val="00C4570F"/>
    <w:rsid w:val="00C47334"/>
    <w:rsid w:val="00C50E46"/>
    <w:rsid w:val="00C51230"/>
    <w:rsid w:val="00C516F1"/>
    <w:rsid w:val="00C524AD"/>
    <w:rsid w:val="00C525D0"/>
    <w:rsid w:val="00C533B5"/>
    <w:rsid w:val="00C54536"/>
    <w:rsid w:val="00C54A08"/>
    <w:rsid w:val="00C600A7"/>
    <w:rsid w:val="00C600E7"/>
    <w:rsid w:val="00C60C40"/>
    <w:rsid w:val="00C610EA"/>
    <w:rsid w:val="00C61468"/>
    <w:rsid w:val="00C6202C"/>
    <w:rsid w:val="00C629C8"/>
    <w:rsid w:val="00C62DE3"/>
    <w:rsid w:val="00C63451"/>
    <w:rsid w:val="00C63757"/>
    <w:rsid w:val="00C638B8"/>
    <w:rsid w:val="00C63A66"/>
    <w:rsid w:val="00C63A75"/>
    <w:rsid w:val="00C65498"/>
    <w:rsid w:val="00C65A6F"/>
    <w:rsid w:val="00C668B9"/>
    <w:rsid w:val="00C66BA1"/>
    <w:rsid w:val="00C67149"/>
    <w:rsid w:val="00C67252"/>
    <w:rsid w:val="00C676E4"/>
    <w:rsid w:val="00C67761"/>
    <w:rsid w:val="00C70864"/>
    <w:rsid w:val="00C70D6B"/>
    <w:rsid w:val="00C74BD5"/>
    <w:rsid w:val="00C75F5F"/>
    <w:rsid w:val="00C76136"/>
    <w:rsid w:val="00C771C5"/>
    <w:rsid w:val="00C77D72"/>
    <w:rsid w:val="00C8029C"/>
    <w:rsid w:val="00C802C9"/>
    <w:rsid w:val="00C80C3A"/>
    <w:rsid w:val="00C81AC4"/>
    <w:rsid w:val="00C823C2"/>
    <w:rsid w:val="00C8289A"/>
    <w:rsid w:val="00C828E9"/>
    <w:rsid w:val="00C82B12"/>
    <w:rsid w:val="00C8329E"/>
    <w:rsid w:val="00C83B78"/>
    <w:rsid w:val="00C83BB1"/>
    <w:rsid w:val="00C843E2"/>
    <w:rsid w:val="00C8746A"/>
    <w:rsid w:val="00C87DF4"/>
    <w:rsid w:val="00C913E3"/>
    <w:rsid w:val="00C920B0"/>
    <w:rsid w:val="00C9289D"/>
    <w:rsid w:val="00C93743"/>
    <w:rsid w:val="00C93A2A"/>
    <w:rsid w:val="00C942C2"/>
    <w:rsid w:val="00C94C40"/>
    <w:rsid w:val="00C9558D"/>
    <w:rsid w:val="00C955F1"/>
    <w:rsid w:val="00C95D8E"/>
    <w:rsid w:val="00C97138"/>
    <w:rsid w:val="00CA021D"/>
    <w:rsid w:val="00CA0D61"/>
    <w:rsid w:val="00CA1798"/>
    <w:rsid w:val="00CA2250"/>
    <w:rsid w:val="00CA276F"/>
    <w:rsid w:val="00CA2B61"/>
    <w:rsid w:val="00CA2FE4"/>
    <w:rsid w:val="00CA3497"/>
    <w:rsid w:val="00CA3D9B"/>
    <w:rsid w:val="00CA4293"/>
    <w:rsid w:val="00CA6175"/>
    <w:rsid w:val="00CA61B5"/>
    <w:rsid w:val="00CA6F1B"/>
    <w:rsid w:val="00CA7815"/>
    <w:rsid w:val="00CA7B3D"/>
    <w:rsid w:val="00CB0031"/>
    <w:rsid w:val="00CB04BA"/>
    <w:rsid w:val="00CB47DA"/>
    <w:rsid w:val="00CB5142"/>
    <w:rsid w:val="00CB540C"/>
    <w:rsid w:val="00CB5802"/>
    <w:rsid w:val="00CB6ECA"/>
    <w:rsid w:val="00CC07C9"/>
    <w:rsid w:val="00CC1A1F"/>
    <w:rsid w:val="00CC1F31"/>
    <w:rsid w:val="00CC1FE1"/>
    <w:rsid w:val="00CC24CC"/>
    <w:rsid w:val="00CC29E0"/>
    <w:rsid w:val="00CC3481"/>
    <w:rsid w:val="00CC435F"/>
    <w:rsid w:val="00CC46E2"/>
    <w:rsid w:val="00CC48F0"/>
    <w:rsid w:val="00CC4FD0"/>
    <w:rsid w:val="00CC5A83"/>
    <w:rsid w:val="00CC5D03"/>
    <w:rsid w:val="00CC7069"/>
    <w:rsid w:val="00CD1F84"/>
    <w:rsid w:val="00CD3B8C"/>
    <w:rsid w:val="00CD4409"/>
    <w:rsid w:val="00CD59E9"/>
    <w:rsid w:val="00CD5D6A"/>
    <w:rsid w:val="00CD5F6F"/>
    <w:rsid w:val="00CD61FA"/>
    <w:rsid w:val="00CD6D09"/>
    <w:rsid w:val="00CD77BF"/>
    <w:rsid w:val="00CD7BB1"/>
    <w:rsid w:val="00CE1028"/>
    <w:rsid w:val="00CE11EB"/>
    <w:rsid w:val="00CE1465"/>
    <w:rsid w:val="00CE17CC"/>
    <w:rsid w:val="00CE1BE2"/>
    <w:rsid w:val="00CE2F5F"/>
    <w:rsid w:val="00CE300B"/>
    <w:rsid w:val="00CE37F7"/>
    <w:rsid w:val="00CE3C56"/>
    <w:rsid w:val="00CE3DBD"/>
    <w:rsid w:val="00CE3F95"/>
    <w:rsid w:val="00CE4608"/>
    <w:rsid w:val="00CE5103"/>
    <w:rsid w:val="00CE5419"/>
    <w:rsid w:val="00CE61DF"/>
    <w:rsid w:val="00CE6F0A"/>
    <w:rsid w:val="00CE6FF2"/>
    <w:rsid w:val="00CE77C0"/>
    <w:rsid w:val="00CE7B64"/>
    <w:rsid w:val="00CF0037"/>
    <w:rsid w:val="00CF027C"/>
    <w:rsid w:val="00CF037C"/>
    <w:rsid w:val="00CF0D5B"/>
    <w:rsid w:val="00CF1D47"/>
    <w:rsid w:val="00CF1DD0"/>
    <w:rsid w:val="00CF2182"/>
    <w:rsid w:val="00CF328D"/>
    <w:rsid w:val="00CF3CA2"/>
    <w:rsid w:val="00CF42FF"/>
    <w:rsid w:val="00CF4F5E"/>
    <w:rsid w:val="00CF60EF"/>
    <w:rsid w:val="00CF67E3"/>
    <w:rsid w:val="00CF72D3"/>
    <w:rsid w:val="00D00597"/>
    <w:rsid w:val="00D01530"/>
    <w:rsid w:val="00D01BEC"/>
    <w:rsid w:val="00D02DD3"/>
    <w:rsid w:val="00D03552"/>
    <w:rsid w:val="00D0487A"/>
    <w:rsid w:val="00D06AC3"/>
    <w:rsid w:val="00D07957"/>
    <w:rsid w:val="00D1098E"/>
    <w:rsid w:val="00D10A53"/>
    <w:rsid w:val="00D10AB8"/>
    <w:rsid w:val="00D11042"/>
    <w:rsid w:val="00D11090"/>
    <w:rsid w:val="00D13014"/>
    <w:rsid w:val="00D1383C"/>
    <w:rsid w:val="00D13BF7"/>
    <w:rsid w:val="00D13E8A"/>
    <w:rsid w:val="00D1410B"/>
    <w:rsid w:val="00D14281"/>
    <w:rsid w:val="00D14599"/>
    <w:rsid w:val="00D151F0"/>
    <w:rsid w:val="00D1658B"/>
    <w:rsid w:val="00D17A5D"/>
    <w:rsid w:val="00D20B4B"/>
    <w:rsid w:val="00D221FA"/>
    <w:rsid w:val="00D223F5"/>
    <w:rsid w:val="00D24C48"/>
    <w:rsid w:val="00D25355"/>
    <w:rsid w:val="00D256E2"/>
    <w:rsid w:val="00D25BAE"/>
    <w:rsid w:val="00D264F5"/>
    <w:rsid w:val="00D26B24"/>
    <w:rsid w:val="00D26DAA"/>
    <w:rsid w:val="00D27334"/>
    <w:rsid w:val="00D300CF"/>
    <w:rsid w:val="00D302B7"/>
    <w:rsid w:val="00D308A0"/>
    <w:rsid w:val="00D30A1B"/>
    <w:rsid w:val="00D30CED"/>
    <w:rsid w:val="00D31E22"/>
    <w:rsid w:val="00D31F41"/>
    <w:rsid w:val="00D3206E"/>
    <w:rsid w:val="00D32A73"/>
    <w:rsid w:val="00D33663"/>
    <w:rsid w:val="00D34342"/>
    <w:rsid w:val="00D34948"/>
    <w:rsid w:val="00D35401"/>
    <w:rsid w:val="00D36D6F"/>
    <w:rsid w:val="00D37268"/>
    <w:rsid w:val="00D375D7"/>
    <w:rsid w:val="00D3795D"/>
    <w:rsid w:val="00D41576"/>
    <w:rsid w:val="00D439BD"/>
    <w:rsid w:val="00D4449B"/>
    <w:rsid w:val="00D4533F"/>
    <w:rsid w:val="00D454DD"/>
    <w:rsid w:val="00D45A5E"/>
    <w:rsid w:val="00D46A3D"/>
    <w:rsid w:val="00D46AE4"/>
    <w:rsid w:val="00D46D31"/>
    <w:rsid w:val="00D47832"/>
    <w:rsid w:val="00D50521"/>
    <w:rsid w:val="00D50E7F"/>
    <w:rsid w:val="00D51066"/>
    <w:rsid w:val="00D51119"/>
    <w:rsid w:val="00D52507"/>
    <w:rsid w:val="00D52A45"/>
    <w:rsid w:val="00D52B1B"/>
    <w:rsid w:val="00D53225"/>
    <w:rsid w:val="00D537CF"/>
    <w:rsid w:val="00D53E71"/>
    <w:rsid w:val="00D543E8"/>
    <w:rsid w:val="00D54BD7"/>
    <w:rsid w:val="00D54E99"/>
    <w:rsid w:val="00D54F88"/>
    <w:rsid w:val="00D55690"/>
    <w:rsid w:val="00D55AC3"/>
    <w:rsid w:val="00D56F46"/>
    <w:rsid w:val="00D60603"/>
    <w:rsid w:val="00D6123E"/>
    <w:rsid w:val="00D62CB7"/>
    <w:rsid w:val="00D653BA"/>
    <w:rsid w:val="00D661CE"/>
    <w:rsid w:val="00D66D39"/>
    <w:rsid w:val="00D67103"/>
    <w:rsid w:val="00D67658"/>
    <w:rsid w:val="00D70CE3"/>
    <w:rsid w:val="00D70F9F"/>
    <w:rsid w:val="00D70FEF"/>
    <w:rsid w:val="00D710C5"/>
    <w:rsid w:val="00D713C1"/>
    <w:rsid w:val="00D72842"/>
    <w:rsid w:val="00D73D33"/>
    <w:rsid w:val="00D74751"/>
    <w:rsid w:val="00D7659A"/>
    <w:rsid w:val="00D7659D"/>
    <w:rsid w:val="00D76C24"/>
    <w:rsid w:val="00D76F64"/>
    <w:rsid w:val="00D77605"/>
    <w:rsid w:val="00D77E73"/>
    <w:rsid w:val="00D80D70"/>
    <w:rsid w:val="00D816AA"/>
    <w:rsid w:val="00D81A54"/>
    <w:rsid w:val="00D84362"/>
    <w:rsid w:val="00D85035"/>
    <w:rsid w:val="00D850AD"/>
    <w:rsid w:val="00D85883"/>
    <w:rsid w:val="00D85F33"/>
    <w:rsid w:val="00D864E5"/>
    <w:rsid w:val="00D86721"/>
    <w:rsid w:val="00D87D85"/>
    <w:rsid w:val="00D90221"/>
    <w:rsid w:val="00D90296"/>
    <w:rsid w:val="00D90527"/>
    <w:rsid w:val="00D90CAF"/>
    <w:rsid w:val="00D916DF"/>
    <w:rsid w:val="00D9199C"/>
    <w:rsid w:val="00D92426"/>
    <w:rsid w:val="00D92764"/>
    <w:rsid w:val="00D940D6"/>
    <w:rsid w:val="00D94C24"/>
    <w:rsid w:val="00D951B3"/>
    <w:rsid w:val="00D9592E"/>
    <w:rsid w:val="00D96862"/>
    <w:rsid w:val="00DA0103"/>
    <w:rsid w:val="00DA0384"/>
    <w:rsid w:val="00DA0805"/>
    <w:rsid w:val="00DA088A"/>
    <w:rsid w:val="00DA203B"/>
    <w:rsid w:val="00DA3114"/>
    <w:rsid w:val="00DA35E6"/>
    <w:rsid w:val="00DA360E"/>
    <w:rsid w:val="00DA41A9"/>
    <w:rsid w:val="00DA42E6"/>
    <w:rsid w:val="00DA589B"/>
    <w:rsid w:val="00DA617C"/>
    <w:rsid w:val="00DA63AD"/>
    <w:rsid w:val="00DA6D7B"/>
    <w:rsid w:val="00DA7358"/>
    <w:rsid w:val="00DA7E1D"/>
    <w:rsid w:val="00DB02D7"/>
    <w:rsid w:val="00DB0706"/>
    <w:rsid w:val="00DB1158"/>
    <w:rsid w:val="00DB151E"/>
    <w:rsid w:val="00DB1947"/>
    <w:rsid w:val="00DB1A3D"/>
    <w:rsid w:val="00DB1AAB"/>
    <w:rsid w:val="00DB20A8"/>
    <w:rsid w:val="00DB22A5"/>
    <w:rsid w:val="00DB26B0"/>
    <w:rsid w:val="00DB30CA"/>
    <w:rsid w:val="00DB42CB"/>
    <w:rsid w:val="00DB61D7"/>
    <w:rsid w:val="00DB623D"/>
    <w:rsid w:val="00DB6A30"/>
    <w:rsid w:val="00DC0A8B"/>
    <w:rsid w:val="00DC1C74"/>
    <w:rsid w:val="00DC33FC"/>
    <w:rsid w:val="00DC38E8"/>
    <w:rsid w:val="00DC3D23"/>
    <w:rsid w:val="00DC416F"/>
    <w:rsid w:val="00DC4799"/>
    <w:rsid w:val="00DC4D55"/>
    <w:rsid w:val="00DC5A5F"/>
    <w:rsid w:val="00DC5D24"/>
    <w:rsid w:val="00DC66A1"/>
    <w:rsid w:val="00DC672B"/>
    <w:rsid w:val="00DC6D60"/>
    <w:rsid w:val="00DC6E31"/>
    <w:rsid w:val="00DC7AED"/>
    <w:rsid w:val="00DD0000"/>
    <w:rsid w:val="00DD0CEE"/>
    <w:rsid w:val="00DD16CA"/>
    <w:rsid w:val="00DD1841"/>
    <w:rsid w:val="00DD1AA5"/>
    <w:rsid w:val="00DD1E6B"/>
    <w:rsid w:val="00DD2EA0"/>
    <w:rsid w:val="00DD2EA8"/>
    <w:rsid w:val="00DD30F6"/>
    <w:rsid w:val="00DD36BC"/>
    <w:rsid w:val="00DD3F91"/>
    <w:rsid w:val="00DD4618"/>
    <w:rsid w:val="00DD604D"/>
    <w:rsid w:val="00DD6221"/>
    <w:rsid w:val="00DD7CEA"/>
    <w:rsid w:val="00DE1652"/>
    <w:rsid w:val="00DE2274"/>
    <w:rsid w:val="00DE2517"/>
    <w:rsid w:val="00DE3661"/>
    <w:rsid w:val="00DE3D1E"/>
    <w:rsid w:val="00DE4B79"/>
    <w:rsid w:val="00DE505A"/>
    <w:rsid w:val="00DE51A7"/>
    <w:rsid w:val="00DE58F5"/>
    <w:rsid w:val="00DE5AEF"/>
    <w:rsid w:val="00DE610F"/>
    <w:rsid w:val="00DE6963"/>
    <w:rsid w:val="00DE7065"/>
    <w:rsid w:val="00DE7864"/>
    <w:rsid w:val="00DF1EE8"/>
    <w:rsid w:val="00DF26D6"/>
    <w:rsid w:val="00DF2F2D"/>
    <w:rsid w:val="00DF3103"/>
    <w:rsid w:val="00DF4334"/>
    <w:rsid w:val="00DF434E"/>
    <w:rsid w:val="00DF497A"/>
    <w:rsid w:val="00DF5148"/>
    <w:rsid w:val="00DF5E40"/>
    <w:rsid w:val="00DF614D"/>
    <w:rsid w:val="00DF6A54"/>
    <w:rsid w:val="00DF6FE3"/>
    <w:rsid w:val="00DF70C8"/>
    <w:rsid w:val="00DF7A55"/>
    <w:rsid w:val="00E000F0"/>
    <w:rsid w:val="00E01119"/>
    <w:rsid w:val="00E01520"/>
    <w:rsid w:val="00E017A1"/>
    <w:rsid w:val="00E01CDD"/>
    <w:rsid w:val="00E02B7F"/>
    <w:rsid w:val="00E033F6"/>
    <w:rsid w:val="00E03E24"/>
    <w:rsid w:val="00E044F4"/>
    <w:rsid w:val="00E045A3"/>
    <w:rsid w:val="00E06C5B"/>
    <w:rsid w:val="00E06F87"/>
    <w:rsid w:val="00E06FBD"/>
    <w:rsid w:val="00E06FF4"/>
    <w:rsid w:val="00E07B9C"/>
    <w:rsid w:val="00E07D1A"/>
    <w:rsid w:val="00E10F5F"/>
    <w:rsid w:val="00E12482"/>
    <w:rsid w:val="00E1290D"/>
    <w:rsid w:val="00E13AF2"/>
    <w:rsid w:val="00E142CA"/>
    <w:rsid w:val="00E15F84"/>
    <w:rsid w:val="00E164D2"/>
    <w:rsid w:val="00E16A49"/>
    <w:rsid w:val="00E17607"/>
    <w:rsid w:val="00E177AF"/>
    <w:rsid w:val="00E17B11"/>
    <w:rsid w:val="00E20A2A"/>
    <w:rsid w:val="00E211D7"/>
    <w:rsid w:val="00E2248B"/>
    <w:rsid w:val="00E23D54"/>
    <w:rsid w:val="00E240F6"/>
    <w:rsid w:val="00E2455E"/>
    <w:rsid w:val="00E25320"/>
    <w:rsid w:val="00E2593D"/>
    <w:rsid w:val="00E25FC4"/>
    <w:rsid w:val="00E2663F"/>
    <w:rsid w:val="00E2704D"/>
    <w:rsid w:val="00E27A18"/>
    <w:rsid w:val="00E27EB9"/>
    <w:rsid w:val="00E27F85"/>
    <w:rsid w:val="00E30860"/>
    <w:rsid w:val="00E30BC2"/>
    <w:rsid w:val="00E31182"/>
    <w:rsid w:val="00E31CA4"/>
    <w:rsid w:val="00E3258E"/>
    <w:rsid w:val="00E32C57"/>
    <w:rsid w:val="00E32D82"/>
    <w:rsid w:val="00E32E57"/>
    <w:rsid w:val="00E32E6C"/>
    <w:rsid w:val="00E3360B"/>
    <w:rsid w:val="00E33F1D"/>
    <w:rsid w:val="00E34C6E"/>
    <w:rsid w:val="00E34D45"/>
    <w:rsid w:val="00E35F06"/>
    <w:rsid w:val="00E36535"/>
    <w:rsid w:val="00E36F98"/>
    <w:rsid w:val="00E3733E"/>
    <w:rsid w:val="00E376AC"/>
    <w:rsid w:val="00E378E0"/>
    <w:rsid w:val="00E37BF8"/>
    <w:rsid w:val="00E4058D"/>
    <w:rsid w:val="00E407A1"/>
    <w:rsid w:val="00E410ED"/>
    <w:rsid w:val="00E41A96"/>
    <w:rsid w:val="00E41E49"/>
    <w:rsid w:val="00E4301F"/>
    <w:rsid w:val="00E43848"/>
    <w:rsid w:val="00E43DF4"/>
    <w:rsid w:val="00E443F8"/>
    <w:rsid w:val="00E44AF7"/>
    <w:rsid w:val="00E46907"/>
    <w:rsid w:val="00E46E91"/>
    <w:rsid w:val="00E476C2"/>
    <w:rsid w:val="00E47D51"/>
    <w:rsid w:val="00E50DD3"/>
    <w:rsid w:val="00E510DF"/>
    <w:rsid w:val="00E5119C"/>
    <w:rsid w:val="00E51828"/>
    <w:rsid w:val="00E52117"/>
    <w:rsid w:val="00E53687"/>
    <w:rsid w:val="00E5389A"/>
    <w:rsid w:val="00E53A5A"/>
    <w:rsid w:val="00E5450C"/>
    <w:rsid w:val="00E54E57"/>
    <w:rsid w:val="00E54EC8"/>
    <w:rsid w:val="00E55152"/>
    <w:rsid w:val="00E559E3"/>
    <w:rsid w:val="00E55BCC"/>
    <w:rsid w:val="00E56EC7"/>
    <w:rsid w:val="00E56F43"/>
    <w:rsid w:val="00E60B7C"/>
    <w:rsid w:val="00E6368A"/>
    <w:rsid w:val="00E64F7E"/>
    <w:rsid w:val="00E6693B"/>
    <w:rsid w:val="00E66AA2"/>
    <w:rsid w:val="00E66C22"/>
    <w:rsid w:val="00E66EFC"/>
    <w:rsid w:val="00E66F57"/>
    <w:rsid w:val="00E67AFD"/>
    <w:rsid w:val="00E70B7B"/>
    <w:rsid w:val="00E70E3C"/>
    <w:rsid w:val="00E715B8"/>
    <w:rsid w:val="00E7187B"/>
    <w:rsid w:val="00E71EAD"/>
    <w:rsid w:val="00E72FEB"/>
    <w:rsid w:val="00E75624"/>
    <w:rsid w:val="00E7597D"/>
    <w:rsid w:val="00E80F84"/>
    <w:rsid w:val="00E81088"/>
    <w:rsid w:val="00E818E0"/>
    <w:rsid w:val="00E81B1F"/>
    <w:rsid w:val="00E82B2B"/>
    <w:rsid w:val="00E83002"/>
    <w:rsid w:val="00E8388E"/>
    <w:rsid w:val="00E83B02"/>
    <w:rsid w:val="00E8403D"/>
    <w:rsid w:val="00E84F72"/>
    <w:rsid w:val="00E84FD4"/>
    <w:rsid w:val="00E85203"/>
    <w:rsid w:val="00E852AD"/>
    <w:rsid w:val="00E85FD1"/>
    <w:rsid w:val="00E86708"/>
    <w:rsid w:val="00E86A7A"/>
    <w:rsid w:val="00E872B0"/>
    <w:rsid w:val="00E87551"/>
    <w:rsid w:val="00E87EF4"/>
    <w:rsid w:val="00E902C8"/>
    <w:rsid w:val="00E91668"/>
    <w:rsid w:val="00E921CE"/>
    <w:rsid w:val="00E92933"/>
    <w:rsid w:val="00E939C4"/>
    <w:rsid w:val="00E9411A"/>
    <w:rsid w:val="00E94FB4"/>
    <w:rsid w:val="00E95233"/>
    <w:rsid w:val="00E95E15"/>
    <w:rsid w:val="00E96CC7"/>
    <w:rsid w:val="00E96E81"/>
    <w:rsid w:val="00E9708D"/>
    <w:rsid w:val="00E971F7"/>
    <w:rsid w:val="00EA0A56"/>
    <w:rsid w:val="00EA1658"/>
    <w:rsid w:val="00EA1FAE"/>
    <w:rsid w:val="00EA2034"/>
    <w:rsid w:val="00EA2238"/>
    <w:rsid w:val="00EA47C9"/>
    <w:rsid w:val="00EA59AD"/>
    <w:rsid w:val="00EA5B0B"/>
    <w:rsid w:val="00EA5C30"/>
    <w:rsid w:val="00EA6BEC"/>
    <w:rsid w:val="00EA6E35"/>
    <w:rsid w:val="00EA7BF7"/>
    <w:rsid w:val="00EB0194"/>
    <w:rsid w:val="00EB05EA"/>
    <w:rsid w:val="00EB0A5B"/>
    <w:rsid w:val="00EB19AA"/>
    <w:rsid w:val="00EB1B26"/>
    <w:rsid w:val="00EB1E70"/>
    <w:rsid w:val="00EB2A6E"/>
    <w:rsid w:val="00EB3129"/>
    <w:rsid w:val="00EB3130"/>
    <w:rsid w:val="00EB3187"/>
    <w:rsid w:val="00EB3DB5"/>
    <w:rsid w:val="00EB40A6"/>
    <w:rsid w:val="00EB464B"/>
    <w:rsid w:val="00EB526A"/>
    <w:rsid w:val="00EB6E9A"/>
    <w:rsid w:val="00EB7237"/>
    <w:rsid w:val="00EB7323"/>
    <w:rsid w:val="00EB7B92"/>
    <w:rsid w:val="00EC010F"/>
    <w:rsid w:val="00EC0B07"/>
    <w:rsid w:val="00EC0CC2"/>
    <w:rsid w:val="00EC12A3"/>
    <w:rsid w:val="00EC1E53"/>
    <w:rsid w:val="00EC2D6E"/>
    <w:rsid w:val="00EC3186"/>
    <w:rsid w:val="00EC35A8"/>
    <w:rsid w:val="00EC35DD"/>
    <w:rsid w:val="00EC3B86"/>
    <w:rsid w:val="00EC3D9C"/>
    <w:rsid w:val="00EC43EC"/>
    <w:rsid w:val="00EC526A"/>
    <w:rsid w:val="00EC5B09"/>
    <w:rsid w:val="00EC5B42"/>
    <w:rsid w:val="00EC6534"/>
    <w:rsid w:val="00EC7061"/>
    <w:rsid w:val="00EC785E"/>
    <w:rsid w:val="00EC7D17"/>
    <w:rsid w:val="00ED08BB"/>
    <w:rsid w:val="00ED0B09"/>
    <w:rsid w:val="00ED14F8"/>
    <w:rsid w:val="00ED3949"/>
    <w:rsid w:val="00ED3BA0"/>
    <w:rsid w:val="00ED3D7D"/>
    <w:rsid w:val="00ED453E"/>
    <w:rsid w:val="00ED489F"/>
    <w:rsid w:val="00ED4A5B"/>
    <w:rsid w:val="00ED5173"/>
    <w:rsid w:val="00ED6F3F"/>
    <w:rsid w:val="00EE02FA"/>
    <w:rsid w:val="00EE0557"/>
    <w:rsid w:val="00EE0630"/>
    <w:rsid w:val="00EE0733"/>
    <w:rsid w:val="00EE1A09"/>
    <w:rsid w:val="00EE2305"/>
    <w:rsid w:val="00EE352A"/>
    <w:rsid w:val="00EE3808"/>
    <w:rsid w:val="00EE3EF6"/>
    <w:rsid w:val="00EE5431"/>
    <w:rsid w:val="00EE65F3"/>
    <w:rsid w:val="00EE6981"/>
    <w:rsid w:val="00EE7442"/>
    <w:rsid w:val="00EE7F4B"/>
    <w:rsid w:val="00EF00CE"/>
    <w:rsid w:val="00EF0ADA"/>
    <w:rsid w:val="00EF0AEF"/>
    <w:rsid w:val="00EF0D5E"/>
    <w:rsid w:val="00EF1F2C"/>
    <w:rsid w:val="00EF3C47"/>
    <w:rsid w:val="00EF5D9E"/>
    <w:rsid w:val="00EF6464"/>
    <w:rsid w:val="00EF79F8"/>
    <w:rsid w:val="00EF7ABE"/>
    <w:rsid w:val="00EF7E57"/>
    <w:rsid w:val="00F00D7B"/>
    <w:rsid w:val="00F00E11"/>
    <w:rsid w:val="00F01A07"/>
    <w:rsid w:val="00F0286D"/>
    <w:rsid w:val="00F0291A"/>
    <w:rsid w:val="00F02973"/>
    <w:rsid w:val="00F02C6D"/>
    <w:rsid w:val="00F02E26"/>
    <w:rsid w:val="00F044F4"/>
    <w:rsid w:val="00F04CA1"/>
    <w:rsid w:val="00F05086"/>
    <w:rsid w:val="00F055DC"/>
    <w:rsid w:val="00F05796"/>
    <w:rsid w:val="00F05FF9"/>
    <w:rsid w:val="00F061D9"/>
    <w:rsid w:val="00F062F1"/>
    <w:rsid w:val="00F06D16"/>
    <w:rsid w:val="00F07C78"/>
    <w:rsid w:val="00F07F53"/>
    <w:rsid w:val="00F110AA"/>
    <w:rsid w:val="00F11731"/>
    <w:rsid w:val="00F12E6A"/>
    <w:rsid w:val="00F13057"/>
    <w:rsid w:val="00F13098"/>
    <w:rsid w:val="00F13A3A"/>
    <w:rsid w:val="00F14AB5"/>
    <w:rsid w:val="00F14AFA"/>
    <w:rsid w:val="00F14D0F"/>
    <w:rsid w:val="00F15870"/>
    <w:rsid w:val="00F16062"/>
    <w:rsid w:val="00F170A3"/>
    <w:rsid w:val="00F174C8"/>
    <w:rsid w:val="00F1791D"/>
    <w:rsid w:val="00F17F47"/>
    <w:rsid w:val="00F2065C"/>
    <w:rsid w:val="00F20E27"/>
    <w:rsid w:val="00F20EA1"/>
    <w:rsid w:val="00F21299"/>
    <w:rsid w:val="00F218AF"/>
    <w:rsid w:val="00F22687"/>
    <w:rsid w:val="00F228F2"/>
    <w:rsid w:val="00F237B9"/>
    <w:rsid w:val="00F23C19"/>
    <w:rsid w:val="00F245C3"/>
    <w:rsid w:val="00F24DE1"/>
    <w:rsid w:val="00F25500"/>
    <w:rsid w:val="00F25C35"/>
    <w:rsid w:val="00F25D3E"/>
    <w:rsid w:val="00F2640C"/>
    <w:rsid w:val="00F2737A"/>
    <w:rsid w:val="00F30CDD"/>
    <w:rsid w:val="00F318BA"/>
    <w:rsid w:val="00F31921"/>
    <w:rsid w:val="00F35C0C"/>
    <w:rsid w:val="00F366A4"/>
    <w:rsid w:val="00F36E38"/>
    <w:rsid w:val="00F37709"/>
    <w:rsid w:val="00F37D3A"/>
    <w:rsid w:val="00F419B3"/>
    <w:rsid w:val="00F424FE"/>
    <w:rsid w:val="00F428FF"/>
    <w:rsid w:val="00F43002"/>
    <w:rsid w:val="00F43244"/>
    <w:rsid w:val="00F43C0F"/>
    <w:rsid w:val="00F44381"/>
    <w:rsid w:val="00F449D2"/>
    <w:rsid w:val="00F44EFD"/>
    <w:rsid w:val="00F45066"/>
    <w:rsid w:val="00F4728A"/>
    <w:rsid w:val="00F4770A"/>
    <w:rsid w:val="00F509BC"/>
    <w:rsid w:val="00F50B5D"/>
    <w:rsid w:val="00F50C48"/>
    <w:rsid w:val="00F52088"/>
    <w:rsid w:val="00F5252C"/>
    <w:rsid w:val="00F52836"/>
    <w:rsid w:val="00F52EA3"/>
    <w:rsid w:val="00F534E0"/>
    <w:rsid w:val="00F542F1"/>
    <w:rsid w:val="00F55175"/>
    <w:rsid w:val="00F55524"/>
    <w:rsid w:val="00F55890"/>
    <w:rsid w:val="00F559C2"/>
    <w:rsid w:val="00F56B4E"/>
    <w:rsid w:val="00F575A3"/>
    <w:rsid w:val="00F577E6"/>
    <w:rsid w:val="00F5790D"/>
    <w:rsid w:val="00F57BA4"/>
    <w:rsid w:val="00F57F49"/>
    <w:rsid w:val="00F602D6"/>
    <w:rsid w:val="00F60BBB"/>
    <w:rsid w:val="00F60D56"/>
    <w:rsid w:val="00F61B65"/>
    <w:rsid w:val="00F6267D"/>
    <w:rsid w:val="00F62906"/>
    <w:rsid w:val="00F62BC9"/>
    <w:rsid w:val="00F62D26"/>
    <w:rsid w:val="00F62DA1"/>
    <w:rsid w:val="00F6309C"/>
    <w:rsid w:val="00F634BA"/>
    <w:rsid w:val="00F650EE"/>
    <w:rsid w:val="00F65136"/>
    <w:rsid w:val="00F655CB"/>
    <w:rsid w:val="00F65999"/>
    <w:rsid w:val="00F70638"/>
    <w:rsid w:val="00F722B9"/>
    <w:rsid w:val="00F72552"/>
    <w:rsid w:val="00F72ADB"/>
    <w:rsid w:val="00F74438"/>
    <w:rsid w:val="00F7508E"/>
    <w:rsid w:val="00F754B7"/>
    <w:rsid w:val="00F756C5"/>
    <w:rsid w:val="00F7599B"/>
    <w:rsid w:val="00F75EA1"/>
    <w:rsid w:val="00F760F8"/>
    <w:rsid w:val="00F7684E"/>
    <w:rsid w:val="00F776E2"/>
    <w:rsid w:val="00F77BF6"/>
    <w:rsid w:val="00F77E47"/>
    <w:rsid w:val="00F80B82"/>
    <w:rsid w:val="00F81163"/>
    <w:rsid w:val="00F82E6E"/>
    <w:rsid w:val="00F832EE"/>
    <w:rsid w:val="00F836C6"/>
    <w:rsid w:val="00F841AD"/>
    <w:rsid w:val="00F85398"/>
    <w:rsid w:val="00F85C7E"/>
    <w:rsid w:val="00F86543"/>
    <w:rsid w:val="00F86553"/>
    <w:rsid w:val="00F90837"/>
    <w:rsid w:val="00F90993"/>
    <w:rsid w:val="00F921BD"/>
    <w:rsid w:val="00F93903"/>
    <w:rsid w:val="00F93957"/>
    <w:rsid w:val="00F9397A"/>
    <w:rsid w:val="00F94401"/>
    <w:rsid w:val="00F94F97"/>
    <w:rsid w:val="00F958FE"/>
    <w:rsid w:val="00F96BFB"/>
    <w:rsid w:val="00FA0FB9"/>
    <w:rsid w:val="00FA1903"/>
    <w:rsid w:val="00FA2F22"/>
    <w:rsid w:val="00FA3561"/>
    <w:rsid w:val="00FA5D5F"/>
    <w:rsid w:val="00FA66D3"/>
    <w:rsid w:val="00FA727E"/>
    <w:rsid w:val="00FA787D"/>
    <w:rsid w:val="00FB00BB"/>
    <w:rsid w:val="00FB0CFF"/>
    <w:rsid w:val="00FB0E2B"/>
    <w:rsid w:val="00FB135B"/>
    <w:rsid w:val="00FB22E0"/>
    <w:rsid w:val="00FB2357"/>
    <w:rsid w:val="00FB33F9"/>
    <w:rsid w:val="00FB342A"/>
    <w:rsid w:val="00FB5066"/>
    <w:rsid w:val="00FB59BF"/>
    <w:rsid w:val="00FB69A0"/>
    <w:rsid w:val="00FB6D51"/>
    <w:rsid w:val="00FC0661"/>
    <w:rsid w:val="00FC0856"/>
    <w:rsid w:val="00FC14AA"/>
    <w:rsid w:val="00FC2132"/>
    <w:rsid w:val="00FC257D"/>
    <w:rsid w:val="00FC26A2"/>
    <w:rsid w:val="00FC2B44"/>
    <w:rsid w:val="00FC3725"/>
    <w:rsid w:val="00FC4C11"/>
    <w:rsid w:val="00FC4CC8"/>
    <w:rsid w:val="00FC4DC6"/>
    <w:rsid w:val="00FC507D"/>
    <w:rsid w:val="00FC535F"/>
    <w:rsid w:val="00FC645A"/>
    <w:rsid w:val="00FC67CC"/>
    <w:rsid w:val="00FD01BD"/>
    <w:rsid w:val="00FD0B0C"/>
    <w:rsid w:val="00FD139E"/>
    <w:rsid w:val="00FD1F09"/>
    <w:rsid w:val="00FD3036"/>
    <w:rsid w:val="00FD44D8"/>
    <w:rsid w:val="00FD4EBE"/>
    <w:rsid w:val="00FD73F3"/>
    <w:rsid w:val="00FD7AA4"/>
    <w:rsid w:val="00FE03BE"/>
    <w:rsid w:val="00FE1FF8"/>
    <w:rsid w:val="00FE35D5"/>
    <w:rsid w:val="00FE4CC0"/>
    <w:rsid w:val="00FE5CAC"/>
    <w:rsid w:val="00FE62C3"/>
    <w:rsid w:val="00FE6E2B"/>
    <w:rsid w:val="00FF008D"/>
    <w:rsid w:val="00FF0330"/>
    <w:rsid w:val="00FF11F0"/>
    <w:rsid w:val="00FF185C"/>
    <w:rsid w:val="00FF1DC1"/>
    <w:rsid w:val="00FF22AF"/>
    <w:rsid w:val="00FF278C"/>
    <w:rsid w:val="00FF27B5"/>
    <w:rsid w:val="00FF452A"/>
    <w:rsid w:val="00FF49CA"/>
    <w:rsid w:val="00FF5552"/>
    <w:rsid w:val="00FF5BF1"/>
    <w:rsid w:val="00FF6B8B"/>
    <w:rsid w:val="00FF7F05"/>
    <w:rsid w:val="01180B1A"/>
    <w:rsid w:val="01556140"/>
    <w:rsid w:val="0169065F"/>
    <w:rsid w:val="019329D2"/>
    <w:rsid w:val="0198245E"/>
    <w:rsid w:val="01A5473C"/>
    <w:rsid w:val="01B56966"/>
    <w:rsid w:val="01B666C0"/>
    <w:rsid w:val="01BB03CB"/>
    <w:rsid w:val="01C12D51"/>
    <w:rsid w:val="01E74868"/>
    <w:rsid w:val="01E74ACC"/>
    <w:rsid w:val="01ED64F3"/>
    <w:rsid w:val="020B061F"/>
    <w:rsid w:val="02173256"/>
    <w:rsid w:val="021A4193"/>
    <w:rsid w:val="021A7F77"/>
    <w:rsid w:val="025B46E8"/>
    <w:rsid w:val="025E5570"/>
    <w:rsid w:val="0261487E"/>
    <w:rsid w:val="0262456B"/>
    <w:rsid w:val="026B140F"/>
    <w:rsid w:val="026C1AB2"/>
    <w:rsid w:val="0274471F"/>
    <w:rsid w:val="02782414"/>
    <w:rsid w:val="027C11BE"/>
    <w:rsid w:val="028D7189"/>
    <w:rsid w:val="028E4F47"/>
    <w:rsid w:val="0296725B"/>
    <w:rsid w:val="02967E10"/>
    <w:rsid w:val="02A841C4"/>
    <w:rsid w:val="02AC0EC8"/>
    <w:rsid w:val="02BC09DD"/>
    <w:rsid w:val="02CB4D2D"/>
    <w:rsid w:val="02CC550B"/>
    <w:rsid w:val="02D07F79"/>
    <w:rsid w:val="02D97A2B"/>
    <w:rsid w:val="02E307CF"/>
    <w:rsid w:val="02E62FD5"/>
    <w:rsid w:val="02F8486D"/>
    <w:rsid w:val="03095E15"/>
    <w:rsid w:val="031711B5"/>
    <w:rsid w:val="03175ED5"/>
    <w:rsid w:val="03222CA7"/>
    <w:rsid w:val="032E4A1C"/>
    <w:rsid w:val="03353D48"/>
    <w:rsid w:val="03597263"/>
    <w:rsid w:val="0361265C"/>
    <w:rsid w:val="03681C3C"/>
    <w:rsid w:val="03A5079A"/>
    <w:rsid w:val="03BD58D6"/>
    <w:rsid w:val="03E06FD0"/>
    <w:rsid w:val="03E42709"/>
    <w:rsid w:val="0403735E"/>
    <w:rsid w:val="040D583E"/>
    <w:rsid w:val="0416567B"/>
    <w:rsid w:val="044E593C"/>
    <w:rsid w:val="045142A5"/>
    <w:rsid w:val="04663D7B"/>
    <w:rsid w:val="046B2354"/>
    <w:rsid w:val="04714B20"/>
    <w:rsid w:val="047B0E94"/>
    <w:rsid w:val="047E62B8"/>
    <w:rsid w:val="04893C18"/>
    <w:rsid w:val="048E6DA9"/>
    <w:rsid w:val="048F0AFE"/>
    <w:rsid w:val="049671D5"/>
    <w:rsid w:val="04A32F8A"/>
    <w:rsid w:val="04BB0796"/>
    <w:rsid w:val="04C055FE"/>
    <w:rsid w:val="04C9670A"/>
    <w:rsid w:val="04D27CEA"/>
    <w:rsid w:val="04DA1708"/>
    <w:rsid w:val="04DA3982"/>
    <w:rsid w:val="04DD72E3"/>
    <w:rsid w:val="04F03879"/>
    <w:rsid w:val="04F82910"/>
    <w:rsid w:val="04FB3A78"/>
    <w:rsid w:val="04FC2E83"/>
    <w:rsid w:val="05012DD7"/>
    <w:rsid w:val="05017B46"/>
    <w:rsid w:val="050339C8"/>
    <w:rsid w:val="050D22F6"/>
    <w:rsid w:val="052B2732"/>
    <w:rsid w:val="05386477"/>
    <w:rsid w:val="05400010"/>
    <w:rsid w:val="0553092A"/>
    <w:rsid w:val="056463C7"/>
    <w:rsid w:val="05735DA4"/>
    <w:rsid w:val="057D5D0B"/>
    <w:rsid w:val="05826D9A"/>
    <w:rsid w:val="05B71BE0"/>
    <w:rsid w:val="05B739CA"/>
    <w:rsid w:val="05B85D71"/>
    <w:rsid w:val="05D55D5E"/>
    <w:rsid w:val="05E87F02"/>
    <w:rsid w:val="05EA7DDC"/>
    <w:rsid w:val="06027784"/>
    <w:rsid w:val="06164BD3"/>
    <w:rsid w:val="061D795C"/>
    <w:rsid w:val="061F1504"/>
    <w:rsid w:val="062B5C75"/>
    <w:rsid w:val="062C6DDC"/>
    <w:rsid w:val="06440E5A"/>
    <w:rsid w:val="064C13A1"/>
    <w:rsid w:val="065633EB"/>
    <w:rsid w:val="065C762A"/>
    <w:rsid w:val="066A4214"/>
    <w:rsid w:val="0670142E"/>
    <w:rsid w:val="06800158"/>
    <w:rsid w:val="06AB3BDA"/>
    <w:rsid w:val="06BF627D"/>
    <w:rsid w:val="06BF6A5D"/>
    <w:rsid w:val="06D61587"/>
    <w:rsid w:val="06DE1539"/>
    <w:rsid w:val="06F50A69"/>
    <w:rsid w:val="072C54E4"/>
    <w:rsid w:val="0731103E"/>
    <w:rsid w:val="07481042"/>
    <w:rsid w:val="076369A2"/>
    <w:rsid w:val="07657C85"/>
    <w:rsid w:val="07753F60"/>
    <w:rsid w:val="07844763"/>
    <w:rsid w:val="07872CE7"/>
    <w:rsid w:val="07972A1D"/>
    <w:rsid w:val="079926E5"/>
    <w:rsid w:val="079B478D"/>
    <w:rsid w:val="07A4385F"/>
    <w:rsid w:val="07B943D8"/>
    <w:rsid w:val="07BD5DBF"/>
    <w:rsid w:val="07BF77DD"/>
    <w:rsid w:val="07C5115E"/>
    <w:rsid w:val="07CB25FF"/>
    <w:rsid w:val="07CD1207"/>
    <w:rsid w:val="07CF35B6"/>
    <w:rsid w:val="07E44257"/>
    <w:rsid w:val="07EF468E"/>
    <w:rsid w:val="07F87DE0"/>
    <w:rsid w:val="07FF4D31"/>
    <w:rsid w:val="080D1E8A"/>
    <w:rsid w:val="080E608B"/>
    <w:rsid w:val="081756DA"/>
    <w:rsid w:val="082B1C77"/>
    <w:rsid w:val="082F3E47"/>
    <w:rsid w:val="0835226D"/>
    <w:rsid w:val="083849AF"/>
    <w:rsid w:val="086D796B"/>
    <w:rsid w:val="08C03565"/>
    <w:rsid w:val="08C33C87"/>
    <w:rsid w:val="08DE579F"/>
    <w:rsid w:val="09077801"/>
    <w:rsid w:val="09106EFC"/>
    <w:rsid w:val="096F45D4"/>
    <w:rsid w:val="09755D2F"/>
    <w:rsid w:val="098848E6"/>
    <w:rsid w:val="09B43D70"/>
    <w:rsid w:val="09DB0259"/>
    <w:rsid w:val="09E342D1"/>
    <w:rsid w:val="09F76469"/>
    <w:rsid w:val="0A3048AC"/>
    <w:rsid w:val="0A393DA8"/>
    <w:rsid w:val="0A461F3C"/>
    <w:rsid w:val="0A554696"/>
    <w:rsid w:val="0A5825D5"/>
    <w:rsid w:val="0A6177E7"/>
    <w:rsid w:val="0A7F6606"/>
    <w:rsid w:val="0A84084D"/>
    <w:rsid w:val="0A8852CF"/>
    <w:rsid w:val="0A8D7B8D"/>
    <w:rsid w:val="0A964BFA"/>
    <w:rsid w:val="0A972924"/>
    <w:rsid w:val="0AB7256F"/>
    <w:rsid w:val="0ABD1A37"/>
    <w:rsid w:val="0ACD1CE1"/>
    <w:rsid w:val="0AD02C23"/>
    <w:rsid w:val="0AE018CB"/>
    <w:rsid w:val="0AF77769"/>
    <w:rsid w:val="0B1622F3"/>
    <w:rsid w:val="0B196461"/>
    <w:rsid w:val="0B2F54E8"/>
    <w:rsid w:val="0B431EA3"/>
    <w:rsid w:val="0B4D33F1"/>
    <w:rsid w:val="0B790E11"/>
    <w:rsid w:val="0B8056D9"/>
    <w:rsid w:val="0B934390"/>
    <w:rsid w:val="0BEE2E88"/>
    <w:rsid w:val="0BF3024D"/>
    <w:rsid w:val="0BF5457B"/>
    <w:rsid w:val="0C006D79"/>
    <w:rsid w:val="0C007A5B"/>
    <w:rsid w:val="0C0D4688"/>
    <w:rsid w:val="0C137037"/>
    <w:rsid w:val="0C351BB7"/>
    <w:rsid w:val="0C375DD9"/>
    <w:rsid w:val="0C3F2D45"/>
    <w:rsid w:val="0C48085D"/>
    <w:rsid w:val="0C700F92"/>
    <w:rsid w:val="0C946A5E"/>
    <w:rsid w:val="0C9A2B2D"/>
    <w:rsid w:val="0C9E1102"/>
    <w:rsid w:val="0CB420DC"/>
    <w:rsid w:val="0CCA04AF"/>
    <w:rsid w:val="0CD429D0"/>
    <w:rsid w:val="0CD650A1"/>
    <w:rsid w:val="0CD86C08"/>
    <w:rsid w:val="0CE25D75"/>
    <w:rsid w:val="0CFA155A"/>
    <w:rsid w:val="0D004C93"/>
    <w:rsid w:val="0D0526BA"/>
    <w:rsid w:val="0D0874B9"/>
    <w:rsid w:val="0D3C60E0"/>
    <w:rsid w:val="0D57274B"/>
    <w:rsid w:val="0D650C37"/>
    <w:rsid w:val="0DA3593D"/>
    <w:rsid w:val="0DB732EF"/>
    <w:rsid w:val="0DBC4644"/>
    <w:rsid w:val="0DBC47C6"/>
    <w:rsid w:val="0DC108C7"/>
    <w:rsid w:val="0DC4533C"/>
    <w:rsid w:val="0DE7757C"/>
    <w:rsid w:val="0E00661D"/>
    <w:rsid w:val="0E2523D3"/>
    <w:rsid w:val="0E291CFB"/>
    <w:rsid w:val="0E2948E1"/>
    <w:rsid w:val="0E2A1FC8"/>
    <w:rsid w:val="0E357A8C"/>
    <w:rsid w:val="0E4077EF"/>
    <w:rsid w:val="0E4756E1"/>
    <w:rsid w:val="0E521483"/>
    <w:rsid w:val="0E5600F2"/>
    <w:rsid w:val="0E613F23"/>
    <w:rsid w:val="0E6A22A4"/>
    <w:rsid w:val="0E72396F"/>
    <w:rsid w:val="0E996911"/>
    <w:rsid w:val="0E9F3F9C"/>
    <w:rsid w:val="0EA01FE8"/>
    <w:rsid w:val="0EC87299"/>
    <w:rsid w:val="0ECA62D4"/>
    <w:rsid w:val="0ECC307F"/>
    <w:rsid w:val="0EDF7FC4"/>
    <w:rsid w:val="0EE42B24"/>
    <w:rsid w:val="0EE6399A"/>
    <w:rsid w:val="0EF172EB"/>
    <w:rsid w:val="0F132CE6"/>
    <w:rsid w:val="0F427144"/>
    <w:rsid w:val="0F4B635C"/>
    <w:rsid w:val="0F546367"/>
    <w:rsid w:val="0F616F92"/>
    <w:rsid w:val="0F73174D"/>
    <w:rsid w:val="0F772EAA"/>
    <w:rsid w:val="0F784FB5"/>
    <w:rsid w:val="0F785333"/>
    <w:rsid w:val="0F8676D2"/>
    <w:rsid w:val="0FA6361E"/>
    <w:rsid w:val="0FC4644C"/>
    <w:rsid w:val="0FCB35C3"/>
    <w:rsid w:val="0FD22917"/>
    <w:rsid w:val="0FF137B6"/>
    <w:rsid w:val="0FF30760"/>
    <w:rsid w:val="0FF94B4B"/>
    <w:rsid w:val="100A79D5"/>
    <w:rsid w:val="101A223A"/>
    <w:rsid w:val="10201FC1"/>
    <w:rsid w:val="1020640F"/>
    <w:rsid w:val="10482F30"/>
    <w:rsid w:val="105E5C41"/>
    <w:rsid w:val="10631B5B"/>
    <w:rsid w:val="106C1138"/>
    <w:rsid w:val="106E3076"/>
    <w:rsid w:val="10735E28"/>
    <w:rsid w:val="1088747A"/>
    <w:rsid w:val="10953815"/>
    <w:rsid w:val="109A0F5B"/>
    <w:rsid w:val="10A45194"/>
    <w:rsid w:val="10BC1B14"/>
    <w:rsid w:val="10BF27EB"/>
    <w:rsid w:val="10CF50A9"/>
    <w:rsid w:val="10EC519C"/>
    <w:rsid w:val="10EF4030"/>
    <w:rsid w:val="10F1536D"/>
    <w:rsid w:val="10F27F80"/>
    <w:rsid w:val="10FF652D"/>
    <w:rsid w:val="11050D97"/>
    <w:rsid w:val="11142D86"/>
    <w:rsid w:val="111B3E01"/>
    <w:rsid w:val="11213EA8"/>
    <w:rsid w:val="113D1CA3"/>
    <w:rsid w:val="11432835"/>
    <w:rsid w:val="115348AA"/>
    <w:rsid w:val="11671785"/>
    <w:rsid w:val="116C1205"/>
    <w:rsid w:val="116D3ADA"/>
    <w:rsid w:val="11727F65"/>
    <w:rsid w:val="11826C6A"/>
    <w:rsid w:val="119065D9"/>
    <w:rsid w:val="11AE6A79"/>
    <w:rsid w:val="11D61CAA"/>
    <w:rsid w:val="11E7721B"/>
    <w:rsid w:val="11E9506F"/>
    <w:rsid w:val="11EE1F77"/>
    <w:rsid w:val="12072EA1"/>
    <w:rsid w:val="1207412A"/>
    <w:rsid w:val="121120CE"/>
    <w:rsid w:val="121D1B58"/>
    <w:rsid w:val="12382EB4"/>
    <w:rsid w:val="123A52BC"/>
    <w:rsid w:val="124758C0"/>
    <w:rsid w:val="126959DD"/>
    <w:rsid w:val="129F4623"/>
    <w:rsid w:val="12B96D41"/>
    <w:rsid w:val="12BF4080"/>
    <w:rsid w:val="12D35128"/>
    <w:rsid w:val="12E10D47"/>
    <w:rsid w:val="12FF3991"/>
    <w:rsid w:val="13066723"/>
    <w:rsid w:val="130E4375"/>
    <w:rsid w:val="130F3E82"/>
    <w:rsid w:val="131B272D"/>
    <w:rsid w:val="1322397E"/>
    <w:rsid w:val="1338365F"/>
    <w:rsid w:val="133A1F99"/>
    <w:rsid w:val="134F24D1"/>
    <w:rsid w:val="135F2F97"/>
    <w:rsid w:val="13600CB3"/>
    <w:rsid w:val="138F10CE"/>
    <w:rsid w:val="1392675C"/>
    <w:rsid w:val="139532F9"/>
    <w:rsid w:val="139E2427"/>
    <w:rsid w:val="13BB2C32"/>
    <w:rsid w:val="13C36F49"/>
    <w:rsid w:val="13CB385B"/>
    <w:rsid w:val="13D15807"/>
    <w:rsid w:val="13D853DB"/>
    <w:rsid w:val="13E6582D"/>
    <w:rsid w:val="13F145D4"/>
    <w:rsid w:val="1401565F"/>
    <w:rsid w:val="141254B3"/>
    <w:rsid w:val="14202E73"/>
    <w:rsid w:val="142D012C"/>
    <w:rsid w:val="14303889"/>
    <w:rsid w:val="1431010F"/>
    <w:rsid w:val="14463D5E"/>
    <w:rsid w:val="145F062C"/>
    <w:rsid w:val="14662664"/>
    <w:rsid w:val="147667E7"/>
    <w:rsid w:val="148F08B2"/>
    <w:rsid w:val="14A5590C"/>
    <w:rsid w:val="14AF64EE"/>
    <w:rsid w:val="14B8795C"/>
    <w:rsid w:val="14B97C4F"/>
    <w:rsid w:val="14C939D8"/>
    <w:rsid w:val="14E723A1"/>
    <w:rsid w:val="14FA3656"/>
    <w:rsid w:val="14FB4178"/>
    <w:rsid w:val="14FE2CE1"/>
    <w:rsid w:val="15021A2E"/>
    <w:rsid w:val="150E47F9"/>
    <w:rsid w:val="150F5D5C"/>
    <w:rsid w:val="154C6ADD"/>
    <w:rsid w:val="154F0BB2"/>
    <w:rsid w:val="15621433"/>
    <w:rsid w:val="15726B7F"/>
    <w:rsid w:val="15755E45"/>
    <w:rsid w:val="15833954"/>
    <w:rsid w:val="15842905"/>
    <w:rsid w:val="15892B60"/>
    <w:rsid w:val="15C02C3D"/>
    <w:rsid w:val="15D475FF"/>
    <w:rsid w:val="15EA273C"/>
    <w:rsid w:val="15F1746A"/>
    <w:rsid w:val="15FC044E"/>
    <w:rsid w:val="1626278A"/>
    <w:rsid w:val="162C6439"/>
    <w:rsid w:val="165231C2"/>
    <w:rsid w:val="166D5C91"/>
    <w:rsid w:val="166F6CB3"/>
    <w:rsid w:val="16730B55"/>
    <w:rsid w:val="16787AFE"/>
    <w:rsid w:val="168D5CC1"/>
    <w:rsid w:val="168E50BE"/>
    <w:rsid w:val="16C3745D"/>
    <w:rsid w:val="16C70555"/>
    <w:rsid w:val="16D43D9D"/>
    <w:rsid w:val="16DD3690"/>
    <w:rsid w:val="16DE41CA"/>
    <w:rsid w:val="16E00C15"/>
    <w:rsid w:val="16F71208"/>
    <w:rsid w:val="16FB32A6"/>
    <w:rsid w:val="17017F86"/>
    <w:rsid w:val="170F7779"/>
    <w:rsid w:val="1720357C"/>
    <w:rsid w:val="17252504"/>
    <w:rsid w:val="17292E3E"/>
    <w:rsid w:val="174A444F"/>
    <w:rsid w:val="17610B4F"/>
    <w:rsid w:val="17664374"/>
    <w:rsid w:val="176A46BD"/>
    <w:rsid w:val="176C6C24"/>
    <w:rsid w:val="176E11C2"/>
    <w:rsid w:val="17771445"/>
    <w:rsid w:val="178C2F23"/>
    <w:rsid w:val="17920BFD"/>
    <w:rsid w:val="17A0154D"/>
    <w:rsid w:val="17B35A66"/>
    <w:rsid w:val="17B55537"/>
    <w:rsid w:val="17C07C59"/>
    <w:rsid w:val="17D45763"/>
    <w:rsid w:val="17E32729"/>
    <w:rsid w:val="1804162A"/>
    <w:rsid w:val="18160E17"/>
    <w:rsid w:val="18187335"/>
    <w:rsid w:val="1833394E"/>
    <w:rsid w:val="183B2650"/>
    <w:rsid w:val="185A48ED"/>
    <w:rsid w:val="185D7391"/>
    <w:rsid w:val="186324A0"/>
    <w:rsid w:val="18633E47"/>
    <w:rsid w:val="1883086C"/>
    <w:rsid w:val="18876269"/>
    <w:rsid w:val="188A3673"/>
    <w:rsid w:val="18953D2D"/>
    <w:rsid w:val="189A181B"/>
    <w:rsid w:val="189E7942"/>
    <w:rsid w:val="18BC23B6"/>
    <w:rsid w:val="18BF1EA7"/>
    <w:rsid w:val="18C46704"/>
    <w:rsid w:val="18D55226"/>
    <w:rsid w:val="18DB577D"/>
    <w:rsid w:val="18DC3664"/>
    <w:rsid w:val="18E731C8"/>
    <w:rsid w:val="18FB24C5"/>
    <w:rsid w:val="190653E0"/>
    <w:rsid w:val="191B6E9B"/>
    <w:rsid w:val="19496DA2"/>
    <w:rsid w:val="195F6442"/>
    <w:rsid w:val="196547FC"/>
    <w:rsid w:val="19813589"/>
    <w:rsid w:val="19B23C2F"/>
    <w:rsid w:val="19B83F22"/>
    <w:rsid w:val="19C867C9"/>
    <w:rsid w:val="19EE6437"/>
    <w:rsid w:val="19EF37ED"/>
    <w:rsid w:val="1A0C111B"/>
    <w:rsid w:val="1A200C53"/>
    <w:rsid w:val="1A46653A"/>
    <w:rsid w:val="1A6356AC"/>
    <w:rsid w:val="1A7F5449"/>
    <w:rsid w:val="1A830A51"/>
    <w:rsid w:val="1A831654"/>
    <w:rsid w:val="1A8B6100"/>
    <w:rsid w:val="1A8C739D"/>
    <w:rsid w:val="1A934634"/>
    <w:rsid w:val="1AB25834"/>
    <w:rsid w:val="1ABD238E"/>
    <w:rsid w:val="1ABF618E"/>
    <w:rsid w:val="1AC57BFC"/>
    <w:rsid w:val="1ACD710F"/>
    <w:rsid w:val="1AFC2F3E"/>
    <w:rsid w:val="1B0032DD"/>
    <w:rsid w:val="1B023D73"/>
    <w:rsid w:val="1B265D91"/>
    <w:rsid w:val="1B294970"/>
    <w:rsid w:val="1B2D7862"/>
    <w:rsid w:val="1B2E2157"/>
    <w:rsid w:val="1B3C1E31"/>
    <w:rsid w:val="1B452A3E"/>
    <w:rsid w:val="1B497116"/>
    <w:rsid w:val="1B515CBC"/>
    <w:rsid w:val="1B5D1240"/>
    <w:rsid w:val="1B650C3A"/>
    <w:rsid w:val="1B735669"/>
    <w:rsid w:val="1B855499"/>
    <w:rsid w:val="1BC91626"/>
    <w:rsid w:val="1BF64A6B"/>
    <w:rsid w:val="1BFC2ACA"/>
    <w:rsid w:val="1BFF50A7"/>
    <w:rsid w:val="1C3A41E2"/>
    <w:rsid w:val="1C3C3C95"/>
    <w:rsid w:val="1C450A26"/>
    <w:rsid w:val="1C535CAF"/>
    <w:rsid w:val="1C6335E7"/>
    <w:rsid w:val="1C785109"/>
    <w:rsid w:val="1C970FD8"/>
    <w:rsid w:val="1CAA5F78"/>
    <w:rsid w:val="1CCE7826"/>
    <w:rsid w:val="1CE47F22"/>
    <w:rsid w:val="1CE75D1E"/>
    <w:rsid w:val="1D017037"/>
    <w:rsid w:val="1D116AB0"/>
    <w:rsid w:val="1D1A42B2"/>
    <w:rsid w:val="1D31745E"/>
    <w:rsid w:val="1D3535E0"/>
    <w:rsid w:val="1D387F66"/>
    <w:rsid w:val="1D762E16"/>
    <w:rsid w:val="1D7E6160"/>
    <w:rsid w:val="1D9219AE"/>
    <w:rsid w:val="1DB631DA"/>
    <w:rsid w:val="1DC351FD"/>
    <w:rsid w:val="1DC77778"/>
    <w:rsid w:val="1DD03214"/>
    <w:rsid w:val="1DD16643"/>
    <w:rsid w:val="1DD84F0B"/>
    <w:rsid w:val="1DE27A9B"/>
    <w:rsid w:val="1DE3780C"/>
    <w:rsid w:val="1DE95F0B"/>
    <w:rsid w:val="1DF9733C"/>
    <w:rsid w:val="1E014285"/>
    <w:rsid w:val="1E022E1F"/>
    <w:rsid w:val="1E20277C"/>
    <w:rsid w:val="1E3625DC"/>
    <w:rsid w:val="1E5033D7"/>
    <w:rsid w:val="1E5D6DE0"/>
    <w:rsid w:val="1E982F7E"/>
    <w:rsid w:val="1EA54846"/>
    <w:rsid w:val="1EB66BE5"/>
    <w:rsid w:val="1EC76A61"/>
    <w:rsid w:val="1ED14EAE"/>
    <w:rsid w:val="1ED327CC"/>
    <w:rsid w:val="1EF32FC4"/>
    <w:rsid w:val="1F070CE6"/>
    <w:rsid w:val="1F212D73"/>
    <w:rsid w:val="1F374741"/>
    <w:rsid w:val="1F443440"/>
    <w:rsid w:val="1F4B4B5D"/>
    <w:rsid w:val="1F4F53ED"/>
    <w:rsid w:val="1F700094"/>
    <w:rsid w:val="1F7C73E9"/>
    <w:rsid w:val="1F7E1486"/>
    <w:rsid w:val="1FA9789A"/>
    <w:rsid w:val="1FB93F0C"/>
    <w:rsid w:val="1FC508AF"/>
    <w:rsid w:val="1FCE1187"/>
    <w:rsid w:val="1FCE34FB"/>
    <w:rsid w:val="1FDB49E7"/>
    <w:rsid w:val="1FF43752"/>
    <w:rsid w:val="1FF55B03"/>
    <w:rsid w:val="20201F0B"/>
    <w:rsid w:val="202C579C"/>
    <w:rsid w:val="20340A84"/>
    <w:rsid w:val="204125F3"/>
    <w:rsid w:val="2050481D"/>
    <w:rsid w:val="20B24861"/>
    <w:rsid w:val="20C07CFC"/>
    <w:rsid w:val="20DB0467"/>
    <w:rsid w:val="21427C63"/>
    <w:rsid w:val="21476759"/>
    <w:rsid w:val="21577F8C"/>
    <w:rsid w:val="217030B5"/>
    <w:rsid w:val="218B0B78"/>
    <w:rsid w:val="219927A2"/>
    <w:rsid w:val="219A172E"/>
    <w:rsid w:val="21B16030"/>
    <w:rsid w:val="21C43E14"/>
    <w:rsid w:val="221973C3"/>
    <w:rsid w:val="2220168E"/>
    <w:rsid w:val="222A51CD"/>
    <w:rsid w:val="2241662B"/>
    <w:rsid w:val="22703FCD"/>
    <w:rsid w:val="227D5948"/>
    <w:rsid w:val="228E7A3D"/>
    <w:rsid w:val="22A400DB"/>
    <w:rsid w:val="22C10357"/>
    <w:rsid w:val="22CD3CFA"/>
    <w:rsid w:val="22CF23D8"/>
    <w:rsid w:val="22D879BD"/>
    <w:rsid w:val="22E33E95"/>
    <w:rsid w:val="22F5017B"/>
    <w:rsid w:val="23015402"/>
    <w:rsid w:val="23293597"/>
    <w:rsid w:val="233F7861"/>
    <w:rsid w:val="23404877"/>
    <w:rsid w:val="23602485"/>
    <w:rsid w:val="23AE768F"/>
    <w:rsid w:val="23B2552B"/>
    <w:rsid w:val="23B871F4"/>
    <w:rsid w:val="23CE7D4E"/>
    <w:rsid w:val="23DA2A5C"/>
    <w:rsid w:val="23E15A7C"/>
    <w:rsid w:val="23F3612C"/>
    <w:rsid w:val="23F94C40"/>
    <w:rsid w:val="24381B37"/>
    <w:rsid w:val="243F44EB"/>
    <w:rsid w:val="244E0ACE"/>
    <w:rsid w:val="24502F21"/>
    <w:rsid w:val="24596409"/>
    <w:rsid w:val="246E68C2"/>
    <w:rsid w:val="247A6233"/>
    <w:rsid w:val="248A0A3D"/>
    <w:rsid w:val="2492158E"/>
    <w:rsid w:val="249C4CCC"/>
    <w:rsid w:val="24B44534"/>
    <w:rsid w:val="24C72DB9"/>
    <w:rsid w:val="24D64800"/>
    <w:rsid w:val="24ED238C"/>
    <w:rsid w:val="24F82DC0"/>
    <w:rsid w:val="25021151"/>
    <w:rsid w:val="25102BF1"/>
    <w:rsid w:val="253F4153"/>
    <w:rsid w:val="25621593"/>
    <w:rsid w:val="256967EE"/>
    <w:rsid w:val="256B41C7"/>
    <w:rsid w:val="257E11FC"/>
    <w:rsid w:val="258153D6"/>
    <w:rsid w:val="25876256"/>
    <w:rsid w:val="258B7976"/>
    <w:rsid w:val="25B013C5"/>
    <w:rsid w:val="25BC6EFF"/>
    <w:rsid w:val="25CA498C"/>
    <w:rsid w:val="25CD6B14"/>
    <w:rsid w:val="25D5758C"/>
    <w:rsid w:val="25E2163A"/>
    <w:rsid w:val="26020DC2"/>
    <w:rsid w:val="260A701A"/>
    <w:rsid w:val="260D2A37"/>
    <w:rsid w:val="26127B0A"/>
    <w:rsid w:val="261C01B1"/>
    <w:rsid w:val="26201B2D"/>
    <w:rsid w:val="262D6C65"/>
    <w:rsid w:val="26390EE6"/>
    <w:rsid w:val="263C0693"/>
    <w:rsid w:val="26431D89"/>
    <w:rsid w:val="264439EB"/>
    <w:rsid w:val="264C012F"/>
    <w:rsid w:val="265327A3"/>
    <w:rsid w:val="26541209"/>
    <w:rsid w:val="26550D4A"/>
    <w:rsid w:val="26695602"/>
    <w:rsid w:val="266A13BF"/>
    <w:rsid w:val="267607C5"/>
    <w:rsid w:val="267765D8"/>
    <w:rsid w:val="26795443"/>
    <w:rsid w:val="26883DEE"/>
    <w:rsid w:val="268A7862"/>
    <w:rsid w:val="268E0511"/>
    <w:rsid w:val="2695048E"/>
    <w:rsid w:val="269E5056"/>
    <w:rsid w:val="26A762E6"/>
    <w:rsid w:val="26D347FA"/>
    <w:rsid w:val="26DB5CDF"/>
    <w:rsid w:val="26E20FC4"/>
    <w:rsid w:val="26E764DF"/>
    <w:rsid w:val="27017F84"/>
    <w:rsid w:val="2704281C"/>
    <w:rsid w:val="270C05A6"/>
    <w:rsid w:val="27176EF2"/>
    <w:rsid w:val="27190D17"/>
    <w:rsid w:val="273B094A"/>
    <w:rsid w:val="275E6C69"/>
    <w:rsid w:val="276533BD"/>
    <w:rsid w:val="276E5B22"/>
    <w:rsid w:val="27725103"/>
    <w:rsid w:val="277F2F2D"/>
    <w:rsid w:val="279F5F01"/>
    <w:rsid w:val="27AB00D3"/>
    <w:rsid w:val="27AE1C11"/>
    <w:rsid w:val="27B506FD"/>
    <w:rsid w:val="27B76B3D"/>
    <w:rsid w:val="27B86B31"/>
    <w:rsid w:val="27C55588"/>
    <w:rsid w:val="27C85DDF"/>
    <w:rsid w:val="27DB73A6"/>
    <w:rsid w:val="27DD7769"/>
    <w:rsid w:val="28072FE7"/>
    <w:rsid w:val="281A0EA7"/>
    <w:rsid w:val="281D483C"/>
    <w:rsid w:val="28223631"/>
    <w:rsid w:val="28261F89"/>
    <w:rsid w:val="2828367B"/>
    <w:rsid w:val="28290077"/>
    <w:rsid w:val="284C2F7F"/>
    <w:rsid w:val="28634B07"/>
    <w:rsid w:val="286819AC"/>
    <w:rsid w:val="287D5D79"/>
    <w:rsid w:val="28896A8E"/>
    <w:rsid w:val="289A4D5E"/>
    <w:rsid w:val="28A64D85"/>
    <w:rsid w:val="28A7096E"/>
    <w:rsid w:val="28B27397"/>
    <w:rsid w:val="28BC58E0"/>
    <w:rsid w:val="28C34CB9"/>
    <w:rsid w:val="28D0768F"/>
    <w:rsid w:val="28D85424"/>
    <w:rsid w:val="28EE1927"/>
    <w:rsid w:val="28F70CFA"/>
    <w:rsid w:val="28F96F63"/>
    <w:rsid w:val="291677C4"/>
    <w:rsid w:val="29361D11"/>
    <w:rsid w:val="2937372F"/>
    <w:rsid w:val="298E56A9"/>
    <w:rsid w:val="299B69F4"/>
    <w:rsid w:val="29AF5C11"/>
    <w:rsid w:val="29B13F8D"/>
    <w:rsid w:val="29B9651E"/>
    <w:rsid w:val="29BA649E"/>
    <w:rsid w:val="29BF36A5"/>
    <w:rsid w:val="29C41D6F"/>
    <w:rsid w:val="29DD03DE"/>
    <w:rsid w:val="29DD54B5"/>
    <w:rsid w:val="29E6568D"/>
    <w:rsid w:val="29EB1CD1"/>
    <w:rsid w:val="29F73B17"/>
    <w:rsid w:val="29FC7C4B"/>
    <w:rsid w:val="2A020879"/>
    <w:rsid w:val="2A0F04BE"/>
    <w:rsid w:val="2A0F2939"/>
    <w:rsid w:val="2A160998"/>
    <w:rsid w:val="2A281B58"/>
    <w:rsid w:val="2A302E0A"/>
    <w:rsid w:val="2A3E5D4F"/>
    <w:rsid w:val="2A476437"/>
    <w:rsid w:val="2A707723"/>
    <w:rsid w:val="2A871EA7"/>
    <w:rsid w:val="2AE01862"/>
    <w:rsid w:val="2B033641"/>
    <w:rsid w:val="2B040C40"/>
    <w:rsid w:val="2B085C15"/>
    <w:rsid w:val="2B1C3B49"/>
    <w:rsid w:val="2B425A6E"/>
    <w:rsid w:val="2B58796E"/>
    <w:rsid w:val="2B7F7BDA"/>
    <w:rsid w:val="2B8A0E4C"/>
    <w:rsid w:val="2B8C1B11"/>
    <w:rsid w:val="2B9C0A68"/>
    <w:rsid w:val="2BA61A1D"/>
    <w:rsid w:val="2BA867C7"/>
    <w:rsid w:val="2BAC5628"/>
    <w:rsid w:val="2BB55A35"/>
    <w:rsid w:val="2BBA7A9E"/>
    <w:rsid w:val="2BBD0B4F"/>
    <w:rsid w:val="2BBE1B4A"/>
    <w:rsid w:val="2BCB74D6"/>
    <w:rsid w:val="2BCF3C8F"/>
    <w:rsid w:val="2BD14A92"/>
    <w:rsid w:val="2BD60582"/>
    <w:rsid w:val="2BD97E7D"/>
    <w:rsid w:val="2BDB0A78"/>
    <w:rsid w:val="2BF300C8"/>
    <w:rsid w:val="2C0171DD"/>
    <w:rsid w:val="2C146A11"/>
    <w:rsid w:val="2C452415"/>
    <w:rsid w:val="2C487536"/>
    <w:rsid w:val="2C4A2442"/>
    <w:rsid w:val="2C4C6272"/>
    <w:rsid w:val="2C4F1936"/>
    <w:rsid w:val="2C534B72"/>
    <w:rsid w:val="2C584364"/>
    <w:rsid w:val="2C6369EB"/>
    <w:rsid w:val="2C722240"/>
    <w:rsid w:val="2C786664"/>
    <w:rsid w:val="2C7D3493"/>
    <w:rsid w:val="2C815051"/>
    <w:rsid w:val="2C8213ED"/>
    <w:rsid w:val="2C8661BB"/>
    <w:rsid w:val="2C957320"/>
    <w:rsid w:val="2CB35738"/>
    <w:rsid w:val="2CB5323B"/>
    <w:rsid w:val="2CD43500"/>
    <w:rsid w:val="2CD61F47"/>
    <w:rsid w:val="2CE55A9A"/>
    <w:rsid w:val="2D0C576E"/>
    <w:rsid w:val="2D1B5BD1"/>
    <w:rsid w:val="2D1E3DE7"/>
    <w:rsid w:val="2D24719C"/>
    <w:rsid w:val="2D3D6372"/>
    <w:rsid w:val="2D40315E"/>
    <w:rsid w:val="2D793DE8"/>
    <w:rsid w:val="2D8A43D9"/>
    <w:rsid w:val="2D9670EE"/>
    <w:rsid w:val="2D990AC0"/>
    <w:rsid w:val="2DB63F1A"/>
    <w:rsid w:val="2DD352DD"/>
    <w:rsid w:val="2DD965EF"/>
    <w:rsid w:val="2DE82D56"/>
    <w:rsid w:val="2DEE0B8D"/>
    <w:rsid w:val="2E020414"/>
    <w:rsid w:val="2E0448B6"/>
    <w:rsid w:val="2E2B1447"/>
    <w:rsid w:val="2E2E07C6"/>
    <w:rsid w:val="2E3479AD"/>
    <w:rsid w:val="2E3E70F8"/>
    <w:rsid w:val="2E4F5130"/>
    <w:rsid w:val="2E5401F6"/>
    <w:rsid w:val="2E74001E"/>
    <w:rsid w:val="2E8C113C"/>
    <w:rsid w:val="2E964CBB"/>
    <w:rsid w:val="2EB24D71"/>
    <w:rsid w:val="2EBA0CEE"/>
    <w:rsid w:val="2ECD4896"/>
    <w:rsid w:val="2F022B10"/>
    <w:rsid w:val="2F0F1BCB"/>
    <w:rsid w:val="2F135F73"/>
    <w:rsid w:val="2F1B3B1F"/>
    <w:rsid w:val="2F4857F8"/>
    <w:rsid w:val="2F5271DE"/>
    <w:rsid w:val="2F5A0E01"/>
    <w:rsid w:val="2F68699C"/>
    <w:rsid w:val="2F714561"/>
    <w:rsid w:val="2F8877BB"/>
    <w:rsid w:val="2F9110F1"/>
    <w:rsid w:val="2F954526"/>
    <w:rsid w:val="2F990904"/>
    <w:rsid w:val="2F9A77B6"/>
    <w:rsid w:val="2FA266C8"/>
    <w:rsid w:val="2FB91D02"/>
    <w:rsid w:val="2FDC600F"/>
    <w:rsid w:val="2FF41FDB"/>
    <w:rsid w:val="300C6536"/>
    <w:rsid w:val="301E39AF"/>
    <w:rsid w:val="302202B4"/>
    <w:rsid w:val="30440DDC"/>
    <w:rsid w:val="30633A22"/>
    <w:rsid w:val="306840DF"/>
    <w:rsid w:val="30732FA0"/>
    <w:rsid w:val="307367A9"/>
    <w:rsid w:val="309A6F98"/>
    <w:rsid w:val="30A825CC"/>
    <w:rsid w:val="30AC3211"/>
    <w:rsid w:val="30C708AE"/>
    <w:rsid w:val="30C93B1B"/>
    <w:rsid w:val="30CD7EFD"/>
    <w:rsid w:val="30D81337"/>
    <w:rsid w:val="30DC6155"/>
    <w:rsid w:val="30EB2352"/>
    <w:rsid w:val="30ED3E75"/>
    <w:rsid w:val="30F11232"/>
    <w:rsid w:val="310840B9"/>
    <w:rsid w:val="31110110"/>
    <w:rsid w:val="312070FD"/>
    <w:rsid w:val="312646F3"/>
    <w:rsid w:val="312B6DFE"/>
    <w:rsid w:val="31366EB5"/>
    <w:rsid w:val="313C1E8F"/>
    <w:rsid w:val="31470291"/>
    <w:rsid w:val="314C7C36"/>
    <w:rsid w:val="31625D70"/>
    <w:rsid w:val="316817BE"/>
    <w:rsid w:val="316D5522"/>
    <w:rsid w:val="31854368"/>
    <w:rsid w:val="3196684B"/>
    <w:rsid w:val="319861B3"/>
    <w:rsid w:val="31A44824"/>
    <w:rsid w:val="31AB124D"/>
    <w:rsid w:val="31AF4AD3"/>
    <w:rsid w:val="31D47C7D"/>
    <w:rsid w:val="32021F2A"/>
    <w:rsid w:val="32230959"/>
    <w:rsid w:val="322F2E0A"/>
    <w:rsid w:val="32315B05"/>
    <w:rsid w:val="3236199F"/>
    <w:rsid w:val="32417D30"/>
    <w:rsid w:val="32517748"/>
    <w:rsid w:val="326A6BC5"/>
    <w:rsid w:val="32705150"/>
    <w:rsid w:val="32850B95"/>
    <w:rsid w:val="32871064"/>
    <w:rsid w:val="329769CF"/>
    <w:rsid w:val="32A126F5"/>
    <w:rsid w:val="32A575F8"/>
    <w:rsid w:val="32B97894"/>
    <w:rsid w:val="32C17ED1"/>
    <w:rsid w:val="32C97D96"/>
    <w:rsid w:val="32CA3AB7"/>
    <w:rsid w:val="32CF5105"/>
    <w:rsid w:val="32D4231F"/>
    <w:rsid w:val="32D82E27"/>
    <w:rsid w:val="32F742BF"/>
    <w:rsid w:val="331114A6"/>
    <w:rsid w:val="3323411E"/>
    <w:rsid w:val="33274B51"/>
    <w:rsid w:val="333746BC"/>
    <w:rsid w:val="333851C0"/>
    <w:rsid w:val="334274B8"/>
    <w:rsid w:val="33427BB6"/>
    <w:rsid w:val="33437504"/>
    <w:rsid w:val="3392223A"/>
    <w:rsid w:val="33AB27AA"/>
    <w:rsid w:val="33C87900"/>
    <w:rsid w:val="33D6036E"/>
    <w:rsid w:val="33DB6E4B"/>
    <w:rsid w:val="33F04CFA"/>
    <w:rsid w:val="34045566"/>
    <w:rsid w:val="3415676A"/>
    <w:rsid w:val="34364D8F"/>
    <w:rsid w:val="34406596"/>
    <w:rsid w:val="344D7C8A"/>
    <w:rsid w:val="346B298C"/>
    <w:rsid w:val="346E327D"/>
    <w:rsid w:val="348957C0"/>
    <w:rsid w:val="3491331C"/>
    <w:rsid w:val="349409D7"/>
    <w:rsid w:val="3496165E"/>
    <w:rsid w:val="34AD7CFB"/>
    <w:rsid w:val="34B30686"/>
    <w:rsid w:val="34B51B07"/>
    <w:rsid w:val="34B8221B"/>
    <w:rsid w:val="34BC558B"/>
    <w:rsid w:val="34DB3F45"/>
    <w:rsid w:val="34E15227"/>
    <w:rsid w:val="34E7705E"/>
    <w:rsid w:val="34E94A98"/>
    <w:rsid w:val="3506258D"/>
    <w:rsid w:val="3507608E"/>
    <w:rsid w:val="351967D4"/>
    <w:rsid w:val="35525B4F"/>
    <w:rsid w:val="355F1FA0"/>
    <w:rsid w:val="35613834"/>
    <w:rsid w:val="356B29F4"/>
    <w:rsid w:val="358B0861"/>
    <w:rsid w:val="35913D09"/>
    <w:rsid w:val="35B87F3A"/>
    <w:rsid w:val="35DC1A3E"/>
    <w:rsid w:val="35E05D63"/>
    <w:rsid w:val="35EB691D"/>
    <w:rsid w:val="35F440B6"/>
    <w:rsid w:val="35FB6702"/>
    <w:rsid w:val="36062C97"/>
    <w:rsid w:val="36262973"/>
    <w:rsid w:val="362D48EF"/>
    <w:rsid w:val="362D4E28"/>
    <w:rsid w:val="36317647"/>
    <w:rsid w:val="363D204E"/>
    <w:rsid w:val="365349FF"/>
    <w:rsid w:val="369928D3"/>
    <w:rsid w:val="36A02CAD"/>
    <w:rsid w:val="36A94DDA"/>
    <w:rsid w:val="36C268A3"/>
    <w:rsid w:val="36C36BD5"/>
    <w:rsid w:val="36D5431D"/>
    <w:rsid w:val="36DA57BB"/>
    <w:rsid w:val="36DD1E21"/>
    <w:rsid w:val="36E623E4"/>
    <w:rsid w:val="36FF3E66"/>
    <w:rsid w:val="370A5DF7"/>
    <w:rsid w:val="3722283C"/>
    <w:rsid w:val="37651382"/>
    <w:rsid w:val="378B0188"/>
    <w:rsid w:val="37911D1E"/>
    <w:rsid w:val="37A126A3"/>
    <w:rsid w:val="37AD2CDE"/>
    <w:rsid w:val="37C77473"/>
    <w:rsid w:val="37C879AB"/>
    <w:rsid w:val="37CF2F7D"/>
    <w:rsid w:val="37D2382C"/>
    <w:rsid w:val="37E96237"/>
    <w:rsid w:val="37EA0D2B"/>
    <w:rsid w:val="38021B0D"/>
    <w:rsid w:val="38097006"/>
    <w:rsid w:val="3810197F"/>
    <w:rsid w:val="38164E4D"/>
    <w:rsid w:val="38464D87"/>
    <w:rsid w:val="386462D7"/>
    <w:rsid w:val="38821599"/>
    <w:rsid w:val="3894435E"/>
    <w:rsid w:val="38A930BC"/>
    <w:rsid w:val="38AF210E"/>
    <w:rsid w:val="38B9365C"/>
    <w:rsid w:val="38C03495"/>
    <w:rsid w:val="38CA7D80"/>
    <w:rsid w:val="38FF04A6"/>
    <w:rsid w:val="391E7D57"/>
    <w:rsid w:val="394C04A3"/>
    <w:rsid w:val="396C0E37"/>
    <w:rsid w:val="39751B78"/>
    <w:rsid w:val="39897BCB"/>
    <w:rsid w:val="39A0641B"/>
    <w:rsid w:val="39A82BF6"/>
    <w:rsid w:val="39A8639B"/>
    <w:rsid w:val="39B8270F"/>
    <w:rsid w:val="39C81811"/>
    <w:rsid w:val="39CE3060"/>
    <w:rsid w:val="39E61EBA"/>
    <w:rsid w:val="39F62569"/>
    <w:rsid w:val="3A2A1F43"/>
    <w:rsid w:val="3A3E0A25"/>
    <w:rsid w:val="3A5B326E"/>
    <w:rsid w:val="3A647D60"/>
    <w:rsid w:val="3A7C337E"/>
    <w:rsid w:val="3A972672"/>
    <w:rsid w:val="3A9E4404"/>
    <w:rsid w:val="3A9F169B"/>
    <w:rsid w:val="3AA056B4"/>
    <w:rsid w:val="3AA94B12"/>
    <w:rsid w:val="3AB331C1"/>
    <w:rsid w:val="3AB80B0A"/>
    <w:rsid w:val="3B137724"/>
    <w:rsid w:val="3B2B1626"/>
    <w:rsid w:val="3B305D10"/>
    <w:rsid w:val="3B336194"/>
    <w:rsid w:val="3B3876E0"/>
    <w:rsid w:val="3B3F3464"/>
    <w:rsid w:val="3B493D0C"/>
    <w:rsid w:val="3B4B085A"/>
    <w:rsid w:val="3B5D38D0"/>
    <w:rsid w:val="3B69616A"/>
    <w:rsid w:val="3B724859"/>
    <w:rsid w:val="3B9169CA"/>
    <w:rsid w:val="3B922EDF"/>
    <w:rsid w:val="3BAB6843"/>
    <w:rsid w:val="3BAC751F"/>
    <w:rsid w:val="3BAD0342"/>
    <w:rsid w:val="3BAF3BA3"/>
    <w:rsid w:val="3BAF7E68"/>
    <w:rsid w:val="3BB865B6"/>
    <w:rsid w:val="3BD75D64"/>
    <w:rsid w:val="3BD77473"/>
    <w:rsid w:val="3BE329DE"/>
    <w:rsid w:val="3BE92C13"/>
    <w:rsid w:val="3BEB0739"/>
    <w:rsid w:val="3BF61BE5"/>
    <w:rsid w:val="3C0E6550"/>
    <w:rsid w:val="3C107F22"/>
    <w:rsid w:val="3C12543D"/>
    <w:rsid w:val="3C197AA2"/>
    <w:rsid w:val="3C277A20"/>
    <w:rsid w:val="3C3025F0"/>
    <w:rsid w:val="3C353AFB"/>
    <w:rsid w:val="3C440A09"/>
    <w:rsid w:val="3C526A0A"/>
    <w:rsid w:val="3C5F6A31"/>
    <w:rsid w:val="3C6D6DDF"/>
    <w:rsid w:val="3C7503A5"/>
    <w:rsid w:val="3C9E2BAC"/>
    <w:rsid w:val="3CA54DD0"/>
    <w:rsid w:val="3CAC1509"/>
    <w:rsid w:val="3CBE19FF"/>
    <w:rsid w:val="3CBE7BFC"/>
    <w:rsid w:val="3CC365B8"/>
    <w:rsid w:val="3CC46F1C"/>
    <w:rsid w:val="3CCA47F2"/>
    <w:rsid w:val="3CCF49A4"/>
    <w:rsid w:val="3CD33363"/>
    <w:rsid w:val="3CDD4A52"/>
    <w:rsid w:val="3CF86584"/>
    <w:rsid w:val="3D0A31CB"/>
    <w:rsid w:val="3D16519D"/>
    <w:rsid w:val="3D1D31AD"/>
    <w:rsid w:val="3D1F6385"/>
    <w:rsid w:val="3D3C52E7"/>
    <w:rsid w:val="3D4418F4"/>
    <w:rsid w:val="3D6F7148"/>
    <w:rsid w:val="3D7D3752"/>
    <w:rsid w:val="3D821FF8"/>
    <w:rsid w:val="3D845D4A"/>
    <w:rsid w:val="3D865A5D"/>
    <w:rsid w:val="3DA10C7F"/>
    <w:rsid w:val="3DBD73FD"/>
    <w:rsid w:val="3DCF0787"/>
    <w:rsid w:val="3DE20498"/>
    <w:rsid w:val="3DE522A2"/>
    <w:rsid w:val="3DEC3227"/>
    <w:rsid w:val="3DFF5BA7"/>
    <w:rsid w:val="3E10797C"/>
    <w:rsid w:val="3E126451"/>
    <w:rsid w:val="3E260F74"/>
    <w:rsid w:val="3E2A6463"/>
    <w:rsid w:val="3E2D51B7"/>
    <w:rsid w:val="3E3101D2"/>
    <w:rsid w:val="3E31464D"/>
    <w:rsid w:val="3E3519F4"/>
    <w:rsid w:val="3E48029F"/>
    <w:rsid w:val="3E703177"/>
    <w:rsid w:val="3E7F4377"/>
    <w:rsid w:val="3E8567C1"/>
    <w:rsid w:val="3E8803DF"/>
    <w:rsid w:val="3E976956"/>
    <w:rsid w:val="3EC16630"/>
    <w:rsid w:val="3ED23E32"/>
    <w:rsid w:val="3EEA2F2A"/>
    <w:rsid w:val="3EED7561"/>
    <w:rsid w:val="3EF1129F"/>
    <w:rsid w:val="3EF17D6F"/>
    <w:rsid w:val="3EFD31AF"/>
    <w:rsid w:val="3F091C3F"/>
    <w:rsid w:val="3F0A4783"/>
    <w:rsid w:val="3F1D32FF"/>
    <w:rsid w:val="3F45718A"/>
    <w:rsid w:val="3F5145ED"/>
    <w:rsid w:val="3F685DEA"/>
    <w:rsid w:val="3F6C4166"/>
    <w:rsid w:val="3F7C4F50"/>
    <w:rsid w:val="3F811406"/>
    <w:rsid w:val="3F963A26"/>
    <w:rsid w:val="3FA46FB0"/>
    <w:rsid w:val="3FB66B56"/>
    <w:rsid w:val="3FDB22EF"/>
    <w:rsid w:val="3FE0174F"/>
    <w:rsid w:val="3FE03678"/>
    <w:rsid w:val="3FF449D7"/>
    <w:rsid w:val="3FFA7E63"/>
    <w:rsid w:val="3FFD1AD0"/>
    <w:rsid w:val="3FFF491C"/>
    <w:rsid w:val="400D3F63"/>
    <w:rsid w:val="401761AF"/>
    <w:rsid w:val="40273F8A"/>
    <w:rsid w:val="403609F5"/>
    <w:rsid w:val="403A0347"/>
    <w:rsid w:val="403C32D4"/>
    <w:rsid w:val="40424C44"/>
    <w:rsid w:val="404A3EC7"/>
    <w:rsid w:val="404A77D2"/>
    <w:rsid w:val="404F60E0"/>
    <w:rsid w:val="4058634B"/>
    <w:rsid w:val="40680762"/>
    <w:rsid w:val="407735E6"/>
    <w:rsid w:val="407B3A38"/>
    <w:rsid w:val="408A57AC"/>
    <w:rsid w:val="409018AF"/>
    <w:rsid w:val="4091231A"/>
    <w:rsid w:val="409D5FB3"/>
    <w:rsid w:val="40A12411"/>
    <w:rsid w:val="40A40D05"/>
    <w:rsid w:val="40AB2E39"/>
    <w:rsid w:val="40B77932"/>
    <w:rsid w:val="40BF780F"/>
    <w:rsid w:val="40C068FD"/>
    <w:rsid w:val="40C960D3"/>
    <w:rsid w:val="40D6364F"/>
    <w:rsid w:val="40DB0111"/>
    <w:rsid w:val="40DF720C"/>
    <w:rsid w:val="40EC510F"/>
    <w:rsid w:val="40F2566D"/>
    <w:rsid w:val="40F33CD2"/>
    <w:rsid w:val="40FD67A8"/>
    <w:rsid w:val="411F385E"/>
    <w:rsid w:val="41251231"/>
    <w:rsid w:val="41267024"/>
    <w:rsid w:val="41293340"/>
    <w:rsid w:val="412A52B7"/>
    <w:rsid w:val="41342D59"/>
    <w:rsid w:val="413C37E5"/>
    <w:rsid w:val="41426296"/>
    <w:rsid w:val="414B524F"/>
    <w:rsid w:val="415E5D23"/>
    <w:rsid w:val="41697D08"/>
    <w:rsid w:val="41AC2357"/>
    <w:rsid w:val="41B04689"/>
    <w:rsid w:val="41B431DB"/>
    <w:rsid w:val="41CB1AF5"/>
    <w:rsid w:val="41EC2F23"/>
    <w:rsid w:val="41F318DA"/>
    <w:rsid w:val="41F44DDD"/>
    <w:rsid w:val="41F632AB"/>
    <w:rsid w:val="4205602F"/>
    <w:rsid w:val="420926A8"/>
    <w:rsid w:val="420E475E"/>
    <w:rsid w:val="42144998"/>
    <w:rsid w:val="421B0469"/>
    <w:rsid w:val="42254ACB"/>
    <w:rsid w:val="423505E1"/>
    <w:rsid w:val="42353E10"/>
    <w:rsid w:val="423B4ADA"/>
    <w:rsid w:val="424336BE"/>
    <w:rsid w:val="424B2271"/>
    <w:rsid w:val="4258020C"/>
    <w:rsid w:val="427907BF"/>
    <w:rsid w:val="429F227D"/>
    <w:rsid w:val="42A95BF9"/>
    <w:rsid w:val="42AB568C"/>
    <w:rsid w:val="42AC635A"/>
    <w:rsid w:val="42B00E5C"/>
    <w:rsid w:val="42B25AB2"/>
    <w:rsid w:val="42FC5124"/>
    <w:rsid w:val="43194545"/>
    <w:rsid w:val="432A1B96"/>
    <w:rsid w:val="432B1687"/>
    <w:rsid w:val="43311BFD"/>
    <w:rsid w:val="43367314"/>
    <w:rsid w:val="433C187A"/>
    <w:rsid w:val="43420B70"/>
    <w:rsid w:val="436F7684"/>
    <w:rsid w:val="43764E2E"/>
    <w:rsid w:val="43E12BAA"/>
    <w:rsid w:val="43E23ABE"/>
    <w:rsid w:val="43EF0FFD"/>
    <w:rsid w:val="440426ED"/>
    <w:rsid w:val="440F4776"/>
    <w:rsid w:val="44143703"/>
    <w:rsid w:val="44380E90"/>
    <w:rsid w:val="444159F1"/>
    <w:rsid w:val="44451961"/>
    <w:rsid w:val="44741F34"/>
    <w:rsid w:val="447D214A"/>
    <w:rsid w:val="44872FC9"/>
    <w:rsid w:val="44881D6E"/>
    <w:rsid w:val="448D4A83"/>
    <w:rsid w:val="448D5606"/>
    <w:rsid w:val="44971C1B"/>
    <w:rsid w:val="449C0AE3"/>
    <w:rsid w:val="44B53314"/>
    <w:rsid w:val="44BF2D73"/>
    <w:rsid w:val="44C4079D"/>
    <w:rsid w:val="44C8564B"/>
    <w:rsid w:val="44DC74A2"/>
    <w:rsid w:val="44DD5A2E"/>
    <w:rsid w:val="44E9570A"/>
    <w:rsid w:val="44EA63E7"/>
    <w:rsid w:val="44F90D29"/>
    <w:rsid w:val="44FD4E04"/>
    <w:rsid w:val="44FE4994"/>
    <w:rsid w:val="450C4042"/>
    <w:rsid w:val="45146732"/>
    <w:rsid w:val="45147150"/>
    <w:rsid w:val="451941B8"/>
    <w:rsid w:val="452B429C"/>
    <w:rsid w:val="45393E57"/>
    <w:rsid w:val="456772C3"/>
    <w:rsid w:val="456E267D"/>
    <w:rsid w:val="45702A2B"/>
    <w:rsid w:val="457C00FD"/>
    <w:rsid w:val="4580556A"/>
    <w:rsid w:val="459431EE"/>
    <w:rsid w:val="459B31D0"/>
    <w:rsid w:val="45A3381B"/>
    <w:rsid w:val="45D34DE4"/>
    <w:rsid w:val="45DF5DF0"/>
    <w:rsid w:val="45E8576F"/>
    <w:rsid w:val="45FC5F77"/>
    <w:rsid w:val="4604488D"/>
    <w:rsid w:val="46184820"/>
    <w:rsid w:val="46191F2F"/>
    <w:rsid w:val="461F4AA7"/>
    <w:rsid w:val="46302BFD"/>
    <w:rsid w:val="463368B7"/>
    <w:rsid w:val="46393734"/>
    <w:rsid w:val="464B659D"/>
    <w:rsid w:val="46581398"/>
    <w:rsid w:val="46694B2B"/>
    <w:rsid w:val="46A964DE"/>
    <w:rsid w:val="46D41310"/>
    <w:rsid w:val="46D71F11"/>
    <w:rsid w:val="46E83CDA"/>
    <w:rsid w:val="46EB2FCD"/>
    <w:rsid w:val="46F10D88"/>
    <w:rsid w:val="46F661E4"/>
    <w:rsid w:val="46FA4032"/>
    <w:rsid w:val="47037BA7"/>
    <w:rsid w:val="4711367B"/>
    <w:rsid w:val="4716148D"/>
    <w:rsid w:val="471808F7"/>
    <w:rsid w:val="471A30F3"/>
    <w:rsid w:val="47211B42"/>
    <w:rsid w:val="472504F8"/>
    <w:rsid w:val="47282841"/>
    <w:rsid w:val="472B10A2"/>
    <w:rsid w:val="4747214E"/>
    <w:rsid w:val="4757612E"/>
    <w:rsid w:val="477760D5"/>
    <w:rsid w:val="477B2488"/>
    <w:rsid w:val="478F0B12"/>
    <w:rsid w:val="47A536AD"/>
    <w:rsid w:val="47A923B9"/>
    <w:rsid w:val="47B61C55"/>
    <w:rsid w:val="47BE4776"/>
    <w:rsid w:val="47CB222D"/>
    <w:rsid w:val="47DE1152"/>
    <w:rsid w:val="47EF13C6"/>
    <w:rsid w:val="48123521"/>
    <w:rsid w:val="48164FEB"/>
    <w:rsid w:val="48292EC4"/>
    <w:rsid w:val="484B1E04"/>
    <w:rsid w:val="485B3227"/>
    <w:rsid w:val="485C4BE5"/>
    <w:rsid w:val="48792BEE"/>
    <w:rsid w:val="487E4055"/>
    <w:rsid w:val="489A72EA"/>
    <w:rsid w:val="48AB22C8"/>
    <w:rsid w:val="48B1188E"/>
    <w:rsid w:val="48B13DF3"/>
    <w:rsid w:val="48BC53EB"/>
    <w:rsid w:val="48C81747"/>
    <w:rsid w:val="48DF0D0B"/>
    <w:rsid w:val="48E161EB"/>
    <w:rsid w:val="4912133E"/>
    <w:rsid w:val="4912171D"/>
    <w:rsid w:val="49251702"/>
    <w:rsid w:val="49437081"/>
    <w:rsid w:val="49750BC6"/>
    <w:rsid w:val="497A203E"/>
    <w:rsid w:val="498127D2"/>
    <w:rsid w:val="49824F68"/>
    <w:rsid w:val="49D1575D"/>
    <w:rsid w:val="49D15F6B"/>
    <w:rsid w:val="49D438AE"/>
    <w:rsid w:val="49D86CD6"/>
    <w:rsid w:val="49F1006A"/>
    <w:rsid w:val="4A0D1B22"/>
    <w:rsid w:val="4A211667"/>
    <w:rsid w:val="4A230DAF"/>
    <w:rsid w:val="4A387522"/>
    <w:rsid w:val="4A3D47A0"/>
    <w:rsid w:val="4A521FA1"/>
    <w:rsid w:val="4A536F35"/>
    <w:rsid w:val="4A596A40"/>
    <w:rsid w:val="4A5E02F2"/>
    <w:rsid w:val="4A6664DD"/>
    <w:rsid w:val="4A6E1243"/>
    <w:rsid w:val="4A754B47"/>
    <w:rsid w:val="4A822DC3"/>
    <w:rsid w:val="4A835E59"/>
    <w:rsid w:val="4A9F144E"/>
    <w:rsid w:val="4AA219EE"/>
    <w:rsid w:val="4AA268B0"/>
    <w:rsid w:val="4AAF7DED"/>
    <w:rsid w:val="4AEB0E78"/>
    <w:rsid w:val="4AFB1B32"/>
    <w:rsid w:val="4B0E6BEC"/>
    <w:rsid w:val="4B187071"/>
    <w:rsid w:val="4B233407"/>
    <w:rsid w:val="4B2E39CD"/>
    <w:rsid w:val="4B3A6F0B"/>
    <w:rsid w:val="4B6B65A7"/>
    <w:rsid w:val="4B707823"/>
    <w:rsid w:val="4B726F56"/>
    <w:rsid w:val="4B83478B"/>
    <w:rsid w:val="4B881DE5"/>
    <w:rsid w:val="4B8945D7"/>
    <w:rsid w:val="4B8C50D1"/>
    <w:rsid w:val="4BAB2063"/>
    <w:rsid w:val="4BD233D5"/>
    <w:rsid w:val="4BD47BCE"/>
    <w:rsid w:val="4BDF1B0C"/>
    <w:rsid w:val="4BF27303"/>
    <w:rsid w:val="4C04758C"/>
    <w:rsid w:val="4C086ED3"/>
    <w:rsid w:val="4C1635B0"/>
    <w:rsid w:val="4C215104"/>
    <w:rsid w:val="4C294F8C"/>
    <w:rsid w:val="4C3F68CB"/>
    <w:rsid w:val="4C63431C"/>
    <w:rsid w:val="4C63596A"/>
    <w:rsid w:val="4C69714A"/>
    <w:rsid w:val="4C7D1C55"/>
    <w:rsid w:val="4C9F4436"/>
    <w:rsid w:val="4CB86805"/>
    <w:rsid w:val="4CC0684C"/>
    <w:rsid w:val="4CC94969"/>
    <w:rsid w:val="4D04603A"/>
    <w:rsid w:val="4D0847C8"/>
    <w:rsid w:val="4D184888"/>
    <w:rsid w:val="4D1A506F"/>
    <w:rsid w:val="4D1E366B"/>
    <w:rsid w:val="4D314CE5"/>
    <w:rsid w:val="4D4D1254"/>
    <w:rsid w:val="4D6D402A"/>
    <w:rsid w:val="4D707C2C"/>
    <w:rsid w:val="4D8E6FF1"/>
    <w:rsid w:val="4DC3607C"/>
    <w:rsid w:val="4DC934A3"/>
    <w:rsid w:val="4DCE4BBC"/>
    <w:rsid w:val="4DDA5ECB"/>
    <w:rsid w:val="4E001070"/>
    <w:rsid w:val="4E0D09E3"/>
    <w:rsid w:val="4E100E0C"/>
    <w:rsid w:val="4E1A5811"/>
    <w:rsid w:val="4E2171E2"/>
    <w:rsid w:val="4E290DEA"/>
    <w:rsid w:val="4E393351"/>
    <w:rsid w:val="4E4D546F"/>
    <w:rsid w:val="4E5C454B"/>
    <w:rsid w:val="4E61585E"/>
    <w:rsid w:val="4E6F014C"/>
    <w:rsid w:val="4E821AC1"/>
    <w:rsid w:val="4E8A3ACD"/>
    <w:rsid w:val="4E9121A3"/>
    <w:rsid w:val="4E920EE8"/>
    <w:rsid w:val="4E94223C"/>
    <w:rsid w:val="4EA315B1"/>
    <w:rsid w:val="4F0A6CD0"/>
    <w:rsid w:val="4F0E2841"/>
    <w:rsid w:val="4F39579C"/>
    <w:rsid w:val="4F3B7EBF"/>
    <w:rsid w:val="4F662E42"/>
    <w:rsid w:val="4F6C34E7"/>
    <w:rsid w:val="4F8C3B89"/>
    <w:rsid w:val="4FAC3E02"/>
    <w:rsid w:val="4FAD5783"/>
    <w:rsid w:val="4FB65B4C"/>
    <w:rsid w:val="4FC745B9"/>
    <w:rsid w:val="4FD07142"/>
    <w:rsid w:val="4FD072CA"/>
    <w:rsid w:val="4FD23C92"/>
    <w:rsid w:val="4FD33502"/>
    <w:rsid w:val="4FE05C03"/>
    <w:rsid w:val="500F5574"/>
    <w:rsid w:val="502A15D8"/>
    <w:rsid w:val="502C7114"/>
    <w:rsid w:val="50357D7D"/>
    <w:rsid w:val="503806DC"/>
    <w:rsid w:val="504B5ACC"/>
    <w:rsid w:val="505F606E"/>
    <w:rsid w:val="50607C1B"/>
    <w:rsid w:val="50715259"/>
    <w:rsid w:val="50873195"/>
    <w:rsid w:val="50882BDA"/>
    <w:rsid w:val="50896655"/>
    <w:rsid w:val="509E566B"/>
    <w:rsid w:val="50A225AF"/>
    <w:rsid w:val="50A464F4"/>
    <w:rsid w:val="50A67BA9"/>
    <w:rsid w:val="50BF136F"/>
    <w:rsid w:val="50C5039C"/>
    <w:rsid w:val="50C77DAE"/>
    <w:rsid w:val="50D83189"/>
    <w:rsid w:val="50DC02C2"/>
    <w:rsid w:val="50E956D4"/>
    <w:rsid w:val="50EE1A52"/>
    <w:rsid w:val="50F554E9"/>
    <w:rsid w:val="510252DB"/>
    <w:rsid w:val="510F1C91"/>
    <w:rsid w:val="512E0E26"/>
    <w:rsid w:val="512E4678"/>
    <w:rsid w:val="51354D5A"/>
    <w:rsid w:val="51361FFF"/>
    <w:rsid w:val="513653E6"/>
    <w:rsid w:val="514041E4"/>
    <w:rsid w:val="51504D0A"/>
    <w:rsid w:val="515701E8"/>
    <w:rsid w:val="5164091A"/>
    <w:rsid w:val="51AC22C1"/>
    <w:rsid w:val="51BB0BE8"/>
    <w:rsid w:val="51C24F4D"/>
    <w:rsid w:val="51C328E8"/>
    <w:rsid w:val="51C615D7"/>
    <w:rsid w:val="51D964E4"/>
    <w:rsid w:val="51DD06CC"/>
    <w:rsid w:val="51FC3136"/>
    <w:rsid w:val="5202206C"/>
    <w:rsid w:val="521D5470"/>
    <w:rsid w:val="521E3FF3"/>
    <w:rsid w:val="521F12FB"/>
    <w:rsid w:val="522C4D69"/>
    <w:rsid w:val="524408CC"/>
    <w:rsid w:val="52503447"/>
    <w:rsid w:val="526B2FB1"/>
    <w:rsid w:val="527C5CC1"/>
    <w:rsid w:val="527D4E6F"/>
    <w:rsid w:val="528648C0"/>
    <w:rsid w:val="52880FB8"/>
    <w:rsid w:val="529F1A0C"/>
    <w:rsid w:val="52A03397"/>
    <w:rsid w:val="52B15165"/>
    <w:rsid w:val="52B27F46"/>
    <w:rsid w:val="52C129A5"/>
    <w:rsid w:val="52C75E27"/>
    <w:rsid w:val="52D96EA6"/>
    <w:rsid w:val="52F80DC9"/>
    <w:rsid w:val="52FE451B"/>
    <w:rsid w:val="5308530D"/>
    <w:rsid w:val="530A0C93"/>
    <w:rsid w:val="530F1BCF"/>
    <w:rsid w:val="530F40D3"/>
    <w:rsid w:val="53325CD2"/>
    <w:rsid w:val="533A5C60"/>
    <w:rsid w:val="534121A2"/>
    <w:rsid w:val="5376698C"/>
    <w:rsid w:val="537B664F"/>
    <w:rsid w:val="538F59F6"/>
    <w:rsid w:val="542B0ABC"/>
    <w:rsid w:val="5440159C"/>
    <w:rsid w:val="54433422"/>
    <w:rsid w:val="544D04FE"/>
    <w:rsid w:val="544F309F"/>
    <w:rsid w:val="546008AD"/>
    <w:rsid w:val="549924CB"/>
    <w:rsid w:val="549D5D5C"/>
    <w:rsid w:val="549E05E7"/>
    <w:rsid w:val="54E52C92"/>
    <w:rsid w:val="54F3141A"/>
    <w:rsid w:val="54F44E33"/>
    <w:rsid w:val="54F478A4"/>
    <w:rsid w:val="55002113"/>
    <w:rsid w:val="550F6DEF"/>
    <w:rsid w:val="552703EE"/>
    <w:rsid w:val="552B20B7"/>
    <w:rsid w:val="553B6008"/>
    <w:rsid w:val="553C2FC1"/>
    <w:rsid w:val="555B2034"/>
    <w:rsid w:val="556A1073"/>
    <w:rsid w:val="558333C1"/>
    <w:rsid w:val="55BB289D"/>
    <w:rsid w:val="55C9645F"/>
    <w:rsid w:val="55DB0F91"/>
    <w:rsid w:val="55DD0A7D"/>
    <w:rsid w:val="55E32B88"/>
    <w:rsid w:val="55F305A6"/>
    <w:rsid w:val="560A5808"/>
    <w:rsid w:val="560C01BB"/>
    <w:rsid w:val="56307E67"/>
    <w:rsid w:val="563A312A"/>
    <w:rsid w:val="56426050"/>
    <w:rsid w:val="565A5DC7"/>
    <w:rsid w:val="565C6BA3"/>
    <w:rsid w:val="56771937"/>
    <w:rsid w:val="567C4958"/>
    <w:rsid w:val="567F6737"/>
    <w:rsid w:val="568F2767"/>
    <w:rsid w:val="56920D90"/>
    <w:rsid w:val="569C673B"/>
    <w:rsid w:val="56A106AC"/>
    <w:rsid w:val="56C4340D"/>
    <w:rsid w:val="56CB3A71"/>
    <w:rsid w:val="56D32535"/>
    <w:rsid w:val="56F15F69"/>
    <w:rsid w:val="56FE711B"/>
    <w:rsid w:val="571B40C8"/>
    <w:rsid w:val="571F7091"/>
    <w:rsid w:val="572E4BCE"/>
    <w:rsid w:val="573135BD"/>
    <w:rsid w:val="573A2391"/>
    <w:rsid w:val="57663D50"/>
    <w:rsid w:val="57711B4D"/>
    <w:rsid w:val="57776AA4"/>
    <w:rsid w:val="577E39C3"/>
    <w:rsid w:val="577E4A64"/>
    <w:rsid w:val="57803BF0"/>
    <w:rsid w:val="578B46EB"/>
    <w:rsid w:val="57931AE1"/>
    <w:rsid w:val="57A218CA"/>
    <w:rsid w:val="57A87AFB"/>
    <w:rsid w:val="57B74973"/>
    <w:rsid w:val="57C55255"/>
    <w:rsid w:val="57E04A72"/>
    <w:rsid w:val="57E33DE9"/>
    <w:rsid w:val="57EB31E9"/>
    <w:rsid w:val="58077CD4"/>
    <w:rsid w:val="580D5CD0"/>
    <w:rsid w:val="58114BCD"/>
    <w:rsid w:val="58127EAB"/>
    <w:rsid w:val="58140C56"/>
    <w:rsid w:val="58276B45"/>
    <w:rsid w:val="583A2175"/>
    <w:rsid w:val="5862610E"/>
    <w:rsid w:val="587C6644"/>
    <w:rsid w:val="5888724A"/>
    <w:rsid w:val="58AD6080"/>
    <w:rsid w:val="58D43EA7"/>
    <w:rsid w:val="58ED6548"/>
    <w:rsid w:val="58F855A4"/>
    <w:rsid w:val="591567A8"/>
    <w:rsid w:val="59172982"/>
    <w:rsid w:val="59224F0F"/>
    <w:rsid w:val="593037D7"/>
    <w:rsid w:val="59313F3B"/>
    <w:rsid w:val="59653ED2"/>
    <w:rsid w:val="596B6014"/>
    <w:rsid w:val="59751359"/>
    <w:rsid w:val="59AA0AAD"/>
    <w:rsid w:val="59BB5797"/>
    <w:rsid w:val="59F2424D"/>
    <w:rsid w:val="59F258F7"/>
    <w:rsid w:val="5A29423C"/>
    <w:rsid w:val="5A2B333A"/>
    <w:rsid w:val="5A367DF2"/>
    <w:rsid w:val="5A3E0AF7"/>
    <w:rsid w:val="5A4968FF"/>
    <w:rsid w:val="5A4A017C"/>
    <w:rsid w:val="5A4E2E04"/>
    <w:rsid w:val="5A5A3450"/>
    <w:rsid w:val="5A5B4D9A"/>
    <w:rsid w:val="5A6B6C64"/>
    <w:rsid w:val="5A867F2F"/>
    <w:rsid w:val="5A8B345C"/>
    <w:rsid w:val="5AB363F3"/>
    <w:rsid w:val="5AB93E89"/>
    <w:rsid w:val="5ABE1C88"/>
    <w:rsid w:val="5AC72CC5"/>
    <w:rsid w:val="5AFF2DB3"/>
    <w:rsid w:val="5B0608E3"/>
    <w:rsid w:val="5B1F56C3"/>
    <w:rsid w:val="5B200E5C"/>
    <w:rsid w:val="5B3771F1"/>
    <w:rsid w:val="5B79110E"/>
    <w:rsid w:val="5B9B377A"/>
    <w:rsid w:val="5BA0695B"/>
    <w:rsid w:val="5BA3448D"/>
    <w:rsid w:val="5BA34735"/>
    <w:rsid w:val="5BB1523B"/>
    <w:rsid w:val="5BBD71F2"/>
    <w:rsid w:val="5BED18E7"/>
    <w:rsid w:val="5BF23219"/>
    <w:rsid w:val="5BF31AD6"/>
    <w:rsid w:val="5BF9002E"/>
    <w:rsid w:val="5C09191E"/>
    <w:rsid w:val="5C0B1699"/>
    <w:rsid w:val="5C475999"/>
    <w:rsid w:val="5C494564"/>
    <w:rsid w:val="5C495B5D"/>
    <w:rsid w:val="5C5F63CC"/>
    <w:rsid w:val="5C676A8F"/>
    <w:rsid w:val="5C712CEE"/>
    <w:rsid w:val="5C7A36E7"/>
    <w:rsid w:val="5C8D34E9"/>
    <w:rsid w:val="5C9B5759"/>
    <w:rsid w:val="5CA661BE"/>
    <w:rsid w:val="5CAF052B"/>
    <w:rsid w:val="5CB1629C"/>
    <w:rsid w:val="5CB96055"/>
    <w:rsid w:val="5CCC01E2"/>
    <w:rsid w:val="5CEF731D"/>
    <w:rsid w:val="5CF1391D"/>
    <w:rsid w:val="5D0D5BEB"/>
    <w:rsid w:val="5D102E39"/>
    <w:rsid w:val="5D1D5347"/>
    <w:rsid w:val="5D2C1385"/>
    <w:rsid w:val="5D2D3C10"/>
    <w:rsid w:val="5D302EDA"/>
    <w:rsid w:val="5D315554"/>
    <w:rsid w:val="5D4B49FC"/>
    <w:rsid w:val="5D5D210F"/>
    <w:rsid w:val="5D703ED3"/>
    <w:rsid w:val="5D8462D2"/>
    <w:rsid w:val="5D876422"/>
    <w:rsid w:val="5DB04E97"/>
    <w:rsid w:val="5DBE0162"/>
    <w:rsid w:val="5DCF41F8"/>
    <w:rsid w:val="5DE46196"/>
    <w:rsid w:val="5DEC7EBF"/>
    <w:rsid w:val="5DF237B4"/>
    <w:rsid w:val="5DFF555E"/>
    <w:rsid w:val="5E0C0060"/>
    <w:rsid w:val="5E14191A"/>
    <w:rsid w:val="5E386880"/>
    <w:rsid w:val="5E4863F0"/>
    <w:rsid w:val="5E4E2603"/>
    <w:rsid w:val="5E507A46"/>
    <w:rsid w:val="5E512BA9"/>
    <w:rsid w:val="5E5A03C3"/>
    <w:rsid w:val="5E68156F"/>
    <w:rsid w:val="5E686287"/>
    <w:rsid w:val="5E721032"/>
    <w:rsid w:val="5E802B0B"/>
    <w:rsid w:val="5E9A3FC1"/>
    <w:rsid w:val="5EB81E46"/>
    <w:rsid w:val="5EBA601D"/>
    <w:rsid w:val="5EC33192"/>
    <w:rsid w:val="5ED40B65"/>
    <w:rsid w:val="5ED81849"/>
    <w:rsid w:val="5EFC6FEB"/>
    <w:rsid w:val="5EFF4434"/>
    <w:rsid w:val="5F1C4D7E"/>
    <w:rsid w:val="5F2E7065"/>
    <w:rsid w:val="5F355DB6"/>
    <w:rsid w:val="5F5209F8"/>
    <w:rsid w:val="5F530B3B"/>
    <w:rsid w:val="5F635DC8"/>
    <w:rsid w:val="5F7E021A"/>
    <w:rsid w:val="5F81463B"/>
    <w:rsid w:val="5F8355BC"/>
    <w:rsid w:val="5F846736"/>
    <w:rsid w:val="5F976163"/>
    <w:rsid w:val="5FCF1954"/>
    <w:rsid w:val="5FD547E6"/>
    <w:rsid w:val="60036BB3"/>
    <w:rsid w:val="600823ED"/>
    <w:rsid w:val="600919BA"/>
    <w:rsid w:val="600A3F4F"/>
    <w:rsid w:val="60101E3D"/>
    <w:rsid w:val="601E2116"/>
    <w:rsid w:val="60494D74"/>
    <w:rsid w:val="604E17F4"/>
    <w:rsid w:val="60717970"/>
    <w:rsid w:val="609662A4"/>
    <w:rsid w:val="60A315F3"/>
    <w:rsid w:val="60BB5DD9"/>
    <w:rsid w:val="60C06A13"/>
    <w:rsid w:val="60EA2FF4"/>
    <w:rsid w:val="60EB5790"/>
    <w:rsid w:val="61082F90"/>
    <w:rsid w:val="610B452A"/>
    <w:rsid w:val="610D776E"/>
    <w:rsid w:val="61424B96"/>
    <w:rsid w:val="61500132"/>
    <w:rsid w:val="615C6CBE"/>
    <w:rsid w:val="61641C99"/>
    <w:rsid w:val="61652AFB"/>
    <w:rsid w:val="618260B8"/>
    <w:rsid w:val="61AA758F"/>
    <w:rsid w:val="61C575C8"/>
    <w:rsid w:val="61C86526"/>
    <w:rsid w:val="61E11B13"/>
    <w:rsid w:val="61E460D4"/>
    <w:rsid w:val="61F338BF"/>
    <w:rsid w:val="62097C9D"/>
    <w:rsid w:val="620D7526"/>
    <w:rsid w:val="62250D4D"/>
    <w:rsid w:val="622B048D"/>
    <w:rsid w:val="62345478"/>
    <w:rsid w:val="625C2AAE"/>
    <w:rsid w:val="62616ABC"/>
    <w:rsid w:val="626836B0"/>
    <w:rsid w:val="62856942"/>
    <w:rsid w:val="62907D75"/>
    <w:rsid w:val="629E4172"/>
    <w:rsid w:val="62A54F1F"/>
    <w:rsid w:val="62AF2D2F"/>
    <w:rsid w:val="62D12F89"/>
    <w:rsid w:val="62EC6150"/>
    <w:rsid w:val="631F076E"/>
    <w:rsid w:val="63310230"/>
    <w:rsid w:val="63612F0B"/>
    <w:rsid w:val="63952790"/>
    <w:rsid w:val="63A31630"/>
    <w:rsid w:val="63C21069"/>
    <w:rsid w:val="63CE27D8"/>
    <w:rsid w:val="63F932C5"/>
    <w:rsid w:val="63FD3070"/>
    <w:rsid w:val="6400607E"/>
    <w:rsid w:val="6403103E"/>
    <w:rsid w:val="640D45E0"/>
    <w:rsid w:val="64107237"/>
    <w:rsid w:val="64171BB9"/>
    <w:rsid w:val="645C76B6"/>
    <w:rsid w:val="6470473A"/>
    <w:rsid w:val="647B7C5D"/>
    <w:rsid w:val="647C7ED5"/>
    <w:rsid w:val="64882719"/>
    <w:rsid w:val="649A0079"/>
    <w:rsid w:val="64A23965"/>
    <w:rsid w:val="64AE14F4"/>
    <w:rsid w:val="64EE228F"/>
    <w:rsid w:val="64FE574A"/>
    <w:rsid w:val="6536223E"/>
    <w:rsid w:val="653D52B2"/>
    <w:rsid w:val="655A3891"/>
    <w:rsid w:val="65711E24"/>
    <w:rsid w:val="6577407A"/>
    <w:rsid w:val="657E4F08"/>
    <w:rsid w:val="657F4BCB"/>
    <w:rsid w:val="658F02D3"/>
    <w:rsid w:val="65911419"/>
    <w:rsid w:val="65A078D0"/>
    <w:rsid w:val="65B24CEA"/>
    <w:rsid w:val="65B32266"/>
    <w:rsid w:val="65E34CD3"/>
    <w:rsid w:val="65E54F88"/>
    <w:rsid w:val="65FC33BF"/>
    <w:rsid w:val="662A2A3B"/>
    <w:rsid w:val="662A4E93"/>
    <w:rsid w:val="66525E47"/>
    <w:rsid w:val="666148D1"/>
    <w:rsid w:val="666D654A"/>
    <w:rsid w:val="666E3CE8"/>
    <w:rsid w:val="667752EC"/>
    <w:rsid w:val="668B199B"/>
    <w:rsid w:val="668F05DE"/>
    <w:rsid w:val="66B77536"/>
    <w:rsid w:val="66C7733B"/>
    <w:rsid w:val="66C80EE3"/>
    <w:rsid w:val="66C96F26"/>
    <w:rsid w:val="66E17EAB"/>
    <w:rsid w:val="66F559E3"/>
    <w:rsid w:val="66FC78D2"/>
    <w:rsid w:val="67191920"/>
    <w:rsid w:val="6735767C"/>
    <w:rsid w:val="673858DF"/>
    <w:rsid w:val="675B7897"/>
    <w:rsid w:val="675F206D"/>
    <w:rsid w:val="676404B9"/>
    <w:rsid w:val="676752FD"/>
    <w:rsid w:val="677B47B7"/>
    <w:rsid w:val="67927BBC"/>
    <w:rsid w:val="67C86443"/>
    <w:rsid w:val="67C87F78"/>
    <w:rsid w:val="67DB0FA6"/>
    <w:rsid w:val="680E09F2"/>
    <w:rsid w:val="68113F78"/>
    <w:rsid w:val="681440EA"/>
    <w:rsid w:val="68200E09"/>
    <w:rsid w:val="683351FB"/>
    <w:rsid w:val="684958BF"/>
    <w:rsid w:val="6853303E"/>
    <w:rsid w:val="68600B71"/>
    <w:rsid w:val="68695E40"/>
    <w:rsid w:val="686B73FF"/>
    <w:rsid w:val="6871776D"/>
    <w:rsid w:val="687F14FF"/>
    <w:rsid w:val="688651C2"/>
    <w:rsid w:val="68A46AF3"/>
    <w:rsid w:val="68A75386"/>
    <w:rsid w:val="68B67474"/>
    <w:rsid w:val="68E72104"/>
    <w:rsid w:val="68E9380F"/>
    <w:rsid w:val="69234312"/>
    <w:rsid w:val="69244F55"/>
    <w:rsid w:val="692846C1"/>
    <w:rsid w:val="692D1EC0"/>
    <w:rsid w:val="69364132"/>
    <w:rsid w:val="69422C5E"/>
    <w:rsid w:val="69497CC3"/>
    <w:rsid w:val="695B664F"/>
    <w:rsid w:val="698B62BD"/>
    <w:rsid w:val="69EA1DDB"/>
    <w:rsid w:val="6A082C2D"/>
    <w:rsid w:val="6A123A03"/>
    <w:rsid w:val="6A232FA8"/>
    <w:rsid w:val="6A271C37"/>
    <w:rsid w:val="6A372C18"/>
    <w:rsid w:val="6A5D329A"/>
    <w:rsid w:val="6A62486A"/>
    <w:rsid w:val="6A6E274D"/>
    <w:rsid w:val="6A6E3451"/>
    <w:rsid w:val="6A7526C5"/>
    <w:rsid w:val="6A8A0DE2"/>
    <w:rsid w:val="6A8A23D9"/>
    <w:rsid w:val="6A922CE9"/>
    <w:rsid w:val="6AAE771A"/>
    <w:rsid w:val="6AC4416A"/>
    <w:rsid w:val="6AE5157E"/>
    <w:rsid w:val="6AE77D65"/>
    <w:rsid w:val="6AFF6D0F"/>
    <w:rsid w:val="6B022808"/>
    <w:rsid w:val="6B06756B"/>
    <w:rsid w:val="6B084622"/>
    <w:rsid w:val="6B0869A4"/>
    <w:rsid w:val="6B2E0290"/>
    <w:rsid w:val="6B5D12ED"/>
    <w:rsid w:val="6B754942"/>
    <w:rsid w:val="6B8D723B"/>
    <w:rsid w:val="6BA8784A"/>
    <w:rsid w:val="6BB00AB2"/>
    <w:rsid w:val="6BB17BFE"/>
    <w:rsid w:val="6BEF4424"/>
    <w:rsid w:val="6BF55514"/>
    <w:rsid w:val="6C063F42"/>
    <w:rsid w:val="6C1B7B81"/>
    <w:rsid w:val="6C2567A7"/>
    <w:rsid w:val="6C2955C5"/>
    <w:rsid w:val="6C3C4515"/>
    <w:rsid w:val="6C420798"/>
    <w:rsid w:val="6C5914A2"/>
    <w:rsid w:val="6C5A4BD3"/>
    <w:rsid w:val="6C6D0318"/>
    <w:rsid w:val="6C826356"/>
    <w:rsid w:val="6C88775B"/>
    <w:rsid w:val="6C8C1166"/>
    <w:rsid w:val="6CB80F0F"/>
    <w:rsid w:val="6CCC3278"/>
    <w:rsid w:val="6CD01DB9"/>
    <w:rsid w:val="6CD24037"/>
    <w:rsid w:val="6CD64342"/>
    <w:rsid w:val="6CDC170B"/>
    <w:rsid w:val="6CE611BE"/>
    <w:rsid w:val="6CF0330A"/>
    <w:rsid w:val="6D024CF4"/>
    <w:rsid w:val="6D17317B"/>
    <w:rsid w:val="6D316543"/>
    <w:rsid w:val="6D3A46F0"/>
    <w:rsid w:val="6D5A4776"/>
    <w:rsid w:val="6D655032"/>
    <w:rsid w:val="6D7E48A9"/>
    <w:rsid w:val="6D823013"/>
    <w:rsid w:val="6DA30A00"/>
    <w:rsid w:val="6DA96DDC"/>
    <w:rsid w:val="6DB24AD1"/>
    <w:rsid w:val="6DCC18C9"/>
    <w:rsid w:val="6DDD0932"/>
    <w:rsid w:val="6DDE4A58"/>
    <w:rsid w:val="6DE20064"/>
    <w:rsid w:val="6DE7710E"/>
    <w:rsid w:val="6DE92424"/>
    <w:rsid w:val="6E1A5085"/>
    <w:rsid w:val="6E242B16"/>
    <w:rsid w:val="6E2B5F9D"/>
    <w:rsid w:val="6E8403F6"/>
    <w:rsid w:val="6E8E490C"/>
    <w:rsid w:val="6E952410"/>
    <w:rsid w:val="6E9A0985"/>
    <w:rsid w:val="6EA63EC8"/>
    <w:rsid w:val="6EA85DFD"/>
    <w:rsid w:val="6EBD1C7B"/>
    <w:rsid w:val="6EC95E08"/>
    <w:rsid w:val="6EDA5B74"/>
    <w:rsid w:val="6EEA709C"/>
    <w:rsid w:val="6EFE0985"/>
    <w:rsid w:val="6F007722"/>
    <w:rsid w:val="6F0B6421"/>
    <w:rsid w:val="6F1F1325"/>
    <w:rsid w:val="6F212ADD"/>
    <w:rsid w:val="6F331363"/>
    <w:rsid w:val="6F33735D"/>
    <w:rsid w:val="6F543096"/>
    <w:rsid w:val="6F6E2D13"/>
    <w:rsid w:val="6F7E17F9"/>
    <w:rsid w:val="6F892E0D"/>
    <w:rsid w:val="6FB53789"/>
    <w:rsid w:val="6FC56A53"/>
    <w:rsid w:val="6FCA1E38"/>
    <w:rsid w:val="6FDC595C"/>
    <w:rsid w:val="6FF60695"/>
    <w:rsid w:val="6FF92768"/>
    <w:rsid w:val="6FFF2BBE"/>
    <w:rsid w:val="70040AAC"/>
    <w:rsid w:val="70192DFC"/>
    <w:rsid w:val="701A40CF"/>
    <w:rsid w:val="70294ED3"/>
    <w:rsid w:val="703C5FF4"/>
    <w:rsid w:val="704F17D1"/>
    <w:rsid w:val="70553DF8"/>
    <w:rsid w:val="70903A9D"/>
    <w:rsid w:val="70A038B7"/>
    <w:rsid w:val="70A62291"/>
    <w:rsid w:val="70CB7764"/>
    <w:rsid w:val="70F56853"/>
    <w:rsid w:val="71091CB0"/>
    <w:rsid w:val="710D040A"/>
    <w:rsid w:val="711260B6"/>
    <w:rsid w:val="71256EB3"/>
    <w:rsid w:val="713D789C"/>
    <w:rsid w:val="71451A1F"/>
    <w:rsid w:val="714F129E"/>
    <w:rsid w:val="714F76E9"/>
    <w:rsid w:val="71834994"/>
    <w:rsid w:val="71940950"/>
    <w:rsid w:val="71A83FC1"/>
    <w:rsid w:val="71C91C3A"/>
    <w:rsid w:val="71F20D22"/>
    <w:rsid w:val="723E3FE8"/>
    <w:rsid w:val="72413E29"/>
    <w:rsid w:val="72456250"/>
    <w:rsid w:val="724C4E78"/>
    <w:rsid w:val="725122B1"/>
    <w:rsid w:val="72534367"/>
    <w:rsid w:val="7255106F"/>
    <w:rsid w:val="725666F5"/>
    <w:rsid w:val="725B5B2D"/>
    <w:rsid w:val="7265040D"/>
    <w:rsid w:val="726C5885"/>
    <w:rsid w:val="72864218"/>
    <w:rsid w:val="72956780"/>
    <w:rsid w:val="72A1796C"/>
    <w:rsid w:val="72AB7AE1"/>
    <w:rsid w:val="72B954FB"/>
    <w:rsid w:val="72CD7B8C"/>
    <w:rsid w:val="72D17CEA"/>
    <w:rsid w:val="72DC3AFD"/>
    <w:rsid w:val="72E9309C"/>
    <w:rsid w:val="72F0605F"/>
    <w:rsid w:val="72F17AAC"/>
    <w:rsid w:val="72F5541E"/>
    <w:rsid w:val="72FF629D"/>
    <w:rsid w:val="730C28F7"/>
    <w:rsid w:val="73135513"/>
    <w:rsid w:val="731B1A9F"/>
    <w:rsid w:val="736E23AF"/>
    <w:rsid w:val="73757C3C"/>
    <w:rsid w:val="738B66E1"/>
    <w:rsid w:val="73A04AE1"/>
    <w:rsid w:val="73C66DBA"/>
    <w:rsid w:val="73CC69B7"/>
    <w:rsid w:val="73D25872"/>
    <w:rsid w:val="73E07443"/>
    <w:rsid w:val="73ED7223"/>
    <w:rsid w:val="73F11447"/>
    <w:rsid w:val="73FB0445"/>
    <w:rsid w:val="74050794"/>
    <w:rsid w:val="740D4FB5"/>
    <w:rsid w:val="741F2CE8"/>
    <w:rsid w:val="743715FC"/>
    <w:rsid w:val="74632EE0"/>
    <w:rsid w:val="74800A09"/>
    <w:rsid w:val="748A581C"/>
    <w:rsid w:val="749D6042"/>
    <w:rsid w:val="74A2478D"/>
    <w:rsid w:val="74CC0400"/>
    <w:rsid w:val="74CF1C9F"/>
    <w:rsid w:val="74D07D76"/>
    <w:rsid w:val="74D2653F"/>
    <w:rsid w:val="74E7018A"/>
    <w:rsid w:val="74E92D60"/>
    <w:rsid w:val="75001D43"/>
    <w:rsid w:val="75164238"/>
    <w:rsid w:val="75292A92"/>
    <w:rsid w:val="752B365F"/>
    <w:rsid w:val="752C6F96"/>
    <w:rsid w:val="75494133"/>
    <w:rsid w:val="7572476B"/>
    <w:rsid w:val="757C07D3"/>
    <w:rsid w:val="75894FE7"/>
    <w:rsid w:val="759D1102"/>
    <w:rsid w:val="759F7AE1"/>
    <w:rsid w:val="75B97744"/>
    <w:rsid w:val="75D67789"/>
    <w:rsid w:val="75D94865"/>
    <w:rsid w:val="75DA0F67"/>
    <w:rsid w:val="75F07D8C"/>
    <w:rsid w:val="75F5118C"/>
    <w:rsid w:val="760254F7"/>
    <w:rsid w:val="76373F9F"/>
    <w:rsid w:val="764B7067"/>
    <w:rsid w:val="766C6E1B"/>
    <w:rsid w:val="767856CA"/>
    <w:rsid w:val="76BD4CB3"/>
    <w:rsid w:val="76C37481"/>
    <w:rsid w:val="76F51E90"/>
    <w:rsid w:val="76FC709B"/>
    <w:rsid w:val="7701490B"/>
    <w:rsid w:val="7711659E"/>
    <w:rsid w:val="772B279D"/>
    <w:rsid w:val="77347C51"/>
    <w:rsid w:val="775038E7"/>
    <w:rsid w:val="77544FA8"/>
    <w:rsid w:val="776B26B9"/>
    <w:rsid w:val="77752B8E"/>
    <w:rsid w:val="77764390"/>
    <w:rsid w:val="777C7831"/>
    <w:rsid w:val="77812E09"/>
    <w:rsid w:val="778A219E"/>
    <w:rsid w:val="778A7BCA"/>
    <w:rsid w:val="778D5A70"/>
    <w:rsid w:val="77AD62C7"/>
    <w:rsid w:val="77C2031D"/>
    <w:rsid w:val="77C614A7"/>
    <w:rsid w:val="77DA4BE2"/>
    <w:rsid w:val="77F0211E"/>
    <w:rsid w:val="77F04FE9"/>
    <w:rsid w:val="78003773"/>
    <w:rsid w:val="78126B52"/>
    <w:rsid w:val="781C5CB2"/>
    <w:rsid w:val="78236E52"/>
    <w:rsid w:val="784C53E2"/>
    <w:rsid w:val="784F78EB"/>
    <w:rsid w:val="78616AA7"/>
    <w:rsid w:val="78673DC0"/>
    <w:rsid w:val="78701E26"/>
    <w:rsid w:val="78770268"/>
    <w:rsid w:val="789001BE"/>
    <w:rsid w:val="78995985"/>
    <w:rsid w:val="789D0F44"/>
    <w:rsid w:val="78A505D6"/>
    <w:rsid w:val="78B56D85"/>
    <w:rsid w:val="78C62EF6"/>
    <w:rsid w:val="78C630D4"/>
    <w:rsid w:val="78DA4592"/>
    <w:rsid w:val="78E77B5F"/>
    <w:rsid w:val="78F3682E"/>
    <w:rsid w:val="790D7B86"/>
    <w:rsid w:val="791F0593"/>
    <w:rsid w:val="7920460E"/>
    <w:rsid w:val="7927626E"/>
    <w:rsid w:val="792A6932"/>
    <w:rsid w:val="792B16C7"/>
    <w:rsid w:val="79436B42"/>
    <w:rsid w:val="79461F0D"/>
    <w:rsid w:val="7946323B"/>
    <w:rsid w:val="794964C4"/>
    <w:rsid w:val="7955034B"/>
    <w:rsid w:val="79584959"/>
    <w:rsid w:val="797177C8"/>
    <w:rsid w:val="797D3FF1"/>
    <w:rsid w:val="797F5D65"/>
    <w:rsid w:val="79813ADE"/>
    <w:rsid w:val="79905B80"/>
    <w:rsid w:val="79A4224E"/>
    <w:rsid w:val="79B16F2D"/>
    <w:rsid w:val="79B22B0F"/>
    <w:rsid w:val="79B22DE9"/>
    <w:rsid w:val="79D96637"/>
    <w:rsid w:val="7A082774"/>
    <w:rsid w:val="7A1066ED"/>
    <w:rsid w:val="7A1B7CE2"/>
    <w:rsid w:val="7A25577E"/>
    <w:rsid w:val="7A6003FC"/>
    <w:rsid w:val="7A6658B2"/>
    <w:rsid w:val="7A675DDD"/>
    <w:rsid w:val="7A6A3E8A"/>
    <w:rsid w:val="7A6F5FA1"/>
    <w:rsid w:val="7A6F776C"/>
    <w:rsid w:val="7A71106F"/>
    <w:rsid w:val="7A7A49F7"/>
    <w:rsid w:val="7A7C2F6F"/>
    <w:rsid w:val="7A856607"/>
    <w:rsid w:val="7AAA2EF6"/>
    <w:rsid w:val="7AAC3A88"/>
    <w:rsid w:val="7AAD5345"/>
    <w:rsid w:val="7ABB5634"/>
    <w:rsid w:val="7AEA222C"/>
    <w:rsid w:val="7AED74F4"/>
    <w:rsid w:val="7AF741CD"/>
    <w:rsid w:val="7B072762"/>
    <w:rsid w:val="7B0E39EF"/>
    <w:rsid w:val="7B0F3A5E"/>
    <w:rsid w:val="7B1965C0"/>
    <w:rsid w:val="7B1B14EE"/>
    <w:rsid w:val="7B425A3F"/>
    <w:rsid w:val="7B58687E"/>
    <w:rsid w:val="7B5E29DA"/>
    <w:rsid w:val="7B6A44CF"/>
    <w:rsid w:val="7B6D3E0C"/>
    <w:rsid w:val="7B912401"/>
    <w:rsid w:val="7BA14395"/>
    <w:rsid w:val="7BA80898"/>
    <w:rsid w:val="7BB11419"/>
    <w:rsid w:val="7BBB4EA6"/>
    <w:rsid w:val="7BBE463E"/>
    <w:rsid w:val="7BC36771"/>
    <w:rsid w:val="7BDC26F4"/>
    <w:rsid w:val="7BE16742"/>
    <w:rsid w:val="7BE22277"/>
    <w:rsid w:val="7C17751A"/>
    <w:rsid w:val="7C1A449E"/>
    <w:rsid w:val="7C247A0F"/>
    <w:rsid w:val="7C5B5CD3"/>
    <w:rsid w:val="7C60334E"/>
    <w:rsid w:val="7C6C12BD"/>
    <w:rsid w:val="7C7052F0"/>
    <w:rsid w:val="7C743857"/>
    <w:rsid w:val="7C8A3007"/>
    <w:rsid w:val="7CA02F04"/>
    <w:rsid w:val="7CB15751"/>
    <w:rsid w:val="7CB85B38"/>
    <w:rsid w:val="7CBF511F"/>
    <w:rsid w:val="7CC5429F"/>
    <w:rsid w:val="7CD57245"/>
    <w:rsid w:val="7CDA0992"/>
    <w:rsid w:val="7CDB5685"/>
    <w:rsid w:val="7D0B22A7"/>
    <w:rsid w:val="7D2E6E76"/>
    <w:rsid w:val="7D367981"/>
    <w:rsid w:val="7D376633"/>
    <w:rsid w:val="7D3E0825"/>
    <w:rsid w:val="7D44741E"/>
    <w:rsid w:val="7D554062"/>
    <w:rsid w:val="7D5E677D"/>
    <w:rsid w:val="7D653ADC"/>
    <w:rsid w:val="7D696FC9"/>
    <w:rsid w:val="7D6C38F7"/>
    <w:rsid w:val="7D7D48C1"/>
    <w:rsid w:val="7D867E46"/>
    <w:rsid w:val="7D877CBF"/>
    <w:rsid w:val="7D89672B"/>
    <w:rsid w:val="7D92434B"/>
    <w:rsid w:val="7D977DA2"/>
    <w:rsid w:val="7DA2461C"/>
    <w:rsid w:val="7DAC0744"/>
    <w:rsid w:val="7DAF7C8C"/>
    <w:rsid w:val="7DB22223"/>
    <w:rsid w:val="7DBB3598"/>
    <w:rsid w:val="7DC055C5"/>
    <w:rsid w:val="7DCA1631"/>
    <w:rsid w:val="7DD70EAB"/>
    <w:rsid w:val="7DDE72E2"/>
    <w:rsid w:val="7DEC03E3"/>
    <w:rsid w:val="7DEC1CAA"/>
    <w:rsid w:val="7DF051F2"/>
    <w:rsid w:val="7DF154BA"/>
    <w:rsid w:val="7DFC271F"/>
    <w:rsid w:val="7E2B4DE7"/>
    <w:rsid w:val="7E2D1F10"/>
    <w:rsid w:val="7E394D59"/>
    <w:rsid w:val="7E45604F"/>
    <w:rsid w:val="7E480F94"/>
    <w:rsid w:val="7E501A5A"/>
    <w:rsid w:val="7E512745"/>
    <w:rsid w:val="7E516999"/>
    <w:rsid w:val="7E5E479A"/>
    <w:rsid w:val="7E666DA6"/>
    <w:rsid w:val="7E77762F"/>
    <w:rsid w:val="7E7B342B"/>
    <w:rsid w:val="7E8111D8"/>
    <w:rsid w:val="7E876FDB"/>
    <w:rsid w:val="7EAE65C3"/>
    <w:rsid w:val="7EC115BD"/>
    <w:rsid w:val="7ECF6A7A"/>
    <w:rsid w:val="7EDE37B3"/>
    <w:rsid w:val="7EE76E1C"/>
    <w:rsid w:val="7EFF56EF"/>
    <w:rsid w:val="7F044E95"/>
    <w:rsid w:val="7F075EAF"/>
    <w:rsid w:val="7F0E395F"/>
    <w:rsid w:val="7F284D52"/>
    <w:rsid w:val="7F3E17EF"/>
    <w:rsid w:val="7F457BEA"/>
    <w:rsid w:val="7F4735CF"/>
    <w:rsid w:val="7F4A7714"/>
    <w:rsid w:val="7F52348C"/>
    <w:rsid w:val="7F57751E"/>
    <w:rsid w:val="7F59568B"/>
    <w:rsid w:val="7F604BC8"/>
    <w:rsid w:val="7F60712F"/>
    <w:rsid w:val="7F7E679B"/>
    <w:rsid w:val="7F7F450B"/>
    <w:rsid w:val="7F80415D"/>
    <w:rsid w:val="7F9E4157"/>
    <w:rsid w:val="7FAC155A"/>
    <w:rsid w:val="7FB91D8A"/>
    <w:rsid w:val="7FBD748D"/>
    <w:rsid w:val="7FC15718"/>
    <w:rsid w:val="7FC23EAF"/>
    <w:rsid w:val="7FC47812"/>
    <w:rsid w:val="7FF172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name="toc 6"/>
    <w:lsdException w:qFormat="1" w:uiPriority="39" w:name="toc 7"/>
    <w:lsdException w:qFormat="1" w:uiPriority="39" w:name="toc 8"/>
    <w:lsdException w:qFormat="1" w:uiPriority="39" w:name="toc 9"/>
    <w:lsdException w:qFormat="1"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90"/>
    <w:autoRedefine/>
    <w:qFormat/>
    <w:uiPriority w:val="0"/>
    <w:pPr>
      <w:keepNext/>
      <w:keepLines/>
      <w:spacing w:before="120" w:after="120"/>
      <w:jc w:val="center"/>
      <w:outlineLvl w:val="0"/>
    </w:pPr>
    <w:rPr>
      <w:b/>
      <w:spacing w:val="20"/>
      <w:kern w:val="44"/>
      <w:sz w:val="32"/>
    </w:rPr>
  </w:style>
  <w:style w:type="paragraph" w:styleId="3">
    <w:name w:val="heading 2"/>
    <w:basedOn w:val="4"/>
    <w:next w:val="1"/>
    <w:link w:val="57"/>
    <w:autoRedefine/>
    <w:unhideWhenUsed/>
    <w:qFormat/>
    <w:uiPriority w:val="0"/>
    <w:pPr>
      <w:keepNext/>
      <w:keepLines/>
      <w:spacing w:before="240" w:line="400" w:lineRule="exact"/>
      <w:outlineLvl w:val="1"/>
    </w:pPr>
    <w:rPr>
      <w:rFonts w:ascii="Arial" w:hAnsi="Arial"/>
      <w:b/>
      <w:color w:val="000000"/>
      <w:spacing w:val="40"/>
      <w:sz w:val="32"/>
    </w:rPr>
  </w:style>
  <w:style w:type="paragraph" w:styleId="5">
    <w:name w:val="heading 3"/>
    <w:basedOn w:val="1"/>
    <w:next w:val="1"/>
    <w:link w:val="95"/>
    <w:autoRedefine/>
    <w:unhideWhenUsed/>
    <w:qFormat/>
    <w:uiPriority w:val="0"/>
    <w:pPr>
      <w:keepNext/>
      <w:keepLines/>
      <w:spacing w:before="60" w:after="60" w:line="400" w:lineRule="exact"/>
      <w:ind w:firstLine="510"/>
      <w:outlineLvl w:val="2"/>
    </w:pPr>
    <w:rPr>
      <w:rFonts w:ascii="宋体"/>
      <w:b/>
      <w:sz w:val="24"/>
    </w:rPr>
  </w:style>
  <w:style w:type="paragraph" w:styleId="6">
    <w:name w:val="heading 4"/>
    <w:basedOn w:val="1"/>
    <w:next w:val="1"/>
    <w:link w:val="148"/>
    <w:autoRedefine/>
    <w:unhideWhenUsed/>
    <w:qFormat/>
    <w:uiPriority w:val="9"/>
    <w:pPr>
      <w:tabs>
        <w:tab w:val="left" w:pos="2155"/>
      </w:tabs>
      <w:adjustRightInd w:val="0"/>
      <w:spacing w:before="120" w:line="360" w:lineRule="auto"/>
      <w:ind w:left="2155" w:hanging="1078"/>
      <w:textAlignment w:val="baseline"/>
      <w:outlineLvl w:val="3"/>
    </w:pPr>
    <w:rPr>
      <w:rFonts w:ascii="Arial" w:hAnsi="Arial" w:eastAsia="黑体"/>
      <w:kern w:val="0"/>
      <w:sz w:val="28"/>
    </w:rPr>
  </w:style>
  <w:style w:type="paragraph" w:styleId="7">
    <w:name w:val="heading 5"/>
    <w:basedOn w:val="1"/>
    <w:next w:val="1"/>
    <w:link w:val="149"/>
    <w:autoRedefine/>
    <w:unhideWhenUsed/>
    <w:qFormat/>
    <w:uiPriority w:val="0"/>
    <w:pPr>
      <w:keepNext/>
      <w:keepLines/>
      <w:adjustRightInd w:val="0"/>
      <w:spacing w:before="280" w:after="290" w:line="376" w:lineRule="atLeast"/>
      <w:textAlignment w:val="baseline"/>
      <w:outlineLvl w:val="4"/>
    </w:pPr>
    <w:rPr>
      <w:b/>
      <w:kern w:val="0"/>
      <w:sz w:val="28"/>
      <w:szCs w:val="24"/>
    </w:rPr>
  </w:style>
  <w:style w:type="paragraph" w:styleId="8">
    <w:name w:val="heading 6"/>
    <w:basedOn w:val="1"/>
    <w:next w:val="1"/>
    <w:link w:val="150"/>
    <w:autoRedefine/>
    <w:unhideWhenUsed/>
    <w:qFormat/>
    <w:uiPriority w:val="0"/>
    <w:pPr>
      <w:keepNext/>
      <w:keepLines/>
      <w:ind w:firstLine="200" w:firstLineChars="200"/>
      <w:outlineLvl w:val="5"/>
    </w:pPr>
    <w:rPr>
      <w:rFonts w:ascii="Arial" w:hAnsi="Arial" w:cstheme="minorBidi"/>
      <w:sz w:val="24"/>
      <w:szCs w:val="24"/>
    </w:rPr>
  </w:style>
  <w:style w:type="paragraph" w:styleId="9">
    <w:name w:val="heading 7"/>
    <w:basedOn w:val="1"/>
    <w:next w:val="1"/>
    <w:link w:val="151"/>
    <w:autoRedefine/>
    <w:unhideWhenUsed/>
    <w:qFormat/>
    <w:uiPriority w:val="0"/>
    <w:pPr>
      <w:keepNext/>
      <w:keepLines/>
      <w:numPr>
        <w:ilvl w:val="6"/>
        <w:numId w:val="1"/>
      </w:numPr>
      <w:spacing w:before="240" w:after="64" w:line="317" w:lineRule="auto"/>
      <w:outlineLvl w:val="6"/>
    </w:pPr>
    <w:rPr>
      <w:rFonts w:ascii="Arial" w:hAnsi="Arial" w:cstheme="minorBidi"/>
      <w:b/>
      <w:sz w:val="24"/>
      <w:szCs w:val="24"/>
    </w:rPr>
  </w:style>
  <w:style w:type="paragraph" w:styleId="10">
    <w:name w:val="heading 8"/>
    <w:basedOn w:val="1"/>
    <w:next w:val="1"/>
    <w:link w:val="152"/>
    <w:autoRedefine/>
    <w:unhideWhenUsed/>
    <w:qFormat/>
    <w:uiPriority w:val="0"/>
    <w:pPr>
      <w:keepNext/>
      <w:keepLines/>
      <w:numPr>
        <w:ilvl w:val="7"/>
        <w:numId w:val="1"/>
      </w:numPr>
      <w:spacing w:before="240" w:after="64" w:line="317" w:lineRule="auto"/>
      <w:outlineLvl w:val="7"/>
    </w:pPr>
    <w:rPr>
      <w:rFonts w:ascii="Arial" w:hAnsi="Arial" w:cstheme="minorBidi"/>
      <w:b/>
      <w:sz w:val="22"/>
      <w:szCs w:val="24"/>
    </w:rPr>
  </w:style>
  <w:style w:type="paragraph" w:styleId="11">
    <w:name w:val="heading 9"/>
    <w:basedOn w:val="1"/>
    <w:next w:val="1"/>
    <w:link w:val="153"/>
    <w:autoRedefine/>
    <w:unhideWhenUsed/>
    <w:qFormat/>
    <w:uiPriority w:val="0"/>
    <w:pPr>
      <w:keepNext/>
      <w:keepLines/>
      <w:numPr>
        <w:ilvl w:val="8"/>
        <w:numId w:val="1"/>
      </w:numPr>
      <w:spacing w:before="240" w:after="64" w:line="317" w:lineRule="auto"/>
      <w:outlineLvl w:val="8"/>
    </w:pPr>
    <w:rPr>
      <w:rFonts w:ascii="Arial" w:hAnsi="Arial" w:eastAsia="黑体" w:cstheme="minorBidi"/>
      <w:sz w:val="24"/>
      <w:szCs w:val="24"/>
    </w:rPr>
  </w:style>
  <w:style w:type="character" w:default="1" w:styleId="43">
    <w:name w:val="Default Paragraph Font"/>
    <w:autoRedefine/>
    <w:semiHidden/>
    <w:unhideWhenUsed/>
    <w:qFormat/>
    <w:uiPriority w:val="1"/>
  </w:style>
  <w:style w:type="table" w:default="1" w:styleId="41">
    <w:name w:val="Normal Table"/>
    <w:autoRedefine/>
    <w:semiHidden/>
    <w:unhideWhenUsed/>
    <w:qFormat/>
    <w:uiPriority w:val="99"/>
    <w:tblPr>
      <w:tblCellMar>
        <w:top w:w="0" w:type="dxa"/>
        <w:left w:w="108" w:type="dxa"/>
        <w:bottom w:w="0" w:type="dxa"/>
        <w:right w:w="108" w:type="dxa"/>
      </w:tblCellMar>
    </w:tblPr>
  </w:style>
  <w:style w:type="paragraph" w:styleId="4">
    <w:name w:val="List Paragraph"/>
    <w:basedOn w:val="1"/>
    <w:link w:val="145"/>
    <w:autoRedefine/>
    <w:unhideWhenUsed/>
    <w:qFormat/>
    <w:uiPriority w:val="34"/>
    <w:pPr>
      <w:ind w:firstLine="420" w:firstLineChars="200"/>
    </w:pPr>
  </w:style>
  <w:style w:type="paragraph" w:styleId="12">
    <w:name w:val="toc 7"/>
    <w:basedOn w:val="1"/>
    <w:next w:val="1"/>
    <w:autoRedefine/>
    <w:semiHidden/>
    <w:unhideWhenUsed/>
    <w:qFormat/>
    <w:uiPriority w:val="39"/>
    <w:pPr>
      <w:ind w:left="1260"/>
      <w:jc w:val="left"/>
    </w:pPr>
    <w:rPr>
      <w:sz w:val="18"/>
      <w:szCs w:val="18"/>
    </w:rPr>
  </w:style>
  <w:style w:type="paragraph" w:styleId="13">
    <w:name w:val="Normal Indent"/>
    <w:basedOn w:val="1"/>
    <w:next w:val="1"/>
    <w:autoRedefine/>
    <w:semiHidden/>
    <w:unhideWhenUsed/>
    <w:qFormat/>
    <w:uiPriority w:val="99"/>
    <w:pPr>
      <w:ind w:firstLine="420"/>
    </w:pPr>
  </w:style>
  <w:style w:type="paragraph" w:styleId="14">
    <w:name w:val="Document Map"/>
    <w:basedOn w:val="1"/>
    <w:autoRedefine/>
    <w:qFormat/>
    <w:uiPriority w:val="99"/>
    <w:pPr>
      <w:shd w:val="clear" w:color="auto" w:fill="000080"/>
    </w:pPr>
  </w:style>
  <w:style w:type="paragraph" w:styleId="15">
    <w:name w:val="annotation text"/>
    <w:basedOn w:val="1"/>
    <w:link w:val="165"/>
    <w:autoRedefine/>
    <w:unhideWhenUsed/>
    <w:qFormat/>
    <w:uiPriority w:val="99"/>
    <w:pPr>
      <w:jc w:val="left"/>
    </w:pPr>
  </w:style>
  <w:style w:type="paragraph" w:styleId="16">
    <w:name w:val="Body Text 3"/>
    <w:basedOn w:val="1"/>
    <w:autoRedefine/>
    <w:semiHidden/>
    <w:unhideWhenUsed/>
    <w:qFormat/>
    <w:uiPriority w:val="99"/>
    <w:pPr>
      <w:spacing w:after="120"/>
    </w:pPr>
    <w:rPr>
      <w:sz w:val="16"/>
      <w:szCs w:val="16"/>
    </w:rPr>
  </w:style>
  <w:style w:type="paragraph" w:styleId="17">
    <w:name w:val="Body Text"/>
    <w:basedOn w:val="1"/>
    <w:next w:val="1"/>
    <w:link w:val="60"/>
    <w:autoRedefine/>
    <w:semiHidden/>
    <w:unhideWhenUsed/>
    <w:qFormat/>
    <w:uiPriority w:val="99"/>
    <w:rPr>
      <w:rFonts w:ascii="宋体"/>
      <w:sz w:val="24"/>
    </w:rPr>
  </w:style>
  <w:style w:type="paragraph" w:styleId="18">
    <w:name w:val="Body Text Indent"/>
    <w:basedOn w:val="1"/>
    <w:link w:val="63"/>
    <w:autoRedefine/>
    <w:semiHidden/>
    <w:unhideWhenUsed/>
    <w:qFormat/>
    <w:uiPriority w:val="99"/>
    <w:pPr>
      <w:spacing w:line="460" w:lineRule="exact"/>
      <w:ind w:firstLine="510"/>
    </w:pPr>
  </w:style>
  <w:style w:type="paragraph" w:styleId="19">
    <w:name w:val="toc 5"/>
    <w:basedOn w:val="1"/>
    <w:next w:val="1"/>
    <w:autoRedefine/>
    <w:unhideWhenUsed/>
    <w:qFormat/>
    <w:uiPriority w:val="39"/>
    <w:pPr>
      <w:ind w:left="840"/>
      <w:jc w:val="left"/>
    </w:pPr>
    <w:rPr>
      <w:sz w:val="18"/>
      <w:szCs w:val="18"/>
    </w:rPr>
  </w:style>
  <w:style w:type="paragraph" w:styleId="20">
    <w:name w:val="toc 3"/>
    <w:basedOn w:val="1"/>
    <w:next w:val="1"/>
    <w:autoRedefine/>
    <w:unhideWhenUsed/>
    <w:qFormat/>
    <w:uiPriority w:val="39"/>
    <w:pPr>
      <w:ind w:left="420"/>
      <w:jc w:val="left"/>
    </w:pPr>
    <w:rPr>
      <w:i/>
      <w:iCs/>
      <w:sz w:val="20"/>
    </w:rPr>
  </w:style>
  <w:style w:type="paragraph" w:styleId="21">
    <w:name w:val="Plain Text"/>
    <w:basedOn w:val="1"/>
    <w:next w:val="13"/>
    <w:link w:val="157"/>
    <w:autoRedefine/>
    <w:qFormat/>
    <w:uiPriority w:val="0"/>
    <w:rPr>
      <w:rFonts w:ascii="宋体"/>
    </w:rPr>
  </w:style>
  <w:style w:type="paragraph" w:styleId="22">
    <w:name w:val="toc 8"/>
    <w:basedOn w:val="1"/>
    <w:next w:val="1"/>
    <w:autoRedefine/>
    <w:semiHidden/>
    <w:unhideWhenUsed/>
    <w:qFormat/>
    <w:uiPriority w:val="39"/>
    <w:pPr>
      <w:ind w:left="1470"/>
      <w:jc w:val="left"/>
    </w:pPr>
    <w:rPr>
      <w:sz w:val="18"/>
      <w:szCs w:val="18"/>
    </w:rPr>
  </w:style>
  <w:style w:type="paragraph" w:styleId="23">
    <w:name w:val="Date"/>
    <w:basedOn w:val="1"/>
    <w:next w:val="1"/>
    <w:link w:val="164"/>
    <w:autoRedefine/>
    <w:semiHidden/>
    <w:unhideWhenUsed/>
    <w:qFormat/>
    <w:uiPriority w:val="99"/>
    <w:rPr>
      <w:kern w:val="0"/>
      <w:sz w:val="28"/>
    </w:rPr>
  </w:style>
  <w:style w:type="paragraph" w:styleId="24">
    <w:name w:val="Body Text Indent 2"/>
    <w:basedOn w:val="1"/>
    <w:link w:val="96"/>
    <w:autoRedefine/>
    <w:semiHidden/>
    <w:unhideWhenUsed/>
    <w:qFormat/>
    <w:uiPriority w:val="99"/>
    <w:pPr>
      <w:spacing w:line="500" w:lineRule="exact"/>
      <w:ind w:firstLine="510"/>
    </w:pPr>
    <w:rPr>
      <w:rFonts w:ascii="宋体"/>
      <w:sz w:val="24"/>
    </w:rPr>
  </w:style>
  <w:style w:type="paragraph" w:styleId="25">
    <w:name w:val="Balloon Text"/>
    <w:basedOn w:val="1"/>
    <w:link w:val="156"/>
    <w:autoRedefine/>
    <w:semiHidden/>
    <w:unhideWhenUsed/>
    <w:qFormat/>
    <w:uiPriority w:val="99"/>
    <w:rPr>
      <w:sz w:val="18"/>
      <w:szCs w:val="18"/>
    </w:rPr>
  </w:style>
  <w:style w:type="paragraph" w:styleId="26">
    <w:name w:val="footer"/>
    <w:basedOn w:val="1"/>
    <w:link w:val="154"/>
    <w:autoRedefine/>
    <w:qFormat/>
    <w:uiPriority w:val="99"/>
    <w:pPr>
      <w:tabs>
        <w:tab w:val="center" w:pos="4153"/>
        <w:tab w:val="right" w:pos="8306"/>
      </w:tabs>
      <w:snapToGrid w:val="0"/>
      <w:jc w:val="left"/>
    </w:pPr>
    <w:rPr>
      <w:sz w:val="18"/>
    </w:rPr>
  </w:style>
  <w:style w:type="paragraph" w:styleId="27">
    <w:name w:val="header"/>
    <w:basedOn w:val="1"/>
    <w:link w:val="155"/>
    <w:autoRedefine/>
    <w:qFormat/>
    <w:uiPriority w:val="99"/>
    <w:pPr>
      <w:pBdr>
        <w:bottom w:val="single" w:color="auto" w:sz="6" w:space="1"/>
      </w:pBdr>
      <w:tabs>
        <w:tab w:val="center" w:pos="4153"/>
        <w:tab w:val="right" w:pos="8306"/>
      </w:tabs>
      <w:snapToGrid w:val="0"/>
      <w:jc w:val="center"/>
    </w:pPr>
    <w:rPr>
      <w:sz w:val="18"/>
    </w:rPr>
  </w:style>
  <w:style w:type="paragraph" w:styleId="28">
    <w:name w:val="toc 1"/>
    <w:basedOn w:val="1"/>
    <w:next w:val="1"/>
    <w:autoRedefine/>
    <w:unhideWhenUsed/>
    <w:qFormat/>
    <w:uiPriority w:val="39"/>
    <w:pPr>
      <w:tabs>
        <w:tab w:val="right" w:leader="dot" w:pos="9663"/>
      </w:tabs>
      <w:spacing w:before="120" w:after="120"/>
      <w:jc w:val="left"/>
    </w:pPr>
    <w:rPr>
      <w:b/>
      <w:bCs/>
      <w:caps/>
      <w:sz w:val="28"/>
      <w:szCs w:val="28"/>
    </w:rPr>
  </w:style>
  <w:style w:type="paragraph" w:styleId="29">
    <w:name w:val="toc 4"/>
    <w:basedOn w:val="1"/>
    <w:next w:val="1"/>
    <w:autoRedefine/>
    <w:unhideWhenUsed/>
    <w:qFormat/>
    <w:uiPriority w:val="39"/>
    <w:pPr>
      <w:ind w:left="630"/>
      <w:jc w:val="left"/>
    </w:pPr>
    <w:rPr>
      <w:sz w:val="18"/>
      <w:szCs w:val="18"/>
    </w:rPr>
  </w:style>
  <w:style w:type="paragraph" w:styleId="30">
    <w:name w:val="Subtitle"/>
    <w:basedOn w:val="1"/>
    <w:next w:val="1"/>
    <w:autoRedefine/>
    <w:qFormat/>
    <w:uiPriority w:val="11"/>
    <w:pPr>
      <w:spacing w:before="240" w:after="60" w:line="312" w:lineRule="auto"/>
      <w:jc w:val="center"/>
      <w:outlineLvl w:val="1"/>
    </w:pPr>
    <w:rPr>
      <w:rFonts w:ascii="Cambria" w:hAnsi="Cambria"/>
      <w:b/>
      <w:bCs/>
      <w:kern w:val="28"/>
      <w:sz w:val="32"/>
      <w:szCs w:val="32"/>
    </w:rPr>
  </w:style>
  <w:style w:type="paragraph" w:styleId="31">
    <w:name w:val="toc 6"/>
    <w:basedOn w:val="1"/>
    <w:next w:val="1"/>
    <w:autoRedefine/>
    <w:semiHidden/>
    <w:unhideWhenUsed/>
    <w:qFormat/>
    <w:uiPriority w:val="39"/>
    <w:pPr>
      <w:ind w:left="1050"/>
      <w:jc w:val="left"/>
    </w:pPr>
    <w:rPr>
      <w:sz w:val="18"/>
      <w:szCs w:val="18"/>
    </w:rPr>
  </w:style>
  <w:style w:type="paragraph" w:styleId="32">
    <w:name w:val="Body Text Indent 3"/>
    <w:basedOn w:val="1"/>
    <w:autoRedefine/>
    <w:semiHidden/>
    <w:unhideWhenUsed/>
    <w:qFormat/>
    <w:uiPriority w:val="99"/>
    <w:pPr>
      <w:spacing w:line="500" w:lineRule="exact"/>
      <w:ind w:firstLine="510"/>
    </w:pPr>
    <w:rPr>
      <w:rFonts w:ascii="宋体"/>
      <w:color w:val="000000"/>
      <w:sz w:val="26"/>
    </w:rPr>
  </w:style>
  <w:style w:type="paragraph" w:styleId="33">
    <w:name w:val="table of figures"/>
    <w:basedOn w:val="1"/>
    <w:next w:val="1"/>
    <w:autoRedefine/>
    <w:semiHidden/>
    <w:unhideWhenUsed/>
    <w:qFormat/>
    <w:uiPriority w:val="99"/>
    <w:pPr>
      <w:ind w:left="840" w:hanging="420"/>
    </w:pPr>
  </w:style>
  <w:style w:type="paragraph" w:styleId="34">
    <w:name w:val="toc 2"/>
    <w:basedOn w:val="1"/>
    <w:next w:val="1"/>
    <w:autoRedefine/>
    <w:unhideWhenUsed/>
    <w:qFormat/>
    <w:uiPriority w:val="39"/>
    <w:pPr>
      <w:ind w:left="210"/>
      <w:jc w:val="left"/>
    </w:pPr>
    <w:rPr>
      <w:smallCaps/>
      <w:sz w:val="20"/>
    </w:rPr>
  </w:style>
  <w:style w:type="paragraph" w:styleId="35">
    <w:name w:val="toc 9"/>
    <w:basedOn w:val="1"/>
    <w:next w:val="1"/>
    <w:autoRedefine/>
    <w:semiHidden/>
    <w:unhideWhenUsed/>
    <w:qFormat/>
    <w:uiPriority w:val="39"/>
    <w:pPr>
      <w:ind w:left="1680"/>
      <w:jc w:val="left"/>
    </w:pPr>
    <w:rPr>
      <w:sz w:val="18"/>
      <w:szCs w:val="18"/>
    </w:rPr>
  </w:style>
  <w:style w:type="paragraph" w:styleId="36">
    <w:name w:val="Body Text 2"/>
    <w:basedOn w:val="1"/>
    <w:link w:val="179"/>
    <w:autoRedefine/>
    <w:qFormat/>
    <w:uiPriority w:val="0"/>
    <w:pPr>
      <w:spacing w:after="120" w:line="480" w:lineRule="auto"/>
    </w:pPr>
    <w:rPr>
      <w:rFonts w:ascii="宋体"/>
      <w:snapToGrid w:val="0"/>
      <w:kern w:val="21"/>
      <w:szCs w:val="24"/>
    </w:rPr>
  </w:style>
  <w:style w:type="paragraph" w:styleId="37">
    <w:name w:val="Normal (Web)"/>
    <w:basedOn w:val="1"/>
    <w:link w:val="141"/>
    <w:autoRedefine/>
    <w:semiHidden/>
    <w:unhideWhenUsed/>
    <w:qFormat/>
    <w:uiPriority w:val="99"/>
    <w:pPr>
      <w:widowControl/>
      <w:spacing w:before="100" w:beforeAutospacing="1" w:after="100" w:afterAutospacing="1"/>
      <w:jc w:val="left"/>
    </w:pPr>
    <w:rPr>
      <w:rFonts w:ascii="宋体" w:hAnsi="宋体"/>
      <w:kern w:val="0"/>
      <w:sz w:val="24"/>
      <w:szCs w:val="24"/>
    </w:rPr>
  </w:style>
  <w:style w:type="paragraph" w:styleId="38">
    <w:name w:val="Title"/>
    <w:basedOn w:val="1"/>
    <w:next w:val="1"/>
    <w:autoRedefine/>
    <w:qFormat/>
    <w:uiPriority w:val="0"/>
    <w:pPr>
      <w:spacing w:beforeLines="50" w:after="100" w:afterAutospacing="1" w:line="600" w:lineRule="exact"/>
      <w:jc w:val="center"/>
    </w:pPr>
    <w:rPr>
      <w:b/>
      <w:sz w:val="32"/>
      <w:szCs w:val="32"/>
    </w:rPr>
  </w:style>
  <w:style w:type="paragraph" w:styleId="39">
    <w:name w:val="annotation subject"/>
    <w:basedOn w:val="15"/>
    <w:next w:val="15"/>
    <w:link w:val="166"/>
    <w:autoRedefine/>
    <w:semiHidden/>
    <w:unhideWhenUsed/>
    <w:qFormat/>
    <w:uiPriority w:val="99"/>
    <w:rPr>
      <w:b/>
      <w:bCs/>
    </w:rPr>
  </w:style>
  <w:style w:type="paragraph" w:styleId="40">
    <w:name w:val="Body Text First Indent"/>
    <w:basedOn w:val="17"/>
    <w:autoRedefine/>
    <w:qFormat/>
    <w:uiPriority w:val="0"/>
    <w:pPr>
      <w:spacing w:line="312" w:lineRule="auto"/>
      <w:ind w:firstLine="420"/>
    </w:pPr>
  </w:style>
  <w:style w:type="table" w:styleId="42">
    <w:name w:val="Table Grid"/>
    <w:basedOn w:val="4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autoRedefine/>
    <w:qFormat/>
    <w:uiPriority w:val="22"/>
    <w:rPr>
      <w:b/>
      <w:bCs/>
    </w:rPr>
  </w:style>
  <w:style w:type="character" w:styleId="45">
    <w:name w:val="page number"/>
    <w:basedOn w:val="43"/>
    <w:autoRedefine/>
    <w:semiHidden/>
    <w:unhideWhenUsed/>
    <w:qFormat/>
    <w:uiPriority w:val="99"/>
  </w:style>
  <w:style w:type="character" w:styleId="46">
    <w:name w:val="FollowedHyperlink"/>
    <w:basedOn w:val="43"/>
    <w:autoRedefine/>
    <w:semiHidden/>
    <w:unhideWhenUsed/>
    <w:qFormat/>
    <w:uiPriority w:val="99"/>
    <w:rPr>
      <w:rFonts w:hint="eastAsia" w:ascii="宋体" w:hAnsi="宋体" w:eastAsia="宋体" w:cs="宋体"/>
      <w:color w:val="0033CC"/>
      <w:sz w:val="18"/>
      <w:szCs w:val="18"/>
      <w:u w:val="none"/>
    </w:rPr>
  </w:style>
  <w:style w:type="character" w:styleId="47">
    <w:name w:val="Emphasis"/>
    <w:basedOn w:val="43"/>
    <w:autoRedefine/>
    <w:qFormat/>
    <w:uiPriority w:val="20"/>
    <w:rPr>
      <w:i/>
    </w:rPr>
  </w:style>
  <w:style w:type="character" w:styleId="48">
    <w:name w:val="HTML Definition"/>
    <w:basedOn w:val="43"/>
    <w:autoRedefine/>
    <w:semiHidden/>
    <w:unhideWhenUsed/>
    <w:qFormat/>
    <w:uiPriority w:val="99"/>
    <w:rPr>
      <w:i/>
    </w:rPr>
  </w:style>
  <w:style w:type="character" w:styleId="49">
    <w:name w:val="Hyperlink"/>
    <w:basedOn w:val="43"/>
    <w:autoRedefine/>
    <w:unhideWhenUsed/>
    <w:qFormat/>
    <w:uiPriority w:val="99"/>
    <w:rPr>
      <w:rFonts w:hint="eastAsia" w:ascii="宋体" w:hAnsi="宋体" w:eastAsia="宋体" w:cs="宋体"/>
      <w:color w:val="0033CC"/>
      <w:sz w:val="18"/>
      <w:szCs w:val="18"/>
      <w:u w:val="none"/>
    </w:rPr>
  </w:style>
  <w:style w:type="character" w:styleId="50">
    <w:name w:val="HTML Code"/>
    <w:basedOn w:val="43"/>
    <w:autoRedefine/>
    <w:semiHidden/>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autoRedefine/>
    <w:semiHidden/>
    <w:unhideWhenUsed/>
    <w:qFormat/>
    <w:uiPriority w:val="99"/>
    <w:rPr>
      <w:sz w:val="21"/>
      <w:szCs w:val="21"/>
    </w:rPr>
  </w:style>
  <w:style w:type="character" w:styleId="52">
    <w:name w:val="HTML Keyboard"/>
    <w:basedOn w:val="43"/>
    <w:autoRedefine/>
    <w:semiHidden/>
    <w:unhideWhenUsed/>
    <w:qFormat/>
    <w:uiPriority w:val="99"/>
    <w:rPr>
      <w:rFonts w:hint="default" w:ascii="Consolas" w:hAnsi="Consolas" w:eastAsia="Consolas" w:cs="Consolas"/>
      <w:vanish/>
      <w:color w:val="FFFFFF"/>
      <w:sz w:val="21"/>
      <w:szCs w:val="21"/>
      <w:shd w:val="clear" w:color="auto" w:fill="333333"/>
    </w:rPr>
  </w:style>
  <w:style w:type="character" w:styleId="53">
    <w:name w:val="HTML Sample"/>
    <w:basedOn w:val="43"/>
    <w:autoRedefine/>
    <w:semiHidden/>
    <w:unhideWhenUsed/>
    <w:qFormat/>
    <w:uiPriority w:val="99"/>
    <w:rPr>
      <w:rFonts w:ascii="Consolas" w:hAnsi="Consolas" w:eastAsia="Consolas" w:cs="Consolas"/>
      <w:sz w:val="21"/>
      <w:szCs w:val="21"/>
    </w:rPr>
  </w:style>
  <w:style w:type="character" w:customStyle="1" w:styleId="54">
    <w:name w:val="标题 1 Char"/>
    <w:basedOn w:val="43"/>
    <w:autoRedefine/>
    <w:qFormat/>
    <w:uiPriority w:val="0"/>
    <w:rPr>
      <w:rFonts w:ascii="Arial" w:hAnsi="Arial" w:eastAsia="宋体" w:cs="Times New Roman"/>
      <w:b/>
      <w:kern w:val="44"/>
      <w:sz w:val="32"/>
      <w:szCs w:val="24"/>
    </w:rPr>
  </w:style>
  <w:style w:type="paragraph" w:customStyle="1" w:styleId="55">
    <w:name w:val="正常"/>
    <w:basedOn w:val="56"/>
    <w:autoRedefine/>
    <w:qFormat/>
    <w:uiPriority w:val="0"/>
    <w:rPr>
      <w:sz w:val="24"/>
    </w:rPr>
  </w:style>
  <w:style w:type="paragraph" w:customStyle="1" w:styleId="56">
    <w:name w:val="小正常"/>
    <w:basedOn w:val="1"/>
    <w:autoRedefine/>
    <w:qFormat/>
    <w:uiPriority w:val="0"/>
    <w:rPr>
      <w:sz w:val="20"/>
    </w:rPr>
  </w:style>
  <w:style w:type="character" w:customStyle="1" w:styleId="57">
    <w:name w:val="标题 2 字符1"/>
    <w:basedOn w:val="43"/>
    <w:link w:val="3"/>
    <w:qFormat/>
    <w:uiPriority w:val="0"/>
    <w:rPr>
      <w:rFonts w:ascii="Arial" w:hAnsi="Arial" w:eastAsia="宋体" w:cs="Times New Roman"/>
      <w:b/>
      <w:sz w:val="30"/>
      <w:szCs w:val="24"/>
    </w:rPr>
  </w:style>
  <w:style w:type="character" w:customStyle="1" w:styleId="58">
    <w:name w:val="style131"/>
    <w:autoRedefine/>
    <w:qFormat/>
    <w:uiPriority w:val="0"/>
    <w:rPr>
      <w:sz w:val="18"/>
      <w:szCs w:val="18"/>
    </w:rPr>
  </w:style>
  <w:style w:type="character" w:customStyle="1" w:styleId="59">
    <w:name w:val="标题 4 字符"/>
    <w:autoRedefine/>
    <w:qFormat/>
    <w:uiPriority w:val="0"/>
    <w:rPr>
      <w:rFonts w:ascii="Arial" w:hAnsi="Arial" w:eastAsia="黑体"/>
      <w:sz w:val="28"/>
    </w:rPr>
  </w:style>
  <w:style w:type="character" w:customStyle="1" w:styleId="60">
    <w:name w:val="正文文本 字符"/>
    <w:link w:val="17"/>
    <w:autoRedefine/>
    <w:qFormat/>
    <w:uiPriority w:val="0"/>
    <w:rPr>
      <w:rFonts w:ascii="宋体"/>
      <w:kern w:val="2"/>
      <w:sz w:val="24"/>
    </w:rPr>
  </w:style>
  <w:style w:type="character" w:customStyle="1" w:styleId="61">
    <w:name w:val="GW-正文 Char"/>
    <w:link w:val="62"/>
    <w:autoRedefine/>
    <w:qFormat/>
    <w:uiPriority w:val="0"/>
    <w:rPr>
      <w:rFonts w:eastAsia="仿宋_GB2312"/>
      <w:kern w:val="2"/>
      <w:sz w:val="24"/>
      <w:szCs w:val="24"/>
    </w:rPr>
  </w:style>
  <w:style w:type="paragraph" w:customStyle="1" w:styleId="62">
    <w:name w:val="GW-正文"/>
    <w:basedOn w:val="1"/>
    <w:link w:val="61"/>
    <w:autoRedefine/>
    <w:qFormat/>
    <w:uiPriority w:val="0"/>
    <w:pPr>
      <w:spacing w:line="360" w:lineRule="auto"/>
      <w:ind w:firstLine="200" w:firstLineChars="200"/>
    </w:pPr>
    <w:rPr>
      <w:rFonts w:eastAsia="仿宋_GB2312"/>
      <w:sz w:val="24"/>
      <w:szCs w:val="24"/>
    </w:rPr>
  </w:style>
  <w:style w:type="character" w:customStyle="1" w:styleId="63">
    <w:name w:val="正文文本缩进 字符"/>
    <w:link w:val="18"/>
    <w:autoRedefine/>
    <w:qFormat/>
    <w:uiPriority w:val="0"/>
    <w:rPr>
      <w:kern w:val="2"/>
      <w:sz w:val="21"/>
    </w:rPr>
  </w:style>
  <w:style w:type="character" w:customStyle="1" w:styleId="64">
    <w:name w:val="纯文本 字符"/>
    <w:autoRedefine/>
    <w:qFormat/>
    <w:uiPriority w:val="99"/>
    <w:rPr>
      <w:rFonts w:ascii="宋体" w:eastAsia="宋体"/>
      <w:kern w:val="2"/>
      <w:sz w:val="21"/>
      <w:lang w:val="en-US" w:eastAsia="zh-CN" w:bidi="ar-SA"/>
    </w:rPr>
  </w:style>
  <w:style w:type="paragraph" w:customStyle="1" w:styleId="65">
    <w:name w:val="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66">
    <w:name w:val="正文 New New New"/>
    <w:autoRedefine/>
    <w:qFormat/>
    <w:uiPriority w:val="0"/>
    <w:pPr>
      <w:jc w:val="both"/>
    </w:pPr>
    <w:rPr>
      <w:rFonts w:ascii="Times New Roman" w:hAnsi="Times New Roman" w:eastAsia="宋体" w:cs="Times New Roman"/>
      <w:kern w:val="2"/>
      <w:sz w:val="21"/>
      <w:lang w:val="en-US" w:eastAsia="zh-CN" w:bidi="ar-SA"/>
    </w:rPr>
  </w:style>
  <w:style w:type="paragraph" w:customStyle="1" w:styleId="67">
    <w:name w:val="修订1"/>
    <w:autoRedefine/>
    <w:semiHidden/>
    <w:qFormat/>
    <w:uiPriority w:val="99"/>
    <w:rPr>
      <w:rFonts w:ascii="Times New Roman" w:hAnsi="Times New Roman" w:eastAsia="宋体" w:cs="Times New Roman"/>
      <w:kern w:val="2"/>
      <w:sz w:val="21"/>
      <w:lang w:val="en-US" w:eastAsia="zh-CN" w:bidi="ar-SA"/>
    </w:rPr>
  </w:style>
  <w:style w:type="paragraph" w:customStyle="1" w:styleId="68">
    <w:name w:val="Char Char Char Char"/>
    <w:basedOn w:val="1"/>
    <w:autoRedefine/>
    <w:qFormat/>
    <w:uiPriority w:val="0"/>
    <w:rPr>
      <w:szCs w:val="24"/>
    </w:rPr>
  </w:style>
  <w:style w:type="paragraph" w:customStyle="1" w:styleId="69">
    <w:name w:val="目录"/>
    <w:basedOn w:val="1"/>
    <w:autoRedefine/>
    <w:qFormat/>
    <w:uiPriority w:val="0"/>
    <w:pPr>
      <w:widowControl/>
      <w:jc w:val="center"/>
    </w:pPr>
    <w:rPr>
      <w:rFonts w:ascii="宋体"/>
      <w:b/>
      <w:kern w:val="0"/>
      <w:sz w:val="36"/>
    </w:rPr>
  </w:style>
  <w:style w:type="paragraph" w:customStyle="1" w:styleId="7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1">
    <w:name w:val="子弹１"/>
    <w:basedOn w:val="72"/>
    <w:autoRedefine/>
    <w:qFormat/>
    <w:uiPriority w:val="0"/>
    <w:pPr>
      <w:tabs>
        <w:tab w:val="left" w:pos="873"/>
        <w:tab w:val="left" w:pos="1134"/>
        <w:tab w:val="right" w:pos="9356"/>
      </w:tabs>
    </w:pPr>
  </w:style>
  <w:style w:type="paragraph" w:customStyle="1" w:styleId="72">
    <w:name w:val="子弹"/>
    <w:basedOn w:val="1"/>
    <w:autoRedefine/>
    <w:qFormat/>
    <w:uiPriority w:val="0"/>
    <w:pPr>
      <w:tabs>
        <w:tab w:val="left" w:pos="1134"/>
        <w:tab w:val="right" w:pos="9356"/>
      </w:tabs>
      <w:ind w:left="720" w:hanging="360"/>
    </w:pPr>
    <w:rPr>
      <w:rFonts w:ascii="新宋体" w:hAnsi="新宋体" w:eastAsia="新宋体"/>
      <w:sz w:val="28"/>
      <w:szCs w:val="28"/>
    </w:rPr>
  </w:style>
  <w:style w:type="paragraph" w:customStyle="1" w:styleId="73">
    <w:name w:val="p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74">
    <w:name w:val="列出段落1"/>
    <w:basedOn w:val="1"/>
    <w:autoRedefine/>
    <w:qFormat/>
    <w:uiPriority w:val="34"/>
    <w:pPr>
      <w:ind w:firstLine="420" w:firstLineChars="200"/>
    </w:pPr>
    <w:rPr>
      <w:szCs w:val="24"/>
    </w:rPr>
  </w:style>
  <w:style w:type="paragraph" w:customStyle="1" w:styleId="75">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76">
    <w:name w:val="Char Char Char Char1"/>
    <w:basedOn w:val="14"/>
    <w:autoRedefine/>
    <w:qFormat/>
    <w:uiPriority w:val="0"/>
    <w:pPr>
      <w:adjustRightInd w:val="0"/>
      <w:snapToGrid w:val="0"/>
      <w:spacing w:line="360" w:lineRule="auto"/>
    </w:pPr>
    <w:rPr>
      <w:rFonts w:ascii="Tahoma" w:hAnsi="Tahoma"/>
      <w:sz w:val="24"/>
      <w:szCs w:val="24"/>
    </w:rPr>
  </w:style>
  <w:style w:type="paragraph" w:customStyle="1" w:styleId="77">
    <w:name w:val="默认段落字体 Para Char Char Char Char"/>
    <w:basedOn w:val="1"/>
    <w:autoRedefine/>
    <w:qFormat/>
    <w:uiPriority w:val="0"/>
    <w:rPr>
      <w:szCs w:val="24"/>
    </w:rPr>
  </w:style>
  <w:style w:type="paragraph" w:customStyle="1" w:styleId="78">
    <w:name w:val="Char Char1"/>
    <w:basedOn w:val="1"/>
    <w:autoRedefine/>
    <w:qFormat/>
    <w:uiPriority w:val="0"/>
    <w:pPr>
      <w:widowControl/>
      <w:spacing w:after="160" w:line="240" w:lineRule="exact"/>
      <w:jc w:val="left"/>
    </w:pPr>
    <w:rPr>
      <w:rFonts w:ascii="Verdana" w:hAnsi="Verdana" w:eastAsia="仿宋_GB2312"/>
      <w:kern w:val="0"/>
      <w:sz w:val="20"/>
      <w:lang w:eastAsia="en-US"/>
    </w:rPr>
  </w:style>
  <w:style w:type="paragraph" w:customStyle="1" w:styleId="79">
    <w:name w:val="列出段落11"/>
    <w:basedOn w:val="1"/>
    <w:autoRedefine/>
    <w:qFormat/>
    <w:uiPriority w:val="0"/>
    <w:pPr>
      <w:ind w:firstLine="420" w:firstLineChars="200"/>
    </w:pPr>
    <w:rPr>
      <w:rFonts w:ascii="Calibri" w:hAnsi="Calibri"/>
      <w:szCs w:val="22"/>
    </w:rPr>
  </w:style>
  <w:style w:type="paragraph" w:customStyle="1" w:styleId="80">
    <w:name w:val="Char1"/>
    <w:basedOn w:val="1"/>
    <w:qFormat/>
    <w:uiPriority w:val="0"/>
    <w:rPr>
      <w:rFonts w:ascii="Tahoma" w:hAnsi="Tahoma"/>
      <w:sz w:val="24"/>
    </w:rPr>
  </w:style>
  <w:style w:type="paragraph" w:customStyle="1" w:styleId="81">
    <w:name w:val="样式1"/>
    <w:basedOn w:val="3"/>
    <w:autoRedefine/>
    <w:qFormat/>
    <w:uiPriority w:val="0"/>
    <w:pPr>
      <w:adjustRightInd w:val="0"/>
      <w:spacing w:line="416" w:lineRule="atLeast"/>
      <w:jc w:val="left"/>
      <w:textAlignment w:val="baseline"/>
    </w:pPr>
    <w:rPr>
      <w:rFonts w:eastAsia="黑体"/>
      <w:spacing w:val="0"/>
      <w:kern w:val="0"/>
      <w:sz w:val="30"/>
    </w:rPr>
  </w:style>
  <w:style w:type="character" w:customStyle="1" w:styleId="82">
    <w:name w:val="批注框文本 字符"/>
    <w:autoRedefine/>
    <w:qFormat/>
    <w:uiPriority w:val="0"/>
    <w:rPr>
      <w:kern w:val="2"/>
      <w:sz w:val="18"/>
      <w:szCs w:val="18"/>
    </w:rPr>
  </w:style>
  <w:style w:type="character" w:customStyle="1" w:styleId="83">
    <w:name w:val="grame"/>
    <w:autoRedefine/>
    <w:qFormat/>
    <w:uiPriority w:val="0"/>
  </w:style>
  <w:style w:type="character" w:customStyle="1" w:styleId="84">
    <w:name w:val="标题 5 字符"/>
    <w:basedOn w:val="43"/>
    <w:qFormat/>
    <w:uiPriority w:val="0"/>
    <w:rPr>
      <w:b/>
      <w:sz w:val="28"/>
      <w:szCs w:val="24"/>
    </w:rPr>
  </w:style>
  <w:style w:type="character" w:customStyle="1" w:styleId="85">
    <w:name w:val="日期 字符"/>
    <w:autoRedefine/>
    <w:qFormat/>
    <w:uiPriority w:val="0"/>
    <w:rPr>
      <w:sz w:val="28"/>
    </w:rPr>
  </w:style>
  <w:style w:type="paragraph" w:customStyle="1" w:styleId="86">
    <w:name w:val="1"/>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87">
    <w:name w:val="孙普文字 Char"/>
    <w:autoRedefine/>
    <w:qFormat/>
    <w:uiPriority w:val="0"/>
    <w:rPr>
      <w:rFonts w:ascii="宋体" w:hAnsi="Times New Roman" w:eastAsia="宋体" w:cs="Times New Roman"/>
      <w:szCs w:val="20"/>
    </w:rPr>
  </w:style>
  <w:style w:type="character" w:customStyle="1" w:styleId="88">
    <w:name w:val="页脚 字符"/>
    <w:autoRedefine/>
    <w:qFormat/>
    <w:uiPriority w:val="99"/>
    <w:rPr>
      <w:kern w:val="2"/>
      <w:sz w:val="18"/>
    </w:rPr>
  </w:style>
  <w:style w:type="character" w:customStyle="1" w:styleId="89">
    <w:name w:val="不明显强调1"/>
    <w:autoRedefine/>
    <w:qFormat/>
    <w:uiPriority w:val="0"/>
    <w:rPr>
      <w:rFonts w:eastAsia="仿宋_GB2312"/>
      <w:iCs/>
      <w:color w:val="auto"/>
      <w:sz w:val="24"/>
    </w:rPr>
  </w:style>
  <w:style w:type="character" w:customStyle="1" w:styleId="90">
    <w:name w:val="标题 1 字符"/>
    <w:link w:val="2"/>
    <w:autoRedefine/>
    <w:qFormat/>
    <w:uiPriority w:val="0"/>
    <w:rPr>
      <w:b/>
      <w:spacing w:val="20"/>
      <w:kern w:val="44"/>
      <w:sz w:val="32"/>
    </w:rPr>
  </w:style>
  <w:style w:type="character" w:customStyle="1" w:styleId="91">
    <w:name w:val="标题 3 字符"/>
    <w:autoRedefine/>
    <w:qFormat/>
    <w:uiPriority w:val="0"/>
    <w:rPr>
      <w:rFonts w:ascii="宋体"/>
      <w:b/>
      <w:kern w:val="2"/>
      <w:sz w:val="24"/>
    </w:rPr>
  </w:style>
  <w:style w:type="character" w:customStyle="1" w:styleId="92">
    <w:name w:val="标题 3 Char1"/>
    <w:autoRedefine/>
    <w:qFormat/>
    <w:uiPriority w:val="0"/>
    <w:rPr>
      <w:rFonts w:eastAsia="宋体"/>
      <w:b/>
      <w:bCs/>
      <w:kern w:val="2"/>
      <w:sz w:val="32"/>
      <w:szCs w:val="32"/>
      <w:lang w:val="en-US" w:eastAsia="zh-CN" w:bidi="ar-SA"/>
    </w:rPr>
  </w:style>
  <w:style w:type="character" w:customStyle="1" w:styleId="93">
    <w:name w:val="short_text1"/>
    <w:autoRedefine/>
    <w:qFormat/>
    <w:uiPriority w:val="0"/>
    <w:rPr>
      <w:sz w:val="26"/>
      <w:szCs w:val="26"/>
    </w:rPr>
  </w:style>
  <w:style w:type="character" w:customStyle="1" w:styleId="94">
    <w:name w:val="标题 2 字符"/>
    <w:autoRedefine/>
    <w:qFormat/>
    <w:uiPriority w:val="0"/>
    <w:rPr>
      <w:rFonts w:ascii="Arial" w:hAnsi="Arial"/>
      <w:b/>
      <w:color w:val="000000"/>
      <w:spacing w:val="40"/>
      <w:kern w:val="2"/>
      <w:sz w:val="32"/>
    </w:rPr>
  </w:style>
  <w:style w:type="character" w:customStyle="1" w:styleId="95">
    <w:name w:val="标题 3 字符1"/>
    <w:basedOn w:val="43"/>
    <w:link w:val="5"/>
    <w:autoRedefine/>
    <w:qFormat/>
    <w:uiPriority w:val="0"/>
    <w:rPr>
      <w:rFonts w:eastAsia="宋体"/>
      <w:b/>
      <w:bCs/>
      <w:kern w:val="2"/>
      <w:sz w:val="32"/>
      <w:szCs w:val="32"/>
      <w:lang w:val="en-US" w:eastAsia="zh-CN" w:bidi="ar-SA"/>
    </w:rPr>
  </w:style>
  <w:style w:type="character" w:customStyle="1" w:styleId="96">
    <w:name w:val="正文文本缩进 2 字符"/>
    <w:link w:val="24"/>
    <w:autoRedefine/>
    <w:qFormat/>
    <w:uiPriority w:val="0"/>
    <w:rPr>
      <w:rFonts w:ascii="宋体"/>
      <w:kern w:val="2"/>
      <w:sz w:val="24"/>
    </w:rPr>
  </w:style>
  <w:style w:type="character" w:customStyle="1" w:styleId="97">
    <w:name w:val="纯文本 Char2"/>
    <w:autoRedefine/>
    <w:qFormat/>
    <w:uiPriority w:val="99"/>
    <w:rPr>
      <w:rFonts w:ascii="宋体" w:eastAsia="宋体"/>
      <w:kern w:val="2"/>
      <w:sz w:val="21"/>
      <w:lang w:val="en-US" w:eastAsia="zh-CN" w:bidi="ar-SA"/>
    </w:rPr>
  </w:style>
  <w:style w:type="character" w:customStyle="1" w:styleId="98">
    <w:name w:val="纯文本 Char1"/>
    <w:autoRedefine/>
    <w:qFormat/>
    <w:uiPriority w:val="0"/>
    <w:rPr>
      <w:rFonts w:ascii="宋体" w:eastAsia="宋体"/>
      <w:kern w:val="2"/>
      <w:sz w:val="21"/>
      <w:lang w:val="en-US" w:eastAsia="zh-CN" w:bidi="ar-SA"/>
    </w:rPr>
  </w:style>
  <w:style w:type="paragraph" w:customStyle="1" w:styleId="99">
    <w:name w:val="抬头"/>
    <w:basedOn w:val="1"/>
    <w:autoRedefine/>
    <w:qFormat/>
    <w:uiPriority w:val="0"/>
    <w:pPr>
      <w:spacing w:beforeLines="50" w:line="360" w:lineRule="auto"/>
    </w:pPr>
    <w:rPr>
      <w:rFonts w:ascii="宋体"/>
      <w:sz w:val="24"/>
      <w:szCs w:val="24"/>
    </w:rPr>
  </w:style>
  <w:style w:type="paragraph" w:customStyle="1" w:styleId="100">
    <w:name w:val="5"/>
    <w:basedOn w:val="1"/>
    <w:autoRedefine/>
    <w:qFormat/>
    <w:uiPriority w:val="0"/>
    <w:pPr>
      <w:tabs>
        <w:tab w:val="right" w:pos="-2120"/>
      </w:tabs>
      <w:snapToGrid w:val="0"/>
    </w:pPr>
    <w:rPr>
      <w:rFonts w:ascii="Tahoma" w:hAnsi="Tahoma"/>
      <w:spacing w:val="6"/>
      <w:sz w:val="24"/>
    </w:rPr>
  </w:style>
  <w:style w:type="paragraph" w:customStyle="1" w:styleId="101">
    <w:name w:val="表格"/>
    <w:basedOn w:val="1"/>
    <w:autoRedefine/>
    <w:qFormat/>
    <w:uiPriority w:val="0"/>
    <w:pPr>
      <w:tabs>
        <w:tab w:val="left" w:pos="1200"/>
      </w:tabs>
      <w:spacing w:line="500" w:lineRule="exact"/>
      <w:jc w:val="center"/>
    </w:pPr>
    <w:rPr>
      <w:rFonts w:ascii="宋体"/>
      <w:sz w:val="24"/>
      <w:szCs w:val="18"/>
    </w:rPr>
  </w:style>
  <w:style w:type="paragraph" w:customStyle="1" w:styleId="102">
    <w:name w:val="xl23"/>
    <w:next w:val="35"/>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03">
    <w:name w:val="无间距"/>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4">
    <w:name w:val="Char Char Char Char Char Char Char Char Char Char Char Char"/>
    <w:basedOn w:val="1"/>
    <w:autoRedefine/>
    <w:qFormat/>
    <w:uiPriority w:val="0"/>
    <w:pPr>
      <w:tabs>
        <w:tab w:val="right" w:pos="-2120"/>
      </w:tabs>
      <w:snapToGrid w:val="0"/>
    </w:pPr>
    <w:rPr>
      <w:rFonts w:ascii="Tahoma" w:hAnsi="Tahoma"/>
      <w:spacing w:val="6"/>
      <w:sz w:val="24"/>
    </w:rPr>
  </w:style>
  <w:style w:type="paragraph" w:customStyle="1" w:styleId="105">
    <w:name w:val="Absatz2AL"/>
    <w:basedOn w:val="17"/>
    <w:next w:val="1"/>
    <w:autoRedefine/>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106">
    <w:name w:val="_Style 1"/>
    <w:basedOn w:val="1"/>
    <w:autoRedefine/>
    <w:qFormat/>
    <w:uiPriority w:val="34"/>
    <w:pPr>
      <w:spacing w:line="276" w:lineRule="auto"/>
      <w:ind w:left="720"/>
      <w:contextualSpacing/>
    </w:pPr>
    <w:rPr>
      <w:rFonts w:ascii="Calibri" w:hAnsi="Calibri"/>
      <w:szCs w:val="24"/>
    </w:rPr>
  </w:style>
  <w:style w:type="paragraph" w:customStyle="1" w:styleId="107">
    <w:name w:val="Char Char Char"/>
    <w:basedOn w:val="1"/>
    <w:autoRedefine/>
    <w:qFormat/>
    <w:uiPriority w:val="0"/>
    <w:pPr>
      <w:ind w:firstLine="200" w:firstLineChars="200"/>
    </w:pPr>
    <w:rPr>
      <w:sz w:val="24"/>
      <w:szCs w:val="24"/>
    </w:rPr>
  </w:style>
  <w:style w:type="paragraph" w:customStyle="1" w:styleId="108">
    <w:name w:val="样式2"/>
    <w:basedOn w:val="1"/>
    <w:autoRedefine/>
    <w:qFormat/>
    <w:uiPriority w:val="0"/>
    <w:pPr>
      <w:spacing w:line="360" w:lineRule="auto"/>
    </w:pPr>
    <w:rPr>
      <w:rFonts w:ascii="Century Gothic" w:hAnsi="Century Gothic" w:eastAsia="黑体"/>
      <w:b/>
      <w:sz w:val="32"/>
      <w:szCs w:val="30"/>
    </w:rPr>
  </w:style>
  <w:style w:type="paragraph" w:customStyle="1" w:styleId="109">
    <w:name w:val="Char13"/>
    <w:basedOn w:val="1"/>
    <w:autoRedefine/>
    <w:qFormat/>
    <w:uiPriority w:val="0"/>
    <w:rPr>
      <w:szCs w:val="24"/>
    </w:rPr>
  </w:style>
  <w:style w:type="paragraph" w:customStyle="1" w:styleId="110">
    <w:name w:val="缺省文本"/>
    <w:basedOn w:val="1"/>
    <w:autoRedefine/>
    <w:qFormat/>
    <w:uiPriority w:val="0"/>
    <w:pPr>
      <w:autoSpaceDE w:val="0"/>
      <w:autoSpaceDN w:val="0"/>
      <w:adjustRightInd w:val="0"/>
      <w:jc w:val="left"/>
    </w:pPr>
    <w:rPr>
      <w:kern w:val="0"/>
      <w:sz w:val="24"/>
    </w:rPr>
  </w:style>
  <w:style w:type="paragraph" w:customStyle="1" w:styleId="111">
    <w:name w:val="正文五号"/>
    <w:basedOn w:val="1"/>
    <w:autoRedefine/>
    <w:qFormat/>
    <w:uiPriority w:val="0"/>
    <w:rPr>
      <w:rFonts w:ascii="宋体" w:eastAsia="仿宋_GB2312"/>
    </w:rPr>
  </w:style>
  <w:style w:type="paragraph" w:customStyle="1" w:styleId="112">
    <w:name w:val="Char Char1 Char Char"/>
    <w:basedOn w:val="1"/>
    <w:autoRedefine/>
    <w:qFormat/>
    <w:uiPriority w:val="0"/>
    <w:pPr>
      <w:tabs>
        <w:tab w:val="left" w:pos="360"/>
      </w:tabs>
    </w:pPr>
  </w:style>
  <w:style w:type="paragraph" w:customStyle="1" w:styleId="113">
    <w:name w:val="TOC 标题1"/>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spacing w:val="0"/>
      <w:kern w:val="0"/>
      <w:sz w:val="28"/>
      <w:szCs w:val="28"/>
    </w:rPr>
  </w:style>
  <w:style w:type="paragraph" w:customStyle="1" w:styleId="114">
    <w:name w:val="_Style 2"/>
    <w:basedOn w:val="1"/>
    <w:autoRedefine/>
    <w:qFormat/>
    <w:uiPriority w:val="99"/>
    <w:pPr>
      <w:ind w:firstLine="420" w:firstLineChars="200"/>
    </w:pPr>
    <w:rPr>
      <w:szCs w:val="21"/>
    </w:rPr>
  </w:style>
  <w:style w:type="paragraph" w:customStyle="1" w:styleId="115">
    <w:name w:val="修订2"/>
    <w:autoRedefine/>
    <w:hidden/>
    <w:semiHidden/>
    <w:qFormat/>
    <w:uiPriority w:val="99"/>
    <w:rPr>
      <w:rFonts w:ascii="Times New Roman" w:hAnsi="Times New Roman" w:eastAsia="宋体" w:cs="Times New Roman"/>
      <w:kern w:val="2"/>
      <w:sz w:val="21"/>
      <w:lang w:val="en-US" w:eastAsia="zh-CN" w:bidi="ar-SA"/>
    </w:rPr>
  </w:style>
  <w:style w:type="paragraph" w:customStyle="1" w:styleId="116">
    <w:name w:val="修订3"/>
    <w:autoRedefine/>
    <w:hidden/>
    <w:unhideWhenUsed/>
    <w:qFormat/>
    <w:uiPriority w:val="99"/>
    <w:rPr>
      <w:rFonts w:ascii="Times New Roman" w:hAnsi="Times New Roman" w:eastAsia="宋体" w:cs="Times New Roman"/>
      <w:kern w:val="2"/>
      <w:sz w:val="21"/>
      <w:lang w:val="en-US" w:eastAsia="zh-CN" w:bidi="ar-SA"/>
    </w:rPr>
  </w:style>
  <w:style w:type="paragraph" w:customStyle="1" w:styleId="117">
    <w:name w:val="修订4"/>
    <w:autoRedefine/>
    <w:hidden/>
    <w:unhideWhenUsed/>
    <w:qFormat/>
    <w:uiPriority w:val="99"/>
    <w:rPr>
      <w:rFonts w:ascii="Times New Roman" w:hAnsi="Times New Roman" w:eastAsia="宋体" w:cs="Times New Roman"/>
      <w:kern w:val="2"/>
      <w:sz w:val="21"/>
      <w:lang w:val="en-US" w:eastAsia="zh-CN" w:bidi="ar-SA"/>
    </w:rPr>
  </w:style>
  <w:style w:type="paragraph" w:customStyle="1" w:styleId="118">
    <w:name w:val="修订5"/>
    <w:autoRedefine/>
    <w:hidden/>
    <w:unhideWhenUsed/>
    <w:qFormat/>
    <w:uiPriority w:val="99"/>
    <w:rPr>
      <w:rFonts w:ascii="Times New Roman" w:hAnsi="Times New Roman" w:eastAsia="宋体" w:cs="Times New Roman"/>
      <w:kern w:val="2"/>
      <w:sz w:val="21"/>
      <w:lang w:val="en-US" w:eastAsia="zh-CN" w:bidi="ar-SA"/>
    </w:rPr>
  </w:style>
  <w:style w:type="character" w:customStyle="1" w:styleId="119">
    <w:name w:val="无"/>
    <w:autoRedefine/>
    <w:qFormat/>
    <w:uiPriority w:val="0"/>
  </w:style>
  <w:style w:type="paragraph" w:customStyle="1" w:styleId="120">
    <w:name w:val="修订6"/>
    <w:autoRedefine/>
    <w:hidden/>
    <w:unhideWhenUsed/>
    <w:qFormat/>
    <w:uiPriority w:val="99"/>
    <w:rPr>
      <w:rFonts w:ascii="Times New Roman" w:hAnsi="Times New Roman" w:eastAsia="宋体" w:cs="Times New Roman"/>
      <w:kern w:val="2"/>
      <w:sz w:val="21"/>
      <w:lang w:val="en-US" w:eastAsia="zh-CN" w:bidi="ar-SA"/>
    </w:rPr>
  </w:style>
  <w:style w:type="paragraph" w:customStyle="1" w:styleId="121">
    <w:name w:val="列出段落2"/>
    <w:basedOn w:val="1"/>
    <w:autoRedefine/>
    <w:unhideWhenUsed/>
    <w:qFormat/>
    <w:uiPriority w:val="99"/>
    <w:pPr>
      <w:ind w:firstLine="420" w:firstLineChars="200"/>
    </w:pPr>
  </w:style>
  <w:style w:type="character" w:customStyle="1" w:styleId="122">
    <w:name w:val="hover1"/>
    <w:basedOn w:val="43"/>
    <w:autoRedefine/>
    <w:qFormat/>
    <w:uiPriority w:val="0"/>
    <w:rPr>
      <w:shd w:val="clear" w:color="auto" w:fill="EEEEEE"/>
    </w:rPr>
  </w:style>
  <w:style w:type="character" w:customStyle="1" w:styleId="123">
    <w:name w:val="hour_am"/>
    <w:basedOn w:val="43"/>
    <w:autoRedefine/>
    <w:qFormat/>
    <w:uiPriority w:val="0"/>
  </w:style>
  <w:style w:type="character" w:customStyle="1" w:styleId="124">
    <w:name w:val="icon"/>
    <w:basedOn w:val="43"/>
    <w:autoRedefine/>
    <w:qFormat/>
    <w:uiPriority w:val="0"/>
  </w:style>
  <w:style w:type="character" w:customStyle="1" w:styleId="125">
    <w:name w:val="old"/>
    <w:basedOn w:val="43"/>
    <w:autoRedefine/>
    <w:qFormat/>
    <w:uiPriority w:val="0"/>
    <w:rPr>
      <w:color w:val="999999"/>
    </w:rPr>
  </w:style>
  <w:style w:type="character" w:customStyle="1" w:styleId="126">
    <w:name w:val="hour_pm"/>
    <w:basedOn w:val="43"/>
    <w:autoRedefine/>
    <w:qFormat/>
    <w:uiPriority w:val="0"/>
  </w:style>
  <w:style w:type="character" w:customStyle="1" w:styleId="127">
    <w:name w:val="glyphicon6"/>
    <w:basedOn w:val="43"/>
    <w:autoRedefine/>
    <w:qFormat/>
    <w:uiPriority w:val="0"/>
  </w:style>
  <w:style w:type="character" w:customStyle="1" w:styleId="128">
    <w:name w:val="indent"/>
    <w:basedOn w:val="43"/>
    <w:autoRedefine/>
    <w:qFormat/>
    <w:uiPriority w:val="0"/>
  </w:style>
  <w:style w:type="paragraph" w:customStyle="1" w:styleId="129">
    <w:name w:val="_Style 114"/>
    <w:basedOn w:val="1"/>
    <w:next w:val="1"/>
    <w:autoRedefine/>
    <w:qFormat/>
    <w:uiPriority w:val="0"/>
    <w:pPr>
      <w:pBdr>
        <w:bottom w:val="single" w:color="auto" w:sz="6" w:space="1"/>
      </w:pBdr>
      <w:jc w:val="center"/>
    </w:pPr>
    <w:rPr>
      <w:rFonts w:ascii="Arial"/>
      <w:vanish/>
      <w:sz w:val="16"/>
    </w:rPr>
  </w:style>
  <w:style w:type="paragraph" w:customStyle="1" w:styleId="130">
    <w:name w:val="_Style 115"/>
    <w:basedOn w:val="1"/>
    <w:next w:val="1"/>
    <w:autoRedefine/>
    <w:qFormat/>
    <w:uiPriority w:val="0"/>
    <w:pPr>
      <w:pBdr>
        <w:top w:val="single" w:color="auto" w:sz="6" w:space="1"/>
      </w:pBdr>
      <w:jc w:val="center"/>
    </w:pPr>
    <w:rPr>
      <w:rFonts w:ascii="Arial"/>
      <w:vanish/>
      <w:sz w:val="16"/>
    </w:rPr>
  </w:style>
  <w:style w:type="character" w:customStyle="1" w:styleId="131">
    <w:name w:val="glyphicon"/>
    <w:basedOn w:val="43"/>
    <w:autoRedefine/>
    <w:qFormat/>
    <w:uiPriority w:val="0"/>
  </w:style>
  <w:style w:type="character" w:customStyle="1" w:styleId="132">
    <w:name w:val="hover"/>
    <w:basedOn w:val="43"/>
    <w:autoRedefine/>
    <w:qFormat/>
    <w:uiPriority w:val="0"/>
    <w:rPr>
      <w:shd w:val="clear" w:color="auto" w:fill="EEEEEE"/>
    </w:rPr>
  </w:style>
  <w:style w:type="paragraph" w:customStyle="1" w:styleId="133">
    <w:name w:val="无间隔1"/>
    <w:autoRedefine/>
    <w:qFormat/>
    <w:uiPriority w:val="99"/>
    <w:pPr>
      <w:adjustRightInd w:val="0"/>
      <w:snapToGrid w:val="0"/>
    </w:pPr>
    <w:rPr>
      <w:rFonts w:ascii="Tahoma" w:hAnsi="Tahoma" w:eastAsia="微软雅黑" w:cs="Times New Roman"/>
      <w:sz w:val="22"/>
      <w:szCs w:val="22"/>
      <w:lang w:val="en-US" w:eastAsia="zh-CN" w:bidi="ar-SA"/>
    </w:rPr>
  </w:style>
  <w:style w:type="character" w:customStyle="1" w:styleId="134">
    <w:name w:val="font01"/>
    <w:basedOn w:val="43"/>
    <w:autoRedefine/>
    <w:qFormat/>
    <w:uiPriority w:val="0"/>
    <w:rPr>
      <w:rFonts w:hint="eastAsia" w:ascii="宋体" w:hAnsi="宋体" w:eastAsia="宋体" w:cs="宋体"/>
      <w:color w:val="000000"/>
      <w:sz w:val="20"/>
      <w:szCs w:val="20"/>
      <w:u w:val="none"/>
    </w:rPr>
  </w:style>
  <w:style w:type="character" w:customStyle="1" w:styleId="135">
    <w:name w:val="hps"/>
    <w:autoRedefine/>
    <w:qFormat/>
    <w:uiPriority w:val="0"/>
  </w:style>
  <w:style w:type="character" w:customStyle="1" w:styleId="136">
    <w:name w:val="font91"/>
    <w:autoRedefine/>
    <w:qFormat/>
    <w:uiPriority w:val="0"/>
    <w:rPr>
      <w:rFonts w:hint="eastAsia" w:ascii="宋体" w:hAnsi="宋体" w:eastAsia="宋体" w:cs="宋体"/>
      <w:color w:val="000000"/>
      <w:sz w:val="20"/>
      <w:szCs w:val="20"/>
      <w:u w:val="none"/>
    </w:rPr>
  </w:style>
  <w:style w:type="character" w:customStyle="1" w:styleId="137">
    <w:name w:val="font41"/>
    <w:autoRedefine/>
    <w:qFormat/>
    <w:uiPriority w:val="0"/>
    <w:rPr>
      <w:rFonts w:hint="default" w:ascii="Times New Roman" w:hAnsi="Times New Roman" w:cs="Times New Roman"/>
      <w:color w:val="000000"/>
      <w:sz w:val="24"/>
      <w:szCs w:val="24"/>
      <w:u w:val="none"/>
    </w:rPr>
  </w:style>
  <w:style w:type="character" w:customStyle="1" w:styleId="138">
    <w:name w:val="font71"/>
    <w:autoRedefine/>
    <w:qFormat/>
    <w:uiPriority w:val="0"/>
    <w:rPr>
      <w:rFonts w:hint="eastAsia" w:ascii="宋体" w:hAnsi="宋体" w:eastAsia="宋体" w:cs="宋体"/>
      <w:color w:val="000000"/>
      <w:sz w:val="24"/>
      <w:szCs w:val="24"/>
      <w:u w:val="none"/>
    </w:rPr>
  </w:style>
  <w:style w:type="character" w:customStyle="1" w:styleId="139">
    <w:name w:val="font51"/>
    <w:basedOn w:val="43"/>
    <w:autoRedefine/>
    <w:qFormat/>
    <w:uiPriority w:val="0"/>
    <w:rPr>
      <w:rFonts w:hint="eastAsia" w:ascii="宋体" w:hAnsi="宋体" w:eastAsia="宋体" w:cs="宋体"/>
      <w:b/>
      <w:color w:val="000000"/>
      <w:sz w:val="20"/>
      <w:szCs w:val="20"/>
      <w:u w:val="none"/>
    </w:rPr>
  </w:style>
  <w:style w:type="character" w:customStyle="1" w:styleId="140">
    <w:name w:val="font61"/>
    <w:autoRedefine/>
    <w:qFormat/>
    <w:uiPriority w:val="0"/>
    <w:rPr>
      <w:rFonts w:hint="eastAsia" w:ascii="宋体" w:hAnsi="宋体" w:eastAsia="宋体" w:cs="宋体"/>
      <w:i/>
      <w:color w:val="000000"/>
      <w:sz w:val="20"/>
      <w:szCs w:val="20"/>
      <w:u w:val="none"/>
    </w:rPr>
  </w:style>
  <w:style w:type="character" w:customStyle="1" w:styleId="141">
    <w:name w:val="普通(网站) 字符"/>
    <w:link w:val="37"/>
    <w:autoRedefine/>
    <w:qFormat/>
    <w:uiPriority w:val="0"/>
    <w:rPr>
      <w:rFonts w:ascii="宋体" w:hAnsi="宋体"/>
      <w:sz w:val="24"/>
      <w:szCs w:val="24"/>
    </w:rPr>
  </w:style>
  <w:style w:type="character" w:customStyle="1" w:styleId="142">
    <w:name w:val="批注文字 字符"/>
    <w:basedOn w:val="43"/>
    <w:autoRedefine/>
    <w:qFormat/>
    <w:uiPriority w:val="99"/>
    <w:rPr>
      <w:kern w:val="2"/>
      <w:sz w:val="21"/>
    </w:rPr>
  </w:style>
  <w:style w:type="paragraph" w:customStyle="1" w:styleId="143">
    <w:name w:val="彩色列表 - 强调文字颜色 11"/>
    <w:basedOn w:val="1"/>
    <w:autoRedefine/>
    <w:qFormat/>
    <w:uiPriority w:val="0"/>
    <w:pPr>
      <w:ind w:firstLine="420" w:firstLineChars="200"/>
    </w:pPr>
    <w:rPr>
      <w:rFonts w:ascii="Cambria" w:hAnsi="Cambria"/>
      <w:sz w:val="24"/>
      <w:szCs w:val="24"/>
    </w:rPr>
  </w:style>
  <w:style w:type="character" w:customStyle="1" w:styleId="144">
    <w:name w:val="页眉 字符"/>
    <w:basedOn w:val="43"/>
    <w:autoRedefine/>
    <w:qFormat/>
    <w:uiPriority w:val="99"/>
    <w:rPr>
      <w:kern w:val="2"/>
      <w:sz w:val="18"/>
    </w:rPr>
  </w:style>
  <w:style w:type="character" w:customStyle="1" w:styleId="145">
    <w:name w:val="列表段落 字符"/>
    <w:link w:val="4"/>
    <w:autoRedefine/>
    <w:qFormat/>
    <w:uiPriority w:val="0"/>
    <w:rPr>
      <w:kern w:val="2"/>
      <w:sz w:val="21"/>
    </w:rPr>
  </w:style>
  <w:style w:type="paragraph" w:customStyle="1" w:styleId="146">
    <w:name w:val="Other|1"/>
    <w:basedOn w:val="1"/>
    <w:autoRedefine/>
    <w:qFormat/>
    <w:uiPriority w:val="0"/>
    <w:pPr>
      <w:spacing w:line="420" w:lineRule="auto"/>
    </w:pPr>
    <w:rPr>
      <w:rFonts w:ascii="宋体" w:hAnsi="宋体" w:cs="宋体"/>
      <w:u w:val="single"/>
      <w:lang w:val="zh-TW" w:eastAsia="zh-TW" w:bidi="zh-TW"/>
    </w:rPr>
  </w:style>
  <w:style w:type="paragraph" w:customStyle="1" w:styleId="147">
    <w:name w:val="自定义正文"/>
    <w:basedOn w:val="1"/>
    <w:link w:val="159"/>
    <w:qFormat/>
    <w:uiPriority w:val="0"/>
    <w:pPr>
      <w:spacing w:before="120" w:after="60" w:line="400" w:lineRule="exact"/>
      <w:ind w:firstLine="200" w:firstLineChars="200"/>
      <w:jc w:val="left"/>
    </w:pPr>
    <w:rPr>
      <w:szCs w:val="24"/>
    </w:rPr>
  </w:style>
  <w:style w:type="character" w:customStyle="1" w:styleId="148">
    <w:name w:val="标题 4 字符1"/>
    <w:basedOn w:val="43"/>
    <w:link w:val="6"/>
    <w:qFormat/>
    <w:uiPriority w:val="9"/>
    <w:rPr>
      <w:rFonts w:ascii="Arial" w:hAnsi="Arial" w:eastAsia="宋体" w:cs="Times New Roman"/>
      <w:sz w:val="24"/>
      <w:szCs w:val="24"/>
    </w:rPr>
  </w:style>
  <w:style w:type="character" w:customStyle="1" w:styleId="149">
    <w:name w:val="标题 5 字符1"/>
    <w:basedOn w:val="43"/>
    <w:link w:val="7"/>
    <w:autoRedefine/>
    <w:qFormat/>
    <w:uiPriority w:val="0"/>
    <w:rPr>
      <w:rFonts w:ascii="Arial" w:hAnsi="Arial" w:eastAsia="宋体" w:cs="Times New Roman"/>
      <w:sz w:val="24"/>
      <w:szCs w:val="24"/>
    </w:rPr>
  </w:style>
  <w:style w:type="character" w:customStyle="1" w:styleId="150">
    <w:name w:val="标题 6 字符"/>
    <w:basedOn w:val="43"/>
    <w:link w:val="8"/>
    <w:autoRedefine/>
    <w:qFormat/>
    <w:uiPriority w:val="0"/>
    <w:rPr>
      <w:rFonts w:ascii="Times New Roman" w:hAnsi="Times New Roman" w:eastAsia="宋体" w:cs="Times New Roman"/>
      <w:szCs w:val="24"/>
    </w:rPr>
  </w:style>
  <w:style w:type="character" w:customStyle="1" w:styleId="151">
    <w:name w:val="标题 7 字符"/>
    <w:basedOn w:val="43"/>
    <w:link w:val="9"/>
    <w:autoRedefine/>
    <w:qFormat/>
    <w:uiPriority w:val="0"/>
    <w:rPr>
      <w:rFonts w:ascii="Times New Roman" w:hAnsi="Times New Roman" w:eastAsia="宋体" w:cs="Times New Roman"/>
      <w:b/>
      <w:szCs w:val="24"/>
    </w:rPr>
  </w:style>
  <w:style w:type="character" w:customStyle="1" w:styleId="152">
    <w:name w:val="标题 8 字符"/>
    <w:basedOn w:val="43"/>
    <w:link w:val="10"/>
    <w:autoRedefine/>
    <w:qFormat/>
    <w:uiPriority w:val="0"/>
    <w:rPr>
      <w:rFonts w:ascii="Times New Roman" w:hAnsi="Times New Roman" w:eastAsia="宋体" w:cs="Times New Roman"/>
      <w:b/>
      <w:sz w:val="22"/>
      <w:szCs w:val="24"/>
    </w:rPr>
  </w:style>
  <w:style w:type="character" w:customStyle="1" w:styleId="153">
    <w:name w:val="标题 9 字符"/>
    <w:basedOn w:val="43"/>
    <w:link w:val="11"/>
    <w:autoRedefine/>
    <w:qFormat/>
    <w:uiPriority w:val="0"/>
    <w:rPr>
      <w:rFonts w:ascii="Times New Roman" w:hAnsi="Times New Roman" w:eastAsia="黑体" w:cs="Times New Roman"/>
      <w:szCs w:val="24"/>
    </w:rPr>
  </w:style>
  <w:style w:type="character" w:customStyle="1" w:styleId="154">
    <w:name w:val="页脚 字符1"/>
    <w:basedOn w:val="43"/>
    <w:link w:val="26"/>
    <w:autoRedefine/>
    <w:qFormat/>
    <w:uiPriority w:val="99"/>
    <w:rPr>
      <w:rFonts w:ascii="Times New Roman" w:hAnsi="Times New Roman" w:eastAsia="宋体" w:cs="Times New Roman"/>
      <w:sz w:val="18"/>
      <w:szCs w:val="24"/>
    </w:rPr>
  </w:style>
  <w:style w:type="character" w:customStyle="1" w:styleId="155">
    <w:name w:val="页眉 字符1"/>
    <w:basedOn w:val="43"/>
    <w:link w:val="27"/>
    <w:autoRedefine/>
    <w:qFormat/>
    <w:uiPriority w:val="0"/>
    <w:rPr>
      <w:rFonts w:ascii="Times New Roman" w:hAnsi="Times New Roman" w:eastAsia="宋体" w:cs="Times New Roman"/>
      <w:sz w:val="18"/>
      <w:szCs w:val="24"/>
    </w:rPr>
  </w:style>
  <w:style w:type="character" w:customStyle="1" w:styleId="156">
    <w:name w:val="批注框文本 字符1"/>
    <w:basedOn w:val="43"/>
    <w:link w:val="25"/>
    <w:autoRedefine/>
    <w:semiHidden/>
    <w:qFormat/>
    <w:uiPriority w:val="99"/>
    <w:rPr>
      <w:rFonts w:ascii="Times New Roman" w:hAnsi="Times New Roman" w:eastAsia="宋体" w:cs="Times New Roman"/>
      <w:sz w:val="18"/>
      <w:szCs w:val="18"/>
    </w:rPr>
  </w:style>
  <w:style w:type="character" w:customStyle="1" w:styleId="157">
    <w:name w:val="纯文本 字符1"/>
    <w:basedOn w:val="43"/>
    <w:link w:val="21"/>
    <w:autoRedefine/>
    <w:qFormat/>
    <w:uiPriority w:val="0"/>
    <w:rPr>
      <w:rFonts w:ascii="宋体" w:hAnsi="Courier New" w:eastAsia="宋体" w:cs="Times New Roman"/>
      <w:szCs w:val="24"/>
      <w:lang w:val="zh-CN"/>
    </w:rPr>
  </w:style>
  <w:style w:type="paragraph" w:customStyle="1" w:styleId="158">
    <w:name w:val="表格正文"/>
    <w:basedOn w:val="1"/>
    <w:autoRedefine/>
    <w:qFormat/>
    <w:uiPriority w:val="0"/>
    <w:pPr>
      <w:spacing w:line="240" w:lineRule="atLeast"/>
    </w:pPr>
    <w:rPr>
      <w:rFonts w:eastAsia="楷体_GB2312"/>
      <w:sz w:val="24"/>
      <w:szCs w:val="24"/>
    </w:rPr>
  </w:style>
  <w:style w:type="character" w:customStyle="1" w:styleId="159">
    <w:name w:val="自定义正文 Char Char"/>
    <w:link w:val="147"/>
    <w:autoRedefine/>
    <w:qFormat/>
    <w:uiPriority w:val="0"/>
    <w:rPr>
      <w:rFonts w:ascii="Times New Roman" w:hAnsi="Times New Roman" w:eastAsia="宋体" w:cs="Times New Roman"/>
      <w:szCs w:val="24"/>
    </w:rPr>
  </w:style>
  <w:style w:type="paragraph" w:customStyle="1" w:styleId="160">
    <w:name w:val="图片"/>
    <w:basedOn w:val="1"/>
    <w:link w:val="161"/>
    <w:autoRedefine/>
    <w:qFormat/>
    <w:uiPriority w:val="0"/>
    <w:pPr>
      <w:jc w:val="center"/>
    </w:pPr>
    <w:rPr>
      <w:rFonts w:ascii="仿宋_GB2312" w:eastAsia="仿宋_GB2312" w:cs="宋体"/>
      <w:color w:val="0D0D0D" w:themeColor="text1" w:themeTint="F2"/>
      <w:sz w:val="24"/>
      <w14:textFill>
        <w14:solidFill>
          <w14:schemeClr w14:val="tx1">
            <w14:lumMod w14:val="95000"/>
            <w14:lumOff w14:val="5000"/>
          </w14:schemeClr>
        </w14:solidFill>
      </w14:textFill>
    </w:rPr>
  </w:style>
  <w:style w:type="character" w:customStyle="1" w:styleId="161">
    <w:name w:val="图片 字符"/>
    <w:basedOn w:val="43"/>
    <w:link w:val="160"/>
    <w:autoRedefine/>
    <w:qFormat/>
    <w:uiPriority w:val="0"/>
    <w:rPr>
      <w:rFonts w:ascii="仿宋_GB2312" w:hAnsi="Times New Roman" w:eastAsia="仿宋_GB2312" w:cs="宋体"/>
      <w:color w:val="0D0D0D" w:themeColor="text1" w:themeTint="F2"/>
      <w:szCs w:val="20"/>
      <w14:textFill>
        <w14:solidFill>
          <w14:schemeClr w14:val="tx1">
            <w14:lumMod w14:val="95000"/>
            <w14:lumOff w14:val="5000"/>
          </w14:schemeClr>
        </w14:solidFill>
      </w14:textFill>
    </w:rPr>
  </w:style>
  <w:style w:type="paragraph" w:customStyle="1" w:styleId="162">
    <w:name w:val="学分制正文样式"/>
    <w:basedOn w:val="1"/>
    <w:link w:val="163"/>
    <w:autoRedefine/>
    <w:qFormat/>
    <w:uiPriority w:val="0"/>
    <w:pPr>
      <w:spacing w:line="360" w:lineRule="auto"/>
      <w:ind w:firstLine="560" w:firstLineChars="200"/>
      <w:jc w:val="left"/>
    </w:pPr>
    <w:rPr>
      <w:rFonts w:ascii="宋体" w:hAnsi="宋体" w:cs="宋体"/>
      <w:bCs/>
      <w:sz w:val="28"/>
      <w:szCs w:val="22"/>
    </w:rPr>
  </w:style>
  <w:style w:type="character" w:customStyle="1" w:styleId="163">
    <w:name w:val="学分制正文样式 字符"/>
    <w:basedOn w:val="43"/>
    <w:link w:val="162"/>
    <w:autoRedefine/>
    <w:qFormat/>
    <w:uiPriority w:val="0"/>
    <w:rPr>
      <w:rFonts w:ascii="宋体" w:hAnsi="宋体" w:eastAsia="宋体" w:cs="宋体"/>
      <w:bCs/>
      <w:sz w:val="28"/>
    </w:rPr>
  </w:style>
  <w:style w:type="character" w:customStyle="1" w:styleId="164">
    <w:name w:val="日期 字符1"/>
    <w:basedOn w:val="43"/>
    <w:link w:val="23"/>
    <w:autoRedefine/>
    <w:semiHidden/>
    <w:qFormat/>
    <w:uiPriority w:val="99"/>
    <w:rPr>
      <w:rFonts w:ascii="Times New Roman" w:hAnsi="Times New Roman" w:eastAsia="宋体" w:cs="Times New Roman"/>
    </w:rPr>
  </w:style>
  <w:style w:type="character" w:customStyle="1" w:styleId="165">
    <w:name w:val="批注文字 字符1"/>
    <w:basedOn w:val="43"/>
    <w:link w:val="15"/>
    <w:autoRedefine/>
    <w:qFormat/>
    <w:uiPriority w:val="99"/>
    <w:rPr>
      <w:rFonts w:ascii="Times New Roman" w:hAnsi="Times New Roman" w:eastAsia="宋体" w:cs="Times New Roman"/>
    </w:rPr>
  </w:style>
  <w:style w:type="character" w:customStyle="1" w:styleId="166">
    <w:name w:val="批注主题 字符"/>
    <w:basedOn w:val="165"/>
    <w:link w:val="39"/>
    <w:autoRedefine/>
    <w:semiHidden/>
    <w:qFormat/>
    <w:uiPriority w:val="99"/>
    <w:rPr>
      <w:rFonts w:ascii="Times New Roman" w:hAnsi="Times New Roman" w:eastAsia="宋体" w:cs="Times New Roman"/>
      <w:b/>
      <w:bCs/>
    </w:rPr>
  </w:style>
  <w:style w:type="paragraph" w:styleId="167">
    <w:name w:val="Intense Quote"/>
    <w:basedOn w:val="1"/>
    <w:next w:val="1"/>
    <w:link w:val="168"/>
    <w:autoRedefine/>
    <w:qFormat/>
    <w:uiPriority w:val="30"/>
    <w:pPr>
      <w:pBdr>
        <w:bottom w:val="single" w:color="4F81BD" w:themeColor="accent1" w:sz="4" w:space="4"/>
      </w:pBdr>
      <w:spacing w:before="200" w:after="280"/>
      <w:ind w:left="936" w:right="936"/>
    </w:pPr>
    <w:rPr>
      <w:rFonts w:ascii="Arial" w:hAnsi="Arial" w:cstheme="minorBidi"/>
      <w:b/>
      <w:bCs/>
      <w:i/>
      <w:iCs/>
      <w:color w:val="4F81BD" w:themeColor="accent1"/>
      <w:sz w:val="24"/>
      <w:szCs w:val="22"/>
      <w14:textFill>
        <w14:solidFill>
          <w14:schemeClr w14:val="accent1"/>
        </w14:solidFill>
      </w14:textFill>
    </w:rPr>
  </w:style>
  <w:style w:type="character" w:customStyle="1" w:styleId="168">
    <w:name w:val="明显引用 字符"/>
    <w:basedOn w:val="43"/>
    <w:link w:val="167"/>
    <w:autoRedefine/>
    <w:qFormat/>
    <w:uiPriority w:val="30"/>
    <w:rPr>
      <w:rFonts w:ascii="Times New Roman" w:hAnsi="Times New Roman" w:eastAsia="宋体" w:cs="Times New Roman"/>
      <w:b/>
      <w:bCs/>
      <w:i/>
      <w:iCs/>
      <w:color w:val="4F81BD" w:themeColor="accent1"/>
      <w14:textFill>
        <w14:solidFill>
          <w14:schemeClr w14:val="accent1"/>
        </w14:solidFill>
      </w14:textFill>
    </w:rPr>
  </w:style>
  <w:style w:type="character" w:customStyle="1" w:styleId="169">
    <w:name w:val="font21"/>
    <w:autoRedefine/>
    <w:qFormat/>
    <w:uiPriority w:val="0"/>
    <w:rPr>
      <w:rFonts w:hint="eastAsia" w:ascii="宋体" w:hAnsi="宋体" w:eastAsia="宋体" w:cs="宋体"/>
      <w:color w:val="000000"/>
      <w:sz w:val="18"/>
      <w:szCs w:val="18"/>
      <w:u w:val="none"/>
    </w:rPr>
  </w:style>
  <w:style w:type="paragraph" w:customStyle="1" w:styleId="170">
    <w:name w:val="图表目录1"/>
    <w:basedOn w:val="1"/>
    <w:next w:val="1"/>
    <w:autoRedefine/>
    <w:qFormat/>
    <w:uiPriority w:val="0"/>
    <w:pPr>
      <w:ind w:left="200" w:leftChars="200" w:hanging="200" w:hangingChars="200"/>
    </w:pPr>
    <w:rPr>
      <w:rFonts w:ascii="Calibri" w:hAnsi="Calibri" w:eastAsia="仿宋_GB2312" w:cs="宋体"/>
      <w:sz w:val="32"/>
      <w:szCs w:val="32"/>
    </w:rPr>
  </w:style>
  <w:style w:type="character" w:customStyle="1" w:styleId="171">
    <w:name w:val="font11"/>
    <w:basedOn w:val="43"/>
    <w:autoRedefine/>
    <w:qFormat/>
    <w:uiPriority w:val="0"/>
    <w:rPr>
      <w:rFonts w:hint="default" w:ascii="Calibri" w:hAnsi="Calibri" w:cs="Calibri"/>
      <w:color w:val="000000"/>
      <w:sz w:val="21"/>
      <w:szCs w:val="21"/>
      <w:u w:val="none"/>
    </w:rPr>
  </w:style>
  <w:style w:type="character" w:customStyle="1" w:styleId="172">
    <w:name w:val="font31"/>
    <w:basedOn w:val="43"/>
    <w:autoRedefine/>
    <w:qFormat/>
    <w:uiPriority w:val="0"/>
    <w:rPr>
      <w:rFonts w:hint="eastAsia" w:ascii="宋体" w:hAnsi="宋体" w:eastAsia="宋体" w:cs="宋体"/>
      <w:color w:val="000000"/>
      <w:sz w:val="18"/>
      <w:szCs w:val="18"/>
      <w:u w:val="none"/>
    </w:rPr>
  </w:style>
  <w:style w:type="paragraph" w:customStyle="1" w:styleId="173">
    <w:name w:val="WPSOffice手动目录 1"/>
    <w:autoRedefine/>
    <w:qFormat/>
    <w:uiPriority w:val="0"/>
    <w:rPr>
      <w:rFonts w:ascii="Times New Roman" w:hAnsi="Times New Roman" w:eastAsia="宋体" w:cs="Times New Roman"/>
      <w:lang w:val="en-US" w:eastAsia="zh-CN" w:bidi="ar-SA"/>
    </w:rPr>
  </w:style>
  <w:style w:type="paragraph" w:customStyle="1" w:styleId="174">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175">
    <w:name w:val="zhang"/>
    <w:basedOn w:val="1"/>
    <w:autoRedefine/>
    <w:qFormat/>
    <w:uiPriority w:val="0"/>
    <w:pPr>
      <w:spacing w:before="100" w:beforeAutospacing="1" w:after="100" w:afterAutospacing="1"/>
    </w:pPr>
    <w:rPr>
      <w:rFonts w:ascii="宋体" w:hAnsi="宋体" w:cs="宋体"/>
      <w:b/>
      <w:bCs/>
      <w:smallCaps/>
      <w:color w:val="000000"/>
    </w:rPr>
  </w:style>
  <w:style w:type="character" w:customStyle="1" w:styleId="176">
    <w:name w:val="标题 Char"/>
    <w:autoRedefine/>
    <w:qFormat/>
    <w:uiPriority w:val="10"/>
    <w:rPr>
      <w:rFonts w:ascii="Cambria" w:hAnsi="Cambria" w:cs="Times New Roman"/>
      <w:b/>
      <w:bCs/>
      <w:sz w:val="32"/>
      <w:szCs w:val="32"/>
    </w:rPr>
  </w:style>
  <w:style w:type="character" w:customStyle="1" w:styleId="177">
    <w:name w:val="副标题 Char"/>
    <w:autoRedefine/>
    <w:qFormat/>
    <w:uiPriority w:val="11"/>
    <w:rPr>
      <w:rFonts w:ascii="Cambria" w:hAnsi="Cambria"/>
      <w:b/>
      <w:bCs/>
      <w:kern w:val="28"/>
      <w:sz w:val="32"/>
      <w:szCs w:val="32"/>
    </w:rPr>
  </w:style>
  <w:style w:type="paragraph" w:customStyle="1" w:styleId="178">
    <w:name w:val="Table Text"/>
    <w:basedOn w:val="1"/>
    <w:autoRedefine/>
    <w:semiHidden/>
    <w:qFormat/>
    <w:uiPriority w:val="0"/>
    <w:rPr>
      <w:rFonts w:ascii="仿宋" w:hAnsi="仿宋" w:eastAsia="仿宋" w:cs="仿宋"/>
      <w:sz w:val="24"/>
      <w:lang w:eastAsia="en-US"/>
    </w:rPr>
  </w:style>
  <w:style w:type="character" w:customStyle="1" w:styleId="179">
    <w:name w:val="正文文本 2 字符"/>
    <w:basedOn w:val="43"/>
    <w:link w:val="36"/>
    <w:autoRedefine/>
    <w:qFormat/>
    <w:uiPriority w:val="0"/>
    <w:rPr>
      <w:rFonts w:ascii="宋体"/>
      <w:snapToGrid w:val="0"/>
      <w:kern w:val="21"/>
      <w:sz w:val="21"/>
      <w:szCs w:val="24"/>
    </w:rPr>
  </w:style>
  <w:style w:type="table" w:customStyle="1" w:styleId="180">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1A6DC4-12A2-454D-A96A-46F2AD63A6B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77</Pages>
  <Words>24044</Words>
  <Characters>25846</Characters>
  <Lines>357</Lines>
  <Paragraphs>100</Paragraphs>
  <TotalTime>63</TotalTime>
  <ScaleCrop>false</ScaleCrop>
  <LinksUpToDate>false</LinksUpToDate>
  <CharactersWithSpaces>26128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2025-06-04T05:03:00Z</dcterms:created>
  <dc:creator>h</dc:creator>
  <cp:lastModifiedBy>楚卿</cp:lastModifiedBy>
  <cp:lastPrinted>2022-04-06T02:16:00Z</cp:lastPrinted>
  <dcterms:modified xsi:type="dcterms:W3CDTF">2025-10-09T07:44:43Z</dcterms:modified>
  <dc:title>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5D79498400674AD3B44D3419FB1261C6_13</vt:lpwstr>
  </property>
  <property fmtid="{D5CDD505-2E9C-101B-9397-08002B2CF9AE}" pid="4" name="KSOTemplateDocerSaveRecord">
    <vt:lpwstr>eyJoZGlkIjoiMWU3NzNkMmU2ZjhiYzlkNzk2ZTkxYTdiY2UxNDk1NmMiLCJ1c2VySWQiOiIyNjIxMTQ4ODEifQ==</vt:lpwstr>
  </property>
</Properties>
</file>