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szCs w:val="24"/>
        </w:rPr>
      </w:pPr>
      <w:r>
        <w:rPr>
          <w:rFonts w:hint="eastAsia" w:ascii="宋体" w:hAnsi="宋体"/>
          <w:sz w:val="24"/>
          <w:szCs w:val="24"/>
        </w:rPr>
        <w:t>实质性响应一览表</w:t>
      </w:r>
    </w:p>
    <w:tbl>
      <w:tblPr>
        <w:tblStyle w:val="11"/>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981"/>
        <w:gridCol w:w="456"/>
        <w:gridCol w:w="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序号</w:t>
            </w:r>
          </w:p>
        </w:tc>
        <w:tc>
          <w:tcPr>
            <w:tcW w:w="898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实质性响应条款</w:t>
            </w: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投标人响应情况</w:t>
            </w: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1</w:t>
            </w:r>
          </w:p>
        </w:tc>
        <w:tc>
          <w:tcPr>
            <w:tcW w:w="8981" w:type="dxa"/>
            <w:tcBorders>
              <w:top w:val="single" w:color="auto" w:sz="4" w:space="0"/>
              <w:left w:val="single" w:color="auto" w:sz="4" w:space="0"/>
              <w:bottom w:val="single" w:color="auto" w:sz="4" w:space="0"/>
              <w:right w:val="single" w:color="auto" w:sz="4" w:space="0"/>
            </w:tcBorders>
          </w:tcPr>
          <w:p>
            <w:pPr>
              <w:pStyle w:val="27"/>
              <w:keepNext w:val="0"/>
              <w:keepLines w:val="0"/>
              <w:widowControl/>
              <w:suppressLineNumbers w:val="0"/>
              <w:spacing w:before="0" w:beforeAutospacing="0" w:after="0" w:afterAutospacing="0"/>
              <w:ind w:left="0" w:right="0"/>
              <w:outlineLvl w:val="2"/>
              <w:rPr>
                <w:rFonts w:hint="default" w:ascii="Times New Roman" w:hAnsi="Times New Roman" w:eastAsia="仿宋_GB2312" w:cs="Times New Roman"/>
                <w:color w:val="auto"/>
                <w:kern w:val="2"/>
                <w:sz w:val="28"/>
                <w:szCs w:val="28"/>
                <w:highlight w:val="none"/>
                <w:lang w:val="en-US" w:eastAsia="zh-CN" w:bidi="ar-SA"/>
              </w:rPr>
            </w:pPr>
            <w:r>
              <w:rPr>
                <w:rFonts w:hint="default" w:ascii="Times New Roman" w:hAnsi="Times New Roman" w:eastAsia="仿宋_GB2312" w:cs="Times New Roman"/>
                <w:color w:val="auto"/>
                <w:kern w:val="2"/>
                <w:sz w:val="28"/>
                <w:szCs w:val="28"/>
                <w:highlight w:val="none"/>
                <w:lang w:val="en-US" w:eastAsia="zh-CN" w:bidi="ar-SA"/>
              </w:rPr>
              <w:t>★本次采购产品为非进口产品（进口产品指通过中国海关报关验放进入中国境内且产自关境外的产品）。</w:t>
            </w:r>
          </w:p>
          <w:p>
            <w:pPr>
              <w:keepNext w:val="0"/>
              <w:keepLines w:val="0"/>
              <w:widowControl/>
              <w:suppressLineNumbers w:val="0"/>
              <w:spacing w:before="0" w:beforeAutospacing="0" w:after="0" w:afterAutospacing="0"/>
              <w:ind w:left="0" w:right="0"/>
              <w:jc w:val="both"/>
              <w:rPr>
                <w:rFonts w:hint="default" w:eastAsia="宋体" w:cs="宋体" w:asciiTheme="minorEastAsia" w:hAnsiTheme="minorEastAsia"/>
                <w:kern w:val="0"/>
                <w:sz w:val="24"/>
                <w:szCs w:val="20"/>
                <w:lang w:val="en-US" w:eastAsia="zh-CN" w:bidi="ar-SA"/>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2</w:t>
            </w:r>
          </w:p>
        </w:tc>
        <w:tc>
          <w:tcPr>
            <w:tcW w:w="8981" w:type="dxa"/>
            <w:tcBorders>
              <w:top w:val="single" w:color="auto" w:sz="4" w:space="0"/>
              <w:left w:val="single" w:color="auto" w:sz="4" w:space="0"/>
              <w:bottom w:val="single" w:color="auto" w:sz="4" w:space="0"/>
              <w:right w:val="single" w:color="auto" w:sz="4" w:space="0"/>
            </w:tcBorders>
          </w:tcPr>
          <w:p>
            <w:pPr>
              <w:pStyle w:val="27"/>
              <w:keepNext w:val="0"/>
              <w:keepLines w:val="0"/>
              <w:widowControl/>
              <w:suppressLineNumbers w:val="0"/>
              <w:spacing w:before="0" w:beforeAutospacing="0" w:after="0" w:afterAutospacing="0"/>
              <w:ind w:left="0" w:right="0"/>
              <w:outlineLvl w:val="2"/>
              <w:rPr>
                <w:rFonts w:hint="default" w:ascii="Times New Roman" w:hAnsi="Times New Roman" w:eastAsia="仿宋_GB2312" w:cs="Times New Roman"/>
                <w:color w:val="auto"/>
                <w:kern w:val="2"/>
                <w:sz w:val="28"/>
                <w:szCs w:val="28"/>
                <w:highlight w:val="none"/>
                <w:lang w:val="en-US" w:eastAsia="zh-CN" w:bidi="ar-SA"/>
              </w:rPr>
            </w:pPr>
            <w:r>
              <w:rPr>
                <w:rFonts w:hint="default" w:ascii="Times New Roman" w:hAnsi="Times New Roman" w:eastAsia="仿宋_GB2312" w:cs="Times New Roman"/>
                <w:color w:val="auto"/>
                <w:kern w:val="2"/>
                <w:sz w:val="28"/>
                <w:szCs w:val="28"/>
                <w:highlight w:val="none"/>
                <w:lang w:val="en-US" w:eastAsia="zh-CN" w:bidi="ar-SA"/>
              </w:rPr>
              <w:t>★凡属于《中华人民共和国实施强制性产品认证的产品目录》的产品，请投标人承诺在交货时提供该产品的“中国强制性产品认证”（CCC认证）证书。</w:t>
            </w:r>
          </w:p>
          <w:p>
            <w:pPr>
              <w:keepNext w:val="0"/>
              <w:keepLines w:val="0"/>
              <w:widowControl/>
              <w:suppressLineNumbers w:val="0"/>
              <w:spacing w:before="0" w:beforeAutospacing="0" w:after="0" w:afterAutospacing="0"/>
              <w:ind w:left="0" w:right="0"/>
              <w:jc w:val="both"/>
              <w:rPr>
                <w:rFonts w:hint="default" w:eastAsia="宋体" w:cs="宋体" w:asciiTheme="minorEastAsia" w:hAnsiTheme="minorEastAsia"/>
                <w:kern w:val="0"/>
                <w:sz w:val="24"/>
                <w:szCs w:val="20"/>
                <w:lang w:val="en-US" w:eastAsia="zh-CN" w:bidi="ar-SA"/>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eastAsia="zh-CN"/>
              </w:rPr>
            </w:pPr>
            <w:r>
              <w:rPr>
                <w:rFonts w:hint="eastAsia" w:ascii="宋体" w:hAnsi="宋体"/>
                <w:sz w:val="24"/>
                <w:szCs w:val="24"/>
                <w:lang w:val="en-US" w:eastAsia="zh-CN"/>
              </w:rPr>
              <w:t>3</w:t>
            </w:r>
          </w:p>
        </w:tc>
        <w:tc>
          <w:tcPr>
            <w:tcW w:w="898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Times New Roman" w:hAnsi="Times New Roman" w:eastAsia="仿宋_GB2312" w:cs="Times New Roman"/>
                <w:color w:val="auto"/>
                <w:sz w:val="28"/>
                <w:szCs w:val="28"/>
                <w:highlight w:val="none"/>
                <w:lang w:val="en-US" w:eastAsia="zh-CN"/>
              </w:rPr>
            </w:pPr>
            <w:r>
              <w:rPr>
                <w:rFonts w:hint="eastAsia" w:ascii="仿宋" w:hAnsi="仿宋" w:eastAsia="仿宋" w:cs="仿宋"/>
                <w:b/>
                <w:color w:val="auto"/>
                <w:sz w:val="28"/>
                <w:szCs w:val="28"/>
                <w:highlight w:val="none"/>
              </w:rPr>
              <w:t>★</w:t>
            </w:r>
            <w:r>
              <w:rPr>
                <w:rFonts w:hint="eastAsia" w:ascii="Times New Roman" w:hAnsi="Times New Roman" w:eastAsia="仿宋_GB2312" w:cs="Times New Roman"/>
                <w:color w:val="auto"/>
                <w:sz w:val="28"/>
                <w:szCs w:val="28"/>
                <w:highlight w:val="none"/>
                <w:lang w:val="en-US" w:eastAsia="zh-CN"/>
              </w:rPr>
              <w:t>（5）</w:t>
            </w:r>
            <w:r>
              <w:rPr>
                <w:rFonts w:hint="eastAsia" w:eastAsia="仿宋_GB2312" w:cs="Times New Roman"/>
                <w:color w:val="auto"/>
                <w:sz w:val="28"/>
                <w:szCs w:val="28"/>
                <w:highlight w:val="none"/>
                <w:lang w:val="en-US" w:eastAsia="zh-CN"/>
              </w:rPr>
              <w:t>如果</w:t>
            </w:r>
            <w:r>
              <w:rPr>
                <w:rFonts w:hint="eastAsia" w:ascii="Times New Roman" w:hAnsi="Times New Roman" w:eastAsia="仿宋_GB2312" w:cs="Times New Roman"/>
                <w:color w:val="auto"/>
                <w:sz w:val="28"/>
                <w:szCs w:val="28"/>
                <w:highlight w:val="none"/>
                <w:lang w:val="en-US" w:eastAsia="zh-CN"/>
              </w:rPr>
              <w:t>供应商</w:t>
            </w:r>
            <w:r>
              <w:rPr>
                <w:rFonts w:hint="eastAsia" w:eastAsia="仿宋_GB2312" w:cs="Times New Roman"/>
                <w:color w:val="auto"/>
                <w:sz w:val="28"/>
                <w:szCs w:val="28"/>
                <w:highlight w:val="none"/>
                <w:lang w:val="en-US" w:eastAsia="zh-CN"/>
              </w:rPr>
              <w:t>为软件生产厂商，</w:t>
            </w:r>
            <w:r>
              <w:rPr>
                <w:rFonts w:hint="eastAsia" w:ascii="Times New Roman" w:hAnsi="Times New Roman" w:eastAsia="仿宋_GB2312" w:cs="Times New Roman"/>
                <w:color w:val="auto"/>
                <w:sz w:val="28"/>
                <w:szCs w:val="28"/>
                <w:highlight w:val="none"/>
                <w:lang w:val="en-US" w:eastAsia="zh-CN"/>
              </w:rPr>
              <w:t>应</w:t>
            </w:r>
            <w:r>
              <w:rPr>
                <w:rFonts w:hint="eastAsia" w:eastAsia="仿宋_GB2312" w:cs="Times New Roman"/>
                <w:color w:val="auto"/>
                <w:sz w:val="28"/>
                <w:szCs w:val="28"/>
                <w:highlight w:val="none"/>
                <w:lang w:val="en-US" w:eastAsia="zh-CN"/>
              </w:rPr>
              <w:t>提供投标产品的</w:t>
            </w:r>
            <w:r>
              <w:rPr>
                <w:rFonts w:hint="eastAsia" w:ascii="Times New Roman" w:hAnsi="Times New Roman" w:eastAsia="仿宋_GB2312" w:cs="Times New Roman"/>
                <w:color w:val="auto"/>
                <w:sz w:val="28"/>
                <w:szCs w:val="28"/>
                <w:highlight w:val="none"/>
                <w:lang w:val="en-US" w:eastAsia="zh-CN"/>
              </w:rPr>
              <w:t>软件著作权登记证书。如果供应商为经销商，应提供投标产品的授权经销证书和投标产品的软件著作权登记证书。</w:t>
            </w:r>
          </w:p>
          <w:p>
            <w:pPr>
              <w:keepNext w:val="0"/>
              <w:keepLines w:val="0"/>
              <w:widowControl/>
              <w:suppressLineNumbers w:val="0"/>
              <w:spacing w:before="0" w:beforeAutospacing="0" w:after="0" w:afterAutospacing="0"/>
              <w:ind w:left="0" w:right="0"/>
              <w:jc w:val="both"/>
              <w:rPr>
                <w:rFonts w:hint="default" w:eastAsia="宋体" w:cs="宋体" w:asciiTheme="minorEastAsia" w:hAnsiTheme="minorEastAsia"/>
                <w:kern w:val="0"/>
                <w:sz w:val="24"/>
                <w:szCs w:val="20"/>
                <w:lang w:val="en-US" w:eastAsia="zh-CN" w:bidi="ar-SA"/>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w:t>
            </w:r>
          </w:p>
        </w:tc>
        <w:tc>
          <w:tcPr>
            <w:tcW w:w="898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Times New Roman" w:hAnsi="Times New Roman" w:eastAsia="仿宋_GB2312" w:cs="Times New Roman"/>
                <w:b/>
                <w:color w:val="auto"/>
                <w:sz w:val="28"/>
                <w:szCs w:val="28"/>
                <w:highlight w:val="none"/>
              </w:rPr>
            </w:pPr>
            <w:bookmarkStart w:id="0" w:name="EB52e5ed007d5c4a7d86859174708c827a"/>
            <w:r>
              <w:rPr>
                <w:rFonts w:hint="eastAsia" w:ascii="仿宋" w:hAnsi="仿宋" w:eastAsia="仿宋" w:cs="仿宋"/>
                <w:b/>
                <w:color w:val="auto"/>
                <w:sz w:val="28"/>
                <w:szCs w:val="28"/>
                <w:highlight w:val="none"/>
              </w:rPr>
              <w:t>★</w:t>
            </w:r>
            <w:r>
              <w:rPr>
                <w:rFonts w:hint="eastAsia" w:eastAsia="仿宋_GB2312" w:cs="Times New Roman"/>
                <w:b/>
                <w:color w:val="auto"/>
                <w:sz w:val="28"/>
                <w:szCs w:val="28"/>
                <w:highlight w:val="none"/>
                <w:lang w:eastAsia="zh-CN"/>
              </w:rPr>
              <w:t>四</w:t>
            </w:r>
            <w:r>
              <w:rPr>
                <w:rFonts w:hint="default" w:ascii="Times New Roman" w:hAnsi="Times New Roman" w:eastAsia="仿宋_GB2312" w:cs="Times New Roman"/>
                <w:b/>
                <w:color w:val="auto"/>
                <w:sz w:val="28"/>
                <w:szCs w:val="28"/>
                <w:highlight w:val="none"/>
              </w:rPr>
              <w:t>、</w:t>
            </w:r>
            <w:r>
              <w:rPr>
                <w:rFonts w:hint="eastAsia" w:ascii="Times New Roman" w:hAnsi="Times New Roman" w:eastAsia="仿宋_GB2312" w:cs="Times New Roman"/>
                <w:b/>
                <w:color w:val="auto"/>
                <w:sz w:val="28"/>
                <w:szCs w:val="28"/>
                <w:highlight w:val="none"/>
                <w:lang w:val="en-US" w:eastAsia="zh-CN"/>
              </w:rPr>
              <w:t>采购</w:t>
            </w:r>
            <w:r>
              <w:rPr>
                <w:rFonts w:hint="default" w:ascii="Times New Roman" w:hAnsi="Times New Roman" w:eastAsia="仿宋_GB2312" w:cs="Times New Roman"/>
                <w:b/>
                <w:color w:val="auto"/>
                <w:sz w:val="28"/>
                <w:szCs w:val="28"/>
                <w:highlight w:val="none"/>
              </w:rPr>
              <w:t>项目预算</w:t>
            </w:r>
          </w:p>
          <w:p>
            <w:pPr>
              <w:keepNext w:val="0"/>
              <w:keepLines w:val="0"/>
              <w:widowControl/>
              <w:suppressLineNumbers w:val="0"/>
              <w:spacing w:before="0" w:beforeAutospacing="0" w:after="0" w:afterAutospacing="0" w:line="360" w:lineRule="auto"/>
              <w:ind w:left="0" w:right="0" w:firstLine="560" w:firstLineChars="200"/>
              <w:rPr>
                <w:rFonts w:hint="eastAsia"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rPr>
              <w:t>本采购项目报价最高限价是人民币</w:t>
            </w:r>
            <w:r>
              <w:rPr>
                <w:rFonts w:hint="eastAsia" w:ascii="Times New Roman" w:hAnsi="Times New Roman" w:eastAsia="仿宋_GB2312" w:cs="Times New Roman"/>
                <w:color w:val="auto"/>
                <w:sz w:val="28"/>
                <w:szCs w:val="28"/>
                <w:highlight w:val="none"/>
                <w:lang w:val="en-US" w:eastAsia="zh-CN"/>
              </w:rPr>
              <w:t>150</w:t>
            </w:r>
            <w:r>
              <w:rPr>
                <w:rFonts w:hint="default" w:ascii="Times New Roman" w:hAnsi="Times New Roman" w:eastAsia="仿宋_GB2312" w:cs="Times New Roman"/>
                <w:color w:val="auto"/>
                <w:sz w:val="28"/>
                <w:szCs w:val="28"/>
                <w:highlight w:val="none"/>
              </w:rPr>
              <w:t>,</w:t>
            </w:r>
            <w:r>
              <w:rPr>
                <w:rFonts w:hint="default" w:ascii="Times New Roman" w:hAnsi="Times New Roman" w:eastAsia="仿宋_GB2312" w:cs="Times New Roman"/>
                <w:color w:val="auto"/>
                <w:sz w:val="28"/>
                <w:szCs w:val="28"/>
                <w:highlight w:val="none"/>
                <w:lang w:val="en-US" w:eastAsia="zh-CN"/>
              </w:rPr>
              <w:t>0</w:t>
            </w:r>
            <w:r>
              <w:rPr>
                <w:rFonts w:hint="default" w:ascii="Times New Roman" w:hAnsi="Times New Roman" w:eastAsia="仿宋_GB2312" w:cs="Times New Roman"/>
                <w:color w:val="auto"/>
                <w:sz w:val="28"/>
                <w:szCs w:val="28"/>
                <w:highlight w:val="none"/>
              </w:rPr>
              <w:t>00.00元</w:t>
            </w:r>
            <w:bookmarkEnd w:id="0"/>
            <w:r>
              <w:rPr>
                <w:rFonts w:hint="default" w:ascii="Times New Roman" w:hAnsi="Times New Roman" w:eastAsia="仿宋_GB2312" w:cs="Times New Roman"/>
                <w:color w:val="auto"/>
                <w:sz w:val="28"/>
                <w:szCs w:val="28"/>
                <w:highlight w:val="none"/>
              </w:rPr>
              <w:t>，</w:t>
            </w:r>
            <w:r>
              <w:rPr>
                <w:rFonts w:hint="eastAsia" w:ascii="仿宋_GB2312" w:hAnsi="Times New Roman" w:eastAsia="仿宋_GB2312"/>
                <w:sz w:val="28"/>
                <w:szCs w:val="28"/>
                <w:highlight w:val="none"/>
                <w:lang w:eastAsia="zh-CN"/>
              </w:rPr>
              <w:t>在</w:t>
            </w:r>
            <w:r>
              <w:rPr>
                <w:rFonts w:hint="eastAsia" w:ascii="仿宋_GB2312" w:hAnsi="Times New Roman" w:eastAsia="仿宋_GB2312"/>
                <w:sz w:val="28"/>
                <w:szCs w:val="28"/>
                <w:highlight w:val="none"/>
              </w:rPr>
              <w:t>202</w:t>
            </w:r>
            <w:r>
              <w:rPr>
                <w:rFonts w:hint="eastAsia" w:ascii="仿宋_GB2312" w:hAnsi="Times New Roman" w:eastAsia="仿宋_GB2312"/>
                <w:sz w:val="28"/>
                <w:szCs w:val="28"/>
                <w:highlight w:val="none"/>
                <w:lang w:val="en-US" w:eastAsia="zh-CN"/>
              </w:rPr>
              <w:t>6</w:t>
            </w:r>
            <w:r>
              <w:rPr>
                <w:rFonts w:hint="eastAsia" w:ascii="仿宋_GB2312" w:hAnsi="Times New Roman" w:eastAsia="仿宋_GB2312"/>
                <w:sz w:val="28"/>
                <w:szCs w:val="28"/>
                <w:highlight w:val="none"/>
              </w:rPr>
              <w:t>年预算</w:t>
            </w:r>
            <w:r>
              <w:rPr>
                <w:rFonts w:hint="eastAsia" w:ascii="仿宋_GB2312" w:hAnsi="Times New Roman" w:eastAsia="仿宋_GB2312"/>
                <w:sz w:val="28"/>
                <w:szCs w:val="28"/>
                <w:highlight w:val="none"/>
                <w:lang w:eastAsia="zh-CN"/>
              </w:rPr>
              <w:t>内安排</w:t>
            </w:r>
            <w:r>
              <w:rPr>
                <w:rFonts w:hint="eastAsia" w:ascii="仿宋_GB2312" w:hAnsi="Times New Roman" w:eastAsia="仿宋_GB2312"/>
                <w:sz w:val="28"/>
                <w:szCs w:val="28"/>
                <w:highlight w:val="none"/>
              </w:rPr>
              <w:t>。</w:t>
            </w:r>
            <w:r>
              <w:rPr>
                <w:rFonts w:hint="default" w:ascii="Times New Roman" w:hAnsi="Times New Roman" w:eastAsia="仿宋_GB2312" w:cs="Times New Roman"/>
                <w:color w:val="auto"/>
                <w:sz w:val="28"/>
                <w:szCs w:val="28"/>
                <w:highlight w:val="none"/>
              </w:rPr>
              <w:t>供应商的报价</w:t>
            </w:r>
            <w:r>
              <w:rPr>
                <w:rFonts w:hint="eastAsia" w:ascii="Times New Roman" w:hAnsi="Times New Roman" w:eastAsia="仿宋_GB2312" w:cs="Times New Roman"/>
                <w:color w:val="auto"/>
                <w:sz w:val="28"/>
                <w:szCs w:val="28"/>
                <w:highlight w:val="none"/>
                <w:lang w:eastAsia="zh-CN"/>
              </w:rPr>
              <w:t>不得高于</w:t>
            </w:r>
            <w:r>
              <w:rPr>
                <w:rFonts w:hint="default" w:ascii="Times New Roman" w:hAnsi="Times New Roman" w:eastAsia="仿宋_GB2312" w:cs="Times New Roman"/>
                <w:color w:val="auto"/>
                <w:sz w:val="28"/>
                <w:szCs w:val="28"/>
                <w:highlight w:val="none"/>
              </w:rPr>
              <w:t>最高限价，否则报价无效。</w:t>
            </w:r>
            <w:r>
              <w:rPr>
                <w:rFonts w:hint="eastAsia" w:ascii="Times New Roman" w:hAnsi="Times New Roman" w:eastAsia="仿宋_GB2312" w:cs="Times New Roman"/>
                <w:color w:val="auto"/>
                <w:sz w:val="28"/>
                <w:szCs w:val="28"/>
                <w:highlight w:val="none"/>
                <w:lang w:eastAsia="zh-CN"/>
              </w:rPr>
              <w:t>供应商的产品报价，除包含产品本身外，还应包含两年（自产品交付之日起计算）的技术服务（含产品安装、开发咨询、优化建议、问题修复、安全补丁等）费用。技术服务到期后，采购人可以永久使用该版本号的数据库产品。</w:t>
            </w:r>
          </w:p>
          <w:p>
            <w:pPr>
              <w:keepNext w:val="0"/>
              <w:keepLines w:val="0"/>
              <w:widowControl/>
              <w:suppressLineNumbers w:val="0"/>
              <w:spacing w:before="0" w:beforeAutospacing="0" w:after="0" w:afterAutospacing="0"/>
              <w:ind w:left="0" w:right="0"/>
              <w:jc w:val="both"/>
              <w:rPr>
                <w:rFonts w:hint="default"/>
                <w:color w:val="000000"/>
                <w:sz w:val="24"/>
                <w:lang w:val="en-US"/>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5</w:t>
            </w:r>
          </w:p>
        </w:tc>
        <w:tc>
          <w:tcPr>
            <w:tcW w:w="8981" w:type="dxa"/>
            <w:tcBorders>
              <w:top w:val="single" w:color="auto" w:sz="4" w:space="0"/>
              <w:left w:val="single" w:color="auto" w:sz="4" w:space="0"/>
              <w:bottom w:val="single" w:color="auto" w:sz="4" w:space="0"/>
              <w:right w:val="single" w:color="auto" w:sz="4" w:space="0"/>
            </w:tcBorders>
          </w:tcPr>
          <w:p>
            <w:pPr>
              <w:pStyle w:val="6"/>
              <w:keepNext w:val="0"/>
              <w:keepLines w:val="0"/>
              <w:widowControl/>
              <w:numPr>
                <w:ilvl w:val="0"/>
                <w:numId w:val="0"/>
              </w:numPr>
              <w:suppressLineNumbers w:val="0"/>
              <w:spacing w:before="0" w:beforeAutospacing="0" w:after="0" w:afterAutospacing="0"/>
              <w:ind w:right="0"/>
              <w:rPr>
                <w:rFonts w:hint="default" w:ascii="Times New Roman" w:hAnsi="Times New Roman" w:eastAsia="仿宋_GB2312" w:cs="Times New Roman"/>
                <w:b/>
                <w:color w:val="auto"/>
                <w:sz w:val="28"/>
                <w:szCs w:val="28"/>
                <w:highlight w:val="none"/>
              </w:rPr>
            </w:pPr>
            <w:r>
              <w:rPr>
                <w:rFonts w:hint="eastAsia" w:ascii="仿宋" w:hAnsi="仿宋" w:eastAsia="仿宋" w:cs="仿宋"/>
                <w:b/>
                <w:color w:val="auto"/>
                <w:sz w:val="28"/>
                <w:szCs w:val="28"/>
                <w:highlight w:val="none"/>
              </w:rPr>
              <w:t>★</w:t>
            </w:r>
            <w:r>
              <w:rPr>
                <w:rFonts w:hint="eastAsia" w:eastAsia="仿宋_GB2312" w:cs="Times New Roman"/>
                <w:b/>
                <w:color w:val="auto"/>
                <w:sz w:val="28"/>
                <w:szCs w:val="28"/>
                <w:highlight w:val="none"/>
                <w:lang w:val="en-US" w:eastAsia="zh-CN"/>
              </w:rPr>
              <w:t>六</w:t>
            </w:r>
            <w:r>
              <w:rPr>
                <w:rFonts w:hint="eastAsia" w:ascii="Times New Roman" w:hAnsi="Times New Roman" w:eastAsia="仿宋_GB2312" w:cs="Times New Roman"/>
                <w:b/>
                <w:color w:val="auto"/>
                <w:sz w:val="28"/>
                <w:szCs w:val="28"/>
                <w:highlight w:val="none"/>
                <w:lang w:val="en-US" w:eastAsia="zh-CN"/>
              </w:rPr>
              <w:t>、其他</w:t>
            </w:r>
            <w:r>
              <w:rPr>
                <w:rFonts w:hint="default" w:ascii="Times New Roman" w:hAnsi="Times New Roman" w:eastAsia="仿宋_GB2312" w:cs="Times New Roman"/>
                <w:b/>
                <w:color w:val="auto"/>
                <w:sz w:val="28"/>
                <w:szCs w:val="28"/>
                <w:highlight w:val="none"/>
              </w:rPr>
              <w:t>要求</w:t>
            </w:r>
          </w:p>
          <w:p>
            <w:pPr>
              <w:keepNext w:val="0"/>
              <w:keepLines w:val="0"/>
              <w:widowControl/>
              <w:suppressLineNumbers w:val="0"/>
              <w:spacing w:before="0" w:beforeAutospacing="0" w:after="0" w:afterAutospacing="0" w:line="360" w:lineRule="auto"/>
              <w:ind w:left="0" w:right="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lang w:val="en-US" w:eastAsia="zh-CN"/>
              </w:rPr>
              <w:t>1</w:t>
            </w:r>
            <w:r>
              <w:rPr>
                <w:rFonts w:hint="eastAsia" w:ascii="Times New Roman" w:hAnsi="Times New Roman" w:eastAsia="仿宋_GB2312" w:cs="Times New Roman"/>
                <w:color w:val="auto"/>
                <w:sz w:val="28"/>
                <w:szCs w:val="28"/>
                <w:highlight w:val="none"/>
                <w:lang w:eastAsia="zh-CN"/>
              </w:rPr>
              <w:t>）</w:t>
            </w:r>
            <w:r>
              <w:rPr>
                <w:rFonts w:hint="eastAsia" w:eastAsia="仿宋_GB2312" w:cs="Times New Roman"/>
                <w:color w:val="auto"/>
                <w:sz w:val="28"/>
                <w:szCs w:val="28"/>
                <w:highlight w:val="none"/>
                <w:lang w:eastAsia="zh-CN"/>
              </w:rPr>
              <w:t>目前</w:t>
            </w:r>
            <w:r>
              <w:rPr>
                <w:rFonts w:hint="eastAsia" w:ascii="Times New Roman" w:hAnsi="Times New Roman" w:eastAsia="仿宋_GB2312" w:cs="Times New Roman"/>
                <w:color w:val="auto"/>
                <w:sz w:val="28"/>
                <w:szCs w:val="28"/>
                <w:highlight w:val="none"/>
                <w:lang w:eastAsia="zh-CN"/>
              </w:rPr>
              <w:t>暂未有非关系型数据库产品通过中国信息安全测评中心的安全可靠测评，供应商需提供</w:t>
            </w:r>
            <w:r>
              <w:rPr>
                <w:rFonts w:hint="eastAsia" w:ascii="Times New Roman" w:hAnsi="Times New Roman" w:eastAsia="仿宋_GB2312" w:cs="Times New Roman"/>
                <w:b/>
                <w:bCs/>
                <w:color w:val="auto"/>
                <w:sz w:val="28"/>
                <w:szCs w:val="28"/>
                <w:highlight w:val="none"/>
                <w:lang w:eastAsia="zh-CN"/>
              </w:rPr>
              <w:t>关于送安全可靠测评的承诺函</w:t>
            </w:r>
            <w:r>
              <w:rPr>
                <w:rFonts w:hint="eastAsia" w:ascii="Times New Roman" w:hAnsi="Times New Roman" w:eastAsia="仿宋_GB2312" w:cs="Times New Roman"/>
                <w:color w:val="auto"/>
                <w:sz w:val="28"/>
                <w:szCs w:val="28"/>
                <w:highlight w:val="none"/>
                <w:lang w:eastAsia="zh-CN"/>
              </w:rPr>
              <w:t>（承诺函格式详见附件</w:t>
            </w:r>
            <w:r>
              <w:rPr>
                <w:rFonts w:hint="eastAsia" w:eastAsia="仿宋_GB2312" w:cs="Times New Roman"/>
                <w:color w:val="auto"/>
                <w:sz w:val="28"/>
                <w:szCs w:val="28"/>
                <w:highlight w:val="none"/>
                <w:lang w:eastAsia="zh-CN"/>
              </w:rPr>
              <w:t>《关于非关系型数据库产品送安全可靠测评的承诺函》</w:t>
            </w:r>
            <w:r>
              <w:rPr>
                <w:rFonts w:hint="eastAsia" w:ascii="Times New Roman" w:hAnsi="Times New Roman" w:eastAsia="仿宋_GB2312" w:cs="Times New Roman"/>
                <w:color w:val="auto"/>
                <w:sz w:val="28"/>
                <w:szCs w:val="28"/>
                <w:highlight w:val="none"/>
                <w:lang w:eastAsia="zh-CN"/>
              </w:rPr>
              <w:t>）。</w:t>
            </w:r>
          </w:p>
          <w:p>
            <w:pPr>
              <w:keepNext w:val="0"/>
              <w:keepLines w:val="0"/>
              <w:widowControl/>
              <w:suppressLineNumbers w:val="0"/>
              <w:spacing w:before="0" w:beforeAutospacing="0" w:after="0" w:afterAutospacing="0" w:line="360" w:lineRule="auto"/>
              <w:ind w:left="0" w:right="0"/>
              <w:rPr>
                <w:rFonts w:hint="eastAsia" w:ascii="Times New Roman" w:hAnsi="Times New Roman" w:eastAsia="仿宋_GB2312" w:cs="Times New Roman"/>
                <w:color w:val="auto"/>
                <w:sz w:val="28"/>
                <w:szCs w:val="28"/>
                <w:highlight w:val="none"/>
                <w:lang w:val="en-US" w:eastAsia="zh-CN"/>
              </w:rPr>
            </w:pP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lang w:val="en-US" w:eastAsia="zh-CN"/>
              </w:rPr>
              <w:t>2</w:t>
            </w:r>
            <w:r>
              <w:rPr>
                <w:rFonts w:hint="eastAsia" w:ascii="Times New Roman" w:hAnsi="Times New Roman" w:eastAsia="仿宋_GB2312" w:cs="Times New Roman"/>
                <w:color w:val="auto"/>
                <w:sz w:val="28"/>
                <w:szCs w:val="28"/>
                <w:highlight w:val="none"/>
                <w:lang w:eastAsia="zh-CN"/>
              </w:rPr>
              <w:t>）采购人在</w:t>
            </w:r>
            <w:r>
              <w:rPr>
                <w:rFonts w:hint="eastAsia" w:ascii="Times New Roman" w:hAnsi="Times New Roman" w:eastAsia="仿宋_GB2312" w:cs="Times New Roman"/>
                <w:color w:val="auto"/>
                <w:sz w:val="28"/>
                <w:szCs w:val="28"/>
                <w:highlight w:val="none"/>
                <w:lang w:val="en-US" w:eastAsia="zh-CN"/>
              </w:rPr>
              <w:t>2026年对本项目予以资金安排，如果供应商选择在资金到位后再交货，应承诺在合同签订后的5个工作日内提供功能相同的试用版给采购人开发使用。</w:t>
            </w:r>
            <w:r>
              <w:rPr>
                <w:rFonts w:hint="eastAsia" w:ascii="Times New Roman" w:hAnsi="Times New Roman" w:eastAsia="仿宋_GB2312" w:cs="Times New Roman"/>
                <w:color w:val="auto"/>
                <w:sz w:val="28"/>
                <w:szCs w:val="28"/>
                <w:highlight w:val="none"/>
                <w:lang w:eastAsia="zh-CN"/>
              </w:rPr>
              <w:t>（承诺函格式详见附件</w:t>
            </w:r>
            <w:r>
              <w:rPr>
                <w:rFonts w:hint="eastAsia" w:eastAsia="仿宋_GB2312" w:cs="Times New Roman"/>
                <w:color w:val="auto"/>
                <w:sz w:val="28"/>
                <w:szCs w:val="28"/>
                <w:highlight w:val="none"/>
                <w:lang w:eastAsia="zh-CN"/>
              </w:rPr>
              <w:t>《关于非关系型数据库产品送安全可靠测评的承诺函》</w:t>
            </w:r>
            <w:r>
              <w:rPr>
                <w:rFonts w:hint="eastAsia" w:ascii="Times New Roman" w:hAnsi="Times New Roman" w:eastAsia="仿宋_GB2312" w:cs="Times New Roman"/>
                <w:color w:val="auto"/>
                <w:sz w:val="28"/>
                <w:szCs w:val="28"/>
                <w:highlight w:val="none"/>
                <w:lang w:eastAsia="zh-CN"/>
              </w:rPr>
              <w:t>）。</w:t>
            </w:r>
            <w:bookmarkStart w:id="1" w:name="_GoBack"/>
            <w:bookmarkEnd w:id="1"/>
          </w:p>
          <w:p>
            <w:pPr>
              <w:keepNext w:val="0"/>
              <w:keepLines w:val="0"/>
              <w:widowControl/>
              <w:suppressLineNumbers w:val="0"/>
              <w:spacing w:before="0" w:beforeAutospacing="0" w:after="0" w:afterAutospacing="0" w:line="360" w:lineRule="auto"/>
              <w:ind w:left="0" w:right="0"/>
              <w:rPr>
                <w:rFonts w:hint="default" w:ascii="Times New Roman" w:hAnsi="Times New Roman" w:eastAsia="仿宋_GB2312" w:cs="Times New Roman"/>
                <w:color w:val="auto"/>
                <w:sz w:val="28"/>
                <w:szCs w:val="28"/>
                <w:highlight w:val="none"/>
                <w:lang w:val="en-US" w:eastAsia="zh-CN"/>
              </w:rPr>
            </w:pPr>
            <w:r>
              <w:rPr>
                <w:rFonts w:hint="eastAsia" w:ascii="Times New Roman" w:hAnsi="Times New Roman" w:eastAsia="仿宋_GB2312" w:cs="Times New Roman"/>
                <w:color w:val="auto"/>
                <w:sz w:val="28"/>
                <w:szCs w:val="28"/>
                <w:highlight w:val="none"/>
                <w:lang w:val="en-US" w:eastAsia="zh-CN"/>
              </w:rPr>
              <w:t>（3）在合同签订后，采购人有权委托第三方单位对中标供应商提供的产品做验证性测试。如果供货产品未能达到供应商承诺的技术要求，采购人有权解除合同，中标供应商按合同价的30%赔偿采购人</w:t>
            </w:r>
            <w:r>
              <w:rPr>
                <w:rFonts w:hint="eastAsia" w:ascii="Times New Roman" w:hAnsi="Times New Roman" w:eastAsia="仿宋_GB2312" w:cs="Times New Roman"/>
                <w:color w:val="auto"/>
                <w:sz w:val="28"/>
                <w:szCs w:val="28"/>
                <w:highlight w:val="none"/>
                <w:lang w:eastAsia="zh-CN"/>
              </w:rPr>
              <w:t>（承诺函格式详见附件</w:t>
            </w:r>
            <w:r>
              <w:rPr>
                <w:rFonts w:hint="eastAsia" w:ascii="Times New Roman" w:hAnsi="Times New Roman" w:eastAsia="仿宋_GB2312" w:cs="Times New Roman"/>
                <w:color w:val="auto"/>
                <w:sz w:val="28"/>
                <w:szCs w:val="28"/>
                <w:highlight w:val="none"/>
                <w:lang w:val="en-US" w:eastAsia="zh-CN"/>
              </w:rPr>
              <w:t>《关于参与投标的非关系型数据库产品的承诺函》</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lang w:val="en-US" w:eastAsia="zh-CN"/>
              </w:rPr>
              <w:t>。</w:t>
            </w:r>
          </w:p>
          <w:p>
            <w:pPr>
              <w:keepNext w:val="0"/>
              <w:keepLines w:val="0"/>
              <w:widowControl/>
              <w:suppressLineNumbers w:val="0"/>
              <w:spacing w:before="0" w:beforeAutospacing="0" w:after="0" w:afterAutospacing="0"/>
              <w:ind w:left="0" w:right="0"/>
              <w:jc w:val="both"/>
              <w:rPr>
                <w:rFonts w:hint="eastAsia"/>
                <w:lang w:eastAsia="zh-CN"/>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456"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49" w:type="dxa"/>
            <w:gridSpan w:val="4"/>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color w:val="FF0000"/>
                <w:sz w:val="24"/>
                <w:szCs w:val="24"/>
              </w:rPr>
            </w:pPr>
            <w:r>
              <w:rPr>
                <w:rFonts w:hint="eastAsia" w:ascii="宋体" w:hAnsi="宋体"/>
                <w:color w:val="FF0000"/>
                <w:sz w:val="24"/>
                <w:szCs w:val="24"/>
              </w:rPr>
              <w:t>请按需补充</w:t>
            </w:r>
          </w:p>
        </w:tc>
      </w:tr>
    </w:tbl>
    <w:p>
      <w:pPr>
        <w:spacing w:line="360" w:lineRule="auto"/>
        <w:rPr>
          <w:rFonts w:ascii="宋体" w:hAnsi="宋体"/>
          <w:sz w:val="24"/>
          <w:szCs w:val="24"/>
        </w:rPr>
      </w:pPr>
      <w:r>
        <w:rPr>
          <w:rFonts w:hint="eastAsia" w:ascii="宋体" w:hAnsi="宋体"/>
          <w:sz w:val="24"/>
          <w:szCs w:val="24"/>
        </w:rPr>
        <w:t>说明：</w:t>
      </w:r>
    </w:p>
    <w:p>
      <w:pPr>
        <w:pStyle w:val="10"/>
        <w:shd w:val="clear" w:color="auto" w:fill="FFFFFF"/>
        <w:ind w:firstLine="480"/>
      </w:pPr>
      <w:r>
        <w:rPr>
          <w:rFonts w:hint="eastAsia"/>
        </w:rPr>
        <w:t>1.实质性响应条款一览表后续内容请根据第二章采购需求</w:t>
      </w:r>
      <w:r>
        <w:rPr>
          <w:rStyle w:val="13"/>
          <w:rFonts w:hint="eastAsia"/>
          <w:b w:val="0"/>
        </w:rPr>
        <w:t>★</w:t>
      </w:r>
      <w:r>
        <w:rPr>
          <w:rFonts w:hint="eastAsia"/>
        </w:rPr>
        <w:t>号条款详细列举</w:t>
      </w:r>
    </w:p>
    <w:p>
      <w:pPr>
        <w:pStyle w:val="10"/>
        <w:shd w:val="clear" w:color="auto" w:fill="FFFFFF"/>
        <w:ind w:firstLine="480"/>
      </w:pPr>
      <w:r>
        <w:rPr>
          <w:rFonts w:hint="eastAsia"/>
        </w:rPr>
        <w:t>2.本表所列条款必须一一予以响应，“投标人响应情况”一栏应</w:t>
      </w:r>
      <w:r>
        <w:rPr>
          <w:rStyle w:val="13"/>
          <w:rFonts w:hint="eastAsia"/>
          <w:b w:val="0"/>
        </w:rPr>
        <w:t>填写具体的响应内容，有差异</w:t>
      </w:r>
      <w:r>
        <w:rPr>
          <w:rFonts w:hint="eastAsia"/>
        </w:rPr>
        <w:t>的要具体说明。</w:t>
      </w:r>
    </w:p>
    <w:p>
      <w:pPr>
        <w:pStyle w:val="10"/>
        <w:shd w:val="clear" w:color="auto" w:fill="FFFFFF"/>
        <w:ind w:firstLine="480"/>
      </w:pPr>
      <w:r>
        <w:rPr>
          <w:rFonts w:hint="eastAsia"/>
        </w:rPr>
        <w:t>3.请投标人认真填写本表内容，如填写错误将可能导致投标无效。</w:t>
      </w:r>
    </w:p>
    <w:p>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zY2RjYTMzNTM1NjU2ZmIzZDM0ODRjNGQ0ZjhmZjMifQ=="/>
  </w:docVars>
  <w:rsids>
    <w:rsidRoot w:val="002F3044"/>
    <w:rsid w:val="00076C5F"/>
    <w:rsid w:val="00083B02"/>
    <w:rsid w:val="000C13F0"/>
    <w:rsid w:val="001079D2"/>
    <w:rsid w:val="0015735B"/>
    <w:rsid w:val="00194F3E"/>
    <w:rsid w:val="001B369A"/>
    <w:rsid w:val="002048E3"/>
    <w:rsid w:val="0021128E"/>
    <w:rsid w:val="002323C9"/>
    <w:rsid w:val="002F3044"/>
    <w:rsid w:val="003060E6"/>
    <w:rsid w:val="003105EE"/>
    <w:rsid w:val="00321F0D"/>
    <w:rsid w:val="0036576E"/>
    <w:rsid w:val="00387B33"/>
    <w:rsid w:val="004523E4"/>
    <w:rsid w:val="004B30C6"/>
    <w:rsid w:val="00544002"/>
    <w:rsid w:val="0056143B"/>
    <w:rsid w:val="00706877"/>
    <w:rsid w:val="007B77B1"/>
    <w:rsid w:val="008103F4"/>
    <w:rsid w:val="008826E0"/>
    <w:rsid w:val="00906CA6"/>
    <w:rsid w:val="009238D2"/>
    <w:rsid w:val="00926E05"/>
    <w:rsid w:val="00967340"/>
    <w:rsid w:val="00A0648E"/>
    <w:rsid w:val="00A1664F"/>
    <w:rsid w:val="00A30155"/>
    <w:rsid w:val="00A50151"/>
    <w:rsid w:val="00A73AE4"/>
    <w:rsid w:val="00A7604B"/>
    <w:rsid w:val="00B47072"/>
    <w:rsid w:val="00B76C26"/>
    <w:rsid w:val="00BB1460"/>
    <w:rsid w:val="00BB7663"/>
    <w:rsid w:val="00BE6601"/>
    <w:rsid w:val="00C554C7"/>
    <w:rsid w:val="00CD0E81"/>
    <w:rsid w:val="00CF3FAB"/>
    <w:rsid w:val="00DF0BC4"/>
    <w:rsid w:val="00E33BF2"/>
    <w:rsid w:val="00E639D3"/>
    <w:rsid w:val="00F2688D"/>
    <w:rsid w:val="00F45D4E"/>
    <w:rsid w:val="00F84676"/>
    <w:rsid w:val="01E649D8"/>
    <w:rsid w:val="02042D88"/>
    <w:rsid w:val="02AA639C"/>
    <w:rsid w:val="04B34237"/>
    <w:rsid w:val="055C5F12"/>
    <w:rsid w:val="0A78316C"/>
    <w:rsid w:val="0E55064B"/>
    <w:rsid w:val="0FFA3C1C"/>
    <w:rsid w:val="11B5219D"/>
    <w:rsid w:val="17B216BA"/>
    <w:rsid w:val="19570331"/>
    <w:rsid w:val="19DC4392"/>
    <w:rsid w:val="1A606D71"/>
    <w:rsid w:val="21E36518"/>
    <w:rsid w:val="249026B6"/>
    <w:rsid w:val="24BB7446"/>
    <w:rsid w:val="28D92B11"/>
    <w:rsid w:val="296A19BB"/>
    <w:rsid w:val="29D86637"/>
    <w:rsid w:val="2B54022C"/>
    <w:rsid w:val="2CDB3124"/>
    <w:rsid w:val="2D9D16C6"/>
    <w:rsid w:val="309F7124"/>
    <w:rsid w:val="33332C90"/>
    <w:rsid w:val="364C22CB"/>
    <w:rsid w:val="3674299A"/>
    <w:rsid w:val="36B81FB7"/>
    <w:rsid w:val="38227225"/>
    <w:rsid w:val="3CE6179C"/>
    <w:rsid w:val="3D003130"/>
    <w:rsid w:val="3DD328A6"/>
    <w:rsid w:val="3F2006FA"/>
    <w:rsid w:val="40742BFD"/>
    <w:rsid w:val="43F413E1"/>
    <w:rsid w:val="46401681"/>
    <w:rsid w:val="496825F0"/>
    <w:rsid w:val="4B234855"/>
    <w:rsid w:val="4EC72940"/>
    <w:rsid w:val="50472AB0"/>
    <w:rsid w:val="549459BA"/>
    <w:rsid w:val="54CE43AC"/>
    <w:rsid w:val="592D3CE7"/>
    <w:rsid w:val="60125172"/>
    <w:rsid w:val="61521458"/>
    <w:rsid w:val="62C56F4C"/>
    <w:rsid w:val="683C5113"/>
    <w:rsid w:val="689C6793"/>
    <w:rsid w:val="6B673089"/>
    <w:rsid w:val="6F59604B"/>
    <w:rsid w:val="704A4D27"/>
    <w:rsid w:val="71E25A8C"/>
    <w:rsid w:val="76322C7A"/>
    <w:rsid w:val="7932225F"/>
    <w:rsid w:val="7D6422FD"/>
    <w:rsid w:val="7E6959D0"/>
    <w:rsid w:val="7F390A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1"/>
      <w:szCs w:val="20"/>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customStyle="1" w:styleId="2">
    <w:name w:val="目录 211"/>
    <w:basedOn w:val="1"/>
    <w:next w:val="1"/>
    <w:unhideWhenUsed/>
    <w:qFormat/>
    <w:uiPriority w:val="39"/>
    <w:pPr>
      <w:ind w:firstLine="0"/>
      <w:jc w:val="left"/>
    </w:pPr>
    <w:rPr>
      <w:b/>
      <w:bCs/>
      <w:smallCaps/>
      <w:sz w:val="22"/>
      <w:szCs w:val="22"/>
    </w:rPr>
  </w:style>
  <w:style w:type="paragraph" w:styleId="4">
    <w:name w:val="annotation text"/>
    <w:basedOn w:val="1"/>
    <w:link w:val="18"/>
    <w:unhideWhenUsed/>
    <w:qFormat/>
    <w:uiPriority w:val="0"/>
    <w:rPr>
      <w:sz w:val="20"/>
    </w:rPr>
  </w:style>
  <w:style w:type="paragraph" w:styleId="5">
    <w:name w:val="Body Text"/>
    <w:basedOn w:val="1"/>
    <w:next w:val="1"/>
    <w:unhideWhenUsed/>
    <w:qFormat/>
    <w:uiPriority w:val="99"/>
    <w:pPr>
      <w:spacing w:after="120"/>
    </w:pPr>
  </w:style>
  <w:style w:type="paragraph" w:styleId="6">
    <w:name w:val="List 2"/>
    <w:basedOn w:val="1"/>
    <w:unhideWhenUsed/>
    <w:qFormat/>
    <w:uiPriority w:val="0"/>
    <w:pPr>
      <w:ind w:left="100" w:leftChars="200" w:hanging="200" w:hangingChars="200"/>
    </w:pPr>
    <w:rPr>
      <w:szCs w:val="24"/>
    </w:rPr>
  </w:style>
  <w:style w:type="paragraph" w:styleId="7">
    <w:name w:val="Balloon Text"/>
    <w:basedOn w:val="1"/>
    <w:link w:val="17"/>
    <w:semiHidden/>
    <w:unhideWhenUsed/>
    <w:qFormat/>
    <w:uiPriority w:val="99"/>
    <w:rPr>
      <w:sz w:val="18"/>
      <w:szCs w:val="18"/>
    </w:rPr>
  </w:style>
  <w:style w:type="paragraph" w:styleId="8">
    <w:name w:val="footer"/>
    <w:basedOn w:val="1"/>
    <w:link w:val="16"/>
    <w:unhideWhenUsed/>
    <w:qFormat/>
    <w:uiPriority w:val="99"/>
    <w:pPr>
      <w:tabs>
        <w:tab w:val="center" w:pos="4153"/>
        <w:tab w:val="right" w:pos="8306"/>
      </w:tabs>
      <w:snapToGrid w:val="0"/>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line="360" w:lineRule="auto"/>
    </w:pPr>
    <w:rPr>
      <w:rFonts w:ascii="宋体" w:hAnsi="宋体" w:cs="宋体"/>
      <w:sz w:val="24"/>
      <w:szCs w:val="24"/>
    </w:rPr>
  </w:style>
  <w:style w:type="character" w:styleId="13">
    <w:name w:val="Strong"/>
    <w:basedOn w:val="12"/>
    <w:qFormat/>
    <w:uiPriority w:val="22"/>
    <w:rPr>
      <w:b/>
      <w:bCs/>
    </w:rPr>
  </w:style>
  <w:style w:type="character" w:styleId="14">
    <w:name w:val="annotation reference"/>
    <w:qFormat/>
    <w:uiPriority w:val="0"/>
    <w:rPr>
      <w:rFonts w:ascii="Tahoma" w:hAnsi="Tahoma"/>
      <w:kern w:val="2"/>
      <w:sz w:val="21"/>
      <w:szCs w:val="21"/>
    </w:rPr>
  </w:style>
  <w:style w:type="character" w:customStyle="1" w:styleId="15">
    <w:name w:val="页眉 Char"/>
    <w:basedOn w:val="12"/>
    <w:link w:val="9"/>
    <w:qFormat/>
    <w:uiPriority w:val="99"/>
    <w:rPr>
      <w:sz w:val="18"/>
      <w:szCs w:val="18"/>
    </w:rPr>
  </w:style>
  <w:style w:type="character" w:customStyle="1" w:styleId="16">
    <w:name w:val="页脚 Char"/>
    <w:basedOn w:val="12"/>
    <w:link w:val="8"/>
    <w:qFormat/>
    <w:uiPriority w:val="99"/>
    <w:rPr>
      <w:sz w:val="18"/>
      <w:szCs w:val="18"/>
    </w:rPr>
  </w:style>
  <w:style w:type="character" w:customStyle="1" w:styleId="17">
    <w:name w:val="批注框文本 Char"/>
    <w:basedOn w:val="12"/>
    <w:link w:val="7"/>
    <w:semiHidden/>
    <w:qFormat/>
    <w:uiPriority w:val="99"/>
    <w:rPr>
      <w:sz w:val="18"/>
      <w:szCs w:val="18"/>
    </w:rPr>
  </w:style>
  <w:style w:type="character" w:customStyle="1" w:styleId="18">
    <w:name w:val="批注文字 Char"/>
    <w:basedOn w:val="12"/>
    <w:link w:val="4"/>
    <w:qFormat/>
    <w:uiPriority w:val="0"/>
    <w:rPr>
      <w:rFonts w:ascii="Times New Roman" w:hAnsi="Times New Roman" w:eastAsia="宋体" w:cs="Times New Roman"/>
      <w:kern w:val="0"/>
      <w:sz w:val="20"/>
      <w:szCs w:val="20"/>
    </w:rPr>
  </w:style>
  <w:style w:type="paragraph" w:styleId="19">
    <w:name w:val="List Paragraph"/>
    <w:basedOn w:val="1"/>
    <w:qFormat/>
    <w:uiPriority w:val="34"/>
    <w:pPr>
      <w:widowControl w:val="0"/>
      <w:ind w:firstLine="420"/>
      <w:jc w:val="both"/>
    </w:pPr>
    <w:rPr>
      <w:rFonts w:cs="Helvetica"/>
      <w:kern w:val="2"/>
      <w:szCs w:val="21"/>
    </w:rPr>
  </w:style>
  <w:style w:type="character" w:customStyle="1" w:styleId="20">
    <w:name w:val="NormalCharacter"/>
    <w:qFormat/>
    <w:uiPriority w:val="0"/>
  </w:style>
  <w:style w:type="paragraph" w:customStyle="1" w:styleId="21">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正文文本_0"/>
    <w:basedOn w:val="1"/>
    <w:qFormat/>
    <w:uiPriority w:val="0"/>
    <w:pPr>
      <w:widowControl/>
    </w:pPr>
    <w:rPr>
      <w:rFonts w:ascii="Times New Roman" w:hAnsi="Times New Roman"/>
      <w:kern w:val="0"/>
      <w:szCs w:val="20"/>
    </w:rPr>
  </w:style>
  <w:style w:type="paragraph" w:customStyle="1" w:styleId="23">
    <w:name w:val="正文_0_0_0"/>
    <w:qFormat/>
    <w:uiPriority w:val="0"/>
    <w:pPr>
      <w:widowControl w:val="0"/>
      <w:spacing w:line="360" w:lineRule="auto"/>
      <w:ind w:firstLine="480" w:firstLineChars="200"/>
      <w:jc w:val="both"/>
    </w:pPr>
    <w:rPr>
      <w:rFonts w:ascii="Times New Roman" w:hAnsi="Times New Roman" w:eastAsia="宋体" w:cs="Times New Roman"/>
      <w:kern w:val="2"/>
      <w:sz w:val="24"/>
      <w:szCs w:val="22"/>
      <w:lang w:val="en-US" w:eastAsia="zh-CN" w:bidi="ar-SA"/>
    </w:rPr>
  </w:style>
  <w:style w:type="paragraph" w:customStyle="1" w:styleId="24">
    <w:name w:val="正文_1"/>
    <w:qFormat/>
    <w:uiPriority w:val="0"/>
    <w:rPr>
      <w:rFonts w:ascii="Times New Roman" w:hAnsi="Times New Roman" w:eastAsia="宋体" w:cs="Times New Roman"/>
      <w:sz w:val="21"/>
      <w:lang w:val="en-US" w:eastAsia="zh-CN" w:bidi="ar-SA"/>
    </w:rPr>
  </w:style>
  <w:style w:type="paragraph" w:customStyle="1" w:styleId="25">
    <w:name w:val="正文_2"/>
    <w:qFormat/>
    <w:uiPriority w:val="0"/>
    <w:pPr>
      <w:widowControl w:val="0"/>
      <w:jc w:val="both"/>
    </w:pPr>
    <w:rPr>
      <w:rFonts w:ascii="Calibri" w:hAnsi="Calibri" w:eastAsia="宋体" w:cs="Times New Roman"/>
      <w:kern w:val="2"/>
      <w:sz w:val="21"/>
      <w:szCs w:val="22"/>
      <w:lang w:val="en-US" w:eastAsia="zh-CN" w:bidi="ar-SA"/>
    </w:rPr>
  </w:style>
  <w:style w:type="character" w:customStyle="1" w:styleId="26">
    <w:name w:val="font112"/>
    <w:basedOn w:val="12"/>
    <w:qFormat/>
    <w:uiPriority w:val="0"/>
    <w:rPr>
      <w:rFonts w:hint="eastAsia" w:ascii="宋体" w:hAnsi="宋体" w:eastAsia="宋体" w:cs="宋体"/>
      <w:color w:val="000000"/>
      <w:sz w:val="24"/>
      <w:szCs w:val="24"/>
      <w:u w:val="none"/>
    </w:rPr>
  </w:style>
  <w:style w:type="paragraph" w:customStyle="1" w:styleId="27">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1061</Words>
  <Characters>1067</Characters>
  <Lines>9</Lines>
  <Paragraphs>2</Paragraphs>
  <TotalTime>0</TotalTime>
  <ScaleCrop>false</ScaleCrop>
  <LinksUpToDate>false</LinksUpToDate>
  <CharactersWithSpaces>1067</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欧阳晋杰</cp:lastModifiedBy>
  <dcterms:modified xsi:type="dcterms:W3CDTF">2025-10-22T00:59:18Z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AD8BB18EC81B46EA8439B8100CA32C87</vt:lpwstr>
  </property>
  <property fmtid="{D5CDD505-2E9C-101B-9397-08002B2CF9AE}" pid="4" name="KSOTemplateDocerSaveRecord">
    <vt:lpwstr>eyJoZGlkIjoiODdlMjY2ZDU2YzVmYmQ1ODY5MTQwMzQ3ZWYxZmNmNzEiLCJ1c2VySWQiOiIxNjE4Mzg4MDQ2In0=</vt:lpwstr>
  </property>
</Properties>
</file>