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442000-2024-01077</w:t>
      </w:r>
    </w:p>
    <w:p>
      <w:pPr>
        <w:pStyle w:val="null3"/>
        <w:jc w:val="center"/>
        <w:outlineLvl w:val="3"/>
      </w:pPr>
      <w:r>
        <w:rPr>
          <w:b/>
          <w:sz w:val="24"/>
        </w:rPr>
        <w:t>采购项目编号：</w:t>
      </w:r>
      <w:r>
        <w:rPr>
          <w:b/>
          <w:sz w:val="24"/>
        </w:rPr>
        <w:t>0692-249CZST60010</w:t>
      </w:r>
    </w:p>
    <w:p>
      <w:pPr>
        <w:pStyle w:val="null3"/>
        <w:jc w:val="center"/>
        <w:outlineLvl w:val="3"/>
      </w:pPr>
      <w:r>
        <w:rPr>
          <w:b/>
          <w:sz w:val="24"/>
        </w:rPr>
        <w:t>项目名称：</w:t>
      </w:r>
      <w:r>
        <w:rPr>
          <w:b/>
          <w:sz w:val="24"/>
        </w:rPr>
        <w:t>中山市中心四区城市地下市政基础设施普查项目</w:t>
      </w:r>
    </w:p>
    <w:p>
      <w:pPr>
        <w:pStyle w:val="null3"/>
        <w:jc w:val="center"/>
        <w:outlineLvl w:val="3"/>
      </w:pPr>
      <w:r>
        <w:rPr>
          <w:b/>
          <w:sz w:val="24"/>
        </w:rPr>
        <w:t>采购人：</w:t>
      </w:r>
      <w:r>
        <w:rPr>
          <w:b/>
          <w:sz w:val="24"/>
        </w:rPr>
        <w:t>中山市住房和城乡建设局</w:t>
      </w:r>
    </w:p>
    <w:p>
      <w:pPr>
        <w:pStyle w:val="null3"/>
        <w:jc w:val="center"/>
        <w:outlineLvl w:val="3"/>
      </w:pPr>
      <w:r>
        <w:rPr>
          <w:b/>
          <w:sz w:val="24"/>
        </w:rPr>
        <w:t>采购代理机构：</w:t>
      </w:r>
      <w:r>
        <w:rPr>
          <w:b/>
          <w:sz w:val="24"/>
        </w:rPr>
        <w:t>广东省机电设备招标中心有限公司中山分公司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广东省机电设备招标中心有限公司中山分公司</w:t>
      </w:r>
      <w:r>
        <w:rPr/>
        <w:t>受</w:t>
      </w:r>
      <w:r>
        <w:rPr/>
        <w:t>中山市住房和城乡建设局</w:t>
      </w:r>
      <w:r>
        <w:rPr/>
        <w:t>的委托，采用</w:t>
      </w:r>
      <w:r>
        <w:rPr/>
        <w:t>公开招标</w:t>
      </w:r>
      <w:r>
        <w:rPr/>
        <w:t>方式组织采购</w:t>
      </w:r>
      <w:r>
        <w:rPr/>
        <w:t>中山市中心四区城市地下市政基础设施普查项目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中山市中心四区城市地下市政基础设施普查项目</w:t>
      </w:r>
    </w:p>
    <w:p>
      <w:pPr>
        <w:pStyle w:val="null3"/>
        <w:ind w:firstLine="480"/>
      </w:pPr>
      <w:r>
        <w:rPr/>
        <w:t>采购计划编号：</w:t>
      </w:r>
      <w:r>
        <w:rPr/>
        <w:t>442000-2024-01077</w:t>
      </w:r>
    </w:p>
    <w:p>
      <w:pPr>
        <w:pStyle w:val="null3"/>
        <w:ind w:firstLine="480"/>
      </w:pPr>
      <w:r>
        <w:rPr/>
        <w:t>采购项目编号：</w:t>
      </w:r>
      <w:r>
        <w:rPr/>
        <w:t>0692-249CZST60010</w:t>
      </w:r>
    </w:p>
    <w:p>
      <w:pPr>
        <w:pStyle w:val="null3"/>
        <w:ind w:firstLine="480"/>
      </w:pPr>
      <w:r>
        <w:rPr/>
        <w:t>采购方式：</w:t>
      </w:r>
      <w:r>
        <w:rPr/>
        <w:t>公开招标</w:t>
      </w:r>
    </w:p>
    <w:p>
      <w:pPr>
        <w:pStyle w:val="null3"/>
        <w:ind w:firstLine="480"/>
      </w:pPr>
      <w:r>
        <w:rPr/>
        <w:t>预算金额：</w:t>
      </w:r>
      <w:r>
        <w:rPr/>
        <w:t>17,476,300.00</w:t>
      </w:r>
      <w:r>
        <w:rPr/>
        <w:t>元</w:t>
      </w:r>
    </w:p>
    <w:p>
      <w:pPr>
        <w:pStyle w:val="null3"/>
        <w:outlineLvl w:val="3"/>
      </w:pPr>
      <w:r>
        <w:rPr>
          <w:b/>
          <w:sz w:val="24"/>
        </w:rPr>
        <w:t>2.项目内容及需求情况（采购项目技术规格、参数及要求）</w:t>
      </w:r>
    </w:p>
    <w:p>
      <w:pPr>
        <w:pStyle w:val="null3"/>
      </w:pPr>
    </w:p>
    <w:p>
      <w:pPr>
        <w:pStyle w:val="null3"/>
      </w:pPr>
      <w:r>
        <w:rPr/>
        <w:t>采购包1(中山市中心四区城市地下市政基础设施普查项目):</w:t>
      </w:r>
    </w:p>
    <w:p>
      <w:pPr>
        <w:pStyle w:val="null3"/>
      </w:pPr>
      <w:r>
        <w:rPr/>
        <w:t>采购包预算金额：17,476,300.00元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测绘服务</w:t>
            </w:r>
          </w:p>
        </w:tc>
        <w:tc>
          <w:tcPr>
            <w:tcW w:type="dxa" w:w="2136"/>
          </w:tcPr>
          <w:p>
            <w:pPr>
              <w:pStyle w:val="null3"/>
            </w:pPr>
            <w:r>
              <w:rPr/>
              <w:t>中山市中心四区城市地下市政基础设施普查项目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本采购包接受联合体投标</w:t>
      </w:r>
    </w:p>
    <w:p>
      <w:pPr>
        <w:pStyle w:val="null3"/>
      </w:pPr>
    </w:p>
    <w:p>
      <w:pPr>
        <w:pStyle w:val="null3"/>
      </w:pPr>
      <w:r>
        <w:rPr/>
        <w:t>合同分包：不允许合同分包</w:t>
      </w:r>
    </w:p>
    <w:p>
      <w:pPr>
        <w:pStyle w:val="null3"/>
      </w:pPr>
    </w:p>
    <w:p>
      <w:pPr>
        <w:pStyle w:val="null3"/>
      </w:pPr>
      <w:r>
        <w:rPr/>
        <w:t>合同履行期限：自合同签订日起6个月内完成普查全部工作及按要求提交成果数据并终验。如因采购人项目进度安排调整交付时间，按双方协议交付时间为准。</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副本复印件。分支机构投标的，须提供总公司和分公司营业执照副本复印件，总公司出具给分支机构的授权书。（若投标人为联合体，则联合体各方均须满足。）</w:t>
      </w:r>
    </w:p>
    <w:p>
      <w:pPr>
        <w:pStyle w:val="null3"/>
      </w:pPr>
    </w:p>
    <w:p>
      <w:pPr>
        <w:pStyle w:val="null3"/>
      </w:pPr>
      <w:r>
        <w:rPr/>
        <w:t>2）有依法缴纳税收和社会保障资金的良好记录：提供投标截止日前12个月内任意1个月依法缴纳税收和社会保障资金的相关材料。 如依法免税或不需要缴纳社会保障资金的， 提供相应证明材料。（若投标人为联合体，则联合体各方均须满足。）</w:t>
      </w:r>
    </w:p>
    <w:p>
      <w:pPr>
        <w:pStyle w:val="null3"/>
      </w:pPr>
    </w:p>
    <w:p>
      <w:pPr>
        <w:pStyle w:val="null3"/>
      </w:pPr>
      <w:r>
        <w:rPr/>
        <w:t>3）具有良好的商业信誉和健全的财务会计制度：供应商必须具有良好的商业信誉和健全的财务会计制度（提供2022年度财务状况报告或基本开户行出具的资信证明）。（若投标人为联合体，则联合体各方均须满足。）</w:t>
      </w:r>
    </w:p>
    <w:p>
      <w:pPr>
        <w:pStyle w:val="null3"/>
      </w:pPr>
    </w:p>
    <w:p>
      <w:pPr>
        <w:pStyle w:val="null3"/>
      </w:pPr>
      <w:r>
        <w:rPr/>
        <w:t>4）履行合同所必需的设备和专业技术能力：提供“具有履行合同所必需的设备和专业技术能力”的声明或承诺，或提供“具有设备和专业技术能力（人员）”的相关证明资料，或提供《拟投入本项目的设备和专业技术能力（人员）情况表》（格式自拟）。（若投标人为联合体，则联合体各方均须满足。）</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若投标人为联合体，则联合体各方均须满足。）</w:t>
      </w:r>
    </w:p>
    <w:p>
      <w:pPr>
        <w:pStyle w:val="null3"/>
        <w:outlineLvl w:val="3"/>
      </w:pPr>
      <w:r>
        <w:rPr>
          <w:b/>
          <w:sz w:val="24"/>
        </w:rPr>
        <w:t>2.落实政府采购政策需满足的资格要求：</w:t>
      </w:r>
    </w:p>
    <w:p>
      <w:pPr>
        <w:pStyle w:val="null3"/>
        <w:ind w:firstLine="480"/>
        <w:jc w:val="left"/>
      </w:pPr>
    </w:p>
    <w:p>
      <w:pPr>
        <w:pStyle w:val="null3"/>
        <w:jc w:val="left"/>
      </w:pPr>
      <w:r>
        <w:rPr/>
        <w:t>采购包1（中山市中心四区城市地下市政基础设施普查项目）：</w:t>
      </w:r>
      <w:r>
        <w:rPr/>
        <w:t>本项目允许以联合体形式预留份额给中小企业，且联合体当中的中小企业承担的部分达到预算金额（或合同金额）的40%或以上，且其中预留给小微企业的比例不低于70%。即如果投标人为非中小企业的，须以联合体形式参加，并通过《联合体共同投标协议书》约定中小型企业将承担合同总金额40%或以上，且其中预留给小微企业的比例不低于70%的工作内容（提供《联合体共同投标协议书》和联合体中成员《中小企业声明函（工程、服务）》（中小企业划分标准所属行业为：其他未列明行业））；如果投标人为小微型企业的，则可以不组成联合体参加（提供《中小企业声明函（工程、服务）》（中小企业划分标准所属行业为：其他未列明行业））。（监狱企业、残疾人福利性单位视同小型、微型企业）。</w:t>
      </w:r>
    </w:p>
    <w:p>
      <w:pPr>
        <w:pStyle w:val="null3"/>
        <w:outlineLvl w:val="3"/>
      </w:pPr>
      <w:r>
        <w:rPr>
          <w:b/>
          <w:sz w:val="24"/>
        </w:rPr>
        <w:t>3.本项目特定的资格要求：</w:t>
      </w:r>
    </w:p>
    <w:p>
      <w:pPr>
        <w:pStyle w:val="null3"/>
      </w:pPr>
    </w:p>
    <w:p>
      <w:pPr>
        <w:pStyle w:val="null3"/>
      </w:pPr>
      <w:r>
        <w:rPr/>
        <w:t>采购包1（中山市中心四区城市地下市政基础设施普查项目）：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若投标人为联合体，则联合体各方均须满足。）</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函相关承诺要求内容。（若投标人为联合体，则联合体各方均须满足。）</w:t>
      </w:r>
    </w:p>
    <w:p>
      <w:pPr>
        <w:pStyle w:val="null3"/>
      </w:pPr>
    </w:p>
    <w:p>
      <w:pPr>
        <w:pStyle w:val="null3"/>
      </w:pPr>
      <w:r>
        <w:rPr/>
        <w:t>3)投标人须具备以下资质其中之一： （1）具有有效的测绘资质证书，且测绘资质专业类别为：【①工程测量（乙级或以上）和②地理信息系统工程（乙级或以上）】；  （2）具有有效的【工程勘察综合资质甲级和地理信息系统工程（乙级或以上）的测绘专业资质】； （3）具有有效的【工程勘察专业类（工程测量）甲级资质和地理信息系统工程（乙级或以上）的测绘专业资质】。</w:t>
      </w:r>
    </w:p>
    <w:p>
      <w:pPr>
        <w:pStyle w:val="null3"/>
      </w:pPr>
    </w:p>
    <w:p>
      <w:pPr>
        <w:pStyle w:val="null3"/>
      </w:pPr>
      <w:r>
        <w:rPr/>
        <w:t>4)本项目接受联合体投标。组成联合体投标的成员不得超过3个，参与本项目投标的联合体牵头方和成员方必须签订联合体共同投标协议书，明确牵头方和成员方承担的工作内容和权利义务。联合体牵头方和成员方不得再独立参加或者与其他投标人另外组成联合体参加本项目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广东省机电设备招标中心有限公司网站（http://www.gdebidding.com）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中山市住房和城乡建设局</w:t>
      </w:r>
    </w:p>
    <w:p>
      <w:pPr>
        <w:pStyle w:val="null3"/>
        <w:ind w:firstLine="480"/>
      </w:pPr>
      <w:r>
        <w:rPr/>
        <w:t>地址：</w:t>
      </w:r>
      <w:r>
        <w:rPr/>
        <w:t>中山市中山四路1号</w:t>
      </w:r>
    </w:p>
    <w:p>
      <w:pPr>
        <w:pStyle w:val="null3"/>
        <w:ind w:firstLine="480"/>
      </w:pPr>
      <w:r>
        <w:rPr/>
        <w:t>联系方式：</w:t>
      </w:r>
      <w:r>
        <w:rPr/>
        <w:t>0760-88238313</w:t>
      </w:r>
    </w:p>
    <w:p>
      <w:pPr>
        <w:pStyle w:val="null3"/>
        <w:outlineLvl w:val="3"/>
      </w:pPr>
      <w:r>
        <w:rPr>
          <w:b/>
          <w:sz w:val="24"/>
        </w:rPr>
        <w:t>2.采购代理机构信息</w:t>
      </w:r>
    </w:p>
    <w:p>
      <w:pPr>
        <w:pStyle w:val="null3"/>
        <w:ind w:firstLine="480"/>
      </w:pPr>
      <w:r>
        <w:rPr/>
        <w:t>名称：</w:t>
      </w:r>
      <w:r>
        <w:rPr/>
        <w:t>广东省机电设备招标中心有限公司中山分公司</w:t>
      </w:r>
    </w:p>
    <w:p>
      <w:pPr>
        <w:pStyle w:val="null3"/>
        <w:ind w:firstLine="480"/>
      </w:pPr>
      <w:r>
        <w:rPr/>
        <w:t>地址：</w:t>
      </w:r>
      <w:r>
        <w:rPr/>
        <w:t>广东省中山市东区街道中山四路华凯商务大厦213号、215号、216号</w:t>
      </w:r>
    </w:p>
    <w:p>
      <w:pPr>
        <w:pStyle w:val="null3"/>
        <w:ind w:firstLine="480"/>
      </w:pPr>
      <w:r>
        <w:rPr/>
        <w:t>联系方式：</w:t>
      </w:r>
      <w:r>
        <w:rPr/>
        <w:t>0760-88361915,13528265338</w:t>
      </w:r>
    </w:p>
    <w:p>
      <w:pPr>
        <w:pStyle w:val="null3"/>
        <w:outlineLvl w:val="3"/>
      </w:pPr>
      <w:r>
        <w:rPr>
          <w:b/>
          <w:sz w:val="24"/>
        </w:rPr>
        <w:t>3.项目联系方式</w:t>
      </w:r>
    </w:p>
    <w:p>
      <w:pPr>
        <w:pStyle w:val="null3"/>
        <w:ind w:firstLine="480"/>
      </w:pPr>
      <w:r>
        <w:rPr/>
        <w:t>项目联系人：</w:t>
      </w:r>
      <w:r>
        <w:rPr/>
        <w:t>梁碧</w:t>
      </w:r>
    </w:p>
    <w:p>
      <w:pPr>
        <w:pStyle w:val="null3"/>
        <w:ind w:firstLine="480"/>
      </w:pPr>
      <w:r>
        <w:rPr/>
        <w:t>电话：</w:t>
      </w:r>
      <w:r>
        <w:rPr/>
        <w:t>0760-88361915,13528265338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广东省机电设备招标中心有限公司中山分公司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（一）项目属性：服务类。</w:t>
      </w:r>
    </w:p>
    <w:p>
      <w:pPr>
        <w:pStyle w:val="null3"/>
        <w:ind w:firstLine="480"/>
        <w:jc w:val="both"/>
      </w:pPr>
      <w:r>
        <w:rPr>
          <w:sz w:val="21"/>
        </w:rPr>
        <w:t>（二）项目背景</w:t>
      </w:r>
    </w:p>
    <w:p>
      <w:pPr>
        <w:pStyle w:val="null3"/>
        <w:spacing w:before="120" w:after="120"/>
        <w:ind w:left="105" w:firstLine="482"/>
        <w:jc w:val="both"/>
      </w:pPr>
      <w:r>
        <w:rPr>
          <w:sz w:val="21"/>
        </w:rPr>
        <w:t>城市地下市政基础设施建设是城市安全有序运行的重要基础，是城市高质量发展的重要内容。当前，城市地下市政基础设施建设总体平稳，基本满足城市快速发展需要，但城市地下管线、地下通道、地下公共停车场、人防等市政基础设施仍存在底数不清、统筹协调不够、运行管理不到位等问题，城市道路塌陷等事故时有发生。为进一步加强城市地下市政基础设施建设，经国务院批准，住房和城乡建设部发布《住房和城乡建设部关于加强城市地下市政基础设施建设的指导意见》（建城〔2020〕111号），提出了“到2023年底前，基本完成设施普查，摸清底数，掌握存在的隐患风险点并限期消除，地级及以上城市建立和完善综合管理信息平台”的要求。</w:t>
      </w:r>
    </w:p>
    <w:p>
      <w:pPr>
        <w:pStyle w:val="null3"/>
        <w:spacing w:before="120" w:after="120"/>
        <w:ind w:left="105" w:firstLine="482"/>
        <w:jc w:val="both"/>
      </w:pPr>
      <w:r>
        <w:rPr>
          <w:sz w:val="21"/>
        </w:rPr>
        <w:t>2021</w:t>
      </w:r>
      <w:r>
        <w:rPr>
          <w:sz w:val="21"/>
        </w:rPr>
        <w:t>年5月，广东省住房和城乡建设厅关于印发《广东省加强城市地下市政基础设施建设工作方案》的通知（粤建城〔2021〕71号），要求“开展城市地下市政基础设施普查及信息平台建设”。2022年5月，广东省住房和城乡建设厅印发《广东省地下市政基础设施普查技术导则》《广东省地下市政基础设施综合管理信息平台建设技术导则》两份技术导则，全面指导我省城市地下市政基础设施普查以及综合管理信息平台建设。</w:t>
      </w:r>
    </w:p>
    <w:p>
      <w:pPr>
        <w:pStyle w:val="null3"/>
        <w:spacing w:before="120" w:after="120"/>
        <w:ind w:left="105" w:firstLine="482"/>
        <w:jc w:val="both"/>
      </w:pPr>
      <w:r>
        <w:rPr>
          <w:sz w:val="21"/>
        </w:rPr>
        <w:t>为推进中山市地下市政基础设施建设，贯彻落实国家、省、市相关要求，摸清底数，构建地下市政基础设施一张图，支撑城市安全运行，保障人民群众生命财产安全，特开展中山市中心四区中山市中心四区城市地下市政基础设施普查工作。</w:t>
      </w:r>
    </w:p>
    <w:p>
      <w:pPr>
        <w:pStyle w:val="null3"/>
        <w:ind w:firstLine="480"/>
        <w:jc w:val="left"/>
      </w:pPr>
      <w:r>
        <w:rPr>
          <w:sz w:val="21"/>
        </w:rPr>
        <w:t>（三）本项目采购需求中标示“★”号条款为实质性条款，若有任何一条负偏离或不满足则导致投标无效。标示“▲”号条款为重要指标要求，若有部分“▲”条款未响应或不满足，将影响其技术商务评分但不作为无效投标条款。</w:t>
      </w:r>
    </w:p>
    <w:p>
      <w:pPr>
        <w:pStyle w:val="null3"/>
      </w:pPr>
    </w:p>
    <w:p>
      <w:pPr>
        <w:pStyle w:val="null3"/>
      </w:pPr>
      <w:r>
        <w:rPr/>
        <w:t>采购包1（中山市中心四区城市地下市政基础设施普查项目）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自合同签订日起6个月内完成普查全部工作及按要求提交成果数据并终验。如因采购人项目进度安排调整交付时间，按双方协议交付时间为准。</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1期：支付比例15%,签订采购合同后提交符合要求的结算材料支付预付款，预付款为合同价的15%；</w:t>
            </w:r>
          </w:p>
          <w:p>
            <w:pPr>
              <w:pStyle w:val="null3"/>
            </w:pPr>
          </w:p>
          <w:p>
            <w:pPr>
              <w:pStyle w:val="null3"/>
            </w:pPr>
            <w:r>
              <w:rPr/>
              <w:t>2期：支付比例23%,完成合同预估工作量的50%形成调查表台帐后，由监理单位签字确认支付合同价的23%；</w:t>
            </w:r>
          </w:p>
          <w:p>
            <w:pPr>
              <w:pStyle w:val="null3"/>
            </w:pPr>
          </w:p>
          <w:p>
            <w:pPr>
              <w:pStyle w:val="null3"/>
            </w:pPr>
            <w:r>
              <w:rPr/>
              <w:t>3期：支付比例30%,完成合同预估工作量的80%形成调查表台帐后，由监理单位签字确认支付合同成交价的30%；</w:t>
            </w:r>
          </w:p>
          <w:p>
            <w:pPr>
              <w:pStyle w:val="null3"/>
            </w:pPr>
          </w:p>
          <w:p>
            <w:pPr>
              <w:pStyle w:val="null3"/>
            </w:pPr>
            <w:r>
              <w:rPr/>
              <w:t>4期：支付比例32%,剩余款项由监理单位提供监理报告，且完成成果数据的整理和接边并通过专家成果验收后支付。 注：1至4期均按以下流程请款： 1. 本项目通过银行转账方式支付款项，具体费用付款额度、方式及时间以财政部门批复意见为准； 2.项目实行总价包干制，总工作量达到或超过采购需求中约定的工作量时按中标价结算； 3.中标人应开具相应发票予采购人，采购人在收到发票后的十五个工作日内付款，如中标人未按采购人要求开具及交付发票，采购人付款期限相应顺延。本项目资金来源为财政资金，相关付款程序严格遵守中山市政府财政资金支付程序规定； 4.前款约定的付款时间为采购人向相关政府采购支付部门提出办理财政支付申请手续的时间（不含政府财政支付部门审核的时间），如采购人在前述约定的时间内提出相应的支付申请手续，即视为采购人已经按期支付；因不可抗力政府原因造成迟延支付的，采购人不构成违约，无需向中标人承担违约责任。</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总体要求：（1）项目验收严格按照项目内容、质量要求，包括项目建设内容的完整性、项目实施的科学性、数据成果的正确性等要求开展。（2）完成合同规定的相应阶段建设内容后，文档齐全，成果自检合格，形成自检报告随成果一同提交验收。 2、项目中期成果审查要求：完成合同约定建设内容的80%工作量。 3、项目最终成果验收要求：完成合同约定建设内容的100%工作量。 4、项目总体验收要求由监理单位按本项目的政策依据、技术标准提供监理报告后，并由监理单位协助采购人组织专家验收会进行验收。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1. 后续服务1：自最后成果提交采购人之日起一年。后续服务期限内，中标人应提供相关咨询、协调、项目审查报告更新等技术支持，并安排专人负责售后技术支持。 2. 后续服务2：投标人须在投标文件中承诺：中标后，在项目普查地设立项目部。（提供承诺函加盖投标人公章）。 3. 报价要求：本项目投标报价应包含设备费、人工费、资料费、打印费、专家验收评审费、税费等项目所涉及的所有费用；投标人在投标前应充分考虑自行承担的风险。 4.合同条款：投标人实质性响应合同文本内容；在合同实施过程中若出现风险情况的，以合同条款的风控措施为准。</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测绘服务</w:t>
            </w:r>
          </w:p>
        </w:tc>
        <w:tc>
          <w:tcPr>
            <w:tcW w:type="dxa" w:w="933"/>
          </w:tcPr>
          <w:p>
            <w:pPr>
              <w:pStyle w:val="null3"/>
              <w:jc w:val="left"/>
            </w:pPr>
            <w:r>
              <w:rPr/>
              <w:t>中山市中心四区城市地下市政基础设施普查项目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17,476,300.00</w:t>
            </w:r>
          </w:p>
        </w:tc>
        <w:tc>
          <w:tcPr>
            <w:tcW w:type="dxa" w:w="933"/>
          </w:tcPr>
          <w:p>
            <w:pPr>
              <w:pStyle w:val="null3"/>
              <w:jc w:val="right"/>
            </w:pPr>
            <w:r>
              <w:rPr/>
              <w:t>17,476,300.00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中山市中心四区城市地下市政基础设施普查项目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一、项目目标</w:t>
            </w:r>
          </w:p>
          <w:p>
            <w:pPr>
              <w:pStyle w:val="null3"/>
              <w:spacing w:after="165"/>
              <w:ind w:left="105" w:firstLine="480"/>
              <w:jc w:val="both"/>
            </w:pPr>
            <w:r>
              <w:rPr>
                <w:sz w:val="21"/>
              </w:rPr>
              <w:t>本项目通过对中山市中心四区（石岐街道、东区街道、南区街道和西区街道）范围内的地下管线与地下交通等地下市政基础设施进行普查与数据升级，获取全面、准确、现势的地下市政基础设施数据，形成中山市城市地下市政基础设施综合数据库，协助提高中山市地下市政基础设施建设效率，提升城市安全韧性。</w:t>
            </w:r>
          </w:p>
          <w:p>
            <w:pPr>
              <w:pStyle w:val="null3"/>
              <w:spacing w:after="165"/>
              <w:ind w:firstLine="480"/>
              <w:jc w:val="both"/>
            </w:pPr>
            <w:r>
              <w:rPr>
                <w:b/>
                <w:sz w:val="21"/>
              </w:rPr>
              <w:t>二、建设</w:t>
            </w:r>
            <w:r>
              <w:rPr>
                <w:b/>
                <w:sz w:val="21"/>
              </w:rPr>
              <w:t>要求</w:t>
            </w:r>
          </w:p>
          <w:p>
            <w:pPr>
              <w:pStyle w:val="null3"/>
              <w:spacing w:after="165"/>
              <w:ind w:firstLine="480"/>
              <w:jc w:val="both"/>
            </w:pPr>
            <w:r>
              <w:rPr>
                <w:b/>
                <w:sz w:val="21"/>
              </w:rPr>
              <w:t>（一）建设内容</w:t>
            </w:r>
          </w:p>
          <w:p>
            <w:pPr>
              <w:pStyle w:val="null3"/>
              <w:spacing w:before="120" w:after="120"/>
              <w:ind w:firstLine="480"/>
              <w:jc w:val="both"/>
            </w:pPr>
            <w:r>
              <w:rPr>
                <w:sz w:val="21"/>
              </w:rPr>
              <w:t>本项目建设内容主要包括：</w:t>
            </w:r>
          </w:p>
          <w:p>
            <w:pPr>
              <w:pStyle w:val="null3"/>
              <w:ind w:firstLine="480"/>
              <w:jc w:val="both"/>
            </w:pPr>
            <w:r>
              <w:rPr>
                <w:sz w:val="21"/>
              </w:rPr>
              <w:t>1</w:t>
            </w:r>
            <w:r>
              <w:rPr>
                <w:sz w:val="21"/>
              </w:rPr>
              <w:t>、地下管线的普查与转换升级：按照广东省地下市政基础设施普查相关技术导则要求，对中山市中心四区历史地下管线进行数据升级，对过去未开展地下管线普查数据进行普查与修测。（中心四区为西区街道、石岐街道、东区街道和南区街道，下同。）</w:t>
            </w:r>
          </w:p>
          <w:p>
            <w:pPr>
              <w:pStyle w:val="null3"/>
              <w:ind w:firstLine="480"/>
              <w:jc w:val="both"/>
            </w:pPr>
            <w:r>
              <w:rPr>
                <w:sz w:val="21"/>
              </w:rPr>
              <w:t>2</w:t>
            </w:r>
            <w:r>
              <w:rPr>
                <w:sz w:val="21"/>
              </w:rPr>
              <w:t>、地下建（构）筑基础设施普查：对中山市中心四区</w:t>
            </w:r>
            <w:r>
              <w:rPr>
                <w:sz w:val="21"/>
              </w:rPr>
              <w:t>地下建（构）筑基础设施包含地下交通设施（人行地下通道、城市地下道路、城市轨道交通、地下铁路、地下公共停车场、地下交通枢纽）、地下人防工程（不包括小区内停车场）、地下综合防灾设施</w:t>
            </w:r>
            <w:r>
              <w:rPr>
                <w:sz w:val="21"/>
              </w:rPr>
              <w:t>开展普查工作。</w:t>
            </w:r>
          </w:p>
          <w:p>
            <w:pPr>
              <w:pStyle w:val="null3"/>
              <w:ind w:firstLine="480"/>
              <w:jc w:val="both"/>
            </w:pPr>
            <w:r>
              <w:rPr>
                <w:sz w:val="21"/>
              </w:rPr>
              <w:t>3</w:t>
            </w:r>
            <w:r>
              <w:rPr>
                <w:sz w:val="21"/>
              </w:rPr>
              <w:t>、地下市政基础设施整合建库和三维可视化：对普查所获得的地下管线设施数据成果、地下建（构）筑基础设施数据成果进行质检、整合入库，并行三维建模，支撑地下市政基础设施管理三维应用。</w:t>
            </w:r>
          </w:p>
          <w:p>
            <w:pPr>
              <w:pStyle w:val="null3"/>
              <w:spacing w:after="165"/>
              <w:ind w:left="105" w:firstLine="480"/>
              <w:jc w:val="both"/>
            </w:pPr>
            <w:r>
              <w:rPr>
                <w:sz w:val="21"/>
              </w:rPr>
              <w:t>具体建设内容如下表。</w:t>
            </w:r>
          </w:p>
          <w:p>
            <w:pPr>
              <w:pStyle w:val="null3"/>
              <w:spacing w:after="165"/>
              <w:ind w:left="105" w:firstLine="420"/>
              <w:jc w:val="both"/>
            </w:pPr>
            <w:r>
              <w:rPr>
                <w:b/>
                <w:sz w:val="21"/>
              </w:rPr>
              <w:t>表1 具体建设内容一览表</w:t>
            </w:r>
          </w:p>
          <w:tbl>
            <w:tblPr>
              <w:tblBorders>
                <w:top w:val="none" w:color="000000" w:sz="4"/>
                <w:left w:val="none" w:color="000000" w:sz="4"/>
                <w:bottom w:val="none" w:color="000000" w:sz="4"/>
                <w:right w:val="none" w:color="000000" w:sz="4"/>
                <w:insideH w:val="none"/>
                <w:insideV w:val="none"/>
              </w:tblBorders>
            </w:tblPr>
            <w:tblGrid>
              <w:gridCol w:w="567"/>
              <w:gridCol w:w="1458"/>
              <w:gridCol w:w="3573"/>
            </w:tblGrid>
            <w:tr>
              <w:tc>
                <w:tcPr>
                  <w:tcW w:type="dxa" w:w="567"/>
                  <w:tcBorders>
                    <w:top w:val="single" w:color="000000" w:sz="4"/>
                    <w:left w:val="single" w:color="000000" w:sz="4"/>
                    <w:bottom w:val="single" w:color="000000" w:sz="4"/>
                    <w:right w:val="single" w:color="000000" w:sz="4"/>
                  </w:tcBorders>
                  <w:shd w:fill="D9D9D9"/>
                  <w:tcMar>
                    <w:top w:type="dxa" w:w="0"/>
                    <w:left w:type="dxa" w:w="105"/>
                    <w:bottom w:type="dxa" w:w="0"/>
                    <w:right w:type="dxa" w:w="105"/>
                  </w:tcMar>
                </w:tcPr>
                <w:p>
                  <w:pPr>
                    <w:pStyle w:val="null3"/>
                    <w:spacing w:after="165"/>
                    <w:ind w:firstLine="480"/>
                    <w:jc w:val="center"/>
                  </w:pPr>
                  <w:r>
                    <w:rPr>
                      <w:color w:val="000000"/>
                      <w:sz w:val="21"/>
                    </w:rPr>
                    <w:t>序号</w:t>
                  </w:r>
                </w:p>
              </w:tc>
              <w:tc>
                <w:tcPr>
                  <w:tcW w:type="dxa" w:w="1458"/>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spacing w:after="165"/>
                    <w:ind w:firstLine="480"/>
                    <w:jc w:val="center"/>
                  </w:pPr>
                  <w:r>
                    <w:rPr>
                      <w:color w:val="000000"/>
                      <w:sz w:val="21"/>
                    </w:rPr>
                    <w:t>建设内容</w:t>
                  </w:r>
                </w:p>
              </w:tc>
              <w:tc>
                <w:tcPr>
                  <w:tcW w:type="dxa" w:w="3573"/>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spacing w:after="165"/>
                    <w:ind w:firstLine="480"/>
                    <w:jc w:val="center"/>
                  </w:pPr>
                  <w:r>
                    <w:rPr>
                      <w:color w:val="000000"/>
                      <w:sz w:val="21"/>
                    </w:rPr>
                    <w:t>具体内容</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1"/>
                    </w:rPr>
                    <w:t>1</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sz w:val="21"/>
                    </w:rPr>
                    <w:t>地下管线的普查与转换升级</w:t>
                  </w:r>
                </w:p>
              </w:tc>
              <w:tc>
                <w:tcPr>
                  <w:tcW w:type="dxa" w:w="35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sz w:val="21"/>
                    </w:rPr>
                    <w:t>按照广东省地下市政基础设施普查相关技术导则要求，中心四区历史地下管线进行数据升级，对过去未开展地下管线普查数据进行普查与修测，预计升级管线工作量为4843公里，新普查管线工作量预计约4346公里，合计约为9189公里，具体工作量以实际中心四区覆盖普查范围为准。</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1"/>
                    </w:rPr>
                    <w:t>2</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sz w:val="21"/>
                    </w:rPr>
                    <w:t>地下建（构）筑基础设施普查</w:t>
                  </w:r>
                </w:p>
              </w:tc>
              <w:tc>
                <w:tcPr>
                  <w:tcW w:type="dxa" w:w="35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sz w:val="21"/>
                    </w:rPr>
                    <w:t>按照住建部本次普查工作的《指导手册》、广东省普查工作《技术导则》，对中山市地中心四区约5（按现有实际数量）处地下人行通道、城市地下道路进行普查。</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1"/>
                    </w:rPr>
                    <w:t>3</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sz w:val="21"/>
                    </w:rPr>
                    <w:t>地下市政基础设施整合建库和三维可视化</w:t>
                  </w:r>
                </w:p>
              </w:tc>
              <w:tc>
                <w:tcPr>
                  <w:tcW w:type="dxa" w:w="35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sz w:val="21"/>
                    </w:rPr>
                    <w:t>（1）依据住建部普查工作的《指导手册》、广东省普查工作《技术导则》，对地下市政基础设施普查数据成果，参照部、省、市级相关标准开展成果质量检查，对不同普查区域的成果数据开展接边检查，指导普查单位修改至符合数据库标准的成果，保障普查成果质量。</w:t>
                  </w:r>
                </w:p>
                <w:p>
                  <w:pPr>
                    <w:pStyle w:val="null3"/>
                    <w:spacing w:after="165"/>
                    <w:ind w:firstLine="480"/>
                    <w:jc w:val="both"/>
                  </w:pPr>
                  <w:r>
                    <w:rPr>
                      <w:sz w:val="21"/>
                    </w:rPr>
                    <w:t>（2）对地下工程管线设施、地下建（构）筑基础设施开展三维可视化建设、编译三维数据，并对三维模型进行质量检查</w:t>
                  </w:r>
                </w:p>
              </w:tc>
            </w:tr>
          </w:tbl>
          <w:p>
            <w:pPr>
              <w:pStyle w:val="null3"/>
              <w:spacing w:after="165"/>
              <w:ind w:firstLine="480"/>
              <w:jc w:val="both"/>
            </w:pPr>
            <w:r>
              <w:rPr>
                <w:sz w:val="21"/>
              </w:rPr>
              <w:t>★</w:t>
            </w:r>
            <w:r>
              <w:rPr>
                <w:b/>
                <w:sz w:val="21"/>
              </w:rPr>
              <w:t>4.</w:t>
            </w:r>
            <w:r>
              <w:rPr>
                <w:b/>
                <w:sz w:val="21"/>
              </w:rPr>
              <w:t>表1具体建设内容一览表中有关工作量为估算量，若普查工作实施阶段中超过估算量的，其费用也包含在本次投标价中，采购人不再追加任何费用，中标人不能因此中止或终止服务，否则，采购人有权追究其违约责任。</w:t>
            </w:r>
          </w:p>
          <w:p>
            <w:pPr>
              <w:pStyle w:val="null3"/>
              <w:spacing w:after="165"/>
              <w:ind w:firstLine="480"/>
              <w:jc w:val="both"/>
            </w:pPr>
            <w:r>
              <w:rPr>
                <w:b/>
                <w:sz w:val="21"/>
              </w:rPr>
              <w:t>（二）数据现状</w:t>
            </w:r>
          </w:p>
          <w:p>
            <w:pPr>
              <w:pStyle w:val="null3"/>
              <w:spacing w:before="120" w:after="120"/>
              <w:ind w:firstLine="420"/>
              <w:jc w:val="both"/>
            </w:pPr>
            <w:r>
              <w:rPr>
                <w:sz w:val="21"/>
              </w:rPr>
              <w:t>中山市于2012年开展了管线普查，完成约4798公里管线探测。2016年完成中心城区约441公里的地下管线补测补绘，以及火炬开发区、港口、小榄、三乡、沙溪、大涌、南朗、古镇等区镇约7189公里的地下管线普查。中心四区具有5181.78公里地下管线数据。此外，中山市各管线权属单位管理有各类专业管线数据，累计长度超过2.5万公里，可用于提供管理、技术信息。</w:t>
            </w:r>
          </w:p>
          <w:p>
            <w:pPr>
              <w:pStyle w:val="null3"/>
              <w:spacing w:before="120" w:after="120"/>
              <w:ind w:firstLine="420"/>
              <w:jc w:val="both"/>
            </w:pPr>
            <w:r>
              <w:rPr>
                <w:sz w:val="21"/>
              </w:rPr>
              <w:t>中山市地下市政基础设施主管部门和权属单位对应管理的设施类型基本厘清，但对应部门已有数据成果仍然存在以下几个方面的问题，一是数据平面位置精确度不够，二是普遍缺少埋深等高度信息，三是数据存在更新的问题，四是属性信息与本项工作标准要求差异较大，五是不同部门使用的坐标系不统一，存在部分单位自行转换导致空间位置转换错误的问题。</w:t>
            </w:r>
          </w:p>
          <w:p>
            <w:pPr>
              <w:pStyle w:val="null3"/>
              <w:ind w:firstLine="480"/>
              <w:jc w:val="both"/>
            </w:pPr>
            <w:r>
              <w:rPr>
                <w:b/>
                <w:sz w:val="21"/>
              </w:rPr>
              <w:t>（三）技术要求</w:t>
            </w:r>
          </w:p>
          <w:p>
            <w:pPr>
              <w:pStyle w:val="null3"/>
              <w:ind w:firstLine="480"/>
              <w:jc w:val="both"/>
            </w:pPr>
            <w:r>
              <w:rPr>
                <w:b/>
                <w:sz w:val="21"/>
              </w:rPr>
              <w:t>1</w:t>
            </w:r>
            <w:r>
              <w:rPr>
                <w:b/>
                <w:sz w:val="21"/>
              </w:rPr>
              <w:t>、普查范围</w:t>
            </w:r>
          </w:p>
          <w:p>
            <w:pPr>
              <w:pStyle w:val="null3"/>
              <w:spacing w:before="120" w:after="120"/>
              <w:ind w:firstLine="420"/>
              <w:jc w:val="both"/>
            </w:pPr>
            <w:r>
              <w:rPr>
                <w:sz w:val="21"/>
              </w:rPr>
              <w:t>地下市政基础设施普查的范围是路宽</w:t>
            </w:r>
            <w:r>
              <w:rPr>
                <w:sz w:val="21"/>
              </w:rPr>
              <w:t>大于3米</w:t>
            </w:r>
            <w:r>
              <w:rPr>
                <w:sz w:val="21"/>
              </w:rPr>
              <w:t>的城市道路（含穿越城市建成区的公路）、街巷，包括快速路、主干路、次干路、支路、通道和其他公共区域及城中村范围及开放式小区等。对穿越非普查区的主干管线不能中断，以保持主干管线的连续性。未位于前述范围的城市地下交通设施、地下河道等也应普查。地下市政基础设施普查可分为地下管线普查与地下建（构）筑普查。地下管线普查是针对城市地下管线工程设施的普查，除城市地下管线工程设施外的普查称为地下建（构）筑普查。</w:t>
            </w:r>
          </w:p>
          <w:p>
            <w:pPr>
              <w:pStyle w:val="null3"/>
              <w:spacing w:before="120" w:after="120"/>
              <w:ind w:firstLine="420"/>
              <w:jc w:val="both"/>
            </w:pPr>
            <w:r>
              <w:rPr>
                <w:sz w:val="21"/>
              </w:rPr>
              <w:t>本次城市地下市政基础设施数据普查范围为中心四区的以上普查范围。</w:t>
            </w:r>
          </w:p>
          <w:p>
            <w:pPr>
              <w:pStyle w:val="null3"/>
              <w:spacing w:before="120" w:after="120"/>
              <w:ind w:firstLine="480"/>
              <w:jc w:val="both"/>
            </w:pPr>
            <w:r>
              <w:rPr>
                <w:b/>
                <w:sz w:val="21"/>
              </w:rPr>
              <w:t>2</w:t>
            </w:r>
            <w:r>
              <w:rPr>
                <w:b/>
                <w:sz w:val="21"/>
              </w:rPr>
              <w:t>、普查对象</w:t>
            </w:r>
          </w:p>
          <w:p>
            <w:pPr>
              <w:pStyle w:val="null3"/>
              <w:spacing w:before="120" w:after="120"/>
              <w:ind w:firstLine="420"/>
              <w:jc w:val="both"/>
            </w:pPr>
            <w:r>
              <w:rPr>
                <w:sz w:val="21"/>
              </w:rPr>
              <w:t>普查对象包括地下工程管线设施和地下交通设施。地下工程管线设施包括给水、再生水、雨水等及其附属设施；地下交通设施包括人行地下通道、城市地下道路、地铁、地下公共停车场等。普查内容包括各类普查对象的空间信息、管理信息、技术信息和隐患信息，形成数字化档案、调查表格、测绘图件和三维模型并整理入库。</w:t>
            </w:r>
          </w:p>
          <w:p>
            <w:pPr>
              <w:pStyle w:val="null3"/>
              <w:ind w:firstLine="480"/>
              <w:jc w:val="both"/>
            </w:pPr>
            <w:r>
              <w:rPr>
                <w:b/>
                <w:sz w:val="21"/>
              </w:rPr>
              <w:t>3</w:t>
            </w:r>
            <w:r>
              <w:rPr>
                <w:b/>
                <w:sz w:val="21"/>
              </w:rPr>
              <w:t>、技术要求</w:t>
            </w:r>
          </w:p>
          <w:p>
            <w:pPr>
              <w:pStyle w:val="null3"/>
              <w:ind w:firstLine="480"/>
              <w:jc w:val="both"/>
            </w:pPr>
            <w:r>
              <w:rPr>
                <w:b/>
                <w:sz w:val="21"/>
              </w:rPr>
              <w:t>（1）</w:t>
            </w:r>
            <w:r>
              <w:rPr>
                <w:b/>
                <w:sz w:val="21"/>
              </w:rPr>
              <w:t>测绘基准及成图规格</w:t>
            </w:r>
          </w:p>
          <w:p>
            <w:pPr>
              <w:pStyle w:val="null3"/>
              <w:ind w:firstLine="480"/>
              <w:jc w:val="both"/>
            </w:pPr>
            <w:r>
              <w:rPr>
                <w:sz w:val="21"/>
              </w:rPr>
              <w:t>1</w:t>
            </w:r>
            <w:r>
              <w:rPr>
                <w:sz w:val="21"/>
              </w:rPr>
              <w:t>）平面坐标系统：2000国家大地坐标系；</w:t>
            </w:r>
          </w:p>
          <w:p>
            <w:pPr>
              <w:pStyle w:val="null3"/>
              <w:ind w:firstLine="480"/>
              <w:jc w:val="both"/>
            </w:pPr>
            <w:r>
              <w:rPr>
                <w:sz w:val="21"/>
              </w:rPr>
              <w:t>2</w:t>
            </w:r>
            <w:r>
              <w:rPr>
                <w:sz w:val="21"/>
              </w:rPr>
              <w:t>）高程系统：1985国家高程基准；</w:t>
            </w:r>
          </w:p>
          <w:p>
            <w:pPr>
              <w:pStyle w:val="null3"/>
              <w:ind w:firstLine="480"/>
              <w:jc w:val="both"/>
            </w:pPr>
            <w:r>
              <w:rPr>
                <w:sz w:val="21"/>
              </w:rPr>
              <w:t>3</w:t>
            </w:r>
            <w:r>
              <w:rPr>
                <w:sz w:val="21"/>
              </w:rPr>
              <w:t>）成图规格：50cm×40cm，比例尺为1:500；综合地下市政基础设施图的分幅和编号规则：按中山市1：500地形图标准分幅和编号</w:t>
            </w:r>
          </w:p>
          <w:p>
            <w:pPr>
              <w:pStyle w:val="null3"/>
              <w:ind w:firstLine="480"/>
              <w:jc w:val="both"/>
            </w:pPr>
            <w:r>
              <w:rPr>
                <w:sz w:val="21"/>
              </w:rPr>
              <w:t>（2）</w:t>
            </w:r>
            <w:r>
              <w:rPr>
                <w:b/>
                <w:sz w:val="21"/>
              </w:rPr>
              <w:t>地下管线普查技术标准</w:t>
            </w:r>
          </w:p>
          <w:p>
            <w:pPr>
              <w:pStyle w:val="null3"/>
              <w:spacing w:before="120" w:after="120"/>
              <w:ind w:firstLine="420"/>
              <w:jc w:val="both"/>
            </w:pPr>
            <w:r>
              <w:rPr>
                <w:sz w:val="21"/>
              </w:rPr>
              <w:t>地下市政基础设施普查，采用资料调查、现状调绘（现场调查、实地探查、外业测量）等方法获取地下市政基础设施的空间信息、管理信息和技术信息，开展数据处理、编绘设施平面图等工作。包含地下管线普查和地下建（构）筑普查。</w:t>
            </w:r>
          </w:p>
          <w:p>
            <w:pPr>
              <w:pStyle w:val="null3"/>
              <w:spacing w:before="120" w:after="120"/>
              <w:ind w:firstLine="420"/>
              <w:jc w:val="both"/>
            </w:pPr>
            <w:r>
              <w:rPr>
                <w:sz w:val="21"/>
              </w:rPr>
              <w:t>地下管线普查（或修测、升级）的取舍标准按下表执行</w:t>
            </w:r>
          </w:p>
          <w:tbl>
            <w:tblPr>
              <w:tblBorders>
                <w:top w:val="none" w:color="000000" w:sz="4"/>
                <w:left w:val="none" w:color="000000" w:sz="4"/>
                <w:bottom w:val="none" w:color="000000" w:sz="4"/>
                <w:right w:val="none" w:color="000000" w:sz="4"/>
                <w:insideH w:val="none"/>
                <w:insideV w:val="none"/>
              </w:tblBorders>
            </w:tblPr>
            <w:tblGrid>
              <w:gridCol w:w="2554"/>
              <w:gridCol w:w="3032"/>
            </w:tblGrid>
            <w:tr>
              <w:tc>
                <w:tcPr>
                  <w:tcW w:type="dxa" w:w="255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管线种类</w:t>
                  </w:r>
                </w:p>
              </w:tc>
              <w:tc>
                <w:tcPr>
                  <w:tcW w:type="dxa" w:w="30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取舍原则</w:t>
                  </w:r>
                </w:p>
              </w:tc>
            </w:tr>
            <w:tr>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电力</w:t>
                  </w:r>
                </w:p>
              </w:tc>
              <w:tc>
                <w:tcPr>
                  <w:tcW w:type="dxa" w:w="30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全测</w:t>
                  </w:r>
                </w:p>
              </w:tc>
            </w:tr>
            <w:tr>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通信</w:t>
                  </w:r>
                </w:p>
              </w:tc>
              <w:tc>
                <w:tcPr>
                  <w:tcW w:type="dxa" w:w="30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全测</w:t>
                  </w:r>
                </w:p>
              </w:tc>
            </w:tr>
            <w:tr>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给水</w:t>
                  </w:r>
                </w:p>
              </w:tc>
              <w:tc>
                <w:tcPr>
                  <w:tcW w:type="dxa" w:w="30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内径≥50mm</w:t>
                  </w:r>
                </w:p>
              </w:tc>
            </w:tr>
            <w:tr>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1"/>
                    </w:rPr>
                    <w:t>排水</w:t>
                  </w:r>
                </w:p>
                <w:p>
                  <w:pPr>
                    <w:pStyle w:val="null3"/>
                    <w:spacing w:after="165"/>
                    <w:ind w:firstLine="480"/>
                    <w:jc w:val="center"/>
                  </w:pPr>
                  <w:r>
                    <w:rPr>
                      <w:sz w:val="21"/>
                    </w:rPr>
                    <w:t>（含雨、污水）</w:t>
                  </w:r>
                </w:p>
              </w:tc>
              <w:tc>
                <w:tcPr>
                  <w:tcW w:type="dxa" w:w="30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1"/>
                    </w:rPr>
                    <w:t>方沟≥400mm×400mm或管径≥200mm</w:t>
                  </w:r>
                </w:p>
              </w:tc>
            </w:tr>
            <w:tr>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1"/>
                    </w:rPr>
                    <w:t>燃气</w:t>
                  </w:r>
                </w:p>
              </w:tc>
              <w:tc>
                <w:tcPr>
                  <w:tcW w:type="dxa" w:w="30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1"/>
                    </w:rPr>
                    <w:t>全测</w:t>
                  </w:r>
                </w:p>
              </w:tc>
            </w:tr>
            <w:tr>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热力</w:t>
                  </w:r>
                </w:p>
              </w:tc>
              <w:tc>
                <w:tcPr>
                  <w:tcW w:type="dxa" w:w="30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内径≥100mm</w:t>
                  </w:r>
                </w:p>
              </w:tc>
            </w:tr>
            <w:tr>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工业</w:t>
                  </w:r>
                </w:p>
              </w:tc>
              <w:tc>
                <w:tcPr>
                  <w:tcW w:type="dxa" w:w="30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内径≥100mm</w:t>
                  </w:r>
                </w:p>
              </w:tc>
            </w:tr>
            <w:tr>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综合管廊（沟）</w:t>
                  </w:r>
                </w:p>
              </w:tc>
              <w:tc>
                <w:tcPr>
                  <w:tcW w:type="dxa" w:w="30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65"/>
                    <w:ind w:firstLine="480"/>
                    <w:jc w:val="center"/>
                  </w:pPr>
                  <w:r>
                    <w:rPr>
                      <w:sz w:val="21"/>
                    </w:rPr>
                    <w:t>全测</w:t>
                  </w:r>
                </w:p>
              </w:tc>
            </w:tr>
          </w:tbl>
          <w:p>
            <w:pPr>
              <w:pStyle w:val="null3"/>
              <w:spacing w:before="120" w:after="120"/>
              <w:ind w:firstLine="420"/>
              <w:jc w:val="both"/>
            </w:pPr>
            <w:r>
              <w:rPr>
                <w:b/>
                <w:sz w:val="21"/>
              </w:rPr>
              <w:t>表3地下管线实地调查项目</w:t>
            </w:r>
          </w:p>
          <w:tbl>
            <w:tblPr>
              <w:tblBorders>
                <w:top w:val="none" w:color="000000" w:sz="4"/>
                <w:left w:val="none" w:color="000000" w:sz="4"/>
                <w:bottom w:val="none" w:color="000000" w:sz="4"/>
                <w:right w:val="none" w:color="000000" w:sz="4"/>
                <w:insideH w:val="none"/>
                <w:insideV w:val="none"/>
              </w:tblBorders>
            </w:tblPr>
            <w:tblGrid>
              <w:gridCol w:w="373"/>
              <w:gridCol w:w="31"/>
              <w:gridCol w:w="31"/>
              <w:gridCol w:w="435"/>
              <w:gridCol w:w="373"/>
              <w:gridCol w:w="373"/>
              <w:gridCol w:w="373"/>
              <w:gridCol w:w="435"/>
              <w:gridCol w:w="373"/>
              <w:gridCol w:w="373"/>
              <w:gridCol w:w="373"/>
              <w:gridCol w:w="435"/>
              <w:gridCol w:w="373"/>
              <w:gridCol w:w="373"/>
              <w:gridCol w:w="435"/>
              <w:gridCol w:w="435"/>
            </w:tblGrid>
            <w:tr>
              <w:tc>
                <w:tcPr>
                  <w:tcW w:type="dxa" w:w="870"/>
                  <w:gridSpan w:val="4"/>
                  <w:vMerge w:val="restart"/>
                  <w:tcBorders>
                    <w:top w:val="single" w:color="000000" w:sz="4"/>
                    <w:left w:val="singl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管线类别</w:t>
                  </w:r>
                </w:p>
              </w:tc>
              <w:tc>
                <w:tcPr>
                  <w:tcW w:type="dxa" w:w="746"/>
                  <w:gridSpan w:val="2"/>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埋深/m</w:t>
                  </w:r>
                </w:p>
              </w:tc>
              <w:tc>
                <w:tcPr>
                  <w:tcW w:type="dxa" w:w="808"/>
                  <w:gridSpan w:val="2"/>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断面尺寸/mm</w:t>
                  </w:r>
                </w:p>
              </w:tc>
              <w:tc>
                <w:tcPr>
                  <w:tcW w:type="dxa" w:w="1119"/>
                  <w:gridSpan w:val="3"/>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载体特征</w:t>
                  </w:r>
                </w:p>
              </w:tc>
              <w:tc>
                <w:tcPr>
                  <w:tcW w:type="dxa" w:w="435"/>
                  <w:vMerge w:val="restart"/>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管道</w:t>
                  </w:r>
                </w:p>
                <w:p>
                  <w:pPr>
                    <w:pStyle w:val="null3"/>
                    <w:spacing w:after="165"/>
                    <w:ind w:firstLine="480"/>
                    <w:jc w:val="center"/>
                  </w:pPr>
                  <w:r>
                    <w:rPr>
                      <w:sz w:val="21"/>
                    </w:rPr>
                    <w:t>材质</w:t>
                  </w:r>
                </w:p>
              </w:tc>
              <w:tc>
                <w:tcPr>
                  <w:tcW w:type="dxa" w:w="373"/>
                  <w:vMerge w:val="restart"/>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根数（总孔/已用孔）</w:t>
                  </w:r>
                </w:p>
              </w:tc>
              <w:tc>
                <w:tcPr>
                  <w:tcW w:type="dxa" w:w="373"/>
                  <w:vMerge w:val="restart"/>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附属</w:t>
                  </w:r>
                </w:p>
                <w:p>
                  <w:pPr>
                    <w:pStyle w:val="null3"/>
                    <w:spacing w:after="165"/>
                    <w:ind w:firstLine="480"/>
                    <w:jc w:val="center"/>
                  </w:pPr>
                  <w:r>
                    <w:rPr>
                      <w:sz w:val="21"/>
                    </w:rPr>
                    <w:t>设施</w:t>
                  </w:r>
                </w:p>
              </w:tc>
              <w:tc>
                <w:tcPr>
                  <w:tcW w:type="dxa" w:w="435"/>
                  <w:vMerge w:val="restart"/>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权属单位和</w:t>
                  </w:r>
                </w:p>
                <w:p>
                  <w:pPr>
                    <w:pStyle w:val="null3"/>
                    <w:spacing w:after="165"/>
                    <w:ind w:firstLine="480"/>
                    <w:jc w:val="center"/>
                  </w:pPr>
                  <w:r>
                    <w:rPr>
                      <w:sz w:val="21"/>
                    </w:rPr>
                    <w:t>埋设年代</w:t>
                  </w:r>
                </w:p>
              </w:tc>
              <w:tc>
                <w:tcPr>
                  <w:tcW w:type="dxa" w:w="435"/>
                  <w:vMerge w:val="restart"/>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备注</w:t>
                  </w:r>
                </w:p>
              </w:tc>
            </w:tr>
            <w:tr>
              <w:tc>
                <w:tcPr>
                  <w:tcW w:type="dxa" w:w="870"/>
                  <w:gridSpan w:val="4"/>
                  <w:vMerge/>
                  <w:tcBorders>
                    <w:top w:val="single" w:color="000000" w:sz="4"/>
                    <w:left w:val="single" w:color="000000" w:sz="4"/>
                    <w:bottom w:val="single" w:color="000000" w:sz="4"/>
                    <w:right w:val="single" w:color="000000" w:sz="4"/>
                  </w:tcBorders>
                </w:tcP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外顶</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内底</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管径</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宽×高</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电压</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压力</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流向</w:t>
                  </w:r>
                </w:p>
              </w:tc>
              <w:tc>
                <w:tcPr>
                  <w:tcW w:type="dxa" w:w="1616"/>
                  <w:gridSpan w:val="4"/>
                  <w:vMerge/>
                  <w:tcBorders>
                    <w:top w:val="single" w:color="000000" w:sz="4"/>
                    <w:left w:val="single" w:color="000000" w:sz="4"/>
                    <w:bottom w:val="single" w:color="000000" w:sz="4"/>
                    <w:right w:val="single" w:color="000000" w:sz="4"/>
                  </w:tcBorders>
                </w:tcPr>
                <w:p/>
              </w:tc>
            </w:tr>
            <w:tr>
              <w:tc>
                <w:tcPr>
                  <w:tcW w:type="dxa" w:w="373"/>
                  <w:vMerge w:val="restart"/>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电力</w:t>
                  </w:r>
                </w:p>
              </w:tc>
              <w:tc>
                <w:tcPr>
                  <w:tcW w:type="dxa" w:w="497"/>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直埋</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vMerge w:val="restart"/>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回数</w:t>
                  </w:r>
                </w:p>
              </w:tc>
            </w:tr>
            <w:tr>
              <w:tc>
                <w:tcPr>
                  <w:tcW w:type="dxa" w:w="373"/>
                  <w:vMerge/>
                  <w:tcBorders>
                    <w:top w:val="none" w:color="000000" w:sz="4"/>
                    <w:left w:val="single" w:color="000000" w:sz="4"/>
                    <w:bottom w:val="single" w:color="000000" w:sz="4"/>
                    <w:right w:val="single" w:color="000000" w:sz="4"/>
                  </w:tcBorders>
                </w:tcPr>
                <w:p/>
              </w:tc>
              <w:tc>
                <w:tcPr>
                  <w:tcW w:type="dxa" w:w="497"/>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管块</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r>
            <w:tr>
              <w:tc>
                <w:tcPr>
                  <w:tcW w:type="dxa" w:w="373"/>
                  <w:vMerge/>
                  <w:tcBorders>
                    <w:top w:val="none" w:color="000000" w:sz="4"/>
                    <w:left w:val="single" w:color="000000" w:sz="4"/>
                    <w:bottom w:val="single" w:color="000000" w:sz="4"/>
                    <w:right w:val="single" w:color="000000" w:sz="4"/>
                  </w:tcBorders>
                </w:tcPr>
                <w:p/>
              </w:tc>
              <w:tc>
                <w:tcPr>
                  <w:tcW w:type="dxa" w:w="497"/>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沟道</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r>
            <w:tr>
              <w:tc>
                <w:tcPr>
                  <w:tcW w:type="dxa" w:w="373"/>
                  <w:vMerge/>
                  <w:tcBorders>
                    <w:top w:val="none" w:color="000000" w:sz="4"/>
                    <w:left w:val="single" w:color="000000" w:sz="4"/>
                    <w:bottom w:val="single" w:color="000000" w:sz="4"/>
                    <w:right w:val="single" w:color="000000" w:sz="4"/>
                  </w:tcBorders>
                </w:tcPr>
                <w:p/>
              </w:tc>
              <w:tc>
                <w:tcPr>
                  <w:tcW w:type="dxa" w:w="497"/>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隧道</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r>
            <w:tr>
              <w:tc>
                <w:tcPr>
                  <w:tcW w:type="dxa" w:w="373"/>
                  <w:vMerge w:val="restart"/>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通信</w:t>
                  </w:r>
                </w:p>
              </w:tc>
              <w:tc>
                <w:tcPr>
                  <w:tcW w:type="dxa" w:w="497"/>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直埋</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r>
            <w:tr>
              <w:tc>
                <w:tcPr>
                  <w:tcW w:type="dxa" w:w="373"/>
                  <w:vMerge/>
                  <w:tcBorders>
                    <w:top w:val="none" w:color="000000" w:sz="4"/>
                    <w:left w:val="single" w:color="000000" w:sz="4"/>
                    <w:bottom w:val="single" w:color="000000" w:sz="4"/>
                    <w:right w:val="single" w:color="000000" w:sz="4"/>
                  </w:tcBorders>
                </w:tcPr>
                <w:p/>
              </w:tc>
              <w:tc>
                <w:tcPr>
                  <w:tcW w:type="dxa" w:w="497"/>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管块</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r>
            <w:tr>
              <w:tc>
                <w:tcPr>
                  <w:tcW w:type="dxa" w:w="373"/>
                  <w:vMerge/>
                  <w:tcBorders>
                    <w:top w:val="none" w:color="000000" w:sz="4"/>
                    <w:left w:val="single" w:color="000000" w:sz="4"/>
                    <w:bottom w:val="single" w:color="000000" w:sz="4"/>
                    <w:right w:val="single" w:color="000000" w:sz="4"/>
                  </w:tcBorders>
                </w:tcPr>
                <w:p/>
              </w:tc>
              <w:tc>
                <w:tcPr>
                  <w:tcW w:type="dxa" w:w="497"/>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沟道</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r>
            <w:tr>
              <w:tc>
                <w:tcPr>
                  <w:tcW w:type="dxa" w:w="870"/>
                  <w:gridSpan w:val="4"/>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给水</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r>
            <w:tr>
              <w:tc>
                <w:tcPr>
                  <w:tcW w:type="dxa" w:w="435"/>
                  <w:gridSpan w:val="3"/>
                  <w:vMerge w:val="restart"/>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排水（雨、污水）</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管道</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r>
            <w:tr>
              <w:tc>
                <w:tcPr>
                  <w:tcW w:type="dxa" w:w="435"/>
                  <w:gridSpan w:val="3"/>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方沟</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r>
            <w:tr>
              <w:tc>
                <w:tcPr>
                  <w:tcW w:type="dxa" w:w="435"/>
                  <w:gridSpan w:val="3"/>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压力管</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r>
            <w:tr>
              <w:tc>
                <w:tcPr>
                  <w:tcW w:type="dxa" w:w="870"/>
                  <w:gridSpan w:val="4"/>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燃气</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r>
            <w:tr>
              <w:tc>
                <w:tcPr>
                  <w:tcW w:type="dxa" w:w="870"/>
                  <w:gridSpan w:val="4"/>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热力</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r>
            <w:tr>
              <w:tc>
                <w:tcPr>
                  <w:tcW w:type="dxa" w:w="404"/>
                  <w:gridSpan w:val="2"/>
                  <w:vMerge w:val="restart"/>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工业</w:t>
                  </w:r>
                </w:p>
              </w:tc>
              <w:tc>
                <w:tcPr>
                  <w:tcW w:type="dxa" w:w="466"/>
                  <w:gridSpan w:val="2"/>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left="60" w:firstLine="480"/>
                    <w:jc w:val="center"/>
                  </w:pPr>
                  <w:r>
                    <w:rPr>
                      <w:sz w:val="21"/>
                    </w:rPr>
                    <w:t>自流</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r>
            <w:tr>
              <w:tc>
                <w:tcPr>
                  <w:tcW w:type="dxa" w:w="404"/>
                  <w:gridSpan w:val="2"/>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left="60" w:firstLine="480"/>
                    <w:jc w:val="center"/>
                  </w:pPr>
                  <w:r>
                    <w:rPr>
                      <w:sz w:val="21"/>
                    </w:rPr>
                    <w:t>压力</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r>
            <w:tr>
              <w:tc>
                <w:tcPr>
                  <w:tcW w:type="dxa" w:w="870"/>
                  <w:gridSpan w:val="4"/>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综合管廊（沟）</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37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r>
                    <w:rPr>
                      <w:sz w:val="21"/>
                    </w:rPr>
                    <w:t>△</w:t>
                  </w:r>
                </w:p>
              </w:tc>
              <w:tc>
                <w:tcPr>
                  <w:tcW w:type="dxa" w:w="435"/>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spacing w:after="165"/>
                    <w:ind w:firstLine="480"/>
                    <w:jc w:val="center"/>
                  </w:pPr>
                </w:p>
              </w:tc>
            </w:tr>
          </w:tbl>
          <w:p>
            <w:pPr>
              <w:pStyle w:val="null3"/>
              <w:spacing w:before="120" w:after="120"/>
              <w:ind w:firstLine="420"/>
              <w:jc w:val="both"/>
            </w:pPr>
            <w:r>
              <w:rPr>
                <w:sz w:val="21"/>
              </w:rPr>
              <w:t>地下管线普查的精度应符合下列要求：</w:t>
            </w:r>
          </w:p>
          <w:p>
            <w:pPr>
              <w:pStyle w:val="null3"/>
              <w:spacing w:before="120" w:after="120"/>
              <w:ind w:firstLine="480"/>
              <w:jc w:val="both"/>
            </w:pPr>
            <w:r>
              <w:rPr>
                <w:sz w:val="21"/>
              </w:rPr>
              <w:t>1</w:t>
            </w:r>
            <w:r>
              <w:rPr>
                <w:sz w:val="21"/>
              </w:rPr>
              <w:t>）隐蔽点探查精度按下表的规定执行。</w:t>
            </w:r>
          </w:p>
          <w:p>
            <w:pPr>
              <w:pStyle w:val="null3"/>
              <w:spacing w:before="120" w:after="120"/>
              <w:ind w:firstLine="480"/>
              <w:jc w:val="both"/>
            </w:pPr>
            <w:r>
              <w:rPr>
                <w:b/>
                <w:sz w:val="21"/>
              </w:rPr>
              <w:t xml:space="preserve">   表4地下管线探查精度</w:t>
            </w:r>
          </w:p>
          <w:tbl>
            <w:tblPr>
              <w:tblBorders>
                <w:top w:val="none" w:color="000000" w:sz="4"/>
                <w:left w:val="none" w:color="000000" w:sz="4"/>
                <w:bottom w:val="none" w:color="000000" w:sz="4"/>
                <w:right w:val="none" w:color="000000" w:sz="4"/>
                <w:insideH w:val="none"/>
                <w:insideV w:val="none"/>
              </w:tblBorders>
            </w:tblPr>
            <w:tblGrid>
              <w:gridCol w:w="1784"/>
              <w:gridCol w:w="1900"/>
              <w:gridCol w:w="1923"/>
            </w:tblGrid>
            <w:tr>
              <w:tc>
                <w:tcPr>
                  <w:tcW w:type="dxa" w:w="1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65"/>
                    <w:ind w:firstLine="56"/>
                    <w:jc w:val="center"/>
                  </w:pPr>
                  <w:r>
                    <w:rPr>
                      <w:sz w:val="21"/>
                    </w:rPr>
                    <w:t>地下管线中心埋深（cm)</w:t>
                  </w:r>
                </w:p>
              </w:tc>
              <w:tc>
                <w:tcPr>
                  <w:tcW w:type="dxa" w:w="1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65"/>
                    <w:ind w:firstLine="56"/>
                    <w:jc w:val="center"/>
                  </w:pPr>
                  <w:r>
                    <w:rPr>
                      <w:sz w:val="21"/>
                    </w:rPr>
                    <w:t>水平位置限差δts(cm)</w:t>
                  </w:r>
                </w:p>
              </w:tc>
              <w:tc>
                <w:tcPr>
                  <w:tcW w:type="dxa" w:w="1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65"/>
                    <w:ind w:firstLine="56"/>
                    <w:jc w:val="center"/>
                  </w:pPr>
                  <w:r>
                    <w:rPr>
                      <w:sz w:val="21"/>
                    </w:rPr>
                    <w:t>埋深限差δth(cm)</w:t>
                  </w:r>
                </w:p>
              </w:tc>
            </w:tr>
            <w:tr>
              <w:tc>
                <w:tcPr>
                  <w:tcW w:type="dxa" w:w="17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after="165"/>
                    <w:ind w:firstLine="56"/>
                    <w:jc w:val="center"/>
                  </w:pPr>
                  <w:r>
                    <w:rPr>
                      <w:i/>
                      <w:sz w:val="21"/>
                    </w:rPr>
                    <w:t>h</w:t>
                  </w:r>
                  <w:r>
                    <w:rPr>
                      <w:sz w:val="21"/>
                    </w:rPr>
                    <w:t>≤100</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65"/>
                    <w:ind w:firstLine="56"/>
                    <w:jc w:val="center"/>
                  </w:pPr>
                  <w:r>
                    <w:rPr>
                      <w:sz w:val="21"/>
                    </w:rPr>
                    <w:t>±5</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65"/>
                    <w:ind w:firstLine="56"/>
                    <w:jc w:val="center"/>
                  </w:pPr>
                  <w:r>
                    <w:rPr>
                      <w:sz w:val="21"/>
                    </w:rPr>
                    <w:t>±7.5</w:t>
                  </w:r>
                </w:p>
              </w:tc>
            </w:tr>
            <w:tr>
              <w:tc>
                <w:tcPr>
                  <w:tcW w:type="dxa" w:w="17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after="165"/>
                    <w:ind w:firstLine="56"/>
                    <w:jc w:val="center"/>
                  </w:pPr>
                  <w:r>
                    <w:rPr>
                      <w:i/>
                      <w:sz w:val="21"/>
                    </w:rPr>
                    <w:t>h</w:t>
                  </w:r>
                  <w:r>
                    <w:rPr>
                      <w:sz w:val="21"/>
                    </w:rPr>
                    <w:t>＞00</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65"/>
                    <w:ind w:firstLine="56"/>
                    <w:jc w:val="center"/>
                  </w:pPr>
                  <w:r>
                    <w:rPr>
                      <w:sz w:val="21"/>
                    </w:rPr>
                    <w:t>±0.05</w:t>
                  </w:r>
                  <w:r>
                    <w:rPr>
                      <w:i/>
                      <w:sz w:val="21"/>
                    </w:rPr>
                    <w:t>h</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65"/>
                    <w:ind w:firstLine="56"/>
                    <w:jc w:val="center"/>
                  </w:pPr>
                  <w:r>
                    <w:rPr>
                      <w:sz w:val="21"/>
                    </w:rPr>
                    <w:t>±0.075</w:t>
                  </w:r>
                  <w:r>
                    <w:rPr>
                      <w:i/>
                      <w:sz w:val="21"/>
                    </w:rPr>
                    <w:t>h</w:t>
                  </w:r>
                </w:p>
              </w:tc>
            </w:tr>
          </w:tbl>
          <w:p>
            <w:pPr>
              <w:pStyle w:val="null3"/>
              <w:spacing w:after="165"/>
              <w:ind w:firstLine="480"/>
              <w:jc w:val="both"/>
            </w:pPr>
            <w:r>
              <w:rPr>
                <w:sz w:val="21"/>
              </w:rPr>
              <w:t>注：表中h为管线中心埋深，单位cm。</w:t>
            </w:r>
          </w:p>
          <w:p>
            <w:pPr>
              <w:pStyle w:val="null3"/>
              <w:spacing w:before="120" w:after="120"/>
              <w:ind w:firstLine="480"/>
              <w:jc w:val="both"/>
            </w:pPr>
            <w:r>
              <w:rPr>
                <w:sz w:val="21"/>
              </w:rPr>
              <w:t>2</w:t>
            </w:r>
            <w:r>
              <w:rPr>
                <w:sz w:val="21"/>
              </w:rPr>
              <w:t>）明显管线点埋深量测精度：当地下管线埋深≤2.5m时，其量测埋深限差为±5cm；当埋深＞2.5m时，其量测埋深限差为±0.02h。</w:t>
            </w:r>
          </w:p>
          <w:p>
            <w:pPr>
              <w:pStyle w:val="null3"/>
              <w:spacing w:before="120" w:after="120"/>
              <w:ind w:firstLine="480"/>
              <w:jc w:val="both"/>
            </w:pPr>
            <w:r>
              <w:rPr>
                <w:sz w:val="21"/>
              </w:rPr>
              <w:t>3</w:t>
            </w:r>
            <w:r>
              <w:rPr>
                <w:sz w:val="21"/>
              </w:rPr>
              <w:t>）地下管线点的测量精度</w:t>
            </w:r>
          </w:p>
          <w:p>
            <w:pPr>
              <w:pStyle w:val="null3"/>
              <w:spacing w:before="120" w:after="120"/>
              <w:ind w:firstLine="420"/>
              <w:jc w:val="both"/>
            </w:pPr>
            <w:r>
              <w:rPr>
                <w:sz w:val="21"/>
              </w:rPr>
              <w:t>平面位置中误差ms不得大于5cm（相对于邻近平面控制点），高程测量中误差mh不得大于3cm（相对于邻近高程控制点）。</w:t>
            </w:r>
          </w:p>
          <w:p>
            <w:pPr>
              <w:pStyle w:val="null3"/>
              <w:spacing w:before="120" w:after="120"/>
              <w:ind w:firstLine="420"/>
              <w:jc w:val="both"/>
            </w:pPr>
            <w:r>
              <w:rPr>
                <w:sz w:val="21"/>
              </w:rPr>
              <w:t>（3）</w:t>
            </w:r>
            <w:r>
              <w:rPr>
                <w:b/>
                <w:sz w:val="21"/>
              </w:rPr>
              <w:t>地下建（构）筑普查技术标准</w:t>
            </w:r>
          </w:p>
          <w:p>
            <w:pPr>
              <w:pStyle w:val="null3"/>
              <w:spacing w:before="120" w:after="120"/>
              <w:ind w:firstLine="420"/>
              <w:jc w:val="both"/>
            </w:pPr>
            <w:r>
              <w:rPr>
                <w:sz w:val="21"/>
              </w:rPr>
              <w:t>地下建（构）筑普查施测点的测量精度应符合：平面位置中误差不得大于±10cm（相对于邻近控制点），高程测量中误差不得大于±15cm（相对于邻近高程控制点），地下建（构）筑净空高及净宽量测限差±10cm。</w:t>
            </w:r>
          </w:p>
          <w:p>
            <w:pPr>
              <w:pStyle w:val="null3"/>
              <w:spacing w:before="120" w:after="120"/>
              <w:ind w:firstLine="420"/>
              <w:jc w:val="both"/>
            </w:pPr>
            <w:r>
              <w:rPr>
                <w:sz w:val="21"/>
              </w:rPr>
              <w:t>地下综合管廊及尺寸大于2米的专业管廊，其测绘宜按地下建（构）筑的测量方法执行。</w:t>
            </w:r>
          </w:p>
          <w:p>
            <w:pPr>
              <w:pStyle w:val="null3"/>
              <w:ind w:firstLine="480"/>
              <w:jc w:val="both"/>
            </w:pPr>
            <w:r>
              <w:rPr>
                <w:b/>
                <w:sz w:val="21"/>
              </w:rPr>
              <w:t>4</w:t>
            </w:r>
            <w:r>
              <w:rPr>
                <w:b/>
                <w:sz w:val="21"/>
              </w:rPr>
              <w:t>、工作内容</w:t>
            </w:r>
          </w:p>
          <w:p>
            <w:pPr>
              <w:pStyle w:val="null3"/>
              <w:ind w:firstLine="480"/>
              <w:jc w:val="both"/>
            </w:pPr>
            <w:r>
              <w:rPr>
                <w:b/>
                <w:sz w:val="21"/>
              </w:rPr>
              <w:t>（1）地下管线的普查与数据升级</w:t>
            </w:r>
          </w:p>
          <w:p>
            <w:pPr>
              <w:pStyle w:val="null3"/>
              <w:spacing w:before="120" w:after="120"/>
              <w:ind w:firstLine="420"/>
              <w:jc w:val="both"/>
            </w:pPr>
            <w:r>
              <w:rPr>
                <w:sz w:val="21"/>
              </w:rPr>
              <w:t>建立普查单元，以城市道路为普查单元，按照相关技术导则要求，对地下管线进行数据升级与普查修测。</w:t>
            </w:r>
          </w:p>
          <w:p>
            <w:pPr>
              <w:pStyle w:val="null3"/>
              <w:spacing w:before="120" w:after="120"/>
              <w:ind w:firstLine="480"/>
              <w:jc w:val="both"/>
            </w:pPr>
            <w:r>
              <w:rPr>
                <w:sz w:val="21"/>
              </w:rPr>
              <w:t>1</w:t>
            </w:r>
            <w:r>
              <w:rPr>
                <w:sz w:val="21"/>
              </w:rPr>
              <w:t>）历史普查管线数据转换升级。收集已有管线资料，将中心四区现有普查、修测数据按新的数据标准进行转换，全面保留原有数据属性内容。新增的属性内容则通过内业资料调查与现场调查的方式进行获取，形成满足新规程的地下管线数据。调查收集相关资料，收集现有地下管线数据资料，包括：1）现有地下管线数据库中的地下管线资料；2）历年地下管线补测补绘资料；3）现状路网及地形现状图；4）各权属单位专业管线的数据现状资料及市政设施资料；5）各相关单位地下空间设施的建设工程竣工验收资料、地下市政基础设施现状资料等，制作地下市政基础设施普查工作底图，作为普查工作的参考依据。6）前往各市政设施权属单位、建设工程档案管理单位及相关单位，调取档案资料，填写编制普查单元的管理信息和技术信息；对库内全部数据按新的标准进行升级，开展资料收集及现状调查，对新增属性进行补充填写。</w:t>
            </w:r>
          </w:p>
          <w:p>
            <w:pPr>
              <w:pStyle w:val="null3"/>
              <w:spacing w:before="120" w:after="120"/>
              <w:ind w:firstLine="480"/>
              <w:jc w:val="both"/>
            </w:pPr>
            <w:r>
              <w:rPr>
                <w:sz w:val="21"/>
              </w:rPr>
              <w:t>2</w:t>
            </w:r>
            <w:r>
              <w:rPr>
                <w:sz w:val="21"/>
              </w:rPr>
              <w:t>）未普查区域开展地下管线普查。对中山四区历年管线普查未覆盖区域，开展地下管线普查与修补测工作，实现地下管数据中山四区覆盖。管线普查项目的技术工作可分为三大部分：管线探查、管线测量、内业数据处理与成图；工作顺序是技术准备—〉管线探查—〉管线测量—〉内业整理，最终按地下市政基础设施新数据标准整理建库。</w:t>
            </w:r>
          </w:p>
          <w:p>
            <w:pPr>
              <w:pStyle w:val="null3"/>
              <w:ind w:firstLine="480"/>
              <w:jc w:val="both"/>
            </w:pPr>
            <w:r>
              <w:rPr>
                <w:b/>
                <w:sz w:val="21"/>
              </w:rPr>
              <w:t>（2）地下建（构）筑基础设施普查</w:t>
            </w:r>
          </w:p>
          <w:p>
            <w:pPr>
              <w:pStyle w:val="null3"/>
              <w:spacing w:before="120" w:after="120"/>
              <w:ind w:firstLine="420"/>
              <w:jc w:val="both"/>
            </w:pPr>
            <w:r>
              <w:rPr>
                <w:sz w:val="21"/>
              </w:rPr>
              <w:t>对中山中心四区地下建（构）筑设施开展普查工作。地下建（构）筑基础设施包含地下交通设施（人行地下通道、城市地下道路、城市轨道交通、地下铁路、地下公共停车场、地下交通枢纽）、地下人防工程（不包括小区内停车场）、地下综合防灾设施。</w:t>
            </w:r>
          </w:p>
          <w:p>
            <w:pPr>
              <w:pStyle w:val="null3"/>
              <w:spacing w:before="120" w:after="120"/>
              <w:ind w:firstLine="420"/>
              <w:jc w:val="both"/>
            </w:pPr>
            <w:r>
              <w:rPr>
                <w:sz w:val="21"/>
              </w:rPr>
              <w:t>地下建（构）筑设施普查的总体思路是通过外业巡视确定需要普查测绘的地下建（构）筑并收集相关资料，通过属性提取的方式提取已进行规划验收测量的地下建（构）筑的地下空间设施属性，通过外业测量的方式采集未进行规划验收</w:t>
            </w:r>
            <w:r>
              <w:rPr>
                <w:sz w:val="21"/>
              </w:rPr>
              <w:t>测量的地下建（构）筑的地下空间设施属性与空间信息，通过外业调查测绘核实以及内业调查补充地下建（构）筑设施的管理信息与技术信息，使用测绘数据生产平台进行图形编辑、属性赋值并建立逻辑关系，最终生成符合要求的入库数据。</w:t>
            </w:r>
          </w:p>
          <w:p>
            <w:pPr>
              <w:pStyle w:val="null3"/>
              <w:ind w:firstLine="480"/>
              <w:jc w:val="both"/>
            </w:pPr>
            <w:r>
              <w:rPr>
                <w:b/>
                <w:sz w:val="21"/>
              </w:rPr>
              <w:t>（3）地下市政基础设施数据整合建库和三维可视化</w:t>
            </w:r>
          </w:p>
          <w:p>
            <w:pPr>
              <w:pStyle w:val="null3"/>
              <w:spacing w:before="120" w:after="120"/>
              <w:ind w:firstLine="420"/>
              <w:jc w:val="both"/>
            </w:pPr>
            <w:r>
              <w:rPr>
                <w:sz w:val="21"/>
              </w:rPr>
              <w:t>本轮普查所获得的地下管线设施普查与升级的数据成果、地下建（构）筑设施普查数据成果进行质检入库管理，经检查满足数据标准的数据进行入库。成果质量检查包括对各普查区域数据进行成果质量检查、接边检查，直至各普查区域成果满足数据标准，保障项目普查成果质量。同时，还将从地下市政基础设施权属管理单位广泛收集既有设施（地下管线、地下公共服务设施、地下工业设施、地下居住设施、地下交通设施、地下防灾减灾设施等行业管理部门及权属单位开展的）的安全隐患排查信息、道路安全隐患检测信息、水文地质资料信息等。项目成果入库工作应进行入库前统计、按数据标准开展数据入库，入库后进行数据数量、属性复核和入库图面检查，确保入库前后数据的一致性。经检查合格的地下市政基础设施普查成果数据均应纳入地下市政基础设施信息平台，并发布数据服务。普查作业单位按要求完成设施普查后应汇交成果数据，进行数据入库检查，普查作业单位整改合格后，数据进入并更新地下市政基础设施数据库。</w:t>
            </w:r>
          </w:p>
          <w:p>
            <w:pPr>
              <w:pStyle w:val="null3"/>
              <w:spacing w:before="120" w:after="120"/>
              <w:ind w:firstLine="420"/>
              <w:jc w:val="both"/>
            </w:pPr>
            <w:r>
              <w:rPr>
                <w:sz w:val="21"/>
              </w:rPr>
              <w:t>基于普查二维成果数据，开展地下市政基础设施三维可视化工作。对中心四区地下管线设施（给水管线、排水管线、燃气管线、电力管线、通信管线、热力管线、工业管线、综合管廊、其他城市管线）进行三维建模；对中心四区地下交通设施进行三维建模，主要为地下人行道和城市地下道路，将地下交通设施二维空间数据处理成地下交通设施三维模型数据。</w:t>
            </w:r>
          </w:p>
          <w:p>
            <w:pPr>
              <w:pStyle w:val="null3"/>
              <w:spacing w:before="120" w:after="120"/>
              <w:ind w:firstLine="480"/>
              <w:jc w:val="both"/>
            </w:pPr>
            <w:r>
              <w:rPr>
                <w:b/>
                <w:sz w:val="21"/>
              </w:rPr>
              <w:t>四、项目实施、验收及服务要求</w:t>
            </w:r>
          </w:p>
          <w:p>
            <w:pPr>
              <w:pStyle w:val="null3"/>
              <w:spacing w:before="120" w:after="120"/>
              <w:ind w:firstLine="480"/>
              <w:jc w:val="both"/>
            </w:pPr>
            <w:r>
              <w:rPr>
                <w:b/>
                <w:sz w:val="21"/>
              </w:rPr>
              <w:t>（一）工期要求</w:t>
            </w:r>
          </w:p>
          <w:p>
            <w:pPr>
              <w:pStyle w:val="null3"/>
              <w:ind w:firstLine="420"/>
              <w:jc w:val="both"/>
            </w:pPr>
            <w:r>
              <w:rPr>
                <w:sz w:val="21"/>
              </w:rPr>
              <w:t>自合同签订日起6个月内完成普查全部工作及按要求提交成果数据并终验。如因采购人项目进度安排调整交付时间，按双方协议交付时间为准。</w:t>
            </w:r>
          </w:p>
          <w:p>
            <w:pPr>
              <w:pStyle w:val="null3"/>
              <w:spacing w:before="120" w:after="120"/>
              <w:ind w:firstLine="480"/>
              <w:jc w:val="both"/>
            </w:pPr>
            <w:r>
              <w:rPr>
                <w:b/>
                <w:sz w:val="21"/>
              </w:rPr>
              <w:t>（二）项目人员要求</w:t>
            </w:r>
          </w:p>
          <w:p>
            <w:pPr>
              <w:pStyle w:val="null3"/>
              <w:spacing w:before="120" w:after="120"/>
              <w:ind w:firstLine="480"/>
              <w:jc w:val="both"/>
            </w:pPr>
            <w:r>
              <w:rPr>
                <w:sz w:val="21"/>
              </w:rPr>
              <w:t>1</w:t>
            </w:r>
            <w:r>
              <w:rPr>
                <w:sz w:val="21"/>
              </w:rPr>
              <w:t>、根据本项目建设内容，项目负责人应熟悉地下市政基础设施、地下管线、测绘等，对本行业有专业的业务理解和认知水平，具备测绘、地下管线探测、地下市政基础设施普查、物探、项目管理相关专业知识，统筹和把控项目技术设计和项目实施，擅长项目管理，具有同类项目的管理经验。</w:t>
            </w:r>
          </w:p>
          <w:p>
            <w:pPr>
              <w:pStyle w:val="null3"/>
              <w:spacing w:before="120" w:after="120"/>
              <w:ind w:firstLine="480"/>
              <w:jc w:val="both"/>
            </w:pPr>
            <w:r>
              <w:rPr>
                <w:sz w:val="21"/>
              </w:rPr>
              <w:t>2</w:t>
            </w:r>
            <w:r>
              <w:rPr>
                <w:sz w:val="21"/>
              </w:rPr>
              <w:t>、根据本项目建设内容，技术负责人应熟悉测绘、地下管线探测、地下市政基础设施普查等相关业务，有至少2个同类项目的经验，并提供相关履历、经验的佐证资料，对本行业有专业的业务理解和认知水平，具备测绘与物探类专业知识，统筹和把控项目技术设计，擅长技术应用及管理。</w:t>
            </w:r>
          </w:p>
          <w:p>
            <w:pPr>
              <w:pStyle w:val="null3"/>
              <w:spacing w:before="120" w:after="120"/>
              <w:ind w:firstLine="480"/>
              <w:jc w:val="both"/>
            </w:pPr>
            <w:r>
              <w:rPr>
                <w:sz w:val="21"/>
              </w:rPr>
              <w:t>3</w:t>
            </w:r>
            <w:r>
              <w:rPr>
                <w:sz w:val="21"/>
              </w:rPr>
              <w:t>、投标人需承诺在项目组技术人员不少于30人，其中不低于85%具备测绘等相关专业学历，及相关项目经验。各岗位人员不得兼任。</w:t>
            </w:r>
          </w:p>
          <w:p>
            <w:pPr>
              <w:pStyle w:val="null3"/>
              <w:spacing w:before="120" w:after="120"/>
              <w:ind w:firstLine="480"/>
              <w:jc w:val="both"/>
            </w:pPr>
            <w:r>
              <w:rPr>
                <w:sz w:val="21"/>
              </w:rPr>
              <w:t>4</w:t>
            </w:r>
            <w:r>
              <w:rPr>
                <w:sz w:val="21"/>
              </w:rPr>
              <w:t>、投入本项目人员须实行实名制工作打卡制度。</w:t>
            </w:r>
          </w:p>
          <w:p>
            <w:pPr>
              <w:pStyle w:val="null3"/>
              <w:spacing w:before="120" w:after="120"/>
              <w:ind w:firstLine="480"/>
              <w:jc w:val="both"/>
            </w:pPr>
            <w:r>
              <w:rPr>
                <w:sz w:val="21"/>
              </w:rPr>
              <w:t>5</w:t>
            </w:r>
            <w:r>
              <w:rPr>
                <w:sz w:val="21"/>
              </w:rPr>
              <w:t>、项目实施主要人员应保持稳定投入在本项目中，如中途更换应征得采购方同意。</w:t>
            </w:r>
          </w:p>
          <w:p>
            <w:pPr>
              <w:pStyle w:val="null3"/>
              <w:spacing w:before="120" w:after="120"/>
              <w:ind w:firstLine="480"/>
              <w:jc w:val="both"/>
            </w:pPr>
            <w:r>
              <w:rPr>
                <w:b/>
                <w:sz w:val="21"/>
              </w:rPr>
              <w:t>（三）投入本项目的设备要求;</w:t>
            </w:r>
          </w:p>
          <w:p>
            <w:pPr>
              <w:pStyle w:val="null3"/>
              <w:spacing w:before="120" w:after="120"/>
              <w:ind w:firstLine="422"/>
              <w:jc w:val="both"/>
            </w:pPr>
            <w:r>
              <w:rPr>
                <w:b/>
                <w:sz w:val="21"/>
              </w:rPr>
              <w:t>为保证普查质量，中标人须确保投入的设备数量充足，运行情况良好，精度高，包括但不限于全站仪、探地雷达、管线探测仪、CCTV管道机器人、GNSS接收机等。</w:t>
            </w:r>
          </w:p>
          <w:p>
            <w:pPr>
              <w:pStyle w:val="null3"/>
              <w:spacing w:before="120" w:after="120"/>
              <w:ind w:firstLine="480"/>
              <w:jc w:val="both"/>
            </w:pPr>
            <w:r>
              <w:rPr>
                <w:b/>
                <w:sz w:val="21"/>
              </w:rPr>
              <w:t>（四）服务要求</w:t>
            </w:r>
          </w:p>
          <w:p>
            <w:pPr>
              <w:pStyle w:val="null3"/>
              <w:spacing w:before="120" w:after="120"/>
              <w:ind w:left="105" w:firstLine="480"/>
              <w:jc w:val="both"/>
            </w:pPr>
            <w:r>
              <w:rPr>
                <w:sz w:val="21"/>
              </w:rPr>
              <w:t>1.</w:t>
            </w:r>
            <w:r>
              <w:rPr>
                <w:sz w:val="21"/>
              </w:rPr>
              <w:t>中标人应针对本项目要求，制订具体详细的、可操作性强的项目技术方案与管理方案，详细列明承诺参与的各专业人员和仪器设备的配备情况，项目实施阶段将对承诺投入的人员和设备状况进行检查，如达不到承诺的要求，将按违约进行处罚或终止合同。</w:t>
            </w:r>
          </w:p>
          <w:p>
            <w:pPr>
              <w:pStyle w:val="null3"/>
              <w:spacing w:before="120" w:after="120"/>
              <w:ind w:left="105" w:firstLine="480"/>
              <w:jc w:val="both"/>
            </w:pPr>
            <w:r>
              <w:rPr>
                <w:sz w:val="21"/>
              </w:rPr>
              <w:t>2.</w:t>
            </w:r>
            <w:r>
              <w:rPr>
                <w:sz w:val="21"/>
              </w:rPr>
              <w:t>中标人应在采购人要求的时间进度内完成单位项目所有工作内容及相关服务，并依据要求编制项目执行计划。</w:t>
            </w:r>
          </w:p>
          <w:p>
            <w:pPr>
              <w:pStyle w:val="null3"/>
              <w:spacing w:before="120" w:after="120"/>
              <w:ind w:left="105" w:firstLine="480"/>
              <w:jc w:val="both"/>
            </w:pPr>
            <w:r>
              <w:rPr>
                <w:sz w:val="21"/>
              </w:rPr>
              <w:t>3.</w:t>
            </w:r>
            <w:r>
              <w:rPr>
                <w:sz w:val="21"/>
              </w:rPr>
              <w:t>中标人服务质量如不符合招标文件、投标文件和合同约定的，采购人有权拒收服务成果并解除合同，并视违约情节扣罚部分。</w:t>
            </w:r>
          </w:p>
          <w:p>
            <w:pPr>
              <w:pStyle w:val="null3"/>
              <w:spacing w:before="120" w:after="120"/>
              <w:ind w:left="105" w:firstLine="480"/>
              <w:jc w:val="both"/>
            </w:pPr>
            <w:r>
              <w:rPr>
                <w:sz w:val="21"/>
              </w:rPr>
              <w:t>4.</w:t>
            </w:r>
            <w:r>
              <w:rPr>
                <w:sz w:val="21"/>
              </w:rPr>
              <w:t>中标人现场普查过程中发现地下市政基础设施存在明显隐患的，应在地下市政基础设施普查信息表中进行备注。若该隐患的风险等级按《广东省地下市政基础设施隐患排查技术导则》的要求可划分为Ⅰ级或Ⅱ级，中标人应及时上报至采购人，并为隐患处置提供必要的资料。</w:t>
            </w:r>
          </w:p>
          <w:p>
            <w:pPr>
              <w:pStyle w:val="null3"/>
              <w:spacing w:before="120" w:after="120"/>
              <w:ind w:left="105" w:firstLine="480"/>
              <w:jc w:val="both"/>
            </w:pPr>
            <w:r>
              <w:rPr>
                <w:sz w:val="21"/>
              </w:rPr>
              <w:t>5.</w:t>
            </w:r>
            <w:r>
              <w:rPr>
                <w:sz w:val="21"/>
              </w:rPr>
              <w:t>中标人以原中山市地下管线普查工作成果为基础进行属性升级时，若发现地下管线普查成果存在迁改、新增的，应在地下市政基础设施普查信息表中进行备注并建立台账，以提示相关部门后续对数据更新。</w:t>
            </w:r>
          </w:p>
          <w:p>
            <w:pPr>
              <w:pStyle w:val="null3"/>
              <w:spacing w:before="120" w:after="120"/>
              <w:ind w:left="105" w:firstLine="480"/>
              <w:jc w:val="both"/>
            </w:pPr>
            <w:r>
              <w:rPr>
                <w:sz w:val="21"/>
              </w:rPr>
              <w:t>6.</w:t>
            </w:r>
            <w:r>
              <w:rPr>
                <w:sz w:val="21"/>
              </w:rPr>
              <w:t>普查工作完成后，应及时完成成果汇交工作，对数据接边存在问题的部位应查明核实，及时修正。</w:t>
            </w:r>
          </w:p>
          <w:p>
            <w:pPr>
              <w:pStyle w:val="null3"/>
              <w:spacing w:before="120" w:after="120"/>
              <w:ind w:left="105" w:firstLine="480"/>
              <w:jc w:val="both"/>
            </w:pPr>
            <w:r>
              <w:rPr>
                <w:sz w:val="21"/>
              </w:rPr>
              <w:t>7.</w:t>
            </w:r>
            <w:r>
              <w:rPr>
                <w:sz w:val="21"/>
              </w:rPr>
              <w:t>后续国家或广东省对地下市政基础设施普查出台新标准新要求的，中标人应无条件配合采购人按新标准、新要求开展相关工作。</w:t>
            </w:r>
          </w:p>
          <w:p>
            <w:pPr>
              <w:pStyle w:val="null3"/>
              <w:ind w:firstLine="480"/>
              <w:jc w:val="left"/>
            </w:pPr>
            <w:r>
              <w:rPr>
                <w:b/>
                <w:sz w:val="21"/>
              </w:rPr>
              <w:t>（五）普查工作流程</w:t>
            </w:r>
          </w:p>
          <w:p>
            <w:pPr>
              <w:pStyle w:val="null3"/>
              <w:ind w:firstLine="480"/>
              <w:jc w:val="left"/>
            </w:pPr>
            <w:r>
              <w:drawing>
                <wp:inline distT="0" distR="0" distB="0" distL="0">
                  <wp:extent cx="3554729" cy="4762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29" cy="476250"/>
                          </a:xfrm>
                          <a:prstGeom prst="rect">
                            <a:avLst/>
                          </a:prstGeom>
                        </pic:spPr>
                      </pic:pic>
                    </a:graphicData>
                  </a:graphic>
                </wp:inline>
              </w:drawing>
            </w:r>
          </w:p>
          <w:p>
            <w:pPr>
              <w:pStyle w:val="null3"/>
              <w:spacing w:before="120" w:after="120"/>
              <w:ind w:firstLine="480"/>
              <w:jc w:val="both"/>
            </w:pPr>
            <w:r>
              <w:rPr>
                <w:b/>
                <w:sz w:val="21"/>
              </w:rPr>
              <w:t>（六）进度要求</w:t>
            </w:r>
          </w:p>
          <w:p>
            <w:pPr>
              <w:pStyle w:val="null3"/>
              <w:ind w:firstLine="420"/>
              <w:jc w:val="left"/>
            </w:pPr>
            <w:r>
              <w:rPr>
                <w:sz w:val="21"/>
              </w:rPr>
              <w:t>签订合同后6个月内完成项目所有工作，其中：中标人与采购人签订合同后开始启动工作，中标人须在签订合同后3个月内完成对应标段普查工作量的50%，签订合同后5个月内基本完成各类设施现场普查工作，签订合同后6个月内完成普查全部工作及按要求提交成果数据。</w:t>
            </w:r>
          </w:p>
          <w:p>
            <w:pPr>
              <w:pStyle w:val="null3"/>
              <w:ind w:firstLine="420"/>
              <w:jc w:val="left"/>
            </w:pPr>
          </w:p>
          <w:p>
            <w:pPr>
              <w:pStyle w:val="null3"/>
              <w:spacing w:before="120" w:after="120"/>
              <w:ind w:firstLine="480"/>
              <w:jc w:val="both"/>
            </w:pPr>
            <w:r>
              <w:rPr>
                <w:b/>
                <w:sz w:val="21"/>
              </w:rPr>
              <w:t>（七）成果要求</w:t>
            </w:r>
          </w:p>
          <w:p>
            <w:pPr>
              <w:pStyle w:val="null3"/>
              <w:spacing w:before="120" w:after="120"/>
              <w:ind w:left="105" w:firstLine="420"/>
              <w:jc w:val="both"/>
            </w:pPr>
            <w:r>
              <w:rPr>
                <w:sz w:val="21"/>
              </w:rPr>
              <w:t>本项目提交的建设成果包括但不限于文档成果、指标成果、图谱成果、数据成果等方面内容：</w:t>
            </w:r>
          </w:p>
          <w:p>
            <w:pPr>
              <w:pStyle w:val="null3"/>
              <w:ind w:firstLine="480"/>
              <w:jc w:val="both"/>
            </w:pPr>
            <w:r>
              <w:rPr>
                <w:sz w:val="21"/>
              </w:rPr>
              <w:t>1</w:t>
            </w:r>
            <w:r>
              <w:rPr>
                <w:sz w:val="21"/>
              </w:rPr>
              <w:t>、文字资料</w:t>
            </w:r>
          </w:p>
          <w:p>
            <w:pPr>
              <w:pStyle w:val="null3"/>
              <w:spacing w:before="120" w:after="120"/>
              <w:ind w:firstLine="480"/>
              <w:jc w:val="both"/>
            </w:pPr>
            <w:r>
              <w:rPr>
                <w:sz w:val="21"/>
              </w:rPr>
              <w:t>（1）项目技术设计书</w:t>
            </w:r>
          </w:p>
          <w:p>
            <w:pPr>
              <w:pStyle w:val="null3"/>
              <w:spacing w:before="120" w:after="120"/>
              <w:ind w:firstLine="480"/>
              <w:jc w:val="both"/>
            </w:pPr>
            <w:r>
              <w:rPr>
                <w:sz w:val="21"/>
              </w:rPr>
              <w:t>（2）项目技术总结</w:t>
            </w:r>
          </w:p>
          <w:p>
            <w:pPr>
              <w:pStyle w:val="null3"/>
              <w:spacing w:before="120" w:after="120"/>
              <w:ind w:firstLine="480"/>
              <w:jc w:val="both"/>
            </w:pPr>
            <w:r>
              <w:rPr>
                <w:sz w:val="21"/>
              </w:rPr>
              <w:t>（3）调查记录表</w:t>
            </w:r>
          </w:p>
          <w:p>
            <w:pPr>
              <w:pStyle w:val="null3"/>
              <w:spacing w:before="120" w:after="120"/>
              <w:ind w:firstLine="480"/>
              <w:jc w:val="both"/>
            </w:pPr>
            <w:r>
              <w:rPr>
                <w:sz w:val="21"/>
              </w:rPr>
              <w:t>（4）调查成果表</w:t>
            </w:r>
          </w:p>
          <w:p>
            <w:pPr>
              <w:pStyle w:val="null3"/>
              <w:spacing w:before="120" w:after="120"/>
              <w:ind w:firstLine="480"/>
              <w:jc w:val="both"/>
            </w:pPr>
            <w:r>
              <w:rPr>
                <w:sz w:val="21"/>
              </w:rPr>
              <w:t>（5）图纸等纸质材料不少于3套（甲方如有增加的按甲方要求提供）</w:t>
            </w:r>
          </w:p>
          <w:p>
            <w:pPr>
              <w:pStyle w:val="null3"/>
              <w:ind w:firstLine="480"/>
              <w:jc w:val="both"/>
            </w:pPr>
            <w:r>
              <w:rPr>
                <w:sz w:val="21"/>
              </w:rPr>
              <w:t>2</w:t>
            </w:r>
            <w:r>
              <w:rPr>
                <w:sz w:val="21"/>
              </w:rPr>
              <w:t>、数据成果</w:t>
            </w:r>
          </w:p>
          <w:p>
            <w:pPr>
              <w:pStyle w:val="null3"/>
              <w:spacing w:before="120" w:after="120"/>
              <w:ind w:firstLine="480"/>
              <w:jc w:val="both"/>
            </w:pPr>
            <w:r>
              <w:rPr>
                <w:sz w:val="21"/>
              </w:rPr>
              <w:t>（1）中心四区地下管线数据</w:t>
            </w:r>
          </w:p>
          <w:p>
            <w:pPr>
              <w:pStyle w:val="null3"/>
              <w:spacing w:before="120" w:after="120"/>
              <w:ind w:firstLine="480"/>
              <w:jc w:val="both"/>
            </w:pPr>
            <w:r>
              <w:rPr>
                <w:sz w:val="21"/>
              </w:rPr>
              <w:t>（2）中心四区地下建（构）筑基础设施数据</w:t>
            </w:r>
          </w:p>
          <w:p>
            <w:pPr>
              <w:pStyle w:val="null3"/>
              <w:spacing w:before="120" w:after="120"/>
              <w:ind w:firstLine="480"/>
              <w:jc w:val="both"/>
            </w:pPr>
            <w:r>
              <w:rPr>
                <w:sz w:val="21"/>
              </w:rPr>
              <w:t>（3）中心四区地下市政基础设施三维模型数据，包括地下管线与地下建（构）筑基础设施。</w:t>
            </w:r>
          </w:p>
          <w:p>
            <w:pPr>
              <w:pStyle w:val="null3"/>
              <w:spacing w:before="120" w:after="120"/>
              <w:ind w:firstLine="480"/>
              <w:jc w:val="both"/>
            </w:pPr>
            <w:r>
              <w:rPr>
                <w:sz w:val="21"/>
              </w:rPr>
              <w:t>（4）提交数据成果主要内容须符合相关规范、规程要求。</w:t>
            </w:r>
          </w:p>
          <w:p>
            <w:pPr>
              <w:pStyle w:val="null3"/>
              <w:spacing w:before="120" w:after="120"/>
              <w:ind w:firstLine="480"/>
              <w:jc w:val="both"/>
            </w:pPr>
            <w:r>
              <w:rPr>
                <w:b/>
                <w:sz w:val="21"/>
              </w:rPr>
              <w:t>（八）质量要求</w:t>
            </w:r>
          </w:p>
          <w:p>
            <w:pPr>
              <w:pStyle w:val="null3"/>
              <w:ind w:firstLine="480"/>
              <w:jc w:val="both"/>
            </w:pPr>
            <w:r>
              <w:rPr>
                <w:sz w:val="21"/>
              </w:rPr>
              <w:t>1</w:t>
            </w:r>
            <w:r>
              <w:rPr>
                <w:sz w:val="21"/>
              </w:rPr>
              <w:t>、执行技术标准</w:t>
            </w:r>
            <w:r>
              <w:rPr>
                <w:sz w:val="21"/>
              </w:rPr>
              <w:t>：</w:t>
            </w:r>
          </w:p>
          <w:p>
            <w:pPr>
              <w:pStyle w:val="null3"/>
              <w:ind w:firstLine="480"/>
              <w:jc w:val="both"/>
            </w:pPr>
            <w:r>
              <w:rPr>
                <w:sz w:val="21"/>
              </w:rPr>
              <w:t>（1）《城市市政基础设施普查和综合管理信息平台建设工作指导手册》（住房和城乡建设部2021年5月）；</w:t>
            </w:r>
          </w:p>
          <w:p>
            <w:pPr>
              <w:pStyle w:val="null3"/>
              <w:ind w:firstLine="480"/>
              <w:jc w:val="both"/>
            </w:pPr>
            <w:r>
              <w:rPr>
                <w:sz w:val="21"/>
              </w:rPr>
              <w:t>（2）《广东省地下市政基础设施普查技术导则》（广东省住房和城乡建设厅粤建城〔2020〕93号）；</w:t>
            </w:r>
          </w:p>
          <w:p>
            <w:pPr>
              <w:pStyle w:val="null3"/>
              <w:ind w:firstLine="480"/>
              <w:jc w:val="both"/>
            </w:pPr>
            <w:r>
              <w:rPr>
                <w:sz w:val="21"/>
              </w:rPr>
              <w:t>（3）《广东省地下市政基础设施综合管理信息平台建设技术导则》（广东省</w:t>
            </w:r>
            <w:r>
              <w:rPr>
                <w:sz w:val="21"/>
              </w:rPr>
              <w:t>住房和城乡建设厅粤建城〔2020〕93号）；</w:t>
            </w:r>
          </w:p>
          <w:p>
            <w:pPr>
              <w:pStyle w:val="null3"/>
              <w:ind w:firstLine="480"/>
              <w:jc w:val="both"/>
            </w:pPr>
            <w:r>
              <w:rPr>
                <w:sz w:val="21"/>
              </w:rPr>
              <w:t>（4）</w:t>
            </w:r>
            <w:r>
              <w:rPr>
                <w:sz w:val="21"/>
              </w:rPr>
              <w:t>《国家基本比例尺地图图式第一部分：1:5001:10001:2000地形图图式》GB/T20257.1</w:t>
            </w:r>
          </w:p>
          <w:p>
            <w:pPr>
              <w:pStyle w:val="null3"/>
              <w:ind w:firstLine="480"/>
              <w:jc w:val="both"/>
            </w:pPr>
            <w:r>
              <w:rPr>
                <w:sz w:val="21"/>
              </w:rPr>
              <w:t>（5）</w:t>
            </w:r>
            <w:r>
              <w:rPr>
                <w:sz w:val="21"/>
              </w:rPr>
              <w:t>《城市地下空间测绘规范》（GB/T35636）</w:t>
            </w:r>
          </w:p>
          <w:p>
            <w:pPr>
              <w:pStyle w:val="null3"/>
              <w:ind w:firstLine="480"/>
              <w:jc w:val="both"/>
            </w:pPr>
            <w:r>
              <w:rPr>
                <w:sz w:val="21"/>
              </w:rPr>
              <w:t>（6）</w:t>
            </w:r>
            <w:r>
              <w:rPr>
                <w:sz w:val="21"/>
              </w:rPr>
              <w:t>《城市地下管线探测技术规程》（CJJ61）</w:t>
            </w:r>
          </w:p>
          <w:p>
            <w:pPr>
              <w:pStyle w:val="null3"/>
              <w:ind w:firstLine="480"/>
              <w:jc w:val="both"/>
            </w:pPr>
            <w:r>
              <w:rPr>
                <w:sz w:val="21"/>
              </w:rPr>
              <w:t>（7）</w:t>
            </w:r>
            <w:r>
              <w:rPr>
                <w:sz w:val="21"/>
              </w:rPr>
              <w:t>《管线测绘工程监理规程》（CH/T6009）</w:t>
            </w:r>
          </w:p>
          <w:p>
            <w:pPr>
              <w:pStyle w:val="null3"/>
              <w:ind w:firstLine="480"/>
              <w:jc w:val="both"/>
            </w:pPr>
            <w:r>
              <w:rPr>
                <w:sz w:val="21"/>
              </w:rPr>
              <w:t>（8）</w:t>
            </w:r>
            <w:r>
              <w:rPr>
                <w:sz w:val="21"/>
              </w:rPr>
              <w:t>《卫星定位城市测量技术标准》（CJJ/T73）</w:t>
            </w:r>
          </w:p>
          <w:p>
            <w:pPr>
              <w:pStyle w:val="null3"/>
              <w:ind w:firstLine="480"/>
              <w:jc w:val="both"/>
            </w:pPr>
            <w:r>
              <w:rPr>
                <w:sz w:val="21"/>
              </w:rPr>
              <w:t>（9）</w:t>
            </w:r>
            <w:r>
              <w:rPr>
                <w:sz w:val="21"/>
              </w:rPr>
              <w:t>《城市工程地球物理探测规范》（CJJ7）</w:t>
            </w:r>
          </w:p>
          <w:p>
            <w:pPr>
              <w:pStyle w:val="null3"/>
              <w:ind w:firstLine="480"/>
              <w:jc w:val="both"/>
            </w:pPr>
            <w:r>
              <w:rPr>
                <w:sz w:val="21"/>
              </w:rPr>
              <w:t>（10）</w:t>
            </w:r>
            <w:r>
              <w:rPr>
                <w:sz w:val="21"/>
              </w:rPr>
              <w:t>《城市测量规范》(CJJ/T8)</w:t>
            </w:r>
          </w:p>
          <w:p>
            <w:pPr>
              <w:pStyle w:val="null3"/>
              <w:ind w:firstLine="480"/>
              <w:jc w:val="both"/>
            </w:pPr>
            <w:r>
              <w:rPr>
                <w:sz w:val="21"/>
              </w:rPr>
              <w:t>（11）</w:t>
            </w:r>
            <w:r>
              <w:rPr>
                <w:sz w:val="21"/>
              </w:rPr>
              <w:t>《管线测量成果质量检验技术规程》（CH/T1033）</w:t>
            </w:r>
          </w:p>
          <w:p>
            <w:pPr>
              <w:pStyle w:val="null3"/>
              <w:ind w:firstLine="480"/>
              <w:jc w:val="both"/>
            </w:pPr>
            <w:r>
              <w:rPr>
                <w:sz w:val="21"/>
              </w:rPr>
              <w:t>（12）</w:t>
            </w:r>
            <w:r>
              <w:rPr>
                <w:sz w:val="21"/>
              </w:rPr>
              <w:t>《测绘成果质量检查与验收》（GB/T24356）</w:t>
            </w:r>
          </w:p>
          <w:p>
            <w:pPr>
              <w:pStyle w:val="null3"/>
              <w:ind w:firstLine="480"/>
              <w:jc w:val="both"/>
            </w:pPr>
            <w:r>
              <w:rPr>
                <w:sz w:val="21"/>
              </w:rPr>
              <w:t>（13）</w:t>
            </w:r>
            <w:r>
              <w:rPr>
                <w:sz w:val="21"/>
              </w:rPr>
              <w:t>《广东省地下管线探测技术规程》（DBJ/T15－134）</w:t>
            </w:r>
          </w:p>
          <w:p>
            <w:pPr>
              <w:pStyle w:val="null3"/>
              <w:ind w:firstLine="480"/>
              <w:jc w:val="both"/>
            </w:pPr>
            <w:r>
              <w:rPr>
                <w:sz w:val="21"/>
              </w:rPr>
              <w:t>（14）</w:t>
            </w:r>
            <w:r>
              <w:rPr>
                <w:sz w:val="21"/>
              </w:rPr>
              <w:t>《地下管道三维轨迹惯性定位测量技术规程》（T/CAS452）</w:t>
            </w:r>
          </w:p>
          <w:p>
            <w:pPr>
              <w:pStyle w:val="null3"/>
              <w:ind w:firstLine="480"/>
              <w:jc w:val="both"/>
            </w:pPr>
            <w:r>
              <w:rPr>
                <w:sz w:val="21"/>
              </w:rPr>
              <w:t>（15）</w:t>
            </w:r>
            <w:r>
              <w:rPr>
                <w:sz w:val="21"/>
              </w:rPr>
              <w:t>国家、省、市下发的其他技术标准和验收标准。</w:t>
            </w:r>
          </w:p>
          <w:p>
            <w:pPr>
              <w:pStyle w:val="null3"/>
              <w:ind w:firstLine="480"/>
              <w:jc w:val="both"/>
            </w:pPr>
            <w:r>
              <w:rPr>
                <w:sz w:val="21"/>
              </w:rPr>
              <w:t>2</w:t>
            </w:r>
            <w:r>
              <w:rPr>
                <w:sz w:val="21"/>
              </w:rPr>
              <w:t>、针对本项目涉及的各项普查工作，要求制定科学、合理、具体的技术实施方案。</w:t>
            </w:r>
          </w:p>
          <w:p>
            <w:pPr>
              <w:pStyle w:val="null3"/>
              <w:ind w:firstLine="480"/>
              <w:jc w:val="both"/>
            </w:pPr>
            <w:r>
              <w:rPr>
                <w:sz w:val="21"/>
              </w:rPr>
              <w:t>3</w:t>
            </w:r>
            <w:r>
              <w:rPr>
                <w:sz w:val="21"/>
              </w:rPr>
              <w:t>、针对本项目整体工作，需建立完整的质量保证体系，形成对应的质量保证机制，并提出具体的质量保证措施，确保项目建设成果达到相关技术标准要求。</w:t>
            </w:r>
          </w:p>
          <w:p>
            <w:pPr>
              <w:pStyle w:val="null3"/>
              <w:ind w:firstLine="480"/>
              <w:jc w:val="both"/>
            </w:pPr>
            <w:r>
              <w:rPr>
                <w:sz w:val="21"/>
              </w:rPr>
              <w:t>3</w:t>
            </w:r>
            <w:r>
              <w:rPr>
                <w:sz w:val="21"/>
              </w:rPr>
              <w:t>、中标人所提交的成果有下列情形之一的视为成果无效，按技术服务合同规定承担相应责任。</w:t>
            </w:r>
          </w:p>
          <w:p>
            <w:pPr>
              <w:pStyle w:val="null3"/>
              <w:spacing w:before="120" w:after="120"/>
              <w:ind w:firstLine="480"/>
              <w:jc w:val="both"/>
            </w:pPr>
            <w:r>
              <w:rPr>
                <w:sz w:val="21"/>
              </w:rPr>
              <w:t>①提交的成果文件不符合本任务书规定的成果内容和格式；</w:t>
            </w:r>
          </w:p>
          <w:p>
            <w:pPr>
              <w:pStyle w:val="null3"/>
              <w:spacing w:before="120" w:after="120"/>
              <w:ind w:firstLine="480"/>
              <w:jc w:val="both"/>
            </w:pPr>
            <w:r>
              <w:rPr>
                <w:sz w:val="21"/>
              </w:rPr>
              <w:t>②提交成果文件未经项目采购人同意而逾期送达；</w:t>
            </w:r>
          </w:p>
          <w:p>
            <w:pPr>
              <w:pStyle w:val="null3"/>
              <w:spacing w:before="120" w:after="120"/>
              <w:ind w:firstLine="480"/>
              <w:jc w:val="both"/>
            </w:pPr>
            <w:r>
              <w:rPr>
                <w:sz w:val="21"/>
              </w:rPr>
              <w:t>③提交的成果数据内容不全、粗制滥造。</w:t>
            </w:r>
          </w:p>
          <w:p>
            <w:pPr>
              <w:pStyle w:val="null3"/>
              <w:spacing w:before="120" w:after="120"/>
              <w:ind w:firstLine="480"/>
              <w:jc w:val="both"/>
            </w:pPr>
            <w:r>
              <w:rPr>
                <w:b/>
                <w:sz w:val="21"/>
              </w:rPr>
              <w:t>（九）安全要求</w:t>
            </w:r>
          </w:p>
          <w:p>
            <w:pPr>
              <w:pStyle w:val="null3"/>
              <w:spacing w:before="120" w:after="120"/>
              <w:ind w:firstLine="480"/>
              <w:jc w:val="both"/>
            </w:pPr>
            <w:r>
              <w:rPr>
                <w:sz w:val="21"/>
              </w:rPr>
              <w:t>1</w:t>
            </w:r>
            <w:r>
              <w:rPr>
                <w:sz w:val="21"/>
              </w:rPr>
              <w:t>、</w:t>
            </w:r>
            <w:r>
              <w:rPr>
                <w:sz w:val="21"/>
              </w:rPr>
              <w:t>设立测绘地理信息安全保密工作机构。</w:t>
            </w:r>
          </w:p>
          <w:p>
            <w:pPr>
              <w:pStyle w:val="null3"/>
              <w:spacing w:before="120" w:after="120"/>
              <w:ind w:firstLine="480"/>
              <w:jc w:val="both"/>
            </w:pPr>
            <w:r>
              <w:rPr>
                <w:sz w:val="21"/>
              </w:rPr>
              <w:t>2</w:t>
            </w:r>
            <w:r>
              <w:rPr>
                <w:sz w:val="21"/>
              </w:rPr>
              <w:t>、从事涉密测绘业务的人员应当具有中华人民共和国国籍，</w:t>
            </w:r>
            <w:r>
              <w:rPr>
                <w:sz w:val="21"/>
              </w:rPr>
              <w:t>签订保密责任书，接受保密教育。</w:t>
            </w:r>
          </w:p>
          <w:p>
            <w:pPr>
              <w:pStyle w:val="null3"/>
              <w:spacing w:before="120" w:after="120"/>
              <w:ind w:firstLine="480"/>
              <w:jc w:val="both"/>
            </w:pPr>
            <w:r>
              <w:rPr>
                <w:sz w:val="21"/>
              </w:rPr>
              <w:t>3</w:t>
            </w:r>
            <w:r>
              <w:rPr>
                <w:sz w:val="21"/>
              </w:rPr>
              <w:t>、</w:t>
            </w:r>
            <w:r>
              <w:rPr>
                <w:sz w:val="21"/>
              </w:rPr>
              <w:t>建立健全测绘地理信息</w:t>
            </w:r>
            <w:r>
              <w:rPr>
                <w:sz w:val="21"/>
              </w:rPr>
              <w:t>安全保密管理制度。明确涉密人员管理、保密要害部门部位管理、涉密设备与存储介质管理、涉密测绘成果全流程保密、保密自查等要求。</w:t>
            </w:r>
          </w:p>
          <w:p>
            <w:pPr>
              <w:pStyle w:val="null3"/>
              <w:spacing w:before="120" w:after="120"/>
              <w:ind w:firstLine="480"/>
              <w:jc w:val="both"/>
            </w:pPr>
            <w:r>
              <w:rPr>
                <w:sz w:val="21"/>
              </w:rPr>
              <w:t>4</w:t>
            </w:r>
            <w:r>
              <w:rPr>
                <w:sz w:val="21"/>
              </w:rPr>
              <w:t>、</w:t>
            </w:r>
            <w:r>
              <w:rPr>
                <w:sz w:val="21"/>
              </w:rPr>
              <w:t>明确涉密测绘成果使用审批流程和责任人，未经批准，涉密测绘成果不得带离保密要害部门部位。</w:t>
            </w:r>
          </w:p>
          <w:p>
            <w:pPr>
              <w:pStyle w:val="null3"/>
              <w:spacing w:before="120" w:after="120"/>
              <w:ind w:firstLine="480"/>
              <w:jc w:val="both"/>
            </w:pPr>
            <w:r>
              <w:rPr>
                <w:sz w:val="21"/>
              </w:rPr>
              <w:t>5</w:t>
            </w:r>
            <w:r>
              <w:rPr>
                <w:sz w:val="21"/>
              </w:rPr>
              <w:t>、</w:t>
            </w:r>
            <w:r>
              <w:rPr>
                <w:sz w:val="21"/>
              </w:rPr>
              <w:t>涉密存储介质专人管理，建立台账；涉密设备与存储介质应粘贴密级标识；涉密计算机、涉密存储介质不得接入互联网或其他公共信息网络；涉密网络与互联网或其他公共信息网络之间实行物理隔离；涉密计算机外接端口封闭管理。</w:t>
            </w:r>
          </w:p>
          <w:p>
            <w:pPr>
              <w:pStyle w:val="null3"/>
              <w:spacing w:before="120" w:after="120"/>
              <w:ind w:firstLine="480"/>
              <w:jc w:val="both"/>
            </w:pPr>
            <w:r>
              <w:rPr>
                <w:sz w:val="21"/>
              </w:rPr>
              <w:t>6</w:t>
            </w:r>
            <w:r>
              <w:rPr>
                <w:sz w:val="21"/>
              </w:rPr>
              <w:t>、建立健全涉密测绘外业安全保密管理制度，</w:t>
            </w:r>
            <w:r>
              <w:rPr>
                <w:sz w:val="21"/>
              </w:rPr>
              <w:t>落实监管人员和保密责任，外业所用涉密计算机纳入涉密单机进行管理。</w:t>
            </w:r>
          </w:p>
          <w:p>
            <w:pPr>
              <w:pStyle w:val="null3"/>
              <w:spacing w:before="120" w:after="120"/>
              <w:ind w:firstLine="480"/>
              <w:jc w:val="both"/>
            </w:pPr>
            <w:r>
              <w:rPr>
                <w:sz w:val="21"/>
              </w:rPr>
              <w:t>7</w:t>
            </w:r>
            <w:r>
              <w:rPr>
                <w:sz w:val="21"/>
              </w:rPr>
              <w:t>、</w:t>
            </w:r>
            <w:r>
              <w:rPr>
                <w:sz w:val="21"/>
              </w:rPr>
              <w:t>对属于国家秘密的地理信息的获取、持有、提供、利用情况进行登记并长期保</w:t>
            </w:r>
            <w:r>
              <w:rPr>
                <w:sz w:val="21"/>
              </w:rPr>
              <w:t>存，实行可追溯管理。</w:t>
            </w:r>
          </w:p>
          <w:p>
            <w:pPr>
              <w:pStyle w:val="null3"/>
              <w:spacing w:before="120" w:after="120"/>
              <w:ind w:firstLine="480"/>
              <w:jc w:val="both"/>
            </w:pPr>
            <w:r>
              <w:rPr>
                <w:sz w:val="21"/>
              </w:rPr>
              <w:t>8</w:t>
            </w:r>
            <w:r>
              <w:rPr>
                <w:sz w:val="21"/>
              </w:rPr>
              <w:t>、项目实施过程中须严格遵守采购人相关信息安全及签订保密协议，并对项目实施过程中涉及的国家机密、业务需求、数据成果等内容和相关事务保密，严格遵守《保密协议》的相关规定。</w:t>
            </w:r>
          </w:p>
          <w:p>
            <w:pPr>
              <w:pStyle w:val="null3"/>
              <w:spacing w:before="120" w:after="120"/>
              <w:ind w:firstLine="480"/>
              <w:jc w:val="both"/>
            </w:pPr>
            <w:r>
              <w:rPr>
                <w:sz w:val="21"/>
              </w:rPr>
              <w:t>9</w:t>
            </w:r>
            <w:r>
              <w:rPr>
                <w:sz w:val="21"/>
              </w:rPr>
              <w:t>、项目验收后，应将本项目所有资料移交给采购人，不允许保留相关材料。</w:t>
            </w:r>
          </w:p>
          <w:p>
            <w:pPr>
              <w:pStyle w:val="null3"/>
              <w:spacing w:before="120" w:after="120"/>
              <w:ind w:firstLine="480"/>
              <w:jc w:val="both"/>
            </w:pPr>
            <w:r>
              <w:rPr>
                <w:b/>
                <w:sz w:val="21"/>
              </w:rPr>
              <w:t>（十）验收要求</w:t>
            </w:r>
          </w:p>
          <w:p>
            <w:pPr>
              <w:pStyle w:val="null3"/>
              <w:ind w:firstLine="480"/>
              <w:jc w:val="both"/>
            </w:pPr>
            <w:r>
              <w:rPr>
                <w:sz w:val="21"/>
              </w:rPr>
              <w:t>1</w:t>
            </w:r>
            <w:r>
              <w:rPr>
                <w:sz w:val="21"/>
              </w:rPr>
              <w:t>、总体要求：</w:t>
            </w:r>
          </w:p>
          <w:p>
            <w:pPr>
              <w:pStyle w:val="null3"/>
              <w:ind w:firstLine="480"/>
              <w:jc w:val="both"/>
            </w:pPr>
            <w:r>
              <w:rPr>
                <w:sz w:val="21"/>
              </w:rPr>
              <w:t>（1）项目验收严格按照项目内容、质量要求，包括项目建设内容的完整性、项目实施的科学性、数据成果的正确性等要求开展。</w:t>
            </w:r>
          </w:p>
          <w:p>
            <w:pPr>
              <w:pStyle w:val="null3"/>
              <w:ind w:firstLine="480"/>
              <w:jc w:val="both"/>
            </w:pPr>
            <w:r>
              <w:rPr>
                <w:sz w:val="21"/>
              </w:rPr>
              <w:t>（2）完成合同规定的相应阶段建设内容后，文档齐全，成果自检合格，形成自检报告随成果一同提交验收。</w:t>
            </w:r>
          </w:p>
          <w:p>
            <w:pPr>
              <w:pStyle w:val="null3"/>
              <w:ind w:firstLine="480"/>
              <w:jc w:val="both"/>
            </w:pPr>
            <w:r>
              <w:rPr>
                <w:sz w:val="21"/>
              </w:rPr>
              <w:t>2</w:t>
            </w:r>
            <w:r>
              <w:rPr>
                <w:sz w:val="21"/>
              </w:rPr>
              <w:t>、项目中期成果审查要求：完成合同约定建设内容的80%工作量。</w:t>
            </w:r>
          </w:p>
          <w:p>
            <w:pPr>
              <w:pStyle w:val="null3"/>
              <w:ind w:firstLine="480"/>
              <w:jc w:val="both"/>
            </w:pPr>
            <w:r>
              <w:rPr>
                <w:sz w:val="21"/>
              </w:rPr>
              <w:t>3</w:t>
            </w:r>
            <w:r>
              <w:rPr>
                <w:sz w:val="21"/>
              </w:rPr>
              <w:t>、项目最终成果验收要求：完成合同约定建设内容的100%工作量。</w:t>
            </w:r>
          </w:p>
          <w:p>
            <w:pPr>
              <w:pStyle w:val="null3"/>
              <w:ind w:firstLine="480"/>
              <w:jc w:val="both"/>
            </w:pPr>
            <w:r>
              <w:rPr>
                <w:sz w:val="21"/>
              </w:rPr>
              <w:t>4</w:t>
            </w:r>
            <w:r>
              <w:rPr>
                <w:sz w:val="21"/>
              </w:rPr>
              <w:t>、项目总体验收要求由监理单位按本项目的政策依据、技术标准提供监理报告后，并由监理单位协助采购人组织专家验收会进行验收。</w:t>
            </w:r>
          </w:p>
          <w:p>
            <w:pPr>
              <w:pStyle w:val="null3"/>
              <w:spacing w:before="120" w:after="120"/>
              <w:ind w:firstLine="480"/>
              <w:jc w:val="left"/>
            </w:pPr>
            <w:r>
              <w:rPr>
                <w:b/>
                <w:sz w:val="21"/>
              </w:rPr>
              <w:t>（十一）售后服务要求</w:t>
            </w:r>
          </w:p>
          <w:p>
            <w:pPr>
              <w:pStyle w:val="null3"/>
              <w:spacing w:before="120" w:after="120"/>
              <w:ind w:firstLine="480"/>
              <w:jc w:val="both"/>
            </w:pPr>
            <w:r>
              <w:rPr>
                <w:sz w:val="21"/>
              </w:rPr>
              <w:t>1</w:t>
            </w:r>
            <w:r>
              <w:rPr>
                <w:sz w:val="21"/>
              </w:rPr>
              <w:t>、项目验收后免费提供一年售后服务。</w:t>
            </w:r>
            <w:r>
              <w:rPr>
                <w:sz w:val="21"/>
              </w:rPr>
              <w:t>后续服务期限内，中标人应提供相关咨询、协调、项目审查报告更新等技术支持，并安排专人负责售后技术支持。</w:t>
            </w:r>
          </w:p>
          <w:p>
            <w:pPr>
              <w:pStyle w:val="null3"/>
              <w:spacing w:before="120" w:after="120"/>
              <w:ind w:firstLine="480"/>
              <w:jc w:val="both"/>
            </w:pPr>
            <w:r>
              <w:rPr>
                <w:sz w:val="21"/>
              </w:rPr>
              <w:t>2</w:t>
            </w:r>
            <w:r>
              <w:rPr>
                <w:sz w:val="21"/>
              </w:rPr>
              <w:t>、对于数据使用中的问题，应在2小时内提供解决方案。</w:t>
            </w:r>
          </w:p>
          <w:p>
            <w:pPr>
              <w:pStyle w:val="null3"/>
              <w:spacing w:before="120" w:after="120"/>
              <w:ind w:firstLine="480"/>
              <w:jc w:val="both"/>
            </w:pPr>
            <w:r>
              <w:rPr>
                <w:sz w:val="21"/>
              </w:rPr>
              <w:t>3</w:t>
            </w:r>
            <w:r>
              <w:rPr>
                <w:sz w:val="21"/>
              </w:rPr>
              <w:t>、紧急、特殊的服务要求应立即提供服务至解决问题为止。</w:t>
            </w:r>
          </w:p>
          <w:p>
            <w:pPr>
              <w:pStyle w:val="null3"/>
            </w:pPr>
            <w:r>
              <w:rPr/>
              <w:t xml:space="preserve"> </w:t>
            </w:r>
          </w:p>
          <w:p>
            <w:pPr>
              <w:pStyle w:val="null3"/>
              <w:spacing w:before="120" w:after="120"/>
              <w:ind w:firstLine="480"/>
              <w:jc w:val="both"/>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1.采购代理机构：本项目是指广东省机电设备招标中心有限公司中山分公司，负责整个采购活动的组织，依法负责编制和发布招标文件，对招标文件拥有最终的解释权，不以任何身份出任评标委员会成员。</w:t>
      </w:r>
    </w:p>
    <w:p>
      <w:pPr>
        <w:pStyle w:val="null3"/>
        <w:ind w:firstLine="480"/>
      </w:pPr>
      <w:r>
        <w:rPr/>
        <w:t>2.采购人：本项目是指</w:t>
      </w:r>
      <w:r>
        <w:rPr/>
        <w:t>中山市住房和城乡建设局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采购机构代理服务收费标准：(1)本项目的代理服务费参照《招标代理服务收费管理暂行办法》（计价格[2002]1 980号）服务类标准收取，代理服务费以中标金额为计费基准。(2) 代理服务费的货币为人民币 。(3) 代理服务费支付方式 ：一次性以银行划帐、电汇、汇票或支票的形式支付。(4) 代理服务费支付时间：代理服务费必须在中标人领取《中标通知书》 时一次性付清，如果中标人未能按时交纳代理服务费，采购代理机构/采购人保留追究其法律责任的权利。(5) 代理服务费不在报价中单列。招标代理服务费递交账户（请在汇款单上写明本项目的项目编号）；开户名：广东省机电设备招标中心有限公司中山分公司；开户银行：招商银行中山分行；地址：中山市中山四路88号盛景尚峰3座2- 5层；帐号：760900017710108。</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（一）关于贯彻落实《中国人民银行中山市中心支行中山市财政局 中山市经济和 信息化局 中山市人民政府金融工作局关于印发的通知》的告知，1、根据《中国人民银行中山市中心支行 中山市财政局 中山市经济和信息化局 中山市 人民政府 金融工作局关于印发的通 知》 （中人银发【2017】82号）规定，凡通过政府采购法定程序取 得我市政府采购合同的中小微企业，均可向辖内开展政府采购质押融资业务的银行机构申请办 理融资业务。  2、截至当前，辖 内开展政府采购质押融资业务的银行机构报备的联系方式如下 ： 政府采购质押融资业务的银行机构联系人名单 序号 银行机构经办部门联系人 联系方式 1 中国农业发展银行中山 市分行 客 户业务部 邹可仕 18802598981 信贷与风险管理部 陈小龙 1 5889891688 2 中国 工商 银行中山分行 普惠金融事业部 陈炳菁 18928108782 普惠金融事 业部 杨培鹏 1590008 5352 3 中国农业银行中山分行 普惠金融事业部 赖思韵 22644682 4 广发银行中山分行 普惠 金融部 林光宇 88862643 5 中国邮政储蓄银行中山市分行 小企业金融 部 黄嘉霖 13824720741 6 中山农村商业银行 总行公司业务部 杜保森 88884181 7 平安银 行中山分行 普惠金融部 林晓冰 13823931817 8 兴业银行中山分行 企业金融部 刘中芳 0760- 88368666-203172 9 招商银行中山分行 公司金融事业部 唐庆颖 13924998608 10 中国光 大银行中山分行 公司业 务管理部 张梓颖 0760-88858067 11 广州银行中山分行 公司金融部 杨顺龙 88776919 12 中信银行中山分行 普惠金融部 陈廷忠 15113386853 普惠金融部 余超 贤 1591829182 9 13 渤海银行中山分行 公司金融部 李建夏 13631124024、0760-879118 16 分行营 业部 徐艺 1 3928142042、0760-87911808 14 华夏银行中山分行 营销管理部 叶 怡 28137 855 15 东 莞银行中山分行 业务部 赵荣耀 13042854636/86939959 16 东亚银行 （中国）有 限公司中 山支行 中山支行 王涛 89986282/18926998881 17 浦发银行中山分行 交易银行部 付涛 076 0-89982303 2、中小微企业有融资需求的，可通过应收账款融资服务平 台（网址： www.crc rfsp.com）和中山市社会征信和金融服务一体化系统（网址：www.zsyt hxt.zs.gov .cn）向 辖内特定或非特定银行机构咨询并提出融资申请。  3、采购人应当及时在 应收账款融资 服务平 台（网址：www.crcrfsp.com）确认债权债务关系，支持中小微企业融 资。  4、中小微 企业 与银行机构签订政府采购质押融资合同的，由采购人牵头与中小微企业和 银行机构三方签 署《 政府采购合同项下政府采购资金唯一回款账户确认函》，确保合同款支付 到中小微企业在 融资 银行机构开立的回款账号。  5、财政部门根据《政府采购法》等相关法规 、规章规定，对 参加 政府采购活动的供应商的不良行为予以记录，并纳入中山市社会征信和金 融服务一体化系 统， 供银行机构融资授信时审慎性参考。</w:t>
            </w:r>
          </w:p>
          <w:p>
            <w:pPr>
              <w:pStyle w:val="null3"/>
              <w:ind w:firstLine="480"/>
              <w:jc w:val="left"/>
            </w:pPr>
            <w:r>
              <w:rPr/>
              <w:t>（二） 需要落实的政府采购政策，《政府采购促进中小企业发展管理办法》（财库﹝ 2020﹞ 46号）；《关于政府采购支持监狱企业发展有关问题的通知》(财库〔2014〕68号)；《关于促进残疾人就业政府采购政策的通知 》 （财库〔2017〕141号)；《关于环境标志产品政府采购实施的意见》（财库〔 2006〕90 号）；《关于调整优化节能产品、环境标志产品政府采购执行机制的通知》（财库〔2020〕9 号）；《关于运用政府采购政策支持脱贫攻坚的通知》等。</w:t>
            </w:r>
          </w:p>
          <w:p>
            <w:pPr>
              <w:pStyle w:val="null3"/>
              <w:ind w:firstLine="480"/>
              <w:jc w:val="left"/>
            </w:pPr>
            <w:r>
              <w:rPr/>
              <w:t>（三）评审补充说明，在评审过程中（包括资格性审查、符合性审查），评标委员会（评审小组）对需要共同认定的事项存在争议的，应当按照少数服从多数的原则作出结论（持不同意见的评委可以在评审系统中填写意见或在报告上签署不同意见及理由）；同时，评委应在统一结论的情况下，配合完成评审系统的操作，确保评审流程顺利开展。</w:t>
            </w:r>
          </w:p>
          <w:p>
            <w:pPr>
              <w:pStyle w:val="null3"/>
              <w:ind w:firstLine="480"/>
              <w:jc w:val="left"/>
            </w:pPr>
            <w:r>
              <w:rPr/>
              <w:t>（四）其他要求，中标单位在中标结果公告发布后7个工作日内提供与电子投标文件内容一致的纸质投标文件给采购代理机构（投标文件为一式三份，正本一份，须为原件；副本二份，为正本的复印件。正副本封面均须加盖投标人公章并胶装及编写页码，在正副本的封面右上角注明“正本”或“副本”。除招标文件约定外，纸质投标文件须与电子投标文件一致，不一致的以电子投标文件为准）。</w:t>
            </w:r>
          </w:p>
          <w:p>
            <w:pPr>
              <w:pStyle w:val="null3"/>
              <w:ind w:firstLine="480"/>
              <w:jc w:val="left"/>
            </w:pPr>
            <w:r>
              <w:rPr/>
              <w:t>（五）本次采购的说明，本次采购服务必须是产自中华人民共和国境内的服务。</w:t>
            </w:r>
          </w:p>
          <w:p>
            <w:pPr>
              <w:pStyle w:val="null3"/>
              <w:ind w:firstLine="480"/>
              <w:jc w:val="left"/>
            </w:pPr>
            <w:r>
              <w:rPr/>
              <w:t>（六）采购标的对应的中小企业划分标准所属行业为，其他未列明行业</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采购包1：面向中小企业，以联合体形式预留，预留比例：40%。</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广东省机电设备招标中心有限公司中山分公司</w:t>
      </w:r>
      <w:r>
        <w:rPr/>
        <w:t>代收。具体操作要求详见</w:t>
      </w:r>
      <w:r>
        <w:rPr/>
        <w:t>广东省机电设备招标中心有限公司中山分公司</w:t>
      </w:r>
      <w:r>
        <w:rPr/>
        <w:t>有关指引，递交事宜请自行咨询</w:t>
      </w:r>
      <w:r>
        <w:rPr/>
        <w:t>广东省机电设备招标中心有限公司中山分公司</w:t>
      </w:r>
      <w:r>
        <w:rPr/>
        <w:t>；请各投标人在投标文件递交截止时间前按须知前附表规定的金额递交至</w:t>
      </w:r>
      <w:r>
        <w:rPr/>
        <w:t>广东省机电设备招标中心有限公司中山分公司</w:t>
      </w:r>
      <w:r>
        <w:rPr/>
        <w:t>，到账情况以开标时</w:t>
      </w:r>
      <w:r>
        <w:rPr/>
        <w:t>广东省机电设备招标中心有限公司中山分公司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广东省机电设备招标中心有限公司网站（http://www.gdebidding.com）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广东省机电设备招标中心有限公司网站（http://www.gdebidding.com）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文女士</w:t>
      </w:r>
    </w:p>
    <w:p>
      <w:pPr>
        <w:pStyle w:val="null3"/>
        <w:ind w:firstLine="480"/>
      </w:pPr>
      <w:r>
        <w:rPr/>
        <w:t>电话：</w:t>
      </w:r>
      <w:r>
        <w:rPr/>
        <w:t>020-66341924</w:t>
      </w:r>
    </w:p>
    <w:p>
      <w:pPr>
        <w:pStyle w:val="null3"/>
        <w:ind w:firstLine="480"/>
      </w:pPr>
      <w:r>
        <w:rPr/>
        <w:t>传真：</w:t>
      </w:r>
      <w:r>
        <w:rPr/>
        <w:t>020-66341967</w:t>
      </w:r>
    </w:p>
    <w:p>
      <w:pPr>
        <w:pStyle w:val="null3"/>
        <w:ind w:firstLine="480"/>
      </w:pPr>
      <w:r>
        <w:rPr/>
        <w:t>邮箱：</w:t>
      </w:r>
      <w:r>
        <w:rPr/>
        <w:t>736859875@qq.com</w:t>
      </w:r>
    </w:p>
    <w:p>
      <w:pPr>
        <w:pStyle w:val="null3"/>
        <w:ind w:firstLine="480"/>
      </w:pPr>
      <w:r>
        <w:rPr/>
        <w:t>地址：</w:t>
      </w:r>
      <w:r>
        <w:rPr/>
        <w:t>广州市东风中路515号东照大厦4楼409室</w:t>
      </w:r>
    </w:p>
    <w:p>
      <w:pPr>
        <w:pStyle w:val="null3"/>
        <w:ind w:firstLine="480"/>
      </w:pPr>
      <w:r>
        <w:rPr/>
        <w:t>邮编：</w:t>
      </w:r>
      <w:r>
        <w:rPr/>
        <w:t>510045</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中山市中心四区城市地下市政基础设施普查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广东省机电设备招标中心有限公司中山分公司</w:t>
      </w:r>
      <w:r>
        <w:rPr/>
        <w:t>统一对外发布。</w:t>
      </w:r>
    </w:p>
    <w:p>
      <w:pPr>
        <w:pStyle w:val="null3"/>
        <w:ind w:firstLine="480"/>
      </w:pPr>
      <w:r>
        <w:rPr/>
        <w:t>（2）对</w:t>
      </w:r>
      <w:r>
        <w:rPr/>
        <w:t>广东省机电设备招标中心有限公司中山分公司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采购包1（中山市中心四区城市地下市政基础设施普查项目）：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采购包1（中山市中心四区城市地下市政基础设施普查项目）：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副本复印件。分支机构投标的，须提供总公司和分公司营业执照副本复印件，总公司出具给分支机构的授权书。（若投标人为联合体，则联合体各方均须满足。）</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 如依法免税或不需要缴纳社会保障资金的， 提供相应证明材料。（若投标人为联合体，则联合体各方均须满足。）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供应商必须具有良好的商业信誉和健全的财务会计制度（提供2022年度财务状况报告或基本开户行出具的资信证明）。（若投标人为联合体，则联合体各方均须满足。）</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声明或承诺，或提供“具有设备和专业技术能力（人员）”的相关证明资料，或提供《拟投入本项目的设备和专业技术能力（人员）情况表》（格式自拟）。（若投标人为联合体，则联合体各方均须满足。）</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若投标人为联合体，则联合体各方均须满足。）</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若投标人为联合体，则联合体各方均须满足。）</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函相关承诺要求内容。（若投标人为联合体，则联合体各方均须满足。）</w:t>
            </w:r>
          </w:p>
        </w:tc>
      </w:tr>
      <w:tr>
        <w:tc>
          <w:tcPr>
            <w:tcW w:type="dxa" w:w="890"/>
          </w:tcPr>
          <w:p>
            <w:pPr>
              <w:pStyle w:val="null3"/>
            </w:pPr>
            <w:r>
              <w:rPr/>
              <w:t>8</w:t>
            </w:r>
          </w:p>
        </w:tc>
        <w:tc>
          <w:tcPr>
            <w:tcW w:type="dxa" w:w="3178"/>
          </w:tcPr>
          <w:p>
            <w:pPr>
              <w:pStyle w:val="null3"/>
            </w:pPr>
            <w:r>
              <w:rPr/>
              <w:t>本项目特定资格要求1：</w:t>
            </w:r>
          </w:p>
        </w:tc>
        <w:tc>
          <w:tcPr>
            <w:tcW w:type="dxa" w:w="4238"/>
          </w:tcPr>
          <w:p>
            <w:pPr>
              <w:pStyle w:val="null3"/>
            </w:pPr>
            <w:r>
              <w:rPr/>
              <w:t>投标人须具备以下资质其中之一： （1）具有有效的测绘资质证书，且测绘资质专业类别为：【①工程测量（乙级或以上）和②地理信息系统工程（乙级或以上）】；  （2）具有有效的【工程勘察综合资质甲级和地理信息系统工程（乙级或以上）的测绘专业资质】； （3）具有有效的【工程勘察专业类（工程测量）甲级资质和地理信息系统工程（乙级或以上）的测绘专业资质】。</w:t>
            </w:r>
          </w:p>
        </w:tc>
      </w:tr>
      <w:tr>
        <w:tc>
          <w:tcPr>
            <w:tcW w:type="dxa" w:w="890"/>
          </w:tcPr>
          <w:p>
            <w:pPr>
              <w:pStyle w:val="null3"/>
            </w:pPr>
            <w:r>
              <w:rPr/>
              <w:t>9</w:t>
            </w:r>
          </w:p>
        </w:tc>
        <w:tc>
          <w:tcPr>
            <w:tcW w:type="dxa" w:w="3178"/>
          </w:tcPr>
          <w:p>
            <w:pPr>
              <w:pStyle w:val="null3"/>
            </w:pPr>
            <w:r>
              <w:rPr/>
              <w:t>本项目特定资格要求2：</w:t>
            </w:r>
          </w:p>
        </w:tc>
        <w:tc>
          <w:tcPr>
            <w:tcW w:type="dxa" w:w="4238"/>
          </w:tcPr>
          <w:p>
            <w:pPr>
              <w:pStyle w:val="null3"/>
            </w:pPr>
            <w:r>
              <w:rPr/>
              <w:t>本项目接受联合体投标。组成联合体投标的成员不得超过3个，参与本项目投标的联合体牵头方和成员方必须签订联合体共同投标协议书，明确牵头方和成员方承担的工作内容和权利义务。联合体牵头方和成员方不得再独立参加或者与其他投标人另外组成联合体参加本项目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允许以联合体形式预留份额给中小企业，且联合体当中的中小企业承担的部分达到预算金额（或合同金额）的40%或以上，且其中预留给小微企业的比例不低于70%。即如果投标人为非中小企业的，须以联合体形式参加，并通过《联合体共同投标协议书》约定中小型企业将承担合同总金额40%或以上，且其中预留给小微企业的比例不低于70%的工作内容（提供《联合体共同投标协议书》和联合体中成员《中小企业声明函（工程、服务）》（中小企业划分标准所属行业为：其他未列明行业））；如果投标人为小微型企业的，则可以不组成联合体参加（提供《中小企业声明函（工程、服务）》（中小企业划分标准所属行业为：其他未列明行业））。（监狱企业、残疾人福利性单位视同小型、微型企业）。</w:t>
            </w:r>
          </w:p>
        </w:tc>
      </w:tr>
    </w:tbl>
    <w:p>
      <w:pPr>
        <w:pStyle w:val="null3"/>
        <w:ind w:firstLine="480"/>
      </w:pPr>
      <w:r>
        <w:rPr/>
        <w:t>表二符合性审查表：</w:t>
      </w:r>
    </w:p>
    <w:p>
      <w:pPr>
        <w:pStyle w:val="null3"/>
      </w:pPr>
    </w:p>
    <w:p>
      <w:pPr>
        <w:pStyle w:val="null3"/>
      </w:pPr>
      <w:r>
        <w:rPr/>
        <w:t>采购包1（中山市中心四区城市地下市政基础设施普查项目）：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投标函及投标有效期符合要求。</w:t>
            </w:r>
          </w:p>
        </w:tc>
      </w:tr>
      <w:tr>
        <w:tc>
          <w:tcPr>
            <w:tcW w:type="dxa" w:w="890"/>
          </w:tcPr>
          <w:p>
            <w:pPr>
              <w:pStyle w:val="null3"/>
            </w:pPr>
            <w:r>
              <w:rPr/>
              <w:t>2</w:t>
            </w:r>
          </w:p>
        </w:tc>
        <w:tc>
          <w:tcPr>
            <w:tcW w:type="dxa" w:w="3178"/>
          </w:tcPr>
          <w:p>
            <w:pPr>
              <w:pStyle w:val="null3"/>
            </w:pPr>
            <w:r>
              <w:rPr/>
              <w:t>法定代表人证明书和法定代表人授权书</w:t>
            </w:r>
          </w:p>
        </w:tc>
        <w:tc>
          <w:tcPr>
            <w:tcW w:type="dxa" w:w="4238"/>
          </w:tcPr>
          <w:p>
            <w:pPr>
              <w:pStyle w:val="null3"/>
            </w:pPr>
            <w:r>
              <w:rPr/>
              <w:t>已提交有效的法定代表人证明书和法定代表人授权书。（投标人代表为法定代表人时则不需要法定代表人授权书）。</w:t>
            </w:r>
          </w:p>
        </w:tc>
      </w:tr>
      <w:tr>
        <w:tc>
          <w:tcPr>
            <w:tcW w:type="dxa" w:w="890"/>
          </w:tcPr>
          <w:p>
            <w:pPr>
              <w:pStyle w:val="null3"/>
            </w:pPr>
            <w:r>
              <w:rPr/>
              <w:t>3</w:t>
            </w:r>
          </w:p>
        </w:tc>
        <w:tc>
          <w:tcPr>
            <w:tcW w:type="dxa" w:w="3178"/>
          </w:tcPr>
          <w:p>
            <w:pPr>
              <w:pStyle w:val="null3"/>
            </w:pPr>
            <w:r>
              <w:rPr/>
              <w:t>签署和盖章</w:t>
            </w:r>
          </w:p>
        </w:tc>
        <w:tc>
          <w:tcPr>
            <w:tcW w:type="dxa" w:w="4238"/>
          </w:tcPr>
          <w:p>
            <w:pPr>
              <w:pStyle w:val="null3"/>
            </w:pPr>
            <w:r>
              <w:rPr/>
              <w:t>投标文件按照招标文件规定签署、盖章，包括：①投标函；②开标一览表；③分项报价表；④法定代表人证明书和法定代表人授权书（投标人代表为法定代表人时则不需要法定代表人授权书）。</w:t>
            </w:r>
          </w:p>
        </w:tc>
      </w:tr>
      <w:tr>
        <w:tc>
          <w:tcPr>
            <w:tcW w:type="dxa" w:w="890"/>
          </w:tcPr>
          <w:p>
            <w:pPr>
              <w:pStyle w:val="null3"/>
            </w:pPr>
            <w:r>
              <w:rPr/>
              <w:t>4</w:t>
            </w:r>
          </w:p>
        </w:tc>
        <w:tc>
          <w:tcPr>
            <w:tcW w:type="dxa" w:w="3178"/>
          </w:tcPr>
          <w:p>
            <w:pPr>
              <w:pStyle w:val="null3"/>
            </w:pPr>
            <w:r>
              <w:rPr/>
              <w:t>投标报价及投标方案</w:t>
            </w:r>
          </w:p>
        </w:tc>
        <w:tc>
          <w:tcPr>
            <w:tcW w:type="dxa" w:w="4238"/>
          </w:tcPr>
          <w:p>
            <w:pPr>
              <w:pStyle w:val="null3"/>
            </w:pPr>
            <w:r>
              <w:rPr/>
              <w:t>1.投标报价符合本项目的投标报价要求；投标报价无重大偏离或重大不合理。  2.投标人无递交两份或多份内容不同的投标文件，或无在一份投标文件中对同一招标项目有两个或多个报价，且未声明哪个为最终报价的（招标文件规定提交备用投标方案的除外）。</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投标文件完全满足招标文件的实质性条款 （即标注★号条款）无负偏离的。</w:t>
            </w:r>
          </w:p>
        </w:tc>
      </w:tr>
      <w:tr>
        <w:tc>
          <w:tcPr>
            <w:tcW w:type="dxa" w:w="890"/>
          </w:tcPr>
          <w:p>
            <w:pPr>
              <w:pStyle w:val="null3"/>
            </w:pPr>
            <w:r>
              <w:rPr/>
              <w:t>6</w:t>
            </w:r>
          </w:p>
        </w:tc>
        <w:tc>
          <w:tcPr>
            <w:tcW w:type="dxa" w:w="3178"/>
          </w:tcPr>
          <w:p>
            <w:pPr>
              <w:pStyle w:val="null3"/>
            </w:pPr>
            <w:r>
              <w:rPr/>
              <w:t>其他废标的情形</w:t>
            </w:r>
          </w:p>
        </w:tc>
        <w:tc>
          <w:tcPr>
            <w:tcW w:type="dxa" w:w="4238"/>
          </w:tcPr>
          <w:p>
            <w:pPr>
              <w:pStyle w:val="null3"/>
            </w:pPr>
            <w:r>
              <w:rPr/>
              <w:t>无招标文件或法规明确规定废标的其他情形。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采购包1(中山市中心四区城市地下市政基础设施普查项目):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商务部分57.0分</w:t>
            </w:r>
          </w:p>
          <w:p>
            <w:pPr>
              <w:pStyle w:val="null3"/>
            </w:pPr>
            <w:r>
              <w:rPr/>
              <w:t>技术部分30.0分</w:t>
            </w:r>
          </w:p>
          <w:p>
            <w:pPr>
              <w:pStyle w:val="null3"/>
            </w:pPr>
            <w:r>
              <w:rPr/>
              <w:t>报价得分13.0分</w:t>
            </w:r>
          </w:p>
        </w:tc>
      </w:tr>
      <w:tr>
        <w:tc>
          <w:tcPr>
            <w:tcW w:type="dxa" w:w="922"/>
            <w:gridSpan w:val="2"/>
            <w:vMerge w:val="restart"/>
          </w:tcPr>
          <w:p>
            <w:pPr>
              <w:pStyle w:val="null3"/>
              <w:jc w:val="center"/>
            </w:pPr>
            <w:r>
              <w:rPr/>
              <w:t>技术部分</w:t>
            </w:r>
          </w:p>
        </w:tc>
        <w:tc>
          <w:tcPr>
            <w:tcW w:type="dxa" w:w="2307"/>
          </w:tcPr>
          <w:p>
            <w:pPr>
              <w:pStyle w:val="null3"/>
              <w:jc w:val="left"/>
            </w:pPr>
            <w:r>
              <w:rPr/>
              <w:t>总体实施方案 (7.0分)</w:t>
            </w:r>
          </w:p>
        </w:tc>
        <w:tc>
          <w:tcPr>
            <w:tcW w:type="dxa" w:w="5076"/>
          </w:tcPr>
          <w:p>
            <w:pPr>
              <w:pStyle w:val="null3"/>
              <w:jc w:val="left"/>
            </w:pPr>
            <w:r>
              <w:rPr/>
              <w:t>一、对投标人根据采购需求“二、建设要求(除技术要求外)”、“四、项目实施、验收及服务要求”的“(四)服务要求"提供的科学合理的总体实施方案进行评分: 评审依据:能结合本项目的实际情况提供的实施方案的得1分，不提供的不得分。 二、根据投标人所提供实施方案进行评审: 1.完全满足并优于采购需求的得6分; 2.完全满足采购需求的得4分; 3.基本满足采购需求的得2分; 4.不能满足采购需求的或未提供方案的不得分。</w:t>
            </w:r>
          </w:p>
        </w:tc>
      </w:tr>
      <w:tr>
        <w:tc>
          <w:tcPr>
            <w:tcW w:type="dxa" w:w="922"/>
            <w:gridSpan w:val="2"/>
            <w:vMerge/>
          </w:tcPr>
          <w:p/>
        </w:tc>
        <w:tc>
          <w:tcPr>
            <w:tcW w:type="dxa" w:w="2307"/>
          </w:tcPr>
          <w:p>
            <w:pPr>
              <w:pStyle w:val="null3"/>
              <w:jc w:val="left"/>
            </w:pPr>
            <w:r>
              <w:rPr/>
              <w:t>项目技术解决方案 (7.0分)</w:t>
            </w:r>
          </w:p>
        </w:tc>
        <w:tc>
          <w:tcPr>
            <w:tcW w:type="dxa" w:w="5076"/>
          </w:tcPr>
          <w:p>
            <w:pPr>
              <w:pStyle w:val="null3"/>
              <w:jc w:val="left"/>
            </w:pPr>
            <w:r>
              <w:rPr/>
              <w:t>一、对投标人根据采购需求“三、建设要求”中“(三)技术要求” 中针对“地下管线的普查与数据升级”、“地下建(构)筑基础设施普查”、“地下市政基础设施数据整合建库和三维可视化”内容及要求，结合实际情况制订合理且针对性强的解决方案: 1.完全满足并优于采购需求的得7分; 2.完全满足采购需求的得4分; 3.基本满足采购需求的得2分; 4.不能满足采购需求的或未提供方案的不得分。</w:t>
            </w:r>
          </w:p>
        </w:tc>
      </w:tr>
      <w:tr>
        <w:tc>
          <w:tcPr>
            <w:tcW w:type="dxa" w:w="922"/>
            <w:gridSpan w:val="2"/>
            <w:vMerge/>
          </w:tcPr>
          <w:p/>
        </w:tc>
        <w:tc>
          <w:tcPr>
            <w:tcW w:type="dxa" w:w="2307"/>
          </w:tcPr>
          <w:p>
            <w:pPr>
              <w:pStyle w:val="null3"/>
              <w:jc w:val="left"/>
            </w:pPr>
            <w:r>
              <w:rPr/>
              <w:t>工作流程及进度计划 (6.0分)</w:t>
            </w:r>
          </w:p>
        </w:tc>
        <w:tc>
          <w:tcPr>
            <w:tcW w:type="dxa" w:w="5076"/>
          </w:tcPr>
          <w:p>
            <w:pPr>
              <w:pStyle w:val="null3"/>
              <w:jc w:val="left"/>
            </w:pPr>
            <w:r>
              <w:rPr/>
              <w:t>1、对投标人根据采购需求“四、项目实施、验收及服务要求”的“(五) 普查工作流程”及“(六)进度要求”提供的工作方案进行评分: (1)完全满足并优于采购需求的得6分; (2)完全满足采购需求的得4分; (3)基本满足采购需求的得2分; (4)不能满足采购需求的或未提供方案的不得分。</w:t>
            </w:r>
          </w:p>
        </w:tc>
      </w:tr>
      <w:tr>
        <w:tc>
          <w:tcPr>
            <w:tcW w:type="dxa" w:w="922"/>
            <w:gridSpan w:val="2"/>
            <w:vMerge/>
          </w:tcPr>
          <w:p/>
        </w:tc>
        <w:tc>
          <w:tcPr>
            <w:tcW w:type="dxa" w:w="2307"/>
          </w:tcPr>
          <w:p>
            <w:pPr>
              <w:pStyle w:val="null3"/>
              <w:jc w:val="left"/>
            </w:pPr>
            <w:r>
              <w:rPr/>
              <w:t>质量保证措施 (6.0分)</w:t>
            </w:r>
          </w:p>
        </w:tc>
        <w:tc>
          <w:tcPr>
            <w:tcW w:type="dxa" w:w="5076"/>
          </w:tcPr>
          <w:p>
            <w:pPr>
              <w:pStyle w:val="null3"/>
              <w:jc w:val="left"/>
            </w:pPr>
            <w:r>
              <w:rPr/>
              <w:t>1、对投标人根据采购需求“四、项目实施、验收及服务要求”的“(七) 成果要求”及“(八)质量要求”提供的质量保证措施进行评分: (1)完全满足并优于采购需求的得4分; (2)完全满足采购需求的得2分; (3)基本满足采购需求的得1分; (4)不能满足采购需求的或未提供方案的不得分。 2、针对项目要求制定行之有效的质量保障措施的1项得1分，满分2分，没有提供就不得分。</w:t>
            </w:r>
          </w:p>
        </w:tc>
      </w:tr>
      <w:tr>
        <w:tc>
          <w:tcPr>
            <w:tcW w:type="dxa" w:w="922"/>
            <w:gridSpan w:val="2"/>
            <w:vMerge/>
          </w:tcPr>
          <w:p/>
        </w:tc>
        <w:tc>
          <w:tcPr>
            <w:tcW w:type="dxa" w:w="2307"/>
          </w:tcPr>
          <w:p>
            <w:pPr>
              <w:pStyle w:val="null3"/>
              <w:jc w:val="left"/>
            </w:pPr>
            <w:r>
              <w:rPr/>
              <w:t>安全管理方案 (4.0分)</w:t>
            </w:r>
          </w:p>
        </w:tc>
        <w:tc>
          <w:tcPr>
            <w:tcW w:type="dxa" w:w="5076"/>
          </w:tcPr>
          <w:p>
            <w:pPr>
              <w:pStyle w:val="null3"/>
              <w:jc w:val="left"/>
            </w:pPr>
            <w:r>
              <w:rPr/>
              <w:t>1、对投标人根据采购需求“四、项目实施、验收及服务要求”的“(九) 安全要求”提供的安全管理方案进行评分: (1)完全满足并优于采购需求的得4分; (2)完全满足采购需求的得2分; (3)基本满足采购需求的得1分; (4)不能满足采购需求的或未提供方案的不得分。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项目负责人（1人） (7.0分)</w:t>
            </w:r>
          </w:p>
        </w:tc>
        <w:tc>
          <w:tcPr>
            <w:tcW w:type="dxa" w:w="5076"/>
          </w:tcPr>
          <w:p>
            <w:pPr>
              <w:pStyle w:val="null3"/>
              <w:jc w:val="left"/>
            </w:pPr>
            <w:r>
              <w:rPr/>
              <w:t>拟投入本项目的项目负责人(1人): 1、具有测绘类(或测量类或工程检测类或物探类或工程勘察类）专业工程师职称:正高级(教授级)的得3分;高级的得2分;中级的得1分;其他情况不得分。 2、2019年1月1日至今（以合同签订的时间为准）曾承接类似项目业绩情况：合同内容须包括：地下空间（或市政设施）类普查(调查)类，或管网检测类，或地下探测类，或轨道交通测量类，或地下隧道测量类，或铁路测量类业绩的，并体现该人员为此业绩的项目负责人的，每提供1个得2分，本子项最高得4.0分。 注: ①联合体投标的，以联合体牵头方拟委派的项目负责人为准。 ②须提供上述要求的职称证书复印件，及投标文件截止时间前6个月内任意一个月社保证明复印件。 ③提供合同关键页复印件(合同关键页要体现签订合同双方的单位名称、合同项目名称及基本内容、签订合同双方的落款盖章、签订日期等关键要素)，否则不予计分。 ③测绘专业是指: 大地测量、工程测量、摄影测量、遥感、地图制图、地理信息、地籍测绘、测绘工程、矿山测量、海洋测绘、导航工程、土地管理、地理国情监测等专业。 ④物探专业是指：工程物探、地球物理勘查、地球物理、应用地球物理、地球探测与信息技术等专业。 ⑤第1至2项可累计得分。</w:t>
            </w:r>
          </w:p>
        </w:tc>
      </w:tr>
      <w:tr>
        <w:tc>
          <w:tcPr>
            <w:tcW w:type="dxa" w:w="922"/>
            <w:gridSpan w:val="2"/>
            <w:vMerge/>
          </w:tcPr>
          <w:p/>
        </w:tc>
        <w:tc>
          <w:tcPr>
            <w:tcW w:type="dxa" w:w="2307"/>
          </w:tcPr>
          <w:p>
            <w:pPr>
              <w:pStyle w:val="null3"/>
              <w:jc w:val="left"/>
            </w:pPr>
            <w:r>
              <w:rPr/>
              <w:t>技术负责人（1人） (8.0分)</w:t>
            </w:r>
          </w:p>
        </w:tc>
        <w:tc>
          <w:tcPr>
            <w:tcW w:type="dxa" w:w="5076"/>
          </w:tcPr>
          <w:p>
            <w:pPr>
              <w:pStyle w:val="null3"/>
              <w:jc w:val="left"/>
            </w:pPr>
            <w:r>
              <w:rPr/>
              <w:t>拟投入本项目的技术负责人(1人) : 1、具有测绘类(或测量类或工程检测类或物探类或工程勘察类）专业工程师职称:正高级(教授级)的得3分;高级的得2分;中级的得1分;其他情况不得分。 2、具有注册测绘师资格证或注册土木工程师(岩土)资格证的得1分; 3、2019年1月1日至今（以合同签订的时间为准）曾承接类似项目业绩情况：合同内容须包括：地下空间（或市政设施）类普查(调查)类，或管网检测类，或地下探测类，或轨道交通测量类，或地下隧道测量类，或铁路测量类业绩的，并体现该人员为此业绩的技术负责人的，每提供1个得2分，本子项最高得4.0分。 注: ①联合体投标的，以联合体牵头方拟委派的技术负责人为准。 ②须提供上述要求的职称证书复印件，注册(或执业或职业)复印件(注册执业资格证书须体现注册单位为投标人，若证书无法体现须提供网页截图)及投标文件截止时间前6个月内任意一个月社保证明复印件。 ③提供合同关键页复印件(合同关键页要体现签订合同双方的单位名称、合同项目名称及基本内容、签订合同双方的落款盖章、签订日期等关键要素)，否则不予计分。 ④测绘专业是指: 大地测量、工程测量、摄影测量、遥感、地图制图、地理信息、地籍测绘、测绘工程、矿山测量、海洋测绘、导航工程、土地管理、地理国情监测等专业。 ⑤物探专业是指：工程物探、地球物理勘查、地球物理、应用地球物理、地球探测与信息技术等专业。 ⑥第1至3项可累计得分。</w:t>
            </w:r>
          </w:p>
        </w:tc>
      </w:tr>
      <w:tr>
        <w:tc>
          <w:tcPr>
            <w:tcW w:type="dxa" w:w="922"/>
            <w:gridSpan w:val="2"/>
            <w:vMerge/>
          </w:tcPr>
          <w:p/>
        </w:tc>
        <w:tc>
          <w:tcPr>
            <w:tcW w:type="dxa" w:w="2307"/>
          </w:tcPr>
          <w:p>
            <w:pPr>
              <w:pStyle w:val="null3"/>
              <w:jc w:val="left"/>
            </w:pPr>
            <w:r>
              <w:rPr/>
              <w:t>拟投人本项目的团队成员 (20.0分)</w:t>
            </w:r>
          </w:p>
        </w:tc>
        <w:tc>
          <w:tcPr>
            <w:tcW w:type="dxa" w:w="5076"/>
          </w:tcPr>
          <w:p>
            <w:pPr>
              <w:pStyle w:val="null3"/>
              <w:jc w:val="left"/>
            </w:pPr>
            <w:r>
              <w:rPr/>
              <w:t>拟投入本项目的团队成员(项目负责人、技术负责人除外): 1、具有测绘类(或测量类或工程检测类或物探类或工程勘察类）专业工程师职称:高级的每人得1分;中级的每人得0.5分。本小项满分20分，其他情况不得分。 注: ①须提供上述要求的职称证书复印件，及投标文件截止时间前6个月内任意一个月社保证明复印件。同一人获得多个证书不可累计得分，按最高得分计入。 ②测绘专业是指: 大地测量、工程测量、摄影测量、遥感、地图制图、地理信息、地籍测绘、测绘工程、矿山测量、海洋测绘、导航工程、土地管理、地理国情监测等专业。 ③物探专业是指：工程物探、地球物理勘查、地球物理、应用地球物理、地球探测与信息技术等专业。 ④如联合体投标的，各联合体成员投入的人员可以累计得分。</w:t>
            </w:r>
          </w:p>
        </w:tc>
      </w:tr>
      <w:tr>
        <w:tc>
          <w:tcPr>
            <w:tcW w:type="dxa" w:w="922"/>
            <w:gridSpan w:val="2"/>
            <w:vMerge/>
          </w:tcPr>
          <w:p/>
        </w:tc>
        <w:tc>
          <w:tcPr>
            <w:tcW w:type="dxa" w:w="2307"/>
          </w:tcPr>
          <w:p>
            <w:pPr>
              <w:pStyle w:val="null3"/>
              <w:jc w:val="left"/>
            </w:pPr>
            <w:r>
              <w:rPr/>
              <w:t>拟投入的仪器设备 (13.0分)</w:t>
            </w:r>
          </w:p>
        </w:tc>
        <w:tc>
          <w:tcPr>
            <w:tcW w:type="dxa" w:w="5076"/>
          </w:tcPr>
          <w:p>
            <w:pPr>
              <w:pStyle w:val="null3"/>
              <w:jc w:val="left"/>
            </w:pPr>
            <w:r>
              <w:rPr/>
              <w:t>根据投标人拟投入本项目的仪器设备进行评分: ①</w:t>
              <w:tab/>
              <w:t>全站仪，每提供1台得0.5分，最高得2分； ②</w:t>
              <w:tab/>
              <w:t>探地雷达，每提供1台得1分，最高得4分； ③</w:t>
              <w:tab/>
              <w:t>管线探测仪，每提供1台得1分，最高得4分； ④</w:t>
              <w:tab/>
              <w:t>CCTV管道机器人，每提供1台得1分，最高得1分； ⑤</w:t>
              <w:tab/>
              <w:t>GNSS接收机，每提供1台得0.5分，最高得2分； 注:须提供购置仪器设备的发票复印件；如联合体投标的，投入的仪器设备可以累计得分。</w:t>
            </w:r>
          </w:p>
        </w:tc>
      </w:tr>
      <w:tr>
        <w:tc>
          <w:tcPr>
            <w:tcW w:type="dxa" w:w="922"/>
            <w:gridSpan w:val="2"/>
            <w:vMerge/>
          </w:tcPr>
          <w:p/>
        </w:tc>
        <w:tc>
          <w:tcPr>
            <w:tcW w:type="dxa" w:w="2307"/>
          </w:tcPr>
          <w:p>
            <w:pPr>
              <w:pStyle w:val="null3"/>
              <w:jc w:val="left"/>
            </w:pPr>
            <w:r>
              <w:rPr/>
              <w:t>企业业绩情况 (9.0分)</w:t>
            </w:r>
          </w:p>
        </w:tc>
        <w:tc>
          <w:tcPr>
            <w:tcW w:type="dxa" w:w="5076"/>
          </w:tcPr>
          <w:p>
            <w:pPr>
              <w:pStyle w:val="null3"/>
              <w:jc w:val="left"/>
            </w:pPr>
            <w:r>
              <w:rPr/>
              <w:t>2019年1月1日至今(以合同签订时间为准)投标人承担过过类似项目业绩，类似项目是指合同内容中包括：地下空间（或市政设施）类普查(调查)类（或管网检测类，或地下探测类，或轨道交通测量类，或地下隧道测量类，或铁路测量类）的内容。每提供一个业绩得1.5分，最高得9分。  注:①如联合体投标，联合体任意一方提供业绩符合评审要求都可累计得分。劳务合作的业绩合同不参与计分。 ②提供合同关键页复印件(合同关键页要体现签订合同双方的单位名称、合同项目名称及基本内容、签订合同双方的落款盖章、签订日期等关键要素)，否则不予计分。</w:t>
            </w:r>
          </w:p>
        </w:tc>
      </w:tr>
      <w:tr>
        <w:tc>
          <w:tcPr>
            <w:tcW w:type="dxa" w:w="922"/>
            <w:gridSpan w:val="2"/>
          </w:tcPr>
          <w:p>
            <w:pPr>
              <w:pStyle w:val="null3"/>
              <w:jc w:val="center"/>
            </w:pPr>
            <w:r>
              <w:rPr/>
              <w:t>投标报价</w:t>
            </w:r>
          </w:p>
        </w:tc>
        <w:tc>
          <w:tcPr>
            <w:tcW w:type="dxa" w:w="2307"/>
          </w:tcPr>
          <w:p>
            <w:pPr>
              <w:pStyle w:val="null3"/>
              <w:jc w:val="left"/>
            </w:pPr>
            <w:r>
              <w:rPr/>
              <w:t>投标报价得分 (13.0分)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评审得分相同的，由采购人或者采购人委托评标委员会采取随机抽取方式确定。</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center"/>
      </w:pPr>
    </w:p>
    <w:p>
      <w:pPr>
        <w:pStyle w:val="null3"/>
        <w:ind w:firstLine="480"/>
        <w:jc w:val="center"/>
      </w:pPr>
      <w:r>
        <w:rPr>
          <w:b/>
          <w:sz w:val="36"/>
        </w:rPr>
        <w:t>中山市中心四区城市地下市政基础设施普查项目合同书</w:t>
      </w:r>
    </w:p>
    <w:p>
      <w:pPr>
        <w:pStyle w:val="null3"/>
        <w:ind w:firstLine="480"/>
        <w:jc w:val="both"/>
      </w:pPr>
    </w:p>
    <w:p>
      <w:pPr>
        <w:pStyle w:val="null3"/>
        <w:ind w:firstLine="480"/>
        <w:jc w:val="both"/>
      </w:pPr>
      <w:r>
        <w:rPr>
          <w:sz w:val="24"/>
        </w:rPr>
        <w:t>甲方：</w:t>
      </w:r>
    </w:p>
    <w:p>
      <w:pPr>
        <w:pStyle w:val="null3"/>
        <w:ind w:firstLine="480"/>
        <w:jc w:val="both"/>
      </w:pPr>
      <w:r>
        <w:rPr>
          <w:sz w:val="24"/>
        </w:rPr>
        <w:t>乙方：</w:t>
      </w:r>
    </w:p>
    <w:p>
      <w:pPr>
        <w:pStyle w:val="null3"/>
        <w:ind w:firstLine="480"/>
        <w:jc w:val="both"/>
      </w:pPr>
    </w:p>
    <w:p>
      <w:pPr>
        <w:pStyle w:val="null3"/>
        <w:ind w:firstLine="448"/>
        <w:jc w:val="both"/>
      </w:pPr>
      <w:r>
        <w:rPr>
          <w:sz w:val="24"/>
        </w:rPr>
        <w:t>根据</w:t>
      </w:r>
      <w:r>
        <w:rPr>
          <w:sz w:val="24"/>
          <w:u w:val="single"/>
        </w:rPr>
        <w:t>中山市中心四区城市地下市政基础设施普查项目</w:t>
      </w:r>
      <w:r>
        <w:rPr>
          <w:sz w:val="24"/>
          <w:u w:val="single"/>
        </w:rPr>
        <w:t>（采购项目编号为</w:t>
      </w:r>
      <w:r>
        <w:rPr>
          <w:sz w:val="24"/>
          <w:u w:val="single"/>
        </w:rPr>
        <w:t>0692-249CZST60010</w:t>
      </w:r>
      <w:r>
        <w:rPr>
          <w:sz w:val="24"/>
          <w:u w:val="single"/>
        </w:rPr>
        <w:t>）</w:t>
      </w:r>
      <w:r>
        <w:rPr>
          <w:sz w:val="24"/>
        </w:rPr>
        <w:t>的采购结果，按照《中华人民共和国政府采购法》、《中华人民共和国民法典》等法律法规的规定，经双方协商，本着平等互利和诚实信用的原则，一致同意签订本合同。</w:t>
      </w:r>
    </w:p>
    <w:p>
      <w:pPr>
        <w:pStyle w:val="null3"/>
        <w:ind w:firstLine="480"/>
        <w:jc w:val="left"/>
      </w:pPr>
      <w:r>
        <w:rPr>
          <w:b/>
          <w:sz w:val="24"/>
        </w:rPr>
        <w:t>第一条  合同项目</w:t>
      </w:r>
    </w:p>
    <w:p>
      <w:pPr>
        <w:pStyle w:val="null3"/>
        <w:ind w:firstLine="480"/>
        <w:jc w:val="left"/>
      </w:pPr>
      <w:r>
        <w:rPr>
          <w:sz w:val="24"/>
        </w:rPr>
        <w:t>1</w:t>
      </w:r>
      <w:r>
        <w:rPr>
          <w:sz w:val="24"/>
        </w:rPr>
        <w:t>、项目名称：</w:t>
      </w:r>
      <w:r>
        <w:rPr>
          <w:sz w:val="24"/>
        </w:rPr>
        <w:t>中山市中心四区城市地下市政基础设施普查项目</w:t>
      </w:r>
      <w:r>
        <w:rPr>
          <w:sz w:val="24"/>
        </w:rPr>
        <w:t>；</w:t>
      </w:r>
    </w:p>
    <w:p>
      <w:pPr>
        <w:pStyle w:val="null3"/>
        <w:ind w:firstLine="480"/>
        <w:jc w:val="left"/>
      </w:pPr>
      <w:r>
        <w:rPr>
          <w:sz w:val="24"/>
        </w:rPr>
        <w:t>2</w:t>
      </w:r>
      <w:r>
        <w:rPr>
          <w:sz w:val="24"/>
        </w:rPr>
        <w:t>、采购项目编号：</w:t>
      </w:r>
      <w:r>
        <w:rPr>
          <w:sz w:val="24"/>
        </w:rPr>
        <w:t>0692-249CZST60010</w:t>
      </w:r>
      <w:r>
        <w:rPr>
          <w:sz w:val="24"/>
        </w:rPr>
        <w:t>。</w:t>
      </w:r>
    </w:p>
    <w:p>
      <w:pPr>
        <w:pStyle w:val="null3"/>
        <w:ind w:firstLine="480"/>
        <w:jc w:val="left"/>
      </w:pPr>
      <w:r>
        <w:rPr>
          <w:b/>
          <w:sz w:val="24"/>
        </w:rPr>
        <w:t>第二条 合同组成</w:t>
      </w:r>
    </w:p>
    <w:p>
      <w:pPr>
        <w:pStyle w:val="null3"/>
        <w:ind w:firstLine="480"/>
        <w:jc w:val="left"/>
      </w:pPr>
      <w:r>
        <w:rPr>
          <w:sz w:val="24"/>
        </w:rPr>
        <w:t>1</w:t>
      </w:r>
      <w:r>
        <w:rPr>
          <w:sz w:val="24"/>
        </w:rPr>
        <w:t>、合同文件组成内容包括：本合同书、中标通知书、投标文件（含澄清内容）、招标文件（含招标文件澄清通知）等。</w:t>
      </w:r>
    </w:p>
    <w:p>
      <w:pPr>
        <w:pStyle w:val="null3"/>
        <w:ind w:firstLine="480"/>
        <w:jc w:val="left"/>
      </w:pPr>
      <w:r>
        <w:rPr>
          <w:b/>
          <w:sz w:val="24"/>
        </w:rPr>
        <w:t>第三条  项目建设内容、实施及服务、技术、质量、安全要求</w:t>
      </w:r>
    </w:p>
    <w:p>
      <w:pPr>
        <w:pStyle w:val="null3"/>
        <w:ind w:firstLine="480"/>
        <w:jc w:val="both"/>
      </w:pPr>
      <w:r>
        <w:rPr>
          <w:b/>
          <w:sz w:val="24"/>
        </w:rPr>
        <w:t>一、项目目标</w:t>
      </w:r>
    </w:p>
    <w:p>
      <w:pPr>
        <w:pStyle w:val="null3"/>
        <w:ind w:left="105" w:firstLine="480"/>
        <w:jc w:val="both"/>
      </w:pPr>
      <w:r>
        <w:rPr>
          <w:sz w:val="24"/>
        </w:rPr>
        <w:t>本项目通过对中山市中心四区（石岐街道、东区街道、南区街道和西区街道）范围内的地下管线与地下交通等地下市政基础设施进行普查与数据升级，获取全面、准确、现势的地下市政基础设施数据，形成中山市城市地下市政基础设施综合数据库，协助提高中山市地下市政基础设施建设效率，提升城市安全韧性。</w:t>
      </w:r>
    </w:p>
    <w:p>
      <w:pPr>
        <w:pStyle w:val="null3"/>
        <w:ind w:firstLine="480"/>
        <w:jc w:val="both"/>
      </w:pPr>
      <w:r>
        <w:rPr>
          <w:b/>
          <w:sz w:val="24"/>
        </w:rPr>
        <w:t>二、建设要求</w:t>
      </w:r>
    </w:p>
    <w:p>
      <w:pPr>
        <w:pStyle w:val="null3"/>
        <w:ind w:firstLine="480"/>
        <w:jc w:val="both"/>
      </w:pPr>
      <w:r>
        <w:rPr>
          <w:b/>
          <w:sz w:val="24"/>
        </w:rPr>
        <w:t>（一）建设内容</w:t>
      </w:r>
    </w:p>
    <w:p>
      <w:pPr>
        <w:pStyle w:val="null3"/>
        <w:spacing w:before="150" w:after="150"/>
        <w:ind w:firstLine="480"/>
        <w:jc w:val="both"/>
      </w:pPr>
      <w:r>
        <w:rPr>
          <w:sz w:val="24"/>
        </w:rPr>
        <w:t>本项目建设内容主要包括：</w:t>
      </w:r>
    </w:p>
    <w:p>
      <w:pPr>
        <w:pStyle w:val="null3"/>
        <w:ind w:firstLine="480"/>
        <w:jc w:val="both"/>
      </w:pPr>
      <w:r>
        <w:rPr>
          <w:sz w:val="24"/>
        </w:rPr>
        <w:t>1</w:t>
      </w:r>
      <w:r>
        <w:rPr>
          <w:sz w:val="24"/>
        </w:rPr>
        <w:t>、地下管线的普查与转换升级：按照广东省地下市政基础设施普查相关技术导则要求，对中山市中心四区历史地下管线进行数据升级，对过去未开展地下管线普查数据进行普查与修测。（中心四区为西区街道、石岐街道、东区街道和南区街道，下同。）</w:t>
      </w:r>
    </w:p>
    <w:p>
      <w:pPr>
        <w:pStyle w:val="null3"/>
        <w:ind w:firstLine="480"/>
        <w:jc w:val="both"/>
      </w:pPr>
      <w:r>
        <w:rPr>
          <w:sz w:val="24"/>
        </w:rPr>
        <w:t>2</w:t>
      </w:r>
      <w:r>
        <w:rPr>
          <w:sz w:val="24"/>
        </w:rPr>
        <w:t>、地下建（构）筑基础设施普查：对中山市中心四区</w:t>
      </w:r>
      <w:r>
        <w:rPr>
          <w:sz w:val="24"/>
        </w:rPr>
        <w:t>地下建（构）筑基础设施包含地下交通设施（人行地下通道、城市地下道路、城市轨道交通、地下铁路、地下公共停车场、地下交通枢纽）、地下人防工程（不包括小区内停车场）、地下综合防灾设施</w:t>
      </w:r>
      <w:r>
        <w:rPr>
          <w:sz w:val="24"/>
        </w:rPr>
        <w:t>开展普查工作。</w:t>
      </w:r>
    </w:p>
    <w:p>
      <w:pPr>
        <w:pStyle w:val="null3"/>
        <w:ind w:firstLine="480"/>
        <w:jc w:val="both"/>
      </w:pPr>
      <w:r>
        <w:rPr>
          <w:sz w:val="24"/>
        </w:rPr>
        <w:t>3</w:t>
      </w:r>
      <w:r>
        <w:rPr>
          <w:sz w:val="24"/>
        </w:rPr>
        <w:t>、地下市政基础设施整合建库和三维可视化：对普查所获得的地下管线设施数据成果、地下建（构）筑基础设施数据成果进行质检、整合入库，并行三维建模，支撑地下市政基础设施管理三维应用。</w:t>
      </w:r>
    </w:p>
    <w:p>
      <w:pPr>
        <w:pStyle w:val="null3"/>
        <w:ind w:left="105" w:firstLine="480"/>
        <w:jc w:val="both"/>
      </w:pPr>
      <w:r>
        <w:rPr>
          <w:sz w:val="24"/>
        </w:rPr>
        <w:t>具体建设内容如下表。</w:t>
      </w:r>
    </w:p>
    <w:p>
      <w:pPr>
        <w:pStyle w:val="null3"/>
        <w:ind w:left="105" w:firstLine="420"/>
        <w:jc w:val="both"/>
      </w:pPr>
      <w:r>
        <w:rPr>
          <w:b/>
          <w:sz w:val="24"/>
        </w:rPr>
        <w:t>表1 具体建设内容一览表</w:t>
      </w:r>
    </w:p>
    <w:tbl>
      <w:tblPr>
        <w:tblW w:w="0" w:type="auto"/>
        <w:tblBorders>
          <w:top w:val="none" w:color="000000" w:sz="4"/>
          <w:left w:val="none" w:color="000000" w:sz="4"/>
          <w:bottom w:val="none" w:color="000000" w:sz="4"/>
          <w:right w:val="none" w:color="000000" w:sz="4"/>
          <w:insideH w:val="none"/>
          <w:insideV w:val="none"/>
        </w:tblBorders>
      </w:tblPr>
      <w:tblGrid>
        <w:gridCol w:w="841"/>
        <w:gridCol w:w="2163"/>
        <w:gridCol w:w="5302"/>
      </w:tblGrid>
      <w:tr>
        <w:tc>
          <w:tcPr>
            <w:tcW w:type="dxa" w:w="84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tcPr>
          <w:p>
            <w:pPr>
              <w:pStyle w:val="null3"/>
              <w:ind w:firstLine="480"/>
              <w:jc w:val="center"/>
            </w:pPr>
            <w:r>
              <w:rPr>
                <w:color w:val="000000"/>
                <w:sz w:val="24"/>
              </w:rPr>
              <w:t>序号</w:t>
            </w:r>
          </w:p>
        </w:tc>
        <w:tc>
          <w:tcPr>
            <w:tcW w:type="dxa" w:w="2163"/>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ind w:firstLine="480"/>
              <w:jc w:val="center"/>
            </w:pPr>
            <w:r>
              <w:rPr>
                <w:color w:val="000000"/>
                <w:sz w:val="24"/>
              </w:rPr>
              <w:t>建设内容</w:t>
            </w:r>
          </w:p>
        </w:tc>
        <w:tc>
          <w:tcPr>
            <w:tcW w:type="dxa" w:w="5302"/>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ind w:firstLine="480"/>
              <w:jc w:val="center"/>
            </w:pPr>
            <w:r>
              <w:rPr>
                <w:color w:val="000000"/>
                <w:sz w:val="24"/>
              </w:rPr>
              <w:t>具体内容</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1</w:t>
            </w:r>
          </w:p>
        </w:tc>
        <w:tc>
          <w:tcPr>
            <w:tcW w:type="dxa" w:w="2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地下管线的普查与转换升级</w:t>
            </w:r>
          </w:p>
        </w:tc>
        <w:tc>
          <w:tcPr>
            <w:tcW w:type="dxa" w:w="5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按照广东省地下市政基础设施普查相关技术导则要求，中心四区历史地下管线进行数据升级，对过去未开展地下管线普查数据进行普查与修测，预计升级管线工作量为4843公里，新普查管线工作量预计约4346公里，合计约为9189公里，具体工作量以实际中心四区覆盖普查范围为准。</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w:t>
            </w:r>
          </w:p>
        </w:tc>
        <w:tc>
          <w:tcPr>
            <w:tcW w:type="dxa" w:w="2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地下建（构）筑基础设施普查</w:t>
            </w:r>
          </w:p>
        </w:tc>
        <w:tc>
          <w:tcPr>
            <w:tcW w:type="dxa" w:w="5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按照住建部本次普查工作的《指导手册》、广东省普查工作《技术导则》，对中山市地中心四区约5（按现有实际数量）处地下人行通道、城市地下道路进行普查。</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3</w:t>
            </w:r>
          </w:p>
        </w:tc>
        <w:tc>
          <w:tcPr>
            <w:tcW w:type="dxa" w:w="2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地下市政基础设施整合建库和三维可视化</w:t>
            </w:r>
          </w:p>
        </w:tc>
        <w:tc>
          <w:tcPr>
            <w:tcW w:type="dxa" w:w="5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1）依据住建部普查工作的《指导手册》、广东省普查工作《技术导则》，对地下市政基础设施普查数据成果，参照部、省、市级相关标准开展成果质量检查，对不同普查区域的成果数据开展接边检查，指导普查单位修改至符合数据库标准的成果，保障普查成果质量。</w:t>
            </w:r>
          </w:p>
          <w:p>
            <w:pPr>
              <w:pStyle w:val="null3"/>
              <w:ind w:firstLine="480"/>
              <w:jc w:val="both"/>
            </w:pPr>
            <w:r>
              <w:rPr>
                <w:sz w:val="24"/>
              </w:rPr>
              <w:t>（2）对地下工程管线设施、地下建（构）筑基础设施开展三维可视化建设、编译三维数据，并对三维模型进行质量检查</w:t>
            </w:r>
          </w:p>
        </w:tc>
      </w:tr>
    </w:tbl>
    <w:p>
      <w:pPr>
        <w:pStyle w:val="null3"/>
        <w:ind w:firstLine="480"/>
        <w:jc w:val="both"/>
      </w:pPr>
      <w:r>
        <w:rPr>
          <w:b/>
          <w:sz w:val="24"/>
        </w:rPr>
        <w:t>4.</w:t>
      </w:r>
      <w:r>
        <w:rPr>
          <w:b/>
          <w:sz w:val="24"/>
        </w:rPr>
        <w:t>表1具体建设内容一览表中有关工作量为估算量，若普查工作实施阶段中超过估算量的，其费用也包含在本次合同价中，甲方不再追加任何费用，乙方不能因此中止或终止服务，否则，甲方有权追究其违约责任。</w:t>
      </w:r>
    </w:p>
    <w:p>
      <w:pPr>
        <w:pStyle w:val="null3"/>
        <w:ind w:firstLine="480"/>
        <w:jc w:val="both"/>
      </w:pPr>
      <w:r>
        <w:rPr>
          <w:b/>
          <w:sz w:val="24"/>
        </w:rPr>
        <w:t>（二）数据现状</w:t>
      </w:r>
    </w:p>
    <w:p>
      <w:pPr>
        <w:pStyle w:val="null3"/>
        <w:spacing w:before="150" w:after="150"/>
        <w:ind w:firstLine="480"/>
        <w:jc w:val="both"/>
      </w:pPr>
      <w:r>
        <w:rPr>
          <w:sz w:val="24"/>
        </w:rPr>
        <w:t>中山市于2012年开展了管线普查，完成约4798公里管线探测。2016年完成中心城区约441公里的地下管线补测补绘，以及火炬开发区、港口、小榄、三乡、沙溪、大涌、南朗、古镇等区镇约7189公里的地下管线普查。中心四区具有5181.78公里地下管线数据。此外，中山市各管线权属单位管理有各类专业管线数据，累计长度超过2.5万公里，可用于提供管理、技术信息。</w:t>
      </w:r>
    </w:p>
    <w:p>
      <w:pPr>
        <w:pStyle w:val="null3"/>
        <w:spacing w:before="150" w:after="150"/>
        <w:ind w:firstLine="480"/>
        <w:jc w:val="both"/>
      </w:pPr>
      <w:r>
        <w:rPr>
          <w:sz w:val="24"/>
        </w:rPr>
        <w:t>中山市地下市政基础设施主管部门和权属单位对应管理的设施类型基本厘清，但对应部门已有数据成果仍然存在以下几个方面的问题，一是数据平面位置精确度不够，二是普遍缺少埋深等高度信息，三是数据存在更新的问题，四是属性信息与本项工作标准要求差异较大，五是不同部门使用的坐标系不统一，存在部分单位自行转换导致空间位置转换错误的问题。</w:t>
      </w:r>
    </w:p>
    <w:p>
      <w:pPr>
        <w:pStyle w:val="null3"/>
        <w:ind w:firstLine="480"/>
        <w:jc w:val="both"/>
      </w:pPr>
      <w:r>
        <w:rPr>
          <w:b/>
          <w:sz w:val="24"/>
        </w:rPr>
        <w:t>（三）技术要求</w:t>
      </w:r>
    </w:p>
    <w:p>
      <w:pPr>
        <w:pStyle w:val="null3"/>
        <w:ind w:firstLine="480"/>
        <w:jc w:val="both"/>
      </w:pPr>
      <w:r>
        <w:rPr>
          <w:b/>
          <w:sz w:val="24"/>
        </w:rPr>
        <w:t>1</w:t>
      </w:r>
      <w:r>
        <w:rPr>
          <w:b/>
          <w:sz w:val="24"/>
        </w:rPr>
        <w:t>、普查范围</w:t>
      </w:r>
    </w:p>
    <w:p>
      <w:pPr>
        <w:pStyle w:val="null3"/>
        <w:spacing w:before="150" w:after="150"/>
        <w:ind w:firstLine="480"/>
        <w:jc w:val="both"/>
      </w:pPr>
      <w:r>
        <w:rPr>
          <w:sz w:val="24"/>
        </w:rPr>
        <w:t>地下市政基础设施普查的范围是路宽</w:t>
      </w:r>
      <w:r>
        <w:rPr>
          <w:sz w:val="24"/>
        </w:rPr>
        <w:t>大于3米</w:t>
      </w:r>
      <w:r>
        <w:rPr>
          <w:sz w:val="24"/>
        </w:rPr>
        <w:t>的城市道路（含穿越城市建成区的公路）、街巷，包括快速路、主干路、次干路、支路、通道和其他公共区域</w:t>
      </w:r>
      <w:r>
        <w:rPr>
          <w:color w:val="000000"/>
          <w:sz w:val="24"/>
        </w:rPr>
        <w:t>及城中村范围及开放式小区等</w:t>
      </w:r>
      <w:r>
        <w:rPr>
          <w:sz w:val="24"/>
        </w:rPr>
        <w:t>。对穿越非普查区的主干管线不能中断，以保持主干管线的连续性。未位于前述范围的城市地下交通设施、地下河道等也应普查。地下市政基础设施普查可分为地下管线普查与地下建（构）筑普查。地下管线普查是针对城市地下管线工程设施的普查，除城市地下管线工程设施外的普查称为地下建（构）筑普查。</w:t>
      </w:r>
    </w:p>
    <w:p>
      <w:pPr>
        <w:pStyle w:val="null3"/>
        <w:spacing w:before="150" w:after="150"/>
        <w:ind w:firstLine="480"/>
        <w:jc w:val="both"/>
      </w:pPr>
      <w:r>
        <w:rPr>
          <w:sz w:val="24"/>
        </w:rPr>
        <w:t>本次城市地下市政基础设施数据普查范围为中心四区的以上普查范围。</w:t>
      </w:r>
    </w:p>
    <w:p>
      <w:pPr>
        <w:pStyle w:val="null3"/>
        <w:spacing w:before="150" w:after="150"/>
        <w:ind w:firstLine="480"/>
        <w:jc w:val="both"/>
      </w:pPr>
      <w:r>
        <w:rPr>
          <w:b/>
          <w:sz w:val="24"/>
        </w:rPr>
        <w:t>2</w:t>
      </w:r>
      <w:r>
        <w:rPr>
          <w:b/>
          <w:sz w:val="24"/>
        </w:rPr>
        <w:t>、普查对象</w:t>
      </w:r>
    </w:p>
    <w:p>
      <w:pPr>
        <w:pStyle w:val="null3"/>
        <w:spacing w:before="150" w:after="150"/>
        <w:ind w:firstLine="480"/>
        <w:jc w:val="both"/>
      </w:pPr>
      <w:r>
        <w:rPr>
          <w:sz w:val="24"/>
        </w:rPr>
        <w:t>普查对象包括地下工程管线设施和地下交通设施。地下工程管线设施包括给水、再生水、雨水等及其附属设施；地下交通设施包括人行地下通道、城市地下道路、地铁、地下公共停车场等。普查内容包括各类普查对象的空间信息、管理信息、技术信息和</w:t>
      </w:r>
      <w:r>
        <w:rPr>
          <w:b/>
          <w:sz w:val="24"/>
        </w:rPr>
        <w:t>隐患信息台账</w:t>
      </w:r>
      <w:r>
        <w:rPr>
          <w:sz w:val="24"/>
        </w:rPr>
        <w:t>，形成数字化档案、调查表格、测绘图件和三维模型并整理入库。</w:t>
      </w:r>
    </w:p>
    <w:p>
      <w:pPr>
        <w:pStyle w:val="null3"/>
        <w:ind w:firstLine="480"/>
        <w:jc w:val="both"/>
      </w:pPr>
      <w:r>
        <w:rPr>
          <w:b/>
          <w:sz w:val="24"/>
        </w:rPr>
        <w:t>3</w:t>
      </w:r>
      <w:r>
        <w:rPr>
          <w:b/>
          <w:sz w:val="24"/>
        </w:rPr>
        <w:t>、技术要求</w:t>
      </w:r>
    </w:p>
    <w:p>
      <w:pPr>
        <w:pStyle w:val="null3"/>
        <w:ind w:firstLine="480"/>
        <w:jc w:val="both"/>
      </w:pPr>
      <w:r>
        <w:rPr>
          <w:b/>
          <w:sz w:val="24"/>
        </w:rPr>
        <w:t>（1）测绘基准及成图规格</w:t>
      </w:r>
    </w:p>
    <w:p>
      <w:pPr>
        <w:pStyle w:val="null3"/>
        <w:ind w:firstLine="480"/>
        <w:jc w:val="both"/>
      </w:pPr>
      <w:r>
        <w:rPr>
          <w:sz w:val="24"/>
        </w:rPr>
        <w:t>1</w:t>
      </w:r>
      <w:r>
        <w:rPr>
          <w:sz w:val="24"/>
        </w:rPr>
        <w:t>）平面坐标系统：2000国家大地坐标系；</w:t>
      </w:r>
    </w:p>
    <w:p>
      <w:pPr>
        <w:pStyle w:val="null3"/>
        <w:ind w:firstLine="480"/>
        <w:jc w:val="both"/>
      </w:pPr>
      <w:r>
        <w:rPr>
          <w:sz w:val="24"/>
        </w:rPr>
        <w:t>2</w:t>
      </w:r>
      <w:r>
        <w:rPr>
          <w:sz w:val="24"/>
        </w:rPr>
        <w:t>）高程系统：1985国家高程基准；</w:t>
      </w:r>
    </w:p>
    <w:p>
      <w:pPr>
        <w:pStyle w:val="null3"/>
        <w:ind w:firstLine="480"/>
        <w:jc w:val="both"/>
      </w:pPr>
      <w:r>
        <w:rPr>
          <w:sz w:val="24"/>
        </w:rPr>
        <w:t>3</w:t>
      </w:r>
      <w:r>
        <w:rPr>
          <w:sz w:val="24"/>
        </w:rPr>
        <w:t>）成图规格：50cm×40cm，比例尺为1:500；综合地下市政基础设施图的分幅和编号规则：按中山市1：500地形图标准分幅和编号</w:t>
      </w:r>
    </w:p>
    <w:p>
      <w:pPr>
        <w:pStyle w:val="null3"/>
        <w:ind w:firstLine="480"/>
        <w:jc w:val="both"/>
      </w:pPr>
      <w:r>
        <w:rPr>
          <w:b/>
          <w:color w:val="000000"/>
          <w:sz w:val="21"/>
        </w:rPr>
        <w:t>（2）地下管线普查技术标准</w:t>
      </w:r>
    </w:p>
    <w:p>
      <w:pPr>
        <w:pStyle w:val="null3"/>
        <w:spacing w:before="150" w:after="150"/>
        <w:ind w:left="-420" w:firstLine="480"/>
        <w:jc w:val="both"/>
      </w:pPr>
      <w:r>
        <w:rPr>
          <w:sz w:val="24"/>
        </w:rPr>
        <w:t>地下市政基础设施普查，采用资料调查、现状调绘（现场调查、实地探查、外业测量）等方法获取地下市政基础设施的空间信息、管理信息和技术信息，开展数据处理、编绘设施平面图等工作。包含地下管线普查和地下建（构）筑普查。</w:t>
      </w:r>
    </w:p>
    <w:p>
      <w:pPr>
        <w:pStyle w:val="null3"/>
        <w:spacing w:before="150" w:after="150"/>
        <w:ind w:left="-420" w:firstLine="480"/>
        <w:jc w:val="both"/>
      </w:pPr>
      <w:r>
        <w:rPr>
          <w:sz w:val="24"/>
        </w:rPr>
        <w:t>地下管线普查（或修测、升级）的取舍标准按下表执行</w:t>
      </w:r>
    </w:p>
    <w:tbl>
      <w:tblPr>
        <w:tblW w:w="0" w:type="auto"/>
        <w:tblBorders>
          <w:top w:val="none" w:color="000000" w:sz="4"/>
          <w:left w:val="none" w:color="000000" w:sz="4"/>
          <w:bottom w:val="none" w:color="000000" w:sz="4"/>
          <w:right w:val="none" w:color="000000" w:sz="4"/>
          <w:insideH w:val="none"/>
          <w:insideV w:val="none"/>
        </w:tblBorders>
      </w:tblPr>
      <w:tblGrid>
        <w:gridCol w:w="3285"/>
        <w:gridCol w:w="3900"/>
      </w:tblGrid>
      <w:tr>
        <w:tc>
          <w:tcPr>
            <w:tcW w:type="dxa" w:w="328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管线种类</w:t>
            </w:r>
          </w:p>
        </w:tc>
        <w:tc>
          <w:tcPr>
            <w:tcW w:type="dxa" w:w="39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取舍原则</w:t>
            </w:r>
          </w:p>
        </w:tc>
      </w:tr>
      <w:tr>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电力</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全测</w:t>
            </w:r>
          </w:p>
        </w:tc>
      </w:tr>
      <w:tr>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通信</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全测</w:t>
            </w:r>
          </w:p>
        </w:tc>
      </w:tr>
      <w:tr>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给水</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内径≥50mm</w:t>
            </w:r>
          </w:p>
        </w:tc>
      </w:tr>
      <w:tr>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排水</w:t>
            </w:r>
          </w:p>
          <w:p>
            <w:pPr>
              <w:pStyle w:val="null3"/>
              <w:ind w:firstLine="480"/>
              <w:jc w:val="center"/>
            </w:pPr>
            <w:r>
              <w:rPr>
                <w:sz w:val="24"/>
              </w:rPr>
              <w:t>（含雨、污水）</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方沟≥400mm×400mm或管径≥200mm</w:t>
            </w:r>
          </w:p>
        </w:tc>
      </w:tr>
      <w:tr>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燃气</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全测</w:t>
            </w:r>
          </w:p>
        </w:tc>
      </w:tr>
      <w:tr>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热力</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内径≥100mm</w:t>
            </w:r>
          </w:p>
        </w:tc>
      </w:tr>
      <w:tr>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工业</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内径≥100mm</w:t>
            </w:r>
          </w:p>
        </w:tc>
      </w:tr>
      <w:tr>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综合管廊（沟）</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ind w:firstLine="480"/>
              <w:jc w:val="center"/>
            </w:pPr>
            <w:r>
              <w:rPr>
                <w:sz w:val="24"/>
              </w:rPr>
              <w:t>全测</w:t>
            </w:r>
          </w:p>
        </w:tc>
      </w:tr>
    </w:tbl>
    <w:p>
      <w:pPr>
        <w:pStyle w:val="null3"/>
        <w:spacing w:before="150" w:after="150"/>
        <w:ind w:left="105" w:firstLine="420"/>
        <w:jc w:val="center"/>
      </w:pPr>
      <w:r>
        <w:rPr>
          <w:b/>
          <w:sz w:val="24"/>
        </w:rPr>
        <w:t>表3地下管线实地调查项目</w:t>
      </w:r>
    </w:p>
    <w:tbl>
      <w:tblPr>
        <w:tblW w:w="0" w:type="auto"/>
        <w:tblBorders>
          <w:top w:val="none" w:color="000000" w:sz="4"/>
          <w:left w:val="none" w:color="000000" w:sz="4"/>
          <w:bottom w:val="none" w:color="000000" w:sz="4"/>
          <w:right w:val="none" w:color="000000" w:sz="4"/>
          <w:insideH w:val="none"/>
          <w:insideV w:val="none"/>
        </w:tblBorders>
      </w:tblPr>
      <w:tblGrid>
        <w:gridCol w:w="554"/>
        <w:gridCol w:w="46"/>
        <w:gridCol w:w="46"/>
        <w:gridCol w:w="646"/>
        <w:gridCol w:w="554"/>
        <w:gridCol w:w="554"/>
        <w:gridCol w:w="554"/>
        <w:gridCol w:w="646"/>
        <w:gridCol w:w="554"/>
        <w:gridCol w:w="554"/>
        <w:gridCol w:w="554"/>
        <w:gridCol w:w="646"/>
        <w:gridCol w:w="554"/>
        <w:gridCol w:w="554"/>
        <w:gridCol w:w="646"/>
        <w:gridCol w:w="646"/>
      </w:tblGrid>
      <w:tr>
        <w:tc>
          <w:tcPr>
            <w:tcW w:type="dxa" w:w="1292"/>
            <w:gridSpan w:val="4"/>
            <w:vMerge w:val="restart"/>
            <w:tcBorders>
              <w:top w:val="single" w:color="000000" w:sz="4"/>
              <w:left w:val="singl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管线类别</w:t>
            </w:r>
          </w:p>
        </w:tc>
        <w:tc>
          <w:tcPr>
            <w:tcW w:type="dxa" w:w="1108"/>
            <w:gridSpan w:val="2"/>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埋深/m</w:t>
            </w:r>
          </w:p>
        </w:tc>
        <w:tc>
          <w:tcPr>
            <w:tcW w:type="dxa" w:w="1200"/>
            <w:gridSpan w:val="2"/>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断面尺寸/mm</w:t>
            </w:r>
          </w:p>
        </w:tc>
        <w:tc>
          <w:tcPr>
            <w:tcW w:type="dxa" w:w="1662"/>
            <w:gridSpan w:val="3"/>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载体特征</w:t>
            </w:r>
          </w:p>
        </w:tc>
        <w:tc>
          <w:tcPr>
            <w:tcW w:type="dxa" w:w="646"/>
            <w:vMerge w:val="restart"/>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管道</w:t>
            </w:r>
          </w:p>
          <w:p>
            <w:pPr>
              <w:pStyle w:val="null3"/>
              <w:ind w:firstLine="480"/>
              <w:jc w:val="center"/>
            </w:pPr>
            <w:r>
              <w:rPr>
                <w:sz w:val="24"/>
              </w:rPr>
              <w:t>材质</w:t>
            </w:r>
          </w:p>
        </w:tc>
        <w:tc>
          <w:tcPr>
            <w:tcW w:type="dxa" w:w="554"/>
            <w:vMerge w:val="restart"/>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根数（总孔/已用孔）</w:t>
            </w:r>
          </w:p>
        </w:tc>
        <w:tc>
          <w:tcPr>
            <w:tcW w:type="dxa" w:w="554"/>
            <w:vMerge w:val="restart"/>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附属</w:t>
            </w:r>
          </w:p>
          <w:p>
            <w:pPr>
              <w:pStyle w:val="null3"/>
              <w:ind w:firstLine="480"/>
              <w:jc w:val="center"/>
            </w:pPr>
            <w:r>
              <w:rPr>
                <w:sz w:val="24"/>
              </w:rPr>
              <w:t>设施</w:t>
            </w:r>
          </w:p>
        </w:tc>
        <w:tc>
          <w:tcPr>
            <w:tcW w:type="dxa" w:w="646"/>
            <w:vMerge w:val="restart"/>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权属单位和</w:t>
            </w:r>
          </w:p>
          <w:p>
            <w:pPr>
              <w:pStyle w:val="null3"/>
              <w:ind w:firstLine="480"/>
              <w:jc w:val="center"/>
            </w:pPr>
            <w:r>
              <w:rPr>
                <w:sz w:val="24"/>
              </w:rPr>
              <w:t>埋设年代</w:t>
            </w:r>
          </w:p>
        </w:tc>
        <w:tc>
          <w:tcPr>
            <w:tcW w:type="dxa" w:w="646"/>
            <w:vMerge w:val="restart"/>
            <w:tcBorders>
              <w:top w:val="singl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备注</w:t>
            </w:r>
          </w:p>
        </w:tc>
      </w:tr>
      <w:tr>
        <w:tc>
          <w:tcPr>
            <w:tcW w:type="dxa" w:w="1292"/>
            <w:gridSpan w:val="4"/>
            <w:vMerge/>
            <w:tcBorders>
              <w:top w:val="single" w:color="000000" w:sz="4"/>
              <w:left w:val="singl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外顶</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内底</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管径</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宽×高</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电压</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压力</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流向</w:t>
            </w:r>
          </w:p>
        </w:tc>
        <w:tc>
          <w:tcPr>
            <w:tcW w:type="dxa" w:w="2400"/>
            <w:gridSpan w:val="4"/>
            <w:vMerge/>
            <w:tcBorders>
              <w:top w:val="single" w:color="000000" w:sz="4"/>
              <w:left w:val="single" w:color="000000" w:sz="4"/>
              <w:bottom w:val="single" w:color="000000" w:sz="4"/>
              <w:right w:val="single" w:color="000000" w:sz="4"/>
            </w:tcBorders>
          </w:tcPr>
          <w:p/>
        </w:tc>
      </w:tr>
      <w:tr>
        <w:tc>
          <w:tcPr>
            <w:tcW w:type="dxa" w:w="554"/>
            <w:vMerge w:val="restart"/>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电力</w:t>
            </w:r>
          </w:p>
        </w:tc>
        <w:tc>
          <w:tcPr>
            <w:tcW w:type="dxa" w:w="738"/>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直埋</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vMerge w:val="restart"/>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回数</w:t>
            </w:r>
          </w:p>
        </w:tc>
      </w:tr>
      <w:tr>
        <w:tc>
          <w:tcPr>
            <w:tcW w:type="dxa" w:w="554"/>
            <w:vMerge/>
            <w:tcBorders>
              <w:top w:val="none" w:color="000000" w:sz="4"/>
              <w:left w:val="single" w:color="000000" w:sz="4"/>
              <w:bottom w:val="single" w:color="000000" w:sz="4"/>
              <w:right w:val="single" w:color="000000" w:sz="4"/>
            </w:tcBorders>
          </w:tcPr>
          <w:p/>
        </w:tc>
        <w:tc>
          <w:tcPr>
            <w:tcW w:type="dxa" w:w="738"/>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管块</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r>
      <w:tr>
        <w:tc>
          <w:tcPr>
            <w:tcW w:type="dxa" w:w="554"/>
            <w:vMerge/>
            <w:tcBorders>
              <w:top w:val="none" w:color="000000" w:sz="4"/>
              <w:left w:val="single" w:color="000000" w:sz="4"/>
              <w:bottom w:val="single" w:color="000000" w:sz="4"/>
              <w:right w:val="single" w:color="000000" w:sz="4"/>
            </w:tcBorders>
          </w:tcPr>
          <w:p/>
        </w:tc>
        <w:tc>
          <w:tcPr>
            <w:tcW w:type="dxa" w:w="738"/>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沟道</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r>
      <w:tr>
        <w:tc>
          <w:tcPr>
            <w:tcW w:type="dxa" w:w="554"/>
            <w:vMerge/>
            <w:tcBorders>
              <w:top w:val="none" w:color="000000" w:sz="4"/>
              <w:left w:val="single" w:color="000000" w:sz="4"/>
              <w:bottom w:val="single" w:color="000000" w:sz="4"/>
              <w:right w:val="single" w:color="000000" w:sz="4"/>
            </w:tcBorders>
          </w:tcPr>
          <w:p/>
        </w:tc>
        <w:tc>
          <w:tcPr>
            <w:tcW w:type="dxa" w:w="738"/>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隧道</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r>
      <w:tr>
        <w:tc>
          <w:tcPr>
            <w:tcW w:type="dxa" w:w="554"/>
            <w:vMerge w:val="restart"/>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通信</w:t>
            </w:r>
          </w:p>
        </w:tc>
        <w:tc>
          <w:tcPr>
            <w:tcW w:type="dxa" w:w="738"/>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直埋</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r>
      <w:tr>
        <w:tc>
          <w:tcPr>
            <w:tcW w:type="dxa" w:w="554"/>
            <w:vMerge/>
            <w:tcBorders>
              <w:top w:val="none" w:color="000000" w:sz="4"/>
              <w:left w:val="single" w:color="000000" w:sz="4"/>
              <w:bottom w:val="single" w:color="000000" w:sz="4"/>
              <w:right w:val="single" w:color="000000" w:sz="4"/>
            </w:tcBorders>
          </w:tcPr>
          <w:p/>
        </w:tc>
        <w:tc>
          <w:tcPr>
            <w:tcW w:type="dxa" w:w="738"/>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管块</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r>
      <w:tr>
        <w:tc>
          <w:tcPr>
            <w:tcW w:type="dxa" w:w="554"/>
            <w:vMerge/>
            <w:tcBorders>
              <w:top w:val="none" w:color="000000" w:sz="4"/>
              <w:left w:val="single" w:color="000000" w:sz="4"/>
              <w:bottom w:val="single" w:color="000000" w:sz="4"/>
              <w:right w:val="single" w:color="000000" w:sz="4"/>
            </w:tcBorders>
          </w:tcPr>
          <w:p/>
        </w:tc>
        <w:tc>
          <w:tcPr>
            <w:tcW w:type="dxa" w:w="738"/>
            <w:gridSpan w:val="3"/>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沟道</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r>
      <w:tr>
        <w:tc>
          <w:tcPr>
            <w:tcW w:type="dxa" w:w="1292"/>
            <w:gridSpan w:val="4"/>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给水</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r>
      <w:tr>
        <w:tc>
          <w:tcPr>
            <w:tcW w:type="dxa" w:w="646"/>
            <w:gridSpan w:val="3"/>
            <w:vMerge w:val="restart"/>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排水（雨、污水）</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管道</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r>
      <w:tr>
        <w:tc>
          <w:tcPr>
            <w:tcW w:type="dxa" w:w="646"/>
            <w:gridSpan w:val="3"/>
            <w:vMerge/>
            <w:tcBorders>
              <w:top w:val="none" w:color="000000" w:sz="4"/>
              <w:left w:val="singl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方沟</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r>
      <w:tr>
        <w:tc>
          <w:tcPr>
            <w:tcW w:type="dxa" w:w="646"/>
            <w:gridSpan w:val="3"/>
            <w:vMerge/>
            <w:tcBorders>
              <w:top w:val="none" w:color="000000" w:sz="4"/>
              <w:left w:val="singl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压力管</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r>
      <w:tr>
        <w:tc>
          <w:tcPr>
            <w:tcW w:type="dxa" w:w="1292"/>
            <w:gridSpan w:val="4"/>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燃气</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r>
      <w:tr>
        <w:tc>
          <w:tcPr>
            <w:tcW w:type="dxa" w:w="1292"/>
            <w:gridSpan w:val="4"/>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热力</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r>
      <w:tr>
        <w:tc>
          <w:tcPr>
            <w:tcW w:type="dxa" w:w="600"/>
            <w:gridSpan w:val="2"/>
            <w:vMerge w:val="restart"/>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工业</w:t>
            </w:r>
          </w:p>
        </w:tc>
        <w:tc>
          <w:tcPr>
            <w:tcW w:type="dxa" w:w="692"/>
            <w:gridSpan w:val="2"/>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left="60" w:firstLine="480"/>
              <w:jc w:val="center"/>
            </w:pPr>
            <w:r>
              <w:rPr>
                <w:sz w:val="24"/>
              </w:rPr>
              <w:t>自流</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r>
      <w:tr>
        <w:tc>
          <w:tcPr>
            <w:tcW w:type="dxa" w:w="600"/>
            <w:gridSpan w:val="2"/>
            <w:vMerge/>
            <w:tcBorders>
              <w:top w:val="none" w:color="000000" w:sz="4"/>
              <w:left w:val="single" w:color="000000" w:sz="4"/>
              <w:bottom w:val="single" w:color="000000" w:sz="4"/>
              <w:right w:val="single" w:color="000000" w:sz="4"/>
            </w:tcBorders>
          </w:tcPr>
          <w:p/>
        </w:tc>
        <w:tc>
          <w:tcPr>
            <w:tcW w:type="dxa" w:w="692"/>
            <w:gridSpan w:val="2"/>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left="60" w:firstLine="480"/>
              <w:jc w:val="center"/>
            </w:pPr>
            <w:r>
              <w:rPr>
                <w:sz w:val="24"/>
              </w:rPr>
              <w:t>压力</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r>
      <w:tr>
        <w:tc>
          <w:tcPr>
            <w:tcW w:type="dxa" w:w="1292"/>
            <w:gridSpan w:val="4"/>
            <w:tcBorders>
              <w:top w:val="none" w:color="000000" w:sz="4"/>
              <w:left w:val="singl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综合管廊（沟）</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554"/>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r>
              <w:rPr>
                <w:sz w:val="24"/>
              </w:rPr>
              <w:t>△</w:t>
            </w:r>
          </w:p>
        </w:tc>
        <w:tc>
          <w:tcPr>
            <w:tcW w:type="dxa" w:w="646"/>
            <w:tcBorders>
              <w:top w:val="none" w:color="000000" w:sz="4"/>
              <w:left w:val="none" w:color="000000" w:sz="4"/>
              <w:bottom w:val="single" w:color="000000" w:sz="4"/>
              <w:right w:val="single" w:color="000000" w:sz="4"/>
            </w:tcBorders>
            <w:tcMar>
              <w:top w:type="dxa" w:w="0"/>
              <w:left w:type="dxa" w:w="45"/>
              <w:bottom w:type="dxa" w:w="0"/>
              <w:right w:type="dxa" w:w="45"/>
            </w:tcMar>
          </w:tcPr>
          <w:p>
            <w:pPr>
              <w:pStyle w:val="null3"/>
              <w:ind w:firstLine="480"/>
              <w:jc w:val="center"/>
            </w:pPr>
          </w:p>
        </w:tc>
      </w:tr>
      <w:tr>
        <w:tc>
          <w:tcPr>
            <w:tcW w:type="dxa" w:w="554"/>
            <w:tcBorders>
              <w:top w:val="none" w:color="000000" w:sz="4"/>
              <w:left w:val="none" w:color="000000" w:sz="4"/>
              <w:bottom w:val="none" w:color="000000" w:sz="4"/>
              <w:right w:val="none" w:color="000000" w:sz="4"/>
            </w:tcBorders>
          </w:tcPr>
          <w:p>
            <w:pPr>
              <w:pStyle w:val="null3"/>
            </w:pPr>
            <w:r>
              <w:rPr/>
              <w:t xml:space="preserve"> </w:t>
            </w:r>
          </w:p>
        </w:tc>
        <w:tc>
          <w:tcPr>
            <w:tcW w:type="dxa" w:w="46"/>
            <w:tcBorders>
              <w:top w:val="none" w:color="000000" w:sz="4"/>
              <w:left w:val="none" w:color="000000" w:sz="4"/>
              <w:bottom w:val="none" w:color="000000" w:sz="4"/>
              <w:right w:val="none" w:color="000000" w:sz="4"/>
            </w:tcBorders>
          </w:tcPr>
          <w:p>
            <w:pPr>
              <w:pStyle w:val="null3"/>
            </w:pPr>
            <w:r>
              <w:rPr/>
              <w:t xml:space="preserve"> </w:t>
            </w:r>
          </w:p>
        </w:tc>
        <w:tc>
          <w:tcPr>
            <w:tcW w:type="dxa" w:w="46"/>
            <w:tcBorders>
              <w:top w:val="none" w:color="000000" w:sz="4"/>
              <w:left w:val="none" w:color="000000" w:sz="4"/>
              <w:bottom w:val="none" w:color="000000" w:sz="4"/>
              <w:right w:val="none" w:color="000000" w:sz="4"/>
            </w:tcBorders>
          </w:tcPr>
          <w:p>
            <w:pPr>
              <w:pStyle w:val="null3"/>
            </w:pPr>
            <w:r>
              <w:rPr/>
              <w:t xml:space="preserve"> </w:t>
            </w:r>
          </w:p>
        </w:tc>
        <w:tc>
          <w:tcPr>
            <w:tcW w:type="dxa" w:w="646"/>
            <w:tcBorders>
              <w:top w:val="none" w:color="000000" w:sz="4"/>
              <w:left w:val="none" w:color="000000" w:sz="4"/>
              <w:bottom w:val="none" w:color="000000" w:sz="4"/>
              <w:right w:val="none" w:color="000000" w:sz="4"/>
            </w:tcBorders>
          </w:tcPr>
          <w:p>
            <w:pPr>
              <w:pStyle w:val="null3"/>
            </w:pPr>
            <w:r>
              <w:rPr/>
              <w:t xml:space="preserve"> </w:t>
            </w:r>
          </w:p>
        </w:tc>
        <w:tc>
          <w:tcPr>
            <w:tcW w:type="dxa" w:w="554"/>
            <w:tcBorders>
              <w:top w:val="none" w:color="000000" w:sz="4"/>
              <w:left w:val="none" w:color="000000" w:sz="4"/>
              <w:bottom w:val="none" w:color="000000" w:sz="4"/>
              <w:right w:val="none" w:color="000000" w:sz="4"/>
            </w:tcBorders>
          </w:tcPr>
          <w:p>
            <w:pPr>
              <w:pStyle w:val="null3"/>
            </w:pPr>
            <w:r>
              <w:rPr/>
              <w:t xml:space="preserve"> </w:t>
            </w:r>
          </w:p>
        </w:tc>
        <w:tc>
          <w:tcPr>
            <w:tcW w:type="dxa" w:w="554"/>
            <w:tcBorders>
              <w:top w:val="none" w:color="000000" w:sz="4"/>
              <w:left w:val="none" w:color="000000" w:sz="4"/>
              <w:bottom w:val="none" w:color="000000" w:sz="4"/>
              <w:right w:val="none" w:color="000000" w:sz="4"/>
            </w:tcBorders>
          </w:tcPr>
          <w:p>
            <w:pPr>
              <w:pStyle w:val="null3"/>
            </w:pPr>
            <w:r>
              <w:rPr/>
              <w:t xml:space="preserve"> </w:t>
            </w:r>
          </w:p>
        </w:tc>
        <w:tc>
          <w:tcPr>
            <w:tcW w:type="dxa" w:w="554"/>
            <w:tcBorders>
              <w:top w:val="none" w:color="000000" w:sz="4"/>
              <w:left w:val="none" w:color="000000" w:sz="4"/>
              <w:bottom w:val="none" w:color="000000" w:sz="4"/>
              <w:right w:val="none" w:color="000000" w:sz="4"/>
            </w:tcBorders>
          </w:tcPr>
          <w:p>
            <w:pPr>
              <w:pStyle w:val="null3"/>
            </w:pPr>
            <w:r>
              <w:rPr/>
              <w:t xml:space="preserve"> </w:t>
            </w:r>
          </w:p>
        </w:tc>
        <w:tc>
          <w:tcPr>
            <w:tcW w:type="dxa" w:w="646"/>
            <w:tcBorders>
              <w:top w:val="none" w:color="000000" w:sz="4"/>
              <w:left w:val="none" w:color="000000" w:sz="4"/>
              <w:bottom w:val="none" w:color="000000" w:sz="4"/>
              <w:right w:val="none" w:color="000000" w:sz="4"/>
            </w:tcBorders>
          </w:tcPr>
          <w:p>
            <w:pPr>
              <w:pStyle w:val="null3"/>
            </w:pPr>
            <w:r>
              <w:rPr/>
              <w:t xml:space="preserve"> </w:t>
            </w:r>
          </w:p>
        </w:tc>
        <w:tc>
          <w:tcPr>
            <w:tcW w:type="dxa" w:w="554"/>
            <w:tcBorders>
              <w:top w:val="none" w:color="000000" w:sz="4"/>
              <w:left w:val="none" w:color="000000" w:sz="4"/>
              <w:bottom w:val="none" w:color="000000" w:sz="4"/>
              <w:right w:val="none" w:color="000000" w:sz="4"/>
            </w:tcBorders>
          </w:tcPr>
          <w:p>
            <w:pPr>
              <w:pStyle w:val="null3"/>
            </w:pPr>
            <w:r>
              <w:rPr/>
              <w:t xml:space="preserve"> </w:t>
            </w:r>
          </w:p>
        </w:tc>
        <w:tc>
          <w:tcPr>
            <w:tcW w:type="dxa" w:w="554"/>
            <w:tcBorders>
              <w:top w:val="none" w:color="000000" w:sz="4"/>
              <w:left w:val="none" w:color="000000" w:sz="4"/>
              <w:bottom w:val="none" w:color="000000" w:sz="4"/>
              <w:right w:val="none" w:color="000000" w:sz="4"/>
            </w:tcBorders>
          </w:tcPr>
          <w:p>
            <w:pPr>
              <w:pStyle w:val="null3"/>
            </w:pPr>
            <w:r>
              <w:rPr/>
              <w:t xml:space="preserve"> </w:t>
            </w:r>
          </w:p>
        </w:tc>
        <w:tc>
          <w:tcPr>
            <w:tcW w:type="dxa" w:w="554"/>
            <w:tcBorders>
              <w:top w:val="none" w:color="000000" w:sz="4"/>
              <w:left w:val="none" w:color="000000" w:sz="4"/>
              <w:bottom w:val="none" w:color="000000" w:sz="4"/>
              <w:right w:val="none" w:color="000000" w:sz="4"/>
            </w:tcBorders>
          </w:tcPr>
          <w:p>
            <w:pPr>
              <w:pStyle w:val="null3"/>
            </w:pPr>
            <w:r>
              <w:rPr/>
              <w:t xml:space="preserve"> </w:t>
            </w:r>
          </w:p>
        </w:tc>
        <w:tc>
          <w:tcPr>
            <w:tcW w:type="dxa" w:w="646"/>
            <w:tcBorders>
              <w:top w:val="none" w:color="000000" w:sz="4"/>
              <w:left w:val="none" w:color="000000" w:sz="4"/>
              <w:bottom w:val="none" w:color="000000" w:sz="4"/>
              <w:right w:val="none" w:color="000000" w:sz="4"/>
            </w:tcBorders>
          </w:tcPr>
          <w:p>
            <w:pPr>
              <w:pStyle w:val="null3"/>
            </w:pPr>
            <w:r>
              <w:rPr/>
              <w:t xml:space="preserve"> </w:t>
            </w:r>
          </w:p>
        </w:tc>
        <w:tc>
          <w:tcPr>
            <w:tcW w:type="dxa" w:w="554"/>
            <w:tcBorders>
              <w:top w:val="none" w:color="000000" w:sz="4"/>
              <w:left w:val="none" w:color="000000" w:sz="4"/>
              <w:bottom w:val="none" w:color="000000" w:sz="4"/>
              <w:right w:val="none" w:color="000000" w:sz="4"/>
            </w:tcBorders>
          </w:tcPr>
          <w:p>
            <w:pPr>
              <w:pStyle w:val="null3"/>
            </w:pPr>
            <w:r>
              <w:rPr/>
              <w:t xml:space="preserve"> </w:t>
            </w:r>
          </w:p>
        </w:tc>
        <w:tc>
          <w:tcPr>
            <w:tcW w:type="dxa" w:w="554"/>
            <w:tcBorders>
              <w:top w:val="none" w:color="000000" w:sz="4"/>
              <w:left w:val="none" w:color="000000" w:sz="4"/>
              <w:bottom w:val="none" w:color="000000" w:sz="4"/>
              <w:right w:val="none" w:color="000000" w:sz="4"/>
            </w:tcBorders>
          </w:tcPr>
          <w:p>
            <w:pPr>
              <w:pStyle w:val="null3"/>
            </w:pPr>
            <w:r>
              <w:rPr/>
              <w:t xml:space="preserve"> </w:t>
            </w:r>
          </w:p>
        </w:tc>
        <w:tc>
          <w:tcPr>
            <w:tcW w:type="dxa" w:w="646"/>
            <w:tcBorders>
              <w:top w:val="none" w:color="000000" w:sz="4"/>
              <w:left w:val="none" w:color="000000" w:sz="4"/>
              <w:bottom w:val="none" w:color="000000" w:sz="4"/>
              <w:right w:val="none" w:color="000000" w:sz="4"/>
            </w:tcBorders>
          </w:tcPr>
          <w:p>
            <w:pPr>
              <w:pStyle w:val="null3"/>
            </w:pPr>
            <w:r>
              <w:rPr/>
              <w:t xml:space="preserve"> </w:t>
            </w:r>
          </w:p>
        </w:tc>
        <w:tc>
          <w:tcPr>
            <w:tcW w:type="dxa" w:w="646"/>
            <w:tcBorders>
              <w:top w:val="none" w:color="000000" w:sz="4"/>
              <w:left w:val="none" w:color="000000" w:sz="4"/>
              <w:bottom w:val="none" w:color="000000" w:sz="4"/>
              <w:right w:val="none" w:color="000000" w:sz="4"/>
            </w:tcBorders>
          </w:tcPr>
          <w:p>
            <w:pPr>
              <w:pStyle w:val="null3"/>
            </w:pPr>
            <w:r>
              <w:rPr/>
              <w:t xml:space="preserve"> </w:t>
            </w:r>
          </w:p>
        </w:tc>
      </w:tr>
    </w:tbl>
    <w:p>
      <w:pPr>
        <w:pStyle w:val="null3"/>
        <w:spacing w:before="150" w:after="150"/>
        <w:ind w:firstLine="480"/>
        <w:jc w:val="both"/>
      </w:pPr>
      <w:r>
        <w:rPr>
          <w:sz w:val="24"/>
        </w:rPr>
        <w:t>地下管线普查的精度应符合下列要求：</w:t>
      </w:r>
    </w:p>
    <w:p>
      <w:pPr>
        <w:pStyle w:val="null3"/>
        <w:spacing w:before="150" w:after="150"/>
        <w:ind w:firstLine="480"/>
        <w:jc w:val="both"/>
      </w:pPr>
      <w:r>
        <w:rPr>
          <w:sz w:val="24"/>
        </w:rPr>
        <w:t>1</w:t>
      </w:r>
      <w:r>
        <w:rPr>
          <w:sz w:val="24"/>
        </w:rPr>
        <w:t>）隐蔽点探查精度按下表的规定执行。</w:t>
      </w:r>
    </w:p>
    <w:p>
      <w:pPr>
        <w:pStyle w:val="null3"/>
        <w:ind w:left="105" w:firstLine="420"/>
        <w:jc w:val="center"/>
      </w:pPr>
      <w:r>
        <w:rPr>
          <w:b/>
          <w:sz w:val="24"/>
        </w:rPr>
        <w:t>表4地下管线探查精度</w:t>
      </w:r>
    </w:p>
    <w:tbl>
      <w:tblPr>
        <w:tblW w:w="0" w:type="auto"/>
        <w:tblBorders>
          <w:top w:val="none" w:color="000000" w:sz="4"/>
          <w:left w:val="none" w:color="000000" w:sz="4"/>
          <w:bottom w:val="none" w:color="000000" w:sz="4"/>
          <w:right w:val="none" w:color="000000" w:sz="4"/>
          <w:insideH w:val="none"/>
          <w:insideV w:val="none"/>
        </w:tblBorders>
      </w:tblPr>
      <w:tblGrid>
        <w:gridCol w:w="2310"/>
        <w:gridCol w:w="2460"/>
        <w:gridCol w:w="2490"/>
      </w:tblGrid>
      <w:tr>
        <w:tc>
          <w:tcPr>
            <w:tcW w:type="dxa" w:w="2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ind w:firstLine="56"/>
              <w:jc w:val="center"/>
            </w:pPr>
            <w:r>
              <w:rPr>
                <w:sz w:val="24"/>
              </w:rPr>
              <w:t>地下管线中心埋深（cm)</w:t>
            </w:r>
          </w:p>
        </w:tc>
        <w:tc>
          <w:tcPr>
            <w:tcW w:type="dxa" w:w="2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ind w:firstLine="56"/>
              <w:jc w:val="center"/>
            </w:pPr>
            <w:r>
              <w:rPr>
                <w:sz w:val="24"/>
              </w:rPr>
              <w:t>水平位置限差δts(cm)</w:t>
            </w:r>
          </w:p>
        </w:tc>
        <w:tc>
          <w:tcPr>
            <w:tcW w:type="dxa" w:w="2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ind w:firstLine="56"/>
              <w:jc w:val="center"/>
            </w:pPr>
            <w:r>
              <w:rPr>
                <w:sz w:val="24"/>
              </w:rPr>
              <w:t>埋深限差δth(cm)</w:t>
            </w:r>
          </w:p>
        </w:tc>
      </w:tr>
      <w:tr>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ind w:firstLine="56"/>
              <w:jc w:val="center"/>
            </w:pPr>
            <w:r>
              <w:rPr>
                <w:i/>
                <w:sz w:val="24"/>
              </w:rPr>
              <w:t>h</w:t>
            </w:r>
            <w:r>
              <w:rPr>
                <w:sz w:val="24"/>
              </w:rPr>
              <w:t>≤100</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ind w:firstLine="56"/>
              <w:jc w:val="center"/>
            </w:pPr>
            <w:r>
              <w:rPr>
                <w:sz w:val="24"/>
              </w:rPr>
              <w:t>±5</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ind w:firstLine="56"/>
              <w:jc w:val="center"/>
            </w:pPr>
            <w:r>
              <w:rPr>
                <w:sz w:val="24"/>
              </w:rPr>
              <w:t>±7.5</w:t>
            </w:r>
          </w:p>
        </w:tc>
      </w:tr>
      <w:tr>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ind w:firstLine="56"/>
              <w:jc w:val="center"/>
            </w:pPr>
            <w:r>
              <w:rPr>
                <w:i/>
                <w:sz w:val="24"/>
              </w:rPr>
              <w:t>h</w:t>
            </w:r>
            <w:r>
              <w:rPr>
                <w:sz w:val="24"/>
              </w:rPr>
              <w:t>＞00</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ind w:firstLine="56"/>
              <w:jc w:val="center"/>
            </w:pPr>
            <w:r>
              <w:rPr>
                <w:sz w:val="24"/>
              </w:rPr>
              <w:t>±0.05</w:t>
            </w:r>
            <w:r>
              <w:rPr>
                <w:i/>
                <w:sz w:val="24"/>
              </w:rPr>
              <w:t>h</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ind w:firstLine="56"/>
              <w:jc w:val="center"/>
            </w:pPr>
            <w:r>
              <w:rPr>
                <w:sz w:val="24"/>
              </w:rPr>
              <w:t>±0.075</w:t>
            </w:r>
            <w:r>
              <w:rPr>
                <w:i/>
                <w:sz w:val="24"/>
              </w:rPr>
              <w:t>h</w:t>
            </w:r>
          </w:p>
        </w:tc>
      </w:tr>
    </w:tbl>
    <w:p>
      <w:pPr>
        <w:pStyle w:val="null3"/>
        <w:ind w:firstLine="480"/>
        <w:jc w:val="both"/>
      </w:pPr>
      <w:r>
        <w:rPr>
          <w:sz w:val="24"/>
        </w:rPr>
        <w:t>注：表中h为管线中心埋深，单位cm。</w:t>
      </w:r>
    </w:p>
    <w:p>
      <w:pPr>
        <w:pStyle w:val="null3"/>
        <w:spacing w:before="150" w:after="150"/>
        <w:ind w:firstLine="480"/>
        <w:jc w:val="both"/>
      </w:pPr>
      <w:r>
        <w:rPr>
          <w:sz w:val="24"/>
        </w:rPr>
        <w:t>2</w:t>
      </w:r>
      <w:r>
        <w:rPr>
          <w:sz w:val="24"/>
        </w:rPr>
        <w:t>）明显管线点埋深量测精度：当地下管线埋深≤2.5m时，其量测埋深限差为±5cm；当埋深＞2.5m时，其量测埋深限差为±0.02h。</w:t>
      </w:r>
    </w:p>
    <w:p>
      <w:pPr>
        <w:pStyle w:val="null3"/>
        <w:spacing w:before="150" w:after="150"/>
        <w:ind w:firstLine="480"/>
        <w:jc w:val="both"/>
      </w:pPr>
      <w:r>
        <w:rPr>
          <w:sz w:val="24"/>
        </w:rPr>
        <w:t>3</w:t>
      </w:r>
      <w:r>
        <w:rPr>
          <w:sz w:val="24"/>
        </w:rPr>
        <w:t>）地下管线点的测量精度</w:t>
      </w:r>
    </w:p>
    <w:p>
      <w:pPr>
        <w:pStyle w:val="null3"/>
        <w:spacing w:before="150" w:after="150"/>
        <w:ind w:firstLine="480"/>
        <w:jc w:val="both"/>
      </w:pPr>
      <w:r>
        <w:rPr>
          <w:sz w:val="24"/>
        </w:rPr>
        <w:t>平面位置中误差ms不得大于5cm（相对于邻近平面控制点），高程测量中误差mh不得大于3cm（相对于邻近高程控制点）。</w:t>
      </w:r>
    </w:p>
    <w:p>
      <w:pPr>
        <w:pStyle w:val="null3"/>
        <w:spacing w:before="120" w:after="120"/>
        <w:ind w:left="-420" w:firstLine="480"/>
        <w:jc w:val="both"/>
      </w:pPr>
      <w:r>
        <w:rPr>
          <w:b/>
          <w:sz w:val="24"/>
        </w:rPr>
        <w:t>（3）地下建（构）筑普查技术标准</w:t>
      </w:r>
    </w:p>
    <w:p>
      <w:pPr>
        <w:pStyle w:val="null3"/>
        <w:spacing w:before="120" w:after="120"/>
        <w:ind w:firstLine="480"/>
        <w:jc w:val="both"/>
      </w:pPr>
      <w:r>
        <w:rPr>
          <w:sz w:val="24"/>
        </w:rPr>
        <w:t>地下建（构）筑普查施测点的测量精度应符合：平面位置中误差不得大于±10cm（相对于邻近控制点），高程测量中误差不得大于±15cm（相对于邻近高程控制点），地下建（构）筑净空高及净宽量测限差±10cm。</w:t>
      </w:r>
    </w:p>
    <w:p>
      <w:pPr>
        <w:pStyle w:val="null3"/>
        <w:spacing w:before="120" w:after="120"/>
        <w:ind w:firstLine="480"/>
        <w:jc w:val="both"/>
      </w:pPr>
      <w:r>
        <w:rPr>
          <w:sz w:val="24"/>
        </w:rPr>
        <w:t>地下综合管廊及尺寸大于2米的专业管廊，其测绘宜按地下建（构）筑的测量方法执行。</w:t>
      </w:r>
    </w:p>
    <w:p>
      <w:pPr>
        <w:pStyle w:val="null3"/>
        <w:ind w:firstLine="480"/>
        <w:jc w:val="both"/>
      </w:pPr>
      <w:r>
        <w:rPr>
          <w:b/>
          <w:sz w:val="24"/>
        </w:rPr>
        <w:t>4</w:t>
      </w:r>
      <w:r>
        <w:rPr>
          <w:b/>
          <w:sz w:val="24"/>
        </w:rPr>
        <w:t>、工作内容</w:t>
      </w:r>
    </w:p>
    <w:p>
      <w:pPr>
        <w:pStyle w:val="null3"/>
        <w:ind w:firstLine="480"/>
        <w:jc w:val="both"/>
      </w:pPr>
      <w:r>
        <w:rPr>
          <w:b/>
          <w:sz w:val="24"/>
        </w:rPr>
        <w:t>（1）地下管线的普查与数据升级</w:t>
      </w:r>
    </w:p>
    <w:p>
      <w:pPr>
        <w:pStyle w:val="null3"/>
        <w:spacing w:before="120" w:after="120"/>
        <w:ind w:firstLine="480"/>
        <w:jc w:val="both"/>
      </w:pPr>
      <w:r>
        <w:rPr>
          <w:sz w:val="24"/>
        </w:rPr>
        <w:t>建立普查单元，以城市道路为普查单元，按照相关技术导则要求，对地下管线进行数据升级与普查修测。</w:t>
      </w:r>
    </w:p>
    <w:p>
      <w:pPr>
        <w:pStyle w:val="null3"/>
        <w:spacing w:before="120" w:after="120"/>
        <w:ind w:firstLine="480"/>
        <w:jc w:val="both"/>
      </w:pPr>
      <w:r>
        <w:rPr>
          <w:sz w:val="24"/>
        </w:rPr>
        <w:t>1</w:t>
      </w:r>
      <w:r>
        <w:rPr>
          <w:sz w:val="24"/>
        </w:rPr>
        <w:t>）历史普查管线数据转换升级。收集已有管线资料，将中心四区现有普查、修测数据按新的数据标准进行转换，全面保留原有数据属性内容。新增的属性内容则通过内业资料调查与现场调查的方式进行获取，形成满足新规程的地下管线数据。调查收集相关资料，收集现有地下管线数据资料，包括：1）现有地下管线数据库中的地下管线资料；2）历年地下管线补测补绘资料；3）现状路网及地形现状图；4）各权属单位专业管线的数据现状资料及市政设施资料；5）各相关单位地下空间设施的建设工程竣工验收资料、地下市政基础设施现状资料等，制作地下市政基础设施普查工作底图，作为普查工作的参考依据。6）前往各市政设施权属单位、建设工程档案管理单位及相关单位，调取档案资料，填写编制普查单元的管理信息和技术信息；对库内全部数据按新的标准进行升级，开展资料收集及现状调查，对新增属性进行补充填写。</w:t>
      </w:r>
    </w:p>
    <w:p>
      <w:pPr>
        <w:pStyle w:val="null3"/>
        <w:spacing w:before="120" w:after="120"/>
        <w:ind w:firstLine="480"/>
        <w:jc w:val="both"/>
      </w:pPr>
      <w:r>
        <w:rPr>
          <w:sz w:val="24"/>
        </w:rPr>
        <w:t>2</w:t>
      </w:r>
      <w:r>
        <w:rPr>
          <w:sz w:val="24"/>
        </w:rPr>
        <w:t>）未普查区域开展地下管线普查。对中山四区历年管线普查未覆盖区域，开展地下管线普查与修补测工作，实现地下管数据中山四区覆盖。管线普查项目的技术工作可分为三大部分：管线探查、管线测量、内业数据处理与成图；工作顺序是技术准备—〉管线探查—〉管线测量—〉内业整理，最终按地下市政基础设施新数据标准整理建库。</w:t>
      </w:r>
    </w:p>
    <w:p>
      <w:pPr>
        <w:pStyle w:val="null3"/>
        <w:ind w:firstLine="480"/>
        <w:jc w:val="both"/>
      </w:pPr>
    </w:p>
    <w:p>
      <w:pPr>
        <w:pStyle w:val="null3"/>
        <w:ind w:firstLine="480"/>
        <w:jc w:val="both"/>
      </w:pPr>
      <w:r>
        <w:rPr>
          <w:b/>
          <w:sz w:val="24"/>
        </w:rPr>
        <w:t>（2）地下建（构）筑基础设施普查</w:t>
      </w:r>
    </w:p>
    <w:p>
      <w:pPr>
        <w:pStyle w:val="null3"/>
        <w:spacing w:before="120" w:after="120"/>
        <w:ind w:firstLine="480"/>
        <w:jc w:val="both"/>
      </w:pPr>
      <w:r>
        <w:rPr>
          <w:sz w:val="24"/>
        </w:rPr>
        <w:t>对中山中心四区地下建（构）筑设施开展普查工作。地下建（构）筑基础设施包含地下交通设施（人行地下通道、城市地下道路、城市轨道交通、地下铁路、地下公共停车场、地下交通枢纽）、地下人防工程（不包括小区内停车场）、地下综合防灾设施。</w:t>
      </w:r>
    </w:p>
    <w:p>
      <w:pPr>
        <w:pStyle w:val="null3"/>
        <w:spacing w:before="120" w:after="120"/>
        <w:ind w:firstLine="480"/>
        <w:jc w:val="both"/>
      </w:pPr>
      <w:r>
        <w:rPr>
          <w:sz w:val="24"/>
        </w:rPr>
        <w:t>地下建（构）筑设施普查的总体思路是通过外业巡视确定需要普查测绘的地下建（构）筑并收集相关资料，通过属性提取的方式提取已进行规划验收测量的地下建（构）筑的地下空间设施属性，通过外业测量的方式采集未进行规划验收测量的地下建（构）筑的地下空间设施属性与空间信息，通过外业调查测绘核实以及内业调查补充地下建（构）筑设施的管理信息与技术信息，使用测绘数据生产平台进行图形编辑、属性赋值并建立逻辑关系，最终生成符合要求的入库数据。</w:t>
      </w:r>
    </w:p>
    <w:p>
      <w:pPr>
        <w:pStyle w:val="null3"/>
        <w:ind w:firstLine="480"/>
        <w:jc w:val="both"/>
      </w:pPr>
    </w:p>
    <w:p>
      <w:pPr>
        <w:pStyle w:val="null3"/>
        <w:ind w:firstLine="480"/>
        <w:jc w:val="both"/>
      </w:pPr>
      <w:r>
        <w:rPr>
          <w:b/>
          <w:sz w:val="24"/>
        </w:rPr>
        <w:t>（3）地下市政基础设施数据整合建库和三维可视化</w:t>
      </w:r>
    </w:p>
    <w:p>
      <w:pPr>
        <w:pStyle w:val="null3"/>
        <w:spacing w:before="120" w:after="120"/>
        <w:ind w:firstLine="480"/>
        <w:jc w:val="both"/>
      </w:pPr>
      <w:r>
        <w:rPr>
          <w:sz w:val="24"/>
        </w:rPr>
        <w:t>本轮普查所获得的地下管线设施普查与升级的数据成果、地下建（构）筑设施普查数据成果进行质检入库管理，经检查满足数据标准的数据进行入库。成果质量检查包括对各普查区域数据进行成果质量检查、接边检查，直至各普查区域成果满足数据标准，保障项目普查成果质量。同时，还将从地下市政基础设施权属管理单位广泛收集既有设施（地下管线、地下公共服务设施、地下工业设施、地下居住设施、地下交通设施、地下防灾减灾设施等行业管理部门及权属单位开展的）的安全隐患排查信息、道路安全隐患检测信息、水文地质资料信息等。项目成果入库工作应进行入库前统计、按数据标准开展数据入库，入库后进行数据数量、属性复核和入库图面检查，确保入库前后数据的一致性。经检查合格的地下市政基础设施普查成果数据均应纳入地下市政基础设施信息平台，并发布数据服务。普查作业单位按要求完成设施普查后应汇交成果数据，进行数据入库检查，普查作业单位整改合格后，数据进入并更新地下市政基础设施数据库。</w:t>
      </w:r>
    </w:p>
    <w:p>
      <w:pPr>
        <w:pStyle w:val="null3"/>
        <w:spacing w:before="120" w:after="120"/>
        <w:ind w:firstLine="480"/>
        <w:jc w:val="both"/>
      </w:pPr>
      <w:r>
        <w:rPr>
          <w:sz w:val="24"/>
        </w:rPr>
        <w:t>基于普查二维成果数据，开展地下市政基础设施三维可视化工作。对中心四区地下管线设施（给水管线、排水管线、燃气管线、电力管线、通信管线、热力管线、工业管线、综合管廊、其他城市管线）进行三维建模；对中心四区地下交通设施进行三维建模，主要为地下人行道和城市地下道路，将地下交通设施二维空间数据处理成地下交通设施三维模型数据。</w:t>
      </w:r>
    </w:p>
    <w:p>
      <w:pPr>
        <w:pStyle w:val="null3"/>
        <w:spacing w:before="120" w:after="120"/>
        <w:ind w:firstLine="480"/>
        <w:jc w:val="both"/>
      </w:pPr>
      <w:r>
        <w:rPr>
          <w:b/>
          <w:sz w:val="24"/>
        </w:rPr>
        <w:t>四、项目实施、验收及服务要求</w:t>
      </w:r>
    </w:p>
    <w:p>
      <w:pPr>
        <w:pStyle w:val="null3"/>
        <w:spacing w:before="120" w:after="120"/>
        <w:ind w:firstLine="480"/>
        <w:jc w:val="both"/>
      </w:pPr>
      <w:r>
        <w:rPr>
          <w:b/>
          <w:sz w:val="24"/>
        </w:rPr>
        <w:t>（一）工期要求</w:t>
      </w:r>
    </w:p>
    <w:p>
      <w:pPr>
        <w:pStyle w:val="null3"/>
        <w:ind w:firstLine="480"/>
        <w:jc w:val="both"/>
      </w:pPr>
      <w:r>
        <w:rPr>
          <w:sz w:val="24"/>
        </w:rPr>
        <w:t>自合同签订日起6个月内完成普查全部工作及按要求提交成果数据并终验。如因甲方项目进度安排调整交付时间，按双方协议交付时间为准。</w:t>
      </w:r>
    </w:p>
    <w:p>
      <w:pPr>
        <w:pStyle w:val="null3"/>
        <w:spacing w:before="120" w:after="120"/>
        <w:ind w:firstLine="480"/>
        <w:jc w:val="both"/>
      </w:pPr>
      <w:r>
        <w:rPr>
          <w:b/>
          <w:sz w:val="24"/>
        </w:rPr>
        <w:t>（二）项目人员要求</w:t>
      </w:r>
    </w:p>
    <w:p>
      <w:pPr>
        <w:pStyle w:val="null3"/>
        <w:spacing w:before="120" w:after="120"/>
        <w:ind w:firstLine="480"/>
        <w:jc w:val="both"/>
      </w:pPr>
      <w:r>
        <w:rPr>
          <w:sz w:val="24"/>
        </w:rPr>
        <w:t>1</w:t>
      </w:r>
      <w:r>
        <w:rPr>
          <w:sz w:val="24"/>
        </w:rPr>
        <w:t>、根据本项目建设内容，项目负责人应熟悉地下市政基础设施、地下管线、测绘等，对本行业有专业的业务理解和认知水平，具备测绘、地下管线探测、地下市政基础设施普查、物探、项目管理相关专业知识，统筹和把控项目技术设计和项目实施，擅长项目管理，具有同类项目的管理经验。</w:t>
      </w:r>
    </w:p>
    <w:p>
      <w:pPr>
        <w:pStyle w:val="null3"/>
        <w:spacing w:before="120" w:after="120"/>
        <w:ind w:firstLine="480"/>
        <w:jc w:val="both"/>
      </w:pPr>
      <w:r>
        <w:rPr>
          <w:sz w:val="24"/>
        </w:rPr>
        <w:t>2</w:t>
      </w:r>
      <w:r>
        <w:rPr>
          <w:sz w:val="24"/>
        </w:rPr>
        <w:t>、根据本项目建设内容，技术负责人应熟悉测绘、地下管线探测、地下市政基础设施普查等相关业务，有至少2个同类项目的经验，并提供相关履历、经验的佐证资料，对本行业有专业的业务理解和认知水平，具备测绘与物探类专业知识，统筹和把控项目技术设计，擅长技术应用及管理。</w:t>
      </w:r>
    </w:p>
    <w:p>
      <w:pPr>
        <w:pStyle w:val="null3"/>
        <w:spacing w:before="120" w:after="120"/>
        <w:ind w:firstLine="480"/>
        <w:jc w:val="both"/>
      </w:pPr>
      <w:r>
        <w:rPr>
          <w:sz w:val="24"/>
        </w:rPr>
        <w:t>3</w:t>
      </w:r>
      <w:r>
        <w:rPr>
          <w:sz w:val="24"/>
        </w:rPr>
        <w:t>、乙方需承诺在项目组技术人员不少于30人，其中不低于85%具备测绘等相关专业学历，及相关项目经验。各岗位人员不得兼任。乙方未按投标文件承诺投入人员及到岗情况按下表进行扣罚违约金：</w:t>
      </w:r>
    </w:p>
    <w:tbl>
      <w:tblPr>
        <w:tblW w:w="0" w:type="auto"/>
        <w:tblBorders>
          <w:top w:val="none" w:color="000000" w:sz="4"/>
          <w:left w:val="none" w:color="000000" w:sz="4"/>
          <w:bottom w:val="none" w:color="000000" w:sz="4"/>
          <w:right w:val="none" w:color="000000" w:sz="4"/>
          <w:insideH w:val="none"/>
          <w:insideV w:val="none"/>
        </w:tblBorders>
      </w:tblPr>
      <w:tblGrid>
        <w:gridCol w:w="841"/>
        <w:gridCol w:w="1847"/>
        <w:gridCol w:w="1983"/>
        <w:gridCol w:w="1968"/>
        <w:gridCol w:w="1667"/>
      </w:tblGrid>
      <w:tr>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序号</w:t>
            </w:r>
          </w:p>
        </w:tc>
        <w:tc>
          <w:tcPr>
            <w:tcW w:type="dxa" w:w="1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岗位</w:t>
            </w:r>
          </w:p>
        </w:tc>
        <w:tc>
          <w:tcPr>
            <w:tcW w:type="dxa" w:w="1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资质</w:t>
            </w:r>
          </w:p>
        </w:tc>
        <w:tc>
          <w:tcPr>
            <w:tcW w:type="dxa" w:w="1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缺岗次数</w:t>
            </w:r>
          </w:p>
        </w:tc>
        <w:tc>
          <w:tcPr>
            <w:tcW w:type="dxa" w:w="16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扣罚标准</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1</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项目负责人</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5000</w:t>
            </w:r>
            <w:r>
              <w:rPr>
                <w:sz w:val="24"/>
              </w:rPr>
              <w:t>元/次</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2</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技术负责人</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5000</w:t>
            </w:r>
            <w:r>
              <w:rPr>
                <w:sz w:val="24"/>
              </w:rPr>
              <w:t>元/次</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3</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团队中其他人员</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1000</w:t>
            </w:r>
            <w:r>
              <w:rPr>
                <w:sz w:val="24"/>
              </w:rPr>
              <w:t>元/次</w:t>
            </w:r>
          </w:p>
        </w:tc>
      </w:tr>
    </w:tbl>
    <w:p>
      <w:pPr>
        <w:pStyle w:val="null3"/>
        <w:spacing w:before="120" w:after="120"/>
        <w:ind w:firstLine="480"/>
        <w:jc w:val="both"/>
      </w:pPr>
      <w:r>
        <w:rPr>
          <w:sz w:val="24"/>
        </w:rPr>
        <w:t>4</w:t>
      </w:r>
      <w:r>
        <w:rPr>
          <w:sz w:val="24"/>
        </w:rPr>
        <w:t>、投入本项目人员须实行实名制工作打卡制度。</w:t>
      </w:r>
    </w:p>
    <w:p>
      <w:pPr>
        <w:pStyle w:val="null3"/>
        <w:spacing w:before="120" w:after="120"/>
        <w:ind w:firstLine="480"/>
        <w:jc w:val="both"/>
      </w:pPr>
      <w:r>
        <w:rPr>
          <w:sz w:val="24"/>
        </w:rPr>
        <w:t>5</w:t>
      </w:r>
      <w:r>
        <w:rPr>
          <w:sz w:val="24"/>
        </w:rPr>
        <w:t>、项目实施主要人员应保持稳定投入在本项目中，如中途更换应征得甲方同意。</w:t>
      </w:r>
    </w:p>
    <w:p>
      <w:pPr>
        <w:pStyle w:val="null3"/>
        <w:spacing w:before="120" w:after="120"/>
        <w:ind w:firstLine="480"/>
        <w:jc w:val="both"/>
      </w:pPr>
      <w:r>
        <w:rPr>
          <w:b/>
          <w:sz w:val="24"/>
        </w:rPr>
        <w:t>（三）投入本项目的设备要求;</w:t>
      </w:r>
    </w:p>
    <w:p>
      <w:pPr>
        <w:pStyle w:val="null3"/>
        <w:spacing w:before="120" w:after="120"/>
        <w:ind w:firstLine="482"/>
        <w:jc w:val="both"/>
      </w:pPr>
      <w:r>
        <w:rPr>
          <w:b/>
          <w:sz w:val="24"/>
        </w:rPr>
        <w:t>为保证普查质量，乙方须确保投入的设备数量充足，运行情况良好，精度高，包括但不限于全站仪、探地雷达、管线探测仪、CCTV管道机器人、GNSS接收机等。</w:t>
      </w:r>
    </w:p>
    <w:p>
      <w:pPr>
        <w:pStyle w:val="null3"/>
        <w:spacing w:before="120" w:after="120"/>
        <w:ind w:firstLine="480"/>
        <w:jc w:val="both"/>
      </w:pPr>
      <w:r>
        <w:rPr>
          <w:sz w:val="24"/>
        </w:rPr>
        <w:t>乙方未按投标文件承诺投入设备情况按下表进行扣罚违约金：</w:t>
      </w:r>
    </w:p>
    <w:tbl>
      <w:tblPr>
        <w:tblW w:w="0" w:type="auto"/>
        <w:tblBorders>
          <w:top w:val="none" w:color="000000" w:sz="4"/>
          <w:left w:val="none" w:color="000000" w:sz="4"/>
          <w:bottom w:val="none" w:color="000000" w:sz="4"/>
          <w:right w:val="none" w:color="000000" w:sz="4"/>
          <w:insideH w:val="none"/>
          <w:insideV w:val="none"/>
        </w:tblBorders>
      </w:tblPr>
      <w:tblGrid>
        <w:gridCol w:w="841"/>
        <w:gridCol w:w="1847"/>
        <w:gridCol w:w="1983"/>
        <w:gridCol w:w="1847"/>
        <w:gridCol w:w="1787"/>
      </w:tblGrid>
      <w:tr>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序号</w:t>
            </w:r>
          </w:p>
        </w:tc>
        <w:tc>
          <w:tcPr>
            <w:tcW w:type="dxa" w:w="1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设备名称</w:t>
            </w:r>
          </w:p>
        </w:tc>
        <w:tc>
          <w:tcPr>
            <w:tcW w:type="dxa" w:w="1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数量</w:t>
            </w:r>
          </w:p>
        </w:tc>
        <w:tc>
          <w:tcPr>
            <w:tcW w:type="dxa" w:w="1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缺漏次数</w:t>
            </w:r>
          </w:p>
        </w:tc>
        <w:tc>
          <w:tcPr>
            <w:tcW w:type="dxa" w:w="1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扣罚标准</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1</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b/>
                <w:sz w:val="24"/>
              </w:rPr>
              <w:t>全站仪</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1000</w:t>
            </w:r>
            <w:r>
              <w:rPr>
                <w:sz w:val="24"/>
              </w:rPr>
              <w:t>元/次</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2</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b/>
                <w:sz w:val="24"/>
              </w:rPr>
              <w:t>探地雷达</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1000</w:t>
            </w:r>
            <w:r>
              <w:rPr>
                <w:sz w:val="24"/>
              </w:rPr>
              <w:t>元/次</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3</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b/>
                <w:sz w:val="24"/>
              </w:rPr>
              <w:t>管线探测仪</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1000</w:t>
            </w:r>
            <w:r>
              <w:rPr>
                <w:sz w:val="24"/>
              </w:rPr>
              <w:t>元/次</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4</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b/>
                <w:sz w:val="24"/>
              </w:rPr>
              <w:t>CCTV</w:t>
            </w:r>
            <w:r>
              <w:rPr>
                <w:b/>
                <w:sz w:val="24"/>
              </w:rPr>
              <w:t>管道机器人</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1000</w:t>
            </w:r>
            <w:r>
              <w:rPr>
                <w:sz w:val="24"/>
              </w:rPr>
              <w:t>元/次</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5</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b/>
                <w:sz w:val="24"/>
              </w:rPr>
              <w:t>GNSS</w:t>
            </w:r>
            <w:r>
              <w:rPr>
                <w:b/>
                <w:sz w:val="24"/>
              </w:rPr>
              <w:t>接收机</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80"/>
              <w:jc w:val="center"/>
            </w:pPr>
            <w:r>
              <w:rPr>
                <w:sz w:val="24"/>
              </w:rPr>
              <w:t>1000</w:t>
            </w:r>
            <w:r>
              <w:rPr>
                <w:sz w:val="24"/>
              </w:rPr>
              <w:t>元/次</w:t>
            </w:r>
          </w:p>
        </w:tc>
      </w:tr>
    </w:tbl>
    <w:p>
      <w:pPr>
        <w:pStyle w:val="null3"/>
      </w:pPr>
      <w:r>
        <w:rPr/>
        <w:t xml:space="preserve"> </w:t>
      </w:r>
    </w:p>
    <w:p>
      <w:pPr>
        <w:pStyle w:val="null3"/>
        <w:spacing w:before="120" w:after="120"/>
        <w:ind w:firstLine="480"/>
        <w:jc w:val="both"/>
      </w:pPr>
      <w:r>
        <w:rPr>
          <w:b/>
          <w:sz w:val="24"/>
        </w:rPr>
        <w:t>（四）服务要求</w:t>
      </w:r>
    </w:p>
    <w:p>
      <w:pPr>
        <w:pStyle w:val="null3"/>
        <w:spacing w:before="120" w:after="120"/>
        <w:ind w:left="105" w:firstLine="480"/>
        <w:jc w:val="both"/>
      </w:pPr>
      <w:r>
        <w:rPr>
          <w:sz w:val="24"/>
        </w:rPr>
        <w:t>1.</w:t>
      </w:r>
      <w:r>
        <w:rPr>
          <w:sz w:val="24"/>
        </w:rPr>
        <w:t>乙方应针对本项目要求，制订具体详细的、可操作性强的项目技术方案与管理方案，详细列明承诺参与的各专业人员和仪器设备的配备情况，项目实施阶段将对承诺投入的人员和设备状况进行检查，如达不到承诺的要求，将按违约进行处罚或终止合同。</w:t>
      </w:r>
    </w:p>
    <w:p>
      <w:pPr>
        <w:pStyle w:val="null3"/>
        <w:spacing w:before="120" w:after="120"/>
        <w:ind w:left="105" w:firstLine="480"/>
        <w:jc w:val="both"/>
      </w:pPr>
      <w:r>
        <w:rPr>
          <w:sz w:val="24"/>
        </w:rPr>
        <w:t>2.</w:t>
      </w:r>
      <w:r>
        <w:rPr>
          <w:sz w:val="24"/>
        </w:rPr>
        <w:t>乙方应在甲方要求的时间进度内完成单位项目所有工作内容及相关服务，并依据要求编制项目执行计划。</w:t>
      </w:r>
    </w:p>
    <w:p>
      <w:pPr>
        <w:pStyle w:val="null3"/>
        <w:spacing w:before="120" w:after="120"/>
        <w:ind w:left="105" w:firstLine="480"/>
        <w:jc w:val="both"/>
      </w:pPr>
      <w:r>
        <w:rPr>
          <w:sz w:val="24"/>
        </w:rPr>
        <w:t>3.</w:t>
      </w:r>
      <w:r>
        <w:rPr>
          <w:sz w:val="24"/>
        </w:rPr>
        <w:t>乙方服务质量如不符合招标文件、投标文件和合同约定的，甲方有权拒收服务成果并解除合同，并视违约情节扣罚部分。</w:t>
      </w:r>
    </w:p>
    <w:p>
      <w:pPr>
        <w:pStyle w:val="null3"/>
        <w:spacing w:before="120" w:after="120"/>
        <w:ind w:left="105" w:firstLine="480"/>
        <w:jc w:val="both"/>
      </w:pPr>
      <w:r>
        <w:rPr>
          <w:sz w:val="24"/>
        </w:rPr>
        <w:t>4.</w:t>
      </w:r>
      <w:r>
        <w:rPr>
          <w:sz w:val="24"/>
        </w:rPr>
        <w:t>乙方现场普查过程中发现地下市政基础设施存在安全隐患的，应在地下市政基础设施普查信息表中进行备注。若该隐患的风险等级按《广东省地下市政基础设施隐患排查技术导则》的要求可划分为Ⅰ级或Ⅱ级，乙方应及时上报至甲方，并形成隐患台账提供必要的资料。</w:t>
      </w:r>
    </w:p>
    <w:p>
      <w:pPr>
        <w:pStyle w:val="null3"/>
        <w:spacing w:before="120" w:after="120"/>
        <w:ind w:left="105" w:firstLine="480"/>
        <w:jc w:val="both"/>
      </w:pPr>
      <w:r>
        <w:rPr>
          <w:sz w:val="24"/>
        </w:rPr>
        <w:t>5.</w:t>
      </w:r>
      <w:r>
        <w:rPr>
          <w:sz w:val="24"/>
        </w:rPr>
        <w:t>乙方以原中山市地下管线普查工作成果为基础进行属性升级时，若发现地下管线普查成果存在迁改、新增的，应在地下市政基础设施普查信息表中进行备注并建立台账，以提示相关部门后续对数据更新。</w:t>
      </w:r>
    </w:p>
    <w:p>
      <w:pPr>
        <w:pStyle w:val="null3"/>
        <w:spacing w:before="120" w:after="120"/>
        <w:ind w:left="105" w:firstLine="480"/>
        <w:jc w:val="both"/>
      </w:pPr>
      <w:r>
        <w:rPr>
          <w:sz w:val="24"/>
        </w:rPr>
        <w:t>6.</w:t>
      </w:r>
      <w:r>
        <w:rPr>
          <w:sz w:val="24"/>
        </w:rPr>
        <w:t>普查工作完成后，应及时完成成果汇交工作，对数据接边存在问题的部位应查明核实，及时修正。</w:t>
      </w:r>
    </w:p>
    <w:p>
      <w:pPr>
        <w:pStyle w:val="null3"/>
        <w:spacing w:before="120" w:after="120"/>
        <w:ind w:left="105" w:firstLine="480"/>
        <w:jc w:val="both"/>
      </w:pPr>
      <w:r>
        <w:rPr>
          <w:sz w:val="24"/>
        </w:rPr>
        <w:t>7.</w:t>
      </w:r>
      <w:r>
        <w:rPr>
          <w:sz w:val="24"/>
        </w:rPr>
        <w:t>后续国家或广东省对地下市政基础设施普查出台新标准新要求的，乙方应无条件配合甲方按新标准、新要求开展相关工作。</w:t>
      </w:r>
    </w:p>
    <w:p>
      <w:pPr>
        <w:pStyle w:val="null3"/>
        <w:ind w:firstLine="480"/>
        <w:jc w:val="left"/>
      </w:pPr>
      <w:r>
        <w:rPr>
          <w:b/>
          <w:sz w:val="24"/>
        </w:rPr>
        <w:t>（五）普查工作流程</w:t>
      </w:r>
    </w:p>
    <w:p>
      <w:pPr>
        <w:pStyle w:val="null3"/>
        <w:ind w:firstLine="480"/>
        <w:jc w:val="left"/>
      </w:pPr>
      <w:r>
        <w:drawing>
          <wp:inline distT="0" distR="0" distB="0" distL="0">
            <wp:extent cx="352538" cy="4762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352538" cy="476250"/>
                    </a:xfrm>
                    <a:prstGeom prst="rect">
                      <a:avLst/>
                    </a:prstGeom>
                  </pic:spPr>
                </pic:pic>
              </a:graphicData>
            </a:graphic>
          </wp:inline>
        </w:drawing>
      </w:r>
    </w:p>
    <w:p>
      <w:pPr>
        <w:pStyle w:val="null3"/>
        <w:spacing w:before="120" w:after="120"/>
        <w:ind w:firstLine="480"/>
        <w:jc w:val="both"/>
      </w:pPr>
      <w:r>
        <w:rPr>
          <w:b/>
          <w:sz w:val="24"/>
        </w:rPr>
        <w:t>（六）进度要求</w:t>
      </w:r>
    </w:p>
    <w:p>
      <w:pPr>
        <w:pStyle w:val="null3"/>
        <w:ind w:firstLine="480"/>
        <w:jc w:val="left"/>
      </w:pPr>
      <w:r>
        <w:rPr>
          <w:sz w:val="24"/>
        </w:rPr>
        <w:t>签订合同后6个月内完成项目所有工作，其中：乙方与甲方签订合同后开始启动工作，乙方须在签订合同后3个月内完成对应标段普查工作量的50%，签订合同后5个月内基本完成各类设施现场普查工作，签订合同后6个月内完成普查全部工作及按要求提交成果数据。</w:t>
      </w:r>
    </w:p>
    <w:p>
      <w:pPr>
        <w:pStyle w:val="null3"/>
        <w:ind w:firstLine="480"/>
        <w:jc w:val="left"/>
      </w:pPr>
    </w:p>
    <w:p>
      <w:pPr>
        <w:pStyle w:val="null3"/>
        <w:spacing w:before="120" w:after="120"/>
        <w:ind w:firstLine="480"/>
        <w:jc w:val="both"/>
      </w:pPr>
      <w:r>
        <w:rPr>
          <w:b/>
          <w:sz w:val="24"/>
        </w:rPr>
        <w:t>（七）成果要求</w:t>
      </w:r>
    </w:p>
    <w:p>
      <w:pPr>
        <w:pStyle w:val="null3"/>
        <w:spacing w:before="120" w:after="120"/>
        <w:ind w:left="105" w:firstLine="480"/>
        <w:jc w:val="both"/>
      </w:pPr>
      <w:r>
        <w:rPr>
          <w:sz w:val="24"/>
        </w:rPr>
        <w:t>本项目提交的建设成果包括但不限于文档成果、指标成果、图谱成果、数据成果等方面内容：</w:t>
      </w:r>
    </w:p>
    <w:p>
      <w:pPr>
        <w:pStyle w:val="null3"/>
        <w:ind w:firstLine="480"/>
        <w:jc w:val="both"/>
      </w:pPr>
      <w:r>
        <w:rPr>
          <w:sz w:val="24"/>
        </w:rPr>
        <w:t>1</w:t>
      </w:r>
      <w:r>
        <w:rPr>
          <w:sz w:val="24"/>
        </w:rPr>
        <w:t>、文字资料</w:t>
      </w:r>
    </w:p>
    <w:p>
      <w:pPr>
        <w:pStyle w:val="null3"/>
        <w:spacing w:before="120" w:after="120"/>
        <w:ind w:firstLine="480"/>
        <w:jc w:val="both"/>
      </w:pPr>
      <w:r>
        <w:rPr>
          <w:sz w:val="24"/>
        </w:rPr>
        <w:t>（1）项目技术设计书</w:t>
      </w:r>
    </w:p>
    <w:p>
      <w:pPr>
        <w:pStyle w:val="null3"/>
        <w:spacing w:before="120" w:after="120"/>
        <w:ind w:firstLine="480"/>
        <w:jc w:val="both"/>
      </w:pPr>
      <w:r>
        <w:rPr>
          <w:sz w:val="24"/>
        </w:rPr>
        <w:t>（2）项目技术总结</w:t>
      </w:r>
    </w:p>
    <w:p>
      <w:pPr>
        <w:pStyle w:val="null3"/>
        <w:spacing w:before="120" w:after="120"/>
        <w:ind w:firstLine="480"/>
        <w:jc w:val="both"/>
      </w:pPr>
      <w:r>
        <w:rPr>
          <w:sz w:val="24"/>
        </w:rPr>
        <w:t>（3）调查记录表</w:t>
      </w:r>
    </w:p>
    <w:p>
      <w:pPr>
        <w:pStyle w:val="null3"/>
        <w:spacing w:before="120" w:after="120"/>
        <w:ind w:firstLine="480"/>
        <w:jc w:val="both"/>
      </w:pPr>
      <w:r>
        <w:rPr>
          <w:sz w:val="24"/>
        </w:rPr>
        <w:t>（4）调查成果表</w:t>
      </w:r>
    </w:p>
    <w:p>
      <w:pPr>
        <w:pStyle w:val="null3"/>
        <w:spacing w:before="120" w:after="120"/>
        <w:ind w:firstLine="480"/>
        <w:jc w:val="both"/>
      </w:pPr>
      <w:r>
        <w:rPr>
          <w:sz w:val="24"/>
        </w:rPr>
        <w:t>（5）图纸等纸质材料不少于3套（甲方如有增加的按甲方要求提供）</w:t>
      </w:r>
    </w:p>
    <w:p>
      <w:pPr>
        <w:pStyle w:val="null3"/>
        <w:ind w:firstLine="480"/>
        <w:jc w:val="both"/>
      </w:pPr>
      <w:r>
        <w:rPr>
          <w:sz w:val="24"/>
        </w:rPr>
        <w:t>2</w:t>
      </w:r>
      <w:r>
        <w:rPr>
          <w:sz w:val="24"/>
        </w:rPr>
        <w:t>、数据成果</w:t>
      </w:r>
    </w:p>
    <w:p>
      <w:pPr>
        <w:pStyle w:val="null3"/>
        <w:spacing w:before="120" w:after="120"/>
        <w:ind w:firstLine="480"/>
        <w:jc w:val="both"/>
      </w:pPr>
      <w:r>
        <w:rPr>
          <w:sz w:val="24"/>
        </w:rPr>
        <w:t>（1）中心四区地下管线数据</w:t>
      </w:r>
    </w:p>
    <w:p>
      <w:pPr>
        <w:pStyle w:val="null3"/>
        <w:spacing w:before="120" w:after="120"/>
        <w:ind w:firstLine="480"/>
        <w:jc w:val="both"/>
      </w:pPr>
      <w:r>
        <w:rPr>
          <w:sz w:val="24"/>
        </w:rPr>
        <w:t>（2）中心四区地下建（构）筑基础设施数据</w:t>
      </w:r>
    </w:p>
    <w:p>
      <w:pPr>
        <w:pStyle w:val="null3"/>
        <w:spacing w:before="120" w:after="120"/>
        <w:ind w:firstLine="480"/>
        <w:jc w:val="both"/>
      </w:pPr>
      <w:r>
        <w:rPr>
          <w:sz w:val="24"/>
        </w:rPr>
        <w:t>（3）中心四区地下市政基础设施三维模型数据，包括地下管线与地下建（构）筑基础设施。</w:t>
      </w:r>
    </w:p>
    <w:p>
      <w:pPr>
        <w:pStyle w:val="null3"/>
        <w:spacing w:before="120" w:after="120"/>
        <w:ind w:firstLine="480"/>
        <w:jc w:val="both"/>
      </w:pPr>
      <w:r>
        <w:rPr>
          <w:sz w:val="24"/>
        </w:rPr>
        <w:t>（4）提交数据成果主要内容须符合相关规范、规程要求。</w:t>
      </w:r>
    </w:p>
    <w:p>
      <w:pPr>
        <w:pStyle w:val="null3"/>
        <w:spacing w:before="120" w:after="120"/>
        <w:ind w:firstLine="480"/>
        <w:jc w:val="both"/>
      </w:pPr>
    </w:p>
    <w:p>
      <w:pPr>
        <w:pStyle w:val="null3"/>
        <w:spacing w:before="120" w:after="120"/>
        <w:ind w:firstLine="480"/>
        <w:jc w:val="both"/>
      </w:pPr>
      <w:r>
        <w:rPr>
          <w:b/>
          <w:sz w:val="24"/>
        </w:rPr>
        <w:t>（八）质量要求</w:t>
      </w:r>
    </w:p>
    <w:p>
      <w:pPr>
        <w:pStyle w:val="null3"/>
        <w:ind w:firstLine="480"/>
        <w:jc w:val="both"/>
      </w:pPr>
      <w:r>
        <w:rPr>
          <w:sz w:val="24"/>
        </w:rPr>
        <w:t>1</w:t>
      </w:r>
      <w:r>
        <w:rPr>
          <w:sz w:val="24"/>
        </w:rPr>
        <w:t>、执行技术标准</w:t>
      </w:r>
      <w:r>
        <w:rPr>
          <w:sz w:val="24"/>
        </w:rPr>
        <w:t>：</w:t>
      </w:r>
    </w:p>
    <w:p>
      <w:pPr>
        <w:pStyle w:val="null3"/>
        <w:ind w:firstLine="480"/>
        <w:jc w:val="both"/>
      </w:pPr>
      <w:r>
        <w:rPr>
          <w:sz w:val="24"/>
        </w:rPr>
        <w:t>（1）《城市市政基础设施普查和综合管理信息平台建设工作指导手册》（住房和城乡建设部2021年5月）；</w:t>
      </w:r>
    </w:p>
    <w:p>
      <w:pPr>
        <w:pStyle w:val="null3"/>
        <w:ind w:firstLine="480"/>
        <w:jc w:val="both"/>
      </w:pPr>
      <w:r>
        <w:rPr>
          <w:sz w:val="24"/>
        </w:rPr>
        <w:t>（2）《广东省地下市政基础设施普查技术导则》（广东省住房和城乡建设厅粤建城〔2020〕93号）；</w:t>
      </w:r>
    </w:p>
    <w:p>
      <w:pPr>
        <w:pStyle w:val="null3"/>
        <w:ind w:firstLine="480"/>
        <w:jc w:val="both"/>
      </w:pPr>
      <w:r>
        <w:rPr>
          <w:sz w:val="24"/>
        </w:rPr>
        <w:t>（3）《广东省地下市政基础设施综合管理信息平台建设技术导则》（广东省</w:t>
      </w:r>
      <w:r>
        <w:rPr>
          <w:sz w:val="24"/>
        </w:rPr>
        <w:t>住房和城乡建设厅粤建城〔2020〕93号）；</w:t>
      </w:r>
    </w:p>
    <w:p>
      <w:pPr>
        <w:pStyle w:val="null3"/>
        <w:ind w:firstLine="480"/>
        <w:jc w:val="both"/>
      </w:pPr>
      <w:r>
        <w:rPr>
          <w:sz w:val="24"/>
        </w:rPr>
        <w:t>（4）</w:t>
      </w:r>
      <w:r>
        <w:rPr>
          <w:sz w:val="24"/>
        </w:rPr>
        <w:t>《国家基本比例尺地图图式第一部分：1:5001:10001:2000地形图图式》GB/T20257.1</w:t>
      </w:r>
    </w:p>
    <w:p>
      <w:pPr>
        <w:pStyle w:val="null3"/>
        <w:ind w:firstLine="480"/>
        <w:jc w:val="both"/>
      </w:pPr>
      <w:r>
        <w:rPr>
          <w:sz w:val="24"/>
        </w:rPr>
        <w:t>（5）</w:t>
      </w:r>
      <w:r>
        <w:rPr>
          <w:sz w:val="24"/>
        </w:rPr>
        <w:t>《城市地下空间测绘规范》（GB/T35636）</w:t>
      </w:r>
    </w:p>
    <w:p>
      <w:pPr>
        <w:pStyle w:val="null3"/>
        <w:ind w:firstLine="480"/>
        <w:jc w:val="both"/>
      </w:pPr>
      <w:r>
        <w:rPr>
          <w:sz w:val="24"/>
        </w:rPr>
        <w:t>（6）</w:t>
      </w:r>
      <w:r>
        <w:rPr>
          <w:sz w:val="24"/>
        </w:rPr>
        <w:t>《城市地下管线探测技术规程》（CJJ61）</w:t>
      </w:r>
    </w:p>
    <w:p>
      <w:pPr>
        <w:pStyle w:val="null3"/>
        <w:ind w:firstLine="480"/>
        <w:jc w:val="both"/>
      </w:pPr>
      <w:r>
        <w:rPr>
          <w:sz w:val="24"/>
        </w:rPr>
        <w:t>（7）</w:t>
      </w:r>
      <w:r>
        <w:rPr>
          <w:sz w:val="24"/>
        </w:rPr>
        <w:t>《管线测绘工程监理规程》（CH/T6009）</w:t>
      </w:r>
    </w:p>
    <w:p>
      <w:pPr>
        <w:pStyle w:val="null3"/>
        <w:ind w:firstLine="480"/>
        <w:jc w:val="both"/>
      </w:pPr>
      <w:r>
        <w:rPr>
          <w:sz w:val="24"/>
        </w:rPr>
        <w:t>（8）</w:t>
      </w:r>
      <w:r>
        <w:rPr>
          <w:sz w:val="24"/>
        </w:rPr>
        <w:t>《卫星定位城市测量技术标准》（CJJ/T73）</w:t>
      </w:r>
    </w:p>
    <w:p>
      <w:pPr>
        <w:pStyle w:val="null3"/>
        <w:ind w:firstLine="480"/>
        <w:jc w:val="both"/>
      </w:pPr>
      <w:r>
        <w:rPr>
          <w:sz w:val="24"/>
        </w:rPr>
        <w:t>（9）</w:t>
      </w:r>
      <w:r>
        <w:rPr>
          <w:sz w:val="24"/>
        </w:rPr>
        <w:t>《城市工程地球物理探测规范》（CJJ7）</w:t>
      </w:r>
    </w:p>
    <w:p>
      <w:pPr>
        <w:pStyle w:val="null3"/>
        <w:ind w:firstLine="480"/>
        <w:jc w:val="both"/>
      </w:pPr>
      <w:r>
        <w:rPr>
          <w:sz w:val="24"/>
        </w:rPr>
        <w:t>（10）</w:t>
      </w:r>
      <w:r>
        <w:rPr>
          <w:sz w:val="24"/>
        </w:rPr>
        <w:t>《城市测量规范》(CJJ/T8)</w:t>
      </w:r>
    </w:p>
    <w:p>
      <w:pPr>
        <w:pStyle w:val="null3"/>
        <w:ind w:firstLine="480"/>
        <w:jc w:val="both"/>
      </w:pPr>
      <w:r>
        <w:rPr>
          <w:sz w:val="24"/>
        </w:rPr>
        <w:t>（11）</w:t>
      </w:r>
      <w:r>
        <w:rPr>
          <w:sz w:val="24"/>
        </w:rPr>
        <w:t>《管线测量成果质量检验技术规程》（CH/T1033）</w:t>
      </w:r>
    </w:p>
    <w:p>
      <w:pPr>
        <w:pStyle w:val="null3"/>
        <w:ind w:firstLine="480"/>
        <w:jc w:val="both"/>
      </w:pPr>
      <w:r>
        <w:rPr>
          <w:sz w:val="24"/>
        </w:rPr>
        <w:t>（12）</w:t>
      </w:r>
      <w:r>
        <w:rPr>
          <w:sz w:val="24"/>
        </w:rPr>
        <w:t>《测绘成果质量检查与验收》（GB/T24356）</w:t>
      </w:r>
    </w:p>
    <w:p>
      <w:pPr>
        <w:pStyle w:val="null3"/>
        <w:ind w:firstLine="480"/>
        <w:jc w:val="both"/>
      </w:pPr>
      <w:r>
        <w:rPr>
          <w:sz w:val="24"/>
        </w:rPr>
        <w:t>（13）</w:t>
      </w:r>
      <w:r>
        <w:rPr>
          <w:sz w:val="24"/>
        </w:rPr>
        <w:t>《广东省地下管线探测技术规程》（DBJ/T15－134）</w:t>
      </w:r>
    </w:p>
    <w:p>
      <w:pPr>
        <w:pStyle w:val="null3"/>
        <w:ind w:firstLine="480"/>
        <w:jc w:val="both"/>
      </w:pPr>
      <w:r>
        <w:rPr>
          <w:sz w:val="24"/>
        </w:rPr>
        <w:t>（14）</w:t>
      </w:r>
      <w:r>
        <w:rPr>
          <w:sz w:val="24"/>
        </w:rPr>
        <w:t>《地下管道三维轨迹惯性定位测量技术规程》（T/CAS452）</w:t>
      </w:r>
    </w:p>
    <w:p>
      <w:pPr>
        <w:pStyle w:val="null3"/>
        <w:ind w:firstLine="480"/>
        <w:jc w:val="both"/>
      </w:pPr>
      <w:r>
        <w:rPr>
          <w:sz w:val="24"/>
        </w:rPr>
        <w:t>（15）</w:t>
      </w:r>
      <w:r>
        <w:rPr>
          <w:sz w:val="24"/>
        </w:rPr>
        <w:t>国家、省、市下发的其他技术标准和验收标准。</w:t>
      </w:r>
    </w:p>
    <w:p>
      <w:pPr>
        <w:pStyle w:val="null3"/>
        <w:ind w:firstLine="480"/>
        <w:jc w:val="both"/>
      </w:pPr>
      <w:r>
        <w:rPr>
          <w:sz w:val="24"/>
        </w:rPr>
        <w:t>2</w:t>
      </w:r>
      <w:r>
        <w:rPr>
          <w:sz w:val="24"/>
        </w:rPr>
        <w:t>、针对本项目涉及的各项普查工作，要求制定科学、合理、具体的技术实施方案。</w:t>
      </w:r>
    </w:p>
    <w:p>
      <w:pPr>
        <w:pStyle w:val="null3"/>
        <w:ind w:firstLine="480"/>
        <w:jc w:val="both"/>
      </w:pPr>
      <w:r>
        <w:rPr>
          <w:sz w:val="24"/>
        </w:rPr>
        <w:t>3</w:t>
      </w:r>
      <w:r>
        <w:rPr>
          <w:sz w:val="24"/>
        </w:rPr>
        <w:t>、针对本项目整体工作，需建立完整的质量保证体系，形成对应的质量保证机制，并提出具体的质量保证措施，确保项目建设成果达到相关技术标准要求。</w:t>
      </w:r>
    </w:p>
    <w:p>
      <w:pPr>
        <w:pStyle w:val="null3"/>
        <w:ind w:firstLine="480"/>
        <w:jc w:val="both"/>
      </w:pPr>
      <w:r>
        <w:rPr>
          <w:sz w:val="24"/>
        </w:rPr>
        <w:t>3</w:t>
      </w:r>
      <w:r>
        <w:rPr>
          <w:sz w:val="24"/>
        </w:rPr>
        <w:t>、乙方所提交的成果有下列情形之一的视为成果无效，按技术服务合同规定承担相应责任。</w:t>
      </w:r>
    </w:p>
    <w:p>
      <w:pPr>
        <w:pStyle w:val="null3"/>
        <w:spacing w:before="120" w:after="120"/>
        <w:ind w:firstLine="480"/>
        <w:jc w:val="both"/>
      </w:pPr>
      <w:r>
        <w:rPr>
          <w:sz w:val="24"/>
        </w:rPr>
        <w:t>①提交的成果文件不符合本任务书规定的成果内容和格式；</w:t>
      </w:r>
    </w:p>
    <w:p>
      <w:pPr>
        <w:pStyle w:val="null3"/>
        <w:spacing w:before="120" w:after="120"/>
        <w:ind w:firstLine="480"/>
        <w:jc w:val="both"/>
      </w:pPr>
      <w:r>
        <w:rPr>
          <w:sz w:val="24"/>
        </w:rPr>
        <w:t>②提交成果文件未经项目甲方同意而逾期送达；</w:t>
      </w:r>
    </w:p>
    <w:p>
      <w:pPr>
        <w:pStyle w:val="null3"/>
        <w:spacing w:before="120" w:after="120"/>
        <w:ind w:firstLine="480"/>
        <w:jc w:val="both"/>
      </w:pPr>
      <w:r>
        <w:rPr>
          <w:sz w:val="24"/>
        </w:rPr>
        <w:t>③提交的成果数据内容不全、粗制滥造。</w:t>
      </w:r>
    </w:p>
    <w:p>
      <w:pPr>
        <w:pStyle w:val="null3"/>
        <w:spacing w:before="120" w:after="120"/>
        <w:ind w:firstLine="480"/>
        <w:jc w:val="both"/>
      </w:pPr>
      <w:r>
        <w:rPr>
          <w:b/>
          <w:sz w:val="24"/>
        </w:rPr>
        <w:t>（九）安全要求</w:t>
      </w:r>
    </w:p>
    <w:p>
      <w:pPr>
        <w:pStyle w:val="null3"/>
        <w:spacing w:before="120" w:after="120"/>
        <w:ind w:firstLine="480"/>
        <w:jc w:val="both"/>
      </w:pPr>
      <w:r>
        <w:rPr>
          <w:sz w:val="24"/>
        </w:rPr>
        <w:t>1</w:t>
      </w:r>
      <w:r>
        <w:rPr>
          <w:sz w:val="24"/>
        </w:rPr>
        <w:t>、设立测绘地理信息安全保密工作机构。</w:t>
      </w:r>
    </w:p>
    <w:p>
      <w:pPr>
        <w:pStyle w:val="null3"/>
        <w:spacing w:before="120" w:after="120"/>
        <w:ind w:firstLine="480"/>
        <w:jc w:val="both"/>
      </w:pPr>
      <w:r>
        <w:rPr>
          <w:sz w:val="24"/>
        </w:rPr>
        <w:t>2</w:t>
      </w:r>
      <w:r>
        <w:rPr>
          <w:sz w:val="24"/>
        </w:rPr>
        <w:t>、从事涉密测绘业务的人员应当具有中华人民共和国国籍，签订保密责任书，接受保密教育。</w:t>
      </w:r>
    </w:p>
    <w:p>
      <w:pPr>
        <w:pStyle w:val="null3"/>
        <w:spacing w:before="120" w:after="120"/>
        <w:ind w:firstLine="480"/>
        <w:jc w:val="both"/>
      </w:pPr>
      <w:r>
        <w:rPr>
          <w:sz w:val="24"/>
        </w:rPr>
        <w:t>3</w:t>
      </w:r>
      <w:r>
        <w:rPr>
          <w:sz w:val="24"/>
        </w:rPr>
        <w:t>、建立健全测绘地理信息安全保密管理制度。明确涉密人员管理、保密要害部门部位管理、涉密设备与存储介质管理、涉密测绘成果全流程保密、保密自查等要求。</w:t>
      </w:r>
    </w:p>
    <w:p>
      <w:pPr>
        <w:pStyle w:val="null3"/>
        <w:spacing w:before="120" w:after="120"/>
        <w:ind w:firstLine="480"/>
        <w:jc w:val="both"/>
      </w:pPr>
      <w:r>
        <w:rPr>
          <w:sz w:val="24"/>
        </w:rPr>
        <w:t>4</w:t>
      </w:r>
      <w:r>
        <w:rPr>
          <w:sz w:val="24"/>
        </w:rPr>
        <w:t>、明确涉密测绘成果使用审批流程和责任人，未经批准，涉密测绘成果不得带离保密要害部门部位。</w:t>
      </w:r>
    </w:p>
    <w:p>
      <w:pPr>
        <w:pStyle w:val="null3"/>
        <w:spacing w:before="120" w:after="120"/>
        <w:ind w:firstLine="480"/>
        <w:jc w:val="both"/>
      </w:pPr>
      <w:r>
        <w:rPr>
          <w:sz w:val="24"/>
        </w:rPr>
        <w:t>5</w:t>
      </w:r>
      <w:r>
        <w:rPr>
          <w:sz w:val="24"/>
        </w:rPr>
        <w:t>、涉密存储介质专人管理，建立台账；涉密设备与存储介质应粘贴密级标识；涉密计算机、涉密存储介质不得接入互联网或其他公共信息网络；涉密网络与互联网或其他公共信息网络之间实行物理隔离；涉密计算机外接端口封闭管理。</w:t>
      </w:r>
    </w:p>
    <w:p>
      <w:pPr>
        <w:pStyle w:val="null3"/>
        <w:spacing w:before="120" w:after="120"/>
        <w:ind w:firstLine="480"/>
        <w:jc w:val="both"/>
      </w:pPr>
      <w:r>
        <w:rPr>
          <w:sz w:val="24"/>
        </w:rPr>
        <w:t>6</w:t>
      </w:r>
      <w:r>
        <w:rPr>
          <w:sz w:val="24"/>
        </w:rPr>
        <w:t>、建立健全涉密测绘外业安全保密管理制度，落实监管人员和保密责任，外业所用涉密计算机纳入涉密单机进行管理。</w:t>
      </w:r>
    </w:p>
    <w:p>
      <w:pPr>
        <w:pStyle w:val="null3"/>
        <w:spacing w:before="120" w:after="120"/>
        <w:ind w:firstLine="480"/>
        <w:jc w:val="both"/>
      </w:pPr>
      <w:r>
        <w:rPr>
          <w:sz w:val="24"/>
        </w:rPr>
        <w:t>7</w:t>
      </w:r>
      <w:r>
        <w:rPr>
          <w:sz w:val="24"/>
        </w:rPr>
        <w:t>、对属于国家秘密的地理信息的获取、持有、提供、利用情况进行登记并长期保存，实行可追溯管理。</w:t>
      </w:r>
    </w:p>
    <w:p>
      <w:pPr>
        <w:pStyle w:val="null3"/>
        <w:spacing w:before="120" w:after="120"/>
        <w:ind w:firstLine="480"/>
        <w:jc w:val="both"/>
      </w:pPr>
      <w:r>
        <w:rPr>
          <w:sz w:val="24"/>
        </w:rPr>
        <w:t>8</w:t>
      </w:r>
      <w:r>
        <w:rPr>
          <w:sz w:val="24"/>
        </w:rPr>
        <w:t>、项目实施过程中须严格遵守甲方相关信息安全及签订保密协议，并对项目实施过程中涉及的国家机密、业务需求、数据成果等内容和相关事务保密，严格遵守《保密协议》的相关规定。</w:t>
      </w:r>
    </w:p>
    <w:p>
      <w:pPr>
        <w:pStyle w:val="null3"/>
        <w:ind w:firstLine="480"/>
        <w:jc w:val="left"/>
      </w:pPr>
      <w:r>
        <w:rPr>
          <w:sz w:val="24"/>
        </w:rPr>
        <w:t>9</w:t>
      </w:r>
      <w:r>
        <w:rPr>
          <w:sz w:val="24"/>
        </w:rPr>
        <w:t>、项目验收后，应将本项目所有资料移交给甲方，不允许保留相关材料。</w:t>
      </w:r>
    </w:p>
    <w:p>
      <w:pPr>
        <w:pStyle w:val="null3"/>
        <w:spacing w:before="120" w:after="120"/>
        <w:ind w:firstLine="480"/>
        <w:jc w:val="both"/>
      </w:pPr>
      <w:r>
        <w:rPr>
          <w:b/>
          <w:sz w:val="24"/>
        </w:rPr>
        <w:t>（十）验收要求</w:t>
      </w:r>
    </w:p>
    <w:p>
      <w:pPr>
        <w:pStyle w:val="null3"/>
        <w:ind w:firstLine="480"/>
        <w:jc w:val="both"/>
      </w:pPr>
      <w:r>
        <w:rPr>
          <w:sz w:val="24"/>
        </w:rPr>
        <w:t>1</w:t>
      </w:r>
      <w:r>
        <w:rPr>
          <w:sz w:val="24"/>
        </w:rPr>
        <w:t>、总体要求：</w:t>
      </w:r>
    </w:p>
    <w:p>
      <w:pPr>
        <w:pStyle w:val="null3"/>
        <w:ind w:firstLine="480"/>
        <w:jc w:val="both"/>
      </w:pPr>
      <w:r>
        <w:rPr>
          <w:sz w:val="24"/>
        </w:rPr>
        <w:t>（1）项目验收严格按照项目内容、质量要求，包括项目建设内容的完整性、项目实施的科学性、数据成果的正确性等要求开展。</w:t>
      </w:r>
    </w:p>
    <w:p>
      <w:pPr>
        <w:pStyle w:val="null3"/>
        <w:ind w:firstLine="480"/>
        <w:jc w:val="both"/>
      </w:pPr>
      <w:r>
        <w:rPr>
          <w:sz w:val="24"/>
        </w:rPr>
        <w:t>（2）完成合同规定的相应阶段建设内容后，文档齐全，成果自检合格，形成自检报告随成果一同提交验收。</w:t>
      </w:r>
    </w:p>
    <w:p>
      <w:pPr>
        <w:pStyle w:val="null3"/>
        <w:ind w:firstLine="480"/>
        <w:jc w:val="both"/>
      </w:pPr>
      <w:r>
        <w:rPr>
          <w:sz w:val="24"/>
        </w:rPr>
        <w:t>2</w:t>
      </w:r>
      <w:r>
        <w:rPr>
          <w:sz w:val="24"/>
        </w:rPr>
        <w:t>、项目中期成果审查要求：完成合同约定建设内容的80%工作量。</w:t>
      </w:r>
    </w:p>
    <w:p>
      <w:pPr>
        <w:pStyle w:val="null3"/>
        <w:ind w:firstLine="480"/>
        <w:jc w:val="both"/>
      </w:pPr>
      <w:r>
        <w:rPr>
          <w:sz w:val="24"/>
        </w:rPr>
        <w:t>3</w:t>
      </w:r>
      <w:r>
        <w:rPr>
          <w:sz w:val="24"/>
        </w:rPr>
        <w:t>、项目最终成果验收要求：完成合同约定建设内容的100%工作量。</w:t>
      </w:r>
    </w:p>
    <w:p>
      <w:pPr>
        <w:pStyle w:val="null3"/>
        <w:ind w:firstLine="480"/>
        <w:jc w:val="both"/>
      </w:pPr>
      <w:r>
        <w:rPr>
          <w:sz w:val="24"/>
        </w:rPr>
        <w:t>4</w:t>
      </w:r>
      <w:r>
        <w:rPr>
          <w:sz w:val="24"/>
        </w:rPr>
        <w:t>、项目总体验收要求由监理单位按本项目的政策依据、技术标准提供监理报告后，并由监理单 位协助甲方组织专家验收会进行验收。</w:t>
      </w:r>
    </w:p>
    <w:p>
      <w:pPr>
        <w:pStyle w:val="null3"/>
        <w:spacing w:before="120" w:after="120"/>
        <w:ind w:firstLine="480"/>
        <w:jc w:val="left"/>
      </w:pPr>
      <w:r>
        <w:rPr>
          <w:b/>
          <w:sz w:val="24"/>
        </w:rPr>
        <w:t>（十一）售后服务要求</w:t>
      </w:r>
    </w:p>
    <w:p>
      <w:pPr>
        <w:pStyle w:val="null3"/>
        <w:spacing w:before="120" w:after="120"/>
        <w:ind w:firstLine="480"/>
        <w:jc w:val="both"/>
      </w:pPr>
      <w:r>
        <w:rPr>
          <w:sz w:val="24"/>
        </w:rPr>
        <w:t>1</w:t>
      </w:r>
      <w:r>
        <w:rPr>
          <w:sz w:val="24"/>
        </w:rPr>
        <w:t>、项目验收后免费提供一年售后服务。</w:t>
      </w:r>
      <w:r>
        <w:rPr>
          <w:sz w:val="24"/>
        </w:rPr>
        <w:t>后续服务期限内，乙方应提供相关咨询、协调、项目审查报告更新等技术支持，并安排专人负责售后技术支持。</w:t>
      </w:r>
    </w:p>
    <w:p>
      <w:pPr>
        <w:pStyle w:val="null3"/>
        <w:spacing w:before="120" w:after="120"/>
        <w:ind w:firstLine="480"/>
        <w:jc w:val="both"/>
      </w:pPr>
      <w:r>
        <w:rPr>
          <w:sz w:val="24"/>
        </w:rPr>
        <w:t>2</w:t>
      </w:r>
      <w:r>
        <w:rPr>
          <w:sz w:val="24"/>
        </w:rPr>
        <w:t>、对于数据使用中的问题，应在2小时内提供解决方案。</w:t>
      </w:r>
    </w:p>
    <w:p>
      <w:pPr>
        <w:pStyle w:val="null3"/>
        <w:spacing w:before="120" w:after="120"/>
        <w:ind w:firstLine="480"/>
        <w:jc w:val="both"/>
      </w:pPr>
      <w:r>
        <w:rPr>
          <w:sz w:val="24"/>
        </w:rPr>
        <w:t>3</w:t>
      </w:r>
      <w:r>
        <w:rPr>
          <w:sz w:val="24"/>
        </w:rPr>
        <w:t>、紧急、特殊的服务要求应立即提供服务至解决问题为止。</w:t>
      </w:r>
    </w:p>
    <w:p>
      <w:pPr>
        <w:pStyle w:val="null3"/>
        <w:ind w:firstLine="480"/>
        <w:jc w:val="left"/>
      </w:pPr>
      <w:r>
        <w:rPr>
          <w:b/>
          <w:sz w:val="24"/>
        </w:rPr>
        <w:t>第四条：价格</w:t>
      </w:r>
    </w:p>
    <w:p>
      <w:pPr>
        <w:pStyle w:val="null3"/>
        <w:ind w:firstLine="480"/>
        <w:jc w:val="left"/>
      </w:pPr>
      <w:r>
        <w:rPr>
          <w:sz w:val="24"/>
        </w:rPr>
        <w:t>1</w:t>
      </w:r>
      <w:r>
        <w:rPr>
          <w:sz w:val="24"/>
        </w:rPr>
        <w:t>、合同总价（含税）：（人民币）大写 （¥ ）。包括但不限于乙方完成普查工作实施所需的现有地下管线数据收集、整理、更新、升级及建库；地下交通设施、地下其他工程(地下河道、废弃工程、其他地下空间）资料调绘、现场踏勘、探测实施及成果建库；入库服务工作的系统填报、数据汇交、检查验收等, 设备费、人工费、资料费、打印费、专家验收评审费、税费等项目所涉及的所有费用，除此之外，甲方不再支付其他任何费用。</w:t>
      </w:r>
    </w:p>
    <w:p>
      <w:pPr>
        <w:pStyle w:val="null3"/>
        <w:ind w:firstLine="480"/>
        <w:jc w:val="left"/>
      </w:pPr>
      <w:r>
        <w:rPr>
          <w:sz w:val="24"/>
        </w:rPr>
        <w:t>第五条 服务期限、地点及服务要求</w:t>
      </w:r>
    </w:p>
    <w:p>
      <w:pPr>
        <w:pStyle w:val="null3"/>
        <w:ind w:firstLine="480"/>
        <w:jc w:val="left"/>
      </w:pPr>
      <w:r>
        <w:rPr>
          <w:sz w:val="24"/>
        </w:rPr>
        <w:t>1</w:t>
      </w:r>
      <w:r>
        <w:rPr>
          <w:sz w:val="24"/>
        </w:rPr>
        <w:t>、服务期：</w:t>
      </w:r>
      <w:r>
        <w:rPr>
          <w:sz w:val="24"/>
        </w:rPr>
        <w:t>自合同签订日起6个月内完成普查全部工作及按要求提交成果数据并终验。如因甲方项目进度安排调整交付时间，按双方协议交付时间为准。</w:t>
      </w:r>
    </w:p>
    <w:p>
      <w:pPr>
        <w:pStyle w:val="null3"/>
        <w:ind w:firstLine="480"/>
        <w:jc w:val="left"/>
      </w:pPr>
      <w:r>
        <w:rPr>
          <w:sz w:val="24"/>
        </w:rPr>
        <w:t>2</w:t>
      </w:r>
      <w:r>
        <w:rPr>
          <w:sz w:val="24"/>
        </w:rPr>
        <w:t>、服务地点：甲方指定地点。</w:t>
      </w:r>
    </w:p>
    <w:p>
      <w:pPr>
        <w:pStyle w:val="null3"/>
        <w:ind w:firstLine="480"/>
        <w:jc w:val="left"/>
      </w:pPr>
      <w:r>
        <w:rPr>
          <w:sz w:val="24"/>
        </w:rPr>
        <w:t>3</w:t>
      </w:r>
      <w:r>
        <w:rPr>
          <w:sz w:val="24"/>
        </w:rPr>
        <w:t>、乙方须在售后服务期限内(自最后成果提交甲方之日起一年) 应提供相关咨询、协调、项目审查报告更新等技术支持，并安排专人负责售后技术支持。</w:t>
      </w:r>
    </w:p>
    <w:p>
      <w:pPr>
        <w:pStyle w:val="null3"/>
        <w:ind w:firstLine="480"/>
        <w:jc w:val="left"/>
      </w:pPr>
      <w:r>
        <w:rPr>
          <w:sz w:val="24"/>
        </w:rPr>
        <w:t>4</w:t>
      </w:r>
      <w:r>
        <w:rPr>
          <w:sz w:val="24"/>
        </w:rPr>
        <w:t>、乙方安排专人负责技术支持：</w:t>
      </w:r>
    </w:p>
    <w:p>
      <w:pPr>
        <w:pStyle w:val="null3"/>
        <w:ind w:firstLine="480"/>
        <w:jc w:val="left"/>
      </w:pPr>
      <w:r>
        <w:rPr>
          <w:sz w:val="24"/>
        </w:rPr>
        <w:t>姓名：</w:t>
      </w:r>
    </w:p>
    <w:p>
      <w:pPr>
        <w:pStyle w:val="null3"/>
        <w:ind w:firstLine="480"/>
        <w:jc w:val="left"/>
      </w:pPr>
      <w:r>
        <w:rPr>
          <w:sz w:val="24"/>
        </w:rPr>
        <w:t>手机号码：</w:t>
      </w:r>
    </w:p>
    <w:p>
      <w:pPr>
        <w:pStyle w:val="null3"/>
        <w:ind w:firstLine="480"/>
        <w:jc w:val="left"/>
      </w:pPr>
      <w:r>
        <w:rPr>
          <w:sz w:val="24"/>
        </w:rPr>
        <w:t>电话：</w:t>
      </w:r>
    </w:p>
    <w:p>
      <w:pPr>
        <w:pStyle w:val="null3"/>
        <w:ind w:firstLine="480"/>
        <w:jc w:val="left"/>
      </w:pPr>
      <w:r>
        <w:rPr>
          <w:sz w:val="24"/>
        </w:rPr>
        <w:t>传真：</w:t>
      </w:r>
    </w:p>
    <w:p>
      <w:pPr>
        <w:pStyle w:val="null3"/>
        <w:ind w:firstLine="480"/>
        <w:jc w:val="left"/>
      </w:pPr>
      <w:r>
        <w:rPr>
          <w:sz w:val="24"/>
        </w:rPr>
        <w:t>电子邮箱：</w:t>
      </w:r>
    </w:p>
    <w:p>
      <w:pPr>
        <w:pStyle w:val="null3"/>
        <w:ind w:firstLine="480"/>
        <w:jc w:val="left"/>
      </w:pPr>
      <w:r>
        <w:rPr>
          <w:sz w:val="24"/>
        </w:rPr>
        <w:t>如人员需要调整应及时以书面方式通知甲方。</w:t>
      </w:r>
    </w:p>
    <w:p>
      <w:pPr>
        <w:pStyle w:val="null3"/>
        <w:ind w:firstLine="480"/>
        <w:jc w:val="left"/>
      </w:pPr>
    </w:p>
    <w:p>
      <w:pPr>
        <w:pStyle w:val="null3"/>
        <w:ind w:firstLine="480"/>
        <w:jc w:val="left"/>
      </w:pPr>
      <w:r>
        <w:rPr>
          <w:sz w:val="24"/>
        </w:rPr>
        <w:t>第六条 付款方式</w:t>
      </w:r>
    </w:p>
    <w:p>
      <w:pPr>
        <w:pStyle w:val="null3"/>
        <w:ind w:firstLine="480"/>
        <w:jc w:val="left"/>
      </w:pPr>
      <w:r>
        <w:rPr>
          <w:sz w:val="24"/>
        </w:rPr>
        <w:t>（一）、本项目通过银行转账方式支付款项，付款方式为：</w:t>
      </w:r>
    </w:p>
    <w:p>
      <w:pPr>
        <w:pStyle w:val="null3"/>
        <w:ind w:firstLine="480"/>
        <w:jc w:val="left"/>
      </w:pPr>
      <w:r>
        <w:rPr>
          <w:sz w:val="24"/>
        </w:rPr>
        <w:t>1</w:t>
      </w:r>
      <w:r>
        <w:rPr>
          <w:sz w:val="24"/>
        </w:rPr>
        <w:t>期：支付比例15%，</w:t>
      </w:r>
      <w:r>
        <w:rPr>
          <w:sz w:val="24"/>
        </w:rPr>
        <w:t>签订采购合同后提交符合要求的结算材料支付预付款，预付款为合同价的</w:t>
      </w:r>
      <w:r>
        <w:rPr>
          <w:sz w:val="24"/>
        </w:rPr>
        <w:t>15%,</w:t>
      </w:r>
      <w:r>
        <w:rPr>
          <w:sz w:val="24"/>
        </w:rPr>
        <w:t>即</w:t>
      </w:r>
      <w:r>
        <w:rPr>
          <w:sz w:val="24"/>
        </w:rPr>
        <w:t>人民币</w:t>
      </w:r>
      <w:r>
        <w:rPr>
          <w:sz w:val="24"/>
          <w:u w:val="single"/>
        </w:rPr>
        <w:t xml:space="preserve">     </w:t>
      </w:r>
      <w:r>
        <w:rPr>
          <w:sz w:val="24"/>
        </w:rPr>
        <w:t>元整（¥ ）</w:t>
      </w:r>
      <w:r>
        <w:rPr>
          <w:sz w:val="24"/>
        </w:rPr>
        <w:t>；</w:t>
      </w:r>
    </w:p>
    <w:p>
      <w:pPr>
        <w:pStyle w:val="null3"/>
        <w:ind w:firstLine="480"/>
        <w:jc w:val="both"/>
      </w:pPr>
      <w:r>
        <w:rPr>
          <w:sz w:val="24"/>
        </w:rPr>
        <w:t>2</w:t>
      </w:r>
      <w:r>
        <w:rPr>
          <w:sz w:val="24"/>
        </w:rPr>
        <w:t>期：支付比例23%,完成合同预估工作量的50%形成调查表台帐后，由监理单位签字确认支付合同价的23%,即</w:t>
      </w:r>
      <w:r>
        <w:rPr>
          <w:sz w:val="24"/>
        </w:rPr>
        <w:t>人民币</w:t>
      </w:r>
      <w:r>
        <w:rPr>
          <w:sz w:val="24"/>
          <w:u w:val="single"/>
        </w:rPr>
        <w:t xml:space="preserve">     </w:t>
      </w:r>
      <w:r>
        <w:rPr>
          <w:sz w:val="24"/>
        </w:rPr>
        <w:t>元整（¥ ）</w:t>
      </w:r>
      <w:r>
        <w:rPr>
          <w:sz w:val="24"/>
        </w:rPr>
        <w:t>；</w:t>
      </w:r>
    </w:p>
    <w:p>
      <w:pPr>
        <w:pStyle w:val="null3"/>
        <w:ind w:firstLine="480"/>
        <w:jc w:val="both"/>
      </w:pPr>
      <w:r>
        <w:rPr>
          <w:sz w:val="24"/>
        </w:rPr>
        <w:t>3</w:t>
      </w:r>
      <w:r>
        <w:rPr>
          <w:sz w:val="24"/>
        </w:rPr>
        <w:t>期：支付比例30%,完成合同预估工作量的80%形成调查表台帐后，由监理单位签字确认支付合同成交价的30%,即</w:t>
      </w:r>
      <w:r>
        <w:rPr>
          <w:sz w:val="24"/>
        </w:rPr>
        <w:t>人民币</w:t>
      </w:r>
      <w:r>
        <w:rPr>
          <w:sz w:val="24"/>
          <w:u w:val="single"/>
        </w:rPr>
        <w:t xml:space="preserve">     </w:t>
      </w:r>
      <w:r>
        <w:rPr>
          <w:sz w:val="24"/>
        </w:rPr>
        <w:t>元整（¥ ）</w:t>
      </w:r>
      <w:r>
        <w:rPr>
          <w:sz w:val="24"/>
        </w:rPr>
        <w:t>；</w:t>
      </w:r>
    </w:p>
    <w:p>
      <w:pPr>
        <w:pStyle w:val="null3"/>
        <w:ind w:firstLine="480"/>
        <w:jc w:val="both"/>
      </w:pPr>
      <w:r>
        <w:rPr>
          <w:sz w:val="24"/>
        </w:rPr>
        <w:t>4</w:t>
      </w:r>
      <w:r>
        <w:rPr>
          <w:sz w:val="24"/>
        </w:rPr>
        <w:t>期：支付比例32%,即</w:t>
      </w:r>
      <w:r>
        <w:rPr>
          <w:sz w:val="24"/>
        </w:rPr>
        <w:t>人民币</w:t>
      </w:r>
      <w:r>
        <w:rPr>
          <w:sz w:val="24"/>
          <w:u w:val="single"/>
        </w:rPr>
        <w:t xml:space="preserve">     </w:t>
      </w:r>
      <w:r>
        <w:rPr>
          <w:sz w:val="24"/>
        </w:rPr>
        <w:t>元整（¥ ）</w:t>
      </w:r>
      <w:r>
        <w:rPr>
          <w:sz w:val="24"/>
        </w:rPr>
        <w:t>,</w:t>
      </w:r>
      <w:r>
        <w:rPr>
          <w:sz w:val="24"/>
        </w:rPr>
        <w:t>剩余款项由监理单位提供监理报告，且完成成果数据的整理和接边并通过专家成果验收后支付。</w:t>
      </w:r>
    </w:p>
    <w:p>
      <w:pPr>
        <w:pStyle w:val="null3"/>
        <w:ind w:firstLine="480"/>
        <w:jc w:val="left"/>
      </w:pPr>
    </w:p>
    <w:p>
      <w:pPr>
        <w:pStyle w:val="null3"/>
        <w:ind w:firstLine="480"/>
        <w:jc w:val="left"/>
      </w:pPr>
      <w:r>
        <w:rPr>
          <w:sz w:val="24"/>
        </w:rPr>
        <w:t>（二）、支付流程事项：</w:t>
      </w:r>
    </w:p>
    <w:p>
      <w:pPr>
        <w:pStyle w:val="null3"/>
        <w:ind w:firstLine="480"/>
        <w:jc w:val="both"/>
      </w:pPr>
      <w:r>
        <w:rPr>
          <w:sz w:val="24"/>
        </w:rPr>
        <w:t>1.</w:t>
      </w:r>
      <w:r>
        <w:rPr>
          <w:sz w:val="24"/>
        </w:rPr>
        <w:t>本项目通过银行转账方式支付款项，具体费用付款额度、方式及时间以财政部门批复意见为准；</w:t>
      </w:r>
    </w:p>
    <w:p>
      <w:pPr>
        <w:pStyle w:val="null3"/>
        <w:ind w:firstLine="480"/>
        <w:jc w:val="both"/>
      </w:pPr>
      <w:r>
        <w:rPr>
          <w:sz w:val="24"/>
        </w:rPr>
        <w:t>2.</w:t>
      </w:r>
      <w:r>
        <w:rPr>
          <w:sz w:val="24"/>
        </w:rPr>
        <w:t>项目实行总价包干制，总工作量达到或超过采购需求中约定的工作量时按中标价结算；</w:t>
      </w:r>
    </w:p>
    <w:p>
      <w:pPr>
        <w:pStyle w:val="null3"/>
        <w:ind w:firstLine="480"/>
        <w:jc w:val="both"/>
      </w:pPr>
      <w:r>
        <w:rPr>
          <w:sz w:val="24"/>
        </w:rPr>
        <w:t>3.</w:t>
      </w:r>
      <w:r>
        <w:rPr>
          <w:sz w:val="24"/>
        </w:rPr>
        <w:t>乙方应开具相应发票予甲方，甲方在收到发票后的十五个工作日内付款，如乙方未按甲方要求开具及交付发票，甲方付款期限相应顺延。本项目资金来源为财政资金，相关付款程序严格遵守中山市政府财政资金支付程序规定；</w:t>
      </w:r>
    </w:p>
    <w:p>
      <w:pPr>
        <w:pStyle w:val="null3"/>
        <w:ind w:firstLine="480"/>
        <w:jc w:val="both"/>
      </w:pPr>
      <w:r>
        <w:rPr>
          <w:sz w:val="24"/>
        </w:rPr>
        <w:t>4.</w:t>
      </w:r>
      <w:r>
        <w:rPr>
          <w:sz w:val="24"/>
        </w:rPr>
        <w:t>前款约定的付款时间为甲方向相关政府采购支付部门提出办理财政支付申请手续的时间（不含政府财政支付部门审核的时间），如甲方在前述约定的时间内提出相应的支付申请手续，即视为甲方已经按期支付；因不可抗力政府原因造成迟延支付的，甲方不构成违约，无需向乙方承担违约责任。</w:t>
      </w:r>
    </w:p>
    <w:p>
      <w:pPr>
        <w:pStyle w:val="null3"/>
        <w:ind w:firstLine="480"/>
        <w:jc w:val="left"/>
      </w:pPr>
    </w:p>
    <w:p>
      <w:pPr>
        <w:pStyle w:val="null3"/>
        <w:ind w:firstLine="480"/>
        <w:jc w:val="left"/>
      </w:pPr>
      <w:r>
        <w:rPr>
          <w:sz w:val="24"/>
        </w:rPr>
        <w:t>5</w:t>
      </w:r>
      <w:r>
        <w:rPr>
          <w:sz w:val="24"/>
        </w:rPr>
        <w:t>、乙方开户银行名称、地址和账号为：</w:t>
      </w:r>
    </w:p>
    <w:p>
      <w:pPr>
        <w:pStyle w:val="null3"/>
        <w:ind w:firstLine="480"/>
        <w:jc w:val="left"/>
      </w:pPr>
      <w:r>
        <w:rPr>
          <w:sz w:val="24"/>
        </w:rPr>
        <w:t>开户名称：</w:t>
      </w:r>
    </w:p>
    <w:p>
      <w:pPr>
        <w:pStyle w:val="null3"/>
        <w:ind w:firstLine="480"/>
        <w:jc w:val="left"/>
      </w:pPr>
      <w:r>
        <w:rPr>
          <w:sz w:val="24"/>
        </w:rPr>
        <w:t>开户银行：</w:t>
      </w:r>
    </w:p>
    <w:p>
      <w:pPr>
        <w:pStyle w:val="null3"/>
        <w:ind w:firstLine="480"/>
        <w:jc w:val="left"/>
      </w:pPr>
      <w:r>
        <w:rPr>
          <w:sz w:val="24"/>
        </w:rPr>
        <w:t>账号：</w:t>
      </w:r>
    </w:p>
    <w:p>
      <w:pPr>
        <w:pStyle w:val="null3"/>
        <w:ind w:firstLine="480"/>
        <w:jc w:val="left"/>
      </w:pPr>
      <w:r>
        <w:rPr>
          <w:sz w:val="24"/>
        </w:rPr>
        <w:t>地址</w:t>
      </w:r>
    </w:p>
    <w:p>
      <w:pPr>
        <w:pStyle w:val="null3"/>
        <w:ind w:firstLine="480"/>
        <w:jc w:val="left"/>
      </w:pPr>
    </w:p>
    <w:p>
      <w:pPr>
        <w:pStyle w:val="null3"/>
        <w:ind w:firstLine="480"/>
        <w:jc w:val="left"/>
      </w:pPr>
      <w:r>
        <w:rPr>
          <w:sz w:val="24"/>
        </w:rPr>
        <w:t>第七条  权利义务权</w:t>
      </w:r>
    </w:p>
    <w:p>
      <w:pPr>
        <w:pStyle w:val="null3"/>
        <w:ind w:firstLine="480"/>
        <w:jc w:val="left"/>
      </w:pPr>
      <w:r>
        <w:rPr>
          <w:sz w:val="24"/>
        </w:rPr>
        <w:t>（一）甲方的权利</w:t>
      </w:r>
    </w:p>
    <w:p>
      <w:pPr>
        <w:pStyle w:val="null3"/>
        <w:ind w:firstLine="480"/>
        <w:jc w:val="left"/>
      </w:pPr>
      <w:r>
        <w:rPr>
          <w:sz w:val="24"/>
        </w:rPr>
        <w:t>1</w:t>
      </w:r>
      <w:r>
        <w:rPr>
          <w:sz w:val="24"/>
        </w:rPr>
        <w:t>、有权要求乙方按照本合同约定的期限、质量标准完成地下市政普查服务项目，并独家享有乙方交付的、技术成果的全部权利（包括但不限于著作权、专利权等知识产权）。</w:t>
      </w:r>
    </w:p>
    <w:p>
      <w:pPr>
        <w:pStyle w:val="null3"/>
        <w:ind w:firstLine="480"/>
        <w:jc w:val="left"/>
      </w:pPr>
      <w:r>
        <w:rPr>
          <w:sz w:val="24"/>
        </w:rPr>
        <w:t>2</w:t>
      </w:r>
      <w:r>
        <w:rPr>
          <w:sz w:val="24"/>
        </w:rPr>
        <w:t>、有权就监督过程中发现的问题提出质疑和建议，要求乙方限期整改。</w:t>
      </w:r>
    </w:p>
    <w:p>
      <w:pPr>
        <w:pStyle w:val="null3"/>
        <w:ind w:firstLine="480"/>
        <w:jc w:val="left"/>
      </w:pPr>
      <w:r>
        <w:rPr>
          <w:sz w:val="24"/>
        </w:rPr>
        <w:t>3</w:t>
      </w:r>
      <w:r>
        <w:rPr>
          <w:sz w:val="24"/>
        </w:rPr>
        <w:t>、乙方未按时提供项目技术服务成果，或者项目未通过验收，有权要求乙方进行修改、重做，所发生的各种费用及责任由乙方承担。</w:t>
      </w:r>
    </w:p>
    <w:p>
      <w:pPr>
        <w:pStyle w:val="null3"/>
        <w:ind w:firstLine="480"/>
        <w:jc w:val="left"/>
      </w:pPr>
      <w:r>
        <w:rPr>
          <w:sz w:val="24"/>
        </w:rPr>
        <w:t>4</w:t>
      </w:r>
      <w:r>
        <w:rPr>
          <w:sz w:val="24"/>
        </w:rPr>
        <w:t>、乙方在普查服务期没有完成本合同约定的工作内容，甲方有权追责并根据乙方的实际工作量，追回实际未完成的工作量所对应的金额。</w:t>
      </w:r>
    </w:p>
    <w:p>
      <w:pPr>
        <w:pStyle w:val="null3"/>
        <w:ind w:firstLine="480"/>
        <w:jc w:val="left"/>
      </w:pPr>
      <w:r>
        <w:rPr>
          <w:sz w:val="24"/>
        </w:rPr>
        <w:t>5</w:t>
      </w:r>
      <w:r>
        <w:rPr>
          <w:sz w:val="24"/>
        </w:rPr>
        <w:t>、甲方发现乙方人员不符合本合同约定条件、不具备相应服务能力或者存在其他情形影响项目实施、不适宜继续提供服务的，有权要求乙方更换合格人员替换，所产生的一切费用由乙方承担。</w:t>
      </w:r>
    </w:p>
    <w:p>
      <w:pPr>
        <w:pStyle w:val="null3"/>
        <w:ind w:firstLine="480"/>
        <w:jc w:val="left"/>
      </w:pPr>
      <w:r>
        <w:rPr>
          <w:sz w:val="24"/>
        </w:rPr>
        <w:t>（二）甲方的义务</w:t>
      </w:r>
    </w:p>
    <w:p>
      <w:pPr>
        <w:pStyle w:val="null3"/>
        <w:ind w:firstLine="480"/>
        <w:jc w:val="left"/>
      </w:pPr>
      <w:r>
        <w:rPr>
          <w:sz w:val="24"/>
        </w:rPr>
        <w:t>1</w:t>
      </w:r>
      <w:r>
        <w:rPr>
          <w:sz w:val="24"/>
        </w:rPr>
        <w:t>、按照本合同约定组织验收乙方所提供的服务和项目成果，按合同约定为乙方办理项目合同费用的财政拨付申请手续。</w:t>
      </w:r>
    </w:p>
    <w:p>
      <w:pPr>
        <w:pStyle w:val="null3"/>
        <w:ind w:firstLine="480"/>
        <w:jc w:val="left"/>
      </w:pPr>
      <w:r>
        <w:rPr>
          <w:sz w:val="24"/>
        </w:rPr>
        <w:t>2</w:t>
      </w:r>
      <w:r>
        <w:rPr>
          <w:sz w:val="24"/>
        </w:rPr>
        <w:t>、在合同生效之日起30日内，按照本合同约定向乙方提供项目实施所需文字资料、图片、数据等材料以及相应的工作条件，并安排专业人员对接协调。</w:t>
      </w:r>
    </w:p>
    <w:p>
      <w:pPr>
        <w:pStyle w:val="null3"/>
        <w:ind w:firstLine="480"/>
        <w:jc w:val="left"/>
      </w:pPr>
      <w:r>
        <w:rPr>
          <w:sz w:val="24"/>
        </w:rPr>
        <w:t>3</w:t>
      </w:r>
      <w:r>
        <w:rPr>
          <w:sz w:val="24"/>
        </w:rPr>
        <w:t>、根据本项目的质量技术等要求，对乙方履行本合同情况随时进行监督检查。对监督检查中发现的质量问题，有权要求乙方按合同进行修改和完善。</w:t>
      </w:r>
    </w:p>
    <w:p>
      <w:pPr>
        <w:pStyle w:val="null3"/>
        <w:ind w:firstLine="480"/>
        <w:jc w:val="left"/>
      </w:pPr>
      <w:r>
        <w:rPr>
          <w:sz w:val="24"/>
        </w:rPr>
        <w:t>4</w:t>
      </w:r>
      <w:r>
        <w:rPr>
          <w:sz w:val="24"/>
        </w:rPr>
        <w:t>、负责组织对项目进行验收。乙方未按时提供技术成果，或者所提供技术成果未通过验收，有权要求乙方进行修改、重做，并重新议定验收时间，所发生的各种费用由乙方承担。</w:t>
      </w:r>
    </w:p>
    <w:p>
      <w:pPr>
        <w:pStyle w:val="null3"/>
        <w:ind w:firstLine="480"/>
        <w:jc w:val="left"/>
      </w:pPr>
      <w:r>
        <w:rPr>
          <w:sz w:val="24"/>
        </w:rPr>
        <w:t>（三）乙方的权利</w:t>
      </w:r>
    </w:p>
    <w:p>
      <w:pPr>
        <w:pStyle w:val="null3"/>
        <w:ind w:firstLine="480"/>
        <w:jc w:val="left"/>
      </w:pPr>
      <w:r>
        <w:rPr>
          <w:sz w:val="24"/>
        </w:rPr>
        <w:t>1</w:t>
      </w:r>
      <w:r>
        <w:rPr>
          <w:sz w:val="24"/>
        </w:rPr>
        <w:t>、乙方依约履行合同的相应义务后，有权获得本合同约定的报酬。</w:t>
      </w:r>
    </w:p>
    <w:p>
      <w:pPr>
        <w:pStyle w:val="null3"/>
        <w:ind w:firstLine="480"/>
        <w:jc w:val="left"/>
      </w:pPr>
      <w:r>
        <w:rPr>
          <w:sz w:val="24"/>
        </w:rPr>
        <w:t>2</w:t>
      </w:r>
      <w:r>
        <w:rPr>
          <w:sz w:val="24"/>
        </w:rPr>
        <w:t>、发现甲方提供的材料和工作条件不符合本合同约定的，有权通知甲方补充和更换。乙方自收到甲方提供项目的相关文字资料、数据等材料后3日内未提出书面异议的，视为甲方已按要求履行合同义务，乙方不得以甲方提供资料不符合要求为由拒绝或怠于履行合同义务。</w:t>
      </w:r>
    </w:p>
    <w:p>
      <w:pPr>
        <w:pStyle w:val="null3"/>
        <w:ind w:firstLine="480"/>
        <w:jc w:val="left"/>
      </w:pPr>
      <w:r>
        <w:rPr>
          <w:sz w:val="24"/>
        </w:rPr>
        <w:t>（四）乙方的义务</w:t>
      </w:r>
    </w:p>
    <w:p>
      <w:pPr>
        <w:pStyle w:val="null3"/>
        <w:ind w:firstLine="480"/>
        <w:jc w:val="left"/>
      </w:pPr>
      <w:r>
        <w:rPr>
          <w:sz w:val="24"/>
        </w:rPr>
        <w:t>1</w:t>
      </w:r>
      <w:r>
        <w:rPr>
          <w:sz w:val="24"/>
        </w:rPr>
        <w:t>、合同签定后，按本合同约定编制实施方案，乙方均应提前书面提交给甲方，在获得甲方认可后方可实施（特别约定：甲方对相关方案的认可，并不视为甲方需要对相关方案负责；相关方案的合法性合规性等全部责任仍全部由乙方自行承担）。</w:t>
      </w:r>
    </w:p>
    <w:p>
      <w:pPr>
        <w:pStyle w:val="null3"/>
        <w:ind w:firstLine="480"/>
        <w:jc w:val="left"/>
      </w:pPr>
      <w:r>
        <w:rPr>
          <w:sz w:val="24"/>
        </w:rPr>
        <w:t>2</w:t>
      </w:r>
      <w:r>
        <w:rPr>
          <w:sz w:val="24"/>
        </w:rPr>
        <w:t>、乙方完成普查工作后10个工作日内须协助甲方整理移交给监理单位的资料【包括但不限于基础数据资料、普查成果资料，项目技术设计书、项目技术总结、项目质量检查报告、调查记录表、调查成果表及相关图件、地下管线入库数据，地下交通设施、地下其他工程普查成果数据库（数据必须包含按《指导手册》、《技术导则》要求新增的属性项）、新建、迁改设施项目台帐、废弃工程台帐】。</w:t>
      </w:r>
    </w:p>
    <w:p>
      <w:pPr>
        <w:pStyle w:val="null3"/>
        <w:ind w:firstLine="480"/>
        <w:jc w:val="left"/>
      </w:pPr>
      <w:r>
        <w:rPr>
          <w:sz w:val="24"/>
        </w:rPr>
        <w:t>3</w:t>
      </w:r>
      <w:r>
        <w:rPr>
          <w:sz w:val="24"/>
        </w:rPr>
        <w:t>、乙方应保证其提供服务过程中的合法性、准确性，不违反相关法律、法规、政策、行业准则的规定以及公共道德要求，不侵犯或损害任何第三方的合法权益。</w:t>
      </w:r>
    </w:p>
    <w:p>
      <w:pPr>
        <w:pStyle w:val="null3"/>
        <w:ind w:firstLine="480"/>
        <w:jc w:val="left"/>
      </w:pPr>
      <w:r>
        <w:rPr>
          <w:sz w:val="24"/>
        </w:rPr>
        <w:t>4</w:t>
      </w:r>
      <w:r>
        <w:rPr>
          <w:sz w:val="24"/>
        </w:rPr>
        <w:t>、依本合同约定按时完成项目任务和提交项目成果，确保所提交的项目成果能达到本合同约定目标，并配合甲方做好验收、成果归档等工作。</w:t>
      </w:r>
    </w:p>
    <w:p>
      <w:pPr>
        <w:pStyle w:val="null3"/>
        <w:ind w:firstLine="480"/>
        <w:jc w:val="left"/>
      </w:pPr>
      <w:r>
        <w:rPr>
          <w:sz w:val="24"/>
        </w:rPr>
        <w:t>5</w:t>
      </w:r>
      <w:r>
        <w:rPr>
          <w:sz w:val="24"/>
        </w:rPr>
        <w:t>、按本合同约定自行组织入库服务项目实施，未经甲方书面允许，不得变更项目内容。</w:t>
      </w:r>
    </w:p>
    <w:p>
      <w:pPr>
        <w:pStyle w:val="null3"/>
        <w:ind w:firstLine="480"/>
        <w:jc w:val="left"/>
      </w:pPr>
      <w:r>
        <w:rPr>
          <w:sz w:val="24"/>
        </w:rPr>
        <w:t>6</w:t>
      </w:r>
      <w:r>
        <w:rPr>
          <w:sz w:val="24"/>
        </w:rPr>
        <w:t>、在服务期内，按照本合同约定做好质量保证服务。</w:t>
      </w:r>
    </w:p>
    <w:p>
      <w:pPr>
        <w:pStyle w:val="null3"/>
        <w:ind w:firstLine="480"/>
        <w:jc w:val="left"/>
      </w:pPr>
      <w:r>
        <w:rPr>
          <w:b/>
          <w:sz w:val="24"/>
        </w:rPr>
        <w:t>第八条 验收方式</w:t>
      </w:r>
    </w:p>
    <w:p>
      <w:pPr>
        <w:pStyle w:val="null3"/>
        <w:ind w:firstLine="480"/>
        <w:jc w:val="left"/>
      </w:pPr>
      <w:r>
        <w:rPr>
          <w:sz w:val="24"/>
        </w:rPr>
        <w:t>1</w:t>
      </w:r>
      <w:r>
        <w:rPr>
          <w:sz w:val="24"/>
        </w:rPr>
        <w:t>、项目验收主体为甲方，总体验收由监理单位按本项目的政策依据、技术标准提供监理报告后，协助甲方组织专家验收会进行验收。</w:t>
      </w:r>
    </w:p>
    <w:p>
      <w:pPr>
        <w:pStyle w:val="null3"/>
        <w:ind w:firstLine="480"/>
        <w:jc w:val="left"/>
      </w:pPr>
      <w:r>
        <w:rPr>
          <w:sz w:val="24"/>
        </w:rPr>
        <w:t>2</w:t>
      </w:r>
      <w:r>
        <w:rPr>
          <w:sz w:val="24"/>
        </w:rPr>
        <w:t>、如验收不通过或未如期完成普查工作的，由此造成的损失由乙方承担。</w:t>
      </w:r>
    </w:p>
    <w:p>
      <w:pPr>
        <w:pStyle w:val="null3"/>
        <w:ind w:firstLine="480"/>
        <w:jc w:val="left"/>
      </w:pPr>
      <w:r>
        <w:rPr>
          <w:b/>
          <w:sz w:val="24"/>
        </w:rPr>
        <w:t>第九条 保密</w:t>
      </w:r>
    </w:p>
    <w:p>
      <w:pPr>
        <w:pStyle w:val="null3"/>
        <w:ind w:firstLine="480"/>
        <w:jc w:val="left"/>
      </w:pPr>
      <w:r>
        <w:rPr>
          <w:sz w:val="24"/>
        </w:rPr>
        <w:t>1</w:t>
      </w:r>
      <w:r>
        <w:rPr>
          <w:sz w:val="24"/>
        </w:rPr>
        <w:t>、自本合同签订之日起至合同终止结束后【 】年内，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ind w:firstLine="480"/>
        <w:jc w:val="left"/>
      </w:pPr>
      <w:r>
        <w:rPr>
          <w:sz w:val="24"/>
        </w:rPr>
        <w:t>2</w:t>
      </w:r>
      <w:r>
        <w:rPr>
          <w:sz w:val="24"/>
        </w:rPr>
        <w:t>、未经甲方事先书面同意，乙方不得将由甲方为本合同提供的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jc w:val="left"/>
      </w:pPr>
      <w:r>
        <w:rPr>
          <w:sz w:val="24"/>
        </w:rPr>
        <w:t>3</w:t>
      </w:r>
      <w:r>
        <w:rPr>
          <w:sz w:val="24"/>
        </w:rPr>
        <w:t>、除了合同本身之外，上款所列举的任何物件均是甲方的财产。如果甲方有要求，乙方在项目最终验收通过后【10】日内应将这些物件及全部复制件还给甲方。</w:t>
      </w:r>
    </w:p>
    <w:p>
      <w:pPr>
        <w:pStyle w:val="null3"/>
        <w:ind w:firstLine="480"/>
        <w:jc w:val="left"/>
      </w:pPr>
    </w:p>
    <w:p>
      <w:pPr>
        <w:pStyle w:val="null3"/>
        <w:ind w:firstLine="480"/>
        <w:jc w:val="left"/>
      </w:pPr>
      <w:r>
        <w:rPr>
          <w:b/>
          <w:sz w:val="24"/>
        </w:rPr>
        <w:t>第十条 知识产权</w:t>
      </w:r>
    </w:p>
    <w:p>
      <w:pPr>
        <w:pStyle w:val="null3"/>
        <w:ind w:firstLine="480"/>
        <w:jc w:val="left"/>
      </w:pPr>
      <w:r>
        <w:rPr>
          <w:sz w:val="24"/>
        </w:rPr>
        <w:t>1</w:t>
      </w:r>
      <w:r>
        <w:rPr>
          <w:sz w:val="24"/>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0"/>
        <w:jc w:val="left"/>
      </w:pPr>
      <w:r>
        <w:rPr>
          <w:sz w:val="24"/>
        </w:rPr>
        <w:t>2</w:t>
      </w:r>
      <w:r>
        <w:rPr>
          <w:sz w:val="24"/>
        </w:rPr>
        <w:t>、本项目成果的知识产权全部归甲方单方所有。</w:t>
      </w:r>
    </w:p>
    <w:p>
      <w:pPr>
        <w:pStyle w:val="null3"/>
        <w:ind w:firstLine="480"/>
        <w:jc w:val="left"/>
      </w:pPr>
    </w:p>
    <w:p>
      <w:pPr>
        <w:pStyle w:val="null3"/>
        <w:ind w:firstLine="480"/>
        <w:jc w:val="left"/>
      </w:pPr>
      <w:r>
        <w:rPr>
          <w:b/>
          <w:sz w:val="24"/>
        </w:rPr>
        <w:t xml:space="preserve">第十一条  税和关税 </w:t>
      </w:r>
    </w:p>
    <w:p>
      <w:pPr>
        <w:pStyle w:val="null3"/>
        <w:ind w:firstLine="480"/>
        <w:jc w:val="left"/>
      </w:pPr>
      <w:r>
        <w:rPr>
          <w:sz w:val="24"/>
        </w:rPr>
        <w:t>1</w:t>
      </w:r>
      <w:r>
        <w:rPr>
          <w:sz w:val="24"/>
        </w:rPr>
        <w:t>、中国政府根据现行税法规定对乙方或其雇员征收的与本合同有关的一切税费应由乙方承担。</w:t>
      </w:r>
    </w:p>
    <w:p>
      <w:pPr>
        <w:pStyle w:val="null3"/>
        <w:ind w:firstLine="480"/>
        <w:jc w:val="left"/>
      </w:pPr>
      <w:r>
        <w:rPr>
          <w:sz w:val="24"/>
        </w:rPr>
        <w:t>2</w:t>
      </w:r>
      <w:r>
        <w:rPr>
          <w:sz w:val="24"/>
        </w:rPr>
        <w:t>、在中国境外发生的与本合同执行有关的一切税费均应由乙方承担。</w:t>
      </w:r>
    </w:p>
    <w:p>
      <w:pPr>
        <w:pStyle w:val="null3"/>
        <w:ind w:firstLine="480"/>
        <w:jc w:val="left"/>
      </w:pPr>
    </w:p>
    <w:p>
      <w:pPr>
        <w:pStyle w:val="null3"/>
        <w:ind w:firstLine="480"/>
        <w:jc w:val="left"/>
      </w:pPr>
      <w:r>
        <w:rPr>
          <w:b/>
          <w:sz w:val="24"/>
        </w:rPr>
        <w:t xml:space="preserve">第十二条 其它约定 </w:t>
      </w:r>
    </w:p>
    <w:p>
      <w:pPr>
        <w:pStyle w:val="null3"/>
        <w:ind w:firstLine="480"/>
        <w:jc w:val="left"/>
      </w:pPr>
      <w:r>
        <w:rPr>
          <w:sz w:val="24"/>
        </w:rPr>
        <w:t>1</w:t>
      </w:r>
      <w:r>
        <w:rPr>
          <w:sz w:val="24"/>
        </w:rPr>
        <w:t>、严禁转包，未经甲方书面同意不得分包。</w:t>
      </w:r>
    </w:p>
    <w:p>
      <w:pPr>
        <w:pStyle w:val="null3"/>
        <w:ind w:firstLine="480"/>
        <w:jc w:val="left"/>
      </w:pPr>
      <w:r>
        <w:rPr>
          <w:sz w:val="24"/>
        </w:rPr>
        <w:t>2</w:t>
      </w:r>
      <w:r>
        <w:rPr>
          <w:sz w:val="24"/>
        </w:rPr>
        <w:t>、乙方全部工作人员，须符合中山市政府用工标准要求。</w:t>
      </w:r>
    </w:p>
    <w:p>
      <w:pPr>
        <w:pStyle w:val="null3"/>
        <w:ind w:firstLine="480"/>
        <w:jc w:val="left"/>
      </w:pPr>
      <w:r>
        <w:rPr>
          <w:sz w:val="24"/>
        </w:rPr>
        <w:t>3</w:t>
      </w:r>
      <w:r>
        <w:rPr>
          <w:sz w:val="24"/>
        </w:rPr>
        <w:t>、乙方服务人员进行服务期间的过失或故意行为，造成甲方经济损失的，由乙方负责赔偿。</w:t>
      </w:r>
    </w:p>
    <w:p>
      <w:pPr>
        <w:pStyle w:val="null3"/>
        <w:ind w:firstLine="480"/>
        <w:jc w:val="left"/>
      </w:pPr>
      <w:r>
        <w:rPr>
          <w:sz w:val="24"/>
        </w:rPr>
        <w:t>4</w:t>
      </w:r>
      <w:r>
        <w:rPr>
          <w:sz w:val="24"/>
        </w:rPr>
        <w:t>、服务人员的劳动关系隶属乙方，乙方负责服务人员的工资、节假日和超时加班补助费、社会保险、住宿、伙食等。</w:t>
      </w:r>
    </w:p>
    <w:p>
      <w:pPr>
        <w:pStyle w:val="null3"/>
        <w:ind w:firstLine="480"/>
        <w:jc w:val="left"/>
      </w:pPr>
      <w:r>
        <w:rPr>
          <w:sz w:val="24"/>
        </w:rPr>
        <w:t>5</w:t>
      </w:r>
      <w:r>
        <w:rPr>
          <w:sz w:val="24"/>
        </w:rPr>
        <w:t>、乙方负责本项目服务人员购买因意外身故或伤残和因意外事故住院治疗保险，并负责办理一切保险赔偿手续。</w:t>
      </w:r>
    </w:p>
    <w:p>
      <w:pPr>
        <w:pStyle w:val="null3"/>
        <w:ind w:firstLine="480"/>
        <w:jc w:val="left"/>
      </w:pPr>
      <w:r>
        <w:rPr>
          <w:sz w:val="24"/>
        </w:rPr>
        <w:t>6</w:t>
      </w:r>
      <w:r>
        <w:rPr>
          <w:sz w:val="24"/>
        </w:rPr>
        <w:t>、不可抗力及免责条款：因不可抗力影响而不能履行或不能完全履行本合同的一方无需承担违约责任。但遇有不可抗力的一方应立即将情况书面通知对方，并于15日内出示有效证明。双方按照事件对合同履行影响程度，再行协商决定是否继续履行或终止。</w:t>
      </w:r>
    </w:p>
    <w:p>
      <w:pPr>
        <w:pStyle w:val="null3"/>
        <w:ind w:firstLine="480"/>
        <w:jc w:val="left"/>
      </w:pPr>
    </w:p>
    <w:p>
      <w:pPr>
        <w:pStyle w:val="null3"/>
        <w:ind w:firstLine="480"/>
        <w:jc w:val="left"/>
      </w:pPr>
      <w:r>
        <w:rPr>
          <w:sz w:val="24"/>
        </w:rPr>
        <w:t>第十三条 风险管控措施</w:t>
      </w:r>
    </w:p>
    <w:p>
      <w:pPr>
        <w:pStyle w:val="null3"/>
        <w:ind w:firstLine="480"/>
        <w:jc w:val="left"/>
      </w:pPr>
      <w:r>
        <w:rPr>
          <w:sz w:val="21"/>
        </w:rPr>
        <w:t xml:space="preserve"> </w:t>
      </w:r>
    </w:p>
    <w:p>
      <w:pPr>
        <w:pStyle w:val="null3"/>
        <w:ind w:firstLine="480"/>
        <w:jc w:val="left"/>
      </w:pPr>
      <w:r>
        <w:rPr>
          <w:sz w:val="24"/>
        </w:rPr>
        <w:t>针对在合同履行过程中可能出现的风险，制定以下相应处置措施：</w:t>
      </w:r>
    </w:p>
    <w:p>
      <w:pPr>
        <w:pStyle w:val="null3"/>
        <w:ind w:firstLine="480"/>
        <w:jc w:val="left"/>
      </w:pPr>
      <w:r>
        <w:rPr>
          <w:sz w:val="24"/>
        </w:rPr>
        <w:t>1</w:t>
      </w:r>
      <w:r>
        <w:rPr>
          <w:sz w:val="24"/>
        </w:rPr>
        <w:t>、国家政策变化、实施环境变化、重大技术变化</w:t>
      </w:r>
    </w:p>
    <w:p>
      <w:pPr>
        <w:pStyle w:val="null3"/>
        <w:ind w:firstLine="480"/>
        <w:jc w:val="left"/>
      </w:pPr>
      <w:r>
        <w:rPr>
          <w:sz w:val="24"/>
        </w:rPr>
        <w:t>若在合同实施阶段有国家政策变化、实施环境变化、重大技术变化，甲方与乙方协商解决，通过签订补充协议进行调整或更正服务内容；若协商不成或无法继续履行合同的，甲方有权解除合同，乙方不得向甲方索要因国家政策变化、实施环境变化、重大技术变化而解除合同造成的损失。</w:t>
      </w:r>
    </w:p>
    <w:p>
      <w:pPr>
        <w:pStyle w:val="null3"/>
        <w:ind w:firstLine="480"/>
        <w:jc w:val="left"/>
      </w:pPr>
      <w:r>
        <w:rPr>
          <w:sz w:val="24"/>
        </w:rPr>
        <w:t>2</w:t>
      </w:r>
      <w:r>
        <w:rPr>
          <w:sz w:val="24"/>
        </w:rPr>
        <w:t>、不按规定签订合同</w:t>
      </w:r>
    </w:p>
    <w:p>
      <w:pPr>
        <w:pStyle w:val="null3"/>
        <w:ind w:firstLine="480"/>
        <w:jc w:val="left"/>
      </w:pPr>
      <w:r>
        <w:rPr>
          <w:sz w:val="24"/>
        </w:rPr>
        <w:t>（1）由于甲方原因不按规定签订合同的，乙方可向财政部门反映，由财政部门进行处理。</w:t>
      </w:r>
    </w:p>
    <w:p>
      <w:pPr>
        <w:pStyle w:val="null3"/>
        <w:ind w:firstLine="480"/>
        <w:jc w:val="left"/>
      </w:pPr>
      <w:r>
        <w:rPr>
          <w:sz w:val="24"/>
        </w:rPr>
        <w:t>（2）由于乙方原因不按规定签订合同的，乙方向财政部门反映，由财政部门进行处理。后续根据财政部门的意见按采购结果中标候选人推荐顺序选择另一乙方签订合同或重新组织招标。</w:t>
      </w:r>
    </w:p>
    <w:p>
      <w:pPr>
        <w:pStyle w:val="null3"/>
        <w:ind w:firstLine="480"/>
        <w:jc w:val="left"/>
      </w:pPr>
      <w:r>
        <w:rPr>
          <w:sz w:val="24"/>
        </w:rPr>
        <w:t>3</w:t>
      </w:r>
      <w:r>
        <w:rPr>
          <w:sz w:val="24"/>
        </w:rPr>
        <w:t>、不按规定履行合同</w:t>
      </w:r>
    </w:p>
    <w:p>
      <w:pPr>
        <w:pStyle w:val="null3"/>
        <w:ind w:firstLine="480"/>
        <w:jc w:val="left"/>
      </w:pPr>
      <w:r>
        <w:rPr>
          <w:sz w:val="24"/>
        </w:rPr>
        <w:t>由于合同任意一方原因不按规定履行合同的，按合同条款“第十四条 违约责任”和“第十五条 争议的解决”相关规定进行处理。</w:t>
      </w:r>
    </w:p>
    <w:p>
      <w:pPr>
        <w:pStyle w:val="null3"/>
        <w:ind w:firstLine="480"/>
        <w:jc w:val="left"/>
      </w:pPr>
      <w:r>
        <w:rPr>
          <w:sz w:val="24"/>
        </w:rPr>
        <w:t>4</w:t>
      </w:r>
      <w:r>
        <w:rPr>
          <w:sz w:val="24"/>
        </w:rPr>
        <w:t>、出现损害国家利益和社会公共利益情形</w:t>
      </w:r>
    </w:p>
    <w:p>
      <w:pPr>
        <w:pStyle w:val="null3"/>
        <w:ind w:firstLine="480"/>
        <w:jc w:val="left"/>
      </w:pPr>
      <w:r>
        <w:rPr>
          <w:sz w:val="24"/>
        </w:rPr>
        <w:t>若在合同实施阶段双方出现损害国家利益和社会公共利益的，任一一方应及时制止并向有关部门反映，由有关部门进行处理。</w:t>
      </w:r>
    </w:p>
    <w:p>
      <w:pPr>
        <w:pStyle w:val="null3"/>
        <w:ind w:firstLine="480"/>
        <w:jc w:val="left"/>
      </w:pPr>
      <w:r>
        <w:rPr>
          <w:b/>
          <w:sz w:val="24"/>
        </w:rPr>
        <w:t>第十四条 违约责任</w:t>
      </w:r>
    </w:p>
    <w:p>
      <w:pPr>
        <w:pStyle w:val="null3"/>
        <w:ind w:firstLine="480"/>
        <w:jc w:val="left"/>
      </w:pPr>
      <w:r>
        <w:rPr>
          <w:sz w:val="24"/>
        </w:rPr>
        <w:t>1</w:t>
      </w:r>
      <w:r>
        <w:rPr>
          <w:sz w:val="24"/>
        </w:rPr>
        <w:t>、合同双方任何一方不履行合同条款或不按合同约定履行条款的其它情况，均属违约，由违约方承担违约责任，赔偿因其违约造成的损失，并支付合同价款总额30%的违约金。</w:t>
      </w:r>
    </w:p>
    <w:p>
      <w:pPr>
        <w:pStyle w:val="null3"/>
        <w:ind w:firstLine="480"/>
        <w:jc w:val="left"/>
      </w:pPr>
      <w:r>
        <w:rPr>
          <w:sz w:val="24"/>
        </w:rPr>
        <w:t>2</w:t>
      </w:r>
      <w:r>
        <w:rPr>
          <w:sz w:val="24"/>
        </w:rPr>
        <w:t>、乙方委派的人员须严格按照招标文件及投标承诺配备人员及设备，未经甲方书面同意，不得更换，因此造成的损失由乙方独自承担。若乙方更换应及时改正，在甲方书面告知其改正后3日内乙方仍不改正，甲方有权解决合同。</w:t>
      </w:r>
    </w:p>
    <w:p>
      <w:pPr>
        <w:pStyle w:val="null3"/>
        <w:ind w:firstLine="480"/>
        <w:jc w:val="left"/>
      </w:pPr>
      <w:r>
        <w:rPr>
          <w:sz w:val="24"/>
        </w:rPr>
        <w:t>3</w:t>
      </w:r>
      <w:r>
        <w:rPr>
          <w:sz w:val="24"/>
        </w:rPr>
        <w:t>、乙方的服务质量未达到招标文件要求的，甲方有权要求乙方重做直至服务质量符合标准为止。若乙方拒绝或未及时24小时内响应或多次改正仍未达甲方标准，则甲方有权解除合同，并让乙方承担所有损失。</w:t>
      </w:r>
    </w:p>
    <w:p>
      <w:pPr>
        <w:pStyle w:val="null3"/>
        <w:ind w:firstLine="480"/>
        <w:jc w:val="left"/>
      </w:pPr>
      <w:r>
        <w:rPr>
          <w:sz w:val="24"/>
        </w:rPr>
        <w:t>4</w:t>
      </w:r>
      <w:r>
        <w:rPr>
          <w:sz w:val="24"/>
        </w:rPr>
        <w:t>、乙方未能达到管理要求的，应承担相应的管理责任。</w:t>
      </w:r>
    </w:p>
    <w:p>
      <w:pPr>
        <w:pStyle w:val="null3"/>
        <w:ind w:firstLine="480"/>
        <w:jc w:val="left"/>
      </w:pPr>
      <w:r>
        <w:rPr>
          <w:sz w:val="24"/>
        </w:rPr>
        <w:t>5</w:t>
      </w:r>
      <w:r>
        <w:rPr>
          <w:sz w:val="24"/>
        </w:rPr>
        <w:t>、乙方未达到数据保密要求的，甲方因此遭受损失的，由乙方承担带来的损失及法律责任。</w:t>
      </w:r>
    </w:p>
    <w:p>
      <w:pPr>
        <w:pStyle w:val="null3"/>
        <w:ind w:firstLine="480"/>
        <w:jc w:val="left"/>
      </w:pPr>
      <w:r>
        <w:rPr>
          <w:sz w:val="24"/>
        </w:rPr>
        <w:t>6</w:t>
      </w:r>
      <w:r>
        <w:rPr>
          <w:sz w:val="24"/>
        </w:rPr>
        <w:t>、由于乙方的原因，导致双方签订的合同终止，乙方因此而遭受的损失，将由乙方独立承担，甲方对此不负任何责任，也不作任何赔偿。</w:t>
      </w:r>
    </w:p>
    <w:p>
      <w:pPr>
        <w:pStyle w:val="null3"/>
        <w:ind w:firstLine="480"/>
        <w:jc w:val="left"/>
      </w:pPr>
    </w:p>
    <w:p>
      <w:pPr>
        <w:pStyle w:val="null3"/>
        <w:ind w:firstLine="480"/>
        <w:jc w:val="left"/>
      </w:pPr>
      <w:r>
        <w:rPr>
          <w:sz w:val="24"/>
        </w:rPr>
        <w:t>第十五条 争议的解决</w:t>
      </w:r>
    </w:p>
    <w:p>
      <w:pPr>
        <w:pStyle w:val="null3"/>
        <w:ind w:firstLine="480"/>
        <w:jc w:val="left"/>
      </w:pPr>
      <w:r>
        <w:rPr>
          <w:sz w:val="24"/>
        </w:rPr>
        <w:t>1</w:t>
      </w:r>
      <w:r>
        <w:rPr>
          <w:sz w:val="24"/>
        </w:rPr>
        <w:t>、凡与本合同有关而引起的一切争议，甲乙双方应首先通过友好协商解决，如经协商后仍不能达成协议时，任何一方可以向法院提出诉讼。</w:t>
      </w:r>
    </w:p>
    <w:p>
      <w:pPr>
        <w:pStyle w:val="null3"/>
        <w:ind w:firstLine="480"/>
        <w:jc w:val="left"/>
      </w:pPr>
      <w:r>
        <w:rPr>
          <w:sz w:val="24"/>
        </w:rPr>
        <w:t>2</w:t>
      </w:r>
      <w:r>
        <w:rPr>
          <w:sz w:val="24"/>
        </w:rPr>
        <w:t>、本合同发生的诉讼管辖地为甲方所在地有管辖权的法院。</w:t>
      </w:r>
    </w:p>
    <w:p>
      <w:pPr>
        <w:pStyle w:val="null3"/>
        <w:ind w:firstLine="480"/>
        <w:jc w:val="left"/>
      </w:pPr>
      <w:r>
        <w:rPr>
          <w:sz w:val="24"/>
        </w:rPr>
        <w:t>3</w:t>
      </w:r>
      <w:r>
        <w:rPr>
          <w:sz w:val="24"/>
        </w:rPr>
        <w:t>、在进行法院审理期间，除提交法院审理的事项外，合同其他部分仍继续履行。</w:t>
      </w:r>
    </w:p>
    <w:p>
      <w:pPr>
        <w:pStyle w:val="null3"/>
        <w:ind w:firstLine="480"/>
        <w:jc w:val="left"/>
      </w:pPr>
      <w:r>
        <w:rPr>
          <w:sz w:val="24"/>
        </w:rPr>
        <w:t>4</w:t>
      </w:r>
      <w:r>
        <w:rPr>
          <w:sz w:val="24"/>
        </w:rPr>
        <w:t>、本合同按照中华人民共和国的法律进行解释。</w:t>
      </w:r>
    </w:p>
    <w:p>
      <w:pPr>
        <w:pStyle w:val="null3"/>
        <w:ind w:firstLine="480"/>
        <w:jc w:val="left"/>
      </w:pPr>
    </w:p>
    <w:p>
      <w:pPr>
        <w:pStyle w:val="null3"/>
        <w:ind w:firstLine="480"/>
        <w:jc w:val="left"/>
      </w:pPr>
      <w:r>
        <w:rPr>
          <w:sz w:val="24"/>
        </w:rPr>
        <w:t>第十六条 合同生效</w:t>
      </w:r>
    </w:p>
    <w:p>
      <w:pPr>
        <w:pStyle w:val="null3"/>
        <w:ind w:firstLine="480"/>
        <w:jc w:val="left"/>
      </w:pPr>
      <w:r>
        <w:rPr>
          <w:sz w:val="24"/>
        </w:rPr>
        <w:t>1</w:t>
      </w:r>
      <w:r>
        <w:rPr>
          <w:sz w:val="24"/>
        </w:rPr>
        <w:t>、本合同由双方法定代表人或委托代理人签字盖章后立即生效，具有同等法律效力，合同有效期随服务期结束而自然终止。</w:t>
      </w:r>
    </w:p>
    <w:p>
      <w:pPr>
        <w:pStyle w:val="null3"/>
        <w:ind w:firstLine="480"/>
        <w:jc w:val="left"/>
      </w:pPr>
      <w:r>
        <w:rPr>
          <w:sz w:val="24"/>
        </w:rPr>
        <w:t>2</w:t>
      </w:r>
      <w:r>
        <w:rPr>
          <w:sz w:val="24"/>
        </w:rPr>
        <w:t>、本合同一式 份，其中甲方 份、乙方 份，采购代理机构 壹 份（须在合同签订之日起7个工作日内递交）。</w:t>
      </w:r>
    </w:p>
    <w:p>
      <w:pPr>
        <w:pStyle w:val="null3"/>
        <w:ind w:firstLine="480"/>
        <w:jc w:val="left"/>
      </w:pPr>
    </w:p>
    <w:p>
      <w:pPr>
        <w:pStyle w:val="null3"/>
        <w:ind w:firstLine="480"/>
        <w:jc w:val="left"/>
      </w:pPr>
      <w:r>
        <w:rPr>
          <w:b/>
          <w:sz w:val="24"/>
        </w:rPr>
        <w:t>第十七条 其它</w:t>
      </w:r>
    </w:p>
    <w:p>
      <w:pPr>
        <w:pStyle w:val="null3"/>
        <w:ind w:firstLine="480"/>
        <w:jc w:val="left"/>
      </w:pPr>
      <w:r>
        <w:rPr>
          <w:sz w:val="24"/>
        </w:rPr>
        <w:t>1</w:t>
      </w:r>
      <w:r>
        <w:rPr>
          <w:sz w:val="24"/>
        </w:rPr>
        <w:t>、本合同未尽事宜，双方可签订补充合同，补充合同与所有附件均为合同的有效组成部分，与本合同具有同等法律效力。</w:t>
      </w:r>
    </w:p>
    <w:p>
      <w:pPr>
        <w:pStyle w:val="null3"/>
        <w:ind w:firstLine="480"/>
        <w:jc w:val="left"/>
      </w:pPr>
      <w:r>
        <w:rPr>
          <w:sz w:val="24"/>
        </w:rPr>
        <w:t>2</w:t>
      </w:r>
      <w:r>
        <w:rPr>
          <w:sz w:val="24"/>
        </w:rPr>
        <w:t>、在执行本合同的过程中，所有经甲乙双方签署确认的文件（包括会议纪要、补充协议、往来信函、合同附件等）即成为本合同的有效组成部分，其生效日期为双方签字盖章或确认之日期。</w:t>
      </w:r>
    </w:p>
    <w:p>
      <w:pPr>
        <w:pStyle w:val="null3"/>
        <w:ind w:firstLine="480"/>
        <w:jc w:val="left"/>
      </w:pPr>
      <w:r>
        <w:rPr>
          <w:sz w:val="24"/>
        </w:rPr>
        <w:t>3</w:t>
      </w:r>
      <w:r>
        <w:rPr>
          <w:sz w:val="24"/>
        </w:rPr>
        <w:t>、通知与送达条款</w:t>
      </w:r>
    </w:p>
    <w:p>
      <w:pPr>
        <w:pStyle w:val="null3"/>
        <w:ind w:firstLine="480"/>
        <w:jc w:val="left"/>
      </w:pPr>
      <w:r>
        <w:rPr>
          <w:sz w:val="24"/>
        </w:rPr>
        <w:t>甲、乙双方因本合同所产生所有文本的送达以合同尾部确认的通讯地址为准。若一方变更通讯地址，应在3日内书面通知对方，否则文书送达产生法律效力，视同已送达成功。本合同合计页A4纸张，缺页之合同为无效合同。</w:t>
      </w:r>
    </w:p>
    <w:p>
      <w:pPr>
        <w:pStyle w:val="null3"/>
        <w:ind w:firstLine="480"/>
        <w:jc w:val="both"/>
      </w:pPr>
    </w:p>
    <w:p>
      <w:pPr>
        <w:pStyle w:val="null3"/>
        <w:ind w:firstLine="480"/>
        <w:jc w:val="both"/>
      </w:pPr>
    </w:p>
    <w:p>
      <w:pPr>
        <w:pStyle w:val="null3"/>
        <w:ind w:firstLine="480"/>
        <w:jc w:val="both"/>
      </w:pPr>
    </w:p>
    <w:p>
      <w:pPr>
        <w:pStyle w:val="null3"/>
        <w:ind w:firstLine="480"/>
        <w:jc w:val="both"/>
      </w:pPr>
      <w:r>
        <w:rPr>
          <w:sz w:val="24"/>
        </w:rPr>
        <w:t>甲方（盖章）：                                 乙方（盖章）：</w:t>
      </w:r>
    </w:p>
    <w:p>
      <w:pPr>
        <w:pStyle w:val="null3"/>
        <w:ind w:firstLine="480"/>
        <w:jc w:val="both"/>
      </w:pPr>
      <w:r>
        <w:rPr>
          <w:sz w:val="24"/>
        </w:rPr>
        <w:t>法定代表人或授权代表：                        法定代表人或授权代表：</w:t>
      </w:r>
    </w:p>
    <w:p>
      <w:pPr>
        <w:pStyle w:val="null3"/>
        <w:ind w:firstLine="480"/>
        <w:jc w:val="both"/>
      </w:pPr>
      <w:r>
        <w:rPr>
          <w:sz w:val="24"/>
        </w:rPr>
        <w:t>联系人：                                      联系人：</w:t>
      </w:r>
    </w:p>
    <w:p>
      <w:pPr>
        <w:pStyle w:val="null3"/>
        <w:ind w:firstLine="480"/>
        <w:jc w:val="both"/>
      </w:pPr>
      <w:r>
        <w:rPr>
          <w:sz w:val="24"/>
        </w:rPr>
        <w:t>地址：                                        地址：</w:t>
      </w:r>
    </w:p>
    <w:p>
      <w:pPr>
        <w:pStyle w:val="null3"/>
        <w:ind w:firstLine="480"/>
        <w:jc w:val="both"/>
      </w:pPr>
      <w:r>
        <w:rPr>
          <w:sz w:val="24"/>
        </w:rPr>
        <w:t>电话：                                        电话：</w:t>
      </w:r>
    </w:p>
    <w:p>
      <w:pPr>
        <w:pStyle w:val="null3"/>
        <w:ind w:firstLine="480"/>
        <w:jc w:val="both"/>
      </w:pPr>
      <w:r>
        <w:rPr>
          <w:sz w:val="24"/>
        </w:rPr>
        <w:t>传真：                                        传真：</w:t>
      </w:r>
    </w:p>
    <w:p>
      <w:pPr>
        <w:pStyle w:val="null3"/>
        <w:ind w:firstLine="480"/>
        <w:jc w:val="both"/>
      </w:pPr>
      <w:r>
        <w:rPr>
          <w:sz w:val="24"/>
        </w:rPr>
        <w:t>签字日期：                                  开户银行：</w:t>
      </w:r>
    </w:p>
    <w:p>
      <w:pPr>
        <w:pStyle w:val="null3"/>
        <w:ind w:firstLine="480"/>
        <w:jc w:val="both"/>
      </w:pPr>
      <w:r>
        <w:rPr>
          <w:sz w:val="24"/>
        </w:rPr>
        <w:t xml:space="preserve">                         银行帐号：</w:t>
      </w:r>
    </w:p>
    <w:p>
      <w:pPr>
        <w:pStyle w:val="null3"/>
        <w:ind w:firstLine="480"/>
        <w:jc w:val="both"/>
      </w:pPr>
      <w:r>
        <w:rPr>
          <w:sz w:val="24"/>
        </w:rPr>
        <w:t xml:space="preserve">                         签字日期</w:t>
      </w:r>
      <w:r>
        <w:rPr>
          <w:sz w:val="24"/>
        </w:rPr>
        <w:t>：</w:t>
      </w:r>
    </w:p>
    <w:p>
      <w:pPr>
        <w:pStyle w:val="null3"/>
        <w:ind w:firstLine="480"/>
        <w:jc w:val="left"/>
      </w:pPr>
    </w:p>
    <w:p>
      <w:pPr>
        <w:pStyle w:val="null3"/>
        <w:ind w:firstLine="480"/>
        <w:jc w:val="left"/>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442000-2024-01077</w:t>
      </w:r>
    </w:p>
    <w:p>
      <w:pPr>
        <w:pStyle w:val="null3"/>
        <w:ind w:firstLine="480"/>
        <w:jc w:val="center"/>
        <w:outlineLvl w:val="3"/>
      </w:pPr>
      <w:r>
        <w:rPr>
          <w:b/>
          <w:sz w:val="24"/>
        </w:rPr>
        <w:t>采购项目编号：</w:t>
      </w:r>
      <w:r>
        <w:rPr>
          <w:b/>
          <w:sz w:val="24"/>
        </w:rPr>
        <w:t>0692-249CZST60010</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广东省机电设备招标中心有限公司中山分公司</w:t>
      </w:r>
    </w:p>
    <w:p>
      <w:pPr>
        <w:pStyle w:val="null3"/>
        <w:ind w:firstLine="480"/>
      </w:pPr>
      <w:r>
        <w:rPr/>
        <w:t>你方组织的</w:t>
      </w:r>
      <w:r>
        <w:rPr>
          <w:u w:val="single"/>
        </w:rPr>
        <w:t>“</w:t>
      </w:r>
      <w:r>
        <w:rPr>
          <w:u w:val="single"/>
        </w:rPr>
        <w:t>中山市中心四区城市地下市政基础设施普查项目</w:t>
      </w:r>
      <w:r>
        <w:rPr>
          <w:u w:val="single"/>
        </w:rPr>
        <w:t>”</w:t>
      </w:r>
      <w:r>
        <w:rPr/>
        <w:t>项目的招标[采购项目编号为：</w:t>
      </w:r>
      <w:r>
        <w:rPr>
          <w:u w:val="single"/>
        </w:rPr>
        <w:t>0692-249CZST60010</w:t>
      </w:r>
      <w:r>
        <w:rPr/>
        <w:t>]，我方愿参与投标。</w:t>
      </w:r>
    </w:p>
    <w:p>
      <w:pPr>
        <w:pStyle w:val="null3"/>
        <w:ind w:firstLine="480"/>
      </w:pPr>
      <w:r>
        <w:rPr/>
        <w:t>我方确认收到贵方提供的</w:t>
      </w:r>
      <w:r>
        <w:rPr>
          <w:u w:val="single"/>
        </w:rPr>
        <w:t>“</w:t>
      </w:r>
      <w:r>
        <w:rPr>
          <w:u w:val="single"/>
        </w:rPr>
        <w:t>中山市中心四区城市地下市政基础设施普查项目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广东省机电设备招标中心有限公司中山分公司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中山市中心四区城市地下市政基础设施普查项目</w:t>
      </w:r>
      <w:r>
        <w:rPr/>
        <w:t>”项目采购[采购项目编号为</w:t>
      </w:r>
      <w:r>
        <w:rPr/>
        <w:t>0692-249CZST60010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中山市住房和城乡建设局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广东省机电设备招标中心有限公司中山分公司</w:t>
      </w:r>
    </w:p>
    <w:p>
      <w:pPr>
        <w:pStyle w:val="null3"/>
        <w:ind w:firstLine="480"/>
      </w:pPr>
      <w:r>
        <w:rPr/>
        <w:t>如果我方在贵采购代理机构组织的</w:t>
      </w:r>
      <w:r>
        <w:rPr/>
        <w:t>中山市中心四区城市地下市政基础设施普查项目</w:t>
      </w:r>
      <w:r>
        <w:rPr/>
        <w:t>招标中获中标（采购项目编号：</w:t>
      </w:r>
      <w:r>
        <w:rPr/>
        <w:t>0692-249CZST60010</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广东省机电设备招标中心有限公司中山分公司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广东省机电设备招标中心有限公司中山分公司</w:t>
      </w:r>
    </w:p>
    <w:p>
      <w:pPr>
        <w:pStyle w:val="null3"/>
        <w:ind w:firstLine="480"/>
      </w:pPr>
      <w:r>
        <w:rPr/>
        <w:t>我单位已登记并准备参与“</w:t>
      </w:r>
      <w:r>
        <w:rPr/>
        <w:t>中山市中心四区城市地下市政基础设施普查项目</w:t>
      </w:r>
      <w:r>
        <w:rPr/>
        <w:t>”项目（采购项目编号：</w:t>
      </w:r>
      <w:r>
        <w:rPr/>
        <w:t>0692-249CZST60010</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