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396B4E">
      <w:pPr>
        <w:tabs>
          <w:tab w:val="left" w:pos="5790"/>
          <w:tab w:val="right" w:pos="9158"/>
        </w:tabs>
        <w:spacing w:line="600" w:lineRule="auto"/>
        <w:ind w:left="0" w:leftChars="0" w:right="-143" w:firstLine="0" w:firstLineChars="0"/>
        <w:jc w:val="right"/>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rPr>
        <w:t>招标编号：</w:t>
      </w:r>
      <w:r>
        <w:rPr>
          <w:rFonts w:hint="eastAsia" w:ascii="宋体" w:hAnsi="宋体" w:cs="宋体"/>
          <w:b/>
          <w:color w:val="auto"/>
          <w:sz w:val="24"/>
          <w:highlight w:val="none"/>
          <w:lang w:eastAsia="zh-CN"/>
        </w:rPr>
        <w:t>ZG-2026084</w:t>
      </w:r>
    </w:p>
    <w:p w14:paraId="214C4329">
      <w:pPr>
        <w:pStyle w:val="14"/>
        <w:tabs>
          <w:tab w:val="center" w:pos="4819"/>
          <w:tab w:val="left" w:pos="7770"/>
        </w:tabs>
        <w:spacing w:line="600" w:lineRule="auto"/>
        <w:jc w:val="center"/>
        <w:rPr>
          <w:rFonts w:hint="eastAsia" w:ascii="宋体" w:hAnsi="宋体" w:eastAsia="宋体" w:cs="宋体"/>
          <w:b/>
          <w:color w:val="auto"/>
          <w:spacing w:val="-8"/>
          <w:sz w:val="44"/>
          <w:szCs w:val="52"/>
          <w:highlight w:val="none"/>
          <w:lang w:val="en-US" w:eastAsia="zh-CN"/>
        </w:rPr>
      </w:pPr>
      <w:r>
        <w:rPr>
          <w:rFonts w:hint="eastAsia" w:ascii="宋体" w:hAnsi="宋体" w:cs="宋体"/>
          <w:b/>
          <w:color w:val="auto"/>
          <w:spacing w:val="-8"/>
          <w:sz w:val="48"/>
          <w:szCs w:val="56"/>
          <w:highlight w:val="none"/>
          <w:lang w:eastAsia="zh-CN"/>
        </w:rPr>
        <w:t>云南省第三次全国土壤普查土壤样品库和数据库建设项目样品储存架等设备采购（二次招标）</w:t>
      </w:r>
    </w:p>
    <w:p w14:paraId="20C07E6F">
      <w:pPr>
        <w:keepNext w:val="0"/>
        <w:keepLines w:val="0"/>
        <w:pageBreakBefore w:val="0"/>
        <w:widowControl w:val="0"/>
        <w:kinsoku/>
        <w:wordWrap/>
        <w:overflowPunct/>
        <w:topLinePunct w:val="0"/>
        <w:autoSpaceDE/>
        <w:autoSpaceDN/>
        <w:bidi w:val="0"/>
        <w:adjustRightInd/>
        <w:snapToGrid/>
        <w:spacing w:before="332" w:beforeLines="100" w:line="1600" w:lineRule="exact"/>
        <w:jc w:val="center"/>
        <w:textAlignment w:val="auto"/>
        <w:rPr>
          <w:rFonts w:hint="eastAsia" w:ascii="宋体" w:hAnsi="宋体" w:eastAsia="宋体" w:cs="宋体"/>
          <w:b/>
          <w:color w:val="auto"/>
          <w:sz w:val="96"/>
          <w:szCs w:val="96"/>
          <w:highlight w:val="none"/>
        </w:rPr>
      </w:pPr>
      <w:r>
        <w:rPr>
          <w:rFonts w:hint="eastAsia" w:ascii="宋体" w:hAnsi="宋体" w:eastAsia="宋体" w:cs="宋体"/>
          <w:b/>
          <w:color w:val="auto"/>
          <w:sz w:val="96"/>
          <w:szCs w:val="96"/>
          <w:highlight w:val="none"/>
        </w:rPr>
        <w:t>招</w:t>
      </w:r>
    </w:p>
    <w:p w14:paraId="0A1876E8">
      <w:pPr>
        <w:keepNext w:val="0"/>
        <w:keepLines w:val="0"/>
        <w:pageBreakBefore w:val="0"/>
        <w:widowControl w:val="0"/>
        <w:kinsoku/>
        <w:wordWrap/>
        <w:overflowPunct/>
        <w:topLinePunct w:val="0"/>
        <w:autoSpaceDE/>
        <w:autoSpaceDN/>
        <w:bidi w:val="0"/>
        <w:adjustRightInd/>
        <w:snapToGrid/>
        <w:spacing w:line="1600" w:lineRule="exact"/>
        <w:jc w:val="center"/>
        <w:textAlignment w:val="auto"/>
        <w:rPr>
          <w:rFonts w:hint="eastAsia" w:ascii="宋体" w:hAnsi="宋体" w:eastAsia="宋体" w:cs="宋体"/>
          <w:b/>
          <w:color w:val="auto"/>
          <w:sz w:val="96"/>
          <w:szCs w:val="96"/>
          <w:highlight w:val="none"/>
        </w:rPr>
      </w:pPr>
      <w:r>
        <w:rPr>
          <w:rFonts w:hint="eastAsia" w:ascii="宋体" w:hAnsi="宋体" w:eastAsia="宋体" w:cs="宋体"/>
          <w:b/>
          <w:color w:val="auto"/>
          <w:sz w:val="96"/>
          <w:szCs w:val="96"/>
          <w:highlight w:val="none"/>
        </w:rPr>
        <w:t>标</w:t>
      </w:r>
    </w:p>
    <w:p w14:paraId="437589C7">
      <w:pPr>
        <w:keepNext w:val="0"/>
        <w:keepLines w:val="0"/>
        <w:pageBreakBefore w:val="0"/>
        <w:widowControl w:val="0"/>
        <w:kinsoku/>
        <w:wordWrap/>
        <w:overflowPunct/>
        <w:topLinePunct w:val="0"/>
        <w:autoSpaceDE/>
        <w:autoSpaceDN/>
        <w:bidi w:val="0"/>
        <w:adjustRightInd/>
        <w:snapToGrid/>
        <w:spacing w:line="1600" w:lineRule="exact"/>
        <w:jc w:val="center"/>
        <w:textAlignment w:val="auto"/>
        <w:rPr>
          <w:rFonts w:hint="eastAsia" w:ascii="宋体" w:hAnsi="宋体" w:eastAsia="宋体" w:cs="宋体"/>
          <w:b/>
          <w:color w:val="auto"/>
          <w:sz w:val="96"/>
          <w:szCs w:val="96"/>
          <w:highlight w:val="none"/>
        </w:rPr>
      </w:pPr>
      <w:r>
        <w:rPr>
          <w:rFonts w:hint="eastAsia" w:ascii="宋体" w:hAnsi="宋体" w:eastAsia="宋体" w:cs="宋体"/>
          <w:b/>
          <w:color w:val="auto"/>
          <w:sz w:val="96"/>
          <w:szCs w:val="96"/>
          <w:highlight w:val="none"/>
        </w:rPr>
        <w:t>文</w:t>
      </w:r>
    </w:p>
    <w:p w14:paraId="04B03210">
      <w:pPr>
        <w:keepNext w:val="0"/>
        <w:keepLines w:val="0"/>
        <w:pageBreakBefore w:val="0"/>
        <w:widowControl w:val="0"/>
        <w:kinsoku/>
        <w:wordWrap/>
        <w:overflowPunct/>
        <w:topLinePunct w:val="0"/>
        <w:autoSpaceDE/>
        <w:autoSpaceDN/>
        <w:bidi w:val="0"/>
        <w:adjustRightInd/>
        <w:snapToGrid/>
        <w:spacing w:line="1600" w:lineRule="exact"/>
        <w:jc w:val="center"/>
        <w:textAlignment w:val="auto"/>
        <w:rPr>
          <w:rFonts w:hint="eastAsia" w:ascii="宋体" w:hAnsi="宋体" w:eastAsia="宋体" w:cs="宋体"/>
          <w:b/>
          <w:color w:val="auto"/>
          <w:sz w:val="96"/>
          <w:szCs w:val="96"/>
          <w:highlight w:val="none"/>
        </w:rPr>
      </w:pPr>
      <w:r>
        <w:rPr>
          <w:rFonts w:hint="eastAsia" w:ascii="宋体" w:hAnsi="宋体" w:eastAsia="宋体" w:cs="宋体"/>
          <w:b/>
          <w:color w:val="auto"/>
          <w:sz w:val="96"/>
          <w:szCs w:val="96"/>
          <w:highlight w:val="none"/>
        </w:rPr>
        <w:t>件</w:t>
      </w:r>
    </w:p>
    <w:p w14:paraId="2B6C23D1">
      <w:pPr>
        <w:tabs>
          <w:tab w:val="left" w:pos="1473"/>
          <w:tab w:val="left" w:pos="1709"/>
        </w:tabs>
        <w:spacing w:line="800" w:lineRule="exact"/>
        <w:ind w:firstLine="2240" w:firstLineChars="800"/>
        <w:jc w:val="left"/>
        <w:rPr>
          <w:rFonts w:hint="eastAsia" w:ascii="宋体" w:hAnsi="宋体" w:eastAsia="宋体" w:cs="宋体"/>
          <w:b/>
          <w:color w:val="auto"/>
          <w:sz w:val="28"/>
          <w:highlight w:val="none"/>
          <w:lang w:val="en-US" w:eastAsia="zh-CN"/>
        </w:rPr>
      </w:pPr>
    </w:p>
    <w:p w14:paraId="7EF357A6">
      <w:pPr>
        <w:tabs>
          <w:tab w:val="left" w:pos="1473"/>
          <w:tab w:val="left" w:pos="1709"/>
        </w:tabs>
        <w:spacing w:line="800" w:lineRule="exact"/>
        <w:ind w:firstLine="2240" w:firstLineChars="800"/>
        <w:jc w:val="left"/>
        <w:rPr>
          <w:rFonts w:hint="eastAsia" w:ascii="宋体" w:hAnsi="宋体" w:eastAsia="宋体" w:cs="宋体"/>
          <w:b/>
          <w:color w:val="auto"/>
          <w:sz w:val="28"/>
          <w:highlight w:val="none"/>
          <w:lang w:eastAsia="zh-CN"/>
        </w:rPr>
      </w:pPr>
      <w:r>
        <w:rPr>
          <w:rFonts w:hint="eastAsia" w:ascii="宋体" w:hAnsi="宋体" w:eastAsia="宋体" w:cs="宋体"/>
          <w:b/>
          <w:color w:val="auto"/>
          <w:sz w:val="28"/>
          <w:highlight w:val="none"/>
          <w:lang w:val="en-US" w:eastAsia="zh-CN"/>
        </w:rPr>
        <w:t>采</w:t>
      </w:r>
      <w:r>
        <w:rPr>
          <w:rFonts w:hint="eastAsia" w:ascii="宋体" w:hAnsi="宋体" w:eastAsia="宋体" w:cs="宋体"/>
          <w:b/>
          <w:color w:val="auto"/>
          <w:sz w:val="28"/>
          <w:highlight w:val="none"/>
        </w:rPr>
        <w:t xml:space="preserve"> </w:t>
      </w:r>
      <w:r>
        <w:rPr>
          <w:rFonts w:hint="eastAsia" w:ascii="宋体" w:hAnsi="宋体" w:eastAsia="宋体" w:cs="宋体"/>
          <w:b/>
          <w:color w:val="auto"/>
          <w:sz w:val="28"/>
          <w:highlight w:val="none"/>
          <w:lang w:val="en-US" w:eastAsia="zh-CN"/>
        </w:rPr>
        <w:t>购</w:t>
      </w:r>
      <w:r>
        <w:rPr>
          <w:rFonts w:hint="eastAsia" w:ascii="宋体" w:hAnsi="宋体" w:eastAsia="宋体" w:cs="宋体"/>
          <w:b/>
          <w:color w:val="auto"/>
          <w:sz w:val="28"/>
          <w:highlight w:val="none"/>
        </w:rPr>
        <w:t xml:space="preserve"> 人：</w:t>
      </w:r>
      <w:r>
        <w:rPr>
          <w:rFonts w:hint="eastAsia" w:ascii="宋体" w:hAnsi="宋体" w:cs="宋体"/>
          <w:b/>
          <w:color w:val="auto"/>
          <w:sz w:val="28"/>
          <w:highlight w:val="none"/>
          <w:lang w:eastAsia="zh-CN"/>
        </w:rPr>
        <w:t>云南省农业科学院</w:t>
      </w:r>
    </w:p>
    <w:p w14:paraId="5F87C207">
      <w:pPr>
        <w:tabs>
          <w:tab w:val="left" w:pos="1473"/>
          <w:tab w:val="left" w:pos="1709"/>
        </w:tabs>
        <w:spacing w:line="700" w:lineRule="exact"/>
        <w:ind w:firstLine="2240" w:firstLineChars="800"/>
        <w:jc w:val="left"/>
        <w:rPr>
          <w:rFonts w:hint="eastAsia" w:ascii="宋体" w:hAnsi="宋体" w:eastAsia="宋体" w:cs="宋体"/>
          <w:b/>
          <w:color w:val="auto"/>
          <w:sz w:val="28"/>
          <w:highlight w:val="none"/>
        </w:rPr>
      </w:pPr>
      <w:r>
        <w:rPr>
          <w:rFonts w:hint="eastAsia" w:ascii="宋体" w:hAnsi="宋体" w:eastAsia="宋体" w:cs="宋体"/>
          <w:b/>
          <w:color w:val="auto"/>
          <w:sz w:val="28"/>
          <w:highlight w:val="none"/>
          <w:lang w:eastAsia="zh-CN"/>
        </w:rPr>
        <w:t>采购代理</w:t>
      </w:r>
      <w:r>
        <w:rPr>
          <w:rFonts w:hint="eastAsia" w:ascii="宋体" w:hAnsi="宋体" w:eastAsia="宋体" w:cs="宋体"/>
          <w:b/>
          <w:color w:val="auto"/>
          <w:sz w:val="28"/>
          <w:highlight w:val="none"/>
        </w:rPr>
        <w:t>：云南众高工程咨询有限公司</w:t>
      </w:r>
    </w:p>
    <w:p w14:paraId="224E9B52">
      <w:pPr>
        <w:tabs>
          <w:tab w:val="left" w:pos="1473"/>
          <w:tab w:val="left" w:pos="1709"/>
        </w:tabs>
        <w:spacing w:line="700" w:lineRule="exact"/>
        <w:ind w:firstLine="2240" w:firstLineChars="800"/>
        <w:jc w:val="left"/>
        <w:rPr>
          <w:rFonts w:hint="eastAsia" w:ascii="宋体" w:hAnsi="宋体" w:eastAsia="宋体" w:cs="宋体"/>
          <w:b/>
          <w:color w:val="FF0000"/>
          <w:sz w:val="28"/>
          <w:highlight w:val="none"/>
        </w:rPr>
      </w:pPr>
      <w:r>
        <w:rPr>
          <w:rFonts w:hint="eastAsia" w:ascii="宋体" w:hAnsi="宋体" w:eastAsia="宋体" w:cs="宋体"/>
          <w:b/>
          <w:color w:val="auto"/>
          <w:sz w:val="28"/>
          <w:highlight w:val="none"/>
        </w:rPr>
        <w:t>日    期：二〇二</w:t>
      </w:r>
      <w:r>
        <w:rPr>
          <w:rFonts w:hint="eastAsia" w:ascii="宋体" w:hAnsi="宋体" w:eastAsia="宋体" w:cs="宋体"/>
          <w:b/>
          <w:color w:val="auto"/>
          <w:sz w:val="28"/>
          <w:highlight w:val="none"/>
          <w:lang w:val="en-US" w:eastAsia="zh-CN"/>
        </w:rPr>
        <w:t>六</w:t>
      </w:r>
      <w:r>
        <w:rPr>
          <w:rFonts w:hint="eastAsia" w:ascii="宋体" w:hAnsi="宋体" w:eastAsia="宋体" w:cs="宋体"/>
          <w:b/>
          <w:color w:val="auto"/>
          <w:sz w:val="28"/>
          <w:highlight w:val="none"/>
        </w:rPr>
        <w:t>年</w:t>
      </w:r>
      <w:r>
        <w:rPr>
          <w:rFonts w:hint="eastAsia" w:ascii="宋体" w:hAnsi="宋体" w:cs="宋体"/>
          <w:b/>
          <w:color w:val="auto"/>
          <w:sz w:val="28"/>
          <w:highlight w:val="none"/>
          <w:lang w:val="en-US" w:eastAsia="zh-CN"/>
        </w:rPr>
        <w:t>五</w:t>
      </w:r>
      <w:r>
        <w:rPr>
          <w:rFonts w:hint="eastAsia" w:ascii="宋体" w:hAnsi="宋体" w:eastAsia="宋体" w:cs="宋体"/>
          <w:b/>
          <w:color w:val="auto"/>
          <w:sz w:val="28"/>
          <w:highlight w:val="none"/>
        </w:rPr>
        <w:t>月</w:t>
      </w:r>
    </w:p>
    <w:p w14:paraId="57F031DE">
      <w:pPr>
        <w:tabs>
          <w:tab w:val="left" w:pos="1473"/>
          <w:tab w:val="left" w:pos="1709"/>
        </w:tabs>
        <w:spacing w:line="700" w:lineRule="exact"/>
        <w:ind w:left="-428" w:leftChars="-204" w:firstLine="2945" w:firstLineChars="1052"/>
        <w:jc w:val="left"/>
        <w:rPr>
          <w:rFonts w:hint="eastAsia" w:ascii="宋体" w:hAnsi="宋体" w:eastAsia="宋体" w:cs="宋体"/>
          <w:b/>
          <w:color w:val="auto"/>
          <w:sz w:val="28"/>
          <w:highlight w:val="none"/>
        </w:rPr>
        <w:sectPr>
          <w:footerReference r:id="rId3" w:type="default"/>
          <w:footerReference r:id="rId4" w:type="even"/>
          <w:pgSz w:w="11906" w:h="16838"/>
          <w:pgMar w:top="1418" w:right="1134" w:bottom="1134" w:left="1134" w:header="777" w:footer="720" w:gutter="0"/>
          <w:pgBorders>
            <w:top w:val="none" w:sz="0" w:space="0"/>
            <w:left w:val="none" w:sz="0" w:space="0"/>
            <w:bottom w:val="none" w:sz="0" w:space="0"/>
            <w:right w:val="none" w:sz="0" w:space="0"/>
          </w:pgBorders>
          <w:cols w:space="720" w:num="1"/>
          <w:titlePg/>
          <w:docGrid w:type="linesAndChars" w:linePitch="331" w:charSpace="0"/>
        </w:sectPr>
      </w:pPr>
    </w:p>
    <w:p w14:paraId="567AF284">
      <w:pPr>
        <w:pStyle w:val="21"/>
        <w:tabs>
          <w:tab w:val="left" w:pos="3990"/>
          <w:tab w:val="center" w:pos="4677"/>
        </w:tabs>
        <w:spacing w:line="360" w:lineRule="auto"/>
        <w:ind w:firstLine="3600" w:firstLineChars="750"/>
        <w:jc w:val="both"/>
        <w:rPr>
          <w:rFonts w:hint="eastAsia" w:ascii="宋体" w:hAnsi="宋体" w:eastAsia="宋体" w:cs="宋体"/>
          <w:b/>
          <w:color w:val="auto"/>
          <w:sz w:val="48"/>
          <w:szCs w:val="48"/>
          <w:highlight w:val="none"/>
        </w:rPr>
      </w:pPr>
      <w:r>
        <w:rPr>
          <w:rFonts w:hint="eastAsia" w:ascii="宋体" w:hAnsi="宋体" w:eastAsia="宋体" w:cs="宋体"/>
          <w:b/>
          <w:color w:val="auto"/>
          <w:sz w:val="48"/>
          <w:szCs w:val="48"/>
          <w:highlight w:val="none"/>
        </w:rPr>
        <w:t>目  录</w:t>
      </w:r>
    </w:p>
    <w:p w14:paraId="2D564C67">
      <w:pPr>
        <w:rPr>
          <w:rFonts w:hint="eastAsia" w:ascii="宋体" w:hAnsi="宋体" w:eastAsia="宋体" w:cs="宋体"/>
          <w:color w:val="auto"/>
          <w:highlight w:val="none"/>
        </w:rPr>
      </w:pPr>
    </w:p>
    <w:p w14:paraId="44D643AB">
      <w:pPr>
        <w:pStyle w:val="20"/>
        <w:tabs>
          <w:tab w:val="right" w:leader="dot" w:pos="9240"/>
          <w:tab w:val="clear" w:pos="945"/>
          <w:tab w:val="clear" w:pos="9344"/>
        </w:tabs>
        <w:rPr>
          <w:rFonts w:hint="eastAsia" w:ascii="宋体" w:hAnsi="宋体" w:eastAsia="宋体" w:cs="宋体"/>
          <w:b/>
          <w:bCs/>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TOC \o "1-1" \h \z \t "标题 2,2,标题 3,3" </w:instrText>
      </w:r>
      <w:r>
        <w:rPr>
          <w:rFonts w:hint="eastAsia" w:ascii="宋体" w:hAnsi="宋体" w:eastAsia="宋体" w:cs="宋体"/>
          <w:szCs w:val="24"/>
          <w:highlight w:val="none"/>
        </w:rPr>
        <w:fldChar w:fldCharType="separate"/>
      </w:r>
      <w:r>
        <w:rPr>
          <w:rFonts w:hint="eastAsia" w:ascii="宋体" w:hAnsi="宋体" w:eastAsia="宋体" w:cs="宋体"/>
          <w:b/>
          <w:bCs/>
          <w:szCs w:val="24"/>
          <w:highlight w:val="none"/>
        </w:rPr>
        <w:fldChar w:fldCharType="begin"/>
      </w:r>
      <w:r>
        <w:rPr>
          <w:rFonts w:hint="eastAsia" w:ascii="宋体" w:hAnsi="宋体" w:eastAsia="宋体" w:cs="宋体"/>
          <w:b/>
          <w:bCs/>
          <w:szCs w:val="24"/>
          <w:highlight w:val="none"/>
        </w:rPr>
        <w:instrText xml:space="preserve"> HYPERLINK \l _Toc4449 </w:instrText>
      </w:r>
      <w:r>
        <w:rPr>
          <w:rFonts w:hint="eastAsia" w:ascii="宋体" w:hAnsi="宋体" w:eastAsia="宋体" w:cs="宋体"/>
          <w:b/>
          <w:bCs/>
          <w:szCs w:val="24"/>
          <w:highlight w:val="none"/>
        </w:rPr>
        <w:fldChar w:fldCharType="separate"/>
      </w:r>
      <w:r>
        <w:rPr>
          <w:rFonts w:hint="eastAsia" w:ascii="宋体" w:hAnsi="宋体" w:eastAsia="宋体" w:cs="宋体"/>
          <w:b/>
          <w:bCs/>
          <w:szCs w:val="24"/>
          <w:highlight w:val="none"/>
          <w:lang w:val="en-US" w:eastAsia="zh-CN"/>
        </w:rPr>
        <w:t>第一章</w:t>
      </w:r>
      <w:r>
        <w:rPr>
          <w:rFonts w:hint="eastAsia" w:ascii="宋体" w:hAnsi="宋体" w:eastAsia="宋体" w:cs="宋体"/>
          <w:b/>
          <w:bCs/>
          <w:szCs w:val="24"/>
          <w:highlight w:val="none"/>
        </w:rPr>
        <w:t xml:space="preserve"> 招标公告</w:t>
      </w:r>
      <w:r>
        <w:rPr>
          <w:rFonts w:hint="eastAsia" w:ascii="宋体" w:hAnsi="宋体" w:eastAsia="宋体" w:cs="宋体"/>
          <w:b/>
          <w:bCs/>
          <w:szCs w:val="24"/>
          <w:highlight w:val="none"/>
        </w:rPr>
        <w:tab/>
      </w:r>
      <w:r>
        <w:rPr>
          <w:rFonts w:hint="eastAsia" w:ascii="宋体" w:hAnsi="宋体" w:eastAsia="宋体" w:cs="宋体"/>
          <w:b/>
          <w:bCs/>
          <w:szCs w:val="24"/>
          <w:highlight w:val="none"/>
        </w:rPr>
        <w:fldChar w:fldCharType="begin"/>
      </w:r>
      <w:r>
        <w:rPr>
          <w:rFonts w:hint="eastAsia" w:ascii="宋体" w:hAnsi="宋体" w:eastAsia="宋体" w:cs="宋体"/>
          <w:b/>
          <w:bCs/>
          <w:szCs w:val="24"/>
          <w:highlight w:val="none"/>
        </w:rPr>
        <w:instrText xml:space="preserve"> PAGEREF _Toc4449 \h </w:instrText>
      </w:r>
      <w:r>
        <w:rPr>
          <w:rFonts w:hint="eastAsia" w:ascii="宋体" w:hAnsi="宋体" w:eastAsia="宋体" w:cs="宋体"/>
          <w:b/>
          <w:bCs/>
          <w:szCs w:val="24"/>
          <w:highlight w:val="none"/>
        </w:rPr>
        <w:fldChar w:fldCharType="separate"/>
      </w:r>
      <w:r>
        <w:rPr>
          <w:rFonts w:hint="eastAsia" w:ascii="宋体" w:hAnsi="宋体" w:eastAsia="宋体" w:cs="宋体"/>
          <w:b/>
          <w:bCs/>
          <w:szCs w:val="24"/>
          <w:highlight w:val="none"/>
        </w:rPr>
        <w:t>1</w:t>
      </w:r>
      <w:r>
        <w:rPr>
          <w:rFonts w:hint="eastAsia" w:ascii="宋体" w:hAnsi="宋体" w:eastAsia="宋体" w:cs="宋体"/>
          <w:b/>
          <w:bCs/>
          <w:szCs w:val="24"/>
          <w:highlight w:val="none"/>
        </w:rPr>
        <w:fldChar w:fldCharType="end"/>
      </w:r>
      <w:r>
        <w:rPr>
          <w:rFonts w:hint="eastAsia" w:ascii="宋体" w:hAnsi="宋体" w:eastAsia="宋体" w:cs="宋体"/>
          <w:b/>
          <w:bCs/>
          <w:szCs w:val="24"/>
          <w:highlight w:val="none"/>
        </w:rPr>
        <w:fldChar w:fldCharType="end"/>
      </w:r>
    </w:p>
    <w:p w14:paraId="018624E1">
      <w:pPr>
        <w:pStyle w:val="20"/>
        <w:tabs>
          <w:tab w:val="right" w:leader="dot" w:pos="9240"/>
          <w:tab w:val="clear" w:pos="945"/>
          <w:tab w:val="clear" w:pos="9344"/>
        </w:tabs>
        <w:rPr>
          <w:rFonts w:hint="eastAsia" w:ascii="宋体" w:hAnsi="宋体" w:eastAsia="宋体" w:cs="宋体"/>
          <w:b/>
          <w:bCs/>
          <w:szCs w:val="24"/>
          <w:highlight w:val="none"/>
        </w:rPr>
      </w:pPr>
      <w:r>
        <w:rPr>
          <w:rFonts w:hint="eastAsia" w:ascii="宋体" w:hAnsi="宋体" w:eastAsia="宋体" w:cs="宋体"/>
          <w:b/>
          <w:bCs/>
          <w:szCs w:val="24"/>
          <w:highlight w:val="none"/>
        </w:rPr>
        <w:fldChar w:fldCharType="begin"/>
      </w:r>
      <w:r>
        <w:rPr>
          <w:rFonts w:hint="eastAsia" w:ascii="宋体" w:hAnsi="宋体" w:eastAsia="宋体" w:cs="宋体"/>
          <w:b/>
          <w:bCs/>
          <w:szCs w:val="24"/>
          <w:highlight w:val="none"/>
        </w:rPr>
        <w:instrText xml:space="preserve"> HYPERLINK \l _Toc7384 </w:instrText>
      </w:r>
      <w:r>
        <w:rPr>
          <w:rFonts w:hint="eastAsia" w:ascii="宋体" w:hAnsi="宋体" w:eastAsia="宋体" w:cs="宋体"/>
          <w:b/>
          <w:bCs/>
          <w:szCs w:val="24"/>
          <w:highlight w:val="none"/>
        </w:rPr>
        <w:fldChar w:fldCharType="separate"/>
      </w:r>
      <w:r>
        <w:rPr>
          <w:rFonts w:hint="eastAsia" w:ascii="宋体" w:hAnsi="宋体" w:eastAsia="宋体" w:cs="宋体"/>
          <w:b/>
          <w:bCs/>
          <w:szCs w:val="24"/>
          <w:highlight w:val="none"/>
          <w:lang w:val="en-US" w:eastAsia="zh-CN"/>
        </w:rPr>
        <w:t>第二章</w:t>
      </w:r>
      <w:r>
        <w:rPr>
          <w:rFonts w:hint="eastAsia" w:ascii="宋体" w:hAnsi="宋体" w:eastAsia="宋体" w:cs="宋体"/>
          <w:b/>
          <w:bCs/>
          <w:szCs w:val="24"/>
          <w:highlight w:val="none"/>
        </w:rPr>
        <w:t xml:space="preserve"> 投标人须知</w:t>
      </w:r>
      <w:r>
        <w:rPr>
          <w:rFonts w:hint="eastAsia" w:ascii="宋体" w:hAnsi="宋体" w:eastAsia="宋体" w:cs="宋体"/>
          <w:b/>
          <w:bCs/>
          <w:szCs w:val="24"/>
          <w:highlight w:val="none"/>
        </w:rPr>
        <w:tab/>
      </w:r>
      <w:r>
        <w:rPr>
          <w:rFonts w:hint="eastAsia" w:ascii="宋体" w:hAnsi="宋体" w:eastAsia="宋体" w:cs="宋体"/>
          <w:b/>
          <w:bCs/>
          <w:szCs w:val="24"/>
          <w:highlight w:val="none"/>
        </w:rPr>
        <w:fldChar w:fldCharType="begin"/>
      </w:r>
      <w:r>
        <w:rPr>
          <w:rFonts w:hint="eastAsia" w:ascii="宋体" w:hAnsi="宋体" w:eastAsia="宋体" w:cs="宋体"/>
          <w:b/>
          <w:bCs/>
          <w:szCs w:val="24"/>
          <w:highlight w:val="none"/>
        </w:rPr>
        <w:instrText xml:space="preserve"> PAGEREF _Toc7384 \h </w:instrText>
      </w:r>
      <w:r>
        <w:rPr>
          <w:rFonts w:hint="eastAsia" w:ascii="宋体" w:hAnsi="宋体" w:eastAsia="宋体" w:cs="宋体"/>
          <w:b/>
          <w:bCs/>
          <w:szCs w:val="24"/>
          <w:highlight w:val="none"/>
        </w:rPr>
        <w:fldChar w:fldCharType="separate"/>
      </w:r>
      <w:r>
        <w:rPr>
          <w:rFonts w:hint="eastAsia" w:ascii="宋体" w:hAnsi="宋体" w:eastAsia="宋体" w:cs="宋体"/>
          <w:b/>
          <w:bCs/>
          <w:szCs w:val="24"/>
          <w:highlight w:val="none"/>
        </w:rPr>
        <w:t>6</w:t>
      </w:r>
      <w:r>
        <w:rPr>
          <w:rFonts w:hint="eastAsia" w:ascii="宋体" w:hAnsi="宋体" w:eastAsia="宋体" w:cs="宋体"/>
          <w:b/>
          <w:bCs/>
          <w:szCs w:val="24"/>
          <w:highlight w:val="none"/>
        </w:rPr>
        <w:fldChar w:fldCharType="end"/>
      </w:r>
      <w:r>
        <w:rPr>
          <w:rFonts w:hint="eastAsia" w:ascii="宋体" w:hAnsi="宋体" w:eastAsia="宋体" w:cs="宋体"/>
          <w:b/>
          <w:bCs/>
          <w:szCs w:val="24"/>
          <w:highlight w:val="none"/>
        </w:rPr>
        <w:fldChar w:fldCharType="end"/>
      </w:r>
    </w:p>
    <w:p w14:paraId="65E691A2">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_Toc8305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投标人须知前附表</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_Toc8305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6</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1E0B1A8F">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_Toc25175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一、总  则</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_Toc25175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10</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2248357E">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_Toc14979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lang w:val="en-US" w:eastAsia="zh-CN"/>
        </w:rPr>
        <w:t>1.</w:t>
      </w:r>
      <w:r>
        <w:rPr>
          <w:rFonts w:hint="eastAsia" w:ascii="宋体" w:hAnsi="宋体" w:eastAsia="宋体" w:cs="宋体"/>
          <w:szCs w:val="24"/>
          <w:highlight w:val="none"/>
        </w:rPr>
        <w:t>说明与定义</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_Toc14979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10</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62647B0F">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_Toc3218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lang w:val="en-US" w:eastAsia="zh-CN"/>
        </w:rPr>
        <w:t>2.</w:t>
      </w:r>
      <w:r>
        <w:rPr>
          <w:rFonts w:hint="eastAsia" w:ascii="宋体" w:hAnsi="宋体" w:eastAsia="宋体" w:cs="宋体"/>
          <w:szCs w:val="24"/>
          <w:highlight w:val="none"/>
        </w:rPr>
        <w:t>资金来源</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_Toc3218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10</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3EB166E2">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_Toc10784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lang w:val="en-US" w:eastAsia="zh-CN"/>
        </w:rPr>
        <w:t>3.</w:t>
      </w:r>
      <w:r>
        <w:rPr>
          <w:rFonts w:hint="eastAsia" w:ascii="宋体" w:hAnsi="宋体" w:eastAsia="宋体" w:cs="宋体"/>
          <w:szCs w:val="24"/>
          <w:highlight w:val="none"/>
        </w:rPr>
        <w:t>招标内容、合同履行期限、标段划分（实质性要求）</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_Toc10784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10</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043240C2">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_Toc27640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lang w:val="en-US" w:eastAsia="zh-CN"/>
        </w:rPr>
        <w:t>4.</w:t>
      </w:r>
      <w:r>
        <w:rPr>
          <w:rFonts w:hint="eastAsia" w:ascii="宋体" w:hAnsi="宋体" w:eastAsia="宋体" w:cs="宋体"/>
          <w:szCs w:val="24"/>
          <w:highlight w:val="none"/>
        </w:rPr>
        <w:t>合格投标人和产品的条件（实质性要求）</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_Toc27640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10</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05D41501">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_Toc5592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lang w:val="en-US" w:eastAsia="zh-CN"/>
        </w:rPr>
        <w:t>5.</w:t>
      </w:r>
      <w:r>
        <w:rPr>
          <w:rFonts w:hint="eastAsia" w:ascii="宋体" w:hAnsi="宋体" w:eastAsia="宋体" w:cs="宋体"/>
          <w:szCs w:val="24"/>
          <w:highlight w:val="none"/>
        </w:rPr>
        <w:t>投标费用</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_Toc5592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10</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040321BC">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_Toc19763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lang w:val="en-US" w:eastAsia="zh-CN"/>
        </w:rPr>
        <w:t>6.</w:t>
      </w:r>
      <w:r>
        <w:rPr>
          <w:rFonts w:hint="eastAsia" w:ascii="宋体" w:hAnsi="宋体" w:eastAsia="宋体" w:cs="宋体"/>
          <w:szCs w:val="24"/>
          <w:highlight w:val="none"/>
        </w:rPr>
        <w:t>质疑</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_Toc19763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10</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3B8A02E3">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_Toc16033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lang w:val="en-US" w:eastAsia="zh-CN"/>
        </w:rPr>
        <w:t>7.</w:t>
      </w:r>
      <w:r>
        <w:rPr>
          <w:rFonts w:hint="eastAsia" w:ascii="宋体" w:hAnsi="宋体" w:eastAsia="宋体" w:cs="宋体"/>
          <w:szCs w:val="24"/>
          <w:highlight w:val="none"/>
        </w:rPr>
        <w:t>投诉</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_Toc16033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11</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5F69372E">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_Toc16520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二、招标文件</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_Toc16520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11</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7B1543B1">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_Toc8748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lang w:val="en-US" w:eastAsia="zh-CN"/>
        </w:rPr>
        <w:t>8.</w:t>
      </w:r>
      <w:r>
        <w:rPr>
          <w:rFonts w:hint="eastAsia" w:ascii="宋体" w:hAnsi="宋体" w:eastAsia="宋体" w:cs="宋体"/>
          <w:szCs w:val="24"/>
          <w:highlight w:val="none"/>
        </w:rPr>
        <w:t>招标文件构成</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_Toc8748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11</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540F0CA9">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_Toc18784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lang w:val="en-US" w:eastAsia="zh-CN"/>
        </w:rPr>
        <w:t>9.</w:t>
      </w:r>
      <w:r>
        <w:rPr>
          <w:rFonts w:hint="eastAsia" w:ascii="宋体" w:hAnsi="宋体" w:eastAsia="宋体" w:cs="宋体"/>
          <w:szCs w:val="24"/>
          <w:highlight w:val="none"/>
        </w:rPr>
        <w:t>招标文件的澄清</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_Toc18784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11</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0A1DC7A1">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_Toc10454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lang w:val="en-US" w:eastAsia="zh-CN"/>
        </w:rPr>
        <w:t>10.</w:t>
      </w:r>
      <w:r>
        <w:rPr>
          <w:rFonts w:hint="eastAsia" w:ascii="宋体" w:hAnsi="宋体" w:eastAsia="宋体" w:cs="宋体"/>
          <w:szCs w:val="24"/>
          <w:highlight w:val="none"/>
        </w:rPr>
        <w:t>招标文件的修改</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_Toc10454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12</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54202A41">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_Toc7922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三、投标文件的编制</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_Toc7922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12</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35D6D07C">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_Toc1049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lang w:val="en-US" w:eastAsia="zh-CN"/>
        </w:rPr>
        <w:t>11.</w:t>
      </w:r>
      <w:r>
        <w:rPr>
          <w:rFonts w:hint="eastAsia" w:ascii="宋体" w:hAnsi="宋体" w:eastAsia="宋体" w:cs="宋体"/>
          <w:szCs w:val="24"/>
          <w:highlight w:val="none"/>
        </w:rPr>
        <w:t>投标文件编写注意事项（实质性要求）</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_Toc1049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12</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54559329">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_Toc12131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lang w:val="en-US" w:eastAsia="zh-CN"/>
        </w:rPr>
        <w:t>12.</w:t>
      </w:r>
      <w:r>
        <w:rPr>
          <w:rFonts w:hint="eastAsia" w:ascii="宋体" w:hAnsi="宋体" w:eastAsia="宋体" w:cs="宋体"/>
          <w:szCs w:val="24"/>
          <w:highlight w:val="none"/>
        </w:rPr>
        <w:t>投标文件构成（实质性要求）</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_Toc12131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13</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439925DE">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_Toc18869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lang w:val="en-US" w:eastAsia="zh-CN"/>
        </w:rPr>
        <w:t>13.</w:t>
      </w:r>
      <w:r>
        <w:rPr>
          <w:rFonts w:hint="eastAsia" w:ascii="宋体" w:hAnsi="宋体" w:eastAsia="宋体" w:cs="宋体"/>
          <w:szCs w:val="24"/>
          <w:highlight w:val="none"/>
        </w:rPr>
        <w:t>投标文件的格式要求</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_Toc18869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13</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23D3EB5D">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_Toc24801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lang w:val="en-US" w:eastAsia="zh-CN"/>
        </w:rPr>
        <w:t>14.</w:t>
      </w:r>
      <w:r>
        <w:rPr>
          <w:rFonts w:hint="eastAsia" w:ascii="宋体" w:hAnsi="宋体" w:eastAsia="宋体" w:cs="宋体"/>
          <w:szCs w:val="24"/>
          <w:highlight w:val="none"/>
        </w:rPr>
        <w:t>投标报价（实质性要求）</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_Toc24801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13</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53384C42">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_Toc30947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lang w:val="en-US" w:eastAsia="zh-CN"/>
        </w:rPr>
        <w:t>15.</w:t>
      </w:r>
      <w:r>
        <w:rPr>
          <w:rFonts w:hint="eastAsia" w:ascii="宋体" w:hAnsi="宋体" w:eastAsia="宋体" w:cs="宋体"/>
          <w:szCs w:val="24"/>
          <w:highlight w:val="none"/>
        </w:rPr>
        <w:t>投标货币（实质性要求）</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_Toc30947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13</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418422D2">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_Toc10363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lang w:val="en-US" w:eastAsia="zh-CN"/>
        </w:rPr>
        <w:t>16.</w:t>
      </w:r>
      <w:r>
        <w:rPr>
          <w:rFonts w:hint="eastAsia" w:ascii="宋体" w:hAnsi="宋体" w:eastAsia="宋体" w:cs="宋体"/>
          <w:szCs w:val="24"/>
          <w:highlight w:val="none"/>
        </w:rPr>
        <w:t>投标有效期（实质性要求）</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_Toc10363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13</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61845B84">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_Toc16971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lang w:val="en-US" w:eastAsia="zh-CN"/>
        </w:rPr>
        <w:t>17.</w:t>
      </w:r>
      <w:r>
        <w:rPr>
          <w:rFonts w:hint="eastAsia" w:ascii="宋体" w:hAnsi="宋体" w:eastAsia="宋体" w:cs="宋体"/>
          <w:szCs w:val="24"/>
          <w:highlight w:val="none"/>
        </w:rPr>
        <w:t>投标文件的书写要求（实质性要求）</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_Toc16971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13</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62D779E5">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_Toc3264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lang w:val="en-US" w:eastAsia="zh-CN"/>
        </w:rPr>
        <w:t>18.</w:t>
      </w:r>
      <w:r>
        <w:rPr>
          <w:rFonts w:hint="eastAsia" w:ascii="宋体" w:hAnsi="宋体" w:eastAsia="宋体" w:cs="宋体"/>
          <w:szCs w:val="24"/>
          <w:highlight w:val="none"/>
        </w:rPr>
        <w:t>投标保证金（实质性要求）</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_Toc3264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14</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4DC6E10F">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_Toc28832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四、投标文件的提交</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_Toc28832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15</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4678AE6F">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_Toc6774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lang w:val="en-US" w:eastAsia="zh-CN"/>
        </w:rPr>
        <w:t>19.</w:t>
      </w:r>
      <w:r>
        <w:rPr>
          <w:rFonts w:hint="eastAsia" w:ascii="宋体" w:hAnsi="宋体" w:eastAsia="宋体" w:cs="宋体"/>
          <w:szCs w:val="24"/>
          <w:highlight w:val="none"/>
        </w:rPr>
        <w:t>投标文件的密封与标记（实质性要求）</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_Toc6774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15</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437A3E42">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_Toc32513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lang w:val="en-US" w:eastAsia="zh-CN"/>
        </w:rPr>
        <w:t>20.</w:t>
      </w:r>
      <w:r>
        <w:rPr>
          <w:rFonts w:hint="eastAsia" w:ascii="宋体" w:hAnsi="宋体" w:eastAsia="宋体" w:cs="宋体"/>
          <w:szCs w:val="24"/>
          <w:highlight w:val="none"/>
        </w:rPr>
        <w:t>提交投标文件的截止时间和地点（实质性要求）</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_Toc32513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15</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27A3175A">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_Toc17381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五、开标与评标</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_Toc17381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15</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1CCC436D">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_Toc5020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lang w:val="en-US" w:eastAsia="zh-CN"/>
        </w:rPr>
        <w:t>21.</w:t>
      </w:r>
      <w:r>
        <w:rPr>
          <w:rFonts w:hint="eastAsia" w:ascii="宋体" w:hAnsi="宋体" w:eastAsia="宋体" w:cs="宋体"/>
          <w:szCs w:val="24"/>
          <w:highlight w:val="none"/>
        </w:rPr>
        <w:t>开标</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_Toc5020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15</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57081B0A">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_Toc10114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lang w:val="en-US" w:eastAsia="zh-CN"/>
        </w:rPr>
        <w:t>22.</w:t>
      </w:r>
      <w:r>
        <w:rPr>
          <w:rFonts w:hint="eastAsia" w:ascii="宋体" w:hAnsi="宋体" w:eastAsia="宋体" w:cs="宋体"/>
          <w:szCs w:val="24"/>
          <w:highlight w:val="none"/>
        </w:rPr>
        <w:t>评标</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_Toc10114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16</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1E5AE98D">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_Toc2079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lang w:val="en-US" w:eastAsia="zh-CN"/>
        </w:rPr>
        <w:t>23.</w:t>
      </w:r>
      <w:r>
        <w:rPr>
          <w:rFonts w:hint="eastAsia" w:ascii="宋体" w:hAnsi="宋体" w:eastAsia="宋体" w:cs="宋体"/>
          <w:szCs w:val="24"/>
          <w:highlight w:val="none"/>
        </w:rPr>
        <w:t>评标过程的保密</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_Toc2079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16</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1A90DF39">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_Toc24841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lang w:val="en-US" w:eastAsia="zh-CN"/>
        </w:rPr>
        <w:t>24.废标</w:t>
      </w:r>
      <w:r>
        <w:rPr>
          <w:rFonts w:hint="eastAsia" w:ascii="宋体" w:hAnsi="宋体" w:eastAsia="宋体" w:cs="宋体"/>
          <w:szCs w:val="24"/>
          <w:highlight w:val="none"/>
        </w:rPr>
        <w:t>情形</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_Toc24841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16</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5C168A29">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_Toc14075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六、中标结果</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_Toc14075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16</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096F5513">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_Toc24641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lang w:val="en-US" w:eastAsia="zh-CN"/>
        </w:rPr>
        <w:t>25.</w:t>
      </w:r>
      <w:r>
        <w:rPr>
          <w:rFonts w:hint="eastAsia" w:ascii="宋体" w:hAnsi="宋体" w:eastAsia="宋体" w:cs="宋体"/>
          <w:szCs w:val="24"/>
          <w:highlight w:val="none"/>
        </w:rPr>
        <w:t>中标人的确定</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_Toc24641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16</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6BECE851">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_Toc15246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lang w:val="en-US" w:eastAsia="zh-CN"/>
        </w:rPr>
        <w:t>26.</w:t>
      </w:r>
      <w:r>
        <w:rPr>
          <w:rFonts w:hint="eastAsia" w:ascii="宋体" w:hAnsi="宋体" w:eastAsia="宋体" w:cs="宋体"/>
          <w:szCs w:val="24"/>
          <w:highlight w:val="none"/>
        </w:rPr>
        <w:t>中标通知书</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_Toc15246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16</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04747539">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_Toc23292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lang w:val="en-US" w:eastAsia="zh-CN"/>
        </w:rPr>
        <w:t>27.</w:t>
      </w:r>
      <w:r>
        <w:rPr>
          <w:rFonts w:hint="eastAsia" w:ascii="宋体" w:hAnsi="宋体" w:eastAsia="宋体" w:cs="宋体"/>
          <w:szCs w:val="24"/>
          <w:highlight w:val="none"/>
        </w:rPr>
        <w:t>签订合同</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_Toc23292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16</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3958D529">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_Toc1184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lang w:val="en-US" w:eastAsia="zh-CN"/>
        </w:rPr>
        <w:t>28.</w:t>
      </w:r>
      <w:r>
        <w:rPr>
          <w:rFonts w:hint="eastAsia" w:ascii="宋体" w:hAnsi="宋体" w:eastAsia="宋体" w:cs="宋体"/>
          <w:szCs w:val="24"/>
          <w:highlight w:val="none"/>
        </w:rPr>
        <w:t>合同分包（实质性要求）</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_Toc1184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17</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2769CFF3">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_Toc23579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lang w:val="en-US" w:eastAsia="zh-CN"/>
        </w:rPr>
        <w:t>29.</w:t>
      </w:r>
      <w:r>
        <w:rPr>
          <w:rFonts w:hint="eastAsia" w:ascii="宋体" w:hAnsi="宋体" w:eastAsia="宋体" w:cs="宋体"/>
          <w:szCs w:val="24"/>
          <w:highlight w:val="none"/>
        </w:rPr>
        <w:t>严禁合同转包（实质性要求）</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_Toc23579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17</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1EDA4BE9">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_Toc21474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lang w:val="en-US" w:eastAsia="zh-CN"/>
        </w:rPr>
        <w:t>30.</w:t>
      </w:r>
      <w:r>
        <w:rPr>
          <w:rFonts w:hint="eastAsia" w:ascii="宋体" w:hAnsi="宋体" w:eastAsia="宋体" w:cs="宋体"/>
          <w:szCs w:val="24"/>
          <w:highlight w:val="none"/>
        </w:rPr>
        <w:t>补充合同</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_Toc21474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17</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4CD4CF3D">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_Toc16278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lang w:val="en-US" w:eastAsia="zh-CN"/>
        </w:rPr>
        <w:t>31.</w:t>
      </w:r>
      <w:r>
        <w:rPr>
          <w:rFonts w:hint="eastAsia" w:ascii="宋体" w:hAnsi="宋体" w:eastAsia="宋体" w:cs="宋体"/>
          <w:szCs w:val="24"/>
          <w:highlight w:val="none"/>
        </w:rPr>
        <w:t>履约保证金（实质性要求）</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_Toc16278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18</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5F457D42">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_Toc23118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lang w:val="en-US" w:eastAsia="zh-CN"/>
        </w:rPr>
        <w:t>32.</w:t>
      </w:r>
      <w:r>
        <w:rPr>
          <w:rFonts w:hint="eastAsia" w:ascii="宋体" w:hAnsi="宋体" w:eastAsia="宋体" w:cs="宋体"/>
          <w:szCs w:val="24"/>
          <w:highlight w:val="none"/>
        </w:rPr>
        <w:t>验收</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_Toc23118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18</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1D2B713E">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_Toc11224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七、其他事项</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_Toc11224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18</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0E76EA8E">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_Toc24728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lang w:val="en-US" w:eastAsia="zh-CN"/>
        </w:rPr>
        <w:t>33.</w:t>
      </w:r>
      <w:r>
        <w:rPr>
          <w:rFonts w:hint="eastAsia" w:ascii="宋体" w:hAnsi="宋体" w:eastAsia="宋体" w:cs="宋体"/>
          <w:szCs w:val="24"/>
          <w:highlight w:val="none"/>
        </w:rPr>
        <w:t>解释权</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_Toc24728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18</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115FF666">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_Toc23281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lang w:val="en-US" w:eastAsia="zh-CN"/>
        </w:rPr>
        <w:t>34.</w:t>
      </w:r>
      <w:r>
        <w:rPr>
          <w:rFonts w:hint="eastAsia" w:ascii="宋体" w:hAnsi="宋体" w:eastAsia="宋体" w:cs="宋体"/>
          <w:szCs w:val="24"/>
          <w:highlight w:val="none"/>
        </w:rPr>
        <w:t>政府采购有关政策（实质性要求）</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_Toc23281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18</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0DC365D7">
      <w:pPr>
        <w:pStyle w:val="20"/>
        <w:tabs>
          <w:tab w:val="right" w:leader="dot" w:pos="9240"/>
          <w:tab w:val="clear" w:pos="945"/>
          <w:tab w:val="clear" w:pos="9344"/>
        </w:tabs>
        <w:rPr>
          <w:rFonts w:hint="eastAsia" w:ascii="宋体" w:hAnsi="宋体" w:eastAsia="宋体" w:cs="宋体"/>
          <w:b/>
          <w:bCs/>
          <w:szCs w:val="24"/>
          <w:highlight w:val="none"/>
        </w:rPr>
      </w:pPr>
      <w:r>
        <w:rPr>
          <w:rFonts w:hint="eastAsia" w:ascii="宋体" w:hAnsi="宋体" w:eastAsia="宋体" w:cs="宋体"/>
          <w:b/>
          <w:bCs/>
          <w:szCs w:val="24"/>
          <w:highlight w:val="none"/>
        </w:rPr>
        <w:fldChar w:fldCharType="begin"/>
      </w:r>
      <w:r>
        <w:rPr>
          <w:rFonts w:hint="eastAsia" w:ascii="宋体" w:hAnsi="宋体" w:eastAsia="宋体" w:cs="宋体"/>
          <w:b/>
          <w:bCs/>
          <w:szCs w:val="24"/>
          <w:highlight w:val="none"/>
        </w:rPr>
        <w:instrText xml:space="preserve"> HYPERLINK \l _Toc9229 </w:instrText>
      </w:r>
      <w:r>
        <w:rPr>
          <w:rFonts w:hint="eastAsia" w:ascii="宋体" w:hAnsi="宋体" w:eastAsia="宋体" w:cs="宋体"/>
          <w:b/>
          <w:bCs/>
          <w:szCs w:val="24"/>
          <w:highlight w:val="none"/>
        </w:rPr>
        <w:fldChar w:fldCharType="separate"/>
      </w:r>
      <w:r>
        <w:rPr>
          <w:rFonts w:hint="eastAsia" w:ascii="宋体" w:hAnsi="宋体" w:eastAsia="宋体" w:cs="宋体"/>
          <w:b/>
          <w:bCs/>
          <w:szCs w:val="24"/>
          <w:highlight w:val="none"/>
        </w:rPr>
        <w:t>第三章  合同书样式及主要条款</w:t>
      </w:r>
      <w:r>
        <w:rPr>
          <w:rFonts w:hint="eastAsia" w:ascii="宋体" w:hAnsi="宋体" w:eastAsia="宋体" w:cs="宋体"/>
          <w:b/>
          <w:bCs/>
          <w:szCs w:val="24"/>
          <w:highlight w:val="none"/>
        </w:rPr>
        <w:tab/>
      </w:r>
      <w:r>
        <w:rPr>
          <w:rFonts w:hint="eastAsia" w:ascii="宋体" w:hAnsi="宋体" w:eastAsia="宋体" w:cs="宋体"/>
          <w:b/>
          <w:bCs/>
          <w:szCs w:val="24"/>
          <w:highlight w:val="none"/>
        </w:rPr>
        <w:fldChar w:fldCharType="begin"/>
      </w:r>
      <w:r>
        <w:rPr>
          <w:rFonts w:hint="eastAsia" w:ascii="宋体" w:hAnsi="宋体" w:eastAsia="宋体" w:cs="宋体"/>
          <w:b/>
          <w:bCs/>
          <w:szCs w:val="24"/>
          <w:highlight w:val="none"/>
        </w:rPr>
        <w:instrText xml:space="preserve"> PAGEREF _Toc9229 \h </w:instrText>
      </w:r>
      <w:r>
        <w:rPr>
          <w:rFonts w:hint="eastAsia" w:ascii="宋体" w:hAnsi="宋体" w:eastAsia="宋体" w:cs="宋体"/>
          <w:b/>
          <w:bCs/>
          <w:szCs w:val="24"/>
          <w:highlight w:val="none"/>
        </w:rPr>
        <w:fldChar w:fldCharType="separate"/>
      </w:r>
      <w:r>
        <w:rPr>
          <w:rFonts w:hint="eastAsia" w:ascii="宋体" w:hAnsi="宋体" w:eastAsia="宋体" w:cs="宋体"/>
          <w:b/>
          <w:bCs/>
          <w:szCs w:val="24"/>
          <w:highlight w:val="none"/>
        </w:rPr>
        <w:t>20</w:t>
      </w:r>
      <w:r>
        <w:rPr>
          <w:rFonts w:hint="eastAsia" w:ascii="宋体" w:hAnsi="宋体" w:eastAsia="宋体" w:cs="宋体"/>
          <w:b/>
          <w:bCs/>
          <w:szCs w:val="24"/>
          <w:highlight w:val="none"/>
        </w:rPr>
        <w:fldChar w:fldCharType="end"/>
      </w:r>
      <w:r>
        <w:rPr>
          <w:rFonts w:hint="eastAsia" w:ascii="宋体" w:hAnsi="宋体" w:eastAsia="宋体" w:cs="宋体"/>
          <w:b/>
          <w:bCs/>
          <w:szCs w:val="24"/>
          <w:highlight w:val="none"/>
        </w:rPr>
        <w:fldChar w:fldCharType="end"/>
      </w:r>
    </w:p>
    <w:p w14:paraId="4A2F9075">
      <w:pPr>
        <w:pStyle w:val="20"/>
        <w:tabs>
          <w:tab w:val="right" w:leader="dot" w:pos="9240"/>
          <w:tab w:val="clear" w:pos="945"/>
          <w:tab w:val="clear" w:pos="9344"/>
        </w:tabs>
        <w:rPr>
          <w:rFonts w:hint="eastAsia" w:ascii="宋体" w:hAnsi="宋体" w:eastAsia="宋体" w:cs="宋体"/>
          <w:b/>
          <w:bCs/>
          <w:szCs w:val="24"/>
          <w:highlight w:val="none"/>
        </w:rPr>
      </w:pPr>
      <w:r>
        <w:rPr>
          <w:rFonts w:hint="eastAsia" w:ascii="宋体" w:hAnsi="宋体" w:eastAsia="宋体" w:cs="宋体"/>
          <w:b/>
          <w:bCs/>
          <w:szCs w:val="24"/>
          <w:highlight w:val="none"/>
        </w:rPr>
        <w:fldChar w:fldCharType="begin"/>
      </w:r>
      <w:r>
        <w:rPr>
          <w:rFonts w:hint="eastAsia" w:ascii="宋体" w:hAnsi="宋体" w:eastAsia="宋体" w:cs="宋体"/>
          <w:b/>
          <w:bCs/>
          <w:szCs w:val="24"/>
          <w:highlight w:val="none"/>
        </w:rPr>
        <w:instrText xml:space="preserve"> HYPERLINK \l _Toc23150 </w:instrText>
      </w:r>
      <w:r>
        <w:rPr>
          <w:rFonts w:hint="eastAsia" w:ascii="宋体" w:hAnsi="宋体" w:eastAsia="宋体" w:cs="宋体"/>
          <w:b/>
          <w:bCs/>
          <w:szCs w:val="24"/>
          <w:highlight w:val="none"/>
        </w:rPr>
        <w:fldChar w:fldCharType="separate"/>
      </w:r>
      <w:r>
        <w:rPr>
          <w:rFonts w:hint="eastAsia" w:ascii="宋体" w:hAnsi="宋体" w:eastAsia="宋体" w:cs="宋体"/>
          <w:b/>
          <w:bCs/>
          <w:szCs w:val="24"/>
          <w:highlight w:val="none"/>
        </w:rPr>
        <w:t>第四章  投标文件格式</w:t>
      </w:r>
      <w:r>
        <w:rPr>
          <w:rFonts w:hint="eastAsia" w:ascii="宋体" w:hAnsi="宋体" w:eastAsia="宋体" w:cs="宋体"/>
          <w:b/>
          <w:bCs/>
          <w:szCs w:val="24"/>
          <w:highlight w:val="none"/>
        </w:rPr>
        <w:tab/>
      </w:r>
      <w:r>
        <w:rPr>
          <w:rFonts w:hint="eastAsia" w:ascii="宋体" w:hAnsi="宋体" w:eastAsia="宋体" w:cs="宋体"/>
          <w:b/>
          <w:bCs/>
          <w:szCs w:val="24"/>
          <w:highlight w:val="none"/>
        </w:rPr>
        <w:fldChar w:fldCharType="begin"/>
      </w:r>
      <w:r>
        <w:rPr>
          <w:rFonts w:hint="eastAsia" w:ascii="宋体" w:hAnsi="宋体" w:eastAsia="宋体" w:cs="宋体"/>
          <w:b/>
          <w:bCs/>
          <w:szCs w:val="24"/>
          <w:highlight w:val="none"/>
        </w:rPr>
        <w:instrText xml:space="preserve"> PAGEREF _Toc23150 \h </w:instrText>
      </w:r>
      <w:r>
        <w:rPr>
          <w:rFonts w:hint="eastAsia" w:ascii="宋体" w:hAnsi="宋体" w:eastAsia="宋体" w:cs="宋体"/>
          <w:b/>
          <w:bCs/>
          <w:szCs w:val="24"/>
          <w:highlight w:val="none"/>
        </w:rPr>
        <w:fldChar w:fldCharType="separate"/>
      </w:r>
      <w:r>
        <w:rPr>
          <w:rFonts w:hint="eastAsia" w:ascii="宋体" w:hAnsi="宋体" w:eastAsia="宋体" w:cs="宋体"/>
          <w:b/>
          <w:bCs/>
          <w:szCs w:val="24"/>
          <w:highlight w:val="none"/>
        </w:rPr>
        <w:t>30</w:t>
      </w:r>
      <w:r>
        <w:rPr>
          <w:rFonts w:hint="eastAsia" w:ascii="宋体" w:hAnsi="宋体" w:eastAsia="宋体" w:cs="宋体"/>
          <w:b/>
          <w:bCs/>
          <w:szCs w:val="24"/>
          <w:highlight w:val="none"/>
        </w:rPr>
        <w:fldChar w:fldCharType="end"/>
      </w:r>
      <w:r>
        <w:rPr>
          <w:rFonts w:hint="eastAsia" w:ascii="宋体" w:hAnsi="宋体" w:eastAsia="宋体" w:cs="宋体"/>
          <w:b/>
          <w:bCs/>
          <w:szCs w:val="24"/>
          <w:highlight w:val="none"/>
        </w:rPr>
        <w:fldChar w:fldCharType="end"/>
      </w:r>
    </w:p>
    <w:p w14:paraId="375AACAA">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_Toc5019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投标文件封面</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_Toc5019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31</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28575EEB">
      <w:pPr>
        <w:pStyle w:val="20"/>
        <w:tabs>
          <w:tab w:val="right" w:leader="dot" w:pos="9240"/>
          <w:tab w:val="clear" w:pos="945"/>
          <w:tab w:val="clear" w:pos="9344"/>
        </w:tabs>
        <w:rPr>
          <w:rFonts w:hint="eastAsia" w:ascii="宋体" w:hAnsi="宋体" w:eastAsia="宋体" w:cs="宋体"/>
          <w:szCs w:val="24"/>
          <w:highlight w:val="none"/>
          <w:shd w:val="clear" w:color="FFFFFF" w:fill="D9D9D9"/>
        </w:rPr>
      </w:pPr>
      <w:r>
        <w:rPr>
          <w:rFonts w:hint="eastAsia" w:ascii="宋体" w:hAnsi="宋体" w:eastAsia="宋体" w:cs="宋体"/>
          <w:szCs w:val="24"/>
          <w:highlight w:val="none"/>
          <w:shd w:val="clear" w:color="FFFFFF" w:fill="D9D9D9"/>
        </w:rPr>
        <w:fldChar w:fldCharType="begin"/>
      </w:r>
      <w:r>
        <w:rPr>
          <w:rFonts w:hint="eastAsia" w:ascii="宋体" w:hAnsi="宋体" w:eastAsia="宋体" w:cs="宋体"/>
          <w:szCs w:val="24"/>
          <w:highlight w:val="none"/>
          <w:shd w:val="clear" w:color="FFFFFF" w:fill="D9D9D9"/>
        </w:rPr>
        <w:instrText xml:space="preserve"> HYPERLINK \l _Toc24277 </w:instrText>
      </w:r>
      <w:r>
        <w:rPr>
          <w:rFonts w:hint="eastAsia" w:ascii="宋体" w:hAnsi="宋体" w:eastAsia="宋体" w:cs="宋体"/>
          <w:szCs w:val="24"/>
          <w:highlight w:val="none"/>
          <w:shd w:val="clear" w:color="FFFFFF" w:fill="D9D9D9"/>
        </w:rPr>
        <w:fldChar w:fldCharType="separate"/>
      </w:r>
      <w:r>
        <w:rPr>
          <w:rFonts w:hint="eastAsia" w:ascii="宋体" w:hAnsi="宋体" w:eastAsia="宋体" w:cs="宋体"/>
          <w:szCs w:val="24"/>
          <w:highlight w:val="none"/>
          <w:shd w:val="clear" w:color="FFFFFF" w:fill="D9D9D9"/>
        </w:rPr>
        <w:t>一、资格审查部分</w:t>
      </w:r>
      <w:r>
        <w:rPr>
          <w:rFonts w:hint="eastAsia" w:ascii="宋体" w:hAnsi="宋体" w:eastAsia="宋体" w:cs="宋体"/>
          <w:szCs w:val="24"/>
          <w:highlight w:val="none"/>
          <w:shd w:val="clear" w:color="FFFFFF" w:fill="D9D9D9"/>
        </w:rPr>
        <w:tab/>
      </w:r>
      <w:r>
        <w:rPr>
          <w:rFonts w:hint="eastAsia" w:ascii="宋体" w:hAnsi="宋体" w:eastAsia="宋体" w:cs="宋体"/>
          <w:szCs w:val="24"/>
          <w:highlight w:val="none"/>
          <w:shd w:val="clear" w:color="FFFFFF" w:fill="D9D9D9"/>
        </w:rPr>
        <w:fldChar w:fldCharType="begin"/>
      </w:r>
      <w:r>
        <w:rPr>
          <w:rFonts w:hint="eastAsia" w:ascii="宋体" w:hAnsi="宋体" w:eastAsia="宋体" w:cs="宋体"/>
          <w:szCs w:val="24"/>
          <w:highlight w:val="none"/>
          <w:shd w:val="clear" w:color="FFFFFF" w:fill="D9D9D9"/>
        </w:rPr>
        <w:instrText xml:space="preserve"> PAGEREF _Toc24277 \h </w:instrText>
      </w:r>
      <w:r>
        <w:rPr>
          <w:rFonts w:hint="eastAsia" w:ascii="宋体" w:hAnsi="宋体" w:eastAsia="宋体" w:cs="宋体"/>
          <w:szCs w:val="24"/>
          <w:highlight w:val="none"/>
          <w:shd w:val="clear" w:color="FFFFFF" w:fill="D9D9D9"/>
        </w:rPr>
        <w:fldChar w:fldCharType="separate"/>
      </w:r>
      <w:r>
        <w:rPr>
          <w:rFonts w:hint="eastAsia" w:ascii="宋体" w:hAnsi="宋体" w:eastAsia="宋体" w:cs="宋体"/>
          <w:szCs w:val="24"/>
          <w:highlight w:val="none"/>
          <w:shd w:val="clear" w:color="FFFFFF" w:fill="D9D9D9"/>
        </w:rPr>
        <w:t>33</w:t>
      </w:r>
      <w:r>
        <w:rPr>
          <w:rFonts w:hint="eastAsia" w:ascii="宋体" w:hAnsi="宋体" w:eastAsia="宋体" w:cs="宋体"/>
          <w:szCs w:val="24"/>
          <w:highlight w:val="none"/>
          <w:shd w:val="clear" w:color="FFFFFF" w:fill="D9D9D9"/>
        </w:rPr>
        <w:fldChar w:fldCharType="end"/>
      </w:r>
      <w:r>
        <w:rPr>
          <w:rFonts w:hint="eastAsia" w:ascii="宋体" w:hAnsi="宋体" w:eastAsia="宋体" w:cs="宋体"/>
          <w:szCs w:val="24"/>
          <w:highlight w:val="none"/>
          <w:shd w:val="clear" w:color="FFFFFF" w:fill="D9D9D9"/>
        </w:rPr>
        <w:fldChar w:fldCharType="end"/>
      </w:r>
    </w:p>
    <w:p w14:paraId="56777336">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_Toc13776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格式</w:t>
      </w:r>
      <w:r>
        <w:rPr>
          <w:rFonts w:hint="eastAsia" w:ascii="宋体" w:hAnsi="宋体" w:eastAsia="宋体" w:cs="宋体"/>
          <w:szCs w:val="24"/>
          <w:highlight w:val="none"/>
          <w:lang w:val="en-US" w:eastAsia="zh-CN"/>
        </w:rPr>
        <w:t>1</w:t>
      </w:r>
      <w:r>
        <w:rPr>
          <w:rFonts w:hint="eastAsia" w:ascii="宋体" w:hAnsi="宋体" w:eastAsia="宋体" w:cs="宋体"/>
          <w:szCs w:val="24"/>
          <w:highlight w:val="none"/>
        </w:rPr>
        <w:t>：投标人信息表</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_Toc13776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34</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4E51C99B">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_Toc28695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中小企业声明函（</w:t>
      </w:r>
      <w:r>
        <w:rPr>
          <w:rFonts w:hint="eastAsia" w:ascii="宋体" w:hAnsi="宋体" w:eastAsia="宋体" w:cs="宋体"/>
          <w:szCs w:val="24"/>
          <w:highlight w:val="none"/>
          <w:lang w:val="en-US" w:eastAsia="zh-CN"/>
        </w:rPr>
        <w:t>货物</w:t>
      </w:r>
      <w:r>
        <w:rPr>
          <w:rFonts w:hint="eastAsia" w:ascii="宋体" w:hAnsi="宋体" w:eastAsia="宋体" w:cs="宋体"/>
          <w:szCs w:val="24"/>
          <w:highlight w:val="none"/>
        </w:rPr>
        <w:t>）</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_Toc28695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45</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692D3469">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_Toc2061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残疾人福利性单位声明函</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_Toc2061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48</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18EA4BE1">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_Toc7796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监狱企业证明材料</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_Toc7796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49</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1E9FE264">
      <w:pPr>
        <w:pStyle w:val="20"/>
        <w:tabs>
          <w:tab w:val="right" w:leader="dot" w:pos="9240"/>
          <w:tab w:val="clear" w:pos="945"/>
          <w:tab w:val="clear" w:pos="9344"/>
        </w:tabs>
        <w:rPr>
          <w:rFonts w:hint="eastAsia" w:ascii="宋体" w:hAnsi="宋体" w:eastAsia="宋体" w:cs="宋体"/>
          <w:szCs w:val="24"/>
          <w:highlight w:val="none"/>
          <w:shd w:val="clear" w:color="FFFFFF" w:fill="D9D9D9"/>
        </w:rPr>
      </w:pPr>
      <w:r>
        <w:rPr>
          <w:rFonts w:hint="eastAsia" w:ascii="宋体" w:hAnsi="宋体" w:eastAsia="宋体" w:cs="宋体"/>
          <w:szCs w:val="24"/>
          <w:highlight w:val="none"/>
          <w:shd w:val="clear" w:color="FFFFFF" w:fill="D9D9D9"/>
        </w:rPr>
        <w:fldChar w:fldCharType="begin"/>
      </w:r>
      <w:r>
        <w:rPr>
          <w:rFonts w:hint="eastAsia" w:ascii="宋体" w:hAnsi="宋体" w:eastAsia="宋体" w:cs="宋体"/>
          <w:szCs w:val="24"/>
          <w:highlight w:val="none"/>
          <w:shd w:val="clear" w:color="FFFFFF" w:fill="D9D9D9"/>
        </w:rPr>
        <w:instrText xml:space="preserve"> HYPERLINK \l _Toc26708 </w:instrText>
      </w:r>
      <w:r>
        <w:rPr>
          <w:rFonts w:hint="eastAsia" w:ascii="宋体" w:hAnsi="宋体" w:eastAsia="宋体" w:cs="宋体"/>
          <w:szCs w:val="24"/>
          <w:highlight w:val="none"/>
          <w:shd w:val="clear" w:color="FFFFFF" w:fill="D9D9D9"/>
        </w:rPr>
        <w:fldChar w:fldCharType="separate"/>
      </w:r>
      <w:r>
        <w:rPr>
          <w:rFonts w:hint="eastAsia" w:ascii="宋体" w:hAnsi="宋体" w:eastAsia="宋体" w:cs="宋体"/>
          <w:szCs w:val="24"/>
          <w:highlight w:val="none"/>
          <w:shd w:val="clear" w:color="FFFFFF" w:fill="D9D9D9"/>
        </w:rPr>
        <w:t>二、技术部分</w:t>
      </w:r>
      <w:r>
        <w:rPr>
          <w:rFonts w:hint="eastAsia" w:ascii="宋体" w:hAnsi="宋体" w:eastAsia="宋体" w:cs="宋体"/>
          <w:szCs w:val="24"/>
          <w:highlight w:val="none"/>
          <w:shd w:val="clear" w:color="FFFFFF" w:fill="D9D9D9"/>
        </w:rPr>
        <w:tab/>
      </w:r>
      <w:r>
        <w:rPr>
          <w:rFonts w:hint="eastAsia" w:ascii="宋体" w:hAnsi="宋体" w:eastAsia="宋体" w:cs="宋体"/>
          <w:szCs w:val="24"/>
          <w:highlight w:val="none"/>
          <w:shd w:val="clear" w:color="FFFFFF" w:fill="D9D9D9"/>
        </w:rPr>
        <w:fldChar w:fldCharType="begin"/>
      </w:r>
      <w:r>
        <w:rPr>
          <w:rFonts w:hint="eastAsia" w:ascii="宋体" w:hAnsi="宋体" w:eastAsia="宋体" w:cs="宋体"/>
          <w:szCs w:val="24"/>
          <w:highlight w:val="none"/>
          <w:shd w:val="clear" w:color="FFFFFF" w:fill="D9D9D9"/>
        </w:rPr>
        <w:instrText xml:space="preserve"> PAGEREF _Toc26708 \h </w:instrText>
      </w:r>
      <w:r>
        <w:rPr>
          <w:rFonts w:hint="eastAsia" w:ascii="宋体" w:hAnsi="宋体" w:eastAsia="宋体" w:cs="宋体"/>
          <w:szCs w:val="24"/>
          <w:highlight w:val="none"/>
          <w:shd w:val="clear" w:color="FFFFFF" w:fill="D9D9D9"/>
        </w:rPr>
        <w:fldChar w:fldCharType="separate"/>
      </w:r>
      <w:r>
        <w:rPr>
          <w:rFonts w:hint="eastAsia" w:ascii="宋体" w:hAnsi="宋体" w:eastAsia="宋体" w:cs="宋体"/>
          <w:szCs w:val="24"/>
          <w:highlight w:val="none"/>
          <w:shd w:val="clear" w:color="FFFFFF" w:fill="D9D9D9"/>
        </w:rPr>
        <w:t>50</w:t>
      </w:r>
      <w:r>
        <w:rPr>
          <w:rFonts w:hint="eastAsia" w:ascii="宋体" w:hAnsi="宋体" w:eastAsia="宋体" w:cs="宋体"/>
          <w:szCs w:val="24"/>
          <w:highlight w:val="none"/>
          <w:shd w:val="clear" w:color="FFFFFF" w:fill="D9D9D9"/>
        </w:rPr>
        <w:fldChar w:fldCharType="end"/>
      </w:r>
      <w:r>
        <w:rPr>
          <w:rFonts w:hint="eastAsia" w:ascii="宋体" w:hAnsi="宋体" w:eastAsia="宋体" w:cs="宋体"/>
          <w:szCs w:val="24"/>
          <w:highlight w:val="none"/>
          <w:shd w:val="clear" w:color="FFFFFF" w:fill="D9D9D9"/>
        </w:rPr>
        <w:fldChar w:fldCharType="end"/>
      </w:r>
    </w:p>
    <w:p w14:paraId="5B162568">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_Toc11175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格式</w:t>
      </w:r>
      <w:r>
        <w:rPr>
          <w:rFonts w:hint="eastAsia" w:ascii="宋体" w:hAnsi="宋体" w:eastAsia="宋体" w:cs="宋体"/>
          <w:szCs w:val="24"/>
          <w:highlight w:val="none"/>
          <w:lang w:val="en-US" w:eastAsia="zh-CN"/>
        </w:rPr>
        <w:t>2</w:t>
      </w:r>
      <w:r>
        <w:rPr>
          <w:rFonts w:hint="eastAsia" w:ascii="宋体" w:hAnsi="宋体" w:eastAsia="宋体" w:cs="宋体"/>
          <w:szCs w:val="24"/>
          <w:highlight w:val="none"/>
        </w:rPr>
        <w:t>：</w:t>
      </w:r>
      <w:r>
        <w:rPr>
          <w:rFonts w:hint="eastAsia" w:ascii="宋体" w:hAnsi="宋体" w:eastAsia="宋体" w:cs="宋体"/>
          <w:szCs w:val="24"/>
          <w:highlight w:val="none"/>
          <w:lang w:eastAsia="zh-CN"/>
        </w:rPr>
        <w:t>技术响应偏离表</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_Toc11175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51</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0B35DB64">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_Toc26181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格式</w:t>
      </w:r>
      <w:r>
        <w:rPr>
          <w:rFonts w:hint="eastAsia" w:ascii="宋体" w:hAnsi="宋体" w:eastAsia="宋体" w:cs="宋体"/>
          <w:szCs w:val="24"/>
          <w:highlight w:val="none"/>
          <w:lang w:val="en-US" w:eastAsia="zh-CN"/>
        </w:rPr>
        <w:t>3</w:t>
      </w:r>
      <w:r>
        <w:rPr>
          <w:rFonts w:hint="eastAsia" w:ascii="宋体" w:hAnsi="宋体" w:eastAsia="宋体" w:cs="宋体"/>
          <w:szCs w:val="24"/>
          <w:highlight w:val="none"/>
        </w:rPr>
        <w:t>：项目实施方案</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_Toc26181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53</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10153E56">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_Toc12888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格式</w:t>
      </w:r>
      <w:r>
        <w:rPr>
          <w:rFonts w:hint="eastAsia" w:ascii="宋体" w:hAnsi="宋体" w:eastAsia="宋体" w:cs="宋体"/>
          <w:szCs w:val="24"/>
          <w:highlight w:val="none"/>
          <w:lang w:val="en-US" w:eastAsia="zh-CN"/>
        </w:rPr>
        <w:t>4</w:t>
      </w:r>
      <w:r>
        <w:rPr>
          <w:rFonts w:hint="eastAsia" w:ascii="宋体" w:hAnsi="宋体" w:eastAsia="宋体" w:cs="宋体"/>
          <w:szCs w:val="24"/>
          <w:highlight w:val="none"/>
        </w:rPr>
        <w:t>：</w:t>
      </w:r>
      <w:r>
        <w:rPr>
          <w:rFonts w:hint="eastAsia" w:ascii="宋体" w:hAnsi="宋体" w:eastAsia="宋体" w:cs="宋体"/>
          <w:szCs w:val="24"/>
          <w:highlight w:val="none"/>
          <w:lang w:eastAsia="zh-CN"/>
        </w:rPr>
        <w:t>质量承诺及保障措施</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_Toc12888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54</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5CFCC2CC">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_Toc32075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格式</w:t>
      </w:r>
      <w:r>
        <w:rPr>
          <w:rFonts w:hint="eastAsia" w:ascii="宋体" w:hAnsi="宋体" w:eastAsia="宋体" w:cs="宋体"/>
          <w:szCs w:val="24"/>
          <w:highlight w:val="none"/>
          <w:lang w:val="en-US" w:eastAsia="zh-CN"/>
        </w:rPr>
        <w:t>5</w:t>
      </w:r>
      <w:r>
        <w:rPr>
          <w:rFonts w:hint="eastAsia" w:ascii="宋体" w:hAnsi="宋体" w:eastAsia="宋体" w:cs="宋体"/>
          <w:szCs w:val="24"/>
          <w:highlight w:val="none"/>
        </w:rPr>
        <w:t>：售后服务</w:t>
      </w:r>
      <w:r>
        <w:rPr>
          <w:rFonts w:hint="eastAsia" w:ascii="宋体" w:hAnsi="宋体" w:eastAsia="宋体" w:cs="宋体"/>
          <w:szCs w:val="24"/>
          <w:highlight w:val="none"/>
          <w:lang w:val="en-US" w:eastAsia="zh-CN"/>
        </w:rPr>
        <w:t>方案</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_Toc32075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55</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19365139">
      <w:pPr>
        <w:pStyle w:val="20"/>
        <w:tabs>
          <w:tab w:val="right" w:leader="dot" w:pos="9240"/>
          <w:tab w:val="clear" w:pos="945"/>
          <w:tab w:val="clear" w:pos="9344"/>
        </w:tabs>
        <w:rPr>
          <w:rFonts w:hint="eastAsia" w:ascii="宋体" w:hAnsi="宋体" w:eastAsia="宋体" w:cs="宋体"/>
          <w:szCs w:val="24"/>
          <w:highlight w:val="none"/>
          <w:shd w:val="clear" w:color="FFFFFF" w:fill="D9D9D9"/>
        </w:rPr>
      </w:pPr>
      <w:r>
        <w:rPr>
          <w:rFonts w:hint="eastAsia" w:ascii="宋体" w:hAnsi="宋体" w:eastAsia="宋体" w:cs="宋体"/>
          <w:szCs w:val="24"/>
          <w:highlight w:val="none"/>
          <w:shd w:val="clear" w:color="FFFFFF" w:fill="D9D9D9"/>
        </w:rPr>
        <w:fldChar w:fldCharType="begin"/>
      </w:r>
      <w:r>
        <w:rPr>
          <w:rFonts w:hint="eastAsia" w:ascii="宋体" w:hAnsi="宋体" w:eastAsia="宋体" w:cs="宋体"/>
          <w:szCs w:val="24"/>
          <w:highlight w:val="none"/>
          <w:shd w:val="clear" w:color="FFFFFF" w:fill="D9D9D9"/>
        </w:rPr>
        <w:instrText xml:space="preserve"> HYPERLINK \l _Toc26141 </w:instrText>
      </w:r>
      <w:r>
        <w:rPr>
          <w:rFonts w:hint="eastAsia" w:ascii="宋体" w:hAnsi="宋体" w:eastAsia="宋体" w:cs="宋体"/>
          <w:szCs w:val="24"/>
          <w:highlight w:val="none"/>
          <w:shd w:val="clear" w:color="FFFFFF" w:fill="D9D9D9"/>
        </w:rPr>
        <w:fldChar w:fldCharType="separate"/>
      </w:r>
      <w:r>
        <w:rPr>
          <w:rFonts w:hint="eastAsia" w:ascii="宋体" w:hAnsi="宋体" w:eastAsia="宋体" w:cs="宋体"/>
          <w:szCs w:val="24"/>
          <w:highlight w:val="none"/>
          <w:shd w:val="clear" w:color="FFFFFF" w:fill="D9D9D9"/>
        </w:rPr>
        <w:t>三、商务部分</w:t>
      </w:r>
      <w:r>
        <w:rPr>
          <w:rFonts w:hint="eastAsia" w:ascii="宋体" w:hAnsi="宋体" w:eastAsia="宋体" w:cs="宋体"/>
          <w:szCs w:val="24"/>
          <w:highlight w:val="none"/>
          <w:shd w:val="clear" w:color="FFFFFF" w:fill="D9D9D9"/>
        </w:rPr>
        <w:tab/>
      </w:r>
      <w:r>
        <w:rPr>
          <w:rFonts w:hint="eastAsia" w:ascii="宋体" w:hAnsi="宋体" w:eastAsia="宋体" w:cs="宋体"/>
          <w:szCs w:val="24"/>
          <w:highlight w:val="none"/>
          <w:shd w:val="clear" w:color="FFFFFF" w:fill="D9D9D9"/>
        </w:rPr>
        <w:fldChar w:fldCharType="begin"/>
      </w:r>
      <w:r>
        <w:rPr>
          <w:rFonts w:hint="eastAsia" w:ascii="宋体" w:hAnsi="宋体" w:eastAsia="宋体" w:cs="宋体"/>
          <w:szCs w:val="24"/>
          <w:highlight w:val="none"/>
          <w:shd w:val="clear" w:color="FFFFFF" w:fill="D9D9D9"/>
        </w:rPr>
        <w:instrText xml:space="preserve"> PAGEREF _Toc26141 \h </w:instrText>
      </w:r>
      <w:r>
        <w:rPr>
          <w:rFonts w:hint="eastAsia" w:ascii="宋体" w:hAnsi="宋体" w:eastAsia="宋体" w:cs="宋体"/>
          <w:szCs w:val="24"/>
          <w:highlight w:val="none"/>
          <w:shd w:val="clear" w:color="FFFFFF" w:fill="D9D9D9"/>
        </w:rPr>
        <w:fldChar w:fldCharType="separate"/>
      </w:r>
      <w:r>
        <w:rPr>
          <w:rFonts w:hint="eastAsia" w:ascii="宋体" w:hAnsi="宋体" w:eastAsia="宋体" w:cs="宋体"/>
          <w:szCs w:val="24"/>
          <w:highlight w:val="none"/>
          <w:shd w:val="clear" w:color="FFFFFF" w:fill="D9D9D9"/>
        </w:rPr>
        <w:t>56</w:t>
      </w:r>
      <w:r>
        <w:rPr>
          <w:rFonts w:hint="eastAsia" w:ascii="宋体" w:hAnsi="宋体" w:eastAsia="宋体" w:cs="宋体"/>
          <w:szCs w:val="24"/>
          <w:highlight w:val="none"/>
          <w:shd w:val="clear" w:color="FFFFFF" w:fill="D9D9D9"/>
        </w:rPr>
        <w:fldChar w:fldCharType="end"/>
      </w:r>
      <w:r>
        <w:rPr>
          <w:rFonts w:hint="eastAsia" w:ascii="宋体" w:hAnsi="宋体" w:eastAsia="宋体" w:cs="宋体"/>
          <w:szCs w:val="24"/>
          <w:highlight w:val="none"/>
          <w:shd w:val="clear" w:color="FFFFFF" w:fill="D9D9D9"/>
        </w:rPr>
        <w:fldChar w:fldCharType="end"/>
      </w:r>
    </w:p>
    <w:p w14:paraId="27514F5D">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_Toc2324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格式</w:t>
      </w:r>
      <w:r>
        <w:rPr>
          <w:rFonts w:hint="eastAsia" w:ascii="宋体" w:hAnsi="宋体" w:eastAsia="宋体" w:cs="宋体"/>
          <w:szCs w:val="24"/>
          <w:highlight w:val="none"/>
          <w:lang w:val="en-US" w:eastAsia="zh-CN"/>
        </w:rPr>
        <w:t>6</w:t>
      </w:r>
      <w:r>
        <w:rPr>
          <w:rFonts w:hint="eastAsia" w:ascii="宋体" w:hAnsi="宋体" w:eastAsia="宋体" w:cs="宋体"/>
          <w:szCs w:val="24"/>
          <w:highlight w:val="none"/>
        </w:rPr>
        <w:t>：商务条款偏离表</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_Toc2324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57</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025033FB">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_Toc6297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格式</w:t>
      </w:r>
      <w:r>
        <w:rPr>
          <w:rFonts w:hint="eastAsia" w:ascii="宋体" w:hAnsi="宋体" w:eastAsia="宋体" w:cs="宋体"/>
          <w:szCs w:val="24"/>
          <w:highlight w:val="none"/>
          <w:lang w:val="en-US" w:eastAsia="zh-CN"/>
        </w:rPr>
        <w:t>7</w:t>
      </w:r>
      <w:r>
        <w:rPr>
          <w:rFonts w:hint="eastAsia" w:ascii="宋体" w:hAnsi="宋体" w:eastAsia="宋体" w:cs="宋体"/>
          <w:szCs w:val="24"/>
          <w:highlight w:val="none"/>
        </w:rPr>
        <w:t>：开标（唱标）一览表</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_Toc6297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58</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5FC79BCE">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_Toc3770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格式</w:t>
      </w:r>
      <w:r>
        <w:rPr>
          <w:rFonts w:hint="eastAsia" w:ascii="宋体" w:hAnsi="宋体" w:eastAsia="宋体" w:cs="宋体"/>
          <w:szCs w:val="24"/>
          <w:highlight w:val="none"/>
          <w:lang w:val="en-US" w:eastAsia="zh-CN"/>
        </w:rPr>
        <w:t>8</w:t>
      </w:r>
      <w:r>
        <w:rPr>
          <w:rFonts w:hint="eastAsia" w:ascii="宋体" w:hAnsi="宋体" w:eastAsia="宋体" w:cs="宋体"/>
          <w:szCs w:val="24"/>
          <w:highlight w:val="none"/>
        </w:rPr>
        <w:t>：投标分项报价一览表</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_Toc3770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59</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240A54FB">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_Toc21624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格式</w:t>
      </w:r>
      <w:r>
        <w:rPr>
          <w:rFonts w:hint="eastAsia" w:ascii="宋体" w:hAnsi="宋体" w:eastAsia="宋体" w:cs="宋体"/>
          <w:szCs w:val="24"/>
          <w:highlight w:val="none"/>
          <w:lang w:val="en-US" w:eastAsia="zh-CN"/>
        </w:rPr>
        <w:t>9</w:t>
      </w:r>
      <w:r>
        <w:rPr>
          <w:rFonts w:hint="eastAsia" w:ascii="宋体" w:hAnsi="宋体" w:eastAsia="宋体" w:cs="宋体"/>
          <w:szCs w:val="24"/>
          <w:highlight w:val="none"/>
        </w:rPr>
        <w:t>：投标函</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_Toc21624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60</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1FC48454">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_Toc2125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格式</w:t>
      </w:r>
      <w:r>
        <w:rPr>
          <w:rFonts w:hint="eastAsia" w:ascii="宋体" w:hAnsi="宋体" w:eastAsia="宋体" w:cs="宋体"/>
          <w:szCs w:val="24"/>
          <w:highlight w:val="none"/>
          <w:lang w:val="en-US" w:eastAsia="zh-CN"/>
        </w:rPr>
        <w:t>10</w:t>
      </w:r>
      <w:r>
        <w:rPr>
          <w:rFonts w:hint="eastAsia" w:ascii="宋体" w:hAnsi="宋体" w:eastAsia="宋体" w:cs="宋体"/>
          <w:szCs w:val="24"/>
          <w:highlight w:val="none"/>
        </w:rPr>
        <w:t>：投标保证书</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_Toc2125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62</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7490DD97">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_Toc9555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格式</w:t>
      </w:r>
      <w:r>
        <w:rPr>
          <w:rFonts w:hint="eastAsia" w:ascii="宋体" w:hAnsi="宋体" w:eastAsia="宋体" w:cs="宋体"/>
          <w:szCs w:val="24"/>
          <w:highlight w:val="none"/>
          <w:lang w:val="en-US" w:eastAsia="zh-CN"/>
        </w:rPr>
        <w:t>11</w:t>
      </w:r>
      <w:r>
        <w:rPr>
          <w:rFonts w:hint="eastAsia" w:ascii="宋体" w:hAnsi="宋体" w:eastAsia="宋体" w:cs="宋体"/>
          <w:szCs w:val="24"/>
          <w:highlight w:val="none"/>
        </w:rPr>
        <w:t>：法定代表人身份证明书</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_Toc9555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63</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2215DD9A">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_Toc3488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格式</w:t>
      </w:r>
      <w:r>
        <w:rPr>
          <w:rFonts w:hint="eastAsia" w:ascii="宋体" w:hAnsi="宋体" w:eastAsia="宋体" w:cs="宋体"/>
          <w:szCs w:val="24"/>
          <w:highlight w:val="none"/>
          <w:lang w:val="en-US" w:eastAsia="zh-CN"/>
        </w:rPr>
        <w:t>12</w:t>
      </w:r>
      <w:r>
        <w:rPr>
          <w:rFonts w:hint="eastAsia" w:ascii="宋体" w:hAnsi="宋体" w:eastAsia="宋体" w:cs="宋体"/>
          <w:szCs w:val="24"/>
          <w:highlight w:val="none"/>
        </w:rPr>
        <w:t>：法定代表人签署的授权委托书</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_Toc3488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64</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6E76F347">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_Toc7116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格式1</w:t>
      </w:r>
      <w:r>
        <w:rPr>
          <w:rFonts w:hint="eastAsia" w:ascii="宋体" w:hAnsi="宋体" w:eastAsia="宋体" w:cs="宋体"/>
          <w:szCs w:val="24"/>
          <w:highlight w:val="none"/>
          <w:lang w:val="en-US" w:eastAsia="zh-CN"/>
        </w:rPr>
        <w:t>3</w:t>
      </w:r>
      <w:r>
        <w:rPr>
          <w:rFonts w:hint="eastAsia" w:ascii="宋体" w:hAnsi="宋体" w:eastAsia="宋体" w:cs="宋体"/>
          <w:szCs w:val="24"/>
          <w:highlight w:val="none"/>
        </w:rPr>
        <w:t>：</w:t>
      </w:r>
      <w:r>
        <w:rPr>
          <w:rFonts w:hint="eastAsia" w:ascii="宋体" w:hAnsi="宋体" w:eastAsia="宋体" w:cs="宋体"/>
          <w:szCs w:val="24"/>
          <w:highlight w:val="none"/>
          <w:lang w:eastAsia="zh-CN"/>
        </w:rPr>
        <w:t>近年来已承接类似项目业绩表</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_Toc7116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65</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113B9B2A">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_Toc19588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格式1</w:t>
      </w:r>
      <w:r>
        <w:rPr>
          <w:rFonts w:hint="eastAsia" w:ascii="宋体" w:hAnsi="宋体" w:eastAsia="宋体" w:cs="宋体"/>
          <w:szCs w:val="24"/>
          <w:highlight w:val="none"/>
          <w:lang w:val="en-US" w:eastAsia="zh-CN"/>
        </w:rPr>
        <w:t>4</w:t>
      </w:r>
      <w:r>
        <w:rPr>
          <w:rFonts w:hint="eastAsia" w:ascii="宋体" w:hAnsi="宋体" w:eastAsia="宋体" w:cs="宋体"/>
          <w:szCs w:val="24"/>
          <w:highlight w:val="none"/>
        </w:rPr>
        <w:t>：其</w:t>
      </w:r>
      <w:r>
        <w:rPr>
          <w:rFonts w:hint="eastAsia" w:ascii="宋体" w:hAnsi="宋体" w:eastAsia="宋体" w:cs="宋体"/>
          <w:szCs w:val="24"/>
          <w:highlight w:val="none"/>
          <w:lang w:val="en-US" w:eastAsia="zh-CN"/>
        </w:rPr>
        <w:t>他</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_Toc19588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66</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42ADFFCC">
      <w:pPr>
        <w:pStyle w:val="20"/>
        <w:tabs>
          <w:tab w:val="right" w:leader="dot" w:pos="9240"/>
          <w:tab w:val="clear" w:pos="945"/>
          <w:tab w:val="clear" w:pos="9344"/>
        </w:tabs>
        <w:rPr>
          <w:rFonts w:hint="eastAsia" w:ascii="宋体" w:hAnsi="宋体" w:eastAsia="宋体" w:cs="宋体"/>
          <w:b/>
          <w:bCs/>
          <w:szCs w:val="24"/>
          <w:highlight w:val="none"/>
        </w:rPr>
      </w:pPr>
      <w:r>
        <w:rPr>
          <w:rFonts w:hint="eastAsia" w:ascii="宋体" w:hAnsi="宋体" w:eastAsia="宋体" w:cs="宋体"/>
          <w:b/>
          <w:bCs/>
          <w:szCs w:val="24"/>
          <w:highlight w:val="none"/>
        </w:rPr>
        <w:fldChar w:fldCharType="begin"/>
      </w:r>
      <w:r>
        <w:rPr>
          <w:rFonts w:hint="eastAsia" w:ascii="宋体" w:hAnsi="宋体" w:eastAsia="宋体" w:cs="宋体"/>
          <w:b/>
          <w:bCs/>
          <w:szCs w:val="24"/>
          <w:highlight w:val="none"/>
        </w:rPr>
        <w:instrText xml:space="preserve"> HYPERLINK \l _Toc22359 </w:instrText>
      </w:r>
      <w:r>
        <w:rPr>
          <w:rFonts w:hint="eastAsia" w:ascii="宋体" w:hAnsi="宋体" w:eastAsia="宋体" w:cs="宋体"/>
          <w:b/>
          <w:bCs/>
          <w:szCs w:val="24"/>
          <w:highlight w:val="none"/>
        </w:rPr>
        <w:fldChar w:fldCharType="separate"/>
      </w:r>
      <w:r>
        <w:rPr>
          <w:rFonts w:hint="eastAsia" w:ascii="宋体" w:hAnsi="宋体" w:eastAsia="宋体" w:cs="宋体"/>
          <w:b/>
          <w:bCs/>
          <w:szCs w:val="24"/>
          <w:highlight w:val="none"/>
        </w:rPr>
        <w:t>第五章  招标内容及要求</w:t>
      </w:r>
      <w:r>
        <w:rPr>
          <w:rFonts w:hint="eastAsia" w:ascii="宋体" w:hAnsi="宋体" w:eastAsia="宋体" w:cs="宋体"/>
          <w:b/>
          <w:bCs/>
          <w:szCs w:val="24"/>
          <w:highlight w:val="none"/>
        </w:rPr>
        <w:tab/>
      </w:r>
      <w:r>
        <w:rPr>
          <w:rFonts w:hint="eastAsia" w:ascii="宋体" w:hAnsi="宋体" w:eastAsia="宋体" w:cs="宋体"/>
          <w:b/>
          <w:bCs/>
          <w:szCs w:val="24"/>
          <w:highlight w:val="none"/>
        </w:rPr>
        <w:fldChar w:fldCharType="begin"/>
      </w:r>
      <w:r>
        <w:rPr>
          <w:rFonts w:hint="eastAsia" w:ascii="宋体" w:hAnsi="宋体" w:eastAsia="宋体" w:cs="宋体"/>
          <w:b/>
          <w:bCs/>
          <w:szCs w:val="24"/>
          <w:highlight w:val="none"/>
        </w:rPr>
        <w:instrText xml:space="preserve"> PAGEREF _Toc22359 \h </w:instrText>
      </w:r>
      <w:r>
        <w:rPr>
          <w:rFonts w:hint="eastAsia" w:ascii="宋体" w:hAnsi="宋体" w:eastAsia="宋体" w:cs="宋体"/>
          <w:b/>
          <w:bCs/>
          <w:szCs w:val="24"/>
          <w:highlight w:val="none"/>
        </w:rPr>
        <w:fldChar w:fldCharType="separate"/>
      </w:r>
      <w:r>
        <w:rPr>
          <w:rFonts w:hint="eastAsia" w:ascii="宋体" w:hAnsi="宋体" w:eastAsia="宋体" w:cs="宋体"/>
          <w:b/>
          <w:bCs/>
          <w:szCs w:val="24"/>
          <w:highlight w:val="none"/>
        </w:rPr>
        <w:t>70</w:t>
      </w:r>
      <w:r>
        <w:rPr>
          <w:rFonts w:hint="eastAsia" w:ascii="宋体" w:hAnsi="宋体" w:eastAsia="宋体" w:cs="宋体"/>
          <w:b/>
          <w:bCs/>
          <w:szCs w:val="24"/>
          <w:highlight w:val="none"/>
        </w:rPr>
        <w:fldChar w:fldCharType="end"/>
      </w:r>
      <w:r>
        <w:rPr>
          <w:rFonts w:hint="eastAsia" w:ascii="宋体" w:hAnsi="宋体" w:eastAsia="宋体" w:cs="宋体"/>
          <w:b/>
          <w:bCs/>
          <w:szCs w:val="24"/>
          <w:highlight w:val="none"/>
        </w:rPr>
        <w:fldChar w:fldCharType="end"/>
      </w:r>
    </w:p>
    <w:p w14:paraId="70C917A3">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_Toc5080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第一部分、采购内容一览表</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_Toc5080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71</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7746ED8E">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_Toc3392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第二部分、技术参数及要求</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_Toc3392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72</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7F8BBA16">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_Toc4682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lang w:val="en-US" w:eastAsia="zh-CN"/>
        </w:rPr>
        <w:t>一、剖面样品储存架（木盒）</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_Toc4682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72</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3388B26A">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_Toc29033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lang w:val="en-US" w:eastAsia="zh-CN"/>
        </w:rPr>
        <w:t>二、剖面样品储存架（纸盒）</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_Toc29033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72</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1262FE5F">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_Toc5643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lang w:val="en-US" w:eastAsia="zh-CN"/>
        </w:rPr>
        <w:t>三、剖面样品科普展示柜</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_Toc5643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73</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6D549F13">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_Toc31771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lang w:val="en-US" w:eastAsia="zh-CN"/>
        </w:rPr>
        <w:t>四、工作台面（剖面制作）</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_Toc31771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73</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7FA3EB4D">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_Toc16437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lang w:val="en-US" w:eastAsia="zh-CN"/>
        </w:rPr>
        <w:t>五、实验室工作台</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_Toc16437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74</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207ADA30">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_Toc31348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第</w:t>
      </w:r>
      <w:r>
        <w:rPr>
          <w:rFonts w:hint="eastAsia" w:ascii="宋体" w:hAnsi="宋体" w:eastAsia="宋体" w:cs="宋体"/>
          <w:szCs w:val="24"/>
          <w:highlight w:val="none"/>
          <w:lang w:val="en-US" w:eastAsia="zh-CN"/>
        </w:rPr>
        <w:t>三</w:t>
      </w:r>
      <w:r>
        <w:rPr>
          <w:rFonts w:hint="eastAsia" w:ascii="宋体" w:hAnsi="宋体" w:eastAsia="宋体" w:cs="宋体"/>
          <w:szCs w:val="24"/>
          <w:highlight w:val="none"/>
        </w:rPr>
        <w:t>部分、</w:t>
      </w:r>
      <w:r>
        <w:rPr>
          <w:rFonts w:hint="eastAsia" w:ascii="宋体" w:hAnsi="宋体" w:eastAsia="宋体" w:cs="宋体"/>
          <w:szCs w:val="24"/>
          <w:highlight w:val="none"/>
          <w:lang w:val="en-US" w:eastAsia="zh-CN"/>
        </w:rPr>
        <w:t>售后服务及其他要求</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_Toc31348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75</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79FFDBDB">
      <w:pPr>
        <w:pStyle w:val="20"/>
        <w:tabs>
          <w:tab w:val="right" w:leader="dot" w:pos="9240"/>
          <w:tab w:val="clear" w:pos="945"/>
          <w:tab w:val="clear" w:pos="9344"/>
        </w:tabs>
        <w:rPr>
          <w:rFonts w:hint="eastAsia" w:ascii="宋体" w:hAnsi="宋体" w:eastAsia="宋体" w:cs="宋体"/>
          <w:b/>
          <w:bCs/>
          <w:szCs w:val="24"/>
          <w:highlight w:val="none"/>
        </w:rPr>
      </w:pPr>
      <w:r>
        <w:rPr>
          <w:rFonts w:hint="eastAsia" w:ascii="宋体" w:hAnsi="宋体" w:eastAsia="宋体" w:cs="宋体"/>
          <w:b/>
          <w:bCs/>
          <w:szCs w:val="24"/>
          <w:highlight w:val="none"/>
        </w:rPr>
        <w:fldChar w:fldCharType="begin"/>
      </w:r>
      <w:r>
        <w:rPr>
          <w:rFonts w:hint="eastAsia" w:ascii="宋体" w:hAnsi="宋体" w:eastAsia="宋体" w:cs="宋体"/>
          <w:b/>
          <w:bCs/>
          <w:szCs w:val="24"/>
          <w:highlight w:val="none"/>
        </w:rPr>
        <w:instrText xml:space="preserve"> HYPERLINK \l _Toc15296 </w:instrText>
      </w:r>
      <w:r>
        <w:rPr>
          <w:rFonts w:hint="eastAsia" w:ascii="宋体" w:hAnsi="宋体" w:eastAsia="宋体" w:cs="宋体"/>
          <w:b/>
          <w:bCs/>
          <w:szCs w:val="24"/>
          <w:highlight w:val="none"/>
        </w:rPr>
        <w:fldChar w:fldCharType="separate"/>
      </w:r>
      <w:r>
        <w:rPr>
          <w:rFonts w:hint="eastAsia" w:ascii="宋体" w:hAnsi="宋体" w:eastAsia="宋体" w:cs="宋体"/>
          <w:b/>
          <w:bCs/>
          <w:szCs w:val="24"/>
          <w:highlight w:val="none"/>
        </w:rPr>
        <w:t>第六章  评标办法（综合评分法）</w:t>
      </w:r>
      <w:r>
        <w:rPr>
          <w:rFonts w:hint="eastAsia" w:ascii="宋体" w:hAnsi="宋体" w:eastAsia="宋体" w:cs="宋体"/>
          <w:b/>
          <w:bCs/>
          <w:szCs w:val="24"/>
          <w:highlight w:val="none"/>
        </w:rPr>
        <w:tab/>
      </w:r>
      <w:r>
        <w:rPr>
          <w:rFonts w:hint="eastAsia" w:ascii="宋体" w:hAnsi="宋体" w:eastAsia="宋体" w:cs="宋体"/>
          <w:b/>
          <w:bCs/>
          <w:szCs w:val="24"/>
          <w:highlight w:val="none"/>
        </w:rPr>
        <w:fldChar w:fldCharType="begin"/>
      </w:r>
      <w:r>
        <w:rPr>
          <w:rFonts w:hint="eastAsia" w:ascii="宋体" w:hAnsi="宋体" w:eastAsia="宋体" w:cs="宋体"/>
          <w:b/>
          <w:bCs/>
          <w:szCs w:val="24"/>
          <w:highlight w:val="none"/>
        </w:rPr>
        <w:instrText xml:space="preserve"> PAGEREF _Toc15296 \h </w:instrText>
      </w:r>
      <w:r>
        <w:rPr>
          <w:rFonts w:hint="eastAsia" w:ascii="宋体" w:hAnsi="宋体" w:eastAsia="宋体" w:cs="宋体"/>
          <w:b/>
          <w:bCs/>
          <w:szCs w:val="24"/>
          <w:highlight w:val="none"/>
        </w:rPr>
        <w:fldChar w:fldCharType="separate"/>
      </w:r>
      <w:r>
        <w:rPr>
          <w:rFonts w:hint="eastAsia" w:ascii="宋体" w:hAnsi="宋体" w:eastAsia="宋体" w:cs="宋体"/>
          <w:b/>
          <w:bCs/>
          <w:szCs w:val="24"/>
          <w:highlight w:val="none"/>
        </w:rPr>
        <w:t>78</w:t>
      </w:r>
      <w:r>
        <w:rPr>
          <w:rFonts w:hint="eastAsia" w:ascii="宋体" w:hAnsi="宋体" w:eastAsia="宋体" w:cs="宋体"/>
          <w:b/>
          <w:bCs/>
          <w:szCs w:val="24"/>
          <w:highlight w:val="none"/>
        </w:rPr>
        <w:fldChar w:fldCharType="end"/>
      </w:r>
      <w:r>
        <w:rPr>
          <w:rFonts w:hint="eastAsia" w:ascii="宋体" w:hAnsi="宋体" w:eastAsia="宋体" w:cs="宋体"/>
          <w:b/>
          <w:bCs/>
          <w:szCs w:val="24"/>
          <w:highlight w:val="none"/>
        </w:rPr>
        <w:fldChar w:fldCharType="end"/>
      </w:r>
    </w:p>
    <w:p w14:paraId="0974D825">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_Toc23732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评标办法前附表</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_Toc23732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78</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6CD33DC9">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_Toc27779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lang w:val="en-US" w:eastAsia="zh-CN"/>
        </w:rPr>
        <w:t>1.评标方法</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_Toc27779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85</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35B3E688">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_Toc16770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lang w:val="en-US" w:eastAsia="zh-CN"/>
        </w:rPr>
        <w:t>2.评审标准</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_Toc16770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85</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1D6D28E9">
      <w:pPr>
        <w:pStyle w:val="20"/>
        <w:tabs>
          <w:tab w:val="right" w:leader="dot" w:pos="9240"/>
          <w:tab w:val="clear" w:pos="945"/>
          <w:tab w:val="clear" w:pos="9344"/>
        </w:tabs>
        <w:rPr>
          <w:rFonts w:hint="eastAsia" w:ascii="宋体" w:hAnsi="宋体" w:eastAsia="宋体" w:cs="宋体"/>
          <w:szCs w:val="24"/>
          <w:highlight w:val="none"/>
        </w:rPr>
      </w:pP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\l _Toc24562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lang w:val="en-US" w:eastAsia="zh-CN"/>
        </w:rPr>
        <w:t>3.评标程序</w:t>
      </w:r>
      <w:r>
        <w:rPr>
          <w:rFonts w:hint="eastAsia" w:ascii="宋体" w:hAnsi="宋体" w:eastAsia="宋体" w:cs="宋体"/>
          <w:szCs w:val="24"/>
          <w:highlight w:val="none"/>
        </w:rPr>
        <w:tab/>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PAGEREF _Toc24562 \h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87</w:t>
      </w:r>
      <w:r>
        <w:rPr>
          <w:rFonts w:hint="eastAsia" w:ascii="宋体" w:hAnsi="宋体" w:eastAsia="宋体" w:cs="宋体"/>
          <w:szCs w:val="24"/>
          <w:highlight w:val="none"/>
        </w:rPr>
        <w:fldChar w:fldCharType="end"/>
      </w:r>
      <w:r>
        <w:rPr>
          <w:rFonts w:hint="eastAsia" w:ascii="宋体" w:hAnsi="宋体" w:eastAsia="宋体" w:cs="宋体"/>
          <w:szCs w:val="24"/>
          <w:highlight w:val="none"/>
        </w:rPr>
        <w:fldChar w:fldCharType="end"/>
      </w:r>
    </w:p>
    <w:p w14:paraId="4E2F38E9">
      <w:pPr>
        <w:pStyle w:val="20"/>
        <w:tabs>
          <w:tab w:val="right" w:leader="dot" w:pos="9240"/>
          <w:tab w:val="clear" w:pos="945"/>
          <w:tab w:val="clear" w:pos="9344"/>
        </w:tabs>
        <w:rPr>
          <w:rFonts w:hint="eastAsia" w:ascii="宋体" w:hAnsi="宋体" w:eastAsia="宋体" w:cs="宋体"/>
          <w:color w:val="auto"/>
          <w:sz w:val="24"/>
          <w:szCs w:val="24"/>
          <w:highlight w:val="none"/>
        </w:rPr>
      </w:pPr>
      <w:r>
        <w:rPr>
          <w:rFonts w:hint="eastAsia" w:ascii="宋体" w:hAnsi="宋体" w:eastAsia="宋体" w:cs="宋体"/>
          <w:szCs w:val="24"/>
          <w:highlight w:val="none"/>
        </w:rPr>
        <w:fldChar w:fldCharType="end"/>
      </w:r>
    </w:p>
    <w:p w14:paraId="4C65E688">
      <w:pPr>
        <w:spacing w:line="360" w:lineRule="exact"/>
        <w:rPr>
          <w:rFonts w:hint="eastAsia" w:ascii="宋体" w:hAnsi="宋体" w:eastAsia="宋体" w:cs="宋体"/>
          <w:color w:val="auto"/>
          <w:sz w:val="24"/>
          <w:highlight w:val="none"/>
        </w:rPr>
        <w:sectPr>
          <w:footerReference r:id="rId5" w:type="default"/>
          <w:pgSz w:w="11906" w:h="16838"/>
          <w:pgMar w:top="1418" w:right="1248" w:bottom="1134" w:left="1418" w:header="935" w:footer="720" w:gutter="0"/>
          <w:pgBorders>
            <w:top w:val="none" w:sz="0" w:space="0"/>
            <w:left w:val="none" w:sz="0" w:space="0"/>
            <w:bottom w:val="none" w:sz="0" w:space="0"/>
            <w:right w:val="none" w:sz="0" w:space="0"/>
          </w:pgBorders>
          <w:pgNumType w:start="1"/>
          <w:cols w:space="720" w:num="1"/>
          <w:docGrid w:type="linesAndChars" w:linePitch="331" w:charSpace="0"/>
        </w:sectPr>
      </w:pPr>
      <w:bookmarkStart w:id="275" w:name="_GoBack"/>
      <w:bookmarkEnd w:id="275"/>
    </w:p>
    <w:p w14:paraId="5211831D">
      <w:pPr>
        <w:rPr>
          <w:rFonts w:hint="eastAsia" w:ascii="宋体" w:hAnsi="宋体" w:eastAsia="宋体" w:cs="宋体"/>
          <w:color w:val="auto"/>
          <w:highlight w:val="none"/>
        </w:rPr>
      </w:pPr>
    </w:p>
    <w:p w14:paraId="7A538320">
      <w:pPr>
        <w:pStyle w:val="2"/>
        <w:numPr>
          <w:ilvl w:val="0"/>
          <w:numId w:val="0"/>
        </w:numPr>
        <w:rPr>
          <w:rFonts w:hint="eastAsia" w:ascii="宋体" w:hAnsi="宋体" w:eastAsia="宋体" w:cs="宋体"/>
          <w:color w:val="auto"/>
          <w:highlight w:val="none"/>
        </w:rPr>
      </w:pPr>
      <w:bookmarkStart w:id="0" w:name="_Toc4449"/>
      <w:r>
        <w:rPr>
          <w:rFonts w:hint="eastAsia" w:ascii="宋体" w:hAnsi="宋体" w:eastAsia="宋体" w:cs="宋体"/>
          <w:b/>
          <w:color w:val="auto"/>
          <w:kern w:val="44"/>
          <w:sz w:val="28"/>
          <w:szCs w:val="20"/>
          <w:highlight w:val="none"/>
          <w:lang w:val="en-US" w:eastAsia="zh-CN" w:bidi="ar-SA"/>
        </w:rPr>
        <w:t>第一章</w:t>
      </w:r>
      <w:r>
        <w:rPr>
          <w:rFonts w:hint="eastAsia" w:ascii="宋体" w:hAnsi="宋体" w:eastAsia="宋体" w:cs="宋体"/>
          <w:color w:val="auto"/>
          <w:highlight w:val="none"/>
        </w:rPr>
        <w:t xml:space="preserve"> 招标公告</w:t>
      </w:r>
      <w:bookmarkEnd w:id="0"/>
    </w:p>
    <w:p w14:paraId="65069F40">
      <w:pPr>
        <w:numPr>
          <w:ilvl w:val="0"/>
          <w:numId w:val="0"/>
        </w:numPr>
        <w:rPr>
          <w:rFonts w:hint="eastAsia" w:ascii="宋体" w:hAnsi="宋体" w:eastAsia="宋体" w:cs="宋体"/>
          <w:color w:val="auto"/>
          <w:highlight w:val="none"/>
        </w:rPr>
      </w:pPr>
    </w:p>
    <w:p w14:paraId="30E08EC9">
      <w:pPr>
        <w:keepNext w:val="0"/>
        <w:keepLines w:val="0"/>
        <w:pageBreakBefore w:val="0"/>
        <w:widowControl w:val="0"/>
        <w:pBdr>
          <w:top w:val="single" w:color="auto" w:sz="4" w:space="0"/>
          <w:left w:val="single" w:color="auto" w:sz="4" w:space="0"/>
          <w:bottom w:val="single" w:color="auto" w:sz="4" w:space="0"/>
          <w:right w:val="single" w:color="auto" w:sz="4" w:space="0"/>
        </w:pBdr>
        <w:kinsoku/>
        <w:overflowPunct/>
        <w:topLinePunct w:val="0"/>
        <w:autoSpaceDE/>
        <w:autoSpaceDN/>
        <w:bidi w:val="0"/>
        <w:adjustRightInd/>
        <w:spacing w:line="460" w:lineRule="exact"/>
        <w:ind w:firstLine="480"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项目概况</w:t>
      </w:r>
    </w:p>
    <w:p w14:paraId="31AC7338">
      <w:pPr>
        <w:keepNext w:val="0"/>
        <w:keepLines w:val="0"/>
        <w:pageBreakBefore w:val="0"/>
        <w:widowControl w:val="0"/>
        <w:pBdr>
          <w:top w:val="single" w:color="auto" w:sz="4" w:space="0"/>
          <w:left w:val="single" w:color="auto" w:sz="4" w:space="0"/>
          <w:bottom w:val="single" w:color="auto" w:sz="4" w:space="0"/>
          <w:right w:val="single" w:color="auto" w:sz="4" w:space="0"/>
        </w:pBdr>
        <w:kinsoku/>
        <w:overflowPunct/>
        <w:topLinePunct w:val="0"/>
        <w:autoSpaceDE/>
        <w:autoSpaceDN/>
        <w:bidi w:val="0"/>
        <w:adjustRightInd/>
        <w:spacing w:line="460" w:lineRule="exact"/>
        <w:ind w:firstLine="480" w:firstLineChars="200"/>
        <w:textAlignment w:val="auto"/>
        <w:rPr>
          <w:rFonts w:hint="eastAsia" w:ascii="宋体" w:hAnsi="宋体" w:eastAsia="宋体" w:cs="宋体"/>
          <w:color w:val="auto"/>
          <w:sz w:val="24"/>
          <w:highlight w:val="none"/>
        </w:rPr>
      </w:pPr>
      <w:r>
        <w:rPr>
          <w:rFonts w:hint="eastAsia" w:ascii="宋体" w:hAnsi="宋体" w:cs="宋体"/>
          <w:b/>
          <w:bCs/>
          <w:color w:val="auto"/>
          <w:sz w:val="24"/>
          <w:highlight w:val="none"/>
          <w:u w:val="single"/>
          <w:lang w:eastAsia="zh-CN"/>
        </w:rPr>
        <w:t>云南省第三次全国土壤普查土壤样品库和数据库建设项目样品储存架等设备采购（二次招标）</w:t>
      </w:r>
      <w:r>
        <w:rPr>
          <w:rFonts w:hint="eastAsia" w:ascii="宋体" w:hAnsi="宋体" w:eastAsia="宋体" w:cs="宋体"/>
          <w:color w:val="auto"/>
          <w:sz w:val="24"/>
          <w:highlight w:val="none"/>
        </w:rPr>
        <w:t>的潜在投标人应在</w:t>
      </w:r>
      <w:r>
        <w:rPr>
          <w:rFonts w:hint="eastAsia" w:ascii="宋体" w:hAnsi="宋体" w:eastAsia="宋体" w:cs="宋体"/>
          <w:b/>
          <w:bCs/>
          <w:color w:val="auto"/>
          <w:sz w:val="24"/>
          <w:highlight w:val="none"/>
          <w:u w:val="single"/>
        </w:rPr>
        <w:t>政采云平台（https://www.zcygov.cn）</w:t>
      </w:r>
      <w:r>
        <w:rPr>
          <w:rFonts w:hint="eastAsia" w:ascii="宋体" w:hAnsi="宋体" w:eastAsia="宋体" w:cs="宋体"/>
          <w:b/>
          <w:bCs/>
          <w:color w:val="auto"/>
          <w:sz w:val="24"/>
          <w:highlight w:val="none"/>
          <w:u w:val="single"/>
          <w:lang w:eastAsia="zh-CN"/>
        </w:rPr>
        <w:t>登录</w:t>
      </w:r>
      <w:r>
        <w:rPr>
          <w:rFonts w:hint="eastAsia" w:ascii="宋体" w:hAnsi="宋体" w:eastAsia="宋体" w:cs="宋体"/>
          <w:b w:val="0"/>
          <w:bCs w:val="0"/>
          <w:color w:val="auto"/>
          <w:sz w:val="24"/>
          <w:highlight w:val="none"/>
          <w:u w:val="none"/>
        </w:rPr>
        <w:t>获取</w:t>
      </w:r>
      <w:r>
        <w:rPr>
          <w:rFonts w:hint="eastAsia" w:ascii="宋体" w:hAnsi="宋体" w:eastAsia="宋体" w:cs="宋体"/>
          <w:b w:val="0"/>
          <w:bCs w:val="0"/>
          <w:color w:val="auto"/>
          <w:sz w:val="24"/>
          <w:highlight w:val="none"/>
          <w:u w:val="none"/>
          <w:lang w:val="en-US" w:eastAsia="zh-CN"/>
        </w:rPr>
        <w:t>招标</w:t>
      </w:r>
      <w:r>
        <w:rPr>
          <w:rFonts w:hint="eastAsia" w:ascii="宋体" w:hAnsi="宋体" w:eastAsia="宋体" w:cs="宋体"/>
          <w:b w:val="0"/>
          <w:bCs w:val="0"/>
          <w:color w:val="auto"/>
          <w:sz w:val="24"/>
          <w:highlight w:val="none"/>
          <w:u w:val="none"/>
        </w:rPr>
        <w:t>文件</w:t>
      </w:r>
      <w:r>
        <w:rPr>
          <w:rFonts w:hint="eastAsia" w:ascii="宋体" w:hAnsi="宋体" w:eastAsia="宋体" w:cs="宋体"/>
          <w:color w:val="auto"/>
          <w:sz w:val="24"/>
          <w:highlight w:val="none"/>
        </w:rPr>
        <w:t>，并于</w:t>
      </w:r>
      <w:r>
        <w:rPr>
          <w:rFonts w:hint="eastAsia" w:ascii="宋体" w:hAnsi="宋体" w:eastAsia="宋体" w:cs="宋体"/>
          <w:b/>
          <w:bCs/>
          <w:color w:val="auto"/>
          <w:spacing w:val="10"/>
          <w:sz w:val="24"/>
          <w:szCs w:val="22"/>
          <w:highlight w:val="none"/>
          <w:u w:val="single"/>
        </w:rPr>
        <w:t>202</w:t>
      </w:r>
      <w:r>
        <w:rPr>
          <w:rFonts w:hint="eastAsia" w:ascii="宋体" w:hAnsi="宋体" w:eastAsia="宋体" w:cs="宋体"/>
          <w:b/>
          <w:bCs/>
          <w:color w:val="auto"/>
          <w:spacing w:val="10"/>
          <w:sz w:val="24"/>
          <w:szCs w:val="22"/>
          <w:highlight w:val="none"/>
          <w:u w:val="single"/>
          <w:lang w:val="en-US" w:eastAsia="zh-CN"/>
        </w:rPr>
        <w:t>6</w:t>
      </w:r>
      <w:r>
        <w:rPr>
          <w:rFonts w:hint="eastAsia" w:ascii="宋体" w:hAnsi="宋体" w:eastAsia="宋体" w:cs="宋体"/>
          <w:b/>
          <w:bCs/>
          <w:color w:val="auto"/>
          <w:spacing w:val="10"/>
          <w:sz w:val="24"/>
          <w:szCs w:val="22"/>
          <w:highlight w:val="none"/>
          <w:u w:val="single"/>
        </w:rPr>
        <w:t>年</w:t>
      </w:r>
      <w:r>
        <w:rPr>
          <w:rFonts w:hint="eastAsia" w:ascii="宋体" w:hAnsi="宋体" w:cs="宋体"/>
          <w:b/>
          <w:bCs/>
          <w:color w:val="auto"/>
          <w:spacing w:val="10"/>
          <w:sz w:val="24"/>
          <w:szCs w:val="22"/>
          <w:highlight w:val="none"/>
          <w:u w:val="single"/>
          <w:lang w:val="en-US" w:eastAsia="zh-CN"/>
        </w:rPr>
        <w:t>6</w:t>
      </w:r>
      <w:r>
        <w:rPr>
          <w:rFonts w:hint="eastAsia" w:ascii="宋体" w:hAnsi="宋体" w:eastAsia="宋体" w:cs="宋体"/>
          <w:b/>
          <w:bCs/>
          <w:color w:val="auto"/>
          <w:spacing w:val="10"/>
          <w:sz w:val="24"/>
          <w:szCs w:val="22"/>
          <w:highlight w:val="none"/>
          <w:u w:val="single"/>
        </w:rPr>
        <w:t>月</w:t>
      </w:r>
      <w:r>
        <w:rPr>
          <w:rFonts w:hint="eastAsia" w:ascii="宋体" w:hAnsi="宋体" w:cs="宋体"/>
          <w:b/>
          <w:bCs/>
          <w:color w:val="auto"/>
          <w:spacing w:val="10"/>
          <w:sz w:val="24"/>
          <w:szCs w:val="22"/>
          <w:highlight w:val="none"/>
          <w:u w:val="single"/>
          <w:lang w:val="en-US" w:eastAsia="zh-CN"/>
        </w:rPr>
        <w:t>15</w:t>
      </w:r>
      <w:r>
        <w:rPr>
          <w:rFonts w:hint="eastAsia" w:ascii="宋体" w:hAnsi="宋体" w:eastAsia="宋体" w:cs="宋体"/>
          <w:b/>
          <w:bCs/>
          <w:color w:val="auto"/>
          <w:spacing w:val="10"/>
          <w:sz w:val="24"/>
          <w:szCs w:val="22"/>
          <w:highlight w:val="none"/>
          <w:u w:val="single"/>
        </w:rPr>
        <w:t>日</w:t>
      </w:r>
      <w:r>
        <w:rPr>
          <w:rFonts w:hint="eastAsia" w:ascii="宋体" w:hAnsi="宋体" w:cs="宋体"/>
          <w:b/>
          <w:bCs/>
          <w:color w:val="auto"/>
          <w:spacing w:val="10"/>
          <w:sz w:val="24"/>
          <w:szCs w:val="22"/>
          <w:highlight w:val="none"/>
          <w:u w:val="single"/>
          <w:lang w:val="en-US" w:eastAsia="zh-CN"/>
        </w:rPr>
        <w:t>09</w:t>
      </w:r>
      <w:r>
        <w:rPr>
          <w:rFonts w:hint="eastAsia" w:ascii="宋体" w:hAnsi="宋体" w:eastAsia="宋体" w:cs="宋体"/>
          <w:b/>
          <w:bCs/>
          <w:color w:val="auto"/>
          <w:spacing w:val="10"/>
          <w:sz w:val="24"/>
          <w:szCs w:val="22"/>
          <w:highlight w:val="none"/>
          <w:u w:val="single"/>
        </w:rPr>
        <w:t>:</w:t>
      </w:r>
      <w:r>
        <w:rPr>
          <w:rFonts w:hint="eastAsia" w:ascii="宋体" w:hAnsi="宋体" w:cs="宋体"/>
          <w:b/>
          <w:bCs/>
          <w:color w:val="auto"/>
          <w:spacing w:val="10"/>
          <w:sz w:val="24"/>
          <w:szCs w:val="22"/>
          <w:highlight w:val="none"/>
          <w:u w:val="single"/>
          <w:lang w:val="en-US" w:eastAsia="zh-CN"/>
        </w:rPr>
        <w:t>30</w:t>
      </w:r>
      <w:r>
        <w:rPr>
          <w:rFonts w:hint="eastAsia" w:ascii="宋体" w:hAnsi="宋体" w:eastAsia="宋体" w:cs="宋体"/>
          <w:color w:val="auto"/>
          <w:sz w:val="24"/>
          <w:highlight w:val="none"/>
        </w:rPr>
        <w:t>（北京时间）前递交投标文件。</w:t>
      </w:r>
    </w:p>
    <w:p w14:paraId="0E2FA41A">
      <w:pPr>
        <w:keepNext w:val="0"/>
        <w:keepLines w:val="0"/>
        <w:pageBreakBefore w:val="0"/>
        <w:widowControl w:val="0"/>
        <w:kinsoku/>
        <w:wordWrap/>
        <w:overflowPunct/>
        <w:topLinePunct w:val="0"/>
        <w:autoSpaceDE/>
        <w:autoSpaceDN/>
        <w:bidi w:val="0"/>
        <w:adjustRightInd/>
        <w:snapToGrid/>
        <w:spacing w:before="167" w:beforeLines="50" w:line="460" w:lineRule="exact"/>
        <w:ind w:firstLine="480" w:firstLineChars="200"/>
        <w:textAlignment w:val="auto"/>
        <w:rPr>
          <w:rFonts w:hint="eastAsia" w:ascii="宋体" w:hAnsi="宋体" w:eastAsia="宋体" w:cs="宋体"/>
          <w:b/>
          <w:bCs/>
          <w:color w:val="auto"/>
          <w:sz w:val="24"/>
          <w:highlight w:val="none"/>
        </w:rPr>
      </w:pPr>
      <w:bookmarkStart w:id="1" w:name="_Toc35393621"/>
      <w:bookmarkStart w:id="2" w:name="_Toc28359002"/>
      <w:bookmarkStart w:id="3" w:name="_Toc35393790"/>
      <w:bookmarkStart w:id="4" w:name="_Toc28359079"/>
      <w:bookmarkStart w:id="5" w:name="_Hlk24379207"/>
      <w:r>
        <w:rPr>
          <w:rFonts w:hint="eastAsia" w:ascii="宋体" w:hAnsi="宋体" w:eastAsia="宋体" w:cs="宋体"/>
          <w:b/>
          <w:bCs/>
          <w:color w:val="auto"/>
          <w:sz w:val="24"/>
          <w:highlight w:val="none"/>
        </w:rPr>
        <w:t>一、项目基本情况</w:t>
      </w:r>
      <w:bookmarkEnd w:id="1"/>
      <w:bookmarkEnd w:id="2"/>
      <w:bookmarkEnd w:id="3"/>
      <w:bookmarkEnd w:id="4"/>
    </w:p>
    <w:bookmarkEnd w:id="5"/>
    <w:p w14:paraId="78DA2B05">
      <w:pPr>
        <w:keepNext w:val="0"/>
        <w:keepLines w:val="0"/>
        <w:pageBreakBefore w:val="0"/>
        <w:widowControl w:val="0"/>
        <w:kinsoku/>
        <w:overflowPunct/>
        <w:topLinePunct w:val="0"/>
        <w:autoSpaceDE/>
        <w:autoSpaceDN/>
        <w:bidi w:val="0"/>
        <w:adjustRightInd/>
        <w:spacing w:line="460" w:lineRule="exact"/>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1.项目编号：</w:t>
      </w:r>
      <w:r>
        <w:rPr>
          <w:rFonts w:hint="eastAsia" w:ascii="宋体" w:hAnsi="宋体" w:cs="宋体"/>
          <w:color w:val="auto"/>
          <w:sz w:val="24"/>
          <w:highlight w:val="none"/>
          <w:lang w:eastAsia="zh-CN"/>
        </w:rPr>
        <w:t>ZG-2026084</w:t>
      </w:r>
      <w:r>
        <w:rPr>
          <w:rFonts w:hint="eastAsia" w:ascii="宋体" w:hAnsi="宋体" w:eastAsia="宋体" w:cs="宋体"/>
          <w:color w:val="auto"/>
          <w:sz w:val="24"/>
          <w:highlight w:val="none"/>
          <w:lang w:eastAsia="zh-CN"/>
        </w:rPr>
        <w:t>。</w:t>
      </w:r>
    </w:p>
    <w:p w14:paraId="299162B7">
      <w:pPr>
        <w:keepNext w:val="0"/>
        <w:keepLines w:val="0"/>
        <w:pageBreakBefore w:val="0"/>
        <w:widowControl w:val="0"/>
        <w:kinsoku/>
        <w:overflowPunct/>
        <w:topLinePunct w:val="0"/>
        <w:autoSpaceDE/>
        <w:autoSpaceDN/>
        <w:bidi w:val="0"/>
        <w:adjustRightInd/>
        <w:spacing w:line="460" w:lineRule="exact"/>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2.项目名称：</w:t>
      </w:r>
      <w:r>
        <w:rPr>
          <w:rFonts w:hint="eastAsia" w:ascii="宋体" w:hAnsi="宋体" w:cs="宋体"/>
          <w:color w:val="auto"/>
          <w:sz w:val="24"/>
          <w:highlight w:val="none"/>
          <w:lang w:eastAsia="zh-CN"/>
        </w:rPr>
        <w:t>云南省第三次全国土壤普查土壤样品库和数据库建设项目样品储存架等设备采购（二次招标）</w:t>
      </w:r>
      <w:r>
        <w:rPr>
          <w:rFonts w:hint="eastAsia" w:ascii="宋体" w:hAnsi="宋体" w:eastAsia="宋体" w:cs="宋体"/>
          <w:color w:val="auto"/>
          <w:sz w:val="24"/>
          <w:highlight w:val="none"/>
          <w:lang w:eastAsia="zh-CN"/>
        </w:rPr>
        <w:t>。</w:t>
      </w:r>
    </w:p>
    <w:p w14:paraId="5CCF781A">
      <w:pPr>
        <w:keepNext w:val="0"/>
        <w:keepLines w:val="0"/>
        <w:pageBreakBefore w:val="0"/>
        <w:widowControl w:val="0"/>
        <w:kinsoku/>
        <w:overflowPunct/>
        <w:topLinePunct w:val="0"/>
        <w:autoSpaceDE/>
        <w:autoSpaceDN/>
        <w:bidi w:val="0"/>
        <w:adjustRightInd/>
        <w:spacing w:line="4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3.预算金额：</w:t>
      </w:r>
      <w:r>
        <w:rPr>
          <w:rFonts w:hint="eastAsia" w:ascii="宋体" w:hAnsi="宋体" w:cs="宋体"/>
          <w:color w:val="auto"/>
          <w:sz w:val="24"/>
          <w:highlight w:val="none"/>
          <w:lang w:val="en-US" w:eastAsia="zh-CN"/>
        </w:rPr>
        <w:t>20.82万</w:t>
      </w:r>
      <w:r>
        <w:rPr>
          <w:rFonts w:hint="eastAsia" w:ascii="宋体" w:hAnsi="宋体" w:eastAsia="宋体" w:cs="宋体"/>
          <w:color w:val="auto"/>
          <w:sz w:val="24"/>
          <w:highlight w:val="none"/>
        </w:rPr>
        <w:t>元</w:t>
      </w:r>
      <w:r>
        <w:rPr>
          <w:rFonts w:hint="eastAsia" w:ascii="宋体" w:hAnsi="宋体" w:eastAsia="宋体" w:cs="宋体"/>
          <w:color w:val="auto"/>
          <w:sz w:val="24"/>
          <w:szCs w:val="24"/>
          <w:highlight w:val="none"/>
          <w:lang w:val="en-US" w:eastAsia="zh-CN"/>
        </w:rPr>
        <w:t>。</w:t>
      </w:r>
    </w:p>
    <w:p w14:paraId="464E517D">
      <w:pPr>
        <w:keepNext w:val="0"/>
        <w:keepLines w:val="0"/>
        <w:pageBreakBefore w:val="0"/>
        <w:widowControl w:val="0"/>
        <w:kinsoku/>
        <w:overflowPunct/>
        <w:topLinePunct w:val="0"/>
        <w:autoSpaceDE/>
        <w:autoSpaceDN/>
        <w:bidi w:val="0"/>
        <w:adjustRightInd/>
        <w:spacing w:line="46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lang w:eastAsia="zh-CN"/>
        </w:rPr>
        <w:t>4.最高限价：</w:t>
      </w:r>
      <w:r>
        <w:rPr>
          <w:rFonts w:hint="eastAsia" w:ascii="宋体" w:hAnsi="宋体" w:cs="宋体"/>
          <w:color w:val="auto"/>
          <w:sz w:val="24"/>
          <w:highlight w:val="none"/>
          <w:lang w:val="en-US" w:eastAsia="zh-CN"/>
        </w:rPr>
        <w:t>20.82万</w:t>
      </w:r>
      <w:r>
        <w:rPr>
          <w:rFonts w:hint="eastAsia" w:ascii="宋体" w:hAnsi="宋体" w:eastAsia="宋体" w:cs="宋体"/>
          <w:color w:val="auto"/>
          <w:sz w:val="24"/>
          <w:highlight w:val="none"/>
        </w:rPr>
        <w:t>元</w:t>
      </w:r>
      <w:r>
        <w:rPr>
          <w:rFonts w:hint="eastAsia" w:ascii="宋体" w:hAnsi="宋体" w:eastAsia="宋体" w:cs="宋体"/>
          <w:color w:val="auto"/>
          <w:sz w:val="24"/>
          <w:szCs w:val="24"/>
          <w:highlight w:val="none"/>
          <w:lang w:val="en-US" w:eastAsia="zh-CN"/>
        </w:rPr>
        <w:t>。</w:t>
      </w:r>
    </w:p>
    <w:p w14:paraId="7FB277E0">
      <w:pPr>
        <w:keepNext w:val="0"/>
        <w:keepLines w:val="0"/>
        <w:pageBreakBefore w:val="0"/>
        <w:widowControl w:val="0"/>
        <w:kinsoku/>
        <w:overflowPunct/>
        <w:topLinePunct w:val="0"/>
        <w:autoSpaceDE/>
        <w:autoSpaceDN/>
        <w:bidi w:val="0"/>
        <w:adjustRightInd/>
        <w:spacing w:line="46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5.采购需求：</w:t>
      </w:r>
      <w:bookmarkStart w:id="6" w:name="OLE_LINK4"/>
      <w:bookmarkStart w:id="7" w:name="OLE_LINK5"/>
      <w:r>
        <w:rPr>
          <w:rFonts w:hint="eastAsia" w:ascii="宋体" w:hAnsi="宋体" w:eastAsia="宋体" w:cs="宋体"/>
          <w:color w:val="auto"/>
          <w:sz w:val="24"/>
          <w:highlight w:val="none"/>
          <w:lang w:val="en-US" w:eastAsia="zh-CN"/>
        </w:rPr>
        <w:t>本项目采购标的名称、数量、预算金额如下：</w:t>
      </w:r>
    </w:p>
    <w:tbl>
      <w:tblPr>
        <w:tblStyle w:val="33"/>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80"/>
        <w:gridCol w:w="2345"/>
        <w:gridCol w:w="557"/>
        <w:gridCol w:w="975"/>
        <w:gridCol w:w="822"/>
        <w:gridCol w:w="1146"/>
        <w:gridCol w:w="1552"/>
        <w:gridCol w:w="1587"/>
      </w:tblGrid>
      <w:tr w14:paraId="1A3355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9" w:hRule="atLeast"/>
        </w:trPr>
        <w:tc>
          <w:tcPr>
            <w:tcW w:w="3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0352EA">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12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C4166">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产品（项目）名称</w:t>
            </w:r>
          </w:p>
        </w:tc>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E17C69">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是否进口</w:t>
            </w:r>
          </w:p>
        </w:tc>
        <w:tc>
          <w:tcPr>
            <w:tcW w:w="5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30993">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数量</w:t>
            </w:r>
          </w:p>
        </w:tc>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A23D77">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计量</w:t>
            </w:r>
            <w:r>
              <w:rPr>
                <w:rFonts w:hint="eastAsia" w:ascii="宋体" w:hAnsi="宋体" w:eastAsia="宋体" w:cs="宋体"/>
                <w:b/>
                <w:bCs/>
                <w:i w:val="0"/>
                <w:iCs w:val="0"/>
                <w:color w:val="auto"/>
                <w:kern w:val="0"/>
                <w:sz w:val="21"/>
                <w:szCs w:val="21"/>
                <w:highlight w:val="none"/>
                <w:u w:val="none"/>
                <w:lang w:val="en-US" w:eastAsia="zh-CN" w:bidi="ar"/>
              </w:rPr>
              <w:br w:type="textWrapping"/>
            </w:r>
            <w:r>
              <w:rPr>
                <w:rFonts w:hint="eastAsia" w:ascii="宋体" w:hAnsi="宋体" w:eastAsia="宋体" w:cs="宋体"/>
                <w:b/>
                <w:bCs/>
                <w:i w:val="0"/>
                <w:iCs w:val="0"/>
                <w:color w:val="auto"/>
                <w:kern w:val="0"/>
                <w:sz w:val="21"/>
                <w:szCs w:val="21"/>
                <w:highlight w:val="none"/>
                <w:u w:val="none"/>
                <w:lang w:val="en-US" w:eastAsia="zh-CN" w:bidi="ar"/>
              </w:rPr>
              <w:t>单位</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AE3A9C">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最高限单价</w:t>
            </w:r>
            <w:r>
              <w:rPr>
                <w:rFonts w:hint="eastAsia" w:ascii="宋体" w:hAnsi="宋体" w:eastAsia="宋体" w:cs="宋体"/>
                <w:b/>
                <w:bCs/>
                <w:i w:val="0"/>
                <w:iCs w:val="0"/>
                <w:color w:val="auto"/>
                <w:kern w:val="0"/>
                <w:sz w:val="21"/>
                <w:szCs w:val="21"/>
                <w:highlight w:val="none"/>
                <w:u w:val="none"/>
                <w:lang w:val="en-US" w:eastAsia="zh-CN" w:bidi="ar"/>
              </w:rPr>
              <w:br w:type="textWrapping"/>
            </w:r>
            <w:r>
              <w:rPr>
                <w:rFonts w:hint="eastAsia" w:ascii="宋体" w:hAnsi="宋体" w:eastAsia="宋体" w:cs="宋体"/>
                <w:b/>
                <w:bCs/>
                <w:i w:val="0"/>
                <w:iCs w:val="0"/>
                <w:color w:val="auto"/>
                <w:kern w:val="0"/>
                <w:sz w:val="21"/>
                <w:szCs w:val="21"/>
                <w:highlight w:val="none"/>
                <w:u w:val="none"/>
                <w:lang w:val="en-US" w:eastAsia="zh-CN" w:bidi="ar"/>
              </w:rPr>
              <w:t>（元）</w:t>
            </w:r>
          </w:p>
        </w:tc>
        <w:tc>
          <w:tcPr>
            <w:tcW w:w="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50666B">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总金额</w:t>
            </w:r>
            <w:r>
              <w:rPr>
                <w:rFonts w:hint="eastAsia" w:ascii="宋体" w:hAnsi="宋体" w:eastAsia="宋体" w:cs="宋体"/>
                <w:b/>
                <w:bCs/>
                <w:i w:val="0"/>
                <w:iCs w:val="0"/>
                <w:color w:val="auto"/>
                <w:kern w:val="0"/>
                <w:sz w:val="21"/>
                <w:szCs w:val="21"/>
                <w:highlight w:val="none"/>
                <w:u w:val="none"/>
                <w:lang w:val="en-US" w:eastAsia="zh-CN" w:bidi="ar"/>
              </w:rPr>
              <w:br w:type="textWrapping"/>
            </w:r>
            <w:r>
              <w:rPr>
                <w:rFonts w:hint="eastAsia" w:ascii="宋体" w:hAnsi="宋体" w:eastAsia="宋体" w:cs="宋体"/>
                <w:b/>
                <w:bCs/>
                <w:i w:val="0"/>
                <w:iCs w:val="0"/>
                <w:color w:val="auto"/>
                <w:kern w:val="0"/>
                <w:sz w:val="21"/>
                <w:szCs w:val="21"/>
                <w:highlight w:val="none"/>
                <w:u w:val="none"/>
                <w:lang w:val="en-US" w:eastAsia="zh-CN" w:bidi="ar"/>
              </w:rPr>
              <w:t>（元）</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42034">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交货地点/备注</w:t>
            </w:r>
          </w:p>
        </w:tc>
      </w:tr>
      <w:tr w14:paraId="141091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3" w:hRule="atLeast"/>
        </w:trPr>
        <w:tc>
          <w:tcPr>
            <w:tcW w:w="304" w:type="pct"/>
            <w:tcBorders>
              <w:top w:val="nil"/>
              <w:left w:val="single" w:color="000000" w:sz="4" w:space="0"/>
              <w:bottom w:val="single" w:color="000000" w:sz="4" w:space="0"/>
              <w:right w:val="single" w:color="000000" w:sz="4" w:space="0"/>
            </w:tcBorders>
            <w:shd w:val="clear" w:color="auto" w:fill="auto"/>
            <w:noWrap/>
            <w:vAlign w:val="center"/>
          </w:tcPr>
          <w:p w14:paraId="0E492B1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1</w:t>
            </w:r>
          </w:p>
        </w:tc>
        <w:tc>
          <w:tcPr>
            <w:tcW w:w="1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916E7D">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剖面样品储存架（木盒）</w:t>
            </w:r>
          </w:p>
        </w:tc>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BD0421">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否</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B9A7D">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1</w:t>
            </w:r>
          </w:p>
        </w:tc>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E3CB29">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批</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9C30F3">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61100.00</w:t>
            </w:r>
          </w:p>
        </w:tc>
        <w:tc>
          <w:tcPr>
            <w:tcW w:w="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AC0CB0">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61100.00</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A7A2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昆明</w:t>
            </w:r>
          </w:p>
        </w:tc>
      </w:tr>
      <w:tr w14:paraId="3B7DAF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3" w:hRule="atLeast"/>
        </w:trPr>
        <w:tc>
          <w:tcPr>
            <w:tcW w:w="3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7384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2</w:t>
            </w:r>
          </w:p>
        </w:tc>
        <w:tc>
          <w:tcPr>
            <w:tcW w:w="1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BB360B">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剖面样品储存架（纸盒）</w:t>
            </w:r>
          </w:p>
        </w:tc>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1C8A97">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否</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62E5E7">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1</w:t>
            </w:r>
          </w:p>
        </w:tc>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6A651">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批</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E91E6F">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44000.00</w:t>
            </w:r>
          </w:p>
        </w:tc>
        <w:tc>
          <w:tcPr>
            <w:tcW w:w="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9C3598">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44000.00</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2A78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昆明</w:t>
            </w:r>
          </w:p>
        </w:tc>
      </w:tr>
      <w:tr w14:paraId="60214F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2" w:hRule="atLeast"/>
        </w:trPr>
        <w:tc>
          <w:tcPr>
            <w:tcW w:w="304" w:type="pct"/>
            <w:tcBorders>
              <w:top w:val="nil"/>
              <w:left w:val="single" w:color="000000" w:sz="4" w:space="0"/>
              <w:bottom w:val="single" w:color="000000" w:sz="4" w:space="0"/>
              <w:right w:val="single" w:color="000000" w:sz="4" w:space="0"/>
            </w:tcBorders>
            <w:shd w:val="clear" w:color="auto" w:fill="auto"/>
            <w:noWrap/>
            <w:vAlign w:val="center"/>
          </w:tcPr>
          <w:p w14:paraId="030CA5C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3</w:t>
            </w:r>
          </w:p>
        </w:tc>
        <w:tc>
          <w:tcPr>
            <w:tcW w:w="1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FB78ED">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剖面样品科普展示柜</w:t>
            </w:r>
          </w:p>
        </w:tc>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B495E5">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否</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93ED7B">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10</w:t>
            </w:r>
          </w:p>
        </w:tc>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2C5670">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个</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9D1010">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8120.00</w:t>
            </w:r>
          </w:p>
        </w:tc>
        <w:tc>
          <w:tcPr>
            <w:tcW w:w="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1485DC">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81200.00</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EE40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昆明</w:t>
            </w:r>
          </w:p>
        </w:tc>
      </w:tr>
      <w:tr w14:paraId="063B70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2" w:hRule="atLeast"/>
        </w:trPr>
        <w:tc>
          <w:tcPr>
            <w:tcW w:w="3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3107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4</w:t>
            </w:r>
          </w:p>
        </w:tc>
        <w:tc>
          <w:tcPr>
            <w:tcW w:w="1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BCBC33">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工作台面（剖面制作）</w:t>
            </w:r>
          </w:p>
        </w:tc>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230B9F">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否</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8ACC8B">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7</w:t>
            </w:r>
          </w:p>
        </w:tc>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858432">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台</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28BEDF">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2500.00</w:t>
            </w:r>
          </w:p>
        </w:tc>
        <w:tc>
          <w:tcPr>
            <w:tcW w:w="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426DD5">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17500.00</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D244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昆明</w:t>
            </w:r>
          </w:p>
        </w:tc>
      </w:tr>
      <w:tr w14:paraId="6A37E4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2" w:hRule="atLeast"/>
        </w:trPr>
        <w:tc>
          <w:tcPr>
            <w:tcW w:w="304" w:type="pct"/>
            <w:tcBorders>
              <w:top w:val="nil"/>
              <w:left w:val="single" w:color="000000" w:sz="4" w:space="0"/>
              <w:bottom w:val="single" w:color="000000" w:sz="4" w:space="0"/>
              <w:right w:val="single" w:color="000000" w:sz="4" w:space="0"/>
            </w:tcBorders>
            <w:shd w:val="clear" w:color="auto" w:fill="auto"/>
            <w:noWrap/>
            <w:vAlign w:val="center"/>
          </w:tcPr>
          <w:p w14:paraId="5132096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5</w:t>
            </w:r>
          </w:p>
        </w:tc>
        <w:tc>
          <w:tcPr>
            <w:tcW w:w="12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4CB120">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实验室工作台</w:t>
            </w:r>
          </w:p>
        </w:tc>
        <w:tc>
          <w:tcPr>
            <w:tcW w:w="2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4C8DF8">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否</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553398">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2</w:t>
            </w:r>
          </w:p>
        </w:tc>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96C005">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套</w:t>
            </w:r>
          </w:p>
        </w:tc>
        <w:tc>
          <w:tcPr>
            <w:tcW w:w="5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4E7330">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2200.00</w:t>
            </w:r>
          </w:p>
        </w:tc>
        <w:tc>
          <w:tcPr>
            <w:tcW w:w="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B425E7">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4400.00</w:t>
            </w:r>
          </w:p>
        </w:tc>
        <w:tc>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A4E0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昆明</w:t>
            </w:r>
          </w:p>
        </w:tc>
      </w:tr>
    </w:tbl>
    <w:p w14:paraId="7EFB354C">
      <w:pPr>
        <w:keepNext w:val="0"/>
        <w:keepLines w:val="0"/>
        <w:pageBreakBefore w:val="0"/>
        <w:widowControl w:val="0"/>
        <w:kinsoku/>
        <w:overflowPunct/>
        <w:topLinePunct w:val="0"/>
        <w:autoSpaceDE/>
        <w:autoSpaceDN/>
        <w:bidi w:val="0"/>
        <w:adjustRightInd/>
        <w:spacing w:line="4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简要技术要求详见本公告附件《采购需求》。</w:t>
      </w:r>
    </w:p>
    <w:bookmarkEnd w:id="6"/>
    <w:bookmarkEnd w:id="7"/>
    <w:p w14:paraId="694AA038">
      <w:pPr>
        <w:keepNext w:val="0"/>
        <w:keepLines w:val="0"/>
        <w:pageBreakBefore w:val="0"/>
        <w:widowControl w:val="0"/>
        <w:kinsoku/>
        <w:overflowPunct/>
        <w:topLinePunct w:val="0"/>
        <w:autoSpaceDE/>
        <w:autoSpaceDN/>
        <w:bidi w:val="0"/>
        <w:adjustRightInd/>
        <w:spacing w:line="4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6.合同履行期限：交货</w:t>
      </w:r>
      <w:r>
        <w:rPr>
          <w:rFonts w:hint="eastAsia" w:ascii="宋体" w:hAnsi="宋体" w:eastAsia="宋体" w:cs="宋体"/>
          <w:color w:val="auto"/>
          <w:sz w:val="24"/>
          <w:highlight w:val="none"/>
          <w:lang w:val="en-US" w:eastAsia="zh-CN"/>
        </w:rPr>
        <w:t>及安装调试</w:t>
      </w:r>
      <w:r>
        <w:rPr>
          <w:rFonts w:hint="eastAsia" w:ascii="宋体" w:hAnsi="宋体" w:eastAsia="宋体" w:cs="宋体"/>
          <w:color w:val="auto"/>
          <w:sz w:val="24"/>
          <w:highlight w:val="none"/>
        </w:rPr>
        <w:t>期：合同签订之日起</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0日历天内完成交货及安装调试。免费质保期：项目验收合格之日起不少于</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年。</w:t>
      </w:r>
      <w:r>
        <w:rPr>
          <w:rFonts w:hint="eastAsia" w:ascii="宋体" w:hAnsi="宋体" w:eastAsia="宋体" w:cs="宋体"/>
          <w:b/>
          <w:bCs/>
          <w:color w:val="auto"/>
          <w:sz w:val="24"/>
          <w:highlight w:val="none"/>
        </w:rPr>
        <w:t>招标文件第五章</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招标内容及要求</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对交货期及免费质保期另有要求的，根据要求执行。</w:t>
      </w:r>
    </w:p>
    <w:p w14:paraId="5A8EF711">
      <w:pPr>
        <w:keepNext w:val="0"/>
        <w:keepLines w:val="0"/>
        <w:pageBreakBefore w:val="0"/>
        <w:widowControl w:val="0"/>
        <w:kinsoku/>
        <w:overflowPunct/>
        <w:topLinePunct w:val="0"/>
        <w:autoSpaceDE/>
        <w:autoSpaceDN/>
        <w:bidi w:val="0"/>
        <w:adjustRightInd/>
        <w:spacing w:line="460" w:lineRule="exact"/>
        <w:ind w:firstLine="480" w:firstLineChars="200"/>
        <w:textAlignment w:val="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7.本项目</w:t>
      </w:r>
      <w:r>
        <w:rPr>
          <w:rFonts w:hint="eastAsia" w:ascii="宋体" w:hAnsi="宋体" w:eastAsia="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不</w:t>
      </w:r>
      <w:r>
        <w:rPr>
          <w:rFonts w:hint="eastAsia" w:ascii="宋体" w:hAnsi="宋体" w:eastAsia="宋体" w:cs="宋体"/>
          <w:b/>
          <w:bCs/>
          <w:color w:val="auto"/>
          <w:sz w:val="24"/>
          <w:highlight w:val="none"/>
          <w:u w:val="single"/>
        </w:rPr>
        <w:t xml:space="preserve">接受 </w:t>
      </w:r>
      <w:r>
        <w:rPr>
          <w:rFonts w:hint="eastAsia" w:ascii="宋体" w:hAnsi="宋体" w:eastAsia="宋体" w:cs="宋体"/>
          <w:color w:val="auto"/>
          <w:sz w:val="24"/>
          <w:highlight w:val="none"/>
        </w:rPr>
        <w:t>联合体投标。</w:t>
      </w:r>
    </w:p>
    <w:p w14:paraId="37CF175A">
      <w:pPr>
        <w:keepNext w:val="0"/>
        <w:keepLines w:val="0"/>
        <w:pageBreakBefore w:val="0"/>
        <w:widowControl w:val="0"/>
        <w:kinsoku/>
        <w:overflowPunct/>
        <w:topLinePunct w:val="0"/>
        <w:autoSpaceDE/>
        <w:autoSpaceDN/>
        <w:bidi w:val="0"/>
        <w:adjustRightInd/>
        <w:spacing w:line="460" w:lineRule="exact"/>
        <w:ind w:firstLine="480" w:firstLineChars="200"/>
        <w:textAlignment w:val="auto"/>
        <w:rPr>
          <w:rFonts w:hint="eastAsia" w:ascii="宋体" w:hAnsi="宋体" w:eastAsia="宋体" w:cs="宋体"/>
          <w:b/>
          <w:bCs/>
          <w:color w:val="auto"/>
          <w:sz w:val="24"/>
          <w:highlight w:val="none"/>
        </w:rPr>
      </w:pPr>
      <w:bookmarkStart w:id="8" w:name="_Toc35393791"/>
      <w:bookmarkStart w:id="9" w:name="_Toc28359003"/>
      <w:bookmarkStart w:id="10" w:name="_Toc28359080"/>
      <w:bookmarkStart w:id="11" w:name="_Toc35393622"/>
      <w:r>
        <w:rPr>
          <w:rFonts w:hint="eastAsia" w:ascii="宋体" w:hAnsi="宋体" w:eastAsia="宋体" w:cs="宋体"/>
          <w:b/>
          <w:bCs/>
          <w:color w:val="auto"/>
          <w:sz w:val="24"/>
          <w:highlight w:val="none"/>
        </w:rPr>
        <w:t>二、申请人的资格要求</w:t>
      </w:r>
      <w:bookmarkEnd w:id="8"/>
      <w:bookmarkEnd w:id="9"/>
      <w:bookmarkEnd w:id="10"/>
      <w:bookmarkEnd w:id="11"/>
    </w:p>
    <w:p w14:paraId="6D35CD1A">
      <w:pPr>
        <w:keepNext w:val="0"/>
        <w:keepLines w:val="0"/>
        <w:pageBreakBefore w:val="0"/>
        <w:widowControl w:val="0"/>
        <w:kinsoku/>
        <w:overflowPunct/>
        <w:topLinePunct w:val="0"/>
        <w:autoSpaceDE/>
        <w:autoSpaceDN/>
        <w:bidi w:val="0"/>
        <w:adjustRightInd/>
        <w:spacing w:line="460" w:lineRule="exact"/>
        <w:ind w:firstLine="480" w:firstLineChars="200"/>
        <w:textAlignment w:val="auto"/>
        <w:rPr>
          <w:rFonts w:hint="eastAsia" w:ascii="宋体" w:hAnsi="宋体" w:eastAsia="宋体" w:cs="宋体"/>
          <w:color w:val="auto"/>
          <w:sz w:val="24"/>
          <w:highlight w:val="none"/>
          <w:lang w:eastAsia="zh-CN"/>
        </w:rPr>
      </w:pPr>
      <w:bookmarkStart w:id="12" w:name="_Toc35393792"/>
      <w:bookmarkStart w:id="13" w:name="_Toc28359081"/>
      <w:bookmarkStart w:id="14" w:name="_Toc28359004"/>
      <w:bookmarkStart w:id="15" w:name="_Toc35393623"/>
      <w:r>
        <w:rPr>
          <w:rFonts w:hint="eastAsia" w:ascii="宋体" w:hAnsi="宋体" w:eastAsia="宋体" w:cs="宋体"/>
          <w:color w:val="auto"/>
          <w:sz w:val="24"/>
          <w:highlight w:val="none"/>
        </w:rPr>
        <w:t>1.满足《中华人民共和国政府采购法》第二十二条规定</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符合《中华人民共和国政府采购法实施条例》第十八条规定</w:t>
      </w:r>
      <w:r>
        <w:rPr>
          <w:rFonts w:hint="eastAsia" w:ascii="宋体" w:hAnsi="宋体" w:cs="宋体"/>
          <w:color w:val="auto"/>
          <w:sz w:val="24"/>
          <w:highlight w:val="none"/>
          <w:lang w:eastAsia="zh-CN"/>
        </w:rPr>
        <w:t>。</w:t>
      </w:r>
    </w:p>
    <w:p w14:paraId="16999DAC">
      <w:pPr>
        <w:keepNext w:val="0"/>
        <w:keepLines w:val="0"/>
        <w:pageBreakBefore w:val="0"/>
        <w:widowControl w:val="0"/>
        <w:kinsoku/>
        <w:overflowPunct/>
        <w:topLinePunct w:val="0"/>
        <w:autoSpaceDE/>
        <w:autoSpaceDN/>
        <w:bidi w:val="0"/>
        <w:adjustRightInd/>
        <w:spacing w:line="4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2.落实政府采购政策需满足的资格要求：</w:t>
      </w:r>
      <w:r>
        <w:rPr>
          <w:rFonts w:hint="eastAsia" w:ascii="宋体" w:hAnsi="宋体" w:eastAsia="宋体" w:cs="宋体"/>
          <w:b/>
          <w:bCs/>
          <w:color w:val="auto"/>
          <w:sz w:val="24"/>
          <w:highlight w:val="none"/>
        </w:rPr>
        <w:t>本项目属于专门面向中小企业、监狱企业、残疾人福利企业</w:t>
      </w:r>
      <w:r>
        <w:rPr>
          <w:rFonts w:hint="eastAsia" w:ascii="宋体" w:hAnsi="宋体" w:cs="宋体"/>
          <w:b/>
          <w:bCs/>
          <w:color w:val="auto"/>
          <w:sz w:val="24"/>
          <w:highlight w:val="none"/>
          <w:lang w:val="en-US" w:eastAsia="zh-CN"/>
        </w:rPr>
        <w:t>的</w:t>
      </w:r>
      <w:r>
        <w:rPr>
          <w:rFonts w:hint="eastAsia" w:ascii="宋体" w:hAnsi="宋体" w:eastAsia="宋体" w:cs="宋体"/>
          <w:b/>
          <w:bCs/>
          <w:color w:val="auto"/>
          <w:sz w:val="24"/>
          <w:highlight w:val="none"/>
        </w:rPr>
        <w:t>采购项目。</w:t>
      </w:r>
    </w:p>
    <w:p w14:paraId="7C31D9B5">
      <w:pPr>
        <w:keepNext w:val="0"/>
        <w:keepLines w:val="0"/>
        <w:pageBreakBefore w:val="0"/>
        <w:widowControl w:val="0"/>
        <w:kinsoku/>
        <w:overflowPunct/>
        <w:topLinePunct w:val="0"/>
        <w:autoSpaceDE/>
        <w:autoSpaceDN/>
        <w:bidi w:val="0"/>
        <w:adjustRightInd/>
        <w:spacing w:line="4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3.本项目的特定资格要求：</w:t>
      </w:r>
    </w:p>
    <w:p w14:paraId="557A5D43">
      <w:pPr>
        <w:keepNext w:val="0"/>
        <w:keepLines w:val="0"/>
        <w:pageBreakBefore w:val="0"/>
        <w:widowControl w:val="0"/>
        <w:kinsoku/>
        <w:overflowPunct/>
        <w:topLinePunct w:val="0"/>
        <w:autoSpaceDE/>
        <w:autoSpaceDN/>
        <w:bidi w:val="0"/>
        <w:adjustRightInd/>
        <w:spacing w:line="4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3.1投标人</w:t>
      </w:r>
      <w:r>
        <w:rPr>
          <w:rFonts w:hint="eastAsia" w:ascii="宋体" w:hAnsi="宋体" w:eastAsia="宋体" w:cs="宋体"/>
          <w:color w:val="auto"/>
          <w:sz w:val="24"/>
          <w:highlight w:val="none"/>
          <w:lang w:eastAsia="zh-CN"/>
        </w:rPr>
        <w:t>应具有独立承担民事责任的能力，提供营业执照或国家颁发的相关证照等证明文件（原件扫描件加盖电子签章）</w:t>
      </w:r>
      <w:r>
        <w:rPr>
          <w:rFonts w:hint="eastAsia" w:ascii="宋体" w:hAnsi="宋体" w:eastAsia="宋体" w:cs="宋体"/>
          <w:color w:val="auto"/>
          <w:sz w:val="24"/>
          <w:highlight w:val="none"/>
        </w:rPr>
        <w:t>。</w:t>
      </w:r>
    </w:p>
    <w:p w14:paraId="121FF7CA">
      <w:pPr>
        <w:keepNext w:val="0"/>
        <w:keepLines w:val="0"/>
        <w:pageBreakBefore w:val="0"/>
        <w:widowControl w:val="0"/>
        <w:kinsoku/>
        <w:overflowPunct/>
        <w:topLinePunct w:val="0"/>
        <w:autoSpaceDE/>
        <w:autoSpaceDN/>
        <w:bidi w:val="0"/>
        <w:adjustRightInd/>
        <w:spacing w:line="460" w:lineRule="exact"/>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3.2</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应具有良好的商业信誉和健全的财务会计制度</w:t>
      </w:r>
      <w:r>
        <w:rPr>
          <w:rFonts w:hint="eastAsia" w:ascii="宋体" w:hAnsi="宋体" w:eastAsia="宋体" w:cs="宋体"/>
          <w:color w:val="auto"/>
          <w:sz w:val="24"/>
          <w:highlight w:val="none"/>
          <w:lang w:eastAsia="zh-CN"/>
        </w:rPr>
        <w:t>：</w:t>
      </w:r>
    </w:p>
    <w:p w14:paraId="685C9106">
      <w:pPr>
        <w:spacing w:line="460" w:lineRule="exact"/>
        <w:ind w:firstLine="480" w:firstLineChars="200"/>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3.2.1投标人若为法人且成立1年及以上，提供下列①-②中的任意一种：</w:t>
      </w:r>
    </w:p>
    <w:p w14:paraId="47726C50">
      <w:pPr>
        <w:spacing w:line="460" w:lineRule="exact"/>
        <w:ind w:firstLine="480" w:firstLineChars="200"/>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①提供</w:t>
      </w:r>
      <w:r>
        <w:rPr>
          <w:rFonts w:hint="eastAsia" w:ascii="宋体" w:hAnsi="宋体" w:cs="宋体"/>
          <w:b w:val="0"/>
          <w:bCs w:val="0"/>
          <w:color w:val="auto"/>
          <w:sz w:val="24"/>
          <w:highlight w:val="none"/>
          <w:lang w:val="en-US" w:eastAsia="zh-CN"/>
        </w:rPr>
        <w:t>2024年或2025年</w:t>
      </w:r>
      <w:r>
        <w:rPr>
          <w:rFonts w:hint="eastAsia" w:ascii="宋体" w:hAnsi="宋体" w:eastAsia="宋体" w:cs="宋体"/>
          <w:b w:val="0"/>
          <w:bCs w:val="0"/>
          <w:color w:val="auto"/>
          <w:sz w:val="24"/>
          <w:highlight w:val="none"/>
          <w:lang w:val="en-US" w:eastAsia="zh-CN"/>
        </w:rPr>
        <w:t>经审计的财务报告[报告包含：资产负债表、利润表、现金流量表、所有者权益变动表（若无所有者权益变动，此表可不提供）及会计报表附注]（原件扫描件加盖电子签章）</w:t>
      </w:r>
      <w:r>
        <w:rPr>
          <w:rFonts w:hint="eastAsia" w:ascii="宋体" w:hAnsi="宋体" w:eastAsia="宋体" w:cs="宋体"/>
          <w:b w:val="0"/>
          <w:bCs w:val="0"/>
          <w:color w:val="auto"/>
          <w:sz w:val="24"/>
          <w:highlight w:val="none"/>
          <w:lang w:eastAsia="zh-CN"/>
        </w:rPr>
        <w:t>。</w:t>
      </w:r>
    </w:p>
    <w:p w14:paraId="47C7FCE1">
      <w:pPr>
        <w:spacing w:line="460" w:lineRule="exact"/>
        <w:ind w:firstLine="480" w:firstLineChars="200"/>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②提供财政部门认可的政府采购专业担保机构出具的担保函（原件扫描件加盖电子签章）。</w:t>
      </w:r>
    </w:p>
    <w:p w14:paraId="6A49BBFC">
      <w:pPr>
        <w:spacing w:line="460" w:lineRule="exact"/>
        <w:ind w:firstLine="480" w:firstLineChars="200"/>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3.2.2投标人若为非法人组织且成立1年及以上，提供下列①-②中的任意一种：</w:t>
      </w:r>
    </w:p>
    <w:p w14:paraId="181DD63A">
      <w:pPr>
        <w:spacing w:line="460" w:lineRule="exact"/>
        <w:ind w:firstLine="480" w:firstLineChars="200"/>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①提供</w:t>
      </w:r>
      <w:r>
        <w:rPr>
          <w:rFonts w:hint="eastAsia" w:ascii="宋体" w:hAnsi="宋体" w:cs="宋体"/>
          <w:b w:val="0"/>
          <w:bCs w:val="0"/>
          <w:color w:val="auto"/>
          <w:sz w:val="24"/>
          <w:highlight w:val="none"/>
          <w:lang w:val="en-US" w:eastAsia="zh-CN"/>
        </w:rPr>
        <w:t>2024年或2025年</w:t>
      </w:r>
      <w:r>
        <w:rPr>
          <w:rFonts w:hint="eastAsia" w:ascii="宋体" w:hAnsi="宋体" w:eastAsia="宋体" w:cs="宋体"/>
          <w:b w:val="0"/>
          <w:bCs w:val="0"/>
          <w:color w:val="auto"/>
          <w:sz w:val="24"/>
          <w:highlight w:val="none"/>
          <w:lang w:val="en-US" w:eastAsia="zh-CN"/>
        </w:rPr>
        <w:t>财务报表（原件扫描件加盖电子签章）。</w:t>
      </w:r>
    </w:p>
    <w:p w14:paraId="1C2CF582">
      <w:pPr>
        <w:spacing w:line="460" w:lineRule="exact"/>
        <w:ind w:firstLine="480" w:firstLineChars="200"/>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4"/>
          <w:highlight w:val="none"/>
          <w:lang w:val="en-US" w:eastAsia="zh-CN"/>
        </w:rPr>
        <w:t>②提供财政部门认可的政府采购专业担保机构出具的担保函（原件扫描件加盖电子签章）。</w:t>
      </w:r>
    </w:p>
    <w:p w14:paraId="426ED84D">
      <w:pPr>
        <w:spacing w:line="460" w:lineRule="exact"/>
        <w:ind w:firstLine="480" w:firstLineChars="200"/>
        <w:rPr>
          <w:rFonts w:hint="eastAsia" w:ascii="宋体" w:hAnsi="宋体" w:eastAsia="宋体" w:cs="宋体"/>
          <w:b w:val="0"/>
          <w:bCs w:val="0"/>
          <w:color w:val="auto"/>
          <w:sz w:val="24"/>
          <w:szCs w:val="22"/>
          <w:highlight w:val="none"/>
          <w:lang w:eastAsia="zh-CN"/>
        </w:rPr>
      </w:pPr>
      <w:r>
        <w:rPr>
          <w:rFonts w:hint="eastAsia" w:ascii="宋体" w:hAnsi="宋体" w:eastAsia="宋体" w:cs="宋体"/>
          <w:b w:val="0"/>
          <w:bCs w:val="0"/>
          <w:color w:val="auto"/>
          <w:sz w:val="24"/>
          <w:highlight w:val="none"/>
          <w:lang w:val="en-US" w:eastAsia="zh-CN"/>
        </w:rPr>
        <w:t>3.2.3投标人成立不足1年的，提供</w:t>
      </w:r>
      <w:r>
        <w:rPr>
          <w:rFonts w:hint="eastAsia" w:ascii="宋体" w:hAnsi="宋体" w:eastAsia="宋体" w:cs="宋体"/>
          <w:b w:val="0"/>
          <w:bCs w:val="0"/>
          <w:color w:val="auto"/>
          <w:sz w:val="24"/>
          <w:highlight w:val="none"/>
        </w:rPr>
        <w:t>自投标文件提交截止时间前三个月内</w:t>
      </w:r>
      <w:r>
        <w:rPr>
          <w:rFonts w:hint="eastAsia" w:ascii="宋体" w:hAnsi="宋体" w:eastAsia="宋体" w:cs="宋体"/>
          <w:b w:val="0"/>
          <w:bCs w:val="0"/>
          <w:color w:val="auto"/>
          <w:sz w:val="24"/>
          <w:highlight w:val="none"/>
          <w:lang w:val="en-US" w:eastAsia="zh-CN"/>
        </w:rPr>
        <w:t>开户银行出具的资信证明或资金存款证明（原件扫描件加盖电子签章）；投标人成立不足3个月的，提供财务状况良好承诺书</w:t>
      </w:r>
      <w:r>
        <w:rPr>
          <w:rFonts w:hint="eastAsia" w:ascii="宋体" w:hAnsi="宋体" w:eastAsia="宋体" w:cs="宋体"/>
          <w:color w:val="auto"/>
          <w:sz w:val="24"/>
          <w:highlight w:val="none"/>
          <w:lang w:eastAsia="zh-CN"/>
        </w:rPr>
        <w:t>（原件加盖电子签章）</w:t>
      </w:r>
      <w:r>
        <w:rPr>
          <w:rFonts w:hint="eastAsia" w:ascii="宋体" w:hAnsi="宋体" w:eastAsia="宋体" w:cs="宋体"/>
          <w:b w:val="0"/>
          <w:bCs w:val="0"/>
          <w:color w:val="auto"/>
          <w:sz w:val="24"/>
          <w:szCs w:val="22"/>
          <w:highlight w:val="none"/>
          <w:lang w:val="en-US" w:eastAsia="zh-CN"/>
        </w:rPr>
        <w:t>。</w:t>
      </w:r>
    </w:p>
    <w:p w14:paraId="307126DD">
      <w:pPr>
        <w:spacing w:line="460" w:lineRule="exact"/>
        <w:ind w:firstLine="480" w:firstLineChars="20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3.2.4若投标人不属于以上情形或存在特殊情况的，请提供相关证明材料或情况说明或承诺函并对其材料的真实性负责</w:t>
      </w:r>
      <w:r>
        <w:rPr>
          <w:rFonts w:hint="eastAsia" w:ascii="宋体" w:hAnsi="宋体" w:eastAsia="宋体" w:cs="宋体"/>
          <w:color w:val="auto"/>
          <w:sz w:val="24"/>
          <w:highlight w:val="none"/>
          <w:lang w:eastAsia="zh-CN"/>
        </w:rPr>
        <w:t>（原件加盖电子签章）</w:t>
      </w:r>
      <w:r>
        <w:rPr>
          <w:rFonts w:hint="eastAsia" w:ascii="宋体" w:hAnsi="宋体" w:eastAsia="宋体" w:cs="宋体"/>
          <w:b w:val="0"/>
          <w:bCs w:val="0"/>
          <w:color w:val="auto"/>
          <w:sz w:val="24"/>
          <w:highlight w:val="none"/>
          <w:lang w:val="en-US" w:eastAsia="zh-CN"/>
        </w:rPr>
        <w:t>。</w:t>
      </w:r>
    </w:p>
    <w:p w14:paraId="44136EB6">
      <w:pPr>
        <w:keepNext w:val="0"/>
        <w:keepLines w:val="0"/>
        <w:pageBreakBefore w:val="0"/>
        <w:widowControl w:val="0"/>
        <w:kinsoku/>
        <w:overflowPunct/>
        <w:topLinePunct w:val="0"/>
        <w:autoSpaceDE/>
        <w:autoSpaceDN/>
        <w:bidi w:val="0"/>
        <w:adjustRightInd/>
        <w:spacing w:line="4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3.3</w:t>
      </w:r>
      <w:r>
        <w:rPr>
          <w:rFonts w:hint="eastAsia" w:ascii="宋体" w:hAnsi="宋体" w:eastAsia="宋体" w:cs="宋体"/>
          <w:color w:val="auto"/>
          <w:sz w:val="24"/>
          <w:highlight w:val="none"/>
          <w:lang w:eastAsia="zh-CN"/>
        </w:rPr>
        <w:t>投标人应具有依法缴纳税收和社会保障资金的良好记录，提供投标文件递交截止时间前1年期内任意1个月的依法缴纳税收和社会保障资金的证明材料（原件扫描件加盖电子签章）。投标人成立时间不足3个月的，提供相关情况说明（原件加盖电子签章）；依法免税或不需要缴纳社会保障资金的投标人，应提供相应文件（原件扫描件加盖电子签章）证明其依法免税或不需要缴纳社会保障资金</w:t>
      </w:r>
      <w:r>
        <w:rPr>
          <w:rFonts w:hint="eastAsia" w:ascii="宋体" w:hAnsi="宋体" w:eastAsia="宋体" w:cs="宋体"/>
          <w:color w:val="auto"/>
          <w:sz w:val="24"/>
          <w:highlight w:val="none"/>
        </w:rPr>
        <w:t>。</w:t>
      </w:r>
    </w:p>
    <w:p w14:paraId="49E6FAED">
      <w:pPr>
        <w:keepNext w:val="0"/>
        <w:keepLines w:val="0"/>
        <w:pageBreakBefore w:val="0"/>
        <w:widowControl w:val="0"/>
        <w:kinsoku/>
        <w:overflowPunct/>
        <w:topLinePunct w:val="0"/>
        <w:autoSpaceDE/>
        <w:autoSpaceDN/>
        <w:bidi w:val="0"/>
        <w:adjustRightInd/>
        <w:spacing w:line="4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3.4投标人应具有履行合同所必需的设备和专业技术能力，提供具有履行合同所必需的设备和专业技术能力的证明材料或声明函（原件加盖电子签章）。</w:t>
      </w:r>
    </w:p>
    <w:p w14:paraId="61B84ABC">
      <w:pPr>
        <w:spacing w:line="48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3.5参加政府采购前三年内，在经营活动中没有重大违法记录（指</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因违法经营受到刑事处罚或者责令停产停业、吊销许可证或者执照、较大数额罚款等行政处罚）</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提供</w:t>
      </w:r>
      <w:r>
        <w:rPr>
          <w:rFonts w:hint="eastAsia" w:ascii="宋体" w:hAnsi="宋体" w:eastAsia="宋体" w:cs="宋体"/>
          <w:color w:val="auto"/>
          <w:sz w:val="24"/>
          <w:highlight w:val="none"/>
          <w:lang w:val="en-US" w:eastAsia="zh-CN"/>
        </w:rPr>
        <w:t>承诺</w:t>
      </w:r>
      <w:r>
        <w:rPr>
          <w:rFonts w:hint="eastAsia" w:ascii="宋体" w:hAnsi="宋体" w:eastAsia="宋体" w:cs="宋体"/>
          <w:color w:val="auto"/>
          <w:sz w:val="24"/>
          <w:highlight w:val="none"/>
        </w:rPr>
        <w:t>函（原件加盖电子签章）。</w:t>
      </w:r>
    </w:p>
    <w:p w14:paraId="59CE2F26">
      <w:pPr>
        <w:spacing w:line="48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3.6</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未对本项目提供整体设计、规范编制或者项目管理、监理、检测等服务</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提供</w:t>
      </w:r>
      <w:r>
        <w:rPr>
          <w:rFonts w:hint="eastAsia" w:ascii="宋体" w:hAnsi="宋体" w:eastAsia="宋体" w:cs="宋体"/>
          <w:color w:val="auto"/>
          <w:sz w:val="24"/>
          <w:highlight w:val="none"/>
          <w:lang w:val="en-US" w:eastAsia="zh-CN"/>
        </w:rPr>
        <w:t>承诺</w:t>
      </w:r>
      <w:r>
        <w:rPr>
          <w:rFonts w:hint="eastAsia" w:ascii="宋体" w:hAnsi="宋体" w:eastAsia="宋体" w:cs="宋体"/>
          <w:color w:val="auto"/>
          <w:sz w:val="24"/>
          <w:highlight w:val="none"/>
        </w:rPr>
        <w:t>函（原件加盖电子签章）。</w:t>
      </w:r>
    </w:p>
    <w:p w14:paraId="6513220C">
      <w:pPr>
        <w:spacing w:line="48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7</w:t>
      </w:r>
      <w:r>
        <w:rPr>
          <w:rFonts w:hint="eastAsia" w:ascii="宋体" w:hAnsi="宋体" w:eastAsia="宋体" w:cs="宋体"/>
          <w:color w:val="auto"/>
          <w:kern w:val="0"/>
          <w:sz w:val="24"/>
          <w:szCs w:val="24"/>
          <w:highlight w:val="none"/>
        </w:rPr>
        <w:t>单位负责人为同一人或者存在直接控股、管理关系的不同</w:t>
      </w:r>
      <w:r>
        <w:rPr>
          <w:rFonts w:hint="eastAsia" w:ascii="宋体" w:hAnsi="宋体" w:eastAsia="宋体" w:cs="宋体"/>
          <w:color w:val="auto"/>
          <w:kern w:val="0"/>
          <w:sz w:val="24"/>
          <w:szCs w:val="24"/>
          <w:highlight w:val="none"/>
          <w:lang w:eastAsia="zh-CN"/>
        </w:rPr>
        <w:t>投标人</w:t>
      </w:r>
      <w:r>
        <w:rPr>
          <w:rFonts w:hint="eastAsia" w:ascii="宋体" w:hAnsi="宋体" w:eastAsia="宋体" w:cs="宋体"/>
          <w:color w:val="auto"/>
          <w:kern w:val="0"/>
          <w:sz w:val="24"/>
          <w:szCs w:val="24"/>
          <w:highlight w:val="none"/>
        </w:rPr>
        <w:t>，不得参加同一合同项下的政府采购活动</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sz w:val="24"/>
          <w:highlight w:val="none"/>
        </w:rPr>
        <w:t>提供</w:t>
      </w:r>
      <w:r>
        <w:rPr>
          <w:rFonts w:hint="eastAsia" w:ascii="宋体" w:hAnsi="宋体" w:eastAsia="宋体" w:cs="宋体"/>
          <w:color w:val="auto"/>
          <w:sz w:val="24"/>
          <w:highlight w:val="none"/>
          <w:lang w:val="en-US" w:eastAsia="zh-CN"/>
        </w:rPr>
        <w:t>承诺</w:t>
      </w:r>
      <w:r>
        <w:rPr>
          <w:rFonts w:hint="eastAsia" w:ascii="宋体" w:hAnsi="宋体" w:eastAsia="宋体" w:cs="宋体"/>
          <w:color w:val="auto"/>
          <w:sz w:val="24"/>
          <w:highlight w:val="none"/>
        </w:rPr>
        <w:t>函（原件加盖电子签章）。</w:t>
      </w:r>
    </w:p>
    <w:p w14:paraId="1C4E2D64">
      <w:pPr>
        <w:spacing w:line="480" w:lineRule="exact"/>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8符合</w:t>
      </w:r>
      <w:r>
        <w:rPr>
          <w:rFonts w:hint="eastAsia" w:ascii="宋体" w:hAnsi="宋体" w:eastAsia="宋体" w:cs="宋体"/>
          <w:color w:val="auto"/>
          <w:sz w:val="24"/>
          <w:highlight w:val="none"/>
        </w:rPr>
        <w:t>法律、行政法规规定的其他条件，提供承诺函（原件加盖电子签章）</w:t>
      </w:r>
      <w:r>
        <w:rPr>
          <w:rFonts w:hint="eastAsia" w:ascii="宋体" w:hAnsi="宋体" w:eastAsia="宋体" w:cs="宋体"/>
          <w:color w:val="auto"/>
          <w:sz w:val="24"/>
          <w:highlight w:val="none"/>
          <w:lang w:eastAsia="zh-CN"/>
        </w:rPr>
        <w:t>。</w:t>
      </w:r>
    </w:p>
    <w:p w14:paraId="1DEF77B7">
      <w:pPr>
        <w:keepNext w:val="0"/>
        <w:keepLines w:val="0"/>
        <w:pageBreakBefore w:val="0"/>
        <w:widowControl w:val="0"/>
        <w:kinsoku/>
        <w:overflowPunct/>
        <w:topLinePunct w:val="0"/>
        <w:autoSpaceDE/>
        <w:autoSpaceDN/>
        <w:bidi w:val="0"/>
        <w:adjustRightInd/>
        <w:spacing w:line="4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根据《财政部关于在政府采购活动中查询及使用信用记录的通知》（财库</w:t>
      </w:r>
      <w:r>
        <w:rPr>
          <w:rFonts w:hint="eastAsia" w:ascii="宋体" w:hAnsi="宋体" w:eastAsia="宋体" w:cs="宋体"/>
          <w:color w:val="auto"/>
          <w:sz w:val="24"/>
          <w:highlight w:val="none"/>
          <w:lang w:eastAsia="zh-CN"/>
        </w:rPr>
        <w:t>〔2016〕125号</w:t>
      </w:r>
      <w:r>
        <w:rPr>
          <w:rFonts w:hint="eastAsia" w:ascii="宋体" w:hAnsi="宋体" w:eastAsia="宋体" w:cs="宋体"/>
          <w:color w:val="auto"/>
          <w:sz w:val="24"/>
          <w:highlight w:val="none"/>
        </w:rPr>
        <w:t>）的要求，</w:t>
      </w:r>
      <w:r>
        <w:rPr>
          <w:rFonts w:hint="eastAsia" w:ascii="宋体" w:hAnsi="宋体" w:eastAsia="宋体" w:cs="宋体"/>
          <w:color w:val="auto"/>
          <w:sz w:val="24"/>
          <w:highlight w:val="none"/>
          <w:lang w:eastAsia="zh-CN"/>
        </w:rPr>
        <w:t>采购代理机构</w:t>
      </w:r>
      <w:r>
        <w:rPr>
          <w:rFonts w:hint="eastAsia" w:ascii="宋体" w:hAnsi="宋体" w:eastAsia="宋体" w:cs="宋体"/>
          <w:color w:val="auto"/>
          <w:sz w:val="24"/>
          <w:highlight w:val="none"/>
        </w:rPr>
        <w:t>将通过“信用中国”网站（www.creditchina.gov.cn）、“中国政府采购网”网站（www.ccgp.gov.cn）等渠道查询</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的信用记录</w:t>
      </w:r>
      <w:r>
        <w:rPr>
          <w:rFonts w:hint="eastAsia" w:ascii="宋体" w:hAnsi="宋体" w:eastAsia="宋体" w:cs="宋体"/>
          <w:color w:val="auto"/>
          <w:sz w:val="24"/>
          <w:highlight w:val="none"/>
          <w:lang w:eastAsia="zh-CN"/>
        </w:rPr>
        <w:t>（查询时间为开标时间当天</w:t>
      </w:r>
      <w:r>
        <w:rPr>
          <w:rFonts w:hint="eastAsia" w:ascii="宋体" w:hAnsi="宋体" w:eastAsia="宋体" w:cs="宋体"/>
          <w:color w:val="auto"/>
          <w:sz w:val="24"/>
          <w:highlight w:val="none"/>
        </w:rPr>
        <w:t>，查询结果以</w:t>
      </w:r>
      <w:r>
        <w:rPr>
          <w:rFonts w:hint="eastAsia" w:ascii="宋体" w:hAnsi="宋体" w:eastAsia="宋体" w:cs="宋体"/>
          <w:color w:val="auto"/>
          <w:sz w:val="24"/>
          <w:highlight w:val="none"/>
          <w:lang w:eastAsia="zh-CN"/>
        </w:rPr>
        <w:t>采购代理机构</w:t>
      </w:r>
      <w:r>
        <w:rPr>
          <w:rFonts w:hint="eastAsia" w:ascii="宋体" w:hAnsi="宋体" w:eastAsia="宋体" w:cs="宋体"/>
          <w:color w:val="auto"/>
          <w:sz w:val="24"/>
          <w:highlight w:val="none"/>
        </w:rPr>
        <w:t>查询结果为准，并将查询记录和证据留存</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，拒绝列入失信被执行人、重大税收违法失信主体、</w:t>
      </w:r>
      <w:r>
        <w:rPr>
          <w:rFonts w:hint="eastAsia" w:ascii="宋体" w:hAnsi="宋体" w:eastAsia="宋体" w:cs="宋体"/>
          <w:color w:val="auto"/>
          <w:sz w:val="24"/>
          <w:highlight w:val="none"/>
          <w:lang w:eastAsia="zh-CN"/>
        </w:rPr>
        <w:t>政府采购活动严重违法失信行为记录名单</w:t>
      </w:r>
      <w:r>
        <w:rPr>
          <w:rFonts w:hint="eastAsia" w:ascii="宋体" w:hAnsi="宋体" w:eastAsia="宋体" w:cs="宋体"/>
          <w:color w:val="auto"/>
          <w:sz w:val="24"/>
          <w:highlight w:val="none"/>
        </w:rPr>
        <w:t>中的</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参加本项目的投标活动。</w:t>
      </w:r>
    </w:p>
    <w:p w14:paraId="64F3AB58">
      <w:pPr>
        <w:keepNext w:val="0"/>
        <w:keepLines w:val="0"/>
        <w:pageBreakBefore w:val="0"/>
        <w:widowControl w:val="0"/>
        <w:kinsoku/>
        <w:overflowPunct/>
        <w:topLinePunct w:val="0"/>
        <w:autoSpaceDE/>
        <w:autoSpaceDN/>
        <w:bidi w:val="0"/>
        <w:adjustRightInd/>
        <w:spacing w:line="460" w:lineRule="exact"/>
        <w:ind w:firstLine="480"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三、获取招标文件</w:t>
      </w:r>
      <w:bookmarkEnd w:id="12"/>
      <w:bookmarkEnd w:id="13"/>
      <w:bookmarkEnd w:id="14"/>
      <w:bookmarkEnd w:id="15"/>
    </w:p>
    <w:p w14:paraId="0DE82C13">
      <w:pPr>
        <w:keepNext w:val="0"/>
        <w:keepLines w:val="0"/>
        <w:pageBreakBefore w:val="0"/>
        <w:widowControl w:val="0"/>
        <w:shd w:val="clear" w:color="auto" w:fill="FFFFFF"/>
        <w:kinsoku/>
        <w:overflowPunct/>
        <w:topLinePunct w:val="0"/>
        <w:autoSpaceDE/>
        <w:autoSpaceDN/>
        <w:bidi w:val="0"/>
        <w:adjustRightInd/>
        <w:spacing w:line="460" w:lineRule="exact"/>
        <w:ind w:firstLine="520" w:firstLineChars="200"/>
        <w:jc w:val="left"/>
        <w:textAlignment w:val="auto"/>
        <w:rPr>
          <w:rFonts w:hint="eastAsia" w:ascii="宋体" w:hAnsi="宋体" w:eastAsia="宋体" w:cs="宋体"/>
          <w:bCs/>
          <w:color w:val="auto"/>
          <w:spacing w:val="10"/>
          <w:sz w:val="24"/>
          <w:szCs w:val="22"/>
          <w:highlight w:val="none"/>
          <w:u w:val="none"/>
        </w:rPr>
      </w:pPr>
      <w:r>
        <w:rPr>
          <w:rFonts w:hint="eastAsia" w:ascii="宋体" w:hAnsi="宋体" w:eastAsia="宋体" w:cs="宋体"/>
          <w:bCs/>
          <w:color w:val="auto"/>
          <w:spacing w:val="10"/>
          <w:sz w:val="24"/>
          <w:szCs w:val="22"/>
          <w:highlight w:val="none"/>
        </w:rPr>
        <w:t>1.时间：</w:t>
      </w:r>
      <w:r>
        <w:rPr>
          <w:rFonts w:hint="eastAsia" w:ascii="宋体" w:hAnsi="宋体" w:eastAsia="宋体" w:cs="宋体"/>
          <w:bCs/>
          <w:color w:val="auto"/>
          <w:spacing w:val="10"/>
          <w:sz w:val="24"/>
          <w:szCs w:val="22"/>
          <w:highlight w:val="none"/>
          <w:u w:val="none"/>
        </w:rPr>
        <w:t>202</w:t>
      </w:r>
      <w:r>
        <w:rPr>
          <w:rFonts w:hint="eastAsia" w:ascii="宋体" w:hAnsi="宋体" w:eastAsia="宋体" w:cs="宋体"/>
          <w:bCs/>
          <w:color w:val="auto"/>
          <w:spacing w:val="10"/>
          <w:sz w:val="24"/>
          <w:szCs w:val="22"/>
          <w:highlight w:val="none"/>
          <w:u w:val="none"/>
          <w:lang w:val="en-US" w:eastAsia="zh-CN"/>
        </w:rPr>
        <w:t>6</w:t>
      </w:r>
      <w:r>
        <w:rPr>
          <w:rFonts w:hint="eastAsia" w:ascii="宋体" w:hAnsi="宋体" w:eastAsia="宋体" w:cs="宋体"/>
          <w:bCs/>
          <w:color w:val="auto"/>
          <w:spacing w:val="10"/>
          <w:sz w:val="24"/>
          <w:szCs w:val="22"/>
          <w:highlight w:val="none"/>
          <w:u w:val="none"/>
        </w:rPr>
        <w:t>年</w:t>
      </w:r>
      <w:r>
        <w:rPr>
          <w:rFonts w:hint="eastAsia" w:ascii="宋体" w:hAnsi="宋体" w:cs="宋体"/>
          <w:bCs/>
          <w:color w:val="auto"/>
          <w:spacing w:val="10"/>
          <w:sz w:val="24"/>
          <w:szCs w:val="22"/>
          <w:highlight w:val="none"/>
          <w:u w:val="none"/>
          <w:lang w:val="en-US" w:eastAsia="zh-CN"/>
        </w:rPr>
        <w:t>5</w:t>
      </w:r>
      <w:r>
        <w:rPr>
          <w:rFonts w:hint="eastAsia" w:ascii="宋体" w:hAnsi="宋体" w:eastAsia="宋体" w:cs="宋体"/>
          <w:bCs/>
          <w:color w:val="auto"/>
          <w:spacing w:val="10"/>
          <w:sz w:val="24"/>
          <w:szCs w:val="22"/>
          <w:highlight w:val="none"/>
          <w:u w:val="none"/>
        </w:rPr>
        <w:t>月</w:t>
      </w:r>
      <w:r>
        <w:rPr>
          <w:rFonts w:hint="eastAsia" w:ascii="宋体" w:hAnsi="宋体" w:cs="宋体"/>
          <w:bCs/>
          <w:color w:val="auto"/>
          <w:spacing w:val="10"/>
          <w:sz w:val="24"/>
          <w:szCs w:val="22"/>
          <w:highlight w:val="none"/>
          <w:u w:val="none"/>
          <w:lang w:val="en-US" w:eastAsia="zh-CN"/>
        </w:rPr>
        <w:t>22</w:t>
      </w:r>
      <w:r>
        <w:rPr>
          <w:rFonts w:hint="eastAsia" w:ascii="宋体" w:hAnsi="宋体" w:eastAsia="宋体" w:cs="宋体"/>
          <w:bCs/>
          <w:color w:val="auto"/>
          <w:spacing w:val="10"/>
          <w:sz w:val="24"/>
          <w:szCs w:val="22"/>
          <w:highlight w:val="none"/>
          <w:u w:val="none"/>
        </w:rPr>
        <w:t>日至202</w:t>
      </w:r>
      <w:r>
        <w:rPr>
          <w:rFonts w:hint="eastAsia" w:ascii="宋体" w:hAnsi="宋体" w:eastAsia="宋体" w:cs="宋体"/>
          <w:bCs/>
          <w:color w:val="auto"/>
          <w:spacing w:val="10"/>
          <w:sz w:val="24"/>
          <w:szCs w:val="22"/>
          <w:highlight w:val="none"/>
          <w:u w:val="none"/>
          <w:lang w:val="en-US" w:eastAsia="zh-CN"/>
        </w:rPr>
        <w:t>6</w:t>
      </w:r>
      <w:r>
        <w:rPr>
          <w:rFonts w:hint="eastAsia" w:ascii="宋体" w:hAnsi="宋体" w:eastAsia="宋体" w:cs="宋体"/>
          <w:bCs/>
          <w:color w:val="auto"/>
          <w:spacing w:val="10"/>
          <w:sz w:val="24"/>
          <w:szCs w:val="22"/>
          <w:highlight w:val="none"/>
          <w:u w:val="none"/>
        </w:rPr>
        <w:t>年</w:t>
      </w:r>
      <w:r>
        <w:rPr>
          <w:rFonts w:hint="eastAsia" w:ascii="宋体" w:hAnsi="宋体" w:cs="宋体"/>
          <w:bCs/>
          <w:color w:val="auto"/>
          <w:spacing w:val="10"/>
          <w:sz w:val="24"/>
          <w:szCs w:val="22"/>
          <w:highlight w:val="none"/>
          <w:u w:val="none"/>
          <w:lang w:val="en-US" w:eastAsia="zh-CN"/>
        </w:rPr>
        <w:t>5</w:t>
      </w:r>
      <w:r>
        <w:rPr>
          <w:rFonts w:hint="eastAsia" w:ascii="宋体" w:hAnsi="宋体" w:eastAsia="宋体" w:cs="宋体"/>
          <w:bCs/>
          <w:color w:val="auto"/>
          <w:spacing w:val="10"/>
          <w:sz w:val="24"/>
          <w:szCs w:val="22"/>
          <w:highlight w:val="none"/>
          <w:u w:val="none"/>
        </w:rPr>
        <w:t>月</w:t>
      </w:r>
      <w:r>
        <w:rPr>
          <w:rFonts w:hint="eastAsia" w:ascii="宋体" w:hAnsi="宋体" w:cs="宋体"/>
          <w:bCs/>
          <w:color w:val="auto"/>
          <w:spacing w:val="10"/>
          <w:sz w:val="24"/>
          <w:szCs w:val="22"/>
          <w:highlight w:val="none"/>
          <w:u w:val="none"/>
          <w:lang w:val="en-US" w:eastAsia="zh-CN"/>
        </w:rPr>
        <w:t>29</w:t>
      </w:r>
      <w:r>
        <w:rPr>
          <w:rFonts w:hint="eastAsia" w:ascii="宋体" w:hAnsi="宋体" w:eastAsia="宋体" w:cs="宋体"/>
          <w:bCs/>
          <w:color w:val="auto"/>
          <w:spacing w:val="10"/>
          <w:sz w:val="24"/>
          <w:szCs w:val="22"/>
          <w:highlight w:val="none"/>
          <w:u w:val="none"/>
        </w:rPr>
        <w:t>日，截止于202</w:t>
      </w:r>
      <w:r>
        <w:rPr>
          <w:rFonts w:hint="eastAsia" w:ascii="宋体" w:hAnsi="宋体" w:eastAsia="宋体" w:cs="宋体"/>
          <w:bCs/>
          <w:color w:val="auto"/>
          <w:spacing w:val="10"/>
          <w:sz w:val="24"/>
          <w:szCs w:val="22"/>
          <w:highlight w:val="none"/>
          <w:u w:val="none"/>
          <w:lang w:val="en-US" w:eastAsia="zh-CN"/>
        </w:rPr>
        <w:t>6</w:t>
      </w:r>
      <w:r>
        <w:rPr>
          <w:rFonts w:hint="eastAsia" w:ascii="宋体" w:hAnsi="宋体" w:eastAsia="宋体" w:cs="宋体"/>
          <w:bCs/>
          <w:color w:val="auto"/>
          <w:spacing w:val="10"/>
          <w:sz w:val="24"/>
          <w:szCs w:val="22"/>
          <w:highlight w:val="none"/>
          <w:u w:val="none"/>
        </w:rPr>
        <w:t>年</w:t>
      </w:r>
      <w:r>
        <w:rPr>
          <w:rFonts w:hint="eastAsia" w:ascii="宋体" w:hAnsi="宋体" w:cs="宋体"/>
          <w:bCs/>
          <w:color w:val="auto"/>
          <w:spacing w:val="10"/>
          <w:sz w:val="24"/>
          <w:szCs w:val="22"/>
          <w:highlight w:val="none"/>
          <w:u w:val="none"/>
          <w:lang w:val="en-US" w:eastAsia="zh-CN"/>
        </w:rPr>
        <w:t>5</w:t>
      </w:r>
      <w:r>
        <w:rPr>
          <w:rFonts w:hint="eastAsia" w:ascii="宋体" w:hAnsi="宋体" w:eastAsia="宋体" w:cs="宋体"/>
          <w:bCs/>
          <w:color w:val="auto"/>
          <w:spacing w:val="10"/>
          <w:sz w:val="24"/>
          <w:szCs w:val="22"/>
          <w:highlight w:val="none"/>
          <w:u w:val="none"/>
        </w:rPr>
        <w:t>月</w:t>
      </w:r>
      <w:r>
        <w:rPr>
          <w:rFonts w:hint="eastAsia" w:ascii="宋体" w:hAnsi="宋体" w:cs="宋体"/>
          <w:bCs/>
          <w:color w:val="auto"/>
          <w:spacing w:val="10"/>
          <w:sz w:val="24"/>
          <w:szCs w:val="22"/>
          <w:highlight w:val="none"/>
          <w:u w:val="none"/>
          <w:lang w:val="en-US" w:eastAsia="zh-CN"/>
        </w:rPr>
        <w:t>29</w:t>
      </w:r>
      <w:r>
        <w:rPr>
          <w:rFonts w:hint="eastAsia" w:ascii="宋体" w:hAnsi="宋体" w:eastAsia="宋体" w:cs="宋体"/>
          <w:bCs/>
          <w:color w:val="auto"/>
          <w:spacing w:val="10"/>
          <w:sz w:val="24"/>
          <w:szCs w:val="22"/>
          <w:highlight w:val="none"/>
          <w:u w:val="none"/>
        </w:rPr>
        <w:t>日</w:t>
      </w:r>
      <w:r>
        <w:rPr>
          <w:rFonts w:hint="eastAsia" w:ascii="宋体" w:hAnsi="宋体" w:eastAsia="宋体" w:cs="宋体"/>
          <w:bCs/>
          <w:color w:val="auto"/>
          <w:spacing w:val="10"/>
          <w:sz w:val="24"/>
          <w:szCs w:val="22"/>
          <w:highlight w:val="none"/>
          <w:u w:val="none"/>
          <w:lang w:eastAsia="zh-CN"/>
        </w:rPr>
        <w:t>23:59</w:t>
      </w:r>
      <w:r>
        <w:rPr>
          <w:rFonts w:hint="eastAsia" w:ascii="宋体" w:hAnsi="宋体" w:eastAsia="宋体" w:cs="宋体"/>
          <w:bCs/>
          <w:color w:val="auto"/>
          <w:spacing w:val="10"/>
          <w:sz w:val="24"/>
          <w:szCs w:val="22"/>
          <w:highlight w:val="none"/>
          <w:u w:val="none"/>
        </w:rPr>
        <w:t>前。</w:t>
      </w:r>
    </w:p>
    <w:p w14:paraId="4AC4C839">
      <w:pPr>
        <w:keepNext w:val="0"/>
        <w:keepLines w:val="0"/>
        <w:pageBreakBefore w:val="0"/>
        <w:widowControl w:val="0"/>
        <w:shd w:val="clear" w:color="auto" w:fill="FFFFFF"/>
        <w:kinsoku/>
        <w:overflowPunct/>
        <w:topLinePunct w:val="0"/>
        <w:autoSpaceDE/>
        <w:autoSpaceDN/>
        <w:bidi w:val="0"/>
        <w:adjustRightInd/>
        <w:spacing w:line="460" w:lineRule="exact"/>
        <w:ind w:firstLine="520" w:firstLineChars="200"/>
        <w:jc w:val="left"/>
        <w:textAlignment w:val="auto"/>
        <w:rPr>
          <w:rFonts w:hint="eastAsia" w:ascii="宋体" w:hAnsi="宋体" w:eastAsia="宋体" w:cs="宋体"/>
          <w:bCs/>
          <w:color w:val="auto"/>
          <w:spacing w:val="10"/>
          <w:sz w:val="24"/>
          <w:szCs w:val="22"/>
          <w:highlight w:val="none"/>
        </w:rPr>
      </w:pPr>
      <w:r>
        <w:rPr>
          <w:rFonts w:hint="eastAsia" w:ascii="宋体" w:hAnsi="宋体" w:eastAsia="宋体" w:cs="宋体"/>
          <w:bCs/>
          <w:color w:val="auto"/>
          <w:spacing w:val="10"/>
          <w:sz w:val="24"/>
          <w:szCs w:val="22"/>
          <w:highlight w:val="none"/>
        </w:rPr>
        <w:t>2.地点：</w:t>
      </w:r>
      <w:r>
        <w:rPr>
          <w:rFonts w:hint="eastAsia" w:ascii="宋体" w:hAnsi="宋体" w:eastAsia="宋体" w:cs="宋体"/>
          <w:bCs/>
          <w:color w:val="auto"/>
          <w:spacing w:val="10"/>
          <w:sz w:val="24"/>
          <w:szCs w:val="22"/>
          <w:highlight w:val="none"/>
          <w:u w:val="none"/>
          <w:lang w:eastAsia="zh-CN"/>
        </w:rPr>
        <w:t>云南省政府采购电子交易平台（政采云https://www.zcygov.cn/）线上获取</w:t>
      </w:r>
      <w:r>
        <w:rPr>
          <w:rFonts w:hint="eastAsia" w:ascii="宋体" w:hAnsi="宋体" w:eastAsia="宋体" w:cs="宋体"/>
          <w:bCs/>
          <w:color w:val="auto"/>
          <w:spacing w:val="10"/>
          <w:sz w:val="24"/>
          <w:szCs w:val="22"/>
          <w:highlight w:val="none"/>
        </w:rPr>
        <w:t>。</w:t>
      </w:r>
    </w:p>
    <w:p w14:paraId="631BA1F2">
      <w:pPr>
        <w:keepNext w:val="0"/>
        <w:keepLines w:val="0"/>
        <w:pageBreakBefore w:val="0"/>
        <w:widowControl w:val="0"/>
        <w:shd w:val="clear" w:color="auto" w:fill="FFFFFF"/>
        <w:kinsoku/>
        <w:wordWrap w:val="0"/>
        <w:overflowPunct/>
        <w:topLinePunct w:val="0"/>
        <w:autoSpaceDE/>
        <w:autoSpaceDN/>
        <w:bidi w:val="0"/>
        <w:adjustRightInd/>
        <w:spacing w:line="460" w:lineRule="exact"/>
        <w:ind w:firstLine="520" w:firstLineChars="200"/>
        <w:jc w:val="left"/>
        <w:textAlignment w:val="auto"/>
        <w:rPr>
          <w:rFonts w:hint="eastAsia" w:ascii="宋体" w:hAnsi="宋体" w:eastAsia="宋体" w:cs="宋体"/>
          <w:bCs/>
          <w:color w:val="auto"/>
          <w:spacing w:val="10"/>
          <w:sz w:val="24"/>
          <w:szCs w:val="22"/>
          <w:highlight w:val="none"/>
        </w:rPr>
      </w:pPr>
      <w:r>
        <w:rPr>
          <w:rFonts w:hint="eastAsia" w:ascii="宋体" w:hAnsi="宋体" w:eastAsia="宋体" w:cs="宋体"/>
          <w:bCs/>
          <w:color w:val="auto"/>
          <w:spacing w:val="10"/>
          <w:sz w:val="24"/>
          <w:szCs w:val="22"/>
          <w:highlight w:val="none"/>
        </w:rPr>
        <w:t>3.方式：</w:t>
      </w:r>
      <w:bookmarkStart w:id="16" w:name="OLE_LINK6"/>
      <w:bookmarkStart w:id="17" w:name="OLE_LINK7"/>
      <w:r>
        <w:rPr>
          <w:rFonts w:hint="eastAsia" w:ascii="宋体" w:hAnsi="宋体" w:eastAsia="宋体" w:cs="宋体"/>
          <w:bCs/>
          <w:color w:val="auto"/>
          <w:spacing w:val="10"/>
          <w:sz w:val="24"/>
          <w:szCs w:val="22"/>
          <w:highlight w:val="none"/>
        </w:rPr>
        <w:t>（1）凡有意参加投标者，须在政采云平台办理数字证书（CA），CA申领链接：http://yzt.ynsmartcert.cn/cms/yztynzg12.html（客服热线：0871-67276028&lt;紧急可拨19988166369&gt;）或https://middle.zcygov.cn/ca/apply/edit?certType=32，并在政采云绑定数字证书（CA）后在网上获取采购文件及其它采购资料，数字证书（CA）详见其办理流程。注：云南本地</w:t>
      </w:r>
      <w:r>
        <w:rPr>
          <w:rFonts w:hint="eastAsia" w:ascii="宋体" w:hAnsi="宋体" w:eastAsia="宋体" w:cs="宋体"/>
          <w:bCs/>
          <w:color w:val="auto"/>
          <w:spacing w:val="10"/>
          <w:sz w:val="24"/>
          <w:szCs w:val="22"/>
          <w:highlight w:val="none"/>
          <w:lang w:eastAsia="zh-CN"/>
        </w:rPr>
        <w:t>投标人</w:t>
      </w:r>
      <w:r>
        <w:rPr>
          <w:rFonts w:hint="eastAsia" w:ascii="宋体" w:hAnsi="宋体" w:eastAsia="宋体" w:cs="宋体"/>
          <w:bCs/>
          <w:color w:val="auto"/>
          <w:spacing w:val="10"/>
          <w:sz w:val="24"/>
          <w:szCs w:val="22"/>
          <w:highlight w:val="none"/>
        </w:rPr>
        <w:t>如之前已在云南CA在线数字证书办理网进行过注册并办理过企业数字证书（CA），直接绑定即可，无需重复办理（2022年1月1日前办理的云南CA需到云南CA办理处进行升级）。外省</w:t>
      </w:r>
      <w:r>
        <w:rPr>
          <w:rFonts w:hint="eastAsia" w:ascii="宋体" w:hAnsi="宋体" w:eastAsia="宋体" w:cs="宋体"/>
          <w:bCs/>
          <w:color w:val="auto"/>
          <w:spacing w:val="10"/>
          <w:sz w:val="24"/>
          <w:szCs w:val="22"/>
          <w:highlight w:val="none"/>
          <w:lang w:eastAsia="zh-CN"/>
        </w:rPr>
        <w:t>投标人</w:t>
      </w:r>
      <w:r>
        <w:rPr>
          <w:rFonts w:hint="eastAsia" w:ascii="宋体" w:hAnsi="宋体" w:eastAsia="宋体" w:cs="宋体"/>
          <w:bCs/>
          <w:color w:val="auto"/>
          <w:spacing w:val="10"/>
          <w:sz w:val="24"/>
          <w:szCs w:val="22"/>
          <w:highlight w:val="none"/>
        </w:rPr>
        <w:t>在政采云平台办理的其他CA可直接使用，无需重复办理。（2）投标人登录政采云平台（https://www.zcygov.cn/）在线申请获取采购文件（进入“项目采购”应用，在“获取采购文件”菜单中选择本项目，申请获取采购文件）。（3）按上述要求获取文件的</w:t>
      </w:r>
      <w:r>
        <w:rPr>
          <w:rFonts w:hint="eastAsia" w:ascii="宋体" w:hAnsi="宋体" w:eastAsia="宋体" w:cs="宋体"/>
          <w:bCs/>
          <w:color w:val="auto"/>
          <w:spacing w:val="10"/>
          <w:sz w:val="24"/>
          <w:szCs w:val="22"/>
          <w:highlight w:val="none"/>
          <w:lang w:eastAsia="zh-CN"/>
        </w:rPr>
        <w:t>投标人</w:t>
      </w:r>
      <w:r>
        <w:rPr>
          <w:rFonts w:hint="eastAsia" w:ascii="宋体" w:hAnsi="宋体" w:eastAsia="宋体" w:cs="宋体"/>
          <w:bCs/>
          <w:color w:val="auto"/>
          <w:spacing w:val="10"/>
          <w:sz w:val="24"/>
          <w:szCs w:val="22"/>
          <w:highlight w:val="none"/>
        </w:rPr>
        <w:t>视为合法获取了本项目采购文件，具备本项目的投标资格。</w:t>
      </w:r>
    </w:p>
    <w:bookmarkEnd w:id="16"/>
    <w:bookmarkEnd w:id="17"/>
    <w:p w14:paraId="06F692C4">
      <w:pPr>
        <w:keepNext w:val="0"/>
        <w:keepLines w:val="0"/>
        <w:pageBreakBefore w:val="0"/>
        <w:widowControl w:val="0"/>
        <w:shd w:val="clear" w:color="auto" w:fill="FFFFFF"/>
        <w:kinsoku/>
        <w:wordWrap w:val="0"/>
        <w:overflowPunct/>
        <w:topLinePunct w:val="0"/>
        <w:autoSpaceDE/>
        <w:autoSpaceDN/>
        <w:bidi w:val="0"/>
        <w:adjustRightInd/>
        <w:spacing w:line="460" w:lineRule="exact"/>
        <w:ind w:firstLine="480" w:firstLineChars="200"/>
        <w:jc w:val="left"/>
        <w:textAlignment w:val="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4.售价：/。</w:t>
      </w:r>
    </w:p>
    <w:p w14:paraId="4A9A40CC">
      <w:pPr>
        <w:keepNext w:val="0"/>
        <w:keepLines w:val="0"/>
        <w:pageBreakBefore w:val="0"/>
        <w:widowControl w:val="0"/>
        <w:kinsoku/>
        <w:overflowPunct/>
        <w:topLinePunct w:val="0"/>
        <w:autoSpaceDE/>
        <w:autoSpaceDN/>
        <w:bidi w:val="0"/>
        <w:adjustRightInd/>
        <w:spacing w:line="460" w:lineRule="exact"/>
        <w:ind w:firstLine="480" w:firstLineChars="200"/>
        <w:textAlignment w:val="auto"/>
        <w:rPr>
          <w:rFonts w:hint="eastAsia" w:ascii="宋体" w:hAnsi="宋体" w:eastAsia="宋体" w:cs="宋体"/>
          <w:b/>
          <w:bCs/>
          <w:color w:val="auto"/>
          <w:sz w:val="24"/>
          <w:highlight w:val="none"/>
        </w:rPr>
      </w:pPr>
      <w:bookmarkStart w:id="18" w:name="_Toc28359005"/>
      <w:bookmarkStart w:id="19" w:name="_Toc28359082"/>
      <w:bookmarkStart w:id="20" w:name="_Toc35393624"/>
      <w:bookmarkStart w:id="21" w:name="_Toc35393793"/>
      <w:r>
        <w:rPr>
          <w:rFonts w:hint="eastAsia" w:ascii="宋体" w:hAnsi="宋体" w:eastAsia="宋体" w:cs="宋体"/>
          <w:b/>
          <w:bCs/>
          <w:color w:val="auto"/>
          <w:sz w:val="24"/>
          <w:highlight w:val="none"/>
        </w:rPr>
        <w:t>四、提交投标文件</w:t>
      </w:r>
      <w:bookmarkEnd w:id="18"/>
      <w:bookmarkEnd w:id="19"/>
      <w:r>
        <w:rPr>
          <w:rFonts w:hint="eastAsia" w:ascii="宋体" w:hAnsi="宋体" w:eastAsia="宋体" w:cs="宋体"/>
          <w:b/>
          <w:bCs/>
          <w:color w:val="auto"/>
          <w:sz w:val="24"/>
          <w:highlight w:val="none"/>
        </w:rPr>
        <w:t>截止时间、开标时间和地点</w:t>
      </w:r>
      <w:bookmarkEnd w:id="20"/>
      <w:bookmarkEnd w:id="21"/>
    </w:p>
    <w:p w14:paraId="7149D36C">
      <w:pPr>
        <w:keepNext w:val="0"/>
        <w:keepLines w:val="0"/>
        <w:pageBreakBefore w:val="0"/>
        <w:widowControl w:val="0"/>
        <w:shd w:val="clear" w:color="auto" w:fill="FFFFFF"/>
        <w:kinsoku/>
        <w:overflowPunct/>
        <w:topLinePunct w:val="0"/>
        <w:autoSpaceDE/>
        <w:autoSpaceDN/>
        <w:bidi w:val="0"/>
        <w:adjustRightInd/>
        <w:spacing w:line="460" w:lineRule="exact"/>
        <w:ind w:firstLine="520" w:firstLineChars="200"/>
        <w:jc w:val="left"/>
        <w:textAlignment w:val="auto"/>
        <w:rPr>
          <w:rFonts w:hint="eastAsia" w:ascii="宋体" w:hAnsi="宋体" w:eastAsia="宋体" w:cs="宋体"/>
          <w:bCs/>
          <w:color w:val="auto"/>
          <w:spacing w:val="10"/>
          <w:sz w:val="24"/>
          <w:szCs w:val="22"/>
          <w:highlight w:val="none"/>
        </w:rPr>
      </w:pPr>
      <w:bookmarkStart w:id="22" w:name="_Toc35393794"/>
      <w:bookmarkStart w:id="23" w:name="_Toc28359007"/>
      <w:bookmarkStart w:id="24" w:name="_Toc35393625"/>
      <w:bookmarkStart w:id="25" w:name="_Toc28359084"/>
      <w:r>
        <w:rPr>
          <w:rFonts w:hint="eastAsia" w:ascii="宋体" w:hAnsi="宋体" w:eastAsia="宋体" w:cs="宋体"/>
          <w:bCs/>
          <w:color w:val="auto"/>
          <w:spacing w:val="10"/>
          <w:sz w:val="24"/>
          <w:szCs w:val="22"/>
          <w:highlight w:val="none"/>
        </w:rPr>
        <w:t>1.截止时间：</w:t>
      </w:r>
      <w:r>
        <w:rPr>
          <w:rFonts w:hint="eastAsia" w:ascii="宋体" w:hAnsi="宋体" w:eastAsia="宋体" w:cs="宋体"/>
          <w:bCs/>
          <w:color w:val="auto"/>
          <w:spacing w:val="10"/>
          <w:sz w:val="24"/>
          <w:szCs w:val="22"/>
          <w:highlight w:val="none"/>
          <w:u w:val="none"/>
        </w:rPr>
        <w:t>202</w:t>
      </w:r>
      <w:r>
        <w:rPr>
          <w:rFonts w:hint="eastAsia" w:ascii="宋体" w:hAnsi="宋体" w:eastAsia="宋体" w:cs="宋体"/>
          <w:bCs/>
          <w:color w:val="auto"/>
          <w:spacing w:val="10"/>
          <w:sz w:val="24"/>
          <w:szCs w:val="22"/>
          <w:highlight w:val="none"/>
          <w:u w:val="none"/>
          <w:lang w:val="en-US" w:eastAsia="zh-CN"/>
        </w:rPr>
        <w:t>6</w:t>
      </w:r>
      <w:r>
        <w:rPr>
          <w:rFonts w:hint="eastAsia" w:ascii="宋体" w:hAnsi="宋体" w:eastAsia="宋体" w:cs="宋体"/>
          <w:bCs/>
          <w:color w:val="auto"/>
          <w:spacing w:val="10"/>
          <w:sz w:val="24"/>
          <w:szCs w:val="22"/>
          <w:highlight w:val="none"/>
          <w:u w:val="none"/>
        </w:rPr>
        <w:t>年</w:t>
      </w:r>
      <w:r>
        <w:rPr>
          <w:rFonts w:hint="eastAsia" w:ascii="宋体" w:hAnsi="宋体" w:cs="宋体"/>
          <w:color w:val="auto"/>
          <w:spacing w:val="10"/>
          <w:sz w:val="24"/>
          <w:szCs w:val="22"/>
          <w:highlight w:val="none"/>
          <w:u w:val="none"/>
          <w:lang w:val="en-US" w:eastAsia="zh-CN"/>
        </w:rPr>
        <w:t>6</w:t>
      </w:r>
      <w:r>
        <w:rPr>
          <w:rFonts w:hint="eastAsia" w:ascii="宋体" w:hAnsi="宋体" w:eastAsia="宋体" w:cs="宋体"/>
          <w:color w:val="auto"/>
          <w:spacing w:val="10"/>
          <w:sz w:val="24"/>
          <w:szCs w:val="22"/>
          <w:highlight w:val="none"/>
          <w:u w:val="none"/>
        </w:rPr>
        <w:t>月</w:t>
      </w:r>
      <w:r>
        <w:rPr>
          <w:rFonts w:hint="eastAsia" w:ascii="宋体" w:hAnsi="宋体" w:cs="宋体"/>
          <w:color w:val="auto"/>
          <w:spacing w:val="10"/>
          <w:sz w:val="24"/>
          <w:szCs w:val="22"/>
          <w:highlight w:val="none"/>
          <w:u w:val="none"/>
          <w:lang w:val="en-US" w:eastAsia="zh-CN"/>
        </w:rPr>
        <w:t>15</w:t>
      </w:r>
      <w:r>
        <w:rPr>
          <w:rFonts w:hint="eastAsia" w:ascii="宋体" w:hAnsi="宋体" w:eastAsia="宋体" w:cs="宋体"/>
          <w:color w:val="auto"/>
          <w:spacing w:val="10"/>
          <w:sz w:val="24"/>
          <w:szCs w:val="22"/>
          <w:highlight w:val="none"/>
          <w:u w:val="none"/>
        </w:rPr>
        <w:t>日</w:t>
      </w:r>
      <w:r>
        <w:rPr>
          <w:rFonts w:hint="eastAsia" w:ascii="宋体" w:hAnsi="宋体" w:cs="宋体"/>
          <w:color w:val="auto"/>
          <w:spacing w:val="10"/>
          <w:sz w:val="24"/>
          <w:szCs w:val="22"/>
          <w:highlight w:val="none"/>
          <w:u w:val="none"/>
          <w:lang w:val="en-US" w:eastAsia="zh-CN"/>
        </w:rPr>
        <w:t>09</w:t>
      </w:r>
      <w:r>
        <w:rPr>
          <w:rFonts w:hint="eastAsia" w:ascii="宋体" w:hAnsi="宋体" w:eastAsia="宋体" w:cs="宋体"/>
          <w:color w:val="auto"/>
          <w:spacing w:val="10"/>
          <w:sz w:val="24"/>
          <w:szCs w:val="22"/>
          <w:highlight w:val="none"/>
          <w:u w:val="none"/>
        </w:rPr>
        <w:t>:</w:t>
      </w:r>
      <w:r>
        <w:rPr>
          <w:rFonts w:hint="eastAsia" w:ascii="宋体" w:hAnsi="宋体" w:cs="宋体"/>
          <w:color w:val="auto"/>
          <w:spacing w:val="10"/>
          <w:sz w:val="24"/>
          <w:szCs w:val="22"/>
          <w:highlight w:val="none"/>
          <w:u w:val="none"/>
          <w:lang w:val="en-US" w:eastAsia="zh-CN"/>
        </w:rPr>
        <w:t>30</w:t>
      </w:r>
      <w:r>
        <w:rPr>
          <w:rFonts w:hint="eastAsia" w:ascii="宋体" w:hAnsi="宋体" w:eastAsia="宋体" w:cs="宋体"/>
          <w:bCs/>
          <w:color w:val="auto"/>
          <w:spacing w:val="10"/>
          <w:sz w:val="24"/>
          <w:szCs w:val="22"/>
          <w:highlight w:val="none"/>
        </w:rPr>
        <w:t>。</w:t>
      </w:r>
    </w:p>
    <w:p w14:paraId="5EA227C6">
      <w:pPr>
        <w:keepNext w:val="0"/>
        <w:keepLines w:val="0"/>
        <w:pageBreakBefore w:val="0"/>
        <w:widowControl w:val="0"/>
        <w:shd w:val="clear" w:color="auto" w:fill="FFFFFF"/>
        <w:kinsoku/>
        <w:overflowPunct/>
        <w:topLinePunct w:val="0"/>
        <w:autoSpaceDE/>
        <w:autoSpaceDN/>
        <w:bidi w:val="0"/>
        <w:adjustRightInd/>
        <w:spacing w:line="460" w:lineRule="exact"/>
        <w:ind w:firstLine="520" w:firstLineChars="200"/>
        <w:jc w:val="left"/>
        <w:textAlignment w:val="auto"/>
        <w:rPr>
          <w:rFonts w:hint="eastAsia" w:ascii="宋体" w:hAnsi="宋体" w:eastAsia="宋体" w:cs="宋体"/>
          <w:bCs/>
          <w:color w:val="auto"/>
          <w:spacing w:val="10"/>
          <w:sz w:val="24"/>
          <w:szCs w:val="22"/>
          <w:highlight w:val="none"/>
          <w:u w:val="none"/>
        </w:rPr>
      </w:pPr>
      <w:r>
        <w:rPr>
          <w:rFonts w:hint="eastAsia" w:ascii="宋体" w:hAnsi="宋体" w:eastAsia="宋体" w:cs="宋体"/>
          <w:bCs/>
          <w:color w:val="auto"/>
          <w:spacing w:val="10"/>
          <w:sz w:val="24"/>
          <w:szCs w:val="22"/>
          <w:highlight w:val="none"/>
        </w:rPr>
        <w:t>2.地点：</w:t>
      </w:r>
      <w:r>
        <w:rPr>
          <w:rFonts w:hint="eastAsia" w:ascii="宋体" w:hAnsi="宋体" w:eastAsia="宋体" w:cs="宋体"/>
          <w:bCs/>
          <w:color w:val="auto"/>
          <w:spacing w:val="10"/>
          <w:sz w:val="24"/>
          <w:szCs w:val="22"/>
          <w:highlight w:val="none"/>
          <w:u w:val="none"/>
        </w:rPr>
        <w:t>通过政采云平台（https://www.zcygov.cn/）在线提交。</w:t>
      </w:r>
    </w:p>
    <w:p w14:paraId="03D33926">
      <w:pPr>
        <w:pStyle w:val="16"/>
        <w:keepNext w:val="0"/>
        <w:keepLines w:val="0"/>
        <w:pageBreakBefore w:val="0"/>
        <w:widowControl w:val="0"/>
        <w:kinsoku/>
        <w:overflowPunct/>
        <w:topLinePunct w:val="0"/>
        <w:autoSpaceDE/>
        <w:autoSpaceDN/>
        <w:bidi w:val="0"/>
        <w:adjustRightInd/>
        <w:snapToGrid w:val="0"/>
        <w:spacing w:after="0" w:line="460" w:lineRule="exact"/>
        <w:ind w:left="0" w:leftChars="0" w:firstLine="520" w:firstLineChars="200"/>
        <w:textAlignment w:val="auto"/>
        <w:rPr>
          <w:rFonts w:hint="eastAsia" w:ascii="宋体" w:hAnsi="宋体" w:eastAsia="宋体" w:cs="宋体"/>
          <w:bCs/>
          <w:color w:val="auto"/>
          <w:spacing w:val="10"/>
          <w:sz w:val="24"/>
          <w:szCs w:val="22"/>
          <w:highlight w:val="none"/>
        </w:rPr>
      </w:pPr>
      <w:r>
        <w:rPr>
          <w:rFonts w:hint="eastAsia" w:ascii="宋体" w:hAnsi="宋体" w:eastAsia="宋体" w:cs="宋体"/>
          <w:bCs/>
          <w:color w:val="auto"/>
          <w:spacing w:val="10"/>
          <w:sz w:val="24"/>
          <w:szCs w:val="22"/>
          <w:highlight w:val="none"/>
        </w:rPr>
        <w:t>3.开标时间及开标地点</w:t>
      </w:r>
    </w:p>
    <w:p w14:paraId="15F274B6">
      <w:pPr>
        <w:pStyle w:val="16"/>
        <w:keepNext w:val="0"/>
        <w:keepLines w:val="0"/>
        <w:pageBreakBefore w:val="0"/>
        <w:widowControl w:val="0"/>
        <w:kinsoku/>
        <w:overflowPunct/>
        <w:topLinePunct w:val="0"/>
        <w:autoSpaceDE/>
        <w:autoSpaceDN/>
        <w:bidi w:val="0"/>
        <w:adjustRightInd/>
        <w:snapToGrid w:val="0"/>
        <w:spacing w:after="0" w:line="460" w:lineRule="exact"/>
        <w:ind w:left="0" w:leftChars="0" w:firstLine="520" w:firstLineChars="200"/>
        <w:textAlignment w:val="auto"/>
        <w:rPr>
          <w:rFonts w:hint="eastAsia" w:ascii="宋体" w:hAnsi="宋体" w:eastAsia="宋体" w:cs="宋体"/>
          <w:bCs/>
          <w:color w:val="auto"/>
          <w:spacing w:val="10"/>
          <w:sz w:val="24"/>
          <w:highlight w:val="none"/>
        </w:rPr>
      </w:pPr>
      <w:r>
        <w:rPr>
          <w:rFonts w:hint="eastAsia" w:ascii="宋体" w:hAnsi="宋体" w:eastAsia="宋体" w:cs="宋体"/>
          <w:bCs/>
          <w:color w:val="auto"/>
          <w:spacing w:val="10"/>
          <w:sz w:val="24"/>
          <w:highlight w:val="none"/>
        </w:rPr>
        <w:t>开标时间：</w:t>
      </w:r>
      <w:r>
        <w:rPr>
          <w:rFonts w:hint="eastAsia" w:ascii="宋体" w:hAnsi="宋体" w:eastAsia="宋体" w:cs="宋体"/>
          <w:bCs/>
          <w:color w:val="auto"/>
          <w:spacing w:val="10"/>
          <w:sz w:val="24"/>
          <w:szCs w:val="22"/>
          <w:highlight w:val="none"/>
          <w:u w:val="none"/>
        </w:rPr>
        <w:t>202</w:t>
      </w:r>
      <w:r>
        <w:rPr>
          <w:rFonts w:hint="eastAsia" w:ascii="宋体" w:hAnsi="宋体" w:eastAsia="宋体" w:cs="宋体"/>
          <w:bCs/>
          <w:color w:val="auto"/>
          <w:spacing w:val="10"/>
          <w:sz w:val="24"/>
          <w:szCs w:val="22"/>
          <w:highlight w:val="none"/>
          <w:u w:val="none"/>
          <w:lang w:val="en-US" w:eastAsia="zh-CN"/>
        </w:rPr>
        <w:t>6</w:t>
      </w:r>
      <w:r>
        <w:rPr>
          <w:rFonts w:hint="eastAsia" w:ascii="宋体" w:hAnsi="宋体" w:eastAsia="宋体" w:cs="宋体"/>
          <w:bCs/>
          <w:color w:val="auto"/>
          <w:spacing w:val="10"/>
          <w:sz w:val="24"/>
          <w:szCs w:val="22"/>
          <w:highlight w:val="none"/>
          <w:u w:val="none"/>
        </w:rPr>
        <w:t>年</w:t>
      </w:r>
      <w:r>
        <w:rPr>
          <w:rFonts w:hint="eastAsia" w:ascii="宋体" w:hAnsi="宋体" w:cs="宋体"/>
          <w:color w:val="auto"/>
          <w:spacing w:val="10"/>
          <w:sz w:val="24"/>
          <w:szCs w:val="22"/>
          <w:highlight w:val="none"/>
          <w:u w:val="none"/>
          <w:lang w:val="en-US" w:eastAsia="zh-CN"/>
        </w:rPr>
        <w:t>6</w:t>
      </w:r>
      <w:r>
        <w:rPr>
          <w:rFonts w:hint="eastAsia" w:ascii="宋体" w:hAnsi="宋体" w:eastAsia="宋体" w:cs="宋体"/>
          <w:color w:val="auto"/>
          <w:spacing w:val="10"/>
          <w:sz w:val="24"/>
          <w:szCs w:val="22"/>
          <w:highlight w:val="none"/>
          <w:u w:val="none"/>
        </w:rPr>
        <w:t>月</w:t>
      </w:r>
      <w:r>
        <w:rPr>
          <w:rFonts w:hint="eastAsia" w:ascii="宋体" w:hAnsi="宋体" w:cs="宋体"/>
          <w:color w:val="auto"/>
          <w:spacing w:val="10"/>
          <w:sz w:val="24"/>
          <w:szCs w:val="22"/>
          <w:highlight w:val="none"/>
          <w:u w:val="none"/>
          <w:lang w:val="en-US" w:eastAsia="zh-CN"/>
        </w:rPr>
        <w:t>15</w:t>
      </w:r>
      <w:r>
        <w:rPr>
          <w:rFonts w:hint="eastAsia" w:ascii="宋体" w:hAnsi="宋体" w:eastAsia="宋体" w:cs="宋体"/>
          <w:color w:val="auto"/>
          <w:spacing w:val="10"/>
          <w:sz w:val="24"/>
          <w:szCs w:val="22"/>
          <w:highlight w:val="none"/>
          <w:u w:val="none"/>
        </w:rPr>
        <w:t>日</w:t>
      </w:r>
      <w:r>
        <w:rPr>
          <w:rFonts w:hint="eastAsia" w:ascii="宋体" w:hAnsi="宋体" w:cs="宋体"/>
          <w:color w:val="auto"/>
          <w:spacing w:val="10"/>
          <w:sz w:val="24"/>
          <w:szCs w:val="22"/>
          <w:highlight w:val="none"/>
          <w:u w:val="none"/>
          <w:lang w:val="en-US" w:eastAsia="zh-CN"/>
        </w:rPr>
        <w:t>09</w:t>
      </w:r>
      <w:r>
        <w:rPr>
          <w:rFonts w:hint="eastAsia" w:ascii="宋体" w:hAnsi="宋体" w:eastAsia="宋体" w:cs="宋体"/>
          <w:color w:val="auto"/>
          <w:spacing w:val="10"/>
          <w:sz w:val="24"/>
          <w:szCs w:val="22"/>
          <w:highlight w:val="none"/>
          <w:u w:val="none"/>
        </w:rPr>
        <w:t>:</w:t>
      </w:r>
      <w:r>
        <w:rPr>
          <w:rFonts w:hint="eastAsia" w:ascii="宋体" w:hAnsi="宋体" w:cs="宋体"/>
          <w:color w:val="auto"/>
          <w:spacing w:val="10"/>
          <w:sz w:val="24"/>
          <w:szCs w:val="22"/>
          <w:highlight w:val="none"/>
          <w:u w:val="none"/>
          <w:lang w:val="en-US" w:eastAsia="zh-CN"/>
        </w:rPr>
        <w:t>30</w:t>
      </w:r>
      <w:r>
        <w:rPr>
          <w:rFonts w:hint="eastAsia" w:ascii="宋体" w:hAnsi="宋体" w:eastAsia="宋体" w:cs="宋体"/>
          <w:bCs/>
          <w:color w:val="auto"/>
          <w:spacing w:val="10"/>
          <w:sz w:val="24"/>
          <w:highlight w:val="none"/>
        </w:rPr>
        <w:t>。</w:t>
      </w:r>
    </w:p>
    <w:p w14:paraId="2FD5743A">
      <w:pPr>
        <w:pStyle w:val="16"/>
        <w:keepNext w:val="0"/>
        <w:keepLines w:val="0"/>
        <w:pageBreakBefore w:val="0"/>
        <w:widowControl w:val="0"/>
        <w:kinsoku/>
        <w:overflowPunct/>
        <w:topLinePunct w:val="0"/>
        <w:autoSpaceDE/>
        <w:autoSpaceDN/>
        <w:bidi w:val="0"/>
        <w:adjustRightInd/>
        <w:snapToGrid w:val="0"/>
        <w:spacing w:after="0" w:line="460" w:lineRule="exact"/>
        <w:ind w:left="0" w:leftChars="0" w:firstLine="520" w:firstLineChars="200"/>
        <w:textAlignment w:val="auto"/>
        <w:rPr>
          <w:rFonts w:hint="eastAsia" w:ascii="宋体" w:hAnsi="宋体" w:eastAsia="宋体" w:cs="宋体"/>
          <w:bCs/>
          <w:color w:val="auto"/>
          <w:spacing w:val="10"/>
          <w:sz w:val="24"/>
          <w:highlight w:val="none"/>
        </w:rPr>
      </w:pPr>
      <w:r>
        <w:rPr>
          <w:rFonts w:hint="eastAsia" w:ascii="宋体" w:hAnsi="宋体" w:eastAsia="宋体" w:cs="宋体"/>
          <w:bCs/>
          <w:color w:val="auto"/>
          <w:spacing w:val="10"/>
          <w:sz w:val="24"/>
          <w:highlight w:val="none"/>
        </w:rPr>
        <w:t>开标地点：</w:t>
      </w:r>
      <w:r>
        <w:rPr>
          <w:rFonts w:hint="eastAsia" w:ascii="宋体" w:hAnsi="宋体" w:eastAsia="宋体" w:cs="宋体"/>
          <w:bCs/>
          <w:color w:val="auto"/>
          <w:spacing w:val="10"/>
          <w:sz w:val="24"/>
          <w:highlight w:val="none"/>
          <w:u w:val="none"/>
        </w:rPr>
        <w:t>云南众高工程咨询有限公司（昆明市盘龙区北辰大道1号美立方商业广场B座16楼）开标厅</w:t>
      </w:r>
      <w:r>
        <w:rPr>
          <w:rFonts w:hint="eastAsia" w:ascii="宋体" w:hAnsi="宋体" w:eastAsia="宋体" w:cs="宋体"/>
          <w:bCs/>
          <w:color w:val="auto"/>
          <w:spacing w:val="10"/>
          <w:sz w:val="24"/>
          <w:szCs w:val="22"/>
          <w:highlight w:val="none"/>
        </w:rPr>
        <w:t>。</w:t>
      </w:r>
    </w:p>
    <w:p w14:paraId="06B74CE7">
      <w:pPr>
        <w:pStyle w:val="16"/>
        <w:keepNext w:val="0"/>
        <w:keepLines w:val="0"/>
        <w:pageBreakBefore w:val="0"/>
        <w:widowControl w:val="0"/>
        <w:kinsoku/>
        <w:overflowPunct/>
        <w:topLinePunct w:val="0"/>
        <w:autoSpaceDE/>
        <w:autoSpaceDN/>
        <w:bidi w:val="0"/>
        <w:adjustRightInd/>
        <w:snapToGrid w:val="0"/>
        <w:spacing w:after="0" w:line="460" w:lineRule="exact"/>
        <w:ind w:left="0" w:leftChars="0" w:firstLine="520" w:firstLineChars="200"/>
        <w:textAlignment w:val="auto"/>
        <w:rPr>
          <w:rFonts w:hint="eastAsia" w:ascii="宋体" w:hAnsi="宋体" w:eastAsia="宋体" w:cs="宋体"/>
          <w:bCs/>
          <w:color w:val="auto"/>
          <w:spacing w:val="10"/>
          <w:sz w:val="24"/>
          <w:szCs w:val="22"/>
          <w:highlight w:val="none"/>
        </w:rPr>
      </w:pPr>
      <w:r>
        <w:rPr>
          <w:rFonts w:hint="eastAsia" w:ascii="宋体" w:hAnsi="宋体" w:eastAsia="宋体" w:cs="宋体"/>
          <w:bCs/>
          <w:color w:val="auto"/>
          <w:spacing w:val="10"/>
          <w:sz w:val="24"/>
          <w:szCs w:val="22"/>
          <w:highlight w:val="none"/>
        </w:rPr>
        <w:t>4.开标方式：网上智能开标及远程解密，具体操作如下：</w:t>
      </w:r>
    </w:p>
    <w:p w14:paraId="33F59815">
      <w:pPr>
        <w:pStyle w:val="16"/>
        <w:keepNext w:val="0"/>
        <w:keepLines w:val="0"/>
        <w:pageBreakBefore w:val="0"/>
        <w:widowControl w:val="0"/>
        <w:kinsoku/>
        <w:overflowPunct/>
        <w:topLinePunct w:val="0"/>
        <w:autoSpaceDE/>
        <w:autoSpaceDN/>
        <w:bidi w:val="0"/>
        <w:adjustRightInd/>
        <w:snapToGrid w:val="0"/>
        <w:spacing w:after="0" w:line="460" w:lineRule="exact"/>
        <w:ind w:left="0" w:leftChars="0" w:firstLine="520" w:firstLineChars="200"/>
        <w:textAlignment w:val="auto"/>
        <w:rPr>
          <w:rFonts w:hint="eastAsia" w:ascii="宋体" w:hAnsi="宋体" w:eastAsia="宋体" w:cs="宋体"/>
          <w:bCs/>
          <w:color w:val="auto"/>
          <w:spacing w:val="10"/>
          <w:sz w:val="24"/>
          <w:highlight w:val="none"/>
        </w:rPr>
      </w:pPr>
      <w:r>
        <w:rPr>
          <w:rFonts w:hint="eastAsia" w:ascii="宋体" w:hAnsi="宋体" w:eastAsia="宋体" w:cs="宋体"/>
          <w:bCs/>
          <w:color w:val="auto"/>
          <w:spacing w:val="10"/>
          <w:sz w:val="24"/>
          <w:highlight w:val="none"/>
        </w:rPr>
        <w:t>（1）开标时投标人无需到现场出席开标会，各投标人应当提前熟悉和掌握网上开标远程解密详细操作。本项目解密时间为30分钟，若投标人未在规定时</w:t>
      </w:r>
      <w:r>
        <w:rPr>
          <w:rFonts w:hint="eastAsia" w:ascii="宋体" w:hAnsi="宋体" w:eastAsia="宋体" w:cs="宋体"/>
          <w:bCs/>
          <w:color w:val="auto"/>
          <w:spacing w:val="10"/>
          <w:sz w:val="24"/>
          <w:highlight w:val="none"/>
          <w:lang w:eastAsia="zh-CN"/>
        </w:rPr>
        <w:t>间内</w:t>
      </w:r>
      <w:r>
        <w:rPr>
          <w:rFonts w:hint="eastAsia" w:ascii="宋体" w:hAnsi="宋体" w:eastAsia="宋体" w:cs="宋体"/>
          <w:bCs/>
          <w:color w:val="auto"/>
          <w:spacing w:val="10"/>
          <w:sz w:val="24"/>
          <w:highlight w:val="none"/>
        </w:rPr>
        <w:t xml:space="preserve">完成以上解密，则视为无效投标，不再进入评标阶段。 </w:t>
      </w:r>
    </w:p>
    <w:p w14:paraId="55CCA087">
      <w:pPr>
        <w:pStyle w:val="16"/>
        <w:keepNext w:val="0"/>
        <w:keepLines w:val="0"/>
        <w:pageBreakBefore w:val="0"/>
        <w:widowControl w:val="0"/>
        <w:kinsoku/>
        <w:overflowPunct/>
        <w:topLinePunct w:val="0"/>
        <w:autoSpaceDE/>
        <w:autoSpaceDN/>
        <w:bidi w:val="0"/>
        <w:adjustRightInd/>
        <w:snapToGrid w:val="0"/>
        <w:spacing w:after="0" w:line="460" w:lineRule="exact"/>
        <w:ind w:left="0" w:leftChars="0" w:firstLine="520" w:firstLineChars="200"/>
        <w:textAlignment w:val="auto"/>
        <w:rPr>
          <w:rFonts w:hint="eastAsia" w:ascii="宋体" w:hAnsi="宋体" w:eastAsia="宋体" w:cs="宋体"/>
          <w:bCs/>
          <w:color w:val="auto"/>
          <w:spacing w:val="10"/>
          <w:sz w:val="24"/>
          <w:highlight w:val="none"/>
        </w:rPr>
      </w:pPr>
      <w:r>
        <w:rPr>
          <w:rFonts w:hint="eastAsia" w:ascii="宋体" w:hAnsi="宋体" w:eastAsia="宋体" w:cs="宋体"/>
          <w:bCs/>
          <w:color w:val="auto"/>
          <w:spacing w:val="10"/>
          <w:sz w:val="24"/>
          <w:highlight w:val="none"/>
        </w:rPr>
        <w:t>（2）因开标系统、开标现场网络、设备及其他特殊原因，导致不能正常解密投标文件的，经核实和上报相关部门同意后，可再次下达网上解密指令来延长解密时间。</w:t>
      </w:r>
    </w:p>
    <w:p w14:paraId="509DCD3D">
      <w:pPr>
        <w:pStyle w:val="16"/>
        <w:keepNext w:val="0"/>
        <w:keepLines w:val="0"/>
        <w:pageBreakBefore w:val="0"/>
        <w:widowControl w:val="0"/>
        <w:kinsoku/>
        <w:overflowPunct/>
        <w:topLinePunct w:val="0"/>
        <w:autoSpaceDE/>
        <w:autoSpaceDN/>
        <w:bidi w:val="0"/>
        <w:adjustRightInd/>
        <w:snapToGrid w:val="0"/>
        <w:spacing w:after="0" w:line="460" w:lineRule="exact"/>
        <w:ind w:left="0" w:leftChars="0" w:firstLine="520" w:firstLineChars="200"/>
        <w:textAlignment w:val="auto"/>
        <w:rPr>
          <w:rFonts w:hint="eastAsia" w:ascii="宋体" w:hAnsi="宋体" w:eastAsia="宋体" w:cs="宋体"/>
          <w:bCs/>
          <w:color w:val="auto"/>
          <w:spacing w:val="10"/>
          <w:sz w:val="24"/>
          <w:highlight w:val="none"/>
        </w:rPr>
      </w:pPr>
      <w:r>
        <w:rPr>
          <w:rFonts w:hint="eastAsia" w:ascii="宋体" w:hAnsi="宋体" w:eastAsia="宋体" w:cs="宋体"/>
          <w:bCs/>
          <w:color w:val="auto"/>
          <w:spacing w:val="10"/>
          <w:sz w:val="24"/>
          <w:highlight w:val="none"/>
        </w:rPr>
        <w:t xml:space="preserve">（3）开标过程中如有问题，可以在线提出异议，由代理机构给予对应的回复。在规定的统一提出异议时间内不提出异议的，则视为对开标结果无异议。 </w:t>
      </w:r>
    </w:p>
    <w:p w14:paraId="06A9F0FB">
      <w:pPr>
        <w:keepNext w:val="0"/>
        <w:keepLines w:val="0"/>
        <w:pageBreakBefore w:val="0"/>
        <w:widowControl w:val="0"/>
        <w:kinsoku/>
        <w:wordWrap w:val="0"/>
        <w:overflowPunct/>
        <w:topLinePunct w:val="0"/>
        <w:autoSpaceDE/>
        <w:autoSpaceDN/>
        <w:bidi w:val="0"/>
        <w:adjustRightInd/>
        <w:spacing w:line="460" w:lineRule="exact"/>
        <w:ind w:firstLine="520" w:firstLineChars="200"/>
        <w:textAlignment w:val="auto"/>
        <w:rPr>
          <w:rFonts w:hint="eastAsia" w:ascii="宋体" w:hAnsi="宋体" w:eastAsia="宋体" w:cs="宋体"/>
          <w:bCs/>
          <w:color w:val="auto"/>
          <w:spacing w:val="10"/>
          <w:sz w:val="24"/>
          <w:highlight w:val="none"/>
        </w:rPr>
      </w:pPr>
      <w:r>
        <w:rPr>
          <w:rFonts w:hint="eastAsia" w:ascii="宋体" w:hAnsi="宋体" w:eastAsia="宋体" w:cs="宋体"/>
          <w:bCs/>
          <w:color w:val="auto"/>
          <w:spacing w:val="10"/>
          <w:sz w:val="24"/>
          <w:highlight w:val="none"/>
        </w:rPr>
        <w:t>（4）各投标人对上传的相关证件及证明资料</w:t>
      </w:r>
      <w:r>
        <w:rPr>
          <w:rFonts w:hint="eastAsia" w:ascii="宋体" w:hAnsi="宋体" w:eastAsia="宋体" w:cs="宋体"/>
          <w:bCs/>
          <w:color w:val="auto"/>
          <w:spacing w:val="10"/>
          <w:sz w:val="24"/>
          <w:highlight w:val="none"/>
          <w:lang w:val="en-US" w:eastAsia="zh-CN"/>
        </w:rPr>
        <w:t>的</w:t>
      </w:r>
      <w:r>
        <w:rPr>
          <w:rFonts w:hint="eastAsia" w:ascii="宋体" w:hAnsi="宋体" w:eastAsia="宋体" w:cs="宋体"/>
          <w:bCs/>
          <w:color w:val="auto"/>
          <w:spacing w:val="10"/>
          <w:sz w:val="24"/>
          <w:highlight w:val="none"/>
        </w:rPr>
        <w:t>真实性负责（确保上传的相关资料清晰可辨，如评标过程中，评标委员会无法辨别</w:t>
      </w:r>
      <w:r>
        <w:rPr>
          <w:rFonts w:hint="eastAsia" w:ascii="宋体" w:hAnsi="宋体" w:eastAsia="宋体" w:cs="宋体"/>
          <w:bCs/>
          <w:color w:val="auto"/>
          <w:spacing w:val="10"/>
          <w:sz w:val="24"/>
          <w:highlight w:val="none"/>
          <w:lang w:val="en-US" w:eastAsia="zh-CN"/>
        </w:rPr>
        <w:t>而</w:t>
      </w:r>
      <w:r>
        <w:rPr>
          <w:rFonts w:hint="eastAsia" w:ascii="宋体" w:hAnsi="宋体" w:eastAsia="宋体" w:cs="宋体"/>
          <w:bCs/>
          <w:color w:val="auto"/>
          <w:spacing w:val="10"/>
          <w:sz w:val="24"/>
          <w:highlight w:val="none"/>
        </w:rPr>
        <w:t>影响投标的，责任由投标人自行承担），如发现提供虚假材料的，一经查实取消投标资格，并依据相关</w:t>
      </w:r>
      <w:r>
        <w:rPr>
          <w:rFonts w:hint="eastAsia" w:ascii="宋体" w:hAnsi="宋体" w:eastAsia="宋体" w:cs="宋体"/>
          <w:bCs/>
          <w:color w:val="auto"/>
          <w:spacing w:val="10"/>
          <w:sz w:val="24"/>
          <w:highlight w:val="none"/>
          <w:lang w:eastAsia="zh-CN"/>
        </w:rPr>
        <w:t>法律法规</w:t>
      </w:r>
      <w:r>
        <w:rPr>
          <w:rFonts w:hint="eastAsia" w:ascii="宋体" w:hAnsi="宋体" w:eastAsia="宋体" w:cs="宋体"/>
          <w:bCs/>
          <w:color w:val="auto"/>
          <w:spacing w:val="10"/>
          <w:sz w:val="24"/>
          <w:highlight w:val="none"/>
        </w:rPr>
        <w:t>进行处罚。</w:t>
      </w:r>
    </w:p>
    <w:p w14:paraId="5B8351EA">
      <w:pPr>
        <w:keepNext w:val="0"/>
        <w:keepLines w:val="0"/>
        <w:pageBreakBefore w:val="0"/>
        <w:widowControl w:val="0"/>
        <w:kinsoku/>
        <w:overflowPunct/>
        <w:topLinePunct w:val="0"/>
        <w:autoSpaceDE/>
        <w:autoSpaceDN/>
        <w:bidi w:val="0"/>
        <w:adjustRightInd/>
        <w:spacing w:line="460" w:lineRule="exact"/>
        <w:ind w:firstLine="480"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五、公告期限</w:t>
      </w:r>
      <w:bookmarkEnd w:id="22"/>
      <w:bookmarkEnd w:id="23"/>
      <w:bookmarkEnd w:id="24"/>
      <w:bookmarkEnd w:id="25"/>
    </w:p>
    <w:p w14:paraId="0973FE8A">
      <w:pPr>
        <w:pStyle w:val="16"/>
        <w:keepNext w:val="0"/>
        <w:keepLines w:val="0"/>
        <w:pageBreakBefore w:val="0"/>
        <w:widowControl w:val="0"/>
        <w:kinsoku/>
        <w:overflowPunct/>
        <w:topLinePunct w:val="0"/>
        <w:autoSpaceDE/>
        <w:autoSpaceDN/>
        <w:bidi w:val="0"/>
        <w:adjustRightInd/>
        <w:snapToGrid w:val="0"/>
        <w:spacing w:after="0" w:line="460" w:lineRule="exact"/>
        <w:ind w:left="0" w:leftChars="0" w:firstLine="520" w:firstLineChars="200"/>
        <w:textAlignment w:val="auto"/>
        <w:rPr>
          <w:rFonts w:hint="eastAsia" w:ascii="宋体" w:hAnsi="宋体" w:eastAsia="宋体" w:cs="宋体"/>
          <w:bCs/>
          <w:color w:val="auto"/>
          <w:spacing w:val="10"/>
          <w:sz w:val="24"/>
          <w:highlight w:val="none"/>
        </w:rPr>
      </w:pPr>
      <w:r>
        <w:rPr>
          <w:rFonts w:hint="eastAsia" w:ascii="宋体" w:hAnsi="宋体" w:eastAsia="宋体" w:cs="宋体"/>
          <w:bCs/>
          <w:color w:val="auto"/>
          <w:spacing w:val="10"/>
          <w:sz w:val="24"/>
          <w:highlight w:val="none"/>
        </w:rPr>
        <w:t>自本公告发布之日起5个工作日。</w:t>
      </w:r>
    </w:p>
    <w:p w14:paraId="4A594599">
      <w:pPr>
        <w:keepNext w:val="0"/>
        <w:keepLines w:val="0"/>
        <w:pageBreakBefore w:val="0"/>
        <w:widowControl w:val="0"/>
        <w:kinsoku/>
        <w:overflowPunct/>
        <w:topLinePunct w:val="0"/>
        <w:autoSpaceDE/>
        <w:autoSpaceDN/>
        <w:bidi w:val="0"/>
        <w:adjustRightInd/>
        <w:spacing w:line="460" w:lineRule="exact"/>
        <w:ind w:firstLine="480" w:firstLineChars="200"/>
        <w:textAlignment w:val="auto"/>
        <w:rPr>
          <w:rFonts w:hint="eastAsia" w:ascii="宋体" w:hAnsi="宋体" w:eastAsia="宋体" w:cs="宋体"/>
          <w:b/>
          <w:bCs/>
          <w:color w:val="auto"/>
          <w:sz w:val="24"/>
          <w:highlight w:val="none"/>
        </w:rPr>
      </w:pPr>
      <w:bookmarkStart w:id="26" w:name="_Toc35393795"/>
      <w:bookmarkStart w:id="27" w:name="_Toc35393626"/>
      <w:r>
        <w:rPr>
          <w:rFonts w:hint="eastAsia" w:ascii="宋体" w:hAnsi="宋体" w:eastAsia="宋体" w:cs="宋体"/>
          <w:b/>
          <w:bCs/>
          <w:color w:val="auto"/>
          <w:sz w:val="24"/>
          <w:highlight w:val="none"/>
        </w:rPr>
        <w:t>六、其他补充事宜</w:t>
      </w:r>
      <w:bookmarkEnd w:id="26"/>
      <w:bookmarkEnd w:id="27"/>
    </w:p>
    <w:p w14:paraId="757010E5">
      <w:pPr>
        <w:keepNext w:val="0"/>
        <w:keepLines w:val="0"/>
        <w:pageBreakBefore w:val="0"/>
        <w:widowControl w:val="0"/>
        <w:kinsoku/>
        <w:wordWrap w:val="0"/>
        <w:overflowPunct/>
        <w:topLinePunct w:val="0"/>
        <w:autoSpaceDE/>
        <w:autoSpaceDN/>
        <w:bidi w:val="0"/>
        <w:adjustRightInd/>
        <w:spacing w:line="460" w:lineRule="exact"/>
        <w:ind w:firstLine="520" w:firstLineChars="200"/>
        <w:textAlignment w:val="auto"/>
        <w:rPr>
          <w:rFonts w:hint="eastAsia" w:ascii="宋体" w:hAnsi="宋体" w:eastAsia="宋体" w:cs="宋体"/>
          <w:bCs/>
          <w:color w:val="auto"/>
          <w:spacing w:val="10"/>
          <w:sz w:val="24"/>
          <w:highlight w:val="none"/>
        </w:rPr>
      </w:pPr>
      <w:bookmarkStart w:id="28" w:name="_Toc35393796"/>
      <w:bookmarkStart w:id="29" w:name="_Toc28359008"/>
      <w:bookmarkStart w:id="30" w:name="_Toc28359085"/>
      <w:bookmarkStart w:id="31" w:name="_Toc35393627"/>
      <w:r>
        <w:rPr>
          <w:rFonts w:hint="eastAsia" w:ascii="宋体" w:hAnsi="宋体" w:eastAsia="宋体" w:cs="宋体"/>
          <w:bCs/>
          <w:color w:val="auto"/>
          <w:spacing w:val="10"/>
          <w:sz w:val="24"/>
          <w:highlight w:val="none"/>
        </w:rPr>
        <w:t>1.本次招标落实扶持福利企业、支持中小微企业、支持监狱和戒毒企业、支持残疾人福利性单位政策等相关政策。</w:t>
      </w:r>
    </w:p>
    <w:p w14:paraId="27B46735">
      <w:pPr>
        <w:keepNext w:val="0"/>
        <w:keepLines w:val="0"/>
        <w:pageBreakBefore w:val="0"/>
        <w:widowControl w:val="0"/>
        <w:kinsoku/>
        <w:wordWrap w:val="0"/>
        <w:overflowPunct/>
        <w:topLinePunct w:val="0"/>
        <w:autoSpaceDE/>
        <w:autoSpaceDN/>
        <w:bidi w:val="0"/>
        <w:adjustRightInd/>
        <w:spacing w:line="460" w:lineRule="exact"/>
        <w:ind w:firstLine="520" w:firstLineChars="200"/>
        <w:textAlignment w:val="auto"/>
        <w:rPr>
          <w:rFonts w:hint="eastAsia" w:ascii="宋体" w:hAnsi="宋体" w:eastAsia="宋体" w:cs="宋体"/>
          <w:bCs/>
          <w:color w:val="auto"/>
          <w:spacing w:val="10"/>
          <w:sz w:val="24"/>
          <w:highlight w:val="none"/>
        </w:rPr>
      </w:pPr>
      <w:r>
        <w:rPr>
          <w:rFonts w:hint="eastAsia" w:ascii="宋体" w:hAnsi="宋体" w:eastAsia="宋体" w:cs="宋体"/>
          <w:bCs/>
          <w:color w:val="auto"/>
          <w:spacing w:val="10"/>
          <w:sz w:val="24"/>
          <w:highlight w:val="none"/>
        </w:rPr>
        <w:t>2.</w:t>
      </w:r>
      <w:r>
        <w:rPr>
          <w:rFonts w:hint="eastAsia" w:ascii="宋体" w:hAnsi="宋体" w:eastAsia="宋体" w:cs="宋体"/>
          <w:bCs/>
          <w:color w:val="auto"/>
          <w:spacing w:val="10"/>
          <w:sz w:val="24"/>
          <w:szCs w:val="24"/>
          <w:highlight w:val="none"/>
        </w:rPr>
        <w:t>本项目公告发布媒介为“云南省政府采购网”（http://www.yngp.com</w:t>
      </w:r>
      <w:r>
        <w:rPr>
          <w:rFonts w:hint="eastAsia" w:ascii="宋体" w:hAnsi="宋体" w:eastAsia="宋体" w:cs="宋体"/>
          <w:bCs/>
          <w:color w:val="auto"/>
          <w:spacing w:val="10"/>
          <w:sz w:val="24"/>
          <w:szCs w:val="24"/>
          <w:highlight w:val="none"/>
          <w:lang w:val="en-US" w:eastAsia="zh-CN"/>
        </w:rPr>
        <w:t>/</w:t>
      </w:r>
      <w:r>
        <w:rPr>
          <w:rFonts w:hint="eastAsia" w:ascii="宋体" w:hAnsi="宋体" w:eastAsia="宋体" w:cs="宋体"/>
          <w:bCs/>
          <w:color w:val="auto"/>
          <w:spacing w:val="10"/>
          <w:sz w:val="24"/>
          <w:szCs w:val="24"/>
          <w:highlight w:val="none"/>
        </w:rPr>
        <w:t>）和“政采云平台”（https://www.zcygov.cn/）</w:t>
      </w:r>
      <w:r>
        <w:rPr>
          <w:rFonts w:hint="eastAsia" w:ascii="宋体" w:hAnsi="宋体" w:eastAsia="宋体" w:cs="宋体"/>
          <w:bCs/>
          <w:color w:val="auto"/>
          <w:spacing w:val="10"/>
          <w:sz w:val="24"/>
          <w:szCs w:val="24"/>
          <w:highlight w:val="none"/>
          <w:lang w:val="en-US" w:eastAsia="zh-CN"/>
        </w:rPr>
        <w:t>，</w:t>
      </w:r>
      <w:r>
        <w:rPr>
          <w:rFonts w:hint="eastAsia" w:ascii="宋体" w:hAnsi="宋体" w:eastAsia="宋体" w:cs="宋体"/>
          <w:bCs/>
          <w:color w:val="auto"/>
          <w:spacing w:val="10"/>
          <w:sz w:val="24"/>
          <w:szCs w:val="24"/>
          <w:highlight w:val="none"/>
        </w:rPr>
        <w:t>我们对其他网站转载的公告信息不承担任何责任。</w:t>
      </w:r>
    </w:p>
    <w:p w14:paraId="29A48AB0">
      <w:pPr>
        <w:keepNext w:val="0"/>
        <w:keepLines w:val="0"/>
        <w:pageBreakBefore w:val="0"/>
        <w:widowControl w:val="0"/>
        <w:kinsoku/>
        <w:wordWrap w:val="0"/>
        <w:overflowPunct/>
        <w:topLinePunct w:val="0"/>
        <w:autoSpaceDE/>
        <w:autoSpaceDN/>
        <w:bidi w:val="0"/>
        <w:adjustRightInd/>
        <w:spacing w:line="460" w:lineRule="exact"/>
        <w:ind w:firstLine="520" w:firstLineChars="200"/>
        <w:textAlignment w:val="auto"/>
        <w:rPr>
          <w:rFonts w:hint="eastAsia" w:ascii="宋体" w:hAnsi="宋体" w:eastAsia="宋体" w:cs="宋体"/>
          <w:bCs/>
          <w:color w:val="auto"/>
          <w:spacing w:val="10"/>
          <w:sz w:val="24"/>
          <w:highlight w:val="none"/>
        </w:rPr>
      </w:pPr>
      <w:r>
        <w:rPr>
          <w:rFonts w:hint="eastAsia" w:ascii="宋体" w:hAnsi="宋体" w:eastAsia="宋体" w:cs="宋体"/>
          <w:bCs/>
          <w:color w:val="auto"/>
          <w:spacing w:val="10"/>
          <w:sz w:val="24"/>
          <w:highlight w:val="none"/>
        </w:rPr>
        <w:t>3.本项目实行网上投标，采用电子投标文件，</w:t>
      </w:r>
      <w:r>
        <w:rPr>
          <w:rFonts w:hint="eastAsia" w:ascii="宋体" w:hAnsi="宋体" w:eastAsia="宋体" w:cs="宋体"/>
          <w:bCs/>
          <w:color w:val="auto"/>
          <w:spacing w:val="10"/>
          <w:sz w:val="24"/>
          <w:highlight w:val="none"/>
          <w:lang w:eastAsia="zh-CN"/>
        </w:rPr>
        <w:t>投标文件开启方式为线上不见面开启</w:t>
      </w:r>
      <w:r>
        <w:rPr>
          <w:rFonts w:hint="eastAsia" w:ascii="宋体" w:hAnsi="宋体" w:eastAsia="宋体" w:cs="宋体"/>
          <w:bCs/>
          <w:color w:val="auto"/>
          <w:spacing w:val="10"/>
          <w:sz w:val="24"/>
          <w:highlight w:val="none"/>
        </w:rPr>
        <w:t>，</w:t>
      </w:r>
      <w:r>
        <w:rPr>
          <w:rFonts w:hint="eastAsia" w:ascii="宋体" w:hAnsi="宋体" w:eastAsia="宋体" w:cs="宋体"/>
          <w:bCs/>
          <w:color w:val="auto"/>
          <w:spacing w:val="10"/>
          <w:sz w:val="24"/>
          <w:highlight w:val="none"/>
          <w:lang w:eastAsia="zh-CN"/>
        </w:rPr>
        <w:t>投标人无需派人到开标现场</w:t>
      </w:r>
      <w:r>
        <w:rPr>
          <w:rFonts w:hint="eastAsia" w:ascii="宋体" w:hAnsi="宋体" w:eastAsia="宋体" w:cs="宋体"/>
          <w:bCs/>
          <w:color w:val="auto"/>
          <w:spacing w:val="10"/>
          <w:sz w:val="24"/>
          <w:highlight w:val="none"/>
        </w:rPr>
        <w:t>。</w:t>
      </w:r>
    </w:p>
    <w:p w14:paraId="098A4303">
      <w:pPr>
        <w:keepNext w:val="0"/>
        <w:keepLines w:val="0"/>
        <w:pageBreakBefore w:val="0"/>
        <w:widowControl w:val="0"/>
        <w:kinsoku/>
        <w:wordWrap w:val="0"/>
        <w:overflowPunct/>
        <w:topLinePunct w:val="0"/>
        <w:autoSpaceDE/>
        <w:autoSpaceDN/>
        <w:bidi w:val="0"/>
        <w:adjustRightInd/>
        <w:spacing w:line="460" w:lineRule="exact"/>
        <w:ind w:firstLine="520" w:firstLineChars="200"/>
        <w:textAlignment w:val="auto"/>
        <w:rPr>
          <w:rFonts w:hint="eastAsia" w:ascii="宋体" w:hAnsi="宋体" w:eastAsia="宋体" w:cs="宋体"/>
          <w:bCs/>
          <w:color w:val="auto"/>
          <w:spacing w:val="10"/>
          <w:sz w:val="24"/>
          <w:highlight w:val="none"/>
        </w:rPr>
      </w:pPr>
      <w:r>
        <w:rPr>
          <w:rFonts w:hint="eastAsia" w:ascii="宋体" w:hAnsi="宋体" w:eastAsia="宋体" w:cs="宋体"/>
          <w:bCs/>
          <w:color w:val="auto"/>
          <w:spacing w:val="10"/>
          <w:sz w:val="24"/>
          <w:highlight w:val="none"/>
        </w:rPr>
        <w:t>4.各投标人应在开标前应确保成为政采云平台</w:t>
      </w:r>
      <w:r>
        <w:rPr>
          <w:rFonts w:hint="eastAsia" w:ascii="宋体" w:hAnsi="宋体" w:eastAsia="宋体" w:cs="宋体"/>
          <w:bCs/>
          <w:color w:val="auto"/>
          <w:spacing w:val="10"/>
          <w:sz w:val="24"/>
          <w:highlight w:val="none"/>
          <w:lang w:eastAsia="zh-CN"/>
        </w:rPr>
        <w:t>投标人</w:t>
      </w:r>
      <w:r>
        <w:rPr>
          <w:rFonts w:hint="eastAsia" w:ascii="宋体" w:hAnsi="宋体" w:eastAsia="宋体" w:cs="宋体"/>
          <w:bCs/>
          <w:color w:val="auto"/>
          <w:spacing w:val="10"/>
          <w:sz w:val="24"/>
          <w:highlight w:val="none"/>
        </w:rPr>
        <w:t>，并完成CA数字证书申领。因未注册入库、未办理CA数字证书等原因造成无法投标或投标失败等后果由投标人自行承担。</w:t>
      </w:r>
    </w:p>
    <w:p w14:paraId="01C3EC1D">
      <w:pPr>
        <w:keepNext w:val="0"/>
        <w:keepLines w:val="0"/>
        <w:pageBreakBefore w:val="0"/>
        <w:widowControl w:val="0"/>
        <w:kinsoku/>
        <w:wordWrap w:val="0"/>
        <w:overflowPunct/>
        <w:topLinePunct w:val="0"/>
        <w:autoSpaceDE/>
        <w:autoSpaceDN/>
        <w:bidi w:val="0"/>
        <w:adjustRightInd/>
        <w:spacing w:line="460" w:lineRule="exact"/>
        <w:ind w:firstLine="520" w:firstLineChars="200"/>
        <w:textAlignment w:val="auto"/>
        <w:rPr>
          <w:rFonts w:hint="eastAsia" w:ascii="宋体" w:hAnsi="宋体" w:eastAsia="宋体" w:cs="宋体"/>
          <w:bCs/>
          <w:color w:val="auto"/>
          <w:spacing w:val="10"/>
          <w:sz w:val="24"/>
          <w:highlight w:val="none"/>
        </w:rPr>
      </w:pPr>
      <w:r>
        <w:rPr>
          <w:rFonts w:hint="eastAsia" w:ascii="宋体" w:hAnsi="宋体" w:eastAsia="宋体" w:cs="宋体"/>
          <w:bCs/>
          <w:color w:val="auto"/>
          <w:spacing w:val="10"/>
          <w:sz w:val="24"/>
          <w:highlight w:val="none"/>
        </w:rPr>
        <w:t>5.凡有意参加投标的投标人，须在云南省数字证书认证中心https://cap.yunnanca.net/login办理数字证书（CA），并通过政采云绑定数字证书（CA）后</w:t>
      </w:r>
      <w:r>
        <w:rPr>
          <w:rFonts w:hint="eastAsia" w:ascii="宋体" w:hAnsi="宋体" w:eastAsia="宋体" w:cs="宋体"/>
          <w:bCs/>
          <w:color w:val="auto"/>
          <w:spacing w:val="10"/>
          <w:sz w:val="24"/>
          <w:highlight w:val="none"/>
          <w:lang w:eastAsia="zh-CN"/>
        </w:rPr>
        <w:t>，</w:t>
      </w:r>
      <w:r>
        <w:rPr>
          <w:rFonts w:hint="eastAsia" w:ascii="宋体" w:hAnsi="宋体" w:eastAsia="宋体" w:cs="宋体"/>
          <w:bCs/>
          <w:color w:val="auto"/>
          <w:spacing w:val="10"/>
          <w:sz w:val="24"/>
          <w:highlight w:val="none"/>
        </w:rPr>
        <w:t>在网上获取招标文件及其</w:t>
      </w:r>
      <w:r>
        <w:rPr>
          <w:rFonts w:hint="eastAsia" w:ascii="宋体" w:hAnsi="宋体" w:eastAsia="宋体" w:cs="宋体"/>
          <w:bCs/>
          <w:color w:val="auto"/>
          <w:spacing w:val="10"/>
          <w:sz w:val="24"/>
          <w:highlight w:val="none"/>
          <w:lang w:eastAsia="zh-CN"/>
        </w:rPr>
        <w:t>他</w:t>
      </w:r>
      <w:r>
        <w:rPr>
          <w:rFonts w:hint="eastAsia" w:ascii="宋体" w:hAnsi="宋体" w:eastAsia="宋体" w:cs="宋体"/>
          <w:bCs/>
          <w:color w:val="auto"/>
          <w:spacing w:val="10"/>
          <w:sz w:val="24"/>
          <w:highlight w:val="none"/>
        </w:rPr>
        <w:t>招标资料，数字证书（CA）详见其办理流程。注：投标人如之前已在云南CA在线数字证书办理网进行过注册并办理过企业数字证书（CA）的，直接绑定即可，无需重复办理（2022年1月1日前在云南省公共资源交易平台办理过云南CA证书的需到原办理点进行升级后方可使用）。外省投标人在政采云平台办理的其他CA可直接使用，无需重复办理。投标人通过CA证书获取招标文件的视为合法获取了项目招标文件，具备本项目的投标资格。</w:t>
      </w:r>
    </w:p>
    <w:p w14:paraId="4EE41D70">
      <w:pPr>
        <w:keepNext w:val="0"/>
        <w:keepLines w:val="0"/>
        <w:pageBreakBefore w:val="0"/>
        <w:widowControl w:val="0"/>
        <w:kinsoku/>
        <w:wordWrap w:val="0"/>
        <w:overflowPunct/>
        <w:topLinePunct w:val="0"/>
        <w:autoSpaceDE/>
        <w:autoSpaceDN/>
        <w:bidi w:val="0"/>
        <w:adjustRightInd/>
        <w:spacing w:line="460" w:lineRule="exact"/>
        <w:ind w:firstLine="520" w:firstLineChars="200"/>
        <w:textAlignment w:val="auto"/>
        <w:rPr>
          <w:rFonts w:hint="eastAsia" w:ascii="宋体" w:hAnsi="宋体" w:eastAsia="宋体" w:cs="宋体"/>
          <w:bCs/>
          <w:color w:val="auto"/>
          <w:spacing w:val="10"/>
          <w:sz w:val="24"/>
          <w:highlight w:val="none"/>
        </w:rPr>
      </w:pPr>
      <w:r>
        <w:rPr>
          <w:rFonts w:hint="eastAsia" w:ascii="宋体" w:hAnsi="宋体" w:eastAsia="宋体" w:cs="宋体"/>
          <w:bCs/>
          <w:color w:val="auto"/>
          <w:spacing w:val="10"/>
          <w:sz w:val="24"/>
          <w:highlight w:val="none"/>
        </w:rPr>
        <w:t>6.投标人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400-881-7190进行咨询以及云南CA操作问题：请致电云南CA，4006727666；云南CA紧急联系方式：15288315056。如因投标人自身原因导致在规定时间内无法正常解密的（如：浏览器故障、未安装相关驱动、网络故障、加密CA与解密CA不一致等），代理机构不予异常处理，视为投标人自动放弃投标。</w:t>
      </w:r>
    </w:p>
    <w:p w14:paraId="74DE2BCC">
      <w:pPr>
        <w:keepNext w:val="0"/>
        <w:keepLines w:val="0"/>
        <w:pageBreakBefore w:val="0"/>
        <w:widowControl w:val="0"/>
        <w:kinsoku/>
        <w:overflowPunct/>
        <w:topLinePunct w:val="0"/>
        <w:autoSpaceDE/>
        <w:autoSpaceDN/>
        <w:bidi w:val="0"/>
        <w:adjustRightInd/>
        <w:spacing w:line="460" w:lineRule="exact"/>
        <w:ind w:firstLine="480"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七、对本次招标提出询问，请按以下方式联系</w:t>
      </w:r>
      <w:bookmarkEnd w:id="28"/>
      <w:bookmarkEnd w:id="29"/>
      <w:bookmarkEnd w:id="30"/>
      <w:bookmarkEnd w:id="31"/>
    </w:p>
    <w:p w14:paraId="0900141C">
      <w:pPr>
        <w:keepNext w:val="0"/>
        <w:keepLines w:val="0"/>
        <w:pageBreakBefore w:val="0"/>
        <w:widowControl w:val="0"/>
        <w:kinsoku/>
        <w:overflowPunct/>
        <w:topLinePunct w:val="0"/>
        <w:autoSpaceDE/>
        <w:autoSpaceDN/>
        <w:bidi w:val="0"/>
        <w:adjustRightInd/>
        <w:spacing w:line="460" w:lineRule="exact"/>
        <w:ind w:firstLine="480"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1.采购人信息</w:t>
      </w:r>
    </w:p>
    <w:p w14:paraId="15CE72FC">
      <w:pPr>
        <w:keepNext w:val="0"/>
        <w:keepLines w:val="0"/>
        <w:pageBreakBefore w:val="0"/>
        <w:widowControl w:val="0"/>
        <w:kinsoku/>
        <w:overflowPunct/>
        <w:topLinePunct w:val="0"/>
        <w:autoSpaceDE/>
        <w:autoSpaceDN/>
        <w:bidi w:val="0"/>
        <w:adjustRightInd/>
        <w:spacing w:line="460" w:lineRule="exact"/>
        <w:ind w:firstLine="480" w:firstLineChars="200"/>
        <w:textAlignment w:val="auto"/>
        <w:rPr>
          <w:rFonts w:hint="eastAsia" w:ascii="宋体" w:hAnsi="宋体" w:eastAsia="宋体" w:cs="宋体"/>
          <w:b w:val="0"/>
          <w:bCs w:val="0"/>
          <w:color w:val="auto"/>
          <w:sz w:val="24"/>
          <w:highlight w:val="none"/>
          <w:lang w:eastAsia="zh-CN"/>
        </w:rPr>
      </w:pPr>
      <w:bookmarkStart w:id="32" w:name="_Toc28359009"/>
      <w:bookmarkStart w:id="33" w:name="_Toc28359086"/>
      <w:r>
        <w:rPr>
          <w:rFonts w:hint="eastAsia" w:ascii="宋体" w:hAnsi="宋体" w:eastAsia="宋体" w:cs="宋体"/>
          <w:b w:val="0"/>
          <w:bCs w:val="0"/>
          <w:color w:val="auto"/>
          <w:sz w:val="24"/>
          <w:highlight w:val="none"/>
        </w:rPr>
        <w:t>名称：</w:t>
      </w:r>
      <w:r>
        <w:rPr>
          <w:rFonts w:hint="eastAsia" w:ascii="宋体" w:hAnsi="宋体" w:cs="宋体"/>
          <w:b w:val="0"/>
          <w:bCs w:val="0"/>
          <w:color w:val="auto"/>
          <w:sz w:val="24"/>
          <w:highlight w:val="none"/>
          <w:lang w:eastAsia="zh-CN"/>
        </w:rPr>
        <w:t>云南省农业科学院</w:t>
      </w:r>
    </w:p>
    <w:p w14:paraId="3EE9BE47">
      <w:pPr>
        <w:keepNext w:val="0"/>
        <w:keepLines w:val="0"/>
        <w:pageBreakBefore w:val="0"/>
        <w:widowControl w:val="0"/>
        <w:kinsoku/>
        <w:overflowPunct/>
        <w:topLinePunct w:val="0"/>
        <w:autoSpaceDE/>
        <w:autoSpaceDN/>
        <w:bidi w:val="0"/>
        <w:adjustRightInd/>
        <w:spacing w:line="460" w:lineRule="exact"/>
        <w:ind w:firstLine="480" w:firstLineChars="200"/>
        <w:textAlignment w:val="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eastAsia="zh-CN"/>
        </w:rPr>
        <w:t>地址：</w:t>
      </w:r>
      <w:r>
        <w:rPr>
          <w:rFonts w:hint="eastAsia" w:ascii="宋体" w:hAnsi="宋体" w:cs="宋体"/>
          <w:b w:val="0"/>
          <w:bCs w:val="0"/>
          <w:color w:val="auto"/>
          <w:sz w:val="24"/>
          <w:highlight w:val="none"/>
          <w:lang w:eastAsia="zh-CN"/>
        </w:rPr>
        <w:t>云南省昆明市盘龙区北京路2238号</w:t>
      </w:r>
    </w:p>
    <w:p w14:paraId="69389C81">
      <w:pPr>
        <w:keepNext w:val="0"/>
        <w:keepLines w:val="0"/>
        <w:pageBreakBefore w:val="0"/>
        <w:widowControl w:val="0"/>
        <w:kinsoku/>
        <w:overflowPunct/>
        <w:topLinePunct w:val="0"/>
        <w:autoSpaceDE/>
        <w:autoSpaceDN/>
        <w:bidi w:val="0"/>
        <w:adjustRightInd/>
        <w:spacing w:line="460" w:lineRule="exact"/>
        <w:ind w:firstLine="480" w:firstLineChars="200"/>
        <w:textAlignment w:val="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eastAsia="zh-CN"/>
        </w:rPr>
        <w:t>联系方式：联系人：</w:t>
      </w:r>
      <w:r>
        <w:rPr>
          <w:rFonts w:hint="eastAsia" w:ascii="宋体" w:hAnsi="宋体" w:cs="宋体"/>
          <w:b w:val="0"/>
          <w:bCs w:val="0"/>
          <w:color w:val="auto"/>
          <w:sz w:val="24"/>
          <w:highlight w:val="none"/>
          <w:lang w:val="en-US" w:eastAsia="zh-CN"/>
        </w:rPr>
        <w:t>李璨</w:t>
      </w:r>
      <w:r>
        <w:rPr>
          <w:rFonts w:hint="eastAsia" w:ascii="宋体" w:hAnsi="宋体" w:eastAsia="宋体" w:cs="宋体"/>
          <w:b w:val="0"/>
          <w:bCs w:val="0"/>
          <w:color w:val="auto"/>
          <w:sz w:val="24"/>
          <w:highlight w:val="none"/>
          <w:lang w:eastAsia="zh-CN"/>
        </w:rPr>
        <w:t>，电话：0871-65891333</w:t>
      </w:r>
    </w:p>
    <w:bookmarkEnd w:id="32"/>
    <w:bookmarkEnd w:id="33"/>
    <w:p w14:paraId="43CA226F">
      <w:pPr>
        <w:keepNext w:val="0"/>
        <w:keepLines w:val="0"/>
        <w:pageBreakBefore w:val="0"/>
        <w:widowControl w:val="0"/>
        <w:kinsoku/>
        <w:overflowPunct/>
        <w:topLinePunct w:val="0"/>
        <w:autoSpaceDE/>
        <w:autoSpaceDN/>
        <w:bidi w:val="0"/>
        <w:adjustRightInd/>
        <w:spacing w:line="460" w:lineRule="exact"/>
        <w:ind w:firstLine="480"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2.采购代理机构信息</w:t>
      </w:r>
    </w:p>
    <w:p w14:paraId="1BB89952">
      <w:pPr>
        <w:keepNext w:val="0"/>
        <w:keepLines w:val="0"/>
        <w:pageBreakBefore w:val="0"/>
        <w:widowControl w:val="0"/>
        <w:kinsoku/>
        <w:overflowPunct/>
        <w:topLinePunct w:val="0"/>
        <w:autoSpaceDE/>
        <w:autoSpaceDN/>
        <w:bidi w:val="0"/>
        <w:adjustRightInd/>
        <w:spacing w:line="460" w:lineRule="exact"/>
        <w:ind w:firstLine="480" w:firstLineChars="200"/>
        <w:textAlignment w:val="auto"/>
        <w:rPr>
          <w:rFonts w:hint="eastAsia" w:ascii="宋体" w:hAnsi="宋体" w:eastAsia="宋体" w:cs="宋体"/>
          <w:b w:val="0"/>
          <w:bCs w:val="0"/>
          <w:color w:val="auto"/>
          <w:sz w:val="24"/>
          <w:highlight w:val="none"/>
        </w:rPr>
      </w:pPr>
      <w:bookmarkStart w:id="34" w:name="_Toc28359010"/>
      <w:bookmarkStart w:id="35" w:name="_Toc28359087"/>
      <w:r>
        <w:rPr>
          <w:rFonts w:hint="eastAsia" w:ascii="宋体" w:hAnsi="宋体" w:eastAsia="宋体" w:cs="宋体"/>
          <w:b w:val="0"/>
          <w:bCs w:val="0"/>
          <w:color w:val="auto"/>
          <w:sz w:val="24"/>
          <w:highlight w:val="none"/>
        </w:rPr>
        <w:t>名称：云南众高工程咨询有限公司</w:t>
      </w:r>
    </w:p>
    <w:p w14:paraId="30D3EF2F">
      <w:pPr>
        <w:keepNext w:val="0"/>
        <w:keepLines w:val="0"/>
        <w:pageBreakBefore w:val="0"/>
        <w:widowControl w:val="0"/>
        <w:kinsoku/>
        <w:overflowPunct/>
        <w:topLinePunct w:val="0"/>
        <w:autoSpaceDE/>
        <w:autoSpaceDN/>
        <w:bidi w:val="0"/>
        <w:adjustRightInd/>
        <w:spacing w:line="460" w:lineRule="exact"/>
        <w:ind w:firstLine="480" w:firstLineChars="20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地址：昆明市盘龙区北辰大道1号美立方商业广场B座16楼</w:t>
      </w:r>
    </w:p>
    <w:p w14:paraId="697DE0A5">
      <w:pPr>
        <w:keepNext w:val="0"/>
        <w:keepLines w:val="0"/>
        <w:pageBreakBefore w:val="0"/>
        <w:widowControl w:val="0"/>
        <w:kinsoku/>
        <w:overflowPunct/>
        <w:topLinePunct w:val="0"/>
        <w:autoSpaceDE/>
        <w:autoSpaceDN/>
        <w:bidi w:val="0"/>
        <w:adjustRightInd/>
        <w:spacing w:line="460" w:lineRule="exact"/>
        <w:ind w:firstLine="480" w:firstLineChars="20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联系方式：0871-67357686</w:t>
      </w:r>
    </w:p>
    <w:p w14:paraId="75366207">
      <w:pPr>
        <w:keepNext w:val="0"/>
        <w:keepLines w:val="0"/>
        <w:pageBreakBefore w:val="0"/>
        <w:widowControl w:val="0"/>
        <w:kinsoku/>
        <w:overflowPunct/>
        <w:topLinePunct w:val="0"/>
        <w:autoSpaceDE/>
        <w:autoSpaceDN/>
        <w:bidi w:val="0"/>
        <w:adjustRightInd/>
        <w:spacing w:line="460" w:lineRule="exact"/>
        <w:ind w:firstLine="480"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3.项目联系方式</w:t>
      </w:r>
    </w:p>
    <w:bookmarkEnd w:id="34"/>
    <w:bookmarkEnd w:id="35"/>
    <w:p w14:paraId="47EDED93">
      <w:pPr>
        <w:keepNext w:val="0"/>
        <w:keepLines w:val="0"/>
        <w:pageBreakBefore w:val="0"/>
        <w:widowControl w:val="0"/>
        <w:kinsoku/>
        <w:overflowPunct/>
        <w:topLinePunct w:val="0"/>
        <w:autoSpaceDE/>
        <w:autoSpaceDN/>
        <w:bidi w:val="0"/>
        <w:adjustRightInd/>
        <w:spacing w:line="460" w:lineRule="exact"/>
        <w:ind w:firstLine="480" w:firstLineChars="200"/>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rPr>
        <w:t>项目联系人：</w:t>
      </w:r>
      <w:bookmarkStart w:id="36" w:name="OLE_LINK8"/>
      <w:r>
        <w:rPr>
          <w:rFonts w:hint="eastAsia" w:ascii="宋体" w:hAnsi="宋体" w:cs="宋体"/>
          <w:b w:val="0"/>
          <w:bCs w:val="0"/>
          <w:color w:val="auto"/>
          <w:sz w:val="24"/>
          <w:highlight w:val="none"/>
          <w:lang w:val="en-US" w:eastAsia="zh-CN"/>
        </w:rPr>
        <w:t>罗辅、</w:t>
      </w:r>
      <w:r>
        <w:rPr>
          <w:rFonts w:hint="eastAsia" w:ascii="宋体" w:hAnsi="宋体" w:eastAsia="宋体" w:cs="宋体"/>
          <w:b w:val="0"/>
          <w:bCs w:val="0"/>
          <w:color w:val="auto"/>
          <w:sz w:val="24"/>
          <w:highlight w:val="none"/>
        </w:rPr>
        <w:t>王蒙、可兆伟、</w:t>
      </w:r>
      <w:r>
        <w:rPr>
          <w:rFonts w:hint="eastAsia" w:ascii="宋体" w:hAnsi="宋体" w:eastAsia="宋体" w:cs="宋体"/>
          <w:b w:val="0"/>
          <w:bCs w:val="0"/>
          <w:color w:val="auto"/>
          <w:sz w:val="24"/>
          <w:highlight w:val="none"/>
          <w:lang w:val="en-US" w:eastAsia="zh-CN"/>
        </w:rPr>
        <w:t>陈主娥</w:t>
      </w:r>
      <w:r>
        <w:rPr>
          <w:rFonts w:hint="eastAsia" w:ascii="宋体" w:hAnsi="宋体" w:eastAsia="宋体" w:cs="宋体"/>
          <w:b w:val="0"/>
          <w:bCs w:val="0"/>
          <w:color w:val="auto"/>
          <w:sz w:val="24"/>
          <w:highlight w:val="none"/>
        </w:rPr>
        <w:t>、卯明艳</w:t>
      </w:r>
      <w:r>
        <w:rPr>
          <w:rFonts w:hint="eastAsia" w:ascii="宋体" w:hAnsi="宋体" w:eastAsia="宋体" w:cs="宋体"/>
          <w:b w:val="0"/>
          <w:bCs w:val="0"/>
          <w:color w:val="auto"/>
          <w:sz w:val="24"/>
          <w:highlight w:val="none"/>
          <w:lang w:val="en-US" w:eastAsia="zh-CN"/>
        </w:rPr>
        <w:t>、杨光菲、罗浩、张晗</w:t>
      </w:r>
    </w:p>
    <w:bookmarkEnd w:id="36"/>
    <w:p w14:paraId="22E95C95">
      <w:pPr>
        <w:keepNext w:val="0"/>
        <w:keepLines w:val="0"/>
        <w:pageBreakBefore w:val="0"/>
        <w:widowControl w:val="0"/>
        <w:kinsoku/>
        <w:overflowPunct/>
        <w:topLinePunct w:val="0"/>
        <w:autoSpaceDE/>
        <w:autoSpaceDN/>
        <w:bidi w:val="0"/>
        <w:adjustRightInd/>
        <w:spacing w:line="460" w:lineRule="exact"/>
        <w:ind w:firstLine="480" w:firstLineChars="200"/>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电话：0871-67357686</w:t>
      </w:r>
    </w:p>
    <w:p w14:paraId="3A1704E6">
      <w:pPr>
        <w:pStyle w:val="16"/>
        <w:snapToGrid w:val="0"/>
        <w:spacing w:line="460" w:lineRule="exact"/>
        <w:ind w:firstLine="145" w:firstLineChars="56"/>
        <w:rPr>
          <w:rFonts w:hint="eastAsia" w:ascii="宋体" w:hAnsi="宋体" w:eastAsia="宋体" w:cs="宋体"/>
          <w:bCs/>
          <w:color w:val="auto"/>
          <w:spacing w:val="10"/>
          <w:sz w:val="24"/>
          <w:highlight w:val="none"/>
        </w:rPr>
      </w:pPr>
      <w:r>
        <w:rPr>
          <w:rFonts w:hint="eastAsia" w:ascii="宋体" w:hAnsi="宋体" w:eastAsia="宋体" w:cs="宋体"/>
          <w:bCs/>
          <w:color w:val="auto"/>
          <w:spacing w:val="10"/>
          <w:sz w:val="24"/>
          <w:highlight w:val="none"/>
        </w:rPr>
        <w:br w:type="page"/>
      </w:r>
    </w:p>
    <w:p w14:paraId="334B2DF1">
      <w:pPr>
        <w:pStyle w:val="2"/>
        <w:numPr>
          <w:ilvl w:val="0"/>
          <w:numId w:val="0"/>
        </w:numPr>
        <w:ind w:left="0" w:leftChars="0" w:firstLine="0" w:firstLineChars="0"/>
        <w:rPr>
          <w:rFonts w:hint="eastAsia" w:ascii="宋体" w:hAnsi="宋体" w:eastAsia="宋体" w:cs="宋体"/>
          <w:color w:val="auto"/>
          <w:highlight w:val="none"/>
        </w:rPr>
      </w:pPr>
      <w:bookmarkStart w:id="37" w:name="_Toc7384"/>
      <w:r>
        <w:rPr>
          <w:rFonts w:hint="eastAsia" w:ascii="宋体" w:hAnsi="宋体" w:eastAsia="宋体" w:cs="宋体"/>
          <w:b/>
          <w:color w:val="auto"/>
          <w:kern w:val="44"/>
          <w:sz w:val="28"/>
          <w:szCs w:val="20"/>
          <w:highlight w:val="none"/>
          <w:lang w:val="en-US" w:eastAsia="zh-CN" w:bidi="ar-SA"/>
        </w:rPr>
        <w:t>第二章</w:t>
      </w:r>
      <w:r>
        <w:rPr>
          <w:rFonts w:hint="eastAsia" w:ascii="宋体" w:hAnsi="宋体" w:eastAsia="宋体" w:cs="宋体"/>
          <w:color w:val="auto"/>
          <w:highlight w:val="none"/>
        </w:rPr>
        <w:t xml:space="preserve"> 投标人须知</w:t>
      </w:r>
      <w:bookmarkEnd w:id="37"/>
    </w:p>
    <w:p w14:paraId="27754403">
      <w:pPr>
        <w:rPr>
          <w:rFonts w:hint="eastAsia" w:ascii="宋体" w:hAnsi="宋体" w:eastAsia="宋体" w:cs="宋体"/>
          <w:color w:val="auto"/>
          <w:highlight w:val="none"/>
        </w:rPr>
      </w:pPr>
    </w:p>
    <w:p w14:paraId="23DEE0AF">
      <w:pPr>
        <w:pStyle w:val="3"/>
        <w:numPr>
          <w:ilvl w:val="0"/>
          <w:numId w:val="0"/>
        </w:numPr>
        <w:spacing w:before="0"/>
        <w:ind w:left="893" w:hanging="691" w:hangingChars="247"/>
        <w:jc w:val="center"/>
        <w:rPr>
          <w:rFonts w:hint="eastAsia" w:ascii="宋体" w:hAnsi="宋体" w:eastAsia="宋体" w:cs="宋体"/>
          <w:color w:val="auto"/>
          <w:sz w:val="28"/>
          <w:szCs w:val="28"/>
          <w:highlight w:val="none"/>
        </w:rPr>
      </w:pPr>
      <w:bookmarkStart w:id="38" w:name="_Toc8305"/>
      <w:bookmarkStart w:id="39" w:name="_Toc9328"/>
      <w:bookmarkStart w:id="40" w:name="_Toc28748"/>
      <w:r>
        <w:rPr>
          <w:rFonts w:hint="eastAsia" w:ascii="宋体" w:hAnsi="宋体" w:eastAsia="宋体" w:cs="宋体"/>
          <w:color w:val="auto"/>
          <w:sz w:val="28"/>
          <w:szCs w:val="28"/>
          <w:highlight w:val="none"/>
        </w:rPr>
        <w:t>投标人须知前附表</w:t>
      </w:r>
      <w:bookmarkEnd w:id="38"/>
      <w:bookmarkEnd w:id="39"/>
      <w:bookmarkEnd w:id="40"/>
    </w:p>
    <w:tbl>
      <w:tblPr>
        <w:tblStyle w:val="33"/>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3"/>
        <w:gridCol w:w="892"/>
        <w:gridCol w:w="22"/>
        <w:gridCol w:w="2564"/>
        <w:gridCol w:w="5289"/>
      </w:tblGrid>
      <w:tr w14:paraId="66A4C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tblHeader/>
          <w:jc w:val="center"/>
        </w:trPr>
        <w:tc>
          <w:tcPr>
            <w:tcW w:w="1717" w:type="dxa"/>
            <w:gridSpan w:val="3"/>
            <w:vAlign w:val="center"/>
          </w:tcPr>
          <w:p w14:paraId="2E338CCE">
            <w:pPr>
              <w:pStyle w:val="21"/>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2564" w:type="dxa"/>
            <w:vAlign w:val="center"/>
          </w:tcPr>
          <w:p w14:paraId="49EDA952">
            <w:pPr>
              <w:pStyle w:val="21"/>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条 款 名 称</w:t>
            </w:r>
          </w:p>
        </w:tc>
        <w:tc>
          <w:tcPr>
            <w:tcW w:w="5289" w:type="dxa"/>
            <w:vAlign w:val="center"/>
          </w:tcPr>
          <w:p w14:paraId="2B5E5189">
            <w:pPr>
              <w:pStyle w:val="21"/>
              <w:ind w:firstLine="631"/>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编 列 内 容</w:t>
            </w:r>
          </w:p>
        </w:tc>
      </w:tr>
      <w:tr w14:paraId="70201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4" w:hRule="atLeast"/>
          <w:jc w:val="center"/>
        </w:trPr>
        <w:tc>
          <w:tcPr>
            <w:tcW w:w="1717" w:type="dxa"/>
            <w:gridSpan w:val="3"/>
            <w:vMerge w:val="restart"/>
            <w:vAlign w:val="center"/>
          </w:tcPr>
          <w:p w14:paraId="01BB0FFD">
            <w:pPr>
              <w:pStyle w:val="2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564" w:type="dxa"/>
            <w:vAlign w:val="center"/>
          </w:tcPr>
          <w:p w14:paraId="7DF1264F">
            <w:pPr>
              <w:pStyle w:val="21"/>
              <w:rPr>
                <w:rFonts w:hint="eastAsia" w:ascii="宋体" w:hAnsi="宋体" w:eastAsia="宋体" w:cs="宋体"/>
                <w:color w:val="auto"/>
                <w:sz w:val="24"/>
                <w:szCs w:val="24"/>
                <w:highlight w:val="none"/>
                <w:u w:val="single"/>
                <w:lang w:eastAsia="zh-CN"/>
              </w:rPr>
            </w:pPr>
            <w:r>
              <w:rPr>
                <w:rFonts w:hint="eastAsia" w:ascii="宋体" w:hAnsi="宋体" w:eastAsia="宋体" w:cs="宋体"/>
                <w:bCs/>
                <w:color w:val="auto"/>
                <w:sz w:val="24"/>
                <w:szCs w:val="24"/>
                <w:highlight w:val="none"/>
                <w:lang w:eastAsia="zh-CN"/>
              </w:rPr>
              <w:t>采购人</w:t>
            </w:r>
          </w:p>
        </w:tc>
        <w:tc>
          <w:tcPr>
            <w:tcW w:w="5289" w:type="dxa"/>
            <w:vAlign w:val="center"/>
          </w:tcPr>
          <w:p w14:paraId="00D4B86E">
            <w:pPr>
              <w:pStyle w:val="21"/>
              <w:rPr>
                <w:rFonts w:hint="eastAsia" w:ascii="宋体" w:hAnsi="宋体" w:eastAsia="宋体" w:cs="宋体"/>
                <w:bCs/>
                <w:color w:val="auto"/>
                <w:sz w:val="24"/>
                <w:szCs w:val="24"/>
                <w:highlight w:val="none"/>
                <w:lang w:eastAsia="zh-CN"/>
              </w:rPr>
            </w:pPr>
            <w:r>
              <w:rPr>
                <w:rFonts w:hint="eastAsia" w:hAnsi="宋体" w:cs="宋体"/>
                <w:bCs/>
                <w:color w:val="auto"/>
                <w:sz w:val="24"/>
                <w:szCs w:val="24"/>
                <w:highlight w:val="none"/>
                <w:lang w:eastAsia="zh-CN"/>
              </w:rPr>
              <w:t>云南省农业科学院</w:t>
            </w:r>
          </w:p>
        </w:tc>
      </w:tr>
      <w:tr w14:paraId="3CD59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6" w:hRule="atLeast"/>
          <w:jc w:val="center"/>
        </w:trPr>
        <w:tc>
          <w:tcPr>
            <w:tcW w:w="1717" w:type="dxa"/>
            <w:gridSpan w:val="3"/>
            <w:vMerge w:val="continue"/>
            <w:vAlign w:val="center"/>
          </w:tcPr>
          <w:p w14:paraId="7839F63D">
            <w:pPr>
              <w:rPr>
                <w:rFonts w:hint="eastAsia" w:ascii="宋体" w:hAnsi="宋体" w:eastAsia="宋体" w:cs="宋体"/>
                <w:color w:val="auto"/>
                <w:sz w:val="24"/>
                <w:highlight w:val="none"/>
              </w:rPr>
            </w:pPr>
          </w:p>
        </w:tc>
        <w:tc>
          <w:tcPr>
            <w:tcW w:w="2564" w:type="dxa"/>
            <w:vAlign w:val="center"/>
          </w:tcPr>
          <w:p w14:paraId="61E15337">
            <w:pPr>
              <w:pStyle w:val="2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采购代理</w:t>
            </w:r>
            <w:r>
              <w:rPr>
                <w:rFonts w:hint="eastAsia" w:ascii="宋体" w:hAnsi="宋体" w:eastAsia="宋体" w:cs="宋体"/>
                <w:bCs/>
                <w:color w:val="auto"/>
                <w:sz w:val="24"/>
                <w:szCs w:val="24"/>
                <w:highlight w:val="none"/>
              </w:rPr>
              <w:t>机构</w:t>
            </w:r>
          </w:p>
        </w:tc>
        <w:tc>
          <w:tcPr>
            <w:tcW w:w="5289" w:type="dxa"/>
            <w:vAlign w:val="center"/>
          </w:tcPr>
          <w:p w14:paraId="679C8C7D">
            <w:pPr>
              <w:pStyle w:val="21"/>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云南众高工程咨询有限公司</w:t>
            </w:r>
          </w:p>
        </w:tc>
      </w:tr>
      <w:tr w14:paraId="52677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1717" w:type="dxa"/>
            <w:gridSpan w:val="3"/>
            <w:vMerge w:val="continue"/>
            <w:vAlign w:val="center"/>
          </w:tcPr>
          <w:p w14:paraId="64D2DE5B">
            <w:pPr>
              <w:rPr>
                <w:rFonts w:hint="eastAsia" w:ascii="宋体" w:hAnsi="宋体" w:eastAsia="宋体" w:cs="宋体"/>
                <w:color w:val="auto"/>
                <w:sz w:val="24"/>
                <w:highlight w:val="none"/>
              </w:rPr>
            </w:pPr>
          </w:p>
        </w:tc>
        <w:tc>
          <w:tcPr>
            <w:tcW w:w="2564" w:type="dxa"/>
            <w:vAlign w:val="center"/>
          </w:tcPr>
          <w:p w14:paraId="64686E87">
            <w:pPr>
              <w:pStyle w:val="2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5289" w:type="dxa"/>
            <w:vAlign w:val="center"/>
          </w:tcPr>
          <w:p w14:paraId="1A8C0A08">
            <w:pPr>
              <w:pStyle w:val="21"/>
              <w:rPr>
                <w:rFonts w:hint="eastAsia" w:ascii="宋体" w:hAnsi="宋体" w:eastAsia="宋体" w:cs="宋体"/>
                <w:bCs/>
                <w:color w:val="auto"/>
                <w:sz w:val="24"/>
                <w:szCs w:val="24"/>
                <w:highlight w:val="none"/>
              </w:rPr>
            </w:pPr>
            <w:r>
              <w:rPr>
                <w:rFonts w:hint="eastAsia" w:hAnsi="宋体" w:cs="宋体"/>
                <w:bCs/>
                <w:color w:val="auto"/>
                <w:sz w:val="24"/>
                <w:szCs w:val="24"/>
                <w:highlight w:val="none"/>
                <w:lang w:eastAsia="zh-CN"/>
              </w:rPr>
              <w:t>云南省第三次全国土壤普查土壤样品库和数据库建设项目样品储存架等设备采购（二次招标）</w:t>
            </w:r>
          </w:p>
        </w:tc>
      </w:tr>
      <w:tr w14:paraId="37B07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8" w:hRule="atLeast"/>
          <w:jc w:val="center"/>
        </w:trPr>
        <w:tc>
          <w:tcPr>
            <w:tcW w:w="1717" w:type="dxa"/>
            <w:gridSpan w:val="3"/>
            <w:vMerge w:val="continue"/>
            <w:vAlign w:val="center"/>
          </w:tcPr>
          <w:p w14:paraId="1965E529">
            <w:pPr>
              <w:rPr>
                <w:rFonts w:hint="eastAsia" w:ascii="宋体" w:hAnsi="宋体" w:eastAsia="宋体" w:cs="宋体"/>
                <w:color w:val="auto"/>
                <w:sz w:val="24"/>
                <w:highlight w:val="none"/>
              </w:rPr>
            </w:pPr>
          </w:p>
        </w:tc>
        <w:tc>
          <w:tcPr>
            <w:tcW w:w="2564" w:type="dxa"/>
            <w:vAlign w:val="center"/>
          </w:tcPr>
          <w:p w14:paraId="62F7EA4F">
            <w:pPr>
              <w:pStyle w:val="2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招标编号</w:t>
            </w:r>
          </w:p>
        </w:tc>
        <w:tc>
          <w:tcPr>
            <w:tcW w:w="5289" w:type="dxa"/>
            <w:vAlign w:val="center"/>
          </w:tcPr>
          <w:p w14:paraId="5B3E087F">
            <w:pPr>
              <w:pStyle w:val="21"/>
              <w:rPr>
                <w:rFonts w:hint="eastAsia" w:ascii="宋体" w:hAnsi="宋体" w:eastAsia="宋体" w:cs="宋体"/>
                <w:bCs/>
                <w:color w:val="auto"/>
                <w:sz w:val="24"/>
                <w:szCs w:val="24"/>
                <w:highlight w:val="none"/>
              </w:rPr>
            </w:pPr>
            <w:r>
              <w:rPr>
                <w:rFonts w:hint="eastAsia" w:hAnsi="宋体" w:cs="宋体"/>
                <w:bCs/>
                <w:color w:val="auto"/>
                <w:sz w:val="24"/>
                <w:szCs w:val="24"/>
                <w:highlight w:val="none"/>
                <w:lang w:eastAsia="zh-CN"/>
              </w:rPr>
              <w:t>ZG-2026084</w:t>
            </w:r>
          </w:p>
        </w:tc>
      </w:tr>
      <w:tr w14:paraId="30E7D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1717" w:type="dxa"/>
            <w:gridSpan w:val="3"/>
            <w:vAlign w:val="center"/>
          </w:tcPr>
          <w:p w14:paraId="5EA144EE">
            <w:pPr>
              <w:pStyle w:val="2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564" w:type="dxa"/>
            <w:vAlign w:val="center"/>
          </w:tcPr>
          <w:p w14:paraId="309D536B">
            <w:pPr>
              <w:pStyle w:val="2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招标内容（实质性要求）</w:t>
            </w:r>
          </w:p>
        </w:tc>
        <w:tc>
          <w:tcPr>
            <w:tcW w:w="5289" w:type="dxa"/>
            <w:vAlign w:val="center"/>
          </w:tcPr>
          <w:p w14:paraId="3933133E">
            <w:pPr>
              <w:rPr>
                <w:rFonts w:hint="eastAsia" w:ascii="宋体" w:hAnsi="宋体" w:eastAsia="宋体" w:cs="宋体"/>
                <w:color w:val="auto"/>
                <w:highlight w:val="none"/>
              </w:rPr>
            </w:pPr>
            <w:r>
              <w:rPr>
                <w:rFonts w:hint="eastAsia" w:ascii="宋体" w:hAnsi="宋体" w:eastAsia="宋体" w:cs="宋体"/>
                <w:color w:val="auto"/>
                <w:sz w:val="24"/>
                <w:szCs w:val="24"/>
                <w:highlight w:val="none"/>
              </w:rPr>
              <w:t>详见第五章“招标内容及要求”</w:t>
            </w:r>
          </w:p>
        </w:tc>
      </w:tr>
      <w:tr w14:paraId="1594B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jc w:val="center"/>
        </w:trPr>
        <w:tc>
          <w:tcPr>
            <w:tcW w:w="1717" w:type="dxa"/>
            <w:gridSpan w:val="3"/>
            <w:vAlign w:val="center"/>
          </w:tcPr>
          <w:p w14:paraId="5B1A77A0">
            <w:pPr>
              <w:pStyle w:val="2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564" w:type="dxa"/>
            <w:vAlign w:val="center"/>
          </w:tcPr>
          <w:p w14:paraId="64C32815">
            <w:pPr>
              <w:pStyle w:val="21"/>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合同履行期限</w:t>
            </w:r>
            <w:r>
              <w:rPr>
                <w:rFonts w:hint="eastAsia" w:ascii="宋体" w:hAnsi="宋体" w:eastAsia="宋体" w:cs="宋体"/>
                <w:color w:val="auto"/>
                <w:sz w:val="24"/>
                <w:szCs w:val="24"/>
                <w:highlight w:val="none"/>
              </w:rPr>
              <w:t>（实质性要求）</w:t>
            </w:r>
          </w:p>
        </w:tc>
        <w:tc>
          <w:tcPr>
            <w:tcW w:w="5289" w:type="dxa"/>
            <w:vAlign w:val="center"/>
          </w:tcPr>
          <w:p w14:paraId="7614BAF7">
            <w:pPr>
              <w:autoSpaceDE w:val="0"/>
              <w:autoSpaceDN w:val="0"/>
              <w:textAlignment w:val="bottom"/>
              <w:rPr>
                <w:rFonts w:hint="eastAsia" w:ascii="宋体" w:hAnsi="宋体" w:eastAsia="宋体" w:cs="宋体"/>
                <w:color w:val="auto"/>
                <w:sz w:val="24"/>
                <w:highlight w:val="none"/>
              </w:rPr>
            </w:pPr>
            <w:r>
              <w:rPr>
                <w:rFonts w:hint="eastAsia" w:ascii="宋体" w:hAnsi="宋体" w:eastAsia="宋体" w:cs="宋体"/>
                <w:color w:val="auto"/>
                <w:sz w:val="24"/>
                <w:highlight w:val="none"/>
              </w:rPr>
              <w:t>详见第一章招标公告</w:t>
            </w:r>
          </w:p>
        </w:tc>
      </w:tr>
      <w:tr w14:paraId="778C2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jc w:val="center"/>
        </w:trPr>
        <w:tc>
          <w:tcPr>
            <w:tcW w:w="1717" w:type="dxa"/>
            <w:gridSpan w:val="3"/>
            <w:vAlign w:val="center"/>
          </w:tcPr>
          <w:p w14:paraId="78095266">
            <w:pPr>
              <w:pStyle w:val="2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2564" w:type="dxa"/>
            <w:vAlign w:val="center"/>
          </w:tcPr>
          <w:p w14:paraId="0D0891FC">
            <w:pPr>
              <w:pStyle w:val="21"/>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标段划分</w:t>
            </w:r>
          </w:p>
        </w:tc>
        <w:tc>
          <w:tcPr>
            <w:tcW w:w="5289" w:type="dxa"/>
            <w:vAlign w:val="center"/>
          </w:tcPr>
          <w:p w14:paraId="072D100A">
            <w:pPr>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标段划分：本项目</w:t>
            </w:r>
            <w:r>
              <w:rPr>
                <w:rFonts w:hint="eastAsia" w:ascii="宋体" w:hAnsi="宋体" w:cs="宋体"/>
                <w:color w:val="auto"/>
                <w:sz w:val="24"/>
                <w:szCs w:val="24"/>
                <w:highlight w:val="none"/>
                <w:lang w:val="en-US" w:eastAsia="zh-CN"/>
              </w:rPr>
              <w:t>不分标段</w:t>
            </w:r>
            <w:r>
              <w:rPr>
                <w:rFonts w:hint="eastAsia" w:ascii="宋体" w:hAnsi="宋体" w:eastAsia="宋体" w:cs="宋体"/>
                <w:color w:val="auto"/>
                <w:sz w:val="24"/>
                <w:szCs w:val="24"/>
                <w:highlight w:val="none"/>
                <w:lang w:eastAsia="zh-CN"/>
              </w:rPr>
              <w:t>。</w:t>
            </w:r>
          </w:p>
        </w:tc>
      </w:tr>
      <w:tr w14:paraId="62F00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717" w:type="dxa"/>
            <w:gridSpan w:val="3"/>
            <w:vAlign w:val="center"/>
          </w:tcPr>
          <w:p w14:paraId="2F860869">
            <w:pPr>
              <w:pStyle w:val="2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2564" w:type="dxa"/>
            <w:vAlign w:val="center"/>
          </w:tcPr>
          <w:p w14:paraId="7C40D126">
            <w:pPr>
              <w:pStyle w:val="2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投标人资格要求（实质性要求）</w:t>
            </w:r>
          </w:p>
        </w:tc>
        <w:tc>
          <w:tcPr>
            <w:tcW w:w="5289" w:type="dxa"/>
            <w:vAlign w:val="center"/>
          </w:tcPr>
          <w:p w14:paraId="77822C47">
            <w:pPr>
              <w:autoSpaceDE w:val="0"/>
              <w:autoSpaceDN w:val="0"/>
              <w:textAlignment w:val="bottom"/>
              <w:rPr>
                <w:rFonts w:hint="eastAsia" w:ascii="宋体" w:hAnsi="宋体" w:eastAsia="宋体" w:cs="宋体"/>
                <w:color w:val="auto"/>
                <w:sz w:val="24"/>
                <w:highlight w:val="none"/>
              </w:rPr>
            </w:pPr>
            <w:r>
              <w:rPr>
                <w:rFonts w:hint="eastAsia" w:ascii="宋体" w:hAnsi="宋体" w:eastAsia="宋体" w:cs="宋体"/>
                <w:color w:val="auto"/>
                <w:sz w:val="24"/>
                <w:highlight w:val="none"/>
              </w:rPr>
              <w:t>详见第一章招标公告、第六章评标办法。</w:t>
            </w:r>
          </w:p>
        </w:tc>
      </w:tr>
      <w:tr w14:paraId="17ADB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717" w:type="dxa"/>
            <w:gridSpan w:val="3"/>
            <w:vAlign w:val="center"/>
          </w:tcPr>
          <w:p w14:paraId="0EE4FAB2">
            <w:pPr>
              <w:pStyle w:val="2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2564" w:type="dxa"/>
            <w:vAlign w:val="center"/>
          </w:tcPr>
          <w:p w14:paraId="330D8398">
            <w:pPr>
              <w:pStyle w:val="2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中标服务费</w:t>
            </w:r>
          </w:p>
        </w:tc>
        <w:tc>
          <w:tcPr>
            <w:tcW w:w="5289" w:type="dxa"/>
            <w:vAlign w:val="center"/>
          </w:tcPr>
          <w:p w14:paraId="1C9EE6FC">
            <w:pPr>
              <w:pStyle w:val="10"/>
              <w:ind w:firstLine="0"/>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本项目</w:t>
            </w:r>
            <w:r>
              <w:rPr>
                <w:rFonts w:hint="eastAsia" w:ascii="宋体" w:hAnsi="宋体" w:cs="宋体"/>
                <w:bCs/>
                <w:color w:val="auto"/>
                <w:sz w:val="24"/>
                <w:szCs w:val="24"/>
                <w:highlight w:val="none"/>
                <w:lang w:val="en-US" w:eastAsia="zh-CN"/>
              </w:rPr>
              <w:t>中标服务费与采购人协商一致后收取</w:t>
            </w:r>
            <w:r>
              <w:rPr>
                <w:rFonts w:hint="eastAsia" w:ascii="宋体" w:hAnsi="宋体" w:eastAsia="宋体" w:cs="宋体"/>
                <w:bCs/>
                <w:color w:val="auto"/>
                <w:sz w:val="24"/>
                <w:szCs w:val="24"/>
                <w:highlight w:val="none"/>
                <w:lang w:val="en-US" w:eastAsia="zh-CN"/>
              </w:rPr>
              <w:t>，</w:t>
            </w:r>
            <w:r>
              <w:rPr>
                <w:rFonts w:hint="eastAsia" w:ascii="宋体" w:hAnsi="宋体" w:cs="宋体"/>
                <w:bCs/>
                <w:color w:val="auto"/>
                <w:sz w:val="24"/>
                <w:szCs w:val="24"/>
                <w:highlight w:val="none"/>
                <w:lang w:val="en-US" w:eastAsia="zh-CN"/>
              </w:rPr>
              <w:t>金额为</w:t>
            </w:r>
            <w:r>
              <w:rPr>
                <w:rFonts w:hint="eastAsia" w:ascii="宋体" w:hAnsi="宋体" w:cs="宋体"/>
                <w:color w:val="auto"/>
                <w:kern w:val="2"/>
                <w:sz w:val="24"/>
                <w:szCs w:val="24"/>
                <w:highlight w:val="none"/>
                <w:u w:val="none"/>
                <w:lang w:val="en-US" w:eastAsia="zh-CN" w:bidi="ar-SA"/>
              </w:rPr>
              <w:t>5000</w:t>
            </w:r>
            <w:r>
              <w:rPr>
                <w:rFonts w:hint="eastAsia" w:ascii="宋体" w:hAnsi="宋体" w:eastAsia="宋体" w:cs="宋体"/>
                <w:color w:val="auto"/>
                <w:kern w:val="2"/>
                <w:sz w:val="24"/>
                <w:szCs w:val="24"/>
                <w:highlight w:val="none"/>
                <w:u w:val="none"/>
                <w:lang w:val="en-US" w:eastAsia="zh-CN" w:bidi="ar-SA"/>
              </w:rPr>
              <w:t>元</w:t>
            </w:r>
            <w:r>
              <w:rPr>
                <w:rFonts w:hint="eastAsia" w:ascii="宋体" w:hAnsi="宋体" w:cs="宋体"/>
                <w:color w:val="auto"/>
                <w:kern w:val="18"/>
                <w:sz w:val="24"/>
                <w:highlight w:val="none"/>
                <w:lang w:eastAsia="zh-CN"/>
              </w:rPr>
              <w:t>，</w:t>
            </w:r>
            <w:r>
              <w:rPr>
                <w:rFonts w:hint="eastAsia" w:ascii="宋体" w:hAnsi="宋体" w:eastAsia="宋体" w:cs="宋体"/>
                <w:color w:val="auto"/>
                <w:kern w:val="18"/>
                <w:sz w:val="24"/>
                <w:highlight w:val="none"/>
              </w:rPr>
              <w:t>由中标人在领取中标通知书时一次性向</w:t>
            </w:r>
            <w:r>
              <w:rPr>
                <w:rFonts w:hint="eastAsia" w:ascii="宋体" w:hAnsi="宋体" w:eastAsia="宋体" w:cs="宋体"/>
                <w:color w:val="auto"/>
                <w:kern w:val="18"/>
                <w:sz w:val="24"/>
                <w:highlight w:val="none"/>
                <w:lang w:val="en-US" w:eastAsia="zh-CN"/>
              </w:rPr>
              <w:t>采购</w:t>
            </w:r>
            <w:r>
              <w:rPr>
                <w:rFonts w:hint="eastAsia" w:ascii="宋体" w:hAnsi="宋体" w:eastAsia="宋体" w:cs="宋体"/>
                <w:color w:val="auto"/>
                <w:kern w:val="18"/>
                <w:sz w:val="24"/>
                <w:highlight w:val="none"/>
              </w:rPr>
              <w:t>代理机构支付。</w:t>
            </w:r>
          </w:p>
        </w:tc>
      </w:tr>
      <w:tr w14:paraId="2EC2F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1717" w:type="dxa"/>
            <w:gridSpan w:val="3"/>
            <w:vAlign w:val="center"/>
          </w:tcPr>
          <w:p w14:paraId="2C63457F">
            <w:pPr>
              <w:pStyle w:val="2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2564" w:type="dxa"/>
            <w:vAlign w:val="center"/>
          </w:tcPr>
          <w:p w14:paraId="4753FD4C">
            <w:pPr>
              <w:autoSpaceDE w:val="0"/>
              <w:autoSpaceDN w:val="0"/>
              <w:snapToGrid w:val="0"/>
              <w:textAlignment w:val="bottom"/>
              <w:rPr>
                <w:rFonts w:hint="eastAsia" w:ascii="宋体" w:hAnsi="宋体" w:eastAsia="宋体" w:cs="宋体"/>
                <w:color w:val="auto"/>
                <w:sz w:val="24"/>
                <w:highlight w:val="none"/>
              </w:rPr>
            </w:pPr>
            <w:r>
              <w:rPr>
                <w:rFonts w:hint="eastAsia" w:ascii="宋体" w:hAnsi="宋体" w:eastAsia="宋体" w:cs="宋体"/>
                <w:color w:val="auto"/>
                <w:sz w:val="24"/>
                <w:highlight w:val="none"/>
              </w:rPr>
              <w:t>招标文件澄清截止时间</w:t>
            </w:r>
          </w:p>
        </w:tc>
        <w:tc>
          <w:tcPr>
            <w:tcW w:w="5289" w:type="dxa"/>
            <w:vAlign w:val="center"/>
          </w:tcPr>
          <w:p w14:paraId="33E9C887">
            <w:pPr>
              <w:autoSpaceDE w:val="0"/>
              <w:autoSpaceDN w:val="0"/>
              <w:snapToGrid w:val="0"/>
              <w:textAlignment w:val="bottom"/>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提交投标文件的截止日期</w:t>
            </w:r>
            <w:r>
              <w:rPr>
                <w:rFonts w:hint="eastAsia" w:ascii="宋体" w:hAnsi="宋体" w:eastAsia="宋体" w:cs="宋体"/>
                <w:color w:val="auto"/>
                <w:sz w:val="24"/>
                <w:highlight w:val="none"/>
                <w:u w:val="single"/>
              </w:rPr>
              <w:t>15</w:t>
            </w:r>
            <w:r>
              <w:rPr>
                <w:rFonts w:hint="eastAsia" w:ascii="宋体" w:hAnsi="宋体" w:eastAsia="宋体" w:cs="宋体"/>
                <w:color w:val="auto"/>
                <w:sz w:val="24"/>
                <w:highlight w:val="none"/>
              </w:rPr>
              <w:t>日前。</w:t>
            </w:r>
          </w:p>
        </w:tc>
      </w:tr>
      <w:tr w14:paraId="1DA57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717" w:type="dxa"/>
            <w:gridSpan w:val="3"/>
            <w:vAlign w:val="center"/>
          </w:tcPr>
          <w:p w14:paraId="5D6FEEC0">
            <w:pPr>
              <w:pStyle w:val="2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2564" w:type="dxa"/>
            <w:vAlign w:val="center"/>
          </w:tcPr>
          <w:p w14:paraId="4DDA2063">
            <w:pPr>
              <w:autoSpaceDE w:val="0"/>
              <w:autoSpaceDN w:val="0"/>
              <w:snapToGrid w:val="0"/>
              <w:textAlignment w:val="bottom"/>
              <w:rPr>
                <w:rFonts w:hint="eastAsia" w:ascii="宋体" w:hAnsi="宋体" w:eastAsia="宋体" w:cs="宋体"/>
                <w:color w:val="auto"/>
                <w:sz w:val="24"/>
                <w:highlight w:val="none"/>
              </w:rPr>
            </w:pPr>
            <w:r>
              <w:rPr>
                <w:rFonts w:hint="eastAsia" w:ascii="宋体" w:hAnsi="宋体" w:eastAsia="宋体" w:cs="宋体"/>
                <w:color w:val="auto"/>
                <w:sz w:val="24"/>
                <w:highlight w:val="none"/>
              </w:rPr>
              <w:t>招标文件澄清联系方式</w:t>
            </w:r>
          </w:p>
        </w:tc>
        <w:tc>
          <w:tcPr>
            <w:tcW w:w="5289" w:type="dxa"/>
            <w:vAlign w:val="center"/>
          </w:tcPr>
          <w:p w14:paraId="64F9739E">
            <w:pPr>
              <w:autoSpaceDE w:val="0"/>
              <w:autoSpaceDN w:val="0"/>
              <w:snapToGrid w:val="0"/>
              <w:textAlignment w:val="bottom"/>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澄清联系人：王蒙、可兆伟。</w:t>
            </w:r>
          </w:p>
          <w:p w14:paraId="0DDAC813">
            <w:pPr>
              <w:autoSpaceDE w:val="0"/>
              <w:autoSpaceDN w:val="0"/>
              <w:snapToGrid w:val="0"/>
              <w:textAlignment w:val="bottom"/>
              <w:rPr>
                <w:rFonts w:hint="eastAsia" w:ascii="宋体" w:hAnsi="宋体" w:eastAsia="宋体" w:cs="宋体"/>
                <w:bCs/>
                <w:color w:val="auto"/>
                <w:sz w:val="24"/>
                <w:highlight w:val="none"/>
              </w:rPr>
            </w:pPr>
            <w:r>
              <w:rPr>
                <w:rFonts w:hint="eastAsia" w:ascii="宋体" w:hAnsi="宋体" w:eastAsia="宋体" w:cs="宋体"/>
                <w:bCs/>
                <w:color w:val="auto"/>
                <w:spacing w:val="10"/>
                <w:sz w:val="24"/>
                <w:highlight w:val="none"/>
              </w:rPr>
              <w:t>电话：0871-67357686。</w:t>
            </w:r>
          </w:p>
        </w:tc>
      </w:tr>
      <w:tr w14:paraId="6966A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jc w:val="center"/>
        </w:trPr>
        <w:tc>
          <w:tcPr>
            <w:tcW w:w="1717" w:type="dxa"/>
            <w:gridSpan w:val="3"/>
            <w:vAlign w:val="center"/>
          </w:tcPr>
          <w:p w14:paraId="28DF32F2">
            <w:pPr>
              <w:pStyle w:val="2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2564" w:type="dxa"/>
            <w:vAlign w:val="center"/>
          </w:tcPr>
          <w:p w14:paraId="4C8016AC">
            <w:pPr>
              <w:pStyle w:val="2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投标有效期（实质性要求）</w:t>
            </w:r>
          </w:p>
        </w:tc>
        <w:tc>
          <w:tcPr>
            <w:tcW w:w="5289" w:type="dxa"/>
            <w:vAlign w:val="center"/>
          </w:tcPr>
          <w:p w14:paraId="72ADCBAE">
            <w:pPr>
              <w:pStyle w:val="2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递交投标文件的截止日期后</w:t>
            </w:r>
            <w:r>
              <w:rPr>
                <w:rFonts w:hint="eastAsia" w:ascii="宋体" w:hAnsi="宋体" w:eastAsia="宋体" w:cs="宋体"/>
                <w:color w:val="auto"/>
                <w:sz w:val="24"/>
                <w:szCs w:val="24"/>
                <w:highlight w:val="none"/>
                <w:u w:val="single"/>
                <w:lang w:val="en-US" w:eastAsia="zh-CN"/>
              </w:rPr>
              <w:t>9</w:t>
            </w:r>
            <w:r>
              <w:rPr>
                <w:rFonts w:hint="eastAsia" w:ascii="宋体" w:hAnsi="宋体" w:eastAsia="宋体" w:cs="宋体"/>
                <w:color w:val="auto"/>
                <w:sz w:val="24"/>
                <w:szCs w:val="24"/>
                <w:highlight w:val="none"/>
                <w:u w:val="single"/>
              </w:rPr>
              <w:t>0</w:t>
            </w:r>
            <w:r>
              <w:rPr>
                <w:rFonts w:hint="eastAsia" w:ascii="宋体" w:hAnsi="宋体" w:eastAsia="宋体" w:cs="宋体"/>
                <w:color w:val="auto"/>
                <w:sz w:val="24"/>
                <w:szCs w:val="24"/>
                <w:highlight w:val="none"/>
              </w:rPr>
              <w:t>天。</w:t>
            </w:r>
          </w:p>
        </w:tc>
      </w:tr>
      <w:tr w14:paraId="1474A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4" w:hRule="atLeast"/>
          <w:jc w:val="center"/>
        </w:trPr>
        <w:tc>
          <w:tcPr>
            <w:tcW w:w="1717" w:type="dxa"/>
            <w:gridSpan w:val="3"/>
            <w:vAlign w:val="center"/>
          </w:tcPr>
          <w:p w14:paraId="79B0B16A">
            <w:pPr>
              <w:pStyle w:val="2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2564" w:type="dxa"/>
            <w:vAlign w:val="center"/>
          </w:tcPr>
          <w:p w14:paraId="58BAD507">
            <w:pPr>
              <w:pStyle w:val="2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投标文件份数（实质性要求）</w:t>
            </w:r>
          </w:p>
        </w:tc>
        <w:tc>
          <w:tcPr>
            <w:tcW w:w="5289" w:type="dxa"/>
            <w:vAlign w:val="center"/>
          </w:tcPr>
          <w:p w14:paraId="058DDF9A">
            <w:pPr>
              <w:pStyle w:val="21"/>
              <w:ind w:left="-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本项目采用电子投标文件，投标人应根据招标文件要求制作电子版投标文件。</w:t>
            </w:r>
          </w:p>
        </w:tc>
      </w:tr>
      <w:tr w14:paraId="372EC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1717" w:type="dxa"/>
            <w:gridSpan w:val="3"/>
            <w:vMerge w:val="restart"/>
            <w:vAlign w:val="center"/>
          </w:tcPr>
          <w:p w14:paraId="2E12A40C">
            <w:pPr>
              <w:pStyle w:val="2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2564" w:type="dxa"/>
            <w:vMerge w:val="restart"/>
            <w:vAlign w:val="center"/>
          </w:tcPr>
          <w:p w14:paraId="75C8943E">
            <w:pPr>
              <w:pStyle w:val="2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投标保证金（实质性要求）</w:t>
            </w:r>
          </w:p>
        </w:tc>
        <w:tc>
          <w:tcPr>
            <w:tcW w:w="5289" w:type="dxa"/>
            <w:vAlign w:val="center"/>
          </w:tcPr>
          <w:p w14:paraId="4F6C873C">
            <w:pPr>
              <w:numPr>
                <w:ilvl w:val="0"/>
                <w:numId w:val="4"/>
              </w:numPr>
              <w:spacing w:line="360" w:lineRule="exact"/>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投标保证金金额：</w:t>
            </w:r>
          </w:p>
          <w:p w14:paraId="03C76F99">
            <w:pPr>
              <w:numPr>
                <w:ilvl w:val="0"/>
                <w:numId w:val="0"/>
              </w:numPr>
              <w:spacing w:line="360" w:lineRule="exact"/>
              <w:jc w:val="left"/>
              <w:rPr>
                <w:rFonts w:hint="eastAsia" w:ascii="宋体" w:hAnsi="宋体" w:eastAsia="宋体" w:cs="宋体"/>
                <w:bCs/>
                <w:color w:val="auto"/>
                <w:sz w:val="24"/>
                <w:highlight w:val="none"/>
              </w:rPr>
            </w:pPr>
            <w:r>
              <w:rPr>
                <w:rFonts w:hint="eastAsia" w:ascii="宋体" w:hAnsi="宋体" w:cs="宋体"/>
                <w:color w:val="auto"/>
                <w:sz w:val="24"/>
                <w:highlight w:val="none"/>
                <w:u w:val="none"/>
                <w:lang w:val="en-US" w:eastAsia="zh-CN"/>
              </w:rPr>
              <w:t>2000</w:t>
            </w:r>
            <w:r>
              <w:rPr>
                <w:rFonts w:hint="eastAsia" w:ascii="宋体" w:hAnsi="宋体" w:eastAsia="宋体" w:cs="宋体"/>
                <w:color w:val="auto"/>
                <w:sz w:val="24"/>
                <w:highlight w:val="none"/>
                <w:u w:val="none"/>
              </w:rPr>
              <w:t>元</w:t>
            </w:r>
            <w:r>
              <w:rPr>
                <w:rFonts w:hint="eastAsia" w:ascii="宋体" w:hAnsi="宋体" w:eastAsia="宋体" w:cs="宋体"/>
                <w:bCs/>
                <w:color w:val="auto"/>
                <w:sz w:val="24"/>
                <w:highlight w:val="none"/>
              </w:rPr>
              <w:t>（保证金附言：招标编号：</w:t>
            </w:r>
            <w:r>
              <w:rPr>
                <w:rFonts w:hint="eastAsia" w:ascii="宋体" w:hAnsi="宋体" w:cs="宋体"/>
                <w:bCs/>
                <w:color w:val="auto"/>
                <w:sz w:val="24"/>
                <w:highlight w:val="none"/>
                <w:lang w:eastAsia="zh-CN"/>
              </w:rPr>
              <w:t>ZG-2026084</w:t>
            </w:r>
            <w:r>
              <w:rPr>
                <w:rFonts w:hint="eastAsia" w:ascii="宋体" w:hAnsi="宋体" w:eastAsia="宋体" w:cs="宋体"/>
                <w:b/>
                <w:bCs w:val="0"/>
                <w:color w:val="auto"/>
                <w:sz w:val="24"/>
                <w:highlight w:val="none"/>
              </w:rPr>
              <w:t>保证金</w:t>
            </w:r>
            <w:r>
              <w:rPr>
                <w:rFonts w:hint="eastAsia" w:ascii="宋体" w:hAnsi="宋体" w:eastAsia="宋体" w:cs="宋体"/>
                <w:bCs/>
                <w:color w:val="auto"/>
                <w:sz w:val="24"/>
                <w:highlight w:val="none"/>
              </w:rPr>
              <w:t>）。</w:t>
            </w:r>
          </w:p>
          <w:p w14:paraId="4B2F7A5E">
            <w:pPr>
              <w:wordWrap w:val="0"/>
              <w:spacing w:line="360" w:lineRule="exact"/>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（说明：根据《云南省财政厅关于促进政府采购公平竞争优化营商环境的实施意⻅》云财规</w:t>
            </w:r>
            <w:r>
              <w:rPr>
                <w:rFonts w:hint="eastAsia" w:ascii="宋体" w:hAnsi="宋体" w:eastAsia="宋体" w:cs="宋体"/>
                <w:bCs/>
                <w:color w:val="auto"/>
                <w:sz w:val="24"/>
                <w:highlight w:val="none"/>
                <w:lang w:eastAsia="zh-CN"/>
              </w:rPr>
              <w:t>〔2019〕5号</w:t>
            </w:r>
            <w:r>
              <w:rPr>
                <w:rFonts w:hint="eastAsia" w:ascii="宋体" w:hAnsi="宋体" w:eastAsia="宋体" w:cs="宋体"/>
                <w:bCs/>
                <w:color w:val="auto"/>
                <w:sz w:val="24"/>
                <w:highlight w:val="none"/>
              </w:rPr>
              <w:t>文件精神，本项目投标保证金在标准收取金额基础上下浮</w:t>
            </w:r>
            <w:r>
              <w:rPr>
                <w:rFonts w:hint="eastAsia" w:ascii="宋体" w:hAnsi="宋体" w:cs="宋体"/>
                <w:bCs/>
                <w:color w:val="auto"/>
                <w:sz w:val="24"/>
                <w:highlight w:val="none"/>
                <w:lang w:val="en-US" w:eastAsia="zh-CN"/>
              </w:rPr>
              <w:t>约50</w:t>
            </w:r>
            <w:r>
              <w:rPr>
                <w:rFonts w:hint="eastAsia" w:ascii="宋体" w:hAnsi="宋体" w:eastAsia="宋体" w:cs="宋体"/>
                <w:bCs/>
                <w:color w:val="auto"/>
                <w:sz w:val="24"/>
                <w:highlight w:val="none"/>
              </w:rPr>
              <w:t>%）。</w:t>
            </w:r>
          </w:p>
          <w:p w14:paraId="354101D4">
            <w:pPr>
              <w:pStyle w:val="15"/>
              <w:spacing w:line="360" w:lineRule="exact"/>
              <w:rPr>
                <w:rFonts w:hint="eastAsia" w:ascii="宋体" w:hAnsi="宋体" w:eastAsia="宋体" w:cs="宋体"/>
                <w:bCs w:val="0"/>
                <w:color w:val="auto"/>
                <w:highlight w:val="none"/>
              </w:rPr>
            </w:pPr>
            <w:r>
              <w:rPr>
                <w:rFonts w:hint="eastAsia" w:ascii="宋体" w:hAnsi="宋体" w:eastAsia="宋体" w:cs="宋体"/>
                <w:color w:val="auto"/>
                <w:highlight w:val="none"/>
              </w:rPr>
              <w:t>二、投标保证金提交方式</w:t>
            </w:r>
          </w:p>
          <w:p w14:paraId="2B166FCF">
            <w:pPr>
              <w:pStyle w:val="15"/>
              <w:spacing w:line="360" w:lineRule="exact"/>
              <w:rPr>
                <w:rFonts w:hint="eastAsia" w:ascii="宋体" w:hAnsi="宋体" w:eastAsia="宋体" w:cs="宋体"/>
                <w:bCs w:val="0"/>
                <w:color w:val="auto"/>
                <w:highlight w:val="none"/>
              </w:rPr>
            </w:pPr>
            <w:r>
              <w:rPr>
                <w:rFonts w:hint="eastAsia" w:ascii="宋体" w:hAnsi="宋体" w:eastAsia="宋体" w:cs="宋体"/>
                <w:color w:val="auto"/>
                <w:highlight w:val="none"/>
              </w:rPr>
              <w:t>投标保证金的提交方式投标人可从以下方式中任选一种：电汇、银行转账、支票、汇票、本票</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银行保函、投标保证保险</w:t>
            </w:r>
            <w:r>
              <w:rPr>
                <w:rFonts w:hint="eastAsia" w:ascii="宋体" w:hAnsi="宋体" w:eastAsia="宋体" w:cs="宋体"/>
                <w:color w:val="auto"/>
                <w:highlight w:val="none"/>
                <w:lang w:val="en-US" w:eastAsia="zh-CN"/>
              </w:rPr>
              <w:t>等非现金形式</w:t>
            </w:r>
            <w:r>
              <w:rPr>
                <w:rFonts w:hint="eastAsia" w:ascii="宋体" w:hAnsi="宋体" w:eastAsia="宋体" w:cs="宋体"/>
                <w:color w:val="auto"/>
                <w:highlight w:val="none"/>
              </w:rPr>
              <w:t>。</w:t>
            </w:r>
          </w:p>
          <w:p w14:paraId="4B776FF2">
            <w:pPr>
              <w:pStyle w:val="15"/>
              <w:spacing w:line="360" w:lineRule="exact"/>
              <w:jc w:val="left"/>
              <w:rPr>
                <w:rFonts w:hint="eastAsia" w:ascii="宋体" w:hAnsi="宋体" w:eastAsia="宋体" w:cs="宋体"/>
                <w:bCs w:val="0"/>
                <w:color w:val="auto"/>
                <w:highlight w:val="none"/>
              </w:rPr>
            </w:pPr>
            <w:r>
              <w:rPr>
                <w:rFonts w:hint="eastAsia" w:ascii="宋体" w:hAnsi="宋体" w:eastAsia="宋体" w:cs="宋体"/>
                <w:color w:val="auto"/>
                <w:highlight w:val="none"/>
              </w:rPr>
              <w:t>（一）电汇、银行转账、支票、汇票、本票等（</w:t>
            </w:r>
            <w:r>
              <w:rPr>
                <w:rFonts w:hint="eastAsia" w:ascii="宋体" w:hAnsi="宋体" w:eastAsia="宋体" w:cs="宋体"/>
                <w:bCs w:val="0"/>
                <w:color w:val="auto"/>
                <w:highlight w:val="none"/>
              </w:rPr>
              <w:t>非现金形式</w:t>
            </w:r>
            <w:r>
              <w:rPr>
                <w:rFonts w:hint="eastAsia" w:ascii="宋体" w:hAnsi="宋体" w:eastAsia="宋体" w:cs="宋体"/>
                <w:color w:val="auto"/>
                <w:highlight w:val="none"/>
              </w:rPr>
              <w:t>）：投标保证金应以投标人自身的名义提交，并且必须从其基本账户转出，不得以分支机构或其他名义提交，</w:t>
            </w:r>
            <w:r>
              <w:rPr>
                <w:rFonts w:hint="eastAsia" w:ascii="宋体" w:hAnsi="宋体" w:eastAsia="宋体" w:cs="宋体"/>
                <w:b/>
                <w:color w:val="auto"/>
                <w:highlight w:val="none"/>
                <w:u w:val="single"/>
              </w:rPr>
              <w:t>谢绝个人账户</w:t>
            </w:r>
            <w:r>
              <w:rPr>
                <w:rFonts w:hint="eastAsia" w:ascii="宋体" w:hAnsi="宋体" w:eastAsia="宋体" w:cs="宋体"/>
                <w:color w:val="auto"/>
                <w:highlight w:val="none"/>
              </w:rPr>
              <w:t>！（按照规定投标人可以为自然人的项目除外）</w:t>
            </w:r>
          </w:p>
          <w:p w14:paraId="60DB1F46">
            <w:pPr>
              <w:pStyle w:val="15"/>
              <w:spacing w:line="360" w:lineRule="exact"/>
              <w:jc w:val="lef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附：保证金收款账户信息。</w:t>
            </w:r>
          </w:p>
          <w:p w14:paraId="18876D78">
            <w:pPr>
              <w:spacing w:line="360" w:lineRule="exact"/>
              <w:jc w:val="left"/>
              <w:rPr>
                <w:rFonts w:hint="eastAsia" w:ascii="宋体" w:hAnsi="宋体" w:eastAsia="宋体" w:cs="宋体"/>
                <w:b w:val="0"/>
                <w:bCs w:val="0"/>
                <w:color w:val="auto"/>
                <w:sz w:val="24"/>
                <w:highlight w:val="none"/>
                <w:shd w:val="pct10" w:color="auto" w:fill="FFFFFF"/>
              </w:rPr>
            </w:pPr>
            <w:r>
              <w:rPr>
                <w:rFonts w:hint="eastAsia" w:ascii="宋体" w:hAnsi="宋体" w:eastAsia="宋体" w:cs="宋体"/>
                <w:b w:val="0"/>
                <w:bCs w:val="0"/>
                <w:color w:val="auto"/>
                <w:sz w:val="24"/>
                <w:highlight w:val="none"/>
                <w:shd w:val="pct10" w:color="auto" w:fill="FFFFFF"/>
              </w:rPr>
              <w:t>户  名：云南众高工程咨询有限公司</w:t>
            </w:r>
          </w:p>
          <w:p w14:paraId="54923129">
            <w:pPr>
              <w:spacing w:line="360" w:lineRule="exact"/>
              <w:jc w:val="left"/>
              <w:rPr>
                <w:rFonts w:hint="eastAsia" w:ascii="宋体" w:hAnsi="宋体" w:eastAsia="宋体" w:cs="宋体"/>
                <w:b w:val="0"/>
                <w:bCs w:val="0"/>
                <w:color w:val="auto"/>
                <w:sz w:val="24"/>
                <w:highlight w:val="none"/>
                <w:shd w:val="pct10" w:color="auto" w:fill="FFFFFF"/>
              </w:rPr>
            </w:pPr>
            <w:r>
              <w:rPr>
                <w:rFonts w:hint="eastAsia" w:ascii="宋体" w:hAnsi="宋体" w:eastAsia="宋体" w:cs="宋体"/>
                <w:b w:val="0"/>
                <w:bCs w:val="0"/>
                <w:color w:val="auto"/>
                <w:sz w:val="24"/>
                <w:highlight w:val="none"/>
                <w:shd w:val="pct10" w:color="auto" w:fill="FFFFFF"/>
              </w:rPr>
              <w:t>开户行：昆明市五华区农村信用合作联社长春信用社</w:t>
            </w:r>
          </w:p>
          <w:p w14:paraId="06B28457">
            <w:pPr>
              <w:pStyle w:val="15"/>
              <w:spacing w:line="360" w:lineRule="exact"/>
              <w:rPr>
                <w:rFonts w:hint="eastAsia" w:ascii="宋体" w:hAnsi="宋体" w:eastAsia="宋体" w:cs="宋体"/>
                <w:b w:val="0"/>
                <w:bCs w:val="0"/>
                <w:color w:val="auto"/>
                <w:highlight w:val="none"/>
                <w:shd w:val="pct10" w:color="auto" w:fill="FFFFFF"/>
              </w:rPr>
            </w:pPr>
            <w:r>
              <w:rPr>
                <w:rFonts w:hint="eastAsia" w:ascii="宋体" w:hAnsi="宋体" w:eastAsia="宋体" w:cs="宋体"/>
                <w:b w:val="0"/>
                <w:bCs w:val="0"/>
                <w:color w:val="auto"/>
                <w:highlight w:val="none"/>
                <w:shd w:val="pct10" w:color="auto" w:fill="FFFFFF"/>
              </w:rPr>
              <w:t>账  号：7100014214841012</w:t>
            </w:r>
          </w:p>
          <w:p w14:paraId="13C10649">
            <w:pPr>
              <w:spacing w:line="360" w:lineRule="exact"/>
              <w:jc w:val="left"/>
              <w:rPr>
                <w:rFonts w:hint="eastAsia" w:ascii="宋体" w:hAnsi="宋体" w:eastAsia="宋体" w:cs="宋体"/>
                <w:b w:val="0"/>
                <w:bCs w:val="0"/>
                <w:color w:val="auto"/>
                <w:sz w:val="24"/>
                <w:highlight w:val="none"/>
                <w:shd w:val="pct10" w:color="auto" w:fill="FFFFFF"/>
              </w:rPr>
            </w:pPr>
            <w:r>
              <w:rPr>
                <w:rFonts w:hint="eastAsia" w:ascii="宋体" w:hAnsi="宋体" w:eastAsia="宋体" w:cs="宋体"/>
                <w:b w:val="0"/>
                <w:bCs w:val="0"/>
                <w:color w:val="auto"/>
                <w:sz w:val="24"/>
                <w:highlight w:val="none"/>
                <w:shd w:val="pct10" w:color="auto" w:fill="FFFFFF"/>
              </w:rPr>
              <w:t>联系人：奎红美</w:t>
            </w:r>
          </w:p>
          <w:p w14:paraId="0E23E3A9">
            <w:pPr>
              <w:spacing w:line="360" w:lineRule="exact"/>
              <w:jc w:val="left"/>
              <w:rPr>
                <w:rFonts w:hint="eastAsia" w:ascii="宋体" w:hAnsi="宋体" w:eastAsia="宋体" w:cs="宋体"/>
                <w:b/>
                <w:bCs/>
                <w:color w:val="auto"/>
                <w:sz w:val="24"/>
                <w:highlight w:val="none"/>
                <w:shd w:val="pct10" w:color="auto" w:fill="FFFFFF"/>
              </w:rPr>
            </w:pPr>
            <w:r>
              <w:rPr>
                <w:rFonts w:hint="eastAsia" w:ascii="宋体" w:hAnsi="宋体" w:eastAsia="宋体" w:cs="宋体"/>
                <w:b w:val="0"/>
                <w:bCs w:val="0"/>
                <w:color w:val="auto"/>
                <w:sz w:val="24"/>
                <w:highlight w:val="none"/>
                <w:shd w:val="pct10" w:color="auto" w:fill="FFFFFF"/>
              </w:rPr>
              <w:t>联系电话：15087014195</w:t>
            </w:r>
          </w:p>
          <w:p w14:paraId="6507D5F3">
            <w:pPr>
              <w:spacing w:line="380" w:lineRule="exact"/>
              <w:jc w:val="left"/>
              <w:rPr>
                <w:rFonts w:hint="eastAsia" w:ascii="宋体" w:hAnsi="宋体" w:eastAsia="宋体" w:cs="宋体"/>
                <w:bCs/>
                <w:color w:val="auto"/>
                <w:sz w:val="24"/>
                <w:highlight w:val="none"/>
                <w:shd w:val="pct10" w:color="auto" w:fill="FFFFFF"/>
              </w:rPr>
            </w:pPr>
            <w:r>
              <w:rPr>
                <w:rFonts w:hint="eastAsia" w:ascii="宋体" w:hAnsi="宋体" w:eastAsia="宋体" w:cs="宋体"/>
                <w:bCs/>
                <w:color w:val="auto"/>
                <w:sz w:val="24"/>
                <w:highlight w:val="none"/>
                <w:shd w:val="clear" w:color="auto" w:fill="auto"/>
              </w:rPr>
              <w:t>（</w:t>
            </w:r>
            <w:r>
              <w:rPr>
                <w:rFonts w:hint="eastAsia" w:ascii="宋体" w:hAnsi="宋体" w:eastAsia="宋体" w:cs="宋体"/>
                <w:b/>
                <w:bCs/>
                <w:color w:val="auto"/>
                <w:sz w:val="24"/>
                <w:highlight w:val="none"/>
                <w:shd w:val="clear" w:color="auto" w:fill="auto"/>
              </w:rPr>
              <w:t>备注：请各投标人注意，该账户为我公司缴纳保证金账户，请各投标人务必将保证金汇入该账户，如汇款错误由此带来的不利于投标人的后果由投标人自行承担</w:t>
            </w:r>
            <w:r>
              <w:rPr>
                <w:rFonts w:hint="eastAsia" w:ascii="宋体" w:hAnsi="宋体" w:eastAsia="宋体" w:cs="宋体"/>
                <w:bCs/>
                <w:color w:val="auto"/>
                <w:sz w:val="24"/>
                <w:highlight w:val="none"/>
                <w:shd w:val="clear" w:color="auto" w:fill="auto"/>
              </w:rPr>
              <w:t>）。</w:t>
            </w:r>
          </w:p>
          <w:p w14:paraId="5DC9AD90">
            <w:pPr>
              <w:pStyle w:val="15"/>
              <w:spacing w:line="360" w:lineRule="exact"/>
              <w:rPr>
                <w:rFonts w:hint="eastAsia" w:ascii="宋体" w:hAnsi="宋体" w:eastAsia="宋体" w:cs="宋体"/>
                <w:bCs w:val="0"/>
                <w:color w:val="auto"/>
                <w:highlight w:val="none"/>
              </w:rPr>
            </w:pPr>
            <w:r>
              <w:rPr>
                <w:rFonts w:hint="eastAsia" w:ascii="宋体" w:hAnsi="宋体" w:eastAsia="宋体" w:cs="宋体"/>
                <w:color w:val="auto"/>
                <w:highlight w:val="none"/>
              </w:rPr>
              <w:t>（二）银行保函：保函申请人必须是投标人，受益人必须是</w:t>
            </w:r>
            <w:r>
              <w:rPr>
                <w:rFonts w:hint="eastAsia" w:ascii="宋体" w:hAnsi="宋体" w:eastAsia="宋体" w:cs="宋体"/>
                <w:color w:val="auto"/>
                <w:highlight w:val="none"/>
                <w:lang w:eastAsia="zh-CN"/>
              </w:rPr>
              <w:t>采购人</w:t>
            </w:r>
            <w:r>
              <w:rPr>
                <w:rFonts w:hint="eastAsia" w:ascii="宋体" w:hAnsi="宋体" w:eastAsia="宋体" w:cs="宋体"/>
                <w:color w:val="auto"/>
                <w:highlight w:val="none"/>
              </w:rPr>
              <w:t>，保证人必须是投标人基本账号的开户银行；银行保函必须正确填写受益人和申请人的全称，并与招标文件规定的名称相一致，以免造成投标无效。</w:t>
            </w:r>
          </w:p>
          <w:p w14:paraId="5715194B">
            <w:pPr>
              <w:pStyle w:val="15"/>
              <w:spacing w:line="360" w:lineRule="exact"/>
              <w:rPr>
                <w:rFonts w:hint="eastAsia" w:ascii="宋体" w:hAnsi="宋体" w:eastAsia="宋体" w:cs="宋体"/>
                <w:bCs w:val="0"/>
                <w:color w:val="auto"/>
                <w:highlight w:val="none"/>
              </w:rPr>
            </w:pPr>
            <w:r>
              <w:rPr>
                <w:rFonts w:hint="eastAsia" w:ascii="宋体" w:hAnsi="宋体" w:eastAsia="宋体" w:cs="宋体"/>
                <w:color w:val="auto"/>
                <w:highlight w:val="none"/>
              </w:rPr>
              <w:t>（三）保证保险：1.当投标人未能按照招标文件要求履行投标义务而导致</w:t>
            </w:r>
            <w:r>
              <w:rPr>
                <w:rFonts w:hint="eastAsia" w:ascii="宋体" w:hAnsi="宋体" w:eastAsia="宋体" w:cs="宋体"/>
                <w:color w:val="auto"/>
                <w:highlight w:val="none"/>
                <w:lang w:eastAsia="zh-CN"/>
              </w:rPr>
              <w:t>采购人</w:t>
            </w:r>
            <w:r>
              <w:rPr>
                <w:rFonts w:hint="eastAsia" w:ascii="宋体" w:hAnsi="宋体" w:eastAsia="宋体" w:cs="宋体"/>
                <w:color w:val="auto"/>
                <w:highlight w:val="none"/>
              </w:rPr>
              <w:t>受到损失时，由保险公司按照保险合同对</w:t>
            </w:r>
            <w:r>
              <w:rPr>
                <w:rFonts w:hint="eastAsia" w:ascii="宋体" w:hAnsi="宋体" w:eastAsia="宋体" w:cs="宋体"/>
                <w:color w:val="auto"/>
                <w:highlight w:val="none"/>
                <w:lang w:eastAsia="zh-CN"/>
              </w:rPr>
              <w:t>采购人</w:t>
            </w:r>
            <w:r>
              <w:rPr>
                <w:rFonts w:hint="eastAsia" w:ascii="宋体" w:hAnsi="宋体" w:eastAsia="宋体" w:cs="宋体"/>
                <w:color w:val="auto"/>
                <w:highlight w:val="none"/>
              </w:rPr>
              <w:t>的损失承担代偿责任。2.投标人在支付投标保证金保险费时，必须使用基本账号资金支付购买，未从基本账户转出支付</w:t>
            </w:r>
            <w:r>
              <w:rPr>
                <w:rFonts w:hint="eastAsia" w:ascii="宋体" w:hAnsi="宋体" w:eastAsia="宋体" w:cs="宋体"/>
                <w:color w:val="auto"/>
                <w:highlight w:val="none"/>
                <w:lang w:eastAsia="zh-CN"/>
              </w:rPr>
              <w:t>保险</w:t>
            </w:r>
            <w:r>
              <w:rPr>
                <w:rFonts w:hint="eastAsia" w:ascii="宋体" w:hAnsi="宋体" w:eastAsia="宋体" w:cs="宋体"/>
                <w:color w:val="auto"/>
                <w:highlight w:val="none"/>
              </w:rPr>
              <w:t>费造成经济纠纷的应由企业自行承担。3.在投标保证保险中，投标人为投保人，</w:t>
            </w:r>
            <w:r>
              <w:rPr>
                <w:rFonts w:hint="eastAsia" w:ascii="宋体" w:hAnsi="宋体" w:eastAsia="宋体" w:cs="宋体"/>
                <w:color w:val="auto"/>
                <w:highlight w:val="none"/>
                <w:lang w:eastAsia="zh-CN"/>
              </w:rPr>
              <w:t>采购人</w:t>
            </w:r>
            <w:r>
              <w:rPr>
                <w:rFonts w:hint="eastAsia" w:ascii="宋体" w:hAnsi="宋体" w:eastAsia="宋体" w:cs="宋体"/>
                <w:color w:val="auto"/>
                <w:highlight w:val="none"/>
              </w:rPr>
              <w:t>为被保险人。</w:t>
            </w:r>
          </w:p>
          <w:p w14:paraId="19E509AC">
            <w:pPr>
              <w:spacing w:line="360" w:lineRule="exact"/>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缴纳时间：保证金必须在递交投标文件的截止时</w:t>
            </w:r>
            <w:r>
              <w:rPr>
                <w:rFonts w:hint="eastAsia" w:ascii="宋体" w:hAnsi="宋体" w:eastAsia="宋体" w:cs="宋体"/>
                <w:bCs/>
                <w:color w:val="auto"/>
                <w:sz w:val="24"/>
                <w:highlight w:val="none"/>
                <w:lang w:eastAsia="zh-CN"/>
              </w:rPr>
              <w:t>间之</w:t>
            </w:r>
            <w:r>
              <w:rPr>
                <w:rFonts w:hint="eastAsia" w:ascii="宋体" w:hAnsi="宋体" w:eastAsia="宋体" w:cs="宋体"/>
                <w:bCs/>
                <w:color w:val="auto"/>
                <w:sz w:val="24"/>
                <w:highlight w:val="none"/>
              </w:rPr>
              <w:t>前提交至云南众高工程咨询有限公司。</w:t>
            </w:r>
          </w:p>
          <w:p w14:paraId="0A387473">
            <w:pPr>
              <w:pStyle w:val="21"/>
              <w:jc w:val="left"/>
              <w:rPr>
                <w:rFonts w:hint="eastAsia" w:ascii="宋体" w:hAnsi="宋体" w:eastAsia="宋体" w:cs="宋体"/>
                <w:color w:val="auto"/>
                <w:highlight w:val="none"/>
              </w:rPr>
            </w:pPr>
            <w:r>
              <w:rPr>
                <w:rFonts w:hint="eastAsia" w:ascii="宋体" w:hAnsi="宋体" w:eastAsia="宋体" w:cs="宋体"/>
                <w:bCs/>
                <w:color w:val="auto"/>
                <w:sz w:val="24"/>
                <w:highlight w:val="none"/>
              </w:rPr>
              <w:t>有效期：</w:t>
            </w:r>
            <w:r>
              <w:rPr>
                <w:rFonts w:hint="eastAsia" w:ascii="宋体" w:hAnsi="宋体" w:eastAsia="宋体" w:cs="宋体"/>
                <w:color w:val="auto"/>
                <w:sz w:val="24"/>
                <w:highlight w:val="none"/>
              </w:rPr>
              <w:t>与投标有效期一致。</w:t>
            </w:r>
          </w:p>
        </w:tc>
      </w:tr>
      <w:tr w14:paraId="5E850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1717" w:type="dxa"/>
            <w:gridSpan w:val="3"/>
            <w:vMerge w:val="continue"/>
            <w:vAlign w:val="center"/>
          </w:tcPr>
          <w:p w14:paraId="644A9756">
            <w:pPr>
              <w:pStyle w:val="21"/>
              <w:jc w:val="left"/>
              <w:rPr>
                <w:rFonts w:hint="eastAsia" w:ascii="宋体" w:hAnsi="宋体" w:eastAsia="宋体" w:cs="宋体"/>
                <w:color w:val="auto"/>
                <w:highlight w:val="none"/>
              </w:rPr>
            </w:pPr>
          </w:p>
        </w:tc>
        <w:tc>
          <w:tcPr>
            <w:tcW w:w="2564" w:type="dxa"/>
            <w:vMerge w:val="continue"/>
            <w:vAlign w:val="center"/>
          </w:tcPr>
          <w:p w14:paraId="2F3D752E">
            <w:pPr>
              <w:pStyle w:val="21"/>
              <w:jc w:val="left"/>
              <w:rPr>
                <w:rFonts w:hint="eastAsia" w:ascii="宋体" w:hAnsi="宋体" w:eastAsia="宋体" w:cs="宋体"/>
                <w:color w:val="auto"/>
                <w:highlight w:val="none"/>
              </w:rPr>
            </w:pPr>
          </w:p>
        </w:tc>
        <w:tc>
          <w:tcPr>
            <w:tcW w:w="5289" w:type="dxa"/>
            <w:vAlign w:val="center"/>
          </w:tcPr>
          <w:p w14:paraId="6376B4A2">
            <w:pPr>
              <w:spacing w:line="360" w:lineRule="exact"/>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保证金退还：</w:t>
            </w:r>
          </w:p>
          <w:p w14:paraId="694A22A0">
            <w:pPr>
              <w:spacing w:line="360" w:lineRule="exact"/>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除招标文件规定不予退还情形外，</w:t>
            </w:r>
            <w:r>
              <w:rPr>
                <w:rFonts w:hint="eastAsia" w:cs="宋体" w:asciiTheme="minorEastAsia" w:hAnsiTheme="minorEastAsia"/>
                <w:color w:val="auto"/>
                <w:kern w:val="0"/>
                <w:sz w:val="24"/>
                <w:szCs w:val="24"/>
                <w:highlight w:val="none"/>
              </w:rPr>
              <w:t>自中标通知书发出之日起5个工作日内退还未中标供应商的投标保证金，自政府采购合同签订之日起5个工作日内退还中标供应商的投标保证金</w:t>
            </w:r>
            <w:r>
              <w:rPr>
                <w:rFonts w:hint="eastAsia" w:ascii="宋体" w:hAnsi="宋体" w:eastAsia="宋体" w:cs="宋体"/>
                <w:bCs/>
                <w:color w:val="auto"/>
                <w:sz w:val="24"/>
                <w:highlight w:val="none"/>
              </w:rPr>
              <w:t>。</w:t>
            </w:r>
          </w:p>
          <w:p w14:paraId="132AA6A8">
            <w:pPr>
              <w:rPr>
                <w:rFonts w:hint="eastAsia" w:ascii="宋体" w:hAnsi="宋体" w:eastAsia="宋体" w:cs="宋体"/>
                <w:color w:val="auto"/>
                <w:highlight w:val="none"/>
              </w:rPr>
            </w:pPr>
            <w:r>
              <w:rPr>
                <w:rFonts w:hint="eastAsia" w:ascii="宋体" w:hAnsi="宋体" w:eastAsia="宋体" w:cs="宋体"/>
                <w:bCs/>
                <w:color w:val="auto"/>
                <w:sz w:val="24"/>
                <w:highlight w:val="none"/>
              </w:rPr>
              <w:t>银行保函、保证金保险</w:t>
            </w:r>
            <w:r>
              <w:rPr>
                <w:rFonts w:hint="eastAsia" w:ascii="宋体" w:hAnsi="宋体" w:eastAsia="宋体" w:cs="宋体"/>
                <w:bCs/>
                <w:color w:val="auto"/>
                <w:sz w:val="24"/>
                <w:highlight w:val="none"/>
                <w:lang w:eastAsia="zh-CN"/>
              </w:rPr>
              <w:t>无须退还，</w:t>
            </w:r>
            <w:r>
              <w:rPr>
                <w:rFonts w:hint="eastAsia" w:ascii="宋体" w:hAnsi="宋体" w:eastAsia="宋体" w:cs="宋体"/>
                <w:bCs/>
                <w:color w:val="auto"/>
                <w:sz w:val="24"/>
                <w:highlight w:val="none"/>
              </w:rPr>
              <w:t>有效期过后自动失效。</w:t>
            </w:r>
          </w:p>
        </w:tc>
      </w:tr>
      <w:tr w14:paraId="7BBCF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803" w:type="dxa"/>
            <w:vMerge w:val="restart"/>
            <w:vAlign w:val="center"/>
          </w:tcPr>
          <w:p w14:paraId="4F8D9683">
            <w:pPr>
              <w:pStyle w:val="2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914" w:type="dxa"/>
            <w:gridSpan w:val="2"/>
            <w:vAlign w:val="center"/>
          </w:tcPr>
          <w:p w14:paraId="69E8395D">
            <w:pPr>
              <w:pStyle w:val="2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w:t>
            </w:r>
          </w:p>
        </w:tc>
        <w:tc>
          <w:tcPr>
            <w:tcW w:w="2564" w:type="dxa"/>
            <w:vAlign w:val="center"/>
          </w:tcPr>
          <w:p w14:paraId="5D169000">
            <w:pPr>
              <w:pStyle w:val="2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递交投标文件的截止时间（同开标时间）</w:t>
            </w:r>
          </w:p>
        </w:tc>
        <w:tc>
          <w:tcPr>
            <w:tcW w:w="5289" w:type="dxa"/>
            <w:vAlign w:val="center"/>
          </w:tcPr>
          <w:p w14:paraId="660082B5">
            <w:pPr>
              <w:rPr>
                <w:rFonts w:hint="eastAsia" w:ascii="宋体" w:hAnsi="宋体" w:eastAsia="宋体" w:cs="宋体"/>
                <w:color w:val="auto"/>
                <w:sz w:val="24"/>
                <w:highlight w:val="none"/>
              </w:rPr>
            </w:pPr>
            <w:r>
              <w:rPr>
                <w:rFonts w:hint="eastAsia" w:ascii="宋体" w:hAnsi="宋体" w:eastAsia="宋体" w:cs="宋体"/>
                <w:color w:val="auto"/>
                <w:sz w:val="24"/>
                <w:highlight w:val="none"/>
              </w:rPr>
              <w:t>截止时间：</w:t>
            </w:r>
            <w:r>
              <w:rPr>
                <w:rFonts w:hint="eastAsia" w:ascii="宋体" w:hAnsi="宋体" w:eastAsia="宋体" w:cs="宋体"/>
                <w:bCs/>
                <w:color w:val="auto"/>
                <w:spacing w:val="10"/>
                <w:sz w:val="24"/>
                <w:szCs w:val="22"/>
                <w:highlight w:val="none"/>
                <w:u w:val="none"/>
              </w:rPr>
              <w:t>202</w:t>
            </w:r>
            <w:r>
              <w:rPr>
                <w:rFonts w:hint="eastAsia" w:ascii="宋体" w:hAnsi="宋体" w:eastAsia="宋体" w:cs="宋体"/>
                <w:bCs/>
                <w:color w:val="auto"/>
                <w:spacing w:val="10"/>
                <w:sz w:val="24"/>
                <w:szCs w:val="22"/>
                <w:highlight w:val="none"/>
                <w:u w:val="none"/>
                <w:lang w:val="en-US" w:eastAsia="zh-CN"/>
              </w:rPr>
              <w:t>6</w:t>
            </w:r>
            <w:r>
              <w:rPr>
                <w:rFonts w:hint="eastAsia" w:ascii="宋体" w:hAnsi="宋体" w:eastAsia="宋体" w:cs="宋体"/>
                <w:bCs/>
                <w:color w:val="auto"/>
                <w:spacing w:val="10"/>
                <w:sz w:val="24"/>
                <w:szCs w:val="22"/>
                <w:highlight w:val="none"/>
                <w:u w:val="none"/>
              </w:rPr>
              <w:t>年</w:t>
            </w:r>
            <w:r>
              <w:rPr>
                <w:rFonts w:hint="eastAsia" w:ascii="宋体" w:hAnsi="宋体" w:cs="宋体"/>
                <w:color w:val="auto"/>
                <w:spacing w:val="10"/>
                <w:sz w:val="24"/>
                <w:szCs w:val="22"/>
                <w:highlight w:val="none"/>
                <w:u w:val="none"/>
                <w:lang w:val="en-US" w:eastAsia="zh-CN"/>
              </w:rPr>
              <w:t>6</w:t>
            </w:r>
            <w:r>
              <w:rPr>
                <w:rFonts w:hint="eastAsia" w:ascii="宋体" w:hAnsi="宋体" w:eastAsia="宋体" w:cs="宋体"/>
                <w:color w:val="auto"/>
                <w:spacing w:val="10"/>
                <w:sz w:val="24"/>
                <w:szCs w:val="22"/>
                <w:highlight w:val="none"/>
                <w:u w:val="none"/>
              </w:rPr>
              <w:t>月</w:t>
            </w:r>
            <w:r>
              <w:rPr>
                <w:rFonts w:hint="eastAsia" w:ascii="宋体" w:hAnsi="宋体" w:cs="宋体"/>
                <w:color w:val="auto"/>
                <w:spacing w:val="10"/>
                <w:sz w:val="24"/>
                <w:szCs w:val="22"/>
                <w:highlight w:val="none"/>
                <w:u w:val="none"/>
                <w:lang w:val="en-US" w:eastAsia="zh-CN"/>
              </w:rPr>
              <w:t>15</w:t>
            </w:r>
            <w:r>
              <w:rPr>
                <w:rFonts w:hint="eastAsia" w:ascii="宋体" w:hAnsi="宋体" w:eastAsia="宋体" w:cs="宋体"/>
                <w:color w:val="auto"/>
                <w:spacing w:val="10"/>
                <w:sz w:val="24"/>
                <w:szCs w:val="22"/>
                <w:highlight w:val="none"/>
                <w:u w:val="none"/>
              </w:rPr>
              <w:t>日</w:t>
            </w:r>
            <w:r>
              <w:rPr>
                <w:rFonts w:hint="eastAsia" w:ascii="宋体" w:hAnsi="宋体" w:cs="宋体"/>
                <w:color w:val="auto"/>
                <w:spacing w:val="10"/>
                <w:sz w:val="24"/>
                <w:szCs w:val="22"/>
                <w:highlight w:val="none"/>
                <w:u w:val="none"/>
                <w:lang w:val="en-US" w:eastAsia="zh-CN"/>
              </w:rPr>
              <w:t>09</w:t>
            </w:r>
            <w:r>
              <w:rPr>
                <w:rFonts w:hint="eastAsia" w:ascii="宋体" w:hAnsi="宋体" w:eastAsia="宋体" w:cs="宋体"/>
                <w:color w:val="auto"/>
                <w:spacing w:val="10"/>
                <w:sz w:val="24"/>
                <w:szCs w:val="22"/>
                <w:highlight w:val="none"/>
                <w:u w:val="none"/>
              </w:rPr>
              <w:t>:</w:t>
            </w:r>
            <w:r>
              <w:rPr>
                <w:rFonts w:hint="eastAsia" w:ascii="宋体" w:hAnsi="宋体" w:cs="宋体"/>
                <w:color w:val="auto"/>
                <w:spacing w:val="10"/>
                <w:sz w:val="24"/>
                <w:szCs w:val="22"/>
                <w:highlight w:val="none"/>
                <w:u w:val="none"/>
                <w:lang w:val="en-US" w:eastAsia="zh-CN"/>
              </w:rPr>
              <w:t>30</w:t>
            </w:r>
            <w:r>
              <w:rPr>
                <w:rFonts w:hint="eastAsia" w:ascii="宋体" w:hAnsi="宋体" w:eastAsia="宋体" w:cs="宋体"/>
                <w:color w:val="auto"/>
                <w:sz w:val="24"/>
                <w:highlight w:val="none"/>
              </w:rPr>
              <w:t>。</w:t>
            </w:r>
          </w:p>
        </w:tc>
      </w:tr>
      <w:tr w14:paraId="0B4DE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803" w:type="dxa"/>
            <w:vMerge w:val="continue"/>
            <w:vAlign w:val="center"/>
          </w:tcPr>
          <w:p w14:paraId="2E0017A8">
            <w:pPr>
              <w:pStyle w:val="21"/>
              <w:jc w:val="center"/>
              <w:rPr>
                <w:rFonts w:hint="eastAsia" w:ascii="宋体" w:hAnsi="宋体" w:eastAsia="宋体" w:cs="宋体"/>
                <w:color w:val="auto"/>
                <w:sz w:val="24"/>
                <w:szCs w:val="24"/>
                <w:highlight w:val="none"/>
              </w:rPr>
            </w:pPr>
          </w:p>
        </w:tc>
        <w:tc>
          <w:tcPr>
            <w:tcW w:w="914" w:type="dxa"/>
            <w:gridSpan w:val="2"/>
            <w:vAlign w:val="center"/>
          </w:tcPr>
          <w:p w14:paraId="48BAC4D9">
            <w:pPr>
              <w:pStyle w:val="2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w:t>
            </w:r>
          </w:p>
        </w:tc>
        <w:tc>
          <w:tcPr>
            <w:tcW w:w="2564" w:type="dxa"/>
            <w:vAlign w:val="center"/>
          </w:tcPr>
          <w:p w14:paraId="41F6CCC5">
            <w:pPr>
              <w:pStyle w:val="2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递交投标文件地点</w:t>
            </w:r>
          </w:p>
        </w:tc>
        <w:tc>
          <w:tcPr>
            <w:tcW w:w="5289" w:type="dxa"/>
            <w:vAlign w:val="center"/>
          </w:tcPr>
          <w:p w14:paraId="5EB03890">
            <w:pPr>
              <w:pStyle w:val="21"/>
              <w:jc w:val="left"/>
              <w:rPr>
                <w:rFonts w:hint="eastAsia" w:ascii="宋体" w:hAnsi="宋体" w:eastAsia="宋体" w:cs="宋体"/>
                <w:color w:val="auto"/>
                <w:kern w:val="0"/>
                <w:sz w:val="24"/>
                <w:highlight w:val="none"/>
              </w:rPr>
            </w:pPr>
            <w:r>
              <w:rPr>
                <w:rFonts w:hint="eastAsia" w:ascii="宋体" w:hAnsi="宋体" w:eastAsia="宋体" w:cs="宋体"/>
                <w:bCs/>
                <w:color w:val="auto"/>
                <w:spacing w:val="10"/>
                <w:sz w:val="24"/>
                <w:szCs w:val="22"/>
                <w:highlight w:val="none"/>
              </w:rPr>
              <w:t>通过政采云平台（https://www.zcygov.cn/）在线提交。</w:t>
            </w:r>
          </w:p>
        </w:tc>
      </w:tr>
      <w:tr w14:paraId="3D7C1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3" w:type="dxa"/>
            <w:vMerge w:val="continue"/>
            <w:vAlign w:val="center"/>
          </w:tcPr>
          <w:p w14:paraId="689E427E">
            <w:pPr>
              <w:pStyle w:val="21"/>
              <w:jc w:val="center"/>
              <w:rPr>
                <w:rFonts w:hint="eastAsia" w:ascii="宋体" w:hAnsi="宋体" w:eastAsia="宋体" w:cs="宋体"/>
                <w:color w:val="auto"/>
                <w:sz w:val="24"/>
                <w:szCs w:val="24"/>
                <w:highlight w:val="none"/>
              </w:rPr>
            </w:pPr>
          </w:p>
        </w:tc>
        <w:tc>
          <w:tcPr>
            <w:tcW w:w="914" w:type="dxa"/>
            <w:gridSpan w:val="2"/>
            <w:vAlign w:val="center"/>
          </w:tcPr>
          <w:p w14:paraId="396864D2">
            <w:pPr>
              <w:pStyle w:val="2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w:t>
            </w:r>
          </w:p>
        </w:tc>
        <w:tc>
          <w:tcPr>
            <w:tcW w:w="2564" w:type="dxa"/>
            <w:vAlign w:val="center"/>
          </w:tcPr>
          <w:p w14:paraId="25694664">
            <w:pPr>
              <w:pStyle w:val="2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是否退还投标文件</w:t>
            </w:r>
          </w:p>
        </w:tc>
        <w:tc>
          <w:tcPr>
            <w:tcW w:w="5289" w:type="dxa"/>
            <w:vAlign w:val="center"/>
          </w:tcPr>
          <w:p w14:paraId="621FFE4D">
            <w:pPr>
              <w:pStyle w:val="21"/>
              <w:ind w:firstLine="114"/>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fldChar w:fldCharType="begin"/>
            </w:r>
            <w:r>
              <w:rPr>
                <w:rFonts w:hint="eastAsia" w:ascii="宋体" w:hAnsi="宋体" w:eastAsia="宋体" w:cs="宋体"/>
                <w:b/>
                <w:color w:val="auto"/>
                <w:sz w:val="24"/>
                <w:szCs w:val="24"/>
                <w:highlight w:val="none"/>
              </w:rPr>
              <w:instrText xml:space="preserve"> EQ \o(□,√)</w:instrText>
            </w:r>
            <w:r>
              <w:rPr>
                <w:rFonts w:hint="eastAsia" w:ascii="宋体" w:hAnsi="宋体" w:eastAsia="宋体" w:cs="宋体"/>
                <w:b/>
                <w:color w:val="auto"/>
                <w:sz w:val="24"/>
                <w:szCs w:val="24"/>
                <w:highlight w:val="none"/>
              </w:rPr>
              <w:fldChar w:fldCharType="end"/>
            </w:r>
            <w:r>
              <w:rPr>
                <w:rFonts w:hint="eastAsia" w:ascii="宋体" w:hAnsi="宋体" w:eastAsia="宋体" w:cs="宋体"/>
                <w:color w:val="auto"/>
                <w:sz w:val="24"/>
                <w:szCs w:val="24"/>
                <w:highlight w:val="none"/>
              </w:rPr>
              <w:t>否  □是。</w:t>
            </w:r>
          </w:p>
        </w:tc>
      </w:tr>
      <w:tr w14:paraId="4F6BF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4" w:hRule="atLeast"/>
          <w:jc w:val="center"/>
        </w:trPr>
        <w:tc>
          <w:tcPr>
            <w:tcW w:w="1717" w:type="dxa"/>
            <w:gridSpan w:val="3"/>
            <w:vAlign w:val="center"/>
          </w:tcPr>
          <w:p w14:paraId="54C1D701">
            <w:pPr>
              <w:pStyle w:val="2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p>
        </w:tc>
        <w:tc>
          <w:tcPr>
            <w:tcW w:w="2564" w:type="dxa"/>
            <w:vAlign w:val="center"/>
          </w:tcPr>
          <w:p w14:paraId="3B9E90F6">
            <w:pPr>
              <w:pStyle w:val="2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开标时间和地点</w:t>
            </w:r>
          </w:p>
        </w:tc>
        <w:tc>
          <w:tcPr>
            <w:tcW w:w="5289" w:type="dxa"/>
            <w:vAlign w:val="center"/>
          </w:tcPr>
          <w:p w14:paraId="758C3D10">
            <w:pPr>
              <w:pStyle w:val="2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开标时间：</w:t>
            </w:r>
            <w:r>
              <w:rPr>
                <w:rFonts w:hint="eastAsia" w:ascii="宋体" w:hAnsi="宋体" w:eastAsia="宋体" w:cs="宋体"/>
                <w:bCs/>
                <w:color w:val="auto"/>
                <w:spacing w:val="10"/>
                <w:sz w:val="24"/>
                <w:szCs w:val="22"/>
                <w:highlight w:val="none"/>
                <w:u w:val="none"/>
              </w:rPr>
              <w:t>202</w:t>
            </w:r>
            <w:r>
              <w:rPr>
                <w:rFonts w:hint="eastAsia" w:ascii="宋体" w:hAnsi="宋体" w:eastAsia="宋体" w:cs="宋体"/>
                <w:bCs/>
                <w:color w:val="auto"/>
                <w:spacing w:val="10"/>
                <w:sz w:val="24"/>
                <w:szCs w:val="22"/>
                <w:highlight w:val="none"/>
                <w:u w:val="none"/>
                <w:lang w:val="en-US" w:eastAsia="zh-CN"/>
              </w:rPr>
              <w:t>6</w:t>
            </w:r>
            <w:r>
              <w:rPr>
                <w:rFonts w:hint="eastAsia" w:ascii="宋体" w:hAnsi="宋体" w:eastAsia="宋体" w:cs="宋体"/>
                <w:bCs/>
                <w:color w:val="auto"/>
                <w:spacing w:val="10"/>
                <w:sz w:val="24"/>
                <w:szCs w:val="22"/>
                <w:highlight w:val="none"/>
                <w:u w:val="none"/>
              </w:rPr>
              <w:t>年</w:t>
            </w:r>
            <w:r>
              <w:rPr>
                <w:rFonts w:hint="eastAsia" w:hAnsi="宋体" w:cs="宋体"/>
                <w:color w:val="auto"/>
                <w:spacing w:val="10"/>
                <w:sz w:val="24"/>
                <w:szCs w:val="22"/>
                <w:highlight w:val="none"/>
                <w:u w:val="none"/>
                <w:lang w:val="en-US" w:eastAsia="zh-CN"/>
              </w:rPr>
              <w:t>6</w:t>
            </w:r>
            <w:r>
              <w:rPr>
                <w:rFonts w:hint="eastAsia" w:ascii="宋体" w:hAnsi="宋体" w:eastAsia="宋体" w:cs="宋体"/>
                <w:color w:val="auto"/>
                <w:spacing w:val="10"/>
                <w:sz w:val="24"/>
                <w:szCs w:val="22"/>
                <w:highlight w:val="none"/>
                <w:u w:val="none"/>
              </w:rPr>
              <w:t>月</w:t>
            </w:r>
            <w:r>
              <w:rPr>
                <w:rFonts w:hint="eastAsia" w:hAnsi="宋体" w:cs="宋体"/>
                <w:color w:val="auto"/>
                <w:spacing w:val="10"/>
                <w:sz w:val="24"/>
                <w:szCs w:val="22"/>
                <w:highlight w:val="none"/>
                <w:u w:val="none"/>
                <w:lang w:val="en-US" w:eastAsia="zh-CN"/>
              </w:rPr>
              <w:t>15</w:t>
            </w:r>
            <w:r>
              <w:rPr>
                <w:rFonts w:hint="eastAsia" w:ascii="宋体" w:hAnsi="宋体" w:eastAsia="宋体" w:cs="宋体"/>
                <w:color w:val="auto"/>
                <w:spacing w:val="10"/>
                <w:sz w:val="24"/>
                <w:szCs w:val="22"/>
                <w:highlight w:val="none"/>
                <w:u w:val="none"/>
              </w:rPr>
              <w:t>日</w:t>
            </w:r>
            <w:r>
              <w:rPr>
                <w:rFonts w:hint="eastAsia" w:ascii="宋体" w:hAnsi="宋体" w:cs="宋体"/>
                <w:color w:val="auto"/>
                <w:spacing w:val="10"/>
                <w:sz w:val="24"/>
                <w:szCs w:val="22"/>
                <w:highlight w:val="none"/>
                <w:u w:val="none"/>
                <w:lang w:val="en-US" w:eastAsia="zh-CN"/>
              </w:rPr>
              <w:t>09</w:t>
            </w:r>
            <w:r>
              <w:rPr>
                <w:rFonts w:hint="eastAsia" w:ascii="宋体" w:hAnsi="宋体" w:eastAsia="宋体" w:cs="宋体"/>
                <w:color w:val="auto"/>
                <w:spacing w:val="10"/>
                <w:sz w:val="24"/>
                <w:szCs w:val="22"/>
                <w:highlight w:val="none"/>
                <w:u w:val="none"/>
              </w:rPr>
              <w:t>:</w:t>
            </w:r>
            <w:r>
              <w:rPr>
                <w:rFonts w:hint="eastAsia" w:hAnsi="宋体" w:cs="宋体"/>
                <w:color w:val="auto"/>
                <w:spacing w:val="10"/>
                <w:sz w:val="24"/>
                <w:szCs w:val="22"/>
                <w:highlight w:val="none"/>
                <w:u w:val="none"/>
                <w:lang w:val="en-US" w:eastAsia="zh-CN"/>
              </w:rPr>
              <w:t>3</w:t>
            </w:r>
            <w:r>
              <w:rPr>
                <w:rFonts w:hint="eastAsia" w:ascii="宋体" w:hAnsi="宋体" w:cs="宋体"/>
                <w:color w:val="auto"/>
                <w:spacing w:val="10"/>
                <w:sz w:val="24"/>
                <w:szCs w:val="22"/>
                <w:highlight w:val="none"/>
                <w:u w:val="none"/>
                <w:lang w:val="en-US" w:eastAsia="zh-CN"/>
              </w:rPr>
              <w:t>0</w:t>
            </w:r>
            <w:r>
              <w:rPr>
                <w:rFonts w:hint="eastAsia" w:ascii="宋体" w:hAnsi="宋体" w:eastAsia="宋体" w:cs="宋体"/>
                <w:color w:val="auto"/>
                <w:sz w:val="24"/>
                <w:highlight w:val="none"/>
              </w:rPr>
              <w:t>。</w:t>
            </w:r>
          </w:p>
          <w:p w14:paraId="556E48A8">
            <w:pPr>
              <w:pStyle w:val="2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开标地点：</w:t>
            </w:r>
            <w:r>
              <w:rPr>
                <w:rFonts w:hint="eastAsia" w:ascii="宋体" w:hAnsi="宋体" w:eastAsia="宋体" w:cs="宋体"/>
                <w:bCs/>
                <w:color w:val="auto"/>
                <w:spacing w:val="10"/>
                <w:sz w:val="24"/>
                <w:highlight w:val="none"/>
                <w:u w:val="single"/>
              </w:rPr>
              <w:t>云南众高工程咨询有限公司（昆明市盘龙区北辰大道1号美立方商业广场B座16楼）开标厅</w:t>
            </w:r>
            <w:r>
              <w:rPr>
                <w:rFonts w:hint="eastAsia" w:ascii="宋体" w:hAnsi="宋体" w:eastAsia="宋体" w:cs="宋体"/>
                <w:bCs/>
                <w:color w:val="auto"/>
                <w:spacing w:val="10"/>
                <w:sz w:val="24"/>
                <w:highlight w:val="none"/>
              </w:rPr>
              <w:t>。</w:t>
            </w:r>
          </w:p>
        </w:tc>
      </w:tr>
      <w:tr w14:paraId="72817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jc w:val="center"/>
        </w:trPr>
        <w:tc>
          <w:tcPr>
            <w:tcW w:w="1717" w:type="dxa"/>
            <w:gridSpan w:val="3"/>
            <w:vAlign w:val="center"/>
          </w:tcPr>
          <w:p w14:paraId="6E8C1620">
            <w:pPr>
              <w:pStyle w:val="2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p>
        </w:tc>
        <w:tc>
          <w:tcPr>
            <w:tcW w:w="2564" w:type="dxa"/>
            <w:vAlign w:val="center"/>
          </w:tcPr>
          <w:p w14:paraId="16B9B578">
            <w:pPr>
              <w:pStyle w:val="2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评标委员会组成</w:t>
            </w:r>
          </w:p>
        </w:tc>
        <w:tc>
          <w:tcPr>
            <w:tcW w:w="5289" w:type="dxa"/>
            <w:vAlign w:val="center"/>
          </w:tcPr>
          <w:p w14:paraId="75CAD6BC">
            <w:pPr>
              <w:pStyle w:val="21"/>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评标委员会的组成：评标委员会由</w:t>
            </w:r>
            <w:r>
              <w:rPr>
                <w:rFonts w:hint="eastAsia" w:ascii="宋体" w:hAnsi="宋体" w:eastAsia="宋体" w:cs="宋体"/>
                <w:bCs/>
                <w:color w:val="auto"/>
                <w:sz w:val="24"/>
                <w:highlight w:val="none"/>
                <w:lang w:eastAsia="zh-CN"/>
              </w:rPr>
              <w:t>采购人</w:t>
            </w:r>
            <w:r>
              <w:rPr>
                <w:rFonts w:hint="eastAsia" w:ascii="宋体" w:hAnsi="宋体" w:eastAsia="宋体" w:cs="宋体"/>
                <w:bCs/>
                <w:color w:val="auto"/>
                <w:sz w:val="24"/>
                <w:highlight w:val="none"/>
              </w:rPr>
              <w:t>代表和评审专家组成，成员人数为</w:t>
            </w:r>
            <w:r>
              <w:rPr>
                <w:rFonts w:hint="eastAsia" w:hAnsi="宋体" w:cs="宋体"/>
                <w:bCs/>
                <w:color w:val="auto"/>
                <w:sz w:val="24"/>
                <w:highlight w:val="none"/>
                <w:lang w:val="en-US" w:eastAsia="zh-CN"/>
              </w:rPr>
              <w:t>5</w:t>
            </w:r>
            <w:r>
              <w:rPr>
                <w:rFonts w:hint="eastAsia" w:ascii="宋体" w:hAnsi="宋体" w:eastAsia="宋体" w:cs="宋体"/>
                <w:bCs/>
                <w:color w:val="auto"/>
                <w:sz w:val="24"/>
                <w:highlight w:val="none"/>
              </w:rPr>
              <w:t>人或以上单数，其中，评审专家不得少于成员总数的三分之二。</w:t>
            </w:r>
          </w:p>
        </w:tc>
      </w:tr>
      <w:tr w14:paraId="4864F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jc w:val="center"/>
        </w:trPr>
        <w:tc>
          <w:tcPr>
            <w:tcW w:w="1717" w:type="dxa"/>
            <w:gridSpan w:val="3"/>
            <w:vAlign w:val="center"/>
          </w:tcPr>
          <w:p w14:paraId="45E082A4">
            <w:pPr>
              <w:pStyle w:val="2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p>
        </w:tc>
        <w:tc>
          <w:tcPr>
            <w:tcW w:w="2564" w:type="dxa"/>
            <w:vAlign w:val="center"/>
          </w:tcPr>
          <w:p w14:paraId="354E2906">
            <w:pPr>
              <w:pStyle w:val="2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评标办法</w:t>
            </w:r>
          </w:p>
        </w:tc>
        <w:tc>
          <w:tcPr>
            <w:tcW w:w="5289" w:type="dxa"/>
            <w:vAlign w:val="center"/>
          </w:tcPr>
          <w:p w14:paraId="326356A2">
            <w:pPr>
              <w:pStyle w:val="2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□最低评标价法。</w:t>
            </w:r>
          </w:p>
          <w:p w14:paraId="753B8288">
            <w:pPr>
              <w:pStyle w:val="21"/>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fldChar w:fldCharType="begin"/>
            </w:r>
            <w:r>
              <w:rPr>
                <w:rFonts w:hint="eastAsia" w:ascii="宋体" w:hAnsi="宋体" w:eastAsia="宋体" w:cs="宋体"/>
                <w:b/>
                <w:color w:val="auto"/>
                <w:sz w:val="24"/>
                <w:szCs w:val="24"/>
                <w:highlight w:val="none"/>
              </w:rPr>
              <w:instrText xml:space="preserve"> EQ \o(□,√)</w:instrText>
            </w:r>
            <w:r>
              <w:rPr>
                <w:rFonts w:hint="eastAsia" w:ascii="宋体" w:hAnsi="宋体" w:eastAsia="宋体" w:cs="宋体"/>
                <w:b/>
                <w:color w:val="auto"/>
                <w:sz w:val="24"/>
                <w:szCs w:val="24"/>
                <w:highlight w:val="none"/>
              </w:rPr>
              <w:fldChar w:fldCharType="end"/>
            </w:r>
            <w:r>
              <w:rPr>
                <w:rFonts w:hint="eastAsia" w:ascii="宋体" w:hAnsi="宋体" w:eastAsia="宋体" w:cs="宋体"/>
                <w:color w:val="auto"/>
                <w:sz w:val="24"/>
                <w:szCs w:val="24"/>
                <w:highlight w:val="none"/>
              </w:rPr>
              <w:t>综合评分法。</w:t>
            </w:r>
          </w:p>
        </w:tc>
      </w:tr>
      <w:tr w14:paraId="5C174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jc w:val="center"/>
        </w:trPr>
        <w:tc>
          <w:tcPr>
            <w:tcW w:w="1717" w:type="dxa"/>
            <w:gridSpan w:val="3"/>
            <w:vAlign w:val="center"/>
          </w:tcPr>
          <w:p w14:paraId="6A1CA91C">
            <w:pPr>
              <w:pStyle w:val="2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w:t>
            </w:r>
          </w:p>
        </w:tc>
        <w:tc>
          <w:tcPr>
            <w:tcW w:w="2564" w:type="dxa"/>
            <w:vAlign w:val="center"/>
          </w:tcPr>
          <w:p w14:paraId="4BADE57C">
            <w:pPr>
              <w:pStyle w:val="2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合同分包</w:t>
            </w:r>
          </w:p>
        </w:tc>
        <w:tc>
          <w:tcPr>
            <w:tcW w:w="5289" w:type="dxa"/>
            <w:vAlign w:val="center"/>
          </w:tcPr>
          <w:p w14:paraId="2A0918C0">
            <w:pPr>
              <w:pStyle w:val="2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本项目是否接受分包：是</w:t>
            </w:r>
            <w:r>
              <w:rPr>
                <w:rFonts w:hint="eastAsia" w:ascii="宋体" w:hAnsi="宋体" w:eastAsia="宋体" w:cs="宋体"/>
                <w:b/>
                <w:bCs/>
                <w:color w:val="auto"/>
                <w:sz w:val="24"/>
                <w:highlight w:val="none"/>
              </w:rPr>
              <w:t>□</w:t>
            </w:r>
            <w:r>
              <w:rPr>
                <w:rFonts w:hint="eastAsia" w:ascii="宋体" w:hAnsi="宋体" w:eastAsia="宋体" w:cs="宋体"/>
                <w:color w:val="auto"/>
                <w:sz w:val="24"/>
                <w:szCs w:val="24"/>
                <w:highlight w:val="none"/>
              </w:rPr>
              <w:t>否</w:t>
            </w:r>
            <w:r>
              <w:rPr>
                <w:rFonts w:hint="eastAsia" w:ascii="宋体" w:hAnsi="宋体" w:eastAsia="宋体" w:cs="宋体"/>
                <w:b/>
                <w:bCs/>
                <w:color w:val="auto"/>
                <w:sz w:val="24"/>
                <w:highlight w:val="none"/>
              </w:rPr>
              <w:fldChar w:fldCharType="begin"/>
            </w:r>
            <w:r>
              <w:rPr>
                <w:rFonts w:hint="eastAsia" w:ascii="宋体" w:hAnsi="宋体" w:eastAsia="宋体" w:cs="宋体"/>
                <w:b/>
                <w:bCs/>
                <w:color w:val="auto"/>
                <w:sz w:val="24"/>
                <w:highlight w:val="none"/>
              </w:rPr>
              <w:instrText xml:space="preserve"> EQ \o(□,√)</w:instrText>
            </w:r>
            <w:r>
              <w:rPr>
                <w:rFonts w:hint="eastAsia" w:ascii="宋体" w:hAnsi="宋体" w:eastAsia="宋体" w:cs="宋体"/>
                <w:b/>
                <w:bCs/>
                <w:color w:val="auto"/>
                <w:sz w:val="24"/>
                <w:highlight w:val="none"/>
              </w:rPr>
              <w:fldChar w:fldCharType="end"/>
            </w:r>
            <w:r>
              <w:rPr>
                <w:rFonts w:hint="eastAsia" w:ascii="宋体" w:hAnsi="宋体" w:eastAsia="宋体" w:cs="宋体"/>
                <w:b/>
                <w:bCs/>
                <w:color w:val="auto"/>
                <w:sz w:val="24"/>
                <w:highlight w:val="none"/>
              </w:rPr>
              <w:t>。</w:t>
            </w:r>
          </w:p>
        </w:tc>
      </w:tr>
      <w:tr w14:paraId="45A43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717" w:type="dxa"/>
            <w:gridSpan w:val="3"/>
            <w:vAlign w:val="center"/>
          </w:tcPr>
          <w:p w14:paraId="591714D5">
            <w:pPr>
              <w:pStyle w:val="2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w:t>
            </w:r>
          </w:p>
        </w:tc>
        <w:tc>
          <w:tcPr>
            <w:tcW w:w="2564" w:type="dxa"/>
            <w:vAlign w:val="center"/>
          </w:tcPr>
          <w:p w14:paraId="006A118E">
            <w:pPr>
              <w:pStyle w:val="2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履约保证金（实质性要求）</w:t>
            </w:r>
          </w:p>
        </w:tc>
        <w:tc>
          <w:tcPr>
            <w:tcW w:w="5289" w:type="dxa"/>
            <w:vAlign w:val="center"/>
          </w:tcPr>
          <w:p w14:paraId="5BEAD208">
            <w:pPr>
              <w:spacing w:line="400" w:lineRule="exact"/>
              <w:rPr>
                <w:rFonts w:hint="eastAsia" w:ascii="宋体" w:hAnsi="宋体" w:eastAsia="宋体" w:cs="宋体"/>
                <w:bCs/>
                <w:color w:val="auto"/>
                <w:kern w:val="2"/>
                <w:sz w:val="24"/>
                <w:szCs w:val="20"/>
                <w:highlight w:val="none"/>
                <w:lang w:val="en-US" w:eastAsia="zh-CN" w:bidi="ar-SA"/>
              </w:rPr>
            </w:pPr>
            <w:r>
              <w:rPr>
                <w:rFonts w:hint="eastAsia" w:ascii="宋体" w:hAnsi="宋体" w:eastAsia="宋体" w:cs="宋体"/>
                <w:bCs/>
                <w:color w:val="auto"/>
                <w:kern w:val="2"/>
                <w:sz w:val="24"/>
                <w:szCs w:val="20"/>
                <w:highlight w:val="none"/>
                <w:lang w:val="en-US" w:eastAsia="zh-CN" w:bidi="ar-SA"/>
              </w:rPr>
              <w:t>是否要求中标单位提交履约保证金：</w:t>
            </w:r>
          </w:p>
          <w:p w14:paraId="311544C7">
            <w:pPr>
              <w:spacing w:line="400" w:lineRule="exact"/>
              <w:rPr>
                <w:rFonts w:hint="eastAsia" w:ascii="宋体" w:hAnsi="宋体" w:eastAsia="宋体" w:cs="宋体"/>
                <w:bCs/>
                <w:color w:val="auto"/>
                <w:kern w:val="2"/>
                <w:sz w:val="24"/>
                <w:szCs w:val="20"/>
                <w:highlight w:val="none"/>
                <w:lang w:val="en-US" w:eastAsia="zh-CN" w:bidi="ar-SA"/>
              </w:rPr>
            </w:pPr>
            <w:r>
              <w:rPr>
                <w:rFonts w:hint="eastAsia" w:ascii="宋体" w:hAnsi="宋体" w:eastAsia="宋体" w:cs="宋体"/>
                <w:bCs/>
                <w:color w:val="auto"/>
                <w:kern w:val="2"/>
                <w:sz w:val="24"/>
                <w:szCs w:val="20"/>
                <w:highlight w:val="none"/>
                <w:lang w:val="en-US" w:eastAsia="zh-CN" w:bidi="ar-SA"/>
              </w:rPr>
              <w:sym w:font="Wingdings 2" w:char="0052"/>
            </w:r>
            <w:r>
              <w:rPr>
                <w:rFonts w:hint="eastAsia" w:ascii="宋体" w:hAnsi="宋体" w:eastAsia="宋体" w:cs="宋体"/>
                <w:bCs/>
                <w:color w:val="auto"/>
                <w:kern w:val="2"/>
                <w:sz w:val="24"/>
                <w:szCs w:val="20"/>
                <w:highlight w:val="none"/>
                <w:lang w:val="en-US" w:eastAsia="zh-CN" w:bidi="ar-SA"/>
              </w:rPr>
              <w:t>要求，履约保证金的形式：支票、汇票、本票</w:t>
            </w:r>
            <w:r>
              <w:rPr>
                <w:rFonts w:hint="eastAsia" w:ascii="宋体" w:hAnsi="宋体" w:cs="宋体"/>
                <w:bCs/>
                <w:color w:val="auto"/>
                <w:kern w:val="2"/>
                <w:sz w:val="24"/>
                <w:szCs w:val="20"/>
                <w:highlight w:val="none"/>
                <w:lang w:val="en-US" w:eastAsia="zh-CN" w:bidi="ar-SA"/>
              </w:rPr>
              <w:t>、转账</w:t>
            </w:r>
            <w:r>
              <w:rPr>
                <w:rFonts w:hint="eastAsia" w:ascii="宋体" w:hAnsi="宋体" w:eastAsia="宋体" w:cs="宋体"/>
                <w:bCs/>
                <w:color w:val="auto"/>
                <w:kern w:val="2"/>
                <w:sz w:val="24"/>
                <w:szCs w:val="20"/>
                <w:highlight w:val="none"/>
                <w:lang w:val="en-US" w:eastAsia="zh-CN" w:bidi="ar-SA"/>
              </w:rPr>
              <w:t>或者金融机构、担保机构出具的保函等非现金形式提交。</w:t>
            </w:r>
          </w:p>
          <w:p w14:paraId="54C8E1FD">
            <w:pPr>
              <w:spacing w:line="400" w:lineRule="exact"/>
              <w:rPr>
                <w:rFonts w:hint="eastAsia" w:ascii="宋体" w:hAnsi="宋体" w:eastAsia="宋体" w:cs="宋体"/>
                <w:bCs/>
                <w:color w:val="auto"/>
                <w:kern w:val="2"/>
                <w:sz w:val="24"/>
                <w:szCs w:val="20"/>
                <w:highlight w:val="none"/>
                <w:lang w:val="en-US" w:eastAsia="zh-CN" w:bidi="ar-SA"/>
              </w:rPr>
            </w:pPr>
            <w:r>
              <w:rPr>
                <w:rFonts w:hint="eastAsia" w:ascii="宋体" w:hAnsi="宋体" w:eastAsia="宋体" w:cs="宋体"/>
                <w:bCs/>
                <w:color w:val="auto"/>
                <w:kern w:val="2"/>
                <w:sz w:val="24"/>
                <w:szCs w:val="20"/>
                <w:highlight w:val="none"/>
                <w:lang w:val="en-US" w:eastAsia="zh-CN" w:bidi="ar-SA"/>
              </w:rPr>
              <w:t>履约保证金缴纳时间：合同签订后5个工作日内。</w:t>
            </w:r>
          </w:p>
          <w:p w14:paraId="72F2F3C0">
            <w:pPr>
              <w:spacing w:line="400" w:lineRule="exact"/>
              <w:rPr>
                <w:rFonts w:hint="eastAsia" w:ascii="宋体" w:hAnsi="宋体" w:eastAsia="宋体" w:cs="宋体"/>
                <w:bCs/>
                <w:color w:val="FF0000"/>
                <w:kern w:val="2"/>
                <w:sz w:val="24"/>
                <w:szCs w:val="20"/>
                <w:highlight w:val="none"/>
                <w:lang w:val="en-US" w:eastAsia="zh-CN" w:bidi="ar-SA"/>
              </w:rPr>
            </w:pPr>
            <w:r>
              <w:rPr>
                <w:rFonts w:hint="eastAsia" w:ascii="宋体" w:hAnsi="宋体" w:eastAsia="宋体" w:cs="宋体"/>
                <w:bCs/>
                <w:color w:val="auto"/>
                <w:kern w:val="2"/>
                <w:sz w:val="24"/>
                <w:szCs w:val="20"/>
                <w:highlight w:val="none"/>
                <w:lang w:val="en-US" w:eastAsia="zh-CN" w:bidi="ar-SA"/>
              </w:rPr>
              <w:t>履约保证金的金额：合同总金额的10%。</w:t>
            </w:r>
          </w:p>
          <w:p w14:paraId="3696052A">
            <w:pPr>
              <w:spacing w:line="400" w:lineRule="exact"/>
              <w:rPr>
                <w:rFonts w:hint="eastAsia" w:ascii="宋体" w:hAnsi="宋体" w:eastAsia="宋体" w:cs="宋体"/>
                <w:bCs/>
                <w:color w:val="auto"/>
                <w:kern w:val="2"/>
                <w:sz w:val="24"/>
                <w:szCs w:val="20"/>
                <w:highlight w:val="none"/>
                <w:lang w:val="en-US" w:eastAsia="zh-CN" w:bidi="ar-SA"/>
              </w:rPr>
            </w:pPr>
            <w:r>
              <w:rPr>
                <w:rFonts w:hint="eastAsia" w:ascii="宋体" w:hAnsi="宋体" w:eastAsia="宋体" w:cs="宋体"/>
                <w:bCs/>
                <w:color w:val="auto"/>
                <w:kern w:val="2"/>
                <w:sz w:val="24"/>
                <w:szCs w:val="20"/>
                <w:highlight w:val="none"/>
                <w:lang w:val="en-US" w:eastAsia="zh-CN" w:bidi="ar-SA"/>
              </w:rPr>
              <w:t>履约保证金的退还：项目验收合格后30天内，无质量问题退还（不计利息）。</w:t>
            </w:r>
          </w:p>
          <w:p w14:paraId="39A3C80F">
            <w:pPr>
              <w:pStyle w:val="16"/>
              <w:snapToGrid w:val="0"/>
              <w:spacing w:line="480" w:lineRule="exact"/>
              <w:ind w:left="0" w:leftChars="0"/>
              <w:rPr>
                <w:rFonts w:hint="eastAsia" w:ascii="宋体" w:hAnsi="宋体" w:eastAsia="宋体" w:cs="宋体"/>
                <w:b/>
                <w:color w:val="auto"/>
                <w:sz w:val="24"/>
                <w:highlight w:val="none"/>
              </w:rPr>
            </w:pPr>
            <w:r>
              <w:rPr>
                <w:rFonts w:hint="eastAsia" w:ascii="宋体" w:hAnsi="宋体" w:cs="宋体"/>
                <w:bCs/>
                <w:color w:val="auto"/>
                <w:kern w:val="2"/>
                <w:sz w:val="24"/>
                <w:szCs w:val="20"/>
                <w:highlight w:val="none"/>
                <w:lang w:val="en-US" w:eastAsia="zh-CN" w:bidi="ar-SA"/>
              </w:rPr>
              <w:t>□</w:t>
            </w:r>
            <w:r>
              <w:rPr>
                <w:rFonts w:hint="eastAsia" w:ascii="宋体" w:hAnsi="宋体" w:eastAsia="宋体" w:cs="宋体"/>
                <w:bCs/>
                <w:color w:val="auto"/>
                <w:kern w:val="2"/>
                <w:sz w:val="24"/>
                <w:szCs w:val="20"/>
                <w:highlight w:val="none"/>
                <w:lang w:val="en-US" w:eastAsia="zh-CN" w:bidi="ar-SA"/>
              </w:rPr>
              <w:t>不要求。后续关于履约保证金的规定和要求相应失效。</w:t>
            </w:r>
          </w:p>
        </w:tc>
      </w:tr>
      <w:tr w14:paraId="5D706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1717" w:type="dxa"/>
            <w:gridSpan w:val="3"/>
            <w:vAlign w:val="center"/>
          </w:tcPr>
          <w:p w14:paraId="65D844F8">
            <w:pPr>
              <w:pStyle w:val="2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w:t>
            </w:r>
          </w:p>
        </w:tc>
        <w:tc>
          <w:tcPr>
            <w:tcW w:w="7853" w:type="dxa"/>
            <w:gridSpan w:val="2"/>
            <w:vAlign w:val="center"/>
          </w:tcPr>
          <w:p w14:paraId="483E68C4">
            <w:pPr>
              <w:pStyle w:val="2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需要补充的其他内容</w:t>
            </w:r>
          </w:p>
        </w:tc>
      </w:tr>
      <w:tr w14:paraId="1BAF4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717" w:type="dxa"/>
            <w:gridSpan w:val="3"/>
            <w:vAlign w:val="center"/>
          </w:tcPr>
          <w:p w14:paraId="5B52D242">
            <w:pPr>
              <w:pStyle w:val="21"/>
              <w:ind w:firstLine="600" w:firstLineChars="2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p>
        </w:tc>
        <w:tc>
          <w:tcPr>
            <w:tcW w:w="7853" w:type="dxa"/>
            <w:gridSpan w:val="2"/>
            <w:vAlign w:val="center"/>
          </w:tcPr>
          <w:p w14:paraId="5CF60AD1">
            <w:pPr>
              <w:spacing w:line="400" w:lineRule="exact"/>
              <w:rPr>
                <w:rFonts w:hint="eastAsia" w:ascii="宋体" w:hAnsi="宋体" w:eastAsia="宋体" w:cs="宋体"/>
                <w:b/>
                <w:color w:val="auto"/>
                <w:kern w:val="0"/>
                <w:sz w:val="24"/>
                <w:szCs w:val="20"/>
                <w:highlight w:val="none"/>
                <w:u w:val="none"/>
              </w:rPr>
            </w:pPr>
            <w:r>
              <w:rPr>
                <w:rFonts w:hint="eastAsia" w:ascii="宋体" w:hAnsi="宋体" w:eastAsia="宋体" w:cs="宋体"/>
                <w:b/>
                <w:color w:val="auto"/>
                <w:sz w:val="24"/>
                <w:highlight w:val="none"/>
              </w:rPr>
              <w:t>预算金额即最高限价（实质性要求）</w:t>
            </w:r>
            <w:r>
              <w:rPr>
                <w:rFonts w:hint="eastAsia" w:ascii="宋体" w:hAnsi="宋体" w:eastAsia="宋体" w:cs="宋体"/>
                <w:b/>
                <w:color w:val="auto"/>
                <w:kern w:val="0"/>
                <w:sz w:val="24"/>
                <w:szCs w:val="20"/>
                <w:highlight w:val="none"/>
                <w:u w:val="none"/>
                <w:lang w:eastAsia="zh-CN"/>
              </w:rPr>
              <w:t>：</w:t>
            </w:r>
            <w:r>
              <w:rPr>
                <w:rFonts w:hint="eastAsia" w:ascii="宋体" w:hAnsi="宋体" w:cs="宋体"/>
                <w:b/>
                <w:color w:val="auto"/>
                <w:kern w:val="0"/>
                <w:sz w:val="24"/>
                <w:szCs w:val="20"/>
                <w:highlight w:val="none"/>
                <w:u w:val="none"/>
                <w:lang w:val="en-US" w:eastAsia="zh-CN"/>
              </w:rPr>
              <w:t>20.82万</w:t>
            </w:r>
            <w:r>
              <w:rPr>
                <w:rFonts w:hint="eastAsia" w:ascii="宋体" w:hAnsi="宋体" w:eastAsia="宋体" w:cs="宋体"/>
                <w:b/>
                <w:color w:val="auto"/>
                <w:kern w:val="0"/>
                <w:sz w:val="24"/>
                <w:szCs w:val="20"/>
                <w:highlight w:val="none"/>
                <w:u w:val="none"/>
              </w:rPr>
              <w:t>元。</w:t>
            </w:r>
          </w:p>
          <w:p w14:paraId="15039C2B">
            <w:pPr>
              <w:pStyle w:val="21"/>
              <w:spacing w:line="400" w:lineRule="exact"/>
              <w:ind w:left="-1"/>
              <w:jc w:val="left"/>
              <w:rPr>
                <w:rFonts w:hint="eastAsia" w:ascii="宋体" w:hAnsi="宋体" w:eastAsia="宋体" w:cs="宋体"/>
                <w:color w:val="auto"/>
                <w:sz w:val="24"/>
                <w:szCs w:val="24"/>
                <w:highlight w:val="none"/>
              </w:rPr>
            </w:pPr>
            <w:r>
              <w:rPr>
                <w:rFonts w:hint="eastAsia" w:ascii="宋体" w:hAnsi="宋体" w:eastAsia="宋体" w:cs="宋体"/>
                <w:b/>
                <w:color w:val="auto"/>
                <w:kern w:val="0"/>
                <w:sz w:val="24"/>
                <w:highlight w:val="none"/>
              </w:rPr>
              <w:t>备注：在采购过程中符合竞争要求的投标人或者报价未超过本</w:t>
            </w:r>
            <w:r>
              <w:rPr>
                <w:rFonts w:hint="eastAsia" w:hAnsi="宋体" w:cs="宋体"/>
                <w:b/>
                <w:color w:val="auto"/>
                <w:kern w:val="0"/>
                <w:sz w:val="24"/>
                <w:highlight w:val="none"/>
                <w:lang w:val="en-US" w:eastAsia="zh-CN"/>
              </w:rPr>
              <w:t>项目</w:t>
            </w:r>
            <w:r>
              <w:rPr>
                <w:rFonts w:hint="eastAsia" w:ascii="宋体" w:hAnsi="宋体" w:eastAsia="宋体" w:cs="宋体"/>
                <w:b/>
                <w:color w:val="auto"/>
                <w:sz w:val="24"/>
                <w:highlight w:val="none"/>
              </w:rPr>
              <w:t>最高限价</w:t>
            </w:r>
            <w:r>
              <w:rPr>
                <w:rFonts w:hint="eastAsia" w:ascii="宋体" w:hAnsi="宋体" w:eastAsia="宋体" w:cs="宋体"/>
                <w:b/>
                <w:color w:val="auto"/>
                <w:kern w:val="0"/>
                <w:sz w:val="24"/>
                <w:highlight w:val="none"/>
              </w:rPr>
              <w:t>的投标人不足3家的，</w:t>
            </w:r>
            <w:r>
              <w:rPr>
                <w:rFonts w:hint="eastAsia" w:ascii="宋体" w:hAnsi="宋体" w:eastAsia="宋体" w:cs="宋体"/>
                <w:b/>
                <w:color w:val="auto"/>
                <w:kern w:val="0"/>
                <w:sz w:val="24"/>
                <w:highlight w:val="none"/>
                <w:lang w:eastAsia="zh-CN"/>
              </w:rPr>
              <w:t>采购人</w:t>
            </w:r>
            <w:r>
              <w:rPr>
                <w:rFonts w:hint="eastAsia" w:ascii="宋体" w:hAnsi="宋体" w:eastAsia="宋体" w:cs="宋体"/>
                <w:b/>
                <w:color w:val="auto"/>
                <w:kern w:val="0"/>
                <w:sz w:val="24"/>
                <w:highlight w:val="none"/>
              </w:rPr>
              <w:t>将终止采购活动</w:t>
            </w:r>
            <w:r>
              <w:rPr>
                <w:rFonts w:hint="eastAsia" w:ascii="宋体" w:hAnsi="宋体" w:eastAsia="宋体" w:cs="宋体"/>
                <w:b/>
                <w:color w:val="auto"/>
                <w:kern w:val="0"/>
                <w:sz w:val="24"/>
                <w:highlight w:val="none"/>
                <w:lang w:eastAsia="zh-CN"/>
              </w:rPr>
              <w:t>，在</w:t>
            </w:r>
            <w:r>
              <w:rPr>
                <w:rFonts w:hint="eastAsia" w:ascii="宋体" w:hAnsi="宋体" w:eastAsia="宋体" w:cs="宋体"/>
                <w:b/>
                <w:color w:val="auto"/>
                <w:kern w:val="0"/>
                <w:sz w:val="24"/>
                <w:highlight w:val="none"/>
              </w:rPr>
              <w:t>发布项目终止公告并说明原因后，重新开展采购活动。</w:t>
            </w:r>
          </w:p>
        </w:tc>
      </w:tr>
      <w:tr w14:paraId="561B1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695" w:type="dxa"/>
            <w:gridSpan w:val="2"/>
            <w:vAlign w:val="center"/>
          </w:tcPr>
          <w:p w14:paraId="0E860D33">
            <w:pPr>
              <w:pStyle w:val="21"/>
              <w:ind w:firstLine="600" w:firstLineChars="2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p>
        </w:tc>
        <w:tc>
          <w:tcPr>
            <w:tcW w:w="7875" w:type="dxa"/>
            <w:gridSpan w:val="3"/>
            <w:vAlign w:val="center"/>
          </w:tcPr>
          <w:p w14:paraId="402D87B8">
            <w:pPr>
              <w:pStyle w:val="21"/>
              <w:tabs>
                <w:tab w:val="left" w:pos="312"/>
              </w:tabs>
              <w:spacing w:line="400" w:lineRule="exact"/>
              <w:jc w:val="left"/>
              <w:rPr>
                <w:rFonts w:hint="eastAsia" w:ascii="宋体" w:hAnsi="宋体" w:eastAsia="宋体" w:cs="宋体"/>
                <w:color w:val="auto"/>
                <w:sz w:val="24"/>
                <w:szCs w:val="24"/>
                <w:highlight w:val="none"/>
              </w:rPr>
            </w:pPr>
            <w:r>
              <w:rPr>
                <w:rFonts w:hint="eastAsia" w:ascii="宋体" w:hAnsi="宋体" w:eastAsia="宋体" w:cs="宋体"/>
                <w:b/>
                <w:color w:val="auto"/>
                <w:kern w:val="0"/>
                <w:sz w:val="24"/>
                <w:highlight w:val="none"/>
              </w:rPr>
              <w:t>投标人投标报价的总价有且只能有一个，报价应当包含（不限于）：货物价格、装卸运输费、安装费、调试费、差旅费、质保期内备品备件费</w:t>
            </w:r>
            <w:r>
              <w:rPr>
                <w:rFonts w:hint="eastAsia" w:ascii="宋体" w:hAnsi="宋体" w:eastAsia="宋体" w:cs="宋体"/>
                <w:b/>
                <w:color w:val="auto"/>
                <w:kern w:val="0"/>
                <w:sz w:val="24"/>
                <w:highlight w:val="none"/>
                <w:lang w:eastAsia="zh-CN"/>
              </w:rPr>
              <w:t>、</w:t>
            </w:r>
            <w:r>
              <w:rPr>
                <w:rFonts w:hint="eastAsia" w:ascii="宋体" w:hAnsi="宋体" w:eastAsia="宋体" w:cs="宋体"/>
                <w:b/>
                <w:color w:val="auto"/>
                <w:kern w:val="0"/>
                <w:sz w:val="24"/>
                <w:highlight w:val="none"/>
              </w:rPr>
              <w:t>售后服务费、保险费、税金、</w:t>
            </w:r>
            <w:r>
              <w:rPr>
                <w:rFonts w:hint="eastAsia" w:ascii="宋体" w:hAnsi="宋体" w:eastAsia="宋体" w:cs="宋体"/>
                <w:b/>
                <w:color w:val="auto"/>
                <w:kern w:val="0"/>
                <w:sz w:val="24"/>
                <w:highlight w:val="none"/>
                <w:lang w:eastAsia="zh-CN"/>
              </w:rPr>
              <w:t>中标服务费</w:t>
            </w:r>
            <w:r>
              <w:rPr>
                <w:rFonts w:hint="eastAsia" w:ascii="宋体" w:hAnsi="宋体" w:eastAsia="宋体" w:cs="宋体"/>
                <w:b/>
                <w:color w:val="auto"/>
                <w:kern w:val="0"/>
                <w:sz w:val="24"/>
                <w:highlight w:val="none"/>
              </w:rPr>
              <w:t>等</w:t>
            </w:r>
            <w:r>
              <w:rPr>
                <w:rFonts w:hint="eastAsia" w:hAnsi="宋体" w:cs="宋体"/>
                <w:b/>
                <w:color w:val="auto"/>
                <w:kern w:val="0"/>
                <w:sz w:val="24"/>
                <w:highlight w:val="none"/>
                <w:lang w:val="en-US" w:eastAsia="zh-CN"/>
              </w:rPr>
              <w:t>完成本项目所需的</w:t>
            </w:r>
            <w:r>
              <w:rPr>
                <w:rFonts w:hint="eastAsia" w:ascii="宋体" w:hAnsi="宋体" w:eastAsia="宋体" w:cs="宋体"/>
                <w:b/>
                <w:color w:val="auto"/>
                <w:kern w:val="0"/>
                <w:sz w:val="24"/>
                <w:highlight w:val="none"/>
              </w:rPr>
              <w:t>所有费用。</w:t>
            </w:r>
          </w:p>
        </w:tc>
      </w:tr>
      <w:tr w14:paraId="454C0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695" w:type="dxa"/>
            <w:gridSpan w:val="2"/>
            <w:vAlign w:val="center"/>
          </w:tcPr>
          <w:p w14:paraId="6EDFF9E7">
            <w:pPr>
              <w:pStyle w:val="21"/>
              <w:ind w:firstLine="600" w:firstLineChars="2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p>
        </w:tc>
        <w:tc>
          <w:tcPr>
            <w:tcW w:w="7875" w:type="dxa"/>
            <w:gridSpan w:val="3"/>
            <w:vAlign w:val="center"/>
          </w:tcPr>
          <w:p w14:paraId="2BB3D644">
            <w:pPr>
              <w:pStyle w:val="21"/>
              <w:tabs>
                <w:tab w:val="left" w:pos="312"/>
              </w:tabs>
              <w:spacing w:line="400" w:lineRule="exact"/>
              <w:rPr>
                <w:rFonts w:hint="eastAsia" w:ascii="宋体" w:hAnsi="宋体" w:eastAsia="宋体" w:cs="宋体"/>
                <w:b/>
                <w:color w:val="auto"/>
                <w:kern w:val="0"/>
                <w:sz w:val="24"/>
                <w:highlight w:val="none"/>
                <w:lang w:val="en-US" w:eastAsia="zh-CN"/>
              </w:rPr>
            </w:pPr>
            <w:r>
              <w:rPr>
                <w:rFonts w:hint="eastAsia" w:ascii="宋体" w:hAnsi="宋体" w:eastAsia="宋体" w:cs="宋体"/>
                <w:b/>
                <w:color w:val="auto"/>
                <w:kern w:val="0"/>
                <w:sz w:val="24"/>
                <w:highlight w:val="none"/>
              </w:rPr>
              <w:t>付款方式：</w:t>
            </w:r>
            <w:r>
              <w:rPr>
                <w:rFonts w:hint="eastAsia" w:hAnsi="宋体" w:cs="宋体"/>
                <w:b/>
                <w:color w:val="auto"/>
                <w:kern w:val="0"/>
                <w:sz w:val="24"/>
                <w:highlight w:val="none"/>
                <w:lang w:eastAsia="zh-CN"/>
              </w:rPr>
              <w:t>合同签订生效后，乙方开具符合甲方要求的等额增值税/普通发票，甲方在收到发票后15个工作日内</w:t>
            </w:r>
            <w:r>
              <w:rPr>
                <w:rFonts w:hint="eastAsia" w:hAnsi="宋体" w:cs="宋体"/>
                <w:b/>
                <w:color w:val="auto"/>
                <w:kern w:val="0"/>
                <w:sz w:val="24"/>
                <w:highlight w:val="none"/>
                <w:lang w:val="en-US" w:eastAsia="zh-CN"/>
              </w:rPr>
              <w:t>可</w:t>
            </w:r>
            <w:r>
              <w:rPr>
                <w:rFonts w:hint="eastAsia" w:hAnsi="宋体" w:cs="宋体"/>
                <w:b/>
                <w:color w:val="auto"/>
                <w:kern w:val="0"/>
                <w:sz w:val="24"/>
                <w:highlight w:val="none"/>
                <w:lang w:eastAsia="zh-CN"/>
              </w:rPr>
              <w:t>支付合同总价的</w:t>
            </w:r>
            <w:r>
              <w:rPr>
                <w:rFonts w:hint="eastAsia" w:hAnsi="宋体" w:cs="宋体"/>
                <w:b/>
                <w:color w:val="auto"/>
                <w:kern w:val="0"/>
                <w:sz w:val="24"/>
                <w:highlight w:val="none"/>
                <w:u w:val="single"/>
                <w:lang w:eastAsia="zh-CN"/>
              </w:rPr>
              <w:t>80%</w:t>
            </w:r>
            <w:r>
              <w:rPr>
                <w:rFonts w:hint="eastAsia" w:hAnsi="宋体" w:cs="宋体"/>
                <w:b/>
                <w:color w:val="auto"/>
                <w:kern w:val="0"/>
                <w:sz w:val="24"/>
                <w:highlight w:val="none"/>
                <w:lang w:eastAsia="zh-CN"/>
              </w:rPr>
              <w:t>；项目验收合格后，乙方开具剩余金额的等额增值税发票/普通发票，甲方在收到发票后15个工作日内支付剩余</w:t>
            </w:r>
            <w:r>
              <w:rPr>
                <w:rFonts w:hint="eastAsia" w:hAnsi="宋体" w:cs="宋体"/>
                <w:b/>
                <w:color w:val="auto"/>
                <w:kern w:val="0"/>
                <w:sz w:val="24"/>
                <w:highlight w:val="none"/>
                <w:u w:val="single"/>
                <w:lang w:eastAsia="zh-CN"/>
              </w:rPr>
              <w:t>20%</w:t>
            </w:r>
            <w:r>
              <w:rPr>
                <w:rFonts w:hint="eastAsia" w:hAnsi="宋体" w:cs="宋体"/>
                <w:b/>
                <w:color w:val="auto"/>
                <w:kern w:val="0"/>
                <w:sz w:val="24"/>
                <w:highlight w:val="none"/>
                <w:lang w:eastAsia="zh-CN"/>
              </w:rPr>
              <w:t>的合同价款。甲方付款以乙方已经开具符合甲方要求的合法等额增值税发票/普通发票为前提，若乙方没有提供同等金额的发票，甲方有权拒绝付款，造成的延迟付款不视为违约。</w:t>
            </w:r>
          </w:p>
        </w:tc>
      </w:tr>
      <w:tr w14:paraId="14858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695" w:type="dxa"/>
            <w:gridSpan w:val="2"/>
            <w:vAlign w:val="center"/>
          </w:tcPr>
          <w:p w14:paraId="426D0B3D">
            <w:pPr>
              <w:pStyle w:val="21"/>
              <w:spacing w:line="360" w:lineRule="exact"/>
              <w:ind w:firstLine="600" w:firstLineChars="2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p>
        </w:tc>
        <w:tc>
          <w:tcPr>
            <w:tcW w:w="7875" w:type="dxa"/>
            <w:gridSpan w:val="3"/>
            <w:vAlign w:val="center"/>
          </w:tcPr>
          <w:p w14:paraId="03A12BC1">
            <w:pPr>
              <w:pStyle w:val="16"/>
              <w:snapToGrid w:val="0"/>
              <w:spacing w:line="400" w:lineRule="exact"/>
              <w:ind w:left="416" w:leftChars="3" w:hanging="410" w:hangingChars="158"/>
              <w:rPr>
                <w:rFonts w:hint="eastAsia" w:ascii="宋体" w:hAnsi="宋体" w:eastAsia="宋体" w:cs="宋体"/>
                <w:b/>
                <w:color w:val="auto"/>
                <w:spacing w:val="10"/>
                <w:sz w:val="24"/>
                <w:highlight w:val="none"/>
              </w:rPr>
            </w:pPr>
            <w:r>
              <w:rPr>
                <w:rFonts w:hint="eastAsia" w:ascii="宋体" w:hAnsi="宋体" w:eastAsia="宋体" w:cs="宋体"/>
                <w:b/>
                <w:color w:val="auto"/>
                <w:spacing w:val="10"/>
                <w:sz w:val="24"/>
                <w:highlight w:val="none"/>
              </w:rPr>
              <w:t>本项目所属行业为</w:t>
            </w:r>
            <w:r>
              <w:rPr>
                <w:rFonts w:hint="eastAsia" w:ascii="宋体" w:hAnsi="宋体" w:eastAsia="宋体" w:cs="宋体"/>
                <w:b/>
                <w:color w:val="auto"/>
                <w:spacing w:val="10"/>
                <w:sz w:val="24"/>
                <w:highlight w:val="none"/>
                <w:lang w:eastAsia="zh-CN"/>
              </w:rPr>
              <w:t>：</w:t>
            </w:r>
            <w:r>
              <w:rPr>
                <w:rFonts w:hint="eastAsia" w:ascii="宋体" w:hAnsi="宋体" w:eastAsia="宋体" w:cs="宋体"/>
                <w:b/>
                <w:color w:val="auto"/>
                <w:spacing w:val="10"/>
                <w:sz w:val="24"/>
                <w:highlight w:val="none"/>
                <w:u w:val="single"/>
                <w:lang w:val="en-US" w:eastAsia="zh-CN"/>
              </w:rPr>
              <w:t>工业</w:t>
            </w:r>
            <w:r>
              <w:rPr>
                <w:rFonts w:hint="eastAsia" w:ascii="宋体" w:hAnsi="宋体" w:eastAsia="宋体" w:cs="宋体"/>
                <w:b/>
                <w:color w:val="auto"/>
                <w:spacing w:val="10"/>
                <w:sz w:val="24"/>
                <w:highlight w:val="none"/>
              </w:rPr>
              <w:t>。</w:t>
            </w:r>
          </w:p>
        </w:tc>
      </w:tr>
      <w:tr w14:paraId="786B9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695" w:type="dxa"/>
            <w:gridSpan w:val="2"/>
            <w:vAlign w:val="center"/>
          </w:tcPr>
          <w:p w14:paraId="6FF85ECD">
            <w:pPr>
              <w:pStyle w:val="21"/>
              <w:spacing w:line="360" w:lineRule="exact"/>
              <w:ind w:firstLine="600" w:firstLineChars="2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w:t>
            </w:r>
          </w:p>
        </w:tc>
        <w:tc>
          <w:tcPr>
            <w:tcW w:w="7875" w:type="dxa"/>
            <w:gridSpan w:val="3"/>
            <w:vAlign w:val="center"/>
          </w:tcPr>
          <w:p w14:paraId="5C9E459F">
            <w:pPr>
              <w:pStyle w:val="21"/>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①本项目采用电子招标，投标文件要求盖章处可盖鲜章原件扫描或者加盖电子签章</w:t>
            </w:r>
            <w:r>
              <w:rPr>
                <w:rFonts w:hint="eastAsia" w:ascii="宋体" w:hAnsi="宋体" w:eastAsia="宋体" w:cs="宋体"/>
                <w:color w:val="auto"/>
                <w:sz w:val="24"/>
                <w:szCs w:val="24"/>
                <w:highlight w:val="none"/>
                <w:lang w:eastAsia="zh-CN"/>
              </w:rPr>
              <w:t>。</w:t>
            </w:r>
          </w:p>
          <w:p w14:paraId="4C601467">
            <w:pPr>
              <w:pStyle w:val="21"/>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②在对投标文件进行盖章、签名时，不能遮盖投标文件的评审关键内容，因签章、签字遮盖投标文件关键内容而影响评审的，责任由投标人承担。</w:t>
            </w:r>
          </w:p>
        </w:tc>
      </w:tr>
      <w:tr w14:paraId="46D05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695" w:type="dxa"/>
            <w:gridSpan w:val="2"/>
            <w:vAlign w:val="center"/>
          </w:tcPr>
          <w:p w14:paraId="01D0769F">
            <w:pPr>
              <w:pStyle w:val="21"/>
              <w:spacing w:line="360" w:lineRule="exact"/>
              <w:ind w:firstLine="600" w:firstLineChars="2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w:t>
            </w:r>
          </w:p>
        </w:tc>
        <w:tc>
          <w:tcPr>
            <w:tcW w:w="7875" w:type="dxa"/>
            <w:gridSpan w:val="3"/>
            <w:vAlign w:val="center"/>
          </w:tcPr>
          <w:p w14:paraId="37DE8F58">
            <w:pPr>
              <w:pStyle w:val="16"/>
              <w:snapToGrid w:val="0"/>
              <w:spacing w:line="400" w:lineRule="exact"/>
              <w:ind w:left="0" w:leftChars="0"/>
              <w:jc w:val="left"/>
              <w:rPr>
                <w:rFonts w:hint="eastAsia" w:ascii="宋体" w:hAnsi="宋体" w:eastAsia="宋体" w:cs="宋体"/>
                <w:b/>
                <w:color w:val="auto"/>
                <w:spacing w:val="10"/>
                <w:sz w:val="24"/>
                <w:highlight w:val="none"/>
              </w:rPr>
            </w:pPr>
            <w:r>
              <w:rPr>
                <w:rFonts w:hint="eastAsia" w:ascii="宋体" w:hAnsi="宋体" w:eastAsia="宋体" w:cs="宋体"/>
                <w:b/>
                <w:color w:val="auto"/>
                <w:sz w:val="24"/>
                <w:highlight w:val="none"/>
              </w:rPr>
              <w:t>同义词：</w:t>
            </w:r>
            <w:r>
              <w:rPr>
                <w:rFonts w:hint="eastAsia" w:ascii="宋体" w:hAnsi="宋体" w:eastAsia="宋体" w:cs="宋体"/>
                <w:color w:val="auto"/>
                <w:sz w:val="24"/>
                <w:highlight w:val="none"/>
              </w:rPr>
              <w:t>在本招标文件中，“采购人”和“</w:t>
            </w:r>
            <w:r>
              <w:rPr>
                <w:rFonts w:hint="eastAsia" w:ascii="宋体" w:hAnsi="宋体" w:cs="宋体"/>
                <w:color w:val="auto"/>
                <w:sz w:val="24"/>
                <w:highlight w:val="none"/>
                <w:lang w:eastAsia="zh-CN"/>
              </w:rPr>
              <w:t>采购人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供应商”和“投标人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采购文件”和“招标文件</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采购代理”和“招标代理”等内容</w:t>
            </w:r>
            <w:r>
              <w:rPr>
                <w:rFonts w:hint="eastAsia" w:ascii="宋体" w:hAnsi="宋体" w:eastAsia="宋体" w:cs="宋体"/>
                <w:color w:val="auto"/>
                <w:sz w:val="24"/>
                <w:highlight w:val="none"/>
                <w:lang w:val="en-US" w:eastAsia="zh-CN"/>
              </w:rPr>
              <w:t>按</w:t>
            </w:r>
            <w:r>
              <w:rPr>
                <w:rFonts w:hint="eastAsia" w:ascii="宋体" w:hAnsi="宋体" w:eastAsia="宋体" w:cs="宋体"/>
                <w:color w:val="auto"/>
                <w:sz w:val="24"/>
                <w:highlight w:val="none"/>
              </w:rPr>
              <w:t>同义词理解，如有疑问请及时与</w:t>
            </w:r>
            <w:r>
              <w:rPr>
                <w:rFonts w:hint="eastAsia" w:ascii="宋体" w:hAnsi="宋体" w:eastAsia="宋体" w:cs="宋体"/>
                <w:color w:val="auto"/>
                <w:sz w:val="24"/>
                <w:highlight w:val="none"/>
                <w:lang w:eastAsia="zh-CN"/>
              </w:rPr>
              <w:t>采购代理</w:t>
            </w:r>
            <w:r>
              <w:rPr>
                <w:rFonts w:hint="eastAsia" w:ascii="宋体" w:hAnsi="宋体" w:eastAsia="宋体" w:cs="宋体"/>
                <w:color w:val="auto"/>
                <w:sz w:val="24"/>
                <w:highlight w:val="none"/>
              </w:rPr>
              <w:t>公司联系。</w:t>
            </w:r>
          </w:p>
        </w:tc>
      </w:tr>
    </w:tbl>
    <w:p w14:paraId="6CA5B1A8">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451005C1">
      <w:pPr>
        <w:rPr>
          <w:rFonts w:hint="eastAsia" w:ascii="宋体" w:hAnsi="宋体" w:eastAsia="宋体" w:cs="宋体"/>
          <w:color w:val="auto"/>
          <w:highlight w:val="none"/>
        </w:rPr>
      </w:pPr>
    </w:p>
    <w:p w14:paraId="79486C98">
      <w:pPr>
        <w:pStyle w:val="3"/>
        <w:numPr>
          <w:ilvl w:val="0"/>
          <w:numId w:val="0"/>
        </w:numPr>
        <w:spacing w:before="0"/>
        <w:ind w:left="893" w:hanging="691" w:hangingChars="247"/>
        <w:jc w:val="center"/>
        <w:rPr>
          <w:rFonts w:hint="eastAsia" w:ascii="宋体" w:hAnsi="宋体" w:eastAsia="宋体" w:cs="宋体"/>
          <w:color w:val="auto"/>
          <w:sz w:val="28"/>
          <w:szCs w:val="28"/>
          <w:highlight w:val="none"/>
        </w:rPr>
      </w:pPr>
      <w:bookmarkStart w:id="41" w:name="_Toc27959"/>
      <w:bookmarkStart w:id="42" w:name="_Toc25175"/>
      <w:r>
        <w:rPr>
          <w:rFonts w:hint="eastAsia" w:ascii="宋体" w:hAnsi="宋体" w:eastAsia="宋体" w:cs="宋体"/>
          <w:color w:val="auto"/>
          <w:sz w:val="28"/>
          <w:szCs w:val="28"/>
          <w:highlight w:val="none"/>
        </w:rPr>
        <w:t>一、总  则</w:t>
      </w:r>
      <w:bookmarkEnd w:id="41"/>
      <w:bookmarkEnd w:id="42"/>
    </w:p>
    <w:p w14:paraId="6C0EF589">
      <w:pPr>
        <w:numPr>
          <w:ilvl w:val="0"/>
          <w:numId w:val="0"/>
        </w:numPr>
        <w:tabs>
          <w:tab w:val="left" w:pos="360"/>
          <w:tab w:val="left" w:pos="900"/>
          <w:tab w:val="left" w:pos="1588"/>
        </w:tabs>
        <w:ind w:left="426" w:leftChars="0"/>
        <w:outlineLvl w:val="9"/>
        <w:rPr>
          <w:rFonts w:hint="eastAsia" w:ascii="宋体" w:hAnsi="宋体" w:eastAsia="宋体" w:cs="宋体"/>
          <w:color w:val="auto"/>
          <w:sz w:val="24"/>
          <w:szCs w:val="18"/>
          <w:highlight w:val="none"/>
          <w:lang w:val="en-US" w:eastAsia="zh-CN"/>
        </w:rPr>
      </w:pPr>
    </w:p>
    <w:p w14:paraId="5EEEE0D7">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43" w:name="_Toc14979"/>
      <w:bookmarkStart w:id="44" w:name="_Toc20458"/>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说明与定义</w:t>
      </w:r>
      <w:bookmarkEnd w:id="43"/>
      <w:bookmarkEnd w:id="44"/>
    </w:p>
    <w:p w14:paraId="5810190B">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1.1根据《中华人民共和国政府采购法》《中华人民共和国政府采购法实施条例》及《政府采购货物和服务招标投标管理办法》（财政部令第87号）等有关</w:t>
      </w:r>
      <w:r>
        <w:rPr>
          <w:rFonts w:hint="eastAsia" w:ascii="宋体" w:hAnsi="宋体" w:eastAsia="宋体" w:cs="宋体"/>
          <w:color w:val="auto"/>
          <w:sz w:val="24"/>
          <w:szCs w:val="24"/>
          <w:highlight w:val="none"/>
          <w:lang w:eastAsia="zh-CN"/>
        </w:rPr>
        <w:t>法律法规</w:t>
      </w:r>
      <w:r>
        <w:rPr>
          <w:rFonts w:hint="eastAsia" w:ascii="宋体" w:hAnsi="宋体" w:eastAsia="宋体" w:cs="宋体"/>
          <w:color w:val="auto"/>
          <w:sz w:val="24"/>
          <w:szCs w:val="24"/>
          <w:highlight w:val="none"/>
        </w:rPr>
        <w:t>和规章的规定，本招标项目已具备招标条件，现对本次采购进行公开招标。</w:t>
      </w:r>
    </w:p>
    <w:p w14:paraId="3801CA1A">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1.2本项目</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采购代理</w:t>
      </w:r>
      <w:r>
        <w:rPr>
          <w:rFonts w:hint="eastAsia" w:ascii="宋体" w:hAnsi="宋体" w:eastAsia="宋体" w:cs="宋体"/>
          <w:color w:val="auto"/>
          <w:sz w:val="24"/>
          <w:szCs w:val="24"/>
          <w:highlight w:val="none"/>
        </w:rPr>
        <w:t>机构、项目名称及招标编号：见“</w:t>
      </w:r>
      <w:r>
        <w:rPr>
          <w:rFonts w:hint="eastAsia" w:ascii="宋体" w:hAnsi="宋体" w:eastAsia="宋体" w:cs="宋体"/>
          <w:b/>
          <w:bCs/>
          <w:color w:val="auto"/>
          <w:sz w:val="24"/>
          <w:szCs w:val="24"/>
          <w:highlight w:val="none"/>
        </w:rPr>
        <w:t>投标人须知前附表</w:t>
      </w:r>
      <w:r>
        <w:rPr>
          <w:rFonts w:hint="eastAsia" w:ascii="宋体" w:hAnsi="宋体" w:eastAsia="宋体" w:cs="宋体"/>
          <w:color w:val="auto"/>
          <w:sz w:val="24"/>
          <w:szCs w:val="24"/>
          <w:highlight w:val="none"/>
        </w:rPr>
        <w:t>”。</w:t>
      </w:r>
    </w:p>
    <w:p w14:paraId="7618B955">
      <w:pPr>
        <w:keepLines w:val="0"/>
        <w:pageBreakBefore w:val="0"/>
        <w:widowControl w:val="0"/>
        <w:tabs>
          <w:tab w:val="left" w:pos="7665"/>
        </w:tabs>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”系指依法进行采购的国家机关、事业单位、团体组织。本项目的</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是</w:t>
      </w:r>
      <w:r>
        <w:rPr>
          <w:rFonts w:hint="eastAsia" w:ascii="宋体" w:hAnsi="宋体" w:cs="宋体"/>
          <w:b/>
          <w:bCs/>
          <w:color w:val="auto"/>
          <w:sz w:val="24"/>
          <w:szCs w:val="24"/>
          <w:highlight w:val="none"/>
          <w:u w:val="single"/>
          <w:lang w:eastAsia="zh-CN"/>
        </w:rPr>
        <w:t>云南省农业科学院</w:t>
      </w:r>
      <w:r>
        <w:rPr>
          <w:rFonts w:hint="eastAsia" w:ascii="宋体" w:hAnsi="宋体" w:eastAsia="宋体" w:cs="宋体"/>
          <w:b/>
          <w:bCs/>
          <w:color w:val="auto"/>
          <w:sz w:val="24"/>
          <w:szCs w:val="24"/>
          <w:highlight w:val="none"/>
        </w:rPr>
        <w:t>。</w:t>
      </w:r>
    </w:p>
    <w:p w14:paraId="24E50714">
      <w:pPr>
        <w:keepLines w:val="0"/>
        <w:pageBreakBefore w:val="0"/>
        <w:widowControl w:val="0"/>
        <w:tabs>
          <w:tab w:val="left" w:pos="7665"/>
        </w:tabs>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r>
        <w:rPr>
          <w:rFonts w:hint="eastAsia" w:ascii="宋体" w:hAnsi="宋体" w:eastAsia="宋体" w:cs="宋体"/>
          <w:color w:val="auto"/>
          <w:sz w:val="24"/>
          <w:szCs w:val="24"/>
          <w:highlight w:val="none"/>
          <w:lang w:eastAsia="zh-CN"/>
        </w:rPr>
        <w:t>采购代理</w:t>
      </w:r>
      <w:r>
        <w:rPr>
          <w:rFonts w:hint="eastAsia" w:ascii="宋体" w:hAnsi="宋体" w:eastAsia="宋体" w:cs="宋体"/>
          <w:color w:val="auto"/>
          <w:sz w:val="24"/>
          <w:szCs w:val="24"/>
          <w:highlight w:val="none"/>
        </w:rPr>
        <w:t>机构”系指根据</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的委托依法办理招标事宜的采购机构本项目的</w:t>
      </w:r>
      <w:r>
        <w:rPr>
          <w:rFonts w:hint="eastAsia" w:ascii="宋体" w:hAnsi="宋体" w:eastAsia="宋体" w:cs="宋体"/>
          <w:color w:val="auto"/>
          <w:sz w:val="24"/>
          <w:szCs w:val="24"/>
          <w:highlight w:val="none"/>
          <w:lang w:eastAsia="zh-CN"/>
        </w:rPr>
        <w:t>采购代理</w:t>
      </w:r>
      <w:r>
        <w:rPr>
          <w:rFonts w:hint="eastAsia" w:ascii="宋体" w:hAnsi="宋体" w:eastAsia="宋体" w:cs="宋体"/>
          <w:color w:val="auto"/>
          <w:sz w:val="24"/>
          <w:szCs w:val="24"/>
          <w:highlight w:val="none"/>
        </w:rPr>
        <w:t>机构是</w:t>
      </w:r>
      <w:r>
        <w:rPr>
          <w:rFonts w:hint="eastAsia" w:ascii="宋体" w:hAnsi="宋体" w:eastAsia="宋体" w:cs="宋体"/>
          <w:b/>
          <w:bCs/>
          <w:color w:val="auto"/>
          <w:sz w:val="24"/>
          <w:szCs w:val="24"/>
          <w:highlight w:val="none"/>
          <w:u w:val="single"/>
        </w:rPr>
        <w:t>云南众高工程咨询有限公司</w:t>
      </w:r>
      <w:r>
        <w:rPr>
          <w:rFonts w:hint="eastAsia" w:ascii="宋体" w:hAnsi="宋体" w:eastAsia="宋体" w:cs="宋体"/>
          <w:color w:val="auto"/>
          <w:sz w:val="24"/>
          <w:szCs w:val="24"/>
          <w:highlight w:val="none"/>
        </w:rPr>
        <w:t>。</w:t>
      </w:r>
    </w:p>
    <w:p w14:paraId="0BC634D9">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45" w:name="_Toc3218"/>
      <w:bookmarkStart w:id="46" w:name="_Toc14956"/>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资金来源</w:t>
      </w:r>
      <w:bookmarkEnd w:id="45"/>
      <w:bookmarkEnd w:id="46"/>
    </w:p>
    <w:p w14:paraId="17BC422A">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已获得一笔政府采购资金，用于采购“</w:t>
      </w:r>
      <w:r>
        <w:rPr>
          <w:rFonts w:hint="eastAsia" w:ascii="宋体" w:hAnsi="宋体" w:eastAsia="宋体" w:cs="宋体"/>
          <w:b/>
          <w:bCs/>
          <w:color w:val="auto"/>
          <w:sz w:val="24"/>
          <w:szCs w:val="24"/>
          <w:highlight w:val="none"/>
        </w:rPr>
        <w:t>招标内容及要求</w:t>
      </w:r>
      <w:r>
        <w:rPr>
          <w:rFonts w:hint="eastAsia" w:ascii="宋体" w:hAnsi="宋体" w:eastAsia="宋体" w:cs="宋体"/>
          <w:color w:val="auto"/>
          <w:sz w:val="24"/>
          <w:szCs w:val="24"/>
          <w:highlight w:val="none"/>
        </w:rPr>
        <w:t>”所列的采购内容。</w:t>
      </w:r>
    </w:p>
    <w:p w14:paraId="6CDE8617">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47" w:name="_Toc9732"/>
      <w:bookmarkStart w:id="48" w:name="_Toc10784"/>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招标内容、合同履行期限、标段划分（实质性要求）</w:t>
      </w:r>
      <w:bookmarkEnd w:id="47"/>
      <w:bookmarkEnd w:id="48"/>
    </w:p>
    <w:p w14:paraId="6B13F381">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3.1本项目招标内容：见“</w:t>
      </w:r>
      <w:r>
        <w:rPr>
          <w:rFonts w:hint="eastAsia" w:ascii="宋体" w:hAnsi="宋体" w:eastAsia="宋体" w:cs="宋体"/>
          <w:b/>
          <w:bCs/>
          <w:color w:val="auto"/>
          <w:sz w:val="24"/>
          <w:szCs w:val="24"/>
          <w:highlight w:val="none"/>
        </w:rPr>
        <w:t>投标人须知前附表</w:t>
      </w:r>
      <w:r>
        <w:rPr>
          <w:rFonts w:hint="eastAsia" w:ascii="宋体" w:hAnsi="宋体" w:eastAsia="宋体" w:cs="宋体"/>
          <w:color w:val="auto"/>
          <w:sz w:val="24"/>
          <w:szCs w:val="24"/>
          <w:highlight w:val="none"/>
        </w:rPr>
        <w:t>”。</w:t>
      </w:r>
    </w:p>
    <w:p w14:paraId="6DCECF6B">
      <w:pPr>
        <w:keepLines w:val="0"/>
        <w:pageBreakBefore w:val="0"/>
        <w:widowControl w:val="0"/>
        <w:kinsoku/>
        <w:overflowPunct/>
        <w:topLinePunct w:val="0"/>
        <w:autoSpaceDE/>
        <w:autoSpaceDN/>
        <w:bidi w:val="0"/>
        <w:snapToGrid/>
        <w:spacing w:line="440" w:lineRule="exact"/>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3.2本项目</w:t>
      </w:r>
      <w:r>
        <w:rPr>
          <w:rFonts w:hint="eastAsia" w:ascii="宋体" w:hAnsi="宋体" w:eastAsia="宋体" w:cs="宋体"/>
          <w:bCs/>
          <w:color w:val="auto"/>
          <w:sz w:val="24"/>
          <w:szCs w:val="24"/>
          <w:highlight w:val="none"/>
        </w:rPr>
        <w:t>合同履行期限</w:t>
      </w:r>
      <w:r>
        <w:rPr>
          <w:rFonts w:hint="eastAsia" w:ascii="宋体" w:hAnsi="宋体" w:eastAsia="宋体" w:cs="宋体"/>
          <w:color w:val="auto"/>
          <w:sz w:val="24"/>
          <w:szCs w:val="24"/>
          <w:highlight w:val="none"/>
        </w:rPr>
        <w:t>：见“</w:t>
      </w:r>
      <w:r>
        <w:rPr>
          <w:rFonts w:hint="eastAsia" w:ascii="宋体" w:hAnsi="宋体" w:eastAsia="宋体" w:cs="宋体"/>
          <w:b/>
          <w:bCs/>
          <w:color w:val="auto"/>
          <w:sz w:val="24"/>
          <w:szCs w:val="24"/>
          <w:highlight w:val="none"/>
        </w:rPr>
        <w:t>投标人须知前附表</w:t>
      </w:r>
      <w:r>
        <w:rPr>
          <w:rFonts w:hint="eastAsia" w:ascii="宋体" w:hAnsi="宋体" w:eastAsia="宋体" w:cs="宋体"/>
          <w:color w:val="auto"/>
          <w:sz w:val="24"/>
          <w:szCs w:val="24"/>
          <w:highlight w:val="none"/>
        </w:rPr>
        <w:t>”。</w:t>
      </w:r>
    </w:p>
    <w:p w14:paraId="58AEF423">
      <w:pPr>
        <w:keepLines w:val="0"/>
        <w:pageBreakBefore w:val="0"/>
        <w:widowControl w:val="0"/>
        <w:kinsoku/>
        <w:overflowPunct/>
        <w:topLinePunct w:val="0"/>
        <w:autoSpaceDE/>
        <w:autoSpaceDN/>
        <w:bidi w:val="0"/>
        <w:snapToGrid/>
        <w:spacing w:line="440" w:lineRule="exact"/>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3.3本项目标段划分：见</w:t>
      </w:r>
      <w:r>
        <w:rPr>
          <w:rFonts w:hint="eastAsia" w:ascii="宋体" w:hAnsi="宋体" w:eastAsia="宋体" w:cs="宋体"/>
          <w:b/>
          <w:color w:val="auto"/>
          <w:sz w:val="24"/>
          <w:szCs w:val="24"/>
          <w:highlight w:val="none"/>
        </w:rPr>
        <w:t>“投标人须知前附表”</w:t>
      </w:r>
      <w:r>
        <w:rPr>
          <w:rFonts w:hint="eastAsia" w:ascii="宋体" w:hAnsi="宋体" w:eastAsia="宋体" w:cs="宋体"/>
          <w:color w:val="auto"/>
          <w:sz w:val="24"/>
          <w:szCs w:val="24"/>
          <w:highlight w:val="none"/>
        </w:rPr>
        <w:t>。</w:t>
      </w:r>
    </w:p>
    <w:p w14:paraId="49833B9E">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49" w:name="_Toc27640"/>
      <w:bookmarkStart w:id="50" w:name="_Toc30998"/>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合格投标人和产品的条件（实质性要求）</w:t>
      </w:r>
      <w:bookmarkEnd w:id="49"/>
      <w:bookmarkEnd w:id="50"/>
    </w:p>
    <w:p w14:paraId="747DB78D">
      <w:pPr>
        <w:keepLines w:val="0"/>
        <w:pageBreakBefore w:val="0"/>
        <w:widowControl w:val="0"/>
        <w:kinsoku/>
        <w:overflowPunct/>
        <w:topLinePunct w:val="0"/>
        <w:autoSpaceDE/>
        <w:autoSpaceDN/>
        <w:bidi w:val="0"/>
        <w:snapToGrid/>
        <w:spacing w:line="440" w:lineRule="exact"/>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4.1合格投标人：指满足招标公告资格要求的投标人。</w:t>
      </w:r>
    </w:p>
    <w:p w14:paraId="21C4434A">
      <w:pPr>
        <w:keepLines w:val="0"/>
        <w:pageBreakBefore w:val="0"/>
        <w:widowControl w:val="0"/>
        <w:kinsoku/>
        <w:overflowPunct/>
        <w:topLinePunct w:val="0"/>
        <w:autoSpaceDE/>
        <w:autoSpaceDN/>
        <w:bidi w:val="0"/>
        <w:snapToGrid/>
        <w:spacing w:line="440" w:lineRule="exact"/>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4.2合格产品的条件：不危害环境及人体健康的产品、原装全新产品、非进口产品（招标公告注明接受进口产品的除外）、强制节能产品（非强制节能产品除外）。</w:t>
      </w:r>
    </w:p>
    <w:p w14:paraId="757D3F6E">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51" w:name="_Toc5592"/>
      <w:bookmarkStart w:id="52" w:name="_Toc14525"/>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投标费用</w:t>
      </w:r>
      <w:bookmarkEnd w:id="51"/>
      <w:bookmarkEnd w:id="52"/>
    </w:p>
    <w:p w14:paraId="06A51D3B">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5.1投标人应承担所有与编写和提交投标文件有关的费用，不论采购结果如何，采购人在任何情况下均无义务和责任承担这些费用。</w:t>
      </w:r>
      <w:r>
        <w:rPr>
          <w:rFonts w:hint="eastAsia" w:ascii="宋体" w:hAnsi="宋体" w:eastAsia="宋体" w:cs="宋体"/>
          <w:strike w:val="0"/>
          <w:dstrike w:val="0"/>
          <w:color w:val="auto"/>
          <w:sz w:val="24"/>
          <w:szCs w:val="24"/>
          <w:highlight w:val="none"/>
        </w:rPr>
        <w:t>例外情况，投标人提交投标文件后采购人终止项目且不再采购的，由代理机构弥补200元/家的文件编制费。</w:t>
      </w:r>
    </w:p>
    <w:p w14:paraId="219D0EEF">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5.2中标人应按“投标人须知前附表”中的规定缴纳中标服务费。</w:t>
      </w:r>
    </w:p>
    <w:p w14:paraId="60C0EEC4">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53" w:name="_Toc8163"/>
      <w:bookmarkStart w:id="54" w:name="_Toc19763"/>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质疑</w:t>
      </w:r>
      <w:bookmarkEnd w:id="53"/>
      <w:bookmarkEnd w:id="54"/>
    </w:p>
    <w:p w14:paraId="32AE7E02">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6.1投标人认为招标文件、招标过程和中标结果使自己的合法权益受到损害的，应当在知道或者应知其权益受到损害之日起七个工作日内，以书面形式向下列部门或</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提出质疑。</w:t>
      </w:r>
    </w:p>
    <w:p w14:paraId="1937AA82">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受理质疑部门：</w:t>
      </w:r>
      <w:r>
        <w:rPr>
          <w:rFonts w:hint="eastAsia" w:ascii="宋体" w:hAnsi="宋体" w:eastAsia="宋体" w:cs="宋体"/>
          <w:bCs/>
          <w:color w:val="auto"/>
          <w:sz w:val="24"/>
          <w:szCs w:val="24"/>
          <w:highlight w:val="none"/>
        </w:rPr>
        <w:t>云南众高工程咨询有限公司 业务部</w:t>
      </w:r>
      <w:r>
        <w:rPr>
          <w:rFonts w:hint="eastAsia" w:ascii="宋体" w:hAnsi="宋体" w:eastAsia="宋体" w:cs="宋体"/>
          <w:color w:val="auto"/>
          <w:sz w:val="24"/>
          <w:szCs w:val="24"/>
          <w:highlight w:val="none"/>
        </w:rPr>
        <w:t>；电话：0871-67357686、</w:t>
      </w:r>
      <w:r>
        <w:rPr>
          <w:rFonts w:hint="eastAsia" w:ascii="宋体" w:hAnsi="宋体" w:eastAsia="宋体" w:cs="宋体"/>
          <w:color w:val="auto"/>
          <w:sz w:val="24"/>
          <w:szCs w:val="24"/>
          <w:highlight w:val="none"/>
          <w:lang w:val="en-US" w:eastAsia="zh-CN"/>
        </w:rPr>
        <w:t>18788534208</w:t>
      </w:r>
      <w:r>
        <w:rPr>
          <w:rFonts w:hint="eastAsia" w:ascii="宋体" w:hAnsi="宋体" w:eastAsia="宋体" w:cs="宋体"/>
          <w:color w:val="auto"/>
          <w:sz w:val="24"/>
          <w:szCs w:val="24"/>
          <w:highlight w:val="none"/>
        </w:rPr>
        <w:t>。</w:t>
      </w:r>
    </w:p>
    <w:p w14:paraId="1B1BC80A">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6.2投标人提出质疑应当提交质疑函和必要的证明材料（如材料中有外文资料应同时附上中文译本）。质疑函应当包括下列内容：</w:t>
      </w:r>
    </w:p>
    <w:p w14:paraId="743B60FF">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（1）投标人的姓名或者名称、地址、邮编、联系人及联系电话</w:t>
      </w:r>
      <w:r>
        <w:rPr>
          <w:rFonts w:hint="eastAsia" w:ascii="宋体" w:hAnsi="宋体" w:eastAsia="宋体" w:cs="宋体"/>
          <w:color w:val="auto"/>
          <w:sz w:val="24"/>
          <w:szCs w:val="24"/>
          <w:highlight w:val="none"/>
          <w:lang w:eastAsia="zh-CN"/>
        </w:rPr>
        <w:t>。</w:t>
      </w:r>
    </w:p>
    <w:p w14:paraId="331E1366">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（2）质疑项目的名称、编号</w:t>
      </w:r>
      <w:r>
        <w:rPr>
          <w:rFonts w:hint="eastAsia" w:ascii="宋体" w:hAnsi="宋体" w:eastAsia="宋体" w:cs="宋体"/>
          <w:color w:val="auto"/>
          <w:sz w:val="24"/>
          <w:szCs w:val="24"/>
          <w:highlight w:val="none"/>
          <w:lang w:eastAsia="zh-CN"/>
        </w:rPr>
        <w:t>。</w:t>
      </w:r>
    </w:p>
    <w:p w14:paraId="3B02BCA6">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（3）具体、明确的质疑事项和与质疑事项相关的请求</w:t>
      </w:r>
      <w:r>
        <w:rPr>
          <w:rFonts w:hint="eastAsia" w:ascii="宋体" w:hAnsi="宋体" w:eastAsia="宋体" w:cs="宋体"/>
          <w:color w:val="auto"/>
          <w:sz w:val="24"/>
          <w:szCs w:val="24"/>
          <w:highlight w:val="none"/>
          <w:lang w:eastAsia="zh-CN"/>
        </w:rPr>
        <w:t>。</w:t>
      </w:r>
    </w:p>
    <w:p w14:paraId="7733C9F1">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（4）事实依据</w:t>
      </w:r>
      <w:r>
        <w:rPr>
          <w:rFonts w:hint="eastAsia" w:ascii="宋体" w:hAnsi="宋体" w:eastAsia="宋体" w:cs="宋体"/>
          <w:color w:val="auto"/>
          <w:sz w:val="24"/>
          <w:szCs w:val="24"/>
          <w:highlight w:val="none"/>
          <w:lang w:eastAsia="zh-CN"/>
        </w:rPr>
        <w:t>。</w:t>
      </w:r>
    </w:p>
    <w:p w14:paraId="79E8CC83">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（5）必要的法律依据</w:t>
      </w:r>
      <w:r>
        <w:rPr>
          <w:rFonts w:hint="eastAsia" w:ascii="宋体" w:hAnsi="宋体" w:eastAsia="宋体" w:cs="宋体"/>
          <w:color w:val="auto"/>
          <w:sz w:val="24"/>
          <w:szCs w:val="24"/>
          <w:highlight w:val="none"/>
          <w:lang w:eastAsia="zh-CN"/>
        </w:rPr>
        <w:t>。</w:t>
      </w:r>
    </w:p>
    <w:p w14:paraId="64D607BB">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（6）提出质疑的日期。</w:t>
      </w:r>
    </w:p>
    <w:p w14:paraId="1E6A4AD5">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质疑书实行实名制，并应由法定代表人或其授权代理人签字并加盖公章，否则不予受理。</w:t>
      </w:r>
    </w:p>
    <w:p w14:paraId="5EC9C62C">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6.3投标人在法定质疑期内应一次性提出针对同一采购程序环节的质疑，否则不予受理。</w:t>
      </w:r>
    </w:p>
    <w:p w14:paraId="43E9FE46">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6.4</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采购代理</w:t>
      </w:r>
      <w:r>
        <w:rPr>
          <w:rFonts w:hint="eastAsia" w:ascii="宋体" w:hAnsi="宋体" w:eastAsia="宋体" w:cs="宋体"/>
          <w:color w:val="auto"/>
          <w:sz w:val="24"/>
          <w:szCs w:val="24"/>
          <w:highlight w:val="none"/>
        </w:rPr>
        <w:t>机构将在收到投标人的书面质疑后七个工作日内作出答复，但答复的内容不</w:t>
      </w:r>
      <w:r>
        <w:rPr>
          <w:rFonts w:hint="eastAsia" w:ascii="宋体" w:hAnsi="宋体" w:eastAsia="宋体" w:cs="宋体"/>
          <w:bCs/>
          <w:color w:val="auto"/>
          <w:sz w:val="24"/>
          <w:szCs w:val="24"/>
          <w:highlight w:val="none"/>
        </w:rPr>
        <w:t>涉及商业秘密。</w:t>
      </w:r>
    </w:p>
    <w:p w14:paraId="71DD966C">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55" w:name="_Toc16033"/>
      <w:bookmarkStart w:id="56" w:name="_Toc17937"/>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投诉</w:t>
      </w:r>
      <w:bookmarkEnd w:id="55"/>
      <w:bookmarkEnd w:id="56"/>
    </w:p>
    <w:p w14:paraId="28D4BBFD">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投诉必须首先经过质疑程序。质疑投标人对</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采购代理</w:t>
      </w:r>
      <w:r>
        <w:rPr>
          <w:rFonts w:hint="eastAsia" w:ascii="宋体" w:hAnsi="宋体" w:eastAsia="宋体" w:cs="宋体"/>
          <w:color w:val="auto"/>
          <w:sz w:val="24"/>
          <w:szCs w:val="24"/>
          <w:highlight w:val="none"/>
        </w:rPr>
        <w:t>机构的答复</w:t>
      </w:r>
      <w:r>
        <w:rPr>
          <w:rFonts w:hint="eastAsia" w:ascii="宋体" w:hAnsi="宋体" w:eastAsia="宋体" w:cs="宋体"/>
          <w:color w:val="auto"/>
          <w:sz w:val="24"/>
          <w:szCs w:val="24"/>
          <w:highlight w:val="none"/>
          <w:lang w:eastAsia="zh-CN"/>
        </w:rPr>
        <w:t>不满意或者采购人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采购代理</w:t>
      </w:r>
      <w:r>
        <w:rPr>
          <w:rFonts w:hint="eastAsia" w:ascii="宋体" w:hAnsi="宋体" w:eastAsia="宋体" w:cs="宋体"/>
          <w:color w:val="auto"/>
          <w:sz w:val="24"/>
          <w:szCs w:val="24"/>
          <w:highlight w:val="none"/>
        </w:rPr>
        <w:t>机构未在规定的时间内作出答复的，可以在答复期满后十五个工作日内书面向云南省省级政府采购监督管理部门投诉。</w:t>
      </w:r>
    </w:p>
    <w:p w14:paraId="0DA219A6">
      <w:pPr>
        <w:pStyle w:val="15"/>
        <w:rPr>
          <w:rFonts w:hint="eastAsia" w:ascii="宋体" w:hAnsi="宋体" w:eastAsia="宋体" w:cs="宋体"/>
          <w:color w:val="auto"/>
          <w:highlight w:val="none"/>
        </w:rPr>
      </w:pPr>
    </w:p>
    <w:p w14:paraId="1B424CA6">
      <w:pPr>
        <w:pStyle w:val="3"/>
        <w:keepLines w:val="0"/>
        <w:pageBreakBefore w:val="0"/>
        <w:widowControl w:val="0"/>
        <w:numPr>
          <w:ilvl w:val="0"/>
          <w:numId w:val="0"/>
        </w:numPr>
        <w:kinsoku/>
        <w:overflowPunct/>
        <w:topLinePunct w:val="0"/>
        <w:autoSpaceDE/>
        <w:autoSpaceDN/>
        <w:bidi w:val="0"/>
        <w:snapToGrid/>
        <w:spacing w:before="0" w:line="440" w:lineRule="exact"/>
        <w:ind w:left="893" w:hanging="691" w:hangingChars="247"/>
        <w:jc w:val="center"/>
        <w:rPr>
          <w:rFonts w:hint="eastAsia" w:ascii="宋体" w:hAnsi="宋体" w:eastAsia="宋体" w:cs="宋体"/>
          <w:color w:val="auto"/>
          <w:sz w:val="28"/>
          <w:szCs w:val="28"/>
          <w:highlight w:val="none"/>
        </w:rPr>
      </w:pPr>
      <w:bookmarkStart w:id="57" w:name="_Toc5847"/>
      <w:bookmarkStart w:id="58" w:name="_Toc16520"/>
      <w:r>
        <w:rPr>
          <w:rFonts w:hint="eastAsia" w:ascii="宋体" w:hAnsi="宋体" w:eastAsia="宋体" w:cs="宋体"/>
          <w:color w:val="auto"/>
          <w:sz w:val="28"/>
          <w:szCs w:val="28"/>
          <w:highlight w:val="none"/>
        </w:rPr>
        <w:t>二、招标文件</w:t>
      </w:r>
      <w:bookmarkEnd w:id="57"/>
      <w:bookmarkEnd w:id="58"/>
    </w:p>
    <w:p w14:paraId="24134CD4">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59" w:name="_Toc6146"/>
      <w:bookmarkStart w:id="60" w:name="_Toc8748"/>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招标文件构成</w:t>
      </w:r>
      <w:bookmarkEnd w:id="59"/>
      <w:bookmarkEnd w:id="60"/>
    </w:p>
    <w:p w14:paraId="2747A9ED">
      <w:pPr>
        <w:keepLines w:val="0"/>
        <w:pageBreakBefore w:val="0"/>
        <w:widowControl w:val="0"/>
        <w:kinsoku/>
        <w:overflowPunct/>
        <w:topLinePunct w:val="0"/>
        <w:autoSpaceDE/>
        <w:autoSpaceDN/>
        <w:bidi w:val="0"/>
        <w:snapToGrid/>
        <w:spacing w:line="440" w:lineRule="exact"/>
        <w:ind w:firstLine="410" w:firstLineChars="171"/>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招标文件共六章，各章的内容如下：</w:t>
      </w:r>
    </w:p>
    <w:p w14:paraId="32EB77AF">
      <w:pPr>
        <w:keepLines w:val="0"/>
        <w:pageBreakBefore w:val="0"/>
        <w:widowControl w:val="0"/>
        <w:kinsoku/>
        <w:overflowPunct/>
        <w:topLinePunct w:val="0"/>
        <w:autoSpaceDE/>
        <w:autoSpaceDN/>
        <w:bidi w:val="0"/>
        <w:snapToGrid/>
        <w:spacing w:line="440" w:lineRule="exact"/>
        <w:ind w:firstLine="410" w:firstLineChars="171"/>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第一章  招标公告</w:t>
      </w:r>
    </w:p>
    <w:p w14:paraId="186014C7">
      <w:pPr>
        <w:keepLines w:val="0"/>
        <w:pageBreakBefore w:val="0"/>
        <w:widowControl w:val="0"/>
        <w:kinsoku/>
        <w:overflowPunct/>
        <w:topLinePunct w:val="0"/>
        <w:autoSpaceDE/>
        <w:autoSpaceDN/>
        <w:bidi w:val="0"/>
        <w:snapToGrid/>
        <w:spacing w:line="440" w:lineRule="exact"/>
        <w:ind w:firstLine="410" w:firstLineChars="171"/>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第二章  投标人须知</w:t>
      </w:r>
    </w:p>
    <w:p w14:paraId="749D8C2D">
      <w:pPr>
        <w:keepLines w:val="0"/>
        <w:pageBreakBefore w:val="0"/>
        <w:widowControl w:val="0"/>
        <w:kinsoku/>
        <w:overflowPunct/>
        <w:topLinePunct w:val="0"/>
        <w:autoSpaceDE/>
        <w:autoSpaceDN/>
        <w:bidi w:val="0"/>
        <w:snapToGrid/>
        <w:spacing w:line="440" w:lineRule="exact"/>
        <w:ind w:firstLine="410" w:firstLineChars="171"/>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第三章  合同书样式及主要条款</w:t>
      </w:r>
    </w:p>
    <w:p w14:paraId="1B0DC86B">
      <w:pPr>
        <w:keepLines w:val="0"/>
        <w:pageBreakBefore w:val="0"/>
        <w:widowControl w:val="0"/>
        <w:kinsoku/>
        <w:overflowPunct/>
        <w:topLinePunct w:val="0"/>
        <w:autoSpaceDE/>
        <w:autoSpaceDN/>
        <w:bidi w:val="0"/>
        <w:snapToGrid/>
        <w:spacing w:line="440" w:lineRule="exact"/>
        <w:ind w:firstLine="410" w:firstLineChars="171"/>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第四章  投标文件格式</w:t>
      </w:r>
    </w:p>
    <w:p w14:paraId="212235A7">
      <w:pPr>
        <w:keepLines w:val="0"/>
        <w:pageBreakBefore w:val="0"/>
        <w:widowControl w:val="0"/>
        <w:kinsoku/>
        <w:overflowPunct/>
        <w:topLinePunct w:val="0"/>
        <w:autoSpaceDE/>
        <w:autoSpaceDN/>
        <w:bidi w:val="0"/>
        <w:snapToGrid/>
        <w:spacing w:line="440" w:lineRule="exact"/>
        <w:ind w:firstLine="410" w:firstLineChars="171"/>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第五章  招标内容及要求</w:t>
      </w:r>
    </w:p>
    <w:p w14:paraId="3EF88D7C">
      <w:pPr>
        <w:keepLines w:val="0"/>
        <w:pageBreakBefore w:val="0"/>
        <w:widowControl w:val="0"/>
        <w:kinsoku/>
        <w:overflowPunct/>
        <w:topLinePunct w:val="0"/>
        <w:autoSpaceDE/>
        <w:autoSpaceDN/>
        <w:bidi w:val="0"/>
        <w:snapToGrid/>
        <w:spacing w:line="440" w:lineRule="exact"/>
        <w:ind w:firstLine="410" w:firstLineChars="171"/>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第六章  评标办法</w:t>
      </w:r>
    </w:p>
    <w:p w14:paraId="314BD3D0">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61" w:name="_Toc18784"/>
      <w:bookmarkStart w:id="62" w:name="_Toc16824"/>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招标文件的澄清</w:t>
      </w:r>
      <w:bookmarkEnd w:id="61"/>
      <w:bookmarkEnd w:id="62"/>
    </w:p>
    <w:p w14:paraId="216C7F09">
      <w:pPr>
        <w:keepLines w:val="0"/>
        <w:pageBreakBefore w:val="0"/>
        <w:widowControl w:val="0"/>
        <w:kinsoku/>
        <w:wordWrap w:val="0"/>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9.1投标人应认真审核第五章“</w:t>
      </w:r>
      <w:r>
        <w:rPr>
          <w:rFonts w:hint="eastAsia" w:ascii="宋体" w:hAnsi="宋体" w:eastAsia="宋体" w:cs="宋体"/>
          <w:b/>
          <w:bCs/>
          <w:color w:val="auto"/>
          <w:sz w:val="24"/>
          <w:szCs w:val="24"/>
          <w:highlight w:val="none"/>
        </w:rPr>
        <w:t>招标内容及要求</w:t>
      </w:r>
      <w:r>
        <w:rPr>
          <w:rFonts w:hint="eastAsia" w:ascii="宋体" w:hAnsi="宋体" w:eastAsia="宋体" w:cs="宋体"/>
          <w:color w:val="auto"/>
          <w:sz w:val="24"/>
          <w:szCs w:val="24"/>
          <w:highlight w:val="none"/>
        </w:rPr>
        <w:t>”中的要求，如发现要求不合理的，投标人必须在“</w:t>
      </w:r>
      <w:r>
        <w:rPr>
          <w:rFonts w:hint="eastAsia" w:ascii="宋体" w:hAnsi="宋体" w:eastAsia="宋体" w:cs="宋体"/>
          <w:b/>
          <w:color w:val="auto"/>
          <w:sz w:val="24"/>
          <w:szCs w:val="24"/>
          <w:highlight w:val="none"/>
        </w:rPr>
        <w:t>投标人须知前附表</w:t>
      </w:r>
      <w:r>
        <w:rPr>
          <w:rFonts w:hint="eastAsia" w:ascii="宋体" w:hAnsi="宋体" w:eastAsia="宋体" w:cs="宋体"/>
          <w:color w:val="auto"/>
          <w:sz w:val="24"/>
          <w:szCs w:val="24"/>
          <w:highlight w:val="none"/>
        </w:rPr>
        <w:t>”规定截止时间前要求</w:t>
      </w:r>
      <w:r>
        <w:rPr>
          <w:rFonts w:hint="eastAsia" w:ascii="宋体" w:hAnsi="宋体" w:eastAsia="宋体" w:cs="宋体"/>
          <w:color w:val="auto"/>
          <w:sz w:val="24"/>
          <w:szCs w:val="24"/>
          <w:highlight w:val="none"/>
          <w:lang w:eastAsia="zh-CN"/>
        </w:rPr>
        <w:t>采购代理</w:t>
      </w:r>
      <w:r>
        <w:rPr>
          <w:rFonts w:hint="eastAsia" w:ascii="宋体" w:hAnsi="宋体" w:eastAsia="宋体" w:cs="宋体"/>
          <w:color w:val="auto"/>
          <w:sz w:val="24"/>
          <w:szCs w:val="24"/>
          <w:highlight w:val="none"/>
        </w:rPr>
        <w:t>机构澄清，通过“政采云平台”（https://www.zcygov.cn/）在线方式进行不署名提问。截止时间后送达的澄清要求概不接受，由此产生的后果由投标人负责。</w:t>
      </w:r>
    </w:p>
    <w:p w14:paraId="7C9728CB">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w:t>
      </w:r>
      <w:r>
        <w:rPr>
          <w:rFonts w:hint="eastAsia" w:ascii="宋体" w:hAnsi="宋体" w:eastAsia="宋体" w:cs="宋体"/>
          <w:color w:val="auto"/>
          <w:sz w:val="24"/>
          <w:szCs w:val="24"/>
          <w:highlight w:val="none"/>
          <w:lang w:eastAsia="zh-CN"/>
        </w:rPr>
        <w:t>采购代理</w:t>
      </w:r>
      <w:r>
        <w:rPr>
          <w:rFonts w:hint="eastAsia" w:ascii="宋体" w:hAnsi="宋体" w:eastAsia="宋体" w:cs="宋体"/>
          <w:color w:val="auto"/>
          <w:sz w:val="24"/>
          <w:szCs w:val="24"/>
          <w:highlight w:val="none"/>
        </w:rPr>
        <w:t>机构将通过“政采云平台”（https://www.zcygov.cn/）答复所有购买招标文件的投标人（答复中不包含问题的来源）要求澄清的问题。</w:t>
      </w:r>
    </w:p>
    <w:p w14:paraId="49EF2C89">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9.3招标文件澄清联系方式见“</w:t>
      </w:r>
      <w:r>
        <w:rPr>
          <w:rFonts w:hint="eastAsia" w:ascii="宋体" w:hAnsi="宋体" w:eastAsia="宋体" w:cs="宋体"/>
          <w:b/>
          <w:color w:val="auto"/>
          <w:sz w:val="24"/>
          <w:szCs w:val="24"/>
          <w:highlight w:val="none"/>
        </w:rPr>
        <w:t>投标人须知前附表”。</w:t>
      </w:r>
    </w:p>
    <w:p w14:paraId="22DB9DAD">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63" w:name="_Toc26085"/>
      <w:bookmarkStart w:id="64" w:name="_Toc10454"/>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招标文件的修改</w:t>
      </w:r>
      <w:bookmarkEnd w:id="63"/>
      <w:bookmarkEnd w:id="64"/>
    </w:p>
    <w:p w14:paraId="1B57115C">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对招标文件中的涉及评标办法、评审项目等重要评审内容做出变更，将同时发布补遗文件进行说明以保证各投标人都能重新下载并用于编制电子投标文件。</w:t>
      </w:r>
    </w:p>
    <w:p w14:paraId="7155AFE4">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投标人应在投标截止时间前及时登录“政采云平台”（https://www.zcygov.cn/）查看有关该项目招标文件的答疑、补遗内容。否则，后果自负。</w:t>
      </w:r>
    </w:p>
    <w:p w14:paraId="2CF69EF2">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招标文件澄清、招标文件修改文件内容均以网上电子文件为准，当招标文件、招标文件澄清、招标文件修改文件内容前</w:t>
      </w:r>
      <w:r>
        <w:rPr>
          <w:rFonts w:hint="eastAsia" w:ascii="宋体" w:hAnsi="宋体" w:eastAsia="宋体" w:cs="宋体"/>
          <w:color w:val="auto"/>
          <w:sz w:val="24"/>
          <w:szCs w:val="24"/>
          <w:highlight w:val="none"/>
          <w:lang w:val="en-US" w:eastAsia="zh-CN"/>
        </w:rPr>
        <w:t>后</w:t>
      </w:r>
      <w:r>
        <w:rPr>
          <w:rFonts w:hint="eastAsia" w:ascii="宋体" w:hAnsi="宋体" w:eastAsia="宋体" w:cs="宋体"/>
          <w:color w:val="auto"/>
          <w:sz w:val="24"/>
          <w:szCs w:val="24"/>
          <w:highlight w:val="none"/>
        </w:rPr>
        <w:t>相互矛盾时，以最后发出的为准。该澄清或者修改的内容为招标文件的组成部分。</w:t>
      </w:r>
    </w:p>
    <w:p w14:paraId="76A47C3D">
      <w:pPr>
        <w:pStyle w:val="15"/>
        <w:rPr>
          <w:rFonts w:hint="eastAsia" w:ascii="宋体" w:hAnsi="宋体" w:eastAsia="宋体" w:cs="宋体"/>
          <w:color w:val="auto"/>
          <w:highlight w:val="none"/>
        </w:rPr>
      </w:pPr>
    </w:p>
    <w:p w14:paraId="5AF53CE2">
      <w:pPr>
        <w:pStyle w:val="3"/>
        <w:keepLines w:val="0"/>
        <w:pageBreakBefore w:val="0"/>
        <w:widowControl w:val="0"/>
        <w:numPr>
          <w:ilvl w:val="0"/>
          <w:numId w:val="0"/>
        </w:numPr>
        <w:kinsoku/>
        <w:overflowPunct/>
        <w:topLinePunct w:val="0"/>
        <w:autoSpaceDE/>
        <w:autoSpaceDN/>
        <w:bidi w:val="0"/>
        <w:snapToGrid/>
        <w:spacing w:before="0" w:line="440" w:lineRule="exact"/>
        <w:ind w:left="893" w:hanging="691" w:hangingChars="247"/>
        <w:jc w:val="center"/>
        <w:rPr>
          <w:rFonts w:hint="eastAsia" w:ascii="宋体" w:hAnsi="宋体" w:eastAsia="宋体" w:cs="宋体"/>
          <w:color w:val="auto"/>
          <w:sz w:val="28"/>
          <w:szCs w:val="28"/>
          <w:highlight w:val="none"/>
        </w:rPr>
      </w:pPr>
      <w:bookmarkStart w:id="65" w:name="_Toc23199"/>
      <w:bookmarkStart w:id="66" w:name="_Toc7922"/>
      <w:r>
        <w:rPr>
          <w:rFonts w:hint="eastAsia" w:ascii="宋体" w:hAnsi="宋体" w:eastAsia="宋体" w:cs="宋体"/>
          <w:color w:val="auto"/>
          <w:sz w:val="28"/>
          <w:szCs w:val="28"/>
          <w:highlight w:val="none"/>
        </w:rPr>
        <w:t>三、投标文件的编制</w:t>
      </w:r>
      <w:bookmarkEnd w:id="65"/>
      <w:bookmarkEnd w:id="66"/>
    </w:p>
    <w:p w14:paraId="682B238E">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67" w:name="_Toc1049"/>
      <w:bookmarkStart w:id="68" w:name="_Toc18718"/>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投标文件编写注意事项（实质性要求）</w:t>
      </w:r>
      <w:bookmarkEnd w:id="67"/>
      <w:bookmarkEnd w:id="68"/>
    </w:p>
    <w:p w14:paraId="54E0DA5D">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11.1投标人应仔细阅读招标文件，在完全了解采购的内容、技术要求（见第五章“</w:t>
      </w:r>
      <w:r>
        <w:rPr>
          <w:rFonts w:hint="eastAsia" w:ascii="宋体" w:hAnsi="宋体" w:eastAsia="宋体" w:cs="宋体"/>
          <w:b/>
          <w:bCs/>
          <w:color w:val="auto"/>
          <w:sz w:val="24"/>
          <w:szCs w:val="24"/>
          <w:highlight w:val="none"/>
        </w:rPr>
        <w:t>招标内容及要求</w:t>
      </w:r>
      <w:r>
        <w:rPr>
          <w:rFonts w:hint="eastAsia" w:ascii="宋体" w:hAnsi="宋体" w:eastAsia="宋体" w:cs="宋体"/>
          <w:color w:val="auto"/>
          <w:sz w:val="24"/>
          <w:szCs w:val="24"/>
          <w:highlight w:val="none"/>
        </w:rPr>
        <w:t>”）和商务条件后，编写投标文件。如果没有按照招标文件要求提交全部投标文件或者资料，没有对招标文件的实质性要求和条件作出响应是投标人的风险，并可能导致该投标被拒绝。</w:t>
      </w:r>
    </w:p>
    <w:p w14:paraId="17B84553">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11.2对招标文件提出的实质性要求和条件作出响应是指投标人必须对招标文件中标明的实质性要求和条件、合同主要条款及其它要求等内容作出满足或者优于原要求和条件的承诺。</w:t>
      </w:r>
    </w:p>
    <w:p w14:paraId="58B22536">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11.3按“政采云平台”的要求编制、加密、上传，并按招标文件要求由投标单位的法定代表人或其委托代理人签字</w:t>
      </w:r>
      <w:r>
        <w:rPr>
          <w:rFonts w:hint="eastAsia" w:ascii="宋体" w:hAnsi="宋体" w:eastAsia="宋体" w:cs="宋体"/>
          <w:color w:val="auto"/>
          <w:sz w:val="24"/>
          <w:szCs w:val="24"/>
          <w:highlight w:val="none"/>
          <w:lang w:eastAsia="zh-CN"/>
        </w:rPr>
        <w:t>或加</w:t>
      </w:r>
      <w:r>
        <w:rPr>
          <w:rFonts w:hint="eastAsia" w:ascii="宋体" w:hAnsi="宋体" w:eastAsia="宋体" w:cs="宋体"/>
          <w:color w:val="auto"/>
          <w:sz w:val="24"/>
          <w:szCs w:val="24"/>
          <w:highlight w:val="none"/>
        </w:rPr>
        <w:t>盖单</w:t>
      </w:r>
      <w:r>
        <w:rPr>
          <w:rFonts w:hint="eastAsia" w:ascii="宋体" w:hAnsi="宋体" w:eastAsia="宋体" w:cs="宋体"/>
          <w:color w:val="auto"/>
          <w:sz w:val="24"/>
          <w:szCs w:val="24"/>
          <w:highlight w:val="none"/>
          <w:lang w:eastAsia="zh-CN"/>
        </w:rPr>
        <w:t>位公</w:t>
      </w:r>
      <w:r>
        <w:rPr>
          <w:rFonts w:hint="eastAsia" w:ascii="宋体" w:hAnsi="宋体" w:eastAsia="宋体" w:cs="宋体"/>
          <w:color w:val="auto"/>
          <w:sz w:val="24"/>
          <w:szCs w:val="24"/>
          <w:highlight w:val="none"/>
        </w:rPr>
        <w:t>章。委托代理人签字的，投标文件应附法定代表人签署的授权委托书。</w:t>
      </w:r>
    </w:p>
    <w:p w14:paraId="66F6E657">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11.4投标文件应尽量避免涂改、行间插字或删除。如果出现上述情况，改动之处应加盖单</w:t>
      </w:r>
      <w:r>
        <w:rPr>
          <w:rFonts w:hint="eastAsia" w:ascii="宋体" w:hAnsi="宋体" w:eastAsia="宋体" w:cs="宋体"/>
          <w:color w:val="auto"/>
          <w:sz w:val="24"/>
          <w:szCs w:val="24"/>
          <w:highlight w:val="none"/>
          <w:lang w:eastAsia="zh-CN"/>
        </w:rPr>
        <w:t>位公</w:t>
      </w:r>
      <w:r>
        <w:rPr>
          <w:rFonts w:hint="eastAsia" w:ascii="宋体" w:hAnsi="宋体" w:eastAsia="宋体" w:cs="宋体"/>
          <w:color w:val="auto"/>
          <w:sz w:val="24"/>
          <w:szCs w:val="24"/>
          <w:highlight w:val="none"/>
        </w:rPr>
        <w:t>章或投标人法定代表人或其授权的代理人签字确认。</w:t>
      </w:r>
    </w:p>
    <w:p w14:paraId="6C263243">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11.5字迹潦草、表达不清、未按要求填写而导致非唯一理解，造成未实质性响应招标文件的投标文件将会被认定为无效的投标申请。</w:t>
      </w:r>
    </w:p>
    <w:p w14:paraId="3C3FE3AF">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11.6招标文件中要求提供原件</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rPr>
        <w:t>投标文件应提供原件的彩色扫描件。</w:t>
      </w:r>
    </w:p>
    <w:p w14:paraId="4059D0F8">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11.7投标文件应结合招标文件要求编制相对详细的目录，以便于评委评审时查询相应的内容进行评判。因未编制目录导致的不利于投标人的后果，由投标人自负。</w:t>
      </w:r>
    </w:p>
    <w:p w14:paraId="5732D4FA">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69" w:name="_Toc1612"/>
      <w:bookmarkStart w:id="70" w:name="_Toc12131"/>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投标文件构成（实质性要求）</w:t>
      </w:r>
      <w:bookmarkEnd w:id="69"/>
      <w:bookmarkEnd w:id="70"/>
    </w:p>
    <w:p w14:paraId="254A290A">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.1投标人编写的投标文件应按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第四章投标文件格式</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要求填写。有关文件的提交如未特别注明需提供原件的，提供复印件或扫描件。</w:t>
      </w:r>
    </w:p>
    <w:p w14:paraId="1EB69C1B">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.2投标人同时投多个标段</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若分标段时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的，投标文件应按标段分别编制，单独成册。</w:t>
      </w:r>
    </w:p>
    <w:p w14:paraId="6C8900FC">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构成投标文件的其他资料：详见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投标人须知前附表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要求。</w:t>
      </w:r>
      <w:r>
        <w:rPr>
          <w:rFonts w:hint="eastAsia" w:ascii="宋体" w:hAnsi="宋体" w:eastAsia="宋体" w:cs="宋体"/>
          <w:color w:val="auto"/>
          <w:sz w:val="24"/>
          <w:szCs w:val="24"/>
          <w:highlight w:val="none"/>
          <w:lang w:val="en-US" w:eastAsia="zh-CN"/>
        </w:rPr>
        <w:t xml:space="preserve">   </w:t>
      </w:r>
    </w:p>
    <w:p w14:paraId="6E9AA09B">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71" w:name="_Toc10413"/>
      <w:bookmarkStart w:id="72" w:name="_Toc18869"/>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投标文件的格式要求</w:t>
      </w:r>
      <w:bookmarkEnd w:id="71"/>
      <w:bookmarkEnd w:id="72"/>
    </w:p>
    <w:p w14:paraId="34CAA344">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13.1投标文件应符合“政采云平台”</w:t>
      </w:r>
      <w:r>
        <w:rPr>
          <w:rFonts w:hint="eastAsia" w:ascii="宋体" w:hAnsi="宋体" w:eastAsia="宋体" w:cs="宋体"/>
          <w:color w:val="auto"/>
          <w:sz w:val="24"/>
          <w:szCs w:val="24"/>
          <w:highlight w:val="none"/>
          <w:lang w:eastAsia="zh-CN"/>
        </w:rPr>
        <w:t>客户端</w:t>
      </w:r>
      <w:r>
        <w:rPr>
          <w:rFonts w:hint="eastAsia" w:ascii="宋体" w:hAnsi="宋体" w:eastAsia="宋体" w:cs="宋体"/>
          <w:color w:val="auto"/>
          <w:sz w:val="24"/>
          <w:szCs w:val="24"/>
          <w:highlight w:val="none"/>
        </w:rPr>
        <w:t>电子投标文件的制作要求。</w:t>
      </w:r>
    </w:p>
    <w:p w14:paraId="0A4911B0">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13.2投标文件内容应按照</w:t>
      </w:r>
      <w:r>
        <w:rPr>
          <w:rFonts w:hint="eastAsia" w:ascii="宋体" w:hAnsi="宋体" w:eastAsia="宋体" w:cs="宋体"/>
          <w:b/>
          <w:color w:val="auto"/>
          <w:sz w:val="24"/>
          <w:szCs w:val="24"/>
          <w:highlight w:val="none"/>
        </w:rPr>
        <w:t>第四章“投标文件格式”</w:t>
      </w:r>
      <w:r>
        <w:rPr>
          <w:rFonts w:hint="eastAsia" w:ascii="宋体" w:hAnsi="宋体" w:eastAsia="宋体" w:cs="宋体"/>
          <w:color w:val="auto"/>
          <w:sz w:val="24"/>
          <w:szCs w:val="24"/>
          <w:highlight w:val="none"/>
        </w:rPr>
        <w:t>提供的格式完整填写。</w:t>
      </w:r>
    </w:p>
    <w:p w14:paraId="4D2BDEAC">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73" w:name="_Toc6136"/>
      <w:bookmarkStart w:id="74" w:name="_Toc24801"/>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rPr>
        <w:t>投标报价（实质性要求）</w:t>
      </w:r>
      <w:bookmarkEnd w:id="73"/>
      <w:bookmarkEnd w:id="74"/>
    </w:p>
    <w:p w14:paraId="3F39C1C2">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14.1报价应包含完成第五章“招标内容及要求”所需的设备、人工、管理、服务等所需的其他各种费用及必要的保险费用和各项税金等所有费用的总和。</w:t>
      </w:r>
    </w:p>
    <w:p w14:paraId="68C5054A">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14.2投标人须就“招标内容及要求”中的内容按包作完整唯一报价。</w:t>
      </w:r>
    </w:p>
    <w:p w14:paraId="6F423D85">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14.3投标人的投标报价应依据招标文件的要求及有关资料，执行国家规定的现行技术、经济标准、定额及规范，由投标人自行测算出现行市场的各类价格。报价包括但不限于：</w:t>
      </w:r>
      <w:r>
        <w:rPr>
          <w:rFonts w:hint="eastAsia" w:ascii="宋体" w:hAnsi="宋体" w:eastAsia="宋体" w:cs="宋体"/>
          <w:b/>
          <w:color w:val="auto"/>
          <w:kern w:val="0"/>
          <w:sz w:val="24"/>
          <w:highlight w:val="none"/>
        </w:rPr>
        <w:t>货物价格、装卸运输费、安装费、调试费、差旅费、质保期内备品备件费</w:t>
      </w:r>
      <w:r>
        <w:rPr>
          <w:rFonts w:hint="eastAsia" w:ascii="宋体" w:hAnsi="宋体" w:eastAsia="宋体" w:cs="宋体"/>
          <w:b/>
          <w:color w:val="auto"/>
          <w:kern w:val="0"/>
          <w:sz w:val="24"/>
          <w:highlight w:val="none"/>
          <w:lang w:eastAsia="zh-CN"/>
        </w:rPr>
        <w:t>、</w:t>
      </w:r>
      <w:r>
        <w:rPr>
          <w:rFonts w:hint="eastAsia" w:ascii="宋体" w:hAnsi="宋体" w:eastAsia="宋体" w:cs="宋体"/>
          <w:b/>
          <w:color w:val="auto"/>
          <w:kern w:val="0"/>
          <w:sz w:val="24"/>
          <w:highlight w:val="none"/>
        </w:rPr>
        <w:t>售后服务费、保险费、税金、</w:t>
      </w:r>
      <w:r>
        <w:rPr>
          <w:rFonts w:hint="eastAsia" w:ascii="宋体" w:hAnsi="宋体" w:cs="宋体"/>
          <w:b/>
          <w:color w:val="auto"/>
          <w:kern w:val="0"/>
          <w:sz w:val="24"/>
          <w:highlight w:val="none"/>
          <w:lang w:eastAsia="zh-CN"/>
        </w:rPr>
        <w:t>中标服务费等完成本项目所需的所有费用</w:t>
      </w:r>
      <w:r>
        <w:rPr>
          <w:rFonts w:hint="eastAsia" w:ascii="宋体" w:hAnsi="宋体" w:eastAsia="宋体" w:cs="宋体"/>
          <w:b/>
          <w:bCs/>
          <w:color w:val="auto"/>
          <w:sz w:val="24"/>
          <w:szCs w:val="24"/>
          <w:highlight w:val="none"/>
        </w:rPr>
        <w:t>。</w:t>
      </w:r>
      <w:r>
        <w:rPr>
          <w:rFonts w:hint="eastAsia" w:ascii="宋体" w:hAnsi="宋体" w:eastAsia="宋体" w:cs="宋体"/>
          <w:color w:val="auto"/>
          <w:sz w:val="24"/>
          <w:szCs w:val="24"/>
          <w:highlight w:val="none"/>
        </w:rPr>
        <w:t>该报价应符合国内行情并能保证投标人完成履行合同所需的一切工作。合同一旦签订，此合同价格在合同执行期间将不因工作量的变化而调整。</w:t>
      </w:r>
    </w:p>
    <w:p w14:paraId="1CE01803">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14.4投标人在参与本次投标的过程中，不得存在弄虚作假、行贿或者其他违法违规行为，不能低于成本价投标，否则造成的后果由投标人承担。</w:t>
      </w:r>
    </w:p>
    <w:p w14:paraId="0ED42177">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75" w:name="_Toc23102"/>
      <w:bookmarkStart w:id="76" w:name="_Toc30947"/>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投标货币（实质性要求）</w:t>
      </w:r>
      <w:bookmarkEnd w:id="75"/>
      <w:bookmarkEnd w:id="76"/>
    </w:p>
    <w:p w14:paraId="591B2658">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投标应以人民币报价。</w:t>
      </w:r>
    </w:p>
    <w:p w14:paraId="4497F259">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77" w:name="_Toc26795"/>
      <w:bookmarkStart w:id="78" w:name="_Toc10363"/>
      <w:r>
        <w:rPr>
          <w:rFonts w:hint="eastAsia" w:ascii="宋体" w:hAnsi="宋体" w:eastAsia="宋体" w:cs="宋体"/>
          <w:color w:val="auto"/>
          <w:sz w:val="24"/>
          <w:szCs w:val="24"/>
          <w:highlight w:val="none"/>
          <w:lang w:val="en-US" w:eastAsia="zh-CN"/>
        </w:rPr>
        <w:t>16.</w:t>
      </w:r>
      <w:r>
        <w:rPr>
          <w:rFonts w:hint="eastAsia" w:ascii="宋体" w:hAnsi="宋体" w:eastAsia="宋体" w:cs="宋体"/>
          <w:color w:val="auto"/>
          <w:sz w:val="24"/>
          <w:szCs w:val="24"/>
          <w:highlight w:val="none"/>
        </w:rPr>
        <w:t>投标有效期（实质性要求）</w:t>
      </w:r>
      <w:bookmarkEnd w:id="77"/>
      <w:bookmarkEnd w:id="78"/>
    </w:p>
    <w:p w14:paraId="3E094BD2">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16.1在“</w:t>
      </w:r>
      <w:r>
        <w:rPr>
          <w:rFonts w:hint="eastAsia" w:ascii="宋体" w:hAnsi="宋体" w:eastAsia="宋体" w:cs="宋体"/>
          <w:b/>
          <w:bCs/>
          <w:color w:val="auto"/>
          <w:sz w:val="24"/>
          <w:szCs w:val="24"/>
          <w:highlight w:val="none"/>
        </w:rPr>
        <w:t>投标人须知前附表</w:t>
      </w:r>
      <w:r>
        <w:rPr>
          <w:rFonts w:hint="eastAsia" w:ascii="宋体" w:hAnsi="宋体" w:eastAsia="宋体" w:cs="宋体"/>
          <w:color w:val="auto"/>
          <w:sz w:val="24"/>
          <w:szCs w:val="24"/>
          <w:highlight w:val="none"/>
        </w:rPr>
        <w:t>”规定的投标有效期内，投标人不得要求撤销或修改其投标文件。</w:t>
      </w:r>
    </w:p>
    <w:p w14:paraId="1C1657EC">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16.2特殊情况需要延长投标有效期的，</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05254684">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79" w:name="_Toc27799"/>
      <w:bookmarkStart w:id="80" w:name="_Toc16971"/>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rPr>
        <w:t>投标文件的书写要求（实质性要求）</w:t>
      </w:r>
      <w:bookmarkEnd w:id="79"/>
      <w:bookmarkEnd w:id="80"/>
    </w:p>
    <w:p w14:paraId="3DD807B6">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17.1投标文件须按招标文件要求由投标人的法定代表人或其委托代理人签字或电子签章。</w:t>
      </w:r>
      <w:r>
        <w:rPr>
          <w:rFonts w:hint="eastAsia" w:ascii="宋体" w:hAnsi="宋体" w:eastAsia="宋体" w:cs="宋体"/>
          <w:bCs/>
          <w:color w:val="auto"/>
          <w:sz w:val="24"/>
          <w:szCs w:val="24"/>
          <w:highlight w:val="none"/>
        </w:rPr>
        <w:t>委托代理人签字的，投标文件应附法定代表人签署的授权委托书。</w:t>
      </w:r>
    </w:p>
    <w:p w14:paraId="7B56A5CE">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17.2投标文件应尽量避免涂改、行间插字或删除。如果出现上述情况，改动之处应加盖单位公章或投标人法定代表人或其授权的代理人签字确认。招标文件中要求提供原件、扫描件的均应加盖公章。招标文件中提到的原件扫描件为彩色扫描件。</w:t>
      </w:r>
    </w:p>
    <w:p w14:paraId="368135FC">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17.3投标人应对所提交的业绩资料、信誉、证书、证件等的真实性负责，</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将对资料的真实性进行核实，一旦发现提供虚假材料的，</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除取消其中标资格、扣除投标保证金外，还将向相关部门报告其不良行为，投标人将自行承担相关后果和法律责任。</w:t>
      </w:r>
    </w:p>
    <w:p w14:paraId="4098257E">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81" w:name="_Toc3264"/>
      <w:bookmarkStart w:id="82" w:name="_Toc1643"/>
      <w:r>
        <w:rPr>
          <w:rFonts w:hint="eastAsia" w:ascii="宋体" w:hAnsi="宋体" w:eastAsia="宋体" w:cs="宋体"/>
          <w:color w:val="auto"/>
          <w:sz w:val="24"/>
          <w:szCs w:val="24"/>
          <w:highlight w:val="none"/>
          <w:lang w:val="en-US" w:eastAsia="zh-CN"/>
        </w:rPr>
        <w:t>18.</w:t>
      </w:r>
      <w:r>
        <w:rPr>
          <w:rFonts w:hint="eastAsia" w:ascii="宋体" w:hAnsi="宋体" w:eastAsia="宋体" w:cs="宋体"/>
          <w:color w:val="auto"/>
          <w:sz w:val="24"/>
          <w:szCs w:val="24"/>
          <w:highlight w:val="none"/>
        </w:rPr>
        <w:t>投标保证金（实质性要求）</w:t>
      </w:r>
      <w:bookmarkEnd w:id="81"/>
      <w:bookmarkEnd w:id="82"/>
    </w:p>
    <w:p w14:paraId="4BF0A80E">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18.1投标人须知前附表</w:t>
      </w:r>
      <w:r>
        <w:rPr>
          <w:rFonts w:hint="eastAsia" w:ascii="宋体" w:hAnsi="宋体" w:eastAsia="宋体" w:cs="宋体"/>
          <w:color w:val="auto"/>
          <w:sz w:val="24"/>
          <w:szCs w:val="24"/>
          <w:highlight w:val="none"/>
          <w:lang w:val="en-US" w:eastAsia="zh-CN"/>
        </w:rPr>
        <w:t>要求缴纳</w:t>
      </w:r>
      <w:r>
        <w:rPr>
          <w:rFonts w:hint="eastAsia" w:ascii="宋体" w:hAnsi="宋体" w:eastAsia="宋体" w:cs="宋体"/>
          <w:color w:val="auto"/>
          <w:sz w:val="24"/>
          <w:szCs w:val="24"/>
          <w:highlight w:val="none"/>
        </w:rPr>
        <w:t>投标保证金</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投标人应按须知前附表的规定递交，递交注意以下事项：</w:t>
      </w:r>
    </w:p>
    <w:p w14:paraId="0733D475">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）投标人应按招标文件规定的时间、地点、方式和标准提交保证金或银行保函。保证金应在规定的截止时间前到达保证金专用账户，</w:t>
      </w:r>
      <w:r>
        <w:rPr>
          <w:rFonts w:hint="eastAsia" w:ascii="宋体" w:hAnsi="宋体" w:eastAsia="宋体" w:cs="宋体"/>
          <w:color w:val="auto"/>
          <w:sz w:val="24"/>
          <w:szCs w:val="24"/>
          <w:highlight w:val="none"/>
          <w:lang w:eastAsia="zh-CN"/>
        </w:rPr>
        <w:t>到账时间</w:t>
      </w:r>
      <w:r>
        <w:rPr>
          <w:rFonts w:hint="eastAsia" w:ascii="宋体" w:hAnsi="宋体" w:eastAsia="宋体" w:cs="宋体"/>
          <w:color w:val="auto"/>
          <w:sz w:val="24"/>
          <w:szCs w:val="24"/>
          <w:highlight w:val="none"/>
        </w:rPr>
        <w:t>以银行确认的到达专用账户的时间为准。保证金有效期与投标有效期一致。以保险方式递交的，保险期应不早于投标有效期。</w:t>
      </w:r>
    </w:p>
    <w:p w14:paraId="598007D3">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）投标保证金应以投标人自身的名义提交，并且必须从其基本账户转出，不得以分支机构等其他名义提交；提交银行保函的，保函申请人必须是投标人，保证人必须是投标人基本账户的开户银行。</w:t>
      </w:r>
    </w:p>
    <w:p w14:paraId="6D661AEA">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）投标人投同一项目下两个及以上标段（或包号）的，应按标段（或包号）分别提交保证金、银行保函。</w:t>
      </w:r>
    </w:p>
    <w:p w14:paraId="174CB534">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如果本项目接受联合体投标的，由联合体中的一方或多方共同提交投标（交易）保证金，其提交的保证金对联合体各方均具有约束力；如果本项目不接受联合体投标的，则由参与该项目投标的投标人提交投标保证金。</w:t>
      </w:r>
    </w:p>
    <w:p w14:paraId="3593B665">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18.2投标人不按“投标人须知前附表”要求提交投标保证金的，其投标文件作否决投标处理。</w:t>
      </w:r>
    </w:p>
    <w:p w14:paraId="646686BC">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18.3未中标的投标人在中标通知书发出后5个工作日内无息退还；中标人的保证金，在签订合同后5个工作日内无息退还。</w:t>
      </w:r>
    </w:p>
    <w:p w14:paraId="42756BBC">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18.4下列情况发生时，保证金将全部扣除不予退还：</w:t>
      </w:r>
    </w:p>
    <w:p w14:paraId="14C93825">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（1）投标人在提交投标文件截止时间后，在投标有效期内撤销其投标文件的</w:t>
      </w:r>
      <w:r>
        <w:rPr>
          <w:rFonts w:hint="eastAsia" w:ascii="宋体" w:hAnsi="宋体" w:eastAsia="宋体" w:cs="宋体"/>
          <w:color w:val="auto"/>
          <w:sz w:val="24"/>
          <w:szCs w:val="24"/>
          <w:highlight w:val="none"/>
          <w:lang w:eastAsia="zh-CN"/>
        </w:rPr>
        <w:t>。</w:t>
      </w:r>
    </w:p>
    <w:p w14:paraId="060D688B">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（2）投标人在投标文件中提供虚假材料的</w:t>
      </w:r>
      <w:r>
        <w:rPr>
          <w:rFonts w:hint="eastAsia" w:ascii="宋体" w:hAnsi="宋体" w:eastAsia="宋体" w:cs="宋体"/>
          <w:color w:val="auto"/>
          <w:sz w:val="24"/>
          <w:szCs w:val="24"/>
          <w:highlight w:val="none"/>
          <w:lang w:eastAsia="zh-CN"/>
        </w:rPr>
        <w:t>。</w:t>
      </w:r>
    </w:p>
    <w:p w14:paraId="6F657F30">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（3）除因不可抗力或招标文件认可的情形以外，中标人不与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签订合同的</w:t>
      </w:r>
      <w:r>
        <w:rPr>
          <w:rFonts w:hint="eastAsia" w:ascii="宋体" w:hAnsi="宋体" w:eastAsia="宋体" w:cs="宋体"/>
          <w:color w:val="auto"/>
          <w:sz w:val="24"/>
          <w:szCs w:val="24"/>
          <w:highlight w:val="none"/>
          <w:lang w:eastAsia="zh-CN"/>
        </w:rPr>
        <w:t>。</w:t>
      </w:r>
    </w:p>
    <w:p w14:paraId="36C96C16">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（4）投标人与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、其他投标人或者</w:t>
      </w:r>
      <w:r>
        <w:rPr>
          <w:rFonts w:hint="eastAsia" w:ascii="宋体" w:hAnsi="宋体" w:eastAsia="宋体" w:cs="宋体"/>
          <w:color w:val="auto"/>
          <w:sz w:val="24"/>
          <w:szCs w:val="24"/>
          <w:highlight w:val="none"/>
          <w:lang w:eastAsia="zh-CN"/>
        </w:rPr>
        <w:t>采购代理</w:t>
      </w:r>
      <w:r>
        <w:rPr>
          <w:rFonts w:hint="eastAsia" w:ascii="宋体" w:hAnsi="宋体" w:eastAsia="宋体" w:cs="宋体"/>
          <w:color w:val="auto"/>
          <w:sz w:val="24"/>
          <w:szCs w:val="24"/>
          <w:highlight w:val="none"/>
        </w:rPr>
        <w:t>机构恶意串通的</w:t>
      </w:r>
      <w:r>
        <w:rPr>
          <w:rFonts w:hint="eastAsia" w:ascii="宋体" w:hAnsi="宋体" w:eastAsia="宋体" w:cs="宋体"/>
          <w:color w:val="auto"/>
          <w:sz w:val="24"/>
          <w:szCs w:val="24"/>
          <w:highlight w:val="none"/>
          <w:lang w:eastAsia="zh-CN"/>
        </w:rPr>
        <w:t>。</w:t>
      </w:r>
    </w:p>
    <w:p w14:paraId="6B0A0D7D">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（5）由于投标人的原因未按规定的时间、地点与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签订合同或未提交履约保证金和支付</w:t>
      </w:r>
      <w:r>
        <w:rPr>
          <w:rFonts w:hint="eastAsia" w:ascii="宋体" w:hAnsi="宋体" w:eastAsia="宋体" w:cs="宋体"/>
          <w:color w:val="auto"/>
          <w:sz w:val="24"/>
          <w:szCs w:val="24"/>
          <w:highlight w:val="none"/>
          <w:lang w:eastAsia="zh-CN"/>
        </w:rPr>
        <w:t>采购代理</w:t>
      </w:r>
      <w:r>
        <w:rPr>
          <w:rFonts w:hint="eastAsia" w:ascii="宋体" w:hAnsi="宋体" w:eastAsia="宋体" w:cs="宋体"/>
          <w:color w:val="auto"/>
          <w:sz w:val="24"/>
          <w:szCs w:val="24"/>
          <w:highlight w:val="none"/>
        </w:rPr>
        <w:t>服务费的</w:t>
      </w:r>
      <w:r>
        <w:rPr>
          <w:rFonts w:hint="eastAsia" w:ascii="宋体" w:hAnsi="宋体" w:eastAsia="宋体" w:cs="宋体"/>
          <w:color w:val="auto"/>
          <w:sz w:val="24"/>
          <w:szCs w:val="24"/>
          <w:highlight w:val="none"/>
          <w:lang w:eastAsia="zh-CN"/>
        </w:rPr>
        <w:t>。</w:t>
      </w:r>
    </w:p>
    <w:p w14:paraId="6A995C3B">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（6）中标人在签订合同时向</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提出附加条件的</w:t>
      </w:r>
      <w:r>
        <w:rPr>
          <w:rFonts w:hint="eastAsia" w:ascii="宋体" w:hAnsi="宋体" w:eastAsia="宋体" w:cs="宋体"/>
          <w:color w:val="auto"/>
          <w:sz w:val="24"/>
          <w:szCs w:val="24"/>
          <w:highlight w:val="none"/>
          <w:lang w:eastAsia="zh-CN"/>
        </w:rPr>
        <w:t>。</w:t>
      </w:r>
    </w:p>
    <w:p w14:paraId="4047CD48">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（7）招标文件规定的其他情形。</w:t>
      </w:r>
    </w:p>
    <w:p w14:paraId="103D881B">
      <w:pPr>
        <w:keepLines w:val="0"/>
        <w:pageBreakBefore w:val="0"/>
        <w:widowControl w:val="0"/>
        <w:kinsoku/>
        <w:overflowPunct/>
        <w:topLinePunct w:val="0"/>
        <w:autoSpaceDE/>
        <w:autoSpaceDN/>
        <w:bidi w:val="0"/>
        <w:snapToGrid/>
        <w:spacing w:line="440" w:lineRule="exact"/>
        <w:rPr>
          <w:rFonts w:hint="eastAsia" w:ascii="宋体" w:hAnsi="宋体" w:eastAsia="宋体" w:cs="宋体"/>
          <w:color w:val="auto"/>
          <w:highlight w:val="none"/>
        </w:rPr>
      </w:pPr>
    </w:p>
    <w:p w14:paraId="4FED6C8D">
      <w:pPr>
        <w:pStyle w:val="3"/>
        <w:keepLines w:val="0"/>
        <w:pageBreakBefore w:val="0"/>
        <w:widowControl w:val="0"/>
        <w:numPr>
          <w:ilvl w:val="0"/>
          <w:numId w:val="0"/>
        </w:numPr>
        <w:kinsoku/>
        <w:overflowPunct/>
        <w:topLinePunct w:val="0"/>
        <w:autoSpaceDE/>
        <w:autoSpaceDN/>
        <w:bidi w:val="0"/>
        <w:snapToGrid/>
        <w:spacing w:before="0" w:line="440" w:lineRule="exact"/>
        <w:ind w:left="893" w:hanging="691" w:hangingChars="247"/>
        <w:jc w:val="center"/>
        <w:rPr>
          <w:rFonts w:hint="eastAsia" w:ascii="宋体" w:hAnsi="宋体" w:eastAsia="宋体" w:cs="宋体"/>
          <w:color w:val="auto"/>
          <w:sz w:val="28"/>
          <w:szCs w:val="28"/>
          <w:highlight w:val="none"/>
        </w:rPr>
      </w:pPr>
      <w:bookmarkStart w:id="83" w:name="_Toc28832"/>
      <w:bookmarkStart w:id="84" w:name="_Toc28313"/>
      <w:r>
        <w:rPr>
          <w:rFonts w:hint="eastAsia" w:ascii="宋体" w:hAnsi="宋体" w:eastAsia="宋体" w:cs="宋体"/>
          <w:color w:val="auto"/>
          <w:sz w:val="28"/>
          <w:szCs w:val="28"/>
          <w:highlight w:val="none"/>
        </w:rPr>
        <w:t>四、投标文件的提交</w:t>
      </w:r>
      <w:bookmarkEnd w:id="83"/>
      <w:bookmarkEnd w:id="84"/>
    </w:p>
    <w:p w14:paraId="591390F7">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85" w:name="_Toc6774"/>
      <w:bookmarkStart w:id="86" w:name="_Toc25023"/>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rPr>
        <w:t>投标文件的密封与标记（实质性要求）</w:t>
      </w:r>
      <w:bookmarkEnd w:id="85"/>
      <w:bookmarkEnd w:id="86"/>
    </w:p>
    <w:p w14:paraId="5D451014">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19.1网上递交的投标文件需要对投标文件进行加密。</w:t>
      </w:r>
    </w:p>
    <w:p w14:paraId="53EA7DD1">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19.2投标人使用某个数字证书（CA）对投标文件进行了数字证书（CA）加密，需要在开标会上使用该数字证书（CA）进行远程解密，才能读取或导入投标文件，因投标人原因造成投标文件未解密的，视为撤回其投标文件。</w:t>
      </w:r>
    </w:p>
    <w:p w14:paraId="3965AAF5">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87" w:name="_Toc32513"/>
      <w:bookmarkStart w:id="88" w:name="_Toc24371"/>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提交投标文件的截止时间和地点（实质性要求）</w:t>
      </w:r>
      <w:bookmarkEnd w:id="87"/>
      <w:bookmarkEnd w:id="88"/>
    </w:p>
    <w:p w14:paraId="5DE1FBBF">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20.1投标文件的提交不得迟于“</w:t>
      </w:r>
      <w:r>
        <w:rPr>
          <w:rFonts w:hint="eastAsia" w:ascii="宋体" w:hAnsi="宋体" w:eastAsia="宋体" w:cs="宋体"/>
          <w:b/>
          <w:bCs/>
          <w:color w:val="auto"/>
          <w:sz w:val="24"/>
          <w:szCs w:val="24"/>
          <w:highlight w:val="none"/>
        </w:rPr>
        <w:t>投标人须知前附表</w:t>
      </w:r>
      <w:r>
        <w:rPr>
          <w:rFonts w:hint="eastAsia" w:ascii="宋体" w:hAnsi="宋体" w:eastAsia="宋体" w:cs="宋体"/>
          <w:color w:val="auto"/>
          <w:sz w:val="24"/>
          <w:szCs w:val="24"/>
          <w:highlight w:val="none"/>
        </w:rPr>
        <w:t>”规定的提交投标文件截止时间。</w:t>
      </w:r>
    </w:p>
    <w:p w14:paraId="4E784194">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20.2投标人必须在规定时间内将投标文件提交到“</w:t>
      </w:r>
      <w:r>
        <w:rPr>
          <w:rFonts w:hint="eastAsia" w:ascii="宋体" w:hAnsi="宋体" w:eastAsia="宋体" w:cs="宋体"/>
          <w:b/>
          <w:bCs/>
          <w:color w:val="auto"/>
          <w:sz w:val="24"/>
          <w:szCs w:val="24"/>
          <w:highlight w:val="none"/>
        </w:rPr>
        <w:t>投标人须知前附表</w:t>
      </w:r>
      <w:r>
        <w:rPr>
          <w:rFonts w:hint="eastAsia" w:ascii="宋体" w:hAnsi="宋体" w:eastAsia="宋体" w:cs="宋体"/>
          <w:color w:val="auto"/>
          <w:sz w:val="24"/>
          <w:szCs w:val="24"/>
          <w:highlight w:val="none"/>
        </w:rPr>
        <w:t>”规定的地点。</w:t>
      </w:r>
    </w:p>
    <w:p w14:paraId="3DAE3073">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20.3除“</w:t>
      </w:r>
      <w:r>
        <w:rPr>
          <w:rFonts w:hint="eastAsia" w:ascii="宋体" w:hAnsi="宋体" w:eastAsia="宋体" w:cs="宋体"/>
          <w:b/>
          <w:color w:val="auto"/>
          <w:sz w:val="24"/>
          <w:szCs w:val="24"/>
          <w:highlight w:val="none"/>
        </w:rPr>
        <w:t>投标人须知前附表</w:t>
      </w:r>
      <w:r>
        <w:rPr>
          <w:rFonts w:hint="eastAsia" w:ascii="宋体" w:hAnsi="宋体" w:eastAsia="宋体" w:cs="宋体"/>
          <w:color w:val="auto"/>
          <w:sz w:val="24"/>
          <w:szCs w:val="24"/>
          <w:highlight w:val="none"/>
        </w:rPr>
        <w:t>”另有规定外，投标人所递交的投标文件不予退还。</w:t>
      </w:r>
    </w:p>
    <w:p w14:paraId="2F327337">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20.4逾期上传或者未上传指定系统项目下的投标文件，</w:t>
      </w:r>
      <w:r>
        <w:rPr>
          <w:rFonts w:hint="eastAsia" w:ascii="宋体" w:hAnsi="宋体" w:eastAsia="宋体" w:cs="宋体"/>
          <w:color w:val="auto"/>
          <w:sz w:val="24"/>
          <w:szCs w:val="24"/>
          <w:highlight w:val="none"/>
          <w:lang w:eastAsia="zh-CN"/>
        </w:rPr>
        <w:t>采购代理</w:t>
      </w:r>
      <w:r>
        <w:rPr>
          <w:rFonts w:hint="eastAsia" w:ascii="宋体" w:hAnsi="宋体" w:eastAsia="宋体" w:cs="宋体"/>
          <w:color w:val="auto"/>
          <w:sz w:val="24"/>
          <w:szCs w:val="24"/>
          <w:highlight w:val="none"/>
        </w:rPr>
        <w:t>机构不予受理。</w:t>
      </w:r>
    </w:p>
    <w:p w14:paraId="09AF6130">
      <w:pPr>
        <w:keepLines w:val="0"/>
        <w:pageBreakBefore w:val="0"/>
        <w:widowControl w:val="0"/>
        <w:kinsoku/>
        <w:overflowPunct/>
        <w:topLinePunct w:val="0"/>
        <w:autoSpaceDE/>
        <w:autoSpaceDN/>
        <w:bidi w:val="0"/>
        <w:snapToGrid/>
        <w:spacing w:line="440" w:lineRule="exact"/>
        <w:ind w:firstLine="420" w:firstLineChars="200"/>
        <w:jc w:val="left"/>
        <w:rPr>
          <w:rFonts w:hint="eastAsia" w:ascii="宋体" w:hAnsi="宋体" w:eastAsia="宋体" w:cs="宋体"/>
          <w:color w:val="auto"/>
          <w:szCs w:val="21"/>
          <w:highlight w:val="none"/>
        </w:rPr>
      </w:pPr>
    </w:p>
    <w:p w14:paraId="22FAFBEB">
      <w:pPr>
        <w:pStyle w:val="3"/>
        <w:keepLines w:val="0"/>
        <w:pageBreakBefore w:val="0"/>
        <w:widowControl w:val="0"/>
        <w:numPr>
          <w:ilvl w:val="0"/>
          <w:numId w:val="0"/>
        </w:numPr>
        <w:kinsoku/>
        <w:overflowPunct/>
        <w:topLinePunct w:val="0"/>
        <w:autoSpaceDE/>
        <w:autoSpaceDN/>
        <w:bidi w:val="0"/>
        <w:snapToGrid/>
        <w:spacing w:before="0" w:line="440" w:lineRule="exact"/>
        <w:ind w:left="893" w:hanging="691" w:hangingChars="247"/>
        <w:jc w:val="center"/>
        <w:rPr>
          <w:rFonts w:hint="eastAsia" w:ascii="宋体" w:hAnsi="宋体" w:eastAsia="宋体" w:cs="宋体"/>
          <w:color w:val="auto"/>
          <w:sz w:val="28"/>
          <w:szCs w:val="28"/>
          <w:highlight w:val="none"/>
        </w:rPr>
      </w:pPr>
      <w:bookmarkStart w:id="89" w:name="_Toc5201"/>
      <w:bookmarkStart w:id="90" w:name="_Toc17381"/>
      <w:r>
        <w:rPr>
          <w:rFonts w:hint="eastAsia" w:ascii="宋体" w:hAnsi="宋体" w:eastAsia="宋体" w:cs="宋体"/>
          <w:color w:val="auto"/>
          <w:sz w:val="28"/>
          <w:szCs w:val="28"/>
          <w:highlight w:val="none"/>
        </w:rPr>
        <w:t>五、开标与评标</w:t>
      </w:r>
      <w:bookmarkEnd w:id="89"/>
      <w:bookmarkEnd w:id="90"/>
    </w:p>
    <w:p w14:paraId="6668454B">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91" w:name="_Toc5020"/>
      <w:bookmarkStart w:id="92" w:name="_Toc5621"/>
      <w:r>
        <w:rPr>
          <w:rFonts w:hint="eastAsia" w:ascii="宋体" w:hAnsi="宋体" w:eastAsia="宋体" w:cs="宋体"/>
          <w:color w:val="auto"/>
          <w:sz w:val="24"/>
          <w:szCs w:val="24"/>
          <w:highlight w:val="none"/>
          <w:lang w:val="en-US" w:eastAsia="zh-CN"/>
        </w:rPr>
        <w:t>21.</w:t>
      </w:r>
      <w:r>
        <w:rPr>
          <w:rFonts w:hint="eastAsia" w:ascii="宋体" w:hAnsi="宋体" w:eastAsia="宋体" w:cs="宋体"/>
          <w:color w:val="auto"/>
          <w:sz w:val="24"/>
          <w:szCs w:val="24"/>
          <w:highlight w:val="none"/>
        </w:rPr>
        <w:t>开标</w:t>
      </w:r>
      <w:bookmarkEnd w:id="91"/>
      <w:bookmarkEnd w:id="92"/>
    </w:p>
    <w:p w14:paraId="15811C51">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w:t>
      </w:r>
      <w:r>
        <w:rPr>
          <w:rFonts w:hint="eastAsia" w:ascii="宋体" w:hAnsi="宋体" w:eastAsia="宋体" w:cs="宋体"/>
          <w:color w:val="auto"/>
          <w:sz w:val="24"/>
          <w:szCs w:val="24"/>
          <w:highlight w:val="none"/>
          <w:lang w:eastAsia="zh-CN"/>
        </w:rPr>
        <w:t>采购代理</w:t>
      </w:r>
      <w:r>
        <w:rPr>
          <w:rFonts w:hint="eastAsia" w:ascii="宋体" w:hAnsi="宋体" w:eastAsia="宋体" w:cs="宋体"/>
          <w:color w:val="auto"/>
          <w:sz w:val="24"/>
          <w:szCs w:val="24"/>
          <w:highlight w:val="none"/>
        </w:rPr>
        <w:t>机构将在“投标人须知前附表”规定的时间和地点进行开标，投标人完成远程解密、查看开标一览表等相关操作。若投标人未在规定时</w:t>
      </w:r>
      <w:r>
        <w:rPr>
          <w:rFonts w:hint="eastAsia" w:ascii="宋体" w:hAnsi="宋体" w:eastAsia="宋体" w:cs="宋体"/>
          <w:color w:val="auto"/>
          <w:sz w:val="24"/>
          <w:szCs w:val="24"/>
          <w:highlight w:val="none"/>
          <w:lang w:eastAsia="zh-CN"/>
        </w:rPr>
        <w:t>间内</w:t>
      </w:r>
      <w:r>
        <w:rPr>
          <w:rFonts w:hint="eastAsia" w:ascii="宋体" w:hAnsi="宋体" w:eastAsia="宋体" w:cs="宋体"/>
          <w:color w:val="auto"/>
          <w:sz w:val="24"/>
          <w:szCs w:val="24"/>
          <w:highlight w:val="none"/>
        </w:rPr>
        <w:t>完成解密，否则视为无效投标，不再进入评标阶段。</w:t>
      </w:r>
    </w:p>
    <w:p w14:paraId="263FD446">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21.2开标程序</w:t>
      </w:r>
    </w:p>
    <w:p w14:paraId="362F4D8B">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（1）开标会由</w:t>
      </w:r>
      <w:r>
        <w:rPr>
          <w:rFonts w:hint="eastAsia" w:ascii="宋体" w:hAnsi="宋体" w:eastAsia="宋体" w:cs="宋体"/>
          <w:color w:val="auto"/>
          <w:sz w:val="24"/>
          <w:szCs w:val="24"/>
          <w:highlight w:val="none"/>
          <w:lang w:eastAsia="zh-CN"/>
        </w:rPr>
        <w:t>采购代理</w:t>
      </w:r>
      <w:r>
        <w:rPr>
          <w:rFonts w:hint="eastAsia" w:ascii="宋体" w:hAnsi="宋体" w:eastAsia="宋体" w:cs="宋体"/>
          <w:color w:val="auto"/>
          <w:sz w:val="24"/>
          <w:szCs w:val="24"/>
          <w:highlight w:val="none"/>
        </w:rPr>
        <w:t>机构主持，主持人宣布开标会议开始</w:t>
      </w:r>
      <w:r>
        <w:rPr>
          <w:rFonts w:hint="eastAsia" w:ascii="宋体" w:hAnsi="宋体" w:eastAsia="宋体" w:cs="宋体"/>
          <w:color w:val="auto"/>
          <w:sz w:val="24"/>
          <w:szCs w:val="24"/>
          <w:highlight w:val="none"/>
          <w:lang w:eastAsia="zh-CN"/>
        </w:rPr>
        <w:t>。</w:t>
      </w:r>
    </w:p>
    <w:p w14:paraId="25C1A38A">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（2）介绍参加开标会的人员名单</w:t>
      </w:r>
      <w:r>
        <w:rPr>
          <w:rFonts w:hint="eastAsia" w:ascii="宋体" w:hAnsi="宋体" w:eastAsia="宋体" w:cs="宋体"/>
          <w:color w:val="auto"/>
          <w:sz w:val="24"/>
          <w:szCs w:val="24"/>
          <w:highlight w:val="none"/>
          <w:lang w:eastAsia="zh-CN"/>
        </w:rPr>
        <w:t>。</w:t>
      </w:r>
    </w:p>
    <w:p w14:paraId="1E1DCA11">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（3）开标：</w:t>
      </w:r>
      <w:r>
        <w:rPr>
          <w:rFonts w:hint="eastAsia" w:ascii="宋体" w:hAnsi="宋体" w:eastAsia="宋体" w:cs="宋体"/>
          <w:color w:val="auto"/>
          <w:sz w:val="24"/>
          <w:szCs w:val="24"/>
          <w:highlight w:val="none"/>
          <w:lang w:eastAsia="zh-CN"/>
        </w:rPr>
        <w:t>采购代理</w:t>
      </w:r>
      <w:r>
        <w:rPr>
          <w:rFonts w:hint="eastAsia" w:ascii="宋体" w:hAnsi="宋体" w:eastAsia="宋体" w:cs="宋体"/>
          <w:color w:val="auto"/>
          <w:sz w:val="24"/>
          <w:szCs w:val="24"/>
          <w:highlight w:val="none"/>
        </w:rPr>
        <w:t>机构工作人员通过“政采云平台”（https://www.zcygov.cn/）自动提取所有投标人的投标文件。主持人宣布开启电子投标文件后，根据系统提示设置解密时限，投标人使用编制投标文件时的加密数字证书在解密时限内对投标文件进行解密</w:t>
      </w:r>
      <w:r>
        <w:rPr>
          <w:rFonts w:hint="eastAsia" w:ascii="宋体" w:hAnsi="宋体" w:eastAsia="宋体" w:cs="宋体"/>
          <w:color w:val="auto"/>
          <w:sz w:val="24"/>
          <w:szCs w:val="24"/>
          <w:highlight w:val="none"/>
          <w:lang w:eastAsia="zh-CN"/>
        </w:rPr>
        <w:t>。</w:t>
      </w:r>
    </w:p>
    <w:p w14:paraId="5E54DC66">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（4）唱标：由“政采云平台”（https://www.zcygov.cn/）自动读取投标人在其电子投标文件中开标一览表内的投标价格和招标文件规定的需要宣布的其他内容。</w:t>
      </w:r>
    </w:p>
    <w:p w14:paraId="5C29D643">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（5）宣布评标期间的有关事项</w:t>
      </w:r>
      <w:r>
        <w:rPr>
          <w:rFonts w:hint="eastAsia" w:ascii="宋体" w:hAnsi="宋体" w:eastAsia="宋体" w:cs="宋体"/>
          <w:color w:val="auto"/>
          <w:sz w:val="24"/>
          <w:szCs w:val="24"/>
          <w:highlight w:val="none"/>
          <w:lang w:eastAsia="zh-CN"/>
        </w:rPr>
        <w:t>。</w:t>
      </w:r>
    </w:p>
    <w:p w14:paraId="0A1BC4FB">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（6）开标会议结束。</w:t>
      </w:r>
    </w:p>
    <w:p w14:paraId="1CDA6F57">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w:t>
      </w:r>
      <w:r>
        <w:rPr>
          <w:rFonts w:hint="eastAsia" w:ascii="宋体" w:hAnsi="宋体" w:eastAsia="宋体" w:cs="宋体"/>
          <w:color w:val="auto"/>
          <w:sz w:val="24"/>
          <w:szCs w:val="24"/>
          <w:highlight w:val="none"/>
          <w:lang w:eastAsia="zh-CN"/>
        </w:rPr>
        <w:t>采购代理</w:t>
      </w:r>
      <w:r>
        <w:rPr>
          <w:rFonts w:hint="eastAsia" w:ascii="宋体" w:hAnsi="宋体" w:eastAsia="宋体" w:cs="宋体"/>
          <w:color w:val="auto"/>
          <w:sz w:val="24"/>
          <w:szCs w:val="24"/>
          <w:highlight w:val="none"/>
        </w:rPr>
        <w:t>机构将做开标记录，参会人员对唱标结果签字见证。</w:t>
      </w:r>
    </w:p>
    <w:p w14:paraId="6AB52231">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93" w:name="_Toc29123"/>
      <w:bookmarkStart w:id="94" w:name="_Toc10114"/>
      <w:r>
        <w:rPr>
          <w:rFonts w:hint="eastAsia" w:ascii="宋体" w:hAnsi="宋体" w:eastAsia="宋体" w:cs="宋体"/>
          <w:color w:val="auto"/>
          <w:sz w:val="24"/>
          <w:szCs w:val="24"/>
          <w:highlight w:val="none"/>
          <w:lang w:val="en-US" w:eastAsia="zh-CN"/>
        </w:rPr>
        <w:t>22.</w:t>
      </w:r>
      <w:r>
        <w:rPr>
          <w:rFonts w:hint="eastAsia" w:ascii="宋体" w:hAnsi="宋体" w:eastAsia="宋体" w:cs="宋体"/>
          <w:color w:val="auto"/>
          <w:sz w:val="24"/>
          <w:szCs w:val="24"/>
          <w:highlight w:val="none"/>
        </w:rPr>
        <w:t>评标</w:t>
      </w:r>
      <w:bookmarkEnd w:id="93"/>
      <w:bookmarkEnd w:id="94"/>
    </w:p>
    <w:p w14:paraId="67FF2638">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22.1评标由</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依法组建的评标委员会负责。评标委员会由</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熟悉相关业务的代表，以及有关技术、经济等方面的专家组成。其中，技术、经济等方面的专家不得少于成员总数的三分之二。</w:t>
      </w:r>
    </w:p>
    <w:p w14:paraId="3FC5F643">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bookmarkStart w:id="95" w:name="_Toc191374422"/>
      <w:r>
        <w:rPr>
          <w:rFonts w:hint="eastAsia" w:ascii="宋体" w:hAnsi="宋体" w:eastAsia="宋体" w:cs="宋体"/>
          <w:color w:val="auto"/>
          <w:sz w:val="24"/>
          <w:szCs w:val="24"/>
          <w:highlight w:val="none"/>
        </w:rPr>
        <w:t>22.2</w:t>
      </w:r>
      <w:bookmarkEnd w:id="95"/>
      <w:r>
        <w:rPr>
          <w:rFonts w:hint="eastAsia" w:ascii="宋体" w:hAnsi="宋体" w:eastAsia="宋体" w:cs="宋体"/>
          <w:color w:val="auto"/>
          <w:sz w:val="24"/>
          <w:szCs w:val="24"/>
          <w:highlight w:val="none"/>
        </w:rPr>
        <w:t>评标活动遵循公平、公正、科学和择优的原则。</w:t>
      </w:r>
    </w:p>
    <w:p w14:paraId="65AD0D13">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22.3评标委员会按照第六章“</w:t>
      </w:r>
      <w:r>
        <w:rPr>
          <w:rFonts w:hint="eastAsia" w:ascii="宋体" w:hAnsi="宋体" w:eastAsia="宋体" w:cs="宋体"/>
          <w:b/>
          <w:color w:val="auto"/>
          <w:sz w:val="24"/>
          <w:szCs w:val="24"/>
          <w:highlight w:val="none"/>
        </w:rPr>
        <w:t>评标办法</w:t>
      </w:r>
      <w:r>
        <w:rPr>
          <w:rFonts w:hint="eastAsia" w:ascii="宋体" w:hAnsi="宋体" w:eastAsia="宋体" w:cs="宋体"/>
          <w:color w:val="auto"/>
          <w:sz w:val="24"/>
          <w:szCs w:val="24"/>
          <w:highlight w:val="none"/>
        </w:rPr>
        <w:t>”规定的方法、评审因素、标准和程序对投标文件进行评审。第六章“</w:t>
      </w:r>
      <w:r>
        <w:rPr>
          <w:rFonts w:hint="eastAsia" w:ascii="宋体" w:hAnsi="宋体" w:eastAsia="宋体" w:cs="宋体"/>
          <w:b/>
          <w:color w:val="auto"/>
          <w:sz w:val="24"/>
          <w:szCs w:val="24"/>
          <w:highlight w:val="none"/>
        </w:rPr>
        <w:t>评标办法</w:t>
      </w:r>
      <w:r>
        <w:rPr>
          <w:rFonts w:hint="eastAsia" w:ascii="宋体" w:hAnsi="宋体" w:eastAsia="宋体" w:cs="宋体"/>
          <w:color w:val="auto"/>
          <w:sz w:val="24"/>
          <w:szCs w:val="24"/>
          <w:highlight w:val="none"/>
        </w:rPr>
        <w:t>”没有规定的方法、评审因素和标准，不作为评标依据。</w:t>
      </w:r>
    </w:p>
    <w:p w14:paraId="0CEEADE4">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96" w:name="_Toc12575"/>
      <w:bookmarkStart w:id="97" w:name="_Toc2079"/>
      <w:r>
        <w:rPr>
          <w:rFonts w:hint="eastAsia" w:ascii="宋体" w:hAnsi="宋体" w:eastAsia="宋体" w:cs="宋体"/>
          <w:color w:val="auto"/>
          <w:sz w:val="24"/>
          <w:szCs w:val="24"/>
          <w:highlight w:val="none"/>
          <w:lang w:val="en-US" w:eastAsia="zh-CN"/>
        </w:rPr>
        <w:t>23.</w:t>
      </w:r>
      <w:r>
        <w:rPr>
          <w:rFonts w:hint="eastAsia" w:ascii="宋体" w:hAnsi="宋体" w:eastAsia="宋体" w:cs="宋体"/>
          <w:color w:val="auto"/>
          <w:sz w:val="24"/>
          <w:szCs w:val="24"/>
          <w:highlight w:val="none"/>
        </w:rPr>
        <w:t>评标过程的保密</w:t>
      </w:r>
      <w:bookmarkEnd w:id="96"/>
      <w:bookmarkEnd w:id="97"/>
    </w:p>
    <w:p w14:paraId="3A22E98B">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开标后，直到授予投标人合同止，凡是属于审查、澄清、评审和比较的有关资料以及</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建议等均不得向投标人或其他无关的人员透露。投标人在评标过程中，所进行的力图影响评标结果的不公正活动，可能导致其投标被拒绝。</w:t>
      </w:r>
    </w:p>
    <w:p w14:paraId="5D6BDBE2">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98" w:name="_Toc23526"/>
      <w:bookmarkStart w:id="99" w:name="_Toc24841"/>
      <w:r>
        <w:rPr>
          <w:rFonts w:hint="eastAsia" w:ascii="宋体" w:hAnsi="宋体" w:eastAsia="宋体" w:cs="宋体"/>
          <w:color w:val="auto"/>
          <w:sz w:val="24"/>
          <w:szCs w:val="24"/>
          <w:highlight w:val="none"/>
          <w:lang w:val="en-US" w:eastAsia="zh-CN"/>
        </w:rPr>
        <w:t>24.废标</w:t>
      </w:r>
      <w:r>
        <w:rPr>
          <w:rFonts w:hint="eastAsia" w:ascii="宋体" w:hAnsi="宋体" w:eastAsia="宋体" w:cs="宋体"/>
          <w:color w:val="auto"/>
          <w:sz w:val="24"/>
          <w:szCs w:val="24"/>
          <w:highlight w:val="none"/>
        </w:rPr>
        <w:t>情形</w:t>
      </w:r>
      <w:bookmarkEnd w:id="98"/>
      <w:bookmarkEnd w:id="99"/>
    </w:p>
    <w:p w14:paraId="7C7B2E0A">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在招标采购中，出现下列情形之一的，应予废标</w:t>
      </w:r>
      <w:r>
        <w:rPr>
          <w:rFonts w:hint="eastAsia" w:ascii="宋体" w:hAnsi="宋体" w:eastAsia="宋体" w:cs="宋体"/>
          <w:color w:val="auto"/>
          <w:sz w:val="24"/>
          <w:szCs w:val="24"/>
          <w:highlight w:val="none"/>
          <w:lang w:eastAsia="zh-CN"/>
        </w:rPr>
        <w:t>：</w:t>
      </w:r>
    </w:p>
    <w:p w14:paraId="3FD498B2">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（1）符合专业条件的投标人或者对招标文件作实质响应的投标人不足3家的</w:t>
      </w:r>
      <w:r>
        <w:rPr>
          <w:rFonts w:hint="eastAsia" w:ascii="宋体" w:hAnsi="宋体" w:eastAsia="宋体" w:cs="宋体"/>
          <w:color w:val="auto"/>
          <w:sz w:val="24"/>
          <w:szCs w:val="24"/>
          <w:highlight w:val="none"/>
          <w:lang w:eastAsia="zh-CN"/>
        </w:rPr>
        <w:t>。</w:t>
      </w:r>
    </w:p>
    <w:p w14:paraId="2E4B60C6">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（2）出现影响采购公正的违法、违规行为的</w:t>
      </w:r>
      <w:r>
        <w:rPr>
          <w:rFonts w:hint="eastAsia" w:ascii="宋体" w:hAnsi="宋体" w:eastAsia="宋体" w:cs="宋体"/>
          <w:color w:val="auto"/>
          <w:sz w:val="24"/>
          <w:szCs w:val="24"/>
          <w:highlight w:val="none"/>
          <w:lang w:eastAsia="zh-CN"/>
        </w:rPr>
        <w:t>。</w:t>
      </w:r>
    </w:p>
    <w:p w14:paraId="3CFCA6FA">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（3）投标人的报价均超过了采购</w:t>
      </w:r>
      <w:r>
        <w:rPr>
          <w:rFonts w:hint="eastAsia" w:ascii="宋体" w:hAnsi="宋体" w:eastAsia="宋体" w:cs="宋体"/>
          <w:bCs/>
          <w:color w:val="auto"/>
          <w:sz w:val="24"/>
          <w:szCs w:val="24"/>
          <w:highlight w:val="none"/>
        </w:rPr>
        <w:t>预算价（或最高投标限价）</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不能支付的</w:t>
      </w:r>
      <w:r>
        <w:rPr>
          <w:rFonts w:hint="eastAsia" w:ascii="宋体" w:hAnsi="宋体" w:eastAsia="宋体" w:cs="宋体"/>
          <w:color w:val="auto"/>
          <w:sz w:val="24"/>
          <w:szCs w:val="24"/>
          <w:highlight w:val="none"/>
          <w:lang w:eastAsia="zh-CN"/>
        </w:rPr>
        <w:t>。</w:t>
      </w:r>
    </w:p>
    <w:p w14:paraId="5B54DDA7">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（4）因重大变故，采购任务取消的。</w:t>
      </w:r>
    </w:p>
    <w:p w14:paraId="633D3F80">
      <w:pPr>
        <w:pStyle w:val="15"/>
        <w:rPr>
          <w:rFonts w:hint="eastAsia" w:ascii="宋体" w:hAnsi="宋体" w:eastAsia="宋体" w:cs="宋体"/>
          <w:color w:val="auto"/>
          <w:highlight w:val="none"/>
        </w:rPr>
      </w:pPr>
    </w:p>
    <w:p w14:paraId="42FDB31D">
      <w:pPr>
        <w:pStyle w:val="3"/>
        <w:keepLines w:val="0"/>
        <w:pageBreakBefore w:val="0"/>
        <w:widowControl w:val="0"/>
        <w:numPr>
          <w:ilvl w:val="0"/>
          <w:numId w:val="0"/>
        </w:numPr>
        <w:kinsoku/>
        <w:overflowPunct/>
        <w:topLinePunct w:val="0"/>
        <w:autoSpaceDE/>
        <w:autoSpaceDN/>
        <w:bidi w:val="0"/>
        <w:snapToGrid/>
        <w:spacing w:before="0" w:line="440" w:lineRule="exact"/>
        <w:ind w:left="893" w:hanging="691" w:hangingChars="247"/>
        <w:jc w:val="center"/>
        <w:rPr>
          <w:rFonts w:hint="eastAsia" w:ascii="宋体" w:hAnsi="宋体" w:eastAsia="宋体" w:cs="宋体"/>
          <w:color w:val="auto"/>
          <w:sz w:val="28"/>
          <w:szCs w:val="28"/>
          <w:highlight w:val="none"/>
        </w:rPr>
      </w:pPr>
      <w:bookmarkStart w:id="100" w:name="_Toc15724"/>
      <w:bookmarkStart w:id="101" w:name="_Toc14075"/>
      <w:r>
        <w:rPr>
          <w:rFonts w:hint="eastAsia" w:ascii="宋体" w:hAnsi="宋体" w:eastAsia="宋体" w:cs="宋体"/>
          <w:color w:val="auto"/>
          <w:sz w:val="28"/>
          <w:szCs w:val="28"/>
          <w:highlight w:val="none"/>
        </w:rPr>
        <w:t>六、中标结果</w:t>
      </w:r>
      <w:bookmarkEnd w:id="100"/>
      <w:bookmarkEnd w:id="101"/>
    </w:p>
    <w:p w14:paraId="2B9C3655">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102" w:name="_Toc24641"/>
      <w:bookmarkStart w:id="103" w:name="_Toc24057"/>
      <w:r>
        <w:rPr>
          <w:rFonts w:hint="eastAsia" w:ascii="宋体" w:hAnsi="宋体" w:eastAsia="宋体" w:cs="宋体"/>
          <w:color w:val="auto"/>
          <w:sz w:val="24"/>
          <w:szCs w:val="24"/>
          <w:highlight w:val="none"/>
          <w:lang w:val="en-US" w:eastAsia="zh-CN"/>
        </w:rPr>
        <w:t>25.</w:t>
      </w:r>
      <w:r>
        <w:rPr>
          <w:rFonts w:hint="eastAsia" w:ascii="宋体" w:hAnsi="宋体" w:eastAsia="宋体" w:cs="宋体"/>
          <w:color w:val="auto"/>
          <w:sz w:val="24"/>
          <w:szCs w:val="24"/>
          <w:highlight w:val="none"/>
        </w:rPr>
        <w:t>中标人的确定</w:t>
      </w:r>
      <w:bookmarkEnd w:id="102"/>
      <w:bookmarkEnd w:id="103"/>
    </w:p>
    <w:p w14:paraId="610E3F8A">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w:t>
      </w:r>
      <w:r>
        <w:rPr>
          <w:rFonts w:hint="eastAsia" w:ascii="宋体" w:hAnsi="宋体" w:eastAsia="宋体" w:cs="宋体"/>
          <w:color w:val="auto"/>
          <w:sz w:val="24"/>
          <w:szCs w:val="24"/>
          <w:highlight w:val="none"/>
          <w:lang w:eastAsia="zh-CN"/>
        </w:rPr>
        <w:t>采购代理</w:t>
      </w:r>
      <w:r>
        <w:rPr>
          <w:rFonts w:hint="eastAsia" w:ascii="宋体" w:hAnsi="宋体" w:eastAsia="宋体" w:cs="宋体"/>
          <w:color w:val="auto"/>
          <w:sz w:val="24"/>
          <w:szCs w:val="24"/>
          <w:highlight w:val="none"/>
        </w:rPr>
        <w:t>机构应当在评标结束后2个工作日内将评标报告送</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确认。</w:t>
      </w:r>
    </w:p>
    <w:p w14:paraId="706895C1">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应当在收到评标报告后5个工作日内，按照评标报告中推荐的中标人顺序确定中标人。</w:t>
      </w:r>
    </w:p>
    <w:p w14:paraId="4852C374">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104" w:name="_Toc11491"/>
      <w:bookmarkStart w:id="105" w:name="_Toc15246"/>
      <w:r>
        <w:rPr>
          <w:rFonts w:hint="eastAsia" w:ascii="宋体" w:hAnsi="宋体" w:eastAsia="宋体" w:cs="宋体"/>
          <w:color w:val="auto"/>
          <w:sz w:val="24"/>
          <w:szCs w:val="24"/>
          <w:highlight w:val="none"/>
          <w:lang w:val="en-US" w:eastAsia="zh-CN"/>
        </w:rPr>
        <w:t>26.</w:t>
      </w:r>
      <w:r>
        <w:rPr>
          <w:rFonts w:hint="eastAsia" w:ascii="宋体" w:hAnsi="宋体" w:eastAsia="宋体" w:cs="宋体"/>
          <w:color w:val="auto"/>
          <w:sz w:val="24"/>
          <w:szCs w:val="24"/>
          <w:highlight w:val="none"/>
        </w:rPr>
        <w:t>中标通知书</w:t>
      </w:r>
      <w:bookmarkEnd w:id="104"/>
      <w:bookmarkEnd w:id="105"/>
    </w:p>
    <w:p w14:paraId="2786C322">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26.1采购人或者采购代理机构自中标</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确定之日起2个工作日内，发出中标通知书，并在招标公告发布网上公告中标结果。</w:t>
      </w:r>
    </w:p>
    <w:p w14:paraId="30EDBBDB">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26.2中标通知书是合同的一个组成部分。</w:t>
      </w:r>
    </w:p>
    <w:p w14:paraId="64973D10">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106" w:name="_Toc23292"/>
      <w:bookmarkStart w:id="107" w:name="_Toc28319"/>
      <w:r>
        <w:rPr>
          <w:rFonts w:hint="eastAsia" w:ascii="宋体" w:hAnsi="宋体" w:eastAsia="宋体" w:cs="宋体"/>
          <w:color w:val="auto"/>
          <w:sz w:val="24"/>
          <w:szCs w:val="24"/>
          <w:highlight w:val="none"/>
          <w:lang w:val="en-US" w:eastAsia="zh-CN"/>
        </w:rPr>
        <w:t>27.</w:t>
      </w:r>
      <w:r>
        <w:rPr>
          <w:rFonts w:hint="eastAsia" w:ascii="宋体" w:hAnsi="宋体" w:eastAsia="宋体" w:cs="宋体"/>
          <w:color w:val="auto"/>
          <w:sz w:val="24"/>
          <w:szCs w:val="24"/>
          <w:highlight w:val="none"/>
        </w:rPr>
        <w:t>签订合同</w:t>
      </w:r>
      <w:bookmarkEnd w:id="106"/>
      <w:bookmarkEnd w:id="107"/>
    </w:p>
    <w:p w14:paraId="68AA7ED0">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27.1中标人收到中标通知书后，按招标文件、投标文件及有关澄清承诺书的要求与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签订合同。</w:t>
      </w:r>
    </w:p>
    <w:p w14:paraId="3381D5E2">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27.2中标人应在</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rPr>
        <w:t>通知书发出之日起三十日内与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签订采购合同。由于中标人的原因逾期未与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签订采购合同的，将视为放弃</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rPr>
        <w:t>，取消其</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rPr>
        <w:t>资格并将按相关规定进行处理。</w:t>
      </w:r>
    </w:p>
    <w:p w14:paraId="6279E5B9">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27.3招标文件、中标人的投标文件及双方确认的澄清文件等，均为有法律约束力的合同组成部分。</w:t>
      </w:r>
    </w:p>
    <w:p w14:paraId="31B41001">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不得向中标人提出任何不合理的要求，作为签订合同的条件，不得与中标人私下订立背离合同实质性内容的任何协议，所签订的合同不得对招标文件和中标人投标文件确定的事项进行修改。</w:t>
      </w:r>
    </w:p>
    <w:p w14:paraId="051BCFE1">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27.5中标人因不可抗力原因不能履行采购合同或放弃</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可以与排在中标人之后第一位的中标候选人签订采购合同，以此类推。</w:t>
      </w:r>
    </w:p>
    <w:p w14:paraId="1B4B4001">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108" w:name="_Toc1184"/>
      <w:bookmarkStart w:id="109" w:name="_Toc25333"/>
      <w:bookmarkStart w:id="110" w:name="_Toc7536"/>
      <w:r>
        <w:rPr>
          <w:rFonts w:hint="eastAsia" w:ascii="宋体" w:hAnsi="宋体" w:eastAsia="宋体" w:cs="宋体"/>
          <w:color w:val="auto"/>
          <w:sz w:val="24"/>
          <w:szCs w:val="24"/>
          <w:highlight w:val="none"/>
          <w:lang w:val="en-US" w:eastAsia="zh-CN"/>
        </w:rPr>
        <w:t>28.</w:t>
      </w:r>
      <w:r>
        <w:rPr>
          <w:rFonts w:hint="eastAsia" w:ascii="宋体" w:hAnsi="宋体" w:eastAsia="宋体" w:cs="宋体"/>
          <w:color w:val="auto"/>
          <w:sz w:val="24"/>
          <w:szCs w:val="24"/>
          <w:highlight w:val="none"/>
        </w:rPr>
        <w:t>合同分包（实质性要求）</w:t>
      </w:r>
      <w:bookmarkEnd w:id="108"/>
      <w:bookmarkEnd w:id="109"/>
      <w:bookmarkEnd w:id="110"/>
    </w:p>
    <w:p w14:paraId="7BB728ED">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28.1投标人须知前附表规定允许分包的，经</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同意，中标人可以依法采取分包方式履行合同，但必须在投标文件中事前载明。这种要求应当在合同签订之前征得</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同意，并且分包投标人履行的分包项目的品牌、规格型号及技术要求或服务等，必须与中标的一致。</w:t>
      </w:r>
    </w:p>
    <w:p w14:paraId="56D936AB">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28.2</w:t>
      </w:r>
      <w:r>
        <w:rPr>
          <w:rFonts w:hint="eastAsia" w:ascii="宋体" w:hAnsi="宋体" w:eastAsia="宋体" w:cs="宋体"/>
          <w:color w:val="auto"/>
          <w:sz w:val="24"/>
          <w:szCs w:val="24"/>
          <w:highlight w:val="none"/>
        </w:rPr>
        <w:t>分包履行合同的部分应当为采购项目的非主体、非关键性工作，不属于中标人的主要合同义务。</w:t>
      </w:r>
    </w:p>
    <w:p w14:paraId="633C7ED5">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采购合同实行分包履行的，中标人就采购项目和分包项目向</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负责，分包投标人就分包项目承担责任。</w:t>
      </w:r>
    </w:p>
    <w:p w14:paraId="34762F28">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中小企业参照《政府采购促进中小企业发展管理办法》（财库﹝2020﹞46号）规定的政策获取采购合同后，小微企业不得将合同分包给大中型企业，中型企业不得将合同分包给大型企业。</w:t>
      </w:r>
    </w:p>
    <w:p w14:paraId="23C12C06">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111" w:name="_Toc8842"/>
      <w:bookmarkStart w:id="112" w:name="_Toc30368"/>
      <w:bookmarkStart w:id="113" w:name="_Toc23579"/>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严禁合同转包（实质性要求）</w:t>
      </w:r>
      <w:bookmarkEnd w:id="111"/>
      <w:bookmarkEnd w:id="112"/>
      <w:bookmarkEnd w:id="113"/>
    </w:p>
    <w:p w14:paraId="67546576">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本采购项目严禁中标人将任何采购合同义务转包。本项目所称转包，是指中标人将采购合同义务转让给第三人，并退出现有采购合同当事人双方的权利义务关系，受让人（即第三人）成为采购合同的另一方当事人的行为。</w:t>
      </w:r>
    </w:p>
    <w:p w14:paraId="07C5C16C">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29.2中标人转包的，视同拒绝履行采购合同义务，将依法追究法律责任。</w:t>
      </w:r>
    </w:p>
    <w:p w14:paraId="1EE89DE9">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114" w:name="_Toc7157"/>
      <w:bookmarkStart w:id="115" w:name="_Toc13594"/>
      <w:bookmarkStart w:id="116" w:name="_Toc21474"/>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补充合同</w:t>
      </w:r>
      <w:bookmarkEnd w:id="114"/>
      <w:bookmarkEnd w:id="115"/>
      <w:bookmarkEnd w:id="116"/>
    </w:p>
    <w:p w14:paraId="40773A7F">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采购合同履行过程中，</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 xml:space="preserve">需要追加与合同标的相同的货物或者服务或者工程的，在不改变合同其他条款的前提下，可以与中标人协商签订补充合同，但所有补充合同的采购金额不得超过原合同采购金额的10%。该补充合同应当在原采购合同履行过程中，不得在原采购合同履行结束后，且采购货物、工程和服务的名称、价格、履约方式、验收标准等必须与原采购合同一致。 </w:t>
      </w:r>
    </w:p>
    <w:p w14:paraId="354DFF4B">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117" w:name="_Toc22118"/>
      <w:bookmarkStart w:id="118" w:name="_Toc27326"/>
      <w:bookmarkStart w:id="119" w:name="_Toc16278"/>
      <w:r>
        <w:rPr>
          <w:rFonts w:hint="eastAsia" w:ascii="宋体" w:hAnsi="宋体" w:eastAsia="宋体" w:cs="宋体"/>
          <w:color w:val="auto"/>
          <w:sz w:val="24"/>
          <w:szCs w:val="24"/>
          <w:highlight w:val="none"/>
          <w:lang w:val="en-US" w:eastAsia="zh-CN"/>
        </w:rPr>
        <w:t>31.</w:t>
      </w:r>
      <w:r>
        <w:rPr>
          <w:rFonts w:hint="eastAsia" w:ascii="宋体" w:hAnsi="宋体" w:eastAsia="宋体" w:cs="宋体"/>
          <w:color w:val="auto"/>
          <w:sz w:val="24"/>
          <w:szCs w:val="24"/>
          <w:highlight w:val="none"/>
        </w:rPr>
        <w:t>履约保证金（实质性要求）</w:t>
      </w:r>
      <w:bookmarkEnd w:id="117"/>
      <w:bookmarkEnd w:id="118"/>
      <w:bookmarkEnd w:id="119"/>
    </w:p>
    <w:p w14:paraId="5E552116">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31.1若须知前附表要求缴纳履约保证金的，中标人应在合同签订之后规定期限内缴纳合同约定数额的履约保证金。</w:t>
      </w:r>
    </w:p>
    <w:p w14:paraId="2573C676">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31.2如果中标人在规定的合同签订时间内，没有按照招标文件的规定缴纳履约保证金，且又无正当理由的，将视为放弃中标。</w:t>
      </w:r>
    </w:p>
    <w:p w14:paraId="30358ABA">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120" w:name="_Toc1389"/>
      <w:bookmarkStart w:id="121" w:name="_Toc23118"/>
      <w:bookmarkStart w:id="122" w:name="_Toc18701"/>
      <w:r>
        <w:rPr>
          <w:rFonts w:hint="eastAsia" w:ascii="宋体" w:hAnsi="宋体" w:eastAsia="宋体" w:cs="宋体"/>
          <w:color w:val="auto"/>
          <w:sz w:val="24"/>
          <w:szCs w:val="24"/>
          <w:highlight w:val="none"/>
          <w:lang w:val="en-US" w:eastAsia="zh-CN"/>
        </w:rPr>
        <w:t>32.</w:t>
      </w:r>
      <w:r>
        <w:rPr>
          <w:rFonts w:hint="eastAsia" w:ascii="宋体" w:hAnsi="宋体" w:eastAsia="宋体" w:cs="宋体"/>
          <w:color w:val="auto"/>
          <w:sz w:val="24"/>
          <w:szCs w:val="24"/>
          <w:highlight w:val="none"/>
        </w:rPr>
        <w:t>验收</w:t>
      </w:r>
      <w:bookmarkEnd w:id="120"/>
      <w:bookmarkEnd w:id="121"/>
      <w:bookmarkEnd w:id="122"/>
    </w:p>
    <w:p w14:paraId="4D16ED56">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32.1根据《中华人民共和国政府采购法实施条例》及《政府采购货物和服务招标投标管理办法》（财政部令第87号）等有关规定，本项目履约完成后须进行验收。</w:t>
      </w:r>
    </w:p>
    <w:p w14:paraId="3934518E">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32.2验收结果不合格的，中标人应根据采购人、参与验收的相关部门的要求及时整改，整改后再次申请验收</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整改后验收仍不合格的履约保证金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若须知前附表有要求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将不予退还，也将不予支付</w:t>
      </w:r>
      <w:r>
        <w:rPr>
          <w:rFonts w:hint="eastAsia" w:ascii="宋体" w:hAnsi="宋体" w:cs="宋体"/>
          <w:color w:val="auto"/>
          <w:sz w:val="24"/>
          <w:szCs w:val="24"/>
          <w:highlight w:val="none"/>
          <w:lang w:val="en-US" w:eastAsia="zh-CN"/>
        </w:rPr>
        <w:t>后续合同价款</w:t>
      </w:r>
      <w:r>
        <w:rPr>
          <w:rFonts w:hint="eastAsia" w:ascii="宋体" w:hAnsi="宋体" w:eastAsia="宋体" w:cs="宋体"/>
          <w:color w:val="auto"/>
          <w:sz w:val="24"/>
          <w:szCs w:val="24"/>
          <w:highlight w:val="none"/>
          <w:lang w:eastAsia="zh-CN"/>
        </w:rPr>
        <w:t>。</w:t>
      </w:r>
    </w:p>
    <w:p w14:paraId="49180A25">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32.3验收记录表</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、中标人及</w:t>
      </w:r>
      <w:r>
        <w:rPr>
          <w:rFonts w:hint="eastAsia" w:ascii="宋体" w:hAnsi="宋体" w:eastAsia="宋体" w:cs="宋体"/>
          <w:color w:val="auto"/>
          <w:sz w:val="24"/>
          <w:szCs w:val="24"/>
          <w:highlight w:val="none"/>
          <w:lang w:eastAsia="zh-CN"/>
        </w:rPr>
        <w:t>采购代理</w:t>
      </w:r>
      <w:r>
        <w:rPr>
          <w:rFonts w:hint="eastAsia" w:ascii="宋体" w:hAnsi="宋体" w:eastAsia="宋体" w:cs="宋体"/>
          <w:color w:val="auto"/>
          <w:sz w:val="24"/>
          <w:szCs w:val="24"/>
          <w:highlight w:val="none"/>
        </w:rPr>
        <w:t>机构均应存档。</w:t>
      </w:r>
    </w:p>
    <w:p w14:paraId="67EBE304">
      <w:pPr>
        <w:pStyle w:val="32"/>
        <w:keepLines w:val="0"/>
        <w:pageBreakBefore w:val="0"/>
        <w:widowControl w:val="0"/>
        <w:kinsoku/>
        <w:overflowPunct/>
        <w:topLinePunct w:val="0"/>
        <w:autoSpaceDE/>
        <w:autoSpaceDN/>
        <w:bidi w:val="0"/>
        <w:snapToGrid/>
        <w:spacing w:after="0" w:line="440" w:lineRule="exact"/>
        <w:rPr>
          <w:rFonts w:hint="eastAsia" w:ascii="宋体" w:hAnsi="宋体" w:eastAsia="宋体" w:cs="宋体"/>
          <w:color w:val="auto"/>
          <w:highlight w:val="none"/>
        </w:rPr>
      </w:pPr>
    </w:p>
    <w:p w14:paraId="6914A931">
      <w:pPr>
        <w:pStyle w:val="3"/>
        <w:keepLines w:val="0"/>
        <w:pageBreakBefore w:val="0"/>
        <w:widowControl w:val="0"/>
        <w:numPr>
          <w:ilvl w:val="0"/>
          <w:numId w:val="0"/>
        </w:numPr>
        <w:kinsoku/>
        <w:overflowPunct/>
        <w:topLinePunct w:val="0"/>
        <w:autoSpaceDE/>
        <w:autoSpaceDN/>
        <w:bidi w:val="0"/>
        <w:snapToGrid/>
        <w:spacing w:before="0" w:line="440" w:lineRule="exact"/>
        <w:ind w:left="893" w:hanging="691" w:hangingChars="247"/>
        <w:jc w:val="center"/>
        <w:rPr>
          <w:rFonts w:hint="eastAsia" w:ascii="宋体" w:hAnsi="宋体" w:eastAsia="宋体" w:cs="宋体"/>
          <w:color w:val="auto"/>
          <w:sz w:val="28"/>
          <w:szCs w:val="28"/>
          <w:highlight w:val="none"/>
        </w:rPr>
      </w:pPr>
      <w:bookmarkStart w:id="123" w:name="_Toc31009"/>
      <w:bookmarkStart w:id="124" w:name="_Toc11224"/>
      <w:r>
        <w:rPr>
          <w:rFonts w:hint="eastAsia" w:ascii="宋体" w:hAnsi="宋体" w:eastAsia="宋体" w:cs="宋体"/>
          <w:color w:val="auto"/>
          <w:sz w:val="28"/>
          <w:szCs w:val="28"/>
          <w:highlight w:val="none"/>
        </w:rPr>
        <w:t>七、其他事项</w:t>
      </w:r>
      <w:bookmarkEnd w:id="123"/>
      <w:bookmarkEnd w:id="124"/>
    </w:p>
    <w:p w14:paraId="7BF36892">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125" w:name="_Toc28115"/>
      <w:bookmarkStart w:id="126" w:name="_Toc24728"/>
      <w:r>
        <w:rPr>
          <w:rFonts w:hint="eastAsia" w:ascii="宋体" w:hAnsi="宋体" w:eastAsia="宋体" w:cs="宋体"/>
          <w:color w:val="auto"/>
          <w:sz w:val="24"/>
          <w:szCs w:val="24"/>
          <w:highlight w:val="none"/>
          <w:lang w:val="en-US" w:eastAsia="zh-CN"/>
        </w:rPr>
        <w:t>33.</w:t>
      </w:r>
      <w:r>
        <w:rPr>
          <w:rFonts w:hint="eastAsia" w:ascii="宋体" w:hAnsi="宋体" w:eastAsia="宋体" w:cs="宋体"/>
          <w:color w:val="auto"/>
          <w:sz w:val="24"/>
          <w:szCs w:val="24"/>
          <w:highlight w:val="none"/>
        </w:rPr>
        <w:t>解释权</w:t>
      </w:r>
      <w:bookmarkEnd w:id="125"/>
      <w:bookmarkEnd w:id="126"/>
    </w:p>
    <w:p w14:paraId="55A42D71">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本招标文件是根据《中华人民共和国政府采购法》及相关法律法规编制，解释权</w:t>
      </w:r>
      <w:r>
        <w:rPr>
          <w:rFonts w:hint="eastAsia" w:ascii="宋体" w:hAnsi="宋体" w:eastAsia="宋体" w:cs="宋体"/>
          <w:color w:val="auto"/>
          <w:sz w:val="24"/>
          <w:szCs w:val="24"/>
          <w:highlight w:val="none"/>
          <w:lang w:eastAsia="zh-CN"/>
        </w:rPr>
        <w:t>属于采购代理</w:t>
      </w:r>
      <w:r>
        <w:rPr>
          <w:rFonts w:hint="eastAsia" w:ascii="宋体" w:hAnsi="宋体" w:eastAsia="宋体" w:cs="宋体"/>
          <w:color w:val="auto"/>
          <w:sz w:val="24"/>
          <w:szCs w:val="24"/>
          <w:highlight w:val="none"/>
        </w:rPr>
        <w:t>机构。</w:t>
      </w:r>
    </w:p>
    <w:p w14:paraId="66234FC0">
      <w:pPr>
        <w:pStyle w:val="4"/>
        <w:keepLines w:val="0"/>
        <w:pageBreakBefore w:val="0"/>
        <w:widowControl w:val="0"/>
        <w:numPr>
          <w:ilvl w:val="0"/>
          <w:numId w:val="0"/>
        </w:numPr>
        <w:tabs>
          <w:tab w:val="clear" w:pos="420"/>
        </w:tabs>
        <w:kinsoku/>
        <w:overflowPunct/>
        <w:topLinePunct w:val="0"/>
        <w:autoSpaceDE/>
        <w:autoSpaceDN/>
        <w:bidi w:val="0"/>
        <w:snapToGrid/>
        <w:spacing w:line="440" w:lineRule="exact"/>
        <w:ind w:left="426" w:leftChars="0"/>
        <w:rPr>
          <w:rFonts w:hint="eastAsia" w:ascii="宋体" w:hAnsi="宋体" w:eastAsia="宋体" w:cs="宋体"/>
          <w:color w:val="auto"/>
          <w:sz w:val="24"/>
          <w:szCs w:val="24"/>
          <w:highlight w:val="none"/>
        </w:rPr>
      </w:pPr>
      <w:bookmarkStart w:id="127" w:name="_Toc23281"/>
      <w:bookmarkStart w:id="128" w:name="_Toc9768"/>
      <w:bookmarkStart w:id="129" w:name="_Toc3875"/>
      <w:r>
        <w:rPr>
          <w:rFonts w:hint="eastAsia" w:ascii="宋体" w:hAnsi="宋体" w:eastAsia="宋体" w:cs="宋体"/>
          <w:color w:val="auto"/>
          <w:sz w:val="24"/>
          <w:szCs w:val="24"/>
          <w:highlight w:val="none"/>
          <w:lang w:val="en-US" w:eastAsia="zh-CN"/>
        </w:rPr>
        <w:t>34.</w:t>
      </w:r>
      <w:r>
        <w:rPr>
          <w:rFonts w:hint="eastAsia" w:ascii="宋体" w:hAnsi="宋体" w:eastAsia="宋体" w:cs="宋体"/>
          <w:color w:val="auto"/>
          <w:sz w:val="24"/>
          <w:szCs w:val="24"/>
          <w:highlight w:val="none"/>
        </w:rPr>
        <w:t>政府采购有关政策（实质性要求）</w:t>
      </w:r>
      <w:bookmarkEnd w:id="127"/>
      <w:bookmarkEnd w:id="128"/>
      <w:bookmarkEnd w:id="129"/>
    </w:p>
    <w:p w14:paraId="3D80FAC4">
      <w:pPr>
        <w:keepLines w:val="0"/>
        <w:pageBreakBefore w:val="0"/>
        <w:widowControl w:val="0"/>
        <w:kinsoku/>
        <w:overflowPunct/>
        <w:topLinePunct w:val="0"/>
        <w:autoSpaceDE/>
        <w:autoSpaceDN/>
        <w:bidi w:val="0"/>
        <w:snapToGrid/>
        <w:spacing w:line="440" w:lineRule="exact"/>
        <w:ind w:firstLine="480" w:firstLineChars="200"/>
        <w:jc w:val="left"/>
        <w:rPr>
          <w:rFonts w:hint="default" w:ascii="宋体" w:hAnsi="宋体" w:eastAsia="宋体" w:cs="宋体"/>
          <w:b/>
          <w:bCs/>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34.1本项目属于专门面向中小企业、监狱企业、残疾人福利企业的采购项目，投标报价的评审将不再进行政策性调整。</w:t>
      </w:r>
    </w:p>
    <w:p w14:paraId="4B916737">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34.</w:t>
      </w: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en-US" w:eastAsia="zh-CN"/>
        </w:rPr>
        <w:t>关于对本国产品的支持政策</w:t>
      </w:r>
    </w:p>
    <w:p w14:paraId="77BC9BBB">
      <w:pPr>
        <w:keepNext w:val="0"/>
        <w:keepLines w:val="0"/>
        <w:pageBreakBefore w:val="0"/>
        <w:widowControl w:val="0"/>
        <w:tabs>
          <w:tab w:val="left" w:pos="360"/>
        </w:tabs>
        <w:kinsoku/>
        <w:wordWrap/>
        <w:overflowPunct/>
        <w:topLinePunct w:val="0"/>
        <w:autoSpaceDE/>
        <w:autoSpaceDN/>
        <w:bidi w:val="0"/>
        <w:adjustRightInd/>
        <w:snapToGrid/>
        <w:spacing w:line="440" w:lineRule="exact"/>
        <w:ind w:firstLine="480" w:firstLineChars="200"/>
        <w:jc w:val="both"/>
        <w:textAlignment w:val="auto"/>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34.</w:t>
      </w:r>
      <w:r>
        <w:rPr>
          <w:rFonts w:hint="eastAsia" w:ascii="宋体" w:hAnsi="宋体" w:cs="宋体"/>
          <w:b w:val="0"/>
          <w:color w:val="auto"/>
          <w:kern w:val="2"/>
          <w:sz w:val="24"/>
          <w:szCs w:val="24"/>
          <w:highlight w:val="none"/>
          <w:lang w:val="en-US" w:eastAsia="zh-CN" w:bidi="ar-SA"/>
        </w:rPr>
        <w:t>2</w:t>
      </w:r>
      <w:r>
        <w:rPr>
          <w:rFonts w:hint="eastAsia" w:ascii="宋体" w:hAnsi="宋体" w:eastAsia="宋体" w:cs="宋体"/>
          <w:b w:val="0"/>
          <w:color w:val="auto"/>
          <w:kern w:val="2"/>
          <w:sz w:val="24"/>
          <w:szCs w:val="24"/>
          <w:highlight w:val="none"/>
          <w:lang w:val="en-US" w:eastAsia="zh-CN" w:bidi="ar-SA"/>
        </w:rPr>
        <w:t>.1根据《国务院办公厅关于在政府采购中实施本国产品标准及相关政策的通知》（国办发〔2025〕34号）的规定，对在本国产品标准的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2D5A19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34.</w:t>
      </w:r>
      <w:r>
        <w:rPr>
          <w:rFonts w:hint="eastAsia" w:ascii="宋体" w:hAnsi="宋体" w:cs="宋体"/>
          <w:b w:val="0"/>
          <w:color w:val="auto"/>
          <w:kern w:val="2"/>
          <w:sz w:val="24"/>
          <w:szCs w:val="24"/>
          <w:highlight w:val="none"/>
          <w:lang w:val="en-US" w:eastAsia="zh-CN" w:bidi="ar-SA"/>
        </w:rPr>
        <w:t>2</w:t>
      </w:r>
      <w:r>
        <w:rPr>
          <w:rFonts w:hint="eastAsia" w:ascii="宋体" w:hAnsi="宋体" w:eastAsia="宋体" w:cs="宋体"/>
          <w:b w:val="0"/>
          <w:color w:val="auto"/>
          <w:kern w:val="2"/>
          <w:sz w:val="24"/>
          <w:szCs w:val="24"/>
          <w:highlight w:val="none"/>
          <w:lang w:val="en-US" w:eastAsia="zh-CN" w:bidi="ar-SA"/>
        </w:rPr>
        <w:t>.2政府采购活动中既有本国产品又有非本国产品参与竞争的，依法对本国产品给予价格评审优惠，对本国产品的报价给予20%的价格扣除，用扣除后的价格参与评审。</w:t>
      </w:r>
    </w:p>
    <w:p w14:paraId="105EFBA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34.</w:t>
      </w:r>
      <w:r>
        <w:rPr>
          <w:rFonts w:hint="eastAsia" w:ascii="宋体" w:hAnsi="宋体" w:cs="宋体"/>
          <w:b w:val="0"/>
          <w:color w:val="auto"/>
          <w:kern w:val="2"/>
          <w:sz w:val="24"/>
          <w:szCs w:val="24"/>
          <w:highlight w:val="none"/>
          <w:lang w:val="en-US" w:eastAsia="zh-CN" w:bidi="ar-SA"/>
        </w:rPr>
        <w:t>2</w:t>
      </w:r>
      <w:r>
        <w:rPr>
          <w:rFonts w:hint="eastAsia" w:ascii="宋体" w:hAnsi="宋体" w:eastAsia="宋体" w:cs="宋体"/>
          <w:b w:val="0"/>
          <w:color w:val="auto"/>
          <w:kern w:val="2"/>
          <w:sz w:val="24"/>
          <w:szCs w:val="24"/>
          <w:highlight w:val="none"/>
          <w:lang w:val="en-US" w:eastAsia="zh-CN" w:bidi="ar-SA"/>
        </w:rPr>
        <w:t>.3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p>
    <w:p w14:paraId="7BC241A5">
      <w:pPr>
        <w:keepLines w:val="0"/>
        <w:pageBreakBefore w:val="0"/>
        <w:widowControl w:val="0"/>
        <w:kinsoku/>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备注：</w:t>
      </w:r>
      <w:r>
        <w:rPr>
          <w:rFonts w:hint="eastAsia" w:ascii="宋体" w:hAnsi="宋体" w:eastAsia="宋体" w:cs="宋体"/>
          <w:b/>
          <w:color w:val="auto"/>
          <w:sz w:val="24"/>
          <w:szCs w:val="24"/>
          <w:highlight w:val="none"/>
          <w:u w:val="single"/>
        </w:rPr>
        <w:t>本项目是</w:t>
      </w:r>
      <w:r>
        <w:rPr>
          <w:rFonts w:hint="eastAsia" w:ascii="宋体" w:hAnsi="宋体" w:eastAsia="宋体" w:cs="宋体"/>
          <w:b/>
          <w:color w:val="auto"/>
          <w:sz w:val="24"/>
          <w:szCs w:val="24"/>
          <w:highlight w:val="none"/>
          <w:u w:val="single"/>
        </w:rPr>
        <w:sym w:font="Wingdings 2" w:char="00A3"/>
      </w:r>
      <w:r>
        <w:rPr>
          <w:rFonts w:hint="eastAsia" w:ascii="宋体" w:hAnsi="宋体" w:eastAsia="宋体" w:cs="宋体"/>
          <w:b/>
          <w:color w:val="auto"/>
          <w:sz w:val="24"/>
          <w:szCs w:val="24"/>
          <w:highlight w:val="none"/>
          <w:u w:val="single"/>
        </w:rPr>
        <w:t xml:space="preserve">  否</w:t>
      </w:r>
      <w:r>
        <w:rPr>
          <w:rFonts w:hint="eastAsia" w:ascii="宋体" w:hAnsi="宋体" w:cs="宋体"/>
          <w:b/>
          <w:color w:val="auto"/>
          <w:sz w:val="24"/>
          <w:szCs w:val="24"/>
          <w:highlight w:val="none"/>
          <w:u w:val="single"/>
          <w:lang w:eastAsia="zh-CN"/>
        </w:rPr>
        <w:t>☑</w:t>
      </w:r>
      <w:r>
        <w:rPr>
          <w:rFonts w:hint="eastAsia" w:ascii="宋体" w:hAnsi="宋体" w:eastAsia="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不</w:t>
      </w:r>
      <w:r>
        <w:rPr>
          <w:rFonts w:hint="eastAsia" w:ascii="宋体" w:hAnsi="宋体" w:eastAsia="宋体" w:cs="宋体"/>
          <w:b/>
          <w:color w:val="auto"/>
          <w:sz w:val="24"/>
          <w:szCs w:val="24"/>
          <w:highlight w:val="none"/>
          <w:u w:val="single"/>
        </w:rPr>
        <w:t>适用。</w:t>
      </w:r>
    </w:p>
    <w:p w14:paraId="5851C5C8">
      <w:pPr>
        <w:keepLines w:val="0"/>
        <w:pageBreakBefore w:val="0"/>
        <w:widowControl w:val="0"/>
        <w:kinsoku/>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34.</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需要补充的其他内容</w:t>
      </w:r>
      <w:r>
        <w:rPr>
          <w:rFonts w:hint="eastAsia" w:ascii="宋体" w:hAnsi="宋体" w:eastAsia="宋体" w:cs="宋体"/>
          <w:color w:val="auto"/>
          <w:sz w:val="24"/>
          <w:szCs w:val="24"/>
          <w:highlight w:val="none"/>
        </w:rPr>
        <w:t>详见“</w:t>
      </w:r>
      <w:r>
        <w:rPr>
          <w:rFonts w:hint="eastAsia" w:ascii="宋体" w:hAnsi="宋体" w:eastAsia="宋体" w:cs="宋体"/>
          <w:b/>
          <w:color w:val="auto"/>
          <w:sz w:val="24"/>
          <w:szCs w:val="24"/>
          <w:highlight w:val="none"/>
        </w:rPr>
        <w:t>投标人须知前附表</w:t>
      </w:r>
      <w:r>
        <w:rPr>
          <w:rFonts w:hint="eastAsia" w:ascii="宋体" w:hAnsi="宋体" w:eastAsia="宋体" w:cs="宋体"/>
          <w:color w:val="auto"/>
          <w:sz w:val="24"/>
          <w:szCs w:val="24"/>
          <w:highlight w:val="none"/>
        </w:rPr>
        <w:t>”。</w:t>
      </w:r>
    </w:p>
    <w:p w14:paraId="6C10813E">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0DF4C9D8">
      <w:pPr>
        <w:rPr>
          <w:rFonts w:hint="eastAsia" w:ascii="宋体" w:hAnsi="宋体" w:eastAsia="宋体" w:cs="宋体"/>
          <w:color w:val="auto"/>
          <w:highlight w:val="none"/>
        </w:rPr>
      </w:pPr>
    </w:p>
    <w:p w14:paraId="2AB59163">
      <w:pPr>
        <w:rPr>
          <w:rFonts w:hint="eastAsia" w:ascii="宋体" w:hAnsi="宋体" w:eastAsia="宋体" w:cs="宋体"/>
          <w:color w:val="auto"/>
          <w:highlight w:val="none"/>
        </w:rPr>
      </w:pPr>
    </w:p>
    <w:p w14:paraId="361CCE68">
      <w:pPr>
        <w:rPr>
          <w:rFonts w:hint="eastAsia" w:ascii="宋体" w:hAnsi="宋体" w:eastAsia="宋体" w:cs="宋体"/>
          <w:color w:val="auto"/>
          <w:highlight w:val="none"/>
        </w:rPr>
      </w:pPr>
    </w:p>
    <w:p w14:paraId="7C02BB27">
      <w:pPr>
        <w:rPr>
          <w:rFonts w:hint="eastAsia" w:ascii="宋体" w:hAnsi="宋体" w:eastAsia="宋体" w:cs="宋体"/>
          <w:color w:val="auto"/>
          <w:highlight w:val="none"/>
        </w:rPr>
      </w:pPr>
    </w:p>
    <w:p w14:paraId="70CDFD20">
      <w:pPr>
        <w:rPr>
          <w:rFonts w:hint="eastAsia" w:ascii="宋体" w:hAnsi="宋体" w:eastAsia="宋体" w:cs="宋体"/>
          <w:color w:val="auto"/>
          <w:highlight w:val="none"/>
        </w:rPr>
      </w:pPr>
    </w:p>
    <w:p w14:paraId="1CD8F599">
      <w:pPr>
        <w:rPr>
          <w:rFonts w:hint="eastAsia" w:ascii="宋体" w:hAnsi="宋体" w:eastAsia="宋体" w:cs="宋体"/>
          <w:color w:val="auto"/>
          <w:highlight w:val="none"/>
        </w:rPr>
      </w:pPr>
    </w:p>
    <w:p w14:paraId="66F4BD4D">
      <w:pPr>
        <w:rPr>
          <w:rFonts w:hint="eastAsia" w:ascii="宋体" w:hAnsi="宋体" w:eastAsia="宋体" w:cs="宋体"/>
          <w:color w:val="auto"/>
          <w:highlight w:val="none"/>
        </w:rPr>
      </w:pPr>
    </w:p>
    <w:p w14:paraId="4C80D54C">
      <w:pPr>
        <w:rPr>
          <w:rFonts w:hint="eastAsia" w:ascii="宋体" w:hAnsi="宋体" w:eastAsia="宋体" w:cs="宋体"/>
          <w:color w:val="auto"/>
          <w:highlight w:val="none"/>
        </w:rPr>
      </w:pPr>
    </w:p>
    <w:p w14:paraId="17BA54C5">
      <w:pPr>
        <w:rPr>
          <w:rFonts w:hint="eastAsia" w:ascii="宋体" w:hAnsi="宋体" w:eastAsia="宋体" w:cs="宋体"/>
          <w:color w:val="auto"/>
          <w:highlight w:val="none"/>
        </w:rPr>
      </w:pPr>
    </w:p>
    <w:p w14:paraId="1F3D97DA">
      <w:pPr>
        <w:rPr>
          <w:rFonts w:hint="eastAsia" w:ascii="宋体" w:hAnsi="宋体" w:eastAsia="宋体" w:cs="宋体"/>
          <w:color w:val="auto"/>
          <w:highlight w:val="none"/>
        </w:rPr>
      </w:pPr>
    </w:p>
    <w:p w14:paraId="70026B71">
      <w:pPr>
        <w:rPr>
          <w:rFonts w:hint="eastAsia" w:ascii="宋体" w:hAnsi="宋体" w:eastAsia="宋体" w:cs="宋体"/>
          <w:color w:val="auto"/>
          <w:highlight w:val="none"/>
        </w:rPr>
      </w:pPr>
    </w:p>
    <w:p w14:paraId="1FEA3253">
      <w:pPr>
        <w:rPr>
          <w:rFonts w:hint="eastAsia" w:ascii="宋体" w:hAnsi="宋体" w:eastAsia="宋体" w:cs="宋体"/>
          <w:color w:val="auto"/>
          <w:highlight w:val="none"/>
        </w:rPr>
      </w:pPr>
    </w:p>
    <w:p w14:paraId="144577CE">
      <w:pPr>
        <w:rPr>
          <w:rFonts w:hint="eastAsia" w:ascii="宋体" w:hAnsi="宋体" w:eastAsia="宋体" w:cs="宋体"/>
          <w:color w:val="auto"/>
          <w:highlight w:val="none"/>
        </w:rPr>
      </w:pPr>
    </w:p>
    <w:p w14:paraId="32CC12C0">
      <w:pPr>
        <w:rPr>
          <w:rFonts w:hint="eastAsia" w:ascii="宋体" w:hAnsi="宋体" w:eastAsia="宋体" w:cs="宋体"/>
          <w:color w:val="auto"/>
          <w:highlight w:val="none"/>
        </w:rPr>
      </w:pPr>
    </w:p>
    <w:p w14:paraId="3F4D0BB7">
      <w:pPr>
        <w:rPr>
          <w:rFonts w:hint="eastAsia" w:ascii="宋体" w:hAnsi="宋体" w:eastAsia="宋体" w:cs="宋体"/>
          <w:color w:val="auto"/>
          <w:highlight w:val="none"/>
        </w:rPr>
      </w:pPr>
    </w:p>
    <w:p w14:paraId="1B3D6120">
      <w:pPr>
        <w:rPr>
          <w:rFonts w:hint="eastAsia" w:ascii="宋体" w:hAnsi="宋体" w:eastAsia="宋体" w:cs="宋体"/>
          <w:color w:val="auto"/>
          <w:highlight w:val="none"/>
        </w:rPr>
      </w:pPr>
    </w:p>
    <w:p w14:paraId="7EA57B7F">
      <w:pPr>
        <w:pStyle w:val="2"/>
        <w:rPr>
          <w:rFonts w:hint="eastAsia" w:ascii="宋体" w:hAnsi="宋体" w:eastAsia="宋体" w:cs="宋体"/>
          <w:color w:val="auto"/>
          <w:highlight w:val="none"/>
        </w:rPr>
      </w:pPr>
      <w:bookmarkStart w:id="130" w:name="_Toc9229"/>
      <w:r>
        <w:rPr>
          <w:rFonts w:hint="eastAsia" w:ascii="宋体" w:hAnsi="宋体" w:eastAsia="宋体" w:cs="宋体"/>
          <w:color w:val="auto"/>
          <w:highlight w:val="none"/>
        </w:rPr>
        <w:t>第三章  合同书样式及主要条款</w:t>
      </w:r>
      <w:bookmarkEnd w:id="130"/>
    </w:p>
    <w:p w14:paraId="07C4E430">
      <w:pPr>
        <w:spacing w:line="360" w:lineRule="auto"/>
        <w:ind w:firstLine="631"/>
        <w:rPr>
          <w:rFonts w:hint="eastAsia" w:ascii="宋体" w:hAnsi="宋体" w:eastAsia="宋体" w:cs="宋体"/>
          <w:b/>
          <w:color w:val="auto"/>
          <w:sz w:val="24"/>
          <w:highlight w:val="none"/>
        </w:rPr>
      </w:pPr>
    </w:p>
    <w:p w14:paraId="4B411501">
      <w:pPr>
        <w:pStyle w:val="32"/>
        <w:ind w:firstLine="1040" w:firstLineChars="400"/>
        <w:rPr>
          <w:rFonts w:hint="eastAsia" w:ascii="宋体" w:hAnsi="宋体" w:eastAsia="宋体" w:cs="宋体"/>
          <w:color w:val="auto"/>
          <w:highlight w:val="none"/>
        </w:rPr>
        <w:sectPr>
          <w:footerReference r:id="rId6" w:type="default"/>
          <w:pgSz w:w="11906" w:h="16838"/>
          <w:pgMar w:top="1418" w:right="1134" w:bottom="1134" w:left="1418" w:header="737" w:footer="454" w:gutter="0"/>
          <w:pgBorders>
            <w:top w:val="none" w:sz="0" w:space="0"/>
            <w:left w:val="none" w:sz="0" w:space="0"/>
            <w:bottom w:val="none" w:sz="0" w:space="0"/>
            <w:right w:val="none" w:sz="0" w:space="0"/>
          </w:pgBorders>
          <w:pgNumType w:start="1"/>
          <w:cols w:space="720" w:num="1"/>
          <w:docGrid w:type="linesAndChars" w:linePitch="331" w:charSpace="0"/>
        </w:sectPr>
      </w:pPr>
      <w:r>
        <w:rPr>
          <w:rFonts w:hint="eastAsia" w:ascii="宋体" w:hAnsi="宋体" w:eastAsia="宋体" w:cs="宋体"/>
          <w:bCs/>
          <w:color w:val="auto"/>
          <w:spacing w:val="10"/>
          <w:sz w:val="24"/>
          <w:highlight w:val="none"/>
        </w:rPr>
        <w:t>备注：本章所制“合同书样式及主要条款”</w:t>
      </w:r>
      <w:r>
        <w:rPr>
          <w:rFonts w:hint="eastAsia" w:ascii="宋体" w:hAnsi="宋体" w:eastAsia="宋体" w:cs="宋体"/>
          <w:bCs/>
          <w:color w:val="auto"/>
          <w:spacing w:val="10"/>
          <w:sz w:val="24"/>
          <w:highlight w:val="none"/>
          <w:lang w:val="en-US" w:eastAsia="zh-CN"/>
        </w:rPr>
        <w:t>仅供参考</w:t>
      </w:r>
      <w:r>
        <w:rPr>
          <w:rFonts w:hint="eastAsia" w:ascii="宋体" w:hAnsi="宋体" w:eastAsia="宋体" w:cs="宋体"/>
          <w:bCs/>
          <w:color w:val="auto"/>
          <w:spacing w:val="10"/>
          <w:sz w:val="24"/>
          <w:highlight w:val="none"/>
        </w:rPr>
        <w:t>。</w:t>
      </w:r>
    </w:p>
    <w:p w14:paraId="329560A1">
      <w:pPr>
        <w:pStyle w:val="32"/>
        <w:rPr>
          <w:rFonts w:hint="eastAsia" w:ascii="宋体" w:hAnsi="宋体" w:eastAsia="宋体" w:cs="宋体"/>
          <w:color w:val="auto"/>
          <w:highlight w:val="none"/>
        </w:rPr>
      </w:pPr>
    </w:p>
    <w:p w14:paraId="30C15431">
      <w:pPr>
        <w:widowControl/>
        <w:jc w:val="center"/>
        <w:rPr>
          <w:rFonts w:hint="eastAsia" w:ascii="宋体" w:hAnsi="宋体" w:eastAsia="宋体" w:cs="宋体"/>
          <w:color w:val="auto"/>
          <w:kern w:val="0"/>
          <w:sz w:val="46"/>
          <w:szCs w:val="46"/>
          <w:highlight w:val="none"/>
          <w:lang w:bidi="ar"/>
        </w:rPr>
      </w:pPr>
    </w:p>
    <w:p w14:paraId="21521856">
      <w:pPr>
        <w:widowControl/>
        <w:jc w:val="center"/>
        <w:rPr>
          <w:rFonts w:hint="eastAsia" w:ascii="宋体" w:hAnsi="宋体" w:eastAsia="宋体" w:cs="宋体"/>
          <w:color w:val="auto"/>
          <w:kern w:val="0"/>
          <w:sz w:val="72"/>
          <w:szCs w:val="72"/>
          <w:highlight w:val="none"/>
          <w:lang w:bidi="ar"/>
        </w:rPr>
      </w:pPr>
    </w:p>
    <w:p w14:paraId="6E1D16D7">
      <w:pPr>
        <w:widowControl/>
        <w:jc w:val="center"/>
        <w:rPr>
          <w:rFonts w:hint="eastAsia" w:ascii="宋体" w:hAnsi="宋体" w:eastAsia="宋体" w:cs="宋体"/>
          <w:color w:val="auto"/>
          <w:kern w:val="0"/>
          <w:sz w:val="72"/>
          <w:szCs w:val="72"/>
          <w:highlight w:val="none"/>
          <w:lang w:bidi="ar"/>
        </w:rPr>
      </w:pPr>
    </w:p>
    <w:p w14:paraId="2D4995C0">
      <w:pPr>
        <w:widowControl/>
        <w:jc w:val="center"/>
        <w:rPr>
          <w:rFonts w:hint="eastAsia" w:ascii="宋体" w:hAnsi="宋体" w:eastAsia="宋体" w:cs="宋体"/>
          <w:color w:val="auto"/>
          <w:kern w:val="0"/>
          <w:sz w:val="72"/>
          <w:szCs w:val="72"/>
          <w:highlight w:val="none"/>
          <w:lang w:bidi="ar"/>
        </w:rPr>
      </w:pPr>
      <w:r>
        <w:rPr>
          <w:rFonts w:hint="eastAsia" w:ascii="宋体" w:hAnsi="宋体" w:eastAsia="宋体" w:cs="宋体"/>
          <w:color w:val="auto"/>
          <w:kern w:val="0"/>
          <w:sz w:val="72"/>
          <w:szCs w:val="72"/>
          <w:highlight w:val="none"/>
          <w:lang w:bidi="ar"/>
        </w:rPr>
        <w:t>政府采购合同</w:t>
      </w:r>
    </w:p>
    <w:p w14:paraId="074E5FF6">
      <w:pPr>
        <w:pStyle w:val="15"/>
        <w:rPr>
          <w:rFonts w:hint="eastAsia" w:ascii="宋体" w:hAnsi="宋体" w:eastAsia="宋体" w:cs="宋体"/>
          <w:color w:val="auto"/>
          <w:highlight w:val="none"/>
        </w:rPr>
      </w:pPr>
    </w:p>
    <w:p w14:paraId="43E84C3D">
      <w:pPr>
        <w:widowControl/>
        <w:jc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（电子招标采购项目适用）</w:t>
      </w:r>
    </w:p>
    <w:p w14:paraId="07E52862">
      <w:pPr>
        <w:widowControl/>
        <w:ind w:firstLine="576"/>
        <w:jc w:val="center"/>
        <w:rPr>
          <w:rFonts w:hint="eastAsia" w:ascii="宋体" w:hAnsi="宋体" w:eastAsia="宋体" w:cs="宋体"/>
          <w:color w:val="auto"/>
          <w:kern w:val="0"/>
          <w:sz w:val="22"/>
          <w:szCs w:val="22"/>
          <w:highlight w:val="none"/>
          <w:lang w:eastAsia="zh-CN" w:bidi="ar"/>
        </w:rPr>
      </w:pPr>
    </w:p>
    <w:p w14:paraId="0F80EAF0">
      <w:pPr>
        <w:pStyle w:val="15"/>
        <w:rPr>
          <w:rFonts w:hint="eastAsia" w:ascii="宋体" w:hAnsi="宋体" w:eastAsia="宋体" w:cs="宋体"/>
          <w:color w:val="auto"/>
          <w:highlight w:val="none"/>
          <w:lang w:eastAsia="zh-CN"/>
        </w:rPr>
      </w:pPr>
    </w:p>
    <w:p w14:paraId="3C73CBFE">
      <w:pPr>
        <w:widowControl/>
        <w:spacing w:line="360" w:lineRule="auto"/>
        <w:ind w:firstLine="733" w:firstLineChars="262"/>
        <w:rPr>
          <w:rFonts w:hint="eastAsia" w:ascii="宋体" w:hAnsi="宋体" w:eastAsia="宋体" w:cs="宋体"/>
          <w:color w:val="FF0000"/>
          <w:kern w:val="0"/>
          <w:sz w:val="28"/>
          <w:szCs w:val="28"/>
          <w:highlight w:val="none"/>
          <w:u w:val="single"/>
          <w:lang w:val="en-US" w:eastAsia="zh-CN" w:bidi="ar"/>
        </w:rPr>
      </w:pPr>
      <w:r>
        <w:rPr>
          <w:rFonts w:hint="eastAsia" w:ascii="宋体" w:hAnsi="宋体" w:eastAsia="宋体" w:cs="宋体"/>
          <w:color w:val="auto"/>
          <w:kern w:val="0"/>
          <w:sz w:val="28"/>
          <w:szCs w:val="28"/>
          <w:highlight w:val="none"/>
          <w:lang w:bidi="ar"/>
        </w:rPr>
        <w:t>项目名称：</w:t>
      </w:r>
      <w:r>
        <w:rPr>
          <w:rFonts w:hint="eastAsia" w:ascii="宋体" w:hAnsi="宋体" w:cs="宋体"/>
          <w:color w:val="auto"/>
          <w:kern w:val="0"/>
          <w:sz w:val="28"/>
          <w:szCs w:val="28"/>
          <w:highlight w:val="none"/>
          <w:u w:val="single"/>
          <w:lang w:eastAsia="zh-CN" w:bidi="ar"/>
        </w:rPr>
        <w:t>云南省第三次全国土壤普查土壤样品库和数据库建设项目样品储存架等设备采购（二次招标）</w:t>
      </w:r>
    </w:p>
    <w:p w14:paraId="6285D19C">
      <w:pPr>
        <w:widowControl/>
        <w:spacing w:line="360" w:lineRule="auto"/>
        <w:ind w:firstLine="733" w:firstLineChars="262"/>
        <w:rPr>
          <w:rFonts w:hint="eastAsia" w:ascii="宋体" w:hAnsi="宋体" w:eastAsia="宋体" w:cs="宋体"/>
          <w:color w:val="auto"/>
          <w:sz w:val="28"/>
          <w:szCs w:val="28"/>
          <w:highlight w:val="none"/>
        </w:rPr>
      </w:pPr>
    </w:p>
    <w:p w14:paraId="0AD149CD">
      <w:pPr>
        <w:widowControl/>
        <w:spacing w:line="360" w:lineRule="auto"/>
        <w:ind w:firstLine="733" w:firstLineChars="262"/>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合同编号</w:t>
      </w:r>
      <w:r>
        <w:rPr>
          <w:rFonts w:hint="eastAsia" w:ascii="宋体" w:hAnsi="宋体" w:eastAsia="宋体" w:cs="宋体"/>
          <w:color w:val="auto"/>
          <w:kern w:val="0"/>
          <w:sz w:val="28"/>
          <w:szCs w:val="28"/>
          <w:highlight w:val="none"/>
          <w:lang w:eastAsia="zh-CN" w:bidi="ar"/>
        </w:rPr>
        <w:t>：</w:t>
      </w:r>
      <w:r>
        <w:rPr>
          <w:rFonts w:hint="eastAsia" w:ascii="宋体" w:hAnsi="宋体" w:eastAsia="宋体" w:cs="宋体"/>
          <w:color w:val="auto"/>
          <w:kern w:val="0"/>
          <w:sz w:val="28"/>
          <w:szCs w:val="28"/>
          <w:highlight w:val="none"/>
          <w:u w:val="single"/>
          <w:lang w:bidi="ar"/>
        </w:rPr>
        <w:t xml:space="preserve">                     </w:t>
      </w:r>
      <w:r>
        <w:rPr>
          <w:rFonts w:hint="eastAsia" w:ascii="宋体" w:hAnsi="宋体" w:eastAsia="宋体" w:cs="宋体"/>
          <w:color w:val="auto"/>
          <w:kern w:val="0"/>
          <w:sz w:val="28"/>
          <w:szCs w:val="28"/>
          <w:highlight w:val="none"/>
          <w:lang w:bidi="ar"/>
        </w:rPr>
        <w:t>（系统编号）</w:t>
      </w:r>
    </w:p>
    <w:p w14:paraId="0078A56F">
      <w:pPr>
        <w:widowControl/>
        <w:spacing w:line="360" w:lineRule="auto"/>
        <w:ind w:left="0" w:leftChars="0" w:firstLine="2100" w:firstLineChars="750"/>
        <w:rPr>
          <w:rFonts w:hint="eastAsia" w:ascii="宋体" w:hAnsi="宋体" w:eastAsia="宋体" w:cs="宋体"/>
          <w:color w:val="auto"/>
          <w:kern w:val="0"/>
          <w:sz w:val="28"/>
          <w:szCs w:val="28"/>
          <w:highlight w:val="none"/>
          <w:lang w:bidi="ar"/>
        </w:rPr>
      </w:pPr>
      <w:r>
        <w:rPr>
          <w:rFonts w:hint="eastAsia" w:ascii="宋体" w:hAnsi="宋体" w:eastAsia="宋体" w:cs="宋体"/>
          <w:color w:val="auto"/>
          <w:kern w:val="0"/>
          <w:sz w:val="28"/>
          <w:szCs w:val="28"/>
          <w:highlight w:val="none"/>
          <w:u w:val="single"/>
          <w:lang w:bidi="ar"/>
        </w:rPr>
        <w:t xml:space="preserve">   </w:t>
      </w:r>
      <w:r>
        <w:rPr>
          <w:rFonts w:hint="eastAsia" w:ascii="宋体" w:hAnsi="宋体" w:eastAsia="宋体" w:cs="宋体"/>
          <w:color w:val="auto"/>
          <w:kern w:val="0"/>
          <w:sz w:val="28"/>
          <w:szCs w:val="28"/>
          <w:highlight w:val="none"/>
          <w:u w:val="single"/>
          <w:lang w:val="en-US" w:eastAsia="zh-CN" w:bidi="ar"/>
        </w:rPr>
        <w:t xml:space="preserve">    </w:t>
      </w:r>
      <w:r>
        <w:rPr>
          <w:rFonts w:hint="eastAsia" w:ascii="宋体" w:hAnsi="宋体" w:eastAsia="宋体" w:cs="宋体"/>
          <w:color w:val="auto"/>
          <w:kern w:val="0"/>
          <w:sz w:val="28"/>
          <w:szCs w:val="28"/>
          <w:highlight w:val="none"/>
          <w:u w:val="single"/>
          <w:lang w:bidi="ar"/>
        </w:rPr>
        <w:t xml:space="preserve">                </w:t>
      </w:r>
      <w:r>
        <w:rPr>
          <w:rFonts w:hint="eastAsia" w:ascii="宋体" w:hAnsi="宋体" w:eastAsia="宋体" w:cs="宋体"/>
          <w:color w:val="auto"/>
          <w:kern w:val="0"/>
          <w:sz w:val="28"/>
          <w:szCs w:val="28"/>
          <w:highlight w:val="none"/>
          <w:lang w:bidi="ar"/>
        </w:rPr>
        <w:t>（合同自编号，如有）</w:t>
      </w:r>
    </w:p>
    <w:p w14:paraId="65456AC3">
      <w:pPr>
        <w:widowControl/>
        <w:ind w:firstLine="733" w:firstLineChars="262"/>
        <w:jc w:val="center"/>
        <w:rPr>
          <w:rFonts w:hint="eastAsia" w:ascii="宋体" w:hAnsi="宋体" w:eastAsia="宋体" w:cs="宋体"/>
          <w:color w:val="auto"/>
          <w:kern w:val="0"/>
          <w:sz w:val="28"/>
          <w:szCs w:val="28"/>
          <w:highlight w:val="none"/>
          <w:lang w:bidi="ar"/>
        </w:rPr>
      </w:pPr>
    </w:p>
    <w:p w14:paraId="650D54C0">
      <w:pPr>
        <w:widowControl/>
        <w:ind w:firstLine="733" w:firstLineChars="262"/>
        <w:jc w:val="center"/>
        <w:rPr>
          <w:rFonts w:hint="eastAsia" w:ascii="宋体" w:hAnsi="宋体" w:eastAsia="宋体" w:cs="宋体"/>
          <w:color w:val="auto"/>
          <w:kern w:val="0"/>
          <w:sz w:val="28"/>
          <w:szCs w:val="28"/>
          <w:highlight w:val="none"/>
          <w:lang w:bidi="ar"/>
        </w:rPr>
      </w:pPr>
    </w:p>
    <w:p w14:paraId="33600817">
      <w:pPr>
        <w:widowControl/>
        <w:ind w:firstLine="733" w:firstLineChars="262"/>
        <w:jc w:val="center"/>
        <w:rPr>
          <w:rFonts w:hint="eastAsia" w:ascii="宋体" w:hAnsi="宋体" w:eastAsia="宋体" w:cs="宋体"/>
          <w:color w:val="auto"/>
          <w:kern w:val="0"/>
          <w:sz w:val="28"/>
          <w:szCs w:val="28"/>
          <w:highlight w:val="none"/>
          <w:lang w:bidi="ar"/>
        </w:rPr>
      </w:pPr>
    </w:p>
    <w:p w14:paraId="24C3C255">
      <w:pPr>
        <w:widowControl/>
        <w:ind w:firstLine="733" w:firstLineChars="262"/>
        <w:jc w:val="center"/>
        <w:rPr>
          <w:rFonts w:hint="eastAsia" w:ascii="宋体" w:hAnsi="宋体" w:eastAsia="宋体" w:cs="宋体"/>
          <w:color w:val="auto"/>
          <w:kern w:val="0"/>
          <w:sz w:val="28"/>
          <w:szCs w:val="28"/>
          <w:highlight w:val="none"/>
          <w:lang w:bidi="ar"/>
        </w:rPr>
      </w:pPr>
    </w:p>
    <w:p w14:paraId="3705F240">
      <w:pPr>
        <w:widowControl/>
        <w:ind w:firstLine="733" w:firstLineChars="262"/>
        <w:rPr>
          <w:rFonts w:hint="eastAsia" w:ascii="宋体" w:hAnsi="宋体" w:eastAsia="宋体" w:cs="宋体"/>
          <w:color w:val="auto"/>
          <w:sz w:val="28"/>
          <w:szCs w:val="28"/>
          <w:highlight w:val="none"/>
          <w:lang w:eastAsia="zh-CN"/>
        </w:rPr>
      </w:pPr>
      <w:r>
        <w:rPr>
          <w:rFonts w:hint="eastAsia" w:ascii="宋体" w:hAnsi="宋体" w:eastAsia="宋体" w:cs="宋体"/>
          <w:color w:val="auto"/>
          <w:kern w:val="0"/>
          <w:sz w:val="28"/>
          <w:szCs w:val="28"/>
          <w:highlight w:val="none"/>
          <w:lang w:bidi="ar"/>
        </w:rPr>
        <w:t>甲  方：</w:t>
      </w:r>
      <w:r>
        <w:rPr>
          <w:rFonts w:hint="eastAsia" w:ascii="宋体" w:hAnsi="宋体" w:cs="宋体"/>
          <w:color w:val="auto"/>
          <w:kern w:val="0"/>
          <w:sz w:val="28"/>
          <w:szCs w:val="28"/>
          <w:highlight w:val="none"/>
          <w:lang w:eastAsia="zh-CN" w:bidi="ar"/>
        </w:rPr>
        <w:t>云南省农业科学院</w:t>
      </w:r>
    </w:p>
    <w:p w14:paraId="37C9A0B0">
      <w:pPr>
        <w:widowControl/>
        <w:ind w:firstLine="733" w:firstLineChars="262"/>
        <w:jc w:val="center"/>
        <w:rPr>
          <w:rFonts w:hint="eastAsia" w:ascii="宋体" w:hAnsi="宋体" w:eastAsia="宋体" w:cs="宋体"/>
          <w:color w:val="auto"/>
          <w:kern w:val="0"/>
          <w:sz w:val="28"/>
          <w:szCs w:val="28"/>
          <w:highlight w:val="none"/>
          <w:lang w:bidi="ar"/>
        </w:rPr>
      </w:pPr>
    </w:p>
    <w:p w14:paraId="3E1ABC35">
      <w:pPr>
        <w:widowControl/>
        <w:ind w:firstLine="733" w:firstLineChars="262"/>
        <w:jc w:val="left"/>
        <w:rPr>
          <w:rFonts w:hint="eastAsia" w:ascii="宋体" w:hAnsi="宋体" w:eastAsia="宋体" w:cs="宋体"/>
          <w:color w:val="auto"/>
          <w:kern w:val="0"/>
          <w:sz w:val="28"/>
          <w:szCs w:val="28"/>
          <w:highlight w:val="none"/>
          <w:lang w:bidi="ar"/>
        </w:rPr>
      </w:pPr>
      <w:r>
        <w:rPr>
          <w:rFonts w:hint="eastAsia" w:ascii="宋体" w:hAnsi="宋体" w:eastAsia="宋体" w:cs="宋体"/>
          <w:color w:val="auto"/>
          <w:kern w:val="0"/>
          <w:sz w:val="28"/>
          <w:szCs w:val="28"/>
          <w:highlight w:val="none"/>
          <w:lang w:bidi="ar"/>
        </w:rPr>
        <w:t>乙  方：</w:t>
      </w:r>
    </w:p>
    <w:p w14:paraId="30A1859E">
      <w:pPr>
        <w:pStyle w:val="32"/>
        <w:ind w:left="0" w:leftChars="0" w:firstLine="631" w:firstLineChars="262"/>
        <w:rPr>
          <w:rFonts w:hint="eastAsia" w:ascii="宋体" w:hAnsi="宋体" w:eastAsia="宋体" w:cs="宋体"/>
          <w:color w:val="auto"/>
          <w:highlight w:val="none"/>
          <w:lang w:val="zh-CN"/>
        </w:rPr>
      </w:pPr>
      <w:r>
        <w:rPr>
          <w:rFonts w:hint="eastAsia" w:ascii="宋体" w:hAnsi="宋体" w:eastAsia="宋体" w:cs="宋体"/>
          <w:b/>
          <w:bCs/>
          <w:color w:val="auto"/>
          <w:kern w:val="0"/>
          <w:sz w:val="24"/>
          <w:highlight w:val="none"/>
        </w:rPr>
        <w:br w:type="page"/>
      </w:r>
    </w:p>
    <w:p w14:paraId="79271546">
      <w:pPr>
        <w:pStyle w:val="32"/>
        <w:rPr>
          <w:rFonts w:hint="eastAsia" w:ascii="宋体" w:hAnsi="宋体" w:eastAsia="宋体" w:cs="宋体"/>
          <w:color w:val="auto"/>
          <w:highlight w:val="none"/>
          <w:lang w:val="zh-CN"/>
        </w:rPr>
      </w:pPr>
    </w:p>
    <w:p w14:paraId="77A8DC6D">
      <w:pPr>
        <w:shd w:val="clear" w:color="auto" w:fill="FFFFFF"/>
        <w:adjustRightInd w:val="0"/>
        <w:snapToGrid w:val="0"/>
        <w:spacing w:line="500" w:lineRule="exact"/>
        <w:ind w:firstLine="482" w:firstLineChars="200"/>
        <w:jc w:val="left"/>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甲方</w:t>
      </w:r>
      <w:r>
        <w:rPr>
          <w:rFonts w:hint="eastAsia" w:ascii="宋体" w:hAnsi="宋体" w:eastAsia="宋体" w:cs="宋体"/>
          <w:b/>
          <w:bCs/>
          <w:color w:val="auto"/>
          <w:kern w:val="0"/>
          <w:sz w:val="24"/>
          <w:highlight w:val="none"/>
          <w:lang w:eastAsia="zh-CN"/>
        </w:rPr>
        <w:t>：</w:t>
      </w:r>
      <w:r>
        <w:rPr>
          <w:rFonts w:hint="eastAsia" w:ascii="宋体" w:hAnsi="宋体" w:eastAsia="宋体" w:cs="宋体"/>
          <w:b/>
          <w:bCs/>
          <w:color w:val="auto"/>
          <w:kern w:val="0"/>
          <w:sz w:val="24"/>
          <w:highlight w:val="none"/>
          <w:u w:val="single"/>
        </w:rPr>
        <w:t xml:space="preserve">  </w:t>
      </w:r>
      <w:r>
        <w:rPr>
          <w:rFonts w:hint="eastAsia" w:ascii="宋体" w:hAnsi="宋体" w:cs="宋体"/>
          <w:b/>
          <w:bCs/>
          <w:color w:val="auto"/>
          <w:kern w:val="0"/>
          <w:sz w:val="24"/>
          <w:highlight w:val="none"/>
          <w:u w:val="single"/>
          <w:lang w:eastAsia="zh-CN"/>
        </w:rPr>
        <w:t>云南省农业科学院</w:t>
      </w:r>
      <w:r>
        <w:rPr>
          <w:rFonts w:hint="eastAsia" w:ascii="宋体" w:hAnsi="宋体" w:eastAsia="宋体" w:cs="宋体"/>
          <w:b/>
          <w:bCs/>
          <w:color w:val="auto"/>
          <w:kern w:val="0"/>
          <w:sz w:val="24"/>
          <w:highlight w:val="none"/>
          <w:u w:val="single"/>
        </w:rPr>
        <w:t xml:space="preserve">      </w:t>
      </w:r>
    </w:p>
    <w:p w14:paraId="2FA89F96">
      <w:pPr>
        <w:shd w:val="clear" w:color="auto" w:fill="FFFFFF"/>
        <w:snapToGrid w:val="0"/>
        <w:spacing w:line="460" w:lineRule="exact"/>
        <w:ind w:firstLine="482" w:firstLineChars="200"/>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乙方</w:t>
      </w:r>
      <w:r>
        <w:rPr>
          <w:rFonts w:hint="eastAsia" w:ascii="宋体" w:hAnsi="宋体" w:eastAsia="宋体" w:cs="宋体"/>
          <w:b/>
          <w:bCs/>
          <w:color w:val="auto"/>
          <w:kern w:val="0"/>
          <w:sz w:val="24"/>
          <w:highlight w:val="none"/>
          <w:lang w:eastAsia="zh-CN"/>
        </w:rPr>
        <w:t>：</w:t>
      </w:r>
      <w:r>
        <w:rPr>
          <w:rFonts w:hint="eastAsia" w:ascii="宋体" w:hAnsi="宋体" w:eastAsia="宋体" w:cs="宋体"/>
          <w:b/>
          <w:bCs/>
          <w:color w:val="auto"/>
          <w:kern w:val="0"/>
          <w:sz w:val="24"/>
          <w:highlight w:val="none"/>
          <w:u w:val="single"/>
        </w:rPr>
        <w:t xml:space="preserve">                              </w:t>
      </w:r>
    </w:p>
    <w:p w14:paraId="3DC13CFC">
      <w:pPr>
        <w:spacing w:line="400" w:lineRule="exact"/>
        <w:ind w:firstLine="480" w:firstLineChars="200"/>
        <w:rPr>
          <w:rFonts w:hint="eastAsia" w:ascii="宋体" w:hAnsi="宋体" w:eastAsia="宋体" w:cs="宋体"/>
          <w:color w:val="auto"/>
          <w:sz w:val="24"/>
          <w:highlight w:val="none"/>
        </w:rPr>
      </w:pPr>
    </w:p>
    <w:p w14:paraId="5421E6CA">
      <w:pPr>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根据《中华人民共和国政府采购法》《中华人民共和国民法典》等有关法律法规规定，</w:t>
      </w:r>
      <w:r>
        <w:rPr>
          <w:rFonts w:hint="eastAsia" w:ascii="宋体" w:hAnsi="宋体" w:cs="宋体"/>
          <w:b/>
          <w:color w:val="auto"/>
          <w:sz w:val="24"/>
          <w:highlight w:val="none"/>
          <w:u w:val="single"/>
          <w:lang w:eastAsia="zh-CN"/>
        </w:rPr>
        <w:t>云南省农业科学院</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名称</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以下简称：“甲方”</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通过</w:t>
      </w:r>
      <w:r>
        <w:rPr>
          <w:rFonts w:hint="eastAsia" w:ascii="宋体" w:hAnsi="宋体" w:eastAsia="宋体" w:cs="宋体"/>
          <w:color w:val="auto"/>
          <w:sz w:val="24"/>
          <w:highlight w:val="none"/>
          <w:u w:val="single"/>
        </w:rPr>
        <w:t xml:space="preserve"> </w:t>
      </w:r>
      <w:r>
        <w:rPr>
          <w:rFonts w:hint="eastAsia" w:ascii="宋体" w:hAnsi="宋体" w:eastAsia="宋体" w:cs="宋体"/>
          <w:b/>
          <w:color w:val="auto"/>
          <w:sz w:val="24"/>
          <w:highlight w:val="none"/>
          <w:u w:val="single"/>
        </w:rPr>
        <w:t>公开招标</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采购</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采购方式</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确定</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u w:val="single"/>
          <w:lang w:val="en-US" w:eastAsia="zh-CN"/>
        </w:rPr>
        <w:t xml:space="preserve">             </w:t>
      </w:r>
      <w:r>
        <w:rPr>
          <w:rFonts w:hint="eastAsia" w:ascii="宋体" w:hAnsi="宋体" w:eastAsia="宋体" w:cs="宋体"/>
          <w:b/>
          <w:bCs/>
          <w:color w:val="auto"/>
          <w:sz w:val="24"/>
          <w:highlight w:val="none"/>
          <w:u w:val="singl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中标人</w:t>
      </w:r>
      <w:r>
        <w:rPr>
          <w:rFonts w:hint="eastAsia" w:ascii="宋体" w:hAnsi="宋体" w:eastAsia="宋体" w:cs="宋体"/>
          <w:color w:val="auto"/>
          <w:sz w:val="24"/>
          <w:highlight w:val="none"/>
        </w:rPr>
        <w:t>名称</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以下简称：“乙方”</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为</w:t>
      </w:r>
      <w:r>
        <w:rPr>
          <w:rFonts w:hint="eastAsia" w:ascii="宋体" w:hAnsi="宋体" w:eastAsia="宋体" w:cs="宋体"/>
          <w:color w:val="auto"/>
          <w:sz w:val="24"/>
          <w:highlight w:val="none"/>
          <w:u w:val="single"/>
        </w:rPr>
        <w:t xml:space="preserve"> </w:t>
      </w:r>
      <w:r>
        <w:rPr>
          <w:rFonts w:hint="eastAsia" w:ascii="宋体" w:hAnsi="宋体" w:cs="宋体"/>
          <w:b/>
          <w:bCs/>
          <w:color w:val="auto"/>
          <w:sz w:val="24"/>
          <w:highlight w:val="none"/>
          <w:u w:val="single"/>
          <w:lang w:eastAsia="zh-CN"/>
        </w:rPr>
        <w:t xml:space="preserve"> 云南省第三次全国土壤普查土壤样品库和数据库建设项目样品储存架等设备采购（二次招标）</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lang w:eastAsia="zh-CN"/>
        </w:rPr>
        <w:t>）</w:t>
      </w:r>
      <w:r>
        <w:rPr>
          <w:rFonts w:hint="eastAsia" w:ascii="宋体" w:hAnsi="宋体" w:eastAsia="宋体" w:cs="宋体"/>
          <w:b/>
          <w:bCs/>
          <w:color w:val="auto"/>
          <w:sz w:val="24"/>
          <w:highlight w:val="none"/>
          <w:u w:val="none"/>
        </w:rPr>
        <w:t>中标</w:t>
      </w:r>
      <w:r>
        <w:rPr>
          <w:rFonts w:hint="eastAsia" w:ascii="宋体" w:hAnsi="宋体" w:eastAsia="宋体" w:cs="宋体"/>
          <w:b/>
          <w:bCs/>
          <w:color w:val="auto"/>
          <w:sz w:val="24"/>
          <w:highlight w:val="none"/>
          <w:u w:val="none"/>
          <w:lang w:val="en-US" w:eastAsia="zh-CN"/>
        </w:rPr>
        <w:t>人</w:t>
      </w:r>
      <w:r>
        <w:rPr>
          <w:rFonts w:hint="eastAsia" w:ascii="宋体" w:hAnsi="宋体" w:eastAsia="宋体" w:cs="宋体"/>
          <w:color w:val="auto"/>
          <w:sz w:val="24"/>
          <w:highlight w:val="none"/>
        </w:rPr>
        <w:t>。甲乙双方协商一致同意签署《</w:t>
      </w:r>
      <w:r>
        <w:rPr>
          <w:rFonts w:hint="eastAsia" w:ascii="宋体" w:hAnsi="宋体" w:cs="宋体"/>
          <w:b/>
          <w:bCs/>
          <w:color w:val="auto"/>
          <w:sz w:val="24"/>
          <w:highlight w:val="none"/>
          <w:u w:val="single"/>
          <w:lang w:eastAsia="zh-CN"/>
        </w:rPr>
        <w:t xml:space="preserve"> 云南省第三次全国土壤普查土壤样品库和数据库建设项目样品储存架等设备采购（二次招标）</w:t>
      </w:r>
      <w:r>
        <w:rPr>
          <w:rFonts w:hint="eastAsia" w:ascii="宋体" w:hAnsi="宋体" w:cs="宋体"/>
          <w:b/>
          <w:bCs/>
          <w:color w:val="auto"/>
          <w:sz w:val="24"/>
          <w:highlight w:val="none"/>
          <w:u w:val="single"/>
          <w:lang w:val="en-US" w:eastAsia="zh-CN"/>
        </w:rPr>
        <w:t>合同</w:t>
      </w:r>
      <w:r>
        <w:rPr>
          <w:rFonts w:hint="eastAsia" w:ascii="宋体" w:hAnsi="宋体" w:eastAsia="宋体" w:cs="宋体"/>
          <w:color w:val="auto"/>
          <w:sz w:val="24"/>
          <w:highlight w:val="none"/>
        </w:rPr>
        <w:t>》，以下简称：“合同”</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w:t>
      </w:r>
    </w:p>
    <w:p w14:paraId="03F6D4D7">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一、货物</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产品</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名称、品牌、型号规格、数量、单价（甲乙双方据实填写）</w:t>
      </w:r>
    </w:p>
    <w:tbl>
      <w:tblPr>
        <w:tblStyle w:val="33"/>
        <w:tblpPr w:leftFromText="180" w:rightFromText="180" w:vertAnchor="text" w:horzAnchor="page" w:tblpX="1528" w:tblpY="217"/>
        <w:tblOverlap w:val="never"/>
        <w:tblW w:w="9106" w:type="dxa"/>
        <w:tblInd w:w="0" w:type="dxa"/>
        <w:tblLayout w:type="fixed"/>
        <w:tblCellMar>
          <w:top w:w="0" w:type="dxa"/>
          <w:left w:w="108" w:type="dxa"/>
          <w:bottom w:w="0" w:type="dxa"/>
          <w:right w:w="108" w:type="dxa"/>
        </w:tblCellMar>
      </w:tblPr>
      <w:tblGrid>
        <w:gridCol w:w="570"/>
        <w:gridCol w:w="1366"/>
        <w:gridCol w:w="1335"/>
        <w:gridCol w:w="1284"/>
        <w:gridCol w:w="801"/>
        <w:gridCol w:w="945"/>
        <w:gridCol w:w="1515"/>
        <w:gridCol w:w="1290"/>
      </w:tblGrid>
      <w:tr w14:paraId="7158E6D0">
        <w:tblPrEx>
          <w:tblCellMar>
            <w:top w:w="0" w:type="dxa"/>
            <w:left w:w="108" w:type="dxa"/>
            <w:bottom w:w="0" w:type="dxa"/>
            <w:right w:w="108" w:type="dxa"/>
          </w:tblCellMar>
        </w:tblPrEx>
        <w:trPr>
          <w:trHeight w:val="700" w:hRule="atLeast"/>
        </w:trPr>
        <w:tc>
          <w:tcPr>
            <w:tcW w:w="57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794EF00F">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序号</w:t>
            </w:r>
          </w:p>
        </w:tc>
        <w:tc>
          <w:tcPr>
            <w:tcW w:w="1366"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09A45CD6">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项目名称</w:t>
            </w:r>
          </w:p>
        </w:tc>
        <w:tc>
          <w:tcPr>
            <w:tcW w:w="1335"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346DF97B">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品牌</w:t>
            </w:r>
          </w:p>
        </w:tc>
        <w:tc>
          <w:tcPr>
            <w:tcW w:w="1284"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17A199A3">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规格、型号</w:t>
            </w:r>
          </w:p>
        </w:tc>
        <w:tc>
          <w:tcPr>
            <w:tcW w:w="80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66C05037">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数量</w:t>
            </w:r>
          </w:p>
        </w:tc>
        <w:tc>
          <w:tcPr>
            <w:tcW w:w="945"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1F177592">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单位</w:t>
            </w:r>
          </w:p>
        </w:tc>
        <w:tc>
          <w:tcPr>
            <w:tcW w:w="1515"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3D30704A">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单价（元）</w:t>
            </w:r>
          </w:p>
        </w:tc>
        <w:tc>
          <w:tcPr>
            <w:tcW w:w="129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14:paraId="761E2FA8">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eastAsia="zh-CN" w:bidi="ar"/>
              </w:rPr>
              <w:t>合计</w:t>
            </w:r>
            <w:r>
              <w:rPr>
                <w:rFonts w:hint="eastAsia" w:ascii="宋体" w:hAnsi="宋体" w:eastAsia="宋体" w:cs="宋体"/>
                <w:color w:val="auto"/>
                <w:kern w:val="0"/>
                <w:sz w:val="24"/>
                <w:szCs w:val="24"/>
                <w:highlight w:val="none"/>
                <w:lang w:bidi="ar"/>
              </w:rPr>
              <w:t>（元）</w:t>
            </w:r>
          </w:p>
        </w:tc>
      </w:tr>
      <w:tr w14:paraId="1C71427F">
        <w:tblPrEx>
          <w:tblCellMar>
            <w:top w:w="0" w:type="dxa"/>
            <w:left w:w="108" w:type="dxa"/>
            <w:bottom w:w="0" w:type="dxa"/>
            <w:right w:w="108" w:type="dxa"/>
          </w:tblCellMar>
        </w:tblPrEx>
        <w:trPr>
          <w:trHeight w:val="700" w:hRule="atLeast"/>
        </w:trPr>
        <w:tc>
          <w:tcPr>
            <w:tcW w:w="570" w:type="dxa"/>
            <w:tcBorders>
              <w:top w:val="nil"/>
              <w:left w:val="single" w:color="000000" w:sz="8" w:space="0"/>
              <w:bottom w:val="single" w:color="000000" w:sz="8" w:space="0"/>
              <w:right w:val="single" w:color="000000" w:sz="8" w:space="0"/>
            </w:tcBorders>
            <w:shd w:val="clear" w:color="auto" w:fill="FFFFFF"/>
            <w:noWrap w:val="0"/>
            <w:vAlign w:val="center"/>
          </w:tcPr>
          <w:p w14:paraId="585DCB60">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1366" w:type="dxa"/>
            <w:tcBorders>
              <w:top w:val="single" w:color="000000" w:sz="8" w:space="0"/>
              <w:left w:val="single" w:color="000000" w:sz="8" w:space="0"/>
              <w:bottom w:val="single" w:color="000000" w:sz="8" w:space="0"/>
              <w:right w:val="single" w:color="000000" w:sz="8" w:space="0"/>
            </w:tcBorders>
            <w:noWrap w:val="0"/>
            <w:vAlign w:val="center"/>
          </w:tcPr>
          <w:p w14:paraId="3F0DE781">
            <w:pPr>
              <w:widowControl/>
              <w:jc w:val="center"/>
              <w:textAlignment w:val="center"/>
              <w:rPr>
                <w:rFonts w:hint="eastAsia" w:ascii="宋体" w:hAnsi="宋体" w:eastAsia="宋体" w:cs="宋体"/>
                <w:color w:val="auto"/>
                <w:sz w:val="24"/>
                <w:szCs w:val="24"/>
                <w:highlight w:val="none"/>
              </w:rPr>
            </w:pPr>
          </w:p>
        </w:tc>
        <w:tc>
          <w:tcPr>
            <w:tcW w:w="1335" w:type="dxa"/>
            <w:tcBorders>
              <w:top w:val="nil"/>
              <w:left w:val="single" w:color="000000" w:sz="8" w:space="0"/>
              <w:bottom w:val="single" w:color="000000" w:sz="8" w:space="0"/>
              <w:right w:val="single" w:color="000000" w:sz="8" w:space="0"/>
            </w:tcBorders>
            <w:noWrap w:val="0"/>
            <w:vAlign w:val="center"/>
          </w:tcPr>
          <w:p w14:paraId="082D9F37">
            <w:pPr>
              <w:widowControl/>
              <w:jc w:val="center"/>
              <w:textAlignment w:val="center"/>
              <w:rPr>
                <w:rFonts w:hint="eastAsia" w:ascii="宋体" w:hAnsi="宋体" w:eastAsia="宋体" w:cs="宋体"/>
                <w:color w:val="auto"/>
                <w:sz w:val="24"/>
                <w:szCs w:val="24"/>
                <w:highlight w:val="none"/>
              </w:rPr>
            </w:pPr>
          </w:p>
        </w:tc>
        <w:tc>
          <w:tcPr>
            <w:tcW w:w="1284" w:type="dxa"/>
            <w:tcBorders>
              <w:top w:val="nil"/>
              <w:left w:val="single" w:color="000000" w:sz="8" w:space="0"/>
              <w:bottom w:val="single" w:color="000000" w:sz="8" w:space="0"/>
              <w:right w:val="single" w:color="000000" w:sz="8" w:space="0"/>
            </w:tcBorders>
            <w:noWrap w:val="0"/>
            <w:vAlign w:val="center"/>
          </w:tcPr>
          <w:p w14:paraId="0E364138">
            <w:pPr>
              <w:widowControl/>
              <w:jc w:val="center"/>
              <w:textAlignment w:val="center"/>
              <w:rPr>
                <w:rFonts w:hint="eastAsia" w:ascii="宋体" w:hAnsi="宋体" w:eastAsia="宋体" w:cs="宋体"/>
                <w:color w:val="auto"/>
                <w:sz w:val="24"/>
                <w:szCs w:val="24"/>
                <w:highlight w:val="none"/>
              </w:rPr>
            </w:pPr>
          </w:p>
        </w:tc>
        <w:tc>
          <w:tcPr>
            <w:tcW w:w="801" w:type="dxa"/>
            <w:tcBorders>
              <w:top w:val="single" w:color="000000" w:sz="8" w:space="0"/>
              <w:left w:val="single" w:color="000000" w:sz="8" w:space="0"/>
              <w:bottom w:val="single" w:color="000000" w:sz="8" w:space="0"/>
              <w:right w:val="single" w:color="000000" w:sz="8" w:space="0"/>
            </w:tcBorders>
            <w:noWrap w:val="0"/>
            <w:vAlign w:val="center"/>
          </w:tcPr>
          <w:p w14:paraId="71D0466D">
            <w:pPr>
              <w:widowControl/>
              <w:jc w:val="center"/>
              <w:textAlignment w:val="center"/>
              <w:rPr>
                <w:rFonts w:hint="eastAsia" w:ascii="宋体" w:hAnsi="宋体" w:eastAsia="宋体" w:cs="宋体"/>
                <w:color w:val="auto"/>
                <w:sz w:val="24"/>
                <w:szCs w:val="24"/>
                <w:highlight w:val="none"/>
              </w:rPr>
            </w:pPr>
          </w:p>
        </w:tc>
        <w:tc>
          <w:tcPr>
            <w:tcW w:w="945" w:type="dxa"/>
            <w:tcBorders>
              <w:top w:val="single" w:color="000000" w:sz="8" w:space="0"/>
              <w:left w:val="single" w:color="000000" w:sz="8" w:space="0"/>
              <w:bottom w:val="single" w:color="000000" w:sz="8" w:space="0"/>
              <w:right w:val="single" w:color="000000" w:sz="8" w:space="0"/>
            </w:tcBorders>
            <w:noWrap w:val="0"/>
            <w:vAlign w:val="center"/>
          </w:tcPr>
          <w:p w14:paraId="05F806AA">
            <w:pPr>
              <w:widowControl/>
              <w:jc w:val="left"/>
              <w:textAlignment w:val="center"/>
              <w:rPr>
                <w:rFonts w:hint="eastAsia" w:ascii="宋体" w:hAnsi="宋体" w:eastAsia="宋体" w:cs="宋体"/>
                <w:color w:val="auto"/>
                <w:sz w:val="24"/>
                <w:szCs w:val="24"/>
                <w:highlight w:val="none"/>
              </w:rPr>
            </w:pPr>
          </w:p>
        </w:tc>
        <w:tc>
          <w:tcPr>
            <w:tcW w:w="1515" w:type="dxa"/>
            <w:tcBorders>
              <w:top w:val="nil"/>
              <w:left w:val="single" w:color="000000" w:sz="8" w:space="0"/>
              <w:bottom w:val="single" w:color="000000" w:sz="8" w:space="0"/>
              <w:right w:val="single" w:color="000000" w:sz="8" w:space="0"/>
            </w:tcBorders>
            <w:noWrap w:val="0"/>
            <w:vAlign w:val="center"/>
          </w:tcPr>
          <w:p w14:paraId="1ADDCAF8">
            <w:pPr>
              <w:widowControl/>
              <w:jc w:val="center"/>
              <w:textAlignment w:val="center"/>
              <w:rPr>
                <w:rFonts w:hint="eastAsia" w:ascii="宋体" w:hAnsi="宋体" w:eastAsia="宋体" w:cs="宋体"/>
                <w:color w:val="auto"/>
                <w:sz w:val="24"/>
                <w:szCs w:val="24"/>
                <w:highlight w:val="none"/>
              </w:rPr>
            </w:pPr>
          </w:p>
        </w:tc>
        <w:tc>
          <w:tcPr>
            <w:tcW w:w="1290" w:type="dxa"/>
            <w:tcBorders>
              <w:top w:val="nil"/>
              <w:left w:val="single" w:color="000000" w:sz="8" w:space="0"/>
              <w:bottom w:val="single" w:color="000000" w:sz="8" w:space="0"/>
              <w:right w:val="single" w:color="000000" w:sz="8" w:space="0"/>
            </w:tcBorders>
            <w:noWrap w:val="0"/>
            <w:vAlign w:val="center"/>
          </w:tcPr>
          <w:p w14:paraId="4A908786">
            <w:pPr>
              <w:widowControl/>
              <w:jc w:val="center"/>
              <w:textAlignment w:val="center"/>
              <w:rPr>
                <w:rFonts w:hint="eastAsia" w:ascii="宋体" w:hAnsi="宋体" w:eastAsia="宋体" w:cs="宋体"/>
                <w:color w:val="auto"/>
                <w:sz w:val="24"/>
                <w:szCs w:val="24"/>
                <w:highlight w:val="none"/>
              </w:rPr>
            </w:pPr>
          </w:p>
        </w:tc>
      </w:tr>
      <w:tr w14:paraId="4081195B">
        <w:tblPrEx>
          <w:tblCellMar>
            <w:top w:w="0" w:type="dxa"/>
            <w:left w:w="108" w:type="dxa"/>
            <w:bottom w:w="0" w:type="dxa"/>
            <w:right w:w="108" w:type="dxa"/>
          </w:tblCellMar>
        </w:tblPrEx>
        <w:trPr>
          <w:trHeight w:val="700" w:hRule="atLeast"/>
        </w:trPr>
        <w:tc>
          <w:tcPr>
            <w:tcW w:w="570" w:type="dxa"/>
            <w:tcBorders>
              <w:top w:val="nil"/>
              <w:left w:val="single" w:color="000000" w:sz="8" w:space="0"/>
              <w:bottom w:val="single" w:color="000000" w:sz="8" w:space="0"/>
              <w:right w:val="single" w:color="000000" w:sz="8" w:space="0"/>
            </w:tcBorders>
            <w:shd w:val="clear" w:color="auto" w:fill="FFFFFF"/>
            <w:noWrap w:val="0"/>
            <w:vAlign w:val="center"/>
          </w:tcPr>
          <w:p w14:paraId="253C0493">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w:t>
            </w:r>
          </w:p>
        </w:tc>
        <w:tc>
          <w:tcPr>
            <w:tcW w:w="1366" w:type="dxa"/>
            <w:tcBorders>
              <w:top w:val="nil"/>
              <w:left w:val="single" w:color="000000" w:sz="8" w:space="0"/>
              <w:bottom w:val="single" w:color="000000" w:sz="8" w:space="0"/>
              <w:right w:val="single" w:color="000000" w:sz="8" w:space="0"/>
            </w:tcBorders>
            <w:noWrap w:val="0"/>
            <w:vAlign w:val="center"/>
          </w:tcPr>
          <w:p w14:paraId="166A4977">
            <w:pPr>
              <w:widowControl/>
              <w:jc w:val="center"/>
              <w:textAlignment w:val="center"/>
              <w:rPr>
                <w:rFonts w:hint="eastAsia" w:ascii="宋体" w:hAnsi="宋体" w:eastAsia="宋体" w:cs="宋体"/>
                <w:color w:val="auto"/>
                <w:sz w:val="24"/>
                <w:szCs w:val="24"/>
                <w:highlight w:val="none"/>
              </w:rPr>
            </w:pPr>
          </w:p>
        </w:tc>
        <w:tc>
          <w:tcPr>
            <w:tcW w:w="1335" w:type="dxa"/>
            <w:tcBorders>
              <w:top w:val="nil"/>
              <w:left w:val="single" w:color="000000" w:sz="8" w:space="0"/>
              <w:bottom w:val="single" w:color="000000" w:sz="8" w:space="0"/>
              <w:right w:val="single" w:color="000000" w:sz="8" w:space="0"/>
            </w:tcBorders>
            <w:noWrap w:val="0"/>
            <w:vAlign w:val="center"/>
          </w:tcPr>
          <w:p w14:paraId="25E47FAF">
            <w:pPr>
              <w:widowControl/>
              <w:jc w:val="center"/>
              <w:textAlignment w:val="center"/>
              <w:rPr>
                <w:rFonts w:hint="eastAsia" w:ascii="宋体" w:hAnsi="宋体" w:eastAsia="宋体" w:cs="宋体"/>
                <w:color w:val="auto"/>
                <w:sz w:val="24"/>
                <w:szCs w:val="24"/>
                <w:highlight w:val="none"/>
              </w:rPr>
            </w:pPr>
          </w:p>
        </w:tc>
        <w:tc>
          <w:tcPr>
            <w:tcW w:w="1284" w:type="dxa"/>
            <w:tcBorders>
              <w:top w:val="nil"/>
              <w:left w:val="single" w:color="000000" w:sz="8" w:space="0"/>
              <w:bottom w:val="single" w:color="000000" w:sz="8" w:space="0"/>
              <w:right w:val="single" w:color="000000" w:sz="8" w:space="0"/>
            </w:tcBorders>
            <w:noWrap w:val="0"/>
            <w:vAlign w:val="center"/>
          </w:tcPr>
          <w:p w14:paraId="0F5169EC">
            <w:pPr>
              <w:widowControl/>
              <w:jc w:val="center"/>
              <w:textAlignment w:val="center"/>
              <w:rPr>
                <w:rFonts w:hint="eastAsia" w:ascii="宋体" w:hAnsi="宋体" w:eastAsia="宋体" w:cs="宋体"/>
                <w:color w:val="auto"/>
                <w:sz w:val="24"/>
                <w:szCs w:val="24"/>
                <w:highlight w:val="none"/>
              </w:rPr>
            </w:pPr>
          </w:p>
        </w:tc>
        <w:tc>
          <w:tcPr>
            <w:tcW w:w="801" w:type="dxa"/>
            <w:tcBorders>
              <w:top w:val="nil"/>
              <w:left w:val="single" w:color="000000" w:sz="8" w:space="0"/>
              <w:bottom w:val="single" w:color="000000" w:sz="8" w:space="0"/>
              <w:right w:val="single" w:color="000000" w:sz="8" w:space="0"/>
            </w:tcBorders>
            <w:noWrap w:val="0"/>
            <w:vAlign w:val="center"/>
          </w:tcPr>
          <w:p w14:paraId="41AE5184">
            <w:pPr>
              <w:widowControl/>
              <w:jc w:val="center"/>
              <w:textAlignment w:val="center"/>
              <w:rPr>
                <w:rFonts w:hint="eastAsia" w:ascii="宋体" w:hAnsi="宋体" w:eastAsia="宋体" w:cs="宋体"/>
                <w:color w:val="auto"/>
                <w:sz w:val="24"/>
                <w:szCs w:val="24"/>
                <w:highlight w:val="none"/>
              </w:rPr>
            </w:pPr>
          </w:p>
        </w:tc>
        <w:tc>
          <w:tcPr>
            <w:tcW w:w="945" w:type="dxa"/>
            <w:tcBorders>
              <w:top w:val="nil"/>
              <w:left w:val="single" w:color="000000" w:sz="8" w:space="0"/>
              <w:bottom w:val="single" w:color="000000" w:sz="8" w:space="0"/>
              <w:right w:val="single" w:color="000000" w:sz="8" w:space="0"/>
            </w:tcBorders>
            <w:noWrap w:val="0"/>
            <w:vAlign w:val="center"/>
          </w:tcPr>
          <w:p w14:paraId="47F55C1A">
            <w:pPr>
              <w:widowControl/>
              <w:jc w:val="left"/>
              <w:textAlignment w:val="center"/>
              <w:rPr>
                <w:rFonts w:hint="eastAsia" w:ascii="宋体" w:hAnsi="宋体" w:eastAsia="宋体" w:cs="宋体"/>
                <w:color w:val="auto"/>
                <w:sz w:val="24"/>
                <w:szCs w:val="24"/>
                <w:highlight w:val="none"/>
              </w:rPr>
            </w:pPr>
          </w:p>
        </w:tc>
        <w:tc>
          <w:tcPr>
            <w:tcW w:w="1515" w:type="dxa"/>
            <w:tcBorders>
              <w:top w:val="nil"/>
              <w:left w:val="single" w:color="000000" w:sz="8" w:space="0"/>
              <w:bottom w:val="single" w:color="000000" w:sz="8" w:space="0"/>
              <w:right w:val="single" w:color="000000" w:sz="8" w:space="0"/>
            </w:tcBorders>
            <w:noWrap w:val="0"/>
            <w:vAlign w:val="center"/>
          </w:tcPr>
          <w:p w14:paraId="1C44FE7B">
            <w:pPr>
              <w:widowControl/>
              <w:jc w:val="center"/>
              <w:textAlignment w:val="center"/>
              <w:rPr>
                <w:rFonts w:hint="eastAsia" w:ascii="宋体" w:hAnsi="宋体" w:eastAsia="宋体" w:cs="宋体"/>
                <w:color w:val="auto"/>
                <w:sz w:val="24"/>
                <w:szCs w:val="24"/>
                <w:highlight w:val="none"/>
              </w:rPr>
            </w:pPr>
          </w:p>
        </w:tc>
        <w:tc>
          <w:tcPr>
            <w:tcW w:w="1290" w:type="dxa"/>
            <w:tcBorders>
              <w:top w:val="nil"/>
              <w:left w:val="single" w:color="000000" w:sz="8" w:space="0"/>
              <w:bottom w:val="single" w:color="000000" w:sz="8" w:space="0"/>
              <w:right w:val="single" w:color="000000" w:sz="8" w:space="0"/>
            </w:tcBorders>
            <w:noWrap w:val="0"/>
            <w:vAlign w:val="center"/>
          </w:tcPr>
          <w:p w14:paraId="52183EC7">
            <w:pPr>
              <w:widowControl/>
              <w:jc w:val="center"/>
              <w:textAlignment w:val="center"/>
              <w:rPr>
                <w:rFonts w:hint="eastAsia" w:ascii="宋体" w:hAnsi="宋体" w:eastAsia="宋体" w:cs="宋体"/>
                <w:color w:val="auto"/>
                <w:sz w:val="24"/>
                <w:szCs w:val="24"/>
                <w:highlight w:val="none"/>
              </w:rPr>
            </w:pPr>
          </w:p>
        </w:tc>
      </w:tr>
      <w:tr w14:paraId="6539C03E">
        <w:tblPrEx>
          <w:tblCellMar>
            <w:top w:w="0" w:type="dxa"/>
            <w:left w:w="108" w:type="dxa"/>
            <w:bottom w:w="0" w:type="dxa"/>
            <w:right w:w="108" w:type="dxa"/>
          </w:tblCellMar>
        </w:tblPrEx>
        <w:trPr>
          <w:trHeight w:val="700" w:hRule="atLeast"/>
        </w:trPr>
        <w:tc>
          <w:tcPr>
            <w:tcW w:w="570" w:type="dxa"/>
            <w:tcBorders>
              <w:top w:val="nil"/>
              <w:left w:val="single" w:color="000000" w:sz="8" w:space="0"/>
              <w:bottom w:val="single" w:color="000000" w:sz="8" w:space="0"/>
              <w:right w:val="single" w:color="000000" w:sz="8" w:space="0"/>
            </w:tcBorders>
            <w:shd w:val="clear" w:color="auto" w:fill="FFFFFF"/>
            <w:noWrap w:val="0"/>
            <w:vAlign w:val="center"/>
          </w:tcPr>
          <w:p w14:paraId="66939236">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3</w:t>
            </w:r>
          </w:p>
        </w:tc>
        <w:tc>
          <w:tcPr>
            <w:tcW w:w="1366" w:type="dxa"/>
            <w:tcBorders>
              <w:top w:val="nil"/>
              <w:left w:val="single" w:color="000000" w:sz="8" w:space="0"/>
              <w:bottom w:val="single" w:color="000000" w:sz="8" w:space="0"/>
              <w:right w:val="single" w:color="000000" w:sz="8" w:space="0"/>
            </w:tcBorders>
            <w:noWrap w:val="0"/>
            <w:vAlign w:val="center"/>
          </w:tcPr>
          <w:p w14:paraId="1A3B72F2">
            <w:pPr>
              <w:widowControl/>
              <w:jc w:val="center"/>
              <w:textAlignment w:val="center"/>
              <w:rPr>
                <w:rFonts w:hint="eastAsia" w:ascii="宋体" w:hAnsi="宋体" w:eastAsia="宋体" w:cs="宋体"/>
                <w:color w:val="auto"/>
                <w:sz w:val="24"/>
                <w:szCs w:val="24"/>
                <w:highlight w:val="none"/>
              </w:rPr>
            </w:pPr>
          </w:p>
        </w:tc>
        <w:tc>
          <w:tcPr>
            <w:tcW w:w="1335" w:type="dxa"/>
            <w:tcBorders>
              <w:top w:val="nil"/>
              <w:left w:val="single" w:color="000000" w:sz="8" w:space="0"/>
              <w:bottom w:val="single" w:color="000000" w:sz="8" w:space="0"/>
              <w:right w:val="single" w:color="000000" w:sz="8" w:space="0"/>
            </w:tcBorders>
            <w:noWrap w:val="0"/>
            <w:vAlign w:val="center"/>
          </w:tcPr>
          <w:p w14:paraId="33C59200">
            <w:pPr>
              <w:widowControl/>
              <w:jc w:val="center"/>
              <w:textAlignment w:val="center"/>
              <w:rPr>
                <w:rFonts w:hint="eastAsia" w:ascii="宋体" w:hAnsi="宋体" w:eastAsia="宋体" w:cs="宋体"/>
                <w:color w:val="auto"/>
                <w:sz w:val="24"/>
                <w:szCs w:val="24"/>
                <w:highlight w:val="none"/>
              </w:rPr>
            </w:pPr>
          </w:p>
        </w:tc>
        <w:tc>
          <w:tcPr>
            <w:tcW w:w="1284" w:type="dxa"/>
            <w:tcBorders>
              <w:top w:val="nil"/>
              <w:left w:val="single" w:color="000000" w:sz="8" w:space="0"/>
              <w:bottom w:val="single" w:color="000000" w:sz="8" w:space="0"/>
              <w:right w:val="single" w:color="000000" w:sz="8" w:space="0"/>
            </w:tcBorders>
            <w:noWrap w:val="0"/>
            <w:vAlign w:val="center"/>
          </w:tcPr>
          <w:p w14:paraId="4EE70715">
            <w:pPr>
              <w:widowControl/>
              <w:jc w:val="center"/>
              <w:textAlignment w:val="center"/>
              <w:rPr>
                <w:rFonts w:hint="eastAsia" w:ascii="宋体" w:hAnsi="宋体" w:eastAsia="宋体" w:cs="宋体"/>
                <w:color w:val="auto"/>
                <w:sz w:val="24"/>
                <w:szCs w:val="24"/>
                <w:highlight w:val="none"/>
              </w:rPr>
            </w:pPr>
          </w:p>
        </w:tc>
        <w:tc>
          <w:tcPr>
            <w:tcW w:w="801" w:type="dxa"/>
            <w:tcBorders>
              <w:top w:val="nil"/>
              <w:left w:val="single" w:color="000000" w:sz="8" w:space="0"/>
              <w:bottom w:val="single" w:color="000000" w:sz="8" w:space="0"/>
              <w:right w:val="single" w:color="000000" w:sz="8" w:space="0"/>
            </w:tcBorders>
            <w:noWrap w:val="0"/>
            <w:vAlign w:val="center"/>
          </w:tcPr>
          <w:p w14:paraId="679378D5">
            <w:pPr>
              <w:widowControl/>
              <w:jc w:val="center"/>
              <w:textAlignment w:val="center"/>
              <w:rPr>
                <w:rFonts w:hint="eastAsia" w:ascii="宋体" w:hAnsi="宋体" w:eastAsia="宋体" w:cs="宋体"/>
                <w:color w:val="auto"/>
                <w:sz w:val="24"/>
                <w:szCs w:val="24"/>
                <w:highlight w:val="none"/>
              </w:rPr>
            </w:pPr>
          </w:p>
        </w:tc>
        <w:tc>
          <w:tcPr>
            <w:tcW w:w="945" w:type="dxa"/>
            <w:tcBorders>
              <w:top w:val="nil"/>
              <w:left w:val="single" w:color="000000" w:sz="8" w:space="0"/>
              <w:bottom w:val="single" w:color="000000" w:sz="8" w:space="0"/>
              <w:right w:val="single" w:color="000000" w:sz="8" w:space="0"/>
            </w:tcBorders>
            <w:noWrap w:val="0"/>
            <w:vAlign w:val="center"/>
          </w:tcPr>
          <w:p w14:paraId="32BAE971">
            <w:pPr>
              <w:widowControl/>
              <w:jc w:val="left"/>
              <w:textAlignment w:val="center"/>
              <w:rPr>
                <w:rFonts w:hint="eastAsia" w:ascii="宋体" w:hAnsi="宋体" w:eastAsia="宋体" w:cs="宋体"/>
                <w:color w:val="auto"/>
                <w:sz w:val="24"/>
                <w:szCs w:val="24"/>
                <w:highlight w:val="none"/>
              </w:rPr>
            </w:pPr>
          </w:p>
        </w:tc>
        <w:tc>
          <w:tcPr>
            <w:tcW w:w="1515" w:type="dxa"/>
            <w:tcBorders>
              <w:top w:val="nil"/>
              <w:left w:val="single" w:color="000000" w:sz="8" w:space="0"/>
              <w:bottom w:val="single" w:color="000000" w:sz="8" w:space="0"/>
              <w:right w:val="single" w:color="000000" w:sz="8" w:space="0"/>
            </w:tcBorders>
            <w:noWrap w:val="0"/>
            <w:vAlign w:val="center"/>
          </w:tcPr>
          <w:p w14:paraId="213AD64E">
            <w:pPr>
              <w:widowControl/>
              <w:jc w:val="center"/>
              <w:textAlignment w:val="center"/>
              <w:rPr>
                <w:rFonts w:hint="eastAsia" w:ascii="宋体" w:hAnsi="宋体" w:eastAsia="宋体" w:cs="宋体"/>
                <w:color w:val="auto"/>
                <w:sz w:val="24"/>
                <w:szCs w:val="24"/>
                <w:highlight w:val="none"/>
              </w:rPr>
            </w:pPr>
          </w:p>
        </w:tc>
        <w:tc>
          <w:tcPr>
            <w:tcW w:w="1290" w:type="dxa"/>
            <w:tcBorders>
              <w:top w:val="nil"/>
              <w:left w:val="single" w:color="000000" w:sz="8" w:space="0"/>
              <w:bottom w:val="single" w:color="000000" w:sz="8" w:space="0"/>
              <w:right w:val="single" w:color="000000" w:sz="8" w:space="0"/>
            </w:tcBorders>
            <w:noWrap w:val="0"/>
            <w:vAlign w:val="center"/>
          </w:tcPr>
          <w:p w14:paraId="05BB4B71">
            <w:pPr>
              <w:widowControl/>
              <w:jc w:val="center"/>
              <w:textAlignment w:val="center"/>
              <w:rPr>
                <w:rFonts w:hint="eastAsia" w:ascii="宋体" w:hAnsi="宋体" w:eastAsia="宋体" w:cs="宋体"/>
                <w:color w:val="auto"/>
                <w:sz w:val="24"/>
                <w:szCs w:val="24"/>
                <w:highlight w:val="none"/>
              </w:rPr>
            </w:pPr>
          </w:p>
        </w:tc>
      </w:tr>
      <w:tr w14:paraId="44CE1C00">
        <w:tblPrEx>
          <w:tblCellMar>
            <w:top w:w="0" w:type="dxa"/>
            <w:left w:w="108" w:type="dxa"/>
            <w:bottom w:w="0" w:type="dxa"/>
            <w:right w:w="108" w:type="dxa"/>
          </w:tblCellMar>
        </w:tblPrEx>
        <w:trPr>
          <w:trHeight w:val="700" w:hRule="atLeast"/>
        </w:trPr>
        <w:tc>
          <w:tcPr>
            <w:tcW w:w="570" w:type="dxa"/>
            <w:tcBorders>
              <w:top w:val="nil"/>
              <w:left w:val="single" w:color="000000" w:sz="8" w:space="0"/>
              <w:bottom w:val="single" w:color="000000" w:sz="8" w:space="0"/>
              <w:right w:val="single" w:color="000000" w:sz="8" w:space="0"/>
            </w:tcBorders>
            <w:shd w:val="clear" w:color="auto" w:fill="FFFFFF"/>
            <w:noWrap w:val="0"/>
            <w:vAlign w:val="center"/>
          </w:tcPr>
          <w:p w14:paraId="44DFBCAF">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4</w:t>
            </w:r>
          </w:p>
        </w:tc>
        <w:tc>
          <w:tcPr>
            <w:tcW w:w="1366" w:type="dxa"/>
            <w:tcBorders>
              <w:top w:val="nil"/>
              <w:left w:val="single" w:color="000000" w:sz="8" w:space="0"/>
              <w:bottom w:val="single" w:color="000000" w:sz="8" w:space="0"/>
              <w:right w:val="single" w:color="000000" w:sz="8" w:space="0"/>
            </w:tcBorders>
            <w:noWrap w:val="0"/>
            <w:vAlign w:val="center"/>
          </w:tcPr>
          <w:p w14:paraId="77ACE9D2">
            <w:pPr>
              <w:widowControl/>
              <w:jc w:val="center"/>
              <w:textAlignment w:val="center"/>
              <w:rPr>
                <w:rFonts w:hint="eastAsia" w:ascii="宋体" w:hAnsi="宋体" w:eastAsia="宋体" w:cs="宋体"/>
                <w:color w:val="auto"/>
                <w:sz w:val="24"/>
                <w:szCs w:val="24"/>
                <w:highlight w:val="none"/>
              </w:rPr>
            </w:pPr>
          </w:p>
        </w:tc>
        <w:tc>
          <w:tcPr>
            <w:tcW w:w="1335" w:type="dxa"/>
            <w:tcBorders>
              <w:top w:val="nil"/>
              <w:left w:val="single" w:color="000000" w:sz="8" w:space="0"/>
              <w:bottom w:val="single" w:color="000000" w:sz="8" w:space="0"/>
              <w:right w:val="single" w:color="000000" w:sz="8" w:space="0"/>
            </w:tcBorders>
            <w:noWrap w:val="0"/>
            <w:vAlign w:val="center"/>
          </w:tcPr>
          <w:p w14:paraId="664DBD03">
            <w:pPr>
              <w:widowControl/>
              <w:jc w:val="center"/>
              <w:textAlignment w:val="center"/>
              <w:rPr>
                <w:rFonts w:hint="eastAsia" w:ascii="宋体" w:hAnsi="宋体" w:eastAsia="宋体" w:cs="宋体"/>
                <w:color w:val="auto"/>
                <w:sz w:val="24"/>
                <w:szCs w:val="24"/>
                <w:highlight w:val="none"/>
              </w:rPr>
            </w:pPr>
          </w:p>
        </w:tc>
        <w:tc>
          <w:tcPr>
            <w:tcW w:w="1284" w:type="dxa"/>
            <w:tcBorders>
              <w:top w:val="nil"/>
              <w:left w:val="single" w:color="000000" w:sz="8" w:space="0"/>
              <w:bottom w:val="single" w:color="000000" w:sz="8" w:space="0"/>
              <w:right w:val="single" w:color="000000" w:sz="8" w:space="0"/>
            </w:tcBorders>
            <w:noWrap w:val="0"/>
            <w:vAlign w:val="center"/>
          </w:tcPr>
          <w:p w14:paraId="133926C5">
            <w:pPr>
              <w:widowControl/>
              <w:jc w:val="center"/>
              <w:textAlignment w:val="center"/>
              <w:rPr>
                <w:rFonts w:hint="eastAsia" w:ascii="宋体" w:hAnsi="宋体" w:eastAsia="宋体" w:cs="宋体"/>
                <w:color w:val="auto"/>
                <w:sz w:val="24"/>
                <w:szCs w:val="24"/>
                <w:highlight w:val="none"/>
              </w:rPr>
            </w:pPr>
          </w:p>
        </w:tc>
        <w:tc>
          <w:tcPr>
            <w:tcW w:w="801" w:type="dxa"/>
            <w:tcBorders>
              <w:top w:val="nil"/>
              <w:left w:val="single" w:color="000000" w:sz="8" w:space="0"/>
              <w:bottom w:val="single" w:color="000000" w:sz="8" w:space="0"/>
              <w:right w:val="single" w:color="000000" w:sz="8" w:space="0"/>
            </w:tcBorders>
            <w:noWrap w:val="0"/>
            <w:vAlign w:val="center"/>
          </w:tcPr>
          <w:p w14:paraId="1160E2FC">
            <w:pPr>
              <w:widowControl/>
              <w:jc w:val="center"/>
              <w:textAlignment w:val="center"/>
              <w:rPr>
                <w:rFonts w:hint="eastAsia" w:ascii="宋体" w:hAnsi="宋体" w:eastAsia="宋体" w:cs="宋体"/>
                <w:color w:val="auto"/>
                <w:sz w:val="24"/>
                <w:szCs w:val="24"/>
                <w:highlight w:val="none"/>
              </w:rPr>
            </w:pPr>
          </w:p>
        </w:tc>
        <w:tc>
          <w:tcPr>
            <w:tcW w:w="945" w:type="dxa"/>
            <w:tcBorders>
              <w:top w:val="nil"/>
              <w:left w:val="single" w:color="000000" w:sz="8" w:space="0"/>
              <w:bottom w:val="single" w:color="000000" w:sz="8" w:space="0"/>
              <w:right w:val="single" w:color="000000" w:sz="8" w:space="0"/>
            </w:tcBorders>
            <w:noWrap w:val="0"/>
            <w:vAlign w:val="center"/>
          </w:tcPr>
          <w:p w14:paraId="7A7AE9B9">
            <w:pPr>
              <w:widowControl/>
              <w:jc w:val="left"/>
              <w:textAlignment w:val="center"/>
              <w:rPr>
                <w:rFonts w:hint="eastAsia" w:ascii="宋体" w:hAnsi="宋体" w:eastAsia="宋体" w:cs="宋体"/>
                <w:color w:val="auto"/>
                <w:sz w:val="24"/>
                <w:szCs w:val="24"/>
                <w:highlight w:val="none"/>
              </w:rPr>
            </w:pPr>
          </w:p>
        </w:tc>
        <w:tc>
          <w:tcPr>
            <w:tcW w:w="1515" w:type="dxa"/>
            <w:tcBorders>
              <w:top w:val="nil"/>
              <w:left w:val="single" w:color="000000" w:sz="8" w:space="0"/>
              <w:bottom w:val="single" w:color="000000" w:sz="8" w:space="0"/>
              <w:right w:val="single" w:color="000000" w:sz="8" w:space="0"/>
            </w:tcBorders>
            <w:noWrap w:val="0"/>
            <w:vAlign w:val="center"/>
          </w:tcPr>
          <w:p w14:paraId="6B63F704">
            <w:pPr>
              <w:widowControl/>
              <w:jc w:val="center"/>
              <w:textAlignment w:val="center"/>
              <w:rPr>
                <w:rFonts w:hint="eastAsia" w:ascii="宋体" w:hAnsi="宋体" w:eastAsia="宋体" w:cs="宋体"/>
                <w:color w:val="auto"/>
                <w:sz w:val="24"/>
                <w:szCs w:val="24"/>
                <w:highlight w:val="none"/>
              </w:rPr>
            </w:pPr>
          </w:p>
        </w:tc>
        <w:tc>
          <w:tcPr>
            <w:tcW w:w="1290" w:type="dxa"/>
            <w:tcBorders>
              <w:top w:val="nil"/>
              <w:left w:val="single" w:color="000000" w:sz="8" w:space="0"/>
              <w:bottom w:val="single" w:color="000000" w:sz="8" w:space="0"/>
              <w:right w:val="single" w:color="000000" w:sz="8" w:space="0"/>
            </w:tcBorders>
            <w:noWrap w:val="0"/>
            <w:vAlign w:val="center"/>
          </w:tcPr>
          <w:p w14:paraId="2027DD92">
            <w:pPr>
              <w:widowControl/>
              <w:jc w:val="center"/>
              <w:textAlignment w:val="center"/>
              <w:rPr>
                <w:rFonts w:hint="eastAsia" w:ascii="宋体" w:hAnsi="宋体" w:eastAsia="宋体" w:cs="宋体"/>
                <w:color w:val="auto"/>
                <w:sz w:val="24"/>
                <w:szCs w:val="24"/>
                <w:highlight w:val="none"/>
              </w:rPr>
            </w:pPr>
          </w:p>
        </w:tc>
      </w:tr>
      <w:tr w14:paraId="68BF39A0">
        <w:tblPrEx>
          <w:tblCellMar>
            <w:top w:w="0" w:type="dxa"/>
            <w:left w:w="108" w:type="dxa"/>
            <w:bottom w:w="0" w:type="dxa"/>
            <w:right w:w="108" w:type="dxa"/>
          </w:tblCellMar>
        </w:tblPrEx>
        <w:trPr>
          <w:trHeight w:val="700" w:hRule="atLeast"/>
        </w:trPr>
        <w:tc>
          <w:tcPr>
            <w:tcW w:w="570" w:type="dxa"/>
            <w:tcBorders>
              <w:top w:val="nil"/>
              <w:left w:val="single" w:color="000000" w:sz="8" w:space="0"/>
              <w:bottom w:val="single" w:color="000000" w:sz="8" w:space="0"/>
              <w:right w:val="single" w:color="000000" w:sz="8" w:space="0"/>
            </w:tcBorders>
            <w:shd w:val="clear" w:color="auto" w:fill="FFFFFF"/>
            <w:noWrap w:val="0"/>
            <w:vAlign w:val="center"/>
          </w:tcPr>
          <w:p w14:paraId="13C87387">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5</w:t>
            </w:r>
          </w:p>
        </w:tc>
        <w:tc>
          <w:tcPr>
            <w:tcW w:w="1366" w:type="dxa"/>
            <w:tcBorders>
              <w:top w:val="nil"/>
              <w:left w:val="single" w:color="000000" w:sz="8" w:space="0"/>
              <w:bottom w:val="single" w:color="000000" w:sz="8" w:space="0"/>
              <w:right w:val="single" w:color="000000" w:sz="8" w:space="0"/>
            </w:tcBorders>
            <w:noWrap w:val="0"/>
            <w:vAlign w:val="center"/>
          </w:tcPr>
          <w:p w14:paraId="42B09BF7">
            <w:pPr>
              <w:widowControl/>
              <w:jc w:val="center"/>
              <w:textAlignment w:val="center"/>
              <w:rPr>
                <w:rFonts w:hint="eastAsia" w:ascii="宋体" w:hAnsi="宋体" w:eastAsia="宋体" w:cs="宋体"/>
                <w:color w:val="auto"/>
                <w:sz w:val="24"/>
                <w:szCs w:val="24"/>
                <w:highlight w:val="none"/>
              </w:rPr>
            </w:pPr>
          </w:p>
        </w:tc>
        <w:tc>
          <w:tcPr>
            <w:tcW w:w="1335" w:type="dxa"/>
            <w:tcBorders>
              <w:top w:val="nil"/>
              <w:left w:val="single" w:color="000000" w:sz="8" w:space="0"/>
              <w:bottom w:val="single" w:color="000000" w:sz="8" w:space="0"/>
              <w:right w:val="single" w:color="000000" w:sz="8" w:space="0"/>
            </w:tcBorders>
            <w:noWrap w:val="0"/>
            <w:vAlign w:val="center"/>
          </w:tcPr>
          <w:p w14:paraId="7170B2D0">
            <w:pPr>
              <w:widowControl/>
              <w:jc w:val="center"/>
              <w:textAlignment w:val="center"/>
              <w:rPr>
                <w:rFonts w:hint="eastAsia" w:ascii="宋体" w:hAnsi="宋体" w:eastAsia="宋体" w:cs="宋体"/>
                <w:color w:val="auto"/>
                <w:sz w:val="24"/>
                <w:szCs w:val="24"/>
                <w:highlight w:val="none"/>
              </w:rPr>
            </w:pPr>
          </w:p>
        </w:tc>
        <w:tc>
          <w:tcPr>
            <w:tcW w:w="1284" w:type="dxa"/>
            <w:tcBorders>
              <w:top w:val="nil"/>
              <w:left w:val="single" w:color="000000" w:sz="8" w:space="0"/>
              <w:bottom w:val="single" w:color="000000" w:sz="8" w:space="0"/>
              <w:right w:val="single" w:color="000000" w:sz="8" w:space="0"/>
            </w:tcBorders>
            <w:noWrap w:val="0"/>
            <w:vAlign w:val="center"/>
          </w:tcPr>
          <w:p w14:paraId="4FAA27E5">
            <w:pPr>
              <w:widowControl/>
              <w:jc w:val="center"/>
              <w:textAlignment w:val="center"/>
              <w:rPr>
                <w:rFonts w:hint="eastAsia" w:ascii="宋体" w:hAnsi="宋体" w:eastAsia="宋体" w:cs="宋体"/>
                <w:color w:val="auto"/>
                <w:sz w:val="24"/>
                <w:szCs w:val="24"/>
                <w:highlight w:val="none"/>
              </w:rPr>
            </w:pPr>
          </w:p>
        </w:tc>
        <w:tc>
          <w:tcPr>
            <w:tcW w:w="801" w:type="dxa"/>
            <w:tcBorders>
              <w:top w:val="nil"/>
              <w:left w:val="single" w:color="000000" w:sz="8" w:space="0"/>
              <w:bottom w:val="single" w:color="000000" w:sz="8" w:space="0"/>
              <w:right w:val="single" w:color="000000" w:sz="8" w:space="0"/>
            </w:tcBorders>
            <w:noWrap w:val="0"/>
            <w:vAlign w:val="center"/>
          </w:tcPr>
          <w:p w14:paraId="7A362396">
            <w:pPr>
              <w:widowControl/>
              <w:jc w:val="center"/>
              <w:textAlignment w:val="center"/>
              <w:rPr>
                <w:rFonts w:hint="eastAsia" w:ascii="宋体" w:hAnsi="宋体" w:eastAsia="宋体" w:cs="宋体"/>
                <w:color w:val="auto"/>
                <w:sz w:val="24"/>
                <w:szCs w:val="24"/>
                <w:highlight w:val="none"/>
              </w:rPr>
            </w:pPr>
          </w:p>
        </w:tc>
        <w:tc>
          <w:tcPr>
            <w:tcW w:w="945" w:type="dxa"/>
            <w:tcBorders>
              <w:top w:val="nil"/>
              <w:left w:val="single" w:color="000000" w:sz="8" w:space="0"/>
              <w:bottom w:val="single" w:color="000000" w:sz="8" w:space="0"/>
              <w:right w:val="single" w:color="000000" w:sz="8" w:space="0"/>
            </w:tcBorders>
            <w:noWrap w:val="0"/>
            <w:vAlign w:val="center"/>
          </w:tcPr>
          <w:p w14:paraId="7A27C1EC">
            <w:pPr>
              <w:widowControl/>
              <w:jc w:val="left"/>
              <w:textAlignment w:val="center"/>
              <w:rPr>
                <w:rFonts w:hint="eastAsia" w:ascii="宋体" w:hAnsi="宋体" w:eastAsia="宋体" w:cs="宋体"/>
                <w:color w:val="auto"/>
                <w:sz w:val="24"/>
                <w:szCs w:val="24"/>
                <w:highlight w:val="none"/>
              </w:rPr>
            </w:pPr>
          </w:p>
        </w:tc>
        <w:tc>
          <w:tcPr>
            <w:tcW w:w="1515" w:type="dxa"/>
            <w:tcBorders>
              <w:top w:val="nil"/>
              <w:left w:val="single" w:color="000000" w:sz="8" w:space="0"/>
              <w:bottom w:val="single" w:color="000000" w:sz="8" w:space="0"/>
              <w:right w:val="single" w:color="000000" w:sz="8" w:space="0"/>
            </w:tcBorders>
            <w:noWrap w:val="0"/>
            <w:vAlign w:val="center"/>
          </w:tcPr>
          <w:p w14:paraId="50FF226B">
            <w:pPr>
              <w:widowControl/>
              <w:jc w:val="center"/>
              <w:textAlignment w:val="center"/>
              <w:rPr>
                <w:rFonts w:hint="eastAsia" w:ascii="宋体" w:hAnsi="宋体" w:eastAsia="宋体" w:cs="宋体"/>
                <w:color w:val="auto"/>
                <w:sz w:val="24"/>
                <w:szCs w:val="24"/>
                <w:highlight w:val="none"/>
              </w:rPr>
            </w:pPr>
          </w:p>
        </w:tc>
        <w:tc>
          <w:tcPr>
            <w:tcW w:w="1290" w:type="dxa"/>
            <w:tcBorders>
              <w:top w:val="nil"/>
              <w:left w:val="single" w:color="000000" w:sz="8" w:space="0"/>
              <w:bottom w:val="single" w:color="000000" w:sz="8" w:space="0"/>
              <w:right w:val="single" w:color="000000" w:sz="8" w:space="0"/>
            </w:tcBorders>
            <w:noWrap w:val="0"/>
            <w:vAlign w:val="center"/>
          </w:tcPr>
          <w:p w14:paraId="588808BA">
            <w:pPr>
              <w:widowControl/>
              <w:jc w:val="center"/>
              <w:textAlignment w:val="center"/>
              <w:rPr>
                <w:rFonts w:hint="eastAsia" w:ascii="宋体" w:hAnsi="宋体" w:eastAsia="宋体" w:cs="宋体"/>
                <w:color w:val="auto"/>
                <w:sz w:val="24"/>
                <w:szCs w:val="24"/>
                <w:highlight w:val="none"/>
              </w:rPr>
            </w:pPr>
          </w:p>
        </w:tc>
      </w:tr>
      <w:tr w14:paraId="6BB7E3B9">
        <w:tblPrEx>
          <w:tblCellMar>
            <w:top w:w="0" w:type="dxa"/>
            <w:left w:w="108" w:type="dxa"/>
            <w:bottom w:w="0" w:type="dxa"/>
            <w:right w:w="108" w:type="dxa"/>
          </w:tblCellMar>
        </w:tblPrEx>
        <w:trPr>
          <w:trHeight w:val="700" w:hRule="atLeast"/>
        </w:trPr>
        <w:tc>
          <w:tcPr>
            <w:tcW w:w="570" w:type="dxa"/>
            <w:tcBorders>
              <w:top w:val="nil"/>
              <w:left w:val="single" w:color="000000" w:sz="8" w:space="0"/>
              <w:bottom w:val="single" w:color="000000" w:sz="8" w:space="0"/>
              <w:right w:val="single" w:color="000000" w:sz="8" w:space="0"/>
            </w:tcBorders>
            <w:shd w:val="clear" w:color="auto" w:fill="FFFFFF"/>
            <w:noWrap w:val="0"/>
            <w:vAlign w:val="center"/>
          </w:tcPr>
          <w:p w14:paraId="7FB1333C">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6</w:t>
            </w:r>
          </w:p>
        </w:tc>
        <w:tc>
          <w:tcPr>
            <w:tcW w:w="1366" w:type="dxa"/>
            <w:tcBorders>
              <w:top w:val="nil"/>
              <w:left w:val="single" w:color="000000" w:sz="8" w:space="0"/>
              <w:bottom w:val="single" w:color="000000" w:sz="8" w:space="0"/>
              <w:right w:val="single" w:color="000000" w:sz="8" w:space="0"/>
            </w:tcBorders>
            <w:noWrap w:val="0"/>
            <w:vAlign w:val="center"/>
          </w:tcPr>
          <w:p w14:paraId="09E018AB">
            <w:pPr>
              <w:widowControl/>
              <w:jc w:val="center"/>
              <w:textAlignment w:val="center"/>
              <w:rPr>
                <w:rFonts w:hint="eastAsia" w:ascii="宋体" w:hAnsi="宋体" w:eastAsia="宋体" w:cs="宋体"/>
                <w:color w:val="auto"/>
                <w:sz w:val="24"/>
                <w:szCs w:val="24"/>
                <w:highlight w:val="none"/>
              </w:rPr>
            </w:pPr>
          </w:p>
        </w:tc>
        <w:tc>
          <w:tcPr>
            <w:tcW w:w="1335" w:type="dxa"/>
            <w:tcBorders>
              <w:top w:val="nil"/>
              <w:left w:val="single" w:color="000000" w:sz="8" w:space="0"/>
              <w:bottom w:val="single" w:color="000000" w:sz="8" w:space="0"/>
              <w:right w:val="single" w:color="000000" w:sz="8" w:space="0"/>
            </w:tcBorders>
            <w:noWrap w:val="0"/>
            <w:vAlign w:val="center"/>
          </w:tcPr>
          <w:p w14:paraId="6D88D836">
            <w:pPr>
              <w:widowControl/>
              <w:jc w:val="center"/>
              <w:textAlignment w:val="center"/>
              <w:rPr>
                <w:rFonts w:hint="eastAsia" w:ascii="宋体" w:hAnsi="宋体" w:eastAsia="宋体" w:cs="宋体"/>
                <w:color w:val="auto"/>
                <w:sz w:val="24"/>
                <w:szCs w:val="24"/>
                <w:highlight w:val="none"/>
              </w:rPr>
            </w:pPr>
          </w:p>
        </w:tc>
        <w:tc>
          <w:tcPr>
            <w:tcW w:w="1284" w:type="dxa"/>
            <w:tcBorders>
              <w:top w:val="nil"/>
              <w:left w:val="single" w:color="000000" w:sz="8" w:space="0"/>
              <w:bottom w:val="single" w:color="000000" w:sz="8" w:space="0"/>
              <w:right w:val="single" w:color="000000" w:sz="8" w:space="0"/>
            </w:tcBorders>
            <w:noWrap w:val="0"/>
            <w:vAlign w:val="center"/>
          </w:tcPr>
          <w:p w14:paraId="1549600A">
            <w:pPr>
              <w:widowControl/>
              <w:jc w:val="center"/>
              <w:textAlignment w:val="center"/>
              <w:rPr>
                <w:rFonts w:hint="eastAsia" w:ascii="宋体" w:hAnsi="宋体" w:eastAsia="宋体" w:cs="宋体"/>
                <w:color w:val="auto"/>
                <w:sz w:val="24"/>
                <w:szCs w:val="24"/>
                <w:highlight w:val="none"/>
              </w:rPr>
            </w:pPr>
          </w:p>
        </w:tc>
        <w:tc>
          <w:tcPr>
            <w:tcW w:w="801" w:type="dxa"/>
            <w:tcBorders>
              <w:top w:val="nil"/>
              <w:left w:val="single" w:color="000000" w:sz="8" w:space="0"/>
              <w:bottom w:val="single" w:color="000000" w:sz="8" w:space="0"/>
              <w:right w:val="single" w:color="000000" w:sz="8" w:space="0"/>
            </w:tcBorders>
            <w:noWrap w:val="0"/>
            <w:vAlign w:val="center"/>
          </w:tcPr>
          <w:p w14:paraId="2A5AFB7B">
            <w:pPr>
              <w:widowControl/>
              <w:jc w:val="center"/>
              <w:textAlignment w:val="center"/>
              <w:rPr>
                <w:rFonts w:hint="eastAsia" w:ascii="宋体" w:hAnsi="宋体" w:eastAsia="宋体" w:cs="宋体"/>
                <w:color w:val="auto"/>
                <w:sz w:val="24"/>
                <w:szCs w:val="24"/>
                <w:highlight w:val="none"/>
              </w:rPr>
            </w:pPr>
          </w:p>
        </w:tc>
        <w:tc>
          <w:tcPr>
            <w:tcW w:w="945" w:type="dxa"/>
            <w:tcBorders>
              <w:top w:val="nil"/>
              <w:left w:val="single" w:color="000000" w:sz="8" w:space="0"/>
              <w:bottom w:val="single" w:color="000000" w:sz="8" w:space="0"/>
              <w:right w:val="single" w:color="000000" w:sz="8" w:space="0"/>
            </w:tcBorders>
            <w:noWrap w:val="0"/>
            <w:vAlign w:val="center"/>
          </w:tcPr>
          <w:p w14:paraId="70BECF9B">
            <w:pPr>
              <w:widowControl/>
              <w:jc w:val="left"/>
              <w:textAlignment w:val="center"/>
              <w:rPr>
                <w:rFonts w:hint="eastAsia" w:ascii="宋体" w:hAnsi="宋体" w:eastAsia="宋体" w:cs="宋体"/>
                <w:color w:val="auto"/>
                <w:sz w:val="24"/>
                <w:szCs w:val="24"/>
                <w:highlight w:val="none"/>
              </w:rPr>
            </w:pPr>
          </w:p>
        </w:tc>
        <w:tc>
          <w:tcPr>
            <w:tcW w:w="1515" w:type="dxa"/>
            <w:tcBorders>
              <w:top w:val="nil"/>
              <w:left w:val="single" w:color="000000" w:sz="8" w:space="0"/>
              <w:bottom w:val="single" w:color="000000" w:sz="8" w:space="0"/>
              <w:right w:val="single" w:color="000000" w:sz="8" w:space="0"/>
            </w:tcBorders>
            <w:noWrap w:val="0"/>
            <w:vAlign w:val="center"/>
          </w:tcPr>
          <w:p w14:paraId="118E965F">
            <w:pPr>
              <w:widowControl/>
              <w:jc w:val="center"/>
              <w:textAlignment w:val="center"/>
              <w:rPr>
                <w:rFonts w:hint="eastAsia" w:ascii="宋体" w:hAnsi="宋体" w:eastAsia="宋体" w:cs="宋体"/>
                <w:color w:val="auto"/>
                <w:sz w:val="24"/>
                <w:szCs w:val="24"/>
                <w:highlight w:val="none"/>
              </w:rPr>
            </w:pPr>
          </w:p>
        </w:tc>
        <w:tc>
          <w:tcPr>
            <w:tcW w:w="1290" w:type="dxa"/>
            <w:tcBorders>
              <w:top w:val="nil"/>
              <w:left w:val="single" w:color="000000" w:sz="8" w:space="0"/>
              <w:bottom w:val="single" w:color="000000" w:sz="8" w:space="0"/>
              <w:right w:val="single" w:color="000000" w:sz="8" w:space="0"/>
            </w:tcBorders>
            <w:noWrap w:val="0"/>
            <w:vAlign w:val="center"/>
          </w:tcPr>
          <w:p w14:paraId="70159CF1">
            <w:pPr>
              <w:widowControl/>
              <w:jc w:val="center"/>
              <w:textAlignment w:val="center"/>
              <w:rPr>
                <w:rFonts w:hint="eastAsia" w:ascii="宋体" w:hAnsi="宋体" w:eastAsia="宋体" w:cs="宋体"/>
                <w:color w:val="auto"/>
                <w:sz w:val="24"/>
                <w:szCs w:val="24"/>
                <w:highlight w:val="none"/>
              </w:rPr>
            </w:pPr>
          </w:p>
        </w:tc>
      </w:tr>
      <w:tr w14:paraId="35659AC7">
        <w:tblPrEx>
          <w:tblCellMar>
            <w:top w:w="0" w:type="dxa"/>
            <w:left w:w="108" w:type="dxa"/>
            <w:bottom w:w="0" w:type="dxa"/>
            <w:right w:w="108" w:type="dxa"/>
          </w:tblCellMar>
        </w:tblPrEx>
        <w:trPr>
          <w:trHeight w:val="700" w:hRule="atLeast"/>
        </w:trPr>
        <w:tc>
          <w:tcPr>
            <w:tcW w:w="570" w:type="dxa"/>
            <w:tcBorders>
              <w:top w:val="nil"/>
              <w:left w:val="single" w:color="000000" w:sz="8" w:space="0"/>
              <w:bottom w:val="single" w:color="000000" w:sz="8" w:space="0"/>
              <w:right w:val="single" w:color="000000" w:sz="8" w:space="0"/>
            </w:tcBorders>
            <w:shd w:val="clear" w:color="auto" w:fill="FFFFFF"/>
            <w:noWrap w:val="0"/>
            <w:vAlign w:val="center"/>
          </w:tcPr>
          <w:p w14:paraId="256C97F5">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7</w:t>
            </w:r>
          </w:p>
        </w:tc>
        <w:tc>
          <w:tcPr>
            <w:tcW w:w="1366" w:type="dxa"/>
            <w:tcBorders>
              <w:top w:val="nil"/>
              <w:left w:val="single" w:color="000000" w:sz="8" w:space="0"/>
              <w:bottom w:val="single" w:color="000000" w:sz="8" w:space="0"/>
              <w:right w:val="single" w:color="000000" w:sz="8" w:space="0"/>
            </w:tcBorders>
            <w:noWrap w:val="0"/>
            <w:vAlign w:val="center"/>
          </w:tcPr>
          <w:p w14:paraId="77D2FCBC">
            <w:pPr>
              <w:widowControl/>
              <w:jc w:val="center"/>
              <w:textAlignment w:val="center"/>
              <w:rPr>
                <w:rFonts w:hint="eastAsia" w:ascii="宋体" w:hAnsi="宋体" w:eastAsia="宋体" w:cs="宋体"/>
                <w:color w:val="auto"/>
                <w:sz w:val="24"/>
                <w:szCs w:val="24"/>
                <w:highlight w:val="none"/>
              </w:rPr>
            </w:pPr>
          </w:p>
        </w:tc>
        <w:tc>
          <w:tcPr>
            <w:tcW w:w="1335" w:type="dxa"/>
            <w:tcBorders>
              <w:top w:val="nil"/>
              <w:left w:val="single" w:color="000000" w:sz="8" w:space="0"/>
              <w:bottom w:val="single" w:color="000000" w:sz="8" w:space="0"/>
              <w:right w:val="single" w:color="000000" w:sz="8" w:space="0"/>
            </w:tcBorders>
            <w:noWrap w:val="0"/>
            <w:vAlign w:val="center"/>
          </w:tcPr>
          <w:p w14:paraId="100F587A">
            <w:pPr>
              <w:widowControl/>
              <w:jc w:val="center"/>
              <w:textAlignment w:val="center"/>
              <w:rPr>
                <w:rFonts w:hint="eastAsia" w:ascii="宋体" w:hAnsi="宋体" w:eastAsia="宋体" w:cs="宋体"/>
                <w:color w:val="auto"/>
                <w:sz w:val="24"/>
                <w:szCs w:val="24"/>
                <w:highlight w:val="none"/>
              </w:rPr>
            </w:pPr>
          </w:p>
        </w:tc>
        <w:tc>
          <w:tcPr>
            <w:tcW w:w="1284" w:type="dxa"/>
            <w:tcBorders>
              <w:top w:val="nil"/>
              <w:left w:val="single" w:color="000000" w:sz="8" w:space="0"/>
              <w:bottom w:val="single" w:color="000000" w:sz="8" w:space="0"/>
              <w:right w:val="single" w:color="000000" w:sz="8" w:space="0"/>
            </w:tcBorders>
            <w:noWrap w:val="0"/>
            <w:vAlign w:val="center"/>
          </w:tcPr>
          <w:p w14:paraId="5CECE0F6">
            <w:pPr>
              <w:widowControl/>
              <w:jc w:val="center"/>
              <w:textAlignment w:val="center"/>
              <w:rPr>
                <w:rFonts w:hint="eastAsia" w:ascii="宋体" w:hAnsi="宋体" w:eastAsia="宋体" w:cs="宋体"/>
                <w:color w:val="auto"/>
                <w:sz w:val="24"/>
                <w:szCs w:val="24"/>
                <w:highlight w:val="none"/>
              </w:rPr>
            </w:pPr>
          </w:p>
        </w:tc>
        <w:tc>
          <w:tcPr>
            <w:tcW w:w="801" w:type="dxa"/>
            <w:tcBorders>
              <w:top w:val="nil"/>
              <w:left w:val="single" w:color="000000" w:sz="8" w:space="0"/>
              <w:bottom w:val="single" w:color="000000" w:sz="8" w:space="0"/>
              <w:right w:val="single" w:color="000000" w:sz="8" w:space="0"/>
            </w:tcBorders>
            <w:noWrap w:val="0"/>
            <w:vAlign w:val="center"/>
          </w:tcPr>
          <w:p w14:paraId="43B2D8DA">
            <w:pPr>
              <w:widowControl/>
              <w:jc w:val="center"/>
              <w:textAlignment w:val="center"/>
              <w:rPr>
                <w:rFonts w:hint="eastAsia" w:ascii="宋体" w:hAnsi="宋体" w:eastAsia="宋体" w:cs="宋体"/>
                <w:color w:val="auto"/>
                <w:sz w:val="24"/>
                <w:szCs w:val="24"/>
                <w:highlight w:val="none"/>
              </w:rPr>
            </w:pPr>
          </w:p>
        </w:tc>
        <w:tc>
          <w:tcPr>
            <w:tcW w:w="945" w:type="dxa"/>
            <w:tcBorders>
              <w:top w:val="nil"/>
              <w:left w:val="single" w:color="000000" w:sz="8" w:space="0"/>
              <w:bottom w:val="single" w:color="000000" w:sz="8" w:space="0"/>
              <w:right w:val="single" w:color="000000" w:sz="8" w:space="0"/>
            </w:tcBorders>
            <w:noWrap w:val="0"/>
            <w:vAlign w:val="center"/>
          </w:tcPr>
          <w:p w14:paraId="2F2C9E2E">
            <w:pPr>
              <w:widowControl/>
              <w:jc w:val="left"/>
              <w:textAlignment w:val="center"/>
              <w:rPr>
                <w:rFonts w:hint="eastAsia" w:ascii="宋体" w:hAnsi="宋体" w:eastAsia="宋体" w:cs="宋体"/>
                <w:color w:val="auto"/>
                <w:sz w:val="24"/>
                <w:szCs w:val="24"/>
                <w:highlight w:val="none"/>
              </w:rPr>
            </w:pPr>
          </w:p>
        </w:tc>
        <w:tc>
          <w:tcPr>
            <w:tcW w:w="1515" w:type="dxa"/>
            <w:tcBorders>
              <w:top w:val="nil"/>
              <w:left w:val="single" w:color="000000" w:sz="8" w:space="0"/>
              <w:bottom w:val="single" w:color="000000" w:sz="8" w:space="0"/>
              <w:right w:val="single" w:color="000000" w:sz="8" w:space="0"/>
            </w:tcBorders>
            <w:noWrap w:val="0"/>
            <w:vAlign w:val="center"/>
          </w:tcPr>
          <w:p w14:paraId="20851F0A">
            <w:pPr>
              <w:widowControl/>
              <w:jc w:val="center"/>
              <w:textAlignment w:val="center"/>
              <w:rPr>
                <w:rFonts w:hint="eastAsia" w:ascii="宋体" w:hAnsi="宋体" w:eastAsia="宋体" w:cs="宋体"/>
                <w:color w:val="auto"/>
                <w:sz w:val="24"/>
                <w:szCs w:val="24"/>
                <w:highlight w:val="none"/>
              </w:rPr>
            </w:pPr>
          </w:p>
        </w:tc>
        <w:tc>
          <w:tcPr>
            <w:tcW w:w="1290" w:type="dxa"/>
            <w:tcBorders>
              <w:top w:val="nil"/>
              <w:left w:val="single" w:color="000000" w:sz="8" w:space="0"/>
              <w:bottom w:val="single" w:color="000000" w:sz="8" w:space="0"/>
              <w:right w:val="single" w:color="000000" w:sz="8" w:space="0"/>
            </w:tcBorders>
            <w:noWrap w:val="0"/>
            <w:vAlign w:val="center"/>
          </w:tcPr>
          <w:p w14:paraId="3AE985A2">
            <w:pPr>
              <w:widowControl/>
              <w:jc w:val="center"/>
              <w:textAlignment w:val="center"/>
              <w:rPr>
                <w:rFonts w:hint="eastAsia" w:ascii="宋体" w:hAnsi="宋体" w:eastAsia="宋体" w:cs="宋体"/>
                <w:color w:val="auto"/>
                <w:sz w:val="24"/>
                <w:szCs w:val="24"/>
                <w:highlight w:val="none"/>
              </w:rPr>
            </w:pPr>
          </w:p>
        </w:tc>
      </w:tr>
      <w:tr w14:paraId="72E0713F">
        <w:tblPrEx>
          <w:tblCellMar>
            <w:top w:w="0" w:type="dxa"/>
            <w:left w:w="108" w:type="dxa"/>
            <w:bottom w:w="0" w:type="dxa"/>
            <w:right w:w="108" w:type="dxa"/>
          </w:tblCellMar>
        </w:tblPrEx>
        <w:trPr>
          <w:trHeight w:val="700" w:hRule="atLeast"/>
        </w:trPr>
        <w:tc>
          <w:tcPr>
            <w:tcW w:w="570" w:type="dxa"/>
            <w:tcBorders>
              <w:top w:val="nil"/>
              <w:left w:val="single" w:color="000000" w:sz="8" w:space="0"/>
              <w:bottom w:val="single" w:color="000000" w:sz="8" w:space="0"/>
              <w:right w:val="single" w:color="000000" w:sz="8" w:space="0"/>
            </w:tcBorders>
            <w:shd w:val="clear" w:color="auto" w:fill="FFFFFF"/>
            <w:noWrap w:val="0"/>
            <w:vAlign w:val="center"/>
          </w:tcPr>
          <w:p w14:paraId="4F9EB429">
            <w:pPr>
              <w:widowControl/>
              <w:jc w:val="center"/>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eastAsia="zh-CN" w:bidi="ar"/>
              </w:rPr>
              <w:t>…</w:t>
            </w:r>
          </w:p>
        </w:tc>
        <w:tc>
          <w:tcPr>
            <w:tcW w:w="1366" w:type="dxa"/>
            <w:tcBorders>
              <w:top w:val="nil"/>
              <w:left w:val="single" w:color="000000" w:sz="8" w:space="0"/>
              <w:bottom w:val="single" w:color="000000" w:sz="8" w:space="0"/>
              <w:right w:val="single" w:color="000000" w:sz="8" w:space="0"/>
            </w:tcBorders>
            <w:noWrap w:val="0"/>
            <w:vAlign w:val="center"/>
          </w:tcPr>
          <w:p w14:paraId="1CB74D02">
            <w:pPr>
              <w:widowControl/>
              <w:jc w:val="center"/>
              <w:textAlignment w:val="center"/>
              <w:rPr>
                <w:rFonts w:hint="eastAsia" w:ascii="宋体" w:hAnsi="宋体" w:eastAsia="宋体" w:cs="宋体"/>
                <w:color w:val="auto"/>
                <w:sz w:val="24"/>
                <w:szCs w:val="24"/>
                <w:highlight w:val="none"/>
              </w:rPr>
            </w:pPr>
          </w:p>
        </w:tc>
        <w:tc>
          <w:tcPr>
            <w:tcW w:w="1335" w:type="dxa"/>
            <w:tcBorders>
              <w:top w:val="nil"/>
              <w:left w:val="single" w:color="000000" w:sz="8" w:space="0"/>
              <w:bottom w:val="single" w:color="000000" w:sz="8" w:space="0"/>
              <w:right w:val="single" w:color="000000" w:sz="8" w:space="0"/>
            </w:tcBorders>
            <w:noWrap w:val="0"/>
            <w:vAlign w:val="center"/>
          </w:tcPr>
          <w:p w14:paraId="22B8BCAB">
            <w:pPr>
              <w:widowControl/>
              <w:jc w:val="center"/>
              <w:textAlignment w:val="center"/>
              <w:rPr>
                <w:rFonts w:hint="eastAsia" w:ascii="宋体" w:hAnsi="宋体" w:eastAsia="宋体" w:cs="宋体"/>
                <w:color w:val="auto"/>
                <w:sz w:val="24"/>
                <w:szCs w:val="24"/>
                <w:highlight w:val="none"/>
              </w:rPr>
            </w:pPr>
          </w:p>
        </w:tc>
        <w:tc>
          <w:tcPr>
            <w:tcW w:w="1284" w:type="dxa"/>
            <w:tcBorders>
              <w:top w:val="nil"/>
              <w:left w:val="single" w:color="000000" w:sz="8" w:space="0"/>
              <w:bottom w:val="single" w:color="000000" w:sz="8" w:space="0"/>
              <w:right w:val="single" w:color="000000" w:sz="8" w:space="0"/>
            </w:tcBorders>
            <w:noWrap w:val="0"/>
            <w:vAlign w:val="center"/>
          </w:tcPr>
          <w:p w14:paraId="76422C50">
            <w:pPr>
              <w:widowControl/>
              <w:jc w:val="center"/>
              <w:textAlignment w:val="center"/>
              <w:rPr>
                <w:rFonts w:hint="eastAsia" w:ascii="宋体" w:hAnsi="宋体" w:eastAsia="宋体" w:cs="宋体"/>
                <w:color w:val="auto"/>
                <w:sz w:val="24"/>
                <w:szCs w:val="24"/>
                <w:highlight w:val="none"/>
              </w:rPr>
            </w:pPr>
          </w:p>
        </w:tc>
        <w:tc>
          <w:tcPr>
            <w:tcW w:w="801" w:type="dxa"/>
            <w:tcBorders>
              <w:top w:val="nil"/>
              <w:left w:val="single" w:color="000000" w:sz="8" w:space="0"/>
              <w:bottom w:val="single" w:color="000000" w:sz="8" w:space="0"/>
              <w:right w:val="single" w:color="000000" w:sz="8" w:space="0"/>
            </w:tcBorders>
            <w:noWrap w:val="0"/>
            <w:vAlign w:val="center"/>
          </w:tcPr>
          <w:p w14:paraId="5AF49FF4">
            <w:pPr>
              <w:widowControl/>
              <w:jc w:val="center"/>
              <w:textAlignment w:val="center"/>
              <w:rPr>
                <w:rFonts w:hint="eastAsia" w:ascii="宋体" w:hAnsi="宋体" w:eastAsia="宋体" w:cs="宋体"/>
                <w:color w:val="auto"/>
                <w:sz w:val="24"/>
                <w:szCs w:val="24"/>
                <w:highlight w:val="none"/>
              </w:rPr>
            </w:pPr>
          </w:p>
        </w:tc>
        <w:tc>
          <w:tcPr>
            <w:tcW w:w="945" w:type="dxa"/>
            <w:tcBorders>
              <w:top w:val="nil"/>
              <w:left w:val="single" w:color="000000" w:sz="8" w:space="0"/>
              <w:bottom w:val="single" w:color="000000" w:sz="8" w:space="0"/>
              <w:right w:val="single" w:color="000000" w:sz="8" w:space="0"/>
            </w:tcBorders>
            <w:noWrap w:val="0"/>
            <w:vAlign w:val="center"/>
          </w:tcPr>
          <w:p w14:paraId="1F8F45C4">
            <w:pPr>
              <w:widowControl/>
              <w:jc w:val="left"/>
              <w:textAlignment w:val="center"/>
              <w:rPr>
                <w:rFonts w:hint="eastAsia" w:ascii="宋体" w:hAnsi="宋体" w:eastAsia="宋体" w:cs="宋体"/>
                <w:color w:val="auto"/>
                <w:sz w:val="24"/>
                <w:szCs w:val="24"/>
                <w:highlight w:val="none"/>
              </w:rPr>
            </w:pPr>
          </w:p>
        </w:tc>
        <w:tc>
          <w:tcPr>
            <w:tcW w:w="1515" w:type="dxa"/>
            <w:tcBorders>
              <w:top w:val="nil"/>
              <w:left w:val="single" w:color="000000" w:sz="8" w:space="0"/>
              <w:bottom w:val="single" w:color="000000" w:sz="8" w:space="0"/>
              <w:right w:val="single" w:color="000000" w:sz="8" w:space="0"/>
            </w:tcBorders>
            <w:noWrap w:val="0"/>
            <w:vAlign w:val="center"/>
          </w:tcPr>
          <w:p w14:paraId="6E6E1C4E">
            <w:pPr>
              <w:widowControl/>
              <w:jc w:val="center"/>
              <w:textAlignment w:val="center"/>
              <w:rPr>
                <w:rFonts w:hint="eastAsia" w:ascii="宋体" w:hAnsi="宋体" w:eastAsia="宋体" w:cs="宋体"/>
                <w:color w:val="auto"/>
                <w:sz w:val="24"/>
                <w:szCs w:val="24"/>
                <w:highlight w:val="none"/>
              </w:rPr>
            </w:pPr>
          </w:p>
        </w:tc>
        <w:tc>
          <w:tcPr>
            <w:tcW w:w="1290" w:type="dxa"/>
            <w:tcBorders>
              <w:top w:val="nil"/>
              <w:left w:val="single" w:color="000000" w:sz="8" w:space="0"/>
              <w:bottom w:val="single" w:color="000000" w:sz="8" w:space="0"/>
              <w:right w:val="single" w:color="000000" w:sz="8" w:space="0"/>
            </w:tcBorders>
            <w:noWrap w:val="0"/>
            <w:vAlign w:val="center"/>
          </w:tcPr>
          <w:p w14:paraId="16CC64D4">
            <w:pPr>
              <w:widowControl/>
              <w:jc w:val="center"/>
              <w:textAlignment w:val="center"/>
              <w:rPr>
                <w:rFonts w:hint="eastAsia" w:ascii="宋体" w:hAnsi="宋体" w:eastAsia="宋体" w:cs="宋体"/>
                <w:color w:val="auto"/>
                <w:sz w:val="24"/>
                <w:szCs w:val="24"/>
                <w:highlight w:val="none"/>
              </w:rPr>
            </w:pPr>
          </w:p>
        </w:tc>
      </w:tr>
      <w:tr w14:paraId="38A51A08">
        <w:tblPrEx>
          <w:tblCellMar>
            <w:top w:w="0" w:type="dxa"/>
            <w:left w:w="108" w:type="dxa"/>
            <w:bottom w:w="0" w:type="dxa"/>
            <w:right w:w="108" w:type="dxa"/>
          </w:tblCellMar>
        </w:tblPrEx>
        <w:trPr>
          <w:trHeight w:val="480" w:hRule="atLeast"/>
        </w:trPr>
        <w:tc>
          <w:tcPr>
            <w:tcW w:w="9106" w:type="dxa"/>
            <w:gridSpan w:val="8"/>
            <w:tcBorders>
              <w:top w:val="nil"/>
              <w:left w:val="single" w:color="000000" w:sz="8" w:space="0"/>
              <w:bottom w:val="single" w:color="000000" w:sz="8" w:space="0"/>
              <w:right w:val="single" w:color="000000" w:sz="8" w:space="0"/>
            </w:tcBorders>
            <w:shd w:val="clear" w:color="auto" w:fill="FFFFFF"/>
            <w:noWrap w:val="0"/>
            <w:vAlign w:val="center"/>
          </w:tcPr>
          <w:p w14:paraId="7EA8F81F">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合计总价：</w:t>
            </w:r>
            <w:r>
              <w:rPr>
                <w:rFonts w:hint="eastAsia" w:ascii="宋体" w:hAnsi="宋体" w:eastAsia="宋体" w:cs="宋体"/>
                <w:b/>
                <w:bCs/>
                <w:color w:val="auto"/>
                <w:sz w:val="24"/>
                <w:szCs w:val="24"/>
                <w:highlight w:val="none"/>
                <w:u w:val="none"/>
                <w:lang w:val="en-US" w:eastAsia="zh-CN"/>
              </w:rPr>
              <w:t>¥：</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color w:val="auto"/>
                <w:kern w:val="0"/>
                <w:sz w:val="24"/>
                <w:szCs w:val="24"/>
                <w:highlight w:val="none"/>
                <w:lang w:bidi="ar"/>
              </w:rPr>
              <w:t>；（大写</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val="en-US" w:eastAsia="zh-CN" w:bidi="ar"/>
              </w:rPr>
              <w:t xml:space="preserve">        </w:t>
            </w:r>
            <w:r>
              <w:rPr>
                <w:rFonts w:hint="eastAsia" w:ascii="宋体" w:hAnsi="宋体" w:eastAsia="宋体" w:cs="宋体"/>
                <w:color w:val="auto"/>
                <w:kern w:val="0"/>
                <w:sz w:val="24"/>
                <w:szCs w:val="24"/>
                <w:highlight w:val="none"/>
                <w:lang w:bidi="ar"/>
              </w:rPr>
              <w:t>）</w:t>
            </w:r>
          </w:p>
        </w:tc>
      </w:tr>
    </w:tbl>
    <w:p w14:paraId="3D6E81EE">
      <w:pPr>
        <w:spacing w:line="440" w:lineRule="exact"/>
        <w:ind w:firstLine="436" w:firstLineChars="182"/>
        <w:rPr>
          <w:rFonts w:hint="eastAsia" w:ascii="宋体" w:hAnsi="宋体" w:eastAsia="宋体" w:cs="宋体"/>
          <w:color w:val="auto"/>
          <w:sz w:val="24"/>
          <w:highlight w:val="none"/>
        </w:rPr>
      </w:pPr>
    </w:p>
    <w:p w14:paraId="27C9A390">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二、合同总价（大写）：</w:t>
      </w:r>
      <w:r>
        <w:rPr>
          <w:rFonts w:hint="eastAsia" w:ascii="宋体" w:hAnsi="宋体" w:eastAsia="宋体" w:cs="宋体"/>
          <w:color w:val="auto"/>
          <w:sz w:val="24"/>
          <w:highlight w:val="none"/>
          <w:lang w:val="en-US" w:eastAsia="zh-CN"/>
        </w:rPr>
        <w:t>人民币</w:t>
      </w:r>
      <w:r>
        <w:rPr>
          <w:rFonts w:hint="eastAsia" w:ascii="宋体" w:hAnsi="宋体" w:eastAsia="宋体" w:cs="宋体"/>
          <w:b/>
          <w:bCs/>
          <w:color w:val="auto"/>
          <w:sz w:val="24"/>
          <w:highlight w:val="none"/>
          <w:u w:val="single"/>
          <w:lang w:val="en-US" w:eastAsia="zh-CN"/>
        </w:rPr>
        <w:t xml:space="preserve">                </w:t>
      </w:r>
      <w:r>
        <w:rPr>
          <w:rFonts w:hint="eastAsia" w:ascii="宋体" w:hAnsi="宋体" w:eastAsia="宋体" w:cs="宋体"/>
          <w:b/>
          <w:bCs/>
          <w:color w:val="auto"/>
          <w:sz w:val="24"/>
          <w:highlight w:val="none"/>
          <w:u w:val="single"/>
        </w:rPr>
        <w:t xml:space="preserve"> </w:t>
      </w:r>
    </w:p>
    <w:p w14:paraId="48D6D551">
      <w:pPr>
        <w:keepNext w:val="0"/>
        <w:keepLines w:val="0"/>
        <w:pageBreakBefore w:val="0"/>
        <w:widowControl w:val="0"/>
        <w:kinsoku/>
        <w:wordWrap/>
        <w:overflowPunct/>
        <w:topLinePunct w:val="0"/>
        <w:bidi w:val="0"/>
        <w:spacing w:line="360" w:lineRule="auto"/>
        <w:ind w:firstLine="1920" w:firstLineChars="8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（小写）：</w:t>
      </w:r>
      <w:r>
        <w:rPr>
          <w:rFonts w:hint="eastAsia" w:ascii="宋体" w:hAnsi="宋体" w:eastAsia="宋体" w:cs="宋体"/>
          <w:b/>
          <w:bCs/>
          <w:color w:val="auto"/>
          <w:sz w:val="24"/>
          <w:highlight w:val="none"/>
          <w:u w:val="none"/>
          <w:lang w:val="en-US" w:eastAsia="zh-CN"/>
        </w:rPr>
        <w:t>¥：</w:t>
      </w:r>
      <w:r>
        <w:rPr>
          <w:rFonts w:hint="eastAsia" w:ascii="宋体" w:hAnsi="宋体" w:eastAsia="宋体" w:cs="宋体"/>
          <w:b/>
          <w:bCs/>
          <w:color w:val="auto"/>
          <w:kern w:val="0"/>
          <w:sz w:val="22"/>
          <w:szCs w:val="22"/>
          <w:highlight w:val="none"/>
          <w:u w:val="single"/>
          <w:lang w:val="en-US" w:eastAsia="zh-CN" w:bidi="ar"/>
        </w:rPr>
        <w:t xml:space="preserve">             </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u w:val="single"/>
          <w:lang w:val="en-US" w:eastAsia="zh-CN"/>
        </w:rPr>
        <w:t xml:space="preserve">      </w:t>
      </w:r>
    </w:p>
    <w:p w14:paraId="3A02A2D5">
      <w:pPr>
        <w:keepNext w:val="0"/>
        <w:keepLines w:val="0"/>
        <w:pageBreakBefore w:val="0"/>
        <w:widowControl w:val="0"/>
        <w:kinsoku/>
        <w:wordWrap/>
        <w:overflowPunct/>
        <w:topLinePunct w:val="0"/>
        <w:bidi w:val="0"/>
        <w:spacing w:line="360" w:lineRule="auto"/>
        <w:ind w:firstLine="482" w:firstLineChars="200"/>
        <w:jc w:val="left"/>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以上价格为包干价，包括但不限于</w:t>
      </w:r>
      <w:r>
        <w:rPr>
          <w:rFonts w:hint="eastAsia" w:ascii="宋体" w:hAnsi="宋体" w:eastAsia="宋体" w:cs="宋体"/>
          <w:b/>
          <w:color w:val="auto"/>
          <w:kern w:val="0"/>
          <w:sz w:val="24"/>
          <w:highlight w:val="none"/>
        </w:rPr>
        <w:t>货物价格、装卸运输费、安装费、调试费、差旅费、质保期内备品备件费</w:t>
      </w:r>
      <w:r>
        <w:rPr>
          <w:rFonts w:hint="eastAsia" w:ascii="宋体" w:hAnsi="宋体" w:eastAsia="宋体" w:cs="宋体"/>
          <w:b/>
          <w:color w:val="auto"/>
          <w:kern w:val="0"/>
          <w:sz w:val="24"/>
          <w:highlight w:val="none"/>
          <w:lang w:eastAsia="zh-CN"/>
        </w:rPr>
        <w:t>、</w:t>
      </w:r>
      <w:r>
        <w:rPr>
          <w:rFonts w:hint="eastAsia" w:ascii="宋体" w:hAnsi="宋体" w:eastAsia="宋体" w:cs="宋体"/>
          <w:b/>
          <w:color w:val="auto"/>
          <w:kern w:val="0"/>
          <w:sz w:val="24"/>
          <w:highlight w:val="none"/>
        </w:rPr>
        <w:t>售后服务费、保险费、税金、</w:t>
      </w:r>
      <w:r>
        <w:rPr>
          <w:rFonts w:hint="eastAsia" w:ascii="宋体" w:hAnsi="宋体" w:cs="宋体"/>
          <w:b/>
          <w:color w:val="auto"/>
          <w:kern w:val="0"/>
          <w:sz w:val="24"/>
          <w:highlight w:val="none"/>
          <w:lang w:eastAsia="zh-CN"/>
        </w:rPr>
        <w:t>中标服务费等完成本项目所需的所有费用</w:t>
      </w:r>
      <w:r>
        <w:rPr>
          <w:rFonts w:hint="eastAsia" w:ascii="宋体" w:hAnsi="宋体" w:eastAsia="宋体" w:cs="宋体"/>
          <w:b/>
          <w:color w:val="auto"/>
          <w:spacing w:val="10"/>
          <w:sz w:val="24"/>
          <w:highlight w:val="none"/>
        </w:rPr>
        <w:t>。</w:t>
      </w:r>
      <w:r>
        <w:rPr>
          <w:rFonts w:hint="eastAsia" w:ascii="宋体" w:hAnsi="宋体" w:eastAsia="宋体" w:cs="宋体"/>
          <w:b/>
          <w:bCs/>
          <w:color w:val="auto"/>
          <w:sz w:val="24"/>
          <w:highlight w:val="none"/>
        </w:rPr>
        <w:t>甲方不需要额外承担任何费用。</w:t>
      </w:r>
    </w:p>
    <w:p w14:paraId="1F2DF98C">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本合同的供货范围，除包括上述货物外，还包括随机的辅助设备、气管线路、软件和文档资料等，以及设备运行所必需的随机消耗品（如箱包等），相应的技术服务与质量保证文件等。</w:t>
      </w:r>
    </w:p>
    <w:p w14:paraId="4E9AFC62">
      <w:pPr>
        <w:keepNext w:val="0"/>
        <w:keepLines w:val="0"/>
        <w:pageBreakBefore w:val="0"/>
        <w:widowControl w:val="0"/>
        <w:kinsoku/>
        <w:wordWrap/>
        <w:overflowPunct/>
        <w:topLinePunct w:val="0"/>
        <w:bidi w:val="0"/>
        <w:spacing w:line="360" w:lineRule="auto"/>
        <w:ind w:firstLine="436" w:firstLineChars="182"/>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三、配套设备、备品备件（含易损件或消耗品）供应情况</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78B5C427">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四、甲乙双方的权利和义务</w:t>
      </w:r>
    </w:p>
    <w:p w14:paraId="0FF6F878">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（一）甲方的权利和义务</w:t>
      </w:r>
    </w:p>
    <w:p w14:paraId="1B947EE1">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1.负责合同签订后项目的配合、协调工作</w:t>
      </w:r>
      <w:r>
        <w:rPr>
          <w:rFonts w:hint="eastAsia" w:ascii="宋体" w:hAnsi="宋体" w:eastAsia="宋体" w:cs="宋体"/>
          <w:color w:val="auto"/>
          <w:sz w:val="24"/>
          <w:highlight w:val="none"/>
          <w:lang w:eastAsia="zh-CN"/>
        </w:rPr>
        <w:t>。</w:t>
      </w:r>
    </w:p>
    <w:p w14:paraId="451EE0EB">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2.负责提供项目所必需的场地和环境</w:t>
      </w:r>
      <w:r>
        <w:rPr>
          <w:rFonts w:hint="eastAsia" w:ascii="宋体" w:hAnsi="宋体" w:eastAsia="宋体" w:cs="宋体"/>
          <w:color w:val="auto"/>
          <w:sz w:val="24"/>
          <w:highlight w:val="none"/>
          <w:lang w:eastAsia="zh-CN"/>
        </w:rPr>
        <w:t>。</w:t>
      </w:r>
    </w:p>
    <w:p w14:paraId="0714EE5A">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3.负责组织成立验收小组对项目进行验收并签署验收报告</w:t>
      </w:r>
      <w:r>
        <w:rPr>
          <w:rFonts w:hint="eastAsia" w:ascii="宋体" w:hAnsi="宋体" w:eastAsia="宋体" w:cs="宋体"/>
          <w:color w:val="auto"/>
          <w:sz w:val="24"/>
          <w:highlight w:val="none"/>
          <w:lang w:eastAsia="zh-CN"/>
        </w:rPr>
        <w:t>。</w:t>
      </w:r>
    </w:p>
    <w:p w14:paraId="32DD4047">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4.按合同规定享有乙方提供的货物和服务。</w:t>
      </w:r>
    </w:p>
    <w:p w14:paraId="4A67506B">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（二）乙方的权利和义务</w:t>
      </w:r>
    </w:p>
    <w:p w14:paraId="4D47BAB5">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1.乙方保证按本合同条款负责完成甲方项目，并保证提供的设备是全新（包括零部件）、符合招标文件规定、具有国家有关部门注册并符合国家质量检测标准和产品出厂标准的货物</w:t>
      </w:r>
      <w:r>
        <w:rPr>
          <w:rFonts w:hint="eastAsia" w:ascii="宋体" w:hAnsi="宋体" w:eastAsia="宋体" w:cs="宋体"/>
          <w:color w:val="auto"/>
          <w:sz w:val="24"/>
          <w:highlight w:val="none"/>
          <w:lang w:eastAsia="zh-CN"/>
        </w:rPr>
        <w:t>。</w:t>
      </w:r>
    </w:p>
    <w:p w14:paraId="2A90AC0D">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2.服务内容：保修期内，乙方对设备提供全免费保修或免费更换；在保修</w:t>
      </w:r>
      <w:r>
        <w:rPr>
          <w:rFonts w:hint="eastAsia" w:ascii="宋体" w:hAnsi="宋体" w:eastAsia="宋体" w:cs="宋体"/>
          <w:color w:val="auto"/>
          <w:sz w:val="24"/>
          <w:highlight w:val="none"/>
          <w:lang w:eastAsia="zh-CN"/>
        </w:rPr>
        <w:t>期内</w:t>
      </w:r>
      <w:r>
        <w:rPr>
          <w:rFonts w:hint="eastAsia" w:ascii="宋体" w:hAnsi="宋体" w:eastAsia="宋体" w:cs="宋体"/>
          <w:color w:val="auto"/>
          <w:sz w:val="24"/>
          <w:highlight w:val="none"/>
        </w:rPr>
        <w:t>，同一货物、同一质量问题连续三次维修仍无法正常使用，乙方必须在5日内予以更换同品牌、同型号或不低于投标配置的</w:t>
      </w:r>
      <w:r>
        <w:rPr>
          <w:rFonts w:hint="eastAsia" w:ascii="宋体" w:hAnsi="宋体" w:eastAsia="宋体" w:cs="宋体"/>
          <w:color w:val="auto"/>
          <w:sz w:val="24"/>
          <w:highlight w:val="none"/>
          <w:lang w:eastAsia="zh-CN"/>
        </w:rPr>
        <w:t>其他</w:t>
      </w:r>
      <w:r>
        <w:rPr>
          <w:rFonts w:hint="eastAsia" w:ascii="宋体" w:hAnsi="宋体" w:eastAsia="宋体" w:cs="宋体"/>
          <w:color w:val="auto"/>
          <w:sz w:val="24"/>
          <w:highlight w:val="none"/>
        </w:rPr>
        <w:t>新机器；保修期后，收取成本费维修（自然灾害及人为故意损坏除外）；主设备乙方提供现场维修，维修人员在收到故障报告后保证（48）小时内到达现场，一般类故障保证由售后服务人员（或工程师）在（3）天内修复，复杂类故障保证由售后服务人员（或工程师）在（7）天内修复；乙方保证在甲方指定地点供应备品备件（含易损件）和配套消耗品；乙方对所提供的设备实行每3个月时间定期进行保养（或维护、巡检）制度</w:t>
      </w:r>
      <w:r>
        <w:rPr>
          <w:rFonts w:hint="eastAsia" w:ascii="宋体" w:hAnsi="宋体" w:eastAsia="宋体" w:cs="宋体"/>
          <w:color w:val="auto"/>
          <w:sz w:val="24"/>
          <w:highlight w:val="none"/>
          <w:lang w:eastAsia="zh-CN"/>
        </w:rPr>
        <w:t>。</w:t>
      </w:r>
    </w:p>
    <w:p w14:paraId="08B30F2E">
      <w:pPr>
        <w:keepNext w:val="0"/>
        <w:keepLines w:val="0"/>
        <w:pageBreakBefore w:val="0"/>
        <w:widowControl w:val="0"/>
        <w:kinsoku/>
        <w:wordWrap/>
        <w:overflowPunct/>
        <w:topLinePunct w:val="0"/>
        <w:bidi w:val="0"/>
        <w:spacing w:line="360" w:lineRule="auto"/>
        <w:ind w:firstLine="482"/>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乙方未在合同约定时间内进行保修或弥补缺陷的，需承担甲方自行委托第三方代为履行的费用及其他损失，所产生的费用，甲方有权直接从履约保证金或未付款项中扣除，不足部分乙方应按甲方要求限期补足。</w:t>
      </w:r>
    </w:p>
    <w:p w14:paraId="2E3FCA64">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3.保证甲方在合同设备（有配套软件的还包括软件产品）使用期间不受第三方提出侵犯其专利权、商标权和工业设计权的起诉</w:t>
      </w:r>
      <w:r>
        <w:rPr>
          <w:rFonts w:hint="eastAsia" w:ascii="宋体" w:hAnsi="宋体" w:eastAsia="宋体" w:cs="宋体"/>
          <w:color w:val="auto"/>
          <w:sz w:val="24"/>
          <w:highlight w:val="none"/>
          <w:lang w:eastAsia="zh-CN"/>
        </w:rPr>
        <w:t>。</w:t>
      </w:r>
    </w:p>
    <w:p w14:paraId="5A56CCB4">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4.严格遵守投标、技术澄清、商务谈判、中标所承诺的一切规定和条款</w:t>
      </w:r>
      <w:r>
        <w:rPr>
          <w:rFonts w:hint="eastAsia" w:ascii="宋体" w:hAnsi="宋体" w:eastAsia="宋体" w:cs="宋体"/>
          <w:color w:val="auto"/>
          <w:sz w:val="24"/>
          <w:highlight w:val="none"/>
          <w:lang w:eastAsia="zh-CN"/>
        </w:rPr>
        <w:t>。</w:t>
      </w:r>
    </w:p>
    <w:p w14:paraId="1CD4F9BF">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5.参与甲方组织的项目验收</w:t>
      </w:r>
      <w:r>
        <w:rPr>
          <w:rFonts w:hint="eastAsia" w:ascii="宋体" w:hAnsi="宋体" w:eastAsia="宋体" w:cs="宋体"/>
          <w:color w:val="auto"/>
          <w:sz w:val="24"/>
          <w:highlight w:val="none"/>
          <w:lang w:eastAsia="zh-CN"/>
        </w:rPr>
        <w:t>。</w:t>
      </w:r>
    </w:p>
    <w:p w14:paraId="5A907B71">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6.</w:t>
      </w:r>
      <w:r>
        <w:rPr>
          <w:rFonts w:hint="eastAsia" w:ascii="宋体" w:hAnsi="宋体" w:eastAsia="宋体" w:cs="宋体"/>
          <w:color w:val="auto"/>
          <w:sz w:val="24"/>
          <w:highlight w:val="none"/>
        </w:rPr>
        <w:t>乙方在合同履行过程中必须遵守安全操作规范，因乙方原因所产生安全事故及责任，均由乙方自行承担。</w:t>
      </w:r>
    </w:p>
    <w:p w14:paraId="743C1CF6">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五、技术支持和培训</w:t>
      </w:r>
    </w:p>
    <w:p w14:paraId="357AF7C1">
      <w:pPr>
        <w:keepNext w:val="0"/>
        <w:keepLines w:val="0"/>
        <w:pageBreakBefore w:val="0"/>
        <w:widowControl w:val="0"/>
        <w:kinsoku/>
        <w:wordWrap/>
        <w:overflowPunct/>
        <w:topLinePunct w:val="0"/>
        <w:bidi w:val="0"/>
        <w:spacing w:line="360" w:lineRule="auto"/>
        <w:ind w:left="437" w:leftChars="208"/>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1.甲方在使用过程中发生技术质量问题，乙方应提供及时有效的技术支持。</w:t>
      </w:r>
    </w:p>
    <w:p w14:paraId="2D1DBE31">
      <w:pPr>
        <w:keepNext w:val="0"/>
        <w:keepLines w:val="0"/>
        <w:pageBreakBefore w:val="0"/>
        <w:widowControl w:val="0"/>
        <w:kinsoku/>
        <w:wordWrap/>
        <w:overflowPunct/>
        <w:topLinePunct w:val="0"/>
        <w:bidi w:val="0"/>
        <w:spacing w:line="360" w:lineRule="auto"/>
        <w:ind w:left="437" w:leftChars="208"/>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2.乙方技术支持联系人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，电话</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21C027D9">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Style w:val="136"/>
          <w:rFonts w:hint="eastAsia" w:ascii="宋体" w:hAnsi="宋体" w:eastAsia="宋体" w:cs="宋体"/>
          <w:color w:val="auto"/>
          <w:sz w:val="24"/>
          <w:highlight w:val="none"/>
        </w:rPr>
        <w:t>乙方向</w:t>
      </w:r>
      <w:r>
        <w:rPr>
          <w:rFonts w:hint="eastAsia" w:ascii="宋体" w:hAnsi="宋体" w:eastAsia="宋体" w:cs="宋体"/>
          <w:color w:val="auto"/>
          <w:sz w:val="24"/>
          <w:highlight w:val="none"/>
        </w:rPr>
        <w:t>甲方提供</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天的设备使用人员现场免费培训，培训内容包括设备的使用、一般的维修、维护及保养等；食宿自理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具体事宜视实际情况而定，其他由甲乙双方协定</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w:t>
      </w:r>
    </w:p>
    <w:p w14:paraId="5D4D6C94">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六、合同履行期限</w:t>
      </w:r>
    </w:p>
    <w:p w14:paraId="3DC13051">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bookmarkStart w:id="131" w:name="OLE_LINK1"/>
      <w:r>
        <w:rPr>
          <w:rFonts w:hint="eastAsia" w:ascii="宋体" w:hAnsi="宋体" w:eastAsia="宋体" w:cs="宋体"/>
          <w:color w:val="auto"/>
          <w:sz w:val="24"/>
          <w:highlight w:val="none"/>
          <w:u w:val="none"/>
        </w:rPr>
        <w:t>交货及安装调试期：</w:t>
      </w:r>
      <w:r>
        <w:rPr>
          <w:rFonts w:hint="eastAsia" w:ascii="宋体" w:hAnsi="宋体" w:eastAsia="宋体" w:cs="宋体"/>
          <w:color w:val="auto"/>
          <w:sz w:val="24"/>
          <w:highlight w:val="none"/>
          <w:u w:val="single"/>
        </w:rPr>
        <w:t>合同签订之日起</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日历天内</w:t>
      </w:r>
      <w:bookmarkEnd w:id="131"/>
      <w:r>
        <w:rPr>
          <w:rFonts w:hint="eastAsia" w:ascii="宋体" w:hAnsi="宋体" w:eastAsia="宋体" w:cs="宋体"/>
          <w:color w:val="auto"/>
          <w:sz w:val="24"/>
          <w:highlight w:val="none"/>
          <w:u w:val="single"/>
        </w:rPr>
        <w:t>到货，安装调试由甲乙双方约定日期</w:t>
      </w:r>
      <w:r>
        <w:rPr>
          <w:rFonts w:hint="eastAsia" w:ascii="宋体" w:hAnsi="宋体" w:eastAsia="宋体" w:cs="宋体"/>
          <w:color w:val="auto"/>
          <w:sz w:val="24"/>
          <w:highlight w:val="none"/>
        </w:rPr>
        <w:t>。</w:t>
      </w:r>
    </w:p>
    <w:p w14:paraId="48BCC257">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设备交验地点和方式：合同签订后，乙方负责将完整配套的原封设备（含开机必要消耗品）送到甲方指定的地点，由甲乙双方共同开箱初验，并由乙方按合同约定要求完成安装测试。交货时，乙方随货向甲方交付设备必需的合格证、保修卡，相关资料（如操作手册、使用指南、维修手册、安装调试说明书、服务手册等）及配备的用件、工具等。</w:t>
      </w:r>
    </w:p>
    <w:p w14:paraId="7EAEBBBD">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u w:val="none"/>
        </w:rPr>
        <w:t>免费质保期</w:t>
      </w:r>
      <w:r>
        <w:rPr>
          <w:rFonts w:hint="eastAsia" w:ascii="宋体" w:hAnsi="宋体" w:eastAsia="宋体" w:cs="宋体"/>
          <w:color w:val="auto"/>
          <w:sz w:val="24"/>
          <w:highlight w:val="none"/>
          <w:u w:val="none"/>
          <w:lang w:eastAsia="zh-CN"/>
        </w:rPr>
        <w:t>：</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619E2932">
      <w:pPr>
        <w:keepNext w:val="0"/>
        <w:keepLines w:val="0"/>
        <w:pageBreakBefore w:val="0"/>
        <w:widowControl w:val="0"/>
        <w:kinsoku/>
        <w:wordWrap/>
        <w:overflowPunct/>
        <w:topLinePunct w:val="0"/>
        <w:bidi w:val="0"/>
        <w:spacing w:line="360" w:lineRule="auto"/>
        <w:ind w:firstLine="482"/>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在质保期内，由乙方公司负责提供仪器故障检查、维修及维护等服务，所有服务及更换部件全部免费。仪器制造商对仪器提供终身维修维护支持，软件免费升级，并以优惠价提供配件耗材。</w:t>
      </w:r>
    </w:p>
    <w:p w14:paraId="3FFC70FE">
      <w:pPr>
        <w:keepNext w:val="0"/>
        <w:keepLines w:val="0"/>
        <w:pageBreakBefore w:val="0"/>
        <w:widowControl w:val="0"/>
        <w:tabs>
          <w:tab w:val="left" w:pos="312"/>
          <w:tab w:val="left" w:pos="6930"/>
        </w:tabs>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因乙方原因造成交货期延误的，延误期限在5个日历天以内（含5个日历天）的，乙方按每日2000元支付违约金。延误期限在5个日历天以上至10个日历天以内（含10个日历天）的，乙方按每日4000元支付违约金。延误交货期超过10个日历天的，甲方有权解除合同，乙方应在5个工作日内退回甲方已支付的合同金额，并向甲方支付签约合同价</w:t>
      </w: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%的违约金。违约金若不足以弥补甲方损失的，乙方应承担由此给甲方造成的其它经济损失。合同解除后，甲方可按照《中华人民共和国政府采购法》的相关规定，重新组织招标。</w:t>
      </w:r>
    </w:p>
    <w:p w14:paraId="295C00D5">
      <w:pPr>
        <w:keepNext w:val="0"/>
        <w:keepLines w:val="0"/>
        <w:pageBreakBefore w:val="0"/>
        <w:widowControl w:val="0"/>
        <w:tabs>
          <w:tab w:val="left" w:pos="6930"/>
        </w:tabs>
        <w:kinsoku/>
        <w:wordWrap/>
        <w:overflowPunct/>
        <w:topLinePunct w:val="0"/>
        <w:autoSpaceDE w:val="0"/>
        <w:autoSpaceDN w:val="0"/>
        <w:bidi w:val="0"/>
        <w:adjustRightInd w:val="0"/>
        <w:spacing w:line="360" w:lineRule="auto"/>
        <w:ind w:right="525"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七、验收及验收标准</w:t>
      </w:r>
    </w:p>
    <w:p w14:paraId="0B58811B">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1.验收程序：</w:t>
      </w:r>
    </w:p>
    <w:p w14:paraId="7FBD36C3">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货物到达指定交货地点后，由甲方和乙方进行集中验货，若开箱测试时发现所供货物达不到投标文件的响应内容，乙方必须</w:t>
      </w:r>
      <w:r>
        <w:rPr>
          <w:rFonts w:hint="eastAsia" w:ascii="宋体" w:hAnsi="宋体" w:eastAsia="宋体" w:cs="宋体"/>
          <w:color w:val="auto"/>
          <w:sz w:val="24"/>
          <w:highlight w:val="none"/>
          <w:lang w:eastAsia="zh-CN"/>
        </w:rPr>
        <w:t>在</w:t>
      </w:r>
      <w:r>
        <w:rPr>
          <w:rFonts w:hint="eastAsia" w:ascii="宋体" w:hAnsi="宋体" w:eastAsia="宋体" w:cs="宋体"/>
          <w:color w:val="auto"/>
          <w:sz w:val="24"/>
          <w:highlight w:val="none"/>
          <w:lang w:val="en-US" w:eastAsia="zh-CN"/>
        </w:rPr>
        <w:t>5个工作日内</w:t>
      </w:r>
      <w:r>
        <w:rPr>
          <w:rFonts w:hint="eastAsia" w:ascii="宋体" w:hAnsi="宋体" w:eastAsia="宋体" w:cs="宋体"/>
          <w:color w:val="auto"/>
          <w:sz w:val="24"/>
          <w:highlight w:val="none"/>
        </w:rPr>
        <w:t>予以免费更换至满足要求为准，并承担合同金额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10</w:t>
      </w:r>
      <w:r>
        <w:rPr>
          <w:rFonts w:hint="eastAsia" w:ascii="宋体" w:hAnsi="宋体" w:eastAsia="宋体" w:cs="宋体"/>
          <w:color w:val="auto"/>
          <w:sz w:val="24"/>
          <w:highlight w:val="none"/>
        </w:rPr>
        <w:t>%的违约金；在货物最终验收后的质保期内，乙方应对由于设计、工艺或者材料的缺陷而发生的任何不足或故障负责，费用由乙方承担。</w:t>
      </w:r>
    </w:p>
    <w:p w14:paraId="14CE3FE1">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rPr>
        <w:t>交货及安装调试完毕，由乙方根据合同要求提出验收申请，甲乙双方技术人员根据投标文件中</w:t>
      </w:r>
      <w:r>
        <w:rPr>
          <w:rFonts w:hint="eastAsia" w:ascii="宋体" w:hAnsi="宋体" w:cs="宋体"/>
          <w:color w:val="auto"/>
          <w:sz w:val="24"/>
          <w:highlight w:val="none"/>
          <w:lang w:val="en-US" w:eastAsia="zh-CN"/>
        </w:rPr>
        <w:t>响应</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lang w:val="en-US" w:eastAsia="zh-CN"/>
        </w:rPr>
        <w:t>设备</w:t>
      </w:r>
      <w:r>
        <w:rPr>
          <w:rFonts w:hint="eastAsia" w:ascii="宋体" w:hAnsi="宋体" w:eastAsia="宋体" w:cs="宋体"/>
          <w:color w:val="auto"/>
          <w:sz w:val="24"/>
          <w:highlight w:val="none"/>
        </w:rPr>
        <w:t>配置</w:t>
      </w:r>
      <w:r>
        <w:rPr>
          <w:rFonts w:hint="eastAsia" w:ascii="宋体" w:hAnsi="宋体" w:cs="宋体"/>
          <w:color w:val="auto"/>
          <w:sz w:val="24"/>
          <w:highlight w:val="none"/>
          <w:lang w:val="en-US" w:eastAsia="zh-CN"/>
        </w:rPr>
        <w:t>及性能指标</w:t>
      </w:r>
      <w:r>
        <w:rPr>
          <w:rFonts w:hint="eastAsia" w:ascii="宋体" w:hAnsi="宋体" w:eastAsia="宋体" w:cs="宋体"/>
          <w:color w:val="auto"/>
          <w:sz w:val="24"/>
          <w:highlight w:val="none"/>
        </w:rPr>
        <w:t>等内容进行验收。完成后由乙方编制验收报告初稿提交甲方组织的验收小组进行审查，符合验收标准的，验收通过。不符合验收标准的，在规定时限内进行整改后再组织验收，乙方承担验收费用及甲方其他损失费用。</w:t>
      </w:r>
      <w:r>
        <w:rPr>
          <w:rFonts w:hint="eastAsia" w:ascii="宋体" w:hAnsi="宋体" w:eastAsia="宋体" w:cs="宋体"/>
          <w:color w:val="auto"/>
          <w:sz w:val="24"/>
          <w:highlight w:val="none"/>
          <w:lang w:eastAsia="zh-CN"/>
        </w:rPr>
        <w:t>超过2次</w:t>
      </w:r>
      <w:r>
        <w:rPr>
          <w:rFonts w:hint="eastAsia" w:ascii="宋体" w:hAnsi="宋体" w:eastAsia="宋体" w:cs="宋体"/>
          <w:bCs/>
          <w:color w:val="auto"/>
          <w:sz w:val="24"/>
          <w:highlight w:val="none"/>
          <w:u w:val="none"/>
        </w:rPr>
        <w:t>验收结果为不合格的，甲方有权解除合同，追究乙方违约责任。</w:t>
      </w:r>
    </w:p>
    <w:p w14:paraId="7B8EB4B6">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以上内容完成后，设备正常运行一个月后，由乙方送检合格后（检定/校准产生的费用由乙方承担），甲方方可签字验收，否则不予验收。</w:t>
      </w:r>
    </w:p>
    <w:p w14:paraId="13B5F568">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2.验收标准</w:t>
      </w:r>
    </w:p>
    <w:p w14:paraId="3416C1DD">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（1）按国家现行的相关规范与标准完成合同规定要求的一切内容</w:t>
      </w:r>
      <w:r>
        <w:rPr>
          <w:rFonts w:hint="eastAsia" w:ascii="宋体" w:hAnsi="宋体" w:eastAsia="宋体" w:cs="宋体"/>
          <w:color w:val="auto"/>
          <w:sz w:val="24"/>
          <w:highlight w:val="none"/>
          <w:lang w:eastAsia="zh-CN"/>
        </w:rPr>
        <w:t>。</w:t>
      </w:r>
    </w:p>
    <w:p w14:paraId="5E3DD301">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（2）满足投标文件仪器配置、技术参数和售后服务培训等要求</w:t>
      </w:r>
      <w:r>
        <w:rPr>
          <w:rFonts w:hint="eastAsia" w:ascii="宋体" w:hAnsi="宋体" w:eastAsia="宋体" w:cs="宋体"/>
          <w:color w:val="auto"/>
          <w:sz w:val="24"/>
          <w:highlight w:val="none"/>
          <w:lang w:eastAsia="zh-CN"/>
        </w:rPr>
        <w:t>。</w:t>
      </w:r>
    </w:p>
    <w:p w14:paraId="4BEA0155">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（3）产品符合合同规定的全部功能和质量要求</w:t>
      </w:r>
      <w:r>
        <w:rPr>
          <w:rFonts w:hint="eastAsia" w:ascii="宋体" w:hAnsi="宋体" w:eastAsia="宋体" w:cs="宋体"/>
          <w:color w:val="auto"/>
          <w:sz w:val="24"/>
          <w:highlight w:val="none"/>
          <w:lang w:eastAsia="zh-CN"/>
        </w:rPr>
        <w:t>。</w:t>
      </w:r>
    </w:p>
    <w:p w14:paraId="5CD6DBB5">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（4）文档齐全，符合合同要求及有关标准的规定</w:t>
      </w:r>
      <w:r>
        <w:rPr>
          <w:rFonts w:hint="eastAsia" w:ascii="宋体" w:hAnsi="宋体" w:eastAsia="宋体" w:cs="宋体"/>
          <w:color w:val="auto"/>
          <w:sz w:val="24"/>
          <w:highlight w:val="none"/>
          <w:lang w:eastAsia="zh-CN"/>
        </w:rPr>
        <w:t>。</w:t>
      </w:r>
    </w:p>
    <w:p w14:paraId="0D3BF239">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（5）在设备试运行一个月期限内，未发生产品质量故障问题</w:t>
      </w:r>
      <w:r>
        <w:rPr>
          <w:rFonts w:hint="eastAsia" w:ascii="宋体" w:hAnsi="宋体" w:eastAsia="宋体" w:cs="宋体"/>
          <w:color w:val="auto"/>
          <w:sz w:val="24"/>
          <w:highlight w:val="none"/>
          <w:lang w:eastAsia="zh-CN"/>
        </w:rPr>
        <w:t>。</w:t>
      </w:r>
    </w:p>
    <w:p w14:paraId="4920BF6F">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（6）根据合同、投标文件中技术参数及配置，提交验收报告。</w:t>
      </w:r>
    </w:p>
    <w:p w14:paraId="16C5EA3E">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八、履约保证金及合同价款结算</w:t>
      </w:r>
    </w:p>
    <w:p w14:paraId="14BEADD6">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bookmarkStart w:id="132" w:name="OLE_LINK2"/>
      <w:r>
        <w:rPr>
          <w:rFonts w:hint="eastAsia" w:ascii="宋体" w:hAnsi="宋体" w:eastAsia="宋体" w:cs="宋体"/>
          <w:color w:val="auto"/>
          <w:sz w:val="24"/>
          <w:highlight w:val="none"/>
        </w:rPr>
        <w:t>合同签订后5个工作日内，乙方应向甲方缴纳合同总价款的10%的履约保证金（合计人民币</w:t>
      </w:r>
      <w:r>
        <w:rPr>
          <w:rFonts w:hint="eastAsia" w:ascii="宋体" w:hAnsi="宋体" w:eastAsia="宋体" w:cs="宋体"/>
          <w:color w:val="auto"/>
          <w:sz w:val="24"/>
          <w:highlight w:val="none"/>
          <w:lang w:val="en-US" w:eastAsia="zh-CN"/>
        </w:rPr>
        <w:t>大写</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小写：</w:t>
      </w:r>
      <w:bookmarkEnd w:id="132"/>
      <w:r>
        <w:rPr>
          <w:rFonts w:hint="eastAsia" w:ascii="宋体" w:hAnsi="宋体" w:eastAsia="宋体" w:cs="宋体"/>
          <w:b w:val="0"/>
          <w:bCs w:val="0"/>
          <w:color w:val="auto"/>
          <w:sz w:val="24"/>
          <w:highlight w:val="none"/>
          <w:u w:val="none"/>
          <w:lang w:val="en-US" w:eastAsia="zh-CN"/>
        </w:rPr>
        <w:t>¥：</w:t>
      </w:r>
      <w:r>
        <w:rPr>
          <w:rFonts w:hint="eastAsia" w:ascii="宋体" w:hAnsi="宋体" w:eastAsia="宋体" w:cs="宋体"/>
          <w:b/>
          <w:bCs/>
          <w:color w:val="auto"/>
          <w:kern w:val="0"/>
          <w:sz w:val="22"/>
          <w:szCs w:val="22"/>
          <w:highlight w:val="none"/>
          <w:u w:val="single"/>
          <w:lang w:val="en-US" w:eastAsia="zh-CN" w:bidi="ar"/>
        </w:rPr>
        <w:t xml:space="preserve">             </w:t>
      </w:r>
      <w:r>
        <w:rPr>
          <w:rFonts w:hint="eastAsia" w:ascii="宋体" w:hAnsi="宋体" w:eastAsia="宋体" w:cs="宋体"/>
          <w:b/>
          <w:bCs/>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cs="宋体"/>
          <w:color w:val="auto"/>
          <w:sz w:val="24"/>
          <w:highlight w:val="none"/>
          <w:lang w:eastAsia="zh-CN"/>
        </w:rPr>
        <w:t>缴纳</w:t>
      </w:r>
      <w:r>
        <w:rPr>
          <w:rFonts w:hint="eastAsia" w:ascii="宋体" w:hAnsi="宋体" w:eastAsia="宋体" w:cs="宋体"/>
          <w:color w:val="auto"/>
          <w:sz w:val="24"/>
          <w:highlight w:val="none"/>
        </w:rPr>
        <w:t>方式为支票、汇票、本票、保函、汇款等非现金形式。合同履约期满后无重大质量问题、乙方无违约行为，且双方无异议，甲方在收到乙方向甲方提出的书面申请后</w:t>
      </w:r>
      <w:r>
        <w:rPr>
          <w:rFonts w:hint="eastAsia" w:ascii="宋体" w:hAnsi="宋体" w:eastAsia="宋体" w:cs="宋体"/>
          <w:color w:val="auto"/>
          <w:sz w:val="24"/>
          <w:highlight w:val="none"/>
          <w:u w:val="single"/>
        </w:rPr>
        <w:t xml:space="preserve"> 10 </w:t>
      </w:r>
      <w:r>
        <w:rPr>
          <w:rFonts w:hint="eastAsia" w:ascii="宋体" w:hAnsi="宋体" w:eastAsia="宋体" w:cs="宋体"/>
          <w:color w:val="auto"/>
          <w:sz w:val="24"/>
          <w:highlight w:val="none"/>
        </w:rPr>
        <w:t>个工作日内，向乙方无息退回履约保证金。</w:t>
      </w:r>
    </w:p>
    <w:p w14:paraId="2A857E0C">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2.付款：合同签订生效后，乙方开具符合甲方要求的等额增值税/普通发票，甲方在收到发票后15个工作日内</w:t>
      </w:r>
      <w:r>
        <w:rPr>
          <w:rFonts w:hint="eastAsia" w:ascii="宋体" w:hAnsi="宋体" w:cs="宋体"/>
          <w:color w:val="auto"/>
          <w:sz w:val="24"/>
          <w:highlight w:val="none"/>
          <w:lang w:val="en-US" w:eastAsia="zh-CN"/>
        </w:rPr>
        <w:t>可</w:t>
      </w:r>
      <w:r>
        <w:rPr>
          <w:rFonts w:hint="eastAsia" w:ascii="宋体" w:hAnsi="宋体" w:eastAsia="宋体" w:cs="宋体"/>
          <w:color w:val="auto"/>
          <w:sz w:val="24"/>
          <w:highlight w:val="none"/>
        </w:rPr>
        <w:t>支付合同总价的80%；项目验收合格后，乙方开具剩余金额的等额增值税发票/普通发票，甲方在收到发票后15个工作日内支付剩余20%的合同价款。甲方付款以乙方已经开具符合甲方要求的合法等额增值税发票/普通发票为前提，若乙方没有提供同等金额的发票，甲方有权拒绝付款，造成的延迟付款不视为违约。</w:t>
      </w:r>
    </w:p>
    <w:p w14:paraId="4F38D753">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注：付款前乙方应向甲方提出付款申请及所需的材料和等额合法有效发票，且发票名称</w:t>
      </w:r>
      <w:r>
        <w:rPr>
          <w:rFonts w:hint="eastAsia" w:ascii="宋体" w:hAnsi="宋体" w:eastAsia="宋体" w:cs="宋体"/>
          <w:color w:val="auto"/>
          <w:sz w:val="24"/>
          <w:highlight w:val="none"/>
          <w:lang w:eastAsia="zh-CN"/>
        </w:rPr>
        <w:t>必须</w:t>
      </w:r>
      <w:r>
        <w:rPr>
          <w:rFonts w:hint="eastAsia" w:ascii="宋体" w:hAnsi="宋体" w:eastAsia="宋体" w:cs="宋体"/>
          <w:color w:val="auto"/>
          <w:sz w:val="24"/>
          <w:highlight w:val="none"/>
        </w:rPr>
        <w:t>与甲方完全一致，否则甲方有权拒绝付款。货款支付程序须按照</w:t>
      </w:r>
      <w:r>
        <w:rPr>
          <w:rFonts w:hint="eastAsia" w:ascii="宋体" w:hAnsi="宋体" w:cs="宋体"/>
          <w:color w:val="auto"/>
          <w:sz w:val="24"/>
          <w:highlight w:val="none"/>
          <w:lang w:eastAsia="zh-CN"/>
        </w:rPr>
        <w:t>云南省农业科学院</w:t>
      </w:r>
      <w:r>
        <w:rPr>
          <w:rFonts w:hint="eastAsia" w:ascii="宋体" w:hAnsi="宋体" w:eastAsia="宋体" w:cs="宋体"/>
          <w:color w:val="auto"/>
          <w:sz w:val="24"/>
          <w:highlight w:val="none"/>
        </w:rPr>
        <w:t>支付程序支付，审批期限不纳入甲方承诺的付款期限内，因审批期限导致的付款延迟，不视为甲方违约，甲方不承担任何逾期付款责任。如果因乙方怠于或者拒绝提供资料或者办理手续等乙方原因导致的付款迟延，责任全部由乙方承担，甲方不以违约论。</w:t>
      </w:r>
    </w:p>
    <w:p w14:paraId="0869AF11">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bookmarkStart w:id="133" w:name="bookmark79"/>
      <w:bookmarkEnd w:id="133"/>
      <w:bookmarkStart w:id="134" w:name="bookmark78"/>
      <w:bookmarkEnd w:id="134"/>
      <w:r>
        <w:rPr>
          <w:rFonts w:hint="eastAsia" w:ascii="宋体" w:hAnsi="宋体" w:eastAsia="宋体" w:cs="宋体"/>
          <w:color w:val="auto"/>
          <w:sz w:val="24"/>
          <w:highlight w:val="none"/>
        </w:rPr>
        <w:t>3.付款方式：采用银行汇付（含电汇）等形式。</w:t>
      </w:r>
    </w:p>
    <w:p w14:paraId="1E89F9B9">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bookmarkStart w:id="135" w:name="bookmark80"/>
      <w:bookmarkEnd w:id="135"/>
      <w:r>
        <w:rPr>
          <w:rFonts w:hint="eastAsia" w:ascii="宋体" w:hAnsi="宋体" w:eastAsia="宋体" w:cs="宋体"/>
          <w:color w:val="auto"/>
          <w:sz w:val="24"/>
          <w:highlight w:val="none"/>
        </w:rPr>
        <w:t>甲方信息：</w:t>
      </w:r>
    </w:p>
    <w:p w14:paraId="1C6644C5">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单位名称</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u w:val="single"/>
          <w:lang w:eastAsia="zh-CN"/>
        </w:rPr>
        <w:t>云南省农业科学院</w:t>
      </w:r>
      <w:r>
        <w:rPr>
          <w:rFonts w:hint="eastAsia" w:ascii="宋体" w:hAnsi="宋体" w:eastAsia="宋体" w:cs="宋体"/>
          <w:color w:val="auto"/>
          <w:sz w:val="24"/>
          <w:highlight w:val="none"/>
          <w:u w:val="single"/>
        </w:rPr>
        <w:t xml:space="preserve"> </w:t>
      </w:r>
    </w:p>
    <w:p w14:paraId="559BE1BD">
      <w:pPr>
        <w:keepNext w:val="0"/>
        <w:keepLines w:val="0"/>
        <w:pageBreakBefore w:val="0"/>
        <w:widowControl w:val="0"/>
        <w:kinsoku/>
        <w:wordWrap/>
        <w:overflowPunct/>
        <w:topLinePunct w:val="0"/>
        <w:bidi w:val="0"/>
        <w:spacing w:line="360" w:lineRule="auto"/>
        <w:ind w:firstLine="480" w:firstLineChars="200"/>
        <w:textAlignment w:val="auto"/>
        <w:rPr>
          <w:rFonts w:hint="default"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单位地址：</w:t>
      </w:r>
      <w:r>
        <w:rPr>
          <w:rFonts w:hint="eastAsia" w:ascii="宋体" w:hAnsi="宋体" w:cs="宋体"/>
          <w:color w:val="auto"/>
          <w:sz w:val="24"/>
          <w:highlight w:val="none"/>
          <w:u w:val="single"/>
          <w:lang w:val="en-US" w:eastAsia="zh-CN"/>
        </w:rPr>
        <w:t xml:space="preserve">                  </w:t>
      </w:r>
    </w:p>
    <w:p w14:paraId="2C6A38C2">
      <w:pPr>
        <w:keepNext w:val="0"/>
        <w:keepLines w:val="0"/>
        <w:pageBreakBefore w:val="0"/>
        <w:widowControl w:val="0"/>
        <w:kinsoku/>
        <w:wordWrap/>
        <w:overflowPunct/>
        <w:topLinePunct w:val="0"/>
        <w:bidi w:val="0"/>
        <w:spacing w:line="360" w:lineRule="auto"/>
        <w:ind w:firstLine="480" w:firstLineChars="200"/>
        <w:textAlignment w:val="auto"/>
        <w:rPr>
          <w:rFonts w:hint="default"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开户行：</w:t>
      </w:r>
      <w:r>
        <w:rPr>
          <w:rFonts w:hint="eastAsia" w:ascii="宋体" w:hAnsi="宋体" w:cs="宋体"/>
          <w:color w:val="auto"/>
          <w:sz w:val="24"/>
          <w:highlight w:val="none"/>
          <w:u w:val="single"/>
          <w:lang w:val="en-US" w:eastAsia="zh-CN"/>
        </w:rPr>
        <w:t xml:space="preserve">                    </w:t>
      </w:r>
    </w:p>
    <w:p w14:paraId="37811CA9">
      <w:pPr>
        <w:keepNext w:val="0"/>
        <w:keepLines w:val="0"/>
        <w:pageBreakBefore w:val="0"/>
        <w:widowControl w:val="0"/>
        <w:kinsoku/>
        <w:wordWrap/>
        <w:overflowPunct/>
        <w:topLinePunct w:val="0"/>
        <w:bidi w:val="0"/>
        <w:spacing w:line="360" w:lineRule="auto"/>
        <w:ind w:firstLine="480" w:firstLineChars="200"/>
        <w:textAlignment w:val="auto"/>
        <w:rPr>
          <w:rFonts w:hint="default"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账号：</w:t>
      </w:r>
      <w:r>
        <w:rPr>
          <w:rFonts w:hint="eastAsia" w:ascii="宋体" w:hAnsi="宋体" w:cs="宋体"/>
          <w:color w:val="auto"/>
          <w:sz w:val="24"/>
          <w:highlight w:val="none"/>
          <w:u w:val="single"/>
          <w:lang w:val="en-US" w:eastAsia="zh-CN"/>
        </w:rPr>
        <w:t xml:space="preserve">                      </w:t>
      </w:r>
    </w:p>
    <w:p w14:paraId="5C599C6A">
      <w:pPr>
        <w:keepNext w:val="0"/>
        <w:keepLines w:val="0"/>
        <w:pageBreakBefore w:val="0"/>
        <w:widowControl w:val="0"/>
        <w:kinsoku/>
        <w:wordWrap/>
        <w:overflowPunct/>
        <w:topLinePunct w:val="0"/>
        <w:bidi w:val="0"/>
        <w:spacing w:line="360" w:lineRule="auto"/>
        <w:ind w:firstLine="480" w:firstLineChars="200"/>
        <w:textAlignment w:val="auto"/>
        <w:rPr>
          <w:rFonts w:hint="default"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统一社会信用代码：</w:t>
      </w:r>
      <w:r>
        <w:rPr>
          <w:rFonts w:hint="eastAsia" w:ascii="宋体" w:hAnsi="宋体" w:cs="宋体"/>
          <w:color w:val="auto"/>
          <w:sz w:val="24"/>
          <w:highlight w:val="none"/>
          <w:u w:val="single"/>
          <w:lang w:val="en-US" w:eastAsia="zh-CN"/>
        </w:rPr>
        <w:t xml:space="preserve">           </w:t>
      </w:r>
    </w:p>
    <w:p w14:paraId="457D000F">
      <w:pPr>
        <w:keepNext w:val="0"/>
        <w:keepLines w:val="0"/>
        <w:pageBreakBefore w:val="0"/>
        <w:widowControl w:val="0"/>
        <w:kinsoku/>
        <w:wordWrap/>
        <w:overflowPunct/>
        <w:topLinePunct w:val="0"/>
        <w:bidi w:val="0"/>
        <w:spacing w:line="360" w:lineRule="auto"/>
        <w:ind w:firstLine="480" w:firstLineChars="200"/>
        <w:textAlignment w:val="auto"/>
        <w:rPr>
          <w:rFonts w:hint="default"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联系电话：</w:t>
      </w:r>
      <w:r>
        <w:rPr>
          <w:rFonts w:hint="eastAsia" w:ascii="宋体" w:hAnsi="宋体" w:cs="宋体"/>
          <w:color w:val="auto"/>
          <w:sz w:val="24"/>
          <w:highlight w:val="none"/>
          <w:u w:val="single"/>
          <w:lang w:val="en-US" w:eastAsia="zh-CN"/>
        </w:rPr>
        <w:t xml:space="preserve">                   </w:t>
      </w:r>
    </w:p>
    <w:p w14:paraId="3F7E5927">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乙方信息：</w:t>
      </w:r>
    </w:p>
    <w:p w14:paraId="132F454B">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单位名称</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p>
    <w:p w14:paraId="32B130D1">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单位地址</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p>
    <w:p w14:paraId="6F9BE180">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开户行</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p>
    <w:p w14:paraId="5AD93F15">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账号</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p>
    <w:p w14:paraId="081F3A65">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统一社会信用代码</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lang w:val="en-US" w:eastAsia="zh-CN"/>
        </w:rPr>
        <w:t xml:space="preserve">            </w:t>
      </w:r>
    </w:p>
    <w:p w14:paraId="354771EB">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联系人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p>
    <w:p w14:paraId="3FAEBE7F">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p>
    <w:p w14:paraId="404CFACE">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备注：乙方在所有货物验收完毕后，向甲方提供全套完整报账资料，其中免税货物提供全套海关免税报账手续，含税货物提供全额增值税发票。乙方逾期提供上述报账资料的，甲方有权相应顺延付款时间且不承担违约责任。</w:t>
      </w:r>
    </w:p>
    <w:p w14:paraId="30002F3E">
      <w:pPr>
        <w:keepNext w:val="0"/>
        <w:keepLines w:val="0"/>
        <w:pageBreakBefore w:val="0"/>
        <w:widowControl w:val="0"/>
        <w:kinsoku/>
        <w:wordWrap/>
        <w:overflowPunct/>
        <w:topLinePunct w:val="0"/>
        <w:bidi w:val="0"/>
        <w:spacing w:line="360" w:lineRule="auto"/>
        <w:ind w:left="19"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4.合同签订后，若发生其他第三人质疑中标结果且质疑成立，导致合同无法继续履行，合同被解除、撤销、终止或认定无效的，乙方应在7个工作日内退回已收取的全部款项，双方互不承担违约赔偿责任。</w:t>
      </w:r>
    </w:p>
    <w:p w14:paraId="58DCF474">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九、知识产权</w:t>
      </w:r>
    </w:p>
    <w:p w14:paraId="5870B2A5">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乙方应保证本项目的投标技术、服务或其任何一部分不会产生因第三方提出侵犯其专利权、商标权或其他知识产权而引起的法律和经济纠纷；如因第三方提出其专利权、商标权或其他知识产权的侵权之诉，则一切法律责任由乙方承担。</w:t>
      </w:r>
    </w:p>
    <w:p w14:paraId="58C3E0A3">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十、保密</w:t>
      </w:r>
    </w:p>
    <w:p w14:paraId="58003BB9">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1.</w:t>
      </w:r>
      <w:r>
        <w:rPr>
          <w:rFonts w:hint="eastAsia" w:ascii="宋体" w:hAnsi="宋体" w:eastAsia="宋体" w:cs="宋体"/>
          <w:color w:val="auto"/>
          <w:sz w:val="24"/>
          <w:highlight w:val="none"/>
        </w:rPr>
        <w:t>乙方应对其在本合同签订/履行过程中所知悉的甲方及相关方的所有信息承担严格的保密义务，未经甲方事先书面同意，乙方不得向任何第三方披露，不得将保密信息的部分或全部用于本合同约定事项以外的其他用途。该保密义务在本合同终止后仍然继续有效</w:t>
      </w:r>
      <w:r>
        <w:rPr>
          <w:rFonts w:hint="eastAsia" w:ascii="宋体" w:hAnsi="宋体" w:eastAsia="宋体" w:cs="宋体"/>
          <w:color w:val="auto"/>
          <w:sz w:val="24"/>
          <w:highlight w:val="none"/>
          <w:shd w:val="clear" w:color="auto" w:fill="FFFFFF"/>
        </w:rPr>
        <w:t>。</w:t>
      </w:r>
    </w:p>
    <w:p w14:paraId="1E02B6E9">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2.未经乙方事先书面同意，甲方不得将由乙方为本合同提供的条文、规格、计划、图纸、模型、样品或资料提供给与本合同无关的任何第三方，不得将其用于履行本合同之外的其他用途。即使向与履行本合同有关的人员提供，也应注意保密并限于履行合同所必需的范围。</w:t>
      </w:r>
    </w:p>
    <w:p w14:paraId="06C4DF92">
      <w:pPr>
        <w:keepNext w:val="0"/>
        <w:keepLines w:val="0"/>
        <w:pageBreakBefore w:val="0"/>
        <w:widowControl w:val="0"/>
        <w:tabs>
          <w:tab w:val="left" w:pos="6930"/>
        </w:tabs>
        <w:kinsoku/>
        <w:wordWrap/>
        <w:overflowPunct/>
        <w:topLinePunct w:val="0"/>
        <w:autoSpaceDE w:val="0"/>
        <w:autoSpaceDN w:val="0"/>
        <w:bidi w:val="0"/>
        <w:adjustRightInd w:val="0"/>
        <w:spacing w:line="360" w:lineRule="auto"/>
        <w:ind w:right="525"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十一、违约责任</w:t>
      </w:r>
    </w:p>
    <w:p w14:paraId="7D5F48B8">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1.除发生不可抗力事实外，乙方所交设备和安装调试与合同标准、投标</w:t>
      </w:r>
      <w:r>
        <w:rPr>
          <w:rFonts w:hint="eastAsia" w:ascii="宋体" w:hAnsi="宋体" w:eastAsia="宋体" w:cs="宋体"/>
          <w:color w:val="auto"/>
          <w:sz w:val="24"/>
          <w:highlight w:val="none"/>
          <w:shd w:val="clear" w:color="auto" w:fill="FFFFFF"/>
          <w:lang w:eastAsia="zh-CN"/>
        </w:rPr>
        <w:t>文件</w:t>
      </w:r>
      <w:r>
        <w:rPr>
          <w:rFonts w:hint="eastAsia" w:ascii="宋体" w:hAnsi="宋体" w:eastAsia="宋体" w:cs="宋体"/>
          <w:color w:val="auto"/>
          <w:sz w:val="24"/>
          <w:highlight w:val="none"/>
          <w:shd w:val="clear" w:color="auto" w:fill="FFFFFF"/>
        </w:rPr>
        <w:t>不相符合的，甲方有权拒收设备。因乙方不能按期交付设备和完成安装调试的，逾期</w:t>
      </w:r>
      <w:r>
        <w:rPr>
          <w:rFonts w:hint="eastAsia" w:ascii="宋体" w:hAnsi="宋体" w:eastAsia="宋体" w:cs="宋体"/>
          <w:color w:val="auto"/>
          <w:sz w:val="24"/>
          <w:highlight w:val="none"/>
          <w:shd w:val="clear" w:color="auto" w:fill="FFFFFF"/>
          <w:lang w:eastAsia="zh-CN"/>
        </w:rPr>
        <w:t>超过10日</w:t>
      </w:r>
      <w:r>
        <w:rPr>
          <w:rFonts w:hint="eastAsia" w:ascii="宋体" w:hAnsi="宋体" w:eastAsia="宋体" w:cs="宋体"/>
          <w:color w:val="auto"/>
          <w:sz w:val="24"/>
          <w:highlight w:val="none"/>
          <w:shd w:val="clear" w:color="auto" w:fill="FFFFFF"/>
        </w:rPr>
        <w:t>的，甲方有权解除合同，并要求乙方</w:t>
      </w:r>
      <w:r>
        <w:rPr>
          <w:rFonts w:hint="eastAsia" w:ascii="宋体" w:hAnsi="宋体" w:eastAsia="宋体" w:cs="宋体"/>
          <w:color w:val="auto"/>
          <w:sz w:val="24"/>
          <w:highlight w:val="none"/>
          <w:shd w:val="clear" w:color="auto" w:fill="FFFFFF"/>
          <w:lang w:eastAsia="zh-CN"/>
        </w:rPr>
        <w:t>返还</w:t>
      </w:r>
      <w:r>
        <w:rPr>
          <w:rFonts w:hint="eastAsia" w:ascii="宋体" w:hAnsi="宋体" w:eastAsia="宋体" w:cs="宋体"/>
          <w:color w:val="auto"/>
          <w:sz w:val="24"/>
          <w:highlight w:val="none"/>
          <w:shd w:val="clear" w:color="auto" w:fill="FFFFFF"/>
        </w:rPr>
        <w:t>合同款、承担合同总额</w:t>
      </w:r>
      <w:r>
        <w:rPr>
          <w:rFonts w:hint="eastAsia" w:ascii="宋体" w:hAnsi="宋体" w:eastAsia="宋体" w:cs="宋体"/>
          <w:color w:val="auto"/>
          <w:sz w:val="24"/>
          <w:highlight w:val="none"/>
          <w:shd w:val="clear" w:color="auto" w:fill="FFFFFF"/>
          <w:lang w:val="en-US" w:eastAsia="zh-CN"/>
        </w:rPr>
        <w:t>10</w:t>
      </w:r>
      <w:r>
        <w:rPr>
          <w:rFonts w:hint="eastAsia" w:ascii="宋体" w:hAnsi="宋体" w:eastAsia="宋体" w:cs="宋体"/>
          <w:color w:val="auto"/>
          <w:sz w:val="24"/>
          <w:highlight w:val="none"/>
          <w:shd w:val="clear" w:color="auto" w:fill="FFFFFF"/>
        </w:rPr>
        <w:t>%的违约金；若甲方选择继续履行合同的，则参照合同第六条约定，乙方按每日</w:t>
      </w:r>
      <w:r>
        <w:rPr>
          <w:rFonts w:hint="eastAsia" w:ascii="宋体" w:hAnsi="宋体" w:cs="宋体"/>
          <w:color w:val="auto"/>
          <w:sz w:val="24"/>
          <w:highlight w:val="none"/>
          <w:shd w:val="clear" w:color="auto" w:fill="FFFFFF"/>
          <w:lang w:val="en-US" w:eastAsia="zh-CN"/>
        </w:rPr>
        <w:t>2</w:t>
      </w:r>
      <w:r>
        <w:rPr>
          <w:rFonts w:hint="eastAsia" w:ascii="宋体" w:hAnsi="宋体" w:eastAsia="宋体" w:cs="宋体"/>
          <w:color w:val="auto"/>
          <w:sz w:val="24"/>
          <w:highlight w:val="none"/>
          <w:shd w:val="clear" w:color="auto" w:fill="FFFFFF"/>
        </w:rPr>
        <w:t>000元支付违约金，同时保留追究乙方其他损失赔偿责任的权利。因乙方违约造成甲方损失的，甲方可解除合同，乙方应在5个日历天内退回甲方已支付的合同金额，并向甲方偿付合同款总价</w:t>
      </w:r>
      <w:r>
        <w:rPr>
          <w:rFonts w:hint="eastAsia" w:ascii="宋体" w:hAnsi="宋体" w:eastAsia="宋体" w:cs="宋体"/>
          <w:color w:val="auto"/>
          <w:sz w:val="24"/>
          <w:highlight w:val="none"/>
          <w:shd w:val="clear" w:color="auto" w:fill="FFFFFF"/>
          <w:lang w:val="en-US" w:eastAsia="zh-CN"/>
        </w:rPr>
        <w:t>1</w:t>
      </w:r>
      <w:r>
        <w:rPr>
          <w:rFonts w:hint="eastAsia" w:ascii="宋体" w:hAnsi="宋体" w:eastAsia="宋体" w:cs="宋体"/>
          <w:color w:val="auto"/>
          <w:sz w:val="24"/>
          <w:highlight w:val="none"/>
          <w:shd w:val="clear" w:color="auto" w:fill="FFFFFF"/>
        </w:rPr>
        <w:t>0%的违约金，同时乙方需赔偿甲方遭受的各项直接损失、间接损失（包括但不限于：律师费、诉讼费、差旅费、保全费、公证费、鉴定费、评估费等）。</w:t>
      </w:r>
    </w:p>
    <w:p w14:paraId="73BF61D3">
      <w:pPr>
        <w:keepNext w:val="0"/>
        <w:keepLines w:val="0"/>
        <w:pageBreakBefore w:val="0"/>
        <w:widowControl w:val="0"/>
        <w:kinsoku/>
        <w:wordWrap/>
        <w:overflowPunct/>
        <w:topLinePunct w:val="0"/>
        <w:bidi w:val="0"/>
        <w:spacing w:line="360" w:lineRule="auto"/>
        <w:ind w:left="19" w:firstLine="480" w:firstLineChars="200"/>
        <w:textAlignment w:val="auto"/>
        <w:rPr>
          <w:rFonts w:hint="eastAsia" w:ascii="宋体" w:hAnsi="宋体" w:eastAsia="宋体" w:cs="宋体"/>
          <w:color w:val="auto"/>
          <w:sz w:val="24"/>
          <w:highlight w:val="none"/>
          <w:shd w:val="clear" w:color="auto" w:fill="FFFFFF"/>
        </w:rPr>
      </w:pPr>
      <w:r>
        <w:rPr>
          <w:rFonts w:hint="eastAsia" w:ascii="宋体" w:hAnsi="宋体" w:eastAsia="宋体" w:cs="宋体"/>
          <w:bCs/>
          <w:color w:val="auto"/>
          <w:sz w:val="24"/>
          <w:highlight w:val="none"/>
        </w:rPr>
        <w:t>2.如设备和项目验收未满足本合同第七条验收及验收标准规定条款要求的，甲方可解除合同，乙方应在5个日历天内退回甲方已支付的合同金额，并向甲方偿付合同款总价</w:t>
      </w: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rPr>
        <w:t>0%的违约金，同时乙方需赔偿甲方遭受的各项直接损失、间接损失（包括但不限于：律师费、诉讼费、差旅费、保全费、公证费、鉴定费、评估费等）。乙方未按照合同约定及时对设备进行维保的，甲方自行处理后有权就其损失向乙方追偿。</w:t>
      </w:r>
      <w:bookmarkStart w:id="136" w:name="OLE_LINK12"/>
    </w:p>
    <w:p w14:paraId="052556A2">
      <w:pPr>
        <w:keepNext w:val="0"/>
        <w:keepLines w:val="0"/>
        <w:pageBreakBefore w:val="0"/>
        <w:widowControl w:val="0"/>
        <w:kinsoku/>
        <w:wordWrap/>
        <w:overflowPunct/>
        <w:topLinePunct w:val="0"/>
        <w:bidi w:val="0"/>
        <w:spacing w:line="360" w:lineRule="auto"/>
        <w:ind w:left="19" w:firstLine="480" w:firstLineChars="200"/>
        <w:textAlignment w:val="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3.甲方无正当理由拒收设备，或逾期支付合同款，按逾期天数向乙方每日偿付欠款总额万分之一的滞纳金。</w:t>
      </w:r>
    </w:p>
    <w:p w14:paraId="726E837E">
      <w:pPr>
        <w:keepNext w:val="0"/>
        <w:keepLines w:val="0"/>
        <w:pageBreakBefore w:val="0"/>
        <w:widowControl w:val="0"/>
        <w:kinsoku/>
        <w:wordWrap/>
        <w:overflowPunct/>
        <w:topLinePunct w:val="0"/>
        <w:bidi w:val="0"/>
        <w:spacing w:line="360" w:lineRule="auto"/>
        <w:ind w:left="19" w:firstLine="480" w:firstLineChars="200"/>
        <w:textAlignment w:val="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4.甲方有权拒付合同价以外的任何费用；乙方有权拒绝合同、投标文件整体范围以外的条件。</w:t>
      </w:r>
    </w:p>
    <w:bookmarkEnd w:id="136"/>
    <w:p w14:paraId="445B36E7">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十二、不可抗力</w:t>
      </w:r>
    </w:p>
    <w:p w14:paraId="7FC1340B">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任何一方由于不可抗力原因不能履行合同时，应在不可抗力事件结束后5个工作日内向对方通报，以减轻可能给对方造成的损失，在取得有关机构的不可抗力证明或双方谅解确认后，允许延期履行或修订合同，并根据情况可部分或全部免于承担违约责任。</w:t>
      </w:r>
    </w:p>
    <w:p w14:paraId="6A29FC1E">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rPr>
        <w:t>十三、</w:t>
      </w:r>
      <w:r>
        <w:rPr>
          <w:rFonts w:hint="eastAsia" w:ascii="宋体" w:hAnsi="宋体" w:eastAsia="宋体" w:cs="宋体"/>
          <w:color w:val="auto"/>
          <w:sz w:val="24"/>
          <w:highlight w:val="none"/>
          <w:shd w:val="clear" w:color="auto" w:fill="FFFFFF"/>
        </w:rPr>
        <w:t>争端的解决</w:t>
      </w:r>
    </w:p>
    <w:p w14:paraId="3DAE7B54">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甲乙双方在履行合同过程中发生纠纷，应及时向有关监督管理部门反映，以便相关部门进行协调或处理；或按以下方式处理：（请在□内打√，其余打×）</w:t>
      </w:r>
    </w:p>
    <w:p w14:paraId="59D47B76">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向合同签订地仲裁委员会申请仲裁</w:t>
      </w:r>
      <w:r>
        <w:rPr>
          <w:rFonts w:hint="eastAsia" w:ascii="宋体" w:hAnsi="宋体" w:eastAsia="宋体" w:cs="宋体"/>
          <w:color w:val="auto"/>
          <w:sz w:val="24"/>
          <w:highlight w:val="none"/>
        </w:rPr>
        <w:sym w:font="Wingdings 2" w:char="00A3"/>
      </w:r>
      <w:r>
        <w:rPr>
          <w:rFonts w:hint="eastAsia" w:ascii="宋体" w:hAnsi="宋体" w:eastAsia="宋体" w:cs="宋体"/>
          <w:color w:val="auto"/>
          <w:sz w:val="24"/>
          <w:highlight w:val="none"/>
        </w:rPr>
        <w:t>；</w:t>
      </w:r>
    </w:p>
    <w:p w14:paraId="0BF0A256">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向合同签订地人民法院管辖提起诉讼</w:t>
      </w:r>
      <w:r>
        <w:rPr>
          <w:rFonts w:hint="eastAsia" w:ascii="宋体" w:hAnsi="宋体" w:eastAsia="宋体" w:cs="宋体"/>
          <w:color w:val="auto"/>
          <w:sz w:val="24"/>
          <w:highlight w:val="none"/>
        </w:rPr>
        <w:sym w:font="Wingdings 2" w:char="0052"/>
      </w:r>
      <w:r>
        <w:rPr>
          <w:rFonts w:hint="eastAsia" w:ascii="宋体" w:hAnsi="宋体" w:eastAsia="宋体" w:cs="宋体"/>
          <w:color w:val="auto"/>
          <w:sz w:val="24"/>
          <w:highlight w:val="none"/>
        </w:rPr>
        <w:t>。</w:t>
      </w:r>
    </w:p>
    <w:p w14:paraId="19ED369E">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本合同签署地点：云南省昆明市。</w:t>
      </w:r>
    </w:p>
    <w:p w14:paraId="37BBC794">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十四、未尽事宜</w:t>
      </w:r>
    </w:p>
    <w:p w14:paraId="58F3E445">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本合同其他未尽事宜，</w:t>
      </w:r>
      <w:r>
        <w:rPr>
          <w:rFonts w:hint="eastAsia" w:ascii="宋体" w:hAnsi="宋体" w:cs="宋体"/>
          <w:color w:val="auto"/>
          <w:sz w:val="24"/>
          <w:highlight w:val="none"/>
          <w:lang w:eastAsia="zh-CN"/>
        </w:rPr>
        <w:t>按照《中华人民共和国</w:t>
      </w:r>
      <w:r>
        <w:rPr>
          <w:rFonts w:hint="eastAsia" w:ascii="宋体" w:hAnsi="宋体" w:eastAsia="宋体" w:cs="宋体"/>
          <w:color w:val="auto"/>
          <w:sz w:val="24"/>
          <w:highlight w:val="none"/>
        </w:rPr>
        <w:t>民法典》有关规定处理。</w:t>
      </w:r>
    </w:p>
    <w:p w14:paraId="739CEF2D">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十五、合同生效与份数</w:t>
      </w:r>
    </w:p>
    <w:p w14:paraId="59B13278">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1.合同自甲乙双方法定代表人或其委托代理人签字、盖章之日起生效。</w:t>
      </w:r>
    </w:p>
    <w:p w14:paraId="318EAA71">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2.本合同一式</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份，甲方执</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份、乙方执</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w:t>
      </w:r>
    </w:p>
    <w:p w14:paraId="147D9788">
      <w:pPr>
        <w:keepNext w:val="0"/>
        <w:keepLines w:val="0"/>
        <w:pageBreakBefore w:val="0"/>
        <w:widowControl w:val="0"/>
        <w:kinsoku/>
        <w:wordWrap/>
        <w:overflowPunct/>
        <w:topLinePunct w:val="0"/>
        <w:autoSpaceDE w:val="0"/>
        <w:autoSpaceDN w:val="0"/>
        <w:bidi w:val="0"/>
        <w:adjustRightInd w:val="0"/>
        <w:spacing w:line="360" w:lineRule="auto"/>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十六、本合同不可分割之部分</w:t>
      </w:r>
      <w:r>
        <w:rPr>
          <w:rFonts w:hint="eastAsia" w:ascii="宋体" w:hAnsi="宋体" w:eastAsia="宋体" w:cs="宋体"/>
          <w:color w:val="auto"/>
          <w:sz w:val="24"/>
          <w:highlight w:val="none"/>
          <w:shd w:val="clear" w:color="auto" w:fill="FFFFFF"/>
        </w:rPr>
        <w:t>及解释顺序</w:t>
      </w:r>
    </w:p>
    <w:p w14:paraId="7C90C5CC">
      <w:pPr>
        <w:keepNext w:val="0"/>
        <w:keepLines w:val="0"/>
        <w:pageBreakBefore w:val="0"/>
        <w:widowControl w:val="0"/>
        <w:kinsoku/>
        <w:wordWrap/>
        <w:overflowPunct/>
        <w:topLinePunct w:val="0"/>
        <w:autoSpaceDE w:val="0"/>
        <w:autoSpaceDN w:val="0"/>
        <w:bidi w:val="0"/>
        <w:adjustRightInd w:val="0"/>
        <w:spacing w:line="360" w:lineRule="auto"/>
        <w:ind w:firstLine="480" w:firstLineChars="200"/>
        <w:jc w:val="left"/>
        <w:textAlignment w:val="auto"/>
        <w:rPr>
          <w:rFonts w:hint="eastAsia" w:ascii="宋体" w:hAnsi="宋体" w:eastAsia="宋体" w:cs="宋体"/>
          <w:color w:val="auto"/>
          <w:sz w:val="24"/>
          <w:highlight w:val="none"/>
          <w:shd w:val="clear" w:color="auto" w:fill="FFFFFF"/>
          <w:lang w:eastAsia="zh-CN"/>
        </w:rPr>
      </w:pPr>
      <w:r>
        <w:rPr>
          <w:rFonts w:hint="eastAsia" w:ascii="宋体" w:hAnsi="宋体" w:eastAsia="宋体" w:cs="宋体"/>
          <w:color w:val="auto"/>
          <w:sz w:val="24"/>
          <w:highlight w:val="none"/>
          <w:shd w:val="clear" w:color="auto" w:fill="FFFFFF"/>
        </w:rPr>
        <w:t>1.合同书及附件</w:t>
      </w:r>
      <w:r>
        <w:rPr>
          <w:rFonts w:hint="eastAsia" w:ascii="宋体" w:hAnsi="宋体" w:eastAsia="宋体" w:cs="宋体"/>
          <w:color w:val="auto"/>
          <w:sz w:val="24"/>
          <w:highlight w:val="none"/>
          <w:shd w:val="clear" w:color="auto" w:fill="FFFFFF"/>
          <w:lang w:eastAsia="zh-CN"/>
        </w:rPr>
        <w:t>。</w:t>
      </w:r>
    </w:p>
    <w:p w14:paraId="512D62D0">
      <w:pPr>
        <w:keepNext w:val="0"/>
        <w:keepLines w:val="0"/>
        <w:pageBreakBefore w:val="0"/>
        <w:widowControl w:val="0"/>
        <w:kinsoku/>
        <w:wordWrap/>
        <w:overflowPunct/>
        <w:topLinePunct w:val="0"/>
        <w:autoSpaceDE w:val="0"/>
        <w:autoSpaceDN w:val="0"/>
        <w:bidi w:val="0"/>
        <w:adjustRightInd w:val="0"/>
        <w:spacing w:line="360" w:lineRule="auto"/>
        <w:ind w:firstLine="480" w:firstLineChars="200"/>
        <w:jc w:val="left"/>
        <w:textAlignment w:val="auto"/>
        <w:rPr>
          <w:rFonts w:hint="eastAsia" w:ascii="宋体" w:hAnsi="宋体" w:eastAsia="宋体" w:cs="宋体"/>
          <w:color w:val="auto"/>
          <w:sz w:val="24"/>
          <w:highlight w:val="none"/>
          <w:shd w:val="clear" w:color="auto" w:fill="FFFFFF"/>
          <w:lang w:eastAsia="zh-CN"/>
        </w:rPr>
      </w:pPr>
      <w:r>
        <w:rPr>
          <w:rFonts w:hint="eastAsia" w:ascii="宋体" w:hAnsi="宋体" w:eastAsia="宋体" w:cs="宋体"/>
          <w:color w:val="auto"/>
          <w:sz w:val="24"/>
          <w:highlight w:val="none"/>
          <w:shd w:val="clear" w:color="auto" w:fill="FFFFFF"/>
        </w:rPr>
        <w:t>2.中标通知书</w:t>
      </w:r>
      <w:r>
        <w:rPr>
          <w:rFonts w:hint="eastAsia" w:ascii="宋体" w:hAnsi="宋体" w:eastAsia="宋体" w:cs="宋体"/>
          <w:color w:val="auto"/>
          <w:sz w:val="24"/>
          <w:highlight w:val="none"/>
          <w:shd w:val="clear" w:color="auto" w:fill="FFFFFF"/>
          <w:lang w:eastAsia="zh-CN"/>
        </w:rPr>
        <w:t>。</w:t>
      </w:r>
    </w:p>
    <w:p w14:paraId="32108C9F">
      <w:pPr>
        <w:keepNext w:val="0"/>
        <w:keepLines w:val="0"/>
        <w:pageBreakBefore w:val="0"/>
        <w:widowControl w:val="0"/>
        <w:kinsoku/>
        <w:wordWrap/>
        <w:overflowPunct/>
        <w:topLinePunct w:val="0"/>
        <w:autoSpaceDE w:val="0"/>
        <w:autoSpaceDN w:val="0"/>
        <w:bidi w:val="0"/>
        <w:adjustRightInd w:val="0"/>
        <w:spacing w:line="360" w:lineRule="auto"/>
        <w:ind w:firstLine="480" w:firstLineChars="200"/>
        <w:jc w:val="left"/>
        <w:textAlignment w:val="auto"/>
        <w:rPr>
          <w:rFonts w:hint="eastAsia" w:ascii="宋体" w:hAnsi="宋体" w:eastAsia="宋体" w:cs="宋体"/>
          <w:color w:val="auto"/>
          <w:sz w:val="24"/>
          <w:highlight w:val="none"/>
          <w:shd w:val="clear" w:color="auto" w:fill="FFFFFF"/>
          <w:lang w:eastAsia="zh-CN"/>
        </w:rPr>
      </w:pPr>
      <w:r>
        <w:rPr>
          <w:rFonts w:hint="eastAsia" w:ascii="宋体" w:hAnsi="宋体" w:eastAsia="宋体" w:cs="宋体"/>
          <w:color w:val="auto"/>
          <w:sz w:val="24"/>
          <w:highlight w:val="none"/>
          <w:shd w:val="clear" w:color="auto" w:fill="FFFFFF"/>
        </w:rPr>
        <w:t>3.中标人投标文件及澄清或承诺</w:t>
      </w:r>
      <w:r>
        <w:rPr>
          <w:rFonts w:hint="eastAsia" w:ascii="宋体" w:hAnsi="宋体" w:eastAsia="宋体" w:cs="宋体"/>
          <w:color w:val="auto"/>
          <w:sz w:val="24"/>
          <w:highlight w:val="none"/>
          <w:shd w:val="clear" w:color="auto" w:fill="FFFFFF"/>
          <w:lang w:eastAsia="zh-CN"/>
        </w:rPr>
        <w:t>。</w:t>
      </w:r>
    </w:p>
    <w:p w14:paraId="6B9782B1">
      <w:pPr>
        <w:keepNext w:val="0"/>
        <w:keepLines w:val="0"/>
        <w:pageBreakBefore w:val="0"/>
        <w:widowControl w:val="0"/>
        <w:kinsoku/>
        <w:wordWrap/>
        <w:overflowPunct/>
        <w:topLinePunct w:val="0"/>
        <w:autoSpaceDE w:val="0"/>
        <w:autoSpaceDN w:val="0"/>
        <w:bidi w:val="0"/>
        <w:adjustRightInd w:val="0"/>
        <w:spacing w:line="360" w:lineRule="auto"/>
        <w:ind w:firstLine="480" w:firstLineChars="200"/>
        <w:jc w:val="left"/>
        <w:textAlignment w:val="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4.招标文件。</w:t>
      </w:r>
    </w:p>
    <w:p w14:paraId="163271F7">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十七、附件名称及内容</w:t>
      </w:r>
    </w:p>
    <w:p w14:paraId="0AE648F7">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p>
    <w:p w14:paraId="010113F2">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p>
    <w:p w14:paraId="6B7DEFF0">
      <w:pPr>
        <w:keepNext w:val="0"/>
        <w:keepLines w:val="0"/>
        <w:pageBreakBefore w:val="0"/>
        <w:widowControl w:val="0"/>
        <w:shd w:val="clear" w:color="auto" w:fill="FFFFFF"/>
        <w:kinsoku/>
        <w:wordWrap/>
        <w:overflowPunct/>
        <w:topLinePunct w:val="0"/>
        <w:bidi w:val="0"/>
        <w:snapToGrid w:val="0"/>
        <w:spacing w:line="360" w:lineRule="auto"/>
        <w:ind w:firstLine="480" w:firstLineChars="200"/>
        <w:textAlignment w:val="auto"/>
        <w:rPr>
          <w:rFonts w:hint="eastAsia" w:ascii="宋体" w:hAnsi="宋体" w:eastAsia="宋体" w:cs="宋体"/>
          <w:color w:val="auto"/>
          <w:sz w:val="24"/>
          <w:highlight w:val="none"/>
        </w:rPr>
      </w:pPr>
      <w:bookmarkStart w:id="137" w:name="OLE_LINK3"/>
      <w:r>
        <w:rPr>
          <w:rFonts w:hint="eastAsia" w:ascii="宋体" w:hAnsi="宋体" w:eastAsia="宋体" w:cs="宋体"/>
          <w:color w:val="auto"/>
          <w:sz w:val="24"/>
          <w:highlight w:val="none"/>
        </w:rPr>
        <w:t>（以下无正文）</w:t>
      </w:r>
    </w:p>
    <w:bookmarkEnd w:id="137"/>
    <w:p w14:paraId="47AC4BB8">
      <w:pPr>
        <w:rPr>
          <w:rFonts w:hint="eastAsia" w:ascii="宋体" w:hAnsi="宋体" w:eastAsia="宋体" w:cs="宋体"/>
          <w:color w:val="auto"/>
          <w:highlight w:val="none"/>
        </w:rPr>
      </w:pPr>
    </w:p>
    <w:p w14:paraId="166B41F2">
      <w:pPr>
        <w:rPr>
          <w:rFonts w:hint="eastAsia" w:ascii="宋体" w:hAnsi="宋体" w:eastAsia="宋体" w:cs="宋体"/>
          <w:color w:val="auto"/>
          <w:highlight w:val="none"/>
        </w:rPr>
      </w:pPr>
    </w:p>
    <w:p w14:paraId="45E1933C">
      <w:pPr>
        <w:autoSpaceDE w:val="0"/>
        <w:autoSpaceDN w:val="0"/>
        <w:adjustRightInd w:val="0"/>
        <w:spacing w:line="460" w:lineRule="exact"/>
        <w:ind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注：1</w:t>
      </w:r>
      <w:r>
        <w:rPr>
          <w:rFonts w:hint="eastAsia" w:ascii="宋体" w:hAnsi="宋体" w:eastAsia="宋体" w:cs="宋体"/>
          <w:b/>
          <w:color w:val="auto"/>
          <w:sz w:val="24"/>
          <w:szCs w:val="24"/>
          <w:highlight w:val="none"/>
          <w:lang w:val="en-US" w:eastAsia="zh-CN"/>
        </w:rPr>
        <w:t>.</w:t>
      </w:r>
      <w:r>
        <w:rPr>
          <w:rFonts w:hint="eastAsia" w:ascii="宋体" w:hAnsi="宋体" w:eastAsia="宋体" w:cs="宋体"/>
          <w:b/>
          <w:color w:val="auto"/>
          <w:sz w:val="24"/>
          <w:szCs w:val="24"/>
          <w:highlight w:val="none"/>
        </w:rPr>
        <w:t>根据《关于进一步提高政府采购透明度和采购效率相关事项的通知》（财办库〔2023〕243号）的规定，在政府采购合同中约定资金支付的方式、时间和条件，明确逾期支付资金的违约责任。对于有预付安排的合同，鼓励采购人将合同预付款比例提高到30%以上。对于满足合同约定支付条件的，采购人原则上应当自收到发票后10个工作日内将资金支付到合同约定的</w:t>
      </w:r>
      <w:r>
        <w:rPr>
          <w:rFonts w:hint="eastAsia" w:ascii="宋体" w:hAnsi="宋体" w:eastAsia="宋体" w:cs="宋体"/>
          <w:b/>
          <w:color w:val="auto"/>
          <w:sz w:val="24"/>
          <w:szCs w:val="24"/>
          <w:highlight w:val="none"/>
          <w:lang w:val="en-US" w:eastAsia="zh-CN"/>
        </w:rPr>
        <w:t>中标人</w:t>
      </w:r>
      <w:r>
        <w:rPr>
          <w:rFonts w:hint="eastAsia" w:ascii="宋体" w:hAnsi="宋体" w:eastAsia="宋体" w:cs="宋体"/>
          <w:b/>
          <w:color w:val="auto"/>
          <w:sz w:val="24"/>
          <w:szCs w:val="24"/>
          <w:highlight w:val="none"/>
        </w:rPr>
        <w:t>账户，鼓励采购人完善内部流程，自收到发票后1个工作日内完成资金支付事宜。合同签订时请甲乙双方按以上规定执行。</w:t>
      </w:r>
    </w:p>
    <w:p w14:paraId="1EB559E6">
      <w:pPr>
        <w:spacing w:line="520" w:lineRule="exact"/>
        <w:ind w:firstLine="482" w:firstLineChars="20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eastAsia="zh-CN"/>
        </w:rPr>
        <w:t>2.</w:t>
      </w:r>
      <w:r>
        <w:rPr>
          <w:rFonts w:hint="eastAsia" w:ascii="宋体" w:hAnsi="宋体" w:eastAsia="宋体" w:cs="宋体"/>
          <w:b/>
          <w:color w:val="auto"/>
          <w:sz w:val="24"/>
          <w:szCs w:val="24"/>
          <w:highlight w:val="none"/>
        </w:rPr>
        <w:t>采购人可根据项目实际情况对合同条款进行调整、修改、补充，正式合同以采购人根据《中华人民共和国民法典》有关规定签订的合同为准，但不能改变合同标的、数量、质量、价款、履行期限、履行地点和方式、违约责任和解决争议方法等实质性内容。</w:t>
      </w:r>
    </w:p>
    <w:p w14:paraId="6247E215">
      <w:pPr>
        <w:widowControl/>
        <w:shd w:val="clear" w:color="auto" w:fill="FFFFFF"/>
        <w:snapToGrid w:val="0"/>
        <w:spacing w:after="240"/>
        <w:ind w:firstLine="840" w:firstLineChars="3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r>
    </w:p>
    <w:p w14:paraId="60DB28C4">
      <w:pPr>
        <w:rPr>
          <w:rFonts w:hint="eastAsia" w:ascii="宋体" w:hAnsi="宋体" w:eastAsia="宋体" w:cs="宋体"/>
          <w:color w:val="auto"/>
          <w:highlight w:val="none"/>
        </w:rPr>
      </w:pPr>
    </w:p>
    <w:p w14:paraId="7AC6D445">
      <w:pPr>
        <w:pStyle w:val="32"/>
        <w:rPr>
          <w:rFonts w:hint="eastAsia" w:ascii="宋体" w:hAnsi="宋体" w:eastAsia="宋体" w:cs="宋体"/>
          <w:color w:val="auto"/>
          <w:highlight w:val="none"/>
        </w:rPr>
      </w:pPr>
    </w:p>
    <w:tbl>
      <w:tblPr>
        <w:tblStyle w:val="33"/>
        <w:tblW w:w="8945" w:type="dxa"/>
        <w:jc w:val="center"/>
        <w:tblCellSpacing w:w="0" w:type="dxa"/>
        <w:tblLayout w:type="fixed"/>
        <w:tblCellMar>
          <w:top w:w="0" w:type="dxa"/>
          <w:left w:w="0" w:type="dxa"/>
          <w:bottom w:w="0" w:type="dxa"/>
          <w:right w:w="0" w:type="dxa"/>
        </w:tblCellMar>
      </w:tblPr>
      <w:tblGrid>
        <w:gridCol w:w="1412"/>
        <w:gridCol w:w="7533"/>
      </w:tblGrid>
      <w:tr w14:paraId="4D91C326">
        <w:tblPrEx>
          <w:tblCellMar>
            <w:top w:w="0" w:type="dxa"/>
            <w:left w:w="0" w:type="dxa"/>
            <w:bottom w:w="0" w:type="dxa"/>
            <w:right w:w="0" w:type="dxa"/>
          </w:tblCellMar>
        </w:tblPrEx>
        <w:trPr>
          <w:tblCellSpacing w:w="0" w:type="dxa"/>
          <w:jc w:val="center"/>
        </w:trPr>
        <w:tc>
          <w:tcPr>
            <w:tcW w:w="8945" w:type="dxa"/>
            <w:gridSpan w:val="2"/>
            <w:noWrap w:val="0"/>
            <w:vAlign w:val="center"/>
          </w:tcPr>
          <w:p w14:paraId="65B81F76">
            <w:pPr>
              <w:widowControl/>
              <w:spacing w:after="240"/>
              <w:jc w:val="left"/>
              <w:rPr>
                <w:rFonts w:hint="eastAsia" w:ascii="宋体" w:hAnsi="宋体" w:eastAsia="宋体" w:cs="宋体"/>
                <w:color w:val="auto"/>
                <w:kern w:val="0"/>
                <w:sz w:val="24"/>
                <w:highlight w:val="none"/>
              </w:rPr>
            </w:pPr>
          </w:p>
          <w:p w14:paraId="7F7BA180">
            <w:pPr>
              <w:widowControl/>
              <w:spacing w:after="240"/>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rPr>
              <w:t>甲方（采购人公章）名 称：</w:t>
            </w:r>
            <w:r>
              <w:rPr>
                <w:rFonts w:hint="eastAsia" w:ascii="宋体" w:hAnsi="宋体" w:cs="宋体"/>
                <w:color w:val="auto"/>
                <w:kern w:val="0"/>
                <w:sz w:val="24"/>
                <w:highlight w:val="none"/>
                <w:lang w:eastAsia="zh-CN"/>
              </w:rPr>
              <w:t>云南省农业科学院</w:t>
            </w:r>
          </w:p>
        </w:tc>
      </w:tr>
      <w:tr w14:paraId="3C7732AE">
        <w:tblPrEx>
          <w:tblCellMar>
            <w:top w:w="0" w:type="dxa"/>
            <w:left w:w="0" w:type="dxa"/>
            <w:bottom w:w="0" w:type="dxa"/>
            <w:right w:w="0" w:type="dxa"/>
          </w:tblCellMar>
        </w:tblPrEx>
        <w:trPr>
          <w:tblCellSpacing w:w="0" w:type="dxa"/>
          <w:jc w:val="center"/>
        </w:trPr>
        <w:tc>
          <w:tcPr>
            <w:tcW w:w="1412" w:type="dxa"/>
            <w:noWrap w:val="0"/>
            <w:vAlign w:val="center"/>
          </w:tcPr>
          <w:p w14:paraId="019654F2">
            <w:pPr>
              <w:widowControl/>
              <w:jc w:val="left"/>
              <w:rPr>
                <w:rFonts w:hint="eastAsia" w:ascii="宋体" w:hAnsi="宋体" w:eastAsia="宋体" w:cs="宋体"/>
                <w:color w:val="auto"/>
                <w:kern w:val="0"/>
                <w:sz w:val="24"/>
                <w:highlight w:val="none"/>
              </w:rPr>
            </w:pPr>
          </w:p>
        </w:tc>
        <w:tc>
          <w:tcPr>
            <w:tcW w:w="7533" w:type="dxa"/>
            <w:noWrap w:val="0"/>
            <w:vAlign w:val="center"/>
          </w:tcPr>
          <w:p w14:paraId="39D4D816">
            <w:pPr>
              <w:widowControl/>
              <w:spacing w:after="240"/>
              <w:ind w:firstLine="720" w:firstLineChars="3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地 址：</w:t>
            </w:r>
          </w:p>
        </w:tc>
      </w:tr>
      <w:tr w14:paraId="201EE4AC">
        <w:tblPrEx>
          <w:tblCellMar>
            <w:top w:w="0" w:type="dxa"/>
            <w:left w:w="0" w:type="dxa"/>
            <w:bottom w:w="0" w:type="dxa"/>
            <w:right w:w="0" w:type="dxa"/>
          </w:tblCellMar>
        </w:tblPrEx>
        <w:trPr>
          <w:tblCellSpacing w:w="0" w:type="dxa"/>
          <w:jc w:val="center"/>
        </w:trPr>
        <w:tc>
          <w:tcPr>
            <w:tcW w:w="1412" w:type="dxa"/>
            <w:noWrap w:val="0"/>
            <w:vAlign w:val="center"/>
          </w:tcPr>
          <w:p w14:paraId="1E9D5AFD">
            <w:pPr>
              <w:widowControl/>
              <w:jc w:val="left"/>
              <w:rPr>
                <w:rFonts w:hint="eastAsia" w:ascii="宋体" w:hAnsi="宋体" w:eastAsia="宋体" w:cs="宋体"/>
                <w:color w:val="auto"/>
                <w:kern w:val="0"/>
                <w:sz w:val="24"/>
                <w:highlight w:val="none"/>
              </w:rPr>
            </w:pPr>
          </w:p>
        </w:tc>
        <w:tc>
          <w:tcPr>
            <w:tcW w:w="7533" w:type="dxa"/>
            <w:noWrap w:val="0"/>
            <w:vAlign w:val="center"/>
          </w:tcPr>
          <w:p w14:paraId="516C13EA">
            <w:pPr>
              <w:widowControl/>
              <w:spacing w:after="240"/>
              <w:ind w:firstLine="720" w:firstLineChars="3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邮 编：</w:t>
            </w:r>
          </w:p>
        </w:tc>
      </w:tr>
      <w:tr w14:paraId="389EC9A3">
        <w:tblPrEx>
          <w:tblCellMar>
            <w:top w:w="0" w:type="dxa"/>
            <w:left w:w="0" w:type="dxa"/>
            <w:bottom w:w="0" w:type="dxa"/>
            <w:right w:w="0" w:type="dxa"/>
          </w:tblCellMar>
        </w:tblPrEx>
        <w:trPr>
          <w:tblCellSpacing w:w="0" w:type="dxa"/>
          <w:jc w:val="center"/>
        </w:trPr>
        <w:tc>
          <w:tcPr>
            <w:tcW w:w="1412" w:type="dxa"/>
            <w:noWrap w:val="0"/>
            <w:vAlign w:val="center"/>
          </w:tcPr>
          <w:p w14:paraId="2F9D11A6">
            <w:pPr>
              <w:widowControl/>
              <w:jc w:val="left"/>
              <w:rPr>
                <w:rFonts w:hint="eastAsia" w:ascii="宋体" w:hAnsi="宋体" w:eastAsia="宋体" w:cs="宋体"/>
                <w:color w:val="auto"/>
                <w:kern w:val="0"/>
                <w:sz w:val="24"/>
                <w:highlight w:val="none"/>
              </w:rPr>
            </w:pPr>
          </w:p>
        </w:tc>
        <w:tc>
          <w:tcPr>
            <w:tcW w:w="7533" w:type="dxa"/>
            <w:noWrap w:val="0"/>
            <w:vAlign w:val="center"/>
          </w:tcPr>
          <w:p w14:paraId="0FC644F0">
            <w:pPr>
              <w:widowControl/>
              <w:spacing w:after="240"/>
              <w:ind w:firstLine="720" w:firstLineChars="3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法定代表人或委托代理人：</w:t>
            </w:r>
          </w:p>
        </w:tc>
      </w:tr>
      <w:tr w14:paraId="284ACEEC">
        <w:tblPrEx>
          <w:tblCellMar>
            <w:top w:w="0" w:type="dxa"/>
            <w:left w:w="0" w:type="dxa"/>
            <w:bottom w:w="0" w:type="dxa"/>
            <w:right w:w="0" w:type="dxa"/>
          </w:tblCellMar>
        </w:tblPrEx>
        <w:trPr>
          <w:tblCellSpacing w:w="0" w:type="dxa"/>
          <w:jc w:val="center"/>
        </w:trPr>
        <w:tc>
          <w:tcPr>
            <w:tcW w:w="1412" w:type="dxa"/>
            <w:noWrap w:val="0"/>
            <w:vAlign w:val="center"/>
          </w:tcPr>
          <w:p w14:paraId="57E4B1AB">
            <w:pPr>
              <w:widowControl/>
              <w:jc w:val="left"/>
              <w:rPr>
                <w:rFonts w:hint="eastAsia" w:ascii="宋体" w:hAnsi="宋体" w:eastAsia="宋体" w:cs="宋体"/>
                <w:color w:val="auto"/>
                <w:kern w:val="0"/>
                <w:sz w:val="24"/>
                <w:highlight w:val="none"/>
              </w:rPr>
            </w:pPr>
          </w:p>
        </w:tc>
        <w:tc>
          <w:tcPr>
            <w:tcW w:w="7533" w:type="dxa"/>
            <w:noWrap w:val="0"/>
            <w:vAlign w:val="center"/>
          </w:tcPr>
          <w:p w14:paraId="7A606B19">
            <w:pPr>
              <w:widowControl/>
              <w:spacing w:after="240"/>
              <w:ind w:firstLine="720" w:firstLineChars="3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项目（技术）负责人：</w:t>
            </w:r>
          </w:p>
        </w:tc>
      </w:tr>
      <w:tr w14:paraId="33A5DB51">
        <w:tblPrEx>
          <w:tblCellMar>
            <w:top w:w="0" w:type="dxa"/>
            <w:left w:w="0" w:type="dxa"/>
            <w:bottom w:w="0" w:type="dxa"/>
            <w:right w:w="0" w:type="dxa"/>
          </w:tblCellMar>
        </w:tblPrEx>
        <w:trPr>
          <w:tblCellSpacing w:w="0" w:type="dxa"/>
          <w:jc w:val="center"/>
        </w:trPr>
        <w:tc>
          <w:tcPr>
            <w:tcW w:w="1412" w:type="dxa"/>
            <w:noWrap w:val="0"/>
            <w:vAlign w:val="center"/>
          </w:tcPr>
          <w:p w14:paraId="11C51174">
            <w:pPr>
              <w:widowControl/>
              <w:jc w:val="left"/>
              <w:rPr>
                <w:rFonts w:hint="eastAsia" w:ascii="宋体" w:hAnsi="宋体" w:eastAsia="宋体" w:cs="宋体"/>
                <w:color w:val="auto"/>
                <w:kern w:val="0"/>
                <w:sz w:val="24"/>
                <w:highlight w:val="none"/>
              </w:rPr>
            </w:pPr>
          </w:p>
        </w:tc>
        <w:tc>
          <w:tcPr>
            <w:tcW w:w="7533" w:type="dxa"/>
            <w:noWrap w:val="0"/>
            <w:vAlign w:val="center"/>
          </w:tcPr>
          <w:p w14:paraId="625CFF1F">
            <w:pPr>
              <w:widowControl/>
              <w:spacing w:after="240"/>
              <w:ind w:firstLine="720" w:firstLineChars="3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电 话：</w:t>
            </w:r>
          </w:p>
          <w:p w14:paraId="635BA910">
            <w:pPr>
              <w:widowControl/>
              <w:spacing w:after="240"/>
              <w:ind w:firstLine="720" w:firstLineChars="3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签订日期：</w:t>
            </w:r>
          </w:p>
        </w:tc>
      </w:tr>
      <w:tr w14:paraId="5DE5171C">
        <w:tblPrEx>
          <w:tblCellMar>
            <w:top w:w="0" w:type="dxa"/>
            <w:left w:w="0" w:type="dxa"/>
            <w:bottom w:w="0" w:type="dxa"/>
            <w:right w:w="0" w:type="dxa"/>
          </w:tblCellMar>
        </w:tblPrEx>
        <w:trPr>
          <w:tblCellSpacing w:w="0" w:type="dxa"/>
          <w:jc w:val="center"/>
        </w:trPr>
        <w:tc>
          <w:tcPr>
            <w:tcW w:w="8945" w:type="dxa"/>
            <w:gridSpan w:val="2"/>
            <w:noWrap w:val="0"/>
            <w:vAlign w:val="center"/>
          </w:tcPr>
          <w:p w14:paraId="4F481A20">
            <w:pPr>
              <w:widowControl/>
              <w:spacing w:after="240"/>
              <w:jc w:val="left"/>
              <w:rPr>
                <w:rFonts w:hint="eastAsia" w:ascii="宋体" w:hAnsi="宋体" w:eastAsia="宋体" w:cs="宋体"/>
                <w:color w:val="auto"/>
                <w:kern w:val="0"/>
                <w:sz w:val="24"/>
                <w:highlight w:val="none"/>
              </w:rPr>
            </w:pPr>
          </w:p>
          <w:p w14:paraId="281B6287">
            <w:pPr>
              <w:pStyle w:val="15"/>
              <w:rPr>
                <w:rFonts w:hint="eastAsia" w:ascii="宋体" w:hAnsi="宋体" w:eastAsia="宋体" w:cs="宋体"/>
                <w:color w:val="auto"/>
                <w:kern w:val="0"/>
                <w:sz w:val="24"/>
                <w:highlight w:val="none"/>
              </w:rPr>
            </w:pPr>
          </w:p>
          <w:p w14:paraId="6412DDA3">
            <w:pPr>
              <w:pStyle w:val="42"/>
              <w:rPr>
                <w:rFonts w:hint="eastAsia" w:ascii="宋体" w:hAnsi="宋体" w:eastAsia="宋体" w:cs="宋体"/>
                <w:color w:val="auto"/>
                <w:highlight w:val="none"/>
              </w:rPr>
            </w:pPr>
          </w:p>
          <w:p w14:paraId="7E52E834">
            <w:pPr>
              <w:widowControl/>
              <w:spacing w:after="24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乙方（</w:t>
            </w:r>
            <w:r>
              <w:rPr>
                <w:rFonts w:hint="eastAsia" w:ascii="宋体" w:hAnsi="宋体" w:eastAsia="宋体" w:cs="宋体"/>
                <w:color w:val="auto"/>
                <w:kern w:val="0"/>
                <w:sz w:val="24"/>
                <w:highlight w:val="none"/>
                <w:lang w:val="en-US" w:eastAsia="zh-CN"/>
              </w:rPr>
              <w:t>中标人</w:t>
            </w:r>
            <w:r>
              <w:rPr>
                <w:rFonts w:hint="eastAsia" w:ascii="宋体" w:hAnsi="宋体" w:eastAsia="宋体" w:cs="宋体"/>
                <w:color w:val="auto"/>
                <w:kern w:val="0"/>
                <w:sz w:val="24"/>
                <w:highlight w:val="none"/>
              </w:rPr>
              <w:t>公章）名 称：</w:t>
            </w:r>
          </w:p>
        </w:tc>
      </w:tr>
      <w:tr w14:paraId="53588C75">
        <w:tblPrEx>
          <w:tblCellMar>
            <w:top w:w="0" w:type="dxa"/>
            <w:left w:w="0" w:type="dxa"/>
            <w:bottom w:w="0" w:type="dxa"/>
            <w:right w:w="0" w:type="dxa"/>
          </w:tblCellMar>
        </w:tblPrEx>
        <w:trPr>
          <w:tblCellSpacing w:w="0" w:type="dxa"/>
          <w:jc w:val="center"/>
        </w:trPr>
        <w:tc>
          <w:tcPr>
            <w:tcW w:w="1412" w:type="dxa"/>
            <w:noWrap w:val="0"/>
            <w:vAlign w:val="center"/>
          </w:tcPr>
          <w:p w14:paraId="4C2639E1">
            <w:pPr>
              <w:widowControl/>
              <w:jc w:val="left"/>
              <w:rPr>
                <w:rFonts w:hint="eastAsia" w:ascii="宋体" w:hAnsi="宋体" w:eastAsia="宋体" w:cs="宋体"/>
                <w:color w:val="auto"/>
                <w:kern w:val="0"/>
                <w:sz w:val="24"/>
                <w:highlight w:val="none"/>
              </w:rPr>
            </w:pPr>
          </w:p>
        </w:tc>
        <w:tc>
          <w:tcPr>
            <w:tcW w:w="7533" w:type="dxa"/>
            <w:noWrap w:val="0"/>
            <w:vAlign w:val="center"/>
          </w:tcPr>
          <w:p w14:paraId="3C95F408">
            <w:pPr>
              <w:widowControl/>
              <w:spacing w:after="240"/>
              <w:ind w:firstLine="720" w:firstLineChars="3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地 址：</w:t>
            </w:r>
          </w:p>
        </w:tc>
      </w:tr>
      <w:tr w14:paraId="614B9BAF">
        <w:tblPrEx>
          <w:tblCellMar>
            <w:top w:w="0" w:type="dxa"/>
            <w:left w:w="0" w:type="dxa"/>
            <w:bottom w:w="0" w:type="dxa"/>
            <w:right w:w="0" w:type="dxa"/>
          </w:tblCellMar>
        </w:tblPrEx>
        <w:trPr>
          <w:tblCellSpacing w:w="0" w:type="dxa"/>
          <w:jc w:val="center"/>
        </w:trPr>
        <w:tc>
          <w:tcPr>
            <w:tcW w:w="1412" w:type="dxa"/>
            <w:noWrap w:val="0"/>
            <w:vAlign w:val="center"/>
          </w:tcPr>
          <w:p w14:paraId="69B11359">
            <w:pPr>
              <w:widowControl/>
              <w:jc w:val="left"/>
              <w:rPr>
                <w:rFonts w:hint="eastAsia" w:ascii="宋体" w:hAnsi="宋体" w:eastAsia="宋体" w:cs="宋体"/>
                <w:color w:val="auto"/>
                <w:kern w:val="0"/>
                <w:sz w:val="24"/>
                <w:highlight w:val="none"/>
              </w:rPr>
            </w:pPr>
          </w:p>
        </w:tc>
        <w:tc>
          <w:tcPr>
            <w:tcW w:w="7533" w:type="dxa"/>
            <w:noWrap w:val="0"/>
            <w:vAlign w:val="center"/>
          </w:tcPr>
          <w:p w14:paraId="44697F44">
            <w:pPr>
              <w:widowControl/>
              <w:spacing w:after="240"/>
              <w:ind w:firstLine="720" w:firstLineChars="3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邮 编：</w:t>
            </w:r>
          </w:p>
        </w:tc>
      </w:tr>
      <w:tr w14:paraId="1857F819">
        <w:tblPrEx>
          <w:tblCellMar>
            <w:top w:w="0" w:type="dxa"/>
            <w:left w:w="0" w:type="dxa"/>
            <w:bottom w:w="0" w:type="dxa"/>
            <w:right w:w="0" w:type="dxa"/>
          </w:tblCellMar>
        </w:tblPrEx>
        <w:trPr>
          <w:tblCellSpacing w:w="0" w:type="dxa"/>
          <w:jc w:val="center"/>
        </w:trPr>
        <w:tc>
          <w:tcPr>
            <w:tcW w:w="1412" w:type="dxa"/>
            <w:noWrap w:val="0"/>
            <w:vAlign w:val="center"/>
          </w:tcPr>
          <w:p w14:paraId="4FC49160">
            <w:pPr>
              <w:widowControl/>
              <w:jc w:val="left"/>
              <w:rPr>
                <w:rFonts w:hint="eastAsia" w:ascii="宋体" w:hAnsi="宋体" w:eastAsia="宋体" w:cs="宋体"/>
                <w:color w:val="auto"/>
                <w:kern w:val="0"/>
                <w:sz w:val="24"/>
                <w:highlight w:val="none"/>
              </w:rPr>
            </w:pPr>
          </w:p>
        </w:tc>
        <w:tc>
          <w:tcPr>
            <w:tcW w:w="7533" w:type="dxa"/>
            <w:noWrap w:val="0"/>
            <w:vAlign w:val="center"/>
          </w:tcPr>
          <w:p w14:paraId="72553085">
            <w:pPr>
              <w:widowControl/>
              <w:spacing w:after="240"/>
              <w:ind w:firstLine="720" w:firstLineChars="3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法定代表人或委托代理人：</w:t>
            </w:r>
          </w:p>
        </w:tc>
      </w:tr>
      <w:tr w14:paraId="12A5E6C2">
        <w:tblPrEx>
          <w:tblCellMar>
            <w:top w:w="0" w:type="dxa"/>
            <w:left w:w="0" w:type="dxa"/>
            <w:bottom w:w="0" w:type="dxa"/>
            <w:right w:w="0" w:type="dxa"/>
          </w:tblCellMar>
        </w:tblPrEx>
        <w:trPr>
          <w:tblCellSpacing w:w="0" w:type="dxa"/>
          <w:jc w:val="center"/>
        </w:trPr>
        <w:tc>
          <w:tcPr>
            <w:tcW w:w="1412" w:type="dxa"/>
            <w:noWrap w:val="0"/>
            <w:vAlign w:val="center"/>
          </w:tcPr>
          <w:p w14:paraId="05AAFA59">
            <w:pPr>
              <w:widowControl/>
              <w:jc w:val="left"/>
              <w:rPr>
                <w:rFonts w:hint="eastAsia" w:ascii="宋体" w:hAnsi="宋体" w:eastAsia="宋体" w:cs="宋体"/>
                <w:color w:val="auto"/>
                <w:kern w:val="0"/>
                <w:sz w:val="24"/>
                <w:highlight w:val="none"/>
              </w:rPr>
            </w:pPr>
          </w:p>
        </w:tc>
        <w:tc>
          <w:tcPr>
            <w:tcW w:w="7533" w:type="dxa"/>
            <w:noWrap w:val="0"/>
            <w:vAlign w:val="center"/>
          </w:tcPr>
          <w:p w14:paraId="74585DCA">
            <w:pPr>
              <w:widowControl/>
              <w:spacing w:after="240"/>
              <w:ind w:firstLine="720" w:firstLineChars="3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经办人：</w:t>
            </w:r>
          </w:p>
        </w:tc>
      </w:tr>
      <w:tr w14:paraId="105E6B93">
        <w:tblPrEx>
          <w:tblCellMar>
            <w:top w:w="0" w:type="dxa"/>
            <w:left w:w="0" w:type="dxa"/>
            <w:bottom w:w="0" w:type="dxa"/>
            <w:right w:w="0" w:type="dxa"/>
          </w:tblCellMar>
        </w:tblPrEx>
        <w:trPr>
          <w:tblCellSpacing w:w="0" w:type="dxa"/>
          <w:jc w:val="center"/>
        </w:trPr>
        <w:tc>
          <w:tcPr>
            <w:tcW w:w="1412" w:type="dxa"/>
            <w:noWrap w:val="0"/>
            <w:vAlign w:val="center"/>
          </w:tcPr>
          <w:p w14:paraId="1CB81765">
            <w:pPr>
              <w:widowControl/>
              <w:jc w:val="left"/>
              <w:rPr>
                <w:rFonts w:hint="eastAsia" w:ascii="宋体" w:hAnsi="宋体" w:eastAsia="宋体" w:cs="宋体"/>
                <w:color w:val="auto"/>
                <w:kern w:val="0"/>
                <w:sz w:val="24"/>
                <w:highlight w:val="none"/>
              </w:rPr>
            </w:pPr>
          </w:p>
        </w:tc>
        <w:tc>
          <w:tcPr>
            <w:tcW w:w="7533" w:type="dxa"/>
            <w:noWrap w:val="0"/>
            <w:vAlign w:val="center"/>
          </w:tcPr>
          <w:p w14:paraId="424F9584">
            <w:pPr>
              <w:widowControl/>
              <w:spacing w:after="240"/>
              <w:ind w:firstLine="720" w:firstLineChars="3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电 话：</w:t>
            </w:r>
          </w:p>
        </w:tc>
      </w:tr>
      <w:tr w14:paraId="59249773">
        <w:tblPrEx>
          <w:tblCellMar>
            <w:top w:w="0" w:type="dxa"/>
            <w:left w:w="0" w:type="dxa"/>
            <w:bottom w:w="0" w:type="dxa"/>
            <w:right w:w="0" w:type="dxa"/>
          </w:tblCellMar>
        </w:tblPrEx>
        <w:trPr>
          <w:tblCellSpacing w:w="0" w:type="dxa"/>
          <w:jc w:val="center"/>
        </w:trPr>
        <w:tc>
          <w:tcPr>
            <w:tcW w:w="8945" w:type="dxa"/>
            <w:gridSpan w:val="2"/>
            <w:noWrap w:val="0"/>
            <w:vAlign w:val="center"/>
          </w:tcPr>
          <w:p w14:paraId="0B7D2A41">
            <w:pPr>
              <w:spacing w:after="240" w:line="276" w:lineRule="auto"/>
              <w:ind w:firstLine="2160" w:firstLineChars="900"/>
              <w:rPr>
                <w:rFonts w:hint="eastAsia" w:ascii="宋体" w:hAnsi="宋体" w:eastAsia="宋体" w:cs="宋体"/>
                <w:color w:val="auto"/>
                <w:highlight w:val="none"/>
              </w:rPr>
            </w:pPr>
            <w:r>
              <w:rPr>
                <w:rFonts w:hint="eastAsia" w:ascii="宋体" w:hAnsi="宋体" w:eastAsia="宋体" w:cs="宋体"/>
                <w:color w:val="auto"/>
                <w:kern w:val="0"/>
                <w:sz w:val="24"/>
                <w:highlight w:val="none"/>
              </w:rPr>
              <w:t>签订日期：</w:t>
            </w:r>
          </w:p>
          <w:p w14:paraId="20F24BFE">
            <w:pPr>
              <w:spacing w:after="240" w:line="276" w:lineRule="auto"/>
              <w:rPr>
                <w:rFonts w:hint="eastAsia" w:ascii="宋体" w:hAnsi="宋体" w:eastAsia="宋体" w:cs="宋体"/>
                <w:color w:val="auto"/>
                <w:kern w:val="0"/>
                <w:sz w:val="24"/>
                <w:highlight w:val="none"/>
              </w:rPr>
            </w:pPr>
          </w:p>
        </w:tc>
      </w:tr>
    </w:tbl>
    <w:p w14:paraId="3EDB4144">
      <w:pPr>
        <w:rPr>
          <w:rFonts w:hint="eastAsia" w:ascii="宋体" w:hAnsi="宋体" w:eastAsia="宋体" w:cs="宋体"/>
          <w:color w:val="auto"/>
          <w:highlight w:val="none"/>
          <w:lang w:val="zh-CN"/>
        </w:rPr>
      </w:pPr>
    </w:p>
    <w:p w14:paraId="4DCB993A">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br w:type="page"/>
      </w:r>
    </w:p>
    <w:p w14:paraId="3D51A9FA">
      <w:pPr>
        <w:pStyle w:val="32"/>
        <w:rPr>
          <w:rFonts w:hint="eastAsia" w:ascii="宋体" w:hAnsi="宋体" w:eastAsia="宋体" w:cs="宋体"/>
          <w:color w:val="auto"/>
          <w:highlight w:val="none"/>
          <w:lang w:val="zh-CN"/>
        </w:rPr>
      </w:pPr>
    </w:p>
    <w:p w14:paraId="77383631">
      <w:pPr>
        <w:rPr>
          <w:rFonts w:hint="eastAsia" w:ascii="宋体" w:hAnsi="宋体" w:eastAsia="宋体" w:cs="宋体"/>
          <w:color w:val="auto"/>
          <w:highlight w:val="none"/>
        </w:rPr>
      </w:pPr>
    </w:p>
    <w:p w14:paraId="6AB2B62A">
      <w:pPr>
        <w:rPr>
          <w:rFonts w:hint="eastAsia" w:ascii="宋体" w:hAnsi="宋体" w:eastAsia="宋体" w:cs="宋体"/>
          <w:color w:val="auto"/>
          <w:highlight w:val="none"/>
        </w:rPr>
      </w:pPr>
    </w:p>
    <w:p w14:paraId="5D9C9F5C">
      <w:pPr>
        <w:rPr>
          <w:rFonts w:hint="eastAsia" w:ascii="宋体" w:hAnsi="宋体" w:eastAsia="宋体" w:cs="宋体"/>
          <w:color w:val="auto"/>
          <w:highlight w:val="none"/>
        </w:rPr>
      </w:pPr>
    </w:p>
    <w:p w14:paraId="4FAC925E">
      <w:pPr>
        <w:rPr>
          <w:rFonts w:hint="eastAsia" w:ascii="宋体" w:hAnsi="宋体" w:eastAsia="宋体" w:cs="宋体"/>
          <w:color w:val="auto"/>
          <w:highlight w:val="none"/>
        </w:rPr>
      </w:pPr>
    </w:p>
    <w:p w14:paraId="7EA8EE47">
      <w:pPr>
        <w:rPr>
          <w:rFonts w:hint="eastAsia" w:ascii="宋体" w:hAnsi="宋体" w:eastAsia="宋体" w:cs="宋体"/>
          <w:color w:val="auto"/>
          <w:highlight w:val="none"/>
        </w:rPr>
      </w:pPr>
    </w:p>
    <w:p w14:paraId="630701E7">
      <w:pPr>
        <w:rPr>
          <w:rFonts w:hint="eastAsia" w:ascii="宋体" w:hAnsi="宋体" w:eastAsia="宋体" w:cs="宋体"/>
          <w:color w:val="auto"/>
          <w:highlight w:val="none"/>
        </w:rPr>
      </w:pPr>
    </w:p>
    <w:p w14:paraId="55FB3CF4">
      <w:pPr>
        <w:rPr>
          <w:rFonts w:hint="eastAsia" w:ascii="宋体" w:hAnsi="宋体" w:eastAsia="宋体" w:cs="宋体"/>
          <w:color w:val="auto"/>
          <w:highlight w:val="none"/>
        </w:rPr>
      </w:pPr>
    </w:p>
    <w:p w14:paraId="3624B751">
      <w:pPr>
        <w:rPr>
          <w:rFonts w:hint="eastAsia" w:ascii="宋体" w:hAnsi="宋体" w:eastAsia="宋体" w:cs="宋体"/>
          <w:color w:val="auto"/>
          <w:highlight w:val="none"/>
        </w:rPr>
      </w:pPr>
    </w:p>
    <w:p w14:paraId="467B6938">
      <w:pPr>
        <w:rPr>
          <w:rFonts w:hint="eastAsia" w:ascii="宋体" w:hAnsi="宋体" w:eastAsia="宋体" w:cs="宋体"/>
          <w:color w:val="auto"/>
          <w:highlight w:val="none"/>
        </w:rPr>
      </w:pPr>
    </w:p>
    <w:p w14:paraId="191C96A8">
      <w:pPr>
        <w:rPr>
          <w:rFonts w:hint="eastAsia" w:ascii="宋体" w:hAnsi="宋体" w:eastAsia="宋体" w:cs="宋体"/>
          <w:color w:val="auto"/>
          <w:highlight w:val="none"/>
        </w:rPr>
      </w:pPr>
    </w:p>
    <w:p w14:paraId="25489F29">
      <w:pPr>
        <w:rPr>
          <w:rFonts w:hint="eastAsia" w:ascii="宋体" w:hAnsi="宋体" w:eastAsia="宋体" w:cs="宋体"/>
          <w:color w:val="auto"/>
          <w:highlight w:val="none"/>
        </w:rPr>
      </w:pPr>
    </w:p>
    <w:p w14:paraId="6E6B5A09">
      <w:pPr>
        <w:rPr>
          <w:rFonts w:hint="eastAsia" w:ascii="宋体" w:hAnsi="宋体" w:eastAsia="宋体" w:cs="宋体"/>
          <w:color w:val="auto"/>
          <w:highlight w:val="none"/>
        </w:rPr>
      </w:pPr>
    </w:p>
    <w:p w14:paraId="5A98F013">
      <w:pPr>
        <w:rPr>
          <w:rFonts w:hint="eastAsia" w:ascii="宋体" w:hAnsi="宋体" w:eastAsia="宋体" w:cs="宋体"/>
          <w:color w:val="auto"/>
          <w:highlight w:val="none"/>
        </w:rPr>
      </w:pPr>
    </w:p>
    <w:p w14:paraId="326430FB">
      <w:pPr>
        <w:rPr>
          <w:rFonts w:hint="eastAsia" w:ascii="宋体" w:hAnsi="宋体" w:eastAsia="宋体" w:cs="宋体"/>
          <w:color w:val="auto"/>
          <w:highlight w:val="none"/>
        </w:rPr>
      </w:pPr>
    </w:p>
    <w:p w14:paraId="5A13149D">
      <w:pPr>
        <w:pStyle w:val="2"/>
        <w:rPr>
          <w:rFonts w:hint="eastAsia" w:ascii="宋体" w:hAnsi="宋体" w:eastAsia="宋体" w:cs="宋体"/>
          <w:color w:val="auto"/>
          <w:highlight w:val="none"/>
        </w:rPr>
      </w:pPr>
      <w:bookmarkStart w:id="138" w:name="_Toc23150"/>
      <w:r>
        <w:rPr>
          <w:rFonts w:hint="eastAsia" w:ascii="宋体" w:hAnsi="宋体" w:eastAsia="宋体" w:cs="宋体"/>
          <w:color w:val="auto"/>
          <w:highlight w:val="none"/>
        </w:rPr>
        <w:t>第四章  投标文件格式</w:t>
      </w:r>
      <w:bookmarkEnd w:id="138"/>
    </w:p>
    <w:p w14:paraId="10231785">
      <w:pPr>
        <w:rPr>
          <w:rFonts w:hint="eastAsia" w:ascii="宋体" w:hAnsi="宋体" w:eastAsia="宋体" w:cs="宋体"/>
          <w:color w:val="auto"/>
          <w:highlight w:val="none"/>
        </w:rPr>
      </w:pPr>
    </w:p>
    <w:p w14:paraId="3C87D90C">
      <w:pPr>
        <w:spacing w:after="48" w:afterLines="20" w:line="420" w:lineRule="exact"/>
        <w:ind w:firstLine="520" w:firstLineChars="200"/>
        <w:rPr>
          <w:rFonts w:hint="eastAsia" w:ascii="宋体" w:hAnsi="宋体" w:eastAsia="宋体" w:cs="宋体"/>
          <w:bCs/>
          <w:color w:val="auto"/>
          <w:spacing w:val="10"/>
          <w:sz w:val="24"/>
          <w:highlight w:val="none"/>
        </w:rPr>
      </w:pPr>
      <w:r>
        <w:rPr>
          <w:rFonts w:hint="eastAsia" w:ascii="宋体" w:hAnsi="宋体" w:eastAsia="宋体" w:cs="宋体"/>
          <w:bCs/>
          <w:color w:val="auto"/>
          <w:spacing w:val="10"/>
          <w:sz w:val="24"/>
          <w:highlight w:val="none"/>
        </w:rPr>
        <w:t>备注：</w:t>
      </w:r>
    </w:p>
    <w:p w14:paraId="346E56F8">
      <w:pPr>
        <w:spacing w:after="48" w:afterLines="20" w:line="420" w:lineRule="exact"/>
        <w:ind w:firstLine="520" w:firstLineChars="200"/>
        <w:rPr>
          <w:rFonts w:hint="eastAsia" w:ascii="宋体" w:hAnsi="宋体" w:eastAsia="宋体" w:cs="宋体"/>
          <w:bCs/>
          <w:color w:val="auto"/>
          <w:spacing w:val="10"/>
          <w:sz w:val="24"/>
          <w:highlight w:val="none"/>
        </w:rPr>
      </w:pPr>
      <w:r>
        <w:rPr>
          <w:rFonts w:hint="eastAsia" w:ascii="宋体" w:hAnsi="宋体" w:eastAsia="宋体" w:cs="宋体"/>
          <w:bCs/>
          <w:color w:val="auto"/>
          <w:spacing w:val="10"/>
          <w:sz w:val="24"/>
          <w:highlight w:val="none"/>
        </w:rPr>
        <w:t>1</w:t>
      </w:r>
      <w:r>
        <w:rPr>
          <w:rFonts w:hint="eastAsia" w:ascii="宋体" w:hAnsi="宋体" w:eastAsia="宋体" w:cs="宋体"/>
          <w:bCs/>
          <w:color w:val="auto"/>
          <w:spacing w:val="10"/>
          <w:sz w:val="24"/>
          <w:highlight w:val="none"/>
          <w:lang w:val="en-US" w:eastAsia="zh-CN"/>
        </w:rPr>
        <w:t>.</w:t>
      </w:r>
      <w:r>
        <w:rPr>
          <w:rFonts w:hint="eastAsia" w:ascii="宋体" w:hAnsi="宋体" w:eastAsia="宋体" w:cs="宋体"/>
          <w:bCs/>
          <w:color w:val="auto"/>
          <w:spacing w:val="10"/>
          <w:sz w:val="24"/>
          <w:highlight w:val="none"/>
        </w:rPr>
        <w:t>本章所制“投标文件格式”为实质性要求，具有强制性，但排序不作为实质性要求；明确“格式不限”的由投标人自行编制。</w:t>
      </w:r>
    </w:p>
    <w:p w14:paraId="3069B2FA">
      <w:pPr>
        <w:spacing w:after="48" w:afterLines="20" w:line="420" w:lineRule="exact"/>
        <w:ind w:firstLine="520" w:firstLineChars="200"/>
        <w:rPr>
          <w:rFonts w:hint="eastAsia" w:ascii="宋体" w:hAnsi="宋体" w:eastAsia="宋体" w:cs="宋体"/>
          <w:bCs/>
          <w:color w:val="auto"/>
          <w:spacing w:val="10"/>
          <w:sz w:val="24"/>
          <w:highlight w:val="none"/>
        </w:rPr>
      </w:pPr>
      <w:r>
        <w:rPr>
          <w:rFonts w:hint="eastAsia" w:ascii="宋体" w:hAnsi="宋体" w:eastAsia="宋体" w:cs="宋体"/>
          <w:bCs/>
          <w:color w:val="auto"/>
          <w:spacing w:val="10"/>
          <w:sz w:val="24"/>
          <w:highlight w:val="none"/>
        </w:rPr>
        <w:t>2</w:t>
      </w:r>
      <w:r>
        <w:rPr>
          <w:rFonts w:hint="eastAsia" w:ascii="宋体" w:hAnsi="宋体" w:eastAsia="宋体" w:cs="宋体"/>
          <w:bCs/>
          <w:color w:val="auto"/>
          <w:spacing w:val="10"/>
          <w:sz w:val="24"/>
          <w:highlight w:val="none"/>
          <w:lang w:val="en-US" w:eastAsia="zh-CN"/>
        </w:rPr>
        <w:t>.</w:t>
      </w:r>
      <w:r>
        <w:rPr>
          <w:rFonts w:hint="eastAsia" w:ascii="宋体" w:hAnsi="宋体" w:eastAsia="宋体" w:cs="宋体"/>
          <w:bCs/>
          <w:color w:val="auto"/>
          <w:spacing w:val="10"/>
          <w:sz w:val="24"/>
          <w:highlight w:val="none"/>
        </w:rPr>
        <w:t>本章所制投标文件格式有关表格中的备注栏，由投标人根据自身情况作解释性说明，不作为必填项。</w:t>
      </w:r>
    </w:p>
    <w:p w14:paraId="4702FF5F">
      <w:pPr>
        <w:widowControl/>
        <w:ind w:firstLine="681"/>
        <w:jc w:val="left"/>
        <w:rPr>
          <w:rFonts w:hint="eastAsia" w:ascii="宋体" w:hAnsi="宋体" w:eastAsia="宋体" w:cs="宋体"/>
          <w:bCs/>
          <w:color w:val="auto"/>
          <w:spacing w:val="10"/>
          <w:sz w:val="24"/>
          <w:highlight w:val="none"/>
        </w:rPr>
      </w:pPr>
      <w:r>
        <w:rPr>
          <w:rFonts w:hint="eastAsia" w:ascii="宋体" w:hAnsi="宋体" w:eastAsia="宋体" w:cs="宋体"/>
          <w:bCs/>
          <w:color w:val="auto"/>
          <w:spacing w:val="10"/>
          <w:sz w:val="24"/>
          <w:highlight w:val="none"/>
        </w:rPr>
        <w:br w:type="page"/>
      </w:r>
    </w:p>
    <w:p w14:paraId="78AD4498">
      <w:pPr>
        <w:bidi w:val="0"/>
        <w:rPr>
          <w:rFonts w:hint="eastAsia"/>
          <w:highlight w:val="none"/>
        </w:rPr>
      </w:pPr>
    </w:p>
    <w:p w14:paraId="0F9EDE41">
      <w:pPr>
        <w:pStyle w:val="3"/>
        <w:numPr>
          <w:ilvl w:val="0"/>
          <w:numId w:val="0"/>
        </w:numPr>
        <w:tabs>
          <w:tab w:val="clear" w:pos="360"/>
        </w:tabs>
        <w:spacing w:before="0"/>
        <w:jc w:val="center"/>
        <w:rPr>
          <w:rFonts w:hint="eastAsia" w:ascii="宋体" w:hAnsi="宋体" w:eastAsia="宋体" w:cs="宋体"/>
          <w:color w:val="auto"/>
          <w:szCs w:val="28"/>
          <w:highlight w:val="none"/>
        </w:rPr>
      </w:pPr>
      <w:bookmarkStart w:id="139" w:name="_Toc5019"/>
      <w:r>
        <w:rPr>
          <w:rFonts w:hint="eastAsia" w:ascii="宋体" w:hAnsi="宋体" w:eastAsia="宋体" w:cs="宋体"/>
          <w:color w:val="auto"/>
          <w:sz w:val="30"/>
          <w:szCs w:val="28"/>
          <w:highlight w:val="none"/>
        </w:rPr>
        <w:t>投标文件封面</w:t>
      </w:r>
      <w:bookmarkEnd w:id="139"/>
    </w:p>
    <w:p w14:paraId="7621ED5F">
      <w:pPr>
        <w:jc w:val="center"/>
        <w:rPr>
          <w:rFonts w:hint="eastAsia" w:ascii="宋体" w:hAnsi="宋体" w:eastAsia="宋体" w:cs="宋体"/>
          <w:b/>
          <w:bCs/>
          <w:color w:val="auto"/>
          <w:sz w:val="40"/>
          <w:szCs w:val="48"/>
          <w:highlight w:val="none"/>
        </w:rPr>
      </w:pPr>
    </w:p>
    <w:p w14:paraId="29EE06DB">
      <w:pPr>
        <w:jc w:val="center"/>
        <w:rPr>
          <w:rFonts w:hint="eastAsia" w:ascii="宋体" w:hAnsi="宋体" w:eastAsia="宋体" w:cs="宋体"/>
          <w:b/>
          <w:color w:val="auto"/>
          <w:sz w:val="32"/>
          <w:szCs w:val="32"/>
          <w:highlight w:val="none"/>
        </w:rPr>
      </w:pPr>
      <w:r>
        <w:rPr>
          <w:rFonts w:hint="eastAsia" w:ascii="宋体" w:hAnsi="宋体" w:cs="宋体"/>
          <w:b/>
          <w:bCs/>
          <w:color w:val="auto"/>
          <w:sz w:val="44"/>
          <w:szCs w:val="52"/>
          <w:highlight w:val="none"/>
          <w:lang w:eastAsia="zh-CN"/>
        </w:rPr>
        <w:t xml:space="preserve"> 云南省第三次全国土壤普查土壤样品库和数据库建设项目样品储存架等设备采购（二次招标）</w:t>
      </w:r>
    </w:p>
    <w:p w14:paraId="5335AC27">
      <w:pPr>
        <w:jc w:val="center"/>
        <w:rPr>
          <w:rFonts w:hint="eastAsia" w:ascii="宋体" w:hAnsi="宋体" w:eastAsia="宋体" w:cs="宋体"/>
          <w:b/>
          <w:bCs/>
          <w:color w:val="FF0000"/>
          <w:sz w:val="36"/>
          <w:szCs w:val="42"/>
          <w:highlight w:val="none"/>
          <w:u w:val="single"/>
          <w:lang w:val="en-US" w:eastAsia="zh-CN"/>
        </w:rPr>
      </w:pPr>
    </w:p>
    <w:p w14:paraId="1DAF8F86">
      <w:pPr>
        <w:spacing w:before="120" w:after="120" w:line="400" w:lineRule="atLeast"/>
        <w:jc w:val="center"/>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t>（招标编号：</w:t>
      </w:r>
      <w:r>
        <w:rPr>
          <w:rFonts w:hint="eastAsia" w:ascii="宋体" w:hAnsi="宋体" w:cs="宋体"/>
          <w:b/>
          <w:bCs/>
          <w:color w:val="auto"/>
          <w:sz w:val="28"/>
          <w:highlight w:val="none"/>
          <w:lang w:eastAsia="zh-CN"/>
        </w:rPr>
        <w:t>ZG-2026084</w:t>
      </w:r>
      <w:r>
        <w:rPr>
          <w:rFonts w:hint="eastAsia" w:ascii="宋体" w:hAnsi="宋体" w:eastAsia="宋体" w:cs="宋体"/>
          <w:b/>
          <w:bCs/>
          <w:color w:val="auto"/>
          <w:sz w:val="28"/>
          <w:highlight w:val="none"/>
        </w:rPr>
        <w:t>）</w:t>
      </w:r>
    </w:p>
    <w:p w14:paraId="557DBBBD">
      <w:pPr>
        <w:spacing w:before="120" w:after="120" w:line="400" w:lineRule="atLeast"/>
        <w:jc w:val="center"/>
        <w:rPr>
          <w:rFonts w:hint="eastAsia" w:ascii="宋体" w:hAnsi="宋体" w:eastAsia="宋体" w:cs="宋体"/>
          <w:color w:val="auto"/>
          <w:sz w:val="24"/>
          <w:highlight w:val="none"/>
        </w:rPr>
      </w:pPr>
    </w:p>
    <w:p w14:paraId="15AA95B8">
      <w:pPr>
        <w:spacing w:before="120" w:after="120" w:line="400" w:lineRule="atLeast"/>
        <w:jc w:val="center"/>
        <w:rPr>
          <w:rFonts w:hint="eastAsia" w:ascii="宋体" w:hAnsi="宋体" w:eastAsia="宋体" w:cs="宋体"/>
          <w:color w:val="auto"/>
          <w:sz w:val="24"/>
          <w:highlight w:val="none"/>
        </w:rPr>
      </w:pPr>
    </w:p>
    <w:p w14:paraId="48B814DB">
      <w:pPr>
        <w:spacing w:before="120" w:after="120" w:line="400" w:lineRule="atLeast"/>
        <w:rPr>
          <w:rFonts w:hint="eastAsia" w:ascii="宋体" w:hAnsi="宋体" w:eastAsia="宋体" w:cs="宋体"/>
          <w:color w:val="auto"/>
          <w:sz w:val="24"/>
          <w:highlight w:val="none"/>
        </w:rPr>
      </w:pPr>
    </w:p>
    <w:p w14:paraId="71112F1A">
      <w:pPr>
        <w:spacing w:before="120" w:after="120" w:line="400" w:lineRule="atLeast"/>
        <w:jc w:val="center"/>
        <w:rPr>
          <w:rFonts w:hint="eastAsia" w:ascii="宋体" w:hAnsi="宋体" w:eastAsia="宋体" w:cs="宋体"/>
          <w:b/>
          <w:color w:val="auto"/>
          <w:sz w:val="84"/>
          <w:szCs w:val="102"/>
          <w:highlight w:val="none"/>
        </w:rPr>
      </w:pPr>
      <w:r>
        <w:rPr>
          <w:rFonts w:hint="eastAsia" w:ascii="宋体" w:hAnsi="宋体" w:eastAsia="宋体" w:cs="宋体"/>
          <w:b/>
          <w:color w:val="auto"/>
          <w:sz w:val="84"/>
          <w:szCs w:val="102"/>
          <w:highlight w:val="none"/>
        </w:rPr>
        <w:t>投 标 文 件</w:t>
      </w:r>
    </w:p>
    <w:p w14:paraId="6AA939F8">
      <w:pPr>
        <w:spacing w:before="120" w:after="120" w:line="400" w:lineRule="atLeast"/>
        <w:jc w:val="center"/>
        <w:rPr>
          <w:rFonts w:hint="eastAsia" w:ascii="宋体" w:hAnsi="宋体" w:eastAsia="宋体" w:cs="宋体"/>
          <w:b/>
          <w:color w:val="auto"/>
          <w:highlight w:val="none"/>
        </w:rPr>
      </w:pPr>
    </w:p>
    <w:p w14:paraId="7C66F80E">
      <w:pPr>
        <w:spacing w:before="120" w:after="120" w:line="400" w:lineRule="atLeast"/>
        <w:jc w:val="center"/>
        <w:rPr>
          <w:rFonts w:hint="eastAsia" w:ascii="宋体" w:hAnsi="宋体" w:eastAsia="宋体" w:cs="宋体"/>
          <w:b/>
          <w:color w:val="auto"/>
          <w:highlight w:val="none"/>
        </w:rPr>
      </w:pPr>
    </w:p>
    <w:p w14:paraId="65167F6C">
      <w:pPr>
        <w:spacing w:before="120" w:after="120" w:line="400" w:lineRule="atLeast"/>
        <w:rPr>
          <w:rFonts w:hint="eastAsia" w:ascii="宋体" w:hAnsi="宋体" w:eastAsia="宋体" w:cs="宋体"/>
          <w:b/>
          <w:color w:val="auto"/>
          <w:highlight w:val="none"/>
        </w:rPr>
      </w:pPr>
    </w:p>
    <w:p w14:paraId="3D3ADC8D">
      <w:pPr>
        <w:spacing w:line="580" w:lineRule="atLeast"/>
        <w:ind w:left="840" w:leftChars="400"/>
        <w:rPr>
          <w:rFonts w:hint="eastAsia" w:ascii="宋体" w:hAnsi="宋体" w:eastAsia="宋体" w:cs="宋体"/>
          <w:b/>
          <w:bCs/>
          <w:color w:val="auto"/>
          <w:sz w:val="30"/>
          <w:highlight w:val="none"/>
          <w:u w:val="single"/>
        </w:rPr>
      </w:pPr>
      <w:r>
        <w:rPr>
          <w:rFonts w:hint="eastAsia" w:ascii="宋体" w:hAnsi="宋体" w:eastAsia="宋体" w:cs="宋体"/>
          <w:b/>
          <w:bCs/>
          <w:color w:val="auto"/>
          <w:sz w:val="30"/>
          <w:highlight w:val="none"/>
        </w:rPr>
        <w:t>投标人全称</w:t>
      </w:r>
      <w:r>
        <w:rPr>
          <w:rFonts w:hint="eastAsia" w:ascii="宋体" w:hAnsi="宋体" w:eastAsia="宋体" w:cs="宋体"/>
          <w:b/>
          <w:bCs/>
          <w:color w:val="auto"/>
          <w:sz w:val="30"/>
          <w:highlight w:val="none"/>
          <w:lang w:eastAsia="zh-CN"/>
        </w:rPr>
        <w:t>（</w:t>
      </w:r>
      <w:r>
        <w:rPr>
          <w:rFonts w:hint="eastAsia" w:ascii="宋体" w:hAnsi="宋体" w:eastAsia="宋体" w:cs="宋体"/>
          <w:b/>
          <w:bCs/>
          <w:color w:val="auto"/>
          <w:sz w:val="30"/>
          <w:highlight w:val="none"/>
        </w:rPr>
        <w:t>电子签章</w:t>
      </w:r>
      <w:r>
        <w:rPr>
          <w:rFonts w:hint="eastAsia" w:ascii="宋体" w:hAnsi="宋体" w:eastAsia="宋体" w:cs="宋体"/>
          <w:b/>
          <w:bCs/>
          <w:color w:val="auto"/>
          <w:sz w:val="30"/>
          <w:highlight w:val="none"/>
          <w:lang w:eastAsia="zh-CN"/>
        </w:rPr>
        <w:t>）：</w:t>
      </w:r>
      <w:r>
        <w:rPr>
          <w:rFonts w:hint="eastAsia" w:ascii="宋体" w:hAnsi="宋体" w:eastAsia="宋体" w:cs="宋体"/>
          <w:b/>
          <w:bCs/>
          <w:color w:val="auto"/>
          <w:sz w:val="30"/>
          <w:highlight w:val="none"/>
          <w:u w:val="single"/>
        </w:rPr>
        <w:t xml:space="preserve">                         </w:t>
      </w:r>
    </w:p>
    <w:p w14:paraId="7B5696F9">
      <w:pPr>
        <w:spacing w:line="580" w:lineRule="atLeast"/>
        <w:ind w:left="840" w:leftChars="400"/>
        <w:rPr>
          <w:rFonts w:hint="eastAsia" w:ascii="宋体" w:hAnsi="宋体" w:eastAsia="宋体" w:cs="宋体"/>
          <w:b/>
          <w:bCs/>
          <w:color w:val="auto"/>
          <w:sz w:val="30"/>
          <w:highlight w:val="none"/>
          <w:u w:val="single"/>
        </w:rPr>
      </w:pPr>
      <w:r>
        <w:rPr>
          <w:rFonts w:hint="eastAsia" w:ascii="宋体" w:hAnsi="宋体" w:eastAsia="宋体" w:cs="宋体"/>
          <w:b/>
          <w:bCs/>
          <w:color w:val="auto"/>
          <w:sz w:val="30"/>
          <w:highlight w:val="none"/>
          <w:u w:val="single"/>
        </w:rPr>
        <w:t>法 定 代 表 人</w:t>
      </w:r>
    </w:p>
    <w:p w14:paraId="182F7208">
      <w:pPr>
        <w:spacing w:line="580" w:lineRule="atLeast"/>
        <w:ind w:left="840" w:leftChars="400"/>
        <w:rPr>
          <w:rFonts w:hint="eastAsia" w:ascii="宋体" w:hAnsi="宋体" w:eastAsia="宋体" w:cs="宋体"/>
          <w:b/>
          <w:bCs/>
          <w:color w:val="auto"/>
          <w:sz w:val="30"/>
          <w:highlight w:val="none"/>
          <w:u w:val="single"/>
        </w:rPr>
      </w:pPr>
      <w:r>
        <w:rPr>
          <w:rFonts w:hint="eastAsia" w:ascii="宋体" w:hAnsi="宋体" w:eastAsia="宋体" w:cs="宋体"/>
          <w:b/>
          <w:bCs/>
          <w:color w:val="auto"/>
          <w:sz w:val="30"/>
          <w:highlight w:val="none"/>
          <w:u w:val="single"/>
        </w:rPr>
        <w:t>或其委托代理人（电子签章）</w:t>
      </w:r>
      <w:r>
        <w:rPr>
          <w:rFonts w:hint="eastAsia" w:ascii="宋体" w:hAnsi="宋体" w:eastAsia="宋体" w:cs="宋体"/>
          <w:b/>
          <w:bCs/>
          <w:color w:val="auto"/>
          <w:sz w:val="30"/>
          <w:highlight w:val="none"/>
          <w:u w:val="single"/>
          <w:lang w:eastAsia="zh-CN"/>
        </w:rPr>
        <w:t>：</w:t>
      </w:r>
      <w:r>
        <w:rPr>
          <w:rFonts w:hint="eastAsia" w:ascii="宋体" w:hAnsi="宋体" w:eastAsia="宋体" w:cs="宋体"/>
          <w:b/>
          <w:bCs/>
          <w:color w:val="auto"/>
          <w:sz w:val="30"/>
          <w:highlight w:val="none"/>
          <w:u w:val="single"/>
        </w:rPr>
        <w:t xml:space="preserve">                    </w:t>
      </w:r>
    </w:p>
    <w:p w14:paraId="64738295">
      <w:pPr>
        <w:spacing w:line="580" w:lineRule="atLeast"/>
        <w:ind w:left="840" w:leftChars="400"/>
        <w:rPr>
          <w:rFonts w:hint="eastAsia" w:ascii="宋体" w:hAnsi="宋体" w:eastAsia="宋体" w:cs="宋体"/>
          <w:b/>
          <w:bCs/>
          <w:color w:val="auto"/>
          <w:sz w:val="30"/>
          <w:highlight w:val="none"/>
          <w:u w:val="single"/>
        </w:rPr>
      </w:pPr>
      <w:r>
        <w:rPr>
          <w:rFonts w:hint="eastAsia" w:ascii="宋体" w:hAnsi="宋体" w:eastAsia="宋体" w:cs="宋体"/>
          <w:b/>
          <w:bCs/>
          <w:color w:val="auto"/>
          <w:sz w:val="30"/>
          <w:highlight w:val="none"/>
        </w:rPr>
        <w:t>地  址</w:t>
      </w:r>
      <w:r>
        <w:rPr>
          <w:rFonts w:hint="eastAsia" w:ascii="宋体" w:hAnsi="宋体" w:eastAsia="宋体" w:cs="宋体"/>
          <w:b/>
          <w:bCs/>
          <w:color w:val="auto"/>
          <w:sz w:val="30"/>
          <w:highlight w:val="none"/>
          <w:lang w:eastAsia="zh-CN"/>
        </w:rPr>
        <w:t>：</w:t>
      </w:r>
      <w:r>
        <w:rPr>
          <w:rFonts w:hint="eastAsia" w:ascii="宋体" w:hAnsi="宋体" w:eastAsia="宋体" w:cs="宋体"/>
          <w:b/>
          <w:bCs/>
          <w:color w:val="auto"/>
          <w:sz w:val="30"/>
          <w:highlight w:val="none"/>
          <w:u w:val="single"/>
        </w:rPr>
        <w:t xml:space="preserve">                                        </w:t>
      </w:r>
    </w:p>
    <w:p w14:paraId="2F3285CA">
      <w:pPr>
        <w:spacing w:line="580" w:lineRule="atLeast"/>
        <w:ind w:left="840" w:leftChars="400"/>
        <w:rPr>
          <w:rFonts w:hint="eastAsia" w:ascii="宋体" w:hAnsi="宋体" w:eastAsia="宋体" w:cs="宋体"/>
          <w:b/>
          <w:bCs/>
          <w:color w:val="auto"/>
          <w:sz w:val="30"/>
          <w:highlight w:val="none"/>
          <w:lang w:val="en-US" w:eastAsia="zh-CN"/>
        </w:rPr>
      </w:pPr>
      <w:r>
        <w:rPr>
          <w:rFonts w:hint="eastAsia" w:ascii="宋体" w:hAnsi="宋体" w:eastAsia="宋体" w:cs="宋体"/>
          <w:b/>
          <w:bCs/>
          <w:color w:val="auto"/>
          <w:sz w:val="30"/>
          <w:highlight w:val="none"/>
        </w:rPr>
        <w:t>联系人</w:t>
      </w:r>
      <w:r>
        <w:rPr>
          <w:rFonts w:hint="eastAsia" w:ascii="宋体" w:hAnsi="宋体" w:eastAsia="宋体" w:cs="宋体"/>
          <w:b/>
          <w:bCs/>
          <w:color w:val="auto"/>
          <w:sz w:val="30"/>
          <w:highlight w:val="none"/>
          <w:lang w:eastAsia="zh-CN"/>
        </w:rPr>
        <w:t>：</w:t>
      </w:r>
      <w:r>
        <w:rPr>
          <w:rFonts w:hint="eastAsia" w:ascii="宋体" w:hAnsi="宋体" w:eastAsia="宋体" w:cs="宋体"/>
          <w:b/>
          <w:bCs/>
          <w:color w:val="auto"/>
          <w:sz w:val="30"/>
          <w:highlight w:val="none"/>
          <w:u w:val="single"/>
        </w:rPr>
        <w:t xml:space="preserve">              </w:t>
      </w:r>
      <w:r>
        <w:rPr>
          <w:rFonts w:hint="eastAsia" w:ascii="宋体" w:hAnsi="宋体" w:eastAsia="宋体" w:cs="宋体"/>
          <w:b/>
          <w:bCs/>
          <w:color w:val="auto"/>
          <w:sz w:val="30"/>
          <w:highlight w:val="none"/>
        </w:rPr>
        <w:t>联系电话</w:t>
      </w:r>
      <w:r>
        <w:rPr>
          <w:rFonts w:hint="eastAsia" w:ascii="宋体" w:hAnsi="宋体" w:eastAsia="宋体" w:cs="宋体"/>
          <w:b/>
          <w:bCs/>
          <w:color w:val="auto"/>
          <w:sz w:val="30"/>
          <w:highlight w:val="none"/>
          <w:lang w:eastAsia="zh-CN"/>
        </w:rPr>
        <w:t>：</w:t>
      </w:r>
      <w:r>
        <w:rPr>
          <w:rFonts w:hint="eastAsia" w:ascii="宋体" w:hAnsi="宋体" w:eastAsia="宋体" w:cs="宋体"/>
          <w:b/>
          <w:bCs/>
          <w:color w:val="auto"/>
          <w:sz w:val="30"/>
          <w:highlight w:val="none"/>
          <w:u w:val="single"/>
        </w:rPr>
        <w:t xml:space="preserve">               </w:t>
      </w:r>
      <w:r>
        <w:rPr>
          <w:rFonts w:hint="eastAsia" w:ascii="宋体" w:hAnsi="宋体" w:cs="宋体"/>
          <w:b/>
          <w:bCs/>
          <w:color w:val="auto"/>
          <w:sz w:val="30"/>
          <w:highlight w:val="none"/>
          <w:u w:val="single"/>
          <w:lang w:val="en-US" w:eastAsia="zh-CN"/>
        </w:rPr>
        <w:t xml:space="preserve"> </w:t>
      </w:r>
    </w:p>
    <w:p w14:paraId="5EBF82F2">
      <w:pPr>
        <w:spacing w:line="580" w:lineRule="atLeast"/>
        <w:ind w:left="840" w:leftChars="400"/>
        <w:rPr>
          <w:rFonts w:hint="eastAsia" w:ascii="宋体" w:hAnsi="宋体" w:eastAsia="宋体" w:cs="宋体"/>
          <w:b/>
          <w:bCs/>
          <w:color w:val="auto"/>
          <w:sz w:val="30"/>
          <w:highlight w:val="none"/>
        </w:rPr>
      </w:pPr>
      <w:r>
        <w:rPr>
          <w:rFonts w:hint="eastAsia" w:ascii="宋体" w:hAnsi="宋体" w:eastAsia="宋体" w:cs="宋体"/>
          <w:b/>
          <w:bCs/>
          <w:color w:val="auto"/>
          <w:sz w:val="30"/>
          <w:highlight w:val="none"/>
        </w:rPr>
        <w:t>日  期</w:t>
      </w:r>
      <w:r>
        <w:rPr>
          <w:rFonts w:hint="eastAsia" w:ascii="宋体" w:hAnsi="宋体" w:eastAsia="宋体" w:cs="宋体"/>
          <w:b/>
          <w:bCs/>
          <w:color w:val="auto"/>
          <w:sz w:val="30"/>
          <w:highlight w:val="none"/>
          <w:lang w:eastAsia="zh-CN"/>
        </w:rPr>
        <w:t>：</w:t>
      </w:r>
      <w:r>
        <w:rPr>
          <w:rFonts w:hint="eastAsia" w:ascii="宋体" w:hAnsi="宋体" w:eastAsia="宋体" w:cs="宋体"/>
          <w:b/>
          <w:bCs/>
          <w:color w:val="auto"/>
          <w:sz w:val="30"/>
          <w:highlight w:val="none"/>
          <w:u w:val="single"/>
        </w:rPr>
        <w:t xml:space="preserve">                                        </w:t>
      </w:r>
    </w:p>
    <w:p w14:paraId="411B0DD5">
      <w:pPr>
        <w:spacing w:line="580" w:lineRule="atLeast"/>
        <w:ind w:left="840" w:leftChars="400"/>
        <w:rPr>
          <w:rFonts w:hint="eastAsia" w:ascii="宋体" w:hAnsi="宋体" w:eastAsia="宋体" w:cs="宋体"/>
          <w:b/>
          <w:bCs/>
          <w:color w:val="auto"/>
          <w:sz w:val="48"/>
          <w:highlight w:val="none"/>
        </w:rPr>
      </w:pPr>
      <w:r>
        <w:rPr>
          <w:rFonts w:hint="eastAsia" w:ascii="宋体" w:hAnsi="宋体" w:eastAsia="宋体" w:cs="宋体"/>
          <w:b/>
          <w:bCs/>
          <w:color w:val="auto"/>
          <w:sz w:val="30"/>
          <w:highlight w:val="none"/>
          <w:u w:val="single"/>
        </w:rPr>
        <w:br w:type="page"/>
      </w:r>
    </w:p>
    <w:p w14:paraId="7B1EDAC1">
      <w:pPr>
        <w:bidi w:val="0"/>
        <w:rPr>
          <w:highlight w:val="none"/>
        </w:rPr>
      </w:pPr>
    </w:p>
    <w:p w14:paraId="34F3E1B0">
      <w:pPr>
        <w:widowControl/>
        <w:jc w:val="center"/>
        <w:rPr>
          <w:rFonts w:asciiTheme="majorEastAsia" w:hAnsiTheme="majorEastAsia" w:eastAsiaTheme="majorEastAsia"/>
          <w:b/>
          <w:color w:val="auto"/>
          <w:kern w:val="0"/>
          <w:sz w:val="32"/>
          <w:szCs w:val="20"/>
          <w:highlight w:val="none"/>
        </w:rPr>
      </w:pPr>
      <w:r>
        <w:rPr>
          <w:rFonts w:asciiTheme="majorEastAsia" w:hAnsiTheme="majorEastAsia" w:eastAsiaTheme="majorEastAsia"/>
          <w:b/>
          <w:color w:val="auto"/>
          <w:kern w:val="0"/>
          <w:sz w:val="32"/>
          <w:szCs w:val="20"/>
          <w:highlight w:val="none"/>
        </w:rPr>
        <w:t>目</w:t>
      </w:r>
      <w:r>
        <w:rPr>
          <w:rFonts w:hint="eastAsia" w:asciiTheme="majorEastAsia" w:hAnsiTheme="majorEastAsia" w:eastAsiaTheme="majorEastAsia"/>
          <w:b/>
          <w:color w:val="auto"/>
          <w:kern w:val="0"/>
          <w:sz w:val="32"/>
          <w:szCs w:val="20"/>
          <w:highlight w:val="none"/>
        </w:rPr>
        <w:t xml:space="preserve"> </w:t>
      </w:r>
      <w:r>
        <w:rPr>
          <w:rFonts w:asciiTheme="majorEastAsia" w:hAnsiTheme="majorEastAsia" w:eastAsiaTheme="majorEastAsia"/>
          <w:b/>
          <w:color w:val="auto"/>
          <w:kern w:val="0"/>
          <w:sz w:val="32"/>
          <w:szCs w:val="20"/>
          <w:highlight w:val="none"/>
        </w:rPr>
        <w:t xml:space="preserve">  录</w:t>
      </w:r>
    </w:p>
    <w:p w14:paraId="2411336C">
      <w:pPr>
        <w:widowControl/>
        <w:jc w:val="center"/>
        <w:rPr>
          <w:color w:val="auto"/>
          <w:sz w:val="23"/>
          <w:highlight w:val="none"/>
        </w:rPr>
      </w:pPr>
    </w:p>
    <w:p w14:paraId="06451465">
      <w:pPr>
        <w:widowControl/>
        <w:jc w:val="center"/>
        <w:rPr>
          <w:color w:val="auto"/>
          <w:sz w:val="23"/>
          <w:highlight w:val="none"/>
        </w:rPr>
      </w:pPr>
      <w:r>
        <w:rPr>
          <w:color w:val="auto"/>
          <w:sz w:val="23"/>
          <w:highlight w:val="none"/>
        </w:rPr>
        <w:t>（请根据招标文件格式并结合自身实际编制）</w:t>
      </w:r>
    </w:p>
    <w:p w14:paraId="213E0D2E">
      <w:pPr>
        <w:pStyle w:val="32"/>
        <w:ind w:firstLine="520"/>
        <w:rPr>
          <w:color w:val="auto"/>
          <w:highlight w:val="none"/>
        </w:rPr>
      </w:pPr>
      <w:r>
        <w:rPr>
          <w:color w:val="auto"/>
          <w:highlight w:val="none"/>
        </w:rPr>
        <w:br w:type="page"/>
      </w:r>
    </w:p>
    <w:p w14:paraId="75630F22">
      <w:pPr>
        <w:widowControl/>
        <w:ind w:firstLine="2409" w:firstLineChars="500"/>
        <w:jc w:val="left"/>
        <w:rPr>
          <w:rFonts w:hint="eastAsia" w:ascii="宋体" w:hAnsi="宋体" w:eastAsia="宋体" w:cs="宋体"/>
          <w:b/>
          <w:bCs/>
          <w:color w:val="auto"/>
          <w:sz w:val="48"/>
          <w:highlight w:val="none"/>
        </w:rPr>
      </w:pPr>
    </w:p>
    <w:p w14:paraId="0969976B">
      <w:pPr>
        <w:widowControl/>
        <w:ind w:firstLine="2409" w:firstLineChars="500"/>
        <w:jc w:val="left"/>
        <w:rPr>
          <w:rFonts w:hint="eastAsia" w:ascii="宋体" w:hAnsi="宋体" w:eastAsia="宋体" w:cs="宋体"/>
          <w:b/>
          <w:bCs/>
          <w:color w:val="auto"/>
          <w:sz w:val="48"/>
          <w:highlight w:val="none"/>
        </w:rPr>
      </w:pPr>
    </w:p>
    <w:p w14:paraId="50049B82">
      <w:pPr>
        <w:widowControl/>
        <w:ind w:firstLine="2409" w:firstLineChars="500"/>
        <w:jc w:val="left"/>
        <w:rPr>
          <w:rFonts w:hint="eastAsia" w:ascii="宋体" w:hAnsi="宋体" w:eastAsia="宋体" w:cs="宋体"/>
          <w:b/>
          <w:bCs/>
          <w:color w:val="auto"/>
          <w:sz w:val="48"/>
          <w:highlight w:val="none"/>
        </w:rPr>
      </w:pPr>
    </w:p>
    <w:p w14:paraId="2FE19144">
      <w:pPr>
        <w:widowControl/>
        <w:ind w:firstLine="2409" w:firstLineChars="500"/>
        <w:jc w:val="left"/>
        <w:rPr>
          <w:rFonts w:hint="eastAsia" w:ascii="宋体" w:hAnsi="宋体" w:eastAsia="宋体" w:cs="宋体"/>
          <w:b/>
          <w:bCs/>
          <w:color w:val="auto"/>
          <w:sz w:val="48"/>
          <w:highlight w:val="none"/>
        </w:rPr>
      </w:pPr>
    </w:p>
    <w:p w14:paraId="2DFDF7EE">
      <w:pPr>
        <w:widowControl/>
        <w:ind w:firstLine="2409" w:firstLineChars="500"/>
        <w:jc w:val="left"/>
        <w:rPr>
          <w:rFonts w:hint="eastAsia" w:ascii="宋体" w:hAnsi="宋体" w:eastAsia="宋体" w:cs="宋体"/>
          <w:b/>
          <w:bCs/>
          <w:color w:val="auto"/>
          <w:sz w:val="48"/>
          <w:highlight w:val="none"/>
        </w:rPr>
      </w:pPr>
    </w:p>
    <w:p w14:paraId="7C502CEC">
      <w:pPr>
        <w:widowControl/>
        <w:ind w:firstLine="2409" w:firstLineChars="500"/>
        <w:jc w:val="left"/>
        <w:rPr>
          <w:rFonts w:hint="eastAsia" w:ascii="宋体" w:hAnsi="宋体" w:eastAsia="宋体" w:cs="宋体"/>
          <w:b/>
          <w:bCs/>
          <w:color w:val="auto"/>
          <w:sz w:val="48"/>
          <w:highlight w:val="none"/>
        </w:rPr>
      </w:pPr>
    </w:p>
    <w:p w14:paraId="1C2A2FCE">
      <w:pPr>
        <w:widowControl/>
        <w:ind w:firstLine="2409" w:firstLineChars="500"/>
        <w:jc w:val="left"/>
        <w:rPr>
          <w:rFonts w:hint="eastAsia" w:ascii="宋体" w:hAnsi="宋体" w:eastAsia="宋体" w:cs="宋体"/>
          <w:b/>
          <w:bCs/>
          <w:color w:val="auto"/>
          <w:sz w:val="48"/>
          <w:highlight w:val="none"/>
        </w:rPr>
      </w:pPr>
    </w:p>
    <w:p w14:paraId="6700C8E4">
      <w:pPr>
        <w:widowControl/>
        <w:ind w:firstLine="2409" w:firstLineChars="500"/>
        <w:jc w:val="left"/>
        <w:rPr>
          <w:rFonts w:hint="eastAsia" w:ascii="宋体" w:hAnsi="宋体" w:eastAsia="宋体" w:cs="宋体"/>
          <w:b/>
          <w:bCs/>
          <w:color w:val="auto"/>
          <w:sz w:val="48"/>
          <w:highlight w:val="none"/>
        </w:rPr>
      </w:pPr>
    </w:p>
    <w:p w14:paraId="14FAAADD">
      <w:pPr>
        <w:widowControl/>
        <w:ind w:firstLine="2409" w:firstLineChars="500"/>
        <w:jc w:val="left"/>
        <w:rPr>
          <w:rFonts w:hint="eastAsia" w:ascii="宋体" w:hAnsi="宋体" w:eastAsia="宋体" w:cs="宋体"/>
          <w:b/>
          <w:bCs/>
          <w:color w:val="auto"/>
          <w:sz w:val="48"/>
          <w:highlight w:val="none"/>
        </w:rPr>
      </w:pPr>
    </w:p>
    <w:p w14:paraId="582766A3">
      <w:pPr>
        <w:pStyle w:val="2"/>
        <w:rPr>
          <w:rFonts w:hint="eastAsia" w:ascii="宋体" w:hAnsi="宋体" w:eastAsia="宋体" w:cs="宋体"/>
          <w:color w:val="auto"/>
          <w:highlight w:val="none"/>
        </w:rPr>
        <w:sectPr>
          <w:headerReference r:id="rId7" w:type="default"/>
          <w:footerReference r:id="rId8" w:type="even"/>
          <w:pgSz w:w="11906" w:h="16838"/>
          <w:pgMar w:top="1418" w:right="1247" w:bottom="1304" w:left="1361" w:header="851" w:footer="851" w:gutter="0"/>
          <w:pgBorders>
            <w:top w:val="none" w:sz="0" w:space="0"/>
            <w:left w:val="none" w:sz="0" w:space="0"/>
            <w:bottom w:val="none" w:sz="0" w:space="0"/>
            <w:right w:val="none" w:sz="0" w:space="0"/>
          </w:pgBorders>
          <w:cols w:space="720" w:num="1"/>
          <w:docGrid w:linePitch="312" w:charSpace="0"/>
        </w:sectPr>
      </w:pPr>
      <w:bookmarkStart w:id="140" w:name="_Toc24277"/>
      <w:bookmarkStart w:id="141" w:name="_Toc5430"/>
      <w:r>
        <w:rPr>
          <w:rFonts w:hint="eastAsia" w:ascii="宋体" w:hAnsi="宋体" w:eastAsia="宋体" w:cs="宋体"/>
          <w:color w:val="auto"/>
          <w:highlight w:val="none"/>
        </w:rPr>
        <w:t>一、资格审查部分</w:t>
      </w:r>
      <w:bookmarkEnd w:id="140"/>
      <w:bookmarkEnd w:id="141"/>
    </w:p>
    <w:p w14:paraId="20F068BB">
      <w:pPr>
        <w:rPr>
          <w:rFonts w:hint="eastAsia" w:ascii="宋体" w:hAnsi="宋体" w:eastAsia="宋体" w:cs="宋体"/>
          <w:color w:val="auto"/>
          <w:highlight w:val="none"/>
        </w:rPr>
      </w:pPr>
      <w:bookmarkStart w:id="142" w:name="_Toc376964464"/>
      <w:bookmarkStart w:id="143" w:name="_Toc327178025"/>
      <w:bookmarkStart w:id="144" w:name="_Toc326740417"/>
      <w:bookmarkStart w:id="145" w:name="_Toc19192"/>
      <w:bookmarkStart w:id="146" w:name="_Toc29181"/>
      <w:bookmarkStart w:id="147" w:name="_Toc472594292"/>
      <w:bookmarkStart w:id="148" w:name="_Toc184807585"/>
    </w:p>
    <w:p w14:paraId="49C96462">
      <w:pPr>
        <w:pStyle w:val="3"/>
        <w:numPr>
          <w:ilvl w:val="0"/>
          <w:numId w:val="0"/>
        </w:numPr>
        <w:spacing w:before="0"/>
        <w:jc w:val="center"/>
        <w:rPr>
          <w:rFonts w:hint="eastAsia" w:ascii="宋体" w:hAnsi="宋体" w:eastAsia="宋体" w:cs="宋体"/>
          <w:color w:val="auto"/>
          <w:sz w:val="30"/>
          <w:szCs w:val="28"/>
          <w:highlight w:val="none"/>
        </w:rPr>
      </w:pPr>
      <w:bookmarkStart w:id="149" w:name="_Toc14499"/>
      <w:bookmarkStart w:id="150" w:name="_Toc13776"/>
      <w:r>
        <w:rPr>
          <w:rFonts w:hint="eastAsia" w:ascii="宋体" w:hAnsi="宋体" w:eastAsia="宋体" w:cs="宋体"/>
          <w:color w:val="auto"/>
          <w:sz w:val="30"/>
          <w:szCs w:val="28"/>
          <w:highlight w:val="none"/>
        </w:rPr>
        <w:t>格式</w:t>
      </w:r>
      <w:r>
        <w:rPr>
          <w:rFonts w:hint="eastAsia" w:ascii="宋体" w:hAnsi="宋体" w:eastAsia="宋体" w:cs="宋体"/>
          <w:color w:val="auto"/>
          <w:sz w:val="30"/>
          <w:szCs w:val="28"/>
          <w:highlight w:val="none"/>
          <w:lang w:val="en-US" w:eastAsia="zh-CN"/>
        </w:rPr>
        <w:t>1</w:t>
      </w:r>
      <w:r>
        <w:rPr>
          <w:rFonts w:hint="eastAsia" w:ascii="宋体" w:hAnsi="宋体" w:eastAsia="宋体" w:cs="宋体"/>
          <w:color w:val="auto"/>
          <w:sz w:val="30"/>
          <w:szCs w:val="28"/>
          <w:highlight w:val="none"/>
        </w:rPr>
        <w:t>：</w:t>
      </w:r>
      <w:bookmarkEnd w:id="142"/>
      <w:bookmarkEnd w:id="143"/>
      <w:bookmarkEnd w:id="144"/>
      <w:r>
        <w:rPr>
          <w:rFonts w:hint="eastAsia" w:ascii="宋体" w:hAnsi="宋体" w:eastAsia="宋体" w:cs="宋体"/>
          <w:color w:val="auto"/>
          <w:sz w:val="30"/>
          <w:szCs w:val="28"/>
          <w:highlight w:val="none"/>
        </w:rPr>
        <w:t>投标人信息表</w:t>
      </w:r>
      <w:bookmarkEnd w:id="145"/>
      <w:bookmarkEnd w:id="146"/>
      <w:bookmarkEnd w:id="147"/>
      <w:bookmarkEnd w:id="149"/>
      <w:bookmarkEnd w:id="150"/>
    </w:p>
    <w:p w14:paraId="40B2105C">
      <w:pPr>
        <w:rPr>
          <w:rFonts w:hint="eastAsia" w:ascii="宋体" w:hAnsi="宋体" w:eastAsia="宋体" w:cs="宋体"/>
          <w:color w:val="auto"/>
          <w:highlight w:val="none"/>
        </w:rPr>
      </w:pPr>
    </w:p>
    <w:tbl>
      <w:tblPr>
        <w:tblStyle w:val="33"/>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28" w:type="dxa"/>
          <w:bottom w:w="0" w:type="dxa"/>
          <w:right w:w="28" w:type="dxa"/>
        </w:tblCellMar>
      </w:tblPr>
      <w:tblGrid>
        <w:gridCol w:w="606"/>
        <w:gridCol w:w="3726"/>
        <w:gridCol w:w="4036"/>
      </w:tblGrid>
      <w:tr w14:paraId="4D9C40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89" w:hRule="atLeast"/>
        </w:trPr>
        <w:tc>
          <w:tcPr>
            <w:tcW w:w="362" w:type="pct"/>
            <w:tcBorders>
              <w:top w:val="single" w:color="auto" w:sz="6" w:space="0"/>
              <w:left w:val="single" w:color="auto" w:sz="6" w:space="0"/>
              <w:bottom w:val="single" w:color="auto" w:sz="6" w:space="0"/>
              <w:right w:val="single" w:color="auto" w:sz="6" w:space="0"/>
            </w:tcBorders>
            <w:vAlign w:val="center"/>
          </w:tcPr>
          <w:p w14:paraId="5D22C37B">
            <w:pPr>
              <w:spacing w:line="276"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w:t>
            </w:r>
          </w:p>
        </w:tc>
        <w:tc>
          <w:tcPr>
            <w:tcW w:w="4637" w:type="pct"/>
            <w:gridSpan w:val="2"/>
            <w:tcBorders>
              <w:top w:val="single" w:color="auto" w:sz="6" w:space="0"/>
              <w:left w:val="single" w:color="auto" w:sz="6" w:space="0"/>
              <w:bottom w:val="single" w:color="auto" w:sz="6" w:space="0"/>
              <w:right w:val="single" w:color="auto" w:sz="6" w:space="0"/>
            </w:tcBorders>
            <w:vAlign w:val="center"/>
          </w:tcPr>
          <w:p w14:paraId="308B92D4">
            <w:pPr>
              <w:spacing w:line="276"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单位名称：</w:t>
            </w:r>
          </w:p>
        </w:tc>
      </w:tr>
      <w:tr w14:paraId="5BDB7F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44" w:hRule="atLeast"/>
        </w:trPr>
        <w:tc>
          <w:tcPr>
            <w:tcW w:w="362" w:type="pct"/>
            <w:tcBorders>
              <w:top w:val="single" w:color="auto" w:sz="6" w:space="0"/>
              <w:left w:val="single" w:color="auto" w:sz="6" w:space="0"/>
              <w:bottom w:val="single" w:color="auto" w:sz="6" w:space="0"/>
              <w:right w:val="single" w:color="auto" w:sz="6" w:space="0"/>
            </w:tcBorders>
            <w:vAlign w:val="center"/>
          </w:tcPr>
          <w:p w14:paraId="03EA41EE">
            <w:pPr>
              <w:spacing w:line="276"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w:t>
            </w:r>
          </w:p>
        </w:tc>
        <w:tc>
          <w:tcPr>
            <w:tcW w:w="4637" w:type="pct"/>
            <w:gridSpan w:val="2"/>
            <w:tcBorders>
              <w:top w:val="single" w:color="auto" w:sz="6" w:space="0"/>
              <w:left w:val="single" w:color="auto" w:sz="6" w:space="0"/>
              <w:bottom w:val="single" w:color="auto" w:sz="6" w:space="0"/>
              <w:right w:val="single" w:color="auto" w:sz="6" w:space="0"/>
            </w:tcBorders>
            <w:vAlign w:val="center"/>
          </w:tcPr>
          <w:p w14:paraId="54E47F73">
            <w:pPr>
              <w:spacing w:line="276"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地址：</w:t>
            </w:r>
          </w:p>
        </w:tc>
      </w:tr>
      <w:tr w14:paraId="3F9974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40" w:hRule="atLeast"/>
        </w:trPr>
        <w:tc>
          <w:tcPr>
            <w:tcW w:w="362" w:type="pct"/>
            <w:tcBorders>
              <w:top w:val="single" w:color="auto" w:sz="6" w:space="0"/>
              <w:left w:val="single" w:color="auto" w:sz="6" w:space="0"/>
              <w:bottom w:val="single" w:color="auto" w:sz="6" w:space="0"/>
              <w:right w:val="single" w:color="auto" w:sz="6" w:space="0"/>
            </w:tcBorders>
            <w:vAlign w:val="center"/>
          </w:tcPr>
          <w:p w14:paraId="477F1E9B">
            <w:pPr>
              <w:spacing w:line="276"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w:t>
            </w:r>
          </w:p>
        </w:tc>
        <w:tc>
          <w:tcPr>
            <w:tcW w:w="2226" w:type="pct"/>
            <w:tcBorders>
              <w:top w:val="single" w:color="auto" w:sz="6" w:space="0"/>
              <w:left w:val="single" w:color="auto" w:sz="6" w:space="0"/>
              <w:bottom w:val="single" w:color="auto" w:sz="6" w:space="0"/>
              <w:right w:val="single" w:color="auto" w:sz="6" w:space="0"/>
            </w:tcBorders>
            <w:vAlign w:val="center"/>
          </w:tcPr>
          <w:p w14:paraId="1D646BAF">
            <w:pPr>
              <w:spacing w:line="276"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联系人：</w:t>
            </w:r>
          </w:p>
        </w:tc>
        <w:tc>
          <w:tcPr>
            <w:tcW w:w="2410" w:type="pct"/>
            <w:tcBorders>
              <w:top w:val="single" w:color="auto" w:sz="6" w:space="0"/>
              <w:left w:val="single" w:color="auto" w:sz="6" w:space="0"/>
              <w:bottom w:val="single" w:color="auto" w:sz="6" w:space="0"/>
              <w:right w:val="single" w:color="auto" w:sz="6" w:space="0"/>
            </w:tcBorders>
            <w:vAlign w:val="center"/>
          </w:tcPr>
          <w:p w14:paraId="2F1C1D6C">
            <w:pPr>
              <w:spacing w:line="276"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电话：</w:t>
            </w:r>
          </w:p>
        </w:tc>
      </w:tr>
      <w:tr w14:paraId="7ECACE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77" w:hRule="atLeast"/>
        </w:trPr>
        <w:tc>
          <w:tcPr>
            <w:tcW w:w="362" w:type="pct"/>
            <w:tcBorders>
              <w:top w:val="single" w:color="auto" w:sz="6" w:space="0"/>
              <w:left w:val="single" w:color="auto" w:sz="6" w:space="0"/>
              <w:bottom w:val="single" w:color="auto" w:sz="6" w:space="0"/>
              <w:right w:val="single" w:color="auto" w:sz="6" w:space="0"/>
            </w:tcBorders>
            <w:vAlign w:val="center"/>
          </w:tcPr>
          <w:p w14:paraId="6BE870BD">
            <w:pPr>
              <w:spacing w:line="276"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w:t>
            </w:r>
          </w:p>
        </w:tc>
        <w:tc>
          <w:tcPr>
            <w:tcW w:w="4637" w:type="pct"/>
            <w:gridSpan w:val="2"/>
            <w:tcBorders>
              <w:top w:val="single" w:color="auto" w:sz="6" w:space="0"/>
              <w:left w:val="single" w:color="auto" w:sz="6" w:space="0"/>
              <w:bottom w:val="single" w:color="auto" w:sz="6" w:space="0"/>
              <w:right w:val="single" w:color="auto" w:sz="6" w:space="0"/>
            </w:tcBorders>
            <w:vAlign w:val="center"/>
          </w:tcPr>
          <w:p w14:paraId="5B525653">
            <w:pPr>
              <w:spacing w:line="276"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电子邮箱：</w:t>
            </w:r>
          </w:p>
        </w:tc>
      </w:tr>
      <w:tr w14:paraId="6BBE53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33" w:hRule="atLeast"/>
        </w:trPr>
        <w:tc>
          <w:tcPr>
            <w:tcW w:w="362" w:type="pct"/>
            <w:tcBorders>
              <w:top w:val="single" w:color="auto" w:sz="6" w:space="0"/>
              <w:left w:val="single" w:color="auto" w:sz="6" w:space="0"/>
              <w:bottom w:val="single" w:color="auto" w:sz="6" w:space="0"/>
              <w:right w:val="single" w:color="auto" w:sz="6" w:space="0"/>
            </w:tcBorders>
            <w:vAlign w:val="center"/>
          </w:tcPr>
          <w:p w14:paraId="11A26C82">
            <w:pPr>
              <w:spacing w:line="276"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w:t>
            </w:r>
          </w:p>
        </w:tc>
        <w:tc>
          <w:tcPr>
            <w:tcW w:w="2226" w:type="pct"/>
            <w:tcBorders>
              <w:top w:val="single" w:color="auto" w:sz="6" w:space="0"/>
              <w:left w:val="single" w:color="auto" w:sz="6" w:space="0"/>
              <w:bottom w:val="single" w:color="auto" w:sz="6" w:space="0"/>
              <w:right w:val="single" w:color="auto" w:sz="6" w:space="0"/>
            </w:tcBorders>
            <w:vAlign w:val="center"/>
          </w:tcPr>
          <w:p w14:paraId="0E7BE097">
            <w:pPr>
              <w:spacing w:line="276"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注册地：</w:t>
            </w:r>
          </w:p>
        </w:tc>
        <w:tc>
          <w:tcPr>
            <w:tcW w:w="2410" w:type="pct"/>
            <w:tcBorders>
              <w:top w:val="single" w:color="auto" w:sz="6" w:space="0"/>
              <w:left w:val="single" w:color="auto" w:sz="6" w:space="0"/>
              <w:bottom w:val="single" w:color="auto" w:sz="6" w:space="0"/>
              <w:right w:val="single" w:color="auto" w:sz="6" w:space="0"/>
            </w:tcBorders>
            <w:vAlign w:val="center"/>
          </w:tcPr>
          <w:p w14:paraId="6648C5C3">
            <w:pPr>
              <w:spacing w:line="276"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注册年份：</w:t>
            </w:r>
          </w:p>
        </w:tc>
      </w:tr>
      <w:tr w14:paraId="7AA78E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42" w:hRule="atLeast"/>
        </w:trPr>
        <w:tc>
          <w:tcPr>
            <w:tcW w:w="362" w:type="pct"/>
            <w:tcBorders>
              <w:top w:val="single" w:color="auto" w:sz="6" w:space="0"/>
              <w:left w:val="single" w:color="auto" w:sz="6" w:space="0"/>
              <w:bottom w:val="single" w:color="auto" w:sz="6" w:space="0"/>
              <w:right w:val="single" w:color="auto" w:sz="6" w:space="0"/>
            </w:tcBorders>
            <w:vAlign w:val="center"/>
          </w:tcPr>
          <w:p w14:paraId="62C482FD">
            <w:pPr>
              <w:spacing w:line="276"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6</w:t>
            </w:r>
          </w:p>
        </w:tc>
        <w:tc>
          <w:tcPr>
            <w:tcW w:w="4637" w:type="pct"/>
            <w:gridSpan w:val="2"/>
            <w:tcBorders>
              <w:top w:val="single" w:color="auto" w:sz="6" w:space="0"/>
              <w:left w:val="single" w:color="auto" w:sz="6" w:space="0"/>
              <w:bottom w:val="single" w:color="auto" w:sz="6" w:space="0"/>
              <w:right w:val="single" w:color="auto" w:sz="6" w:space="0"/>
            </w:tcBorders>
            <w:vAlign w:val="center"/>
          </w:tcPr>
          <w:p w14:paraId="28970E90">
            <w:pPr>
              <w:spacing w:line="276" w:lineRule="auto"/>
              <w:rPr>
                <w:rFonts w:hint="eastAsia" w:ascii="宋体" w:hAnsi="宋体" w:eastAsia="宋体" w:cs="宋体"/>
                <w:color w:val="auto"/>
                <w:kern w:val="0"/>
                <w:sz w:val="24"/>
                <w:highlight w:val="none"/>
              </w:rPr>
            </w:pPr>
            <w:r>
              <w:rPr>
                <w:rFonts w:hint="eastAsia" w:ascii="宋体" w:hAnsi="宋体"/>
                <w:color w:val="auto"/>
                <w:kern w:val="0"/>
                <w:sz w:val="24"/>
                <w:highlight w:val="none"/>
              </w:rPr>
              <w:t>公司取得的相关证照：</w:t>
            </w:r>
          </w:p>
        </w:tc>
      </w:tr>
      <w:tr w14:paraId="1252C4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24" w:hRule="atLeast"/>
        </w:trPr>
        <w:tc>
          <w:tcPr>
            <w:tcW w:w="362" w:type="pct"/>
            <w:tcBorders>
              <w:top w:val="single" w:color="auto" w:sz="6" w:space="0"/>
              <w:left w:val="single" w:color="auto" w:sz="6" w:space="0"/>
              <w:bottom w:val="single" w:color="auto" w:sz="6" w:space="0"/>
              <w:right w:val="single" w:color="auto" w:sz="6" w:space="0"/>
            </w:tcBorders>
            <w:vAlign w:val="center"/>
          </w:tcPr>
          <w:p w14:paraId="653A9201">
            <w:pPr>
              <w:spacing w:line="276"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7</w:t>
            </w:r>
          </w:p>
        </w:tc>
        <w:tc>
          <w:tcPr>
            <w:tcW w:w="4637" w:type="pct"/>
            <w:gridSpan w:val="2"/>
            <w:tcBorders>
              <w:top w:val="single" w:color="auto" w:sz="6" w:space="0"/>
              <w:left w:val="single" w:color="auto" w:sz="6" w:space="0"/>
              <w:bottom w:val="single" w:color="auto" w:sz="6" w:space="0"/>
              <w:right w:val="single" w:color="auto" w:sz="6" w:space="0"/>
            </w:tcBorders>
            <w:vAlign w:val="center"/>
          </w:tcPr>
          <w:p w14:paraId="25B6DB4C">
            <w:pPr>
              <w:spacing w:line="276"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人员情况：</w:t>
            </w:r>
          </w:p>
        </w:tc>
      </w:tr>
      <w:tr w14:paraId="71748D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518" w:hRule="atLeast"/>
        </w:trPr>
        <w:tc>
          <w:tcPr>
            <w:tcW w:w="362" w:type="pct"/>
            <w:tcBorders>
              <w:top w:val="single" w:color="auto" w:sz="6" w:space="0"/>
              <w:left w:val="single" w:color="auto" w:sz="6" w:space="0"/>
              <w:bottom w:val="single" w:color="auto" w:sz="6" w:space="0"/>
              <w:right w:val="single" w:color="auto" w:sz="6" w:space="0"/>
            </w:tcBorders>
            <w:vAlign w:val="center"/>
          </w:tcPr>
          <w:p w14:paraId="257943D1">
            <w:pPr>
              <w:spacing w:line="276"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8</w:t>
            </w:r>
          </w:p>
        </w:tc>
        <w:tc>
          <w:tcPr>
            <w:tcW w:w="4637" w:type="pct"/>
            <w:gridSpan w:val="2"/>
            <w:tcBorders>
              <w:top w:val="single" w:color="auto" w:sz="6" w:space="0"/>
              <w:left w:val="single" w:color="auto" w:sz="6" w:space="0"/>
              <w:bottom w:val="single" w:color="auto" w:sz="6" w:space="0"/>
              <w:right w:val="single" w:color="auto" w:sz="6" w:space="0"/>
            </w:tcBorders>
          </w:tcPr>
          <w:p w14:paraId="6E397A07">
            <w:pPr>
              <w:spacing w:line="276" w:lineRule="auto"/>
              <w:rPr>
                <w:rFonts w:hint="eastAsia" w:ascii="宋体" w:hAnsi="宋体" w:eastAsia="宋体" w:cs="宋体"/>
                <w:color w:val="auto"/>
                <w:kern w:val="0"/>
                <w:sz w:val="24"/>
                <w:highlight w:val="none"/>
              </w:rPr>
            </w:pPr>
          </w:p>
          <w:p w14:paraId="1DFBCFDC">
            <w:pPr>
              <w:spacing w:line="276"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主营范围：</w:t>
            </w:r>
          </w:p>
        </w:tc>
      </w:tr>
      <w:tr w14:paraId="3DEF9B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81" w:hRule="atLeast"/>
        </w:trPr>
        <w:tc>
          <w:tcPr>
            <w:tcW w:w="362" w:type="pct"/>
            <w:tcBorders>
              <w:top w:val="single" w:color="auto" w:sz="6" w:space="0"/>
              <w:left w:val="single" w:color="auto" w:sz="6" w:space="0"/>
              <w:bottom w:val="single" w:color="auto" w:sz="6" w:space="0"/>
              <w:right w:val="single" w:color="auto" w:sz="6" w:space="0"/>
            </w:tcBorders>
            <w:vAlign w:val="center"/>
          </w:tcPr>
          <w:p w14:paraId="0C57F602">
            <w:pPr>
              <w:spacing w:line="276"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w:t>
            </w:r>
          </w:p>
        </w:tc>
        <w:tc>
          <w:tcPr>
            <w:tcW w:w="4637" w:type="pct"/>
            <w:gridSpan w:val="2"/>
            <w:tcBorders>
              <w:top w:val="single" w:color="auto" w:sz="6" w:space="0"/>
              <w:left w:val="single" w:color="auto" w:sz="6" w:space="0"/>
              <w:bottom w:val="single" w:color="auto" w:sz="6" w:space="0"/>
            </w:tcBorders>
            <w:vAlign w:val="center"/>
          </w:tcPr>
          <w:p w14:paraId="65035766">
            <w:pPr>
              <w:pStyle w:val="86"/>
              <w:widowControl/>
              <w:tabs>
                <w:tab w:val="left" w:pos="420"/>
                <w:tab w:val="clear" w:pos="0"/>
              </w:tabs>
              <w:autoSpaceDE/>
              <w:adjustRightInd/>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其他需要说明的情况：</w:t>
            </w:r>
          </w:p>
        </w:tc>
      </w:tr>
    </w:tbl>
    <w:p w14:paraId="52075CAF">
      <w:pPr>
        <w:keepNext w:val="0"/>
        <w:keepLines w:val="0"/>
        <w:pageBreakBefore w:val="0"/>
        <w:widowControl/>
        <w:kinsoku/>
        <w:wordWrap/>
        <w:overflowPunct/>
        <w:topLinePunct w:val="0"/>
        <w:autoSpaceDE/>
        <w:autoSpaceDN/>
        <w:bidi w:val="0"/>
        <w:adjustRightInd/>
        <w:snapToGrid/>
        <w:spacing w:before="313" w:beforeLines="100"/>
        <w:jc w:val="left"/>
        <w:textAlignment w:val="auto"/>
        <w:rPr>
          <w:rFonts w:hint="default" w:eastAsia="宋体"/>
          <w:b/>
          <w:bCs/>
          <w:color w:val="auto"/>
          <w:sz w:val="24"/>
          <w:szCs w:val="24"/>
          <w:highlight w:val="none"/>
          <w:lang w:val="en-US" w:eastAsia="zh-CN"/>
        </w:rPr>
      </w:pPr>
      <w:r>
        <w:rPr>
          <w:rFonts w:hint="eastAsia"/>
          <w:b/>
          <w:bCs/>
          <w:color w:val="auto"/>
          <w:sz w:val="24"/>
          <w:szCs w:val="24"/>
          <w:highlight w:val="none"/>
          <w:lang w:val="en-US" w:eastAsia="zh-CN"/>
        </w:rPr>
        <w:t>备注：按以下要求提供有关资格证明材料。</w:t>
      </w:r>
    </w:p>
    <w:p w14:paraId="0E999597">
      <w:pPr>
        <w:shd w:val="clear" w:color="auto" w:fill="FFFFFF"/>
        <w:spacing w:line="420" w:lineRule="exact"/>
        <w:rPr>
          <w:rFonts w:hint="eastAsia" w:ascii="宋体" w:hAnsi="宋体" w:eastAsia="宋体" w:cs="宋体"/>
          <w:color w:val="auto"/>
          <w:sz w:val="24"/>
          <w:highlight w:val="none"/>
        </w:rPr>
      </w:pPr>
    </w:p>
    <w:bookmarkEnd w:id="148"/>
    <w:p w14:paraId="761B46F1">
      <w:pPr>
        <w:rPr>
          <w:rFonts w:hint="eastAsia" w:ascii="宋体" w:hAnsi="宋体" w:eastAsia="宋体" w:cs="宋体"/>
          <w:color w:val="auto"/>
          <w:highlight w:val="none"/>
        </w:rPr>
      </w:pPr>
      <w:bookmarkStart w:id="151" w:name="_Toc150703258"/>
      <w:bookmarkStart w:id="152" w:name="_Toc525998713"/>
      <w:r>
        <w:rPr>
          <w:rFonts w:hint="eastAsia" w:ascii="宋体" w:hAnsi="宋体" w:eastAsia="宋体" w:cs="宋体"/>
          <w:bCs/>
          <w:color w:val="auto"/>
          <w:sz w:val="56"/>
          <w:highlight w:val="none"/>
        </w:rPr>
        <w:br w:type="page"/>
      </w:r>
    </w:p>
    <w:p w14:paraId="68924430">
      <w:pPr>
        <w:rPr>
          <w:rFonts w:hint="eastAsia" w:ascii="宋体" w:hAnsi="宋体" w:eastAsia="宋体" w:cs="宋体"/>
          <w:color w:val="auto"/>
          <w:highlight w:val="none"/>
        </w:rPr>
      </w:pPr>
    </w:p>
    <w:p w14:paraId="7943D89D">
      <w:pPr>
        <w:spacing w:line="460" w:lineRule="exact"/>
        <w:ind w:firstLine="480" w:firstLineChars="200"/>
        <w:rPr>
          <w:rFonts w:hint="eastAsia" w:ascii="宋体"/>
          <w:color w:val="auto"/>
          <w:sz w:val="24"/>
          <w:szCs w:val="22"/>
          <w:highlight w:val="none"/>
          <w:lang w:eastAsia="zh-CN"/>
        </w:rPr>
      </w:pPr>
      <w:r>
        <w:rPr>
          <w:rFonts w:hint="eastAsia" w:ascii="宋体"/>
          <w:color w:val="auto"/>
          <w:sz w:val="24"/>
          <w:szCs w:val="22"/>
          <w:highlight w:val="none"/>
          <w:lang w:val="en-US" w:eastAsia="zh-CN"/>
        </w:rPr>
        <w:t>1</w:t>
      </w:r>
      <w:r>
        <w:rPr>
          <w:rFonts w:hint="eastAsia" w:ascii="宋体"/>
          <w:color w:val="auto"/>
          <w:sz w:val="24"/>
          <w:szCs w:val="22"/>
          <w:highlight w:val="none"/>
        </w:rPr>
        <w:t>.</w:t>
      </w:r>
      <w:r>
        <w:rPr>
          <w:rFonts w:hint="eastAsia" w:ascii="宋体" w:hAnsi="宋体" w:eastAsia="宋体" w:cs="宋体"/>
          <w:color w:val="auto"/>
          <w:sz w:val="24"/>
          <w:highlight w:val="none"/>
        </w:rPr>
        <w:t>投标人</w:t>
      </w:r>
      <w:r>
        <w:rPr>
          <w:rFonts w:hint="eastAsia" w:ascii="宋体" w:hAnsi="宋体" w:eastAsia="宋体" w:cs="宋体"/>
          <w:color w:val="auto"/>
          <w:sz w:val="24"/>
          <w:highlight w:val="none"/>
          <w:lang w:eastAsia="zh-CN"/>
        </w:rPr>
        <w:t>应具有独立承担民事责任的能力，提供营业执照或国家颁发的相关证照等证明文件（原件扫描件加盖电子签章）</w:t>
      </w:r>
      <w:r>
        <w:rPr>
          <w:rFonts w:hint="eastAsia" w:ascii="宋体"/>
          <w:color w:val="auto"/>
          <w:sz w:val="24"/>
          <w:szCs w:val="22"/>
          <w:highlight w:val="none"/>
          <w:lang w:eastAsia="zh-CN"/>
        </w:rPr>
        <w:t>。</w:t>
      </w:r>
    </w:p>
    <w:p w14:paraId="36294426">
      <w:pPr>
        <w:keepNext w:val="0"/>
        <w:keepLines w:val="0"/>
        <w:pageBreakBefore w:val="0"/>
        <w:widowControl w:val="0"/>
        <w:topLinePunct w:val="0"/>
        <w:autoSpaceDE/>
        <w:bidi w:val="0"/>
        <w:adjustRightInd/>
        <w:spacing w:line="360" w:lineRule="auto"/>
        <w:ind w:firstLine="480" w:firstLineChars="200"/>
        <w:textAlignment w:val="auto"/>
        <w:rPr>
          <w:rFonts w:hint="eastAsia" w:ascii="宋体" w:hAnsi="宋体" w:cs="宋体"/>
          <w:color w:val="auto"/>
          <w:sz w:val="24"/>
          <w:highlight w:val="none"/>
        </w:rPr>
      </w:pPr>
      <w:r>
        <w:rPr>
          <w:rFonts w:hint="eastAsia" w:ascii="宋体" w:hAnsi="宋体" w:eastAsia="宋体" w:cs="宋体"/>
          <w:b w:val="0"/>
          <w:bCs w:val="0"/>
          <w:color w:val="auto"/>
          <w:sz w:val="24"/>
          <w:szCs w:val="24"/>
          <w:highlight w:val="none"/>
          <w:lang w:val="en-US" w:eastAsia="zh-CN"/>
        </w:rPr>
        <w:br w:type="page"/>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应具有良好的商业信誉和健全的财务会计制度</w:t>
      </w:r>
      <w:r>
        <w:rPr>
          <w:rFonts w:hint="eastAsia" w:ascii="宋体" w:hAnsi="宋体" w:cs="宋体"/>
          <w:color w:val="auto"/>
          <w:sz w:val="24"/>
          <w:highlight w:val="none"/>
        </w:rPr>
        <w:t>：</w:t>
      </w:r>
    </w:p>
    <w:p w14:paraId="31407932">
      <w:pPr>
        <w:spacing w:line="460" w:lineRule="exact"/>
        <w:ind w:firstLine="480" w:firstLineChars="200"/>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2.1投标人若为法人且成立1年及以上，提供下列①-②中的任意一种：</w:t>
      </w:r>
    </w:p>
    <w:p w14:paraId="0085BBED">
      <w:pPr>
        <w:spacing w:line="460" w:lineRule="exact"/>
        <w:ind w:firstLine="480" w:firstLineChars="200"/>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①提供</w:t>
      </w:r>
      <w:r>
        <w:rPr>
          <w:rFonts w:hint="eastAsia" w:ascii="宋体" w:hAnsi="宋体" w:cs="宋体"/>
          <w:b w:val="0"/>
          <w:bCs w:val="0"/>
          <w:color w:val="auto"/>
          <w:sz w:val="24"/>
          <w:highlight w:val="none"/>
          <w:lang w:val="en-US" w:eastAsia="zh-CN"/>
        </w:rPr>
        <w:t>2024年或2025年</w:t>
      </w:r>
      <w:r>
        <w:rPr>
          <w:rFonts w:hint="eastAsia" w:ascii="宋体" w:hAnsi="宋体" w:eastAsia="宋体" w:cs="宋体"/>
          <w:b w:val="0"/>
          <w:bCs w:val="0"/>
          <w:color w:val="auto"/>
          <w:sz w:val="24"/>
          <w:highlight w:val="none"/>
          <w:lang w:val="en-US" w:eastAsia="zh-CN"/>
        </w:rPr>
        <w:t>经审计的财务报告[报告包含：资产负债表、利润表、现金流量表、所有者权益变动表（若无所有者权益变动，此表可不提供）及会计报表附注]（原件扫描件加盖电子签章）</w:t>
      </w:r>
      <w:r>
        <w:rPr>
          <w:rFonts w:hint="eastAsia" w:ascii="宋体" w:hAnsi="宋体" w:eastAsia="宋体" w:cs="宋体"/>
          <w:b w:val="0"/>
          <w:bCs w:val="0"/>
          <w:color w:val="auto"/>
          <w:sz w:val="24"/>
          <w:highlight w:val="none"/>
          <w:lang w:eastAsia="zh-CN"/>
        </w:rPr>
        <w:t>。</w:t>
      </w:r>
    </w:p>
    <w:p w14:paraId="67B9AB5F">
      <w:pPr>
        <w:spacing w:line="460" w:lineRule="exact"/>
        <w:ind w:firstLine="480" w:firstLineChars="200"/>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②提供财政部门认可的政府采购专业担保机构出具的担保函（原件扫描件加盖电子签章）。</w:t>
      </w:r>
    </w:p>
    <w:p w14:paraId="500CCF3C">
      <w:pPr>
        <w:spacing w:line="460" w:lineRule="exact"/>
        <w:ind w:firstLine="480" w:firstLineChars="200"/>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2.2投标人若为非法人组织且成立1年及以上，提供下列①-②中的任意一种：</w:t>
      </w:r>
    </w:p>
    <w:p w14:paraId="04012FBC">
      <w:pPr>
        <w:spacing w:line="460" w:lineRule="exact"/>
        <w:ind w:firstLine="480" w:firstLineChars="200"/>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①提供</w:t>
      </w:r>
      <w:r>
        <w:rPr>
          <w:rFonts w:hint="eastAsia" w:ascii="宋体" w:hAnsi="宋体" w:cs="宋体"/>
          <w:b w:val="0"/>
          <w:bCs w:val="0"/>
          <w:color w:val="auto"/>
          <w:sz w:val="24"/>
          <w:highlight w:val="none"/>
          <w:lang w:val="en-US" w:eastAsia="zh-CN"/>
        </w:rPr>
        <w:t>2024年或2025年</w:t>
      </w:r>
      <w:r>
        <w:rPr>
          <w:rFonts w:hint="eastAsia" w:ascii="宋体" w:hAnsi="宋体" w:eastAsia="宋体" w:cs="宋体"/>
          <w:b w:val="0"/>
          <w:bCs w:val="0"/>
          <w:color w:val="auto"/>
          <w:sz w:val="24"/>
          <w:highlight w:val="none"/>
          <w:lang w:val="en-US" w:eastAsia="zh-CN"/>
        </w:rPr>
        <w:t>财务报表（原件扫描件加盖电子签章）。</w:t>
      </w:r>
    </w:p>
    <w:p w14:paraId="76C4F937">
      <w:pPr>
        <w:spacing w:line="460" w:lineRule="exact"/>
        <w:ind w:firstLine="480" w:firstLineChars="200"/>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4"/>
          <w:highlight w:val="none"/>
          <w:lang w:val="en-US" w:eastAsia="zh-CN"/>
        </w:rPr>
        <w:t>②提供财政部门认可的政府采购专业担保机构出具的担保函（原件扫描件加盖电子签章）。</w:t>
      </w:r>
    </w:p>
    <w:p w14:paraId="28DE2CFD">
      <w:pPr>
        <w:spacing w:line="460" w:lineRule="exact"/>
        <w:ind w:firstLine="480" w:firstLineChars="200"/>
        <w:rPr>
          <w:rFonts w:hint="eastAsia" w:ascii="宋体" w:hAnsi="宋体" w:eastAsia="宋体" w:cs="宋体"/>
          <w:b w:val="0"/>
          <w:bCs w:val="0"/>
          <w:color w:val="auto"/>
          <w:sz w:val="24"/>
          <w:szCs w:val="22"/>
          <w:highlight w:val="none"/>
          <w:lang w:eastAsia="zh-CN"/>
        </w:rPr>
      </w:pPr>
      <w:r>
        <w:rPr>
          <w:rFonts w:hint="eastAsia" w:ascii="宋体" w:hAnsi="宋体" w:eastAsia="宋体" w:cs="宋体"/>
          <w:b w:val="0"/>
          <w:bCs w:val="0"/>
          <w:color w:val="auto"/>
          <w:sz w:val="24"/>
          <w:highlight w:val="none"/>
          <w:lang w:val="en-US" w:eastAsia="zh-CN"/>
        </w:rPr>
        <w:t>2.3投标人成立不足1年的，提供</w:t>
      </w:r>
      <w:r>
        <w:rPr>
          <w:rFonts w:hint="eastAsia" w:ascii="宋体" w:hAnsi="宋体" w:eastAsia="宋体" w:cs="宋体"/>
          <w:b w:val="0"/>
          <w:bCs w:val="0"/>
          <w:color w:val="auto"/>
          <w:sz w:val="24"/>
          <w:highlight w:val="none"/>
        </w:rPr>
        <w:t>自投标文件提交截止时间前三个月内</w:t>
      </w:r>
      <w:r>
        <w:rPr>
          <w:rFonts w:hint="eastAsia" w:ascii="宋体" w:hAnsi="宋体" w:eastAsia="宋体" w:cs="宋体"/>
          <w:b w:val="0"/>
          <w:bCs w:val="0"/>
          <w:color w:val="auto"/>
          <w:sz w:val="24"/>
          <w:highlight w:val="none"/>
          <w:lang w:val="en-US" w:eastAsia="zh-CN"/>
        </w:rPr>
        <w:t>开户银行出具的资信证明或资金存款证明（原件扫描件加盖电子签章）；投标人成立不足3个月的，提供财务状况良好承诺书</w:t>
      </w:r>
      <w:r>
        <w:rPr>
          <w:rFonts w:hint="eastAsia" w:ascii="宋体" w:hAnsi="宋体" w:eastAsia="宋体" w:cs="宋体"/>
          <w:color w:val="auto"/>
          <w:sz w:val="24"/>
          <w:highlight w:val="none"/>
          <w:lang w:eastAsia="zh-CN"/>
        </w:rPr>
        <w:t>（原件加盖电子签章）</w:t>
      </w:r>
      <w:r>
        <w:rPr>
          <w:rFonts w:hint="eastAsia" w:ascii="宋体" w:hAnsi="宋体" w:eastAsia="宋体" w:cs="宋体"/>
          <w:b w:val="0"/>
          <w:bCs w:val="0"/>
          <w:color w:val="auto"/>
          <w:sz w:val="24"/>
          <w:szCs w:val="22"/>
          <w:highlight w:val="none"/>
          <w:lang w:val="en-US" w:eastAsia="zh-CN"/>
        </w:rPr>
        <w:t>。</w:t>
      </w:r>
    </w:p>
    <w:p w14:paraId="699D5E60">
      <w:pPr>
        <w:spacing w:line="460" w:lineRule="exact"/>
        <w:ind w:firstLine="480" w:firstLineChars="20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2.4若投标人不属于以上情形或存在特殊情况的，请提供相关证明材料或情况说明或承诺函并对其材料的真实性负责</w:t>
      </w:r>
      <w:r>
        <w:rPr>
          <w:rFonts w:hint="eastAsia" w:ascii="宋体" w:hAnsi="宋体" w:eastAsia="宋体" w:cs="宋体"/>
          <w:color w:val="auto"/>
          <w:sz w:val="24"/>
          <w:highlight w:val="none"/>
          <w:lang w:eastAsia="zh-CN"/>
        </w:rPr>
        <w:t>（原件加盖电子签章）</w:t>
      </w:r>
      <w:r>
        <w:rPr>
          <w:rFonts w:hint="eastAsia" w:ascii="宋体" w:hAnsi="宋体" w:eastAsia="宋体" w:cs="宋体"/>
          <w:b w:val="0"/>
          <w:bCs w:val="0"/>
          <w:color w:val="auto"/>
          <w:sz w:val="24"/>
          <w:highlight w:val="none"/>
          <w:lang w:val="en-US" w:eastAsia="zh-CN"/>
        </w:rPr>
        <w:t>。</w:t>
      </w:r>
    </w:p>
    <w:p w14:paraId="4ADB6515">
      <w:pPr>
        <w:keepNext w:val="0"/>
        <w:keepLines w:val="0"/>
        <w:pageBreakBefore w:val="0"/>
        <w:widowControl w:val="0"/>
        <w:topLinePunct w:val="0"/>
        <w:autoSpaceDE/>
        <w:bidi w:val="0"/>
        <w:adjustRightInd/>
        <w:spacing w:line="360" w:lineRule="auto"/>
        <w:ind w:firstLine="480" w:firstLineChars="200"/>
        <w:textAlignment w:val="auto"/>
        <w:rPr>
          <w:rFonts w:hint="eastAsia" w:ascii="宋体" w:hAnsi="宋体" w:cs="宋体"/>
          <w:color w:val="auto"/>
          <w:sz w:val="24"/>
          <w:highlight w:val="none"/>
        </w:rPr>
      </w:pPr>
    </w:p>
    <w:p w14:paraId="4F2B30F3">
      <w:pPr>
        <w:keepNext w:val="0"/>
        <w:keepLines w:val="0"/>
        <w:pageBreakBefore w:val="0"/>
        <w:widowControl w:val="0"/>
        <w:kinsoku/>
        <w:overflowPunct/>
        <w:topLinePunct w:val="0"/>
        <w:autoSpaceDE/>
        <w:autoSpaceDN/>
        <w:bidi w:val="0"/>
        <w:adjustRightInd/>
        <w:spacing w:line="460" w:lineRule="exact"/>
        <w:ind w:firstLine="480" w:firstLineChars="200"/>
        <w:textAlignment w:val="auto"/>
        <w:rPr>
          <w:rFonts w:hint="eastAsia" w:ascii="宋体" w:hAnsi="宋体" w:eastAsia="宋体" w:cs="宋体"/>
          <w:b w:val="0"/>
          <w:bCs w:val="0"/>
          <w:color w:val="auto"/>
          <w:sz w:val="24"/>
          <w:szCs w:val="24"/>
          <w:highlight w:val="none"/>
          <w:lang w:val="en-US" w:eastAsia="zh-CN"/>
        </w:rPr>
      </w:pPr>
    </w:p>
    <w:p w14:paraId="27451A28">
      <w:pPr>
        <w:keepNext w:val="0"/>
        <w:keepLines w:val="0"/>
        <w:pageBreakBefore w:val="0"/>
        <w:widowControl w:val="0"/>
        <w:kinsoku/>
        <w:overflowPunct/>
        <w:topLinePunct w:val="0"/>
        <w:autoSpaceDE/>
        <w:autoSpaceDN/>
        <w:bidi w:val="0"/>
        <w:adjustRightInd/>
        <w:spacing w:line="460" w:lineRule="exact"/>
        <w:ind w:firstLine="480" w:firstLineChars="200"/>
        <w:textAlignment w:val="auto"/>
        <w:rPr>
          <w:color w:val="auto"/>
          <w:highlight w:val="none"/>
        </w:rPr>
      </w:pPr>
      <w:r>
        <w:rPr>
          <w:rFonts w:hint="eastAsia" w:ascii="宋体" w:hAnsi="宋体" w:cs="宋体"/>
          <w:color w:val="auto"/>
          <w:sz w:val="24"/>
          <w:highlight w:val="none"/>
          <w:lang w:val="en-US" w:eastAsia="zh-CN"/>
        </w:rPr>
        <w:br w:type="page"/>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w:t>
      </w:r>
      <w:r>
        <w:rPr>
          <w:rFonts w:hint="eastAsia" w:ascii="宋体" w:hAnsi="宋体" w:eastAsia="宋体" w:cs="宋体"/>
          <w:color w:val="auto"/>
          <w:sz w:val="24"/>
          <w:highlight w:val="none"/>
          <w:lang w:eastAsia="zh-CN"/>
        </w:rPr>
        <w:t>投标人应具有依法缴纳税收和社会保障资金的良好记录，提供投标文件递交截止时间前1年期内任意1个月的依法缴纳税收和社会保障资金的证明材料（原件扫描件加盖电子签章）。投标人成立时间不足3个月的，提供相关情况说明（原件加盖电子签章）；依法免税或不需要缴纳社会保障资金的投标人，应提供相应文件（原件扫描件加盖电子签章）证明其依法免税或不需要缴纳社会保障资金</w:t>
      </w:r>
      <w:r>
        <w:rPr>
          <w:rFonts w:hint="eastAsia" w:ascii="宋体" w:hAnsi="宋体" w:eastAsia="宋体" w:cs="宋体"/>
          <w:color w:val="auto"/>
          <w:sz w:val="24"/>
          <w:highlight w:val="none"/>
        </w:rPr>
        <w:t>。</w:t>
      </w:r>
    </w:p>
    <w:p w14:paraId="319A323E">
      <w:pPr>
        <w:keepNext w:val="0"/>
        <w:keepLines w:val="0"/>
        <w:pageBreakBefore w:val="0"/>
        <w:widowControl w:val="0"/>
        <w:kinsoku/>
        <w:overflowPunct/>
        <w:topLinePunct w:val="0"/>
        <w:autoSpaceDE/>
        <w:autoSpaceDN/>
        <w:bidi w:val="0"/>
        <w:adjustRightInd/>
        <w:spacing w:line="4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lang w:val="en-US" w:eastAsia="zh-CN"/>
        </w:rPr>
        <w:br w:type="page"/>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w:t>
      </w:r>
      <w:r>
        <w:rPr>
          <w:rFonts w:hint="eastAsia" w:ascii="宋体" w:hAnsi="宋体" w:eastAsia="宋体" w:cs="宋体"/>
          <w:color w:val="auto"/>
          <w:sz w:val="24"/>
          <w:highlight w:val="none"/>
        </w:rPr>
        <w:t>投标人应具有履行合同所必需的设备和专业技术能力，提供具有履行合同所必需的设备和专业技术能力的证明材料或声明函（原件加盖电子签章）。</w:t>
      </w:r>
    </w:p>
    <w:p w14:paraId="7C977AE7">
      <w:pPr>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br w:type="page"/>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w:t>
      </w:r>
      <w:r>
        <w:rPr>
          <w:rFonts w:hint="eastAsia" w:ascii="宋体" w:hAnsi="宋体" w:eastAsia="宋体" w:cs="宋体"/>
          <w:color w:val="auto"/>
          <w:sz w:val="24"/>
          <w:highlight w:val="none"/>
        </w:rPr>
        <w:t>参加政府采购前三年内，在经营活动中没有重大违法记录（指</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因违法经营受到刑事处罚或者责令停产停业、吊销许可证或者执照、较大数额罚款等行政处罚）</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提供</w:t>
      </w:r>
      <w:r>
        <w:rPr>
          <w:rFonts w:hint="eastAsia" w:ascii="宋体" w:hAnsi="宋体" w:eastAsia="宋体" w:cs="宋体"/>
          <w:color w:val="auto"/>
          <w:sz w:val="24"/>
          <w:highlight w:val="none"/>
          <w:lang w:val="en-US" w:eastAsia="zh-CN"/>
        </w:rPr>
        <w:t>承诺</w:t>
      </w:r>
      <w:r>
        <w:rPr>
          <w:rFonts w:hint="eastAsia" w:ascii="宋体" w:hAnsi="宋体" w:eastAsia="宋体" w:cs="宋体"/>
          <w:color w:val="auto"/>
          <w:sz w:val="24"/>
          <w:highlight w:val="none"/>
        </w:rPr>
        <w:t>函（原件加盖电子签章）。</w:t>
      </w:r>
    </w:p>
    <w:p w14:paraId="7AC3DDD4">
      <w:pPr>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br w:type="page"/>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未对本项目提供整体设计、规范编制或者项目管理、监理、检测等服务</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提供</w:t>
      </w:r>
      <w:r>
        <w:rPr>
          <w:rFonts w:hint="eastAsia" w:ascii="宋体" w:hAnsi="宋体" w:eastAsia="宋体" w:cs="宋体"/>
          <w:color w:val="auto"/>
          <w:sz w:val="24"/>
          <w:highlight w:val="none"/>
          <w:lang w:val="en-US" w:eastAsia="zh-CN"/>
        </w:rPr>
        <w:t>承诺</w:t>
      </w:r>
      <w:r>
        <w:rPr>
          <w:rFonts w:hint="eastAsia" w:ascii="宋体" w:hAnsi="宋体" w:eastAsia="宋体" w:cs="宋体"/>
          <w:color w:val="auto"/>
          <w:sz w:val="24"/>
          <w:highlight w:val="none"/>
        </w:rPr>
        <w:t>函（原件加盖电子签章）。</w:t>
      </w:r>
    </w:p>
    <w:p w14:paraId="01B8AC77">
      <w:pPr>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br w:type="page"/>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w:t>
      </w:r>
      <w:r>
        <w:rPr>
          <w:rFonts w:hint="eastAsia" w:ascii="宋体" w:hAnsi="宋体" w:eastAsia="宋体" w:cs="宋体"/>
          <w:color w:val="auto"/>
          <w:kern w:val="0"/>
          <w:sz w:val="24"/>
          <w:szCs w:val="24"/>
          <w:highlight w:val="none"/>
        </w:rPr>
        <w:t>单位负责人为同一人或者存在直接控股、管理关系的不同</w:t>
      </w:r>
      <w:r>
        <w:rPr>
          <w:rFonts w:hint="eastAsia" w:ascii="宋体" w:hAnsi="宋体" w:eastAsia="宋体" w:cs="宋体"/>
          <w:color w:val="auto"/>
          <w:kern w:val="0"/>
          <w:sz w:val="24"/>
          <w:szCs w:val="24"/>
          <w:highlight w:val="none"/>
          <w:lang w:eastAsia="zh-CN"/>
        </w:rPr>
        <w:t>投标人</w:t>
      </w:r>
      <w:r>
        <w:rPr>
          <w:rFonts w:hint="eastAsia" w:ascii="宋体" w:hAnsi="宋体" w:eastAsia="宋体" w:cs="宋体"/>
          <w:color w:val="auto"/>
          <w:kern w:val="0"/>
          <w:sz w:val="24"/>
          <w:szCs w:val="24"/>
          <w:highlight w:val="none"/>
        </w:rPr>
        <w:t>，不得参加同一合同项下的政府采购活动</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sz w:val="24"/>
          <w:highlight w:val="none"/>
        </w:rPr>
        <w:t>提供</w:t>
      </w:r>
      <w:r>
        <w:rPr>
          <w:rFonts w:hint="eastAsia" w:ascii="宋体" w:hAnsi="宋体" w:eastAsia="宋体" w:cs="宋体"/>
          <w:color w:val="auto"/>
          <w:sz w:val="24"/>
          <w:highlight w:val="none"/>
          <w:lang w:val="en-US" w:eastAsia="zh-CN"/>
        </w:rPr>
        <w:t>承诺</w:t>
      </w:r>
      <w:r>
        <w:rPr>
          <w:rFonts w:hint="eastAsia" w:ascii="宋体" w:hAnsi="宋体" w:eastAsia="宋体" w:cs="宋体"/>
          <w:color w:val="auto"/>
          <w:sz w:val="24"/>
          <w:highlight w:val="none"/>
        </w:rPr>
        <w:t>函（原件加盖电子签章）。</w:t>
      </w:r>
    </w:p>
    <w:p w14:paraId="22A7F954">
      <w:pPr>
        <w:spacing w:line="480" w:lineRule="exact"/>
        <w:ind w:firstLine="480" w:firstLineChars="200"/>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br w:type="page"/>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w:t>
      </w:r>
      <w:r>
        <w:rPr>
          <w:rFonts w:hint="eastAsia" w:ascii="宋体" w:hAnsi="宋体" w:eastAsia="宋体" w:cs="宋体"/>
          <w:color w:val="auto"/>
          <w:sz w:val="24"/>
          <w:highlight w:val="none"/>
          <w:lang w:val="en-US" w:eastAsia="zh-CN"/>
        </w:rPr>
        <w:t>符合</w:t>
      </w:r>
      <w:r>
        <w:rPr>
          <w:rFonts w:hint="eastAsia" w:ascii="宋体" w:hAnsi="宋体" w:eastAsia="宋体" w:cs="宋体"/>
          <w:color w:val="auto"/>
          <w:sz w:val="24"/>
          <w:highlight w:val="none"/>
        </w:rPr>
        <w:t>法律、行政法规规定的其他条件，提供承诺函（原件加盖电子签章）</w:t>
      </w:r>
      <w:r>
        <w:rPr>
          <w:rFonts w:hint="eastAsia" w:ascii="宋体" w:hAnsi="宋体" w:eastAsia="宋体" w:cs="宋体"/>
          <w:color w:val="auto"/>
          <w:sz w:val="24"/>
          <w:highlight w:val="none"/>
          <w:lang w:eastAsia="zh-CN"/>
        </w:rPr>
        <w:t>。</w:t>
      </w:r>
    </w:p>
    <w:p w14:paraId="2CCB12A3">
      <w:pPr>
        <w:spacing w:line="48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br w:type="page"/>
      </w:r>
    </w:p>
    <w:p w14:paraId="694A7758">
      <w:pPr>
        <w:spacing w:line="480" w:lineRule="exact"/>
        <w:ind w:firstLine="480" w:firstLineChars="200"/>
        <w:rPr>
          <w:rFonts w:hint="eastAsia" w:ascii="宋体" w:hAnsi="宋体" w:cs="宋体"/>
          <w:color w:val="auto"/>
          <w:sz w:val="24"/>
          <w:highlight w:val="none"/>
          <w:lang w:val="en-US" w:eastAsia="zh-CN"/>
        </w:rPr>
      </w:pPr>
    </w:p>
    <w:p w14:paraId="52FE8364">
      <w:pPr>
        <w:spacing w:line="48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.根据《财政部关于在政府采购活动中查询及使用信用记录的通知》（财库</w:t>
      </w:r>
      <w:r>
        <w:rPr>
          <w:rFonts w:hint="eastAsia" w:ascii="宋体" w:hAnsi="宋体" w:eastAsia="宋体" w:cs="宋体"/>
          <w:color w:val="auto"/>
          <w:sz w:val="24"/>
          <w:highlight w:val="none"/>
          <w:lang w:eastAsia="zh-CN"/>
        </w:rPr>
        <w:t>〔2016〕125号</w:t>
      </w:r>
      <w:r>
        <w:rPr>
          <w:rFonts w:hint="eastAsia" w:ascii="宋体" w:hAnsi="宋体" w:eastAsia="宋体" w:cs="宋体"/>
          <w:color w:val="auto"/>
          <w:sz w:val="24"/>
          <w:highlight w:val="none"/>
        </w:rPr>
        <w:t>）的要求，</w:t>
      </w:r>
      <w:r>
        <w:rPr>
          <w:rFonts w:hint="eastAsia" w:ascii="宋体" w:hAnsi="宋体" w:eastAsia="宋体" w:cs="宋体"/>
          <w:color w:val="auto"/>
          <w:sz w:val="24"/>
          <w:highlight w:val="none"/>
          <w:lang w:eastAsia="zh-CN"/>
        </w:rPr>
        <w:t>采购代理机构</w:t>
      </w:r>
      <w:r>
        <w:rPr>
          <w:rFonts w:hint="eastAsia" w:ascii="宋体" w:hAnsi="宋体" w:eastAsia="宋体" w:cs="宋体"/>
          <w:color w:val="auto"/>
          <w:sz w:val="24"/>
          <w:highlight w:val="none"/>
        </w:rPr>
        <w:t>将通过“信用中国”网站（www.creditchina.gov.cn）、“中国政府采购网”网站（www.ccgp.gov.cn）等渠道查询</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的信用记录</w:t>
      </w:r>
      <w:r>
        <w:rPr>
          <w:rFonts w:hint="eastAsia" w:ascii="宋体" w:hAnsi="宋体" w:eastAsia="宋体" w:cs="宋体"/>
          <w:color w:val="auto"/>
          <w:sz w:val="24"/>
          <w:highlight w:val="none"/>
          <w:lang w:eastAsia="zh-CN"/>
        </w:rPr>
        <w:t>（查询时间为开标时间当天</w:t>
      </w:r>
      <w:r>
        <w:rPr>
          <w:rFonts w:hint="eastAsia" w:ascii="宋体" w:hAnsi="宋体" w:eastAsia="宋体" w:cs="宋体"/>
          <w:color w:val="auto"/>
          <w:sz w:val="24"/>
          <w:highlight w:val="none"/>
        </w:rPr>
        <w:t>，查询结果以</w:t>
      </w:r>
      <w:r>
        <w:rPr>
          <w:rFonts w:hint="eastAsia" w:ascii="宋体" w:hAnsi="宋体" w:eastAsia="宋体" w:cs="宋体"/>
          <w:color w:val="auto"/>
          <w:sz w:val="24"/>
          <w:highlight w:val="none"/>
          <w:lang w:eastAsia="zh-CN"/>
        </w:rPr>
        <w:t>采购代理机构</w:t>
      </w:r>
      <w:r>
        <w:rPr>
          <w:rFonts w:hint="eastAsia" w:ascii="宋体" w:hAnsi="宋体" w:eastAsia="宋体" w:cs="宋体"/>
          <w:color w:val="auto"/>
          <w:sz w:val="24"/>
          <w:highlight w:val="none"/>
        </w:rPr>
        <w:t>查询结果为准，并将查询记录和证据留存</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，拒绝列入失信被执行人、重大税收违法失信主体、</w:t>
      </w:r>
      <w:r>
        <w:rPr>
          <w:rFonts w:hint="eastAsia" w:ascii="宋体" w:hAnsi="宋体" w:eastAsia="宋体" w:cs="宋体"/>
          <w:color w:val="auto"/>
          <w:sz w:val="24"/>
          <w:highlight w:val="none"/>
          <w:lang w:eastAsia="zh-CN"/>
        </w:rPr>
        <w:t>政府采购活动严重违法失信行为记录名单</w:t>
      </w:r>
      <w:r>
        <w:rPr>
          <w:rFonts w:hint="eastAsia" w:ascii="宋体" w:hAnsi="宋体" w:eastAsia="宋体" w:cs="宋体"/>
          <w:color w:val="auto"/>
          <w:sz w:val="24"/>
          <w:highlight w:val="none"/>
        </w:rPr>
        <w:t>中的</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参加本项目的投标活动。</w:t>
      </w:r>
    </w:p>
    <w:p w14:paraId="3A8AD691">
      <w:pPr>
        <w:spacing w:line="480" w:lineRule="exact"/>
        <w:ind w:firstLine="480" w:firstLineChars="200"/>
        <w:rPr>
          <w:rFonts w:hint="eastAsia" w:ascii="宋体" w:hAnsi="宋体" w:eastAsia="宋体" w:cs="宋体"/>
          <w:color w:val="auto"/>
          <w:sz w:val="24"/>
          <w:highlight w:val="none"/>
        </w:rPr>
      </w:pPr>
    </w:p>
    <w:p w14:paraId="5BD34ABD">
      <w:pPr>
        <w:bidi w:val="0"/>
        <w:rPr>
          <w:rFonts w:hint="eastAsia" w:ascii="宋体" w:hAnsi="宋体" w:eastAsia="宋体" w:cs="Times New Roman"/>
          <w:color w:val="auto"/>
          <w:sz w:val="36"/>
          <w:szCs w:val="36"/>
          <w:highlight w:val="none"/>
        </w:rPr>
        <w:sectPr>
          <w:pgSz w:w="11906" w:h="16838"/>
          <w:pgMar w:top="1440" w:right="1797" w:bottom="1440" w:left="1797" w:header="851" w:footer="992" w:gutter="0"/>
          <w:pgBorders>
            <w:top w:val="none" w:sz="0" w:space="0"/>
            <w:left w:val="none" w:sz="0" w:space="0"/>
            <w:bottom w:val="none" w:sz="0" w:space="0"/>
            <w:right w:val="none" w:sz="0" w:space="0"/>
          </w:pgBorders>
          <w:pgNumType w:fmt="decimal"/>
          <w:cols w:space="720" w:num="1"/>
          <w:titlePg/>
          <w:docGrid w:type="linesAndChars" w:linePitch="312" w:charSpace="0"/>
        </w:sectPr>
      </w:pPr>
    </w:p>
    <w:p w14:paraId="68890254">
      <w:pPr>
        <w:pStyle w:val="24"/>
        <w:rPr>
          <w:rFonts w:hint="eastAsia" w:ascii="宋体" w:hAnsi="宋体" w:eastAsia="宋体" w:cs="宋体"/>
          <w:color w:val="auto"/>
          <w:kern w:val="2"/>
          <w:sz w:val="24"/>
          <w:szCs w:val="24"/>
          <w:highlight w:val="none"/>
          <w:lang w:val="en-US" w:eastAsia="zh-CN" w:bidi="ar-SA"/>
        </w:rPr>
      </w:pPr>
    </w:p>
    <w:p w14:paraId="0ABAA377">
      <w:pPr>
        <w:spacing w:line="480" w:lineRule="exact"/>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10.落实政府采购政策需满足的资格要求：</w:t>
      </w:r>
      <w:r>
        <w:rPr>
          <w:rFonts w:hint="eastAsia" w:ascii="宋体" w:hAnsi="宋体" w:eastAsia="宋体" w:cs="宋体"/>
          <w:b/>
          <w:bCs/>
          <w:color w:val="auto"/>
          <w:sz w:val="24"/>
          <w:highlight w:val="none"/>
          <w:lang w:val="en-US" w:eastAsia="zh-CN"/>
        </w:rPr>
        <w:t>本项目属于专门面向中小企业、监狱企业、残疾人福利企业的采购项目。</w:t>
      </w:r>
    </w:p>
    <w:p w14:paraId="5EFFD004">
      <w:pPr>
        <w:spacing w:line="480" w:lineRule="exact"/>
        <w:ind w:firstLine="480" w:firstLineChars="20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制造商应符合中小企业或监狱企业或残疾人福利企业的情形，按要求提供相关材料。</w:t>
      </w:r>
    </w:p>
    <w:p w14:paraId="1C62F966">
      <w:pPr>
        <w:spacing w:line="480" w:lineRule="exact"/>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br w:type="page"/>
      </w:r>
    </w:p>
    <w:p w14:paraId="2C8B8F72">
      <w:pPr>
        <w:rPr>
          <w:rFonts w:hint="eastAsia" w:ascii="宋体" w:hAnsi="宋体" w:eastAsia="宋体" w:cs="宋体"/>
          <w:color w:val="auto"/>
          <w:highlight w:val="none"/>
        </w:rPr>
      </w:pPr>
    </w:p>
    <w:p w14:paraId="3174F791">
      <w:pPr>
        <w:pStyle w:val="3"/>
        <w:numPr>
          <w:ilvl w:val="0"/>
          <w:numId w:val="0"/>
        </w:numPr>
        <w:tabs>
          <w:tab w:val="clear" w:pos="360"/>
        </w:tabs>
        <w:spacing w:before="0"/>
        <w:jc w:val="center"/>
        <w:rPr>
          <w:rFonts w:hint="eastAsia" w:ascii="宋体" w:hAnsi="宋体" w:eastAsia="宋体" w:cs="宋体"/>
          <w:color w:val="auto"/>
          <w:szCs w:val="28"/>
          <w:highlight w:val="none"/>
        </w:rPr>
      </w:pPr>
      <w:bookmarkStart w:id="153" w:name="_Toc28695"/>
      <w:bookmarkStart w:id="154" w:name="_Toc16576"/>
      <w:bookmarkStart w:id="155" w:name="_Toc3501"/>
      <w:bookmarkStart w:id="156" w:name="_Toc29687"/>
      <w:bookmarkStart w:id="157" w:name="_Toc6114"/>
      <w:r>
        <w:rPr>
          <w:rFonts w:hint="eastAsia" w:ascii="宋体" w:hAnsi="宋体" w:eastAsia="宋体" w:cs="宋体"/>
          <w:color w:val="auto"/>
          <w:szCs w:val="28"/>
          <w:highlight w:val="none"/>
        </w:rPr>
        <w:t>中小企业声明函（</w:t>
      </w:r>
      <w:r>
        <w:rPr>
          <w:rFonts w:hint="eastAsia" w:ascii="宋体" w:hAnsi="宋体" w:eastAsia="宋体" w:cs="宋体"/>
          <w:color w:val="auto"/>
          <w:szCs w:val="28"/>
          <w:highlight w:val="none"/>
          <w:lang w:val="en-US" w:eastAsia="zh-CN"/>
        </w:rPr>
        <w:t>货物</w:t>
      </w:r>
      <w:r>
        <w:rPr>
          <w:rFonts w:hint="eastAsia" w:ascii="宋体" w:hAnsi="宋体" w:eastAsia="宋体" w:cs="宋体"/>
          <w:color w:val="auto"/>
          <w:szCs w:val="28"/>
          <w:highlight w:val="none"/>
        </w:rPr>
        <w:t>）</w:t>
      </w:r>
      <w:bookmarkEnd w:id="153"/>
      <w:bookmarkEnd w:id="154"/>
    </w:p>
    <w:p w14:paraId="23F3109D">
      <w:pPr>
        <w:pStyle w:val="112"/>
        <w:spacing w:line="346" w:lineRule="exact"/>
        <w:ind w:firstLine="440"/>
        <w:rPr>
          <w:rFonts w:hint="eastAsia" w:ascii="宋体" w:hAnsi="宋体" w:eastAsia="宋体" w:cs="宋体"/>
          <w:color w:val="auto"/>
          <w:sz w:val="24"/>
          <w:szCs w:val="24"/>
          <w:highlight w:val="none"/>
        </w:rPr>
      </w:pPr>
    </w:p>
    <w:p w14:paraId="483DEBDF">
      <w:pPr>
        <w:spacing w:line="360" w:lineRule="auto"/>
        <w:ind w:firstLine="480" w:firstLineChars="200"/>
        <w:rPr>
          <w:rFonts w:hint="eastAsia" w:ascii="宋体" w:hAnsi="宋体" w:eastAsia="宋体" w:cs="宋体"/>
          <w:color w:val="auto"/>
          <w:sz w:val="24"/>
          <w:highlight w:val="none"/>
          <w:lang w:val="zh-TW" w:eastAsia="zh-TW" w:bidi="zh-TW"/>
        </w:rPr>
      </w:pPr>
      <w:r>
        <w:rPr>
          <w:rFonts w:hint="eastAsia" w:ascii="宋体" w:hAnsi="宋体" w:eastAsia="宋体" w:cs="宋体"/>
          <w:color w:val="auto"/>
          <w:sz w:val="24"/>
          <w:highlight w:val="none"/>
          <w:lang w:val="zh-TW" w:eastAsia="zh-TW" w:bidi="zh-TW"/>
        </w:rPr>
        <w:t>本公司（联合体）郑重声明，根据《政府釆购促进中小企业发展管理办法》（财库</w:t>
      </w:r>
      <w:r>
        <w:rPr>
          <w:rFonts w:hint="eastAsia" w:ascii="宋体" w:hAnsi="宋体" w:eastAsia="宋体" w:cs="宋体"/>
          <w:color w:val="auto"/>
          <w:sz w:val="24"/>
          <w:highlight w:val="none"/>
          <w:lang w:val="zh-TW" w:eastAsia="zh-CN" w:bidi="zh-TW"/>
        </w:rPr>
        <w:t>〔2020〕46号</w:t>
      </w:r>
      <w:r>
        <w:rPr>
          <w:rFonts w:hint="eastAsia" w:ascii="宋体" w:hAnsi="宋体" w:eastAsia="宋体" w:cs="宋体"/>
          <w:color w:val="auto"/>
          <w:sz w:val="24"/>
          <w:highlight w:val="none"/>
          <w:lang w:val="zh-TW" w:eastAsia="zh-TW" w:bidi="zh-TW"/>
        </w:rPr>
        <w:t>）的规定，本公司（联合体）参加</w:t>
      </w:r>
      <w:r>
        <w:rPr>
          <w:rFonts w:hint="eastAsia" w:ascii="宋体" w:hAnsi="宋体" w:eastAsia="宋体" w:cs="宋体"/>
          <w:color w:val="auto"/>
          <w:sz w:val="24"/>
          <w:highlight w:val="none"/>
          <w:u w:val="single"/>
          <w:lang w:val="zh-TW" w:eastAsia="zh-TW" w:bidi="zh-TW"/>
        </w:rPr>
        <w:t>（单位名称）</w:t>
      </w:r>
      <w:r>
        <w:rPr>
          <w:rFonts w:hint="eastAsia" w:ascii="宋体" w:hAnsi="宋体" w:eastAsia="宋体" w:cs="宋体"/>
          <w:color w:val="auto"/>
          <w:sz w:val="24"/>
          <w:highlight w:val="none"/>
          <w:lang w:val="zh-TW" w:eastAsia="zh-TW" w:bidi="zh-TW"/>
        </w:rPr>
        <w:t>的</w:t>
      </w:r>
      <w:r>
        <w:rPr>
          <w:rFonts w:hint="eastAsia" w:ascii="宋体" w:hAnsi="宋体" w:eastAsia="宋体" w:cs="宋体"/>
          <w:color w:val="auto"/>
          <w:sz w:val="24"/>
          <w:highlight w:val="none"/>
          <w:u w:val="single"/>
          <w:lang w:val="zh-TW" w:eastAsia="zh-TW" w:bidi="zh-TW"/>
        </w:rPr>
        <w:t>（项目名称）</w:t>
      </w:r>
      <w:r>
        <w:rPr>
          <w:rFonts w:hint="eastAsia" w:ascii="宋体" w:hAnsi="宋体" w:eastAsia="宋体" w:cs="宋体"/>
          <w:color w:val="auto"/>
          <w:sz w:val="24"/>
          <w:highlight w:val="none"/>
          <w:lang w:val="zh-TW" w:eastAsia="zh-TW" w:bidi="zh-TW"/>
        </w:rPr>
        <w:t>采购活动</w:t>
      </w:r>
      <w:r>
        <w:rPr>
          <w:rFonts w:hint="eastAsia" w:ascii="宋体" w:hAnsi="宋体" w:eastAsia="宋体" w:cs="宋体"/>
          <w:color w:val="auto"/>
          <w:sz w:val="24"/>
          <w:highlight w:val="none"/>
          <w:lang w:val="zh-TW" w:bidi="zh-TW"/>
        </w:rPr>
        <w:t>，</w:t>
      </w:r>
      <w:r>
        <w:rPr>
          <w:rFonts w:hint="eastAsia" w:ascii="宋体" w:hAnsi="宋体" w:eastAsia="宋体" w:cs="宋体"/>
          <w:color w:val="auto"/>
          <w:sz w:val="24"/>
          <w:highlight w:val="none"/>
          <w:lang w:val="zh-TW" w:eastAsia="zh-TW" w:bidi="zh-TW"/>
        </w:rPr>
        <w:t>提供的货物全部由符合政策要求的中小企业制造。相关企业（含联合体中的中小企业、签订分包意向协议的中小企业）的具体情况如下：</w:t>
      </w:r>
    </w:p>
    <w:p w14:paraId="58B178F7">
      <w:pPr>
        <w:numPr>
          <w:ilvl w:val="0"/>
          <w:numId w:val="0"/>
        </w:numPr>
        <w:tabs>
          <w:tab w:val="left" w:pos="830"/>
          <w:tab w:val="left" w:pos="4408"/>
        </w:tabs>
        <w:spacing w:line="360" w:lineRule="auto"/>
        <w:ind w:firstLine="440" w:firstLineChars="0"/>
        <w:rPr>
          <w:rFonts w:hint="eastAsia" w:ascii="宋体" w:hAnsi="宋体" w:eastAsia="宋体" w:cs="宋体"/>
          <w:color w:val="auto"/>
          <w:sz w:val="24"/>
          <w:highlight w:val="none"/>
          <w:lang w:val="zh-TW" w:eastAsia="zh-CN" w:bidi="zh-TW"/>
        </w:rPr>
      </w:pPr>
      <w:bookmarkStart w:id="158" w:name="bookmark24"/>
      <w:bookmarkEnd w:id="158"/>
      <w:r>
        <w:rPr>
          <w:rFonts w:hint="eastAsia" w:ascii="宋体" w:hAnsi="宋体" w:eastAsia="宋体" w:cs="宋体"/>
          <w:b/>
          <w:bCs/>
          <w:i w:val="0"/>
          <w:iCs w:val="0"/>
          <w:smallCaps w:val="0"/>
          <w:strike w:val="0"/>
          <w:color w:val="auto"/>
          <w:spacing w:val="0"/>
          <w:w w:val="100"/>
          <w:kern w:val="2"/>
          <w:position w:val="0"/>
          <w:sz w:val="20"/>
          <w:szCs w:val="20"/>
          <w:highlight w:val="none"/>
          <w:u w:val="none"/>
          <w:shd w:val="clear" w:color="auto" w:fill="auto"/>
          <w:lang w:val="en-US" w:eastAsia="en-US" w:bidi="en-US"/>
        </w:rPr>
        <w:t>1.</w:t>
      </w:r>
      <w:r>
        <w:rPr>
          <w:rFonts w:hint="eastAsia" w:ascii="宋体" w:hAnsi="宋体" w:eastAsia="宋体" w:cs="宋体"/>
          <w:color w:val="auto"/>
          <w:sz w:val="24"/>
          <w:highlight w:val="none"/>
          <w:u w:val="single"/>
          <w:lang w:val="zh-TW" w:eastAsia="zh-TW" w:bidi="zh-TW"/>
        </w:rPr>
        <w:t>（标的名称）</w:t>
      </w:r>
      <w:r>
        <w:rPr>
          <w:rFonts w:hint="eastAsia" w:ascii="宋体" w:hAnsi="宋体" w:eastAsia="宋体" w:cs="宋体"/>
          <w:color w:val="auto"/>
          <w:sz w:val="24"/>
          <w:highlight w:val="none"/>
          <w:u w:val="none"/>
          <w:lang w:val="zh-TW" w:eastAsia="zh-CN" w:bidi="zh-TW"/>
        </w:rPr>
        <w:t>，</w:t>
      </w:r>
      <w:r>
        <w:rPr>
          <w:rFonts w:hint="eastAsia" w:ascii="宋体" w:hAnsi="宋体" w:eastAsia="宋体" w:cs="宋体"/>
          <w:color w:val="auto"/>
          <w:sz w:val="24"/>
          <w:highlight w:val="none"/>
          <w:lang w:val="zh-TW" w:eastAsia="zh-TW" w:bidi="zh-TW"/>
        </w:rPr>
        <w:t>属于</w:t>
      </w:r>
      <w:r>
        <w:rPr>
          <w:rFonts w:hint="eastAsia" w:ascii="宋体" w:hAnsi="宋体" w:eastAsia="宋体" w:cs="宋体"/>
          <w:color w:val="auto"/>
          <w:sz w:val="24"/>
          <w:highlight w:val="none"/>
          <w:u w:val="single"/>
          <w:lang w:val="zh-TW" w:bidi="zh-TW"/>
        </w:rPr>
        <w:t xml:space="preserve"> </w:t>
      </w:r>
      <w:r>
        <w:rPr>
          <w:rFonts w:hint="eastAsia" w:ascii="宋体" w:hAnsi="宋体" w:eastAsia="宋体" w:cs="宋体"/>
          <w:b/>
          <w:color w:val="auto"/>
          <w:sz w:val="24"/>
          <w:highlight w:val="none"/>
          <w:u w:val="single"/>
          <w:lang w:bidi="zh-TW"/>
        </w:rPr>
        <w:t xml:space="preserve"> </w:t>
      </w:r>
      <w:r>
        <w:rPr>
          <w:rFonts w:hint="eastAsia" w:ascii="宋体" w:hAnsi="宋体" w:eastAsia="宋体" w:cs="宋体"/>
          <w:color w:val="auto"/>
          <w:sz w:val="24"/>
          <w:highlight w:val="none"/>
          <w:u w:val="single"/>
        </w:rPr>
        <w:t>（采购文件中明确的所属行业）</w:t>
      </w:r>
      <w:r>
        <w:rPr>
          <w:rFonts w:hint="eastAsia" w:ascii="宋体" w:hAnsi="宋体" w:eastAsia="宋体" w:cs="宋体"/>
          <w:b/>
          <w:color w:val="auto"/>
          <w:sz w:val="24"/>
          <w:highlight w:val="none"/>
          <w:u w:val="single"/>
          <w:lang w:bidi="zh-TW"/>
        </w:rPr>
        <w:t xml:space="preserve">    </w:t>
      </w:r>
      <w:r>
        <w:rPr>
          <w:rFonts w:hint="eastAsia" w:ascii="宋体" w:hAnsi="宋体" w:eastAsia="宋体" w:cs="宋体"/>
          <w:color w:val="auto"/>
          <w:sz w:val="24"/>
          <w:highlight w:val="none"/>
          <w:u w:val="single"/>
          <w:lang w:val="zh-TW" w:bidi="zh-TW"/>
        </w:rPr>
        <w:t xml:space="preserve"> </w:t>
      </w:r>
      <w:r>
        <w:rPr>
          <w:rFonts w:hint="eastAsia" w:ascii="宋体" w:hAnsi="宋体" w:eastAsia="宋体" w:cs="宋体"/>
          <w:color w:val="auto"/>
          <w:sz w:val="24"/>
          <w:highlight w:val="none"/>
          <w:lang w:val="zh-TW" w:eastAsia="zh-TW" w:bidi="zh-TW"/>
        </w:rPr>
        <w:t>行业</w:t>
      </w:r>
      <w:r>
        <w:rPr>
          <w:rFonts w:hint="eastAsia" w:ascii="宋体" w:hAnsi="宋体" w:eastAsia="宋体" w:cs="宋体"/>
          <w:color w:val="auto"/>
          <w:sz w:val="24"/>
          <w:highlight w:val="none"/>
          <w:lang w:val="zh-TW" w:bidi="zh-TW"/>
        </w:rPr>
        <w:t>；</w:t>
      </w:r>
      <w:r>
        <w:rPr>
          <w:rFonts w:hint="eastAsia" w:ascii="宋体" w:hAnsi="宋体" w:eastAsia="宋体" w:cs="宋体"/>
          <w:color w:val="auto"/>
          <w:sz w:val="24"/>
          <w:highlight w:val="none"/>
          <w:lang w:val="zh-TW" w:eastAsia="zh-TW" w:bidi="zh-TW"/>
        </w:rPr>
        <w:t>制造商为</w:t>
      </w:r>
      <w:r>
        <w:rPr>
          <w:rFonts w:hint="eastAsia" w:ascii="宋体" w:hAnsi="宋体" w:eastAsia="宋体" w:cs="宋体"/>
          <w:color w:val="auto"/>
          <w:sz w:val="24"/>
          <w:highlight w:val="none"/>
          <w:u w:val="single"/>
          <w:lang w:val="zh-TW" w:eastAsia="zh-TW" w:bidi="zh-TW"/>
        </w:rPr>
        <w:t>（企业名称）</w:t>
      </w:r>
      <w:r>
        <w:rPr>
          <w:rFonts w:hint="eastAsia" w:ascii="宋体" w:hAnsi="宋体" w:eastAsia="宋体" w:cs="宋体"/>
          <w:color w:val="auto"/>
          <w:sz w:val="24"/>
          <w:highlight w:val="none"/>
          <w:lang w:val="zh-TW" w:bidi="zh-TW"/>
        </w:rPr>
        <w:t>，</w:t>
      </w:r>
      <w:r>
        <w:rPr>
          <w:rFonts w:hint="eastAsia" w:ascii="宋体" w:hAnsi="宋体" w:eastAsia="宋体" w:cs="宋体"/>
          <w:color w:val="auto"/>
          <w:sz w:val="24"/>
          <w:highlight w:val="none"/>
          <w:lang w:val="zh-TW" w:eastAsia="zh-TW" w:bidi="zh-TW"/>
        </w:rPr>
        <w:t>从业人员</w:t>
      </w:r>
      <w:r>
        <w:rPr>
          <w:rFonts w:hint="eastAsia" w:ascii="宋体" w:hAnsi="宋体" w:eastAsia="宋体" w:cs="宋体"/>
          <w:color w:val="auto"/>
          <w:sz w:val="24"/>
          <w:highlight w:val="none"/>
          <w:u w:val="single"/>
          <w:lang w:val="zh-TW" w:eastAsia="zh-TW" w:bidi="zh-TW"/>
        </w:rPr>
        <w:t xml:space="preserve"> </w:t>
      </w:r>
      <w:r>
        <w:rPr>
          <w:rFonts w:hint="eastAsia" w:ascii="宋体" w:hAnsi="宋体" w:eastAsia="宋体" w:cs="宋体"/>
          <w:color w:val="auto"/>
          <w:sz w:val="24"/>
          <w:highlight w:val="none"/>
          <w:u w:val="single"/>
          <w:lang w:val="en-US" w:eastAsia="zh-CN" w:bidi="zh-TW"/>
        </w:rPr>
        <w:t xml:space="preserve"> </w:t>
      </w:r>
      <w:r>
        <w:rPr>
          <w:rFonts w:hint="eastAsia" w:ascii="宋体" w:hAnsi="宋体" w:eastAsia="宋体" w:cs="宋体"/>
          <w:color w:val="auto"/>
          <w:sz w:val="24"/>
          <w:highlight w:val="none"/>
          <w:u w:val="single"/>
          <w:lang w:val="zh-TW" w:eastAsia="zh-TW" w:bidi="zh-TW"/>
        </w:rPr>
        <w:t xml:space="preserve"> </w:t>
      </w:r>
      <w:r>
        <w:rPr>
          <w:rFonts w:hint="eastAsia" w:ascii="宋体" w:hAnsi="宋体" w:eastAsia="宋体" w:cs="宋体"/>
          <w:color w:val="auto"/>
          <w:sz w:val="24"/>
          <w:highlight w:val="none"/>
          <w:lang w:val="zh-TW" w:eastAsia="zh-TW" w:bidi="zh-TW"/>
        </w:rPr>
        <w:t>人，营业收入为</w:t>
      </w:r>
      <w:r>
        <w:rPr>
          <w:rFonts w:hint="eastAsia" w:ascii="宋体" w:hAnsi="宋体" w:eastAsia="宋体" w:cs="宋体"/>
          <w:color w:val="auto"/>
          <w:sz w:val="24"/>
          <w:highlight w:val="none"/>
          <w:u w:val="single"/>
          <w:lang w:val="zh-TW" w:bidi="zh-TW"/>
        </w:rPr>
        <w:t xml:space="preserve">   </w:t>
      </w:r>
      <w:r>
        <w:rPr>
          <w:rFonts w:hint="eastAsia" w:ascii="宋体" w:hAnsi="宋体" w:eastAsia="宋体" w:cs="宋体"/>
          <w:color w:val="auto"/>
          <w:sz w:val="24"/>
          <w:highlight w:val="none"/>
          <w:lang w:val="zh-TW" w:eastAsia="zh-TW" w:bidi="zh-TW"/>
        </w:rPr>
        <w:t>万元，资产总额为</w:t>
      </w:r>
      <w:r>
        <w:rPr>
          <w:rFonts w:hint="eastAsia" w:ascii="宋体" w:hAnsi="宋体" w:eastAsia="宋体" w:cs="宋体"/>
          <w:color w:val="auto"/>
          <w:sz w:val="24"/>
          <w:highlight w:val="none"/>
          <w:u w:val="single"/>
          <w:lang w:val="zh-TW" w:bidi="zh-TW"/>
        </w:rPr>
        <w:t xml:space="preserve">   </w:t>
      </w:r>
      <w:r>
        <w:rPr>
          <w:rFonts w:hint="eastAsia" w:ascii="宋体" w:hAnsi="宋体" w:eastAsia="宋体" w:cs="宋体"/>
          <w:color w:val="auto"/>
          <w:sz w:val="24"/>
          <w:highlight w:val="none"/>
          <w:lang w:val="zh-TW" w:eastAsia="zh-TW" w:bidi="zh-TW"/>
        </w:rPr>
        <w:t>万元</w:t>
      </w:r>
      <w:r>
        <w:rPr>
          <w:rFonts w:hint="eastAsia" w:ascii="宋体" w:hAnsi="宋体" w:eastAsia="宋体" w:cs="宋体"/>
          <w:color w:val="auto"/>
          <w:sz w:val="24"/>
          <w:highlight w:val="none"/>
          <w:lang w:bidi="en-US"/>
        </w:rPr>
        <w:t>，</w:t>
      </w:r>
      <w:r>
        <w:rPr>
          <w:rFonts w:hint="eastAsia" w:ascii="宋体" w:hAnsi="宋体" w:eastAsia="宋体" w:cs="宋体"/>
          <w:color w:val="auto"/>
          <w:sz w:val="24"/>
          <w:highlight w:val="none"/>
          <w:lang w:val="zh-TW" w:eastAsia="zh-TW" w:bidi="zh-TW"/>
        </w:rPr>
        <w:t>属于</w:t>
      </w:r>
      <w:r>
        <w:rPr>
          <w:rFonts w:hint="eastAsia" w:ascii="宋体" w:hAnsi="宋体" w:eastAsia="宋体" w:cs="宋体"/>
          <w:color w:val="auto"/>
          <w:sz w:val="24"/>
          <w:highlight w:val="none"/>
          <w:u w:val="single"/>
          <w:lang w:val="zh-TW" w:eastAsia="zh-TW" w:bidi="zh-TW"/>
        </w:rPr>
        <w:t>（中型企业、小型企业、微型企业）</w:t>
      </w:r>
      <w:r>
        <w:rPr>
          <w:rFonts w:hint="eastAsia" w:ascii="宋体" w:hAnsi="宋体" w:eastAsia="宋体" w:cs="宋体"/>
          <w:color w:val="auto"/>
          <w:sz w:val="24"/>
          <w:highlight w:val="none"/>
          <w:lang w:val="zh-TW" w:eastAsia="zh-CN" w:bidi="zh-TW"/>
        </w:rPr>
        <w:t>。</w:t>
      </w:r>
    </w:p>
    <w:p w14:paraId="178823F7">
      <w:pPr>
        <w:numPr>
          <w:ilvl w:val="0"/>
          <w:numId w:val="0"/>
        </w:numPr>
        <w:tabs>
          <w:tab w:val="left" w:pos="830"/>
          <w:tab w:val="left" w:pos="4188"/>
        </w:tabs>
        <w:spacing w:line="360" w:lineRule="auto"/>
        <w:ind w:firstLine="440" w:firstLineChars="0"/>
        <w:rPr>
          <w:rFonts w:hint="eastAsia" w:ascii="宋体" w:hAnsi="宋体" w:eastAsia="宋体" w:cs="宋体"/>
          <w:color w:val="auto"/>
          <w:sz w:val="24"/>
          <w:highlight w:val="none"/>
          <w:lang w:val="zh-TW" w:eastAsia="zh-CN" w:bidi="zh-TW"/>
        </w:rPr>
      </w:pPr>
      <w:bookmarkStart w:id="159" w:name="bookmark25"/>
      <w:bookmarkEnd w:id="159"/>
      <w:r>
        <w:rPr>
          <w:rFonts w:hint="eastAsia" w:ascii="宋体" w:hAnsi="宋体" w:eastAsia="宋体" w:cs="宋体"/>
          <w:b/>
          <w:bCs/>
          <w:i w:val="0"/>
          <w:iCs w:val="0"/>
          <w:smallCaps w:val="0"/>
          <w:strike w:val="0"/>
          <w:color w:val="auto"/>
          <w:spacing w:val="0"/>
          <w:w w:val="100"/>
          <w:kern w:val="2"/>
          <w:position w:val="0"/>
          <w:sz w:val="20"/>
          <w:szCs w:val="20"/>
          <w:highlight w:val="none"/>
          <w:u w:val="none"/>
          <w:shd w:val="clear" w:color="auto" w:fill="auto"/>
          <w:lang w:val="en-US" w:eastAsia="en-US" w:bidi="en-US"/>
        </w:rPr>
        <w:t>2.</w:t>
      </w:r>
      <w:r>
        <w:rPr>
          <w:rFonts w:hint="eastAsia" w:ascii="宋体" w:hAnsi="宋体" w:eastAsia="宋体" w:cs="宋体"/>
          <w:color w:val="auto"/>
          <w:sz w:val="24"/>
          <w:highlight w:val="none"/>
          <w:u w:val="single"/>
          <w:lang w:val="zh-TW" w:eastAsia="zh-TW" w:bidi="zh-TW"/>
        </w:rPr>
        <w:t>（标的名称）</w:t>
      </w:r>
      <w:r>
        <w:rPr>
          <w:rFonts w:hint="eastAsia" w:ascii="宋体" w:hAnsi="宋体" w:eastAsia="宋体" w:cs="宋体"/>
          <w:color w:val="auto"/>
          <w:sz w:val="24"/>
          <w:highlight w:val="none"/>
          <w:u w:val="none"/>
          <w:lang w:val="zh-TW" w:eastAsia="zh-CN" w:bidi="zh-TW"/>
        </w:rPr>
        <w:t>，</w:t>
      </w:r>
      <w:r>
        <w:rPr>
          <w:rFonts w:hint="eastAsia" w:ascii="宋体" w:hAnsi="宋体" w:eastAsia="宋体" w:cs="宋体"/>
          <w:color w:val="auto"/>
          <w:sz w:val="24"/>
          <w:highlight w:val="none"/>
          <w:lang w:val="zh-TW" w:eastAsia="zh-TW" w:bidi="zh-TW"/>
        </w:rPr>
        <w:t>属于</w:t>
      </w:r>
      <w:r>
        <w:rPr>
          <w:rFonts w:hint="eastAsia" w:ascii="宋体" w:hAnsi="宋体" w:eastAsia="宋体" w:cs="宋体"/>
          <w:color w:val="auto"/>
          <w:sz w:val="24"/>
          <w:highlight w:val="none"/>
          <w:u w:val="single"/>
        </w:rPr>
        <w:t>（采购文件中明确的所属行业）</w:t>
      </w:r>
      <w:r>
        <w:rPr>
          <w:rFonts w:hint="eastAsia" w:ascii="宋体" w:hAnsi="宋体" w:eastAsia="宋体" w:cs="宋体"/>
          <w:b/>
          <w:color w:val="auto"/>
          <w:sz w:val="24"/>
          <w:highlight w:val="none"/>
          <w:u w:val="single"/>
          <w:lang w:bidi="zh-TW"/>
        </w:rPr>
        <w:t xml:space="preserve">    </w:t>
      </w:r>
      <w:r>
        <w:rPr>
          <w:rFonts w:hint="eastAsia" w:ascii="宋体" w:hAnsi="宋体" w:eastAsia="宋体" w:cs="宋体"/>
          <w:color w:val="auto"/>
          <w:sz w:val="24"/>
          <w:highlight w:val="none"/>
          <w:u w:val="single"/>
          <w:lang w:val="zh-TW" w:bidi="zh-TW"/>
        </w:rPr>
        <w:t xml:space="preserve"> </w:t>
      </w:r>
      <w:r>
        <w:rPr>
          <w:rFonts w:hint="eastAsia" w:ascii="宋体" w:hAnsi="宋体" w:eastAsia="宋体" w:cs="宋体"/>
          <w:color w:val="auto"/>
          <w:sz w:val="24"/>
          <w:highlight w:val="none"/>
          <w:lang w:val="zh-TW" w:eastAsia="zh-TW" w:bidi="zh-TW"/>
        </w:rPr>
        <w:t>行业</w:t>
      </w:r>
      <w:r>
        <w:rPr>
          <w:rFonts w:hint="eastAsia" w:ascii="宋体" w:hAnsi="宋体" w:eastAsia="宋体" w:cs="宋体"/>
          <w:color w:val="auto"/>
          <w:sz w:val="24"/>
          <w:highlight w:val="none"/>
          <w:lang w:val="zh-CN" w:bidi="zh-CN"/>
        </w:rPr>
        <w:t>；</w:t>
      </w:r>
      <w:r>
        <w:rPr>
          <w:rFonts w:hint="eastAsia" w:ascii="宋体" w:hAnsi="宋体" w:eastAsia="宋体" w:cs="宋体"/>
          <w:color w:val="auto"/>
          <w:sz w:val="24"/>
          <w:highlight w:val="none"/>
          <w:lang w:val="zh-TW" w:eastAsia="zh-TW" w:bidi="zh-TW"/>
        </w:rPr>
        <w:t>制造商为</w:t>
      </w:r>
      <w:r>
        <w:rPr>
          <w:rFonts w:hint="eastAsia" w:ascii="宋体" w:hAnsi="宋体" w:eastAsia="宋体" w:cs="宋体"/>
          <w:color w:val="auto"/>
          <w:sz w:val="24"/>
          <w:highlight w:val="none"/>
          <w:u w:val="single"/>
          <w:lang w:val="zh-TW" w:eastAsia="zh-TW" w:bidi="zh-TW"/>
        </w:rPr>
        <w:t>（企业名称）</w:t>
      </w:r>
      <w:r>
        <w:rPr>
          <w:rFonts w:hint="eastAsia" w:ascii="宋体" w:hAnsi="宋体" w:eastAsia="宋体" w:cs="宋体"/>
          <w:color w:val="auto"/>
          <w:sz w:val="24"/>
          <w:highlight w:val="none"/>
          <w:lang w:val="zh-TW" w:bidi="zh-TW"/>
        </w:rPr>
        <w:t>，</w:t>
      </w:r>
      <w:r>
        <w:rPr>
          <w:rFonts w:hint="eastAsia" w:ascii="宋体" w:hAnsi="宋体" w:eastAsia="宋体" w:cs="宋体"/>
          <w:color w:val="auto"/>
          <w:sz w:val="24"/>
          <w:highlight w:val="none"/>
          <w:lang w:val="zh-TW" w:eastAsia="zh-TW" w:bidi="zh-TW"/>
        </w:rPr>
        <w:t>从业人员</w:t>
      </w:r>
      <w:r>
        <w:rPr>
          <w:rFonts w:hint="eastAsia" w:ascii="宋体" w:hAnsi="宋体" w:eastAsia="宋体" w:cs="宋体"/>
          <w:color w:val="auto"/>
          <w:sz w:val="24"/>
          <w:highlight w:val="none"/>
          <w:u w:val="single"/>
          <w:lang w:val="zh-TW" w:bidi="zh-TW"/>
        </w:rPr>
        <w:t xml:space="preserve"> </w:t>
      </w:r>
      <w:r>
        <w:rPr>
          <w:rFonts w:hint="eastAsia" w:ascii="宋体" w:hAnsi="宋体" w:eastAsia="宋体" w:cs="宋体"/>
          <w:color w:val="auto"/>
          <w:sz w:val="24"/>
          <w:highlight w:val="none"/>
          <w:u w:val="single"/>
          <w:lang w:val="zh-TW" w:eastAsia="zh-TW" w:bidi="zh-TW"/>
        </w:rPr>
        <w:t xml:space="preserve">   </w:t>
      </w:r>
      <w:r>
        <w:rPr>
          <w:rFonts w:hint="eastAsia" w:ascii="宋体" w:hAnsi="宋体" w:eastAsia="宋体" w:cs="宋体"/>
          <w:color w:val="auto"/>
          <w:sz w:val="24"/>
          <w:highlight w:val="none"/>
          <w:lang w:val="zh-TW" w:eastAsia="zh-TW" w:bidi="zh-TW"/>
        </w:rPr>
        <w:t>人，营业收入为</w:t>
      </w:r>
      <w:r>
        <w:rPr>
          <w:rFonts w:hint="eastAsia" w:ascii="宋体" w:hAnsi="宋体" w:eastAsia="宋体" w:cs="宋体"/>
          <w:color w:val="auto"/>
          <w:sz w:val="24"/>
          <w:highlight w:val="none"/>
          <w:u w:val="single"/>
          <w:lang w:val="zh-TW" w:bidi="zh-TW"/>
        </w:rPr>
        <w:t xml:space="preserve">   </w:t>
      </w:r>
      <w:r>
        <w:rPr>
          <w:rFonts w:hint="eastAsia" w:ascii="宋体" w:hAnsi="宋体" w:eastAsia="宋体" w:cs="宋体"/>
          <w:color w:val="auto"/>
          <w:sz w:val="24"/>
          <w:highlight w:val="none"/>
          <w:lang w:val="zh-TW" w:eastAsia="zh-TW" w:bidi="zh-TW"/>
        </w:rPr>
        <w:t>万元，资产总额为</w:t>
      </w:r>
      <w:r>
        <w:rPr>
          <w:rFonts w:hint="eastAsia" w:ascii="宋体" w:hAnsi="宋体" w:eastAsia="宋体" w:cs="宋体"/>
          <w:color w:val="auto"/>
          <w:sz w:val="24"/>
          <w:highlight w:val="none"/>
          <w:u w:val="single"/>
          <w:lang w:val="zh-TW" w:bidi="zh-TW"/>
        </w:rPr>
        <w:t xml:space="preserve">   </w:t>
      </w:r>
      <w:r>
        <w:rPr>
          <w:rFonts w:hint="eastAsia" w:ascii="宋体" w:hAnsi="宋体" w:eastAsia="宋体" w:cs="宋体"/>
          <w:color w:val="auto"/>
          <w:sz w:val="24"/>
          <w:highlight w:val="none"/>
          <w:lang w:val="zh-TW" w:eastAsia="zh-TW" w:bidi="zh-TW"/>
        </w:rPr>
        <w:t>万元，属于</w:t>
      </w:r>
      <w:r>
        <w:rPr>
          <w:rFonts w:hint="eastAsia" w:ascii="宋体" w:hAnsi="宋体" w:eastAsia="宋体" w:cs="宋体"/>
          <w:color w:val="auto"/>
          <w:sz w:val="24"/>
          <w:highlight w:val="none"/>
          <w:u w:val="single"/>
          <w:lang w:val="zh-TW" w:eastAsia="zh-TW" w:bidi="zh-TW"/>
        </w:rPr>
        <w:t>（中型企业、小型企业、微型企业）</w:t>
      </w:r>
      <w:r>
        <w:rPr>
          <w:rFonts w:hint="eastAsia" w:ascii="宋体" w:hAnsi="宋体" w:eastAsia="宋体" w:cs="宋体"/>
          <w:color w:val="auto"/>
          <w:sz w:val="24"/>
          <w:highlight w:val="none"/>
          <w:lang w:val="zh-TW" w:eastAsia="zh-CN" w:bidi="zh-TW"/>
        </w:rPr>
        <w:t>。</w:t>
      </w:r>
    </w:p>
    <w:p w14:paraId="10E8F4F5">
      <w:pPr>
        <w:pStyle w:val="32"/>
        <w:spacing w:line="480" w:lineRule="auto"/>
        <w:ind w:left="0" w:leftChars="0" w:firstLine="720" w:firstLineChars="300"/>
        <w:rPr>
          <w:rFonts w:hint="eastAsia" w:ascii="宋体" w:hAnsi="宋体" w:eastAsia="宋体" w:cs="宋体"/>
          <w:color w:val="auto"/>
          <w:highlight w:val="none"/>
          <w:lang w:val="zh-TW" w:bidi="zh-TW"/>
        </w:rPr>
      </w:pPr>
      <w:r>
        <w:rPr>
          <w:rFonts w:hint="eastAsia" w:ascii="宋体" w:hAnsi="宋体" w:eastAsia="宋体" w:cs="宋体"/>
          <w:color w:val="auto"/>
          <w:kern w:val="0"/>
          <w:sz w:val="24"/>
          <w:highlight w:val="none"/>
        </w:rPr>
        <w:t>……</w:t>
      </w:r>
    </w:p>
    <w:p w14:paraId="5A3896F3">
      <w:pPr>
        <w:spacing w:line="360" w:lineRule="auto"/>
        <w:ind w:firstLine="480" w:firstLineChars="200"/>
        <w:rPr>
          <w:rFonts w:hint="eastAsia" w:ascii="宋体" w:hAnsi="宋体" w:eastAsia="宋体" w:cs="宋体"/>
          <w:color w:val="auto"/>
          <w:sz w:val="24"/>
          <w:highlight w:val="none"/>
          <w:lang w:val="zh-TW" w:eastAsia="zh-TW" w:bidi="zh-TW"/>
        </w:rPr>
      </w:pPr>
      <w:r>
        <w:rPr>
          <w:rFonts w:hint="eastAsia" w:ascii="宋体" w:hAnsi="宋体" w:eastAsia="宋体" w:cs="宋体"/>
          <w:color w:val="auto"/>
          <w:sz w:val="24"/>
          <w:highlight w:val="none"/>
          <w:lang w:val="zh-TW" w:eastAsia="zh-TW" w:bidi="zh-TW"/>
        </w:rPr>
        <w:t>以上企业，不属于大企业的分支机构，不存在控股股东为大企业的情形，也不存在与大企业的负责人为同一人的情形。</w:t>
      </w:r>
    </w:p>
    <w:p w14:paraId="137104E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本企业对上述声明内容的真实性负责。如有虚假，将依法承担相应责任。</w:t>
      </w:r>
    </w:p>
    <w:p w14:paraId="135F0617">
      <w:pPr>
        <w:spacing w:line="360" w:lineRule="auto"/>
        <w:ind w:left="478" w:leftChars="228"/>
        <w:rPr>
          <w:rFonts w:hint="eastAsia" w:ascii="宋体" w:hAnsi="宋体" w:eastAsia="宋体" w:cs="宋体"/>
          <w:color w:val="auto"/>
          <w:sz w:val="24"/>
          <w:highlight w:val="none"/>
        </w:rPr>
      </w:pPr>
    </w:p>
    <w:p w14:paraId="4D5B1817">
      <w:pPr>
        <w:pStyle w:val="112"/>
        <w:spacing w:line="36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企业名称（盖章）：</w:t>
      </w:r>
    </w:p>
    <w:p w14:paraId="4946D3A6">
      <w:pPr>
        <w:shd w:val="clear" w:color="auto" w:fill="FFFFFF"/>
        <w:spacing w:line="480" w:lineRule="auto"/>
        <w:ind w:right="960" w:firstLine="629"/>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                       日期</w:t>
      </w:r>
      <w:r>
        <w:rPr>
          <w:rFonts w:hint="eastAsia" w:ascii="宋体" w:hAnsi="宋体" w:eastAsia="宋体" w:cs="宋体"/>
          <w:color w:val="auto"/>
          <w:sz w:val="24"/>
          <w:highlight w:val="none"/>
          <w:lang w:eastAsia="zh-CN"/>
        </w:rPr>
        <w:t>：</w:t>
      </w:r>
    </w:p>
    <w:p w14:paraId="5B8D71F3">
      <w:pPr>
        <w:tabs>
          <w:tab w:val="left" w:pos="3261"/>
        </w:tabs>
        <w:spacing w:line="360" w:lineRule="auto"/>
        <w:ind w:right="566" w:firstLine="660"/>
        <w:rPr>
          <w:rFonts w:hint="eastAsia" w:ascii="宋体" w:hAnsi="宋体" w:eastAsia="宋体" w:cs="宋体"/>
          <w:color w:val="auto"/>
          <w:spacing w:val="6"/>
          <w:sz w:val="24"/>
          <w:highlight w:val="none"/>
        </w:rPr>
      </w:pPr>
    </w:p>
    <w:p w14:paraId="509C83F5">
      <w:pPr>
        <w:tabs>
          <w:tab w:val="left" w:pos="3261"/>
        </w:tabs>
        <w:spacing w:line="360" w:lineRule="auto"/>
        <w:ind w:right="566" w:firstLine="506"/>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说明：</w:t>
      </w:r>
    </w:p>
    <w:p w14:paraId="0763A611">
      <w:pPr>
        <w:keepNext w:val="0"/>
        <w:keepLines w:val="0"/>
        <w:pageBreakBefore w:val="0"/>
        <w:widowControl w:val="0"/>
        <w:numPr>
          <w:ilvl w:val="0"/>
          <w:numId w:val="5"/>
        </w:numPr>
        <w:tabs>
          <w:tab w:val="left" w:pos="3261"/>
        </w:tabs>
        <w:kinsoku/>
        <w:wordWrap/>
        <w:overflowPunct/>
        <w:topLinePunct w:val="0"/>
        <w:autoSpaceDE/>
        <w:autoSpaceDN/>
        <w:bidi w:val="0"/>
        <w:adjustRightInd/>
        <w:snapToGrid/>
        <w:spacing w:line="400" w:lineRule="exact"/>
        <w:ind w:right="114" w:rightChars="0" w:firstLine="505"/>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从业人员、营业收入、资产总额填报上一年度数据，无上一年度数据的新成立企业可不填报。</w:t>
      </w:r>
    </w:p>
    <w:p w14:paraId="28469047">
      <w:pPr>
        <w:keepNext w:val="0"/>
        <w:keepLines w:val="0"/>
        <w:pageBreakBefore w:val="0"/>
        <w:widowControl w:val="0"/>
        <w:numPr>
          <w:ilvl w:val="0"/>
          <w:numId w:val="5"/>
        </w:numPr>
        <w:tabs>
          <w:tab w:val="left" w:pos="3261"/>
        </w:tabs>
        <w:kinsoku/>
        <w:wordWrap/>
        <w:overflowPunct/>
        <w:topLinePunct w:val="0"/>
        <w:autoSpaceDE/>
        <w:autoSpaceDN/>
        <w:bidi w:val="0"/>
        <w:adjustRightInd/>
        <w:snapToGrid/>
        <w:spacing w:line="400" w:lineRule="exact"/>
        <w:ind w:right="114" w:rightChars="0" w:firstLine="505"/>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投标人应依据本公司（或单位）的财务报表、社保缴纳情况或劳动合同或工资支付记录等证明材料真实填写此表。</w:t>
      </w:r>
    </w:p>
    <w:p w14:paraId="35B7792D">
      <w:pPr>
        <w:keepNext w:val="0"/>
        <w:keepLines w:val="0"/>
        <w:pageBreakBefore w:val="0"/>
        <w:widowControl w:val="0"/>
        <w:tabs>
          <w:tab w:val="left" w:pos="3261"/>
        </w:tabs>
        <w:kinsoku/>
        <w:wordWrap/>
        <w:overflowPunct/>
        <w:topLinePunct w:val="0"/>
        <w:autoSpaceDE/>
        <w:autoSpaceDN/>
        <w:bidi w:val="0"/>
        <w:adjustRightInd/>
        <w:snapToGrid/>
        <w:spacing w:line="400" w:lineRule="exact"/>
        <w:ind w:right="114" w:rightChars="0" w:firstLine="505"/>
        <w:textAlignment w:val="auto"/>
        <w:rPr>
          <w:rFonts w:hint="eastAsia" w:ascii="宋体" w:hAnsi="宋体" w:eastAsia="宋体" w:cs="宋体"/>
          <w:bCs/>
          <w:color w:val="auto"/>
          <w:sz w:val="24"/>
          <w:highlight w:val="none"/>
        </w:rPr>
      </w:pPr>
      <w:r>
        <w:rPr>
          <w:rFonts w:hint="eastAsia" w:ascii="宋体" w:hAnsi="宋体" w:eastAsia="宋体" w:cs="宋体"/>
          <w:b/>
          <w:bCs w:val="0"/>
          <w:color w:val="auto"/>
          <w:sz w:val="24"/>
          <w:highlight w:val="none"/>
          <w:lang w:val="en-US" w:eastAsia="zh-CN"/>
        </w:rPr>
        <w:t>（3）投标人应对承诺内容的真实性负责，如内容填写虚假，采购人有权扣除投标人缴纳的投标保证金（若缴纳）并承担给采购人及代理机构造成的一切损失。</w:t>
      </w:r>
    </w:p>
    <w:p w14:paraId="475C7C86">
      <w:pPr>
        <w:ind w:firstLine="838"/>
        <w:rPr>
          <w:rFonts w:hint="eastAsia" w:ascii="宋体" w:hAnsi="宋体" w:eastAsia="宋体" w:cs="宋体"/>
          <w:color w:val="auto"/>
          <w:kern w:val="0"/>
          <w:sz w:val="32"/>
          <w:szCs w:val="32"/>
          <w:highlight w:val="none"/>
        </w:rPr>
      </w:pPr>
      <w:r>
        <w:rPr>
          <w:rFonts w:hint="eastAsia" w:ascii="宋体" w:hAnsi="宋体" w:eastAsia="宋体" w:cs="宋体"/>
          <w:color w:val="auto"/>
          <w:kern w:val="0"/>
          <w:sz w:val="32"/>
          <w:szCs w:val="32"/>
          <w:highlight w:val="none"/>
        </w:rPr>
        <w:br w:type="page"/>
      </w:r>
    </w:p>
    <w:p w14:paraId="5EDF6E24">
      <w:pPr>
        <w:rPr>
          <w:rFonts w:hint="eastAsia" w:ascii="宋体" w:hAnsi="宋体" w:eastAsia="宋体" w:cs="宋体"/>
          <w:color w:val="auto"/>
          <w:highlight w:val="none"/>
        </w:rPr>
      </w:pPr>
    </w:p>
    <w:p w14:paraId="598E8E4E">
      <w:pPr>
        <w:widowControl/>
        <w:spacing w:line="600" w:lineRule="exact"/>
        <w:jc w:val="left"/>
        <w:rPr>
          <w:rFonts w:hint="eastAsia" w:ascii="宋体" w:hAnsi="宋体" w:eastAsia="宋体" w:cs="宋体"/>
          <w:color w:val="auto"/>
          <w:kern w:val="0"/>
          <w:sz w:val="32"/>
          <w:szCs w:val="32"/>
          <w:highlight w:val="none"/>
        </w:rPr>
      </w:pPr>
      <w:r>
        <w:rPr>
          <w:rFonts w:hint="eastAsia" w:ascii="宋体" w:hAnsi="宋体" w:eastAsia="宋体" w:cs="宋体"/>
          <w:color w:val="auto"/>
          <w:kern w:val="0"/>
          <w:sz w:val="32"/>
          <w:szCs w:val="32"/>
          <w:highlight w:val="none"/>
        </w:rPr>
        <w:t>附表</w:t>
      </w:r>
    </w:p>
    <w:p w14:paraId="6BF98FD8">
      <w:pPr>
        <w:widowControl/>
        <w:spacing w:line="330" w:lineRule="atLeast"/>
        <w:ind w:left="0" w:leftChars="0" w:firstLine="0" w:firstLineChars="0"/>
        <w:jc w:val="center"/>
        <w:rPr>
          <w:rFonts w:hint="eastAsia" w:ascii="宋体" w:hAnsi="宋体" w:eastAsia="宋体" w:cs="宋体"/>
          <w:color w:val="auto"/>
          <w:kern w:val="0"/>
          <w:sz w:val="36"/>
          <w:szCs w:val="32"/>
          <w:highlight w:val="none"/>
        </w:rPr>
      </w:pPr>
      <w:r>
        <w:rPr>
          <w:rFonts w:hint="eastAsia" w:ascii="宋体" w:hAnsi="宋体" w:eastAsia="宋体" w:cs="宋体"/>
          <w:color w:val="auto"/>
          <w:kern w:val="0"/>
          <w:sz w:val="36"/>
          <w:szCs w:val="32"/>
          <w:highlight w:val="none"/>
        </w:rPr>
        <w:t>统计上大中小微型企业划分标准</w:t>
      </w:r>
    </w:p>
    <w:tbl>
      <w:tblPr>
        <w:tblStyle w:val="33"/>
        <w:tblW w:w="91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8"/>
        <w:gridCol w:w="1369"/>
        <w:gridCol w:w="709"/>
        <w:gridCol w:w="1125"/>
        <w:gridCol w:w="1701"/>
        <w:gridCol w:w="1426"/>
        <w:gridCol w:w="992"/>
      </w:tblGrid>
      <w:tr w14:paraId="1E586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exact"/>
          <w:jc w:val="center"/>
        </w:trPr>
        <w:tc>
          <w:tcPr>
            <w:tcW w:w="1838" w:type="dxa"/>
            <w:vAlign w:val="center"/>
          </w:tcPr>
          <w:p w14:paraId="2CE2B976">
            <w:pPr>
              <w:widowControl/>
              <w:spacing w:line="240" w:lineRule="exact"/>
              <w:jc w:val="center"/>
              <w:rPr>
                <w:rFonts w:hint="eastAsia" w:ascii="宋体" w:hAnsi="宋体" w:eastAsia="宋体" w:cs="宋体"/>
                <w:b/>
                <w:bCs/>
                <w:color w:val="auto"/>
                <w:kern w:val="0"/>
                <w:sz w:val="18"/>
                <w:szCs w:val="21"/>
                <w:highlight w:val="none"/>
              </w:rPr>
            </w:pPr>
            <w:r>
              <w:rPr>
                <w:rFonts w:hint="eastAsia" w:ascii="宋体" w:hAnsi="宋体" w:eastAsia="宋体" w:cs="宋体"/>
                <w:b/>
                <w:bCs/>
                <w:color w:val="auto"/>
                <w:kern w:val="0"/>
                <w:sz w:val="18"/>
                <w:szCs w:val="21"/>
                <w:highlight w:val="none"/>
              </w:rPr>
              <w:t>行业名称</w:t>
            </w:r>
          </w:p>
        </w:tc>
        <w:tc>
          <w:tcPr>
            <w:tcW w:w="1369" w:type="dxa"/>
            <w:vAlign w:val="center"/>
          </w:tcPr>
          <w:p w14:paraId="00C73C43">
            <w:pPr>
              <w:widowControl/>
              <w:jc w:val="center"/>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rPr>
              <w:t>指标名称</w:t>
            </w:r>
          </w:p>
        </w:tc>
        <w:tc>
          <w:tcPr>
            <w:tcW w:w="709" w:type="dxa"/>
            <w:vAlign w:val="center"/>
          </w:tcPr>
          <w:p w14:paraId="361ECA03">
            <w:pPr>
              <w:widowControl/>
              <w:jc w:val="center"/>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rPr>
              <w:t>计量</w:t>
            </w:r>
            <w:r>
              <w:rPr>
                <w:rFonts w:hint="eastAsia" w:ascii="宋体" w:hAnsi="宋体" w:eastAsia="宋体" w:cs="宋体"/>
                <w:b/>
                <w:bCs/>
                <w:color w:val="auto"/>
                <w:kern w:val="0"/>
                <w:sz w:val="18"/>
                <w:szCs w:val="18"/>
                <w:highlight w:val="none"/>
              </w:rPr>
              <w:br w:type="textWrapping"/>
            </w:r>
            <w:r>
              <w:rPr>
                <w:rFonts w:hint="eastAsia" w:ascii="宋体" w:hAnsi="宋体" w:eastAsia="宋体" w:cs="宋体"/>
                <w:b/>
                <w:bCs/>
                <w:color w:val="auto"/>
                <w:kern w:val="0"/>
                <w:sz w:val="18"/>
                <w:szCs w:val="18"/>
                <w:highlight w:val="none"/>
              </w:rPr>
              <w:t>单位</w:t>
            </w:r>
          </w:p>
        </w:tc>
        <w:tc>
          <w:tcPr>
            <w:tcW w:w="1125" w:type="dxa"/>
            <w:vAlign w:val="center"/>
          </w:tcPr>
          <w:p w14:paraId="3FF16271">
            <w:pPr>
              <w:widowControl/>
              <w:jc w:val="center"/>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rPr>
              <w:t>大型</w:t>
            </w:r>
          </w:p>
        </w:tc>
        <w:tc>
          <w:tcPr>
            <w:tcW w:w="1701" w:type="dxa"/>
            <w:vAlign w:val="center"/>
          </w:tcPr>
          <w:p w14:paraId="28335BC8">
            <w:pPr>
              <w:widowControl/>
              <w:jc w:val="center"/>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rPr>
              <w:t>中型</w:t>
            </w:r>
          </w:p>
        </w:tc>
        <w:tc>
          <w:tcPr>
            <w:tcW w:w="1426" w:type="dxa"/>
            <w:vAlign w:val="center"/>
          </w:tcPr>
          <w:p w14:paraId="008DD2B7">
            <w:pPr>
              <w:widowControl/>
              <w:jc w:val="center"/>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rPr>
              <w:t>小型</w:t>
            </w:r>
          </w:p>
        </w:tc>
        <w:tc>
          <w:tcPr>
            <w:tcW w:w="992" w:type="dxa"/>
            <w:vAlign w:val="center"/>
          </w:tcPr>
          <w:p w14:paraId="392B8D35">
            <w:pPr>
              <w:widowControl/>
              <w:jc w:val="center"/>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rPr>
              <w:t>微型</w:t>
            </w:r>
          </w:p>
        </w:tc>
      </w:tr>
      <w:tr w14:paraId="2B2ED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exact"/>
          <w:jc w:val="center"/>
        </w:trPr>
        <w:tc>
          <w:tcPr>
            <w:tcW w:w="1838" w:type="dxa"/>
            <w:vAlign w:val="center"/>
          </w:tcPr>
          <w:p w14:paraId="7E1549A5">
            <w:pPr>
              <w:widowControl/>
              <w:spacing w:line="240" w:lineRule="exact"/>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农、林、牧、渔业</w:t>
            </w:r>
          </w:p>
        </w:tc>
        <w:tc>
          <w:tcPr>
            <w:tcW w:w="1369" w:type="dxa"/>
            <w:vAlign w:val="center"/>
          </w:tcPr>
          <w:p w14:paraId="48E785C3">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w:t>
            </w:r>
          </w:p>
        </w:tc>
        <w:tc>
          <w:tcPr>
            <w:tcW w:w="709" w:type="dxa"/>
            <w:vAlign w:val="center"/>
          </w:tcPr>
          <w:p w14:paraId="10B155B2">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125" w:type="dxa"/>
            <w:vAlign w:val="center"/>
          </w:tcPr>
          <w:p w14:paraId="62CBA76D">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Y≥20000</w:t>
            </w:r>
          </w:p>
        </w:tc>
        <w:tc>
          <w:tcPr>
            <w:tcW w:w="1701" w:type="dxa"/>
            <w:vAlign w:val="center"/>
          </w:tcPr>
          <w:p w14:paraId="542F488B">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500≤Y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20000</w:t>
            </w:r>
          </w:p>
        </w:tc>
        <w:tc>
          <w:tcPr>
            <w:tcW w:w="1426" w:type="dxa"/>
            <w:vAlign w:val="center"/>
          </w:tcPr>
          <w:p w14:paraId="128BD3D8">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50≤Y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500</w:t>
            </w:r>
          </w:p>
        </w:tc>
        <w:tc>
          <w:tcPr>
            <w:tcW w:w="992" w:type="dxa"/>
            <w:vAlign w:val="center"/>
          </w:tcPr>
          <w:p w14:paraId="6EF0D2F1">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50</w:t>
            </w:r>
          </w:p>
        </w:tc>
      </w:tr>
      <w:tr w14:paraId="691F7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restart"/>
            <w:vAlign w:val="center"/>
          </w:tcPr>
          <w:p w14:paraId="2206AD94">
            <w:pPr>
              <w:widowControl/>
              <w:spacing w:line="240" w:lineRule="exact"/>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工业 *</w:t>
            </w:r>
          </w:p>
        </w:tc>
        <w:tc>
          <w:tcPr>
            <w:tcW w:w="1369" w:type="dxa"/>
            <w:vAlign w:val="center"/>
          </w:tcPr>
          <w:p w14:paraId="61FEE1B0">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w:t>
            </w:r>
          </w:p>
        </w:tc>
        <w:tc>
          <w:tcPr>
            <w:tcW w:w="709" w:type="dxa"/>
            <w:vAlign w:val="center"/>
          </w:tcPr>
          <w:p w14:paraId="38BB89BA">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1125" w:type="dxa"/>
            <w:vAlign w:val="center"/>
          </w:tcPr>
          <w:p w14:paraId="6EB842E5">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X≥1000</w:t>
            </w:r>
          </w:p>
        </w:tc>
        <w:tc>
          <w:tcPr>
            <w:tcW w:w="1701" w:type="dxa"/>
            <w:vAlign w:val="center"/>
          </w:tcPr>
          <w:p w14:paraId="4B48CB49">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300≤X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1000</w:t>
            </w:r>
          </w:p>
        </w:tc>
        <w:tc>
          <w:tcPr>
            <w:tcW w:w="1426" w:type="dxa"/>
            <w:vAlign w:val="center"/>
          </w:tcPr>
          <w:p w14:paraId="2798CD81">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20≤X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300</w:t>
            </w:r>
          </w:p>
        </w:tc>
        <w:tc>
          <w:tcPr>
            <w:tcW w:w="992" w:type="dxa"/>
            <w:vAlign w:val="center"/>
          </w:tcPr>
          <w:p w14:paraId="0BD5C94D">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20</w:t>
            </w:r>
          </w:p>
        </w:tc>
      </w:tr>
      <w:tr w14:paraId="25747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continue"/>
            <w:vAlign w:val="center"/>
          </w:tcPr>
          <w:p w14:paraId="1ADC389B">
            <w:pPr>
              <w:widowControl/>
              <w:jc w:val="left"/>
              <w:rPr>
                <w:rFonts w:hint="eastAsia" w:ascii="宋体" w:hAnsi="宋体" w:eastAsia="宋体" w:cs="宋体"/>
                <w:color w:val="auto"/>
                <w:kern w:val="0"/>
                <w:sz w:val="18"/>
                <w:szCs w:val="18"/>
                <w:highlight w:val="none"/>
              </w:rPr>
            </w:pPr>
          </w:p>
        </w:tc>
        <w:tc>
          <w:tcPr>
            <w:tcW w:w="1369" w:type="dxa"/>
            <w:vAlign w:val="center"/>
          </w:tcPr>
          <w:p w14:paraId="334AD8B9">
            <w:pPr>
              <w:widowControl/>
              <w:spacing w:line="240" w:lineRule="exact"/>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w:t>
            </w:r>
          </w:p>
        </w:tc>
        <w:tc>
          <w:tcPr>
            <w:tcW w:w="709" w:type="dxa"/>
            <w:vAlign w:val="center"/>
          </w:tcPr>
          <w:p w14:paraId="06BE53C4">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125" w:type="dxa"/>
            <w:vAlign w:val="center"/>
          </w:tcPr>
          <w:p w14:paraId="79F40686">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Y≥40000</w:t>
            </w:r>
          </w:p>
        </w:tc>
        <w:tc>
          <w:tcPr>
            <w:tcW w:w="1701" w:type="dxa"/>
            <w:vAlign w:val="center"/>
          </w:tcPr>
          <w:p w14:paraId="32A38D24">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2000≤Y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40000</w:t>
            </w:r>
          </w:p>
        </w:tc>
        <w:tc>
          <w:tcPr>
            <w:tcW w:w="1426" w:type="dxa"/>
            <w:vAlign w:val="center"/>
          </w:tcPr>
          <w:p w14:paraId="4E467CB1">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300≤Y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2000</w:t>
            </w:r>
          </w:p>
        </w:tc>
        <w:tc>
          <w:tcPr>
            <w:tcW w:w="992" w:type="dxa"/>
            <w:vAlign w:val="center"/>
          </w:tcPr>
          <w:p w14:paraId="6F28F415">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300</w:t>
            </w:r>
          </w:p>
        </w:tc>
      </w:tr>
      <w:tr w14:paraId="6D46F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restart"/>
            <w:vAlign w:val="center"/>
          </w:tcPr>
          <w:p w14:paraId="432FDFEA">
            <w:pPr>
              <w:widowControl/>
              <w:spacing w:line="240" w:lineRule="exact"/>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建筑业</w:t>
            </w:r>
          </w:p>
        </w:tc>
        <w:tc>
          <w:tcPr>
            <w:tcW w:w="1369" w:type="dxa"/>
            <w:vAlign w:val="center"/>
          </w:tcPr>
          <w:p w14:paraId="5A0A0E4A">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w:t>
            </w:r>
          </w:p>
        </w:tc>
        <w:tc>
          <w:tcPr>
            <w:tcW w:w="709" w:type="dxa"/>
            <w:vAlign w:val="center"/>
          </w:tcPr>
          <w:p w14:paraId="44B2065C">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125" w:type="dxa"/>
            <w:vAlign w:val="center"/>
          </w:tcPr>
          <w:p w14:paraId="54FC1A38">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Y≥80000</w:t>
            </w:r>
          </w:p>
        </w:tc>
        <w:tc>
          <w:tcPr>
            <w:tcW w:w="1701" w:type="dxa"/>
            <w:vAlign w:val="center"/>
          </w:tcPr>
          <w:p w14:paraId="0AEE6B64">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6000≤Y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80000</w:t>
            </w:r>
          </w:p>
        </w:tc>
        <w:tc>
          <w:tcPr>
            <w:tcW w:w="1426" w:type="dxa"/>
            <w:vAlign w:val="center"/>
          </w:tcPr>
          <w:p w14:paraId="67A90E78">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300≤Y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6000</w:t>
            </w:r>
          </w:p>
        </w:tc>
        <w:tc>
          <w:tcPr>
            <w:tcW w:w="992" w:type="dxa"/>
            <w:vAlign w:val="center"/>
          </w:tcPr>
          <w:p w14:paraId="10DDF443">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300</w:t>
            </w:r>
          </w:p>
        </w:tc>
      </w:tr>
      <w:tr w14:paraId="2CE47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continue"/>
            <w:vAlign w:val="center"/>
          </w:tcPr>
          <w:p w14:paraId="0A3535EF">
            <w:pPr>
              <w:widowControl/>
              <w:jc w:val="left"/>
              <w:rPr>
                <w:rFonts w:hint="eastAsia" w:ascii="宋体" w:hAnsi="宋体" w:eastAsia="宋体" w:cs="宋体"/>
                <w:color w:val="auto"/>
                <w:kern w:val="0"/>
                <w:sz w:val="18"/>
                <w:szCs w:val="18"/>
                <w:highlight w:val="none"/>
              </w:rPr>
            </w:pPr>
          </w:p>
        </w:tc>
        <w:tc>
          <w:tcPr>
            <w:tcW w:w="1369" w:type="dxa"/>
            <w:vAlign w:val="center"/>
          </w:tcPr>
          <w:p w14:paraId="342CF42A">
            <w:pPr>
              <w:widowControl/>
              <w:spacing w:line="240" w:lineRule="exact"/>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资产总额</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Z</w:t>
            </w:r>
            <w:r>
              <w:rPr>
                <w:rFonts w:hint="eastAsia" w:ascii="宋体" w:hAnsi="宋体" w:eastAsia="宋体" w:cs="宋体"/>
                <w:color w:val="auto"/>
                <w:kern w:val="0"/>
                <w:sz w:val="18"/>
                <w:szCs w:val="18"/>
                <w:highlight w:val="none"/>
                <w:lang w:eastAsia="zh-CN"/>
              </w:rPr>
              <w:t>）</w:t>
            </w:r>
          </w:p>
        </w:tc>
        <w:tc>
          <w:tcPr>
            <w:tcW w:w="709" w:type="dxa"/>
            <w:vAlign w:val="center"/>
          </w:tcPr>
          <w:p w14:paraId="5F7CF80C">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125" w:type="dxa"/>
            <w:vAlign w:val="center"/>
          </w:tcPr>
          <w:p w14:paraId="02D1D17C">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Z≥80000</w:t>
            </w:r>
          </w:p>
        </w:tc>
        <w:tc>
          <w:tcPr>
            <w:tcW w:w="1701" w:type="dxa"/>
            <w:vAlign w:val="center"/>
          </w:tcPr>
          <w:p w14:paraId="5E315E48">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5000≤Z</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80000</w:t>
            </w:r>
          </w:p>
        </w:tc>
        <w:tc>
          <w:tcPr>
            <w:tcW w:w="1426" w:type="dxa"/>
            <w:vAlign w:val="center"/>
          </w:tcPr>
          <w:p w14:paraId="50127767">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300≤Z</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5000</w:t>
            </w:r>
          </w:p>
        </w:tc>
        <w:tc>
          <w:tcPr>
            <w:tcW w:w="992" w:type="dxa"/>
            <w:vAlign w:val="center"/>
          </w:tcPr>
          <w:p w14:paraId="521ABD0F">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Z</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300</w:t>
            </w:r>
          </w:p>
        </w:tc>
      </w:tr>
      <w:tr w14:paraId="3C93E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restart"/>
            <w:vAlign w:val="center"/>
          </w:tcPr>
          <w:p w14:paraId="39A5F78F">
            <w:pPr>
              <w:widowControl/>
              <w:spacing w:line="240" w:lineRule="exact"/>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批发业</w:t>
            </w:r>
          </w:p>
        </w:tc>
        <w:tc>
          <w:tcPr>
            <w:tcW w:w="1369" w:type="dxa"/>
            <w:vAlign w:val="center"/>
          </w:tcPr>
          <w:p w14:paraId="08C73949">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w:t>
            </w:r>
          </w:p>
        </w:tc>
        <w:tc>
          <w:tcPr>
            <w:tcW w:w="709" w:type="dxa"/>
            <w:vAlign w:val="center"/>
          </w:tcPr>
          <w:p w14:paraId="20F1E352">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1125" w:type="dxa"/>
            <w:vAlign w:val="center"/>
          </w:tcPr>
          <w:p w14:paraId="362C1176">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X≥200</w:t>
            </w:r>
          </w:p>
        </w:tc>
        <w:tc>
          <w:tcPr>
            <w:tcW w:w="1701" w:type="dxa"/>
            <w:vAlign w:val="center"/>
          </w:tcPr>
          <w:p w14:paraId="3062FA9F">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20≤X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200</w:t>
            </w:r>
          </w:p>
        </w:tc>
        <w:tc>
          <w:tcPr>
            <w:tcW w:w="1426" w:type="dxa"/>
            <w:vAlign w:val="center"/>
          </w:tcPr>
          <w:p w14:paraId="17791081">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5≤X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20</w:t>
            </w:r>
          </w:p>
        </w:tc>
        <w:tc>
          <w:tcPr>
            <w:tcW w:w="992" w:type="dxa"/>
            <w:vAlign w:val="center"/>
          </w:tcPr>
          <w:p w14:paraId="107DEE40">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5</w:t>
            </w:r>
          </w:p>
        </w:tc>
      </w:tr>
      <w:tr w14:paraId="2E5A0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continue"/>
            <w:vAlign w:val="center"/>
          </w:tcPr>
          <w:p w14:paraId="3A5846E6">
            <w:pPr>
              <w:widowControl/>
              <w:jc w:val="left"/>
              <w:rPr>
                <w:rFonts w:hint="eastAsia" w:ascii="宋体" w:hAnsi="宋体" w:eastAsia="宋体" w:cs="宋体"/>
                <w:color w:val="auto"/>
                <w:kern w:val="0"/>
                <w:sz w:val="18"/>
                <w:szCs w:val="18"/>
                <w:highlight w:val="none"/>
              </w:rPr>
            </w:pPr>
          </w:p>
        </w:tc>
        <w:tc>
          <w:tcPr>
            <w:tcW w:w="1369" w:type="dxa"/>
            <w:vAlign w:val="center"/>
          </w:tcPr>
          <w:p w14:paraId="1FF9480F">
            <w:pPr>
              <w:widowControl/>
              <w:spacing w:line="240" w:lineRule="exact"/>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w:t>
            </w:r>
          </w:p>
        </w:tc>
        <w:tc>
          <w:tcPr>
            <w:tcW w:w="709" w:type="dxa"/>
            <w:vAlign w:val="center"/>
          </w:tcPr>
          <w:p w14:paraId="377D3147">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125" w:type="dxa"/>
            <w:vAlign w:val="center"/>
          </w:tcPr>
          <w:p w14:paraId="26B19506">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Y≥40000</w:t>
            </w:r>
          </w:p>
        </w:tc>
        <w:tc>
          <w:tcPr>
            <w:tcW w:w="1701" w:type="dxa"/>
            <w:vAlign w:val="center"/>
          </w:tcPr>
          <w:p w14:paraId="38BB47E4">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5000≤Y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40000</w:t>
            </w:r>
          </w:p>
        </w:tc>
        <w:tc>
          <w:tcPr>
            <w:tcW w:w="1426" w:type="dxa"/>
            <w:vAlign w:val="center"/>
          </w:tcPr>
          <w:p w14:paraId="3D1C8A9A">
            <w:pPr>
              <w:widowControl/>
              <w:ind w:left="-2" w:leftChars="-1"/>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5000</w:t>
            </w:r>
          </w:p>
        </w:tc>
        <w:tc>
          <w:tcPr>
            <w:tcW w:w="992" w:type="dxa"/>
            <w:vAlign w:val="center"/>
          </w:tcPr>
          <w:p w14:paraId="0A66EF30">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1000</w:t>
            </w:r>
          </w:p>
        </w:tc>
      </w:tr>
      <w:tr w14:paraId="1D703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restart"/>
            <w:vAlign w:val="center"/>
          </w:tcPr>
          <w:p w14:paraId="0388358F">
            <w:pPr>
              <w:widowControl/>
              <w:spacing w:line="240" w:lineRule="exact"/>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零售业</w:t>
            </w:r>
          </w:p>
        </w:tc>
        <w:tc>
          <w:tcPr>
            <w:tcW w:w="1369" w:type="dxa"/>
            <w:vAlign w:val="center"/>
          </w:tcPr>
          <w:p w14:paraId="39651264">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w:t>
            </w:r>
          </w:p>
        </w:tc>
        <w:tc>
          <w:tcPr>
            <w:tcW w:w="709" w:type="dxa"/>
            <w:vAlign w:val="center"/>
          </w:tcPr>
          <w:p w14:paraId="276352FA">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1125" w:type="dxa"/>
            <w:vAlign w:val="center"/>
          </w:tcPr>
          <w:p w14:paraId="5651BC42">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X≥300</w:t>
            </w:r>
          </w:p>
        </w:tc>
        <w:tc>
          <w:tcPr>
            <w:tcW w:w="1701" w:type="dxa"/>
            <w:vAlign w:val="center"/>
          </w:tcPr>
          <w:p w14:paraId="182DF47E">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50≤X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300</w:t>
            </w:r>
          </w:p>
        </w:tc>
        <w:tc>
          <w:tcPr>
            <w:tcW w:w="1426" w:type="dxa"/>
            <w:vAlign w:val="center"/>
          </w:tcPr>
          <w:p w14:paraId="1723970B">
            <w:pPr>
              <w:widowControl/>
              <w:ind w:left="-2" w:leftChars="-1"/>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 xml:space="preserve">50 </w:t>
            </w:r>
          </w:p>
        </w:tc>
        <w:tc>
          <w:tcPr>
            <w:tcW w:w="992" w:type="dxa"/>
            <w:vAlign w:val="center"/>
          </w:tcPr>
          <w:p w14:paraId="3C3FBFC4">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w:t>
            </w:r>
          </w:p>
        </w:tc>
      </w:tr>
      <w:tr w14:paraId="0733B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continue"/>
            <w:vAlign w:val="center"/>
          </w:tcPr>
          <w:p w14:paraId="2BFA599D">
            <w:pPr>
              <w:widowControl/>
              <w:jc w:val="left"/>
              <w:rPr>
                <w:rFonts w:hint="eastAsia" w:ascii="宋体" w:hAnsi="宋体" w:eastAsia="宋体" w:cs="宋体"/>
                <w:color w:val="auto"/>
                <w:kern w:val="0"/>
                <w:sz w:val="18"/>
                <w:szCs w:val="18"/>
                <w:highlight w:val="none"/>
              </w:rPr>
            </w:pPr>
          </w:p>
        </w:tc>
        <w:tc>
          <w:tcPr>
            <w:tcW w:w="1369" w:type="dxa"/>
            <w:vAlign w:val="center"/>
          </w:tcPr>
          <w:p w14:paraId="6C7A33DE">
            <w:pPr>
              <w:widowControl/>
              <w:spacing w:line="240" w:lineRule="exact"/>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w:t>
            </w:r>
          </w:p>
        </w:tc>
        <w:tc>
          <w:tcPr>
            <w:tcW w:w="709" w:type="dxa"/>
            <w:vAlign w:val="center"/>
          </w:tcPr>
          <w:p w14:paraId="7BA907EA">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125" w:type="dxa"/>
            <w:vAlign w:val="center"/>
          </w:tcPr>
          <w:p w14:paraId="38B12173">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Y≥20000</w:t>
            </w:r>
          </w:p>
        </w:tc>
        <w:tc>
          <w:tcPr>
            <w:tcW w:w="1701" w:type="dxa"/>
            <w:vAlign w:val="center"/>
          </w:tcPr>
          <w:p w14:paraId="54D62B96">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500≤Y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20000</w:t>
            </w:r>
          </w:p>
        </w:tc>
        <w:tc>
          <w:tcPr>
            <w:tcW w:w="1426" w:type="dxa"/>
            <w:vAlign w:val="center"/>
          </w:tcPr>
          <w:p w14:paraId="56226E9B">
            <w:pPr>
              <w:widowControl/>
              <w:ind w:left="-2" w:leftChars="-1"/>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 xml:space="preserve">500 </w:t>
            </w:r>
          </w:p>
        </w:tc>
        <w:tc>
          <w:tcPr>
            <w:tcW w:w="992" w:type="dxa"/>
            <w:vAlign w:val="center"/>
          </w:tcPr>
          <w:p w14:paraId="74BE29E8">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w:t>
            </w:r>
          </w:p>
        </w:tc>
      </w:tr>
      <w:tr w14:paraId="43299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restart"/>
            <w:vAlign w:val="center"/>
          </w:tcPr>
          <w:p w14:paraId="76439969">
            <w:pPr>
              <w:widowControl/>
              <w:spacing w:line="240" w:lineRule="exact"/>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交通运输业 *</w:t>
            </w:r>
          </w:p>
        </w:tc>
        <w:tc>
          <w:tcPr>
            <w:tcW w:w="1369" w:type="dxa"/>
            <w:vAlign w:val="center"/>
          </w:tcPr>
          <w:p w14:paraId="4F3F0DE2">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w:t>
            </w:r>
          </w:p>
        </w:tc>
        <w:tc>
          <w:tcPr>
            <w:tcW w:w="709" w:type="dxa"/>
            <w:vAlign w:val="center"/>
          </w:tcPr>
          <w:p w14:paraId="4B2804CB">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1125" w:type="dxa"/>
            <w:vAlign w:val="center"/>
          </w:tcPr>
          <w:p w14:paraId="3340B602">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X≥1000</w:t>
            </w:r>
          </w:p>
        </w:tc>
        <w:tc>
          <w:tcPr>
            <w:tcW w:w="1701" w:type="dxa"/>
            <w:vAlign w:val="center"/>
          </w:tcPr>
          <w:p w14:paraId="166689DB">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300≤X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1000</w:t>
            </w:r>
          </w:p>
        </w:tc>
        <w:tc>
          <w:tcPr>
            <w:tcW w:w="1426" w:type="dxa"/>
            <w:vAlign w:val="center"/>
          </w:tcPr>
          <w:p w14:paraId="25EFBC78">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20≤X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300</w:t>
            </w:r>
          </w:p>
        </w:tc>
        <w:tc>
          <w:tcPr>
            <w:tcW w:w="992" w:type="dxa"/>
            <w:vAlign w:val="center"/>
          </w:tcPr>
          <w:p w14:paraId="4F63C50B">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20</w:t>
            </w:r>
          </w:p>
        </w:tc>
      </w:tr>
      <w:tr w14:paraId="56FE0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continue"/>
            <w:vAlign w:val="center"/>
          </w:tcPr>
          <w:p w14:paraId="6C7B70E3">
            <w:pPr>
              <w:widowControl/>
              <w:jc w:val="left"/>
              <w:rPr>
                <w:rFonts w:hint="eastAsia" w:ascii="宋体" w:hAnsi="宋体" w:eastAsia="宋体" w:cs="宋体"/>
                <w:color w:val="auto"/>
                <w:kern w:val="0"/>
                <w:sz w:val="18"/>
                <w:szCs w:val="18"/>
                <w:highlight w:val="none"/>
              </w:rPr>
            </w:pPr>
          </w:p>
        </w:tc>
        <w:tc>
          <w:tcPr>
            <w:tcW w:w="1369" w:type="dxa"/>
            <w:vAlign w:val="center"/>
          </w:tcPr>
          <w:p w14:paraId="422EB2E1">
            <w:pPr>
              <w:widowControl/>
              <w:spacing w:line="240" w:lineRule="exact"/>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w:t>
            </w:r>
          </w:p>
        </w:tc>
        <w:tc>
          <w:tcPr>
            <w:tcW w:w="709" w:type="dxa"/>
            <w:vAlign w:val="center"/>
          </w:tcPr>
          <w:p w14:paraId="409D1043">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125" w:type="dxa"/>
            <w:vAlign w:val="center"/>
          </w:tcPr>
          <w:p w14:paraId="68390A2B">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Y≥30000</w:t>
            </w:r>
          </w:p>
        </w:tc>
        <w:tc>
          <w:tcPr>
            <w:tcW w:w="1701" w:type="dxa"/>
            <w:vAlign w:val="center"/>
          </w:tcPr>
          <w:p w14:paraId="07F24E88">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3000≤Y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30000</w:t>
            </w:r>
          </w:p>
        </w:tc>
        <w:tc>
          <w:tcPr>
            <w:tcW w:w="1426" w:type="dxa"/>
            <w:vAlign w:val="center"/>
          </w:tcPr>
          <w:p w14:paraId="7B1C88C0">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200≤Y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3000</w:t>
            </w:r>
          </w:p>
        </w:tc>
        <w:tc>
          <w:tcPr>
            <w:tcW w:w="992" w:type="dxa"/>
            <w:vAlign w:val="center"/>
          </w:tcPr>
          <w:p w14:paraId="4B68EE15">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200</w:t>
            </w:r>
          </w:p>
        </w:tc>
      </w:tr>
      <w:tr w14:paraId="4F8D0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restart"/>
            <w:vAlign w:val="center"/>
          </w:tcPr>
          <w:p w14:paraId="37353372">
            <w:pPr>
              <w:widowControl/>
              <w:spacing w:line="240" w:lineRule="exact"/>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仓储业*</w:t>
            </w:r>
          </w:p>
        </w:tc>
        <w:tc>
          <w:tcPr>
            <w:tcW w:w="1369" w:type="dxa"/>
            <w:vAlign w:val="center"/>
          </w:tcPr>
          <w:p w14:paraId="4770355E">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w:t>
            </w:r>
          </w:p>
        </w:tc>
        <w:tc>
          <w:tcPr>
            <w:tcW w:w="709" w:type="dxa"/>
            <w:vAlign w:val="center"/>
          </w:tcPr>
          <w:p w14:paraId="26B8850B">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1125" w:type="dxa"/>
            <w:vAlign w:val="center"/>
          </w:tcPr>
          <w:p w14:paraId="6743A368">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X≥200</w:t>
            </w:r>
          </w:p>
        </w:tc>
        <w:tc>
          <w:tcPr>
            <w:tcW w:w="1701" w:type="dxa"/>
            <w:vAlign w:val="center"/>
          </w:tcPr>
          <w:p w14:paraId="287DE360">
            <w:pPr>
              <w:widowControl/>
              <w:ind w:left="1" w:leftChars="-51" w:hanging="108" w:hangingChars="6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200</w:t>
            </w:r>
          </w:p>
        </w:tc>
        <w:tc>
          <w:tcPr>
            <w:tcW w:w="1426" w:type="dxa"/>
            <w:vAlign w:val="center"/>
          </w:tcPr>
          <w:p w14:paraId="5EE4B6FF">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20≤X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w:t>
            </w:r>
          </w:p>
        </w:tc>
        <w:tc>
          <w:tcPr>
            <w:tcW w:w="992" w:type="dxa"/>
            <w:vAlign w:val="center"/>
          </w:tcPr>
          <w:p w14:paraId="0FBC6C9F">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20</w:t>
            </w:r>
          </w:p>
        </w:tc>
      </w:tr>
      <w:tr w14:paraId="6268A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continue"/>
            <w:vAlign w:val="center"/>
          </w:tcPr>
          <w:p w14:paraId="1701C770">
            <w:pPr>
              <w:widowControl/>
              <w:jc w:val="left"/>
              <w:rPr>
                <w:rFonts w:hint="eastAsia" w:ascii="宋体" w:hAnsi="宋体" w:eastAsia="宋体" w:cs="宋体"/>
                <w:color w:val="auto"/>
                <w:kern w:val="0"/>
                <w:sz w:val="18"/>
                <w:szCs w:val="18"/>
                <w:highlight w:val="none"/>
              </w:rPr>
            </w:pPr>
          </w:p>
        </w:tc>
        <w:tc>
          <w:tcPr>
            <w:tcW w:w="1369" w:type="dxa"/>
            <w:vAlign w:val="center"/>
          </w:tcPr>
          <w:p w14:paraId="03A6DC38">
            <w:pPr>
              <w:widowControl/>
              <w:spacing w:line="240" w:lineRule="exact"/>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w:t>
            </w:r>
          </w:p>
        </w:tc>
        <w:tc>
          <w:tcPr>
            <w:tcW w:w="709" w:type="dxa"/>
            <w:vAlign w:val="center"/>
          </w:tcPr>
          <w:p w14:paraId="43267F04">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125" w:type="dxa"/>
            <w:vAlign w:val="center"/>
          </w:tcPr>
          <w:p w14:paraId="56BE6BBB">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Y≥30000</w:t>
            </w:r>
          </w:p>
        </w:tc>
        <w:tc>
          <w:tcPr>
            <w:tcW w:w="1701" w:type="dxa"/>
            <w:vAlign w:val="center"/>
          </w:tcPr>
          <w:p w14:paraId="33057287">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30000</w:t>
            </w:r>
          </w:p>
        </w:tc>
        <w:tc>
          <w:tcPr>
            <w:tcW w:w="1426" w:type="dxa"/>
            <w:vAlign w:val="center"/>
          </w:tcPr>
          <w:p w14:paraId="0A350EF1">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1000</w:t>
            </w:r>
          </w:p>
        </w:tc>
        <w:tc>
          <w:tcPr>
            <w:tcW w:w="992" w:type="dxa"/>
            <w:vAlign w:val="center"/>
          </w:tcPr>
          <w:p w14:paraId="4CBC1042">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w:t>
            </w:r>
          </w:p>
        </w:tc>
      </w:tr>
      <w:tr w14:paraId="1F25E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restart"/>
            <w:vAlign w:val="center"/>
          </w:tcPr>
          <w:p w14:paraId="18B3B454">
            <w:pPr>
              <w:widowControl/>
              <w:spacing w:line="240" w:lineRule="exact"/>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邮政业</w:t>
            </w:r>
          </w:p>
        </w:tc>
        <w:tc>
          <w:tcPr>
            <w:tcW w:w="1369" w:type="dxa"/>
            <w:vAlign w:val="center"/>
          </w:tcPr>
          <w:p w14:paraId="6ABD3188">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w:t>
            </w:r>
          </w:p>
        </w:tc>
        <w:tc>
          <w:tcPr>
            <w:tcW w:w="709" w:type="dxa"/>
            <w:vAlign w:val="center"/>
          </w:tcPr>
          <w:p w14:paraId="346C7C72">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1125" w:type="dxa"/>
            <w:vAlign w:val="center"/>
          </w:tcPr>
          <w:p w14:paraId="0F77862F">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X≥1000</w:t>
            </w:r>
          </w:p>
        </w:tc>
        <w:tc>
          <w:tcPr>
            <w:tcW w:w="1701" w:type="dxa"/>
            <w:vAlign w:val="center"/>
          </w:tcPr>
          <w:p w14:paraId="1851EFB6">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300≤X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1000</w:t>
            </w:r>
          </w:p>
        </w:tc>
        <w:tc>
          <w:tcPr>
            <w:tcW w:w="1426" w:type="dxa"/>
            <w:vAlign w:val="center"/>
          </w:tcPr>
          <w:p w14:paraId="18F94981">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20≤X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300</w:t>
            </w:r>
          </w:p>
        </w:tc>
        <w:tc>
          <w:tcPr>
            <w:tcW w:w="992" w:type="dxa"/>
            <w:vAlign w:val="center"/>
          </w:tcPr>
          <w:p w14:paraId="2554F5BD">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20</w:t>
            </w:r>
          </w:p>
        </w:tc>
      </w:tr>
      <w:tr w14:paraId="789F0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continue"/>
            <w:vAlign w:val="center"/>
          </w:tcPr>
          <w:p w14:paraId="2DC90C64">
            <w:pPr>
              <w:widowControl/>
              <w:jc w:val="left"/>
              <w:rPr>
                <w:rFonts w:hint="eastAsia" w:ascii="宋体" w:hAnsi="宋体" w:eastAsia="宋体" w:cs="宋体"/>
                <w:color w:val="auto"/>
                <w:kern w:val="0"/>
                <w:sz w:val="18"/>
                <w:szCs w:val="18"/>
                <w:highlight w:val="none"/>
              </w:rPr>
            </w:pPr>
          </w:p>
        </w:tc>
        <w:tc>
          <w:tcPr>
            <w:tcW w:w="1369" w:type="dxa"/>
            <w:vAlign w:val="center"/>
          </w:tcPr>
          <w:p w14:paraId="54F7B176">
            <w:pPr>
              <w:widowControl/>
              <w:spacing w:line="240" w:lineRule="exact"/>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w:t>
            </w:r>
          </w:p>
        </w:tc>
        <w:tc>
          <w:tcPr>
            <w:tcW w:w="709" w:type="dxa"/>
            <w:vAlign w:val="center"/>
          </w:tcPr>
          <w:p w14:paraId="3F864FFE">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125" w:type="dxa"/>
            <w:vAlign w:val="center"/>
          </w:tcPr>
          <w:p w14:paraId="2A95D3AD">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Y≥30000</w:t>
            </w:r>
          </w:p>
        </w:tc>
        <w:tc>
          <w:tcPr>
            <w:tcW w:w="1701" w:type="dxa"/>
            <w:vAlign w:val="center"/>
          </w:tcPr>
          <w:p w14:paraId="4AB249B2">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2000≤Y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30000</w:t>
            </w:r>
          </w:p>
        </w:tc>
        <w:tc>
          <w:tcPr>
            <w:tcW w:w="1426" w:type="dxa"/>
            <w:vAlign w:val="center"/>
          </w:tcPr>
          <w:p w14:paraId="38A4CC4B">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2000</w:t>
            </w:r>
          </w:p>
        </w:tc>
        <w:tc>
          <w:tcPr>
            <w:tcW w:w="992" w:type="dxa"/>
            <w:vAlign w:val="center"/>
          </w:tcPr>
          <w:p w14:paraId="4D4CB133">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w:t>
            </w:r>
          </w:p>
        </w:tc>
      </w:tr>
      <w:tr w14:paraId="0D1BF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restart"/>
            <w:vAlign w:val="center"/>
          </w:tcPr>
          <w:p w14:paraId="370525C7">
            <w:pPr>
              <w:widowControl/>
              <w:spacing w:line="240" w:lineRule="exact"/>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住宿业</w:t>
            </w:r>
          </w:p>
        </w:tc>
        <w:tc>
          <w:tcPr>
            <w:tcW w:w="1369" w:type="dxa"/>
            <w:vAlign w:val="center"/>
          </w:tcPr>
          <w:p w14:paraId="13D0002A">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w:t>
            </w:r>
          </w:p>
        </w:tc>
        <w:tc>
          <w:tcPr>
            <w:tcW w:w="709" w:type="dxa"/>
            <w:vAlign w:val="center"/>
          </w:tcPr>
          <w:p w14:paraId="6207A5D0">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1125" w:type="dxa"/>
            <w:vAlign w:val="center"/>
          </w:tcPr>
          <w:p w14:paraId="37EA25FC">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X≥300</w:t>
            </w:r>
          </w:p>
        </w:tc>
        <w:tc>
          <w:tcPr>
            <w:tcW w:w="1701" w:type="dxa"/>
            <w:vAlign w:val="center"/>
          </w:tcPr>
          <w:p w14:paraId="3CC55864">
            <w:pPr>
              <w:widowControl/>
              <w:ind w:left="1" w:leftChars="-51" w:hanging="108" w:hangingChars="6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 xml:space="preserve">300 </w:t>
            </w:r>
          </w:p>
        </w:tc>
        <w:tc>
          <w:tcPr>
            <w:tcW w:w="1426" w:type="dxa"/>
            <w:vAlign w:val="center"/>
          </w:tcPr>
          <w:p w14:paraId="29728D71">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w:t>
            </w:r>
          </w:p>
        </w:tc>
        <w:tc>
          <w:tcPr>
            <w:tcW w:w="992" w:type="dxa"/>
            <w:vAlign w:val="center"/>
          </w:tcPr>
          <w:p w14:paraId="53F4D0B5">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w:t>
            </w:r>
          </w:p>
        </w:tc>
      </w:tr>
      <w:tr w14:paraId="26EFB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continue"/>
            <w:vAlign w:val="center"/>
          </w:tcPr>
          <w:p w14:paraId="412ABD5B">
            <w:pPr>
              <w:widowControl/>
              <w:jc w:val="left"/>
              <w:rPr>
                <w:rFonts w:hint="eastAsia" w:ascii="宋体" w:hAnsi="宋体" w:eastAsia="宋体" w:cs="宋体"/>
                <w:color w:val="auto"/>
                <w:kern w:val="0"/>
                <w:sz w:val="18"/>
                <w:szCs w:val="18"/>
                <w:highlight w:val="none"/>
              </w:rPr>
            </w:pPr>
          </w:p>
        </w:tc>
        <w:tc>
          <w:tcPr>
            <w:tcW w:w="1369" w:type="dxa"/>
            <w:vAlign w:val="center"/>
          </w:tcPr>
          <w:p w14:paraId="41D255EC">
            <w:pPr>
              <w:widowControl/>
              <w:spacing w:line="240" w:lineRule="exact"/>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w:t>
            </w:r>
          </w:p>
        </w:tc>
        <w:tc>
          <w:tcPr>
            <w:tcW w:w="709" w:type="dxa"/>
            <w:vAlign w:val="center"/>
          </w:tcPr>
          <w:p w14:paraId="2497ED02">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125" w:type="dxa"/>
            <w:vAlign w:val="center"/>
          </w:tcPr>
          <w:p w14:paraId="3CD5CB9C">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Y≥10000</w:t>
            </w:r>
          </w:p>
        </w:tc>
        <w:tc>
          <w:tcPr>
            <w:tcW w:w="1701" w:type="dxa"/>
            <w:vAlign w:val="center"/>
          </w:tcPr>
          <w:p w14:paraId="380C9362">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2000≤Y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10000</w:t>
            </w:r>
          </w:p>
        </w:tc>
        <w:tc>
          <w:tcPr>
            <w:tcW w:w="1426" w:type="dxa"/>
            <w:vAlign w:val="center"/>
          </w:tcPr>
          <w:p w14:paraId="68DF0174">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2000</w:t>
            </w:r>
          </w:p>
        </w:tc>
        <w:tc>
          <w:tcPr>
            <w:tcW w:w="992" w:type="dxa"/>
            <w:vAlign w:val="center"/>
          </w:tcPr>
          <w:p w14:paraId="37C67F1E">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w:t>
            </w:r>
          </w:p>
        </w:tc>
      </w:tr>
      <w:tr w14:paraId="2BBFA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restart"/>
            <w:vAlign w:val="center"/>
          </w:tcPr>
          <w:p w14:paraId="2FBBB57D">
            <w:pPr>
              <w:widowControl/>
              <w:spacing w:line="240" w:lineRule="exact"/>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餐饮业</w:t>
            </w:r>
          </w:p>
        </w:tc>
        <w:tc>
          <w:tcPr>
            <w:tcW w:w="1369" w:type="dxa"/>
            <w:vAlign w:val="center"/>
          </w:tcPr>
          <w:p w14:paraId="374365FD">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w:t>
            </w:r>
          </w:p>
        </w:tc>
        <w:tc>
          <w:tcPr>
            <w:tcW w:w="709" w:type="dxa"/>
            <w:vAlign w:val="center"/>
          </w:tcPr>
          <w:p w14:paraId="00401ED5">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1125" w:type="dxa"/>
            <w:vAlign w:val="center"/>
          </w:tcPr>
          <w:p w14:paraId="2C98CE51">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X≥300</w:t>
            </w:r>
          </w:p>
        </w:tc>
        <w:tc>
          <w:tcPr>
            <w:tcW w:w="1701" w:type="dxa"/>
            <w:vAlign w:val="center"/>
          </w:tcPr>
          <w:p w14:paraId="23C7B8E5">
            <w:pPr>
              <w:widowControl/>
              <w:ind w:left="1" w:leftChars="-51" w:hanging="108" w:hangingChars="6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 xml:space="preserve">300 </w:t>
            </w:r>
          </w:p>
        </w:tc>
        <w:tc>
          <w:tcPr>
            <w:tcW w:w="1426" w:type="dxa"/>
            <w:vAlign w:val="center"/>
          </w:tcPr>
          <w:p w14:paraId="7CFF6DC0">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w:t>
            </w:r>
          </w:p>
        </w:tc>
        <w:tc>
          <w:tcPr>
            <w:tcW w:w="992" w:type="dxa"/>
            <w:vAlign w:val="center"/>
          </w:tcPr>
          <w:p w14:paraId="56B4E9B2">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w:t>
            </w:r>
          </w:p>
        </w:tc>
      </w:tr>
      <w:tr w14:paraId="2E6EC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continue"/>
            <w:vAlign w:val="center"/>
          </w:tcPr>
          <w:p w14:paraId="1FCE6E30">
            <w:pPr>
              <w:widowControl/>
              <w:jc w:val="left"/>
              <w:rPr>
                <w:rFonts w:hint="eastAsia" w:ascii="宋体" w:hAnsi="宋体" w:eastAsia="宋体" w:cs="宋体"/>
                <w:color w:val="auto"/>
                <w:kern w:val="0"/>
                <w:sz w:val="18"/>
                <w:szCs w:val="18"/>
                <w:highlight w:val="none"/>
              </w:rPr>
            </w:pPr>
          </w:p>
        </w:tc>
        <w:tc>
          <w:tcPr>
            <w:tcW w:w="1369" w:type="dxa"/>
            <w:vAlign w:val="center"/>
          </w:tcPr>
          <w:p w14:paraId="4BBCEAFE">
            <w:pPr>
              <w:widowControl/>
              <w:spacing w:line="240" w:lineRule="exact"/>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w:t>
            </w:r>
          </w:p>
        </w:tc>
        <w:tc>
          <w:tcPr>
            <w:tcW w:w="709" w:type="dxa"/>
            <w:vAlign w:val="center"/>
          </w:tcPr>
          <w:p w14:paraId="4AC5CDD6">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125" w:type="dxa"/>
            <w:vAlign w:val="center"/>
          </w:tcPr>
          <w:p w14:paraId="0B8F76CA">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Y≥10000</w:t>
            </w:r>
          </w:p>
        </w:tc>
        <w:tc>
          <w:tcPr>
            <w:tcW w:w="1701" w:type="dxa"/>
            <w:vAlign w:val="center"/>
          </w:tcPr>
          <w:p w14:paraId="6162E8E9">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2000≤Y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10000</w:t>
            </w:r>
          </w:p>
        </w:tc>
        <w:tc>
          <w:tcPr>
            <w:tcW w:w="1426" w:type="dxa"/>
            <w:vAlign w:val="center"/>
          </w:tcPr>
          <w:p w14:paraId="4CB06F6B">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2000</w:t>
            </w:r>
          </w:p>
        </w:tc>
        <w:tc>
          <w:tcPr>
            <w:tcW w:w="992" w:type="dxa"/>
            <w:vAlign w:val="center"/>
          </w:tcPr>
          <w:p w14:paraId="31F7482C">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w:t>
            </w:r>
          </w:p>
        </w:tc>
      </w:tr>
      <w:tr w14:paraId="40C8E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restart"/>
            <w:vAlign w:val="center"/>
          </w:tcPr>
          <w:p w14:paraId="2A6B8C86">
            <w:pPr>
              <w:widowControl/>
              <w:spacing w:line="240" w:lineRule="exact"/>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信息传输业 *</w:t>
            </w:r>
          </w:p>
        </w:tc>
        <w:tc>
          <w:tcPr>
            <w:tcW w:w="1369" w:type="dxa"/>
            <w:vAlign w:val="center"/>
          </w:tcPr>
          <w:p w14:paraId="286AFDB3">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w:t>
            </w:r>
          </w:p>
        </w:tc>
        <w:tc>
          <w:tcPr>
            <w:tcW w:w="709" w:type="dxa"/>
            <w:vAlign w:val="center"/>
          </w:tcPr>
          <w:p w14:paraId="31B20C94">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1125" w:type="dxa"/>
            <w:vAlign w:val="center"/>
          </w:tcPr>
          <w:p w14:paraId="416E54BB">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X≥2000</w:t>
            </w:r>
          </w:p>
        </w:tc>
        <w:tc>
          <w:tcPr>
            <w:tcW w:w="1701" w:type="dxa"/>
            <w:vAlign w:val="center"/>
          </w:tcPr>
          <w:p w14:paraId="207651FA">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2000</w:t>
            </w:r>
          </w:p>
        </w:tc>
        <w:tc>
          <w:tcPr>
            <w:tcW w:w="1426" w:type="dxa"/>
            <w:vAlign w:val="center"/>
          </w:tcPr>
          <w:p w14:paraId="50508351">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w:t>
            </w:r>
          </w:p>
        </w:tc>
        <w:tc>
          <w:tcPr>
            <w:tcW w:w="992" w:type="dxa"/>
            <w:vAlign w:val="center"/>
          </w:tcPr>
          <w:p w14:paraId="402576A3">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w:t>
            </w:r>
          </w:p>
        </w:tc>
      </w:tr>
      <w:tr w14:paraId="140BA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38" w:type="dxa"/>
            <w:vMerge w:val="continue"/>
            <w:vAlign w:val="center"/>
          </w:tcPr>
          <w:p w14:paraId="3CE54649">
            <w:pPr>
              <w:widowControl/>
              <w:jc w:val="left"/>
              <w:rPr>
                <w:rFonts w:hint="eastAsia" w:ascii="宋体" w:hAnsi="宋体" w:eastAsia="宋体" w:cs="宋体"/>
                <w:color w:val="auto"/>
                <w:kern w:val="0"/>
                <w:sz w:val="18"/>
                <w:szCs w:val="18"/>
                <w:highlight w:val="none"/>
              </w:rPr>
            </w:pPr>
          </w:p>
        </w:tc>
        <w:tc>
          <w:tcPr>
            <w:tcW w:w="1369" w:type="dxa"/>
            <w:vAlign w:val="center"/>
          </w:tcPr>
          <w:p w14:paraId="4F21C538">
            <w:pPr>
              <w:widowControl/>
              <w:spacing w:line="240" w:lineRule="exact"/>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w:t>
            </w:r>
          </w:p>
        </w:tc>
        <w:tc>
          <w:tcPr>
            <w:tcW w:w="709" w:type="dxa"/>
            <w:vAlign w:val="center"/>
          </w:tcPr>
          <w:p w14:paraId="0B5FDB81">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125" w:type="dxa"/>
            <w:vAlign w:val="center"/>
          </w:tcPr>
          <w:p w14:paraId="6D14316F">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Y≥100000</w:t>
            </w:r>
          </w:p>
        </w:tc>
        <w:tc>
          <w:tcPr>
            <w:tcW w:w="1701" w:type="dxa"/>
            <w:vAlign w:val="center"/>
          </w:tcPr>
          <w:p w14:paraId="38714E7B">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100000</w:t>
            </w:r>
          </w:p>
        </w:tc>
        <w:tc>
          <w:tcPr>
            <w:tcW w:w="1426" w:type="dxa"/>
            <w:vAlign w:val="center"/>
          </w:tcPr>
          <w:p w14:paraId="29437F47">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1000</w:t>
            </w:r>
          </w:p>
        </w:tc>
        <w:tc>
          <w:tcPr>
            <w:tcW w:w="992" w:type="dxa"/>
            <w:vAlign w:val="center"/>
          </w:tcPr>
          <w:p w14:paraId="2D1B3B9E">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w:t>
            </w:r>
          </w:p>
        </w:tc>
      </w:tr>
      <w:tr w14:paraId="1428F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838" w:type="dxa"/>
            <w:vMerge w:val="restart"/>
            <w:vAlign w:val="center"/>
          </w:tcPr>
          <w:p w14:paraId="79F6F6DB">
            <w:pPr>
              <w:widowControl/>
              <w:spacing w:line="240" w:lineRule="exact"/>
              <w:jc w:val="left"/>
              <w:rPr>
                <w:rFonts w:hint="eastAsia" w:ascii="宋体" w:hAnsi="宋体" w:eastAsia="宋体" w:cs="宋体"/>
                <w:color w:val="auto"/>
                <w:spacing w:val="-12"/>
                <w:kern w:val="0"/>
                <w:sz w:val="18"/>
                <w:szCs w:val="18"/>
                <w:highlight w:val="none"/>
              </w:rPr>
            </w:pPr>
            <w:r>
              <w:rPr>
                <w:rFonts w:hint="eastAsia" w:ascii="宋体" w:hAnsi="宋体" w:eastAsia="宋体" w:cs="宋体"/>
                <w:color w:val="auto"/>
                <w:spacing w:val="-12"/>
                <w:kern w:val="0"/>
                <w:sz w:val="18"/>
                <w:szCs w:val="18"/>
                <w:highlight w:val="none"/>
              </w:rPr>
              <w:t>软件和信息技术服</w:t>
            </w:r>
            <w:r>
              <w:rPr>
                <w:rFonts w:hint="eastAsia" w:ascii="宋体" w:hAnsi="宋体" w:eastAsia="宋体" w:cs="宋体"/>
                <w:color w:val="auto"/>
                <w:kern w:val="0"/>
                <w:sz w:val="18"/>
                <w:szCs w:val="18"/>
                <w:highlight w:val="none"/>
              </w:rPr>
              <w:t>务业</w:t>
            </w:r>
          </w:p>
        </w:tc>
        <w:tc>
          <w:tcPr>
            <w:tcW w:w="1369" w:type="dxa"/>
            <w:vAlign w:val="center"/>
          </w:tcPr>
          <w:p w14:paraId="46C06A6F">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w:t>
            </w:r>
          </w:p>
        </w:tc>
        <w:tc>
          <w:tcPr>
            <w:tcW w:w="709" w:type="dxa"/>
            <w:vAlign w:val="center"/>
          </w:tcPr>
          <w:p w14:paraId="1FDBFD20">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1125" w:type="dxa"/>
            <w:vAlign w:val="center"/>
          </w:tcPr>
          <w:p w14:paraId="47C6EDE7">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X≥300</w:t>
            </w:r>
          </w:p>
        </w:tc>
        <w:tc>
          <w:tcPr>
            <w:tcW w:w="1701" w:type="dxa"/>
            <w:vAlign w:val="center"/>
          </w:tcPr>
          <w:p w14:paraId="4F9B88F8">
            <w:pPr>
              <w:widowControl/>
              <w:ind w:left="1" w:leftChars="-51" w:hanging="108" w:hangingChars="6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 xml:space="preserve">300 </w:t>
            </w:r>
          </w:p>
        </w:tc>
        <w:tc>
          <w:tcPr>
            <w:tcW w:w="1426" w:type="dxa"/>
            <w:vAlign w:val="center"/>
          </w:tcPr>
          <w:p w14:paraId="1F29B8C2">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w:t>
            </w:r>
          </w:p>
        </w:tc>
        <w:tc>
          <w:tcPr>
            <w:tcW w:w="992" w:type="dxa"/>
            <w:vAlign w:val="center"/>
          </w:tcPr>
          <w:p w14:paraId="48F04768">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w:t>
            </w:r>
          </w:p>
        </w:tc>
      </w:tr>
      <w:tr w14:paraId="7DA3F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838" w:type="dxa"/>
            <w:vMerge w:val="continue"/>
            <w:vAlign w:val="center"/>
          </w:tcPr>
          <w:p w14:paraId="303C84A5">
            <w:pPr>
              <w:widowControl/>
              <w:jc w:val="left"/>
              <w:rPr>
                <w:rFonts w:hint="eastAsia" w:ascii="宋体" w:hAnsi="宋体" w:eastAsia="宋体" w:cs="宋体"/>
                <w:color w:val="auto"/>
                <w:spacing w:val="-12"/>
                <w:kern w:val="0"/>
                <w:sz w:val="18"/>
                <w:szCs w:val="18"/>
                <w:highlight w:val="none"/>
              </w:rPr>
            </w:pPr>
          </w:p>
        </w:tc>
        <w:tc>
          <w:tcPr>
            <w:tcW w:w="1369" w:type="dxa"/>
            <w:vAlign w:val="center"/>
          </w:tcPr>
          <w:p w14:paraId="40153EAF">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w:t>
            </w:r>
          </w:p>
        </w:tc>
        <w:tc>
          <w:tcPr>
            <w:tcW w:w="709" w:type="dxa"/>
            <w:vAlign w:val="center"/>
          </w:tcPr>
          <w:p w14:paraId="796EC773">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125" w:type="dxa"/>
            <w:vAlign w:val="center"/>
          </w:tcPr>
          <w:p w14:paraId="5149759A">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Y≥10000</w:t>
            </w:r>
          </w:p>
        </w:tc>
        <w:tc>
          <w:tcPr>
            <w:tcW w:w="1701" w:type="dxa"/>
            <w:vAlign w:val="center"/>
          </w:tcPr>
          <w:p w14:paraId="75AC9316">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10000</w:t>
            </w:r>
          </w:p>
        </w:tc>
        <w:tc>
          <w:tcPr>
            <w:tcW w:w="1426" w:type="dxa"/>
            <w:vAlign w:val="center"/>
          </w:tcPr>
          <w:p w14:paraId="52B0133F">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50≤Y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1000</w:t>
            </w:r>
          </w:p>
        </w:tc>
        <w:tc>
          <w:tcPr>
            <w:tcW w:w="992" w:type="dxa"/>
            <w:vAlign w:val="center"/>
          </w:tcPr>
          <w:p w14:paraId="75FCD17A">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50</w:t>
            </w:r>
          </w:p>
        </w:tc>
      </w:tr>
      <w:tr w14:paraId="2383B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838" w:type="dxa"/>
            <w:vMerge w:val="restart"/>
            <w:vAlign w:val="center"/>
          </w:tcPr>
          <w:p w14:paraId="7544544B">
            <w:pPr>
              <w:widowControl/>
              <w:spacing w:line="240" w:lineRule="exact"/>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房地产开发经营</w:t>
            </w:r>
          </w:p>
        </w:tc>
        <w:tc>
          <w:tcPr>
            <w:tcW w:w="1369" w:type="dxa"/>
            <w:vAlign w:val="center"/>
          </w:tcPr>
          <w:p w14:paraId="383D687B">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w:t>
            </w:r>
          </w:p>
        </w:tc>
        <w:tc>
          <w:tcPr>
            <w:tcW w:w="709" w:type="dxa"/>
            <w:vAlign w:val="center"/>
          </w:tcPr>
          <w:p w14:paraId="055A4FC6">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125" w:type="dxa"/>
            <w:vAlign w:val="center"/>
          </w:tcPr>
          <w:p w14:paraId="0346C70E">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Y≥200000</w:t>
            </w:r>
          </w:p>
        </w:tc>
        <w:tc>
          <w:tcPr>
            <w:tcW w:w="1701" w:type="dxa"/>
            <w:vAlign w:val="center"/>
          </w:tcPr>
          <w:p w14:paraId="3696605A">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200000</w:t>
            </w:r>
          </w:p>
        </w:tc>
        <w:tc>
          <w:tcPr>
            <w:tcW w:w="1426" w:type="dxa"/>
            <w:vAlign w:val="center"/>
          </w:tcPr>
          <w:p w14:paraId="0883D227">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1000</w:t>
            </w:r>
          </w:p>
        </w:tc>
        <w:tc>
          <w:tcPr>
            <w:tcW w:w="992" w:type="dxa"/>
            <w:vAlign w:val="center"/>
          </w:tcPr>
          <w:p w14:paraId="5FBC9990">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w:t>
            </w:r>
          </w:p>
        </w:tc>
      </w:tr>
      <w:tr w14:paraId="1DFA0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838" w:type="dxa"/>
            <w:vMerge w:val="continue"/>
            <w:vAlign w:val="center"/>
          </w:tcPr>
          <w:p w14:paraId="4C30D8E1">
            <w:pPr>
              <w:widowControl/>
              <w:jc w:val="left"/>
              <w:rPr>
                <w:rFonts w:hint="eastAsia" w:ascii="宋体" w:hAnsi="宋体" w:eastAsia="宋体" w:cs="宋体"/>
                <w:color w:val="auto"/>
                <w:kern w:val="0"/>
                <w:sz w:val="18"/>
                <w:szCs w:val="18"/>
                <w:highlight w:val="none"/>
              </w:rPr>
            </w:pPr>
          </w:p>
        </w:tc>
        <w:tc>
          <w:tcPr>
            <w:tcW w:w="1369" w:type="dxa"/>
            <w:vAlign w:val="center"/>
          </w:tcPr>
          <w:p w14:paraId="269E84C7">
            <w:pPr>
              <w:widowControl/>
              <w:spacing w:line="240" w:lineRule="exact"/>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资产总额</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Z</w:t>
            </w:r>
            <w:r>
              <w:rPr>
                <w:rFonts w:hint="eastAsia" w:ascii="宋体" w:hAnsi="宋体" w:eastAsia="宋体" w:cs="宋体"/>
                <w:color w:val="auto"/>
                <w:kern w:val="0"/>
                <w:sz w:val="18"/>
                <w:szCs w:val="18"/>
                <w:highlight w:val="none"/>
                <w:lang w:eastAsia="zh-CN"/>
              </w:rPr>
              <w:t>）</w:t>
            </w:r>
          </w:p>
        </w:tc>
        <w:tc>
          <w:tcPr>
            <w:tcW w:w="709" w:type="dxa"/>
            <w:vAlign w:val="center"/>
          </w:tcPr>
          <w:p w14:paraId="598C1D7D">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125" w:type="dxa"/>
            <w:vAlign w:val="center"/>
          </w:tcPr>
          <w:p w14:paraId="0AE6DCE4">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Z≥10000</w:t>
            </w:r>
          </w:p>
        </w:tc>
        <w:tc>
          <w:tcPr>
            <w:tcW w:w="1701" w:type="dxa"/>
            <w:vAlign w:val="center"/>
          </w:tcPr>
          <w:p w14:paraId="1BEE4830">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5000≤Z</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10000</w:t>
            </w:r>
          </w:p>
        </w:tc>
        <w:tc>
          <w:tcPr>
            <w:tcW w:w="1426" w:type="dxa"/>
            <w:vAlign w:val="center"/>
          </w:tcPr>
          <w:p w14:paraId="4717B516">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2000≤Z</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 xml:space="preserve">5000   </w:t>
            </w:r>
          </w:p>
        </w:tc>
        <w:tc>
          <w:tcPr>
            <w:tcW w:w="992" w:type="dxa"/>
            <w:vAlign w:val="center"/>
          </w:tcPr>
          <w:p w14:paraId="49EE02AE">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Z</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2000</w:t>
            </w:r>
          </w:p>
        </w:tc>
      </w:tr>
      <w:tr w14:paraId="4E89C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838" w:type="dxa"/>
            <w:vMerge w:val="restart"/>
            <w:vAlign w:val="center"/>
          </w:tcPr>
          <w:p w14:paraId="0F60DFB6">
            <w:pPr>
              <w:widowControl/>
              <w:spacing w:line="240" w:lineRule="exact"/>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物业管理</w:t>
            </w:r>
          </w:p>
        </w:tc>
        <w:tc>
          <w:tcPr>
            <w:tcW w:w="1369" w:type="dxa"/>
            <w:vAlign w:val="center"/>
          </w:tcPr>
          <w:p w14:paraId="398BFB1E">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w:t>
            </w:r>
          </w:p>
        </w:tc>
        <w:tc>
          <w:tcPr>
            <w:tcW w:w="709" w:type="dxa"/>
            <w:vAlign w:val="center"/>
          </w:tcPr>
          <w:p w14:paraId="07A69269">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1125" w:type="dxa"/>
            <w:vAlign w:val="center"/>
          </w:tcPr>
          <w:p w14:paraId="147AADB0">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X≥1000</w:t>
            </w:r>
          </w:p>
        </w:tc>
        <w:tc>
          <w:tcPr>
            <w:tcW w:w="1701" w:type="dxa"/>
            <w:vAlign w:val="center"/>
          </w:tcPr>
          <w:p w14:paraId="5A6EAEF8">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300≤X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1000</w:t>
            </w:r>
          </w:p>
        </w:tc>
        <w:tc>
          <w:tcPr>
            <w:tcW w:w="1426" w:type="dxa"/>
            <w:vAlign w:val="center"/>
          </w:tcPr>
          <w:p w14:paraId="3C723A23">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 xml:space="preserve">300 </w:t>
            </w:r>
          </w:p>
        </w:tc>
        <w:tc>
          <w:tcPr>
            <w:tcW w:w="992" w:type="dxa"/>
            <w:vAlign w:val="center"/>
          </w:tcPr>
          <w:p w14:paraId="768F9D2E">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w:t>
            </w:r>
          </w:p>
        </w:tc>
      </w:tr>
      <w:tr w14:paraId="30B1F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838" w:type="dxa"/>
            <w:vMerge w:val="continue"/>
            <w:vAlign w:val="center"/>
          </w:tcPr>
          <w:p w14:paraId="572D1ACD">
            <w:pPr>
              <w:widowControl/>
              <w:jc w:val="left"/>
              <w:rPr>
                <w:rFonts w:hint="eastAsia" w:ascii="宋体" w:hAnsi="宋体" w:eastAsia="宋体" w:cs="宋体"/>
                <w:color w:val="auto"/>
                <w:kern w:val="0"/>
                <w:sz w:val="18"/>
                <w:szCs w:val="18"/>
                <w:highlight w:val="none"/>
              </w:rPr>
            </w:pPr>
          </w:p>
        </w:tc>
        <w:tc>
          <w:tcPr>
            <w:tcW w:w="1369" w:type="dxa"/>
            <w:vAlign w:val="center"/>
          </w:tcPr>
          <w:p w14:paraId="3A0422F1">
            <w:pPr>
              <w:widowControl/>
              <w:spacing w:line="240" w:lineRule="exact"/>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w:t>
            </w:r>
          </w:p>
        </w:tc>
        <w:tc>
          <w:tcPr>
            <w:tcW w:w="709" w:type="dxa"/>
            <w:vAlign w:val="center"/>
          </w:tcPr>
          <w:p w14:paraId="17F774A8">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125" w:type="dxa"/>
            <w:vAlign w:val="center"/>
          </w:tcPr>
          <w:p w14:paraId="34CC3FC9">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Y≥5000</w:t>
            </w:r>
          </w:p>
        </w:tc>
        <w:tc>
          <w:tcPr>
            <w:tcW w:w="1701" w:type="dxa"/>
            <w:vAlign w:val="center"/>
          </w:tcPr>
          <w:p w14:paraId="2E7E6544">
            <w:pPr>
              <w:widowControl/>
              <w:ind w:left="1" w:leftChars="-51" w:hanging="108" w:hangingChars="6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 xml:space="preserve">5000 </w:t>
            </w:r>
          </w:p>
        </w:tc>
        <w:tc>
          <w:tcPr>
            <w:tcW w:w="1426" w:type="dxa"/>
            <w:vAlign w:val="center"/>
          </w:tcPr>
          <w:p w14:paraId="0C061E6A">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500≤Y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1000</w:t>
            </w:r>
          </w:p>
        </w:tc>
        <w:tc>
          <w:tcPr>
            <w:tcW w:w="992" w:type="dxa"/>
            <w:vAlign w:val="center"/>
          </w:tcPr>
          <w:p w14:paraId="7B33115B">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500</w:t>
            </w:r>
          </w:p>
        </w:tc>
      </w:tr>
      <w:tr w14:paraId="1D969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838" w:type="dxa"/>
            <w:vMerge w:val="restart"/>
            <w:vAlign w:val="center"/>
          </w:tcPr>
          <w:p w14:paraId="78D2495F">
            <w:pPr>
              <w:widowControl/>
              <w:spacing w:line="240" w:lineRule="exact"/>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租赁和商务服务业</w:t>
            </w:r>
          </w:p>
        </w:tc>
        <w:tc>
          <w:tcPr>
            <w:tcW w:w="1369" w:type="dxa"/>
            <w:vAlign w:val="center"/>
          </w:tcPr>
          <w:p w14:paraId="37204AB8">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w:t>
            </w:r>
          </w:p>
        </w:tc>
        <w:tc>
          <w:tcPr>
            <w:tcW w:w="709" w:type="dxa"/>
            <w:vAlign w:val="center"/>
          </w:tcPr>
          <w:p w14:paraId="0814D170">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1125" w:type="dxa"/>
            <w:vAlign w:val="center"/>
          </w:tcPr>
          <w:p w14:paraId="3830945F">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X≥300</w:t>
            </w:r>
          </w:p>
        </w:tc>
        <w:tc>
          <w:tcPr>
            <w:tcW w:w="1701" w:type="dxa"/>
            <w:vAlign w:val="center"/>
          </w:tcPr>
          <w:p w14:paraId="1313BC93">
            <w:pPr>
              <w:widowControl/>
              <w:ind w:left="1" w:leftChars="-51" w:hanging="108" w:hangingChars="6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 xml:space="preserve">300 </w:t>
            </w:r>
          </w:p>
        </w:tc>
        <w:tc>
          <w:tcPr>
            <w:tcW w:w="1426" w:type="dxa"/>
            <w:vAlign w:val="center"/>
          </w:tcPr>
          <w:p w14:paraId="55410030">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w:t>
            </w:r>
          </w:p>
        </w:tc>
        <w:tc>
          <w:tcPr>
            <w:tcW w:w="992" w:type="dxa"/>
            <w:vAlign w:val="center"/>
          </w:tcPr>
          <w:p w14:paraId="38030996">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w:t>
            </w:r>
          </w:p>
        </w:tc>
      </w:tr>
      <w:tr w14:paraId="447F7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838" w:type="dxa"/>
            <w:vMerge w:val="continue"/>
            <w:vAlign w:val="center"/>
          </w:tcPr>
          <w:p w14:paraId="256C838E">
            <w:pPr>
              <w:widowControl/>
              <w:jc w:val="left"/>
              <w:rPr>
                <w:rFonts w:hint="eastAsia" w:ascii="宋体" w:hAnsi="宋体" w:eastAsia="宋体" w:cs="宋体"/>
                <w:color w:val="auto"/>
                <w:kern w:val="0"/>
                <w:sz w:val="18"/>
                <w:szCs w:val="18"/>
                <w:highlight w:val="none"/>
              </w:rPr>
            </w:pPr>
          </w:p>
        </w:tc>
        <w:tc>
          <w:tcPr>
            <w:tcW w:w="1369" w:type="dxa"/>
            <w:vAlign w:val="center"/>
          </w:tcPr>
          <w:p w14:paraId="6EB00BFD">
            <w:pPr>
              <w:widowControl/>
              <w:spacing w:line="240" w:lineRule="exact"/>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资产总额</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Z</w:t>
            </w:r>
            <w:r>
              <w:rPr>
                <w:rFonts w:hint="eastAsia" w:ascii="宋体" w:hAnsi="宋体" w:eastAsia="宋体" w:cs="宋体"/>
                <w:color w:val="auto"/>
                <w:kern w:val="0"/>
                <w:sz w:val="18"/>
                <w:szCs w:val="18"/>
                <w:highlight w:val="none"/>
                <w:lang w:eastAsia="zh-CN"/>
              </w:rPr>
              <w:t>）</w:t>
            </w:r>
          </w:p>
        </w:tc>
        <w:tc>
          <w:tcPr>
            <w:tcW w:w="709" w:type="dxa"/>
            <w:vAlign w:val="center"/>
          </w:tcPr>
          <w:p w14:paraId="0A4AAE04">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1125" w:type="dxa"/>
            <w:vAlign w:val="center"/>
          </w:tcPr>
          <w:p w14:paraId="686BF29C">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Z≥120000</w:t>
            </w:r>
          </w:p>
        </w:tc>
        <w:tc>
          <w:tcPr>
            <w:tcW w:w="1701" w:type="dxa"/>
            <w:vAlign w:val="center"/>
          </w:tcPr>
          <w:p w14:paraId="379DACEF">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8000≤Z</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120000</w:t>
            </w:r>
          </w:p>
        </w:tc>
        <w:tc>
          <w:tcPr>
            <w:tcW w:w="1426" w:type="dxa"/>
            <w:vAlign w:val="center"/>
          </w:tcPr>
          <w:p w14:paraId="3912E5F2">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100≤Z</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8000</w:t>
            </w:r>
          </w:p>
        </w:tc>
        <w:tc>
          <w:tcPr>
            <w:tcW w:w="992" w:type="dxa"/>
            <w:vAlign w:val="center"/>
          </w:tcPr>
          <w:p w14:paraId="4DE26BCE">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Z</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w:t>
            </w:r>
          </w:p>
        </w:tc>
      </w:tr>
      <w:tr w14:paraId="2AB3F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exact"/>
          <w:jc w:val="center"/>
        </w:trPr>
        <w:tc>
          <w:tcPr>
            <w:tcW w:w="1838" w:type="dxa"/>
            <w:vAlign w:val="center"/>
          </w:tcPr>
          <w:p w14:paraId="7387FF40">
            <w:pPr>
              <w:widowControl/>
              <w:spacing w:line="240" w:lineRule="exact"/>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其他未列明行业 *</w:t>
            </w:r>
          </w:p>
        </w:tc>
        <w:tc>
          <w:tcPr>
            <w:tcW w:w="1369" w:type="dxa"/>
            <w:vAlign w:val="center"/>
          </w:tcPr>
          <w:p w14:paraId="0C88971D">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w:t>
            </w:r>
          </w:p>
        </w:tc>
        <w:tc>
          <w:tcPr>
            <w:tcW w:w="709" w:type="dxa"/>
            <w:vAlign w:val="center"/>
          </w:tcPr>
          <w:p w14:paraId="38F93ADD">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1125" w:type="dxa"/>
            <w:vAlign w:val="center"/>
          </w:tcPr>
          <w:p w14:paraId="2D459353">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X≥300</w:t>
            </w:r>
          </w:p>
        </w:tc>
        <w:tc>
          <w:tcPr>
            <w:tcW w:w="1701" w:type="dxa"/>
            <w:vAlign w:val="center"/>
          </w:tcPr>
          <w:p w14:paraId="7CF0B3F5">
            <w:pPr>
              <w:widowControl/>
              <w:ind w:left="1" w:leftChars="-51" w:hanging="108" w:hangingChars="6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 xml:space="preserve">300 </w:t>
            </w:r>
          </w:p>
        </w:tc>
        <w:tc>
          <w:tcPr>
            <w:tcW w:w="1426" w:type="dxa"/>
            <w:vAlign w:val="center"/>
          </w:tcPr>
          <w:p w14:paraId="79169AB5">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xml:space="preserve"> 10≤X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100</w:t>
            </w:r>
          </w:p>
        </w:tc>
        <w:tc>
          <w:tcPr>
            <w:tcW w:w="992" w:type="dxa"/>
            <w:vAlign w:val="center"/>
          </w:tcPr>
          <w:p w14:paraId="2B79184B">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w:t>
            </w:r>
            <w:r>
              <w:rPr>
                <w:rFonts w:hint="eastAsia" w:ascii="宋体" w:hAnsi="宋体" w:eastAsia="宋体" w:cs="宋体"/>
                <w:color w:val="auto"/>
                <w:kern w:val="0"/>
                <w:sz w:val="18"/>
                <w:szCs w:val="18"/>
                <w:highlight w:val="none"/>
                <w:lang w:eastAsia="zh-CN"/>
              </w:rPr>
              <w:t>&lt;</w:t>
            </w:r>
            <w:r>
              <w:rPr>
                <w:rFonts w:hint="eastAsia" w:ascii="宋体" w:hAnsi="宋体" w:eastAsia="宋体" w:cs="宋体"/>
                <w:color w:val="auto"/>
                <w:kern w:val="0"/>
                <w:sz w:val="18"/>
                <w:szCs w:val="18"/>
                <w:highlight w:val="none"/>
              </w:rPr>
              <w:t>10</w:t>
            </w:r>
          </w:p>
        </w:tc>
      </w:tr>
    </w:tbl>
    <w:p w14:paraId="3F0DBA16">
      <w:pPr>
        <w:widowControl/>
        <w:spacing w:line="540" w:lineRule="exact"/>
        <w:ind w:firstLine="880"/>
        <w:rPr>
          <w:rFonts w:hint="eastAsia" w:ascii="宋体" w:hAnsi="宋体" w:eastAsia="宋体" w:cs="宋体"/>
          <w:color w:val="auto"/>
          <w:spacing w:val="8"/>
          <w:kern w:val="0"/>
          <w:sz w:val="32"/>
          <w:szCs w:val="32"/>
          <w:highlight w:val="none"/>
        </w:rPr>
      </w:pPr>
    </w:p>
    <w:p w14:paraId="08F07132">
      <w:pPr>
        <w:keepNext w:val="0"/>
        <w:keepLines w:val="0"/>
        <w:pageBreakBefore w:val="0"/>
        <w:widowControl/>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说明：</w:t>
      </w:r>
    </w:p>
    <w:p w14:paraId="14C643EB">
      <w:pPr>
        <w:keepNext w:val="0"/>
        <w:keepLines w:val="0"/>
        <w:pageBreakBefore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1.大型、中型和小型企业须同时满足所列指标的下限，否则下划一档；微型企业只需满足所列指标中的一项即可。</w:t>
      </w:r>
    </w:p>
    <w:p w14:paraId="326D4630">
      <w:pPr>
        <w:keepNext w:val="0"/>
        <w:keepLines w:val="0"/>
        <w:pageBreakBefore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rPr>
        <w:t>信息传输业包括电信、广播电视和卫星传输服务，互联网和相关服</w:t>
      </w:r>
      <w:r>
        <w:rPr>
          <w:rFonts w:hint="eastAsia" w:ascii="宋体" w:hAnsi="宋体" w:eastAsia="宋体" w:cs="宋体"/>
          <w:color w:val="auto"/>
          <w:kern w:val="0"/>
          <w:sz w:val="24"/>
          <w:highlight w:val="none"/>
          <w:lang w:eastAsia="zh-CN"/>
        </w:rPr>
        <w:t>务业</w:t>
      </w:r>
      <w:r>
        <w:rPr>
          <w:rFonts w:hint="eastAsia" w:ascii="宋体" w:hAnsi="宋体" w:eastAsia="宋体" w:cs="宋体"/>
          <w:color w:val="auto"/>
          <w:kern w:val="0"/>
          <w:sz w:val="24"/>
          <w:highlight w:val="none"/>
        </w:rPr>
        <w:t>；其他未列明行业包括科学研究和技术服务业，水利、环境和公共设施管理业，居民服务、修理和其他服务业，社会工作，文化、体育和娱乐业，以及房地产中介服务，其他房地产业等，不包括自有房地产经营活动。</w:t>
      </w:r>
    </w:p>
    <w:p w14:paraId="4F92FB4F">
      <w:pPr>
        <w:keepNext w:val="0"/>
        <w:keepLines w:val="0"/>
        <w:pageBreakBefore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05541CFD">
      <w:pPr>
        <w:ind w:firstLine="629"/>
        <w:rPr>
          <w:rFonts w:hint="eastAsia" w:ascii="宋体" w:hAnsi="宋体" w:eastAsia="宋体" w:cs="宋体"/>
          <w:color w:val="auto"/>
          <w:sz w:val="24"/>
          <w:highlight w:val="none"/>
        </w:rPr>
      </w:pPr>
    </w:p>
    <w:p w14:paraId="137E2549">
      <w:pPr>
        <w:pStyle w:val="15"/>
        <w:ind w:firstLine="629"/>
        <w:rPr>
          <w:rFonts w:hint="eastAsia" w:ascii="宋体" w:hAnsi="宋体" w:eastAsia="宋体" w:cs="宋体"/>
          <w:color w:val="auto"/>
          <w:highlight w:val="none"/>
        </w:rPr>
      </w:pPr>
    </w:p>
    <w:p w14:paraId="37D9E9B3">
      <w:pPr>
        <w:rPr>
          <w:rFonts w:hint="eastAsia" w:ascii="宋体" w:hAnsi="宋体" w:eastAsia="宋体" w:cs="宋体"/>
          <w:color w:val="auto"/>
          <w:highlight w:val="none"/>
        </w:rPr>
      </w:pPr>
    </w:p>
    <w:p w14:paraId="10E15501">
      <w:pPr>
        <w:pStyle w:val="15"/>
        <w:ind w:firstLine="629"/>
        <w:rPr>
          <w:rFonts w:hint="eastAsia" w:ascii="宋体" w:hAnsi="宋体" w:eastAsia="宋体" w:cs="宋体"/>
          <w:color w:val="auto"/>
          <w:highlight w:val="none"/>
        </w:rPr>
      </w:pPr>
    </w:p>
    <w:p w14:paraId="289B57F5">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541282E9">
      <w:pPr>
        <w:rPr>
          <w:rFonts w:hint="eastAsia" w:ascii="宋体" w:hAnsi="宋体" w:eastAsia="宋体" w:cs="宋体"/>
          <w:color w:val="auto"/>
          <w:highlight w:val="none"/>
        </w:rPr>
      </w:pPr>
      <w:bookmarkStart w:id="160" w:name="_Toc7011"/>
      <w:bookmarkStart w:id="161" w:name="_Toc302"/>
    </w:p>
    <w:p w14:paraId="0219D1BE">
      <w:pPr>
        <w:pStyle w:val="3"/>
        <w:numPr>
          <w:ilvl w:val="0"/>
          <w:numId w:val="0"/>
        </w:numPr>
        <w:spacing w:before="0"/>
        <w:jc w:val="center"/>
        <w:rPr>
          <w:rFonts w:hint="eastAsia" w:ascii="宋体" w:hAnsi="宋体" w:eastAsia="宋体" w:cs="宋体"/>
          <w:color w:val="auto"/>
          <w:szCs w:val="28"/>
          <w:highlight w:val="none"/>
        </w:rPr>
      </w:pPr>
      <w:bookmarkStart w:id="162" w:name="_Toc2061"/>
      <w:bookmarkStart w:id="163" w:name="_Toc28116"/>
      <w:r>
        <w:rPr>
          <w:rFonts w:hint="eastAsia" w:ascii="宋体" w:hAnsi="宋体" w:eastAsia="宋体" w:cs="宋体"/>
          <w:color w:val="auto"/>
          <w:szCs w:val="28"/>
          <w:highlight w:val="none"/>
        </w:rPr>
        <w:t>残疾人福利性单位声明函</w:t>
      </w:r>
      <w:bookmarkEnd w:id="155"/>
      <w:bookmarkEnd w:id="156"/>
      <w:bookmarkEnd w:id="157"/>
      <w:bookmarkEnd w:id="160"/>
      <w:bookmarkEnd w:id="161"/>
      <w:bookmarkEnd w:id="162"/>
      <w:bookmarkEnd w:id="163"/>
    </w:p>
    <w:p w14:paraId="64782EA9">
      <w:pPr>
        <w:rPr>
          <w:rFonts w:hint="eastAsia" w:ascii="宋体" w:hAnsi="宋体" w:eastAsia="宋体" w:cs="宋体"/>
          <w:color w:val="auto"/>
          <w:szCs w:val="20"/>
          <w:highlight w:val="none"/>
        </w:rPr>
      </w:pPr>
    </w:p>
    <w:p w14:paraId="64319965">
      <w:pPr>
        <w:spacing w:line="360" w:lineRule="auto"/>
        <w:ind w:firstLine="504" w:firstLineChars="200"/>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本单位郑重声明，参照《财政部 民政部 中国残疾人联合会关于促进残疾人就业政府采购政策的通知》（财库</w:t>
      </w:r>
      <w:r>
        <w:rPr>
          <w:rFonts w:hint="eastAsia" w:ascii="宋体" w:hAnsi="宋体" w:eastAsia="宋体" w:cs="宋体"/>
          <w:color w:val="auto"/>
          <w:spacing w:val="6"/>
          <w:sz w:val="24"/>
          <w:highlight w:val="none"/>
          <w:lang w:eastAsia="zh-CN"/>
        </w:rPr>
        <w:t>〔2017〕141号</w:t>
      </w:r>
      <w:r>
        <w:rPr>
          <w:rFonts w:hint="eastAsia" w:ascii="宋体" w:hAnsi="宋体" w:eastAsia="宋体" w:cs="宋体"/>
          <w:color w:val="auto"/>
          <w:spacing w:val="6"/>
          <w:sz w:val="24"/>
          <w:highlight w:val="none"/>
        </w:rPr>
        <w:t>）的规定，本单位为符合条件的残疾人福利性单位，且本单位参加______单位的______项目采购活动提供服务</w:t>
      </w:r>
      <w:r>
        <w:rPr>
          <w:rFonts w:hint="eastAsia" w:ascii="宋体" w:hAnsi="宋体" w:eastAsia="宋体" w:cs="宋体"/>
          <w:color w:val="auto"/>
          <w:spacing w:val="6"/>
          <w:sz w:val="24"/>
          <w:highlight w:val="none"/>
          <w:lang w:eastAsia="zh-CN"/>
        </w:rPr>
        <w:t>（提供本单位制造的货物</w:t>
      </w:r>
      <w:r>
        <w:rPr>
          <w:rFonts w:hint="eastAsia" w:ascii="宋体" w:hAnsi="宋体" w:eastAsia="宋体" w:cs="宋体"/>
          <w:color w:val="auto"/>
          <w:spacing w:val="6"/>
          <w:sz w:val="24"/>
          <w:highlight w:val="none"/>
          <w:lang w:val="en-US" w:eastAsia="zh-CN"/>
        </w:rPr>
        <w:t>/由本单位承担工程</w:t>
      </w:r>
      <w:r>
        <w:rPr>
          <w:rFonts w:hint="eastAsia" w:ascii="宋体" w:hAnsi="宋体" w:eastAsia="宋体" w:cs="宋体"/>
          <w:color w:val="auto"/>
          <w:spacing w:val="6"/>
          <w:sz w:val="24"/>
          <w:highlight w:val="none"/>
          <w:lang w:eastAsia="zh-CN"/>
        </w:rPr>
        <w:t>）</w:t>
      </w:r>
      <w:r>
        <w:rPr>
          <w:rFonts w:hint="eastAsia" w:ascii="宋体" w:hAnsi="宋体" w:eastAsia="宋体" w:cs="宋体"/>
          <w:color w:val="auto"/>
          <w:spacing w:val="6"/>
          <w:sz w:val="24"/>
          <w:highlight w:val="none"/>
        </w:rPr>
        <w:t>，或者提供其他残疾人福利性单位制造的货物（不包括使用非残疾人福利性单位注册商标的货物）。</w:t>
      </w:r>
    </w:p>
    <w:p w14:paraId="44C6F7AB">
      <w:pPr>
        <w:spacing w:line="360" w:lineRule="auto"/>
        <w:ind w:firstLine="504" w:firstLineChars="200"/>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本单位对上述声明的真实性负责。如有虚假，将依法承担相应责任。</w:t>
      </w:r>
    </w:p>
    <w:p w14:paraId="41F1CEF8">
      <w:pPr>
        <w:widowControl/>
        <w:spacing w:line="400" w:lineRule="exact"/>
        <w:ind w:firstLine="629"/>
        <w:jc w:val="left"/>
        <w:rPr>
          <w:rFonts w:hint="eastAsia" w:ascii="宋体" w:hAnsi="宋体" w:eastAsia="宋体" w:cs="宋体"/>
          <w:color w:val="auto"/>
          <w:kern w:val="0"/>
          <w:sz w:val="24"/>
          <w:szCs w:val="20"/>
          <w:highlight w:val="none"/>
        </w:rPr>
      </w:pPr>
    </w:p>
    <w:p w14:paraId="2A6D5EA3">
      <w:pPr>
        <w:widowControl/>
        <w:spacing w:line="400" w:lineRule="exact"/>
        <w:ind w:firstLine="629"/>
        <w:jc w:val="left"/>
        <w:rPr>
          <w:rFonts w:hint="eastAsia" w:ascii="宋体" w:hAnsi="宋体" w:eastAsia="宋体" w:cs="宋体"/>
          <w:color w:val="auto"/>
          <w:kern w:val="0"/>
          <w:sz w:val="24"/>
          <w:szCs w:val="20"/>
          <w:highlight w:val="none"/>
        </w:rPr>
      </w:pPr>
    </w:p>
    <w:p w14:paraId="4A9E59A2">
      <w:pPr>
        <w:widowControl/>
        <w:spacing w:line="400" w:lineRule="exact"/>
        <w:ind w:firstLine="629"/>
        <w:jc w:val="left"/>
        <w:rPr>
          <w:rFonts w:hint="eastAsia" w:ascii="宋体" w:hAnsi="宋体" w:eastAsia="宋体" w:cs="宋体"/>
          <w:color w:val="auto"/>
          <w:kern w:val="0"/>
          <w:sz w:val="24"/>
          <w:szCs w:val="20"/>
          <w:highlight w:val="none"/>
        </w:rPr>
      </w:pPr>
    </w:p>
    <w:p w14:paraId="79456ACA">
      <w:pPr>
        <w:widowControl/>
        <w:spacing w:line="400" w:lineRule="exact"/>
        <w:ind w:firstLine="629"/>
        <w:jc w:val="left"/>
        <w:rPr>
          <w:rFonts w:hint="eastAsia" w:ascii="宋体" w:hAnsi="宋体" w:eastAsia="宋体" w:cs="宋体"/>
          <w:color w:val="auto"/>
          <w:kern w:val="0"/>
          <w:sz w:val="24"/>
          <w:szCs w:val="20"/>
          <w:highlight w:val="none"/>
        </w:rPr>
      </w:pPr>
    </w:p>
    <w:p w14:paraId="5662F42A">
      <w:pPr>
        <w:widowControl/>
        <w:spacing w:line="400" w:lineRule="exact"/>
        <w:ind w:firstLine="629"/>
        <w:jc w:val="left"/>
        <w:rPr>
          <w:rFonts w:hint="eastAsia" w:ascii="宋体" w:hAnsi="宋体" w:eastAsia="宋体" w:cs="宋体"/>
          <w:color w:val="auto"/>
          <w:kern w:val="0"/>
          <w:sz w:val="24"/>
          <w:szCs w:val="20"/>
          <w:highlight w:val="none"/>
        </w:rPr>
      </w:pPr>
    </w:p>
    <w:p w14:paraId="4AC84AF6">
      <w:pPr>
        <w:widowControl/>
        <w:spacing w:line="300" w:lineRule="auto"/>
        <w:ind w:firstLine="629"/>
        <w:jc w:val="left"/>
        <w:rPr>
          <w:rFonts w:hint="eastAsia" w:ascii="宋体" w:hAnsi="宋体" w:eastAsia="宋体" w:cs="宋体"/>
          <w:color w:val="auto"/>
          <w:kern w:val="0"/>
          <w:sz w:val="24"/>
          <w:highlight w:val="none"/>
        </w:rPr>
      </w:pPr>
    </w:p>
    <w:p w14:paraId="2E553571">
      <w:pPr>
        <w:keepNext w:val="0"/>
        <w:keepLines w:val="0"/>
        <w:pageBreakBefore w:val="0"/>
        <w:widowControl w:val="0"/>
        <w:kinsoku/>
        <w:wordWrap/>
        <w:overflowPunct/>
        <w:topLinePunct w:val="0"/>
        <w:autoSpaceDE/>
        <w:autoSpaceDN/>
        <w:bidi w:val="0"/>
        <w:snapToGrid/>
        <w:spacing w:line="360" w:lineRule="auto"/>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 标 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（电子签章）</w:t>
      </w:r>
    </w:p>
    <w:p w14:paraId="79AAF317">
      <w:pPr>
        <w:keepNext w:val="0"/>
        <w:keepLines w:val="0"/>
        <w:pageBreakBefore w:val="0"/>
        <w:widowControl w:val="0"/>
        <w:kinsoku/>
        <w:wordWrap/>
        <w:overflowPunct/>
        <w:topLinePunct w:val="0"/>
        <w:autoSpaceDE/>
        <w:autoSpaceDN/>
        <w:bidi w:val="0"/>
        <w:snapToGrid/>
        <w:spacing w:line="360" w:lineRule="auto"/>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法定代表人或其委托代理人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（电子签章）</w:t>
      </w:r>
    </w:p>
    <w:p w14:paraId="4AFCE9C2">
      <w:pPr>
        <w:shd w:val="clear" w:color="auto" w:fill="FFFFFF"/>
        <w:spacing w:line="48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1B6B0B15">
      <w:pPr>
        <w:rPr>
          <w:rFonts w:hint="eastAsia" w:ascii="宋体" w:hAnsi="宋体" w:eastAsia="宋体" w:cs="宋体"/>
          <w:color w:val="auto"/>
          <w:highlight w:val="none"/>
        </w:rPr>
      </w:pPr>
    </w:p>
    <w:p w14:paraId="1DD4E641">
      <w:pPr>
        <w:tabs>
          <w:tab w:val="left" w:pos="3261"/>
        </w:tabs>
        <w:spacing w:line="360" w:lineRule="auto"/>
        <w:ind w:right="-52"/>
        <w:jc w:val="lef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说明：投标人若提供虚假残疾人福利性单位声明函的，将予以无效标书处理。</w:t>
      </w:r>
    </w:p>
    <w:p w14:paraId="418898C8">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2AD3D4D0">
      <w:pPr>
        <w:rPr>
          <w:rFonts w:hint="eastAsia" w:ascii="宋体" w:hAnsi="宋体" w:eastAsia="宋体" w:cs="宋体"/>
          <w:color w:val="auto"/>
          <w:highlight w:val="none"/>
        </w:rPr>
      </w:pPr>
    </w:p>
    <w:p w14:paraId="03FC71EF">
      <w:pPr>
        <w:pStyle w:val="3"/>
        <w:numPr>
          <w:ilvl w:val="0"/>
          <w:numId w:val="0"/>
        </w:numPr>
        <w:spacing w:before="0"/>
        <w:jc w:val="center"/>
        <w:rPr>
          <w:rFonts w:hint="eastAsia" w:ascii="宋体" w:hAnsi="宋体" w:eastAsia="宋体" w:cs="宋体"/>
          <w:color w:val="auto"/>
          <w:szCs w:val="28"/>
          <w:highlight w:val="none"/>
        </w:rPr>
      </w:pPr>
      <w:bookmarkStart w:id="164" w:name="_Toc32563"/>
      <w:bookmarkStart w:id="165" w:name="_Toc4726"/>
      <w:bookmarkStart w:id="166" w:name="_Toc7796"/>
      <w:bookmarkStart w:id="167" w:name="_Toc10719"/>
      <w:bookmarkStart w:id="168" w:name="_Toc109651442"/>
      <w:bookmarkStart w:id="169" w:name="_Toc17452"/>
      <w:r>
        <w:rPr>
          <w:rFonts w:hint="eastAsia" w:ascii="宋体" w:hAnsi="宋体" w:eastAsia="宋体" w:cs="宋体"/>
          <w:color w:val="auto"/>
          <w:szCs w:val="28"/>
          <w:highlight w:val="none"/>
        </w:rPr>
        <w:t>监狱企业证明材料</w:t>
      </w:r>
      <w:bookmarkEnd w:id="164"/>
      <w:bookmarkEnd w:id="165"/>
      <w:bookmarkEnd w:id="166"/>
      <w:bookmarkEnd w:id="167"/>
      <w:bookmarkEnd w:id="168"/>
      <w:bookmarkEnd w:id="169"/>
    </w:p>
    <w:p w14:paraId="4F9DC655">
      <w:pPr>
        <w:keepNext w:val="0"/>
        <w:keepLines w:val="0"/>
        <w:pageBreakBefore w:val="0"/>
        <w:widowControl w:val="0"/>
        <w:tabs>
          <w:tab w:val="left" w:pos="3261"/>
        </w:tabs>
        <w:kinsoku/>
        <w:wordWrap/>
        <w:overflowPunct/>
        <w:topLinePunct w:val="0"/>
        <w:autoSpaceDE/>
        <w:autoSpaceDN/>
        <w:bidi w:val="0"/>
        <w:adjustRightInd/>
        <w:snapToGrid/>
        <w:spacing w:line="460" w:lineRule="exact"/>
        <w:ind w:left="0" w:leftChars="0" w:right="0" w:firstLine="504" w:firstLineChars="200"/>
        <w:textAlignment w:val="auto"/>
        <w:rPr>
          <w:rFonts w:hint="eastAsia" w:ascii="宋体" w:hAnsi="宋体" w:eastAsia="宋体" w:cs="宋体"/>
          <w:bCs/>
          <w:color w:val="auto"/>
          <w:spacing w:val="6"/>
          <w:sz w:val="24"/>
          <w:highlight w:val="none"/>
        </w:rPr>
      </w:pPr>
    </w:p>
    <w:p w14:paraId="1F575F63">
      <w:pPr>
        <w:keepNext w:val="0"/>
        <w:keepLines w:val="0"/>
        <w:pageBreakBefore w:val="0"/>
        <w:widowControl w:val="0"/>
        <w:tabs>
          <w:tab w:val="left" w:pos="3261"/>
        </w:tabs>
        <w:kinsoku/>
        <w:wordWrap/>
        <w:overflowPunct/>
        <w:topLinePunct w:val="0"/>
        <w:autoSpaceDE/>
        <w:autoSpaceDN/>
        <w:bidi w:val="0"/>
        <w:adjustRightInd/>
        <w:snapToGrid/>
        <w:spacing w:line="460" w:lineRule="exact"/>
        <w:ind w:left="0" w:leftChars="0" w:right="0" w:firstLine="504" w:firstLineChars="200"/>
        <w:textAlignment w:val="auto"/>
        <w:rPr>
          <w:rFonts w:hint="eastAsia" w:ascii="宋体" w:hAnsi="宋体" w:eastAsia="宋体" w:cs="宋体"/>
          <w:bCs/>
          <w:color w:val="auto"/>
          <w:spacing w:val="6"/>
          <w:sz w:val="24"/>
          <w:highlight w:val="none"/>
        </w:rPr>
      </w:pPr>
      <w:r>
        <w:rPr>
          <w:rFonts w:hint="eastAsia" w:ascii="宋体" w:hAnsi="宋体" w:eastAsia="宋体" w:cs="宋体"/>
          <w:bCs/>
          <w:color w:val="auto"/>
          <w:spacing w:val="6"/>
          <w:sz w:val="24"/>
          <w:highlight w:val="none"/>
        </w:rPr>
        <w:t>说明：</w:t>
      </w:r>
    </w:p>
    <w:p w14:paraId="336EC54E">
      <w:pPr>
        <w:keepNext w:val="0"/>
        <w:keepLines w:val="0"/>
        <w:pageBreakBefore w:val="0"/>
        <w:widowControl w:val="0"/>
        <w:tabs>
          <w:tab w:val="left" w:pos="3261"/>
        </w:tabs>
        <w:kinsoku/>
        <w:wordWrap/>
        <w:overflowPunct/>
        <w:topLinePunct w:val="0"/>
        <w:autoSpaceDE/>
        <w:autoSpaceDN/>
        <w:bidi w:val="0"/>
        <w:adjustRightInd/>
        <w:snapToGrid/>
        <w:spacing w:line="460" w:lineRule="exact"/>
        <w:ind w:left="0" w:leftChars="0" w:right="0" w:firstLine="504" w:firstLineChars="200"/>
        <w:textAlignment w:val="auto"/>
        <w:rPr>
          <w:rFonts w:hint="eastAsia" w:ascii="宋体" w:hAnsi="宋体" w:eastAsia="宋体" w:cs="宋体"/>
          <w:bCs/>
          <w:color w:val="auto"/>
          <w:spacing w:val="6"/>
          <w:sz w:val="24"/>
          <w:highlight w:val="none"/>
          <w:lang w:eastAsia="zh-CN"/>
        </w:rPr>
      </w:pPr>
      <w:r>
        <w:rPr>
          <w:rFonts w:hint="eastAsia" w:ascii="宋体" w:hAnsi="宋体" w:eastAsia="宋体" w:cs="宋体"/>
          <w:bCs/>
          <w:color w:val="auto"/>
          <w:spacing w:val="6"/>
          <w:sz w:val="24"/>
          <w:highlight w:val="none"/>
          <w:lang w:eastAsia="zh-CN"/>
        </w:rPr>
        <w:t>1.参加采购活动的监狱企业应当提供省级以上监狱管理局、戒毒管理局（含新疆生产建设兵团）出具的属于监狱企业的证明文件（原件扫描件加盖</w:t>
      </w:r>
      <w:r>
        <w:rPr>
          <w:rFonts w:hint="eastAsia" w:ascii="宋体" w:hAnsi="宋体" w:eastAsia="宋体" w:cs="宋体"/>
          <w:bCs/>
          <w:color w:val="auto"/>
          <w:spacing w:val="6"/>
          <w:sz w:val="24"/>
          <w:highlight w:val="none"/>
          <w:lang w:val="en-US" w:eastAsia="zh-CN"/>
        </w:rPr>
        <w:t>电子签章</w:t>
      </w:r>
      <w:r>
        <w:rPr>
          <w:rFonts w:hint="eastAsia" w:ascii="宋体" w:hAnsi="宋体" w:eastAsia="宋体" w:cs="宋体"/>
          <w:bCs/>
          <w:color w:val="auto"/>
          <w:spacing w:val="6"/>
          <w:sz w:val="24"/>
          <w:highlight w:val="none"/>
          <w:lang w:eastAsia="zh-CN"/>
        </w:rPr>
        <w:t>），原件必要时备查。</w:t>
      </w:r>
    </w:p>
    <w:p w14:paraId="1D4861B6">
      <w:pPr>
        <w:keepNext w:val="0"/>
        <w:keepLines w:val="0"/>
        <w:pageBreakBefore w:val="0"/>
        <w:widowControl w:val="0"/>
        <w:tabs>
          <w:tab w:val="left" w:pos="3261"/>
        </w:tabs>
        <w:kinsoku/>
        <w:wordWrap/>
        <w:overflowPunct/>
        <w:topLinePunct w:val="0"/>
        <w:autoSpaceDE/>
        <w:autoSpaceDN/>
        <w:bidi w:val="0"/>
        <w:adjustRightInd/>
        <w:snapToGrid/>
        <w:spacing w:line="460" w:lineRule="exact"/>
        <w:ind w:left="0" w:leftChars="0" w:right="0" w:firstLine="504" w:firstLineChars="200"/>
        <w:textAlignment w:val="auto"/>
        <w:rPr>
          <w:rFonts w:hint="eastAsia" w:ascii="宋体" w:hAnsi="宋体" w:eastAsia="宋体" w:cs="宋体"/>
          <w:bCs/>
          <w:color w:val="auto"/>
          <w:spacing w:val="6"/>
          <w:sz w:val="24"/>
          <w:highlight w:val="none"/>
          <w:lang w:eastAsia="zh-CN"/>
        </w:rPr>
      </w:pPr>
      <w:r>
        <w:rPr>
          <w:rFonts w:hint="eastAsia" w:ascii="宋体" w:hAnsi="宋体" w:eastAsia="宋体" w:cs="宋体"/>
          <w:bCs/>
          <w:color w:val="auto"/>
          <w:spacing w:val="6"/>
          <w:sz w:val="24"/>
          <w:highlight w:val="none"/>
          <w:lang w:eastAsia="zh-CN"/>
        </w:rPr>
        <w:t>2.投标人若提供虚假监狱企业证明材料的，将予以无效投标文件处理。</w:t>
      </w:r>
    </w:p>
    <w:p w14:paraId="2A0C7DBC">
      <w:pPr>
        <w:keepNext w:val="0"/>
        <w:keepLines w:val="0"/>
        <w:pageBreakBefore w:val="0"/>
        <w:widowControl w:val="0"/>
        <w:tabs>
          <w:tab w:val="left" w:pos="3261"/>
        </w:tabs>
        <w:kinsoku/>
        <w:wordWrap/>
        <w:overflowPunct/>
        <w:topLinePunct w:val="0"/>
        <w:autoSpaceDE/>
        <w:autoSpaceDN/>
        <w:bidi w:val="0"/>
        <w:adjustRightInd/>
        <w:snapToGrid/>
        <w:spacing w:line="460" w:lineRule="exact"/>
        <w:ind w:left="0" w:leftChars="0" w:right="0" w:firstLine="504" w:firstLineChars="200"/>
        <w:textAlignment w:val="auto"/>
        <w:rPr>
          <w:rFonts w:hint="eastAsia" w:ascii="宋体" w:hAnsi="宋体" w:eastAsia="宋体" w:cs="宋体"/>
          <w:bCs/>
          <w:color w:val="auto"/>
          <w:spacing w:val="6"/>
          <w:sz w:val="24"/>
          <w:highlight w:val="none"/>
          <w:lang w:eastAsia="zh-CN"/>
        </w:rPr>
      </w:pPr>
      <w:r>
        <w:rPr>
          <w:rFonts w:hint="eastAsia" w:ascii="宋体" w:hAnsi="宋体" w:eastAsia="宋体" w:cs="宋体"/>
          <w:bCs/>
          <w:color w:val="auto"/>
          <w:spacing w:val="6"/>
          <w:sz w:val="24"/>
          <w:highlight w:val="none"/>
          <w:lang w:eastAsia="zh-CN"/>
        </w:rPr>
        <w:t>3.如未提供监狱企业证明材料的，则投标人不能享受招标文件规定的价格扣除，但不影响投标人投标文件的有效性。</w:t>
      </w:r>
    </w:p>
    <w:p w14:paraId="698A11FD">
      <w:pPr>
        <w:shd w:val="clear" w:color="auto" w:fill="FFFFFF"/>
        <w:ind w:firstLine="734"/>
        <w:rPr>
          <w:rFonts w:hint="eastAsia" w:ascii="宋体" w:hAnsi="宋体" w:eastAsia="宋体" w:cs="宋体"/>
          <w:color w:val="auto"/>
          <w:szCs w:val="28"/>
          <w:highlight w:val="none"/>
        </w:rPr>
      </w:pPr>
    </w:p>
    <w:p w14:paraId="427C5F3B">
      <w:pPr>
        <w:shd w:val="clear" w:color="auto" w:fill="FFFFFF"/>
        <w:ind w:firstLine="734"/>
        <w:rPr>
          <w:rFonts w:hint="eastAsia" w:ascii="宋体" w:hAnsi="宋体" w:eastAsia="宋体" w:cs="宋体"/>
          <w:color w:val="auto"/>
          <w:szCs w:val="28"/>
          <w:highlight w:val="none"/>
        </w:rPr>
      </w:pPr>
    </w:p>
    <w:p w14:paraId="4C23CDF2">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1672BEF4">
      <w:pPr>
        <w:widowControl/>
        <w:rPr>
          <w:rFonts w:hint="eastAsia" w:ascii="宋体" w:hAnsi="宋体" w:eastAsia="宋体" w:cs="宋体"/>
          <w:bCs/>
          <w:color w:val="auto"/>
          <w:sz w:val="56"/>
          <w:highlight w:val="none"/>
        </w:rPr>
      </w:pPr>
    </w:p>
    <w:p w14:paraId="343488CC">
      <w:pPr>
        <w:widowControl/>
        <w:rPr>
          <w:rFonts w:hint="eastAsia" w:ascii="宋体" w:hAnsi="宋体" w:eastAsia="宋体" w:cs="宋体"/>
          <w:bCs/>
          <w:color w:val="auto"/>
          <w:sz w:val="56"/>
          <w:highlight w:val="none"/>
        </w:rPr>
      </w:pPr>
    </w:p>
    <w:p w14:paraId="66C9AC2B">
      <w:pPr>
        <w:widowControl/>
        <w:rPr>
          <w:rFonts w:hint="eastAsia" w:ascii="宋体" w:hAnsi="宋体" w:eastAsia="宋体" w:cs="宋体"/>
          <w:bCs/>
          <w:color w:val="auto"/>
          <w:sz w:val="56"/>
          <w:highlight w:val="none"/>
        </w:rPr>
      </w:pPr>
    </w:p>
    <w:p w14:paraId="73A7382A">
      <w:pPr>
        <w:widowControl/>
        <w:rPr>
          <w:rFonts w:hint="eastAsia" w:ascii="宋体" w:hAnsi="宋体" w:eastAsia="宋体" w:cs="宋体"/>
          <w:bCs/>
          <w:color w:val="auto"/>
          <w:sz w:val="56"/>
          <w:highlight w:val="none"/>
        </w:rPr>
      </w:pPr>
    </w:p>
    <w:p w14:paraId="5EFEAF06">
      <w:pPr>
        <w:widowControl/>
        <w:rPr>
          <w:rFonts w:hint="eastAsia" w:ascii="宋体" w:hAnsi="宋体" w:eastAsia="宋体" w:cs="宋体"/>
          <w:bCs/>
          <w:color w:val="auto"/>
          <w:sz w:val="56"/>
          <w:highlight w:val="none"/>
          <w:lang w:eastAsia="zh-CN"/>
        </w:rPr>
      </w:pPr>
    </w:p>
    <w:p w14:paraId="4FC52979">
      <w:pPr>
        <w:pStyle w:val="15"/>
        <w:rPr>
          <w:rFonts w:hint="eastAsia" w:ascii="宋体" w:hAnsi="宋体" w:eastAsia="宋体" w:cs="宋体"/>
          <w:bCs/>
          <w:color w:val="auto"/>
          <w:sz w:val="56"/>
          <w:highlight w:val="none"/>
          <w:lang w:eastAsia="zh-CN"/>
        </w:rPr>
      </w:pPr>
    </w:p>
    <w:p w14:paraId="3A6DAE1F">
      <w:pPr>
        <w:rPr>
          <w:rFonts w:hint="eastAsia" w:ascii="宋体" w:hAnsi="宋体" w:eastAsia="宋体" w:cs="宋体"/>
          <w:color w:val="auto"/>
          <w:highlight w:val="none"/>
          <w:lang w:eastAsia="zh-CN"/>
        </w:rPr>
      </w:pPr>
    </w:p>
    <w:p w14:paraId="14FFEC97">
      <w:pPr>
        <w:pStyle w:val="2"/>
        <w:rPr>
          <w:rFonts w:hint="eastAsia" w:ascii="宋体" w:hAnsi="宋体" w:eastAsia="宋体" w:cs="宋体"/>
          <w:color w:val="auto"/>
          <w:highlight w:val="none"/>
        </w:rPr>
      </w:pPr>
      <w:bookmarkStart w:id="170" w:name="_Toc26708"/>
      <w:bookmarkStart w:id="171" w:name="_Toc20331"/>
      <w:r>
        <w:rPr>
          <w:rFonts w:hint="eastAsia" w:ascii="宋体" w:hAnsi="宋体" w:eastAsia="宋体" w:cs="宋体"/>
          <w:color w:val="auto"/>
          <w:highlight w:val="none"/>
        </w:rPr>
        <w:t>二、技术部分</w:t>
      </w:r>
      <w:bookmarkEnd w:id="170"/>
      <w:bookmarkEnd w:id="171"/>
    </w:p>
    <w:p w14:paraId="01F03083">
      <w:pPr>
        <w:rPr>
          <w:rFonts w:hint="eastAsia" w:ascii="宋体" w:hAnsi="宋体" w:eastAsia="宋体" w:cs="宋体"/>
          <w:color w:val="auto"/>
          <w:highlight w:val="none"/>
        </w:rPr>
      </w:pPr>
    </w:p>
    <w:p w14:paraId="5C142A5E">
      <w:pPr>
        <w:rPr>
          <w:rFonts w:hint="eastAsia" w:ascii="宋体" w:hAnsi="宋体" w:eastAsia="宋体" w:cs="宋体"/>
          <w:color w:val="auto"/>
          <w:highlight w:val="none"/>
        </w:rPr>
      </w:pPr>
    </w:p>
    <w:p w14:paraId="66705CF9">
      <w:pPr>
        <w:rPr>
          <w:rFonts w:hint="eastAsia" w:ascii="宋体" w:hAnsi="宋体" w:eastAsia="宋体" w:cs="宋体"/>
          <w:color w:val="auto"/>
          <w:highlight w:val="none"/>
        </w:rPr>
      </w:pPr>
    </w:p>
    <w:p w14:paraId="08699142">
      <w:pPr>
        <w:rPr>
          <w:rFonts w:hint="eastAsia" w:ascii="宋体" w:hAnsi="宋体" w:eastAsia="宋体" w:cs="宋体"/>
          <w:color w:val="auto"/>
          <w:highlight w:val="none"/>
        </w:rPr>
      </w:pPr>
    </w:p>
    <w:p w14:paraId="77D82083">
      <w:pPr>
        <w:rPr>
          <w:rFonts w:hint="eastAsia" w:ascii="宋体" w:hAnsi="宋体" w:eastAsia="宋体" w:cs="宋体"/>
          <w:color w:val="auto"/>
          <w:highlight w:val="none"/>
        </w:rPr>
      </w:pPr>
    </w:p>
    <w:p w14:paraId="1D3927AE">
      <w:pPr>
        <w:rPr>
          <w:rFonts w:hint="eastAsia" w:ascii="宋体" w:hAnsi="宋体" w:eastAsia="宋体" w:cs="宋体"/>
          <w:color w:val="auto"/>
          <w:highlight w:val="none"/>
        </w:rPr>
      </w:pPr>
    </w:p>
    <w:p w14:paraId="60817B7A">
      <w:pPr>
        <w:rPr>
          <w:rFonts w:hint="eastAsia" w:ascii="宋体" w:hAnsi="宋体" w:eastAsia="宋体" w:cs="宋体"/>
          <w:color w:val="auto"/>
          <w:highlight w:val="none"/>
        </w:rPr>
      </w:pPr>
    </w:p>
    <w:p w14:paraId="4EFCBF40">
      <w:pPr>
        <w:rPr>
          <w:rFonts w:hint="eastAsia" w:ascii="宋体" w:hAnsi="宋体" w:eastAsia="宋体" w:cs="宋体"/>
          <w:color w:val="auto"/>
          <w:highlight w:val="none"/>
        </w:rPr>
      </w:pPr>
    </w:p>
    <w:p w14:paraId="5DA17955">
      <w:pPr>
        <w:rPr>
          <w:rFonts w:hint="eastAsia" w:ascii="宋体" w:hAnsi="宋体" w:eastAsia="宋体" w:cs="宋体"/>
          <w:color w:val="auto"/>
          <w:highlight w:val="none"/>
        </w:rPr>
      </w:pPr>
    </w:p>
    <w:p w14:paraId="727BDD9E">
      <w:pPr>
        <w:rPr>
          <w:rFonts w:hint="eastAsia" w:ascii="宋体" w:hAnsi="宋体" w:eastAsia="宋体" w:cs="宋体"/>
          <w:color w:val="auto"/>
          <w:highlight w:val="none"/>
        </w:rPr>
      </w:pPr>
    </w:p>
    <w:p w14:paraId="3EA9FA82">
      <w:pPr>
        <w:rPr>
          <w:rFonts w:hint="eastAsia" w:ascii="宋体" w:hAnsi="宋体" w:eastAsia="宋体" w:cs="宋体"/>
          <w:color w:val="auto"/>
          <w:highlight w:val="none"/>
        </w:rPr>
      </w:pPr>
    </w:p>
    <w:p w14:paraId="10E0E83A">
      <w:pPr>
        <w:rPr>
          <w:rFonts w:hint="eastAsia" w:ascii="宋体" w:hAnsi="宋体" w:eastAsia="宋体" w:cs="宋体"/>
          <w:color w:val="auto"/>
          <w:highlight w:val="none"/>
        </w:rPr>
      </w:pPr>
    </w:p>
    <w:p w14:paraId="3138DE07">
      <w:pPr>
        <w:rPr>
          <w:rFonts w:hint="eastAsia" w:ascii="宋体" w:hAnsi="宋体" w:eastAsia="宋体" w:cs="宋体"/>
          <w:color w:val="auto"/>
          <w:highlight w:val="none"/>
        </w:rPr>
      </w:pPr>
    </w:p>
    <w:p w14:paraId="770E7A92">
      <w:pPr>
        <w:rPr>
          <w:rFonts w:hint="eastAsia" w:ascii="宋体" w:hAnsi="宋体" w:eastAsia="宋体" w:cs="宋体"/>
          <w:color w:val="auto"/>
          <w:highlight w:val="none"/>
        </w:rPr>
      </w:pPr>
    </w:p>
    <w:p w14:paraId="3C64AE13">
      <w:pPr>
        <w:rPr>
          <w:rFonts w:hint="eastAsia" w:ascii="宋体" w:hAnsi="宋体" w:eastAsia="宋体" w:cs="宋体"/>
          <w:color w:val="auto"/>
          <w:highlight w:val="none"/>
        </w:rPr>
      </w:pPr>
    </w:p>
    <w:p w14:paraId="4FE2080E">
      <w:pPr>
        <w:rPr>
          <w:rFonts w:hint="eastAsia" w:ascii="宋体" w:hAnsi="宋体" w:eastAsia="宋体" w:cs="宋体"/>
          <w:color w:val="auto"/>
          <w:highlight w:val="none"/>
        </w:rPr>
      </w:pPr>
    </w:p>
    <w:p w14:paraId="7358A0DB">
      <w:pPr>
        <w:rPr>
          <w:rFonts w:hint="eastAsia" w:ascii="宋体" w:hAnsi="宋体" w:eastAsia="宋体" w:cs="宋体"/>
          <w:color w:val="auto"/>
          <w:highlight w:val="none"/>
        </w:rPr>
      </w:pPr>
    </w:p>
    <w:p w14:paraId="4645F7E9">
      <w:pPr>
        <w:rPr>
          <w:rFonts w:hint="eastAsia" w:ascii="宋体" w:hAnsi="宋体" w:eastAsia="宋体" w:cs="宋体"/>
          <w:color w:val="auto"/>
          <w:highlight w:val="none"/>
        </w:rPr>
      </w:pPr>
    </w:p>
    <w:p w14:paraId="1DFF6F7B">
      <w:pPr>
        <w:rPr>
          <w:rFonts w:hint="eastAsia" w:ascii="宋体" w:hAnsi="宋体" w:eastAsia="宋体" w:cs="宋体"/>
          <w:color w:val="auto"/>
          <w:highlight w:val="none"/>
        </w:rPr>
      </w:pPr>
    </w:p>
    <w:p w14:paraId="781A9C3A">
      <w:pPr>
        <w:rPr>
          <w:rFonts w:hint="eastAsia" w:ascii="宋体" w:hAnsi="宋体" w:eastAsia="宋体" w:cs="宋体"/>
          <w:color w:val="auto"/>
          <w:highlight w:val="none"/>
        </w:rPr>
      </w:pPr>
    </w:p>
    <w:p w14:paraId="4E8EAC3A">
      <w:pPr>
        <w:rPr>
          <w:rFonts w:hint="eastAsia" w:ascii="宋体" w:hAnsi="宋体" w:eastAsia="宋体" w:cs="宋体"/>
          <w:color w:val="auto"/>
          <w:highlight w:val="none"/>
        </w:rPr>
      </w:pPr>
    </w:p>
    <w:p w14:paraId="0E318415">
      <w:pPr>
        <w:rPr>
          <w:rFonts w:hint="eastAsia" w:ascii="宋体" w:hAnsi="宋体" w:eastAsia="宋体" w:cs="宋体"/>
          <w:color w:val="auto"/>
          <w:highlight w:val="none"/>
        </w:rPr>
      </w:pPr>
    </w:p>
    <w:p w14:paraId="5E87FED9">
      <w:pPr>
        <w:pStyle w:val="3"/>
        <w:numPr>
          <w:ilvl w:val="0"/>
          <w:numId w:val="0"/>
        </w:numPr>
        <w:tabs>
          <w:tab w:val="clear" w:pos="360"/>
        </w:tabs>
        <w:spacing w:before="0"/>
        <w:jc w:val="center"/>
        <w:rPr>
          <w:rFonts w:hint="eastAsia" w:ascii="宋体" w:hAnsi="宋体" w:eastAsia="宋体" w:cs="宋体"/>
          <w:color w:val="auto"/>
          <w:szCs w:val="28"/>
          <w:highlight w:val="none"/>
        </w:rPr>
        <w:sectPr>
          <w:headerReference r:id="rId9" w:type="default"/>
          <w:footerReference r:id="rId10" w:type="even"/>
          <w:pgSz w:w="11906" w:h="16838"/>
          <w:pgMar w:top="1418" w:right="1134" w:bottom="1134" w:left="1418" w:header="935" w:footer="720" w:gutter="0"/>
          <w:pgBorders>
            <w:top w:val="none" w:sz="0" w:space="0"/>
            <w:left w:val="none" w:sz="0" w:space="0"/>
            <w:bottom w:val="none" w:sz="0" w:space="0"/>
            <w:right w:val="none" w:sz="0" w:space="0"/>
          </w:pgBorders>
          <w:cols w:space="720" w:num="1"/>
          <w:docGrid w:type="linesAndChars" w:linePitch="331" w:charSpace="0"/>
        </w:sectPr>
      </w:pPr>
    </w:p>
    <w:p w14:paraId="7DF85F6D">
      <w:pPr>
        <w:rPr>
          <w:rFonts w:hint="eastAsia" w:ascii="宋体" w:hAnsi="宋体" w:eastAsia="宋体" w:cs="宋体"/>
          <w:color w:val="auto"/>
          <w:highlight w:val="none"/>
        </w:rPr>
      </w:pPr>
    </w:p>
    <w:p w14:paraId="7FB30DF4">
      <w:pPr>
        <w:pStyle w:val="3"/>
        <w:numPr>
          <w:ilvl w:val="0"/>
          <w:numId w:val="0"/>
        </w:numPr>
        <w:tabs>
          <w:tab w:val="clear" w:pos="360"/>
        </w:tabs>
        <w:spacing w:before="0"/>
        <w:jc w:val="center"/>
        <w:rPr>
          <w:rFonts w:hint="eastAsia" w:ascii="宋体" w:hAnsi="宋体" w:eastAsia="宋体" w:cs="宋体"/>
          <w:color w:val="auto"/>
          <w:szCs w:val="28"/>
          <w:highlight w:val="none"/>
          <w:lang w:eastAsia="zh-CN"/>
        </w:rPr>
      </w:pPr>
      <w:bookmarkStart w:id="172" w:name="_Toc14881"/>
      <w:bookmarkStart w:id="173" w:name="_Toc11175"/>
      <w:r>
        <w:rPr>
          <w:rFonts w:hint="eastAsia" w:ascii="宋体" w:hAnsi="宋体" w:eastAsia="宋体" w:cs="宋体"/>
          <w:color w:val="auto"/>
          <w:szCs w:val="28"/>
          <w:highlight w:val="none"/>
        </w:rPr>
        <w:t>格式</w:t>
      </w:r>
      <w:r>
        <w:rPr>
          <w:rFonts w:hint="eastAsia" w:ascii="宋体" w:hAnsi="宋体" w:eastAsia="宋体" w:cs="宋体"/>
          <w:color w:val="auto"/>
          <w:szCs w:val="28"/>
          <w:highlight w:val="none"/>
          <w:lang w:val="en-US" w:eastAsia="zh-CN"/>
        </w:rPr>
        <w:t>2</w:t>
      </w:r>
      <w:r>
        <w:rPr>
          <w:rFonts w:hint="eastAsia" w:ascii="宋体" w:hAnsi="宋体" w:eastAsia="宋体" w:cs="宋体"/>
          <w:color w:val="auto"/>
          <w:szCs w:val="28"/>
          <w:highlight w:val="none"/>
        </w:rPr>
        <w:t>：</w:t>
      </w:r>
      <w:bookmarkEnd w:id="172"/>
      <w:r>
        <w:rPr>
          <w:rFonts w:hint="eastAsia" w:ascii="宋体" w:hAnsi="宋体" w:eastAsia="宋体" w:cs="宋体"/>
          <w:color w:val="auto"/>
          <w:szCs w:val="28"/>
          <w:highlight w:val="none"/>
          <w:lang w:eastAsia="zh-CN"/>
        </w:rPr>
        <w:t>技术响应偏离表</w:t>
      </w:r>
      <w:bookmarkEnd w:id="173"/>
    </w:p>
    <w:p w14:paraId="3E8D17EE">
      <w:pPr>
        <w:pStyle w:val="21"/>
        <w:rPr>
          <w:rFonts w:hint="eastAsia" w:ascii="宋体" w:hAnsi="宋体" w:eastAsia="宋体" w:cs="宋体"/>
          <w:bCs/>
          <w:color w:val="auto"/>
          <w:szCs w:val="21"/>
          <w:highlight w:val="none"/>
        </w:rPr>
      </w:pPr>
    </w:p>
    <w:p w14:paraId="50511751">
      <w:pPr>
        <w:shd w:val="clear" w:color="auto" w:fill="FFFFFF"/>
        <w:spacing w:before="60" w:after="60"/>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w:t>
      </w:r>
      <w:r>
        <w:rPr>
          <w:rFonts w:hint="eastAsia" w:ascii="宋体" w:hAnsi="宋体" w:cs="宋体"/>
          <w:color w:val="auto"/>
          <w:sz w:val="24"/>
          <w:highlight w:val="none"/>
          <w:lang w:eastAsia="zh-CN"/>
        </w:rPr>
        <w:t>云南省第三次全国土壤普查土壤样品库和数据库建设项目样品储存架等设备采购（二次招标）</w:t>
      </w:r>
    </w:p>
    <w:p w14:paraId="6AA55AFA">
      <w:pPr>
        <w:shd w:val="clear" w:color="auto" w:fill="FFFFFF"/>
        <w:spacing w:before="60" w:after="60"/>
        <w:rPr>
          <w:rFonts w:hint="eastAsia" w:ascii="宋体" w:hAnsi="宋体" w:eastAsia="宋体" w:cs="宋体"/>
          <w:color w:val="auto"/>
          <w:spacing w:val="10"/>
          <w:sz w:val="24"/>
          <w:highlight w:val="none"/>
          <w:lang w:val="en-US" w:eastAsia="zh-CN"/>
        </w:rPr>
      </w:pPr>
      <w:r>
        <w:rPr>
          <w:rFonts w:hint="eastAsia" w:ascii="宋体" w:hAnsi="宋体" w:eastAsia="宋体" w:cs="宋体"/>
          <w:color w:val="auto"/>
          <w:sz w:val="24"/>
          <w:highlight w:val="none"/>
        </w:rPr>
        <w:t>招标编号：</w:t>
      </w:r>
      <w:r>
        <w:rPr>
          <w:rFonts w:hint="eastAsia" w:ascii="宋体" w:hAnsi="宋体" w:cs="宋体"/>
          <w:color w:val="auto"/>
          <w:spacing w:val="10"/>
          <w:sz w:val="24"/>
          <w:highlight w:val="none"/>
          <w:lang w:eastAsia="zh-CN"/>
        </w:rPr>
        <w:t>ZG-2026084</w:t>
      </w:r>
    </w:p>
    <w:tbl>
      <w:tblPr>
        <w:tblStyle w:val="33"/>
        <w:tblW w:w="142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246"/>
        <w:gridCol w:w="3648"/>
        <w:gridCol w:w="3296"/>
        <w:gridCol w:w="1844"/>
        <w:gridCol w:w="2442"/>
      </w:tblGrid>
      <w:tr w14:paraId="2638E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3" w:hRule="exact"/>
          <w:jc w:val="center"/>
        </w:trPr>
        <w:tc>
          <w:tcPr>
            <w:tcW w:w="817" w:type="dxa"/>
            <w:tcBorders>
              <w:top w:val="single" w:color="auto" w:sz="4" w:space="0"/>
              <w:left w:val="single" w:color="auto" w:sz="4" w:space="0"/>
              <w:bottom w:val="single" w:color="auto" w:sz="4" w:space="0"/>
              <w:right w:val="single" w:color="auto" w:sz="4" w:space="0"/>
            </w:tcBorders>
            <w:vAlign w:val="center"/>
          </w:tcPr>
          <w:p w14:paraId="671BE1E4">
            <w:pPr>
              <w:spacing w:line="280" w:lineRule="exac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序号</w:t>
            </w:r>
          </w:p>
        </w:tc>
        <w:tc>
          <w:tcPr>
            <w:tcW w:w="2246" w:type="dxa"/>
            <w:tcBorders>
              <w:top w:val="single" w:color="auto" w:sz="4" w:space="0"/>
              <w:left w:val="single" w:color="auto" w:sz="4" w:space="0"/>
              <w:bottom w:val="single" w:color="auto" w:sz="4" w:space="0"/>
              <w:right w:val="single" w:color="auto" w:sz="4" w:space="0"/>
            </w:tcBorders>
            <w:vAlign w:val="center"/>
          </w:tcPr>
          <w:p w14:paraId="422899BA">
            <w:pPr>
              <w:spacing w:line="280" w:lineRule="exact"/>
              <w:jc w:val="center"/>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标的</w:t>
            </w:r>
            <w:r>
              <w:rPr>
                <w:rFonts w:hint="eastAsia" w:ascii="宋体" w:hAnsi="宋体" w:eastAsia="宋体" w:cs="宋体"/>
                <w:bCs/>
                <w:color w:val="auto"/>
                <w:sz w:val="24"/>
                <w:highlight w:val="none"/>
              </w:rPr>
              <w:t>名称</w:t>
            </w:r>
          </w:p>
        </w:tc>
        <w:tc>
          <w:tcPr>
            <w:tcW w:w="3648" w:type="dxa"/>
            <w:tcBorders>
              <w:top w:val="single" w:color="auto" w:sz="4" w:space="0"/>
              <w:left w:val="single" w:color="auto" w:sz="4" w:space="0"/>
              <w:bottom w:val="single" w:color="auto" w:sz="4" w:space="0"/>
              <w:right w:val="single" w:color="auto" w:sz="4" w:space="0"/>
            </w:tcBorders>
            <w:vAlign w:val="center"/>
          </w:tcPr>
          <w:p w14:paraId="6BBFA0F7">
            <w:pPr>
              <w:spacing w:line="280" w:lineRule="exac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招标</w:t>
            </w:r>
            <w:r>
              <w:rPr>
                <w:rFonts w:hint="eastAsia" w:ascii="宋体" w:hAnsi="宋体" w:cs="宋体"/>
                <w:bCs/>
                <w:color w:val="auto"/>
                <w:sz w:val="24"/>
                <w:highlight w:val="none"/>
                <w:lang w:val="en-US" w:eastAsia="zh-CN"/>
              </w:rPr>
              <w:t>技术要求</w:t>
            </w:r>
          </w:p>
        </w:tc>
        <w:tc>
          <w:tcPr>
            <w:tcW w:w="3296" w:type="dxa"/>
            <w:tcBorders>
              <w:top w:val="single" w:color="auto" w:sz="4" w:space="0"/>
              <w:left w:val="single" w:color="auto" w:sz="4" w:space="0"/>
              <w:bottom w:val="single" w:color="auto" w:sz="4" w:space="0"/>
              <w:right w:val="single" w:color="auto" w:sz="4" w:space="0"/>
            </w:tcBorders>
            <w:vAlign w:val="center"/>
          </w:tcPr>
          <w:p w14:paraId="7FF83393">
            <w:pPr>
              <w:spacing w:line="280" w:lineRule="exac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w:t>
            </w:r>
            <w:r>
              <w:rPr>
                <w:rFonts w:hint="eastAsia" w:ascii="宋体" w:hAnsi="宋体" w:cs="宋体"/>
                <w:bCs/>
                <w:color w:val="auto"/>
                <w:sz w:val="24"/>
                <w:highlight w:val="none"/>
                <w:lang w:val="en-US" w:eastAsia="zh-CN"/>
              </w:rPr>
              <w:t>响应情况</w:t>
            </w:r>
          </w:p>
        </w:tc>
        <w:tc>
          <w:tcPr>
            <w:tcW w:w="1844" w:type="dxa"/>
            <w:tcBorders>
              <w:top w:val="single" w:color="auto" w:sz="4" w:space="0"/>
              <w:left w:val="single" w:color="auto" w:sz="4" w:space="0"/>
              <w:bottom w:val="single" w:color="auto" w:sz="4" w:space="0"/>
              <w:right w:val="single" w:color="auto" w:sz="4" w:space="0"/>
            </w:tcBorders>
            <w:vAlign w:val="center"/>
          </w:tcPr>
          <w:p w14:paraId="2C096569">
            <w:pPr>
              <w:spacing w:line="280" w:lineRule="exac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偏离情况</w:t>
            </w:r>
          </w:p>
        </w:tc>
        <w:tc>
          <w:tcPr>
            <w:tcW w:w="2442" w:type="dxa"/>
            <w:tcBorders>
              <w:top w:val="single" w:color="auto" w:sz="4" w:space="0"/>
              <w:left w:val="single" w:color="auto" w:sz="4" w:space="0"/>
              <w:bottom w:val="single" w:color="auto" w:sz="4" w:space="0"/>
              <w:right w:val="single" w:color="auto" w:sz="4" w:space="0"/>
            </w:tcBorders>
            <w:vAlign w:val="center"/>
          </w:tcPr>
          <w:p w14:paraId="52AAA723">
            <w:pPr>
              <w:spacing w:line="280" w:lineRule="exact"/>
              <w:jc w:val="center"/>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技术支持资料</w:t>
            </w:r>
            <w:r>
              <w:rPr>
                <w:rFonts w:hint="eastAsia" w:ascii="宋体" w:hAnsi="宋体" w:eastAsia="宋体" w:cs="宋体"/>
                <w:bCs/>
                <w:color w:val="auto"/>
                <w:sz w:val="24"/>
                <w:highlight w:val="none"/>
                <w:lang w:val="en-US" w:eastAsia="zh-CN"/>
              </w:rPr>
              <w:t>对应的响应文件页码</w:t>
            </w:r>
          </w:p>
        </w:tc>
      </w:tr>
      <w:tr w14:paraId="31FA1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exact"/>
          <w:jc w:val="center"/>
        </w:trPr>
        <w:tc>
          <w:tcPr>
            <w:tcW w:w="817" w:type="dxa"/>
            <w:tcBorders>
              <w:top w:val="single" w:color="auto" w:sz="4" w:space="0"/>
              <w:left w:val="single" w:color="auto" w:sz="4" w:space="0"/>
              <w:bottom w:val="single" w:color="auto" w:sz="4" w:space="0"/>
              <w:right w:val="single" w:color="auto" w:sz="4" w:space="0"/>
            </w:tcBorders>
          </w:tcPr>
          <w:p w14:paraId="0DBC90D5">
            <w:pPr>
              <w:spacing w:before="165" w:beforeLines="50" w:after="165" w:afterLines="50"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2246" w:type="dxa"/>
            <w:tcBorders>
              <w:top w:val="single" w:color="auto" w:sz="4" w:space="0"/>
              <w:left w:val="single" w:color="auto" w:sz="4" w:space="0"/>
              <w:bottom w:val="single" w:color="auto" w:sz="4" w:space="0"/>
              <w:right w:val="single" w:color="auto" w:sz="4" w:space="0"/>
            </w:tcBorders>
          </w:tcPr>
          <w:p w14:paraId="56BECD57">
            <w:pPr>
              <w:spacing w:before="165" w:beforeLines="50" w:after="165" w:afterLines="50" w:line="400" w:lineRule="exact"/>
              <w:jc w:val="center"/>
              <w:rPr>
                <w:rFonts w:hint="eastAsia" w:ascii="宋体" w:hAnsi="宋体" w:eastAsia="宋体" w:cs="宋体"/>
                <w:color w:val="auto"/>
                <w:sz w:val="24"/>
                <w:highlight w:val="none"/>
              </w:rPr>
            </w:pPr>
          </w:p>
        </w:tc>
        <w:tc>
          <w:tcPr>
            <w:tcW w:w="3648" w:type="dxa"/>
            <w:tcBorders>
              <w:top w:val="single" w:color="auto" w:sz="4" w:space="0"/>
              <w:left w:val="single" w:color="auto" w:sz="4" w:space="0"/>
              <w:bottom w:val="single" w:color="auto" w:sz="4" w:space="0"/>
              <w:right w:val="single" w:color="auto" w:sz="4" w:space="0"/>
            </w:tcBorders>
          </w:tcPr>
          <w:p w14:paraId="5ECB796A">
            <w:pPr>
              <w:spacing w:before="165" w:beforeLines="50" w:after="165" w:afterLines="50" w:line="400" w:lineRule="exact"/>
              <w:jc w:val="center"/>
              <w:rPr>
                <w:rFonts w:hint="eastAsia" w:ascii="宋体" w:hAnsi="宋体" w:eastAsia="宋体" w:cs="宋体"/>
                <w:color w:val="auto"/>
                <w:sz w:val="24"/>
                <w:highlight w:val="none"/>
              </w:rPr>
            </w:pPr>
          </w:p>
        </w:tc>
        <w:tc>
          <w:tcPr>
            <w:tcW w:w="3296" w:type="dxa"/>
            <w:tcBorders>
              <w:top w:val="single" w:color="auto" w:sz="4" w:space="0"/>
              <w:left w:val="single" w:color="auto" w:sz="4" w:space="0"/>
              <w:bottom w:val="single" w:color="auto" w:sz="4" w:space="0"/>
              <w:right w:val="single" w:color="auto" w:sz="4" w:space="0"/>
            </w:tcBorders>
          </w:tcPr>
          <w:p w14:paraId="2633402A">
            <w:pPr>
              <w:spacing w:before="165" w:beforeLines="50" w:after="165" w:afterLines="50" w:line="400" w:lineRule="exact"/>
              <w:jc w:val="center"/>
              <w:rPr>
                <w:rFonts w:hint="eastAsia" w:ascii="宋体" w:hAnsi="宋体" w:eastAsia="宋体" w:cs="宋体"/>
                <w:color w:val="auto"/>
                <w:sz w:val="24"/>
                <w:highlight w:val="none"/>
              </w:rPr>
            </w:pPr>
          </w:p>
        </w:tc>
        <w:tc>
          <w:tcPr>
            <w:tcW w:w="1844" w:type="dxa"/>
            <w:tcBorders>
              <w:top w:val="single" w:color="auto" w:sz="4" w:space="0"/>
              <w:left w:val="single" w:color="auto" w:sz="4" w:space="0"/>
              <w:bottom w:val="single" w:color="auto" w:sz="4" w:space="0"/>
              <w:right w:val="single" w:color="auto" w:sz="4" w:space="0"/>
            </w:tcBorders>
          </w:tcPr>
          <w:p w14:paraId="0A558EBD">
            <w:pPr>
              <w:spacing w:before="165" w:beforeLines="50" w:after="165" w:afterLines="50" w:line="400" w:lineRule="exact"/>
              <w:jc w:val="center"/>
              <w:rPr>
                <w:rFonts w:hint="eastAsia" w:ascii="宋体" w:hAnsi="宋体" w:eastAsia="宋体" w:cs="宋体"/>
                <w:color w:val="auto"/>
                <w:sz w:val="24"/>
                <w:highlight w:val="none"/>
              </w:rPr>
            </w:pPr>
          </w:p>
        </w:tc>
        <w:tc>
          <w:tcPr>
            <w:tcW w:w="2442" w:type="dxa"/>
            <w:tcBorders>
              <w:top w:val="single" w:color="auto" w:sz="4" w:space="0"/>
              <w:left w:val="single" w:color="auto" w:sz="4" w:space="0"/>
              <w:bottom w:val="single" w:color="auto" w:sz="4" w:space="0"/>
              <w:right w:val="single" w:color="auto" w:sz="4" w:space="0"/>
            </w:tcBorders>
          </w:tcPr>
          <w:p w14:paraId="68C74E62">
            <w:pPr>
              <w:spacing w:before="165" w:beforeLines="50" w:after="165" w:afterLines="50" w:line="400" w:lineRule="exact"/>
              <w:jc w:val="center"/>
              <w:rPr>
                <w:rFonts w:hint="eastAsia" w:ascii="宋体" w:hAnsi="宋体" w:eastAsia="宋体" w:cs="宋体"/>
                <w:color w:val="auto"/>
                <w:sz w:val="24"/>
                <w:highlight w:val="none"/>
              </w:rPr>
            </w:pPr>
          </w:p>
        </w:tc>
      </w:tr>
      <w:tr w14:paraId="1F0BE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exact"/>
          <w:jc w:val="center"/>
        </w:trPr>
        <w:tc>
          <w:tcPr>
            <w:tcW w:w="817" w:type="dxa"/>
            <w:tcBorders>
              <w:top w:val="single" w:color="auto" w:sz="4" w:space="0"/>
              <w:left w:val="single" w:color="auto" w:sz="4" w:space="0"/>
              <w:bottom w:val="single" w:color="auto" w:sz="4" w:space="0"/>
              <w:right w:val="single" w:color="auto" w:sz="4" w:space="0"/>
            </w:tcBorders>
          </w:tcPr>
          <w:p w14:paraId="1ECC0C0F">
            <w:pPr>
              <w:spacing w:before="165" w:beforeLines="50" w:after="165" w:afterLines="50"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2246" w:type="dxa"/>
            <w:tcBorders>
              <w:top w:val="single" w:color="auto" w:sz="4" w:space="0"/>
              <w:left w:val="single" w:color="auto" w:sz="4" w:space="0"/>
              <w:bottom w:val="single" w:color="auto" w:sz="4" w:space="0"/>
              <w:right w:val="single" w:color="auto" w:sz="4" w:space="0"/>
            </w:tcBorders>
          </w:tcPr>
          <w:p w14:paraId="174870B0">
            <w:pPr>
              <w:spacing w:before="165" w:beforeLines="50" w:after="165" w:afterLines="50" w:line="400" w:lineRule="exact"/>
              <w:jc w:val="center"/>
              <w:rPr>
                <w:rFonts w:hint="eastAsia" w:ascii="宋体" w:hAnsi="宋体" w:eastAsia="宋体" w:cs="宋体"/>
                <w:color w:val="auto"/>
                <w:sz w:val="24"/>
                <w:highlight w:val="none"/>
              </w:rPr>
            </w:pPr>
          </w:p>
        </w:tc>
        <w:tc>
          <w:tcPr>
            <w:tcW w:w="3648" w:type="dxa"/>
            <w:tcBorders>
              <w:top w:val="single" w:color="auto" w:sz="4" w:space="0"/>
              <w:left w:val="single" w:color="auto" w:sz="4" w:space="0"/>
              <w:bottom w:val="single" w:color="auto" w:sz="4" w:space="0"/>
              <w:right w:val="single" w:color="auto" w:sz="4" w:space="0"/>
            </w:tcBorders>
          </w:tcPr>
          <w:p w14:paraId="08E576A3">
            <w:pPr>
              <w:spacing w:before="165" w:beforeLines="50" w:after="165" w:afterLines="50" w:line="400" w:lineRule="exact"/>
              <w:jc w:val="center"/>
              <w:rPr>
                <w:rFonts w:hint="eastAsia" w:ascii="宋体" w:hAnsi="宋体" w:eastAsia="宋体" w:cs="宋体"/>
                <w:color w:val="auto"/>
                <w:sz w:val="24"/>
                <w:highlight w:val="none"/>
              </w:rPr>
            </w:pPr>
          </w:p>
        </w:tc>
        <w:tc>
          <w:tcPr>
            <w:tcW w:w="3296" w:type="dxa"/>
            <w:tcBorders>
              <w:top w:val="single" w:color="auto" w:sz="4" w:space="0"/>
              <w:left w:val="single" w:color="auto" w:sz="4" w:space="0"/>
              <w:bottom w:val="single" w:color="auto" w:sz="4" w:space="0"/>
              <w:right w:val="single" w:color="auto" w:sz="4" w:space="0"/>
            </w:tcBorders>
          </w:tcPr>
          <w:p w14:paraId="6D55D883">
            <w:pPr>
              <w:spacing w:before="165" w:beforeLines="50" w:after="165" w:afterLines="50" w:line="400" w:lineRule="exact"/>
              <w:jc w:val="center"/>
              <w:rPr>
                <w:rFonts w:hint="eastAsia" w:ascii="宋体" w:hAnsi="宋体" w:eastAsia="宋体" w:cs="宋体"/>
                <w:color w:val="auto"/>
                <w:sz w:val="24"/>
                <w:highlight w:val="none"/>
              </w:rPr>
            </w:pPr>
          </w:p>
        </w:tc>
        <w:tc>
          <w:tcPr>
            <w:tcW w:w="1844" w:type="dxa"/>
            <w:tcBorders>
              <w:top w:val="single" w:color="auto" w:sz="4" w:space="0"/>
              <w:left w:val="single" w:color="auto" w:sz="4" w:space="0"/>
              <w:bottom w:val="single" w:color="auto" w:sz="4" w:space="0"/>
              <w:right w:val="single" w:color="auto" w:sz="4" w:space="0"/>
            </w:tcBorders>
          </w:tcPr>
          <w:p w14:paraId="77A4B002">
            <w:pPr>
              <w:spacing w:before="165" w:beforeLines="50" w:after="165" w:afterLines="50" w:line="400" w:lineRule="exact"/>
              <w:jc w:val="center"/>
              <w:rPr>
                <w:rFonts w:hint="eastAsia" w:ascii="宋体" w:hAnsi="宋体" w:eastAsia="宋体" w:cs="宋体"/>
                <w:color w:val="auto"/>
                <w:sz w:val="24"/>
                <w:highlight w:val="none"/>
              </w:rPr>
            </w:pPr>
          </w:p>
        </w:tc>
        <w:tc>
          <w:tcPr>
            <w:tcW w:w="2442" w:type="dxa"/>
            <w:tcBorders>
              <w:top w:val="single" w:color="auto" w:sz="4" w:space="0"/>
              <w:left w:val="single" w:color="auto" w:sz="4" w:space="0"/>
              <w:bottom w:val="single" w:color="auto" w:sz="4" w:space="0"/>
              <w:right w:val="single" w:color="auto" w:sz="4" w:space="0"/>
            </w:tcBorders>
          </w:tcPr>
          <w:p w14:paraId="3709E372">
            <w:pPr>
              <w:spacing w:before="165" w:beforeLines="50" w:after="165" w:afterLines="50" w:line="400" w:lineRule="exact"/>
              <w:jc w:val="center"/>
              <w:rPr>
                <w:rFonts w:hint="eastAsia" w:ascii="宋体" w:hAnsi="宋体" w:eastAsia="宋体" w:cs="宋体"/>
                <w:color w:val="auto"/>
                <w:sz w:val="24"/>
                <w:highlight w:val="none"/>
              </w:rPr>
            </w:pPr>
          </w:p>
        </w:tc>
      </w:tr>
      <w:tr w14:paraId="44DB7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exact"/>
          <w:jc w:val="center"/>
        </w:trPr>
        <w:tc>
          <w:tcPr>
            <w:tcW w:w="817" w:type="dxa"/>
            <w:tcBorders>
              <w:top w:val="single" w:color="auto" w:sz="4" w:space="0"/>
              <w:left w:val="single" w:color="auto" w:sz="4" w:space="0"/>
              <w:bottom w:val="single" w:color="auto" w:sz="4" w:space="0"/>
              <w:right w:val="single" w:color="auto" w:sz="4" w:space="0"/>
            </w:tcBorders>
          </w:tcPr>
          <w:p w14:paraId="62C2BCB7">
            <w:pPr>
              <w:spacing w:before="165" w:beforeLines="50" w:after="165" w:afterLines="50"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2246" w:type="dxa"/>
            <w:tcBorders>
              <w:top w:val="single" w:color="auto" w:sz="4" w:space="0"/>
              <w:left w:val="single" w:color="auto" w:sz="4" w:space="0"/>
              <w:bottom w:val="single" w:color="auto" w:sz="4" w:space="0"/>
              <w:right w:val="single" w:color="auto" w:sz="4" w:space="0"/>
            </w:tcBorders>
          </w:tcPr>
          <w:p w14:paraId="163EC3E0">
            <w:pPr>
              <w:spacing w:before="165" w:beforeLines="50" w:after="165" w:afterLines="50" w:line="400" w:lineRule="exact"/>
              <w:jc w:val="center"/>
              <w:rPr>
                <w:rFonts w:hint="eastAsia" w:ascii="宋体" w:hAnsi="宋体" w:eastAsia="宋体" w:cs="宋体"/>
                <w:color w:val="auto"/>
                <w:sz w:val="24"/>
                <w:highlight w:val="none"/>
              </w:rPr>
            </w:pPr>
          </w:p>
        </w:tc>
        <w:tc>
          <w:tcPr>
            <w:tcW w:w="3648" w:type="dxa"/>
            <w:tcBorders>
              <w:top w:val="single" w:color="auto" w:sz="4" w:space="0"/>
              <w:left w:val="single" w:color="auto" w:sz="4" w:space="0"/>
              <w:bottom w:val="single" w:color="auto" w:sz="4" w:space="0"/>
              <w:right w:val="single" w:color="auto" w:sz="4" w:space="0"/>
            </w:tcBorders>
          </w:tcPr>
          <w:p w14:paraId="6FD9B4B6">
            <w:pPr>
              <w:spacing w:before="165" w:beforeLines="50" w:after="165" w:afterLines="50" w:line="400" w:lineRule="exact"/>
              <w:jc w:val="center"/>
              <w:rPr>
                <w:rFonts w:hint="eastAsia" w:ascii="宋体" w:hAnsi="宋体" w:eastAsia="宋体" w:cs="宋体"/>
                <w:color w:val="auto"/>
                <w:sz w:val="24"/>
                <w:highlight w:val="none"/>
              </w:rPr>
            </w:pPr>
          </w:p>
        </w:tc>
        <w:tc>
          <w:tcPr>
            <w:tcW w:w="3296" w:type="dxa"/>
            <w:tcBorders>
              <w:top w:val="single" w:color="auto" w:sz="4" w:space="0"/>
              <w:left w:val="single" w:color="auto" w:sz="4" w:space="0"/>
              <w:bottom w:val="single" w:color="auto" w:sz="4" w:space="0"/>
              <w:right w:val="single" w:color="auto" w:sz="4" w:space="0"/>
            </w:tcBorders>
          </w:tcPr>
          <w:p w14:paraId="7E3CA298">
            <w:pPr>
              <w:spacing w:before="165" w:beforeLines="50" w:after="165" w:afterLines="50" w:line="400" w:lineRule="exact"/>
              <w:jc w:val="center"/>
              <w:rPr>
                <w:rFonts w:hint="eastAsia" w:ascii="宋体" w:hAnsi="宋体" w:eastAsia="宋体" w:cs="宋体"/>
                <w:color w:val="auto"/>
                <w:sz w:val="24"/>
                <w:highlight w:val="none"/>
              </w:rPr>
            </w:pPr>
          </w:p>
        </w:tc>
        <w:tc>
          <w:tcPr>
            <w:tcW w:w="1844" w:type="dxa"/>
            <w:tcBorders>
              <w:top w:val="single" w:color="auto" w:sz="4" w:space="0"/>
              <w:left w:val="single" w:color="auto" w:sz="4" w:space="0"/>
              <w:bottom w:val="single" w:color="auto" w:sz="4" w:space="0"/>
              <w:right w:val="single" w:color="auto" w:sz="4" w:space="0"/>
            </w:tcBorders>
          </w:tcPr>
          <w:p w14:paraId="164ECE1B">
            <w:pPr>
              <w:spacing w:before="165" w:beforeLines="50" w:after="165" w:afterLines="50" w:line="400" w:lineRule="exact"/>
              <w:jc w:val="center"/>
              <w:rPr>
                <w:rFonts w:hint="eastAsia" w:ascii="宋体" w:hAnsi="宋体" w:eastAsia="宋体" w:cs="宋体"/>
                <w:color w:val="auto"/>
                <w:sz w:val="24"/>
                <w:highlight w:val="none"/>
              </w:rPr>
            </w:pPr>
          </w:p>
        </w:tc>
        <w:tc>
          <w:tcPr>
            <w:tcW w:w="2442" w:type="dxa"/>
            <w:tcBorders>
              <w:top w:val="single" w:color="auto" w:sz="4" w:space="0"/>
              <w:left w:val="single" w:color="auto" w:sz="4" w:space="0"/>
              <w:bottom w:val="single" w:color="auto" w:sz="4" w:space="0"/>
              <w:right w:val="single" w:color="auto" w:sz="4" w:space="0"/>
            </w:tcBorders>
          </w:tcPr>
          <w:p w14:paraId="57DFE25A">
            <w:pPr>
              <w:spacing w:before="165" w:beforeLines="50" w:after="165" w:afterLines="50" w:line="400" w:lineRule="exact"/>
              <w:jc w:val="center"/>
              <w:rPr>
                <w:rFonts w:hint="eastAsia" w:ascii="宋体" w:hAnsi="宋体" w:eastAsia="宋体" w:cs="宋体"/>
                <w:color w:val="auto"/>
                <w:sz w:val="24"/>
                <w:highlight w:val="none"/>
              </w:rPr>
            </w:pPr>
          </w:p>
        </w:tc>
      </w:tr>
      <w:tr w14:paraId="14189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exact"/>
          <w:jc w:val="center"/>
        </w:trPr>
        <w:tc>
          <w:tcPr>
            <w:tcW w:w="817" w:type="dxa"/>
            <w:tcBorders>
              <w:top w:val="single" w:color="auto" w:sz="4" w:space="0"/>
              <w:left w:val="single" w:color="auto" w:sz="4" w:space="0"/>
              <w:bottom w:val="single" w:color="auto" w:sz="4" w:space="0"/>
              <w:right w:val="single" w:color="auto" w:sz="4" w:space="0"/>
            </w:tcBorders>
          </w:tcPr>
          <w:p w14:paraId="3AEE75D9">
            <w:pPr>
              <w:spacing w:before="165" w:beforeLines="50" w:after="165" w:afterLines="50"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tc>
        <w:tc>
          <w:tcPr>
            <w:tcW w:w="2246" w:type="dxa"/>
            <w:tcBorders>
              <w:top w:val="single" w:color="auto" w:sz="4" w:space="0"/>
              <w:left w:val="single" w:color="auto" w:sz="4" w:space="0"/>
              <w:bottom w:val="single" w:color="auto" w:sz="4" w:space="0"/>
              <w:right w:val="single" w:color="auto" w:sz="4" w:space="0"/>
            </w:tcBorders>
          </w:tcPr>
          <w:p w14:paraId="641B00F5">
            <w:pPr>
              <w:spacing w:before="165" w:beforeLines="50" w:after="165" w:afterLines="50" w:line="400" w:lineRule="exact"/>
              <w:jc w:val="center"/>
              <w:rPr>
                <w:rFonts w:hint="eastAsia" w:ascii="宋体" w:hAnsi="宋体" w:eastAsia="宋体" w:cs="宋体"/>
                <w:color w:val="auto"/>
                <w:sz w:val="24"/>
                <w:highlight w:val="none"/>
              </w:rPr>
            </w:pPr>
          </w:p>
        </w:tc>
        <w:tc>
          <w:tcPr>
            <w:tcW w:w="3648" w:type="dxa"/>
            <w:tcBorders>
              <w:top w:val="single" w:color="auto" w:sz="4" w:space="0"/>
              <w:left w:val="single" w:color="auto" w:sz="4" w:space="0"/>
              <w:bottom w:val="single" w:color="auto" w:sz="4" w:space="0"/>
              <w:right w:val="single" w:color="auto" w:sz="4" w:space="0"/>
            </w:tcBorders>
          </w:tcPr>
          <w:p w14:paraId="2D4CD030">
            <w:pPr>
              <w:spacing w:before="165" w:beforeLines="50" w:after="165" w:afterLines="50" w:line="400" w:lineRule="exact"/>
              <w:jc w:val="center"/>
              <w:rPr>
                <w:rFonts w:hint="eastAsia" w:ascii="宋体" w:hAnsi="宋体" w:eastAsia="宋体" w:cs="宋体"/>
                <w:color w:val="auto"/>
                <w:sz w:val="24"/>
                <w:highlight w:val="none"/>
              </w:rPr>
            </w:pPr>
          </w:p>
        </w:tc>
        <w:tc>
          <w:tcPr>
            <w:tcW w:w="3296" w:type="dxa"/>
            <w:tcBorders>
              <w:top w:val="single" w:color="auto" w:sz="4" w:space="0"/>
              <w:left w:val="single" w:color="auto" w:sz="4" w:space="0"/>
              <w:bottom w:val="single" w:color="auto" w:sz="4" w:space="0"/>
              <w:right w:val="single" w:color="auto" w:sz="4" w:space="0"/>
            </w:tcBorders>
          </w:tcPr>
          <w:p w14:paraId="37C4D345">
            <w:pPr>
              <w:spacing w:before="165" w:beforeLines="50" w:after="165" w:afterLines="50" w:line="400" w:lineRule="exact"/>
              <w:jc w:val="center"/>
              <w:rPr>
                <w:rFonts w:hint="eastAsia" w:ascii="宋体" w:hAnsi="宋体" w:eastAsia="宋体" w:cs="宋体"/>
                <w:color w:val="auto"/>
                <w:sz w:val="24"/>
                <w:highlight w:val="none"/>
              </w:rPr>
            </w:pPr>
          </w:p>
        </w:tc>
        <w:tc>
          <w:tcPr>
            <w:tcW w:w="1844" w:type="dxa"/>
            <w:tcBorders>
              <w:top w:val="single" w:color="auto" w:sz="4" w:space="0"/>
              <w:left w:val="single" w:color="auto" w:sz="4" w:space="0"/>
              <w:bottom w:val="single" w:color="auto" w:sz="4" w:space="0"/>
              <w:right w:val="single" w:color="auto" w:sz="4" w:space="0"/>
            </w:tcBorders>
          </w:tcPr>
          <w:p w14:paraId="5DE7125F">
            <w:pPr>
              <w:spacing w:before="165" w:beforeLines="50" w:after="165" w:afterLines="50" w:line="400" w:lineRule="exact"/>
              <w:jc w:val="center"/>
              <w:rPr>
                <w:rFonts w:hint="eastAsia" w:ascii="宋体" w:hAnsi="宋体" w:eastAsia="宋体" w:cs="宋体"/>
                <w:color w:val="auto"/>
                <w:sz w:val="24"/>
                <w:highlight w:val="none"/>
              </w:rPr>
            </w:pPr>
          </w:p>
        </w:tc>
        <w:tc>
          <w:tcPr>
            <w:tcW w:w="2442" w:type="dxa"/>
            <w:tcBorders>
              <w:top w:val="single" w:color="auto" w:sz="4" w:space="0"/>
              <w:left w:val="single" w:color="auto" w:sz="4" w:space="0"/>
              <w:bottom w:val="single" w:color="auto" w:sz="4" w:space="0"/>
              <w:right w:val="single" w:color="auto" w:sz="4" w:space="0"/>
            </w:tcBorders>
          </w:tcPr>
          <w:p w14:paraId="67D95A1F">
            <w:pPr>
              <w:spacing w:before="165" w:beforeLines="50" w:after="165" w:afterLines="50" w:line="400" w:lineRule="exact"/>
              <w:jc w:val="center"/>
              <w:rPr>
                <w:rFonts w:hint="eastAsia" w:ascii="宋体" w:hAnsi="宋体" w:eastAsia="宋体" w:cs="宋体"/>
                <w:color w:val="auto"/>
                <w:sz w:val="24"/>
                <w:highlight w:val="none"/>
              </w:rPr>
            </w:pPr>
          </w:p>
        </w:tc>
      </w:tr>
    </w:tbl>
    <w:p w14:paraId="0BA09B7E">
      <w:pPr>
        <w:pStyle w:val="21"/>
        <w:spacing w:before="165" w:beforeLines="50"/>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w:t>
      </w:r>
    </w:p>
    <w:p w14:paraId="7FB4F4F5">
      <w:pPr>
        <w:pStyle w:val="21"/>
        <w:spacing w:before="165" w:beforeLines="50"/>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rPr>
        <w:t>表格中“偏离”一列，投标人只能如实填写“正偏离</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负偏离”或“无偏离”。凡投标内容高于招标文件要求的，按“正偏离”填写；低于招标文件要求的，按“负偏离”填写；满足招标文件要求的，按“无偏离”填写。并在“</w:t>
      </w:r>
      <w:r>
        <w:rPr>
          <w:rFonts w:hint="eastAsia" w:ascii="宋体" w:hAnsi="宋体" w:eastAsia="宋体" w:cs="宋体"/>
          <w:b/>
          <w:color w:val="auto"/>
          <w:szCs w:val="21"/>
          <w:highlight w:val="none"/>
        </w:rPr>
        <w:t>投标</w:t>
      </w:r>
      <w:r>
        <w:rPr>
          <w:rFonts w:hint="eastAsia" w:hAnsi="宋体" w:cs="宋体"/>
          <w:b/>
          <w:color w:val="auto"/>
          <w:szCs w:val="21"/>
          <w:highlight w:val="none"/>
          <w:lang w:val="en-US" w:eastAsia="zh-CN"/>
        </w:rPr>
        <w:t>响应情况</w:t>
      </w:r>
      <w:r>
        <w:rPr>
          <w:rFonts w:hint="eastAsia" w:ascii="宋体" w:hAnsi="宋体" w:eastAsia="宋体" w:cs="宋体"/>
          <w:b/>
          <w:color w:val="auto"/>
          <w:szCs w:val="21"/>
          <w:highlight w:val="none"/>
        </w:rPr>
        <w:t>”</w:t>
      </w:r>
      <w:r>
        <w:rPr>
          <w:rFonts w:hint="eastAsia" w:ascii="宋体" w:hAnsi="宋体" w:eastAsia="宋体" w:cs="宋体"/>
          <w:color w:val="auto"/>
          <w:szCs w:val="21"/>
          <w:highlight w:val="none"/>
        </w:rPr>
        <w:t>一列中写明投标具体技术响应情况。</w:t>
      </w:r>
    </w:p>
    <w:p w14:paraId="190D9CC2">
      <w:pPr>
        <w:pStyle w:val="21"/>
        <w:ind w:firstLine="420" w:firstLineChars="200"/>
        <w:rPr>
          <w:rFonts w:hint="eastAsia" w:ascii="宋体" w:hAnsi="宋体" w:eastAsia="宋体" w:cs="宋体"/>
          <w:b/>
          <w:bCs/>
          <w:color w:val="auto"/>
          <w:szCs w:val="21"/>
          <w:highlight w:val="none"/>
        </w:rPr>
      </w:pPr>
      <w:r>
        <w:rPr>
          <w:rFonts w:hint="eastAsia" w:ascii="宋体" w:hAnsi="宋体" w:eastAsia="宋体" w:cs="宋体"/>
          <w:bCs/>
          <w:color w:val="auto"/>
          <w:szCs w:val="21"/>
          <w:highlight w:val="none"/>
          <w:lang w:eastAsia="zh-CN"/>
        </w:rPr>
        <w:t>2.</w:t>
      </w:r>
      <w:r>
        <w:rPr>
          <w:rFonts w:hint="eastAsia" w:ascii="宋体" w:hAnsi="宋体" w:eastAsia="宋体" w:cs="宋体"/>
          <w:bCs/>
          <w:color w:val="auto"/>
          <w:szCs w:val="21"/>
          <w:highlight w:val="none"/>
        </w:rPr>
        <w:t>各</w:t>
      </w:r>
      <w:r>
        <w:rPr>
          <w:rFonts w:hint="eastAsia" w:ascii="宋体" w:hAnsi="宋体" w:eastAsia="宋体" w:cs="宋体"/>
          <w:color w:val="auto"/>
          <w:szCs w:val="21"/>
          <w:highlight w:val="none"/>
        </w:rPr>
        <w:t>投标人</w:t>
      </w:r>
      <w:r>
        <w:rPr>
          <w:rFonts w:hint="eastAsia" w:ascii="宋体" w:hAnsi="宋体" w:eastAsia="宋体" w:cs="宋体"/>
          <w:bCs/>
          <w:color w:val="auto"/>
          <w:szCs w:val="21"/>
          <w:highlight w:val="none"/>
        </w:rPr>
        <w:t>必须对</w:t>
      </w:r>
      <w:r>
        <w:rPr>
          <w:rFonts w:hint="eastAsia" w:ascii="宋体" w:hAnsi="宋体" w:eastAsia="宋体" w:cs="宋体"/>
          <w:color w:val="auto"/>
          <w:szCs w:val="21"/>
          <w:highlight w:val="none"/>
        </w:rPr>
        <w:t>招标文件</w:t>
      </w:r>
      <w:r>
        <w:rPr>
          <w:rFonts w:hint="eastAsia" w:ascii="宋体" w:hAnsi="宋体" w:eastAsia="宋体" w:cs="宋体"/>
          <w:bCs/>
          <w:color w:val="auto"/>
          <w:szCs w:val="21"/>
          <w:highlight w:val="none"/>
        </w:rPr>
        <w:t>第五章中的技术要求作出全面、真实的反映，投标人除如实填写</w:t>
      </w:r>
      <w:r>
        <w:rPr>
          <w:rFonts w:hint="eastAsia" w:hAnsi="宋体" w:cs="宋体"/>
          <w:bCs/>
          <w:color w:val="auto"/>
          <w:szCs w:val="21"/>
          <w:highlight w:val="none"/>
          <w:lang w:eastAsia="zh-CN"/>
        </w:rPr>
        <w:t>技术响应偏离表</w:t>
      </w:r>
      <w:r>
        <w:rPr>
          <w:rFonts w:hint="eastAsia" w:ascii="宋体" w:hAnsi="宋体" w:eastAsia="宋体" w:cs="宋体"/>
          <w:bCs/>
          <w:color w:val="auto"/>
          <w:szCs w:val="21"/>
          <w:highlight w:val="none"/>
        </w:rPr>
        <w:t>外，投标文件中须提供最新技术支持资料支持参</w:t>
      </w:r>
      <w:r>
        <w:rPr>
          <w:rFonts w:hint="eastAsia" w:ascii="宋体" w:hAnsi="宋体" w:eastAsia="宋体" w:cs="宋体"/>
          <w:bCs/>
          <w:color w:val="auto"/>
          <w:szCs w:val="21"/>
          <w:highlight w:val="none"/>
          <w:lang w:eastAsia="zh-CN"/>
        </w:rPr>
        <w:t>数和</w:t>
      </w:r>
      <w:r>
        <w:rPr>
          <w:rFonts w:hint="eastAsia" w:hAnsi="宋体" w:cs="宋体"/>
          <w:bCs/>
          <w:color w:val="auto"/>
          <w:szCs w:val="21"/>
          <w:highlight w:val="none"/>
          <w:lang w:eastAsia="zh-CN"/>
        </w:rPr>
        <w:t>技术响应偏离表</w:t>
      </w:r>
      <w:r>
        <w:rPr>
          <w:rFonts w:hint="eastAsia" w:ascii="宋体" w:hAnsi="宋体" w:eastAsia="宋体" w:cs="宋体"/>
          <w:bCs/>
          <w:color w:val="auto"/>
          <w:szCs w:val="21"/>
          <w:highlight w:val="none"/>
        </w:rPr>
        <w:t>应答（技术支持资料以制造商公开发布的原版印刷资料或检测机构出具的检测报告等为准。若制造商公开发布的印刷资料与检测机构出具的检测报告不一致，以检测机构出具的检测报告为准）。不接受非生产厂家投标人自行印刷、打印或者手写的技术支持资料。</w:t>
      </w:r>
    </w:p>
    <w:p w14:paraId="1672D6EE">
      <w:pPr>
        <w:pStyle w:val="21"/>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3.投标人应将支持该项技术要求响应的技术支持资料在投标文件中的索引（页码及条目号等）标注在“技术支持资料索引”一栏中。</w:t>
      </w:r>
    </w:p>
    <w:p w14:paraId="30C3FFCB">
      <w:pP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投 标 人</w:t>
      </w:r>
      <w:r>
        <w:rPr>
          <w:rFonts w:hint="eastAsia" w:ascii="宋体" w:hAnsi="宋体" w:eastAsia="宋体" w:cs="宋体"/>
          <w:color w:val="auto"/>
          <w:highlight w:val="none"/>
          <w:lang w:eastAsia="zh-CN"/>
        </w:rPr>
        <w:t>：</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（电子签章）</w:t>
      </w:r>
    </w:p>
    <w:p w14:paraId="479DA81B">
      <w:pP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法定代表人或其委托代理人</w:t>
      </w:r>
      <w:r>
        <w:rPr>
          <w:rFonts w:hint="eastAsia" w:ascii="宋体" w:hAnsi="宋体" w:eastAsia="宋体" w:cs="宋体"/>
          <w:color w:val="auto"/>
          <w:highlight w:val="none"/>
          <w:lang w:eastAsia="zh-CN"/>
        </w:rPr>
        <w:t>：</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（电子签章）</w:t>
      </w:r>
    </w:p>
    <w:p w14:paraId="2DA029EC">
      <w:pP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日期</w:t>
      </w:r>
      <w:r>
        <w:rPr>
          <w:rFonts w:hint="eastAsia" w:ascii="宋体" w:hAnsi="宋体" w:eastAsia="宋体" w:cs="宋体"/>
          <w:color w:val="auto"/>
          <w:highlight w:val="none"/>
          <w:lang w:eastAsia="zh-CN"/>
        </w:rPr>
        <w:t>：</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00AEC7BB">
      <w:pPr>
        <w:shd w:val="clear" w:color="auto" w:fill="FFFFFF"/>
        <w:spacing w:line="480" w:lineRule="auto"/>
        <w:ind w:firstLine="629"/>
        <w:rPr>
          <w:rFonts w:hint="eastAsia" w:ascii="宋体" w:hAnsi="宋体" w:eastAsia="宋体" w:cs="宋体"/>
          <w:color w:val="auto"/>
          <w:sz w:val="24"/>
          <w:highlight w:val="none"/>
        </w:rPr>
      </w:pPr>
    </w:p>
    <w:p w14:paraId="37C3E722">
      <w:pPr>
        <w:pStyle w:val="3"/>
        <w:numPr>
          <w:ilvl w:val="0"/>
          <w:numId w:val="0"/>
        </w:numPr>
        <w:tabs>
          <w:tab w:val="clear" w:pos="360"/>
        </w:tabs>
        <w:spacing w:before="0"/>
        <w:jc w:val="center"/>
        <w:rPr>
          <w:rFonts w:hint="eastAsia" w:ascii="宋体" w:hAnsi="宋体" w:eastAsia="宋体" w:cs="宋体"/>
          <w:color w:val="auto"/>
          <w:szCs w:val="28"/>
          <w:highlight w:val="none"/>
        </w:rPr>
        <w:sectPr>
          <w:pgSz w:w="16838" w:h="11906" w:orient="landscape"/>
          <w:pgMar w:top="1418" w:right="1418" w:bottom="1134" w:left="1134" w:header="936" w:footer="720" w:gutter="0"/>
          <w:pgBorders>
            <w:top w:val="none" w:sz="0" w:space="0"/>
            <w:left w:val="none" w:sz="0" w:space="0"/>
            <w:bottom w:val="none" w:sz="0" w:space="0"/>
            <w:right w:val="none" w:sz="0" w:space="0"/>
          </w:pgBorders>
          <w:cols w:space="720" w:num="1"/>
          <w:docGrid w:type="lines" w:linePitch="331" w:charSpace="0"/>
        </w:sectPr>
      </w:pPr>
    </w:p>
    <w:p w14:paraId="29E0C363">
      <w:pPr>
        <w:bidi w:val="0"/>
        <w:rPr>
          <w:rFonts w:hint="eastAsia"/>
          <w:highlight w:val="none"/>
          <w:lang w:val="en-US" w:eastAsia="zh-CN"/>
        </w:rPr>
      </w:pPr>
      <w:bookmarkStart w:id="174" w:name="_Toc21579"/>
    </w:p>
    <w:p w14:paraId="06DA08EF">
      <w:pPr>
        <w:bidi w:val="0"/>
        <w:jc w:val="center"/>
        <w:rPr>
          <w:rFonts w:hint="eastAsia" w:ascii="宋体" w:hAnsi="宋体" w:eastAsia="宋体" w:cs="宋体"/>
          <w:b/>
          <w:bCs/>
          <w:color w:val="auto"/>
          <w:kern w:val="0"/>
          <w:sz w:val="30"/>
          <w:szCs w:val="30"/>
          <w:highlight w:val="none"/>
          <w:lang w:val="en-US" w:eastAsia="zh-CN" w:bidi="ar-SA"/>
        </w:rPr>
      </w:pPr>
      <w:r>
        <w:rPr>
          <w:rFonts w:hint="eastAsia" w:ascii="宋体" w:hAnsi="宋体" w:eastAsia="宋体" w:cs="宋体"/>
          <w:b/>
          <w:bCs/>
          <w:color w:val="auto"/>
          <w:sz w:val="28"/>
          <w:szCs w:val="28"/>
          <w:highlight w:val="none"/>
          <w:lang w:val="en-US" w:eastAsia="zh-CN"/>
        </w:rPr>
        <w:t>投标产品的技术支持资料</w:t>
      </w:r>
    </w:p>
    <w:p w14:paraId="7E7A72D1">
      <w:pPr>
        <w:pStyle w:val="21"/>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包括但不限于以下内容：</w:t>
      </w:r>
    </w:p>
    <w:p w14:paraId="5B81EB07">
      <w:pPr>
        <w:pStyle w:val="21"/>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bCs/>
          <w:color w:val="auto"/>
          <w:sz w:val="24"/>
          <w:szCs w:val="24"/>
          <w:highlight w:val="none"/>
        </w:rPr>
        <w:t>投标产品技术白皮书或检测报告或图纸或印刷宣传彩页或性能参数说明</w:t>
      </w:r>
      <w:r>
        <w:rPr>
          <w:rFonts w:hint="eastAsia" w:ascii="宋体" w:hAnsi="宋体" w:eastAsia="宋体" w:cs="宋体"/>
          <w:bCs/>
          <w:color w:val="auto"/>
          <w:sz w:val="24"/>
          <w:szCs w:val="24"/>
          <w:highlight w:val="none"/>
          <w:lang w:val="en-US" w:eastAsia="zh-CN"/>
        </w:rPr>
        <w:t>的</w:t>
      </w:r>
      <w:r>
        <w:rPr>
          <w:rFonts w:hint="eastAsia" w:ascii="宋体" w:hAnsi="宋体" w:eastAsia="宋体" w:cs="宋体"/>
          <w:b/>
          <w:bCs w:val="0"/>
          <w:color w:val="auto"/>
          <w:sz w:val="24"/>
          <w:szCs w:val="24"/>
          <w:highlight w:val="none"/>
          <w:lang w:val="en-US" w:eastAsia="zh-CN"/>
        </w:rPr>
        <w:t>关键页面</w:t>
      </w:r>
      <w:r>
        <w:rPr>
          <w:rFonts w:hint="eastAsia" w:ascii="宋体" w:hAnsi="宋体" w:eastAsia="宋体" w:cs="宋体"/>
          <w:bCs/>
          <w:color w:val="auto"/>
          <w:sz w:val="24"/>
          <w:szCs w:val="24"/>
          <w:highlight w:val="none"/>
          <w:lang w:val="en-US" w:eastAsia="zh-CN"/>
        </w:rPr>
        <w:t>（如签字盖章页、关键信息页、日期、编号信息页等）</w:t>
      </w:r>
      <w:r>
        <w:rPr>
          <w:rFonts w:hint="eastAsia" w:ascii="宋体" w:hAnsi="宋体" w:eastAsia="宋体" w:cs="宋体"/>
          <w:color w:val="auto"/>
          <w:sz w:val="24"/>
          <w:szCs w:val="24"/>
          <w:highlight w:val="none"/>
          <w:lang w:eastAsia="zh-CN"/>
        </w:rPr>
        <w:t>。</w:t>
      </w:r>
    </w:p>
    <w:p w14:paraId="470B0382">
      <w:pPr>
        <w:pStyle w:val="21"/>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2.投标产品主要技术指标、参数及性能的详细说明；原材料选择、设计（使用）寿命；外购/外协件制造厂、产地</w:t>
      </w:r>
      <w:r>
        <w:rPr>
          <w:rFonts w:hint="eastAsia" w:ascii="宋体" w:hAnsi="宋体" w:eastAsia="宋体" w:cs="宋体"/>
          <w:color w:val="auto"/>
          <w:sz w:val="24"/>
          <w:szCs w:val="24"/>
          <w:highlight w:val="none"/>
          <w:lang w:eastAsia="zh-CN"/>
        </w:rPr>
        <w:t>。</w:t>
      </w:r>
    </w:p>
    <w:p w14:paraId="08D1B729">
      <w:pPr>
        <w:pStyle w:val="21"/>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3.投标产品设计、制造、检验（测）、试验、验收、包装、运输、储存及试车等拟采用的标准、规范和方式；产品相关鉴定资料、试验报告、检验报告等</w:t>
      </w:r>
      <w:r>
        <w:rPr>
          <w:rFonts w:hint="eastAsia" w:ascii="宋体" w:hAnsi="宋体" w:eastAsia="宋体" w:cs="宋体"/>
          <w:color w:val="auto"/>
          <w:sz w:val="24"/>
          <w:szCs w:val="24"/>
          <w:highlight w:val="none"/>
          <w:lang w:eastAsia="zh-CN"/>
        </w:rPr>
        <w:t>。</w:t>
      </w:r>
    </w:p>
    <w:p w14:paraId="3399C7F2">
      <w:pPr>
        <w:pStyle w:val="21"/>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w:t>
      </w:r>
    </w:p>
    <w:p w14:paraId="014D7CD3">
      <w:pPr>
        <w:rPr>
          <w:rFonts w:hint="eastAsia" w:ascii="宋体" w:hAnsi="宋体" w:eastAsia="宋体" w:cs="宋体"/>
          <w:color w:val="auto"/>
          <w:highlight w:val="none"/>
        </w:rPr>
      </w:pPr>
    </w:p>
    <w:p w14:paraId="58CFA7E5">
      <w:pPr>
        <w:rPr>
          <w:rFonts w:hint="eastAsia" w:ascii="宋体" w:hAnsi="宋体" w:eastAsia="宋体" w:cs="宋体"/>
          <w:color w:val="auto"/>
          <w:szCs w:val="28"/>
          <w:highlight w:val="none"/>
        </w:rPr>
      </w:pPr>
      <w:r>
        <w:rPr>
          <w:rFonts w:hint="eastAsia" w:ascii="宋体" w:hAnsi="宋体" w:eastAsia="宋体" w:cs="宋体"/>
          <w:color w:val="auto"/>
          <w:szCs w:val="28"/>
          <w:highlight w:val="none"/>
        </w:rPr>
        <w:br w:type="page"/>
      </w:r>
    </w:p>
    <w:p w14:paraId="33985F8D">
      <w:pPr>
        <w:bidi w:val="0"/>
        <w:rPr>
          <w:rFonts w:hint="eastAsia"/>
          <w:highlight w:val="none"/>
        </w:rPr>
      </w:pPr>
      <w:bookmarkStart w:id="175" w:name="_Toc21153"/>
    </w:p>
    <w:p w14:paraId="32BE2F31">
      <w:pPr>
        <w:pStyle w:val="3"/>
        <w:numPr>
          <w:ilvl w:val="0"/>
          <w:numId w:val="0"/>
        </w:numPr>
        <w:tabs>
          <w:tab w:val="clear" w:pos="360"/>
        </w:tabs>
        <w:spacing w:before="0"/>
        <w:jc w:val="center"/>
        <w:rPr>
          <w:rFonts w:hint="eastAsia" w:ascii="宋体" w:hAnsi="宋体" w:eastAsia="宋体" w:cs="宋体"/>
          <w:color w:val="auto"/>
          <w:szCs w:val="28"/>
          <w:highlight w:val="none"/>
        </w:rPr>
      </w:pPr>
      <w:bookmarkStart w:id="176" w:name="_Toc26181"/>
      <w:r>
        <w:rPr>
          <w:rFonts w:hint="eastAsia" w:ascii="宋体" w:hAnsi="宋体" w:eastAsia="宋体" w:cs="宋体"/>
          <w:color w:val="auto"/>
          <w:szCs w:val="28"/>
          <w:highlight w:val="none"/>
        </w:rPr>
        <w:t>格式</w:t>
      </w:r>
      <w:r>
        <w:rPr>
          <w:rFonts w:hint="eastAsia" w:ascii="宋体" w:hAnsi="宋体" w:eastAsia="宋体" w:cs="宋体"/>
          <w:color w:val="auto"/>
          <w:szCs w:val="28"/>
          <w:highlight w:val="none"/>
          <w:lang w:val="en-US" w:eastAsia="zh-CN"/>
        </w:rPr>
        <w:t>3</w:t>
      </w:r>
      <w:r>
        <w:rPr>
          <w:rFonts w:hint="eastAsia" w:ascii="宋体" w:hAnsi="宋体" w:eastAsia="宋体" w:cs="宋体"/>
          <w:color w:val="auto"/>
          <w:szCs w:val="28"/>
          <w:highlight w:val="none"/>
        </w:rPr>
        <w:t>：</w:t>
      </w:r>
      <w:bookmarkEnd w:id="174"/>
      <w:r>
        <w:rPr>
          <w:rFonts w:hint="eastAsia" w:ascii="宋体" w:hAnsi="宋体" w:eastAsia="宋体" w:cs="宋体"/>
          <w:color w:val="auto"/>
          <w:szCs w:val="28"/>
          <w:highlight w:val="none"/>
        </w:rPr>
        <w:t>项目实施方案</w:t>
      </w:r>
      <w:bookmarkEnd w:id="175"/>
      <w:bookmarkEnd w:id="176"/>
    </w:p>
    <w:p w14:paraId="03AF8BD6">
      <w:pPr>
        <w:ind w:firstLine="655"/>
        <w:jc w:val="center"/>
        <w:rPr>
          <w:rFonts w:hint="eastAsia" w:ascii="宋体" w:hAnsi="宋体" w:eastAsia="宋体" w:cs="宋体"/>
          <w:color w:val="auto"/>
          <w:sz w:val="25"/>
          <w:highlight w:val="none"/>
        </w:rPr>
      </w:pPr>
    </w:p>
    <w:p w14:paraId="5A31AE46">
      <w:pPr>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结合采购需求及评审办法要求编制，格式自拟</w:t>
      </w:r>
      <w:r>
        <w:rPr>
          <w:rFonts w:hint="eastAsia" w:ascii="宋体" w:hAnsi="宋体" w:eastAsia="宋体" w:cs="宋体"/>
          <w:color w:val="auto"/>
          <w:sz w:val="24"/>
          <w:szCs w:val="24"/>
          <w:highlight w:val="none"/>
          <w:lang w:eastAsia="zh-CN"/>
        </w:rPr>
        <w:t>）</w:t>
      </w:r>
    </w:p>
    <w:p w14:paraId="0E811A7D">
      <w:pPr>
        <w:rPr>
          <w:rFonts w:hint="eastAsia" w:ascii="宋体" w:hAnsi="宋体" w:eastAsia="宋体" w:cs="宋体"/>
          <w:color w:val="auto"/>
          <w:highlight w:val="none"/>
        </w:rPr>
      </w:pPr>
    </w:p>
    <w:p w14:paraId="6D96345D">
      <w:pPr>
        <w:pStyle w:val="15"/>
        <w:ind w:firstLine="629"/>
        <w:rPr>
          <w:rFonts w:hint="eastAsia" w:ascii="宋体" w:hAnsi="宋体" w:eastAsia="宋体" w:cs="宋体"/>
          <w:color w:val="auto"/>
          <w:highlight w:val="none"/>
        </w:rPr>
      </w:pPr>
    </w:p>
    <w:p w14:paraId="272C3C80">
      <w:pPr>
        <w:rPr>
          <w:rFonts w:hint="eastAsia" w:ascii="宋体" w:hAnsi="宋体" w:eastAsia="宋体" w:cs="宋体"/>
          <w:color w:val="auto"/>
          <w:highlight w:val="none"/>
        </w:rPr>
      </w:pPr>
    </w:p>
    <w:p w14:paraId="112BA8F1">
      <w:pPr>
        <w:pStyle w:val="15"/>
        <w:ind w:firstLine="629"/>
        <w:rPr>
          <w:rFonts w:hint="eastAsia" w:ascii="宋体" w:hAnsi="宋体" w:eastAsia="宋体" w:cs="宋体"/>
          <w:color w:val="auto"/>
          <w:highlight w:val="none"/>
        </w:rPr>
      </w:pPr>
    </w:p>
    <w:p w14:paraId="2126D89E">
      <w:pPr>
        <w:rPr>
          <w:rFonts w:hint="eastAsia" w:ascii="宋体" w:hAnsi="宋体" w:eastAsia="宋体" w:cs="宋体"/>
          <w:color w:val="auto"/>
          <w:highlight w:val="none"/>
        </w:rPr>
      </w:pPr>
    </w:p>
    <w:p w14:paraId="6AF1E7ED">
      <w:pPr>
        <w:pStyle w:val="15"/>
        <w:ind w:firstLine="629"/>
        <w:rPr>
          <w:rFonts w:hint="eastAsia" w:ascii="宋体" w:hAnsi="宋体" w:eastAsia="宋体" w:cs="宋体"/>
          <w:color w:val="auto"/>
          <w:highlight w:val="none"/>
        </w:rPr>
      </w:pPr>
    </w:p>
    <w:p w14:paraId="706A8619">
      <w:pPr>
        <w:rPr>
          <w:rFonts w:hint="eastAsia" w:ascii="宋体" w:hAnsi="宋体" w:eastAsia="宋体" w:cs="宋体"/>
          <w:color w:val="auto"/>
          <w:highlight w:val="none"/>
        </w:rPr>
      </w:pPr>
    </w:p>
    <w:p w14:paraId="51915BFF">
      <w:pPr>
        <w:rPr>
          <w:rFonts w:hint="eastAsia" w:ascii="宋体" w:hAnsi="宋体" w:eastAsia="宋体" w:cs="宋体"/>
          <w:color w:val="auto"/>
          <w:highlight w:val="none"/>
        </w:rPr>
      </w:pPr>
    </w:p>
    <w:p w14:paraId="2F9F7FF8">
      <w:pPr>
        <w:rPr>
          <w:rFonts w:hint="eastAsia" w:ascii="宋体" w:hAnsi="宋体" w:eastAsia="宋体" w:cs="宋体"/>
          <w:color w:val="auto"/>
          <w:highlight w:val="none"/>
        </w:rPr>
      </w:pPr>
    </w:p>
    <w:p w14:paraId="4919113B">
      <w:pPr>
        <w:rPr>
          <w:rFonts w:hint="eastAsia" w:ascii="宋体" w:hAnsi="宋体" w:eastAsia="宋体" w:cs="宋体"/>
          <w:color w:val="auto"/>
          <w:highlight w:val="none"/>
        </w:rPr>
      </w:pPr>
    </w:p>
    <w:p w14:paraId="748A0FC3">
      <w:pPr>
        <w:rPr>
          <w:rFonts w:hint="eastAsia" w:ascii="宋体" w:hAnsi="宋体" w:eastAsia="宋体" w:cs="宋体"/>
          <w:color w:val="auto"/>
          <w:highlight w:val="none"/>
        </w:rPr>
      </w:pPr>
    </w:p>
    <w:p w14:paraId="33846541">
      <w:pPr>
        <w:rPr>
          <w:rFonts w:hint="eastAsia" w:ascii="宋体" w:hAnsi="宋体" w:eastAsia="宋体" w:cs="宋体"/>
          <w:color w:val="auto"/>
          <w:highlight w:val="none"/>
        </w:rPr>
      </w:pPr>
    </w:p>
    <w:p w14:paraId="2766F803">
      <w:pPr>
        <w:rPr>
          <w:rFonts w:hint="eastAsia" w:ascii="宋体" w:hAnsi="宋体" w:eastAsia="宋体" w:cs="宋体"/>
          <w:color w:val="auto"/>
          <w:highlight w:val="none"/>
        </w:rPr>
      </w:pPr>
    </w:p>
    <w:p w14:paraId="4FE4782C">
      <w:pPr>
        <w:rPr>
          <w:rFonts w:hint="eastAsia" w:ascii="宋体" w:hAnsi="宋体" w:eastAsia="宋体" w:cs="宋体"/>
          <w:color w:val="auto"/>
          <w:highlight w:val="none"/>
        </w:rPr>
      </w:pPr>
    </w:p>
    <w:p w14:paraId="62FE20EF">
      <w:pPr>
        <w:rPr>
          <w:rFonts w:hint="eastAsia" w:ascii="宋体" w:hAnsi="宋体" w:eastAsia="宋体" w:cs="宋体"/>
          <w:color w:val="auto"/>
          <w:highlight w:val="none"/>
        </w:rPr>
      </w:pPr>
    </w:p>
    <w:p w14:paraId="77748D59">
      <w:pPr>
        <w:rPr>
          <w:rFonts w:hint="eastAsia" w:ascii="宋体" w:hAnsi="宋体" w:eastAsia="宋体" w:cs="宋体"/>
          <w:color w:val="auto"/>
          <w:highlight w:val="none"/>
        </w:rPr>
      </w:pPr>
    </w:p>
    <w:p w14:paraId="237C44BC">
      <w:pPr>
        <w:rPr>
          <w:rFonts w:hint="eastAsia" w:ascii="宋体" w:hAnsi="宋体" w:eastAsia="宋体" w:cs="宋体"/>
          <w:color w:val="auto"/>
          <w:highlight w:val="none"/>
        </w:rPr>
      </w:pPr>
    </w:p>
    <w:p w14:paraId="62705D2E">
      <w:pPr>
        <w:rPr>
          <w:rFonts w:hint="eastAsia" w:ascii="宋体" w:hAnsi="宋体" w:eastAsia="宋体" w:cs="宋体"/>
          <w:color w:val="auto"/>
          <w:highlight w:val="none"/>
        </w:rPr>
      </w:pPr>
    </w:p>
    <w:p w14:paraId="126E819E">
      <w:pPr>
        <w:rPr>
          <w:rFonts w:hint="eastAsia" w:ascii="宋体" w:hAnsi="宋体" w:eastAsia="宋体" w:cs="宋体"/>
          <w:color w:val="auto"/>
          <w:highlight w:val="none"/>
        </w:rPr>
      </w:pPr>
    </w:p>
    <w:p w14:paraId="0FEC9195">
      <w:pPr>
        <w:rPr>
          <w:rFonts w:hint="eastAsia" w:ascii="宋体" w:hAnsi="宋体" w:eastAsia="宋体" w:cs="宋体"/>
          <w:color w:val="auto"/>
          <w:highlight w:val="none"/>
        </w:rPr>
      </w:pPr>
    </w:p>
    <w:p w14:paraId="24EFADCA">
      <w:pPr>
        <w:rPr>
          <w:rFonts w:hint="eastAsia" w:ascii="宋体" w:hAnsi="宋体" w:eastAsia="宋体" w:cs="宋体"/>
          <w:color w:val="auto"/>
          <w:highlight w:val="none"/>
        </w:rPr>
      </w:pPr>
    </w:p>
    <w:p w14:paraId="25542B28">
      <w:pPr>
        <w:rPr>
          <w:rFonts w:hint="eastAsia" w:ascii="宋体" w:hAnsi="宋体" w:eastAsia="宋体" w:cs="宋体"/>
          <w:color w:val="auto"/>
          <w:highlight w:val="none"/>
        </w:rPr>
      </w:pPr>
    </w:p>
    <w:p w14:paraId="7FE8CC49">
      <w:pPr>
        <w:rPr>
          <w:rFonts w:hint="eastAsia" w:ascii="宋体" w:hAnsi="宋体" w:eastAsia="宋体" w:cs="宋体"/>
          <w:color w:val="auto"/>
          <w:highlight w:val="none"/>
        </w:rPr>
      </w:pPr>
    </w:p>
    <w:p w14:paraId="32EDAFB6">
      <w:pPr>
        <w:rPr>
          <w:rFonts w:hint="eastAsia" w:ascii="宋体" w:hAnsi="宋体" w:eastAsia="宋体" w:cs="宋体"/>
          <w:color w:val="auto"/>
          <w:highlight w:val="none"/>
        </w:rPr>
      </w:pPr>
    </w:p>
    <w:p w14:paraId="7D55F5A8">
      <w:pPr>
        <w:rPr>
          <w:rFonts w:hint="eastAsia" w:ascii="宋体" w:hAnsi="宋体" w:eastAsia="宋体" w:cs="宋体"/>
          <w:color w:val="auto"/>
          <w:highlight w:val="none"/>
        </w:rPr>
      </w:pPr>
    </w:p>
    <w:p w14:paraId="6B1BE426">
      <w:pPr>
        <w:shd w:val="clear" w:color="auto" w:fill="FFFFFF"/>
        <w:spacing w:line="480" w:lineRule="auto"/>
        <w:ind w:firstLine="629"/>
        <w:rPr>
          <w:rFonts w:hint="eastAsia" w:ascii="宋体" w:hAnsi="宋体" w:eastAsia="宋体" w:cs="宋体"/>
          <w:color w:val="auto"/>
          <w:sz w:val="24"/>
          <w:highlight w:val="none"/>
        </w:rPr>
      </w:pPr>
    </w:p>
    <w:p w14:paraId="57CFDC7E">
      <w:pPr>
        <w:widowControl/>
        <w:ind w:firstLine="1050" w:firstLineChars="500"/>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2AF81184">
      <w:pPr>
        <w:bidi w:val="0"/>
        <w:rPr>
          <w:rFonts w:hint="eastAsia"/>
          <w:highlight w:val="none"/>
        </w:rPr>
      </w:pPr>
      <w:bookmarkStart w:id="177" w:name="_Toc31975"/>
    </w:p>
    <w:p w14:paraId="72A22B8D">
      <w:pPr>
        <w:pStyle w:val="3"/>
        <w:numPr>
          <w:ilvl w:val="0"/>
          <w:numId w:val="0"/>
        </w:numPr>
        <w:tabs>
          <w:tab w:val="clear" w:pos="360"/>
        </w:tabs>
        <w:spacing w:before="0"/>
        <w:jc w:val="center"/>
        <w:rPr>
          <w:rFonts w:hint="eastAsia" w:ascii="宋体" w:hAnsi="宋体" w:eastAsia="宋体" w:cs="宋体"/>
          <w:color w:val="auto"/>
          <w:szCs w:val="28"/>
          <w:highlight w:val="none"/>
          <w:lang w:val="en-US" w:eastAsia="zh-CN"/>
        </w:rPr>
      </w:pPr>
      <w:bookmarkStart w:id="178" w:name="_Toc12888"/>
      <w:r>
        <w:rPr>
          <w:rFonts w:hint="eastAsia" w:ascii="宋体" w:hAnsi="宋体" w:eastAsia="宋体" w:cs="宋体"/>
          <w:color w:val="auto"/>
          <w:szCs w:val="28"/>
          <w:highlight w:val="none"/>
        </w:rPr>
        <w:t>格式</w:t>
      </w:r>
      <w:r>
        <w:rPr>
          <w:rFonts w:hint="eastAsia" w:ascii="宋体" w:hAnsi="宋体" w:eastAsia="宋体" w:cs="宋体"/>
          <w:color w:val="auto"/>
          <w:szCs w:val="28"/>
          <w:highlight w:val="none"/>
          <w:lang w:val="en-US" w:eastAsia="zh-CN"/>
        </w:rPr>
        <w:t>4</w:t>
      </w:r>
      <w:r>
        <w:rPr>
          <w:rFonts w:hint="eastAsia" w:ascii="宋体" w:hAnsi="宋体" w:eastAsia="宋体" w:cs="宋体"/>
          <w:color w:val="auto"/>
          <w:szCs w:val="28"/>
          <w:highlight w:val="none"/>
        </w:rPr>
        <w:t>：</w:t>
      </w:r>
      <w:r>
        <w:rPr>
          <w:rFonts w:hint="eastAsia" w:ascii="宋体" w:hAnsi="宋体" w:eastAsia="宋体" w:cs="宋体"/>
          <w:color w:val="auto"/>
          <w:szCs w:val="28"/>
          <w:highlight w:val="none"/>
          <w:lang w:eastAsia="zh-CN"/>
        </w:rPr>
        <w:t>质量承诺及保障措施</w:t>
      </w:r>
      <w:bookmarkEnd w:id="177"/>
      <w:bookmarkEnd w:id="178"/>
    </w:p>
    <w:p w14:paraId="4E277119">
      <w:pPr>
        <w:ind w:firstLine="655"/>
        <w:jc w:val="center"/>
        <w:rPr>
          <w:rFonts w:hint="eastAsia" w:ascii="宋体" w:hAnsi="宋体" w:eastAsia="宋体" w:cs="宋体"/>
          <w:color w:val="auto"/>
          <w:sz w:val="25"/>
          <w:highlight w:val="none"/>
        </w:rPr>
      </w:pPr>
    </w:p>
    <w:p w14:paraId="7C381BB8">
      <w:pPr>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结合采购需求及评审办法要求编制，格式自拟</w:t>
      </w:r>
      <w:r>
        <w:rPr>
          <w:rFonts w:hint="eastAsia" w:ascii="宋体" w:hAnsi="宋体" w:eastAsia="宋体" w:cs="宋体"/>
          <w:color w:val="auto"/>
          <w:sz w:val="24"/>
          <w:szCs w:val="24"/>
          <w:highlight w:val="none"/>
          <w:lang w:eastAsia="zh-CN"/>
        </w:rPr>
        <w:t>）</w:t>
      </w:r>
    </w:p>
    <w:p w14:paraId="1ED7E082">
      <w:pPr>
        <w:rPr>
          <w:rFonts w:hint="eastAsia" w:ascii="宋体" w:hAnsi="宋体" w:eastAsia="宋体" w:cs="宋体"/>
          <w:color w:val="auto"/>
          <w:highlight w:val="none"/>
        </w:rPr>
      </w:pPr>
    </w:p>
    <w:p w14:paraId="3D2CA735">
      <w:pPr>
        <w:jc w:val="center"/>
        <w:rPr>
          <w:rFonts w:hint="eastAsia" w:ascii="宋体" w:hAnsi="宋体" w:eastAsia="宋体" w:cs="宋体"/>
          <w:b/>
          <w:color w:val="auto"/>
          <w:kern w:val="0"/>
          <w:sz w:val="28"/>
          <w:szCs w:val="28"/>
          <w:highlight w:val="none"/>
          <w:lang w:val="en-US" w:eastAsia="zh-CN" w:bidi="ar-SA"/>
        </w:rPr>
      </w:pPr>
    </w:p>
    <w:p w14:paraId="57C28C29">
      <w:pPr>
        <w:rPr>
          <w:rFonts w:hint="eastAsia" w:ascii="宋体" w:hAnsi="宋体" w:eastAsia="宋体" w:cs="宋体"/>
          <w:color w:val="auto"/>
          <w:szCs w:val="28"/>
          <w:highlight w:val="none"/>
        </w:rPr>
      </w:pPr>
      <w:r>
        <w:rPr>
          <w:rFonts w:hint="eastAsia" w:ascii="宋体" w:hAnsi="宋体" w:eastAsia="宋体" w:cs="宋体"/>
          <w:color w:val="auto"/>
          <w:szCs w:val="28"/>
          <w:highlight w:val="none"/>
        </w:rPr>
        <w:br w:type="page"/>
      </w:r>
    </w:p>
    <w:p w14:paraId="44AD503A">
      <w:pPr>
        <w:rPr>
          <w:rFonts w:hint="eastAsia" w:ascii="宋体" w:hAnsi="宋体" w:eastAsia="宋体" w:cs="宋体"/>
          <w:color w:val="auto"/>
          <w:highlight w:val="none"/>
        </w:rPr>
      </w:pPr>
    </w:p>
    <w:p w14:paraId="76A2626B">
      <w:pPr>
        <w:pStyle w:val="3"/>
        <w:numPr>
          <w:ilvl w:val="0"/>
          <w:numId w:val="0"/>
        </w:numPr>
        <w:tabs>
          <w:tab w:val="clear" w:pos="360"/>
        </w:tabs>
        <w:spacing w:before="0"/>
        <w:jc w:val="center"/>
        <w:rPr>
          <w:rFonts w:hint="eastAsia" w:ascii="宋体" w:hAnsi="宋体" w:eastAsia="宋体" w:cs="宋体"/>
          <w:color w:val="auto"/>
          <w:szCs w:val="28"/>
          <w:highlight w:val="none"/>
          <w:lang w:val="en-US" w:eastAsia="zh-CN"/>
        </w:rPr>
      </w:pPr>
      <w:bookmarkStart w:id="179" w:name="_Toc32075"/>
      <w:bookmarkStart w:id="180" w:name="_Toc27063"/>
      <w:r>
        <w:rPr>
          <w:rFonts w:hint="eastAsia" w:ascii="宋体" w:hAnsi="宋体" w:eastAsia="宋体" w:cs="宋体"/>
          <w:color w:val="auto"/>
          <w:szCs w:val="28"/>
          <w:highlight w:val="none"/>
        </w:rPr>
        <w:t>格式</w:t>
      </w:r>
      <w:r>
        <w:rPr>
          <w:rFonts w:hint="eastAsia" w:ascii="宋体" w:hAnsi="宋体" w:eastAsia="宋体" w:cs="宋体"/>
          <w:color w:val="auto"/>
          <w:szCs w:val="28"/>
          <w:highlight w:val="none"/>
          <w:lang w:val="en-US" w:eastAsia="zh-CN"/>
        </w:rPr>
        <w:t>5</w:t>
      </w:r>
      <w:r>
        <w:rPr>
          <w:rFonts w:hint="eastAsia" w:ascii="宋体" w:hAnsi="宋体" w:eastAsia="宋体" w:cs="宋体"/>
          <w:color w:val="auto"/>
          <w:szCs w:val="28"/>
          <w:highlight w:val="none"/>
        </w:rPr>
        <w:t>：售后服务</w:t>
      </w:r>
      <w:r>
        <w:rPr>
          <w:rFonts w:hint="eastAsia" w:ascii="宋体" w:hAnsi="宋体" w:eastAsia="宋体" w:cs="宋体"/>
          <w:color w:val="auto"/>
          <w:szCs w:val="28"/>
          <w:highlight w:val="none"/>
          <w:lang w:val="en-US" w:eastAsia="zh-CN"/>
        </w:rPr>
        <w:t>方案</w:t>
      </w:r>
      <w:bookmarkEnd w:id="179"/>
      <w:bookmarkEnd w:id="180"/>
    </w:p>
    <w:p w14:paraId="7CE72E23">
      <w:pPr>
        <w:ind w:firstLine="655"/>
        <w:jc w:val="center"/>
        <w:rPr>
          <w:rFonts w:hint="eastAsia" w:ascii="宋体" w:hAnsi="宋体" w:eastAsia="宋体" w:cs="宋体"/>
          <w:color w:val="auto"/>
          <w:sz w:val="25"/>
          <w:highlight w:val="none"/>
        </w:rPr>
      </w:pPr>
    </w:p>
    <w:p w14:paraId="291B6176">
      <w:pPr>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结合采购需求及评审办法要求编制，格式自拟</w:t>
      </w:r>
      <w:r>
        <w:rPr>
          <w:rFonts w:hint="eastAsia" w:ascii="宋体" w:hAnsi="宋体" w:eastAsia="宋体" w:cs="宋体"/>
          <w:color w:val="auto"/>
          <w:sz w:val="24"/>
          <w:szCs w:val="24"/>
          <w:highlight w:val="none"/>
          <w:lang w:eastAsia="zh-CN"/>
        </w:rPr>
        <w:t>）</w:t>
      </w:r>
    </w:p>
    <w:p w14:paraId="5380D646">
      <w:pPr>
        <w:rPr>
          <w:rFonts w:hint="eastAsia" w:ascii="宋体" w:hAnsi="宋体" w:eastAsia="宋体" w:cs="宋体"/>
          <w:color w:val="auto"/>
          <w:highlight w:val="none"/>
        </w:rPr>
      </w:pPr>
    </w:p>
    <w:p w14:paraId="718F1E90">
      <w:pPr>
        <w:pStyle w:val="15"/>
        <w:ind w:firstLine="629"/>
        <w:rPr>
          <w:rFonts w:hint="eastAsia" w:ascii="宋体" w:hAnsi="宋体" w:eastAsia="宋体" w:cs="宋体"/>
          <w:color w:val="auto"/>
          <w:highlight w:val="none"/>
        </w:rPr>
      </w:pPr>
    </w:p>
    <w:p w14:paraId="57AA9A73">
      <w:pPr>
        <w:rPr>
          <w:rFonts w:hint="eastAsia" w:ascii="宋体" w:hAnsi="宋体" w:eastAsia="宋体" w:cs="宋体"/>
          <w:color w:val="auto"/>
          <w:highlight w:val="none"/>
        </w:rPr>
      </w:pPr>
    </w:p>
    <w:p w14:paraId="121C4AFC">
      <w:pPr>
        <w:pStyle w:val="15"/>
        <w:ind w:firstLine="629"/>
        <w:rPr>
          <w:rFonts w:hint="eastAsia" w:ascii="宋体" w:hAnsi="宋体" w:eastAsia="宋体" w:cs="宋体"/>
          <w:color w:val="auto"/>
          <w:highlight w:val="none"/>
        </w:rPr>
      </w:pPr>
    </w:p>
    <w:p w14:paraId="2571F066">
      <w:pPr>
        <w:rPr>
          <w:rFonts w:hint="eastAsia" w:ascii="宋体" w:hAnsi="宋体" w:eastAsia="宋体" w:cs="宋体"/>
          <w:color w:val="auto"/>
          <w:highlight w:val="none"/>
        </w:rPr>
      </w:pPr>
    </w:p>
    <w:p w14:paraId="37FBD8C4">
      <w:pPr>
        <w:pStyle w:val="15"/>
        <w:ind w:firstLine="629"/>
        <w:rPr>
          <w:rFonts w:hint="eastAsia" w:ascii="宋体" w:hAnsi="宋体" w:eastAsia="宋体" w:cs="宋体"/>
          <w:color w:val="auto"/>
          <w:highlight w:val="none"/>
        </w:rPr>
      </w:pPr>
    </w:p>
    <w:p w14:paraId="0ED5019C">
      <w:pPr>
        <w:rPr>
          <w:rFonts w:hint="eastAsia" w:ascii="宋体" w:hAnsi="宋体" w:eastAsia="宋体" w:cs="宋体"/>
          <w:color w:val="auto"/>
          <w:highlight w:val="none"/>
        </w:rPr>
      </w:pPr>
    </w:p>
    <w:p w14:paraId="10CC382B">
      <w:pPr>
        <w:rPr>
          <w:rFonts w:hint="eastAsia" w:ascii="宋体" w:hAnsi="宋体" w:eastAsia="宋体" w:cs="宋体"/>
          <w:color w:val="auto"/>
          <w:highlight w:val="none"/>
        </w:rPr>
      </w:pPr>
    </w:p>
    <w:p w14:paraId="58D25CF1">
      <w:pPr>
        <w:rPr>
          <w:rFonts w:hint="eastAsia" w:ascii="宋体" w:hAnsi="宋体" w:eastAsia="宋体" w:cs="宋体"/>
          <w:color w:val="auto"/>
          <w:highlight w:val="none"/>
        </w:rPr>
      </w:pPr>
    </w:p>
    <w:p w14:paraId="781D2BFA">
      <w:pPr>
        <w:rPr>
          <w:rFonts w:hint="eastAsia" w:ascii="宋体" w:hAnsi="宋体" w:eastAsia="宋体" w:cs="宋体"/>
          <w:color w:val="auto"/>
          <w:highlight w:val="none"/>
        </w:rPr>
      </w:pPr>
    </w:p>
    <w:p w14:paraId="3ED7A924">
      <w:pPr>
        <w:rPr>
          <w:rFonts w:hint="eastAsia" w:ascii="宋体" w:hAnsi="宋体" w:eastAsia="宋体" w:cs="宋体"/>
          <w:color w:val="auto"/>
          <w:highlight w:val="none"/>
        </w:rPr>
      </w:pPr>
    </w:p>
    <w:p w14:paraId="4D9FC6A1">
      <w:pPr>
        <w:rPr>
          <w:rFonts w:hint="eastAsia" w:ascii="宋体" w:hAnsi="宋体" w:eastAsia="宋体" w:cs="宋体"/>
          <w:color w:val="auto"/>
          <w:highlight w:val="none"/>
        </w:rPr>
      </w:pPr>
    </w:p>
    <w:p w14:paraId="7DB129D5">
      <w:pPr>
        <w:rPr>
          <w:rFonts w:hint="eastAsia" w:ascii="宋体" w:hAnsi="宋体" w:eastAsia="宋体" w:cs="宋体"/>
          <w:color w:val="auto"/>
          <w:highlight w:val="none"/>
        </w:rPr>
      </w:pPr>
    </w:p>
    <w:p w14:paraId="76A8D5B6">
      <w:pPr>
        <w:rPr>
          <w:rFonts w:hint="eastAsia" w:ascii="宋体" w:hAnsi="宋体" w:eastAsia="宋体" w:cs="宋体"/>
          <w:color w:val="auto"/>
          <w:highlight w:val="none"/>
        </w:rPr>
      </w:pPr>
    </w:p>
    <w:p w14:paraId="6133D354">
      <w:pPr>
        <w:rPr>
          <w:rFonts w:hint="eastAsia" w:ascii="宋体" w:hAnsi="宋体" w:eastAsia="宋体" w:cs="宋体"/>
          <w:color w:val="auto"/>
          <w:highlight w:val="none"/>
        </w:rPr>
      </w:pPr>
    </w:p>
    <w:p w14:paraId="1A25FCD5">
      <w:pPr>
        <w:rPr>
          <w:rFonts w:hint="eastAsia" w:ascii="宋体" w:hAnsi="宋体" w:eastAsia="宋体" w:cs="宋体"/>
          <w:color w:val="auto"/>
          <w:highlight w:val="none"/>
        </w:rPr>
      </w:pPr>
    </w:p>
    <w:p w14:paraId="1CE0FF4C">
      <w:pPr>
        <w:rPr>
          <w:rFonts w:hint="eastAsia" w:ascii="宋体" w:hAnsi="宋体" w:eastAsia="宋体" w:cs="宋体"/>
          <w:color w:val="auto"/>
          <w:highlight w:val="none"/>
        </w:rPr>
      </w:pPr>
    </w:p>
    <w:p w14:paraId="00A88AA8">
      <w:pPr>
        <w:rPr>
          <w:rFonts w:hint="eastAsia" w:ascii="宋体" w:hAnsi="宋体" w:eastAsia="宋体" w:cs="宋体"/>
          <w:color w:val="auto"/>
          <w:highlight w:val="none"/>
        </w:rPr>
      </w:pPr>
    </w:p>
    <w:p w14:paraId="2D7F44BB">
      <w:pPr>
        <w:rPr>
          <w:rFonts w:hint="eastAsia" w:ascii="宋体" w:hAnsi="宋体" w:eastAsia="宋体" w:cs="宋体"/>
          <w:color w:val="auto"/>
          <w:highlight w:val="none"/>
        </w:rPr>
      </w:pPr>
    </w:p>
    <w:p w14:paraId="736DFD8F">
      <w:pPr>
        <w:rPr>
          <w:rFonts w:hint="eastAsia" w:ascii="宋体" w:hAnsi="宋体" w:eastAsia="宋体" w:cs="宋体"/>
          <w:color w:val="auto"/>
          <w:highlight w:val="none"/>
        </w:rPr>
      </w:pPr>
    </w:p>
    <w:p w14:paraId="2FE15415">
      <w:pPr>
        <w:rPr>
          <w:rFonts w:hint="eastAsia" w:ascii="宋体" w:hAnsi="宋体" w:eastAsia="宋体" w:cs="宋体"/>
          <w:color w:val="auto"/>
          <w:highlight w:val="none"/>
        </w:rPr>
      </w:pPr>
    </w:p>
    <w:p w14:paraId="060B7FF5">
      <w:pPr>
        <w:rPr>
          <w:rFonts w:hint="eastAsia" w:ascii="宋体" w:hAnsi="宋体" w:eastAsia="宋体" w:cs="宋体"/>
          <w:color w:val="auto"/>
          <w:highlight w:val="none"/>
        </w:rPr>
      </w:pPr>
    </w:p>
    <w:p w14:paraId="411026D1">
      <w:pPr>
        <w:rPr>
          <w:rFonts w:hint="eastAsia" w:ascii="宋体" w:hAnsi="宋体" w:eastAsia="宋体" w:cs="宋体"/>
          <w:color w:val="auto"/>
          <w:highlight w:val="none"/>
        </w:rPr>
      </w:pPr>
    </w:p>
    <w:p w14:paraId="2AED4702">
      <w:pPr>
        <w:rPr>
          <w:rFonts w:hint="eastAsia" w:ascii="宋体" w:hAnsi="宋体" w:eastAsia="宋体" w:cs="宋体"/>
          <w:color w:val="auto"/>
          <w:highlight w:val="none"/>
        </w:rPr>
      </w:pPr>
    </w:p>
    <w:p w14:paraId="2D0762C9">
      <w:pPr>
        <w:rPr>
          <w:rFonts w:hint="eastAsia" w:ascii="宋体" w:hAnsi="宋体" w:eastAsia="宋体" w:cs="宋体"/>
          <w:color w:val="auto"/>
          <w:highlight w:val="none"/>
        </w:rPr>
      </w:pPr>
    </w:p>
    <w:p w14:paraId="49069ED0">
      <w:pPr>
        <w:shd w:val="clear" w:color="auto" w:fill="FFFFFF"/>
        <w:spacing w:line="480" w:lineRule="auto"/>
        <w:ind w:firstLine="629"/>
        <w:rPr>
          <w:rFonts w:hint="eastAsia" w:ascii="宋体" w:hAnsi="宋体" w:eastAsia="宋体" w:cs="宋体"/>
          <w:color w:val="auto"/>
          <w:sz w:val="24"/>
          <w:highlight w:val="none"/>
        </w:rPr>
      </w:pPr>
    </w:p>
    <w:p w14:paraId="6EC1125E">
      <w:pPr>
        <w:widowControl/>
        <w:ind w:firstLine="1050" w:firstLineChars="500"/>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35CEFCFA">
      <w:pPr>
        <w:widowControl/>
        <w:ind w:firstLine="2800" w:firstLineChars="500"/>
        <w:rPr>
          <w:rFonts w:hint="eastAsia" w:ascii="宋体" w:hAnsi="宋体" w:eastAsia="宋体" w:cs="宋体"/>
          <w:b/>
          <w:bCs/>
          <w:color w:val="auto"/>
          <w:sz w:val="56"/>
          <w:highlight w:val="none"/>
        </w:rPr>
      </w:pPr>
    </w:p>
    <w:p w14:paraId="20639EF7">
      <w:pPr>
        <w:widowControl/>
        <w:ind w:firstLine="2800" w:firstLineChars="500"/>
        <w:rPr>
          <w:rFonts w:hint="eastAsia" w:ascii="宋体" w:hAnsi="宋体" w:eastAsia="宋体" w:cs="宋体"/>
          <w:b/>
          <w:bCs/>
          <w:color w:val="auto"/>
          <w:sz w:val="56"/>
          <w:highlight w:val="none"/>
        </w:rPr>
      </w:pPr>
    </w:p>
    <w:p w14:paraId="034F85F8">
      <w:pPr>
        <w:widowControl/>
        <w:ind w:firstLine="2800" w:firstLineChars="500"/>
        <w:rPr>
          <w:rFonts w:hint="eastAsia" w:ascii="宋体" w:hAnsi="宋体" w:eastAsia="宋体" w:cs="宋体"/>
          <w:b/>
          <w:bCs/>
          <w:color w:val="auto"/>
          <w:sz w:val="56"/>
          <w:highlight w:val="none"/>
        </w:rPr>
      </w:pPr>
    </w:p>
    <w:p w14:paraId="5D2EB191">
      <w:pPr>
        <w:widowControl/>
        <w:ind w:firstLine="2800" w:firstLineChars="500"/>
        <w:rPr>
          <w:rFonts w:hint="eastAsia" w:ascii="宋体" w:hAnsi="宋体" w:eastAsia="宋体" w:cs="宋体"/>
          <w:b/>
          <w:bCs/>
          <w:color w:val="auto"/>
          <w:sz w:val="56"/>
          <w:highlight w:val="none"/>
        </w:rPr>
      </w:pPr>
    </w:p>
    <w:p w14:paraId="57213013">
      <w:pPr>
        <w:widowControl/>
        <w:ind w:firstLine="2800" w:firstLineChars="500"/>
        <w:rPr>
          <w:rFonts w:hint="eastAsia" w:ascii="宋体" w:hAnsi="宋体" w:eastAsia="宋体" w:cs="宋体"/>
          <w:b/>
          <w:bCs/>
          <w:color w:val="auto"/>
          <w:sz w:val="56"/>
          <w:highlight w:val="none"/>
        </w:rPr>
      </w:pPr>
    </w:p>
    <w:p w14:paraId="20D38443">
      <w:pPr>
        <w:widowControl/>
        <w:ind w:firstLine="2800" w:firstLineChars="500"/>
        <w:rPr>
          <w:rFonts w:hint="eastAsia" w:ascii="宋体" w:hAnsi="宋体" w:eastAsia="宋体" w:cs="宋体"/>
          <w:b/>
          <w:bCs/>
          <w:color w:val="auto"/>
          <w:sz w:val="56"/>
          <w:highlight w:val="none"/>
        </w:rPr>
      </w:pPr>
    </w:p>
    <w:p w14:paraId="200DCD24">
      <w:pPr>
        <w:pStyle w:val="2"/>
        <w:rPr>
          <w:rFonts w:hint="eastAsia" w:ascii="宋体" w:hAnsi="宋体" w:eastAsia="宋体" w:cs="宋体"/>
          <w:color w:val="auto"/>
          <w:highlight w:val="none"/>
        </w:rPr>
      </w:pPr>
      <w:bookmarkStart w:id="181" w:name="_Toc26141"/>
      <w:bookmarkStart w:id="182" w:name="_Toc19346"/>
      <w:r>
        <w:rPr>
          <w:rFonts w:hint="eastAsia" w:ascii="宋体" w:hAnsi="宋体" w:eastAsia="宋体" w:cs="宋体"/>
          <w:color w:val="auto"/>
          <w:highlight w:val="none"/>
        </w:rPr>
        <w:t>三、商务部分</w:t>
      </w:r>
      <w:bookmarkEnd w:id="181"/>
      <w:bookmarkEnd w:id="182"/>
    </w:p>
    <w:p w14:paraId="49AA4D22">
      <w:pPr>
        <w:widowControl/>
        <w:jc w:val="left"/>
        <w:rPr>
          <w:rFonts w:hint="eastAsia" w:ascii="宋体" w:hAnsi="宋体" w:eastAsia="宋体" w:cs="宋体"/>
          <w:color w:val="auto"/>
          <w:highlight w:val="none"/>
        </w:rPr>
        <w:sectPr>
          <w:pgSz w:w="11906" w:h="16838"/>
          <w:pgMar w:top="1418" w:right="1134" w:bottom="1134" w:left="1418" w:header="935" w:footer="720" w:gutter="0"/>
          <w:pgBorders>
            <w:top w:val="none" w:sz="0" w:space="0"/>
            <w:left w:val="none" w:sz="0" w:space="0"/>
            <w:bottom w:val="none" w:sz="0" w:space="0"/>
            <w:right w:val="none" w:sz="0" w:space="0"/>
          </w:pgBorders>
          <w:cols w:space="720" w:num="1"/>
          <w:docGrid w:type="linesAndChars" w:linePitch="331" w:charSpace="0"/>
        </w:sectPr>
      </w:pPr>
    </w:p>
    <w:p w14:paraId="5005571A">
      <w:pPr>
        <w:widowControl/>
        <w:jc w:val="left"/>
        <w:rPr>
          <w:rFonts w:hint="eastAsia" w:ascii="宋体" w:hAnsi="宋体" w:eastAsia="宋体" w:cs="宋体"/>
          <w:color w:val="auto"/>
          <w:highlight w:val="none"/>
        </w:rPr>
      </w:pPr>
    </w:p>
    <w:p w14:paraId="4811A65C">
      <w:pPr>
        <w:pStyle w:val="3"/>
        <w:numPr>
          <w:ilvl w:val="1"/>
          <w:numId w:val="0"/>
        </w:numPr>
        <w:bidi w:val="0"/>
        <w:ind w:left="425" w:leftChars="0"/>
        <w:rPr>
          <w:color w:val="auto"/>
          <w:highlight w:val="none"/>
        </w:rPr>
      </w:pPr>
      <w:bookmarkStart w:id="183" w:name="_Toc6945"/>
      <w:bookmarkStart w:id="184" w:name="_Toc2324"/>
      <w:bookmarkStart w:id="185" w:name="_Toc8800"/>
      <w:r>
        <w:rPr>
          <w:rFonts w:hint="eastAsia"/>
          <w:color w:val="auto"/>
          <w:sz w:val="28"/>
          <w:szCs w:val="28"/>
          <w:highlight w:val="none"/>
        </w:rPr>
        <w:t>格式</w:t>
      </w:r>
      <w:r>
        <w:rPr>
          <w:rFonts w:hint="eastAsia"/>
          <w:color w:val="auto"/>
          <w:sz w:val="28"/>
          <w:szCs w:val="28"/>
          <w:highlight w:val="none"/>
          <w:lang w:val="en-US" w:eastAsia="zh-CN"/>
        </w:rPr>
        <w:t>6</w:t>
      </w:r>
      <w:r>
        <w:rPr>
          <w:rFonts w:hint="eastAsia"/>
          <w:color w:val="auto"/>
          <w:highlight w:val="none"/>
        </w:rPr>
        <w:t>：</w:t>
      </w:r>
      <w:r>
        <w:rPr>
          <w:rFonts w:hint="eastAsia"/>
          <w:color w:val="auto"/>
          <w:sz w:val="28"/>
          <w:szCs w:val="28"/>
          <w:highlight w:val="none"/>
        </w:rPr>
        <w:t>商务条款偏离表</w:t>
      </w:r>
      <w:bookmarkEnd w:id="183"/>
      <w:bookmarkEnd w:id="184"/>
      <w:bookmarkEnd w:id="185"/>
    </w:p>
    <w:p w14:paraId="389A8C37">
      <w:pPr>
        <w:spacing w:after="66" w:afterLines="20" w:line="420" w:lineRule="exact"/>
        <w:rPr>
          <w:rFonts w:hint="default" w:ascii="宋体" w:hAnsi="宋体" w:eastAsia="宋体"/>
          <w:color w:val="auto"/>
          <w:spacing w:val="10"/>
          <w:sz w:val="24"/>
          <w:highlight w:val="none"/>
          <w:u w:val="single"/>
          <w:lang w:val="en-US" w:eastAsia="zh-CN"/>
        </w:rPr>
      </w:pPr>
      <w:r>
        <w:rPr>
          <w:rFonts w:hint="eastAsia" w:ascii="宋体" w:hAnsi="宋体"/>
          <w:color w:val="auto"/>
          <w:spacing w:val="10"/>
          <w:sz w:val="24"/>
          <w:highlight w:val="none"/>
        </w:rPr>
        <w:t>项目名称：</w:t>
      </w:r>
      <w:r>
        <w:rPr>
          <w:rFonts w:hint="eastAsia" w:ascii="宋体" w:hAnsi="宋体"/>
          <w:bCs/>
          <w:color w:val="auto"/>
          <w:spacing w:val="10"/>
          <w:sz w:val="24"/>
          <w:highlight w:val="none"/>
          <w:lang w:eastAsia="zh-CN"/>
        </w:rPr>
        <w:t>云南省第三次全国土壤普查土壤样品库和数据库建设项目样品储存架等设备采购（二次招标）</w:t>
      </w:r>
    </w:p>
    <w:p w14:paraId="3E8C96CF">
      <w:pPr>
        <w:spacing w:after="66" w:afterLines="20" w:line="420" w:lineRule="exact"/>
        <w:rPr>
          <w:rFonts w:hint="default" w:ascii="宋体" w:hAnsi="宋体"/>
          <w:color w:val="auto"/>
          <w:spacing w:val="10"/>
          <w:sz w:val="24"/>
          <w:highlight w:val="none"/>
          <w:lang w:val="en-US" w:eastAsia="zh-CN"/>
        </w:rPr>
      </w:pPr>
      <w:r>
        <w:rPr>
          <w:rFonts w:hint="eastAsia" w:ascii="宋体" w:hAnsi="宋体"/>
          <w:color w:val="auto"/>
          <w:spacing w:val="10"/>
          <w:sz w:val="24"/>
          <w:highlight w:val="none"/>
        </w:rPr>
        <w:t>招标编号：</w:t>
      </w:r>
      <w:r>
        <w:rPr>
          <w:rFonts w:hint="eastAsia" w:ascii="宋体" w:hAnsi="宋体"/>
          <w:color w:val="auto"/>
          <w:spacing w:val="10"/>
          <w:sz w:val="24"/>
          <w:highlight w:val="none"/>
          <w:lang w:eastAsia="zh-CN"/>
        </w:rPr>
        <w:t>ZG-2026084</w:t>
      </w:r>
    </w:p>
    <w:p w14:paraId="71430205">
      <w:pPr>
        <w:spacing w:line="440" w:lineRule="exact"/>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A.□我公司已详细阅读招标文件中各项商务要求，所有商务要求均无偏离，中标后我公司将严格遵照执行。</w:t>
      </w:r>
    </w:p>
    <w:p w14:paraId="7922786D">
      <w:pPr>
        <w:spacing w:line="440" w:lineRule="exact"/>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B.□我公司已详细阅读招标文件中各项商务要求，除下述条款有偏离外，其余条款我公司均予以认可，中标后将严格遵照执行。</w:t>
      </w:r>
    </w:p>
    <w:tbl>
      <w:tblPr>
        <w:tblStyle w:val="3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6"/>
        <w:gridCol w:w="7258"/>
        <w:gridCol w:w="5645"/>
      </w:tblGrid>
      <w:tr w14:paraId="105B0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5" w:hRule="atLeast"/>
          <w:jc w:val="center"/>
        </w:trPr>
        <w:tc>
          <w:tcPr>
            <w:tcW w:w="550" w:type="pct"/>
            <w:shd w:val="pct5" w:color="auto" w:fill="auto"/>
            <w:noWrap w:val="0"/>
            <w:vAlign w:val="center"/>
          </w:tcPr>
          <w:p w14:paraId="666018FB">
            <w:pPr>
              <w:spacing w:line="440" w:lineRule="exact"/>
              <w:jc w:val="center"/>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序号</w:t>
            </w:r>
          </w:p>
        </w:tc>
        <w:tc>
          <w:tcPr>
            <w:tcW w:w="2502" w:type="pct"/>
            <w:shd w:val="pct5" w:color="auto" w:fill="auto"/>
            <w:noWrap w:val="0"/>
            <w:vAlign w:val="center"/>
          </w:tcPr>
          <w:p w14:paraId="16956C12">
            <w:pPr>
              <w:spacing w:line="440" w:lineRule="exact"/>
              <w:jc w:val="center"/>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 xml:space="preserve"> </w:t>
            </w:r>
            <w:r>
              <w:rPr>
                <w:rFonts w:hint="eastAsia" w:asciiTheme="majorEastAsia" w:hAnsiTheme="majorEastAsia" w:eastAsiaTheme="majorEastAsia" w:cstheme="majorEastAsia"/>
                <w:color w:val="000000"/>
                <w:sz w:val="24"/>
                <w:szCs w:val="24"/>
                <w:highlight w:val="none"/>
              </w:rPr>
              <w:t>招标文件的商务条款要求</w:t>
            </w:r>
          </w:p>
        </w:tc>
        <w:tc>
          <w:tcPr>
            <w:tcW w:w="1946" w:type="pct"/>
            <w:shd w:val="pct5" w:color="auto" w:fill="auto"/>
            <w:noWrap w:val="0"/>
            <w:vAlign w:val="center"/>
          </w:tcPr>
          <w:p w14:paraId="6040E71C">
            <w:pPr>
              <w:spacing w:line="440" w:lineRule="exact"/>
              <w:jc w:val="center"/>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 xml:space="preserve"> </w:t>
            </w:r>
            <w:r>
              <w:rPr>
                <w:rFonts w:hint="eastAsia" w:asciiTheme="majorEastAsia" w:hAnsiTheme="majorEastAsia" w:eastAsiaTheme="majorEastAsia" w:cstheme="majorEastAsia"/>
                <w:color w:val="000000"/>
                <w:sz w:val="24"/>
                <w:szCs w:val="24"/>
                <w:highlight w:val="none"/>
              </w:rPr>
              <w:t>投标文件的商务条款</w:t>
            </w:r>
          </w:p>
        </w:tc>
      </w:tr>
      <w:tr w14:paraId="01DC1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jc w:val="center"/>
        </w:trPr>
        <w:tc>
          <w:tcPr>
            <w:tcW w:w="550" w:type="pct"/>
            <w:noWrap w:val="0"/>
            <w:vAlign w:val="center"/>
          </w:tcPr>
          <w:p w14:paraId="35CDC549">
            <w:pPr>
              <w:spacing w:line="440" w:lineRule="exact"/>
              <w:jc w:val="center"/>
              <w:rPr>
                <w:rFonts w:hint="eastAsia" w:asciiTheme="majorEastAsia" w:hAnsiTheme="majorEastAsia" w:eastAsiaTheme="majorEastAsia" w:cstheme="majorEastAsia"/>
                <w:color w:val="000000"/>
                <w:sz w:val="24"/>
                <w:szCs w:val="24"/>
                <w:highlight w:val="none"/>
              </w:rPr>
            </w:pPr>
          </w:p>
        </w:tc>
        <w:tc>
          <w:tcPr>
            <w:tcW w:w="2502" w:type="pct"/>
            <w:noWrap w:val="0"/>
            <w:vAlign w:val="center"/>
          </w:tcPr>
          <w:p w14:paraId="795BBB68">
            <w:pPr>
              <w:spacing w:line="440" w:lineRule="exact"/>
              <w:jc w:val="center"/>
              <w:rPr>
                <w:rFonts w:hint="eastAsia" w:asciiTheme="majorEastAsia" w:hAnsiTheme="majorEastAsia" w:eastAsiaTheme="majorEastAsia" w:cstheme="majorEastAsia"/>
                <w:color w:val="000000"/>
                <w:sz w:val="24"/>
                <w:szCs w:val="24"/>
                <w:highlight w:val="none"/>
              </w:rPr>
            </w:pPr>
          </w:p>
        </w:tc>
        <w:tc>
          <w:tcPr>
            <w:tcW w:w="1946" w:type="pct"/>
            <w:noWrap w:val="0"/>
            <w:vAlign w:val="center"/>
          </w:tcPr>
          <w:p w14:paraId="515FF66E">
            <w:pPr>
              <w:spacing w:line="440" w:lineRule="exact"/>
              <w:jc w:val="center"/>
              <w:rPr>
                <w:rFonts w:hint="eastAsia" w:asciiTheme="majorEastAsia" w:hAnsiTheme="majorEastAsia" w:eastAsiaTheme="majorEastAsia" w:cstheme="majorEastAsia"/>
                <w:color w:val="000000"/>
                <w:sz w:val="24"/>
                <w:szCs w:val="24"/>
                <w:highlight w:val="none"/>
              </w:rPr>
            </w:pPr>
          </w:p>
        </w:tc>
      </w:tr>
      <w:tr w14:paraId="3A2A2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jc w:val="center"/>
        </w:trPr>
        <w:tc>
          <w:tcPr>
            <w:tcW w:w="550" w:type="pct"/>
            <w:noWrap w:val="0"/>
            <w:vAlign w:val="center"/>
          </w:tcPr>
          <w:p w14:paraId="38148B9F">
            <w:pPr>
              <w:spacing w:line="440" w:lineRule="exact"/>
              <w:jc w:val="center"/>
              <w:rPr>
                <w:rFonts w:hint="eastAsia" w:asciiTheme="majorEastAsia" w:hAnsiTheme="majorEastAsia" w:eastAsiaTheme="majorEastAsia" w:cstheme="majorEastAsia"/>
                <w:color w:val="000000"/>
                <w:sz w:val="24"/>
                <w:szCs w:val="24"/>
                <w:highlight w:val="none"/>
              </w:rPr>
            </w:pPr>
          </w:p>
        </w:tc>
        <w:tc>
          <w:tcPr>
            <w:tcW w:w="2502" w:type="pct"/>
            <w:noWrap w:val="0"/>
            <w:vAlign w:val="center"/>
          </w:tcPr>
          <w:p w14:paraId="053E3F16">
            <w:pPr>
              <w:spacing w:line="440" w:lineRule="exact"/>
              <w:jc w:val="center"/>
              <w:rPr>
                <w:rFonts w:hint="eastAsia" w:asciiTheme="majorEastAsia" w:hAnsiTheme="majorEastAsia" w:eastAsiaTheme="majorEastAsia" w:cstheme="majorEastAsia"/>
                <w:color w:val="000000"/>
                <w:sz w:val="24"/>
                <w:szCs w:val="24"/>
                <w:highlight w:val="none"/>
              </w:rPr>
            </w:pPr>
          </w:p>
        </w:tc>
        <w:tc>
          <w:tcPr>
            <w:tcW w:w="1946" w:type="pct"/>
            <w:noWrap w:val="0"/>
            <w:vAlign w:val="center"/>
          </w:tcPr>
          <w:p w14:paraId="5CE31123">
            <w:pPr>
              <w:spacing w:line="440" w:lineRule="exact"/>
              <w:jc w:val="center"/>
              <w:rPr>
                <w:rFonts w:hint="eastAsia" w:asciiTheme="majorEastAsia" w:hAnsiTheme="majorEastAsia" w:eastAsiaTheme="majorEastAsia" w:cstheme="majorEastAsia"/>
                <w:color w:val="000000"/>
                <w:sz w:val="24"/>
                <w:szCs w:val="24"/>
                <w:highlight w:val="none"/>
              </w:rPr>
            </w:pPr>
          </w:p>
        </w:tc>
      </w:tr>
      <w:tr w14:paraId="74277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5" w:hRule="atLeast"/>
          <w:jc w:val="center"/>
        </w:trPr>
        <w:tc>
          <w:tcPr>
            <w:tcW w:w="550" w:type="pct"/>
            <w:noWrap w:val="0"/>
            <w:vAlign w:val="center"/>
          </w:tcPr>
          <w:p w14:paraId="7A763D72">
            <w:pPr>
              <w:spacing w:line="440" w:lineRule="exact"/>
              <w:jc w:val="center"/>
              <w:rPr>
                <w:rFonts w:hint="eastAsia" w:asciiTheme="majorEastAsia" w:hAnsiTheme="majorEastAsia" w:eastAsiaTheme="majorEastAsia" w:cstheme="majorEastAsia"/>
                <w:color w:val="000000"/>
                <w:sz w:val="24"/>
                <w:szCs w:val="24"/>
                <w:highlight w:val="none"/>
              </w:rPr>
            </w:pPr>
          </w:p>
        </w:tc>
        <w:tc>
          <w:tcPr>
            <w:tcW w:w="2502" w:type="pct"/>
            <w:noWrap w:val="0"/>
            <w:vAlign w:val="center"/>
          </w:tcPr>
          <w:p w14:paraId="0A66F09C">
            <w:pPr>
              <w:spacing w:line="440" w:lineRule="exact"/>
              <w:jc w:val="center"/>
              <w:rPr>
                <w:rFonts w:hint="eastAsia" w:asciiTheme="majorEastAsia" w:hAnsiTheme="majorEastAsia" w:eastAsiaTheme="majorEastAsia" w:cstheme="majorEastAsia"/>
                <w:color w:val="000000"/>
                <w:sz w:val="24"/>
                <w:szCs w:val="24"/>
                <w:highlight w:val="none"/>
              </w:rPr>
            </w:pPr>
          </w:p>
        </w:tc>
        <w:tc>
          <w:tcPr>
            <w:tcW w:w="1946" w:type="pct"/>
            <w:noWrap w:val="0"/>
            <w:vAlign w:val="center"/>
          </w:tcPr>
          <w:p w14:paraId="7040A8DC">
            <w:pPr>
              <w:spacing w:line="440" w:lineRule="exact"/>
              <w:jc w:val="center"/>
              <w:rPr>
                <w:rFonts w:hint="eastAsia" w:asciiTheme="majorEastAsia" w:hAnsiTheme="majorEastAsia" w:eastAsiaTheme="majorEastAsia" w:cstheme="majorEastAsia"/>
                <w:color w:val="000000"/>
                <w:sz w:val="24"/>
                <w:szCs w:val="24"/>
                <w:highlight w:val="none"/>
              </w:rPr>
            </w:pPr>
          </w:p>
        </w:tc>
      </w:tr>
    </w:tbl>
    <w:p w14:paraId="4FE50E5B">
      <w:pPr>
        <w:spacing w:line="240" w:lineRule="auto"/>
        <w:jc w:val="left"/>
        <w:rPr>
          <w:rFonts w:hint="default"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备注：1.</w:t>
      </w:r>
      <w:r>
        <w:rPr>
          <w:rFonts w:hint="eastAsia" w:asciiTheme="majorEastAsia" w:hAnsiTheme="majorEastAsia" w:eastAsiaTheme="majorEastAsia" w:cstheme="majorEastAsia"/>
          <w:color w:val="000000"/>
          <w:sz w:val="24"/>
          <w:szCs w:val="24"/>
          <w:highlight w:val="none"/>
        </w:rPr>
        <w:t>投标人应对</w:t>
      </w:r>
      <w:r>
        <w:rPr>
          <w:rFonts w:hint="eastAsia" w:asciiTheme="majorEastAsia" w:hAnsiTheme="majorEastAsia" w:eastAsiaTheme="majorEastAsia" w:cstheme="majorEastAsia"/>
          <w:color w:val="000000"/>
          <w:sz w:val="24"/>
          <w:szCs w:val="24"/>
          <w:highlight w:val="none"/>
          <w:lang w:val="en-US" w:eastAsia="zh-CN"/>
        </w:rPr>
        <w:t>照</w:t>
      </w:r>
      <w:r>
        <w:rPr>
          <w:rFonts w:hint="eastAsia" w:asciiTheme="majorEastAsia" w:hAnsiTheme="majorEastAsia" w:eastAsiaTheme="majorEastAsia" w:cstheme="majorEastAsia"/>
          <w:color w:val="000000"/>
          <w:sz w:val="24"/>
          <w:szCs w:val="24"/>
          <w:highlight w:val="none"/>
        </w:rPr>
        <w:t>招标文件</w:t>
      </w:r>
      <w:r>
        <w:rPr>
          <w:rFonts w:hint="eastAsia" w:asciiTheme="majorEastAsia" w:hAnsiTheme="majorEastAsia" w:eastAsiaTheme="majorEastAsia" w:cstheme="majorEastAsia"/>
          <w:sz w:val="24"/>
          <w:szCs w:val="24"/>
          <w:highlight w:val="none"/>
        </w:rPr>
        <w:t>第五章《招标内容及要求》</w:t>
      </w:r>
      <w:r>
        <w:rPr>
          <w:rFonts w:hint="eastAsia" w:asciiTheme="majorEastAsia" w:hAnsiTheme="majorEastAsia" w:eastAsiaTheme="majorEastAsia" w:cstheme="majorEastAsia"/>
          <w:color w:val="000000"/>
          <w:sz w:val="24"/>
          <w:szCs w:val="24"/>
          <w:highlight w:val="none"/>
        </w:rPr>
        <w:t>和第三章</w:t>
      </w:r>
      <w:r>
        <w:rPr>
          <w:rFonts w:hint="eastAsia" w:asciiTheme="majorEastAsia" w:hAnsiTheme="majorEastAsia" w:eastAsiaTheme="majorEastAsia" w:cstheme="majorEastAsia"/>
          <w:sz w:val="24"/>
          <w:szCs w:val="24"/>
          <w:highlight w:val="none"/>
        </w:rPr>
        <w:t>《合同书样式及主要条款》</w:t>
      </w:r>
      <w:r>
        <w:rPr>
          <w:rFonts w:hint="eastAsia" w:asciiTheme="majorEastAsia" w:hAnsiTheme="majorEastAsia" w:eastAsiaTheme="majorEastAsia" w:cstheme="majorEastAsia"/>
          <w:color w:val="000000"/>
          <w:sz w:val="24"/>
          <w:szCs w:val="24"/>
          <w:highlight w:val="none"/>
        </w:rPr>
        <w:t>中要求的商务条件，包括</w:t>
      </w:r>
      <w:r>
        <w:rPr>
          <w:rFonts w:hint="eastAsia" w:asciiTheme="majorEastAsia" w:hAnsiTheme="majorEastAsia" w:eastAsiaTheme="majorEastAsia" w:cstheme="majorEastAsia"/>
          <w:color w:val="000000"/>
          <w:sz w:val="24"/>
          <w:szCs w:val="24"/>
          <w:highlight w:val="none"/>
          <w:lang w:val="en-US" w:eastAsia="zh-CN"/>
        </w:rPr>
        <w:t>但不限于合同履行期限</w:t>
      </w:r>
      <w:r>
        <w:rPr>
          <w:rFonts w:hint="eastAsia" w:asciiTheme="majorEastAsia" w:hAnsiTheme="majorEastAsia" w:eastAsiaTheme="majorEastAsia" w:cstheme="majorEastAsia"/>
          <w:color w:val="000000"/>
          <w:sz w:val="24"/>
          <w:szCs w:val="24"/>
          <w:highlight w:val="none"/>
        </w:rPr>
        <w:t>、付款方式、履约保证金</w:t>
      </w:r>
      <w:r>
        <w:rPr>
          <w:rFonts w:hint="eastAsia" w:asciiTheme="majorEastAsia" w:hAnsiTheme="majorEastAsia" w:eastAsiaTheme="majorEastAsia" w:cstheme="majorEastAsia"/>
          <w:color w:val="000000"/>
          <w:sz w:val="24"/>
          <w:szCs w:val="24"/>
          <w:highlight w:val="none"/>
          <w:lang w:eastAsia="zh-CN"/>
        </w:rPr>
        <w:t>（</w:t>
      </w:r>
      <w:r>
        <w:rPr>
          <w:rFonts w:hint="eastAsia" w:asciiTheme="majorEastAsia" w:hAnsiTheme="majorEastAsia" w:eastAsiaTheme="majorEastAsia" w:cstheme="majorEastAsia"/>
          <w:color w:val="000000"/>
          <w:sz w:val="24"/>
          <w:szCs w:val="24"/>
          <w:highlight w:val="none"/>
          <w:lang w:val="en-US" w:eastAsia="zh-CN"/>
        </w:rPr>
        <w:t>若有</w:t>
      </w:r>
      <w:r>
        <w:rPr>
          <w:rFonts w:hint="eastAsia" w:asciiTheme="majorEastAsia" w:hAnsiTheme="majorEastAsia" w:eastAsiaTheme="majorEastAsia" w:cstheme="majorEastAsia"/>
          <w:color w:val="000000"/>
          <w:sz w:val="24"/>
          <w:szCs w:val="24"/>
          <w:highlight w:val="none"/>
          <w:lang w:eastAsia="zh-CN"/>
        </w:rPr>
        <w:t>）</w:t>
      </w:r>
      <w:r>
        <w:rPr>
          <w:rFonts w:hint="eastAsia" w:asciiTheme="majorEastAsia" w:hAnsiTheme="majorEastAsia" w:eastAsiaTheme="majorEastAsia" w:cstheme="majorEastAsia"/>
          <w:color w:val="000000"/>
          <w:sz w:val="24"/>
          <w:szCs w:val="24"/>
          <w:highlight w:val="none"/>
        </w:rPr>
        <w:t>等内容，并</w:t>
      </w:r>
      <w:r>
        <w:rPr>
          <w:rFonts w:hint="eastAsia" w:asciiTheme="majorEastAsia" w:hAnsiTheme="majorEastAsia" w:eastAsiaTheme="majorEastAsia" w:cstheme="majorEastAsia"/>
          <w:color w:val="000000"/>
          <w:sz w:val="24"/>
          <w:szCs w:val="24"/>
          <w:highlight w:val="none"/>
          <w:lang w:val="en-US" w:eastAsia="zh-CN"/>
        </w:rPr>
        <w:t>结合</w:t>
      </w:r>
      <w:r>
        <w:rPr>
          <w:rFonts w:hint="eastAsia" w:asciiTheme="majorEastAsia" w:hAnsiTheme="majorEastAsia" w:eastAsiaTheme="majorEastAsia" w:cstheme="majorEastAsia"/>
          <w:color w:val="000000"/>
          <w:sz w:val="24"/>
          <w:szCs w:val="24"/>
          <w:highlight w:val="none"/>
        </w:rPr>
        <w:t>实际投标情况如实填写本表格。</w:t>
      </w:r>
      <w:r>
        <w:rPr>
          <w:rFonts w:hint="eastAsia" w:asciiTheme="majorEastAsia" w:hAnsiTheme="majorEastAsia" w:eastAsiaTheme="majorEastAsia" w:cstheme="majorEastAsia"/>
          <w:color w:val="000000"/>
          <w:sz w:val="24"/>
          <w:szCs w:val="24"/>
          <w:highlight w:val="none"/>
          <w:lang w:val="en-US" w:eastAsia="zh-CN"/>
        </w:rPr>
        <w:t>2.投标人应根据实际投标情况，填写本表格。若无偏离，则勾选A项，签章即可；若有偏离，则勾选B项，按表格要求及实际情况填写后签章。表格中只需填写有“偏离”部分，“无偏离”部分不用填写。</w:t>
      </w:r>
    </w:p>
    <w:p w14:paraId="5BEED19B">
      <w:pPr>
        <w:spacing w:line="360" w:lineRule="auto"/>
        <w:rPr>
          <w:rFonts w:ascii="仿宋" w:hAnsi="仿宋" w:eastAsia="仿宋" w:cs="仿宋"/>
          <w:color w:val="000000"/>
          <w:sz w:val="24"/>
          <w:szCs w:val="24"/>
          <w:highlight w:val="none"/>
        </w:rPr>
      </w:pPr>
    </w:p>
    <w:p w14:paraId="5A00B56A">
      <w:pPr>
        <w:spacing w:line="360" w:lineRule="auto"/>
        <w:rPr>
          <w:rFonts w:ascii="宋体" w:hAnsi="宋体"/>
          <w:color w:val="auto"/>
          <w:sz w:val="24"/>
          <w:highlight w:val="none"/>
        </w:rPr>
      </w:pPr>
      <w:r>
        <w:rPr>
          <w:rFonts w:hint="eastAsia" w:ascii="宋体" w:hAnsi="宋体"/>
          <w:color w:val="auto"/>
          <w:sz w:val="24"/>
          <w:highlight w:val="none"/>
        </w:rPr>
        <w:t>投标人</w:t>
      </w:r>
      <w:r>
        <w:rPr>
          <w:rFonts w:hint="eastAsia" w:ascii="宋体" w:hAnsi="宋体"/>
          <w:color w:val="auto"/>
          <w:sz w:val="24"/>
          <w:highlight w:val="none"/>
          <w:lang w:val="en-US" w:eastAsia="zh-CN"/>
        </w:rPr>
        <w:t>全称</w:t>
      </w:r>
      <w:r>
        <w:rPr>
          <w:rFonts w:hint="eastAsia" w:ascii="宋体" w:hAnsi="宋体"/>
          <w:color w:val="auto"/>
          <w:sz w:val="24"/>
          <w:highlight w:val="none"/>
        </w:rPr>
        <w:t>：</w:t>
      </w:r>
      <w:r>
        <w:rPr>
          <w:rFonts w:hint="eastAsia" w:ascii="宋体" w:hAnsi="宋体"/>
          <w:color w:val="auto"/>
          <w:sz w:val="24"/>
          <w:highlight w:val="none"/>
          <w:u w:val="single"/>
        </w:rPr>
        <w:t xml:space="preserve">                                    </w:t>
      </w:r>
      <w:r>
        <w:rPr>
          <w:rFonts w:hint="eastAsia" w:ascii="宋体" w:hAnsi="宋体"/>
          <w:color w:val="auto"/>
          <w:sz w:val="24"/>
          <w:highlight w:val="none"/>
        </w:rPr>
        <w:t>（电子签章）</w:t>
      </w:r>
    </w:p>
    <w:p w14:paraId="485075CF">
      <w:pPr>
        <w:spacing w:line="360" w:lineRule="auto"/>
        <w:rPr>
          <w:rFonts w:ascii="宋体" w:hAnsi="宋体"/>
          <w:color w:val="auto"/>
          <w:sz w:val="24"/>
          <w:highlight w:val="none"/>
        </w:rPr>
      </w:pPr>
      <w:r>
        <w:rPr>
          <w:rFonts w:hint="eastAsia" w:ascii="宋体" w:hAnsi="宋体"/>
          <w:color w:val="auto"/>
          <w:sz w:val="24"/>
          <w:highlight w:val="none"/>
        </w:rPr>
        <w:t>法定代表人或其委托代理人：</w:t>
      </w:r>
      <w:r>
        <w:rPr>
          <w:rFonts w:hint="eastAsia" w:ascii="宋体" w:hAnsi="宋体"/>
          <w:color w:val="auto"/>
          <w:sz w:val="24"/>
          <w:highlight w:val="none"/>
          <w:u w:val="single"/>
        </w:rPr>
        <w:t xml:space="preserve">                     </w:t>
      </w:r>
      <w:r>
        <w:rPr>
          <w:rFonts w:hint="eastAsia" w:ascii="宋体" w:hAnsi="宋体"/>
          <w:color w:val="auto"/>
          <w:sz w:val="24"/>
          <w:highlight w:val="none"/>
        </w:rPr>
        <w:t>（电子签章）</w:t>
      </w:r>
    </w:p>
    <w:p w14:paraId="6B992A16">
      <w:pPr>
        <w:spacing w:line="360" w:lineRule="auto"/>
        <w:jc w:val="left"/>
        <w:rPr>
          <w:rFonts w:ascii="仿宋" w:hAnsi="仿宋" w:eastAsia="仿宋" w:cs="仿宋"/>
          <w:color w:val="000000"/>
          <w:sz w:val="24"/>
          <w:szCs w:val="24"/>
          <w:highlight w:val="none"/>
        </w:rPr>
      </w:pPr>
      <w:r>
        <w:rPr>
          <w:rFonts w:hint="eastAsia"/>
          <w:color w:val="auto"/>
          <w:sz w:val="24"/>
          <w:szCs w:val="24"/>
          <w:highlight w:val="none"/>
        </w:rPr>
        <w:t>日期：</w:t>
      </w:r>
      <w:r>
        <w:rPr>
          <w:rFonts w:hint="eastAsia"/>
          <w:color w:val="auto"/>
          <w:sz w:val="24"/>
          <w:szCs w:val="24"/>
          <w:highlight w:val="none"/>
          <w:u w:val="single"/>
        </w:rPr>
        <w:t xml:space="preserve">      </w:t>
      </w:r>
      <w:r>
        <w:rPr>
          <w:rFonts w:hint="eastAsia"/>
          <w:color w:val="auto"/>
          <w:sz w:val="24"/>
          <w:szCs w:val="24"/>
          <w:highlight w:val="none"/>
        </w:rPr>
        <w:t>年</w:t>
      </w:r>
      <w:r>
        <w:rPr>
          <w:rFonts w:hint="eastAsia"/>
          <w:color w:val="auto"/>
          <w:sz w:val="24"/>
          <w:szCs w:val="24"/>
          <w:highlight w:val="none"/>
          <w:u w:val="single"/>
        </w:rPr>
        <w:t xml:space="preserve">     </w:t>
      </w:r>
      <w:r>
        <w:rPr>
          <w:rFonts w:hint="eastAsia"/>
          <w:color w:val="auto"/>
          <w:sz w:val="24"/>
          <w:szCs w:val="24"/>
          <w:highlight w:val="none"/>
        </w:rPr>
        <w:t>月</w:t>
      </w:r>
      <w:r>
        <w:rPr>
          <w:rFonts w:hint="eastAsia"/>
          <w:color w:val="auto"/>
          <w:sz w:val="24"/>
          <w:szCs w:val="24"/>
          <w:highlight w:val="none"/>
          <w:u w:val="single"/>
        </w:rPr>
        <w:t xml:space="preserve">      </w:t>
      </w:r>
      <w:r>
        <w:rPr>
          <w:rFonts w:hint="eastAsia"/>
          <w:color w:val="auto"/>
          <w:sz w:val="24"/>
          <w:szCs w:val="24"/>
          <w:highlight w:val="none"/>
        </w:rPr>
        <w:t>日</w:t>
      </w:r>
    </w:p>
    <w:p w14:paraId="789A07CD">
      <w:pPr>
        <w:pStyle w:val="2"/>
        <w:rPr>
          <w:highlight w:val="none"/>
        </w:rPr>
        <w:sectPr>
          <w:pgSz w:w="16838" w:h="11906" w:orient="landscape"/>
          <w:pgMar w:top="1418" w:right="1418" w:bottom="1134" w:left="1134" w:header="935" w:footer="720" w:gutter="0"/>
          <w:pgBorders>
            <w:top w:val="none" w:sz="0" w:space="0"/>
            <w:left w:val="none" w:sz="0" w:space="0"/>
            <w:bottom w:val="none" w:sz="0" w:space="0"/>
            <w:right w:val="none" w:sz="0" w:space="0"/>
          </w:pgBorders>
          <w:cols w:space="720" w:num="1"/>
          <w:docGrid w:type="linesAndChars" w:linePitch="331" w:charSpace="0"/>
        </w:sectPr>
      </w:pPr>
    </w:p>
    <w:p w14:paraId="0CB75FBF">
      <w:pPr>
        <w:widowControl/>
        <w:jc w:val="left"/>
        <w:rPr>
          <w:rFonts w:hint="eastAsia" w:ascii="宋体" w:hAnsi="宋体" w:eastAsia="宋体" w:cs="宋体"/>
          <w:color w:val="auto"/>
          <w:highlight w:val="none"/>
        </w:rPr>
      </w:pPr>
    </w:p>
    <w:p w14:paraId="5F7C6EE9">
      <w:pPr>
        <w:pStyle w:val="3"/>
        <w:numPr>
          <w:ilvl w:val="0"/>
          <w:numId w:val="0"/>
        </w:numPr>
        <w:tabs>
          <w:tab w:val="clear" w:pos="360"/>
        </w:tabs>
        <w:spacing w:before="0"/>
        <w:jc w:val="center"/>
        <w:rPr>
          <w:rFonts w:hint="eastAsia" w:ascii="宋体" w:hAnsi="宋体" w:eastAsia="宋体" w:cs="宋体"/>
          <w:color w:val="auto"/>
          <w:szCs w:val="28"/>
          <w:highlight w:val="none"/>
        </w:rPr>
      </w:pPr>
      <w:bookmarkStart w:id="186" w:name="_Toc6297"/>
      <w:bookmarkStart w:id="187" w:name="_Toc11146"/>
      <w:r>
        <w:rPr>
          <w:rFonts w:hint="eastAsia" w:ascii="宋体" w:hAnsi="宋体" w:eastAsia="宋体" w:cs="宋体"/>
          <w:color w:val="auto"/>
          <w:szCs w:val="28"/>
          <w:highlight w:val="none"/>
        </w:rPr>
        <w:t>格式</w:t>
      </w:r>
      <w:r>
        <w:rPr>
          <w:rFonts w:hint="eastAsia" w:ascii="宋体" w:hAnsi="宋体" w:eastAsia="宋体" w:cs="宋体"/>
          <w:color w:val="auto"/>
          <w:szCs w:val="28"/>
          <w:highlight w:val="none"/>
          <w:lang w:val="en-US" w:eastAsia="zh-CN"/>
        </w:rPr>
        <w:t>7</w:t>
      </w:r>
      <w:r>
        <w:rPr>
          <w:rFonts w:hint="eastAsia" w:ascii="宋体" w:hAnsi="宋体" w:eastAsia="宋体" w:cs="宋体"/>
          <w:color w:val="auto"/>
          <w:szCs w:val="28"/>
          <w:highlight w:val="none"/>
        </w:rPr>
        <w:t>：开标（唱标）一览表</w:t>
      </w:r>
      <w:bookmarkEnd w:id="151"/>
      <w:bookmarkEnd w:id="152"/>
      <w:bookmarkEnd w:id="186"/>
      <w:bookmarkEnd w:id="187"/>
    </w:p>
    <w:p w14:paraId="65F10D0B">
      <w:pPr>
        <w:rPr>
          <w:rFonts w:hint="eastAsia" w:ascii="宋体" w:hAnsi="宋体" w:eastAsia="宋体" w:cs="宋体"/>
          <w:color w:val="auto"/>
          <w:highlight w:val="none"/>
        </w:rPr>
      </w:pPr>
    </w:p>
    <w:p w14:paraId="697CB905">
      <w:pPr>
        <w:spacing w:after="66" w:afterLines="20" w:line="420" w:lineRule="exact"/>
        <w:ind w:left="0" w:leftChars="0" w:firstLine="0" w:firstLineChars="0"/>
        <w:rPr>
          <w:rFonts w:hint="eastAsia" w:ascii="宋体" w:hAnsi="宋体" w:eastAsia="宋体" w:cs="宋体"/>
          <w:bCs/>
          <w:color w:val="auto"/>
          <w:sz w:val="24"/>
          <w:highlight w:val="none"/>
          <w:u w:val="single"/>
          <w:lang w:val="en-US" w:eastAsia="zh-CN"/>
        </w:rPr>
      </w:pPr>
      <w:r>
        <w:rPr>
          <w:rFonts w:hint="eastAsia" w:ascii="宋体" w:hAnsi="宋体" w:eastAsia="宋体" w:cs="宋体"/>
          <w:color w:val="auto"/>
          <w:spacing w:val="10"/>
          <w:sz w:val="24"/>
          <w:highlight w:val="none"/>
        </w:rPr>
        <w:t>项目名称：</w:t>
      </w:r>
      <w:r>
        <w:rPr>
          <w:rFonts w:hint="eastAsia" w:ascii="宋体" w:hAnsi="宋体" w:cs="宋体"/>
          <w:bCs/>
          <w:color w:val="auto"/>
          <w:sz w:val="24"/>
          <w:highlight w:val="none"/>
          <w:lang w:eastAsia="zh-CN"/>
        </w:rPr>
        <w:t>云南省第三次全国土壤普查土壤样品库和数据库建设项目样品储存架等设备采购（二次招标）</w:t>
      </w:r>
    </w:p>
    <w:p w14:paraId="67428F6E">
      <w:pPr>
        <w:spacing w:after="66" w:afterLines="20" w:line="420" w:lineRule="exact"/>
        <w:rPr>
          <w:rFonts w:hint="eastAsia" w:ascii="宋体" w:hAnsi="宋体" w:eastAsia="宋体" w:cs="宋体"/>
          <w:color w:val="auto"/>
          <w:spacing w:val="10"/>
          <w:sz w:val="24"/>
          <w:highlight w:val="none"/>
          <w:lang w:eastAsia="zh-CN"/>
        </w:rPr>
      </w:pPr>
      <w:r>
        <w:rPr>
          <w:rFonts w:hint="eastAsia" w:ascii="宋体" w:hAnsi="宋体" w:eastAsia="宋体" w:cs="宋体"/>
          <w:color w:val="auto"/>
          <w:spacing w:val="10"/>
          <w:sz w:val="24"/>
          <w:highlight w:val="none"/>
        </w:rPr>
        <w:t>招标编号：</w:t>
      </w:r>
      <w:r>
        <w:rPr>
          <w:rFonts w:hint="eastAsia" w:ascii="宋体" w:hAnsi="宋体" w:cs="宋体"/>
          <w:bCs/>
          <w:color w:val="auto"/>
          <w:spacing w:val="6"/>
          <w:sz w:val="24"/>
          <w:highlight w:val="none"/>
          <w:lang w:eastAsia="zh-CN"/>
        </w:rPr>
        <w:t>ZG-2026084</w:t>
      </w:r>
    </w:p>
    <w:tbl>
      <w:tblPr>
        <w:tblStyle w:val="33"/>
        <w:tblW w:w="95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79"/>
        <w:gridCol w:w="2265"/>
        <w:gridCol w:w="1731"/>
        <w:gridCol w:w="2287"/>
      </w:tblGrid>
      <w:tr w14:paraId="5E712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3" w:hRule="atLeast"/>
          <w:jc w:val="center"/>
        </w:trPr>
        <w:tc>
          <w:tcPr>
            <w:tcW w:w="3279" w:type="dxa"/>
            <w:vAlign w:val="center"/>
          </w:tcPr>
          <w:p w14:paraId="5F4E6549">
            <w:pPr>
              <w:pStyle w:val="10"/>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投标总价（元）</w:t>
            </w:r>
          </w:p>
        </w:tc>
        <w:tc>
          <w:tcPr>
            <w:tcW w:w="2265" w:type="dxa"/>
            <w:vAlign w:val="center"/>
          </w:tcPr>
          <w:p w14:paraId="0B3E4E6B">
            <w:pPr>
              <w:pStyle w:val="10"/>
              <w:ind w:firstLine="0"/>
              <w:jc w:val="center"/>
              <w:rPr>
                <w:rFonts w:hint="eastAsia" w:ascii="宋体" w:hAnsi="宋体" w:eastAsia="宋体" w:cs="宋体"/>
                <w:color w:val="auto"/>
                <w:sz w:val="24"/>
                <w:szCs w:val="24"/>
                <w:highlight w:val="none"/>
              </w:rPr>
            </w:pPr>
            <w:bookmarkStart w:id="188" w:name="OLE_LINK29"/>
            <w:bookmarkStart w:id="189" w:name="OLE_LINK30"/>
            <w:r>
              <w:rPr>
                <w:rFonts w:hint="eastAsia" w:ascii="宋体" w:hAnsi="宋体" w:eastAsia="宋体" w:cs="宋体"/>
                <w:color w:val="auto"/>
                <w:sz w:val="24"/>
                <w:highlight w:val="none"/>
              </w:rPr>
              <w:t>交货及安装调试期</w:t>
            </w:r>
            <w:bookmarkEnd w:id="188"/>
            <w:bookmarkEnd w:id="189"/>
          </w:p>
        </w:tc>
        <w:tc>
          <w:tcPr>
            <w:tcW w:w="1731" w:type="dxa"/>
            <w:vAlign w:val="center"/>
          </w:tcPr>
          <w:p w14:paraId="31A279D2">
            <w:pPr>
              <w:pStyle w:val="10"/>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免费质保期</w:t>
            </w:r>
          </w:p>
        </w:tc>
        <w:tc>
          <w:tcPr>
            <w:tcW w:w="2287" w:type="dxa"/>
            <w:vAlign w:val="center"/>
          </w:tcPr>
          <w:p w14:paraId="2EDD6CF8">
            <w:pPr>
              <w:pStyle w:val="10"/>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559FA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1" w:hRule="atLeast"/>
          <w:jc w:val="center"/>
        </w:trPr>
        <w:tc>
          <w:tcPr>
            <w:tcW w:w="3279" w:type="dxa"/>
            <w:tcBorders>
              <w:bottom w:val="single" w:color="auto" w:sz="4" w:space="0"/>
            </w:tcBorders>
          </w:tcPr>
          <w:p w14:paraId="706FF367">
            <w:pPr>
              <w:pStyle w:val="10"/>
              <w:ind w:firstLine="0"/>
              <w:rPr>
                <w:rFonts w:hint="eastAsia" w:ascii="宋体" w:hAnsi="宋体" w:eastAsia="宋体" w:cs="宋体"/>
                <w:color w:val="auto"/>
                <w:sz w:val="24"/>
                <w:szCs w:val="24"/>
                <w:highlight w:val="none"/>
              </w:rPr>
            </w:pPr>
          </w:p>
          <w:p w14:paraId="6471CC0B">
            <w:pPr>
              <w:pStyle w:val="10"/>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小写：</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p>
          <w:p w14:paraId="047C6068">
            <w:pPr>
              <w:pStyle w:val="10"/>
              <w:spacing w:line="360" w:lineRule="auto"/>
              <w:ind w:firstLine="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大写：人民币</w:t>
            </w:r>
            <w:r>
              <w:rPr>
                <w:rFonts w:hint="eastAsia" w:ascii="宋体" w:hAnsi="宋体" w:eastAsia="宋体" w:cs="宋体"/>
                <w:color w:val="auto"/>
                <w:sz w:val="24"/>
                <w:szCs w:val="24"/>
                <w:highlight w:val="none"/>
                <w:u w:val="single"/>
              </w:rPr>
              <w:t xml:space="preserve">             </w:t>
            </w:r>
          </w:p>
        </w:tc>
        <w:tc>
          <w:tcPr>
            <w:tcW w:w="2265" w:type="dxa"/>
            <w:tcBorders>
              <w:bottom w:val="single" w:color="auto" w:sz="4" w:space="0"/>
            </w:tcBorders>
          </w:tcPr>
          <w:p w14:paraId="3E7A4EFE">
            <w:pPr>
              <w:pStyle w:val="10"/>
              <w:ind w:firstLine="0"/>
              <w:rPr>
                <w:rFonts w:hint="eastAsia" w:ascii="宋体" w:hAnsi="宋体" w:eastAsia="宋体" w:cs="宋体"/>
                <w:color w:val="auto"/>
                <w:sz w:val="24"/>
                <w:szCs w:val="24"/>
                <w:highlight w:val="none"/>
              </w:rPr>
            </w:pPr>
          </w:p>
        </w:tc>
        <w:tc>
          <w:tcPr>
            <w:tcW w:w="1731" w:type="dxa"/>
            <w:tcBorders>
              <w:bottom w:val="single" w:color="auto" w:sz="4" w:space="0"/>
            </w:tcBorders>
          </w:tcPr>
          <w:p w14:paraId="2D2773EC">
            <w:pPr>
              <w:pStyle w:val="10"/>
              <w:ind w:firstLine="0"/>
              <w:rPr>
                <w:rFonts w:hint="eastAsia" w:ascii="宋体" w:hAnsi="宋体" w:eastAsia="宋体" w:cs="宋体"/>
                <w:color w:val="auto"/>
                <w:sz w:val="24"/>
                <w:szCs w:val="24"/>
                <w:highlight w:val="none"/>
              </w:rPr>
            </w:pPr>
          </w:p>
        </w:tc>
        <w:tc>
          <w:tcPr>
            <w:tcW w:w="2287" w:type="dxa"/>
            <w:tcBorders>
              <w:bottom w:val="single" w:color="auto" w:sz="4" w:space="0"/>
            </w:tcBorders>
          </w:tcPr>
          <w:p w14:paraId="6186B9E1">
            <w:pPr>
              <w:pStyle w:val="10"/>
              <w:ind w:firstLine="0"/>
              <w:rPr>
                <w:rFonts w:hint="eastAsia" w:ascii="宋体" w:hAnsi="宋体" w:eastAsia="宋体" w:cs="宋体"/>
                <w:color w:val="auto"/>
                <w:sz w:val="24"/>
                <w:szCs w:val="24"/>
                <w:highlight w:val="none"/>
              </w:rPr>
            </w:pPr>
          </w:p>
        </w:tc>
      </w:tr>
    </w:tbl>
    <w:p w14:paraId="4BD634F5">
      <w:pPr>
        <w:pStyle w:val="10"/>
        <w:spacing w:line="360" w:lineRule="exact"/>
        <w:ind w:firstLine="629"/>
        <w:rPr>
          <w:rFonts w:hint="eastAsia" w:ascii="宋体" w:hAnsi="宋体" w:eastAsia="宋体" w:cs="宋体"/>
          <w:color w:val="auto"/>
          <w:sz w:val="24"/>
          <w:szCs w:val="24"/>
          <w:highlight w:val="none"/>
        </w:rPr>
      </w:pPr>
    </w:p>
    <w:p w14:paraId="03C66C49">
      <w:pPr>
        <w:pStyle w:val="10"/>
        <w:spacing w:line="360" w:lineRule="exact"/>
        <w:ind w:firstLine="631"/>
        <w:rPr>
          <w:rFonts w:hint="eastAsia" w:ascii="宋体" w:hAnsi="宋体" w:eastAsia="宋体" w:cs="宋体"/>
          <w:b/>
          <w:color w:val="auto"/>
          <w:sz w:val="24"/>
          <w:szCs w:val="24"/>
          <w:highlight w:val="none"/>
        </w:rPr>
      </w:pPr>
    </w:p>
    <w:p w14:paraId="7AA71D1D">
      <w:pPr>
        <w:rPr>
          <w:rFonts w:hint="eastAsia" w:ascii="宋体" w:hAnsi="宋体" w:eastAsia="宋体" w:cs="宋体"/>
          <w:color w:val="auto"/>
          <w:highlight w:val="none"/>
        </w:rPr>
      </w:pPr>
    </w:p>
    <w:p w14:paraId="6B401D37">
      <w:pPr>
        <w:pStyle w:val="15"/>
        <w:ind w:firstLine="629"/>
        <w:rPr>
          <w:rFonts w:hint="eastAsia" w:ascii="宋体" w:hAnsi="宋体" w:eastAsia="宋体" w:cs="宋体"/>
          <w:color w:val="auto"/>
          <w:highlight w:val="none"/>
        </w:rPr>
      </w:pPr>
    </w:p>
    <w:p w14:paraId="4A3FB9D3">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 标 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（电子签章）</w:t>
      </w:r>
    </w:p>
    <w:p w14:paraId="2CFD6B5E">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法定代表人或其委托代理人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（电子签章）</w:t>
      </w:r>
    </w:p>
    <w:p w14:paraId="3F51849B">
      <w:pPr>
        <w:pStyle w:val="21"/>
        <w:spacing w:line="360" w:lineRule="auto"/>
        <w:rPr>
          <w:rFonts w:hint="eastAsia" w:ascii="宋体" w:hAnsi="宋体" w:eastAsia="宋体" w:cs="宋体"/>
          <w:color w:val="auto"/>
          <w:szCs w:val="21"/>
          <w:highlight w:val="none"/>
          <w:u w:val="single"/>
        </w:rPr>
        <w:sectPr>
          <w:pgSz w:w="11906" w:h="16838"/>
          <w:pgMar w:top="1418" w:right="1134" w:bottom="1134" w:left="1418" w:header="935" w:footer="720" w:gutter="0"/>
          <w:pgBorders>
            <w:top w:val="none" w:sz="0" w:space="0"/>
            <w:left w:val="none" w:sz="0" w:space="0"/>
            <w:bottom w:val="none" w:sz="0" w:space="0"/>
            <w:right w:val="none" w:sz="0" w:space="0"/>
          </w:pgBorders>
          <w:cols w:space="720" w:num="1"/>
          <w:docGrid w:type="linesAndChars" w:linePitch="331" w:charSpace="0"/>
        </w:sect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052BF17A">
      <w:pPr>
        <w:bidi w:val="0"/>
        <w:rPr>
          <w:rFonts w:hint="eastAsia"/>
          <w:highlight w:val="none"/>
        </w:rPr>
      </w:pPr>
      <w:bookmarkStart w:id="190" w:name="_Toc16310"/>
      <w:bookmarkStart w:id="191" w:name="_Toc4163"/>
      <w:bookmarkStart w:id="192" w:name="_Toc150703259"/>
    </w:p>
    <w:p w14:paraId="26D9D80A">
      <w:pPr>
        <w:pStyle w:val="3"/>
        <w:numPr>
          <w:ilvl w:val="0"/>
          <w:numId w:val="0"/>
        </w:numPr>
        <w:tabs>
          <w:tab w:val="clear" w:pos="360"/>
        </w:tabs>
        <w:spacing w:before="0"/>
        <w:jc w:val="center"/>
        <w:rPr>
          <w:rFonts w:hint="eastAsia" w:ascii="宋体" w:hAnsi="宋体" w:eastAsia="宋体" w:cs="宋体"/>
          <w:color w:val="auto"/>
          <w:szCs w:val="28"/>
          <w:highlight w:val="none"/>
        </w:rPr>
      </w:pPr>
      <w:bookmarkStart w:id="193" w:name="_Toc3770"/>
      <w:r>
        <w:rPr>
          <w:rFonts w:hint="eastAsia" w:ascii="宋体" w:hAnsi="宋体" w:eastAsia="宋体" w:cs="宋体"/>
          <w:color w:val="auto"/>
          <w:szCs w:val="28"/>
          <w:highlight w:val="none"/>
        </w:rPr>
        <w:t>格式</w:t>
      </w:r>
      <w:r>
        <w:rPr>
          <w:rFonts w:hint="eastAsia" w:ascii="宋体" w:hAnsi="宋体" w:eastAsia="宋体" w:cs="宋体"/>
          <w:color w:val="auto"/>
          <w:szCs w:val="28"/>
          <w:highlight w:val="none"/>
          <w:lang w:val="en-US" w:eastAsia="zh-CN"/>
        </w:rPr>
        <w:t>8</w:t>
      </w:r>
      <w:r>
        <w:rPr>
          <w:rFonts w:hint="eastAsia" w:ascii="宋体" w:hAnsi="宋体" w:eastAsia="宋体" w:cs="宋体"/>
          <w:color w:val="auto"/>
          <w:szCs w:val="28"/>
          <w:highlight w:val="none"/>
        </w:rPr>
        <w:t>：投标分项报价一览表</w:t>
      </w:r>
      <w:bookmarkEnd w:id="190"/>
      <w:bookmarkEnd w:id="191"/>
      <w:bookmarkEnd w:id="192"/>
      <w:bookmarkEnd w:id="193"/>
    </w:p>
    <w:p w14:paraId="469A4A37">
      <w:pPr>
        <w:spacing w:after="66" w:afterLines="20" w:line="420" w:lineRule="exact"/>
        <w:ind w:left="0" w:leftChars="0" w:firstLine="0" w:firstLineChars="0"/>
        <w:rPr>
          <w:rFonts w:hint="eastAsia" w:ascii="宋体" w:hAnsi="宋体" w:eastAsia="宋体" w:cs="宋体"/>
          <w:color w:val="auto"/>
          <w:spacing w:val="10"/>
          <w:sz w:val="24"/>
          <w:highlight w:val="none"/>
        </w:rPr>
      </w:pPr>
    </w:p>
    <w:p w14:paraId="14A3DC8E">
      <w:pPr>
        <w:spacing w:after="66" w:afterLines="20" w:line="420" w:lineRule="exact"/>
        <w:ind w:left="0" w:leftChars="0" w:firstLine="0" w:firstLineChars="0"/>
        <w:rPr>
          <w:rFonts w:hint="eastAsia" w:ascii="宋体" w:hAnsi="宋体" w:eastAsia="宋体" w:cs="宋体"/>
          <w:bCs/>
          <w:color w:val="auto"/>
          <w:sz w:val="24"/>
          <w:highlight w:val="none"/>
          <w:u w:val="single"/>
          <w:lang w:val="en-US" w:eastAsia="zh-CN"/>
        </w:rPr>
      </w:pPr>
      <w:r>
        <w:rPr>
          <w:rFonts w:hint="eastAsia" w:ascii="宋体" w:hAnsi="宋体" w:eastAsia="宋体" w:cs="宋体"/>
          <w:color w:val="auto"/>
          <w:spacing w:val="10"/>
          <w:sz w:val="24"/>
          <w:highlight w:val="none"/>
        </w:rPr>
        <w:t>项目名称：</w:t>
      </w:r>
      <w:r>
        <w:rPr>
          <w:rFonts w:hint="eastAsia" w:ascii="宋体" w:hAnsi="宋体" w:cs="宋体"/>
          <w:bCs/>
          <w:color w:val="auto"/>
          <w:sz w:val="24"/>
          <w:highlight w:val="none"/>
          <w:lang w:eastAsia="zh-CN"/>
        </w:rPr>
        <w:t>云南省第三次全国土壤普查土壤样品库和数据库建设项目样品储存架等设备采购（二次招标）</w:t>
      </w:r>
    </w:p>
    <w:p w14:paraId="481B0B70">
      <w:pPr>
        <w:spacing w:after="66" w:afterLines="20" w:line="420" w:lineRule="exact"/>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rPr>
        <w:t>招标编号：</w:t>
      </w:r>
      <w:r>
        <w:rPr>
          <w:rFonts w:hint="eastAsia" w:ascii="宋体" w:hAnsi="宋体" w:cs="宋体"/>
          <w:bCs/>
          <w:color w:val="auto"/>
          <w:spacing w:val="6"/>
          <w:sz w:val="24"/>
          <w:highlight w:val="none"/>
          <w:lang w:eastAsia="zh-CN"/>
        </w:rPr>
        <w:t>ZG-2026084</w:t>
      </w:r>
    </w:p>
    <w:tbl>
      <w:tblPr>
        <w:tblStyle w:val="33"/>
        <w:tblW w:w="93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1"/>
        <w:gridCol w:w="966"/>
        <w:gridCol w:w="1108"/>
        <w:gridCol w:w="1108"/>
        <w:gridCol w:w="1108"/>
        <w:gridCol w:w="1034"/>
        <w:gridCol w:w="1334"/>
        <w:gridCol w:w="1359"/>
      </w:tblGrid>
      <w:tr w14:paraId="7BDE1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1371" w:type="dxa"/>
            <w:shd w:val="clear" w:color="000000" w:fill="FFFFFF"/>
            <w:noWrap/>
            <w:vAlign w:val="center"/>
          </w:tcPr>
          <w:p w14:paraId="743C32E9">
            <w:pPr>
              <w:widowControl/>
              <w:jc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lang w:val="en-US" w:eastAsia="zh-CN"/>
              </w:rPr>
              <w:t>产品</w:t>
            </w:r>
            <w:r>
              <w:rPr>
                <w:rFonts w:hint="eastAsia" w:ascii="宋体" w:hAnsi="宋体" w:eastAsia="宋体" w:cs="宋体"/>
                <w:bCs/>
                <w:color w:val="auto"/>
                <w:kern w:val="0"/>
                <w:sz w:val="24"/>
                <w:szCs w:val="24"/>
                <w:highlight w:val="none"/>
              </w:rPr>
              <w:t>名称</w:t>
            </w:r>
          </w:p>
        </w:tc>
        <w:tc>
          <w:tcPr>
            <w:tcW w:w="966" w:type="dxa"/>
            <w:shd w:val="clear" w:color="000000" w:fill="FFFFFF"/>
            <w:vAlign w:val="center"/>
          </w:tcPr>
          <w:p w14:paraId="22BFB68F">
            <w:pPr>
              <w:widowControl/>
              <w:jc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品牌</w:t>
            </w:r>
          </w:p>
        </w:tc>
        <w:tc>
          <w:tcPr>
            <w:tcW w:w="1108" w:type="dxa"/>
            <w:shd w:val="clear" w:color="000000" w:fill="FFFFFF"/>
            <w:vAlign w:val="center"/>
          </w:tcPr>
          <w:p w14:paraId="13E30C9F">
            <w:pPr>
              <w:widowControl/>
              <w:jc w:val="center"/>
              <w:rPr>
                <w:rFonts w:hint="eastAsia" w:ascii="宋体" w:hAnsi="宋体" w:eastAsia="宋体" w:cs="宋体"/>
                <w:bCs/>
                <w:color w:val="auto"/>
                <w:kern w:val="0"/>
                <w:sz w:val="24"/>
                <w:szCs w:val="24"/>
                <w:highlight w:val="none"/>
                <w:lang w:val="en-US" w:eastAsia="zh-CN"/>
              </w:rPr>
            </w:pPr>
            <w:bookmarkStart w:id="194" w:name="OLE_LINK32"/>
            <w:bookmarkStart w:id="195" w:name="OLE_LINK31"/>
            <w:r>
              <w:rPr>
                <w:rFonts w:hint="eastAsia" w:ascii="宋体" w:hAnsi="宋体" w:eastAsia="宋体" w:cs="宋体"/>
                <w:bCs/>
                <w:color w:val="auto"/>
                <w:kern w:val="0"/>
                <w:sz w:val="24"/>
                <w:szCs w:val="24"/>
                <w:highlight w:val="none"/>
                <w:lang w:val="en-US" w:eastAsia="zh-CN"/>
              </w:rPr>
              <w:t>制造商</w:t>
            </w:r>
          </w:p>
        </w:tc>
        <w:tc>
          <w:tcPr>
            <w:tcW w:w="1108" w:type="dxa"/>
            <w:shd w:val="clear" w:color="000000" w:fill="FFFFFF"/>
            <w:vAlign w:val="center"/>
          </w:tcPr>
          <w:p w14:paraId="38258FEB">
            <w:pPr>
              <w:widowControl/>
              <w:jc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规格</w:t>
            </w:r>
            <w:r>
              <w:rPr>
                <w:rFonts w:hint="eastAsia" w:ascii="宋体" w:hAnsi="宋体" w:eastAsia="宋体" w:cs="宋体"/>
                <w:bCs/>
                <w:color w:val="auto"/>
                <w:kern w:val="0"/>
                <w:sz w:val="24"/>
                <w:szCs w:val="24"/>
                <w:highlight w:val="none"/>
                <w:lang w:eastAsia="zh-CN"/>
              </w:rPr>
              <w:t>、</w:t>
            </w:r>
            <w:r>
              <w:rPr>
                <w:rFonts w:hint="eastAsia" w:ascii="宋体" w:hAnsi="宋体" w:eastAsia="宋体" w:cs="宋体"/>
                <w:bCs/>
                <w:color w:val="auto"/>
                <w:kern w:val="0"/>
                <w:sz w:val="24"/>
                <w:szCs w:val="24"/>
                <w:highlight w:val="none"/>
              </w:rPr>
              <w:t>型号</w:t>
            </w:r>
            <w:bookmarkEnd w:id="194"/>
            <w:bookmarkEnd w:id="195"/>
          </w:p>
        </w:tc>
        <w:tc>
          <w:tcPr>
            <w:tcW w:w="1108" w:type="dxa"/>
            <w:shd w:val="clear" w:color="000000" w:fill="FFFFFF"/>
            <w:vAlign w:val="center"/>
          </w:tcPr>
          <w:p w14:paraId="21409685">
            <w:pPr>
              <w:widowControl/>
              <w:jc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数量</w:t>
            </w:r>
          </w:p>
        </w:tc>
        <w:tc>
          <w:tcPr>
            <w:tcW w:w="1034" w:type="dxa"/>
            <w:shd w:val="clear" w:color="000000" w:fill="FFFFFF"/>
            <w:vAlign w:val="center"/>
          </w:tcPr>
          <w:p w14:paraId="5C934EAE">
            <w:pPr>
              <w:widowControl/>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bCs/>
                <w:color w:val="auto"/>
                <w:kern w:val="0"/>
                <w:sz w:val="24"/>
                <w:szCs w:val="24"/>
                <w:highlight w:val="none"/>
                <w:lang w:val="en-US" w:eastAsia="zh-CN"/>
              </w:rPr>
              <w:t>国别</w:t>
            </w:r>
          </w:p>
        </w:tc>
        <w:tc>
          <w:tcPr>
            <w:tcW w:w="1334" w:type="dxa"/>
            <w:shd w:val="clear" w:color="000000" w:fill="FFFFFF"/>
            <w:vAlign w:val="center"/>
          </w:tcPr>
          <w:p w14:paraId="08EC9091">
            <w:pPr>
              <w:widowControl/>
              <w:jc w:val="center"/>
              <w:rPr>
                <w:rFonts w:hint="eastAsia" w:ascii="宋体" w:hAnsi="宋体" w:eastAsia="宋体" w:cs="宋体"/>
                <w:color w:val="auto"/>
                <w:kern w:val="0"/>
                <w:sz w:val="24"/>
                <w:szCs w:val="24"/>
                <w:highlight w:val="none"/>
              </w:rPr>
            </w:pPr>
            <w:r>
              <w:rPr>
                <w:rFonts w:hint="eastAsia" w:ascii="宋体" w:hAnsi="宋体" w:eastAsia="宋体" w:cs="宋体"/>
                <w:bCs/>
                <w:color w:val="auto"/>
                <w:kern w:val="0"/>
                <w:sz w:val="24"/>
                <w:szCs w:val="24"/>
                <w:highlight w:val="none"/>
              </w:rPr>
              <w:t>投标单价（元）</w:t>
            </w:r>
          </w:p>
        </w:tc>
        <w:tc>
          <w:tcPr>
            <w:tcW w:w="1359" w:type="dxa"/>
            <w:shd w:val="clear" w:color="000000" w:fill="FFFFFF"/>
            <w:vAlign w:val="center"/>
          </w:tcPr>
          <w:p w14:paraId="6AF5AF7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bCs/>
                <w:color w:val="auto"/>
                <w:kern w:val="0"/>
                <w:sz w:val="24"/>
                <w:szCs w:val="24"/>
                <w:highlight w:val="none"/>
              </w:rPr>
              <w:t>投标合价（元）</w:t>
            </w:r>
          </w:p>
        </w:tc>
      </w:tr>
      <w:tr w14:paraId="08EF2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1371" w:type="dxa"/>
            <w:shd w:val="clear" w:color="000000" w:fill="FFFFFF"/>
            <w:noWrap/>
            <w:vAlign w:val="center"/>
          </w:tcPr>
          <w:p w14:paraId="61A7A01E">
            <w:pPr>
              <w:keepNext w:val="0"/>
              <w:keepLines w:val="0"/>
              <w:widowControl/>
              <w:suppressLineNumbers w:val="0"/>
              <w:jc w:val="left"/>
              <w:textAlignment w:val="center"/>
              <w:rPr>
                <w:rFonts w:hint="eastAsia" w:ascii="宋体" w:hAnsi="宋体" w:eastAsia="宋体" w:cs="宋体"/>
                <w:bCs/>
                <w:color w:val="auto"/>
                <w:kern w:val="0"/>
                <w:sz w:val="24"/>
                <w:szCs w:val="24"/>
                <w:highlight w:val="none"/>
              </w:rPr>
            </w:pPr>
          </w:p>
        </w:tc>
        <w:tc>
          <w:tcPr>
            <w:tcW w:w="966" w:type="dxa"/>
          </w:tcPr>
          <w:p w14:paraId="393591EA">
            <w:pPr>
              <w:widowControl/>
              <w:jc w:val="center"/>
              <w:rPr>
                <w:rFonts w:hint="eastAsia" w:ascii="宋体" w:hAnsi="宋体" w:eastAsia="宋体" w:cs="宋体"/>
                <w:bCs/>
                <w:color w:val="auto"/>
                <w:kern w:val="0"/>
                <w:sz w:val="24"/>
                <w:szCs w:val="24"/>
                <w:highlight w:val="none"/>
              </w:rPr>
            </w:pPr>
          </w:p>
        </w:tc>
        <w:tc>
          <w:tcPr>
            <w:tcW w:w="1108" w:type="dxa"/>
          </w:tcPr>
          <w:p w14:paraId="6B669207">
            <w:pPr>
              <w:widowControl/>
              <w:jc w:val="center"/>
              <w:rPr>
                <w:rFonts w:hint="eastAsia" w:ascii="宋体" w:hAnsi="宋体" w:eastAsia="宋体" w:cs="宋体"/>
                <w:color w:val="auto"/>
                <w:kern w:val="0"/>
                <w:sz w:val="24"/>
                <w:szCs w:val="24"/>
                <w:highlight w:val="none"/>
              </w:rPr>
            </w:pPr>
          </w:p>
        </w:tc>
        <w:tc>
          <w:tcPr>
            <w:tcW w:w="1108" w:type="dxa"/>
          </w:tcPr>
          <w:p w14:paraId="04C3B429">
            <w:pPr>
              <w:widowControl/>
              <w:jc w:val="center"/>
              <w:rPr>
                <w:rFonts w:hint="eastAsia" w:ascii="宋体" w:hAnsi="宋体" w:eastAsia="宋体" w:cs="宋体"/>
                <w:color w:val="auto"/>
                <w:kern w:val="0"/>
                <w:sz w:val="24"/>
                <w:szCs w:val="24"/>
                <w:highlight w:val="none"/>
              </w:rPr>
            </w:pPr>
          </w:p>
        </w:tc>
        <w:tc>
          <w:tcPr>
            <w:tcW w:w="1108" w:type="dxa"/>
            <w:vAlign w:val="center"/>
          </w:tcPr>
          <w:p w14:paraId="592E0E26">
            <w:pPr>
              <w:widowControl/>
              <w:jc w:val="center"/>
              <w:textAlignment w:val="center"/>
              <w:rPr>
                <w:rFonts w:hint="eastAsia" w:ascii="宋体" w:hAnsi="宋体" w:eastAsia="宋体" w:cs="宋体"/>
                <w:color w:val="auto"/>
                <w:kern w:val="0"/>
                <w:sz w:val="24"/>
                <w:szCs w:val="24"/>
                <w:highlight w:val="none"/>
              </w:rPr>
            </w:pPr>
          </w:p>
        </w:tc>
        <w:tc>
          <w:tcPr>
            <w:tcW w:w="1034" w:type="dxa"/>
            <w:vAlign w:val="center"/>
          </w:tcPr>
          <w:p w14:paraId="7DA40F46">
            <w:pPr>
              <w:widowControl/>
              <w:jc w:val="center"/>
              <w:textAlignment w:val="center"/>
              <w:rPr>
                <w:rFonts w:hint="eastAsia" w:ascii="宋体" w:hAnsi="宋体" w:eastAsia="宋体" w:cs="宋体"/>
                <w:color w:val="auto"/>
                <w:kern w:val="0"/>
                <w:sz w:val="24"/>
                <w:szCs w:val="24"/>
                <w:highlight w:val="none"/>
              </w:rPr>
            </w:pPr>
          </w:p>
        </w:tc>
        <w:tc>
          <w:tcPr>
            <w:tcW w:w="1334" w:type="dxa"/>
            <w:vAlign w:val="center"/>
          </w:tcPr>
          <w:p w14:paraId="3B4D3B76">
            <w:pPr>
              <w:widowControl/>
              <w:jc w:val="center"/>
              <w:rPr>
                <w:rFonts w:hint="eastAsia" w:ascii="宋体" w:hAnsi="宋体" w:eastAsia="宋体" w:cs="宋体"/>
                <w:color w:val="auto"/>
                <w:kern w:val="0"/>
                <w:sz w:val="24"/>
                <w:szCs w:val="24"/>
                <w:highlight w:val="none"/>
              </w:rPr>
            </w:pPr>
          </w:p>
        </w:tc>
        <w:tc>
          <w:tcPr>
            <w:tcW w:w="1359" w:type="dxa"/>
            <w:vAlign w:val="center"/>
          </w:tcPr>
          <w:p w14:paraId="23488E05">
            <w:pPr>
              <w:widowControl/>
              <w:jc w:val="center"/>
              <w:rPr>
                <w:rFonts w:hint="eastAsia" w:ascii="宋体" w:hAnsi="宋体" w:eastAsia="宋体" w:cs="宋体"/>
                <w:color w:val="auto"/>
                <w:kern w:val="0"/>
                <w:sz w:val="24"/>
                <w:szCs w:val="24"/>
                <w:highlight w:val="none"/>
              </w:rPr>
            </w:pPr>
          </w:p>
        </w:tc>
      </w:tr>
      <w:tr w14:paraId="0393B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1371" w:type="dxa"/>
            <w:shd w:val="clear" w:color="000000" w:fill="FFFFFF"/>
            <w:noWrap/>
            <w:vAlign w:val="center"/>
          </w:tcPr>
          <w:p w14:paraId="2B7AC774">
            <w:pPr>
              <w:keepNext w:val="0"/>
              <w:keepLines w:val="0"/>
              <w:widowControl/>
              <w:suppressLineNumbers w:val="0"/>
              <w:jc w:val="left"/>
              <w:textAlignment w:val="center"/>
              <w:rPr>
                <w:rFonts w:hint="eastAsia" w:ascii="宋体" w:hAnsi="宋体" w:eastAsia="宋体" w:cs="宋体"/>
                <w:bCs/>
                <w:color w:val="auto"/>
                <w:kern w:val="0"/>
                <w:sz w:val="24"/>
                <w:szCs w:val="24"/>
                <w:highlight w:val="none"/>
              </w:rPr>
            </w:pPr>
          </w:p>
        </w:tc>
        <w:tc>
          <w:tcPr>
            <w:tcW w:w="966" w:type="dxa"/>
          </w:tcPr>
          <w:p w14:paraId="362E3C0E">
            <w:pPr>
              <w:widowControl/>
              <w:jc w:val="center"/>
              <w:rPr>
                <w:rFonts w:hint="eastAsia" w:ascii="宋体" w:hAnsi="宋体" w:eastAsia="宋体" w:cs="宋体"/>
                <w:bCs/>
                <w:color w:val="auto"/>
                <w:kern w:val="0"/>
                <w:sz w:val="24"/>
                <w:szCs w:val="24"/>
                <w:highlight w:val="none"/>
              </w:rPr>
            </w:pPr>
          </w:p>
        </w:tc>
        <w:tc>
          <w:tcPr>
            <w:tcW w:w="1108" w:type="dxa"/>
          </w:tcPr>
          <w:p w14:paraId="6D7A0D6F">
            <w:pPr>
              <w:widowControl/>
              <w:jc w:val="center"/>
              <w:rPr>
                <w:rFonts w:hint="eastAsia" w:ascii="宋体" w:hAnsi="宋体" w:eastAsia="宋体" w:cs="宋体"/>
                <w:color w:val="auto"/>
                <w:kern w:val="0"/>
                <w:sz w:val="24"/>
                <w:szCs w:val="24"/>
                <w:highlight w:val="none"/>
              </w:rPr>
            </w:pPr>
          </w:p>
        </w:tc>
        <w:tc>
          <w:tcPr>
            <w:tcW w:w="1108" w:type="dxa"/>
          </w:tcPr>
          <w:p w14:paraId="5F424644">
            <w:pPr>
              <w:widowControl/>
              <w:jc w:val="center"/>
              <w:rPr>
                <w:rFonts w:hint="eastAsia" w:ascii="宋体" w:hAnsi="宋体" w:eastAsia="宋体" w:cs="宋体"/>
                <w:color w:val="auto"/>
                <w:kern w:val="0"/>
                <w:sz w:val="24"/>
                <w:szCs w:val="24"/>
                <w:highlight w:val="none"/>
              </w:rPr>
            </w:pPr>
          </w:p>
        </w:tc>
        <w:tc>
          <w:tcPr>
            <w:tcW w:w="1108" w:type="dxa"/>
            <w:vAlign w:val="center"/>
          </w:tcPr>
          <w:p w14:paraId="59469DDB">
            <w:pPr>
              <w:widowControl/>
              <w:jc w:val="center"/>
              <w:textAlignment w:val="center"/>
              <w:rPr>
                <w:rFonts w:hint="eastAsia" w:ascii="宋体" w:hAnsi="宋体" w:eastAsia="宋体" w:cs="宋体"/>
                <w:color w:val="auto"/>
                <w:kern w:val="0"/>
                <w:sz w:val="24"/>
                <w:szCs w:val="24"/>
                <w:highlight w:val="none"/>
              </w:rPr>
            </w:pPr>
          </w:p>
        </w:tc>
        <w:tc>
          <w:tcPr>
            <w:tcW w:w="1034" w:type="dxa"/>
            <w:vAlign w:val="center"/>
          </w:tcPr>
          <w:p w14:paraId="3AC5085A">
            <w:pPr>
              <w:widowControl/>
              <w:jc w:val="center"/>
              <w:textAlignment w:val="center"/>
              <w:rPr>
                <w:rFonts w:hint="eastAsia" w:ascii="宋体" w:hAnsi="宋体" w:eastAsia="宋体" w:cs="宋体"/>
                <w:color w:val="auto"/>
                <w:kern w:val="0"/>
                <w:sz w:val="24"/>
                <w:szCs w:val="24"/>
                <w:highlight w:val="none"/>
              </w:rPr>
            </w:pPr>
          </w:p>
        </w:tc>
        <w:tc>
          <w:tcPr>
            <w:tcW w:w="1334" w:type="dxa"/>
            <w:vAlign w:val="center"/>
          </w:tcPr>
          <w:p w14:paraId="360493EF">
            <w:pPr>
              <w:widowControl/>
              <w:jc w:val="center"/>
              <w:rPr>
                <w:rFonts w:hint="eastAsia" w:ascii="宋体" w:hAnsi="宋体" w:eastAsia="宋体" w:cs="宋体"/>
                <w:color w:val="auto"/>
                <w:kern w:val="0"/>
                <w:sz w:val="24"/>
                <w:szCs w:val="24"/>
                <w:highlight w:val="none"/>
              </w:rPr>
            </w:pPr>
          </w:p>
        </w:tc>
        <w:tc>
          <w:tcPr>
            <w:tcW w:w="1359" w:type="dxa"/>
            <w:vAlign w:val="center"/>
          </w:tcPr>
          <w:p w14:paraId="59C661ED">
            <w:pPr>
              <w:widowControl/>
              <w:jc w:val="center"/>
              <w:rPr>
                <w:rFonts w:hint="eastAsia" w:ascii="宋体" w:hAnsi="宋体" w:eastAsia="宋体" w:cs="宋体"/>
                <w:color w:val="auto"/>
                <w:kern w:val="0"/>
                <w:sz w:val="24"/>
                <w:szCs w:val="24"/>
                <w:highlight w:val="none"/>
              </w:rPr>
            </w:pPr>
          </w:p>
        </w:tc>
      </w:tr>
      <w:tr w14:paraId="626CF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1371" w:type="dxa"/>
            <w:shd w:val="clear" w:color="000000" w:fill="FFFFFF"/>
            <w:noWrap/>
            <w:vAlign w:val="center"/>
          </w:tcPr>
          <w:p w14:paraId="3D1F6E2A">
            <w:pPr>
              <w:keepNext w:val="0"/>
              <w:keepLines w:val="0"/>
              <w:widowControl/>
              <w:suppressLineNumbers w:val="0"/>
              <w:jc w:val="left"/>
              <w:textAlignment w:val="center"/>
              <w:rPr>
                <w:rFonts w:hint="eastAsia" w:ascii="宋体" w:hAnsi="宋体" w:eastAsia="宋体" w:cs="宋体"/>
                <w:bCs/>
                <w:color w:val="auto"/>
                <w:kern w:val="0"/>
                <w:sz w:val="24"/>
                <w:szCs w:val="24"/>
                <w:highlight w:val="none"/>
              </w:rPr>
            </w:pPr>
          </w:p>
        </w:tc>
        <w:tc>
          <w:tcPr>
            <w:tcW w:w="966" w:type="dxa"/>
          </w:tcPr>
          <w:p w14:paraId="4CDD2661">
            <w:pPr>
              <w:widowControl/>
              <w:jc w:val="center"/>
              <w:rPr>
                <w:rFonts w:hint="eastAsia" w:ascii="宋体" w:hAnsi="宋体" w:eastAsia="宋体" w:cs="宋体"/>
                <w:bCs/>
                <w:color w:val="auto"/>
                <w:kern w:val="0"/>
                <w:sz w:val="24"/>
                <w:szCs w:val="24"/>
                <w:highlight w:val="none"/>
              </w:rPr>
            </w:pPr>
          </w:p>
        </w:tc>
        <w:tc>
          <w:tcPr>
            <w:tcW w:w="1108" w:type="dxa"/>
          </w:tcPr>
          <w:p w14:paraId="251E870D">
            <w:pPr>
              <w:widowControl/>
              <w:jc w:val="center"/>
              <w:rPr>
                <w:rFonts w:hint="eastAsia" w:ascii="宋体" w:hAnsi="宋体" w:eastAsia="宋体" w:cs="宋体"/>
                <w:color w:val="auto"/>
                <w:kern w:val="0"/>
                <w:sz w:val="24"/>
                <w:szCs w:val="24"/>
                <w:highlight w:val="none"/>
              </w:rPr>
            </w:pPr>
          </w:p>
        </w:tc>
        <w:tc>
          <w:tcPr>
            <w:tcW w:w="1108" w:type="dxa"/>
          </w:tcPr>
          <w:p w14:paraId="633B4C66">
            <w:pPr>
              <w:widowControl/>
              <w:jc w:val="center"/>
              <w:rPr>
                <w:rFonts w:hint="eastAsia" w:ascii="宋体" w:hAnsi="宋体" w:eastAsia="宋体" w:cs="宋体"/>
                <w:color w:val="auto"/>
                <w:kern w:val="0"/>
                <w:sz w:val="24"/>
                <w:szCs w:val="24"/>
                <w:highlight w:val="none"/>
              </w:rPr>
            </w:pPr>
          </w:p>
        </w:tc>
        <w:tc>
          <w:tcPr>
            <w:tcW w:w="1108" w:type="dxa"/>
            <w:vAlign w:val="center"/>
          </w:tcPr>
          <w:p w14:paraId="725B0AE8">
            <w:pPr>
              <w:widowControl/>
              <w:jc w:val="center"/>
              <w:textAlignment w:val="center"/>
              <w:rPr>
                <w:rFonts w:hint="eastAsia" w:ascii="宋体" w:hAnsi="宋体" w:eastAsia="宋体" w:cs="宋体"/>
                <w:color w:val="auto"/>
                <w:kern w:val="0"/>
                <w:sz w:val="24"/>
                <w:szCs w:val="24"/>
                <w:highlight w:val="none"/>
              </w:rPr>
            </w:pPr>
          </w:p>
        </w:tc>
        <w:tc>
          <w:tcPr>
            <w:tcW w:w="1034" w:type="dxa"/>
            <w:vAlign w:val="center"/>
          </w:tcPr>
          <w:p w14:paraId="582E040C">
            <w:pPr>
              <w:widowControl/>
              <w:jc w:val="center"/>
              <w:textAlignment w:val="center"/>
              <w:rPr>
                <w:rFonts w:hint="eastAsia" w:ascii="宋体" w:hAnsi="宋体" w:eastAsia="宋体" w:cs="宋体"/>
                <w:color w:val="auto"/>
                <w:kern w:val="0"/>
                <w:sz w:val="24"/>
                <w:szCs w:val="24"/>
                <w:highlight w:val="none"/>
              </w:rPr>
            </w:pPr>
          </w:p>
        </w:tc>
        <w:tc>
          <w:tcPr>
            <w:tcW w:w="1334" w:type="dxa"/>
            <w:vAlign w:val="center"/>
          </w:tcPr>
          <w:p w14:paraId="7D48F11B">
            <w:pPr>
              <w:widowControl/>
              <w:jc w:val="center"/>
              <w:rPr>
                <w:rFonts w:hint="eastAsia" w:ascii="宋体" w:hAnsi="宋体" w:eastAsia="宋体" w:cs="宋体"/>
                <w:color w:val="auto"/>
                <w:kern w:val="0"/>
                <w:sz w:val="24"/>
                <w:szCs w:val="24"/>
                <w:highlight w:val="none"/>
              </w:rPr>
            </w:pPr>
          </w:p>
        </w:tc>
        <w:tc>
          <w:tcPr>
            <w:tcW w:w="1359" w:type="dxa"/>
            <w:vAlign w:val="center"/>
          </w:tcPr>
          <w:p w14:paraId="093476FC">
            <w:pPr>
              <w:widowControl/>
              <w:jc w:val="center"/>
              <w:rPr>
                <w:rFonts w:hint="eastAsia" w:ascii="宋体" w:hAnsi="宋体" w:eastAsia="宋体" w:cs="宋体"/>
                <w:color w:val="auto"/>
                <w:kern w:val="0"/>
                <w:sz w:val="24"/>
                <w:szCs w:val="24"/>
                <w:highlight w:val="none"/>
              </w:rPr>
            </w:pPr>
          </w:p>
        </w:tc>
      </w:tr>
      <w:tr w14:paraId="16690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9388" w:type="dxa"/>
            <w:gridSpan w:val="8"/>
            <w:shd w:val="clear" w:color="000000" w:fill="FFFFFF"/>
            <w:noWrap/>
            <w:vAlign w:val="center"/>
          </w:tcPr>
          <w:p w14:paraId="0512C2B2">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合计总价：</w:t>
            </w:r>
          </w:p>
        </w:tc>
      </w:tr>
    </w:tbl>
    <w:p w14:paraId="656A7714">
      <w:pPr>
        <w:spacing w:line="276" w:lineRule="auto"/>
        <w:ind w:firstLine="480" w:firstLineChars="200"/>
        <w:rPr>
          <w:rFonts w:hint="eastAsia" w:ascii="宋体" w:hAnsi="宋体" w:eastAsia="宋体" w:cs="宋体"/>
          <w:color w:val="auto"/>
          <w:sz w:val="24"/>
          <w:highlight w:val="none"/>
        </w:rPr>
      </w:pPr>
    </w:p>
    <w:p w14:paraId="614514C3">
      <w:pPr>
        <w:spacing w:line="276"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注：</w:t>
      </w:r>
    </w:p>
    <w:p w14:paraId="4F9E2262">
      <w:pPr>
        <w:spacing w:line="276"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（1）“合计总价”金额应等于开标（唱标）一览表中“投标总价”</w:t>
      </w:r>
      <w:r>
        <w:rPr>
          <w:rFonts w:hint="eastAsia" w:ascii="宋体" w:hAnsi="宋体" w:eastAsia="宋体" w:cs="宋体"/>
          <w:color w:val="auto"/>
          <w:sz w:val="24"/>
          <w:highlight w:val="none"/>
          <w:lang w:eastAsia="zh-CN"/>
        </w:rPr>
        <w:t>。</w:t>
      </w:r>
    </w:p>
    <w:p w14:paraId="6DA3064B">
      <w:pPr>
        <w:spacing w:line="276"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）本表投标人可根据需要进行适当扩展。</w:t>
      </w:r>
    </w:p>
    <w:p w14:paraId="6C459F57">
      <w:pPr>
        <w:spacing w:line="360" w:lineRule="auto"/>
        <w:rPr>
          <w:rFonts w:hint="eastAsia" w:ascii="宋体" w:hAnsi="宋体" w:eastAsia="宋体" w:cs="宋体"/>
          <w:color w:val="auto"/>
          <w:sz w:val="24"/>
          <w:highlight w:val="none"/>
        </w:rPr>
      </w:pPr>
    </w:p>
    <w:p w14:paraId="0BC46DE8">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 标 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（电子签章）</w:t>
      </w:r>
    </w:p>
    <w:p w14:paraId="766A2462">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法定代表人或其委托代理人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（电子签章）</w:t>
      </w:r>
    </w:p>
    <w:p w14:paraId="41C78E69">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326CE8D4">
      <w:pPr>
        <w:rPr>
          <w:rFonts w:hint="eastAsia" w:ascii="宋体" w:hAnsi="宋体" w:eastAsia="宋体" w:cs="宋体"/>
          <w:color w:val="auto"/>
          <w:highlight w:val="none"/>
        </w:rPr>
      </w:pPr>
    </w:p>
    <w:p w14:paraId="5AB055C7">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6FB72043">
      <w:pPr>
        <w:rPr>
          <w:rFonts w:hint="eastAsia" w:ascii="宋体" w:hAnsi="宋体" w:eastAsia="宋体" w:cs="宋体"/>
          <w:color w:val="auto"/>
          <w:highlight w:val="none"/>
        </w:rPr>
      </w:pPr>
    </w:p>
    <w:p w14:paraId="75F8EBBD">
      <w:pPr>
        <w:pStyle w:val="3"/>
        <w:numPr>
          <w:ilvl w:val="0"/>
          <w:numId w:val="0"/>
        </w:numPr>
        <w:tabs>
          <w:tab w:val="clear" w:pos="360"/>
        </w:tabs>
        <w:spacing w:before="0"/>
        <w:jc w:val="center"/>
        <w:rPr>
          <w:rFonts w:hint="eastAsia" w:ascii="宋体" w:hAnsi="宋体" w:eastAsia="宋体" w:cs="宋体"/>
          <w:color w:val="auto"/>
          <w:szCs w:val="28"/>
          <w:highlight w:val="none"/>
        </w:rPr>
      </w:pPr>
      <w:bookmarkStart w:id="196" w:name="_Toc525998715"/>
      <w:bookmarkStart w:id="197" w:name="_Toc150703260"/>
      <w:bookmarkStart w:id="198" w:name="_Toc21624"/>
      <w:bookmarkStart w:id="199" w:name="_Toc22760"/>
      <w:r>
        <w:rPr>
          <w:rFonts w:hint="eastAsia" w:ascii="宋体" w:hAnsi="宋体" w:eastAsia="宋体" w:cs="宋体"/>
          <w:color w:val="auto"/>
          <w:szCs w:val="28"/>
          <w:highlight w:val="none"/>
        </w:rPr>
        <w:t>格式</w:t>
      </w:r>
      <w:r>
        <w:rPr>
          <w:rFonts w:hint="eastAsia" w:ascii="宋体" w:hAnsi="宋体" w:eastAsia="宋体" w:cs="宋体"/>
          <w:color w:val="auto"/>
          <w:szCs w:val="28"/>
          <w:highlight w:val="none"/>
          <w:lang w:val="en-US" w:eastAsia="zh-CN"/>
        </w:rPr>
        <w:t>9</w:t>
      </w:r>
      <w:r>
        <w:rPr>
          <w:rFonts w:hint="eastAsia" w:ascii="宋体" w:hAnsi="宋体" w:eastAsia="宋体" w:cs="宋体"/>
          <w:color w:val="auto"/>
          <w:szCs w:val="28"/>
          <w:highlight w:val="none"/>
        </w:rPr>
        <w:t>：投标函</w:t>
      </w:r>
      <w:bookmarkEnd w:id="196"/>
      <w:bookmarkEnd w:id="197"/>
      <w:bookmarkEnd w:id="198"/>
      <w:bookmarkEnd w:id="199"/>
    </w:p>
    <w:p w14:paraId="416D0CF6">
      <w:pPr>
        <w:rPr>
          <w:rFonts w:hint="eastAsia" w:ascii="宋体" w:hAnsi="宋体" w:eastAsia="宋体" w:cs="宋体"/>
          <w:color w:val="auto"/>
          <w:highlight w:val="none"/>
        </w:rPr>
      </w:pPr>
    </w:p>
    <w:p w14:paraId="7B2542BC">
      <w:pPr>
        <w:spacing w:line="360" w:lineRule="auto"/>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致：</w:t>
      </w:r>
      <w:r>
        <w:rPr>
          <w:rFonts w:hint="eastAsia" w:ascii="宋体" w:hAnsi="宋体" w:cs="宋体"/>
          <w:color w:val="auto"/>
          <w:sz w:val="24"/>
          <w:highlight w:val="none"/>
          <w:lang w:eastAsia="zh-CN"/>
        </w:rPr>
        <w:t>云南省农业科学院</w:t>
      </w:r>
    </w:p>
    <w:p w14:paraId="4B804007">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根据贵方为</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（采购项目名称）</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（招标编号</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的</w:t>
      </w:r>
      <w:r>
        <w:rPr>
          <w:rFonts w:hint="eastAsia" w:ascii="宋体" w:hAnsi="宋体" w:eastAsia="宋体" w:cs="宋体"/>
          <w:color w:val="auto"/>
          <w:sz w:val="24"/>
          <w:highlight w:val="none"/>
          <w:lang w:val="en-US" w:eastAsia="zh-CN"/>
        </w:rPr>
        <w:t>公开</w:t>
      </w:r>
      <w:r>
        <w:rPr>
          <w:rFonts w:hint="eastAsia" w:ascii="宋体" w:hAnsi="宋体" w:eastAsia="宋体" w:cs="宋体"/>
          <w:color w:val="auto"/>
          <w:sz w:val="24"/>
          <w:highlight w:val="none"/>
        </w:rPr>
        <w:t>招标采购</w:t>
      </w:r>
      <w:r>
        <w:rPr>
          <w:rFonts w:hint="eastAsia" w:ascii="宋体" w:hAnsi="宋体" w:eastAsia="宋体" w:cs="宋体"/>
          <w:color w:val="auto"/>
          <w:sz w:val="24"/>
          <w:highlight w:val="none"/>
          <w:lang w:val="en-US" w:eastAsia="zh-CN"/>
        </w:rPr>
        <w:t>流程</w:t>
      </w:r>
      <w:r>
        <w:rPr>
          <w:rFonts w:hint="eastAsia" w:ascii="宋体" w:hAnsi="宋体" w:eastAsia="宋体" w:cs="宋体"/>
          <w:color w:val="auto"/>
          <w:sz w:val="24"/>
          <w:highlight w:val="none"/>
        </w:rPr>
        <w:t>，正式授权下述签字人</w:t>
      </w:r>
      <w:r>
        <w:rPr>
          <w:rFonts w:hint="eastAsia" w:ascii="宋体" w:hAnsi="宋体" w:eastAsia="宋体" w:cs="宋体"/>
          <w:color w:val="auto"/>
          <w:sz w:val="24"/>
          <w:highlight w:val="none"/>
          <w:u w:val="single"/>
        </w:rPr>
        <w:t xml:space="preserve">   （姓名和职务）     </w:t>
      </w:r>
      <w:r>
        <w:rPr>
          <w:rFonts w:hint="eastAsia" w:ascii="宋体" w:hAnsi="宋体" w:eastAsia="宋体" w:cs="宋体"/>
          <w:color w:val="auto"/>
          <w:sz w:val="24"/>
          <w:highlight w:val="none"/>
        </w:rPr>
        <w:t>全权代表投标人</w:t>
      </w:r>
      <w:r>
        <w:rPr>
          <w:rFonts w:hint="eastAsia" w:ascii="宋体" w:hAnsi="宋体" w:eastAsia="宋体" w:cs="宋体"/>
          <w:color w:val="auto"/>
          <w:sz w:val="24"/>
          <w:highlight w:val="none"/>
          <w:u w:val="single"/>
        </w:rPr>
        <w:t xml:space="preserve">  （投标人全称）   </w:t>
      </w:r>
      <w:r>
        <w:rPr>
          <w:rFonts w:hint="eastAsia" w:ascii="宋体" w:hAnsi="宋体" w:eastAsia="宋体" w:cs="宋体"/>
          <w:color w:val="auto"/>
          <w:sz w:val="24"/>
          <w:highlight w:val="none"/>
        </w:rPr>
        <w:t>参加投标，并提交签章的电子投标文件。</w:t>
      </w:r>
    </w:p>
    <w:p w14:paraId="1483FED8">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据此函，签字人兹宣布同意如下：</w:t>
      </w:r>
    </w:p>
    <w:p w14:paraId="42506FB1">
      <w:pPr>
        <w:spacing w:before="60" w:after="60"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1.本</w:t>
      </w:r>
      <w:r>
        <w:rPr>
          <w:rFonts w:hint="eastAsia" w:ascii="宋体" w:hAnsi="宋体" w:cs="宋体"/>
          <w:color w:val="auto"/>
          <w:sz w:val="24"/>
          <w:highlight w:val="none"/>
          <w:lang w:val="en-US" w:eastAsia="zh-CN"/>
        </w:rPr>
        <w:t>项目</w:t>
      </w:r>
      <w:r>
        <w:rPr>
          <w:rFonts w:hint="eastAsia" w:ascii="宋体" w:hAnsi="宋体" w:eastAsia="宋体" w:cs="宋体"/>
          <w:color w:val="auto"/>
          <w:sz w:val="24"/>
          <w:highlight w:val="none"/>
        </w:rPr>
        <w:t>投标总价为：</w:t>
      </w:r>
      <w:r>
        <w:rPr>
          <w:rFonts w:hint="eastAsia" w:ascii="宋体" w:hAnsi="宋体" w:eastAsia="宋体" w:cs="宋体"/>
          <w:color w:val="auto"/>
          <w:sz w:val="24"/>
          <w:highlight w:val="none"/>
          <w:u w:val="single"/>
        </w:rPr>
        <w:t>小写</w:t>
      </w:r>
      <w:r>
        <w:rPr>
          <w:rFonts w:hint="eastAsia" w:ascii="宋体" w:hAnsi="宋体" w:eastAsia="宋体" w:cs="宋体"/>
          <w:color w:val="auto"/>
          <w:sz w:val="24"/>
          <w:highlight w:val="none"/>
          <w:u w:val="single"/>
          <w:lang w:val="en-US" w:eastAsia="zh-CN"/>
        </w:rPr>
        <w:t>¥</w:t>
      </w:r>
      <w:r>
        <w:rPr>
          <w:rFonts w:hint="eastAsia" w:ascii="宋体" w:hAnsi="宋体" w:eastAsia="宋体" w:cs="宋体"/>
          <w:color w:val="auto"/>
          <w:sz w:val="24"/>
          <w:highlight w:val="none"/>
          <w:u w:val="single"/>
          <w:lang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lang w:eastAsia="zh-CN"/>
        </w:rPr>
        <w:t>；</w:t>
      </w:r>
      <w:r>
        <w:rPr>
          <w:rFonts w:hint="eastAsia" w:ascii="宋体" w:hAnsi="宋体" w:eastAsia="宋体" w:cs="宋体"/>
          <w:color w:val="auto"/>
          <w:sz w:val="24"/>
          <w:highlight w:val="none"/>
          <w:u w:val="single"/>
        </w:rPr>
        <w:t>大写</w:t>
      </w:r>
      <w:r>
        <w:rPr>
          <w:rFonts w:hint="eastAsia" w:ascii="宋体" w:hAnsi="宋体" w:eastAsia="宋体" w:cs="宋体"/>
          <w:color w:val="auto"/>
          <w:sz w:val="24"/>
          <w:highlight w:val="none"/>
          <w:u w:val="single"/>
          <w:lang w:val="en-US" w:eastAsia="zh-CN"/>
        </w:rPr>
        <w:t>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eastAsia="宋体" w:cs="宋体"/>
          <w:bCs/>
          <w:color w:val="auto"/>
          <w:sz w:val="24"/>
          <w:highlight w:val="none"/>
        </w:rPr>
        <w:t>如果我单位的投标文件中有漏项或者缺项的项目，我单位承诺此项费用已包括在其他项目的单价和合价中；</w:t>
      </w:r>
    </w:p>
    <w:p w14:paraId="0DEC4236">
      <w:pPr>
        <w:spacing w:line="480" w:lineRule="exact"/>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2.向贵方提供所有与投标项有关的真实有效的数据、情况和技术资料；</w:t>
      </w:r>
    </w:p>
    <w:p w14:paraId="5078F691">
      <w:pPr>
        <w:spacing w:line="480" w:lineRule="exact"/>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3.一旦我方中标，我方保证按时、按质、按量完成项目所有工作； </w:t>
      </w:r>
    </w:p>
    <w:p w14:paraId="47B4B947">
      <w:pPr>
        <w:spacing w:line="480" w:lineRule="exact"/>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4.本投标文件自贵方收到之</w:t>
      </w:r>
      <w:r>
        <w:rPr>
          <w:rFonts w:hint="eastAsia" w:ascii="宋体" w:hAnsi="宋体" w:eastAsia="宋体" w:cs="宋体"/>
          <w:color w:val="auto"/>
          <w:sz w:val="24"/>
          <w:highlight w:val="none"/>
          <w:lang w:eastAsia="zh-CN"/>
        </w:rPr>
        <w:t>日起</w:t>
      </w:r>
      <w:r>
        <w:rPr>
          <w:rFonts w:hint="eastAsia" w:ascii="宋体" w:hAnsi="宋体" w:eastAsia="宋体" w:cs="宋体"/>
          <w:color w:val="auto"/>
          <w:sz w:val="24"/>
          <w:highlight w:val="none"/>
        </w:rPr>
        <w:t>生效，有效期至开标后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天，在此期间本投标文件之规定对我方具有约束力；</w:t>
      </w:r>
    </w:p>
    <w:p w14:paraId="357D3273">
      <w:pPr>
        <w:spacing w:line="480" w:lineRule="exact"/>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5.如果我方中标，则至合同履行完成和免费维保和售后服务期满为止，本投标文件保持有效；</w:t>
      </w:r>
    </w:p>
    <w:p w14:paraId="23A06192">
      <w:pPr>
        <w:spacing w:line="480" w:lineRule="exact"/>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6.除非另外达成协议并生效，你单位的中标通知书和本投标文件将构成约束我们双方的合同；</w:t>
      </w:r>
    </w:p>
    <w:p w14:paraId="6ADAC8BD">
      <w:pPr>
        <w:spacing w:line="480" w:lineRule="exact"/>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7.保证甲方在项目使用期间不受第三方提出侵犯其专利权、商标权和工业设计权的起诉；</w:t>
      </w:r>
    </w:p>
    <w:p w14:paraId="47DD99C0">
      <w:pPr>
        <w:spacing w:line="480" w:lineRule="exact"/>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8.我单位保证：如果我单位的投标文件中出现实质性不响应招标文件的内容或要求，或者</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不能接受的条件，我单位愿意接受</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或评委将我单位的投标文件作不合格投标或者废标处理；</w:t>
      </w:r>
    </w:p>
    <w:p w14:paraId="0B1C3325">
      <w:pPr>
        <w:spacing w:line="480" w:lineRule="exact"/>
        <w:ind w:firstLine="629"/>
        <w:rPr>
          <w:rFonts w:hint="eastAsia" w:ascii="宋体" w:hAnsi="宋体" w:eastAsia="宋体" w:cs="宋体"/>
          <w:color w:val="auto"/>
          <w:sz w:val="24"/>
          <w:highlight w:val="none"/>
        </w:rPr>
      </w:pPr>
      <w:r>
        <w:rPr>
          <w:rFonts w:hint="eastAsia" w:ascii="宋体" w:hAnsi="宋体" w:eastAsia="宋体" w:cs="宋体"/>
          <w:color w:val="auto"/>
          <w:sz w:val="24"/>
          <w:highlight w:val="none"/>
        </w:rPr>
        <w:t>9.我方已详细阅读并认可招标文件，我方对招标文件各项条款和评标办法无异议，知道必须放弃提出含糊不清或误解问题的权利。</w:t>
      </w:r>
    </w:p>
    <w:p w14:paraId="72D61197">
      <w:pPr>
        <w:spacing w:line="360" w:lineRule="auto"/>
        <w:ind w:firstLine="420" w:firstLineChars="200"/>
        <w:jc w:val="left"/>
        <w:rPr>
          <w:rFonts w:hint="eastAsia" w:ascii="宋体" w:hAnsi="宋体" w:eastAsia="宋体" w:cs="宋体"/>
          <w:color w:val="auto"/>
          <w:szCs w:val="21"/>
          <w:highlight w:val="none"/>
        </w:rPr>
      </w:pPr>
    </w:p>
    <w:p w14:paraId="3A2A89CA">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与本投标有关的正式通讯地址为：</w:t>
      </w:r>
    </w:p>
    <w:p w14:paraId="2955E603">
      <w:pPr>
        <w:spacing w:line="360" w:lineRule="auto"/>
        <w:ind w:left="0" w:leftChars="0" w:firstLine="0"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地    址</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邮政编码</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rPr>
        <w:t xml:space="preserve">            </w:t>
      </w:r>
    </w:p>
    <w:p w14:paraId="545360F4">
      <w:pPr>
        <w:spacing w:line="360" w:lineRule="auto"/>
        <w:ind w:left="0" w:leftChars="0" w:firstLine="0" w:firstLineChars="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电    话</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rPr>
        <w:t xml:space="preserve">                                     　　　　　　　</w:t>
      </w:r>
    </w:p>
    <w:p w14:paraId="31AC71DB">
      <w:pPr>
        <w:spacing w:line="360" w:lineRule="auto"/>
        <w:ind w:left="0" w:leftChars="0" w:firstLine="0"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传    真：</w:t>
      </w:r>
      <w:r>
        <w:rPr>
          <w:rFonts w:hint="eastAsia" w:ascii="宋体" w:hAnsi="宋体" w:eastAsia="宋体" w:cs="宋体"/>
          <w:color w:val="auto"/>
          <w:sz w:val="24"/>
          <w:highlight w:val="none"/>
          <w:u w:val="single"/>
        </w:rPr>
        <w:t>　　　　　　　　　　　　　　　　　　　　　　　　　　</w:t>
      </w:r>
    </w:p>
    <w:p w14:paraId="17F38460">
      <w:pPr>
        <w:spacing w:line="360" w:lineRule="auto"/>
        <w:ind w:left="0" w:leftChars="0" w:firstLine="0" w:firstLineChars="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开户名称</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rPr>
        <w:t xml:space="preserve">                                                   </w:t>
      </w:r>
    </w:p>
    <w:p w14:paraId="558BA7D4">
      <w:pPr>
        <w:spacing w:line="360" w:lineRule="auto"/>
        <w:ind w:left="0" w:leftChars="0" w:firstLine="0" w:firstLineChars="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开户银行</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rPr>
        <w:t xml:space="preserve">                                                   </w:t>
      </w:r>
    </w:p>
    <w:p w14:paraId="648D479B">
      <w:pPr>
        <w:spacing w:line="360" w:lineRule="auto"/>
        <w:ind w:left="0" w:leftChars="0" w:firstLine="0" w:firstLineChars="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eastAsia="zh-CN"/>
        </w:rPr>
        <w:t>账</w:t>
      </w:r>
      <w:r>
        <w:rPr>
          <w:rFonts w:hint="eastAsia" w:ascii="宋体" w:hAnsi="宋体" w:eastAsia="宋体" w:cs="宋体"/>
          <w:color w:val="auto"/>
          <w:sz w:val="24"/>
          <w:highlight w:val="none"/>
        </w:rPr>
        <w:t xml:space="preserve">    号</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rPr>
        <w:t xml:space="preserve">                                                   </w:t>
      </w:r>
    </w:p>
    <w:p w14:paraId="4AA46409">
      <w:pPr>
        <w:spacing w:line="360" w:lineRule="auto"/>
        <w:ind w:left="0" w:leftChars="0" w:firstLine="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投 标 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（电子签章）</w:t>
      </w:r>
    </w:p>
    <w:p w14:paraId="10B29B5B">
      <w:pPr>
        <w:spacing w:line="360" w:lineRule="auto"/>
        <w:ind w:left="0" w:leftChars="0" w:firstLine="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法定代表人或其委托代理人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（电子签章）</w:t>
      </w:r>
    </w:p>
    <w:p w14:paraId="033EA3F9">
      <w:pPr>
        <w:spacing w:line="360" w:lineRule="auto"/>
        <w:ind w:left="0" w:leftChars="0" w:firstLine="0" w:firstLineChars="0"/>
        <w:jc w:val="left"/>
        <w:rPr>
          <w:rFonts w:hint="eastAsia" w:ascii="宋体" w:hAnsi="宋体" w:eastAsia="宋体" w:cs="宋体"/>
          <w:color w:val="auto"/>
          <w:sz w:val="24"/>
          <w:highlight w:val="none"/>
          <w:u w:val="singl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2AB1245B">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57FAD1C2">
      <w:pPr>
        <w:rPr>
          <w:rFonts w:hint="eastAsia" w:ascii="宋体" w:hAnsi="宋体" w:eastAsia="宋体" w:cs="宋体"/>
          <w:color w:val="auto"/>
          <w:highlight w:val="none"/>
        </w:rPr>
      </w:pPr>
    </w:p>
    <w:p w14:paraId="747D7216">
      <w:pPr>
        <w:pStyle w:val="3"/>
        <w:numPr>
          <w:ilvl w:val="0"/>
          <w:numId w:val="0"/>
        </w:numPr>
        <w:spacing w:before="0"/>
        <w:jc w:val="center"/>
        <w:rPr>
          <w:rFonts w:hint="eastAsia" w:ascii="宋体" w:hAnsi="宋体" w:eastAsia="宋体" w:cs="宋体"/>
          <w:color w:val="auto"/>
          <w:sz w:val="28"/>
          <w:szCs w:val="28"/>
          <w:highlight w:val="none"/>
        </w:rPr>
      </w:pPr>
      <w:bookmarkStart w:id="200" w:name="_Toc6741"/>
      <w:bookmarkStart w:id="201" w:name="_Toc31715"/>
      <w:bookmarkStart w:id="202" w:name="_Toc2125"/>
      <w:bookmarkStart w:id="203" w:name="_Toc190420851"/>
      <w:bookmarkStart w:id="204" w:name="_Toc2106"/>
      <w:bookmarkStart w:id="205" w:name="_Toc150703264"/>
      <w:bookmarkStart w:id="206" w:name="_Toc30306"/>
      <w:r>
        <w:rPr>
          <w:rFonts w:hint="eastAsia" w:ascii="宋体" w:hAnsi="宋体" w:eastAsia="宋体" w:cs="宋体"/>
          <w:color w:val="auto"/>
          <w:sz w:val="30"/>
          <w:szCs w:val="28"/>
          <w:highlight w:val="none"/>
        </w:rPr>
        <w:t>格式</w:t>
      </w:r>
      <w:r>
        <w:rPr>
          <w:rFonts w:hint="eastAsia" w:ascii="宋体" w:hAnsi="宋体" w:eastAsia="宋体" w:cs="宋体"/>
          <w:color w:val="auto"/>
          <w:sz w:val="30"/>
          <w:szCs w:val="28"/>
          <w:highlight w:val="none"/>
          <w:lang w:val="en-US" w:eastAsia="zh-CN"/>
        </w:rPr>
        <w:t>10</w:t>
      </w:r>
      <w:r>
        <w:rPr>
          <w:rFonts w:hint="eastAsia" w:ascii="宋体" w:hAnsi="宋体" w:eastAsia="宋体" w:cs="宋体"/>
          <w:color w:val="auto"/>
          <w:sz w:val="30"/>
          <w:szCs w:val="28"/>
          <w:highlight w:val="none"/>
        </w:rPr>
        <w:t>：</w:t>
      </w:r>
      <w:bookmarkEnd w:id="200"/>
      <w:bookmarkEnd w:id="201"/>
      <w:r>
        <w:rPr>
          <w:rFonts w:hint="eastAsia" w:ascii="宋体" w:hAnsi="宋体" w:eastAsia="宋体" w:cs="宋体"/>
          <w:color w:val="auto"/>
          <w:sz w:val="30"/>
          <w:szCs w:val="28"/>
          <w:highlight w:val="none"/>
        </w:rPr>
        <w:t>投标保证书</w:t>
      </w:r>
      <w:bookmarkEnd w:id="202"/>
      <w:bookmarkEnd w:id="203"/>
      <w:bookmarkEnd w:id="204"/>
      <w:bookmarkEnd w:id="205"/>
      <w:bookmarkEnd w:id="206"/>
    </w:p>
    <w:p w14:paraId="39B90AA1">
      <w:pPr>
        <w:keepNext w:val="0"/>
        <w:keepLines w:val="0"/>
        <w:pageBreakBefore w:val="0"/>
        <w:widowControl w:val="0"/>
        <w:shd w:val="clear" w:color="auto" w:fill="FFFFFF"/>
        <w:kinsoku/>
        <w:wordWrap/>
        <w:overflowPunct/>
        <w:topLinePunct w:val="0"/>
        <w:autoSpaceDE/>
        <w:autoSpaceDN/>
        <w:bidi w:val="0"/>
        <w:adjustRightInd/>
        <w:snapToGrid/>
        <w:spacing w:before="167" w:beforeLines="50" w:line="360" w:lineRule="auto"/>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致</w:t>
      </w:r>
      <w:r>
        <w:rPr>
          <w:rFonts w:hint="eastAsia" w:ascii="宋体" w:hAnsi="宋体" w:cs="宋体"/>
          <w:b/>
          <w:bCs/>
          <w:color w:val="auto"/>
          <w:sz w:val="24"/>
          <w:highlight w:val="none"/>
          <w:lang w:eastAsia="zh-CN"/>
        </w:rPr>
        <w:t>云南省农业科学院</w:t>
      </w:r>
      <w:r>
        <w:rPr>
          <w:rFonts w:hint="eastAsia" w:ascii="宋体" w:hAnsi="宋体" w:eastAsia="宋体" w:cs="宋体"/>
          <w:b/>
          <w:bCs/>
          <w:color w:val="auto"/>
          <w:sz w:val="24"/>
          <w:highlight w:val="none"/>
        </w:rPr>
        <w:t>：</w:t>
      </w:r>
    </w:p>
    <w:p w14:paraId="55D604EA">
      <w:pPr>
        <w:shd w:val="clear" w:color="auto" w:fill="FFFFFF"/>
        <w:wordWrap w:val="0"/>
        <w:spacing w:line="480" w:lineRule="auto"/>
        <w:ind w:firstLine="480" w:firstLineChars="200"/>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本书作为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（投标人名称）对</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项目</w:t>
      </w:r>
      <w:r>
        <w:rPr>
          <w:rFonts w:hint="eastAsia" w:ascii="宋体" w:hAnsi="宋体" w:eastAsia="宋体" w:cs="宋体"/>
          <w:color w:val="auto"/>
          <w:sz w:val="24"/>
          <w:highlight w:val="none"/>
        </w:rPr>
        <w:t>名称）（招标编号为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）提供投标保证金的保证。</w:t>
      </w:r>
    </w:p>
    <w:p w14:paraId="5116747B">
      <w:pPr>
        <w:shd w:val="clear" w:color="auto" w:fill="FFFFFF"/>
        <w:spacing w:before="60" w:after="60" w:line="500" w:lineRule="atLeast"/>
        <w:ind w:firstLine="629"/>
        <w:rPr>
          <w:rFonts w:hint="eastAsia" w:ascii="宋体" w:hAnsi="宋体" w:eastAsia="宋体" w:cs="宋体"/>
          <w:color w:val="auto"/>
          <w:sz w:val="24"/>
          <w:highlight w:val="none"/>
        </w:rPr>
      </w:pPr>
      <w:r>
        <w:rPr>
          <w:rFonts w:hint="eastAsia" w:ascii="宋体" w:hAnsi="宋体" w:eastAsia="宋体" w:cs="宋体"/>
          <w:color w:val="auto"/>
          <w:sz w:val="24"/>
          <w:highlight w:val="none"/>
        </w:rPr>
        <w:t>一旦发生下述行为，我单位（或公司）将放弃追索投标保证金的权利：</w:t>
      </w:r>
    </w:p>
    <w:p w14:paraId="77A0CBA7">
      <w:pPr>
        <w:shd w:val="clear" w:color="auto" w:fill="FFFFFF"/>
        <w:spacing w:before="60" w:after="60" w:line="500" w:lineRule="atLeast"/>
        <w:ind w:firstLine="629"/>
        <w:rPr>
          <w:rFonts w:hint="eastAsia" w:ascii="宋体" w:hAnsi="宋体" w:eastAsia="宋体" w:cs="宋体"/>
          <w:color w:val="auto"/>
          <w:sz w:val="24"/>
          <w:highlight w:val="none"/>
        </w:rPr>
      </w:pPr>
      <w:r>
        <w:rPr>
          <w:rFonts w:hint="eastAsia" w:ascii="宋体" w:hAnsi="宋体" w:eastAsia="宋体" w:cs="宋体"/>
          <w:color w:val="auto"/>
          <w:sz w:val="24"/>
          <w:highlight w:val="none"/>
        </w:rPr>
        <w:t>（1）在提交投标文件截止时间后，在投标有效期内撤销投标文件的。</w:t>
      </w:r>
    </w:p>
    <w:p w14:paraId="15527871">
      <w:pPr>
        <w:shd w:val="clear" w:color="auto" w:fill="FFFFFF"/>
        <w:spacing w:before="60" w:after="60" w:line="500" w:lineRule="atLeast"/>
        <w:ind w:firstLine="629"/>
        <w:rPr>
          <w:rFonts w:hint="eastAsia" w:ascii="宋体" w:hAnsi="宋体" w:eastAsia="宋体" w:cs="宋体"/>
          <w:color w:val="auto"/>
          <w:sz w:val="24"/>
          <w:highlight w:val="none"/>
        </w:rPr>
      </w:pPr>
      <w:r>
        <w:rPr>
          <w:rFonts w:hint="eastAsia" w:ascii="宋体" w:hAnsi="宋体" w:eastAsia="宋体" w:cs="宋体"/>
          <w:color w:val="auto"/>
          <w:sz w:val="24"/>
          <w:highlight w:val="none"/>
        </w:rPr>
        <w:t>（2）在投标文件中提供虚假材料的。</w:t>
      </w:r>
    </w:p>
    <w:p w14:paraId="02631425">
      <w:pPr>
        <w:shd w:val="clear" w:color="auto" w:fill="FFFFFF"/>
        <w:spacing w:before="60" w:after="60" w:line="500" w:lineRule="atLeast"/>
        <w:ind w:firstLine="629"/>
        <w:rPr>
          <w:rFonts w:hint="eastAsia" w:ascii="宋体" w:hAnsi="宋体" w:eastAsia="宋体" w:cs="宋体"/>
          <w:color w:val="auto"/>
          <w:sz w:val="24"/>
          <w:highlight w:val="none"/>
        </w:rPr>
      </w:pPr>
      <w:r>
        <w:rPr>
          <w:rFonts w:hint="eastAsia" w:ascii="宋体" w:hAnsi="宋体" w:eastAsia="宋体" w:cs="宋体"/>
          <w:color w:val="auto"/>
          <w:sz w:val="24"/>
          <w:highlight w:val="none"/>
        </w:rPr>
        <w:t>（3）除因不可抗力或招标文件认可的情形以外，中标</w:t>
      </w:r>
      <w:r>
        <w:rPr>
          <w:rFonts w:hint="eastAsia" w:ascii="宋体" w:hAnsi="宋体" w:eastAsia="宋体" w:cs="宋体"/>
          <w:color w:val="auto"/>
          <w:sz w:val="24"/>
          <w:highlight w:val="none"/>
          <w:lang w:val="en-US" w:eastAsia="zh-CN"/>
        </w:rPr>
        <w:t>后</w:t>
      </w:r>
      <w:r>
        <w:rPr>
          <w:rFonts w:hint="eastAsia" w:ascii="宋体" w:hAnsi="宋体" w:eastAsia="宋体" w:cs="宋体"/>
          <w:color w:val="auto"/>
          <w:sz w:val="24"/>
          <w:highlight w:val="none"/>
        </w:rPr>
        <w:t>不与</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签订合同的。</w:t>
      </w:r>
    </w:p>
    <w:p w14:paraId="022E51D1">
      <w:pPr>
        <w:shd w:val="clear" w:color="auto" w:fill="FFFFFF"/>
        <w:spacing w:before="60" w:after="60" w:line="500" w:lineRule="atLeast"/>
        <w:ind w:firstLine="629"/>
        <w:rPr>
          <w:rFonts w:hint="eastAsia" w:ascii="宋体" w:hAnsi="宋体" w:eastAsia="宋体" w:cs="宋体"/>
          <w:color w:val="auto"/>
          <w:sz w:val="24"/>
          <w:highlight w:val="none"/>
        </w:rPr>
      </w:pPr>
      <w:r>
        <w:rPr>
          <w:rFonts w:hint="eastAsia" w:ascii="宋体" w:hAnsi="宋体" w:eastAsia="宋体" w:cs="宋体"/>
          <w:color w:val="auto"/>
          <w:sz w:val="24"/>
          <w:highlight w:val="none"/>
        </w:rPr>
        <w:t>（4）与其他投标人恶意串通的。</w:t>
      </w:r>
    </w:p>
    <w:p w14:paraId="4481634C">
      <w:pPr>
        <w:shd w:val="clear" w:color="auto" w:fill="FFFFFF"/>
        <w:spacing w:before="60" w:after="60" w:line="500" w:lineRule="atLeast"/>
        <w:ind w:firstLine="629"/>
        <w:rPr>
          <w:rFonts w:hint="eastAsia" w:ascii="宋体" w:hAnsi="宋体" w:eastAsia="宋体" w:cs="宋体"/>
          <w:color w:val="auto"/>
          <w:sz w:val="24"/>
          <w:highlight w:val="none"/>
        </w:rPr>
      </w:pPr>
      <w:r>
        <w:rPr>
          <w:rFonts w:hint="eastAsia" w:ascii="宋体" w:hAnsi="宋体" w:eastAsia="宋体" w:cs="宋体"/>
          <w:color w:val="auto"/>
          <w:sz w:val="24"/>
          <w:highlight w:val="none"/>
        </w:rPr>
        <w:t>（5）由于</w:t>
      </w:r>
      <w:r>
        <w:rPr>
          <w:rFonts w:hint="eastAsia" w:ascii="宋体" w:hAnsi="宋体" w:eastAsia="宋体" w:cs="宋体"/>
          <w:color w:val="auto"/>
          <w:sz w:val="24"/>
          <w:highlight w:val="none"/>
          <w:lang w:val="en-US" w:eastAsia="zh-CN"/>
        </w:rPr>
        <w:t>我</w:t>
      </w:r>
      <w:r>
        <w:rPr>
          <w:rFonts w:hint="eastAsia" w:ascii="宋体" w:hAnsi="宋体" w:eastAsia="宋体" w:cs="宋体"/>
          <w:color w:val="auto"/>
          <w:sz w:val="24"/>
          <w:highlight w:val="none"/>
        </w:rPr>
        <w:t>单位（或公司）的原因未按规定的时间、地点与</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签订合同或未提交履约保证金和支付</w:t>
      </w:r>
      <w:r>
        <w:rPr>
          <w:rFonts w:hint="eastAsia" w:ascii="宋体" w:hAnsi="宋体" w:eastAsia="宋体" w:cs="宋体"/>
          <w:color w:val="auto"/>
          <w:sz w:val="24"/>
          <w:highlight w:val="none"/>
          <w:lang w:val="en-US" w:eastAsia="zh-CN"/>
        </w:rPr>
        <w:t>采购</w:t>
      </w:r>
      <w:r>
        <w:rPr>
          <w:rFonts w:hint="eastAsia" w:ascii="宋体" w:hAnsi="宋体" w:eastAsia="宋体" w:cs="宋体"/>
          <w:color w:val="auto"/>
          <w:sz w:val="24"/>
          <w:highlight w:val="none"/>
        </w:rPr>
        <w:t>代理服务费的。</w:t>
      </w:r>
    </w:p>
    <w:p w14:paraId="14D5F01F">
      <w:pPr>
        <w:shd w:val="clear" w:color="auto" w:fill="FFFFFF"/>
        <w:spacing w:before="60" w:after="60" w:line="500" w:lineRule="atLeast"/>
        <w:ind w:firstLine="629"/>
        <w:rPr>
          <w:rFonts w:hint="eastAsia" w:ascii="宋体" w:hAnsi="宋体" w:eastAsia="宋体" w:cs="宋体"/>
          <w:color w:val="auto"/>
          <w:sz w:val="24"/>
          <w:highlight w:val="none"/>
        </w:rPr>
      </w:pPr>
      <w:r>
        <w:rPr>
          <w:rFonts w:hint="eastAsia" w:ascii="宋体" w:hAnsi="宋体" w:eastAsia="宋体" w:cs="宋体"/>
          <w:color w:val="auto"/>
          <w:sz w:val="24"/>
          <w:highlight w:val="none"/>
        </w:rPr>
        <w:t>（6）在签订合同时向</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提出附加条件的。</w:t>
      </w:r>
    </w:p>
    <w:p w14:paraId="3CC0C2F2">
      <w:pPr>
        <w:shd w:val="clear" w:color="auto" w:fill="FFFFFF"/>
        <w:spacing w:before="60" w:after="60" w:line="500" w:lineRule="atLeast"/>
        <w:ind w:firstLine="629"/>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）投标保证金自递交投标文件截止时间起</w:t>
      </w:r>
      <w:r>
        <w:rPr>
          <w:rFonts w:hint="eastAsia" w:ascii="宋体" w:hAnsi="宋体" w:eastAsia="宋体" w:cs="宋体"/>
          <w:color w:val="auto"/>
          <w:sz w:val="24"/>
          <w:highlight w:val="none"/>
          <w:u w:val="none"/>
          <w:lang w:val="en-US" w:eastAsia="zh-CN"/>
        </w:rPr>
        <w:t>至投标有效期满保持</w:t>
      </w:r>
      <w:r>
        <w:rPr>
          <w:rFonts w:hint="eastAsia" w:ascii="宋体" w:hAnsi="宋体" w:eastAsia="宋体" w:cs="宋体"/>
          <w:color w:val="auto"/>
          <w:sz w:val="24"/>
          <w:highlight w:val="none"/>
        </w:rPr>
        <w:t>有效，除非贵方提前终止或解除本投标保证书。</w:t>
      </w:r>
    </w:p>
    <w:p w14:paraId="40BDD04C">
      <w:pPr>
        <w:pStyle w:val="132"/>
        <w:ind w:firstLine="613"/>
        <w:rPr>
          <w:rFonts w:hint="eastAsia" w:ascii="宋体" w:hAnsi="宋体" w:eastAsia="宋体" w:cs="宋体"/>
          <w:color w:val="auto"/>
          <w:szCs w:val="21"/>
          <w:highlight w:val="none"/>
          <w:lang w:eastAsia="zh-CN"/>
        </w:rPr>
      </w:pPr>
    </w:p>
    <w:p w14:paraId="67BAEEAF">
      <w:pPr>
        <w:pStyle w:val="132"/>
        <w:ind w:firstLine="613"/>
        <w:rPr>
          <w:rFonts w:hint="eastAsia" w:ascii="宋体" w:hAnsi="宋体" w:eastAsia="宋体" w:cs="宋体"/>
          <w:color w:val="auto"/>
          <w:szCs w:val="21"/>
          <w:highlight w:val="none"/>
          <w:lang w:eastAsia="zh-CN"/>
        </w:rPr>
      </w:pPr>
    </w:p>
    <w:p w14:paraId="50F2B1D7">
      <w:pPr>
        <w:spacing w:line="360" w:lineRule="auto"/>
        <w:ind w:left="0" w:leftChars="0" w:firstLine="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投 标 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（电子签章）</w:t>
      </w:r>
    </w:p>
    <w:p w14:paraId="07966483">
      <w:pPr>
        <w:spacing w:line="360" w:lineRule="auto"/>
        <w:ind w:left="0" w:leftChars="0" w:firstLine="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法定代表人或其委托代理人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（电子签章）</w:t>
      </w:r>
    </w:p>
    <w:p w14:paraId="113CA05D">
      <w:pPr>
        <w:shd w:val="clear" w:color="auto" w:fill="FFFFFF"/>
        <w:spacing w:line="48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42BF7203">
      <w:pPr>
        <w:pStyle w:val="132"/>
        <w:ind w:firstLine="613"/>
        <w:rPr>
          <w:rFonts w:hint="eastAsia" w:ascii="宋体" w:hAnsi="宋体" w:eastAsia="宋体" w:cs="宋体"/>
          <w:color w:val="auto"/>
          <w:szCs w:val="21"/>
          <w:highlight w:val="none"/>
          <w:lang w:eastAsia="zh-CN"/>
        </w:rPr>
      </w:pPr>
    </w:p>
    <w:p w14:paraId="5C7B4920">
      <w:pPr>
        <w:pStyle w:val="132"/>
        <w:ind w:firstLine="468" w:firstLineChars="200"/>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t>备注：附保证金缴纳凭证扫描件。</w:t>
      </w:r>
    </w:p>
    <w:p w14:paraId="2DF55031">
      <w:pPr>
        <w:pStyle w:val="24"/>
        <w:rPr>
          <w:rFonts w:hint="eastAsia" w:ascii="宋体" w:hAnsi="宋体" w:eastAsia="宋体" w:cs="宋体"/>
          <w:color w:val="auto"/>
          <w:highlight w:val="none"/>
        </w:rPr>
      </w:pPr>
    </w:p>
    <w:p w14:paraId="0005E904">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3586EC2E">
      <w:pPr>
        <w:rPr>
          <w:rFonts w:hint="eastAsia" w:ascii="宋体" w:hAnsi="宋体" w:eastAsia="宋体" w:cs="宋体"/>
          <w:color w:val="auto"/>
          <w:highlight w:val="none"/>
        </w:rPr>
      </w:pPr>
    </w:p>
    <w:p w14:paraId="1DCC3BB5">
      <w:pPr>
        <w:pStyle w:val="3"/>
        <w:numPr>
          <w:ilvl w:val="0"/>
          <w:numId w:val="0"/>
        </w:numPr>
        <w:tabs>
          <w:tab w:val="clear" w:pos="360"/>
        </w:tabs>
        <w:spacing w:before="0"/>
        <w:jc w:val="center"/>
        <w:rPr>
          <w:rFonts w:hint="eastAsia" w:ascii="宋体" w:hAnsi="宋体" w:eastAsia="宋体" w:cs="宋体"/>
          <w:color w:val="auto"/>
          <w:szCs w:val="28"/>
          <w:highlight w:val="none"/>
        </w:rPr>
      </w:pPr>
      <w:bookmarkStart w:id="207" w:name="_Toc525998716"/>
      <w:bookmarkStart w:id="208" w:name="_Toc25647"/>
      <w:bookmarkStart w:id="209" w:name="_Toc150703262"/>
      <w:bookmarkStart w:id="210" w:name="_Toc9555"/>
      <w:r>
        <w:rPr>
          <w:rFonts w:hint="eastAsia" w:ascii="宋体" w:hAnsi="宋体" w:eastAsia="宋体" w:cs="宋体"/>
          <w:color w:val="auto"/>
          <w:szCs w:val="28"/>
          <w:highlight w:val="none"/>
        </w:rPr>
        <w:t>格式</w:t>
      </w:r>
      <w:r>
        <w:rPr>
          <w:rFonts w:hint="eastAsia" w:ascii="宋体" w:hAnsi="宋体" w:eastAsia="宋体" w:cs="宋体"/>
          <w:color w:val="auto"/>
          <w:szCs w:val="28"/>
          <w:highlight w:val="none"/>
          <w:lang w:val="en-US" w:eastAsia="zh-CN"/>
        </w:rPr>
        <w:t>11</w:t>
      </w:r>
      <w:r>
        <w:rPr>
          <w:rFonts w:hint="eastAsia" w:ascii="宋体" w:hAnsi="宋体" w:eastAsia="宋体" w:cs="宋体"/>
          <w:color w:val="auto"/>
          <w:szCs w:val="28"/>
          <w:highlight w:val="none"/>
        </w:rPr>
        <w:t>：法定代表人身份证明书</w:t>
      </w:r>
      <w:bookmarkEnd w:id="207"/>
      <w:bookmarkEnd w:id="208"/>
      <w:bookmarkEnd w:id="209"/>
      <w:bookmarkEnd w:id="210"/>
    </w:p>
    <w:p w14:paraId="56CF4D3C">
      <w:pPr>
        <w:shd w:val="clear" w:color="auto" w:fill="FFFFFF"/>
        <w:spacing w:line="360" w:lineRule="auto"/>
        <w:ind w:firstLine="629"/>
        <w:rPr>
          <w:rFonts w:hint="eastAsia" w:ascii="宋体" w:hAnsi="宋体" w:eastAsia="宋体" w:cs="宋体"/>
          <w:color w:val="auto"/>
          <w:sz w:val="24"/>
          <w:highlight w:val="none"/>
        </w:rPr>
      </w:pPr>
    </w:p>
    <w:p w14:paraId="4A1840D3">
      <w:pPr>
        <w:shd w:val="clear" w:color="auto" w:fill="FFFFFF"/>
        <w:ind w:firstLine="629"/>
        <w:rPr>
          <w:rFonts w:hint="eastAsia" w:ascii="宋体" w:hAnsi="宋体" w:eastAsia="宋体" w:cs="宋体"/>
          <w:color w:val="auto"/>
          <w:sz w:val="24"/>
          <w:highlight w:val="none"/>
        </w:rPr>
      </w:pPr>
      <w:r>
        <w:rPr>
          <w:rFonts w:hint="eastAsia" w:ascii="宋体" w:hAnsi="宋体" w:eastAsia="宋体" w:cs="宋体"/>
          <w:color w:val="auto"/>
          <w:sz w:val="24"/>
          <w:highlight w:val="none"/>
        </w:rPr>
        <w:t>单位名称：</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p>
    <w:p w14:paraId="0668ED49">
      <w:pPr>
        <w:shd w:val="clear" w:color="auto" w:fill="FFFFFF"/>
        <w:ind w:firstLine="629"/>
        <w:rPr>
          <w:rFonts w:hint="eastAsia" w:ascii="宋体" w:hAnsi="宋体" w:eastAsia="宋体" w:cs="宋体"/>
          <w:color w:val="auto"/>
          <w:sz w:val="24"/>
          <w:highlight w:val="none"/>
          <w:lang w:eastAsia="zh-CN"/>
        </w:rPr>
      </w:pPr>
    </w:p>
    <w:p w14:paraId="4A2771ED">
      <w:pPr>
        <w:shd w:val="clear" w:color="auto" w:fill="FFFFFF"/>
        <w:ind w:firstLine="629"/>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单位性质：</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p>
    <w:p w14:paraId="1754FDE8">
      <w:pPr>
        <w:shd w:val="clear" w:color="auto" w:fill="FFFFFF"/>
        <w:ind w:firstLine="629"/>
        <w:rPr>
          <w:rFonts w:hint="eastAsia" w:ascii="宋体" w:hAnsi="宋体" w:eastAsia="宋体" w:cs="宋体"/>
          <w:color w:val="auto"/>
          <w:sz w:val="24"/>
          <w:highlight w:val="none"/>
          <w:lang w:eastAsia="zh-CN"/>
        </w:rPr>
      </w:pPr>
    </w:p>
    <w:p w14:paraId="6B4712AC">
      <w:pPr>
        <w:shd w:val="clear" w:color="auto" w:fill="FFFFFF"/>
        <w:ind w:firstLine="629"/>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地    址：</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p>
    <w:p w14:paraId="688F54D5">
      <w:pPr>
        <w:shd w:val="clear" w:color="auto" w:fill="FFFFFF"/>
        <w:ind w:firstLine="629"/>
        <w:rPr>
          <w:rFonts w:hint="eastAsia" w:ascii="宋体" w:hAnsi="宋体" w:eastAsia="宋体" w:cs="宋体"/>
          <w:color w:val="auto"/>
          <w:sz w:val="24"/>
          <w:highlight w:val="none"/>
          <w:lang w:eastAsia="zh-CN"/>
        </w:rPr>
      </w:pPr>
    </w:p>
    <w:p w14:paraId="41FF0007">
      <w:pPr>
        <w:shd w:val="clear" w:color="auto" w:fill="FFFFFF"/>
        <w:ind w:firstLine="629"/>
        <w:rPr>
          <w:rFonts w:hint="eastAsia" w:ascii="宋体" w:hAnsi="宋体" w:eastAsia="宋体" w:cs="宋体"/>
          <w:color w:val="auto"/>
          <w:sz w:val="24"/>
          <w:highlight w:val="none"/>
        </w:rPr>
      </w:pPr>
      <w:r>
        <w:rPr>
          <w:rFonts w:hint="eastAsia" w:ascii="宋体" w:hAnsi="宋体" w:eastAsia="宋体" w:cs="宋体"/>
          <w:color w:val="auto"/>
          <w:sz w:val="24"/>
          <w:highlight w:val="none"/>
        </w:rPr>
        <w:t>成立时间</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36213F4F">
      <w:pPr>
        <w:shd w:val="clear" w:color="auto" w:fill="FFFFFF"/>
        <w:ind w:firstLine="629"/>
        <w:rPr>
          <w:rFonts w:hint="eastAsia" w:ascii="宋体" w:hAnsi="宋体" w:eastAsia="宋体" w:cs="宋体"/>
          <w:color w:val="auto"/>
          <w:sz w:val="24"/>
          <w:highlight w:val="none"/>
          <w:lang w:eastAsia="zh-CN"/>
        </w:rPr>
      </w:pPr>
    </w:p>
    <w:p w14:paraId="0FAFD966">
      <w:pPr>
        <w:shd w:val="clear" w:color="auto" w:fill="FFFFFF"/>
        <w:ind w:firstLine="629"/>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经营期限：</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p>
    <w:p w14:paraId="020CEB15">
      <w:pPr>
        <w:shd w:val="clear" w:color="auto" w:fill="FFFFFF"/>
        <w:ind w:firstLine="629"/>
        <w:rPr>
          <w:rFonts w:hint="eastAsia" w:ascii="宋体" w:hAnsi="宋体" w:eastAsia="宋体" w:cs="宋体"/>
          <w:color w:val="auto"/>
          <w:sz w:val="24"/>
          <w:highlight w:val="none"/>
          <w:lang w:eastAsia="zh-CN"/>
        </w:rPr>
      </w:pPr>
    </w:p>
    <w:p w14:paraId="17EDCA12">
      <w:pPr>
        <w:shd w:val="clear" w:color="auto" w:fill="FFFFFF"/>
        <w:ind w:firstLine="629"/>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姓    名</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性别</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年龄</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职务：</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p>
    <w:p w14:paraId="5937BDB4">
      <w:pPr>
        <w:shd w:val="clear" w:color="auto" w:fill="FFFFFF"/>
        <w:ind w:firstLine="629"/>
        <w:rPr>
          <w:rFonts w:hint="eastAsia" w:ascii="宋体" w:hAnsi="宋体" w:eastAsia="宋体" w:cs="宋体"/>
          <w:color w:val="auto"/>
          <w:sz w:val="24"/>
          <w:highlight w:val="none"/>
          <w:lang w:eastAsia="zh-CN"/>
        </w:rPr>
      </w:pPr>
    </w:p>
    <w:p w14:paraId="03ACD585">
      <w:pPr>
        <w:shd w:val="clear" w:color="auto" w:fill="FFFFFF"/>
        <w:ind w:firstLine="629"/>
        <w:rPr>
          <w:rFonts w:hint="eastAsia" w:ascii="宋体" w:hAnsi="宋体" w:eastAsia="宋体" w:cs="宋体"/>
          <w:color w:val="auto"/>
          <w:sz w:val="24"/>
          <w:highlight w:val="none"/>
        </w:rPr>
      </w:pPr>
      <w:r>
        <w:rPr>
          <w:rFonts w:hint="eastAsia" w:ascii="宋体" w:hAnsi="宋体" w:eastAsia="宋体" w:cs="宋体"/>
          <w:color w:val="auto"/>
          <w:sz w:val="24"/>
          <w:highlight w:val="none"/>
        </w:rPr>
        <w:t>系</w:t>
      </w:r>
      <w:r>
        <w:rPr>
          <w:rFonts w:hint="eastAsia" w:ascii="宋体" w:hAnsi="宋体" w:eastAsia="宋体" w:cs="宋体"/>
          <w:color w:val="auto"/>
          <w:sz w:val="24"/>
          <w:highlight w:val="none"/>
          <w:u w:val="single"/>
        </w:rPr>
        <w:t xml:space="preserve">     （投标人名称）        </w:t>
      </w:r>
      <w:r>
        <w:rPr>
          <w:rFonts w:hint="eastAsia" w:ascii="宋体" w:hAnsi="宋体" w:eastAsia="宋体" w:cs="宋体"/>
          <w:color w:val="auto"/>
          <w:sz w:val="24"/>
          <w:highlight w:val="none"/>
        </w:rPr>
        <w:t>的法定代表人。</w:t>
      </w:r>
    </w:p>
    <w:p w14:paraId="540624F1">
      <w:pPr>
        <w:shd w:val="clear" w:color="auto" w:fill="FFFFFF"/>
        <w:spacing w:line="360" w:lineRule="auto"/>
        <w:ind w:firstLine="629"/>
        <w:rPr>
          <w:rFonts w:hint="eastAsia" w:ascii="宋体" w:hAnsi="宋体" w:eastAsia="宋体" w:cs="宋体"/>
          <w:color w:val="auto"/>
          <w:sz w:val="24"/>
          <w:highlight w:val="none"/>
          <w:lang w:eastAsia="zh-CN"/>
        </w:rPr>
      </w:pPr>
    </w:p>
    <w:p w14:paraId="77892051">
      <w:pPr>
        <w:shd w:val="clear" w:color="auto" w:fill="FFFFFF"/>
        <w:spacing w:line="360" w:lineRule="auto"/>
        <w:ind w:firstLine="629"/>
        <w:rPr>
          <w:rFonts w:hint="eastAsia" w:ascii="宋体" w:hAnsi="宋体" w:eastAsia="宋体" w:cs="宋体"/>
          <w:color w:val="auto"/>
          <w:sz w:val="24"/>
          <w:highlight w:val="none"/>
        </w:rPr>
      </w:pPr>
      <w:r>
        <w:rPr>
          <w:rFonts w:hint="eastAsia" w:ascii="宋体" w:hAnsi="宋体" w:eastAsia="宋体" w:cs="宋体"/>
          <w:color w:val="auto"/>
          <w:sz w:val="24"/>
          <w:highlight w:val="none"/>
        </w:rPr>
        <w:t>特此证明。</w:t>
      </w:r>
    </w:p>
    <w:p w14:paraId="2996D33F">
      <w:pPr>
        <w:shd w:val="clear" w:color="auto" w:fill="FFFFFF"/>
        <w:tabs>
          <w:tab w:val="left" w:pos="720"/>
          <w:tab w:val="left" w:pos="900"/>
        </w:tabs>
        <w:spacing w:line="360" w:lineRule="auto"/>
        <w:ind w:firstLine="480" w:firstLineChars="200"/>
        <w:rPr>
          <w:rFonts w:hint="eastAsia" w:ascii="宋体" w:hAnsi="宋体" w:eastAsia="宋体" w:cs="宋体"/>
          <w:color w:val="auto"/>
          <w:sz w:val="24"/>
          <w:highlight w:val="none"/>
          <w:lang w:eastAsia="zh-CN"/>
        </w:rPr>
      </w:pPr>
    </w:p>
    <w:p w14:paraId="684ABE28">
      <w:pPr>
        <w:shd w:val="clear" w:color="auto" w:fill="FFFFFF"/>
        <w:tabs>
          <w:tab w:val="left" w:pos="720"/>
          <w:tab w:val="left" w:pos="900"/>
        </w:tabs>
        <w:spacing w:line="360" w:lineRule="auto"/>
        <w:ind w:firstLine="480" w:firstLineChars="200"/>
        <w:rPr>
          <w:rFonts w:hint="eastAsia" w:ascii="宋体" w:hAnsi="宋体" w:eastAsia="宋体" w:cs="宋体"/>
          <w:color w:val="auto"/>
          <w:sz w:val="24"/>
          <w:highlight w:val="none"/>
          <w:lang w:eastAsia="zh-CN"/>
        </w:rPr>
      </w:pPr>
    </w:p>
    <w:p w14:paraId="3B72F183">
      <w:pPr>
        <w:shd w:val="clear" w:color="auto" w:fill="FFFFFF"/>
        <w:tabs>
          <w:tab w:val="left" w:pos="720"/>
          <w:tab w:val="left" w:pos="900"/>
        </w:tabs>
        <w:spacing w:line="360" w:lineRule="auto"/>
        <w:ind w:firstLine="5040" w:firstLineChars="210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投标人全称</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rPr>
        <w:t xml:space="preserve">     （电子签章）</w:t>
      </w:r>
    </w:p>
    <w:p w14:paraId="74484171">
      <w:pPr>
        <w:shd w:val="clear" w:color="auto" w:fill="FFFFFF"/>
        <w:tabs>
          <w:tab w:val="left" w:pos="720"/>
          <w:tab w:val="left" w:pos="900"/>
        </w:tabs>
        <w:spacing w:line="360" w:lineRule="auto"/>
        <w:ind w:firstLine="5040" w:firstLineChars="2100"/>
        <w:rPr>
          <w:rFonts w:hint="eastAsia" w:ascii="宋体" w:hAnsi="宋体" w:eastAsia="宋体" w:cs="宋体"/>
          <w:color w:val="auto"/>
          <w:sz w:val="24"/>
          <w:highlight w:val="none"/>
          <w:lang w:eastAsia="zh-CN"/>
        </w:rPr>
      </w:pPr>
    </w:p>
    <w:p w14:paraId="4FA032E7">
      <w:pPr>
        <w:shd w:val="clear" w:color="auto" w:fill="FFFFFF"/>
        <w:tabs>
          <w:tab w:val="left" w:pos="720"/>
          <w:tab w:val="left" w:pos="900"/>
        </w:tabs>
        <w:spacing w:line="360" w:lineRule="auto"/>
        <w:ind w:firstLine="5040" w:firstLineChars="2100"/>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4CDDF28D">
      <w:pPr>
        <w:pStyle w:val="15"/>
        <w:ind w:firstLine="629"/>
        <w:rPr>
          <w:rFonts w:hint="eastAsia" w:ascii="宋体" w:hAnsi="宋体" w:eastAsia="宋体" w:cs="宋体"/>
          <w:color w:val="auto"/>
          <w:highlight w:val="none"/>
        </w:rPr>
      </w:pPr>
    </w:p>
    <w:p w14:paraId="3F779776">
      <w:pPr>
        <w:shd w:val="clear" w:color="auto" w:fill="FFFFFF"/>
        <w:tabs>
          <w:tab w:val="left" w:pos="720"/>
          <w:tab w:val="left" w:pos="900"/>
        </w:tabs>
        <w:spacing w:line="360" w:lineRule="auto"/>
        <w:ind w:firstLine="720" w:firstLineChars="300"/>
        <w:rPr>
          <w:rFonts w:hint="eastAsia" w:ascii="宋体" w:hAnsi="宋体" w:eastAsia="宋体" w:cs="宋体"/>
          <w:bCs/>
          <w:color w:val="auto"/>
          <w:sz w:val="24"/>
          <w:highlight w:val="none"/>
        </w:rPr>
      </w:pPr>
    </w:p>
    <w:p w14:paraId="416DC643">
      <w:pPr>
        <w:shd w:val="clear" w:color="auto" w:fill="FFFFFF"/>
        <w:tabs>
          <w:tab w:val="left" w:pos="720"/>
          <w:tab w:val="left" w:pos="900"/>
        </w:tabs>
        <w:spacing w:line="360" w:lineRule="auto"/>
        <w:ind w:firstLine="720" w:firstLineChars="300"/>
        <w:rPr>
          <w:rFonts w:hint="eastAsia" w:ascii="宋体" w:hAnsi="宋体" w:eastAsia="宋体" w:cs="宋体"/>
          <w:bCs/>
          <w:color w:val="auto"/>
          <w:sz w:val="24"/>
          <w:highlight w:val="none"/>
        </w:rPr>
      </w:pPr>
    </w:p>
    <w:p w14:paraId="39550062">
      <w:pPr>
        <w:shd w:val="clear" w:color="auto" w:fill="FFFFFF"/>
        <w:tabs>
          <w:tab w:val="left" w:pos="720"/>
          <w:tab w:val="left" w:pos="900"/>
        </w:tabs>
        <w:spacing w:line="360" w:lineRule="auto"/>
        <w:ind w:firstLine="720" w:firstLineChars="3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附：法定代表人身份证原件正、反面扫描件。</w:t>
      </w:r>
    </w:p>
    <w:p w14:paraId="030FDE7A">
      <w:pPr>
        <w:shd w:val="clear" w:color="auto" w:fill="FFFFFF"/>
        <w:tabs>
          <w:tab w:val="left" w:pos="720"/>
          <w:tab w:val="left" w:pos="900"/>
        </w:tabs>
        <w:spacing w:before="331" w:beforeLines="100" w:line="360" w:lineRule="auto"/>
        <w:ind w:firstLine="660" w:firstLineChars="300"/>
        <w:rPr>
          <w:rFonts w:hint="eastAsia" w:ascii="宋体" w:hAnsi="宋体" w:eastAsia="宋体" w:cs="宋体"/>
          <w:b/>
          <w:color w:val="auto"/>
          <w:sz w:val="22"/>
          <w:highlight w:val="none"/>
        </w:rPr>
      </w:pPr>
    </w:p>
    <w:p w14:paraId="749F1C6F">
      <w:pPr>
        <w:shd w:val="clear" w:color="auto" w:fill="FFFFFF"/>
        <w:tabs>
          <w:tab w:val="left" w:pos="720"/>
          <w:tab w:val="left" w:pos="900"/>
        </w:tabs>
        <w:spacing w:before="331" w:beforeLines="100" w:line="360" w:lineRule="auto"/>
        <w:ind w:firstLine="660" w:firstLineChars="300"/>
        <w:rPr>
          <w:rFonts w:hint="eastAsia" w:ascii="宋体" w:hAnsi="宋体" w:eastAsia="宋体" w:cs="宋体"/>
          <w:b/>
          <w:color w:val="auto"/>
          <w:sz w:val="22"/>
          <w:highlight w:val="none"/>
        </w:rPr>
        <w:sectPr>
          <w:pgSz w:w="11906" w:h="16838"/>
          <w:pgMar w:top="1418" w:right="1134" w:bottom="1134" w:left="1418" w:header="935" w:footer="720" w:gutter="0"/>
          <w:pgBorders>
            <w:top w:val="none" w:sz="0" w:space="0"/>
            <w:left w:val="none" w:sz="0" w:space="0"/>
            <w:bottom w:val="none" w:sz="0" w:space="0"/>
            <w:right w:val="none" w:sz="0" w:space="0"/>
          </w:pgBorders>
          <w:cols w:space="720" w:num="1"/>
          <w:docGrid w:type="linesAndChars" w:linePitch="331" w:charSpace="0"/>
        </w:sectPr>
      </w:pPr>
    </w:p>
    <w:p w14:paraId="4AE549AB">
      <w:pPr>
        <w:bidi w:val="0"/>
        <w:rPr>
          <w:rFonts w:hint="eastAsia" w:ascii="宋体" w:hAnsi="宋体" w:eastAsia="宋体" w:cs="宋体"/>
          <w:color w:val="auto"/>
          <w:highlight w:val="none"/>
        </w:rPr>
      </w:pPr>
      <w:bookmarkStart w:id="211" w:name="_Toc327178019"/>
      <w:bookmarkStart w:id="212" w:name="_Toc326740410"/>
      <w:bookmarkStart w:id="213" w:name="_Toc150703263"/>
      <w:bookmarkStart w:id="214" w:name="_Toc430197656"/>
      <w:bookmarkStart w:id="215" w:name="_Toc525998717"/>
    </w:p>
    <w:p w14:paraId="488FF108">
      <w:pPr>
        <w:pStyle w:val="3"/>
        <w:numPr>
          <w:ilvl w:val="0"/>
          <w:numId w:val="0"/>
        </w:numPr>
        <w:tabs>
          <w:tab w:val="clear" w:pos="360"/>
        </w:tabs>
        <w:spacing w:before="0"/>
        <w:jc w:val="center"/>
        <w:rPr>
          <w:rFonts w:hint="eastAsia" w:ascii="宋体" w:hAnsi="宋体" w:eastAsia="宋体" w:cs="宋体"/>
          <w:color w:val="auto"/>
          <w:szCs w:val="21"/>
          <w:highlight w:val="none"/>
        </w:rPr>
      </w:pPr>
      <w:bookmarkStart w:id="216" w:name="_Toc3488"/>
      <w:bookmarkStart w:id="217" w:name="_Toc967"/>
      <w:r>
        <w:rPr>
          <w:rFonts w:hint="eastAsia" w:ascii="宋体" w:hAnsi="宋体" w:eastAsia="宋体" w:cs="宋体"/>
          <w:color w:val="auto"/>
          <w:szCs w:val="28"/>
          <w:highlight w:val="none"/>
        </w:rPr>
        <w:t>格式</w:t>
      </w:r>
      <w:r>
        <w:rPr>
          <w:rFonts w:hint="eastAsia" w:ascii="宋体" w:hAnsi="宋体" w:eastAsia="宋体" w:cs="宋体"/>
          <w:color w:val="auto"/>
          <w:szCs w:val="28"/>
          <w:highlight w:val="none"/>
          <w:lang w:val="en-US" w:eastAsia="zh-CN"/>
        </w:rPr>
        <w:t>12</w:t>
      </w:r>
      <w:r>
        <w:rPr>
          <w:rFonts w:hint="eastAsia" w:ascii="宋体" w:hAnsi="宋体" w:eastAsia="宋体" w:cs="宋体"/>
          <w:color w:val="auto"/>
          <w:szCs w:val="28"/>
          <w:highlight w:val="none"/>
        </w:rPr>
        <w:t>：</w:t>
      </w:r>
      <w:bookmarkEnd w:id="211"/>
      <w:bookmarkEnd w:id="212"/>
      <w:r>
        <w:rPr>
          <w:rFonts w:hint="eastAsia" w:ascii="宋体" w:hAnsi="宋体" w:eastAsia="宋体" w:cs="宋体"/>
          <w:color w:val="auto"/>
          <w:szCs w:val="28"/>
          <w:highlight w:val="none"/>
        </w:rPr>
        <w:t>法定代表人签署的授权委托书</w:t>
      </w:r>
      <w:bookmarkEnd w:id="213"/>
      <w:bookmarkEnd w:id="214"/>
      <w:bookmarkEnd w:id="215"/>
      <w:bookmarkEnd w:id="216"/>
      <w:bookmarkEnd w:id="217"/>
    </w:p>
    <w:p w14:paraId="3637B202">
      <w:pPr>
        <w:shd w:val="clear" w:color="auto" w:fill="FFFFFF"/>
        <w:spacing w:line="500" w:lineRule="exact"/>
        <w:ind w:firstLine="629"/>
        <w:rPr>
          <w:rFonts w:hint="eastAsia" w:ascii="宋体" w:hAnsi="宋体" w:eastAsia="宋体" w:cs="宋体"/>
          <w:color w:val="auto"/>
          <w:sz w:val="24"/>
          <w:highlight w:val="none"/>
        </w:rPr>
      </w:pPr>
    </w:p>
    <w:p w14:paraId="434B763D">
      <w:pPr>
        <w:keepNext w:val="0"/>
        <w:keepLines w:val="0"/>
        <w:pageBreakBefore w:val="0"/>
        <w:widowControl w:val="0"/>
        <w:shd w:val="clear" w:color="auto" w:fill="FFFFFF"/>
        <w:kinsoku/>
        <w:wordWrap/>
        <w:overflowPunct/>
        <w:topLinePunct w:val="0"/>
        <w:autoSpaceDE/>
        <w:autoSpaceDN/>
        <w:bidi w:val="0"/>
        <w:snapToGrid/>
        <w:spacing w:line="50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本授权委托书声明：我</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（姓名）系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（投标人名称）的法定代表人，现授权委托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（姓名）为我单位代理人，以单位名义参加云南众高工程咨询有限公司组织的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w:t>
      </w:r>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招标编号）的投标活动。</w:t>
      </w:r>
    </w:p>
    <w:p w14:paraId="78C7E9AB">
      <w:pPr>
        <w:keepNext w:val="0"/>
        <w:keepLines w:val="0"/>
        <w:pageBreakBefore w:val="0"/>
        <w:widowControl w:val="0"/>
        <w:shd w:val="clear" w:color="auto" w:fill="FFFFFF"/>
        <w:kinsoku/>
        <w:wordWrap/>
        <w:overflowPunct/>
        <w:topLinePunct w:val="0"/>
        <w:autoSpaceDE/>
        <w:autoSpaceDN/>
        <w:bidi w:val="0"/>
        <w:snapToGrid/>
        <w:spacing w:line="50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代理人在参加本项目过程中所签署的一切文件和处理与之有关的一切事务，我均予以承认。</w:t>
      </w:r>
    </w:p>
    <w:p w14:paraId="166C443E">
      <w:pPr>
        <w:keepNext w:val="0"/>
        <w:keepLines w:val="0"/>
        <w:pageBreakBefore w:val="0"/>
        <w:widowControl w:val="0"/>
        <w:shd w:val="clear" w:color="auto" w:fill="FFFFFF"/>
        <w:kinsoku/>
        <w:wordWrap/>
        <w:overflowPunct/>
        <w:topLinePunct w:val="0"/>
        <w:autoSpaceDE/>
        <w:autoSpaceDN/>
        <w:bidi w:val="0"/>
        <w:snapToGrid/>
        <w:spacing w:line="500" w:lineRule="exact"/>
        <w:ind w:firstLine="480" w:firstLineChars="200"/>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委托期限</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rPr>
        <w:t xml:space="preserve">               </w:t>
      </w:r>
    </w:p>
    <w:p w14:paraId="2AEF6A80">
      <w:pPr>
        <w:keepNext w:val="0"/>
        <w:keepLines w:val="0"/>
        <w:pageBreakBefore w:val="0"/>
        <w:widowControl w:val="0"/>
        <w:shd w:val="clear" w:color="auto" w:fill="FFFFFF"/>
        <w:kinsoku/>
        <w:wordWrap/>
        <w:overflowPunct/>
        <w:topLinePunct w:val="0"/>
        <w:autoSpaceDE/>
        <w:autoSpaceDN/>
        <w:bidi w:val="0"/>
        <w:snapToGrid/>
        <w:spacing w:line="500" w:lineRule="exact"/>
        <w:ind w:firstLine="480" w:firstLineChars="200"/>
        <w:textAlignment w:val="auto"/>
        <w:rPr>
          <w:rFonts w:hint="eastAsia" w:ascii="宋体" w:hAnsi="宋体" w:eastAsia="宋体" w:cs="宋体"/>
          <w:color w:val="auto"/>
          <w:sz w:val="24"/>
          <w:highlight w:val="none"/>
        </w:rPr>
      </w:pPr>
    </w:p>
    <w:p w14:paraId="5EDFD12C">
      <w:pPr>
        <w:keepNext w:val="0"/>
        <w:keepLines w:val="0"/>
        <w:pageBreakBefore w:val="0"/>
        <w:widowControl w:val="0"/>
        <w:shd w:val="clear" w:color="auto" w:fill="FFFFFF"/>
        <w:kinsoku/>
        <w:wordWrap/>
        <w:overflowPunct/>
        <w:topLinePunct w:val="0"/>
        <w:autoSpaceDE/>
        <w:autoSpaceDN/>
        <w:bidi w:val="0"/>
        <w:snapToGrid/>
        <w:spacing w:line="500" w:lineRule="exact"/>
        <w:ind w:firstLine="480" w:firstLineChars="200"/>
        <w:textAlignment w:val="auto"/>
        <w:rPr>
          <w:rFonts w:hint="eastAsia" w:ascii="宋体" w:hAnsi="宋体" w:eastAsia="宋体" w:cs="宋体"/>
          <w:color w:val="auto"/>
          <w:sz w:val="24"/>
          <w:highlight w:val="none"/>
        </w:rPr>
      </w:pPr>
    </w:p>
    <w:p w14:paraId="7D7F3063">
      <w:pPr>
        <w:keepNext w:val="0"/>
        <w:keepLines w:val="0"/>
        <w:pageBreakBefore w:val="0"/>
        <w:widowControl w:val="0"/>
        <w:shd w:val="clear" w:color="auto" w:fill="FFFFFF"/>
        <w:kinsoku/>
        <w:wordWrap/>
        <w:overflowPunct/>
        <w:topLinePunct w:val="0"/>
        <w:autoSpaceDE/>
        <w:autoSpaceDN/>
        <w:bidi w:val="0"/>
        <w:snapToGrid/>
        <w:spacing w:line="48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代理人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                          性别</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               年龄：</w:t>
      </w:r>
    </w:p>
    <w:p w14:paraId="0AFD92F3">
      <w:pPr>
        <w:keepNext w:val="0"/>
        <w:keepLines w:val="0"/>
        <w:pageBreakBefore w:val="0"/>
        <w:widowControl w:val="0"/>
        <w:shd w:val="clear" w:color="auto" w:fill="FFFFFF"/>
        <w:kinsoku/>
        <w:wordWrap/>
        <w:overflowPunct/>
        <w:topLinePunct w:val="0"/>
        <w:autoSpaceDE/>
        <w:autoSpaceDN/>
        <w:bidi w:val="0"/>
        <w:snapToGrid/>
        <w:spacing w:line="48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部    门</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                        职务：</w:t>
      </w:r>
    </w:p>
    <w:p w14:paraId="37EEFF03">
      <w:pPr>
        <w:keepNext w:val="0"/>
        <w:keepLines w:val="0"/>
        <w:pageBreakBefore w:val="0"/>
        <w:widowControl w:val="0"/>
        <w:shd w:val="clear" w:color="auto" w:fill="FFFFFF"/>
        <w:kinsoku/>
        <w:wordWrap/>
        <w:overflowPunct/>
        <w:topLinePunct w:val="0"/>
        <w:autoSpaceDE/>
        <w:autoSpaceDN/>
        <w:bidi w:val="0"/>
        <w:snapToGrid/>
        <w:spacing w:line="48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代理人无转委权，特此委托。</w:t>
      </w:r>
    </w:p>
    <w:p w14:paraId="5765F9F4">
      <w:pPr>
        <w:keepNext w:val="0"/>
        <w:keepLines w:val="0"/>
        <w:pageBreakBefore w:val="0"/>
        <w:widowControl w:val="0"/>
        <w:shd w:val="clear" w:color="auto" w:fill="FFFFFF"/>
        <w:kinsoku/>
        <w:wordWrap/>
        <w:overflowPunct/>
        <w:topLinePunct w:val="0"/>
        <w:autoSpaceDE/>
        <w:autoSpaceDN/>
        <w:bidi w:val="0"/>
        <w:snapToGrid/>
        <w:spacing w:line="480" w:lineRule="auto"/>
        <w:ind w:firstLine="480" w:firstLineChars="200"/>
        <w:textAlignment w:val="auto"/>
        <w:rPr>
          <w:rFonts w:hint="eastAsia" w:ascii="宋体" w:hAnsi="宋体" w:eastAsia="宋体" w:cs="宋体"/>
          <w:color w:val="auto"/>
          <w:sz w:val="24"/>
          <w:highlight w:val="none"/>
        </w:rPr>
      </w:pPr>
    </w:p>
    <w:p w14:paraId="33369BF5">
      <w:pPr>
        <w:pStyle w:val="15"/>
        <w:keepNext w:val="0"/>
        <w:keepLines w:val="0"/>
        <w:pageBreakBefore w:val="0"/>
        <w:widowControl w:val="0"/>
        <w:kinsoku/>
        <w:wordWrap/>
        <w:overflowPunct/>
        <w:topLinePunct w:val="0"/>
        <w:autoSpaceDE/>
        <w:autoSpaceDN/>
        <w:bidi w:val="0"/>
        <w:snapToGrid/>
        <w:ind w:firstLine="480" w:firstLineChars="200"/>
        <w:textAlignment w:val="auto"/>
        <w:rPr>
          <w:rFonts w:hint="eastAsia" w:ascii="宋体" w:hAnsi="宋体" w:eastAsia="宋体" w:cs="宋体"/>
          <w:color w:val="auto"/>
          <w:highlight w:val="none"/>
        </w:rPr>
      </w:pPr>
    </w:p>
    <w:p w14:paraId="3B94B4C9">
      <w:pPr>
        <w:keepNext w:val="0"/>
        <w:keepLines w:val="0"/>
        <w:pageBreakBefore w:val="0"/>
        <w:widowControl w:val="0"/>
        <w:kinsoku/>
        <w:wordWrap/>
        <w:overflowPunct/>
        <w:topLinePunct w:val="0"/>
        <w:autoSpaceDE/>
        <w:autoSpaceDN/>
        <w:bidi w:val="0"/>
        <w:snapToGrid/>
        <w:spacing w:line="360" w:lineRule="auto"/>
        <w:ind w:left="0" w:leftChars="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 标 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（电子签章）</w:t>
      </w:r>
    </w:p>
    <w:p w14:paraId="6EB3E1EC">
      <w:pPr>
        <w:keepNext w:val="0"/>
        <w:keepLines w:val="0"/>
        <w:pageBreakBefore w:val="0"/>
        <w:widowControl w:val="0"/>
        <w:kinsoku/>
        <w:wordWrap/>
        <w:overflowPunct/>
        <w:topLinePunct w:val="0"/>
        <w:autoSpaceDE/>
        <w:autoSpaceDN/>
        <w:bidi w:val="0"/>
        <w:snapToGrid/>
        <w:spacing w:line="360" w:lineRule="auto"/>
        <w:ind w:left="0" w:leftChars="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法定代表人或其委托代理人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（电子签章）</w:t>
      </w:r>
    </w:p>
    <w:p w14:paraId="26E9E7DE">
      <w:pPr>
        <w:keepNext w:val="0"/>
        <w:keepLines w:val="0"/>
        <w:pageBreakBefore w:val="0"/>
        <w:widowControl w:val="0"/>
        <w:shd w:val="clear" w:color="auto" w:fill="FFFFFF"/>
        <w:kinsoku/>
        <w:wordWrap/>
        <w:overflowPunct/>
        <w:topLinePunct w:val="0"/>
        <w:autoSpaceDE/>
        <w:autoSpaceDN/>
        <w:bidi w:val="0"/>
        <w:snapToGrid/>
        <w:spacing w:line="48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0EC5E598">
      <w:pPr>
        <w:shd w:val="clear" w:color="auto" w:fill="FFFFFF"/>
        <w:rPr>
          <w:rFonts w:hint="eastAsia" w:ascii="宋体" w:hAnsi="宋体" w:eastAsia="宋体" w:cs="宋体"/>
          <w:color w:val="auto"/>
          <w:szCs w:val="28"/>
          <w:highlight w:val="none"/>
        </w:rPr>
      </w:pPr>
    </w:p>
    <w:p w14:paraId="30AB81F6">
      <w:pPr>
        <w:ind w:firstLine="736"/>
        <w:rPr>
          <w:rFonts w:hint="eastAsia" w:ascii="宋体" w:hAnsi="宋体" w:eastAsia="宋体" w:cs="宋体"/>
          <w:b/>
          <w:color w:val="auto"/>
          <w:highlight w:val="none"/>
        </w:rPr>
      </w:pPr>
    </w:p>
    <w:p w14:paraId="1985E8F7">
      <w:pPr>
        <w:ind w:firstLine="736"/>
        <w:rPr>
          <w:rFonts w:hint="eastAsia" w:ascii="宋体" w:hAnsi="宋体" w:eastAsia="宋体" w:cs="宋体"/>
          <w:b/>
          <w:color w:val="auto"/>
          <w:highlight w:val="none"/>
        </w:rPr>
      </w:pPr>
    </w:p>
    <w:p w14:paraId="3B497B3D">
      <w:pPr>
        <w:ind w:firstLine="631"/>
        <w:rPr>
          <w:rFonts w:hint="eastAsia" w:ascii="宋体" w:hAnsi="宋体" w:eastAsia="宋体" w:cs="宋体"/>
          <w:b/>
          <w:color w:val="auto"/>
          <w:highlight w:val="none"/>
        </w:rPr>
      </w:pPr>
      <w:r>
        <w:rPr>
          <w:rFonts w:hint="eastAsia" w:ascii="宋体" w:hAnsi="宋体" w:eastAsia="宋体" w:cs="宋体"/>
          <w:b/>
          <w:bCs/>
          <w:color w:val="auto"/>
          <w:sz w:val="24"/>
          <w:highlight w:val="none"/>
        </w:rPr>
        <w:t>附：委托代理人身份证原件正、反面扫描件。</w:t>
      </w:r>
    </w:p>
    <w:p w14:paraId="1E269984">
      <w:pPr>
        <w:rPr>
          <w:rFonts w:hint="eastAsia" w:ascii="宋体" w:hAnsi="宋体" w:eastAsia="宋体" w:cs="宋体"/>
          <w:color w:val="auto"/>
          <w:highlight w:val="none"/>
        </w:rPr>
      </w:pPr>
    </w:p>
    <w:p w14:paraId="3257A4BD">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433D3ED7">
      <w:pPr>
        <w:pStyle w:val="132"/>
        <w:rPr>
          <w:rFonts w:hint="eastAsia" w:ascii="宋体" w:hAnsi="宋体" w:eastAsia="宋体" w:cs="宋体"/>
          <w:color w:val="auto"/>
          <w:szCs w:val="21"/>
          <w:highlight w:val="none"/>
          <w:lang w:eastAsia="zh-CN"/>
        </w:rPr>
      </w:pPr>
    </w:p>
    <w:p w14:paraId="0F3A229E">
      <w:pPr>
        <w:pStyle w:val="3"/>
        <w:numPr>
          <w:ilvl w:val="0"/>
          <w:numId w:val="0"/>
        </w:numPr>
        <w:tabs>
          <w:tab w:val="clear" w:pos="360"/>
        </w:tabs>
        <w:spacing w:before="0"/>
        <w:jc w:val="center"/>
        <w:rPr>
          <w:rFonts w:hint="eastAsia" w:ascii="宋体" w:hAnsi="宋体" w:eastAsia="宋体" w:cs="宋体"/>
          <w:color w:val="auto"/>
          <w:szCs w:val="28"/>
          <w:highlight w:val="none"/>
          <w:lang w:eastAsia="zh-CN"/>
        </w:rPr>
      </w:pPr>
      <w:bookmarkStart w:id="218" w:name="_Toc11244"/>
      <w:bookmarkStart w:id="219" w:name="_Toc96259148"/>
      <w:bookmarkStart w:id="220" w:name="_Toc295642681"/>
      <w:bookmarkStart w:id="221" w:name="_Toc28560"/>
      <w:bookmarkStart w:id="222" w:name="_Toc30452"/>
      <w:bookmarkStart w:id="223" w:name="_Toc7116"/>
      <w:r>
        <w:rPr>
          <w:rFonts w:hint="eastAsia" w:ascii="宋体" w:hAnsi="宋体" w:eastAsia="宋体" w:cs="宋体"/>
          <w:color w:val="auto"/>
          <w:szCs w:val="28"/>
          <w:highlight w:val="none"/>
        </w:rPr>
        <w:t>格式1</w:t>
      </w:r>
      <w:r>
        <w:rPr>
          <w:rFonts w:hint="eastAsia" w:ascii="宋体" w:hAnsi="宋体" w:eastAsia="宋体" w:cs="宋体"/>
          <w:color w:val="auto"/>
          <w:szCs w:val="28"/>
          <w:highlight w:val="none"/>
          <w:lang w:val="en-US" w:eastAsia="zh-CN"/>
        </w:rPr>
        <w:t>3</w:t>
      </w:r>
      <w:r>
        <w:rPr>
          <w:rFonts w:hint="eastAsia" w:ascii="宋体" w:hAnsi="宋体" w:eastAsia="宋体" w:cs="宋体"/>
          <w:color w:val="auto"/>
          <w:szCs w:val="28"/>
          <w:highlight w:val="none"/>
        </w:rPr>
        <w:t>：</w:t>
      </w:r>
      <w:bookmarkEnd w:id="218"/>
      <w:bookmarkEnd w:id="219"/>
      <w:bookmarkEnd w:id="220"/>
      <w:bookmarkEnd w:id="221"/>
      <w:r>
        <w:rPr>
          <w:rFonts w:hint="eastAsia" w:ascii="宋体" w:hAnsi="宋体" w:eastAsia="宋体" w:cs="宋体"/>
          <w:color w:val="auto"/>
          <w:szCs w:val="28"/>
          <w:highlight w:val="none"/>
          <w:lang w:eastAsia="zh-CN"/>
        </w:rPr>
        <w:t>近年来已承接类似项目业绩表</w:t>
      </w:r>
      <w:bookmarkEnd w:id="222"/>
      <w:bookmarkEnd w:id="223"/>
    </w:p>
    <w:p w14:paraId="1D1C665C">
      <w:pPr>
        <w:rPr>
          <w:rFonts w:hint="eastAsia" w:ascii="宋体" w:hAnsi="宋体" w:eastAsia="宋体" w:cs="宋体"/>
          <w:color w:val="auto"/>
          <w:highlight w:val="none"/>
        </w:rPr>
      </w:pPr>
    </w:p>
    <w:p w14:paraId="6CB4A03C">
      <w:pPr>
        <w:spacing w:after="66" w:afterLines="20" w:line="420" w:lineRule="exact"/>
        <w:ind w:left="0" w:leftChars="0" w:firstLine="0" w:firstLineChars="0"/>
        <w:rPr>
          <w:rFonts w:hint="eastAsia" w:ascii="宋体" w:hAnsi="宋体" w:eastAsia="宋体" w:cs="宋体"/>
          <w:bCs/>
          <w:color w:val="auto"/>
          <w:spacing w:val="10"/>
          <w:sz w:val="24"/>
          <w:highlight w:val="none"/>
          <w:lang w:eastAsia="zh-CN"/>
        </w:rPr>
      </w:pPr>
      <w:r>
        <w:rPr>
          <w:rFonts w:hint="eastAsia" w:ascii="宋体" w:hAnsi="宋体" w:eastAsia="宋体" w:cs="宋体"/>
          <w:color w:val="auto"/>
          <w:spacing w:val="10"/>
          <w:sz w:val="24"/>
          <w:highlight w:val="none"/>
        </w:rPr>
        <w:t>项目名称：</w:t>
      </w:r>
      <w:r>
        <w:rPr>
          <w:rFonts w:hint="eastAsia" w:ascii="宋体" w:hAnsi="宋体" w:cs="宋体"/>
          <w:bCs/>
          <w:color w:val="auto"/>
          <w:spacing w:val="10"/>
          <w:sz w:val="24"/>
          <w:highlight w:val="none"/>
          <w:lang w:eastAsia="zh-CN"/>
        </w:rPr>
        <w:t>云南省第三次全国土壤普查土壤样品库和数据库建设项目样品储存架等设备采购（二次招标）</w:t>
      </w:r>
    </w:p>
    <w:p w14:paraId="434B037B">
      <w:pPr>
        <w:widowControl/>
        <w:ind w:left="0" w:leftChars="0" w:firstLine="0" w:firstLineChars="0"/>
        <w:jc w:val="left"/>
        <w:rPr>
          <w:rFonts w:hint="eastAsia" w:ascii="宋体" w:hAnsi="宋体" w:eastAsia="宋体" w:cs="宋体"/>
          <w:color w:val="auto"/>
          <w:highlight w:val="none"/>
          <w:lang w:eastAsia="zh-CN"/>
        </w:rPr>
      </w:pPr>
      <w:r>
        <w:rPr>
          <w:rFonts w:hint="eastAsia" w:ascii="宋体" w:hAnsi="宋体" w:eastAsia="宋体" w:cs="宋体"/>
          <w:color w:val="auto"/>
          <w:spacing w:val="10"/>
          <w:sz w:val="24"/>
          <w:highlight w:val="none"/>
        </w:rPr>
        <w:t>招标编号：</w:t>
      </w:r>
      <w:r>
        <w:rPr>
          <w:rFonts w:hint="eastAsia" w:ascii="宋体" w:hAnsi="宋体" w:cs="宋体"/>
          <w:bCs/>
          <w:color w:val="auto"/>
          <w:spacing w:val="6"/>
          <w:sz w:val="24"/>
          <w:highlight w:val="none"/>
          <w:lang w:eastAsia="zh-CN"/>
        </w:rPr>
        <w:t>ZG-2026084</w:t>
      </w:r>
    </w:p>
    <w:tbl>
      <w:tblPr>
        <w:tblStyle w:val="33"/>
        <w:tblW w:w="485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5"/>
        <w:gridCol w:w="1699"/>
        <w:gridCol w:w="2486"/>
        <w:gridCol w:w="1913"/>
        <w:gridCol w:w="2119"/>
      </w:tblGrid>
      <w:tr w14:paraId="0492B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8" w:type="pct"/>
            <w:tcBorders>
              <w:top w:val="single" w:color="auto" w:sz="4" w:space="0"/>
              <w:left w:val="single" w:color="auto" w:sz="4" w:space="0"/>
              <w:bottom w:val="single" w:color="auto" w:sz="4" w:space="0"/>
              <w:right w:val="single" w:color="auto" w:sz="4" w:space="0"/>
            </w:tcBorders>
            <w:vAlign w:val="center"/>
          </w:tcPr>
          <w:p w14:paraId="7FB725EA">
            <w:pPr>
              <w:pStyle w:val="21"/>
              <w:spacing w:line="36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914" w:type="pct"/>
            <w:tcBorders>
              <w:top w:val="single" w:color="auto" w:sz="4" w:space="0"/>
              <w:left w:val="single" w:color="auto" w:sz="4" w:space="0"/>
              <w:bottom w:val="single" w:color="auto" w:sz="4" w:space="0"/>
              <w:right w:val="single" w:color="auto" w:sz="4" w:space="0"/>
            </w:tcBorders>
            <w:vAlign w:val="center"/>
          </w:tcPr>
          <w:p w14:paraId="7153E6B2">
            <w:pPr>
              <w:pStyle w:val="21"/>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业主名称</w:t>
            </w:r>
          </w:p>
        </w:tc>
        <w:tc>
          <w:tcPr>
            <w:tcW w:w="1337" w:type="pct"/>
            <w:tcBorders>
              <w:top w:val="single" w:color="auto" w:sz="4" w:space="0"/>
              <w:left w:val="single" w:color="auto" w:sz="4" w:space="0"/>
              <w:bottom w:val="single" w:color="auto" w:sz="4" w:space="0"/>
              <w:right w:val="single" w:color="auto" w:sz="4" w:space="0"/>
            </w:tcBorders>
            <w:vAlign w:val="center"/>
          </w:tcPr>
          <w:p w14:paraId="1BD65D6D">
            <w:pPr>
              <w:pStyle w:val="21"/>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1029" w:type="pct"/>
            <w:tcBorders>
              <w:top w:val="single" w:color="auto" w:sz="4" w:space="0"/>
              <w:left w:val="single" w:color="auto" w:sz="4" w:space="0"/>
              <w:bottom w:val="single" w:color="auto" w:sz="4" w:space="0"/>
              <w:right w:val="single" w:color="auto" w:sz="4" w:space="0"/>
            </w:tcBorders>
            <w:vAlign w:val="center"/>
          </w:tcPr>
          <w:p w14:paraId="004C99FB">
            <w:pPr>
              <w:pStyle w:val="21"/>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合同金额</w:t>
            </w:r>
          </w:p>
          <w:p w14:paraId="22E30DC7">
            <w:pPr>
              <w:pStyle w:val="21"/>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（万元）</w:t>
            </w:r>
          </w:p>
        </w:tc>
        <w:tc>
          <w:tcPr>
            <w:tcW w:w="1140" w:type="pct"/>
            <w:tcBorders>
              <w:top w:val="single" w:color="auto" w:sz="4" w:space="0"/>
              <w:left w:val="single" w:color="auto" w:sz="4" w:space="0"/>
              <w:bottom w:val="single" w:color="auto" w:sz="4" w:space="0"/>
              <w:right w:val="single" w:color="auto" w:sz="4" w:space="0"/>
            </w:tcBorders>
            <w:vAlign w:val="center"/>
          </w:tcPr>
          <w:p w14:paraId="15B59541">
            <w:pPr>
              <w:pStyle w:val="21"/>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承接</w:t>
            </w:r>
            <w:r>
              <w:rPr>
                <w:rFonts w:hint="eastAsia" w:ascii="宋体" w:hAnsi="宋体" w:eastAsia="宋体" w:cs="宋体"/>
                <w:color w:val="auto"/>
                <w:sz w:val="24"/>
                <w:szCs w:val="24"/>
                <w:highlight w:val="none"/>
              </w:rPr>
              <w:t>时间</w:t>
            </w:r>
          </w:p>
        </w:tc>
      </w:tr>
      <w:tr w14:paraId="7CDF2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8" w:type="pct"/>
            <w:tcBorders>
              <w:top w:val="single" w:color="auto" w:sz="4" w:space="0"/>
              <w:left w:val="single" w:color="auto" w:sz="4" w:space="0"/>
              <w:bottom w:val="single" w:color="auto" w:sz="4" w:space="0"/>
              <w:right w:val="single" w:color="auto" w:sz="4" w:space="0"/>
            </w:tcBorders>
          </w:tcPr>
          <w:p w14:paraId="3152EA56">
            <w:pPr>
              <w:pStyle w:val="21"/>
              <w:spacing w:line="360" w:lineRule="auto"/>
              <w:jc w:val="center"/>
              <w:rPr>
                <w:rFonts w:hint="eastAsia" w:ascii="宋体" w:hAnsi="宋体" w:eastAsia="宋体" w:cs="宋体"/>
                <w:color w:val="auto"/>
                <w:sz w:val="28"/>
                <w:highlight w:val="none"/>
              </w:rPr>
            </w:pPr>
          </w:p>
        </w:tc>
        <w:tc>
          <w:tcPr>
            <w:tcW w:w="914" w:type="pct"/>
            <w:tcBorders>
              <w:top w:val="single" w:color="auto" w:sz="4" w:space="0"/>
              <w:left w:val="single" w:color="auto" w:sz="4" w:space="0"/>
              <w:bottom w:val="single" w:color="auto" w:sz="4" w:space="0"/>
              <w:right w:val="single" w:color="auto" w:sz="4" w:space="0"/>
            </w:tcBorders>
          </w:tcPr>
          <w:p w14:paraId="6929C5D2">
            <w:pPr>
              <w:pStyle w:val="21"/>
              <w:spacing w:line="360" w:lineRule="auto"/>
              <w:jc w:val="center"/>
              <w:rPr>
                <w:rFonts w:hint="eastAsia" w:ascii="宋体" w:hAnsi="宋体" w:eastAsia="宋体" w:cs="宋体"/>
                <w:color w:val="auto"/>
                <w:sz w:val="28"/>
                <w:highlight w:val="none"/>
              </w:rPr>
            </w:pPr>
          </w:p>
        </w:tc>
        <w:tc>
          <w:tcPr>
            <w:tcW w:w="1337" w:type="pct"/>
            <w:tcBorders>
              <w:top w:val="single" w:color="auto" w:sz="4" w:space="0"/>
              <w:left w:val="single" w:color="auto" w:sz="4" w:space="0"/>
              <w:bottom w:val="single" w:color="auto" w:sz="4" w:space="0"/>
              <w:right w:val="single" w:color="auto" w:sz="4" w:space="0"/>
            </w:tcBorders>
          </w:tcPr>
          <w:p w14:paraId="551CD4E0">
            <w:pPr>
              <w:pStyle w:val="21"/>
              <w:spacing w:line="360" w:lineRule="auto"/>
              <w:jc w:val="center"/>
              <w:rPr>
                <w:rFonts w:hint="eastAsia" w:ascii="宋体" w:hAnsi="宋体" w:eastAsia="宋体" w:cs="宋体"/>
                <w:color w:val="auto"/>
                <w:sz w:val="28"/>
                <w:highlight w:val="none"/>
              </w:rPr>
            </w:pPr>
          </w:p>
        </w:tc>
        <w:tc>
          <w:tcPr>
            <w:tcW w:w="1029" w:type="pct"/>
            <w:tcBorders>
              <w:top w:val="single" w:color="auto" w:sz="4" w:space="0"/>
              <w:left w:val="single" w:color="auto" w:sz="4" w:space="0"/>
              <w:bottom w:val="single" w:color="auto" w:sz="4" w:space="0"/>
              <w:right w:val="single" w:color="auto" w:sz="4" w:space="0"/>
            </w:tcBorders>
          </w:tcPr>
          <w:p w14:paraId="4DDF2CF5">
            <w:pPr>
              <w:pStyle w:val="21"/>
              <w:spacing w:line="360" w:lineRule="auto"/>
              <w:jc w:val="center"/>
              <w:rPr>
                <w:rFonts w:hint="eastAsia" w:ascii="宋体" w:hAnsi="宋体" w:eastAsia="宋体" w:cs="宋体"/>
                <w:color w:val="auto"/>
                <w:sz w:val="28"/>
                <w:highlight w:val="none"/>
              </w:rPr>
            </w:pPr>
          </w:p>
        </w:tc>
        <w:tc>
          <w:tcPr>
            <w:tcW w:w="1140" w:type="pct"/>
            <w:tcBorders>
              <w:top w:val="single" w:color="auto" w:sz="4" w:space="0"/>
              <w:left w:val="single" w:color="auto" w:sz="4" w:space="0"/>
              <w:bottom w:val="single" w:color="auto" w:sz="4" w:space="0"/>
              <w:right w:val="single" w:color="auto" w:sz="4" w:space="0"/>
            </w:tcBorders>
          </w:tcPr>
          <w:p w14:paraId="18FC79A6">
            <w:pPr>
              <w:pStyle w:val="21"/>
              <w:spacing w:line="360" w:lineRule="auto"/>
              <w:jc w:val="center"/>
              <w:rPr>
                <w:rFonts w:hint="eastAsia" w:ascii="宋体" w:hAnsi="宋体" w:eastAsia="宋体" w:cs="宋体"/>
                <w:color w:val="auto"/>
                <w:sz w:val="28"/>
                <w:highlight w:val="none"/>
              </w:rPr>
            </w:pPr>
          </w:p>
        </w:tc>
      </w:tr>
      <w:tr w14:paraId="2EEDF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8" w:type="pct"/>
            <w:tcBorders>
              <w:top w:val="single" w:color="auto" w:sz="4" w:space="0"/>
              <w:left w:val="single" w:color="auto" w:sz="4" w:space="0"/>
              <w:bottom w:val="single" w:color="auto" w:sz="4" w:space="0"/>
              <w:right w:val="single" w:color="auto" w:sz="4" w:space="0"/>
            </w:tcBorders>
          </w:tcPr>
          <w:p w14:paraId="24E879A3">
            <w:pPr>
              <w:pStyle w:val="21"/>
              <w:spacing w:line="360" w:lineRule="auto"/>
              <w:jc w:val="center"/>
              <w:rPr>
                <w:rFonts w:hint="eastAsia" w:ascii="宋体" w:hAnsi="宋体" w:eastAsia="宋体" w:cs="宋体"/>
                <w:color w:val="auto"/>
                <w:sz w:val="28"/>
                <w:highlight w:val="none"/>
              </w:rPr>
            </w:pPr>
          </w:p>
        </w:tc>
        <w:tc>
          <w:tcPr>
            <w:tcW w:w="914" w:type="pct"/>
            <w:tcBorders>
              <w:top w:val="single" w:color="auto" w:sz="4" w:space="0"/>
              <w:left w:val="single" w:color="auto" w:sz="4" w:space="0"/>
              <w:bottom w:val="single" w:color="auto" w:sz="4" w:space="0"/>
              <w:right w:val="single" w:color="auto" w:sz="4" w:space="0"/>
            </w:tcBorders>
          </w:tcPr>
          <w:p w14:paraId="2DFEAC32">
            <w:pPr>
              <w:pStyle w:val="21"/>
              <w:spacing w:line="360" w:lineRule="auto"/>
              <w:jc w:val="center"/>
              <w:rPr>
                <w:rFonts w:hint="eastAsia" w:ascii="宋体" w:hAnsi="宋体" w:eastAsia="宋体" w:cs="宋体"/>
                <w:color w:val="auto"/>
                <w:sz w:val="28"/>
                <w:highlight w:val="none"/>
              </w:rPr>
            </w:pPr>
          </w:p>
        </w:tc>
        <w:tc>
          <w:tcPr>
            <w:tcW w:w="1337" w:type="pct"/>
            <w:tcBorders>
              <w:top w:val="single" w:color="auto" w:sz="4" w:space="0"/>
              <w:left w:val="single" w:color="auto" w:sz="4" w:space="0"/>
              <w:bottom w:val="single" w:color="auto" w:sz="4" w:space="0"/>
              <w:right w:val="single" w:color="auto" w:sz="4" w:space="0"/>
            </w:tcBorders>
          </w:tcPr>
          <w:p w14:paraId="0AF8033D">
            <w:pPr>
              <w:pStyle w:val="21"/>
              <w:spacing w:line="360" w:lineRule="auto"/>
              <w:jc w:val="center"/>
              <w:rPr>
                <w:rFonts w:hint="eastAsia" w:ascii="宋体" w:hAnsi="宋体" w:eastAsia="宋体" w:cs="宋体"/>
                <w:color w:val="auto"/>
                <w:sz w:val="28"/>
                <w:highlight w:val="none"/>
              </w:rPr>
            </w:pPr>
          </w:p>
        </w:tc>
        <w:tc>
          <w:tcPr>
            <w:tcW w:w="1029" w:type="pct"/>
            <w:tcBorders>
              <w:top w:val="single" w:color="auto" w:sz="4" w:space="0"/>
              <w:left w:val="single" w:color="auto" w:sz="4" w:space="0"/>
              <w:bottom w:val="single" w:color="auto" w:sz="4" w:space="0"/>
              <w:right w:val="single" w:color="auto" w:sz="4" w:space="0"/>
            </w:tcBorders>
          </w:tcPr>
          <w:p w14:paraId="5B1AFCAE">
            <w:pPr>
              <w:pStyle w:val="21"/>
              <w:spacing w:line="360" w:lineRule="auto"/>
              <w:jc w:val="center"/>
              <w:rPr>
                <w:rFonts w:hint="eastAsia" w:ascii="宋体" w:hAnsi="宋体" w:eastAsia="宋体" w:cs="宋体"/>
                <w:color w:val="auto"/>
                <w:sz w:val="28"/>
                <w:highlight w:val="none"/>
              </w:rPr>
            </w:pPr>
          </w:p>
        </w:tc>
        <w:tc>
          <w:tcPr>
            <w:tcW w:w="1140" w:type="pct"/>
            <w:tcBorders>
              <w:top w:val="single" w:color="auto" w:sz="4" w:space="0"/>
              <w:left w:val="single" w:color="auto" w:sz="4" w:space="0"/>
              <w:bottom w:val="single" w:color="auto" w:sz="4" w:space="0"/>
              <w:right w:val="single" w:color="auto" w:sz="4" w:space="0"/>
            </w:tcBorders>
          </w:tcPr>
          <w:p w14:paraId="3E78F349">
            <w:pPr>
              <w:pStyle w:val="21"/>
              <w:spacing w:line="360" w:lineRule="auto"/>
              <w:jc w:val="center"/>
              <w:rPr>
                <w:rFonts w:hint="eastAsia" w:ascii="宋体" w:hAnsi="宋体" w:eastAsia="宋体" w:cs="宋体"/>
                <w:color w:val="auto"/>
                <w:sz w:val="28"/>
                <w:highlight w:val="none"/>
              </w:rPr>
            </w:pPr>
          </w:p>
        </w:tc>
      </w:tr>
      <w:tr w14:paraId="694DA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8" w:type="pct"/>
            <w:tcBorders>
              <w:top w:val="single" w:color="auto" w:sz="4" w:space="0"/>
              <w:left w:val="single" w:color="auto" w:sz="4" w:space="0"/>
              <w:bottom w:val="single" w:color="auto" w:sz="4" w:space="0"/>
              <w:right w:val="single" w:color="auto" w:sz="4" w:space="0"/>
            </w:tcBorders>
          </w:tcPr>
          <w:p w14:paraId="57D0904C">
            <w:pPr>
              <w:pStyle w:val="21"/>
              <w:spacing w:line="360" w:lineRule="auto"/>
              <w:jc w:val="center"/>
              <w:rPr>
                <w:rFonts w:hint="eastAsia" w:ascii="宋体" w:hAnsi="宋体" w:eastAsia="宋体" w:cs="宋体"/>
                <w:color w:val="auto"/>
                <w:sz w:val="28"/>
                <w:highlight w:val="none"/>
              </w:rPr>
            </w:pPr>
          </w:p>
        </w:tc>
        <w:tc>
          <w:tcPr>
            <w:tcW w:w="914" w:type="pct"/>
            <w:tcBorders>
              <w:top w:val="single" w:color="auto" w:sz="4" w:space="0"/>
              <w:left w:val="single" w:color="auto" w:sz="4" w:space="0"/>
              <w:bottom w:val="single" w:color="auto" w:sz="4" w:space="0"/>
              <w:right w:val="single" w:color="auto" w:sz="4" w:space="0"/>
            </w:tcBorders>
          </w:tcPr>
          <w:p w14:paraId="4F9DB9EE">
            <w:pPr>
              <w:pStyle w:val="21"/>
              <w:spacing w:line="360" w:lineRule="auto"/>
              <w:jc w:val="center"/>
              <w:rPr>
                <w:rFonts w:hint="eastAsia" w:ascii="宋体" w:hAnsi="宋体" w:eastAsia="宋体" w:cs="宋体"/>
                <w:color w:val="auto"/>
                <w:sz w:val="28"/>
                <w:highlight w:val="none"/>
              </w:rPr>
            </w:pPr>
          </w:p>
        </w:tc>
        <w:tc>
          <w:tcPr>
            <w:tcW w:w="1337" w:type="pct"/>
            <w:tcBorders>
              <w:top w:val="single" w:color="auto" w:sz="4" w:space="0"/>
              <w:left w:val="single" w:color="auto" w:sz="4" w:space="0"/>
              <w:bottom w:val="single" w:color="auto" w:sz="4" w:space="0"/>
              <w:right w:val="single" w:color="auto" w:sz="4" w:space="0"/>
            </w:tcBorders>
          </w:tcPr>
          <w:p w14:paraId="66D2250C">
            <w:pPr>
              <w:pStyle w:val="21"/>
              <w:spacing w:line="360" w:lineRule="auto"/>
              <w:jc w:val="center"/>
              <w:rPr>
                <w:rFonts w:hint="eastAsia" w:ascii="宋体" w:hAnsi="宋体" w:eastAsia="宋体" w:cs="宋体"/>
                <w:color w:val="auto"/>
                <w:sz w:val="28"/>
                <w:highlight w:val="none"/>
              </w:rPr>
            </w:pPr>
          </w:p>
        </w:tc>
        <w:tc>
          <w:tcPr>
            <w:tcW w:w="1029" w:type="pct"/>
            <w:tcBorders>
              <w:top w:val="single" w:color="auto" w:sz="4" w:space="0"/>
              <w:left w:val="single" w:color="auto" w:sz="4" w:space="0"/>
              <w:bottom w:val="single" w:color="auto" w:sz="4" w:space="0"/>
              <w:right w:val="single" w:color="auto" w:sz="4" w:space="0"/>
            </w:tcBorders>
          </w:tcPr>
          <w:p w14:paraId="52128597">
            <w:pPr>
              <w:pStyle w:val="21"/>
              <w:spacing w:line="360" w:lineRule="auto"/>
              <w:jc w:val="center"/>
              <w:rPr>
                <w:rFonts w:hint="eastAsia" w:ascii="宋体" w:hAnsi="宋体" w:eastAsia="宋体" w:cs="宋体"/>
                <w:color w:val="auto"/>
                <w:sz w:val="28"/>
                <w:highlight w:val="none"/>
              </w:rPr>
            </w:pPr>
          </w:p>
        </w:tc>
        <w:tc>
          <w:tcPr>
            <w:tcW w:w="1140" w:type="pct"/>
            <w:tcBorders>
              <w:top w:val="single" w:color="auto" w:sz="4" w:space="0"/>
              <w:left w:val="single" w:color="auto" w:sz="4" w:space="0"/>
              <w:bottom w:val="single" w:color="auto" w:sz="4" w:space="0"/>
              <w:right w:val="single" w:color="auto" w:sz="4" w:space="0"/>
            </w:tcBorders>
          </w:tcPr>
          <w:p w14:paraId="536B4FD0">
            <w:pPr>
              <w:pStyle w:val="21"/>
              <w:spacing w:line="360" w:lineRule="auto"/>
              <w:jc w:val="center"/>
              <w:rPr>
                <w:rFonts w:hint="eastAsia" w:ascii="宋体" w:hAnsi="宋体" w:eastAsia="宋体" w:cs="宋体"/>
                <w:color w:val="auto"/>
                <w:sz w:val="28"/>
                <w:highlight w:val="none"/>
              </w:rPr>
            </w:pPr>
          </w:p>
        </w:tc>
      </w:tr>
      <w:tr w14:paraId="1167C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8" w:type="pct"/>
            <w:tcBorders>
              <w:top w:val="single" w:color="auto" w:sz="4" w:space="0"/>
              <w:left w:val="single" w:color="auto" w:sz="4" w:space="0"/>
              <w:bottom w:val="single" w:color="auto" w:sz="4" w:space="0"/>
              <w:right w:val="single" w:color="auto" w:sz="4" w:space="0"/>
            </w:tcBorders>
          </w:tcPr>
          <w:p w14:paraId="69158F40">
            <w:pPr>
              <w:pStyle w:val="21"/>
              <w:spacing w:line="360" w:lineRule="auto"/>
              <w:jc w:val="center"/>
              <w:rPr>
                <w:rFonts w:hint="eastAsia" w:ascii="宋体" w:hAnsi="宋体" w:eastAsia="宋体" w:cs="宋体"/>
                <w:color w:val="auto"/>
                <w:sz w:val="28"/>
                <w:highlight w:val="none"/>
              </w:rPr>
            </w:pPr>
          </w:p>
        </w:tc>
        <w:tc>
          <w:tcPr>
            <w:tcW w:w="914" w:type="pct"/>
            <w:tcBorders>
              <w:top w:val="single" w:color="auto" w:sz="4" w:space="0"/>
              <w:left w:val="single" w:color="auto" w:sz="4" w:space="0"/>
              <w:bottom w:val="single" w:color="auto" w:sz="4" w:space="0"/>
              <w:right w:val="single" w:color="auto" w:sz="4" w:space="0"/>
            </w:tcBorders>
          </w:tcPr>
          <w:p w14:paraId="038B3F5B">
            <w:pPr>
              <w:pStyle w:val="21"/>
              <w:spacing w:line="360" w:lineRule="auto"/>
              <w:jc w:val="center"/>
              <w:rPr>
                <w:rFonts w:hint="eastAsia" w:ascii="宋体" w:hAnsi="宋体" w:eastAsia="宋体" w:cs="宋体"/>
                <w:color w:val="auto"/>
                <w:sz w:val="28"/>
                <w:highlight w:val="none"/>
              </w:rPr>
            </w:pPr>
          </w:p>
        </w:tc>
        <w:tc>
          <w:tcPr>
            <w:tcW w:w="1337" w:type="pct"/>
            <w:tcBorders>
              <w:top w:val="single" w:color="auto" w:sz="4" w:space="0"/>
              <w:left w:val="single" w:color="auto" w:sz="4" w:space="0"/>
              <w:bottom w:val="single" w:color="auto" w:sz="4" w:space="0"/>
              <w:right w:val="single" w:color="auto" w:sz="4" w:space="0"/>
            </w:tcBorders>
          </w:tcPr>
          <w:p w14:paraId="4F2DA55E">
            <w:pPr>
              <w:pStyle w:val="21"/>
              <w:spacing w:line="360" w:lineRule="auto"/>
              <w:jc w:val="center"/>
              <w:rPr>
                <w:rFonts w:hint="eastAsia" w:ascii="宋体" w:hAnsi="宋体" w:eastAsia="宋体" w:cs="宋体"/>
                <w:color w:val="auto"/>
                <w:sz w:val="28"/>
                <w:highlight w:val="none"/>
              </w:rPr>
            </w:pPr>
          </w:p>
        </w:tc>
        <w:tc>
          <w:tcPr>
            <w:tcW w:w="1029" w:type="pct"/>
            <w:tcBorders>
              <w:top w:val="single" w:color="auto" w:sz="4" w:space="0"/>
              <w:left w:val="single" w:color="auto" w:sz="4" w:space="0"/>
              <w:bottom w:val="single" w:color="auto" w:sz="4" w:space="0"/>
              <w:right w:val="single" w:color="auto" w:sz="4" w:space="0"/>
            </w:tcBorders>
          </w:tcPr>
          <w:p w14:paraId="4554A243">
            <w:pPr>
              <w:pStyle w:val="21"/>
              <w:spacing w:line="360" w:lineRule="auto"/>
              <w:jc w:val="center"/>
              <w:rPr>
                <w:rFonts w:hint="eastAsia" w:ascii="宋体" w:hAnsi="宋体" w:eastAsia="宋体" w:cs="宋体"/>
                <w:color w:val="auto"/>
                <w:sz w:val="28"/>
                <w:highlight w:val="none"/>
              </w:rPr>
            </w:pPr>
          </w:p>
        </w:tc>
        <w:tc>
          <w:tcPr>
            <w:tcW w:w="1140" w:type="pct"/>
            <w:tcBorders>
              <w:top w:val="single" w:color="auto" w:sz="4" w:space="0"/>
              <w:left w:val="single" w:color="auto" w:sz="4" w:space="0"/>
              <w:bottom w:val="single" w:color="auto" w:sz="4" w:space="0"/>
              <w:right w:val="single" w:color="auto" w:sz="4" w:space="0"/>
            </w:tcBorders>
          </w:tcPr>
          <w:p w14:paraId="7A36CC6F">
            <w:pPr>
              <w:pStyle w:val="21"/>
              <w:spacing w:line="360" w:lineRule="auto"/>
              <w:jc w:val="center"/>
              <w:rPr>
                <w:rFonts w:hint="eastAsia" w:ascii="宋体" w:hAnsi="宋体" w:eastAsia="宋体" w:cs="宋体"/>
                <w:color w:val="auto"/>
                <w:sz w:val="28"/>
                <w:highlight w:val="none"/>
              </w:rPr>
            </w:pPr>
          </w:p>
        </w:tc>
      </w:tr>
      <w:tr w14:paraId="00237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8" w:type="pct"/>
            <w:tcBorders>
              <w:top w:val="single" w:color="auto" w:sz="4" w:space="0"/>
              <w:left w:val="single" w:color="auto" w:sz="4" w:space="0"/>
              <w:bottom w:val="single" w:color="auto" w:sz="4" w:space="0"/>
              <w:right w:val="single" w:color="auto" w:sz="4" w:space="0"/>
            </w:tcBorders>
          </w:tcPr>
          <w:p w14:paraId="714A64A7">
            <w:pPr>
              <w:pStyle w:val="21"/>
              <w:spacing w:line="360" w:lineRule="auto"/>
              <w:jc w:val="center"/>
              <w:rPr>
                <w:rFonts w:hint="eastAsia" w:ascii="宋体" w:hAnsi="宋体" w:eastAsia="宋体" w:cs="宋体"/>
                <w:color w:val="auto"/>
                <w:sz w:val="28"/>
                <w:highlight w:val="none"/>
              </w:rPr>
            </w:pPr>
          </w:p>
        </w:tc>
        <w:tc>
          <w:tcPr>
            <w:tcW w:w="914" w:type="pct"/>
            <w:tcBorders>
              <w:top w:val="single" w:color="auto" w:sz="4" w:space="0"/>
              <w:left w:val="single" w:color="auto" w:sz="4" w:space="0"/>
              <w:bottom w:val="single" w:color="auto" w:sz="4" w:space="0"/>
              <w:right w:val="single" w:color="auto" w:sz="4" w:space="0"/>
            </w:tcBorders>
          </w:tcPr>
          <w:p w14:paraId="79FEB02B">
            <w:pPr>
              <w:pStyle w:val="21"/>
              <w:spacing w:line="360" w:lineRule="auto"/>
              <w:jc w:val="center"/>
              <w:rPr>
                <w:rFonts w:hint="eastAsia" w:ascii="宋体" w:hAnsi="宋体" w:eastAsia="宋体" w:cs="宋体"/>
                <w:color w:val="auto"/>
                <w:sz w:val="28"/>
                <w:highlight w:val="none"/>
              </w:rPr>
            </w:pPr>
          </w:p>
        </w:tc>
        <w:tc>
          <w:tcPr>
            <w:tcW w:w="1337" w:type="pct"/>
            <w:tcBorders>
              <w:top w:val="single" w:color="auto" w:sz="4" w:space="0"/>
              <w:left w:val="single" w:color="auto" w:sz="4" w:space="0"/>
              <w:bottom w:val="single" w:color="auto" w:sz="4" w:space="0"/>
              <w:right w:val="single" w:color="auto" w:sz="4" w:space="0"/>
            </w:tcBorders>
          </w:tcPr>
          <w:p w14:paraId="7121892C">
            <w:pPr>
              <w:pStyle w:val="21"/>
              <w:spacing w:line="360" w:lineRule="auto"/>
              <w:jc w:val="center"/>
              <w:rPr>
                <w:rFonts w:hint="eastAsia" w:ascii="宋体" w:hAnsi="宋体" w:eastAsia="宋体" w:cs="宋体"/>
                <w:color w:val="auto"/>
                <w:sz w:val="28"/>
                <w:highlight w:val="none"/>
              </w:rPr>
            </w:pPr>
          </w:p>
        </w:tc>
        <w:tc>
          <w:tcPr>
            <w:tcW w:w="1029" w:type="pct"/>
            <w:tcBorders>
              <w:top w:val="single" w:color="auto" w:sz="4" w:space="0"/>
              <w:left w:val="single" w:color="auto" w:sz="4" w:space="0"/>
              <w:bottom w:val="single" w:color="auto" w:sz="4" w:space="0"/>
              <w:right w:val="single" w:color="auto" w:sz="4" w:space="0"/>
            </w:tcBorders>
          </w:tcPr>
          <w:p w14:paraId="1C3E0056">
            <w:pPr>
              <w:pStyle w:val="21"/>
              <w:spacing w:line="360" w:lineRule="auto"/>
              <w:jc w:val="center"/>
              <w:rPr>
                <w:rFonts w:hint="eastAsia" w:ascii="宋体" w:hAnsi="宋体" w:eastAsia="宋体" w:cs="宋体"/>
                <w:color w:val="auto"/>
                <w:sz w:val="28"/>
                <w:highlight w:val="none"/>
              </w:rPr>
            </w:pPr>
          </w:p>
        </w:tc>
        <w:tc>
          <w:tcPr>
            <w:tcW w:w="1140" w:type="pct"/>
            <w:tcBorders>
              <w:top w:val="single" w:color="auto" w:sz="4" w:space="0"/>
              <w:left w:val="single" w:color="auto" w:sz="4" w:space="0"/>
              <w:bottom w:val="single" w:color="auto" w:sz="4" w:space="0"/>
              <w:right w:val="single" w:color="auto" w:sz="4" w:space="0"/>
            </w:tcBorders>
          </w:tcPr>
          <w:p w14:paraId="2C843E44">
            <w:pPr>
              <w:pStyle w:val="21"/>
              <w:spacing w:line="360" w:lineRule="auto"/>
              <w:jc w:val="center"/>
              <w:rPr>
                <w:rFonts w:hint="eastAsia" w:ascii="宋体" w:hAnsi="宋体" w:eastAsia="宋体" w:cs="宋体"/>
                <w:color w:val="auto"/>
                <w:sz w:val="28"/>
                <w:highlight w:val="none"/>
              </w:rPr>
            </w:pPr>
          </w:p>
        </w:tc>
      </w:tr>
      <w:tr w14:paraId="096E1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8" w:type="pct"/>
            <w:tcBorders>
              <w:top w:val="single" w:color="auto" w:sz="4" w:space="0"/>
              <w:left w:val="single" w:color="auto" w:sz="4" w:space="0"/>
              <w:bottom w:val="single" w:color="auto" w:sz="4" w:space="0"/>
              <w:right w:val="single" w:color="auto" w:sz="4" w:space="0"/>
            </w:tcBorders>
          </w:tcPr>
          <w:p w14:paraId="65AE8495">
            <w:pPr>
              <w:pStyle w:val="21"/>
              <w:spacing w:line="360" w:lineRule="auto"/>
              <w:jc w:val="center"/>
              <w:rPr>
                <w:rFonts w:hint="eastAsia" w:ascii="宋体" w:hAnsi="宋体" w:eastAsia="宋体" w:cs="宋体"/>
                <w:color w:val="auto"/>
                <w:sz w:val="28"/>
                <w:highlight w:val="none"/>
              </w:rPr>
            </w:pPr>
          </w:p>
        </w:tc>
        <w:tc>
          <w:tcPr>
            <w:tcW w:w="914" w:type="pct"/>
            <w:tcBorders>
              <w:top w:val="single" w:color="auto" w:sz="4" w:space="0"/>
              <w:left w:val="single" w:color="auto" w:sz="4" w:space="0"/>
              <w:bottom w:val="single" w:color="auto" w:sz="4" w:space="0"/>
              <w:right w:val="single" w:color="auto" w:sz="4" w:space="0"/>
            </w:tcBorders>
          </w:tcPr>
          <w:p w14:paraId="20547739">
            <w:pPr>
              <w:pStyle w:val="21"/>
              <w:spacing w:line="360" w:lineRule="auto"/>
              <w:jc w:val="center"/>
              <w:rPr>
                <w:rFonts w:hint="eastAsia" w:ascii="宋体" w:hAnsi="宋体" w:eastAsia="宋体" w:cs="宋体"/>
                <w:color w:val="auto"/>
                <w:sz w:val="28"/>
                <w:highlight w:val="none"/>
              </w:rPr>
            </w:pPr>
          </w:p>
        </w:tc>
        <w:tc>
          <w:tcPr>
            <w:tcW w:w="1337" w:type="pct"/>
            <w:tcBorders>
              <w:top w:val="single" w:color="auto" w:sz="4" w:space="0"/>
              <w:left w:val="single" w:color="auto" w:sz="4" w:space="0"/>
              <w:bottom w:val="single" w:color="auto" w:sz="4" w:space="0"/>
              <w:right w:val="single" w:color="auto" w:sz="4" w:space="0"/>
            </w:tcBorders>
          </w:tcPr>
          <w:p w14:paraId="25B80CC8">
            <w:pPr>
              <w:pStyle w:val="21"/>
              <w:spacing w:line="360" w:lineRule="auto"/>
              <w:jc w:val="center"/>
              <w:rPr>
                <w:rFonts w:hint="eastAsia" w:ascii="宋体" w:hAnsi="宋体" w:eastAsia="宋体" w:cs="宋体"/>
                <w:color w:val="auto"/>
                <w:sz w:val="28"/>
                <w:highlight w:val="none"/>
              </w:rPr>
            </w:pPr>
          </w:p>
        </w:tc>
        <w:tc>
          <w:tcPr>
            <w:tcW w:w="1029" w:type="pct"/>
            <w:tcBorders>
              <w:top w:val="single" w:color="auto" w:sz="4" w:space="0"/>
              <w:left w:val="single" w:color="auto" w:sz="4" w:space="0"/>
              <w:bottom w:val="single" w:color="auto" w:sz="4" w:space="0"/>
              <w:right w:val="single" w:color="auto" w:sz="4" w:space="0"/>
            </w:tcBorders>
          </w:tcPr>
          <w:p w14:paraId="1D513189">
            <w:pPr>
              <w:pStyle w:val="21"/>
              <w:spacing w:line="360" w:lineRule="auto"/>
              <w:jc w:val="center"/>
              <w:rPr>
                <w:rFonts w:hint="eastAsia" w:ascii="宋体" w:hAnsi="宋体" w:eastAsia="宋体" w:cs="宋体"/>
                <w:color w:val="auto"/>
                <w:sz w:val="28"/>
                <w:highlight w:val="none"/>
              </w:rPr>
            </w:pPr>
          </w:p>
        </w:tc>
        <w:tc>
          <w:tcPr>
            <w:tcW w:w="1140" w:type="pct"/>
            <w:tcBorders>
              <w:top w:val="single" w:color="auto" w:sz="4" w:space="0"/>
              <w:left w:val="single" w:color="auto" w:sz="4" w:space="0"/>
              <w:bottom w:val="single" w:color="auto" w:sz="4" w:space="0"/>
              <w:right w:val="single" w:color="auto" w:sz="4" w:space="0"/>
            </w:tcBorders>
          </w:tcPr>
          <w:p w14:paraId="7AB8F628">
            <w:pPr>
              <w:pStyle w:val="21"/>
              <w:spacing w:line="360" w:lineRule="auto"/>
              <w:jc w:val="center"/>
              <w:rPr>
                <w:rFonts w:hint="eastAsia" w:ascii="宋体" w:hAnsi="宋体" w:eastAsia="宋体" w:cs="宋体"/>
                <w:color w:val="auto"/>
                <w:sz w:val="28"/>
                <w:highlight w:val="none"/>
              </w:rPr>
            </w:pPr>
          </w:p>
        </w:tc>
      </w:tr>
      <w:tr w14:paraId="2C5D6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8" w:type="pct"/>
            <w:tcBorders>
              <w:top w:val="single" w:color="auto" w:sz="4" w:space="0"/>
              <w:left w:val="single" w:color="auto" w:sz="4" w:space="0"/>
              <w:bottom w:val="single" w:color="auto" w:sz="4" w:space="0"/>
              <w:right w:val="single" w:color="auto" w:sz="4" w:space="0"/>
            </w:tcBorders>
          </w:tcPr>
          <w:p w14:paraId="76B78492">
            <w:pPr>
              <w:pStyle w:val="21"/>
              <w:spacing w:line="360" w:lineRule="auto"/>
              <w:jc w:val="center"/>
              <w:rPr>
                <w:rFonts w:hint="eastAsia" w:ascii="宋体" w:hAnsi="宋体" w:eastAsia="宋体" w:cs="宋体"/>
                <w:color w:val="auto"/>
                <w:sz w:val="28"/>
                <w:highlight w:val="none"/>
              </w:rPr>
            </w:pPr>
          </w:p>
        </w:tc>
        <w:tc>
          <w:tcPr>
            <w:tcW w:w="914" w:type="pct"/>
            <w:tcBorders>
              <w:top w:val="single" w:color="auto" w:sz="4" w:space="0"/>
              <w:left w:val="single" w:color="auto" w:sz="4" w:space="0"/>
              <w:bottom w:val="single" w:color="auto" w:sz="4" w:space="0"/>
              <w:right w:val="single" w:color="auto" w:sz="4" w:space="0"/>
            </w:tcBorders>
          </w:tcPr>
          <w:p w14:paraId="48B31460">
            <w:pPr>
              <w:pStyle w:val="21"/>
              <w:spacing w:line="360" w:lineRule="auto"/>
              <w:jc w:val="center"/>
              <w:rPr>
                <w:rFonts w:hint="eastAsia" w:ascii="宋体" w:hAnsi="宋体" w:eastAsia="宋体" w:cs="宋体"/>
                <w:color w:val="auto"/>
                <w:sz w:val="28"/>
                <w:highlight w:val="none"/>
              </w:rPr>
            </w:pPr>
          </w:p>
        </w:tc>
        <w:tc>
          <w:tcPr>
            <w:tcW w:w="1337" w:type="pct"/>
            <w:tcBorders>
              <w:top w:val="single" w:color="auto" w:sz="4" w:space="0"/>
              <w:left w:val="single" w:color="auto" w:sz="4" w:space="0"/>
              <w:bottom w:val="single" w:color="auto" w:sz="4" w:space="0"/>
              <w:right w:val="single" w:color="auto" w:sz="4" w:space="0"/>
            </w:tcBorders>
          </w:tcPr>
          <w:p w14:paraId="5FC75C73">
            <w:pPr>
              <w:pStyle w:val="21"/>
              <w:spacing w:line="360" w:lineRule="auto"/>
              <w:jc w:val="center"/>
              <w:rPr>
                <w:rFonts w:hint="eastAsia" w:ascii="宋体" w:hAnsi="宋体" w:eastAsia="宋体" w:cs="宋体"/>
                <w:color w:val="auto"/>
                <w:sz w:val="28"/>
                <w:highlight w:val="none"/>
              </w:rPr>
            </w:pPr>
          </w:p>
        </w:tc>
        <w:tc>
          <w:tcPr>
            <w:tcW w:w="1029" w:type="pct"/>
            <w:tcBorders>
              <w:top w:val="single" w:color="auto" w:sz="4" w:space="0"/>
              <w:left w:val="single" w:color="auto" w:sz="4" w:space="0"/>
              <w:bottom w:val="single" w:color="auto" w:sz="4" w:space="0"/>
              <w:right w:val="single" w:color="auto" w:sz="4" w:space="0"/>
            </w:tcBorders>
          </w:tcPr>
          <w:p w14:paraId="62F922A1">
            <w:pPr>
              <w:pStyle w:val="21"/>
              <w:spacing w:line="360" w:lineRule="auto"/>
              <w:jc w:val="center"/>
              <w:rPr>
                <w:rFonts w:hint="eastAsia" w:ascii="宋体" w:hAnsi="宋体" w:eastAsia="宋体" w:cs="宋体"/>
                <w:color w:val="auto"/>
                <w:sz w:val="28"/>
                <w:highlight w:val="none"/>
              </w:rPr>
            </w:pPr>
          </w:p>
        </w:tc>
        <w:tc>
          <w:tcPr>
            <w:tcW w:w="1140" w:type="pct"/>
            <w:tcBorders>
              <w:top w:val="single" w:color="auto" w:sz="4" w:space="0"/>
              <w:left w:val="single" w:color="auto" w:sz="4" w:space="0"/>
              <w:bottom w:val="single" w:color="auto" w:sz="4" w:space="0"/>
              <w:right w:val="single" w:color="auto" w:sz="4" w:space="0"/>
            </w:tcBorders>
          </w:tcPr>
          <w:p w14:paraId="69BF1E42">
            <w:pPr>
              <w:pStyle w:val="21"/>
              <w:spacing w:line="360" w:lineRule="auto"/>
              <w:jc w:val="center"/>
              <w:rPr>
                <w:rFonts w:hint="eastAsia" w:ascii="宋体" w:hAnsi="宋体" w:eastAsia="宋体" w:cs="宋体"/>
                <w:color w:val="auto"/>
                <w:sz w:val="28"/>
                <w:highlight w:val="none"/>
              </w:rPr>
            </w:pPr>
          </w:p>
        </w:tc>
      </w:tr>
      <w:tr w14:paraId="52E05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8" w:type="pct"/>
            <w:tcBorders>
              <w:top w:val="single" w:color="auto" w:sz="4" w:space="0"/>
              <w:left w:val="single" w:color="auto" w:sz="4" w:space="0"/>
              <w:bottom w:val="single" w:color="auto" w:sz="4" w:space="0"/>
              <w:right w:val="single" w:color="auto" w:sz="4" w:space="0"/>
            </w:tcBorders>
          </w:tcPr>
          <w:p w14:paraId="4A775824">
            <w:pPr>
              <w:pStyle w:val="21"/>
              <w:spacing w:line="360" w:lineRule="auto"/>
              <w:rPr>
                <w:rFonts w:hint="eastAsia" w:ascii="宋体" w:hAnsi="宋体" w:eastAsia="宋体" w:cs="宋体"/>
                <w:color w:val="auto"/>
                <w:sz w:val="28"/>
                <w:highlight w:val="none"/>
              </w:rPr>
            </w:pPr>
          </w:p>
        </w:tc>
        <w:tc>
          <w:tcPr>
            <w:tcW w:w="914" w:type="pct"/>
            <w:tcBorders>
              <w:top w:val="single" w:color="auto" w:sz="4" w:space="0"/>
              <w:left w:val="single" w:color="auto" w:sz="4" w:space="0"/>
              <w:bottom w:val="single" w:color="auto" w:sz="4" w:space="0"/>
              <w:right w:val="single" w:color="auto" w:sz="4" w:space="0"/>
            </w:tcBorders>
          </w:tcPr>
          <w:p w14:paraId="3C16DD62">
            <w:pPr>
              <w:pStyle w:val="21"/>
              <w:spacing w:line="360" w:lineRule="auto"/>
              <w:jc w:val="center"/>
              <w:rPr>
                <w:rFonts w:hint="eastAsia" w:ascii="宋体" w:hAnsi="宋体" w:eastAsia="宋体" w:cs="宋体"/>
                <w:color w:val="auto"/>
                <w:sz w:val="28"/>
                <w:highlight w:val="none"/>
              </w:rPr>
            </w:pPr>
          </w:p>
        </w:tc>
        <w:tc>
          <w:tcPr>
            <w:tcW w:w="1337" w:type="pct"/>
            <w:tcBorders>
              <w:top w:val="single" w:color="auto" w:sz="4" w:space="0"/>
              <w:left w:val="single" w:color="auto" w:sz="4" w:space="0"/>
              <w:bottom w:val="single" w:color="auto" w:sz="4" w:space="0"/>
              <w:right w:val="single" w:color="auto" w:sz="4" w:space="0"/>
            </w:tcBorders>
          </w:tcPr>
          <w:p w14:paraId="559B1F43">
            <w:pPr>
              <w:pStyle w:val="21"/>
              <w:spacing w:line="360" w:lineRule="auto"/>
              <w:jc w:val="center"/>
              <w:rPr>
                <w:rFonts w:hint="eastAsia" w:ascii="宋体" w:hAnsi="宋体" w:eastAsia="宋体" w:cs="宋体"/>
                <w:color w:val="auto"/>
                <w:sz w:val="28"/>
                <w:highlight w:val="none"/>
              </w:rPr>
            </w:pPr>
          </w:p>
        </w:tc>
        <w:tc>
          <w:tcPr>
            <w:tcW w:w="1029" w:type="pct"/>
            <w:tcBorders>
              <w:top w:val="single" w:color="auto" w:sz="4" w:space="0"/>
              <w:left w:val="single" w:color="auto" w:sz="4" w:space="0"/>
              <w:bottom w:val="single" w:color="auto" w:sz="4" w:space="0"/>
              <w:right w:val="single" w:color="auto" w:sz="4" w:space="0"/>
            </w:tcBorders>
          </w:tcPr>
          <w:p w14:paraId="6C864DFF">
            <w:pPr>
              <w:pStyle w:val="21"/>
              <w:spacing w:line="360" w:lineRule="auto"/>
              <w:jc w:val="center"/>
              <w:rPr>
                <w:rFonts w:hint="eastAsia" w:ascii="宋体" w:hAnsi="宋体" w:eastAsia="宋体" w:cs="宋体"/>
                <w:color w:val="auto"/>
                <w:sz w:val="28"/>
                <w:highlight w:val="none"/>
              </w:rPr>
            </w:pPr>
          </w:p>
        </w:tc>
        <w:tc>
          <w:tcPr>
            <w:tcW w:w="1140" w:type="pct"/>
            <w:tcBorders>
              <w:top w:val="single" w:color="auto" w:sz="4" w:space="0"/>
              <w:left w:val="single" w:color="auto" w:sz="4" w:space="0"/>
              <w:bottom w:val="single" w:color="auto" w:sz="4" w:space="0"/>
              <w:right w:val="single" w:color="auto" w:sz="4" w:space="0"/>
            </w:tcBorders>
          </w:tcPr>
          <w:p w14:paraId="4A431350">
            <w:pPr>
              <w:pStyle w:val="21"/>
              <w:spacing w:line="360" w:lineRule="auto"/>
              <w:jc w:val="center"/>
              <w:rPr>
                <w:rFonts w:hint="eastAsia" w:ascii="宋体" w:hAnsi="宋体" w:eastAsia="宋体" w:cs="宋体"/>
                <w:color w:val="auto"/>
                <w:sz w:val="28"/>
                <w:highlight w:val="none"/>
              </w:rPr>
            </w:pPr>
          </w:p>
        </w:tc>
      </w:tr>
      <w:tr w14:paraId="03B8B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8" w:type="pct"/>
            <w:tcBorders>
              <w:top w:val="single" w:color="auto" w:sz="4" w:space="0"/>
              <w:left w:val="single" w:color="auto" w:sz="4" w:space="0"/>
              <w:bottom w:val="single" w:color="auto" w:sz="4" w:space="0"/>
              <w:right w:val="single" w:color="auto" w:sz="4" w:space="0"/>
            </w:tcBorders>
          </w:tcPr>
          <w:p w14:paraId="22D25074">
            <w:pPr>
              <w:pStyle w:val="21"/>
              <w:spacing w:line="360" w:lineRule="auto"/>
              <w:rPr>
                <w:rFonts w:hint="eastAsia" w:ascii="宋体" w:hAnsi="宋体" w:eastAsia="宋体" w:cs="宋体"/>
                <w:color w:val="auto"/>
                <w:sz w:val="28"/>
                <w:highlight w:val="none"/>
              </w:rPr>
            </w:pPr>
          </w:p>
        </w:tc>
        <w:tc>
          <w:tcPr>
            <w:tcW w:w="914" w:type="pct"/>
            <w:tcBorders>
              <w:top w:val="single" w:color="auto" w:sz="4" w:space="0"/>
              <w:left w:val="single" w:color="auto" w:sz="4" w:space="0"/>
              <w:bottom w:val="single" w:color="auto" w:sz="4" w:space="0"/>
              <w:right w:val="single" w:color="auto" w:sz="4" w:space="0"/>
            </w:tcBorders>
          </w:tcPr>
          <w:p w14:paraId="598A25A4">
            <w:pPr>
              <w:pStyle w:val="21"/>
              <w:spacing w:line="360" w:lineRule="auto"/>
              <w:jc w:val="center"/>
              <w:rPr>
                <w:rFonts w:hint="eastAsia" w:ascii="宋体" w:hAnsi="宋体" w:eastAsia="宋体" w:cs="宋体"/>
                <w:color w:val="auto"/>
                <w:sz w:val="28"/>
                <w:highlight w:val="none"/>
              </w:rPr>
            </w:pPr>
          </w:p>
        </w:tc>
        <w:tc>
          <w:tcPr>
            <w:tcW w:w="1337" w:type="pct"/>
            <w:tcBorders>
              <w:top w:val="single" w:color="auto" w:sz="4" w:space="0"/>
              <w:left w:val="single" w:color="auto" w:sz="4" w:space="0"/>
              <w:bottom w:val="single" w:color="auto" w:sz="4" w:space="0"/>
              <w:right w:val="single" w:color="auto" w:sz="4" w:space="0"/>
            </w:tcBorders>
          </w:tcPr>
          <w:p w14:paraId="41A2C167">
            <w:pPr>
              <w:pStyle w:val="21"/>
              <w:spacing w:line="360" w:lineRule="auto"/>
              <w:jc w:val="center"/>
              <w:rPr>
                <w:rFonts w:hint="eastAsia" w:ascii="宋体" w:hAnsi="宋体" w:eastAsia="宋体" w:cs="宋体"/>
                <w:color w:val="auto"/>
                <w:sz w:val="28"/>
                <w:highlight w:val="none"/>
              </w:rPr>
            </w:pPr>
          </w:p>
        </w:tc>
        <w:tc>
          <w:tcPr>
            <w:tcW w:w="1029" w:type="pct"/>
            <w:tcBorders>
              <w:top w:val="single" w:color="auto" w:sz="4" w:space="0"/>
              <w:left w:val="single" w:color="auto" w:sz="4" w:space="0"/>
              <w:bottom w:val="single" w:color="auto" w:sz="4" w:space="0"/>
              <w:right w:val="single" w:color="auto" w:sz="4" w:space="0"/>
            </w:tcBorders>
          </w:tcPr>
          <w:p w14:paraId="64918785">
            <w:pPr>
              <w:pStyle w:val="21"/>
              <w:spacing w:line="360" w:lineRule="auto"/>
              <w:jc w:val="center"/>
              <w:rPr>
                <w:rFonts w:hint="eastAsia" w:ascii="宋体" w:hAnsi="宋体" w:eastAsia="宋体" w:cs="宋体"/>
                <w:color w:val="auto"/>
                <w:sz w:val="28"/>
                <w:highlight w:val="none"/>
              </w:rPr>
            </w:pPr>
          </w:p>
        </w:tc>
        <w:tc>
          <w:tcPr>
            <w:tcW w:w="1140" w:type="pct"/>
            <w:tcBorders>
              <w:top w:val="single" w:color="auto" w:sz="4" w:space="0"/>
              <w:left w:val="single" w:color="auto" w:sz="4" w:space="0"/>
              <w:bottom w:val="single" w:color="auto" w:sz="4" w:space="0"/>
              <w:right w:val="single" w:color="auto" w:sz="4" w:space="0"/>
            </w:tcBorders>
          </w:tcPr>
          <w:p w14:paraId="739BD45C">
            <w:pPr>
              <w:pStyle w:val="21"/>
              <w:spacing w:line="360" w:lineRule="auto"/>
              <w:jc w:val="center"/>
              <w:rPr>
                <w:rFonts w:hint="eastAsia" w:ascii="宋体" w:hAnsi="宋体" w:eastAsia="宋体" w:cs="宋体"/>
                <w:color w:val="auto"/>
                <w:sz w:val="28"/>
                <w:highlight w:val="none"/>
              </w:rPr>
            </w:pPr>
          </w:p>
        </w:tc>
      </w:tr>
    </w:tbl>
    <w:p w14:paraId="376ECE93">
      <w:pPr>
        <w:pStyle w:val="21"/>
        <w:spacing w:line="500" w:lineRule="exact"/>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备注：</w:t>
      </w:r>
      <w:r>
        <w:rPr>
          <w:rFonts w:hint="eastAsia" w:ascii="宋体" w:hAnsi="宋体" w:eastAsia="宋体" w:cs="宋体"/>
          <w:b/>
          <w:color w:val="auto"/>
          <w:sz w:val="24"/>
          <w:szCs w:val="24"/>
          <w:highlight w:val="none"/>
          <w:lang w:val="en-US" w:eastAsia="zh-CN"/>
        </w:rPr>
        <w:t>根据</w:t>
      </w:r>
      <w:r>
        <w:rPr>
          <w:rFonts w:hint="eastAsia" w:ascii="宋体" w:hAnsi="宋体" w:eastAsia="宋体" w:cs="宋体"/>
          <w:b/>
          <w:color w:val="auto"/>
          <w:sz w:val="24"/>
          <w:szCs w:val="24"/>
          <w:highlight w:val="none"/>
        </w:rPr>
        <w:t>第六章评</w:t>
      </w:r>
      <w:r>
        <w:rPr>
          <w:rFonts w:hint="eastAsia" w:ascii="宋体" w:hAnsi="宋体" w:eastAsia="宋体" w:cs="宋体"/>
          <w:b/>
          <w:color w:val="auto"/>
          <w:sz w:val="24"/>
          <w:szCs w:val="24"/>
          <w:highlight w:val="none"/>
          <w:lang w:val="en-US" w:eastAsia="zh-CN"/>
        </w:rPr>
        <w:t>标</w:t>
      </w:r>
      <w:r>
        <w:rPr>
          <w:rFonts w:hint="eastAsia" w:ascii="宋体" w:hAnsi="宋体" w:eastAsia="宋体" w:cs="宋体"/>
          <w:b/>
          <w:color w:val="auto"/>
          <w:sz w:val="24"/>
          <w:szCs w:val="24"/>
          <w:highlight w:val="none"/>
        </w:rPr>
        <w:t>办法的要求附相关证明材料。</w:t>
      </w:r>
    </w:p>
    <w:p w14:paraId="3B2BEAEF">
      <w:pPr>
        <w:pStyle w:val="21"/>
        <w:spacing w:line="500" w:lineRule="exact"/>
        <w:ind w:firstLine="631"/>
        <w:jc w:val="left"/>
        <w:rPr>
          <w:rFonts w:hint="eastAsia" w:ascii="宋体" w:hAnsi="宋体" w:eastAsia="宋体" w:cs="宋体"/>
          <w:b/>
          <w:color w:val="auto"/>
          <w:sz w:val="24"/>
          <w:szCs w:val="24"/>
          <w:highlight w:val="none"/>
        </w:rPr>
      </w:pPr>
    </w:p>
    <w:p w14:paraId="37D6FA83">
      <w:pPr>
        <w:keepNext w:val="0"/>
        <w:keepLines w:val="0"/>
        <w:pageBreakBefore w:val="0"/>
        <w:widowControl w:val="0"/>
        <w:kinsoku/>
        <w:wordWrap/>
        <w:overflowPunct/>
        <w:topLinePunct w:val="0"/>
        <w:autoSpaceDE/>
        <w:autoSpaceDN/>
        <w:bidi w:val="0"/>
        <w:snapToGrid/>
        <w:spacing w:line="360" w:lineRule="auto"/>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 标 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（电子签章）</w:t>
      </w:r>
    </w:p>
    <w:p w14:paraId="124CA544">
      <w:pPr>
        <w:keepNext w:val="0"/>
        <w:keepLines w:val="0"/>
        <w:pageBreakBefore w:val="0"/>
        <w:widowControl w:val="0"/>
        <w:kinsoku/>
        <w:wordWrap/>
        <w:overflowPunct/>
        <w:topLinePunct w:val="0"/>
        <w:autoSpaceDE/>
        <w:autoSpaceDN/>
        <w:bidi w:val="0"/>
        <w:snapToGrid/>
        <w:spacing w:line="360" w:lineRule="auto"/>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法定代表人或其委托代理人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（电子签章）</w:t>
      </w:r>
    </w:p>
    <w:p w14:paraId="25513622">
      <w:pPr>
        <w:shd w:val="clear" w:color="auto" w:fill="FFFFFF"/>
        <w:spacing w:line="48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5943BE0B">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4D44FC4F">
      <w:pPr>
        <w:rPr>
          <w:rFonts w:hint="eastAsia" w:ascii="宋体" w:hAnsi="宋体" w:eastAsia="宋体" w:cs="宋体"/>
          <w:color w:val="auto"/>
          <w:szCs w:val="28"/>
          <w:highlight w:val="none"/>
        </w:rPr>
      </w:pPr>
      <w:bookmarkStart w:id="224" w:name="_Toc3858"/>
      <w:bookmarkStart w:id="225" w:name="_Toc5763"/>
    </w:p>
    <w:p w14:paraId="30C9A733">
      <w:pPr>
        <w:pStyle w:val="3"/>
        <w:numPr>
          <w:ilvl w:val="0"/>
          <w:numId w:val="0"/>
        </w:numPr>
        <w:spacing w:before="0"/>
        <w:jc w:val="center"/>
        <w:rPr>
          <w:rFonts w:hint="eastAsia" w:ascii="宋体" w:hAnsi="宋体" w:eastAsia="宋体" w:cs="宋体"/>
          <w:color w:val="auto"/>
          <w:szCs w:val="28"/>
          <w:highlight w:val="none"/>
          <w:lang w:val="en-US" w:eastAsia="zh-CN"/>
        </w:rPr>
      </w:pPr>
      <w:bookmarkStart w:id="226" w:name="_Toc19588"/>
      <w:bookmarkStart w:id="227" w:name="_Toc947"/>
      <w:r>
        <w:rPr>
          <w:rFonts w:hint="eastAsia" w:ascii="宋体" w:hAnsi="宋体" w:eastAsia="宋体" w:cs="宋体"/>
          <w:color w:val="auto"/>
          <w:szCs w:val="28"/>
          <w:highlight w:val="none"/>
        </w:rPr>
        <w:t>格式1</w:t>
      </w:r>
      <w:r>
        <w:rPr>
          <w:rFonts w:hint="eastAsia" w:ascii="宋体" w:hAnsi="宋体" w:eastAsia="宋体" w:cs="宋体"/>
          <w:color w:val="auto"/>
          <w:szCs w:val="28"/>
          <w:highlight w:val="none"/>
          <w:lang w:val="en-US" w:eastAsia="zh-CN"/>
        </w:rPr>
        <w:t>4</w:t>
      </w:r>
      <w:r>
        <w:rPr>
          <w:rFonts w:hint="eastAsia" w:ascii="宋体" w:hAnsi="宋体" w:eastAsia="宋体" w:cs="宋体"/>
          <w:color w:val="auto"/>
          <w:szCs w:val="28"/>
          <w:highlight w:val="none"/>
        </w:rPr>
        <w:t>：其</w:t>
      </w:r>
      <w:bookmarkEnd w:id="224"/>
      <w:bookmarkEnd w:id="225"/>
      <w:r>
        <w:rPr>
          <w:rFonts w:hint="eastAsia" w:ascii="宋体" w:hAnsi="宋体" w:eastAsia="宋体" w:cs="宋体"/>
          <w:color w:val="auto"/>
          <w:szCs w:val="28"/>
          <w:highlight w:val="none"/>
          <w:lang w:val="en-US" w:eastAsia="zh-CN"/>
        </w:rPr>
        <w:t>他</w:t>
      </w:r>
      <w:bookmarkEnd w:id="226"/>
      <w:bookmarkEnd w:id="227"/>
    </w:p>
    <w:p w14:paraId="6D89CF64">
      <w:pPr>
        <w:ind w:firstLine="2800" w:firstLineChars="1000"/>
        <w:rPr>
          <w:rFonts w:hint="eastAsia" w:ascii="宋体" w:hAnsi="宋体" w:eastAsia="宋体" w:cs="宋体"/>
          <w:b/>
          <w:color w:val="auto"/>
          <w:kern w:val="0"/>
          <w:sz w:val="28"/>
          <w:szCs w:val="20"/>
          <w:highlight w:val="none"/>
        </w:rPr>
      </w:pPr>
      <w:r>
        <w:rPr>
          <w:rFonts w:hint="eastAsia" w:ascii="宋体" w:hAnsi="宋体" w:eastAsia="宋体" w:cs="宋体"/>
          <w:b/>
          <w:color w:val="auto"/>
          <w:kern w:val="0"/>
          <w:sz w:val="28"/>
          <w:szCs w:val="20"/>
          <w:highlight w:val="none"/>
        </w:rPr>
        <w:t>（1）不参与串标、围标承诺书</w:t>
      </w:r>
    </w:p>
    <w:p w14:paraId="15645CFC">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致：________________________（</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名称）</w:t>
      </w:r>
    </w:p>
    <w:p w14:paraId="20BC6DD6">
      <w:pPr>
        <w:spacing w:line="360" w:lineRule="auto"/>
        <w:jc w:val="left"/>
        <w:rPr>
          <w:rFonts w:hint="eastAsia" w:ascii="宋体" w:hAnsi="宋体" w:eastAsia="宋体" w:cs="宋体"/>
          <w:color w:val="auto"/>
          <w:sz w:val="24"/>
          <w:highlight w:val="none"/>
          <w:u w:val="single"/>
        </w:rPr>
      </w:pPr>
      <w:bookmarkStart w:id="228" w:name="_Hlk73621871"/>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rPr>
        <w:t xml:space="preserve">                              </w:t>
      </w:r>
    </w:p>
    <w:p w14:paraId="15065A34">
      <w:pPr>
        <w:spacing w:line="360" w:lineRule="auto"/>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招标编号</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rPr>
        <w:t xml:space="preserve">                               </w:t>
      </w:r>
    </w:p>
    <w:p w14:paraId="32B2B5E0">
      <w:pPr>
        <w:pStyle w:val="32"/>
        <w:ind w:firstLine="520"/>
        <w:rPr>
          <w:rFonts w:hint="eastAsia" w:ascii="宋体" w:hAnsi="宋体" w:eastAsia="宋体" w:cs="宋体"/>
          <w:color w:val="auto"/>
          <w:highlight w:val="none"/>
        </w:rPr>
      </w:pPr>
    </w:p>
    <w:p w14:paraId="4C02EA37">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________________________（以下简称“我方”），自愿参加上述项目的投标。为维护公平、公正、公开的市场竞争秩序，杜绝招标投标活动中的违法行为，我方在此郑重承诺：</w:t>
      </w:r>
    </w:p>
    <w:p w14:paraId="2925D4A8">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一、严格遵守法律法规</w:t>
      </w:r>
    </w:p>
    <w:p w14:paraId="56A3BBEB">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我方已充分知悉并理解《中华人民共和国政府采购法》《中华人民共和国政府采购法实施条例》等相关法律法规及本项目招标文件中关于禁止串通投标、围标等违法行为的各项规定和要求。</w:t>
      </w:r>
    </w:p>
    <w:p w14:paraId="065093C5">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二、承诺无串通投标行为</w:t>
      </w:r>
    </w:p>
    <w:p w14:paraId="11415EDD">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我方在此承诺，在本项目投标过程中及后续可能发生的合同履行过程中，绝对不存在且不会发生以下任何一种或多种串通投标（串标）、围标行为：</w:t>
      </w:r>
    </w:p>
    <w:p w14:paraId="6F05834D">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1.投标人之间相互串通：</w:t>
      </w:r>
    </w:p>
    <w:p w14:paraId="4944ED63">
      <w:pPr>
        <w:spacing w:line="360" w:lineRule="auto"/>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（1）与其他投标人协商投标报价、投标方案等实质性内容；</w:t>
      </w:r>
    </w:p>
    <w:p w14:paraId="61D36BEE">
      <w:pPr>
        <w:spacing w:line="360" w:lineRule="auto"/>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（2）与其他投标人约定采取一致行动（如约定放弃投标、轮流中标、陪标等）；</w:t>
      </w:r>
    </w:p>
    <w:p w14:paraId="316B08F4">
      <w:pPr>
        <w:spacing w:line="360" w:lineRule="auto"/>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（3）与其他投标人就本项目投标事宜达成任何形式的书面或口头协议、安排或默契；</w:t>
      </w:r>
    </w:p>
    <w:p w14:paraId="48C22F73">
      <w:pPr>
        <w:spacing w:line="360" w:lineRule="auto"/>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（4）属于同一集团、协会、商会等组织成员的投标人按照该组织要求协同投标；</w:t>
      </w:r>
    </w:p>
    <w:p w14:paraId="49CBC73B">
      <w:pPr>
        <w:spacing w:line="360" w:lineRule="auto"/>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（5）投标人之间为谋取中标或者排斥特定投标人而采取的其他联合行动。</w:t>
      </w:r>
    </w:p>
    <w:p w14:paraId="6B00AA1A">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2.投标人与</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采购代理</w:t>
      </w:r>
      <w:r>
        <w:rPr>
          <w:rFonts w:hint="eastAsia" w:ascii="宋体" w:hAnsi="宋体" w:eastAsia="宋体" w:cs="宋体"/>
          <w:color w:val="auto"/>
          <w:sz w:val="24"/>
          <w:highlight w:val="none"/>
        </w:rPr>
        <w:t>机构串通：</w:t>
      </w:r>
    </w:p>
    <w:p w14:paraId="54EED0A6">
      <w:pPr>
        <w:spacing w:line="360" w:lineRule="auto"/>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（1）与</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采购代理</w:t>
      </w:r>
      <w:r>
        <w:rPr>
          <w:rFonts w:hint="eastAsia" w:ascii="宋体" w:hAnsi="宋体" w:eastAsia="宋体" w:cs="宋体"/>
          <w:color w:val="auto"/>
          <w:sz w:val="24"/>
          <w:highlight w:val="none"/>
        </w:rPr>
        <w:t>机构或其工作人员就投标文件的实质性内容（包括但不限于报价、技术规格、业绩要求、评标办法等）进行私下协商、沟通；</w:t>
      </w:r>
    </w:p>
    <w:p w14:paraId="4B3D042B">
      <w:pPr>
        <w:spacing w:line="360" w:lineRule="auto"/>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（2）获取</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采购代理</w:t>
      </w:r>
      <w:r>
        <w:rPr>
          <w:rFonts w:hint="eastAsia" w:ascii="宋体" w:hAnsi="宋体" w:eastAsia="宋体" w:cs="宋体"/>
          <w:color w:val="auto"/>
          <w:sz w:val="24"/>
          <w:highlight w:val="none"/>
        </w:rPr>
        <w:t>机构泄露的依法应当保密的与招标投标活动有关的情况和资料；</w:t>
      </w:r>
    </w:p>
    <w:p w14:paraId="62EC6E90">
      <w:pPr>
        <w:spacing w:line="360" w:lineRule="auto"/>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（3）与</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采购代理</w:t>
      </w:r>
      <w:r>
        <w:rPr>
          <w:rFonts w:hint="eastAsia" w:ascii="宋体" w:hAnsi="宋体" w:eastAsia="宋体" w:cs="宋体"/>
          <w:color w:val="auto"/>
          <w:sz w:val="24"/>
          <w:highlight w:val="none"/>
        </w:rPr>
        <w:t>机构或其工作人员串通以不正当手段谋取中标。</w:t>
      </w:r>
    </w:p>
    <w:p w14:paraId="07324D90">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3.投标人与评标委员会成员串通：</w:t>
      </w:r>
    </w:p>
    <w:p w14:paraId="1DAF473C">
      <w:pPr>
        <w:spacing w:line="360" w:lineRule="auto"/>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（1）在评标结束前接触评标委员会成员，进行可能影响评标公正性的沟通；</w:t>
      </w:r>
    </w:p>
    <w:p w14:paraId="1AF07A93">
      <w:pPr>
        <w:spacing w:line="360" w:lineRule="auto"/>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（2）向评标委员会成员行贿或者提供其他不正当利益以谋取有利评标结果。</w:t>
      </w:r>
    </w:p>
    <w:p w14:paraId="6A631B99">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4.其他视为串通投标的行为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   </w:t>
      </w:r>
    </w:p>
    <w:p w14:paraId="525FCE47">
      <w:pPr>
        <w:spacing w:line="360" w:lineRule="auto"/>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（1）不同投标人的投标文件由同一单位或者个人编制；</w:t>
      </w:r>
    </w:p>
    <w:p w14:paraId="498C331C">
      <w:pPr>
        <w:spacing w:line="360" w:lineRule="auto"/>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（2）不同投标人委托同一单位或者个人办理投标事宜；</w:t>
      </w:r>
    </w:p>
    <w:p w14:paraId="67DEE43F">
      <w:pPr>
        <w:spacing w:line="360" w:lineRule="auto"/>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（3）不同投标人的投标文件载明的项目管理成员为同一人；</w:t>
      </w:r>
    </w:p>
    <w:p w14:paraId="3A95D835">
      <w:pPr>
        <w:spacing w:line="360" w:lineRule="auto"/>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（4）不同投标人的投标文件异常一致或者投标报价呈规律性差异；</w:t>
      </w:r>
    </w:p>
    <w:p w14:paraId="3989DEA7">
      <w:pPr>
        <w:spacing w:line="360" w:lineRule="auto"/>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（5）不同投标人的投标文件相互混装；</w:t>
      </w:r>
    </w:p>
    <w:p w14:paraId="67C19563">
      <w:pPr>
        <w:spacing w:line="360" w:lineRule="auto"/>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（6）不同投标人的投标保证金从同一单位或者个人的账户转出；</w:t>
      </w:r>
    </w:p>
    <w:p w14:paraId="7CD6ADA1">
      <w:pPr>
        <w:spacing w:line="360" w:lineRule="auto"/>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（7）法律法规或招标文件规定的其他串通投标情形。</w:t>
      </w:r>
    </w:p>
    <w:p w14:paraId="28ABC47A">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三、承诺无围标行为</w:t>
      </w:r>
    </w:p>
    <w:p w14:paraId="2F0BA18A">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我方承诺，绝对不存在且不会组织或参与任何形式的“围标”行为，包括但不限于：</w:t>
      </w:r>
    </w:p>
    <w:p w14:paraId="17DD39FF">
      <w:pPr>
        <w:spacing w:line="360" w:lineRule="auto"/>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（1）通过胁迫、利诱等方式组织或控制其他潜在投标人参与或不参与投标；</w:t>
      </w:r>
    </w:p>
    <w:p w14:paraId="422B3A39">
      <w:pPr>
        <w:spacing w:line="360" w:lineRule="auto"/>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（2）利用多个关联公司或他人名义参与投标，以增加中标概率或操控价格；</w:t>
      </w:r>
    </w:p>
    <w:p w14:paraId="492E268C">
      <w:pPr>
        <w:spacing w:line="360" w:lineRule="auto"/>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（3）为排斥其他潜在投标人而采取的任何不正当手段。</w:t>
      </w:r>
    </w:p>
    <w:p w14:paraId="7CA1325D">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四、信息真实性承诺</w:t>
      </w:r>
    </w:p>
    <w:p w14:paraId="77855D50">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我方保证在投标过程中所提交的所有文件、资料、信息（包括但不限于资质证明、业绩证明、财务状况、人员配备、技术方案、投标报价等）均真实、准确、完整、合法有效，不存在任何虚假记载、误导性陈述或重大遗漏。</w:t>
      </w:r>
    </w:p>
    <w:p w14:paraId="60AF4B3A">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五、独立投标承诺</w:t>
      </w:r>
    </w:p>
    <w:p w14:paraId="6DFC1B30">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我方保证本次投标活动完全独立进行，未受到任何其他单位或个人的非法干预或控制。我方是代表自身利益进行投标，并非代表或代理其他任何未在投标文件中声明的实体或个人。</w:t>
      </w:r>
    </w:p>
    <w:p w14:paraId="769411F2">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六、接受核查与承担后果</w:t>
      </w:r>
    </w:p>
    <w:p w14:paraId="44AB6A7B">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我方完全理解并同意：</w:t>
      </w:r>
    </w:p>
    <w:p w14:paraId="051D4CAB">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采购代理</w:t>
      </w:r>
      <w:r>
        <w:rPr>
          <w:rFonts w:hint="eastAsia" w:ascii="宋体" w:hAnsi="宋体" w:eastAsia="宋体" w:cs="宋体"/>
          <w:color w:val="auto"/>
          <w:sz w:val="24"/>
          <w:highlight w:val="none"/>
        </w:rPr>
        <w:t>机构及行政监督部门有权对我方的投标行为进行监督、核查，包括但不限于调查我方与其他投标人的关系、资金往来、人员关联、投标文件相似度等。</w:t>
      </w:r>
    </w:p>
    <w:p w14:paraId="04CE51D5">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2.若我方违反上述任何一项承诺，即构成重大违约和违法行为：</w:t>
      </w:r>
    </w:p>
    <w:p w14:paraId="7DE0D080">
      <w:pPr>
        <w:spacing w:line="360" w:lineRule="auto"/>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（1）我方无条件接受</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采购代理</w:t>
      </w:r>
      <w:r>
        <w:rPr>
          <w:rFonts w:hint="eastAsia" w:ascii="宋体" w:hAnsi="宋体" w:eastAsia="宋体" w:cs="宋体"/>
          <w:color w:val="auto"/>
          <w:sz w:val="24"/>
          <w:highlight w:val="none"/>
        </w:rPr>
        <w:t>机构宣布我方投标无效或中标无效；</w:t>
      </w:r>
    </w:p>
    <w:p w14:paraId="5FEA27CC">
      <w:pPr>
        <w:spacing w:line="360" w:lineRule="auto"/>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（2）我方无条件接受</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没收我方投标保证金的决定；</w:t>
      </w:r>
    </w:p>
    <w:p w14:paraId="34FD83F5">
      <w:pPr>
        <w:spacing w:line="360" w:lineRule="auto"/>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（3）我方自愿承担由此给</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造成的全部损失（包括但不限于重新招标的费用、工期/交货期/服务期限延误损失等）；</w:t>
      </w:r>
    </w:p>
    <w:p w14:paraId="5FFDF8CF">
      <w:pPr>
        <w:spacing w:line="360" w:lineRule="auto"/>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（4）我方自愿接受相关行政主管部门依据法律法规进行的行政处罚（包括但不限于罚款、取消一定时期内参加依法必须进行招标项目的投标资格、没收违法所得等）；</w:t>
      </w:r>
    </w:p>
    <w:p w14:paraId="1C90AF3B">
      <w:pPr>
        <w:spacing w:line="360" w:lineRule="auto"/>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（5）我方自愿承担由此可能引发的刑事责任（如构成犯罪）；</w:t>
      </w:r>
    </w:p>
    <w:p w14:paraId="0A63D324">
      <w:pPr>
        <w:spacing w:line="360" w:lineRule="auto"/>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（6）我方的违法行为及处理结果将被记入信用记录，接受社会监督。</w:t>
      </w:r>
    </w:p>
    <w:p w14:paraId="71C73C95">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七、承诺效力</w:t>
      </w:r>
    </w:p>
    <w:p w14:paraId="13993A3F">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承诺书是我方投标文件的重要组成部分，与投标文件具有同等法律效力。本承诺书自我方法定代表人或其授权代理人签字（或盖章）并加盖单位公章之日起生效，其效力持续至本项目合同履行完毕或中标结果被合法废止之日止。</w:t>
      </w:r>
    </w:p>
    <w:p w14:paraId="27F38F60">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八、承诺主体</w:t>
      </w:r>
    </w:p>
    <w:p w14:paraId="5EDAC799">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本承诺书由我方及参与本项目的所有关联方（包括但不限于联合体成员、分包商、</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等，如有）共同遵守。我方确保所有关联方知悉并遵守本承诺书内容。</w:t>
      </w:r>
    </w:p>
    <w:p w14:paraId="2A7F9C05">
      <w:pPr>
        <w:spacing w:line="360" w:lineRule="auto"/>
        <w:ind w:firstLine="480" w:firstLineChars="200"/>
        <w:jc w:val="left"/>
        <w:rPr>
          <w:rFonts w:hint="eastAsia" w:ascii="宋体" w:hAnsi="宋体" w:eastAsia="宋体" w:cs="宋体"/>
          <w:color w:val="auto"/>
          <w:sz w:val="24"/>
          <w:highlight w:val="none"/>
        </w:rPr>
      </w:pPr>
    </w:p>
    <w:p w14:paraId="214F2A66">
      <w:pPr>
        <w:pStyle w:val="32"/>
        <w:ind w:firstLine="520"/>
        <w:rPr>
          <w:rFonts w:hint="eastAsia" w:ascii="宋体" w:hAnsi="宋体" w:eastAsia="宋体" w:cs="宋体"/>
          <w:color w:val="auto"/>
          <w:highlight w:val="none"/>
        </w:rPr>
      </w:pPr>
    </w:p>
    <w:bookmarkEnd w:id="228"/>
    <w:p w14:paraId="2EAF27F4">
      <w:pPr>
        <w:keepNext w:val="0"/>
        <w:keepLines w:val="0"/>
        <w:pageBreakBefore w:val="0"/>
        <w:widowControl w:val="0"/>
        <w:kinsoku/>
        <w:wordWrap/>
        <w:overflowPunct/>
        <w:topLinePunct w:val="0"/>
        <w:autoSpaceDE/>
        <w:autoSpaceDN/>
        <w:bidi w:val="0"/>
        <w:snapToGrid/>
        <w:spacing w:line="360" w:lineRule="auto"/>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 标 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（电子签章）</w:t>
      </w:r>
    </w:p>
    <w:p w14:paraId="59857AA8">
      <w:pPr>
        <w:keepNext w:val="0"/>
        <w:keepLines w:val="0"/>
        <w:pageBreakBefore w:val="0"/>
        <w:widowControl w:val="0"/>
        <w:kinsoku/>
        <w:wordWrap/>
        <w:overflowPunct/>
        <w:topLinePunct w:val="0"/>
        <w:autoSpaceDE/>
        <w:autoSpaceDN/>
        <w:bidi w:val="0"/>
        <w:snapToGrid/>
        <w:spacing w:line="360" w:lineRule="auto"/>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法定代表人或其委托代理人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（电子签章）</w:t>
      </w:r>
    </w:p>
    <w:p w14:paraId="0E956DD7">
      <w:pPr>
        <w:pStyle w:val="21"/>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670A03EE">
      <w:pPr>
        <w:pStyle w:val="32"/>
        <w:spacing w:line="360" w:lineRule="auto"/>
        <w:ind w:firstLine="0" w:firstLineChars="0"/>
        <w:rPr>
          <w:rFonts w:hint="eastAsia" w:ascii="宋体" w:hAnsi="宋体" w:eastAsia="宋体" w:cs="宋体"/>
          <w:color w:val="auto"/>
          <w:highlight w:val="none"/>
        </w:rPr>
      </w:pPr>
    </w:p>
    <w:p w14:paraId="15BE6C69">
      <w:pPr>
        <w:rPr>
          <w:rFonts w:hint="eastAsia" w:ascii="宋体" w:hAnsi="宋体" w:eastAsia="宋体" w:cs="宋体"/>
          <w:color w:val="auto"/>
          <w:szCs w:val="28"/>
          <w:highlight w:val="none"/>
        </w:rPr>
      </w:pPr>
    </w:p>
    <w:p w14:paraId="23435D96">
      <w:pPr>
        <w:pStyle w:val="15"/>
        <w:rPr>
          <w:rFonts w:hint="eastAsia" w:ascii="宋体" w:hAnsi="宋体" w:eastAsia="宋体" w:cs="宋体"/>
          <w:color w:val="auto"/>
          <w:highlight w:val="none"/>
        </w:rPr>
      </w:pPr>
    </w:p>
    <w:p w14:paraId="3186902F">
      <w:pPr>
        <w:pStyle w:val="42"/>
        <w:rPr>
          <w:rFonts w:hint="eastAsia" w:ascii="宋体" w:hAnsi="宋体" w:eastAsia="宋体" w:cs="宋体"/>
          <w:color w:val="auto"/>
          <w:highlight w:val="none"/>
        </w:rPr>
      </w:pPr>
    </w:p>
    <w:p w14:paraId="25C06754">
      <w:pPr>
        <w:pStyle w:val="42"/>
        <w:rPr>
          <w:rFonts w:hint="eastAsia" w:ascii="宋体" w:hAnsi="宋体" w:eastAsia="宋体" w:cs="宋体"/>
          <w:color w:val="auto"/>
          <w:highlight w:val="none"/>
        </w:rPr>
      </w:pPr>
    </w:p>
    <w:p w14:paraId="668723D5">
      <w:pPr>
        <w:pStyle w:val="42"/>
        <w:rPr>
          <w:rFonts w:hint="eastAsia" w:ascii="宋体" w:hAnsi="宋体" w:eastAsia="宋体" w:cs="宋体"/>
          <w:color w:val="auto"/>
          <w:highlight w:val="none"/>
        </w:rPr>
      </w:pPr>
    </w:p>
    <w:p w14:paraId="2CDDA17E">
      <w:pPr>
        <w:rPr>
          <w:rFonts w:hint="eastAsia" w:ascii="宋体" w:hAnsi="宋体" w:eastAsia="宋体" w:cs="宋体"/>
          <w:b/>
          <w:color w:val="auto"/>
          <w:sz w:val="27"/>
          <w:szCs w:val="28"/>
          <w:highlight w:val="none"/>
        </w:rPr>
      </w:pPr>
      <w:r>
        <w:rPr>
          <w:rFonts w:hint="eastAsia" w:ascii="宋体" w:hAnsi="宋体" w:eastAsia="宋体" w:cs="宋体"/>
          <w:b/>
          <w:color w:val="auto"/>
          <w:sz w:val="27"/>
          <w:szCs w:val="28"/>
          <w:highlight w:val="none"/>
        </w:rPr>
        <w:br w:type="page"/>
      </w:r>
    </w:p>
    <w:p w14:paraId="63E2BFE5">
      <w:pPr>
        <w:ind w:firstLine="2160" w:firstLineChars="800"/>
        <w:rPr>
          <w:rFonts w:hint="eastAsia" w:ascii="宋体" w:hAnsi="宋体" w:eastAsia="宋体" w:cs="宋体"/>
          <w:color w:val="auto"/>
          <w:kern w:val="2"/>
          <w:highlight w:val="none"/>
        </w:rPr>
      </w:pPr>
      <w:r>
        <w:rPr>
          <w:rFonts w:hint="eastAsia" w:ascii="宋体" w:hAnsi="宋体" w:eastAsia="宋体" w:cs="宋体"/>
          <w:b/>
          <w:color w:val="auto"/>
          <w:sz w:val="27"/>
          <w:szCs w:val="28"/>
          <w:highlight w:val="none"/>
        </w:rPr>
        <w:t>（2）投标人认为需要提供的其他材料</w:t>
      </w:r>
    </w:p>
    <w:p w14:paraId="48FFF949">
      <w:pPr>
        <w:pStyle w:val="63"/>
        <w:jc w:val="center"/>
        <w:rPr>
          <w:rFonts w:hint="eastAsia" w:ascii="宋体" w:hAnsi="宋体" w:eastAsia="宋体" w:cs="宋体"/>
          <w:color w:val="auto"/>
          <w:kern w:val="2"/>
          <w:highlight w:val="none"/>
        </w:rPr>
      </w:pPr>
    </w:p>
    <w:p w14:paraId="6C8B9577">
      <w:pPr>
        <w:pStyle w:val="63"/>
        <w:keepNext w:val="0"/>
        <w:keepLines w:val="0"/>
        <w:pageBreakBefore w:val="0"/>
        <w:widowControl w:val="0"/>
        <w:kinsoku/>
        <w:wordWrap/>
        <w:overflowPunct/>
        <w:topLinePunct w:val="0"/>
        <w:autoSpaceDE w:val="0"/>
        <w:autoSpaceDN w:val="0"/>
        <w:bidi w:val="0"/>
        <w:adjustRightInd w:val="0"/>
        <w:snapToGrid/>
        <w:spacing w:line="360" w:lineRule="exact"/>
        <w:jc w:val="center"/>
        <w:textAlignment w:val="auto"/>
        <w:rPr>
          <w:rFonts w:hint="eastAsia" w:ascii="宋体" w:hAnsi="宋体" w:eastAsia="宋体" w:cs="宋体"/>
          <w:color w:val="auto"/>
          <w:kern w:val="2"/>
          <w:highlight w:val="none"/>
        </w:rPr>
      </w:pPr>
      <w:r>
        <w:rPr>
          <w:rFonts w:hint="eastAsia" w:ascii="宋体" w:hAnsi="宋体" w:eastAsia="宋体" w:cs="宋体"/>
          <w:color w:val="auto"/>
          <w:kern w:val="2"/>
          <w:highlight w:val="none"/>
        </w:rPr>
        <w:t>（提供招标文件要求提供但投标文件格式中未明确格式的内容或投标人认为需要提供的其他投标资料）</w:t>
      </w:r>
    </w:p>
    <w:p w14:paraId="6A764EDD">
      <w:pPr>
        <w:rPr>
          <w:rFonts w:hint="eastAsia" w:ascii="宋体" w:hAnsi="宋体" w:eastAsia="宋体" w:cs="宋体"/>
          <w:color w:val="auto"/>
          <w:highlight w:val="none"/>
        </w:rPr>
      </w:pPr>
    </w:p>
    <w:p w14:paraId="46B2A090">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6E68B180">
      <w:pPr>
        <w:pStyle w:val="2"/>
        <w:rPr>
          <w:rFonts w:hint="eastAsia" w:ascii="宋体" w:hAnsi="宋体" w:eastAsia="宋体" w:cs="宋体"/>
          <w:color w:val="auto"/>
          <w:highlight w:val="none"/>
        </w:rPr>
      </w:pPr>
      <w:bookmarkStart w:id="229" w:name="_Toc22359"/>
      <w:r>
        <w:rPr>
          <w:rFonts w:hint="eastAsia" w:ascii="宋体" w:hAnsi="宋体" w:eastAsia="宋体" w:cs="宋体"/>
          <w:color w:val="auto"/>
          <w:highlight w:val="none"/>
        </w:rPr>
        <w:t>第五章  招标内容及要求</w:t>
      </w:r>
      <w:bookmarkEnd w:id="229"/>
    </w:p>
    <w:p w14:paraId="3E27CDAB">
      <w:pPr>
        <w:snapToGrid w:val="0"/>
        <w:spacing w:line="360" w:lineRule="auto"/>
        <w:ind w:firstLine="480" w:firstLineChars="200"/>
        <w:rPr>
          <w:rFonts w:hint="eastAsia" w:ascii="宋体" w:hAnsi="宋体" w:eastAsia="宋体" w:cs="宋体"/>
          <w:color w:val="auto"/>
          <w:sz w:val="24"/>
          <w:highlight w:val="none"/>
        </w:rPr>
      </w:pPr>
    </w:p>
    <w:p w14:paraId="3F87D823">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说明：</w:t>
      </w:r>
    </w:p>
    <w:p w14:paraId="19184F5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1.各投标人必须对招标文件第五章《</w:t>
      </w:r>
      <w:r>
        <w:rPr>
          <w:rFonts w:hint="eastAsia" w:ascii="宋体" w:hAnsi="宋体" w:eastAsia="宋体" w:cs="宋体"/>
          <w:color w:val="auto"/>
          <w:sz w:val="24"/>
          <w:szCs w:val="24"/>
          <w:highlight w:val="none"/>
          <w:lang w:eastAsia="zh-CN"/>
        </w:rPr>
        <w:t>招标内容及要求</w:t>
      </w:r>
      <w:r>
        <w:rPr>
          <w:rFonts w:hint="eastAsia" w:ascii="宋体" w:hAnsi="宋体" w:eastAsia="宋体" w:cs="宋体"/>
          <w:color w:val="auto"/>
          <w:sz w:val="24"/>
          <w:szCs w:val="24"/>
          <w:highlight w:val="none"/>
        </w:rPr>
        <w:t>》中的规格、技术条款和性能要求作出全面、真实的反映，若投标文件中未对招标文件第五章《</w:t>
      </w:r>
      <w:r>
        <w:rPr>
          <w:rFonts w:hint="eastAsia" w:ascii="宋体" w:hAnsi="宋体" w:eastAsia="宋体" w:cs="宋体"/>
          <w:color w:val="auto"/>
          <w:sz w:val="24"/>
          <w:szCs w:val="24"/>
          <w:highlight w:val="none"/>
          <w:lang w:eastAsia="zh-CN"/>
        </w:rPr>
        <w:t>招标内容及要求</w:t>
      </w:r>
      <w:r>
        <w:rPr>
          <w:rFonts w:hint="eastAsia" w:ascii="宋体" w:hAnsi="宋体" w:eastAsia="宋体" w:cs="宋体"/>
          <w:color w:val="auto"/>
          <w:sz w:val="24"/>
          <w:szCs w:val="24"/>
          <w:highlight w:val="none"/>
        </w:rPr>
        <w:t>》中的规格、技术条款和性能要求作出全面、真实的反映，而投标人又未在投标文件中作出说明和解释的，评标委员会在评审时可以视为不响应该条规格、技术条款和性能要求。</w:t>
      </w:r>
    </w:p>
    <w:p w14:paraId="6D2BB91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章各项规格、技术条款和性能要求如出现引用某一特定的专利技术、商标、名称、设计、原产地或供应者等情况，则仅起参考作用。投标人可选用实质上“相当于”或“优于”该参考规格、技术条款和性能要求的产品（服务）投标。</w:t>
      </w:r>
    </w:p>
    <w:p w14:paraId="41A0ACB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3.投标人应保证其提供的货物或者服务在采购人使用期间不受第三方可能提出的侵犯其所有权、知识产权、商标权、专利权、著作权等相关权利的起诉。</w:t>
      </w:r>
      <w:bookmarkStart w:id="230" w:name="_Toc491307394"/>
      <w:bookmarkStart w:id="231" w:name="_Toc491307332"/>
    </w:p>
    <w:p w14:paraId="26177EA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4.投标人应在合同履行的过程中，</w:t>
      </w:r>
      <w:r>
        <w:rPr>
          <w:rFonts w:hint="eastAsia" w:ascii="宋体" w:hAnsi="宋体" w:cs="宋体"/>
          <w:color w:val="auto"/>
          <w:sz w:val="24"/>
          <w:szCs w:val="24"/>
          <w:highlight w:val="none"/>
          <w:lang w:val="en-US" w:eastAsia="zh-CN"/>
        </w:rPr>
        <w:t>对</w:t>
      </w:r>
      <w:r>
        <w:rPr>
          <w:rFonts w:hint="eastAsia" w:ascii="宋体" w:hAnsi="宋体" w:eastAsia="宋体" w:cs="宋体"/>
          <w:color w:val="auto"/>
          <w:sz w:val="24"/>
          <w:szCs w:val="24"/>
          <w:highlight w:val="none"/>
          <w:lang w:eastAsia="zh-CN"/>
        </w:rPr>
        <w:t>涉及</w:t>
      </w:r>
      <w:r>
        <w:rPr>
          <w:rFonts w:hint="eastAsia" w:ascii="宋体" w:hAnsi="宋体" w:eastAsia="宋体" w:cs="宋体"/>
          <w:color w:val="auto"/>
          <w:sz w:val="24"/>
          <w:szCs w:val="24"/>
          <w:highlight w:val="none"/>
        </w:rPr>
        <w:t>采购人的工作信息等秘密内容进行保密。双方应共同对采购过程中涉及的技术</w:t>
      </w:r>
      <w:r>
        <w:rPr>
          <w:rFonts w:hint="eastAsia" w:ascii="宋体" w:hAnsi="宋体" w:cs="宋体"/>
          <w:color w:val="auto"/>
          <w:sz w:val="24"/>
          <w:szCs w:val="24"/>
          <w:highlight w:val="none"/>
          <w:lang w:val="en-US" w:eastAsia="zh-CN"/>
        </w:rPr>
        <w:t>信息</w:t>
      </w:r>
      <w:r>
        <w:rPr>
          <w:rFonts w:hint="eastAsia" w:ascii="宋体" w:hAnsi="宋体" w:eastAsia="宋体" w:cs="宋体"/>
          <w:color w:val="auto"/>
          <w:sz w:val="24"/>
          <w:szCs w:val="24"/>
          <w:highlight w:val="none"/>
        </w:rPr>
        <w:t>和资料进行保密。</w:t>
      </w:r>
      <w:bookmarkEnd w:id="230"/>
      <w:bookmarkEnd w:id="231"/>
    </w:p>
    <w:p w14:paraId="2C2349C9">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5.投标人应严格按照《中华人民共和国政府采购法》《中华人民共和国政府采购法实施条例》《政府采购货物和服务招标投标管理办法》（财政部令第87号）等有关</w:t>
      </w:r>
      <w:r>
        <w:rPr>
          <w:rFonts w:hint="eastAsia" w:ascii="宋体" w:hAnsi="宋体" w:eastAsia="宋体" w:cs="宋体"/>
          <w:color w:val="auto"/>
          <w:sz w:val="24"/>
          <w:szCs w:val="24"/>
          <w:highlight w:val="none"/>
          <w:lang w:eastAsia="zh-CN"/>
        </w:rPr>
        <w:t>法律法规</w:t>
      </w:r>
      <w:r>
        <w:rPr>
          <w:rFonts w:hint="eastAsia" w:ascii="宋体" w:hAnsi="宋体" w:eastAsia="宋体" w:cs="宋体"/>
          <w:color w:val="auto"/>
          <w:sz w:val="24"/>
          <w:szCs w:val="24"/>
          <w:highlight w:val="none"/>
        </w:rPr>
        <w:t>的规定进行投标，合同签订后采购人将按照中标人投标文件中所投货物或者服务进行验收，一旦发现虚假应标行为，取消该中标人的中标资格，并保留追究其法律责任的权利。</w:t>
      </w:r>
    </w:p>
    <w:p w14:paraId="44495CA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Cs w:val="21"/>
          <w:highlight w:val="none"/>
        </w:rPr>
      </w:pPr>
      <w:r>
        <w:rPr>
          <w:rFonts w:hint="eastAsia" w:ascii="宋体" w:hAnsi="宋体" w:eastAsia="宋体" w:cs="宋体"/>
          <w:color w:val="auto"/>
          <w:sz w:val="24"/>
          <w:szCs w:val="24"/>
          <w:highlight w:val="none"/>
        </w:rPr>
        <w:t>6.本文件的解释权属于采购人、采购代理机构。</w:t>
      </w:r>
    </w:p>
    <w:p w14:paraId="0CDD2978">
      <w:pPr>
        <w:rPr>
          <w:rFonts w:hint="eastAsia" w:ascii="宋体" w:hAnsi="宋体" w:eastAsia="宋体" w:cs="宋体"/>
          <w:color w:val="auto"/>
          <w:highlight w:val="none"/>
        </w:rPr>
        <w:sectPr>
          <w:headerReference r:id="rId11" w:type="default"/>
          <w:footerReference r:id="rId12" w:type="default"/>
          <w:pgSz w:w="11906" w:h="16838"/>
          <w:pgMar w:top="1418" w:right="1134" w:bottom="1134" w:left="1418" w:header="935" w:footer="720" w:gutter="0"/>
          <w:pgBorders>
            <w:top w:val="none" w:sz="0" w:space="0"/>
            <w:left w:val="none" w:sz="0" w:space="0"/>
            <w:bottom w:val="none" w:sz="0" w:space="0"/>
            <w:right w:val="none" w:sz="0" w:space="0"/>
          </w:pgBorders>
          <w:cols w:space="720" w:num="1"/>
          <w:docGrid w:type="linesAndChars" w:linePitch="331" w:charSpace="0"/>
        </w:sectPr>
      </w:pPr>
    </w:p>
    <w:p w14:paraId="7983F774">
      <w:pPr>
        <w:rPr>
          <w:rFonts w:hint="eastAsia"/>
          <w:highlight w:val="none"/>
        </w:rPr>
      </w:pPr>
    </w:p>
    <w:p w14:paraId="1F173872">
      <w:pPr>
        <w:pStyle w:val="3"/>
        <w:numPr>
          <w:ilvl w:val="0"/>
          <w:numId w:val="0"/>
        </w:numPr>
        <w:spacing w:before="0"/>
        <w:ind w:left="893" w:hanging="691" w:hangingChars="247"/>
        <w:jc w:val="center"/>
        <w:rPr>
          <w:rFonts w:hint="eastAsia" w:ascii="宋体" w:hAnsi="宋体" w:eastAsia="宋体" w:cs="宋体"/>
          <w:color w:val="auto"/>
          <w:sz w:val="28"/>
          <w:szCs w:val="28"/>
          <w:highlight w:val="none"/>
        </w:rPr>
      </w:pPr>
      <w:bookmarkStart w:id="232" w:name="_Toc5080"/>
      <w:r>
        <w:rPr>
          <w:rFonts w:hint="eastAsia" w:ascii="宋体" w:hAnsi="宋体" w:eastAsia="宋体" w:cs="宋体"/>
          <w:color w:val="auto"/>
          <w:sz w:val="28"/>
          <w:szCs w:val="28"/>
          <w:highlight w:val="none"/>
        </w:rPr>
        <w:t>第一部分、采购内容一览表</w:t>
      </w:r>
      <w:bookmarkEnd w:id="232"/>
    </w:p>
    <w:p w14:paraId="46F6B0D4">
      <w:pPr>
        <w:pStyle w:val="4"/>
        <w:keepNext w:val="0"/>
        <w:keepLines w:val="0"/>
        <w:pageBreakBefore w:val="0"/>
        <w:widowControl w:val="0"/>
        <w:numPr>
          <w:ilvl w:val="0"/>
          <w:numId w:val="0"/>
        </w:numPr>
        <w:tabs>
          <w:tab w:val="clear" w:pos="420"/>
        </w:tabs>
        <w:kinsoku/>
        <w:wordWrap/>
        <w:overflowPunct/>
        <w:topLinePunct w:val="0"/>
        <w:autoSpaceDE/>
        <w:autoSpaceDN/>
        <w:bidi w:val="0"/>
        <w:snapToGrid/>
        <w:spacing w:line="360" w:lineRule="auto"/>
        <w:ind w:firstLine="480" w:firstLineChars="200"/>
        <w:rPr>
          <w:rFonts w:hint="eastAsia" w:ascii="宋体" w:hAnsi="宋体" w:eastAsia="宋体" w:cs="宋体"/>
          <w:color w:val="auto"/>
          <w:sz w:val="24"/>
          <w:szCs w:val="24"/>
          <w:highlight w:val="none"/>
          <w:lang w:val="en-US" w:eastAsia="zh-CN"/>
        </w:rPr>
      </w:pPr>
      <w:bookmarkStart w:id="233" w:name="_Toc32446"/>
      <w:bookmarkStart w:id="234" w:name="_Toc27540"/>
      <w:r>
        <w:rPr>
          <w:rFonts w:hint="eastAsia" w:ascii="宋体" w:hAnsi="宋体" w:eastAsia="宋体" w:cs="宋体"/>
          <w:color w:val="auto"/>
          <w:sz w:val="24"/>
          <w:szCs w:val="24"/>
          <w:highlight w:val="none"/>
          <w:lang w:val="en-US" w:eastAsia="zh-CN"/>
        </w:rPr>
        <w:t>预算金额：20.82万元。</w:t>
      </w:r>
      <w:bookmarkEnd w:id="233"/>
      <w:bookmarkEnd w:id="234"/>
    </w:p>
    <w:p w14:paraId="27FB4BAC">
      <w:pPr>
        <w:pStyle w:val="4"/>
        <w:keepNext w:val="0"/>
        <w:keepLines w:val="0"/>
        <w:pageBreakBefore w:val="0"/>
        <w:widowControl w:val="0"/>
        <w:numPr>
          <w:ilvl w:val="0"/>
          <w:numId w:val="0"/>
        </w:numPr>
        <w:tabs>
          <w:tab w:val="clear" w:pos="420"/>
        </w:tabs>
        <w:kinsoku/>
        <w:wordWrap/>
        <w:overflowPunct/>
        <w:topLinePunct w:val="0"/>
        <w:autoSpaceDE/>
        <w:autoSpaceDN/>
        <w:bidi w:val="0"/>
        <w:snapToGrid/>
        <w:spacing w:line="360" w:lineRule="auto"/>
        <w:ind w:firstLine="480" w:firstLineChars="200"/>
        <w:rPr>
          <w:rFonts w:hint="eastAsia" w:ascii="宋体" w:hAnsi="宋体" w:eastAsia="宋体" w:cs="宋体"/>
          <w:color w:val="auto"/>
          <w:sz w:val="24"/>
          <w:szCs w:val="24"/>
          <w:highlight w:val="none"/>
          <w:lang w:val="en-US" w:eastAsia="zh-CN"/>
        </w:rPr>
      </w:pPr>
      <w:bookmarkStart w:id="235" w:name="_Toc4117"/>
      <w:bookmarkStart w:id="236" w:name="_Toc11387"/>
      <w:r>
        <w:rPr>
          <w:rFonts w:hint="eastAsia" w:ascii="宋体" w:hAnsi="宋体" w:eastAsia="宋体" w:cs="宋体"/>
          <w:color w:val="auto"/>
          <w:sz w:val="24"/>
          <w:szCs w:val="24"/>
          <w:highlight w:val="none"/>
          <w:lang w:val="en-US" w:eastAsia="zh-CN"/>
        </w:rPr>
        <w:t>本项目核心产品：剖面样品科普展示柜</w:t>
      </w:r>
      <w:bookmarkEnd w:id="235"/>
      <w:bookmarkEnd w:id="236"/>
    </w:p>
    <w:p w14:paraId="50702CFC">
      <w:pPr>
        <w:pStyle w:val="4"/>
        <w:keepNext w:val="0"/>
        <w:keepLines w:val="0"/>
        <w:pageBreakBefore w:val="0"/>
        <w:widowControl w:val="0"/>
        <w:numPr>
          <w:ilvl w:val="0"/>
          <w:numId w:val="0"/>
        </w:numPr>
        <w:tabs>
          <w:tab w:val="clear" w:pos="420"/>
        </w:tabs>
        <w:kinsoku/>
        <w:wordWrap/>
        <w:overflowPunct/>
        <w:topLinePunct w:val="0"/>
        <w:autoSpaceDE/>
        <w:autoSpaceDN/>
        <w:bidi w:val="0"/>
        <w:snapToGrid/>
        <w:spacing w:line="360" w:lineRule="auto"/>
        <w:ind w:firstLine="480" w:firstLineChars="200"/>
        <w:rPr>
          <w:rFonts w:hint="eastAsia" w:ascii="宋体" w:hAnsi="宋体" w:eastAsia="宋体" w:cs="宋体"/>
          <w:color w:val="auto"/>
          <w:sz w:val="24"/>
          <w:szCs w:val="24"/>
          <w:highlight w:val="none"/>
          <w:lang w:val="en-US" w:eastAsia="zh-CN"/>
        </w:rPr>
      </w:pPr>
      <w:bookmarkStart w:id="237" w:name="_Toc27127"/>
      <w:bookmarkStart w:id="238" w:name="_Toc25889"/>
      <w:r>
        <w:rPr>
          <w:rFonts w:hint="eastAsia" w:ascii="宋体" w:hAnsi="宋体" w:eastAsia="宋体" w:cs="宋体"/>
          <w:color w:val="auto"/>
          <w:sz w:val="24"/>
          <w:szCs w:val="24"/>
          <w:highlight w:val="none"/>
          <w:lang w:val="en-US" w:eastAsia="zh-CN"/>
        </w:rPr>
        <w:t>本项目共有 10 个标注“</w:t>
      </w:r>
      <w:r>
        <w:rPr>
          <w:rFonts w:hint="default"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”的重要参数。</w:t>
      </w:r>
      <w:bookmarkEnd w:id="237"/>
      <w:bookmarkEnd w:id="238"/>
    </w:p>
    <w:p w14:paraId="79256A55">
      <w:pPr>
        <w:rPr>
          <w:rFonts w:hint="eastAsia"/>
          <w:lang w:val="en-US" w:eastAsia="zh-CN"/>
        </w:rPr>
      </w:pPr>
    </w:p>
    <w:p w14:paraId="1511B542">
      <w:pPr>
        <w:bidi w:val="0"/>
        <w:ind w:firstLine="3740" w:firstLineChars="1700"/>
        <w:rPr>
          <w:rFonts w:hint="default"/>
          <w:highlight w:val="none"/>
          <w:lang w:val="en-US" w:eastAsia="zh-CN"/>
        </w:rPr>
      </w:pPr>
      <w:r>
        <w:rPr>
          <w:rFonts w:hint="eastAsia" w:ascii="宋体" w:hAnsi="宋体" w:eastAsia="宋体" w:cs="宋体"/>
          <w:b w:val="0"/>
          <w:bCs w:val="0"/>
          <w:i w:val="0"/>
          <w:iCs w:val="0"/>
          <w:color w:val="auto"/>
          <w:kern w:val="0"/>
          <w:sz w:val="22"/>
          <w:szCs w:val="22"/>
          <w:highlight w:val="none"/>
          <w:u w:val="none"/>
          <w:lang w:val="en-US" w:eastAsia="zh-CN" w:bidi="ar"/>
        </w:rPr>
        <w:t>采购内容一览表</w:t>
      </w:r>
    </w:p>
    <w:tbl>
      <w:tblPr>
        <w:tblStyle w:val="33"/>
        <w:tblW w:w="8808"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36"/>
        <w:gridCol w:w="2160"/>
        <w:gridCol w:w="515"/>
        <w:gridCol w:w="900"/>
        <w:gridCol w:w="758"/>
        <w:gridCol w:w="1056"/>
        <w:gridCol w:w="1430"/>
        <w:gridCol w:w="1453"/>
      </w:tblGrid>
      <w:tr w14:paraId="7BB324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 w:hRule="atLeast"/>
        </w:trPr>
        <w:tc>
          <w:tcPr>
            <w:tcW w:w="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4686D">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序号</w:t>
            </w:r>
          </w:p>
        </w:tc>
        <w:tc>
          <w:tcPr>
            <w:tcW w:w="21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7847F">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产品（项目）名称</w:t>
            </w:r>
          </w:p>
        </w:tc>
        <w:tc>
          <w:tcPr>
            <w:tcW w:w="5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03AE7">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是否进口</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A3622">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数量</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7BAA5">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计量</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单位</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51247">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最高限</w:t>
            </w:r>
          </w:p>
          <w:p w14:paraId="4D5AB9C2">
            <w:pPr>
              <w:keepNext w:val="0"/>
              <w:keepLines w:val="0"/>
              <w:widowControl/>
              <w:suppressLineNumbers w:val="0"/>
              <w:spacing w:line="360" w:lineRule="auto"/>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单价</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（元）</w:t>
            </w:r>
          </w:p>
        </w:tc>
        <w:tc>
          <w:tcPr>
            <w:tcW w:w="1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4E32C">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总金额</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（元）</w:t>
            </w:r>
          </w:p>
        </w:tc>
        <w:tc>
          <w:tcPr>
            <w:tcW w:w="14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0B8B3">
            <w:pPr>
              <w:keepNext w:val="0"/>
              <w:keepLines w:val="0"/>
              <w:widowControl/>
              <w:suppressLineNumbers w:val="0"/>
              <w:spacing w:line="360" w:lineRule="auto"/>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交货地点/备注</w:t>
            </w:r>
          </w:p>
        </w:tc>
      </w:tr>
      <w:tr w14:paraId="6EC347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3EED0">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1</w:t>
            </w:r>
          </w:p>
        </w:tc>
        <w:tc>
          <w:tcPr>
            <w:tcW w:w="2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9F293">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剖面样品储存架（木盒）</w:t>
            </w:r>
          </w:p>
        </w:tc>
        <w:tc>
          <w:tcPr>
            <w:tcW w:w="5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0F84D">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否</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EDF40">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1</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FCE6F">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批</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22DB0">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61100.00</w:t>
            </w:r>
          </w:p>
        </w:tc>
        <w:tc>
          <w:tcPr>
            <w:tcW w:w="1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28276">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61100.00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A5CF2">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昆明</w:t>
            </w:r>
          </w:p>
        </w:tc>
      </w:tr>
      <w:tr w14:paraId="555AE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E1FBB">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2</w:t>
            </w:r>
          </w:p>
        </w:tc>
        <w:tc>
          <w:tcPr>
            <w:tcW w:w="2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35FDB">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剖面样品储存架（纸盒）</w:t>
            </w:r>
          </w:p>
        </w:tc>
        <w:tc>
          <w:tcPr>
            <w:tcW w:w="5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B53DD">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否</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BA109">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1</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0474C">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批</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9728C">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44000.00</w:t>
            </w:r>
          </w:p>
        </w:tc>
        <w:tc>
          <w:tcPr>
            <w:tcW w:w="1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32EFF">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44000.00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1E7AD">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昆明</w:t>
            </w:r>
          </w:p>
        </w:tc>
      </w:tr>
      <w:tr w14:paraId="4A5F65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2" w:hRule="atLeast"/>
        </w:trPr>
        <w:tc>
          <w:tcPr>
            <w:tcW w:w="0" w:type="auto"/>
            <w:tcBorders>
              <w:top w:val="nil"/>
              <w:left w:val="single" w:color="000000" w:sz="4" w:space="0"/>
              <w:bottom w:val="single" w:color="000000" w:sz="4" w:space="0"/>
              <w:right w:val="single" w:color="000000" w:sz="4" w:space="0"/>
            </w:tcBorders>
            <w:shd w:val="clear" w:color="auto" w:fill="auto"/>
            <w:noWrap/>
            <w:vAlign w:val="center"/>
          </w:tcPr>
          <w:p w14:paraId="74C70A4E">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3</w:t>
            </w:r>
          </w:p>
        </w:tc>
        <w:tc>
          <w:tcPr>
            <w:tcW w:w="2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0C369">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剖面样品科普展示柜</w:t>
            </w:r>
          </w:p>
        </w:tc>
        <w:tc>
          <w:tcPr>
            <w:tcW w:w="5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2E8D1">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否</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A8125">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10</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0F45C">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个</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BF7C9">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8120.00</w:t>
            </w:r>
          </w:p>
        </w:tc>
        <w:tc>
          <w:tcPr>
            <w:tcW w:w="1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38910">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81200.00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473FF">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昆明</w:t>
            </w:r>
          </w:p>
        </w:tc>
      </w:tr>
      <w:tr w14:paraId="2F397F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F4AAE">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4</w:t>
            </w:r>
          </w:p>
        </w:tc>
        <w:tc>
          <w:tcPr>
            <w:tcW w:w="2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B710F">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工作台面（剖面制作）</w:t>
            </w:r>
          </w:p>
        </w:tc>
        <w:tc>
          <w:tcPr>
            <w:tcW w:w="5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176A5">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否</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3DCCB">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7</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54EE7">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台</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4797E">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2500.00</w:t>
            </w:r>
          </w:p>
        </w:tc>
        <w:tc>
          <w:tcPr>
            <w:tcW w:w="1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7B05A">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17500.00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1F9FB">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昆明</w:t>
            </w:r>
          </w:p>
        </w:tc>
      </w:tr>
      <w:tr w14:paraId="1BBCC4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2" w:hRule="atLeast"/>
        </w:trPr>
        <w:tc>
          <w:tcPr>
            <w:tcW w:w="0" w:type="auto"/>
            <w:tcBorders>
              <w:top w:val="nil"/>
              <w:left w:val="single" w:color="000000" w:sz="4" w:space="0"/>
              <w:bottom w:val="single" w:color="000000" w:sz="4" w:space="0"/>
              <w:right w:val="single" w:color="000000" w:sz="4" w:space="0"/>
            </w:tcBorders>
            <w:shd w:val="clear" w:color="auto" w:fill="auto"/>
            <w:noWrap/>
            <w:vAlign w:val="center"/>
          </w:tcPr>
          <w:p w14:paraId="6AE03025">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5</w:t>
            </w:r>
          </w:p>
        </w:tc>
        <w:tc>
          <w:tcPr>
            <w:tcW w:w="2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FCB00">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实验室工作台</w:t>
            </w:r>
          </w:p>
        </w:tc>
        <w:tc>
          <w:tcPr>
            <w:tcW w:w="5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3B894">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否</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D1B3A">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2</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46410">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套</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FB517">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2200.00</w:t>
            </w:r>
          </w:p>
        </w:tc>
        <w:tc>
          <w:tcPr>
            <w:tcW w:w="1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B0B32">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4400.00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2424E">
            <w:pPr>
              <w:keepNext w:val="0"/>
              <w:keepLines w:val="0"/>
              <w:widowControl/>
              <w:suppressLineNumbers w:val="0"/>
              <w:spacing w:line="360"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昆明</w:t>
            </w:r>
          </w:p>
        </w:tc>
      </w:tr>
    </w:tbl>
    <w:p w14:paraId="01AB6E1F">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br w:type="page"/>
      </w:r>
    </w:p>
    <w:p w14:paraId="4D696EF3">
      <w:pPr>
        <w:bidi w:val="0"/>
        <w:rPr>
          <w:rFonts w:hint="eastAsia"/>
          <w:highlight w:val="none"/>
          <w:lang w:val="en-US" w:eastAsia="zh-CN"/>
        </w:rPr>
      </w:pPr>
    </w:p>
    <w:p w14:paraId="0BF466D3">
      <w:pPr>
        <w:pStyle w:val="3"/>
        <w:numPr>
          <w:ilvl w:val="0"/>
          <w:numId w:val="6"/>
        </w:numPr>
        <w:spacing w:before="0"/>
        <w:ind w:left="893" w:hanging="691" w:hangingChars="247"/>
        <w:jc w:val="center"/>
        <w:rPr>
          <w:rFonts w:hint="eastAsia" w:ascii="宋体" w:hAnsi="宋体" w:eastAsia="宋体" w:cs="宋体"/>
          <w:color w:val="auto"/>
          <w:sz w:val="28"/>
          <w:szCs w:val="28"/>
          <w:highlight w:val="none"/>
        </w:rPr>
      </w:pPr>
      <w:bookmarkStart w:id="239" w:name="_Toc3392"/>
      <w:r>
        <w:rPr>
          <w:rFonts w:hint="eastAsia" w:ascii="宋体" w:hAnsi="宋体" w:eastAsia="宋体" w:cs="宋体"/>
          <w:color w:val="auto"/>
          <w:sz w:val="28"/>
          <w:szCs w:val="28"/>
          <w:highlight w:val="none"/>
        </w:rPr>
        <w:t>技术参数及要求</w:t>
      </w:r>
      <w:bookmarkEnd w:id="239"/>
    </w:p>
    <w:p w14:paraId="68383279">
      <w:pPr>
        <w:numPr>
          <w:ilvl w:val="0"/>
          <w:numId w:val="0"/>
        </w:numPr>
        <w:rPr>
          <w:rFonts w:hint="eastAsia"/>
        </w:rPr>
      </w:pPr>
    </w:p>
    <w:p w14:paraId="05E7A852">
      <w:pPr>
        <w:pStyle w:val="4"/>
        <w:keepNext w:val="0"/>
        <w:keepLines w:val="0"/>
        <w:pageBreakBefore w:val="0"/>
        <w:widowControl w:val="0"/>
        <w:numPr>
          <w:ilvl w:val="0"/>
          <w:numId w:val="0"/>
        </w:numPr>
        <w:tabs>
          <w:tab w:val="clear" w:pos="420"/>
        </w:tabs>
        <w:kinsoku/>
        <w:wordWrap/>
        <w:overflowPunct/>
        <w:topLinePunct w:val="0"/>
        <w:autoSpaceDE/>
        <w:autoSpaceDN/>
        <w:bidi w:val="0"/>
        <w:snapToGrid/>
        <w:spacing w:line="360" w:lineRule="auto"/>
        <w:ind w:firstLine="480" w:firstLineChars="200"/>
        <w:rPr>
          <w:rFonts w:hint="eastAsia" w:ascii="宋体" w:hAnsi="宋体" w:eastAsia="宋体" w:cs="宋体"/>
          <w:color w:val="auto"/>
          <w:sz w:val="24"/>
          <w:szCs w:val="24"/>
          <w:highlight w:val="none"/>
          <w:lang w:val="en-US" w:eastAsia="zh-CN"/>
        </w:rPr>
      </w:pPr>
      <w:bookmarkStart w:id="240" w:name="_Toc4682"/>
      <w:r>
        <w:rPr>
          <w:rFonts w:hint="eastAsia" w:ascii="宋体" w:hAnsi="宋体" w:eastAsia="宋体" w:cs="宋体"/>
          <w:color w:val="auto"/>
          <w:sz w:val="24"/>
          <w:szCs w:val="24"/>
          <w:highlight w:val="none"/>
          <w:lang w:val="en-US" w:eastAsia="zh-CN"/>
        </w:rPr>
        <w:t>一、剖面样品储存架（木盒）</w:t>
      </w:r>
      <w:bookmarkEnd w:id="240"/>
    </w:p>
    <w:p w14:paraId="43F01B2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default"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设计思路：土壤剖面样品木盒尺寸约为1000mm（长）×225mm（宽）×50mm（厚）。储存系统应满足高密度存储、取用便捷（单盒独立抽出）、便于观察样品分层及标签、具备防滑落防倾倒的安全锁止机构等要求。采用钢结构骨架加倾斜滑道设计，滑道倾角设计合理，每层滑道设独立锁止机构。</w:t>
      </w:r>
    </w:p>
    <w:p w14:paraId="419864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default"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总体结构布局：每个储存单元由立柱、横梁、倾斜滑道组件、背板支撑、锁止机构和底脚调节螺栓组成。储存单元尺寸根据木盒规格和场地条件进行设计。储存容量≥250个。</w:t>
      </w:r>
    </w:p>
    <w:p w14:paraId="085867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滑道系统设计：滑轨材质应采用耐腐蚀材料（如不锈钢），滑道内底面应设置耐磨衬垫以降低摩擦系数并保护木盒底面。滑道两侧应设导向结构，防止木盒侧向窜动。</w:t>
      </w:r>
    </w:p>
    <w:p w14:paraId="474FA5C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default"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4</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锁止机构设计：在滑道前端安装锁止装置，保证每个木盒在非抽取状态下不会因震动或自重滑出。锁止机构应具备足够的强度和耐久性。</w:t>
      </w:r>
    </w:p>
    <w:p w14:paraId="19FB53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default"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5</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钢结构支撑设计：立柱、横梁、斜撑等钢结构构件应选用符合国家标准的钢材，表面进行防锈处理。结构应进行受力分析，确保承载安全可靠。</w:t>
      </w:r>
    </w:p>
    <w:p w14:paraId="56818E3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6</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使用流程与维护：应提供详细的样品存取操作流程和维护要求。</w:t>
      </w:r>
    </w:p>
    <w:p w14:paraId="4E9A1D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p>
    <w:p w14:paraId="40F732AD">
      <w:pPr>
        <w:pStyle w:val="4"/>
        <w:keepNext w:val="0"/>
        <w:keepLines w:val="0"/>
        <w:pageBreakBefore w:val="0"/>
        <w:widowControl w:val="0"/>
        <w:numPr>
          <w:ilvl w:val="0"/>
          <w:numId w:val="0"/>
        </w:numPr>
        <w:tabs>
          <w:tab w:val="clear" w:pos="420"/>
        </w:tabs>
        <w:kinsoku/>
        <w:wordWrap/>
        <w:overflowPunct/>
        <w:topLinePunct w:val="0"/>
        <w:autoSpaceDE/>
        <w:autoSpaceDN/>
        <w:bidi w:val="0"/>
        <w:snapToGrid/>
        <w:spacing w:line="360" w:lineRule="auto"/>
        <w:ind w:firstLine="480" w:firstLineChars="200"/>
        <w:rPr>
          <w:rFonts w:hint="eastAsia" w:ascii="宋体" w:hAnsi="宋体" w:eastAsia="宋体" w:cs="宋体"/>
          <w:color w:val="auto"/>
          <w:sz w:val="24"/>
          <w:szCs w:val="24"/>
          <w:highlight w:val="none"/>
          <w:lang w:val="en-US" w:eastAsia="zh-CN"/>
        </w:rPr>
      </w:pPr>
      <w:bookmarkStart w:id="241" w:name="_Toc29033"/>
      <w:r>
        <w:rPr>
          <w:rFonts w:hint="eastAsia" w:ascii="宋体" w:hAnsi="宋体" w:eastAsia="宋体" w:cs="宋体"/>
          <w:color w:val="auto"/>
          <w:sz w:val="24"/>
          <w:szCs w:val="24"/>
          <w:highlight w:val="none"/>
          <w:lang w:val="en-US" w:eastAsia="zh-CN"/>
        </w:rPr>
        <w:t>二、剖面样品储存架（纸盒）</w:t>
      </w:r>
      <w:bookmarkEnd w:id="241"/>
    </w:p>
    <w:p w14:paraId="2CE27D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根据三普技术规范，纸盒标本在入库前已完成充分风干，盒体材质为硬质纸板，内部分格用于存放不同发生层次的土壤样块。典型纸盒尺寸规格如下：</w:t>
      </w:r>
    </w:p>
    <w:p w14:paraId="675C894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纸盒长度 310mm-330mm</w:t>
      </w:r>
    </w:p>
    <w:p w14:paraId="2EEF00D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纸盒宽度 85mm±2mm</w:t>
      </w:r>
    </w:p>
    <w:p w14:paraId="471333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纸盒高度 35mm±2mm</w:t>
      </w:r>
    </w:p>
    <w:p w14:paraId="78EC316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盒体材质 硬质纸板，表面防水处理</w:t>
      </w:r>
    </w:p>
    <w:p w14:paraId="4928B70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盒内结构 分格设计，每55mm一格，用于存放不同发生层样块</w:t>
      </w:r>
    </w:p>
    <w:p w14:paraId="0C43D5A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4</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纸盒重量 装满样品后约3</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6kg/盒</w:t>
      </w:r>
    </w:p>
    <w:p w14:paraId="4FC3669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5</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标签信息 盒盖或盒体正面粘贴标签，包含采样地点、土壤类型、发生层、深度范围等信息</w:t>
      </w:r>
    </w:p>
    <w:p w14:paraId="5D86915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6</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纸质标本对储存环境要求严格，储存区域应保持干燥、通风、无阳光直射、无污染，库房室温保持在30℃以下，相对湿度低于50%，并具备防霉变、防鼠害、防火灾等设施。</w:t>
      </w:r>
    </w:p>
    <w:p w14:paraId="784E33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default"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7</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纸盒标本储存柜应设置标准化储存空间，各标准空间内的纸盒不得叠放，避免长时间挤压；每个储存单元的纸盒数量分配应合理，兼顾重量要求与使用便捷性。每个储存单元应设有独立的扫描标识区，用于样品的归集与查找。</w:t>
      </w:r>
    </w:p>
    <w:p w14:paraId="270C82A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8</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投标人须提供技术方案，内容包括但不限于：结构图、零配件表，以及样品归集与查找方案。</w:t>
      </w:r>
    </w:p>
    <w:p w14:paraId="2C4350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9</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设计思路：采用开放式多层钢结构货架，纸盒标本平放于层板上，同一样品区域集中存放，便于批量管理和快速检索。依据普通密集柜的柜体参数设计，需确保能放下全省3000个土壤纸盒标本。</w:t>
      </w:r>
    </w:p>
    <w:p w14:paraId="40CE09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p>
    <w:p w14:paraId="1406F0BF">
      <w:pPr>
        <w:pStyle w:val="4"/>
        <w:keepNext w:val="0"/>
        <w:keepLines w:val="0"/>
        <w:pageBreakBefore w:val="0"/>
        <w:widowControl w:val="0"/>
        <w:numPr>
          <w:ilvl w:val="0"/>
          <w:numId w:val="0"/>
        </w:numPr>
        <w:tabs>
          <w:tab w:val="clear" w:pos="420"/>
        </w:tabs>
        <w:kinsoku/>
        <w:wordWrap/>
        <w:overflowPunct/>
        <w:topLinePunct w:val="0"/>
        <w:autoSpaceDE/>
        <w:autoSpaceDN/>
        <w:bidi w:val="0"/>
        <w:snapToGrid/>
        <w:spacing w:line="360" w:lineRule="auto"/>
        <w:ind w:firstLine="480" w:firstLineChars="200"/>
        <w:rPr>
          <w:rFonts w:hint="eastAsia" w:ascii="宋体" w:hAnsi="宋体" w:eastAsia="宋体" w:cs="宋体"/>
          <w:color w:val="auto"/>
          <w:sz w:val="24"/>
          <w:szCs w:val="24"/>
          <w:highlight w:val="none"/>
          <w:lang w:val="en-US" w:eastAsia="zh-CN"/>
        </w:rPr>
      </w:pPr>
      <w:bookmarkStart w:id="242" w:name="_Toc5643"/>
      <w:r>
        <w:rPr>
          <w:rFonts w:hint="eastAsia" w:ascii="宋体" w:hAnsi="宋体" w:eastAsia="宋体" w:cs="宋体"/>
          <w:color w:val="auto"/>
          <w:sz w:val="24"/>
          <w:szCs w:val="24"/>
          <w:highlight w:val="none"/>
          <w:lang w:val="en-US" w:eastAsia="zh-CN"/>
        </w:rPr>
        <w:t>三、剖面样品科普展示柜</w:t>
      </w:r>
      <w:bookmarkEnd w:id="242"/>
    </w:p>
    <w:p w14:paraId="1B4E941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 </w:t>
      </w:r>
      <w:r>
        <w:rPr>
          <w:rFonts w:hint="eastAsia" w:ascii="宋体" w:hAnsi="宋体" w:eastAsia="宋体" w:cs="宋体"/>
          <w:color w:val="auto"/>
          <w:sz w:val="24"/>
          <w:szCs w:val="24"/>
          <w:highlight w:val="none"/>
          <w:lang w:val="en-US" w:eastAsia="zh-CN"/>
        </w:rPr>
        <w:t>土壤剖面样品展示柜：用于存放和展示土壤剖面样品，可容纳不少于30个标准尺寸的木盒装土壤剖面样品。</w:t>
      </w:r>
    </w:p>
    <w:p w14:paraId="751182A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default"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auto"/>
          <w:sz w:val="24"/>
          <w:szCs w:val="24"/>
          <w:highlight w:val="none"/>
          <w:lang w:val="en-US" w:eastAsia="zh-CN"/>
        </w:rPr>
        <w:t>3.2 结构尺寸：单个木盒样品的外部参考尺寸为：长1000mm×宽225mm×高50mm（允许±5mm公差）。展示柜内部结构应能稳定放置上述尺寸的样品盒，盒体之间不叠压，保证取放便捷。</w:t>
      </w:r>
    </w:p>
    <w:p w14:paraId="5EA55E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default"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auto"/>
          <w:sz w:val="24"/>
          <w:szCs w:val="24"/>
          <w:highlight w:val="none"/>
          <w:lang w:val="en-US" w:eastAsia="zh-CN"/>
        </w:rPr>
        <w:t>3.3 材质要求：柜体材质应采用耐腐蚀、防潮、承重良好的环保材料（如金属型材、阻燃板材等），表面平整、易清洁。</w:t>
      </w:r>
    </w:p>
    <w:p w14:paraId="14F079B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p>
    <w:p w14:paraId="5CF6A923">
      <w:pPr>
        <w:pStyle w:val="4"/>
        <w:keepNext w:val="0"/>
        <w:keepLines w:val="0"/>
        <w:pageBreakBefore w:val="0"/>
        <w:widowControl w:val="0"/>
        <w:numPr>
          <w:ilvl w:val="0"/>
          <w:numId w:val="0"/>
        </w:numPr>
        <w:tabs>
          <w:tab w:val="clear" w:pos="420"/>
        </w:tabs>
        <w:kinsoku/>
        <w:wordWrap/>
        <w:overflowPunct/>
        <w:topLinePunct w:val="0"/>
        <w:autoSpaceDE/>
        <w:autoSpaceDN/>
        <w:bidi w:val="0"/>
        <w:snapToGrid/>
        <w:spacing w:line="360" w:lineRule="auto"/>
        <w:ind w:firstLine="480" w:firstLineChars="200"/>
        <w:rPr>
          <w:rFonts w:hint="eastAsia" w:ascii="宋体" w:hAnsi="宋体" w:eastAsia="宋体" w:cs="宋体"/>
          <w:color w:val="auto"/>
          <w:sz w:val="24"/>
          <w:szCs w:val="24"/>
          <w:highlight w:val="none"/>
          <w:lang w:val="en-US" w:eastAsia="zh-CN"/>
        </w:rPr>
      </w:pPr>
      <w:bookmarkStart w:id="243" w:name="_Toc31771"/>
      <w:r>
        <w:rPr>
          <w:rFonts w:hint="eastAsia" w:ascii="宋体" w:hAnsi="宋体" w:eastAsia="宋体" w:cs="宋体"/>
          <w:color w:val="auto"/>
          <w:sz w:val="24"/>
          <w:szCs w:val="24"/>
          <w:highlight w:val="none"/>
          <w:lang w:val="en-US" w:eastAsia="zh-CN"/>
        </w:rPr>
        <w:t>四、工作台面（剖面制作）</w:t>
      </w:r>
      <w:bookmarkEnd w:id="243"/>
    </w:p>
    <w:p w14:paraId="7127BE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 工作台面（剖面制作）：用于土壤整段标本的整饰、修复及制作，满足打孔、灌胶、翻板等关键工序操作，具备足够的承重与耐腐蚀性能。</w:t>
      </w:r>
    </w:p>
    <w:p w14:paraId="171DF8D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 结构尺寸：台面≥3000mm×1200mm，高度750-850mm可调，台面下方净空≥650mm，底部配水平调节脚（调节范围≥30mm）。</w:t>
      </w:r>
    </w:p>
    <w:p w14:paraId="6B5B7A2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default"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4.3 </w:t>
      </w:r>
      <w:r>
        <w:rPr>
          <w:rFonts w:hint="eastAsia" w:ascii="宋体" w:hAnsi="宋体" w:eastAsia="宋体" w:cs="宋体"/>
          <w:color w:val="auto"/>
          <w:sz w:val="24"/>
          <w:szCs w:val="24"/>
          <w:highlight w:val="none"/>
          <w:lang w:val="en-US" w:eastAsia="zh-CN"/>
        </w:rPr>
        <w:t>材质要求：台面采用≥12mm理化板（耐强酸碱、耐温≥140℃、耐冲击），框架为≥40×60×1.5mm冷轧方钢管，柜体及抽屉为≥1.0mm冷轧钢板，抽屉承重≥30kg。</w:t>
      </w:r>
    </w:p>
    <w:p w14:paraId="0E17C9B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4.4 功能配置：配备≥2组防水电源插座、可移动工具架/挂板、可锁止万向脚轮、抽屉式工具存储单元。</w:t>
      </w:r>
    </w:p>
    <w:p w14:paraId="300EA8D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p>
    <w:p w14:paraId="2CC3F9E5">
      <w:pPr>
        <w:pStyle w:val="4"/>
        <w:keepNext w:val="0"/>
        <w:keepLines w:val="0"/>
        <w:pageBreakBefore w:val="0"/>
        <w:widowControl w:val="0"/>
        <w:numPr>
          <w:ilvl w:val="0"/>
          <w:numId w:val="0"/>
        </w:numPr>
        <w:tabs>
          <w:tab w:val="clear" w:pos="420"/>
        </w:tabs>
        <w:kinsoku/>
        <w:wordWrap/>
        <w:overflowPunct/>
        <w:topLinePunct w:val="0"/>
        <w:autoSpaceDE/>
        <w:autoSpaceDN/>
        <w:bidi w:val="0"/>
        <w:snapToGrid/>
        <w:spacing w:line="360" w:lineRule="auto"/>
        <w:ind w:firstLine="480" w:firstLineChars="200"/>
        <w:rPr>
          <w:rFonts w:hint="eastAsia" w:ascii="宋体" w:hAnsi="宋体" w:eastAsia="宋体" w:cs="宋体"/>
          <w:color w:val="auto"/>
          <w:sz w:val="24"/>
          <w:szCs w:val="24"/>
          <w:highlight w:val="none"/>
          <w:lang w:val="en-US" w:eastAsia="zh-CN"/>
        </w:rPr>
      </w:pPr>
      <w:bookmarkStart w:id="244" w:name="_Toc16437"/>
      <w:r>
        <w:rPr>
          <w:rFonts w:hint="eastAsia" w:ascii="宋体" w:hAnsi="宋体" w:eastAsia="宋体" w:cs="宋体"/>
          <w:color w:val="auto"/>
          <w:sz w:val="24"/>
          <w:szCs w:val="24"/>
          <w:highlight w:val="none"/>
          <w:lang w:val="en-US" w:eastAsia="zh-CN"/>
        </w:rPr>
        <w:t>五、实验室工作台</w:t>
      </w:r>
      <w:bookmarkEnd w:id="244"/>
    </w:p>
    <w:p w14:paraId="3F8F37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 实验室工作台：适用于土壤样品制备、称量、分装及检测前处理等日常实验操作，满足风干室与制样室分区管理要求，设计上应有效防止样品交叉污染。</w:t>
      </w:r>
    </w:p>
    <w:p w14:paraId="4182BD8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 结构尺寸：中央台宽度1500±50mm，边台宽度750±50mm，仪器台宽度900±50mm，高度均为800-850mm，长度根据场地定制。</w:t>
      </w:r>
    </w:p>
    <w:p w14:paraId="7E452B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default"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5.3 </w:t>
      </w:r>
      <w:r>
        <w:rPr>
          <w:rFonts w:hint="eastAsia" w:ascii="宋体" w:hAnsi="宋体" w:eastAsia="宋体" w:cs="宋体"/>
          <w:color w:val="auto"/>
          <w:sz w:val="24"/>
          <w:szCs w:val="24"/>
          <w:highlight w:val="none"/>
          <w:lang w:val="en-US" w:eastAsia="zh-CN"/>
        </w:rPr>
        <w:t>材质要求：台面采用≥12mm厚耐酸碱、耐高温（≥140℃）的理化板；框架为≥40×60×1.5mm冷轧方钢管全钢C型或回型结构；柜体采用≥1.0mm冷轧钢板（环保E1级），柜门抽屉为双层结构；铰链为实验室专用，抽屉承重≥45kg，拉手为铝合金或不锈钢。</w:t>
      </w:r>
    </w:p>
    <w:p w14:paraId="6471D45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5.4 功能配置：中央台及边台配备多功能插座盒（含电源及网络接口）；水槽台</w:t>
      </w:r>
      <w:r>
        <w:rPr>
          <w:rFonts w:hint="eastAsia" w:ascii="宋体" w:hAnsi="宋体" w:cs="宋体"/>
          <w:color w:val="auto"/>
          <w:sz w:val="24"/>
          <w:szCs w:val="24"/>
          <w:highlight w:val="none"/>
          <w:lang w:val="en-US" w:eastAsia="zh-CN"/>
        </w:rPr>
        <w:t>配备</w:t>
      </w:r>
      <w:r>
        <w:rPr>
          <w:rFonts w:hint="eastAsia" w:ascii="宋体" w:hAnsi="宋体" w:eastAsia="宋体" w:cs="宋体"/>
          <w:color w:val="auto"/>
          <w:sz w:val="24"/>
          <w:szCs w:val="24"/>
          <w:highlight w:val="none"/>
          <w:lang w:val="en-US" w:eastAsia="zh-CN"/>
        </w:rPr>
        <w:t>耐腐蚀水槽（深度≥300mm，防溢水）及三联水龙头；柜内可调节层板承重≥50kg/层；仪器台承重≥300kg/m²。</w:t>
      </w:r>
    </w:p>
    <w:p w14:paraId="660BE97C">
      <w:pPr>
        <w:rPr>
          <w:rFonts w:hint="eastAsia"/>
          <w:color w:val="auto"/>
          <w:highlight w:val="none"/>
        </w:rPr>
      </w:pPr>
      <w:r>
        <w:rPr>
          <w:rFonts w:hint="eastAsia"/>
          <w:color w:val="auto"/>
          <w:highlight w:val="none"/>
        </w:rPr>
        <w:br w:type="page"/>
      </w:r>
    </w:p>
    <w:p w14:paraId="7D9AE6F2">
      <w:pPr>
        <w:bidi w:val="0"/>
        <w:rPr>
          <w:rFonts w:hint="eastAsia"/>
          <w:highlight w:val="none"/>
          <w:lang w:val="en-US" w:eastAsia="zh-CN"/>
        </w:rPr>
      </w:pPr>
    </w:p>
    <w:p w14:paraId="2FC09608">
      <w:pPr>
        <w:pStyle w:val="3"/>
        <w:numPr>
          <w:ilvl w:val="0"/>
          <w:numId w:val="0"/>
        </w:numPr>
        <w:spacing w:before="0"/>
        <w:ind w:left="893" w:hanging="691" w:hangingChars="247"/>
        <w:jc w:val="center"/>
        <w:rPr>
          <w:rFonts w:hint="default" w:ascii="宋体" w:hAnsi="宋体" w:eastAsia="宋体" w:cs="宋体"/>
          <w:color w:val="auto"/>
          <w:sz w:val="28"/>
          <w:szCs w:val="28"/>
          <w:highlight w:val="none"/>
          <w:lang w:val="en-US" w:eastAsia="zh-CN"/>
        </w:rPr>
      </w:pPr>
      <w:bookmarkStart w:id="245" w:name="_Toc31348"/>
      <w:r>
        <w:rPr>
          <w:rFonts w:hint="eastAsia" w:ascii="宋体" w:hAnsi="宋体" w:eastAsia="宋体" w:cs="宋体"/>
          <w:color w:val="auto"/>
          <w:sz w:val="28"/>
          <w:szCs w:val="28"/>
          <w:highlight w:val="none"/>
        </w:rPr>
        <w:t>第</w:t>
      </w:r>
      <w:r>
        <w:rPr>
          <w:rFonts w:hint="eastAsia" w:ascii="宋体" w:hAnsi="宋体" w:eastAsia="宋体" w:cs="宋体"/>
          <w:color w:val="auto"/>
          <w:sz w:val="28"/>
          <w:szCs w:val="28"/>
          <w:highlight w:val="none"/>
          <w:lang w:val="en-US" w:eastAsia="zh-CN"/>
        </w:rPr>
        <w:t>三</w:t>
      </w:r>
      <w:r>
        <w:rPr>
          <w:rFonts w:hint="eastAsia" w:ascii="宋体" w:hAnsi="宋体" w:eastAsia="宋体" w:cs="宋体"/>
          <w:color w:val="auto"/>
          <w:sz w:val="28"/>
          <w:szCs w:val="28"/>
          <w:highlight w:val="none"/>
        </w:rPr>
        <w:t>部分、</w:t>
      </w:r>
      <w:r>
        <w:rPr>
          <w:rFonts w:hint="eastAsia" w:ascii="宋体" w:hAnsi="宋体" w:eastAsia="宋体" w:cs="宋体"/>
          <w:color w:val="auto"/>
          <w:sz w:val="28"/>
          <w:szCs w:val="28"/>
          <w:highlight w:val="none"/>
          <w:lang w:val="en-US" w:eastAsia="zh-CN"/>
        </w:rPr>
        <w:t>售后服务及其他要求</w:t>
      </w:r>
      <w:bookmarkEnd w:id="245"/>
    </w:p>
    <w:p w14:paraId="23C08A9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p>
    <w:p w14:paraId="56DCF7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一、总体服务要求</w:t>
      </w:r>
    </w:p>
    <w:p w14:paraId="25FC2E6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供应商须为原厂授权正规供应商，所供设备、材料均为全新原厂正品，严禁翻新、贴牌、二手产品，全部符合国家及行业标准与本招标文件技术参数要求。</w:t>
      </w:r>
    </w:p>
    <w:p w14:paraId="3014FEB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供应商负责设计、生产、运输、装卸、安装、调试、培训、验收、售后全流程服务，项目不得转包、违法分包。</w:t>
      </w:r>
    </w:p>
    <w:p w14:paraId="53DCA9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所有设备、结构件须提供合法合规证明文件，无知识产权纠纷，符合土壤普查样品库安全、环保、消防要求。</w:t>
      </w:r>
    </w:p>
    <w:p w14:paraId="61ADCF1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供应商须提供7×24 小时技术支持，设立专属项目负责人，全程对接实施与售后。</w:t>
      </w:r>
    </w:p>
    <w:p w14:paraId="3562EE0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二、交货、安装与调试</w:t>
      </w:r>
    </w:p>
    <w:p w14:paraId="7D8C0CE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交货期：合同签订之日起60日历天内完成交货及安装调试。</w:t>
      </w:r>
    </w:p>
    <w:p w14:paraId="2921842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运输、装卸、保险及相关费用由供应商承担，途中损坏、丢失由供应商免费更换。</w:t>
      </w:r>
    </w:p>
    <w:p w14:paraId="69490D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供应商免费上门安装、调试、现场组装，含人工、辅材、工具、耗材，确保安装牢固、使用安全、运行顺畅。</w:t>
      </w:r>
    </w:p>
    <w:p w14:paraId="6ED48B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施工遵守现场安全管理规定，做好成品保护，完工后清理垃圾、恢复场地原貌。</w:t>
      </w:r>
    </w:p>
    <w:p w14:paraId="6E4424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安装完成后7 个工作日内完成调试，出具调试报告，确保结构稳固、存取顺畅、锁止可靠。</w:t>
      </w:r>
    </w:p>
    <w:p w14:paraId="6D457A5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三、验收要求</w:t>
      </w:r>
    </w:p>
    <w:p w14:paraId="461F94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分阶段验收：到货查验→安装核验→结构调试→功能验收→最终验收，各阶段须采购人签字确认。</w:t>
      </w:r>
    </w:p>
    <w:p w14:paraId="4EBA85C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验收以本招标文件第二部分技术参数及要求为唯一标准，逐项核对，不达标须无条件整改、更换或重新供货。</w:t>
      </w:r>
    </w:p>
    <w:p w14:paraId="575307A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验收资料：产品合格证、检测报告、原厂质保函、结构图、零配件清单、安装图纸、操作维护手册等纸质 + 电子版。</w:t>
      </w:r>
    </w:p>
    <w:p w14:paraId="18BEBB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最终验收：设备结构稳固、存取顺畅、锁止可靠、尺寸匹配，连续正常使用无故障，双方签署验收合格证书。</w:t>
      </w:r>
    </w:p>
    <w:p w14:paraId="730E43F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四、培训服务</w:t>
      </w:r>
    </w:p>
    <w:p w14:paraId="4B59AF8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验收前提供不少于 2 名操作人员、1 名管理人员免费现场培训，内容包括样品存取、锁止操作、日常检查、维护保养、安全规范。</w:t>
      </w:r>
    </w:p>
    <w:p w14:paraId="0D3BF36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针对储存架、展示柜、工作台等提供专项实操培训，确保受训人员独立安全操作。</w:t>
      </w:r>
    </w:p>
    <w:p w14:paraId="5B5F3B2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提供纸质 + 电子培训手册、维护指南、常见问题处理说明。</w:t>
      </w:r>
    </w:p>
    <w:p w14:paraId="3E482FA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质保期内提供免费复训，满足人员更替需求。</w:t>
      </w:r>
    </w:p>
    <w:p w14:paraId="63C421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五、质保期服务</w:t>
      </w:r>
    </w:p>
    <w:p w14:paraId="46246A6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质保期限：所有储存架、展示柜、工作台整机质保≥3 年，结构件、锁止机构、滑轨等核心部件质保≥5 年。</w:t>
      </w:r>
    </w:p>
    <w:p w14:paraId="44EA06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质保期内非人为故障，免费维修、免费更换原厂配件，不收取任何费用。</w:t>
      </w:r>
    </w:p>
    <w:p w14:paraId="6E6944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每12 个月上门免费巡检保养，紧固连接件、检查滑轨与锁止机构，出具巡检报告。</w:t>
      </w:r>
    </w:p>
    <w:p w14:paraId="795E108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故障响应：30 分钟内响应，2 小时内远程指导，4 小时内到达现场，24 小时内解决问题。</w:t>
      </w:r>
    </w:p>
    <w:p w14:paraId="3520A4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六、质保期后服务</w:t>
      </w:r>
    </w:p>
    <w:p w14:paraId="3388B0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提供终身技术支持与维修服务，仅收取配件成本费，免收人工费、上门费。</w:t>
      </w:r>
    </w:p>
    <w:p w14:paraId="7A2F95C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承诺10 年内稳定供应原厂配件，配件价格备案，不随意涨价。</w:t>
      </w:r>
    </w:p>
    <w:p w14:paraId="02E11A6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提供年度维保方案，含结构检查、紧固、润滑、调整等服务。</w:t>
      </w:r>
    </w:p>
    <w:p w14:paraId="0A9F6B4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七、技术资料与备品备件</w:t>
      </w:r>
    </w:p>
    <w:p w14:paraId="15569A7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验收时提供全套纸质 + 电子资料：说明书、合格证、结构图、零配件表、组装图纸、维护手册等。</w:t>
      </w:r>
    </w:p>
    <w:p w14:paraId="4B15795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免费提供配套备品备件，满足长期稳定使用需求，清单经采购人确认。</w:t>
      </w:r>
    </w:p>
    <w:p w14:paraId="236B16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八、质量与合规要求</w:t>
      </w:r>
    </w:p>
    <w:p w14:paraId="1A108BA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供应商提供质量承诺书，保证设备结构安全、尺寸匹配、材质达标、功能完整。</w:t>
      </w:r>
    </w:p>
    <w:p w14:paraId="625E37C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钢材、理化板、五金配件等符合环保、安全、防腐、防潮、防火要求。</w:t>
      </w:r>
    </w:p>
    <w:p w14:paraId="2F80701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提供营业执照、原厂授权书、产品检测报告、材质证明等资质文件。</w:t>
      </w:r>
    </w:p>
    <w:p w14:paraId="7CA9BBD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中标后 7 个工作日内提供结构图、零配件表、样品归集与查找方案，逾期或不达标视为违约。</w:t>
      </w:r>
    </w:p>
    <w:p w14:paraId="075B5F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九、其他要求</w:t>
      </w:r>
    </w:p>
    <w:p w14:paraId="25245D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付款方式按双方签订合同执行，供应商开具合法有效发票。</w:t>
      </w:r>
    </w:p>
    <w:p w14:paraId="00F29EE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供应商对项目信息、样品资料承担保密义务，不得向第三方泄露。</w:t>
      </w:r>
    </w:p>
    <w:p w14:paraId="14FF3F1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验收及使用中发现问题，供应商48 小时内完成整改，直至达标。</w:t>
      </w:r>
    </w:p>
    <w:p w14:paraId="74C59E0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未满足技术参数、工期、售后服务要求，按合同承担违约责任，采购人有权拒付、索赔或解除合同。</w:t>
      </w:r>
    </w:p>
    <w:p w14:paraId="68BAF18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p>
    <w:p w14:paraId="762E7281">
      <w:pPr>
        <w:rPr>
          <w:rFonts w:hint="default"/>
          <w:color w:val="auto"/>
          <w:highlight w:val="none"/>
          <w:lang w:val="en-US" w:eastAsia="zh-CN"/>
        </w:rPr>
      </w:pPr>
    </w:p>
    <w:p w14:paraId="30BCD0C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p>
    <w:p w14:paraId="424C70AB">
      <w:pPr>
        <w:rPr>
          <w:rFonts w:hint="eastAsia"/>
          <w:highlight w:val="none"/>
        </w:rPr>
      </w:pPr>
      <w:r>
        <w:rPr>
          <w:rFonts w:hint="eastAsia"/>
          <w:highlight w:val="none"/>
        </w:rPr>
        <w:br w:type="page"/>
      </w:r>
    </w:p>
    <w:p w14:paraId="74838A44">
      <w:pPr>
        <w:bidi w:val="0"/>
        <w:rPr>
          <w:rFonts w:hint="eastAsia"/>
          <w:highlight w:val="none"/>
        </w:rPr>
      </w:pPr>
    </w:p>
    <w:p w14:paraId="168EC151">
      <w:pPr>
        <w:pStyle w:val="2"/>
        <w:rPr>
          <w:rFonts w:hint="eastAsia" w:ascii="宋体" w:hAnsi="宋体" w:eastAsia="宋体" w:cs="宋体"/>
          <w:color w:val="auto"/>
          <w:highlight w:val="none"/>
        </w:rPr>
      </w:pPr>
      <w:bookmarkStart w:id="246" w:name="_Toc15296"/>
      <w:r>
        <w:rPr>
          <w:rFonts w:hint="eastAsia" w:ascii="宋体" w:hAnsi="宋体" w:eastAsia="宋体" w:cs="宋体"/>
          <w:color w:val="auto"/>
          <w:highlight w:val="none"/>
        </w:rPr>
        <w:t>第六章  评标办法（综合评分法）</w:t>
      </w:r>
      <w:bookmarkEnd w:id="246"/>
    </w:p>
    <w:p w14:paraId="5E04E8E3">
      <w:pPr>
        <w:ind w:firstLine="736"/>
        <w:jc w:val="center"/>
        <w:rPr>
          <w:rFonts w:hint="eastAsia" w:ascii="宋体" w:hAnsi="宋体" w:eastAsia="宋体" w:cs="宋体"/>
          <w:b/>
          <w:color w:val="auto"/>
          <w:highlight w:val="none"/>
          <w:lang w:eastAsia="zh-CN"/>
        </w:rPr>
      </w:pPr>
    </w:p>
    <w:p w14:paraId="5A9DF895">
      <w:pPr>
        <w:pStyle w:val="3"/>
        <w:numPr>
          <w:ilvl w:val="0"/>
          <w:numId w:val="0"/>
        </w:numPr>
        <w:spacing w:before="0"/>
        <w:ind w:left="893" w:hanging="691" w:hangingChars="247"/>
        <w:jc w:val="center"/>
        <w:rPr>
          <w:rFonts w:hint="eastAsia" w:ascii="宋体" w:hAnsi="宋体" w:eastAsia="宋体" w:cs="宋体"/>
          <w:color w:val="auto"/>
          <w:sz w:val="28"/>
          <w:szCs w:val="28"/>
          <w:highlight w:val="none"/>
        </w:rPr>
      </w:pPr>
      <w:bookmarkStart w:id="247" w:name="_Toc23732"/>
      <w:bookmarkStart w:id="248" w:name="_Toc11735"/>
      <w:r>
        <w:rPr>
          <w:rFonts w:hint="eastAsia" w:ascii="宋体" w:hAnsi="宋体" w:eastAsia="宋体" w:cs="宋体"/>
          <w:color w:val="auto"/>
          <w:sz w:val="28"/>
          <w:szCs w:val="28"/>
          <w:highlight w:val="none"/>
        </w:rPr>
        <w:t>评标办法前附表</w:t>
      </w:r>
      <w:bookmarkEnd w:id="247"/>
      <w:bookmarkEnd w:id="248"/>
    </w:p>
    <w:tbl>
      <w:tblPr>
        <w:tblStyle w:val="33"/>
        <w:tblW w:w="10082"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513"/>
        <w:gridCol w:w="952"/>
        <w:gridCol w:w="1550"/>
        <w:gridCol w:w="1360"/>
        <w:gridCol w:w="5707"/>
      </w:tblGrid>
      <w:tr w14:paraId="66EC1FB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45" w:hRule="atLeast"/>
          <w:tblHeader/>
          <w:jc w:val="center"/>
        </w:trPr>
        <w:tc>
          <w:tcPr>
            <w:tcW w:w="1465" w:type="dxa"/>
            <w:gridSpan w:val="2"/>
            <w:tcBorders>
              <w:top w:val="single" w:color="auto" w:sz="12" w:space="0"/>
            </w:tcBorders>
            <w:vAlign w:val="center"/>
          </w:tcPr>
          <w:p w14:paraId="7D1D49A1">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lang w:eastAsia="zh-CN"/>
              </w:rPr>
              <w:t>序</w:t>
            </w:r>
            <w:r>
              <w:rPr>
                <w:rFonts w:hint="eastAsia" w:ascii="宋体" w:hAnsi="宋体" w:eastAsia="宋体" w:cs="宋体"/>
                <w:b/>
                <w:bCs/>
                <w:color w:val="auto"/>
                <w:highlight w:val="none"/>
              </w:rPr>
              <w:t>号</w:t>
            </w:r>
          </w:p>
        </w:tc>
        <w:tc>
          <w:tcPr>
            <w:tcW w:w="1550" w:type="dxa"/>
            <w:tcBorders>
              <w:top w:val="single" w:color="auto" w:sz="12" w:space="0"/>
            </w:tcBorders>
            <w:vAlign w:val="center"/>
          </w:tcPr>
          <w:p w14:paraId="297B7D84">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评</w:t>
            </w:r>
            <w:r>
              <w:rPr>
                <w:rFonts w:hint="eastAsia" w:ascii="宋体" w:hAnsi="宋体" w:eastAsia="宋体" w:cs="宋体"/>
                <w:b/>
                <w:bCs/>
                <w:color w:val="auto"/>
                <w:highlight w:val="none"/>
                <w:lang w:val="en-US" w:eastAsia="zh-CN"/>
              </w:rPr>
              <w:t xml:space="preserve"> </w:t>
            </w:r>
            <w:r>
              <w:rPr>
                <w:rFonts w:hint="eastAsia" w:ascii="宋体" w:hAnsi="宋体" w:eastAsia="宋体" w:cs="宋体"/>
                <w:b/>
                <w:bCs/>
                <w:color w:val="auto"/>
                <w:highlight w:val="none"/>
              </w:rPr>
              <w:t>审</w:t>
            </w:r>
            <w:r>
              <w:rPr>
                <w:rFonts w:hint="eastAsia" w:ascii="宋体" w:hAnsi="宋体" w:eastAsia="宋体" w:cs="宋体"/>
                <w:b/>
                <w:bCs/>
                <w:color w:val="auto"/>
                <w:highlight w:val="none"/>
                <w:lang w:val="en-US" w:eastAsia="zh-CN"/>
              </w:rPr>
              <w:t xml:space="preserve"> </w:t>
            </w:r>
            <w:r>
              <w:rPr>
                <w:rFonts w:hint="eastAsia" w:ascii="宋体" w:hAnsi="宋体" w:eastAsia="宋体" w:cs="宋体"/>
                <w:b/>
                <w:bCs/>
                <w:color w:val="auto"/>
                <w:highlight w:val="none"/>
              </w:rPr>
              <w:t>因</w:t>
            </w:r>
            <w:r>
              <w:rPr>
                <w:rFonts w:hint="eastAsia" w:ascii="宋体" w:hAnsi="宋体" w:eastAsia="宋体" w:cs="宋体"/>
                <w:b/>
                <w:bCs/>
                <w:color w:val="auto"/>
                <w:highlight w:val="none"/>
                <w:lang w:val="en-US" w:eastAsia="zh-CN"/>
              </w:rPr>
              <w:t xml:space="preserve"> </w:t>
            </w:r>
            <w:r>
              <w:rPr>
                <w:rFonts w:hint="eastAsia" w:ascii="宋体" w:hAnsi="宋体" w:eastAsia="宋体" w:cs="宋体"/>
                <w:b/>
                <w:bCs/>
                <w:color w:val="auto"/>
                <w:highlight w:val="none"/>
              </w:rPr>
              <w:t>素</w:t>
            </w:r>
          </w:p>
        </w:tc>
        <w:tc>
          <w:tcPr>
            <w:tcW w:w="7067" w:type="dxa"/>
            <w:gridSpan w:val="2"/>
            <w:tcBorders>
              <w:top w:val="single" w:color="auto" w:sz="12" w:space="0"/>
            </w:tcBorders>
            <w:vAlign w:val="center"/>
          </w:tcPr>
          <w:p w14:paraId="07143B24">
            <w:pPr>
              <w:ind w:firstLine="2100" w:firstLineChars="1000"/>
              <w:rPr>
                <w:rFonts w:hint="eastAsia" w:ascii="宋体" w:hAnsi="宋体" w:eastAsia="宋体" w:cs="宋体"/>
                <w:b/>
                <w:bCs/>
                <w:color w:val="auto"/>
                <w:highlight w:val="none"/>
              </w:rPr>
            </w:pPr>
            <w:r>
              <w:rPr>
                <w:rFonts w:hint="eastAsia" w:ascii="宋体" w:hAnsi="宋体" w:eastAsia="宋体" w:cs="宋体"/>
                <w:b/>
                <w:bCs/>
                <w:color w:val="auto"/>
                <w:highlight w:val="none"/>
              </w:rPr>
              <w:t>评 审 标 准</w:t>
            </w:r>
          </w:p>
        </w:tc>
      </w:tr>
      <w:tr w14:paraId="65D1AB5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749" w:hRule="atLeast"/>
          <w:jc w:val="center"/>
        </w:trPr>
        <w:tc>
          <w:tcPr>
            <w:tcW w:w="513" w:type="dxa"/>
            <w:vMerge w:val="restart"/>
            <w:vAlign w:val="center"/>
          </w:tcPr>
          <w:p w14:paraId="5C8A8BBA">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1</w:t>
            </w:r>
          </w:p>
        </w:tc>
        <w:tc>
          <w:tcPr>
            <w:tcW w:w="952" w:type="dxa"/>
            <w:vMerge w:val="restart"/>
            <w:vAlign w:val="center"/>
          </w:tcPr>
          <w:p w14:paraId="05AD1458">
            <w:pPr>
              <w:jc w:val="center"/>
              <w:rPr>
                <w:rFonts w:hint="eastAsia" w:ascii="宋体" w:hAnsi="宋体" w:eastAsia="宋体" w:cs="宋体"/>
                <w:color w:val="auto"/>
                <w:highlight w:val="none"/>
              </w:rPr>
            </w:pPr>
            <w:r>
              <w:rPr>
                <w:rFonts w:hint="eastAsia" w:ascii="宋体" w:hAnsi="宋体" w:eastAsia="宋体" w:cs="宋体"/>
                <w:color w:val="auto"/>
                <w:highlight w:val="none"/>
              </w:rPr>
              <w:t>资格</w:t>
            </w:r>
          </w:p>
          <w:p w14:paraId="5558E913">
            <w:pPr>
              <w:jc w:val="center"/>
              <w:rPr>
                <w:rFonts w:hint="eastAsia" w:ascii="宋体" w:hAnsi="宋体" w:eastAsia="宋体" w:cs="宋体"/>
                <w:color w:val="auto"/>
                <w:highlight w:val="none"/>
              </w:rPr>
            </w:pPr>
            <w:r>
              <w:rPr>
                <w:rFonts w:hint="eastAsia" w:ascii="宋体" w:hAnsi="宋体" w:eastAsia="宋体" w:cs="宋体"/>
                <w:color w:val="auto"/>
                <w:highlight w:val="none"/>
              </w:rPr>
              <w:t>评审</w:t>
            </w:r>
          </w:p>
          <w:p w14:paraId="2AADB90A">
            <w:pPr>
              <w:jc w:val="center"/>
              <w:rPr>
                <w:rFonts w:hint="eastAsia" w:ascii="宋体" w:hAnsi="宋体" w:eastAsia="宋体" w:cs="宋体"/>
                <w:color w:val="auto"/>
                <w:highlight w:val="none"/>
              </w:rPr>
            </w:pPr>
            <w:r>
              <w:rPr>
                <w:rFonts w:hint="eastAsia" w:ascii="宋体" w:hAnsi="宋体" w:eastAsia="宋体" w:cs="宋体"/>
                <w:color w:val="auto"/>
                <w:highlight w:val="none"/>
              </w:rPr>
              <w:t>标准</w:t>
            </w:r>
          </w:p>
        </w:tc>
        <w:tc>
          <w:tcPr>
            <w:tcW w:w="1550" w:type="dxa"/>
            <w:shd w:val="clear" w:color="auto" w:fill="auto"/>
            <w:vAlign w:val="center"/>
          </w:tcPr>
          <w:p w14:paraId="17918391">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政府采购政策</w:t>
            </w:r>
          </w:p>
        </w:tc>
        <w:tc>
          <w:tcPr>
            <w:tcW w:w="7067" w:type="dxa"/>
            <w:gridSpan w:val="2"/>
            <w:shd w:val="clear" w:color="auto" w:fill="auto"/>
            <w:vAlign w:val="center"/>
          </w:tcPr>
          <w:p w14:paraId="142F7865">
            <w:pPr>
              <w:spacing w:line="31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制造商应为中小企业，请根据要求上传《中小企业声明函》，格式以招标文件要求为准。</w:t>
            </w:r>
          </w:p>
        </w:tc>
      </w:tr>
      <w:tr w14:paraId="1B8E2C5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749" w:hRule="atLeast"/>
          <w:jc w:val="center"/>
        </w:trPr>
        <w:tc>
          <w:tcPr>
            <w:tcW w:w="513" w:type="dxa"/>
            <w:vMerge w:val="continue"/>
            <w:vAlign w:val="center"/>
          </w:tcPr>
          <w:p w14:paraId="790CA389">
            <w:pPr>
              <w:jc w:val="center"/>
              <w:rPr>
                <w:rFonts w:hint="eastAsia" w:ascii="宋体" w:hAnsi="宋体" w:eastAsia="宋体" w:cs="宋体"/>
                <w:color w:val="auto"/>
                <w:highlight w:val="none"/>
                <w:lang w:eastAsia="zh-CN"/>
              </w:rPr>
            </w:pPr>
          </w:p>
        </w:tc>
        <w:tc>
          <w:tcPr>
            <w:tcW w:w="952" w:type="dxa"/>
            <w:vMerge w:val="continue"/>
            <w:vAlign w:val="center"/>
          </w:tcPr>
          <w:p w14:paraId="2384F059">
            <w:pPr>
              <w:jc w:val="center"/>
              <w:rPr>
                <w:rFonts w:hint="eastAsia" w:ascii="宋体" w:hAnsi="宋体" w:eastAsia="宋体" w:cs="宋体"/>
                <w:color w:val="auto"/>
                <w:highlight w:val="none"/>
              </w:rPr>
            </w:pPr>
          </w:p>
        </w:tc>
        <w:tc>
          <w:tcPr>
            <w:tcW w:w="1550" w:type="dxa"/>
            <w:shd w:val="clear" w:color="auto" w:fill="auto"/>
            <w:vAlign w:val="center"/>
          </w:tcPr>
          <w:p w14:paraId="5A82FA02">
            <w:pPr>
              <w:jc w:val="center"/>
              <w:rPr>
                <w:rFonts w:hint="eastAsia" w:ascii="宋体" w:hAnsi="宋体" w:eastAsia="宋体" w:cs="宋体"/>
                <w:color w:val="auto"/>
                <w:highlight w:val="none"/>
              </w:rPr>
            </w:pPr>
            <w:r>
              <w:rPr>
                <w:rFonts w:hint="eastAsia" w:ascii="宋体" w:hAnsi="宋体" w:eastAsia="宋体" w:cs="宋体"/>
                <w:color w:val="auto"/>
                <w:highlight w:val="none"/>
              </w:rPr>
              <w:t>基本资质</w:t>
            </w:r>
          </w:p>
        </w:tc>
        <w:tc>
          <w:tcPr>
            <w:tcW w:w="7067" w:type="dxa"/>
            <w:gridSpan w:val="2"/>
            <w:shd w:val="clear" w:color="auto" w:fill="auto"/>
            <w:vAlign w:val="center"/>
          </w:tcPr>
          <w:p w14:paraId="0F0CD111">
            <w:pPr>
              <w:spacing w:line="31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满足《中华人民共和国政府采购法》第二十二条规定</w:t>
            </w:r>
            <w:r>
              <w:rPr>
                <w:rFonts w:hint="eastAsia" w:ascii="宋体" w:hAnsi="宋体" w:cs="宋体"/>
                <w:color w:val="auto"/>
                <w:highlight w:val="none"/>
                <w:lang w:eastAsia="zh-CN"/>
              </w:rPr>
              <w:t>；符合《中华人民共和国政府采购法实施条例》第十八条规定。</w:t>
            </w:r>
          </w:p>
        </w:tc>
      </w:tr>
      <w:tr w14:paraId="7A86D43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850" w:hRule="atLeast"/>
          <w:jc w:val="center"/>
        </w:trPr>
        <w:tc>
          <w:tcPr>
            <w:tcW w:w="513" w:type="dxa"/>
            <w:vMerge w:val="continue"/>
            <w:vAlign w:val="center"/>
          </w:tcPr>
          <w:p w14:paraId="072FF5D2">
            <w:pPr>
              <w:jc w:val="center"/>
              <w:rPr>
                <w:rFonts w:hint="eastAsia" w:ascii="宋体" w:hAnsi="宋体" w:eastAsia="宋体" w:cs="宋体"/>
                <w:color w:val="auto"/>
                <w:highlight w:val="none"/>
              </w:rPr>
            </w:pPr>
          </w:p>
        </w:tc>
        <w:tc>
          <w:tcPr>
            <w:tcW w:w="952" w:type="dxa"/>
            <w:vMerge w:val="continue"/>
            <w:vAlign w:val="center"/>
          </w:tcPr>
          <w:p w14:paraId="427CF340">
            <w:pPr>
              <w:jc w:val="center"/>
              <w:rPr>
                <w:rFonts w:hint="eastAsia" w:ascii="宋体" w:hAnsi="宋体" w:eastAsia="宋体" w:cs="宋体"/>
                <w:color w:val="auto"/>
                <w:highlight w:val="none"/>
              </w:rPr>
            </w:pPr>
          </w:p>
        </w:tc>
        <w:tc>
          <w:tcPr>
            <w:tcW w:w="1550" w:type="dxa"/>
            <w:shd w:val="clear" w:color="auto" w:fill="auto"/>
            <w:vAlign w:val="center"/>
          </w:tcPr>
          <w:p w14:paraId="01B1546C">
            <w:pPr>
              <w:jc w:val="center"/>
              <w:rPr>
                <w:rFonts w:hint="eastAsia" w:ascii="宋体" w:hAnsi="宋体" w:eastAsia="宋体" w:cs="宋体"/>
                <w:color w:val="auto"/>
                <w:highlight w:val="none"/>
              </w:rPr>
            </w:pPr>
            <w:r>
              <w:rPr>
                <w:rFonts w:hint="eastAsia" w:ascii="宋体" w:hAnsi="宋体" w:eastAsia="宋体" w:cs="宋体"/>
                <w:color w:val="auto"/>
                <w:highlight w:val="none"/>
              </w:rPr>
              <w:t>营业执照</w:t>
            </w:r>
          </w:p>
        </w:tc>
        <w:tc>
          <w:tcPr>
            <w:tcW w:w="7067" w:type="dxa"/>
            <w:gridSpan w:val="2"/>
            <w:shd w:val="clear" w:color="auto" w:fill="auto"/>
            <w:vAlign w:val="center"/>
          </w:tcPr>
          <w:p w14:paraId="564EC156">
            <w:pPr>
              <w:spacing w:line="31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提供营业执照或国家颁发的相关证照等证明文件（原件扫描件加盖电子签章）</w:t>
            </w:r>
            <w:r>
              <w:rPr>
                <w:rFonts w:hint="eastAsia" w:ascii="宋体" w:hAnsi="宋体" w:eastAsia="宋体" w:cs="宋体"/>
                <w:color w:val="auto"/>
                <w:highlight w:val="none"/>
                <w:lang w:eastAsia="zh-CN"/>
              </w:rPr>
              <w:t>。</w:t>
            </w:r>
          </w:p>
        </w:tc>
      </w:tr>
      <w:tr w14:paraId="6F8E5B2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376" w:hRule="atLeast"/>
          <w:jc w:val="center"/>
        </w:trPr>
        <w:tc>
          <w:tcPr>
            <w:tcW w:w="513" w:type="dxa"/>
            <w:vMerge w:val="continue"/>
            <w:vAlign w:val="center"/>
          </w:tcPr>
          <w:p w14:paraId="18C09C6C">
            <w:pPr>
              <w:jc w:val="center"/>
              <w:rPr>
                <w:rFonts w:hint="eastAsia" w:ascii="宋体" w:hAnsi="宋体" w:eastAsia="宋体" w:cs="宋体"/>
                <w:color w:val="auto"/>
                <w:highlight w:val="none"/>
              </w:rPr>
            </w:pPr>
          </w:p>
        </w:tc>
        <w:tc>
          <w:tcPr>
            <w:tcW w:w="952" w:type="dxa"/>
            <w:vMerge w:val="continue"/>
            <w:vAlign w:val="center"/>
          </w:tcPr>
          <w:p w14:paraId="275C0CA2">
            <w:pPr>
              <w:jc w:val="center"/>
              <w:rPr>
                <w:rFonts w:hint="eastAsia" w:ascii="宋体" w:hAnsi="宋体" w:eastAsia="宋体" w:cs="宋体"/>
                <w:color w:val="auto"/>
                <w:highlight w:val="none"/>
              </w:rPr>
            </w:pPr>
          </w:p>
        </w:tc>
        <w:tc>
          <w:tcPr>
            <w:tcW w:w="1550" w:type="dxa"/>
            <w:shd w:val="clear" w:color="auto" w:fill="auto"/>
            <w:vAlign w:val="center"/>
          </w:tcPr>
          <w:p w14:paraId="42E7FFE2">
            <w:pPr>
              <w:jc w:val="center"/>
              <w:rPr>
                <w:rFonts w:hint="eastAsia" w:ascii="宋体" w:hAnsi="宋体" w:eastAsia="宋体" w:cs="宋体"/>
                <w:color w:val="auto"/>
                <w:highlight w:val="none"/>
              </w:rPr>
            </w:pPr>
            <w:r>
              <w:rPr>
                <w:rFonts w:hint="eastAsia" w:ascii="宋体" w:hAnsi="宋体" w:eastAsia="宋体" w:cs="宋体"/>
                <w:color w:val="auto"/>
                <w:highlight w:val="none"/>
              </w:rPr>
              <w:t>财务报告</w:t>
            </w:r>
          </w:p>
        </w:tc>
        <w:tc>
          <w:tcPr>
            <w:tcW w:w="7067" w:type="dxa"/>
            <w:gridSpan w:val="2"/>
            <w:shd w:val="clear" w:color="auto" w:fill="auto"/>
            <w:vAlign w:val="center"/>
          </w:tcPr>
          <w:p w14:paraId="72BB5E1E">
            <w:pPr>
              <w:wordWrap w:val="0"/>
              <w:spacing w:line="31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（1）投标人若为法人且成立1年及以上，提供下列①-②中的任意一种：</w:t>
            </w:r>
          </w:p>
          <w:p w14:paraId="195E6867">
            <w:pPr>
              <w:wordWrap w:val="0"/>
              <w:spacing w:line="31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①提供</w:t>
            </w:r>
            <w:r>
              <w:rPr>
                <w:rFonts w:hint="eastAsia" w:ascii="宋体" w:hAnsi="宋体" w:cs="宋体"/>
                <w:color w:val="auto"/>
                <w:highlight w:val="none"/>
                <w:lang w:val="en-US" w:eastAsia="zh-CN"/>
              </w:rPr>
              <w:t>2024年或2025年</w:t>
            </w:r>
            <w:r>
              <w:rPr>
                <w:rFonts w:hint="eastAsia" w:ascii="宋体" w:hAnsi="宋体" w:eastAsia="宋体" w:cs="宋体"/>
                <w:color w:val="auto"/>
                <w:highlight w:val="none"/>
                <w:lang w:val="en-US" w:eastAsia="zh-CN"/>
              </w:rPr>
              <w:t>经审计的财务报告[报告包含：资产负债表、利润表、现金流量表、所有者权益变动表（若无所有者权益变动，此表可不提供）及会计报表附注]（原件扫描件加盖电子签章）。</w:t>
            </w:r>
          </w:p>
          <w:p w14:paraId="65840E3B">
            <w:pPr>
              <w:wordWrap w:val="0"/>
              <w:spacing w:line="31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②提供财政部门认可的政府采购专业担保机构出具的担保函（原件扫描件加盖电子签章）。</w:t>
            </w:r>
          </w:p>
          <w:p w14:paraId="023A1D68">
            <w:pPr>
              <w:wordWrap w:val="0"/>
              <w:spacing w:line="31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（2）投标人若为非法人组织且成立1年及以上，提供下列①-②中的任意一种：</w:t>
            </w:r>
          </w:p>
          <w:p w14:paraId="6DE96832">
            <w:pPr>
              <w:wordWrap w:val="0"/>
              <w:spacing w:line="31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①提供</w:t>
            </w:r>
            <w:r>
              <w:rPr>
                <w:rFonts w:hint="eastAsia" w:ascii="宋体" w:hAnsi="宋体" w:cs="宋体"/>
                <w:color w:val="auto"/>
                <w:highlight w:val="none"/>
                <w:lang w:val="en-US" w:eastAsia="zh-CN"/>
              </w:rPr>
              <w:t>2024年或2025年</w:t>
            </w:r>
            <w:r>
              <w:rPr>
                <w:rFonts w:hint="eastAsia" w:ascii="宋体" w:hAnsi="宋体" w:eastAsia="宋体" w:cs="宋体"/>
                <w:color w:val="auto"/>
                <w:highlight w:val="none"/>
                <w:lang w:val="en-US" w:eastAsia="zh-CN"/>
              </w:rPr>
              <w:t>财务报表（原件扫描件加盖电子签章）。</w:t>
            </w:r>
          </w:p>
          <w:p w14:paraId="3D97CD3F">
            <w:pPr>
              <w:wordWrap w:val="0"/>
              <w:spacing w:line="31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②提供财政部门认可的政府采购专业担保机构出具的担保函（原件扫描件加盖电子签章）。</w:t>
            </w:r>
          </w:p>
          <w:p w14:paraId="092EA1CD">
            <w:pPr>
              <w:wordWrap w:val="0"/>
              <w:spacing w:line="31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投标人成立不足1年的，提供自投标文件提交截止时间前三个月内开户银行出具的资信证明或资金存款证明（原件扫描件加盖电子签章）；投标人成立不足3个月的，提供财务状况良好承诺书（原件加盖电子签章）。</w:t>
            </w:r>
          </w:p>
          <w:p w14:paraId="24B6C8E9">
            <w:pPr>
              <w:wordWrap w:val="0"/>
              <w:spacing w:line="31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（4）若投标人不属于以上情形或存在特殊情况的，请提供相关证明材料或情况说明或承诺函并对其材料的真实性负责（原件加盖电子签章）。</w:t>
            </w:r>
          </w:p>
        </w:tc>
      </w:tr>
      <w:tr w14:paraId="2F2C4E3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8030" w:hRule="atLeast"/>
          <w:jc w:val="center"/>
        </w:trPr>
        <w:tc>
          <w:tcPr>
            <w:tcW w:w="513" w:type="dxa"/>
            <w:vMerge w:val="continue"/>
            <w:vAlign w:val="center"/>
          </w:tcPr>
          <w:p w14:paraId="223CD47C">
            <w:pPr>
              <w:jc w:val="center"/>
              <w:rPr>
                <w:rFonts w:hint="eastAsia" w:ascii="宋体" w:hAnsi="宋体" w:eastAsia="宋体" w:cs="宋体"/>
                <w:color w:val="auto"/>
                <w:highlight w:val="none"/>
              </w:rPr>
            </w:pPr>
          </w:p>
        </w:tc>
        <w:tc>
          <w:tcPr>
            <w:tcW w:w="952" w:type="dxa"/>
            <w:vMerge w:val="continue"/>
            <w:vAlign w:val="center"/>
          </w:tcPr>
          <w:p w14:paraId="1B4619A4">
            <w:pPr>
              <w:jc w:val="center"/>
              <w:rPr>
                <w:rFonts w:hint="eastAsia" w:ascii="宋体" w:hAnsi="宋体" w:eastAsia="宋体" w:cs="宋体"/>
                <w:color w:val="auto"/>
                <w:highlight w:val="none"/>
              </w:rPr>
            </w:pPr>
          </w:p>
        </w:tc>
        <w:tc>
          <w:tcPr>
            <w:tcW w:w="1550" w:type="dxa"/>
            <w:vAlign w:val="center"/>
          </w:tcPr>
          <w:p w14:paraId="71C2E1C4">
            <w:pPr>
              <w:jc w:val="center"/>
              <w:rPr>
                <w:rFonts w:hint="eastAsia" w:ascii="宋体" w:hAnsi="宋体" w:eastAsia="宋体" w:cs="宋体"/>
                <w:color w:val="auto"/>
                <w:highlight w:val="none"/>
              </w:rPr>
            </w:pPr>
            <w:r>
              <w:rPr>
                <w:rFonts w:hint="eastAsia" w:ascii="宋体" w:hAnsi="宋体" w:eastAsia="宋体" w:cs="宋体"/>
                <w:color w:val="auto"/>
                <w:highlight w:val="none"/>
              </w:rPr>
              <w:t>特定资质</w:t>
            </w:r>
          </w:p>
        </w:tc>
        <w:tc>
          <w:tcPr>
            <w:tcW w:w="7067" w:type="dxa"/>
            <w:gridSpan w:val="2"/>
            <w:vAlign w:val="center"/>
          </w:tcPr>
          <w:p w14:paraId="792F4B62">
            <w:pPr>
              <w:wordWrap w:val="0"/>
              <w:spacing w:line="310" w:lineRule="exact"/>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lang w:eastAsia="zh-CN"/>
              </w:rPr>
              <w:t>）投标人应具有依法缴纳税收和社会保障资金的良好记录，提供投标文件递交截止时间前1年期内任意1个月的依法缴纳税收和社会保障资金的证明材料（原件扫描件加盖电子签章）。投标人成立时间不足3个月的，提供相关情况说明（原件加盖电子签章）；依法免税或不需要缴纳社会保障资金的投标人，应提供相应文件（原件扫描件加盖电子签章）证明其依法免税或不需要缴纳社会保障资金</w:t>
            </w:r>
            <w:r>
              <w:rPr>
                <w:rFonts w:hint="eastAsia" w:ascii="宋体" w:hAnsi="宋体" w:eastAsia="宋体" w:cs="宋体"/>
                <w:color w:val="auto"/>
                <w:highlight w:val="none"/>
              </w:rPr>
              <w:t>。</w:t>
            </w:r>
          </w:p>
          <w:p w14:paraId="262E6039">
            <w:pPr>
              <w:wordWrap w:val="0"/>
              <w:spacing w:line="310" w:lineRule="exact"/>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投标人应具有履行合同所必需的设备和专业技术能力，提供具有履行合同所必需的设备和专业技术能力的证明材料或声明函（原件加盖电子签章）。</w:t>
            </w:r>
          </w:p>
          <w:p w14:paraId="25A77908">
            <w:pPr>
              <w:wordWrap w:val="0"/>
              <w:spacing w:line="310" w:lineRule="exact"/>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参加政府采购前三年内，在经营活动中没有重大违法记录（指投标人因违法经营受到刑事处罚或者责令停产停业、吊销许可证或者执照、较大数额罚款等行政处罚），提供承诺函（原件加盖电子签章）。</w:t>
            </w:r>
          </w:p>
          <w:p w14:paraId="72A44A8B">
            <w:pPr>
              <w:wordWrap w:val="0"/>
              <w:spacing w:line="310" w:lineRule="exact"/>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投标人未对本项目提供整体设计、规范编制或者项目管理、监理、检测等服务，提供承诺函（原件加盖电子签章）。</w:t>
            </w:r>
          </w:p>
          <w:p w14:paraId="0156B7F6">
            <w:pPr>
              <w:wordWrap w:val="0"/>
              <w:spacing w:line="310" w:lineRule="exact"/>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单位负责人为同一人或者存在直接控股、管理关系的不同投标人，不得参加同一合同项下的政府采购活动，提供承诺函（原件加盖电子签章）。</w:t>
            </w:r>
          </w:p>
          <w:p w14:paraId="237E3B7E">
            <w:pPr>
              <w:wordWrap w:val="0"/>
              <w:spacing w:line="310" w:lineRule="exact"/>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符合法律、行政法规规定的其他条件，提供承诺函（原件加盖电子签章）。</w:t>
            </w:r>
          </w:p>
          <w:p w14:paraId="2C54EB3E">
            <w:pPr>
              <w:wordWrap w:val="0"/>
              <w:spacing w:line="310" w:lineRule="exact"/>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根据《财政部关于在政府采购活动中查询及使用信用记录的通知》（财库〔2016〕125号）的要求，采购代理机构将通过“信用中国”网站（www.creditchina.gov.cn）、“中国政府采购网”网站（www.ccgp.gov.cn）等渠道查询投标人的信用记录（</w:t>
            </w:r>
            <w:r>
              <w:rPr>
                <w:rFonts w:hint="eastAsia" w:ascii="宋体" w:hAnsi="宋体" w:eastAsia="宋体" w:cs="宋体"/>
                <w:color w:val="auto"/>
                <w:highlight w:val="none"/>
                <w:lang w:eastAsia="zh-CN"/>
              </w:rPr>
              <w:t>查询时间为开标时间当天</w:t>
            </w:r>
            <w:r>
              <w:rPr>
                <w:rFonts w:hint="eastAsia" w:ascii="宋体" w:hAnsi="宋体" w:eastAsia="宋体" w:cs="宋体"/>
                <w:color w:val="auto"/>
                <w:highlight w:val="none"/>
              </w:rPr>
              <w:t>，查询结果以采购代理机构查询结果为准，并将查询记录和证据留存），拒绝列入失信被执行人、重大税收违法失信主体、</w:t>
            </w:r>
            <w:r>
              <w:rPr>
                <w:rFonts w:hint="eastAsia" w:ascii="宋体" w:hAnsi="宋体" w:eastAsia="宋体" w:cs="宋体"/>
                <w:color w:val="auto"/>
                <w:highlight w:val="none"/>
                <w:lang w:eastAsia="zh-CN"/>
              </w:rPr>
              <w:t>政府采购活动严重违法失信行为记录名单</w:t>
            </w:r>
            <w:r>
              <w:rPr>
                <w:rFonts w:hint="eastAsia" w:ascii="宋体" w:hAnsi="宋体" w:eastAsia="宋体" w:cs="宋体"/>
                <w:color w:val="auto"/>
                <w:highlight w:val="none"/>
              </w:rPr>
              <w:t>中的投标人参加本项目的投标活动。</w:t>
            </w:r>
          </w:p>
        </w:tc>
      </w:tr>
      <w:tr w14:paraId="28E2551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690" w:hRule="atLeast"/>
          <w:jc w:val="center"/>
        </w:trPr>
        <w:tc>
          <w:tcPr>
            <w:tcW w:w="513" w:type="dxa"/>
            <w:vMerge w:val="continue"/>
            <w:vAlign w:val="center"/>
          </w:tcPr>
          <w:p w14:paraId="36EA14B2">
            <w:pPr>
              <w:jc w:val="center"/>
              <w:rPr>
                <w:rFonts w:hint="eastAsia" w:ascii="宋体" w:hAnsi="宋体" w:eastAsia="宋体" w:cs="宋体"/>
                <w:color w:val="auto"/>
                <w:highlight w:val="none"/>
              </w:rPr>
            </w:pPr>
          </w:p>
        </w:tc>
        <w:tc>
          <w:tcPr>
            <w:tcW w:w="952" w:type="dxa"/>
            <w:vMerge w:val="continue"/>
            <w:vAlign w:val="center"/>
          </w:tcPr>
          <w:p w14:paraId="78E58C19">
            <w:pPr>
              <w:jc w:val="center"/>
              <w:rPr>
                <w:rFonts w:hint="eastAsia" w:ascii="宋体" w:hAnsi="宋体" w:eastAsia="宋体" w:cs="宋体"/>
                <w:color w:val="auto"/>
                <w:highlight w:val="none"/>
              </w:rPr>
            </w:pPr>
          </w:p>
        </w:tc>
        <w:tc>
          <w:tcPr>
            <w:tcW w:w="1550" w:type="dxa"/>
            <w:vAlign w:val="center"/>
          </w:tcPr>
          <w:p w14:paraId="1DC3E48B">
            <w:pPr>
              <w:jc w:val="center"/>
              <w:rPr>
                <w:rFonts w:hint="eastAsia" w:ascii="宋体" w:hAnsi="宋体" w:eastAsia="宋体" w:cs="宋体"/>
                <w:color w:val="auto"/>
                <w:highlight w:val="none"/>
              </w:rPr>
            </w:pPr>
            <w:r>
              <w:rPr>
                <w:rFonts w:hint="eastAsia" w:ascii="宋体" w:hAnsi="宋体" w:eastAsia="宋体" w:cs="宋体"/>
                <w:color w:val="auto"/>
                <w:highlight w:val="none"/>
              </w:rPr>
              <w:t>其他</w:t>
            </w:r>
          </w:p>
        </w:tc>
        <w:tc>
          <w:tcPr>
            <w:tcW w:w="7067" w:type="dxa"/>
            <w:gridSpan w:val="2"/>
            <w:vAlign w:val="center"/>
          </w:tcPr>
          <w:p w14:paraId="5737B872">
            <w:pPr>
              <w:rPr>
                <w:rFonts w:hint="eastAsia" w:ascii="宋体" w:hAnsi="宋体" w:eastAsia="宋体" w:cs="宋体"/>
                <w:color w:val="auto"/>
                <w:highlight w:val="none"/>
              </w:rPr>
            </w:pPr>
            <w:r>
              <w:rPr>
                <w:rFonts w:hint="eastAsia" w:ascii="宋体" w:hAnsi="宋体" w:eastAsia="宋体" w:cs="宋体"/>
                <w:color w:val="auto"/>
                <w:highlight w:val="none"/>
              </w:rPr>
              <w:t>无本章评标办法正文“2.1初步评审标准2.1.3其他”条款规定的不符情形。</w:t>
            </w:r>
          </w:p>
        </w:tc>
      </w:tr>
      <w:tr w14:paraId="5DEA546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537" w:hRule="atLeast"/>
          <w:jc w:val="center"/>
        </w:trPr>
        <w:tc>
          <w:tcPr>
            <w:tcW w:w="513" w:type="dxa"/>
            <w:vMerge w:val="restart"/>
            <w:vAlign w:val="center"/>
          </w:tcPr>
          <w:p w14:paraId="211B4FC9">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2</w:t>
            </w:r>
          </w:p>
        </w:tc>
        <w:tc>
          <w:tcPr>
            <w:tcW w:w="952" w:type="dxa"/>
            <w:vMerge w:val="restart"/>
            <w:vAlign w:val="center"/>
          </w:tcPr>
          <w:p w14:paraId="577822EB">
            <w:pPr>
              <w:jc w:val="center"/>
              <w:rPr>
                <w:rFonts w:hint="eastAsia" w:ascii="宋体" w:hAnsi="宋体" w:eastAsia="宋体" w:cs="宋体"/>
                <w:color w:val="auto"/>
                <w:highlight w:val="none"/>
              </w:rPr>
            </w:pPr>
            <w:r>
              <w:rPr>
                <w:rFonts w:hint="eastAsia" w:ascii="宋体" w:hAnsi="宋体" w:eastAsia="宋体" w:cs="宋体"/>
                <w:color w:val="auto"/>
                <w:highlight w:val="none"/>
              </w:rPr>
              <w:t>符合性评审标准</w:t>
            </w:r>
          </w:p>
        </w:tc>
        <w:tc>
          <w:tcPr>
            <w:tcW w:w="1550" w:type="dxa"/>
            <w:vAlign w:val="center"/>
          </w:tcPr>
          <w:p w14:paraId="565B1B8E">
            <w:pPr>
              <w:jc w:val="center"/>
              <w:rPr>
                <w:rFonts w:hint="eastAsia" w:ascii="宋体" w:hAnsi="宋体" w:eastAsia="宋体" w:cs="宋体"/>
                <w:color w:val="auto"/>
                <w:highlight w:val="none"/>
              </w:rPr>
            </w:pPr>
            <w:r>
              <w:rPr>
                <w:rFonts w:hint="eastAsia" w:ascii="宋体" w:hAnsi="宋体" w:eastAsia="宋体" w:cs="宋体"/>
                <w:color w:val="auto"/>
                <w:highlight w:val="none"/>
              </w:rPr>
              <w:t>报价</w:t>
            </w:r>
          </w:p>
        </w:tc>
        <w:tc>
          <w:tcPr>
            <w:tcW w:w="7067" w:type="dxa"/>
            <w:gridSpan w:val="2"/>
            <w:vAlign w:val="center"/>
          </w:tcPr>
          <w:p w14:paraId="0E282705">
            <w:pPr>
              <w:rPr>
                <w:rFonts w:hint="eastAsia" w:ascii="宋体" w:hAnsi="宋体" w:eastAsia="宋体" w:cs="宋体"/>
                <w:color w:val="auto"/>
                <w:highlight w:val="none"/>
                <w:lang w:eastAsia="zh-CN"/>
              </w:rPr>
            </w:pPr>
            <w:r>
              <w:rPr>
                <w:rFonts w:hint="eastAsia" w:ascii="宋体" w:hAnsi="宋体" w:cs="宋体"/>
                <w:color w:val="auto"/>
                <w:highlight w:val="none"/>
                <w:lang w:eastAsia="zh-CN"/>
              </w:rPr>
              <w:t>投标总价不能超过最高限价，单价不超过预算单价。</w:t>
            </w:r>
          </w:p>
        </w:tc>
      </w:tr>
      <w:tr w14:paraId="395724F7">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577" w:hRule="atLeast"/>
          <w:jc w:val="center"/>
        </w:trPr>
        <w:tc>
          <w:tcPr>
            <w:tcW w:w="513" w:type="dxa"/>
            <w:vMerge w:val="continue"/>
            <w:vAlign w:val="center"/>
          </w:tcPr>
          <w:p w14:paraId="39E8FFD9">
            <w:pPr>
              <w:jc w:val="center"/>
              <w:rPr>
                <w:rFonts w:hint="eastAsia" w:ascii="宋体" w:hAnsi="宋体" w:eastAsia="宋体" w:cs="宋体"/>
                <w:color w:val="auto"/>
                <w:highlight w:val="none"/>
              </w:rPr>
            </w:pPr>
          </w:p>
        </w:tc>
        <w:tc>
          <w:tcPr>
            <w:tcW w:w="952" w:type="dxa"/>
            <w:vMerge w:val="continue"/>
            <w:vAlign w:val="center"/>
          </w:tcPr>
          <w:p w14:paraId="73471FBC">
            <w:pPr>
              <w:jc w:val="center"/>
              <w:rPr>
                <w:rFonts w:hint="eastAsia" w:ascii="宋体" w:hAnsi="宋体" w:eastAsia="宋体" w:cs="宋体"/>
                <w:color w:val="auto"/>
                <w:highlight w:val="none"/>
              </w:rPr>
            </w:pPr>
          </w:p>
        </w:tc>
        <w:tc>
          <w:tcPr>
            <w:tcW w:w="1550" w:type="dxa"/>
            <w:vAlign w:val="center"/>
          </w:tcPr>
          <w:p w14:paraId="3FABD71C">
            <w:pPr>
              <w:jc w:val="center"/>
              <w:rPr>
                <w:rFonts w:hint="eastAsia" w:ascii="宋体" w:hAnsi="宋体" w:eastAsia="宋体" w:cs="宋体"/>
                <w:color w:val="auto"/>
                <w:highlight w:val="none"/>
              </w:rPr>
            </w:pPr>
            <w:r>
              <w:rPr>
                <w:rFonts w:hint="eastAsia" w:ascii="宋体" w:hAnsi="宋体" w:eastAsia="宋体" w:cs="宋体"/>
                <w:color w:val="auto"/>
                <w:highlight w:val="none"/>
              </w:rPr>
              <w:t>技术</w:t>
            </w:r>
          </w:p>
        </w:tc>
        <w:tc>
          <w:tcPr>
            <w:tcW w:w="7067" w:type="dxa"/>
            <w:gridSpan w:val="2"/>
            <w:vAlign w:val="center"/>
          </w:tcPr>
          <w:p w14:paraId="4AF02E63">
            <w:pPr>
              <w:rPr>
                <w:rFonts w:hint="eastAsia" w:ascii="宋体" w:hAnsi="宋体" w:eastAsia="宋体" w:cs="宋体"/>
                <w:color w:val="auto"/>
                <w:highlight w:val="none"/>
              </w:rPr>
            </w:pPr>
            <w:r>
              <w:rPr>
                <w:rFonts w:hint="eastAsia" w:ascii="宋体" w:hAnsi="宋体" w:eastAsia="宋体" w:cs="宋体"/>
                <w:color w:val="auto"/>
                <w:highlight w:val="none"/>
              </w:rPr>
              <w:t>无</w:t>
            </w:r>
            <w:r>
              <w:rPr>
                <w:rFonts w:hint="eastAsia" w:ascii="宋体" w:hAnsi="宋体" w:eastAsia="宋体" w:cs="宋体"/>
                <w:color w:val="auto"/>
                <w:highlight w:val="none"/>
                <w:lang w:eastAsia="zh-CN"/>
              </w:rPr>
              <w:t>采购人</w:t>
            </w:r>
            <w:r>
              <w:rPr>
                <w:rFonts w:hint="eastAsia" w:ascii="宋体" w:hAnsi="宋体" w:eastAsia="宋体" w:cs="宋体"/>
                <w:color w:val="auto"/>
                <w:highlight w:val="none"/>
              </w:rPr>
              <w:t>不能接受的内容。</w:t>
            </w:r>
          </w:p>
        </w:tc>
      </w:tr>
      <w:tr w14:paraId="0FA825A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264" w:hRule="atLeast"/>
          <w:jc w:val="center"/>
        </w:trPr>
        <w:tc>
          <w:tcPr>
            <w:tcW w:w="513" w:type="dxa"/>
            <w:vMerge w:val="continue"/>
            <w:vAlign w:val="center"/>
          </w:tcPr>
          <w:p w14:paraId="6D8E87B4">
            <w:pPr>
              <w:jc w:val="center"/>
              <w:rPr>
                <w:rFonts w:hint="eastAsia" w:ascii="宋体" w:hAnsi="宋体" w:eastAsia="宋体" w:cs="宋体"/>
                <w:color w:val="auto"/>
                <w:highlight w:val="none"/>
              </w:rPr>
            </w:pPr>
          </w:p>
        </w:tc>
        <w:tc>
          <w:tcPr>
            <w:tcW w:w="952" w:type="dxa"/>
            <w:vMerge w:val="continue"/>
            <w:vAlign w:val="center"/>
          </w:tcPr>
          <w:p w14:paraId="6213C3B7">
            <w:pPr>
              <w:jc w:val="center"/>
              <w:rPr>
                <w:rFonts w:hint="eastAsia" w:ascii="宋体" w:hAnsi="宋体" w:eastAsia="宋体" w:cs="宋体"/>
                <w:color w:val="auto"/>
                <w:highlight w:val="none"/>
              </w:rPr>
            </w:pPr>
          </w:p>
        </w:tc>
        <w:tc>
          <w:tcPr>
            <w:tcW w:w="1550" w:type="dxa"/>
            <w:vAlign w:val="center"/>
          </w:tcPr>
          <w:p w14:paraId="12466A06">
            <w:pPr>
              <w:jc w:val="center"/>
              <w:rPr>
                <w:rFonts w:hint="eastAsia" w:ascii="宋体" w:hAnsi="宋体" w:eastAsia="宋体" w:cs="宋体"/>
                <w:color w:val="auto"/>
                <w:highlight w:val="none"/>
              </w:rPr>
            </w:pPr>
            <w:r>
              <w:rPr>
                <w:rFonts w:hint="eastAsia" w:ascii="宋体" w:hAnsi="宋体" w:eastAsia="宋体" w:cs="宋体"/>
                <w:color w:val="auto"/>
                <w:highlight w:val="none"/>
              </w:rPr>
              <w:t>商务资信</w:t>
            </w:r>
          </w:p>
        </w:tc>
        <w:tc>
          <w:tcPr>
            <w:tcW w:w="7067" w:type="dxa"/>
            <w:gridSpan w:val="2"/>
            <w:vAlign w:val="center"/>
          </w:tcPr>
          <w:p w14:paraId="2FD3BB63">
            <w:pPr>
              <w:spacing w:line="44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（1）格式：</w:t>
            </w:r>
            <w:r>
              <w:rPr>
                <w:rFonts w:hint="eastAsia" w:ascii="宋体" w:hAnsi="宋体" w:eastAsia="宋体" w:cs="宋体"/>
                <w:color w:val="auto"/>
                <w:highlight w:val="none"/>
                <w:lang w:eastAsia="zh-CN"/>
              </w:rPr>
              <w:t>投标文件</w:t>
            </w:r>
            <w:r>
              <w:rPr>
                <w:rFonts w:hint="eastAsia" w:ascii="宋体" w:hAnsi="宋体" w:eastAsia="宋体" w:cs="宋体"/>
                <w:color w:val="auto"/>
                <w:highlight w:val="none"/>
              </w:rPr>
              <w:t>按规定的格式、内容及要求编制，内容完整，</w:t>
            </w:r>
            <w:r>
              <w:rPr>
                <w:rFonts w:hint="eastAsia" w:ascii="宋体" w:hAnsi="宋体" w:eastAsia="宋体" w:cs="宋体"/>
                <w:color w:val="auto"/>
                <w:highlight w:val="none"/>
                <w:lang w:eastAsia="zh-CN"/>
              </w:rPr>
              <w:t>投标文件</w:t>
            </w:r>
            <w:r>
              <w:rPr>
                <w:rFonts w:hint="eastAsia" w:ascii="宋体" w:hAnsi="宋体" w:eastAsia="宋体" w:cs="宋体"/>
                <w:color w:val="auto"/>
                <w:highlight w:val="none"/>
              </w:rPr>
              <w:t>编写无潦草或内容模糊不清难以辨认的情况并按要求</w:t>
            </w:r>
            <w:r>
              <w:rPr>
                <w:rFonts w:hint="eastAsia" w:ascii="宋体" w:hAnsi="宋体" w:eastAsia="宋体" w:cs="宋体"/>
                <w:color w:val="auto"/>
                <w:highlight w:val="none"/>
                <w:lang w:val="en-US" w:eastAsia="zh-CN"/>
              </w:rPr>
              <w:t>电子签</w:t>
            </w:r>
            <w:r>
              <w:rPr>
                <w:rFonts w:hint="eastAsia" w:ascii="宋体" w:hAnsi="宋体" w:eastAsia="宋体" w:cs="宋体"/>
                <w:color w:val="auto"/>
                <w:highlight w:val="none"/>
              </w:rPr>
              <w:t>章</w:t>
            </w:r>
            <w:r>
              <w:rPr>
                <w:rFonts w:hint="eastAsia" w:ascii="宋体" w:hAnsi="宋体" w:eastAsia="宋体" w:cs="宋体"/>
                <w:color w:val="auto"/>
                <w:highlight w:val="none"/>
                <w:lang w:eastAsia="zh-CN"/>
              </w:rPr>
              <w:t>。</w:t>
            </w:r>
          </w:p>
          <w:p w14:paraId="61DE6848">
            <w:pPr>
              <w:spacing w:line="44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（2）投标函：符合招标文件给定格式及内容</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有法定代表人或其委托代理人签名</w:t>
            </w:r>
            <w:r>
              <w:rPr>
                <w:rFonts w:hint="eastAsia" w:ascii="宋体" w:hAnsi="宋体" w:eastAsia="宋体" w:cs="宋体"/>
                <w:color w:val="auto"/>
                <w:highlight w:val="none"/>
                <w:lang w:val="en-US" w:eastAsia="zh-CN"/>
              </w:rPr>
              <w:t>或电子签章</w:t>
            </w:r>
            <w:r>
              <w:rPr>
                <w:rFonts w:hint="eastAsia" w:ascii="宋体" w:hAnsi="宋体" w:eastAsia="宋体" w:cs="宋体"/>
                <w:color w:val="auto"/>
                <w:highlight w:val="none"/>
              </w:rPr>
              <w:t>，并加盖单位</w:t>
            </w:r>
            <w:r>
              <w:rPr>
                <w:rFonts w:hint="eastAsia" w:ascii="宋体" w:hAnsi="宋体" w:eastAsia="宋体" w:cs="宋体"/>
                <w:color w:val="auto"/>
                <w:kern w:val="0"/>
                <w:highlight w:val="none"/>
              </w:rPr>
              <w:t>电子签章</w:t>
            </w:r>
            <w:r>
              <w:rPr>
                <w:rFonts w:hint="eastAsia" w:ascii="宋体" w:hAnsi="宋体" w:eastAsia="宋体" w:cs="宋体"/>
                <w:color w:val="auto"/>
                <w:highlight w:val="none"/>
                <w:lang w:eastAsia="zh-CN"/>
              </w:rPr>
              <w:t>。</w:t>
            </w:r>
          </w:p>
          <w:p w14:paraId="406B39DE">
            <w:pPr>
              <w:spacing w:line="44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（3）法定代表人资格证明书：符合招标</w:t>
            </w:r>
            <w:r>
              <w:rPr>
                <w:rFonts w:hint="eastAsia" w:ascii="宋体" w:hAnsi="宋体" w:eastAsia="宋体" w:cs="宋体"/>
                <w:color w:val="auto"/>
                <w:highlight w:val="none"/>
                <w:lang w:eastAsia="zh-CN"/>
              </w:rPr>
              <w:t>文件规</w:t>
            </w:r>
            <w:r>
              <w:rPr>
                <w:rFonts w:hint="eastAsia" w:ascii="宋体" w:hAnsi="宋体" w:eastAsia="宋体" w:cs="宋体"/>
                <w:color w:val="auto"/>
                <w:highlight w:val="none"/>
              </w:rPr>
              <w:t>定格式及内容，并按要求</w:t>
            </w:r>
            <w:r>
              <w:rPr>
                <w:rFonts w:hint="eastAsia" w:ascii="宋体" w:hAnsi="宋体" w:eastAsia="宋体" w:cs="宋体"/>
                <w:color w:val="auto"/>
                <w:highlight w:val="none"/>
                <w:lang w:val="en-US" w:eastAsia="zh-CN"/>
              </w:rPr>
              <w:t>电子签</w:t>
            </w:r>
            <w:r>
              <w:rPr>
                <w:rFonts w:hint="eastAsia" w:ascii="宋体" w:hAnsi="宋体" w:eastAsia="宋体" w:cs="宋体"/>
                <w:color w:val="auto"/>
                <w:highlight w:val="none"/>
              </w:rPr>
              <w:t>章</w:t>
            </w:r>
            <w:r>
              <w:rPr>
                <w:rFonts w:hint="eastAsia" w:ascii="宋体" w:hAnsi="宋体" w:eastAsia="宋体" w:cs="宋体"/>
                <w:color w:val="auto"/>
                <w:highlight w:val="none"/>
                <w:lang w:eastAsia="zh-CN"/>
              </w:rPr>
              <w:t>。</w:t>
            </w:r>
          </w:p>
          <w:p w14:paraId="01AFEB76">
            <w:pPr>
              <w:spacing w:line="44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（4）法定代表人授权委托书：符合招标文件给定格式及内容</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并按要求</w:t>
            </w:r>
            <w:r>
              <w:rPr>
                <w:rFonts w:hint="eastAsia" w:ascii="宋体" w:hAnsi="宋体" w:eastAsia="宋体" w:cs="宋体"/>
                <w:color w:val="auto"/>
                <w:highlight w:val="none"/>
                <w:lang w:val="en-US" w:eastAsia="zh-CN"/>
              </w:rPr>
              <w:t>电子签</w:t>
            </w:r>
            <w:r>
              <w:rPr>
                <w:rFonts w:hint="eastAsia" w:ascii="宋体" w:hAnsi="宋体" w:eastAsia="宋体" w:cs="宋体"/>
                <w:color w:val="auto"/>
                <w:highlight w:val="none"/>
              </w:rPr>
              <w:t>章（注：投标文件由法定代表人签署，不审查该项）</w:t>
            </w:r>
            <w:r>
              <w:rPr>
                <w:rFonts w:hint="eastAsia" w:ascii="宋体" w:hAnsi="宋体" w:eastAsia="宋体" w:cs="宋体"/>
                <w:color w:val="auto"/>
                <w:highlight w:val="none"/>
                <w:lang w:eastAsia="zh-CN"/>
              </w:rPr>
              <w:t>。</w:t>
            </w:r>
          </w:p>
          <w:p w14:paraId="068717E3">
            <w:pPr>
              <w:spacing w:line="44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（5）时间期限等：投标文件有效期、</w:t>
            </w:r>
            <w:r>
              <w:rPr>
                <w:rFonts w:hint="eastAsia" w:ascii="宋体" w:hAnsi="宋体" w:cs="宋体"/>
                <w:color w:val="auto"/>
                <w:highlight w:val="none"/>
                <w:lang w:val="en-US" w:eastAsia="zh-CN"/>
              </w:rPr>
              <w:t>交货及安装调试期、免费质保期</w:t>
            </w:r>
            <w:r>
              <w:rPr>
                <w:rFonts w:hint="eastAsia" w:ascii="宋体" w:hAnsi="宋体" w:eastAsia="宋体" w:cs="宋体"/>
                <w:color w:val="auto"/>
                <w:highlight w:val="none"/>
              </w:rPr>
              <w:t>、委托期限符合招标文件要求</w:t>
            </w:r>
            <w:r>
              <w:rPr>
                <w:rFonts w:hint="eastAsia" w:ascii="宋体" w:hAnsi="宋体" w:eastAsia="宋体" w:cs="宋体"/>
                <w:color w:val="auto"/>
                <w:highlight w:val="none"/>
                <w:lang w:eastAsia="zh-CN"/>
              </w:rPr>
              <w:t>。</w:t>
            </w:r>
          </w:p>
          <w:p w14:paraId="73F40F6D">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（6）符合法规及招标文件要求：</w:t>
            </w:r>
            <w:r>
              <w:rPr>
                <w:rFonts w:hint="eastAsia" w:ascii="宋体" w:hAnsi="宋体" w:eastAsia="宋体" w:cs="宋体"/>
                <w:color w:val="auto"/>
                <w:highlight w:val="none"/>
                <w:lang w:eastAsia="zh-CN"/>
              </w:rPr>
              <w:t>投标文件</w:t>
            </w:r>
            <w:r>
              <w:rPr>
                <w:rFonts w:hint="eastAsia" w:ascii="宋体" w:hAnsi="宋体" w:eastAsia="宋体" w:cs="宋体"/>
                <w:color w:val="auto"/>
                <w:highlight w:val="none"/>
              </w:rPr>
              <w:t>符合</w:t>
            </w:r>
            <w:r>
              <w:rPr>
                <w:rFonts w:hint="eastAsia" w:ascii="宋体" w:hAnsi="宋体" w:eastAsia="宋体" w:cs="宋体"/>
                <w:color w:val="auto"/>
                <w:highlight w:val="none"/>
                <w:lang w:eastAsia="zh-CN"/>
              </w:rPr>
              <w:t>法律法规</w:t>
            </w:r>
            <w:r>
              <w:rPr>
                <w:rFonts w:hint="eastAsia" w:ascii="宋体" w:hAnsi="宋体" w:eastAsia="宋体" w:cs="宋体"/>
                <w:color w:val="auto"/>
                <w:highlight w:val="none"/>
              </w:rPr>
              <w:t>和招标文件中规定的其他实质性要求。</w:t>
            </w:r>
          </w:p>
          <w:p w14:paraId="52F53D21">
            <w:pPr>
              <w:spacing w:line="440" w:lineRule="exact"/>
              <w:rPr>
                <w:rFonts w:hint="eastAsia" w:ascii="宋体" w:hAnsi="宋体" w:eastAsia="宋体" w:cs="宋体"/>
                <w:color w:val="auto"/>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投标保证金：根据投标人须知前附表要求缴纳投标保证金。</w:t>
            </w:r>
          </w:p>
        </w:tc>
      </w:tr>
      <w:tr w14:paraId="7F5491D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2520" w:hRule="atLeast"/>
          <w:jc w:val="center"/>
        </w:trPr>
        <w:tc>
          <w:tcPr>
            <w:tcW w:w="513" w:type="dxa"/>
            <w:vMerge w:val="restart"/>
            <w:vAlign w:val="center"/>
          </w:tcPr>
          <w:p w14:paraId="2483FDC8">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3</w:t>
            </w:r>
          </w:p>
        </w:tc>
        <w:tc>
          <w:tcPr>
            <w:tcW w:w="952" w:type="dxa"/>
            <w:vMerge w:val="restart"/>
            <w:vAlign w:val="center"/>
          </w:tcPr>
          <w:p w14:paraId="57E41599">
            <w:pPr>
              <w:spacing w:line="48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详细评分</w:t>
            </w:r>
          </w:p>
        </w:tc>
        <w:tc>
          <w:tcPr>
            <w:tcW w:w="1550" w:type="dxa"/>
            <w:vAlign w:val="center"/>
          </w:tcPr>
          <w:p w14:paraId="526E7589">
            <w:pPr>
              <w:jc w:val="center"/>
              <w:rPr>
                <w:rFonts w:hint="eastAsia" w:ascii="宋体" w:hAnsi="宋体" w:eastAsia="宋体" w:cs="宋体"/>
                <w:color w:val="auto"/>
                <w:highlight w:val="none"/>
              </w:rPr>
            </w:pPr>
            <w:r>
              <w:rPr>
                <w:rFonts w:hint="eastAsia" w:ascii="宋体" w:hAnsi="宋体" w:eastAsia="宋体" w:cs="宋体"/>
                <w:color w:val="auto"/>
                <w:highlight w:val="none"/>
              </w:rPr>
              <w:t>评分因素</w:t>
            </w:r>
          </w:p>
        </w:tc>
        <w:tc>
          <w:tcPr>
            <w:tcW w:w="7067" w:type="dxa"/>
            <w:gridSpan w:val="2"/>
            <w:vAlign w:val="center"/>
          </w:tcPr>
          <w:p w14:paraId="72F458C6">
            <w:pPr>
              <w:spacing w:line="440" w:lineRule="exact"/>
              <w:rPr>
                <w:rFonts w:hint="eastAsia" w:ascii="宋体" w:hAnsi="宋体" w:eastAsia="宋体" w:cs="宋体"/>
                <w:color w:val="auto"/>
                <w:highlight w:val="none"/>
              </w:rPr>
            </w:pPr>
            <w:r>
              <w:rPr>
                <w:rFonts w:hint="eastAsia" w:ascii="宋体" w:hAnsi="宋体" w:eastAsia="宋体" w:cs="宋体"/>
                <w:b/>
                <w:color w:val="auto"/>
                <w:highlight w:val="none"/>
                <w:shd w:val="pct10" w:color="auto" w:fill="FFFFFF"/>
              </w:rPr>
              <w:t>投标人的评标总得分＝</w:t>
            </w:r>
            <w:r>
              <w:rPr>
                <w:rFonts w:hint="eastAsia" w:ascii="宋体" w:hAnsi="宋体" w:eastAsia="宋体" w:cs="宋体"/>
                <w:b/>
                <w:color w:val="auto"/>
                <w:szCs w:val="21"/>
                <w:highlight w:val="none"/>
                <w:shd w:val="pct10" w:color="auto" w:fill="FFFFFF"/>
              </w:rPr>
              <w:t>F1＋F2＋F3</w:t>
            </w:r>
            <w:r>
              <w:rPr>
                <w:rFonts w:hint="eastAsia" w:ascii="宋体" w:hAnsi="宋体" w:eastAsia="宋体" w:cs="宋体"/>
                <w:color w:val="auto"/>
                <w:highlight w:val="none"/>
              </w:rPr>
              <w:t xml:space="preserve">。 </w:t>
            </w:r>
          </w:p>
          <w:p w14:paraId="5CDA3F41">
            <w:pPr>
              <w:spacing w:line="440" w:lineRule="exact"/>
              <w:rPr>
                <w:rFonts w:hint="eastAsia" w:ascii="宋体" w:hAnsi="宋体" w:eastAsia="宋体" w:cs="宋体"/>
                <w:color w:val="auto"/>
                <w:szCs w:val="21"/>
                <w:highlight w:val="none"/>
              </w:rPr>
            </w:pPr>
            <w:r>
              <w:rPr>
                <w:rFonts w:hint="eastAsia" w:ascii="宋体" w:hAnsi="宋体" w:eastAsia="宋体" w:cs="宋体"/>
                <w:color w:val="auto"/>
                <w:highlight w:val="none"/>
              </w:rPr>
              <w:t>其中：F1、F2、F3分别为投标报价、技术部分、商务部分评分因素的汇总得分</w:t>
            </w:r>
            <w:r>
              <w:rPr>
                <w:rFonts w:hint="eastAsia" w:ascii="宋体" w:hAnsi="宋体" w:eastAsia="宋体" w:cs="宋体"/>
                <w:color w:val="auto"/>
                <w:szCs w:val="21"/>
                <w:highlight w:val="none"/>
              </w:rPr>
              <w:t>。</w:t>
            </w:r>
          </w:p>
          <w:p w14:paraId="79E7C70E">
            <w:pPr>
              <w:widowControl/>
              <w:spacing w:line="44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具体分值如下：</w:t>
            </w:r>
          </w:p>
          <w:p w14:paraId="11B4BDCC">
            <w:pPr>
              <w:widowControl/>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F1为报价得分，满分</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0分</w:t>
            </w:r>
            <w:r>
              <w:rPr>
                <w:rFonts w:hint="eastAsia" w:ascii="宋体" w:hAnsi="宋体" w:eastAsia="宋体" w:cs="宋体"/>
                <w:color w:val="auto"/>
                <w:szCs w:val="21"/>
                <w:highlight w:val="none"/>
                <w:lang w:eastAsia="zh-CN"/>
              </w:rPr>
              <w:t>。</w:t>
            </w:r>
          </w:p>
          <w:p w14:paraId="3DAC861E">
            <w:pPr>
              <w:pStyle w:val="10"/>
              <w:spacing w:line="440" w:lineRule="exact"/>
              <w:ind w:firstLine="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F2为技术部分得分，满分</w:t>
            </w:r>
            <w:r>
              <w:rPr>
                <w:rFonts w:hint="eastAsia" w:ascii="宋体" w:hAnsi="宋体" w:cs="宋体"/>
                <w:color w:val="auto"/>
                <w:szCs w:val="21"/>
                <w:highlight w:val="none"/>
                <w:lang w:val="en-US" w:eastAsia="zh-CN"/>
              </w:rPr>
              <w:t>65</w:t>
            </w:r>
            <w:r>
              <w:rPr>
                <w:rFonts w:hint="eastAsia" w:ascii="宋体" w:hAnsi="宋体" w:eastAsia="宋体" w:cs="宋体"/>
                <w:color w:val="auto"/>
                <w:szCs w:val="21"/>
                <w:highlight w:val="none"/>
              </w:rPr>
              <w:t>分</w:t>
            </w:r>
            <w:r>
              <w:rPr>
                <w:rFonts w:hint="eastAsia" w:ascii="宋体" w:hAnsi="宋体" w:eastAsia="宋体" w:cs="宋体"/>
                <w:color w:val="auto"/>
                <w:szCs w:val="21"/>
                <w:highlight w:val="none"/>
                <w:lang w:eastAsia="zh-CN"/>
              </w:rPr>
              <w:t>。</w:t>
            </w:r>
          </w:p>
          <w:p w14:paraId="4DB7E001">
            <w:pPr>
              <w:spacing w:line="44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F3为商务部分得分，满分</w:t>
            </w:r>
            <w:r>
              <w:rPr>
                <w:rFonts w:hint="eastAsia" w:ascii="宋体" w:hAnsi="宋体" w:cs="宋体"/>
                <w:color w:val="auto"/>
                <w:szCs w:val="21"/>
                <w:highlight w:val="none"/>
                <w:lang w:val="en-US" w:eastAsia="zh-CN"/>
              </w:rPr>
              <w:t>5</w:t>
            </w:r>
            <w:r>
              <w:rPr>
                <w:rFonts w:hint="eastAsia" w:ascii="宋体" w:hAnsi="宋体" w:eastAsia="宋体" w:cs="宋体"/>
                <w:color w:val="auto"/>
                <w:szCs w:val="21"/>
                <w:highlight w:val="none"/>
              </w:rPr>
              <w:t>分。</w:t>
            </w:r>
          </w:p>
        </w:tc>
      </w:tr>
      <w:tr w14:paraId="48C0C45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0424" w:hRule="atLeast"/>
          <w:jc w:val="center"/>
        </w:trPr>
        <w:tc>
          <w:tcPr>
            <w:tcW w:w="513" w:type="dxa"/>
            <w:vMerge w:val="continue"/>
            <w:vAlign w:val="center"/>
          </w:tcPr>
          <w:p w14:paraId="3880FEF6">
            <w:pPr>
              <w:rPr>
                <w:rFonts w:hint="eastAsia" w:ascii="宋体" w:hAnsi="宋体" w:eastAsia="宋体" w:cs="宋体"/>
                <w:color w:val="auto"/>
                <w:highlight w:val="none"/>
              </w:rPr>
            </w:pPr>
          </w:p>
        </w:tc>
        <w:tc>
          <w:tcPr>
            <w:tcW w:w="952" w:type="dxa"/>
            <w:vMerge w:val="continue"/>
            <w:vAlign w:val="center"/>
          </w:tcPr>
          <w:p w14:paraId="490083BF">
            <w:pPr>
              <w:spacing w:line="480" w:lineRule="auto"/>
              <w:jc w:val="center"/>
              <w:rPr>
                <w:rFonts w:hint="eastAsia" w:ascii="宋体" w:hAnsi="宋体" w:eastAsia="宋体" w:cs="宋体"/>
                <w:color w:val="auto"/>
                <w:highlight w:val="none"/>
              </w:rPr>
            </w:pPr>
          </w:p>
        </w:tc>
        <w:tc>
          <w:tcPr>
            <w:tcW w:w="1550" w:type="dxa"/>
            <w:vAlign w:val="center"/>
          </w:tcPr>
          <w:p w14:paraId="6BE8C1AB">
            <w:pPr>
              <w:pStyle w:val="87"/>
              <w:spacing w:line="340" w:lineRule="exact"/>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F1-报价得分</w:t>
            </w:r>
          </w:p>
          <w:p w14:paraId="4FFE9E70">
            <w:pPr>
              <w:pStyle w:val="87"/>
              <w:spacing w:line="340" w:lineRule="exact"/>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（满分</w:t>
            </w:r>
            <w:r>
              <w:rPr>
                <w:rFonts w:hint="eastAsia" w:ascii="宋体" w:hAnsi="宋体" w:eastAsia="宋体" w:cs="宋体"/>
                <w:color w:val="auto"/>
                <w:kern w:val="2"/>
                <w:sz w:val="21"/>
                <w:szCs w:val="21"/>
                <w:highlight w:val="none"/>
                <w:lang w:val="en-US" w:eastAsia="zh-CN"/>
              </w:rPr>
              <w:t>3</w:t>
            </w:r>
            <w:r>
              <w:rPr>
                <w:rFonts w:hint="eastAsia" w:ascii="宋体" w:hAnsi="宋体" w:eastAsia="宋体" w:cs="宋体"/>
                <w:color w:val="auto"/>
                <w:kern w:val="2"/>
                <w:sz w:val="21"/>
                <w:szCs w:val="21"/>
                <w:highlight w:val="none"/>
              </w:rPr>
              <w:t>0分）</w:t>
            </w:r>
          </w:p>
        </w:tc>
        <w:tc>
          <w:tcPr>
            <w:tcW w:w="7067" w:type="dxa"/>
            <w:gridSpan w:val="2"/>
            <w:vAlign w:val="center"/>
          </w:tcPr>
          <w:p w14:paraId="1F5CAF75">
            <w:pPr>
              <w:keepNext w:val="0"/>
              <w:keepLines w:val="0"/>
              <w:pageBreakBefore w:val="0"/>
              <w:widowControl w:val="0"/>
              <w:kinsoku/>
              <w:wordWrap/>
              <w:overflowPunct/>
              <w:topLinePunct w:val="0"/>
              <w:bidi w:val="0"/>
              <w:snapToGrid/>
              <w:spacing w:line="320" w:lineRule="exac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①评标基准价：通过初步评审的最低有效投标总报价；</w:t>
            </w:r>
          </w:p>
          <w:p w14:paraId="7911667D">
            <w:pPr>
              <w:keepNext w:val="0"/>
              <w:keepLines w:val="0"/>
              <w:pageBreakBefore w:val="0"/>
              <w:widowControl w:val="0"/>
              <w:kinsoku/>
              <w:wordWrap/>
              <w:overflowPunct/>
              <w:topLinePunct w:val="0"/>
              <w:bidi w:val="0"/>
              <w:snapToGrid/>
              <w:spacing w:line="320" w:lineRule="exac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②得分计算：通过初步评审的最低有效投标总报价，其报价分为满分。其他投标人的报价得分统一按照下列公式计算：</w:t>
            </w:r>
          </w:p>
          <w:p w14:paraId="0B6E8000">
            <w:pPr>
              <w:keepNext w:val="0"/>
              <w:keepLines w:val="0"/>
              <w:pageBreakBefore w:val="0"/>
              <w:widowControl w:val="0"/>
              <w:kinsoku/>
              <w:wordWrap/>
              <w:overflowPunct/>
              <w:topLinePunct w:val="0"/>
              <w:bidi w:val="0"/>
              <w:snapToGrid/>
              <w:spacing w:line="320" w:lineRule="exact"/>
              <w:jc w:val="left"/>
              <w:textAlignment w:val="auto"/>
              <w:rPr>
                <w:rFonts w:hint="eastAsia" w:ascii="宋体" w:hAnsi="宋体" w:eastAsia="宋体" w:cs="宋体"/>
                <w:b/>
                <w:color w:val="auto"/>
                <w:szCs w:val="21"/>
                <w:highlight w:val="none"/>
                <w:shd w:val="pct10" w:color="auto" w:fill="FFFFFF"/>
              </w:rPr>
            </w:pPr>
            <w:r>
              <w:rPr>
                <w:rFonts w:hint="eastAsia" w:ascii="宋体" w:hAnsi="宋体" w:eastAsia="宋体" w:cs="宋体"/>
                <w:b/>
                <w:color w:val="auto"/>
                <w:szCs w:val="21"/>
                <w:highlight w:val="none"/>
                <w:shd w:val="pct10" w:color="auto" w:fill="FFFFFF"/>
              </w:rPr>
              <w:t>投标报价得分＝（评标基准价/该投标人的投标总报价）×</w:t>
            </w:r>
            <w:r>
              <w:rPr>
                <w:rFonts w:hint="eastAsia" w:ascii="宋体" w:hAnsi="宋体" w:eastAsia="宋体" w:cs="宋体"/>
                <w:b/>
                <w:color w:val="auto"/>
                <w:szCs w:val="21"/>
                <w:highlight w:val="none"/>
                <w:shd w:val="pct10" w:color="auto" w:fill="FFFFFF"/>
                <w:lang w:val="en-US" w:eastAsia="zh-CN"/>
              </w:rPr>
              <w:t>3</w:t>
            </w:r>
            <w:r>
              <w:rPr>
                <w:rFonts w:hint="eastAsia" w:ascii="宋体" w:hAnsi="宋体" w:eastAsia="宋体" w:cs="宋体"/>
                <w:b/>
                <w:color w:val="auto"/>
                <w:szCs w:val="21"/>
                <w:highlight w:val="none"/>
                <w:shd w:val="pct10" w:color="auto" w:fill="FFFFFF"/>
              </w:rPr>
              <w:t>0</w:t>
            </w:r>
          </w:p>
          <w:p w14:paraId="532CEBD9">
            <w:pPr>
              <w:keepNext w:val="0"/>
              <w:keepLines w:val="0"/>
              <w:pageBreakBefore w:val="0"/>
              <w:widowControl w:val="0"/>
              <w:kinsoku/>
              <w:wordWrap/>
              <w:overflowPunct/>
              <w:topLinePunct w:val="0"/>
              <w:bidi w:val="0"/>
              <w:snapToGrid/>
              <w:spacing w:line="320" w:lineRule="exact"/>
              <w:textAlignment w:val="auto"/>
              <w:rPr>
                <w:rFonts w:hint="eastAsia" w:hAnsi="宋体" w:cs="宋体"/>
                <w:color w:val="auto"/>
                <w:szCs w:val="21"/>
                <w:highlight w:val="none"/>
                <w:lang w:val="en-US" w:eastAsia="zh-CN"/>
              </w:rPr>
            </w:pPr>
            <w:r>
              <w:rPr>
                <w:rFonts w:hint="eastAsia" w:ascii="宋体" w:hAnsi="宋体" w:eastAsia="宋体" w:cs="宋体"/>
                <w:b/>
                <w:color w:val="auto"/>
                <w:szCs w:val="21"/>
                <w:highlight w:val="none"/>
              </w:rPr>
              <w:t>备注1：因落实政府采购政策进行的调整</w:t>
            </w:r>
          </w:p>
          <w:p w14:paraId="39307AB4">
            <w:pPr>
              <w:pStyle w:val="21"/>
              <w:keepNext w:val="0"/>
              <w:keepLines w:val="0"/>
              <w:pageBreakBefore w:val="0"/>
              <w:widowControl w:val="0"/>
              <w:kinsoku/>
              <w:wordWrap/>
              <w:overflowPunct/>
              <w:topLinePunct w:val="0"/>
              <w:bidi w:val="0"/>
              <w:snapToGrid/>
              <w:spacing w:line="320" w:lineRule="exact"/>
              <w:jc w:val="left"/>
              <w:textAlignment w:val="auto"/>
              <w:rPr>
                <w:rFonts w:hint="default" w:ascii="宋体" w:hAnsi="宋体" w:eastAsia="宋体" w:cs="宋体"/>
                <w:b/>
                <w:bCs/>
                <w:color w:val="auto"/>
                <w:szCs w:val="21"/>
                <w:highlight w:val="none"/>
                <w:lang w:val="en-US"/>
              </w:rPr>
            </w:pPr>
            <w:r>
              <w:rPr>
                <w:rFonts w:hint="eastAsia" w:hAnsi="宋体" w:cs="宋体"/>
                <w:b/>
                <w:bCs/>
                <w:color w:val="auto"/>
                <w:szCs w:val="21"/>
                <w:highlight w:val="none"/>
                <w:lang w:val="en-US" w:eastAsia="zh-CN"/>
              </w:rPr>
              <w:t>本项目属于专门面向中小企业、监狱企业、残疾人福利企业的采购项目，投标报价的评审将不再进行政策性调整。</w:t>
            </w:r>
          </w:p>
          <w:p w14:paraId="789FDFA9">
            <w:pPr>
              <w:pStyle w:val="21"/>
              <w:keepNext w:val="0"/>
              <w:keepLines w:val="0"/>
              <w:pageBreakBefore w:val="0"/>
              <w:widowControl w:val="0"/>
              <w:kinsoku/>
              <w:wordWrap/>
              <w:overflowPunct/>
              <w:topLinePunct w:val="0"/>
              <w:bidi w:val="0"/>
              <w:snapToGrid/>
              <w:spacing w:line="320" w:lineRule="exact"/>
              <w:textAlignment w:val="auto"/>
              <w:rPr>
                <w:rFonts w:hint="eastAsia" w:ascii="宋体" w:hAnsi="宋体" w:eastAsia="宋体" w:cs="宋体"/>
                <w:b/>
                <w:color w:val="auto"/>
                <w:spacing w:val="6"/>
                <w:sz w:val="21"/>
                <w:szCs w:val="21"/>
                <w:highlight w:val="none"/>
              </w:rPr>
            </w:pPr>
            <w:r>
              <w:rPr>
                <w:rFonts w:hint="eastAsia" w:ascii="宋体" w:hAnsi="宋体" w:eastAsia="宋体" w:cs="宋体"/>
                <w:b/>
                <w:bCs/>
                <w:color w:val="auto"/>
                <w:spacing w:val="6"/>
                <w:sz w:val="21"/>
                <w:szCs w:val="21"/>
                <w:highlight w:val="none"/>
              </w:rPr>
              <w:t>备注</w:t>
            </w:r>
            <w:r>
              <w:rPr>
                <w:rFonts w:hint="eastAsia" w:hAnsi="宋体" w:cs="宋体"/>
                <w:b/>
                <w:bCs/>
                <w:color w:val="auto"/>
                <w:spacing w:val="6"/>
                <w:sz w:val="21"/>
                <w:szCs w:val="21"/>
                <w:highlight w:val="none"/>
                <w:lang w:val="en-US" w:eastAsia="zh-CN"/>
              </w:rPr>
              <w:t>2</w:t>
            </w:r>
            <w:r>
              <w:rPr>
                <w:rFonts w:hint="eastAsia" w:ascii="宋体" w:hAnsi="宋体" w:eastAsia="宋体" w:cs="宋体"/>
                <w:b/>
                <w:bCs/>
                <w:color w:val="auto"/>
                <w:spacing w:val="6"/>
                <w:sz w:val="21"/>
                <w:szCs w:val="21"/>
                <w:highlight w:val="none"/>
                <w:lang w:eastAsia="zh-CN"/>
              </w:rPr>
              <w:t>：异常低价问题</w:t>
            </w:r>
            <w:r>
              <w:rPr>
                <w:rFonts w:hint="eastAsia" w:ascii="宋体" w:hAnsi="宋体" w:eastAsia="宋体" w:cs="宋体"/>
                <w:b/>
                <w:color w:val="auto"/>
                <w:sz w:val="21"/>
                <w:szCs w:val="21"/>
                <w:highlight w:val="none"/>
              </w:rPr>
              <w:t>的处理</w:t>
            </w:r>
          </w:p>
          <w:p w14:paraId="6B29A32D">
            <w:pPr>
              <w:pStyle w:val="87"/>
              <w:keepNext w:val="0"/>
              <w:keepLines w:val="0"/>
              <w:pageBreakBefore w:val="0"/>
              <w:widowControl w:val="0"/>
              <w:kinsoku/>
              <w:wordWrap/>
              <w:overflowPunct/>
              <w:topLinePunct w:val="0"/>
              <w:bidi w:val="0"/>
              <w:snapToGrid/>
              <w:spacing w:line="320" w:lineRule="exac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rPr>
              <w:t>1</w:t>
            </w: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政府采购</w:t>
            </w:r>
            <w:r>
              <w:rPr>
                <w:rFonts w:hint="eastAsia" w:ascii="宋体" w:hAnsi="宋体" w:eastAsia="宋体" w:cs="宋体"/>
                <w:color w:val="auto"/>
                <w:kern w:val="2"/>
                <w:sz w:val="21"/>
                <w:szCs w:val="21"/>
                <w:highlight w:val="none"/>
                <w:lang w:eastAsia="zh-CN"/>
              </w:rPr>
              <w:t>评标</w:t>
            </w:r>
            <w:r>
              <w:rPr>
                <w:rFonts w:hint="eastAsia" w:ascii="宋体" w:hAnsi="宋体" w:eastAsia="宋体" w:cs="宋体"/>
                <w:color w:val="auto"/>
                <w:kern w:val="2"/>
                <w:sz w:val="21"/>
                <w:szCs w:val="21"/>
                <w:highlight w:val="none"/>
              </w:rPr>
              <w:t>中出现下列情形之一的，</w:t>
            </w:r>
            <w:r>
              <w:rPr>
                <w:rFonts w:hint="eastAsia" w:ascii="宋体" w:hAnsi="宋体" w:eastAsia="宋体" w:cs="宋体"/>
                <w:color w:val="auto"/>
                <w:kern w:val="2"/>
                <w:sz w:val="21"/>
                <w:szCs w:val="21"/>
                <w:highlight w:val="none"/>
                <w:lang w:eastAsia="zh-CN"/>
              </w:rPr>
              <w:t>评标委员会</w:t>
            </w:r>
            <w:r>
              <w:rPr>
                <w:rFonts w:hint="eastAsia" w:ascii="宋体" w:hAnsi="宋体" w:eastAsia="宋体" w:cs="宋体"/>
                <w:color w:val="auto"/>
                <w:kern w:val="2"/>
                <w:sz w:val="21"/>
                <w:szCs w:val="21"/>
                <w:highlight w:val="none"/>
              </w:rPr>
              <w:t>应当启动异常低价投标（响应）审查程序：</w:t>
            </w:r>
          </w:p>
          <w:p w14:paraId="3C68CBA8">
            <w:pPr>
              <w:pStyle w:val="87"/>
              <w:keepNext w:val="0"/>
              <w:keepLines w:val="0"/>
              <w:pageBreakBefore w:val="0"/>
              <w:widowControl w:val="0"/>
              <w:kinsoku/>
              <w:wordWrap/>
              <w:overflowPunct/>
              <w:topLinePunct w:val="0"/>
              <w:bidi w:val="0"/>
              <w:snapToGrid/>
              <w:spacing w:line="320" w:lineRule="exac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rPr>
              <w:t>①</w:t>
            </w:r>
            <w:r>
              <w:rPr>
                <w:rFonts w:hint="eastAsia" w:ascii="宋体" w:hAnsi="宋体" w:eastAsia="宋体" w:cs="宋体"/>
                <w:color w:val="auto"/>
                <w:kern w:val="2"/>
                <w:sz w:val="21"/>
                <w:szCs w:val="21"/>
                <w:highlight w:val="none"/>
              </w:rPr>
              <w:t>投标（响应）报价低于全部通过符合性审查</w:t>
            </w:r>
            <w:r>
              <w:rPr>
                <w:rFonts w:hint="eastAsia" w:ascii="宋体" w:hAnsi="宋体" w:eastAsia="宋体" w:cs="宋体"/>
                <w:color w:val="auto"/>
                <w:kern w:val="2"/>
                <w:sz w:val="21"/>
                <w:szCs w:val="21"/>
                <w:highlight w:val="none"/>
                <w:lang w:eastAsia="zh-CN"/>
              </w:rPr>
              <w:t>投标人</w:t>
            </w:r>
            <w:r>
              <w:rPr>
                <w:rFonts w:hint="eastAsia" w:ascii="宋体" w:hAnsi="宋体" w:eastAsia="宋体" w:cs="宋体"/>
                <w:color w:val="auto"/>
                <w:kern w:val="2"/>
                <w:sz w:val="21"/>
                <w:szCs w:val="21"/>
                <w:highlight w:val="none"/>
              </w:rPr>
              <w:t>投标（响应）报价平均值50%的，即投标（响应）报价</w:t>
            </w:r>
            <w:r>
              <w:rPr>
                <w:rFonts w:hint="eastAsia" w:ascii="宋体" w:hAnsi="宋体" w:eastAsia="宋体" w:cs="宋体"/>
                <w:color w:val="auto"/>
                <w:kern w:val="2"/>
                <w:sz w:val="21"/>
                <w:szCs w:val="21"/>
                <w:highlight w:val="none"/>
                <w:lang w:val="en-US" w:eastAsia="zh-CN"/>
              </w:rPr>
              <w:t>＜</w:t>
            </w:r>
            <w:r>
              <w:rPr>
                <w:rFonts w:hint="eastAsia" w:ascii="宋体" w:hAnsi="宋体" w:eastAsia="宋体" w:cs="宋体"/>
                <w:color w:val="auto"/>
                <w:kern w:val="2"/>
                <w:sz w:val="21"/>
                <w:szCs w:val="21"/>
                <w:highlight w:val="none"/>
              </w:rPr>
              <w:t>全部通过符合性审查</w:t>
            </w:r>
            <w:r>
              <w:rPr>
                <w:rFonts w:hint="eastAsia" w:ascii="宋体" w:hAnsi="宋体" w:eastAsia="宋体" w:cs="宋体"/>
                <w:color w:val="auto"/>
                <w:kern w:val="2"/>
                <w:sz w:val="21"/>
                <w:szCs w:val="21"/>
                <w:highlight w:val="none"/>
                <w:lang w:eastAsia="zh-CN"/>
              </w:rPr>
              <w:t>投标人</w:t>
            </w:r>
            <w:r>
              <w:rPr>
                <w:rFonts w:hint="eastAsia" w:ascii="宋体" w:hAnsi="宋体" w:eastAsia="宋体" w:cs="宋体"/>
                <w:color w:val="auto"/>
                <w:kern w:val="2"/>
                <w:sz w:val="21"/>
                <w:szCs w:val="21"/>
                <w:highlight w:val="none"/>
              </w:rPr>
              <w:t>投标（响应）报价平均值×50%；</w:t>
            </w:r>
          </w:p>
          <w:p w14:paraId="0AEB036F">
            <w:pPr>
              <w:pStyle w:val="87"/>
              <w:keepNext w:val="0"/>
              <w:keepLines w:val="0"/>
              <w:pageBreakBefore w:val="0"/>
              <w:widowControl w:val="0"/>
              <w:kinsoku/>
              <w:wordWrap/>
              <w:overflowPunct/>
              <w:topLinePunct w:val="0"/>
              <w:bidi w:val="0"/>
              <w:snapToGrid/>
              <w:spacing w:line="320" w:lineRule="exac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rPr>
              <w:t>②</w:t>
            </w:r>
            <w:r>
              <w:rPr>
                <w:rFonts w:hint="eastAsia" w:ascii="宋体" w:hAnsi="宋体" w:eastAsia="宋体" w:cs="宋体"/>
                <w:color w:val="auto"/>
                <w:kern w:val="2"/>
                <w:sz w:val="21"/>
                <w:szCs w:val="21"/>
                <w:highlight w:val="none"/>
              </w:rPr>
              <w:t>投标（响应）报价低于通过符合性审查次低报价</w:t>
            </w:r>
            <w:r>
              <w:rPr>
                <w:rFonts w:hint="eastAsia" w:ascii="宋体" w:hAnsi="宋体" w:eastAsia="宋体" w:cs="宋体"/>
                <w:color w:val="auto"/>
                <w:kern w:val="2"/>
                <w:sz w:val="21"/>
                <w:szCs w:val="21"/>
                <w:highlight w:val="none"/>
                <w:lang w:eastAsia="zh-CN"/>
              </w:rPr>
              <w:t>的投标人</w:t>
            </w:r>
            <w:r>
              <w:rPr>
                <w:rFonts w:hint="eastAsia" w:ascii="宋体" w:hAnsi="宋体" w:eastAsia="宋体" w:cs="宋体"/>
                <w:color w:val="auto"/>
                <w:kern w:val="2"/>
                <w:sz w:val="21"/>
                <w:szCs w:val="21"/>
                <w:highlight w:val="none"/>
              </w:rPr>
              <w:t>投标（响应）报价50%的，即投标（响应）报价</w:t>
            </w:r>
            <w:r>
              <w:rPr>
                <w:rFonts w:hint="eastAsia" w:ascii="宋体" w:hAnsi="宋体" w:eastAsia="宋体" w:cs="宋体"/>
                <w:color w:val="auto"/>
                <w:kern w:val="2"/>
                <w:sz w:val="21"/>
                <w:szCs w:val="21"/>
                <w:highlight w:val="none"/>
                <w:lang w:val="en-US" w:eastAsia="zh-CN"/>
              </w:rPr>
              <w:t>＜</w:t>
            </w:r>
            <w:r>
              <w:rPr>
                <w:rFonts w:hint="eastAsia" w:ascii="宋体" w:hAnsi="宋体" w:eastAsia="宋体" w:cs="宋体"/>
                <w:color w:val="auto"/>
                <w:kern w:val="2"/>
                <w:sz w:val="21"/>
                <w:szCs w:val="21"/>
                <w:highlight w:val="none"/>
              </w:rPr>
              <w:t>通过符合性审查次低报价</w:t>
            </w:r>
            <w:r>
              <w:rPr>
                <w:rFonts w:hint="eastAsia" w:ascii="宋体" w:hAnsi="宋体" w:eastAsia="宋体" w:cs="宋体"/>
                <w:color w:val="auto"/>
                <w:kern w:val="2"/>
                <w:sz w:val="21"/>
                <w:szCs w:val="21"/>
                <w:highlight w:val="none"/>
                <w:lang w:eastAsia="zh-CN"/>
              </w:rPr>
              <w:t>的投标人</w:t>
            </w:r>
            <w:r>
              <w:rPr>
                <w:rFonts w:hint="eastAsia" w:ascii="宋体" w:hAnsi="宋体" w:eastAsia="宋体" w:cs="宋体"/>
                <w:color w:val="auto"/>
                <w:kern w:val="2"/>
                <w:sz w:val="21"/>
                <w:szCs w:val="21"/>
                <w:highlight w:val="none"/>
              </w:rPr>
              <w:t>投标（响应）报价×50%；</w:t>
            </w:r>
          </w:p>
          <w:p w14:paraId="0CF01965">
            <w:pPr>
              <w:pStyle w:val="87"/>
              <w:keepNext w:val="0"/>
              <w:keepLines w:val="0"/>
              <w:pageBreakBefore w:val="0"/>
              <w:widowControl w:val="0"/>
              <w:kinsoku/>
              <w:wordWrap/>
              <w:overflowPunct/>
              <w:topLinePunct w:val="0"/>
              <w:bidi w:val="0"/>
              <w:snapToGrid/>
              <w:spacing w:line="320" w:lineRule="exac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rPr>
              <w:t>③</w:t>
            </w:r>
            <w:r>
              <w:rPr>
                <w:rFonts w:hint="eastAsia" w:ascii="宋体" w:hAnsi="宋体" w:eastAsia="宋体" w:cs="宋体"/>
                <w:color w:val="auto"/>
                <w:kern w:val="2"/>
                <w:sz w:val="21"/>
                <w:szCs w:val="21"/>
                <w:highlight w:val="none"/>
              </w:rPr>
              <w:t>投标（响应）报价低于采购项目最高限价45%的，即投标（响应）报价</w:t>
            </w:r>
            <w:r>
              <w:rPr>
                <w:rFonts w:hint="eastAsia" w:ascii="宋体" w:hAnsi="宋体" w:eastAsia="宋体" w:cs="宋体"/>
                <w:color w:val="auto"/>
                <w:kern w:val="2"/>
                <w:sz w:val="21"/>
                <w:szCs w:val="21"/>
                <w:highlight w:val="none"/>
                <w:lang w:val="en-US" w:eastAsia="zh-CN"/>
              </w:rPr>
              <w:t>＜</w:t>
            </w:r>
            <w:r>
              <w:rPr>
                <w:rFonts w:hint="eastAsia" w:ascii="宋体" w:hAnsi="宋体" w:eastAsia="宋体" w:cs="宋体"/>
                <w:color w:val="auto"/>
                <w:kern w:val="2"/>
                <w:sz w:val="21"/>
                <w:szCs w:val="21"/>
                <w:highlight w:val="none"/>
              </w:rPr>
              <w:t>采购项目最高限价×45%；</w:t>
            </w:r>
          </w:p>
          <w:p w14:paraId="559ABE42">
            <w:pPr>
              <w:pStyle w:val="87"/>
              <w:keepNext w:val="0"/>
              <w:keepLines w:val="0"/>
              <w:pageBreakBefore w:val="0"/>
              <w:widowControl w:val="0"/>
              <w:kinsoku/>
              <w:wordWrap/>
              <w:overflowPunct/>
              <w:topLinePunct w:val="0"/>
              <w:bidi w:val="0"/>
              <w:snapToGrid/>
              <w:spacing w:line="320" w:lineRule="exac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rPr>
              <w:t>④</w:t>
            </w:r>
            <w:r>
              <w:rPr>
                <w:rFonts w:hint="eastAsia" w:ascii="宋体" w:hAnsi="宋体" w:eastAsia="宋体" w:cs="宋体"/>
                <w:color w:val="auto"/>
                <w:kern w:val="2"/>
                <w:sz w:val="21"/>
                <w:szCs w:val="21"/>
                <w:highlight w:val="none"/>
                <w:lang w:eastAsia="zh-CN"/>
              </w:rPr>
              <w:t>评标委员会</w:t>
            </w:r>
            <w:r>
              <w:rPr>
                <w:rFonts w:hint="eastAsia" w:ascii="宋体" w:hAnsi="宋体" w:eastAsia="宋体" w:cs="宋体"/>
                <w:color w:val="auto"/>
                <w:kern w:val="2"/>
                <w:sz w:val="21"/>
                <w:szCs w:val="21"/>
                <w:highlight w:val="none"/>
              </w:rPr>
              <w:t>基于专业判断，认为</w:t>
            </w:r>
            <w:r>
              <w:rPr>
                <w:rFonts w:hint="eastAsia" w:ascii="宋体" w:hAnsi="宋体" w:eastAsia="宋体" w:cs="宋体"/>
                <w:color w:val="auto"/>
                <w:kern w:val="2"/>
                <w:sz w:val="21"/>
                <w:szCs w:val="21"/>
                <w:highlight w:val="none"/>
                <w:lang w:eastAsia="zh-CN"/>
              </w:rPr>
              <w:t>投标人</w:t>
            </w:r>
            <w:r>
              <w:rPr>
                <w:rFonts w:hint="eastAsia" w:ascii="宋体" w:hAnsi="宋体" w:eastAsia="宋体" w:cs="宋体"/>
                <w:color w:val="auto"/>
                <w:kern w:val="2"/>
                <w:sz w:val="21"/>
                <w:szCs w:val="21"/>
                <w:highlight w:val="none"/>
              </w:rPr>
              <w:t>报价过低，有可能影响产品质量或者不能诚信履约的其他情形。</w:t>
            </w:r>
          </w:p>
          <w:p w14:paraId="5167BF3D">
            <w:pPr>
              <w:pStyle w:val="87"/>
              <w:keepNext w:val="0"/>
              <w:keepLines w:val="0"/>
              <w:pageBreakBefore w:val="0"/>
              <w:widowControl w:val="0"/>
              <w:kinsoku/>
              <w:wordWrap/>
              <w:overflowPunct/>
              <w:topLinePunct w:val="0"/>
              <w:bidi w:val="0"/>
              <w:snapToGrid/>
              <w:spacing w:line="320" w:lineRule="exact"/>
              <w:textAlignment w:val="auto"/>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rPr>
              <w:t>2</w:t>
            </w:r>
            <w:r>
              <w:rPr>
                <w:rFonts w:hint="eastAsia" w:ascii="宋体" w:hAnsi="宋体" w:eastAsia="宋体" w:cs="宋体"/>
                <w:color w:val="auto"/>
                <w:kern w:val="2"/>
                <w:sz w:val="21"/>
                <w:szCs w:val="21"/>
                <w:highlight w:val="none"/>
                <w:lang w:eastAsia="zh-CN"/>
              </w:rPr>
              <w:t>）评标委员会启动异常低价投标（响应）审查后，属于前述第</w:t>
            </w:r>
            <w:r>
              <w:rPr>
                <w:rFonts w:hint="eastAsia" w:ascii="宋体" w:hAnsi="宋体" w:eastAsia="宋体" w:cs="宋体"/>
                <w:color w:val="auto"/>
                <w:kern w:val="2"/>
                <w:sz w:val="21"/>
                <w:szCs w:val="21"/>
                <w:highlight w:val="none"/>
                <w:lang w:val="en-US" w:eastAsia="zh-CN"/>
              </w:rPr>
              <w:t>①</w:t>
            </w:r>
            <w:r>
              <w:rPr>
                <w:rFonts w:hint="eastAsia" w:ascii="宋体" w:hAnsi="宋体" w:eastAsia="宋体" w:cs="宋体"/>
                <w:color w:val="auto"/>
                <w:kern w:val="2"/>
                <w:sz w:val="21"/>
                <w:szCs w:val="21"/>
                <w:highlight w:val="none"/>
                <w:lang w:eastAsia="zh-CN"/>
              </w:rPr>
              <w:t>项至第</w:t>
            </w:r>
            <w:r>
              <w:rPr>
                <w:rFonts w:hint="eastAsia" w:ascii="宋体" w:hAnsi="宋体" w:eastAsia="宋体" w:cs="宋体"/>
                <w:color w:val="auto"/>
                <w:kern w:val="2"/>
                <w:sz w:val="21"/>
                <w:szCs w:val="21"/>
                <w:highlight w:val="none"/>
                <w:lang w:val="en-US" w:eastAsia="zh-CN"/>
              </w:rPr>
              <w:t>④</w:t>
            </w:r>
            <w:r>
              <w:rPr>
                <w:rFonts w:hint="eastAsia" w:ascii="宋体" w:hAnsi="宋体" w:eastAsia="宋体" w:cs="宋体"/>
                <w:color w:val="auto"/>
                <w:kern w:val="2"/>
                <w:sz w:val="21"/>
                <w:szCs w:val="21"/>
                <w:highlight w:val="none"/>
                <w:lang w:eastAsia="zh-CN"/>
              </w:rPr>
              <w:t>项情形的，应当要求相关投标人在评标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w:t>
            </w:r>
            <w:r>
              <w:rPr>
                <w:rFonts w:hint="eastAsia" w:ascii="宋体" w:hAnsi="宋体" w:eastAsia="宋体" w:cs="宋体"/>
                <w:color w:val="auto"/>
                <w:kern w:val="2"/>
                <w:sz w:val="21"/>
                <w:szCs w:val="21"/>
                <w:highlight w:val="none"/>
                <w:lang w:val="en-US" w:eastAsia="zh-CN"/>
              </w:rPr>
              <w:t>③</w:t>
            </w:r>
            <w:r>
              <w:rPr>
                <w:rFonts w:hint="eastAsia" w:ascii="宋体" w:hAnsi="宋体" w:eastAsia="宋体" w:cs="宋体"/>
                <w:color w:val="auto"/>
                <w:kern w:val="2"/>
                <w:sz w:val="21"/>
                <w:szCs w:val="21"/>
                <w:highlight w:val="none"/>
                <w:lang w:eastAsia="zh-CN"/>
              </w:rPr>
              <w:t>项情形，投标人已随投标（响应）文件一并提交相关书面说明及必要的证明材料的，在评标现场可不再重复提交。</w:t>
            </w:r>
          </w:p>
          <w:p w14:paraId="6A7C574C">
            <w:pPr>
              <w:pStyle w:val="87"/>
              <w:keepNext w:val="0"/>
              <w:keepLines w:val="0"/>
              <w:pageBreakBefore w:val="0"/>
              <w:widowControl w:val="0"/>
              <w:kinsoku/>
              <w:wordWrap/>
              <w:overflowPunct/>
              <w:topLinePunct w:val="0"/>
              <w:bidi w:val="0"/>
              <w:snapToGrid/>
              <w:spacing w:line="320" w:lineRule="exact"/>
              <w:textAlignment w:val="auto"/>
              <w:rPr>
                <w:rFonts w:hint="eastAsia" w:ascii="宋体" w:hAnsi="宋体" w:eastAsia="宋体" w:cs="宋体"/>
                <w:b/>
                <w:color w:val="auto"/>
                <w:highlight w:val="none"/>
                <w:shd w:val="pct10" w:color="auto" w:fill="FFFFFF"/>
              </w:rPr>
            </w:pP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rPr>
              <w:t>3</w:t>
            </w:r>
            <w:r>
              <w:rPr>
                <w:rFonts w:hint="eastAsia" w:ascii="宋体" w:hAnsi="宋体" w:eastAsia="宋体" w:cs="宋体"/>
                <w:color w:val="auto"/>
                <w:kern w:val="2"/>
                <w:sz w:val="21"/>
                <w:szCs w:val="21"/>
                <w:highlight w:val="none"/>
                <w:lang w:eastAsia="zh-CN"/>
              </w:rPr>
              <w:t>）评标委员会依据专业经验，参考同类项目中标（成交）价格、类似产品市场价格水平、行业人工费用标准、国家有关部门指导行业协会发布的行业平均成本等情况，对报价合理性进行判断。投标</w:t>
            </w:r>
            <w:r>
              <w:rPr>
                <w:rFonts w:hint="eastAsia" w:ascii="宋体" w:hAnsi="宋体" w:eastAsia="宋体" w:cs="宋体"/>
                <w:color w:val="auto"/>
                <w:kern w:val="2"/>
                <w:sz w:val="21"/>
                <w:szCs w:val="21"/>
                <w:highlight w:val="none"/>
                <w:lang w:val="en-US" w:eastAsia="zh-CN"/>
              </w:rPr>
              <w:t>人</w:t>
            </w:r>
            <w:r>
              <w:rPr>
                <w:rFonts w:hint="eastAsia" w:ascii="宋体" w:hAnsi="宋体" w:eastAsia="宋体" w:cs="宋体"/>
                <w:color w:val="auto"/>
                <w:kern w:val="2"/>
                <w:sz w:val="21"/>
                <w:szCs w:val="21"/>
                <w:highlight w:val="none"/>
                <w:lang w:eastAsia="zh-CN"/>
              </w:rPr>
              <w:t>不能提供书面说明、证明材料，或者提供的书面说明、证明材料不能证明其报价合理性的，评标委员会应当将其作为无效投标（响应）处理。</w:t>
            </w:r>
          </w:p>
        </w:tc>
      </w:tr>
      <w:tr w14:paraId="5D7FB30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300" w:hRule="atLeast"/>
          <w:jc w:val="center"/>
        </w:trPr>
        <w:tc>
          <w:tcPr>
            <w:tcW w:w="513" w:type="dxa"/>
            <w:vMerge w:val="continue"/>
            <w:vAlign w:val="center"/>
          </w:tcPr>
          <w:p w14:paraId="0234E9F2">
            <w:pPr>
              <w:rPr>
                <w:rFonts w:hint="eastAsia" w:ascii="宋体" w:hAnsi="宋体" w:eastAsia="宋体" w:cs="宋体"/>
                <w:color w:val="auto"/>
                <w:highlight w:val="none"/>
              </w:rPr>
            </w:pPr>
          </w:p>
        </w:tc>
        <w:tc>
          <w:tcPr>
            <w:tcW w:w="952" w:type="dxa"/>
            <w:vMerge w:val="continue"/>
            <w:vAlign w:val="center"/>
          </w:tcPr>
          <w:p w14:paraId="721090D8">
            <w:pPr>
              <w:rPr>
                <w:rFonts w:hint="eastAsia" w:ascii="宋体" w:hAnsi="宋体" w:eastAsia="宋体" w:cs="宋体"/>
                <w:color w:val="auto"/>
                <w:highlight w:val="none"/>
              </w:rPr>
            </w:pPr>
          </w:p>
        </w:tc>
        <w:tc>
          <w:tcPr>
            <w:tcW w:w="1550" w:type="dxa"/>
            <w:vMerge w:val="restart"/>
            <w:vAlign w:val="center"/>
          </w:tcPr>
          <w:p w14:paraId="7797798A">
            <w:pPr>
              <w:pStyle w:val="87"/>
              <w:spacing w:line="340" w:lineRule="exac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F2-技术部分（满分</w:t>
            </w:r>
            <w:r>
              <w:rPr>
                <w:rFonts w:hint="eastAsia" w:ascii="宋体" w:hAnsi="宋体" w:eastAsia="宋体" w:cs="宋体"/>
                <w:color w:val="auto"/>
                <w:kern w:val="2"/>
                <w:sz w:val="21"/>
                <w:szCs w:val="21"/>
                <w:highlight w:val="none"/>
                <w:lang w:val="en-US" w:eastAsia="zh-CN"/>
              </w:rPr>
              <w:t>6</w:t>
            </w:r>
            <w:r>
              <w:rPr>
                <w:rFonts w:hint="eastAsia" w:cs="宋体"/>
                <w:color w:val="auto"/>
                <w:kern w:val="2"/>
                <w:sz w:val="21"/>
                <w:szCs w:val="21"/>
                <w:highlight w:val="none"/>
                <w:lang w:val="en-US" w:eastAsia="zh-CN"/>
              </w:rPr>
              <w:t>5</w:t>
            </w:r>
            <w:r>
              <w:rPr>
                <w:rFonts w:hint="eastAsia" w:ascii="宋体" w:hAnsi="宋体" w:eastAsia="宋体" w:cs="宋体"/>
                <w:color w:val="auto"/>
                <w:kern w:val="2"/>
                <w:sz w:val="21"/>
                <w:szCs w:val="21"/>
                <w:highlight w:val="none"/>
              </w:rPr>
              <w:t>分）</w:t>
            </w:r>
          </w:p>
        </w:tc>
        <w:tc>
          <w:tcPr>
            <w:tcW w:w="1360" w:type="dxa"/>
            <w:vAlign w:val="center"/>
          </w:tcPr>
          <w:p w14:paraId="7139CF8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b/>
                <w:color w:val="auto"/>
                <w:highlight w:val="none"/>
                <w:lang w:val="en-US" w:eastAsia="zh-CN"/>
              </w:rPr>
            </w:pPr>
            <w:r>
              <w:rPr>
                <w:rFonts w:hint="eastAsia" w:ascii="宋体" w:hAnsi="宋体" w:eastAsia="宋体" w:cs="宋体"/>
                <w:b w:val="0"/>
                <w:bCs/>
                <w:color w:val="auto"/>
                <w:highlight w:val="none"/>
                <w:lang w:val="en-US" w:eastAsia="zh-CN"/>
              </w:rPr>
              <w:t>技术参数评审评分（满分</w:t>
            </w:r>
            <w:r>
              <w:rPr>
                <w:rFonts w:hint="eastAsia" w:ascii="宋体" w:hAnsi="宋体" w:cs="宋体"/>
                <w:b w:val="0"/>
                <w:bCs/>
                <w:color w:val="auto"/>
                <w:highlight w:val="none"/>
                <w:lang w:val="en-US" w:eastAsia="zh-CN"/>
              </w:rPr>
              <w:t>18</w:t>
            </w:r>
            <w:r>
              <w:rPr>
                <w:rFonts w:hint="eastAsia" w:ascii="宋体" w:hAnsi="宋体" w:eastAsia="宋体" w:cs="宋体"/>
                <w:b w:val="0"/>
                <w:bCs/>
                <w:color w:val="auto"/>
                <w:highlight w:val="none"/>
                <w:lang w:val="en-US" w:eastAsia="zh-CN"/>
              </w:rPr>
              <w:t>分）</w:t>
            </w:r>
          </w:p>
        </w:tc>
        <w:tc>
          <w:tcPr>
            <w:tcW w:w="5707" w:type="dxa"/>
            <w:vAlign w:val="center"/>
          </w:tcPr>
          <w:p w14:paraId="733F7356">
            <w:pPr>
              <w:tabs>
                <w:tab w:val="left" w:pos="540"/>
              </w:tabs>
              <w:adjustRightInd w:val="0"/>
              <w:ind w:firstLine="0" w:firstLineChars="0"/>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w:t>
            </w:r>
            <w:r>
              <w:rPr>
                <w:rFonts w:hint="eastAsia" w:ascii="宋体" w:hAnsi="宋体" w:eastAsia="宋体" w:cs="宋体"/>
                <w:b/>
                <w:color w:val="auto"/>
                <w:szCs w:val="21"/>
                <w:highlight w:val="none"/>
                <w:lang w:val="en-US" w:eastAsia="zh-CN"/>
              </w:rPr>
              <w:t>1</w:t>
            </w:r>
            <w:r>
              <w:rPr>
                <w:rFonts w:hint="eastAsia" w:ascii="宋体" w:hAnsi="宋体" w:eastAsia="宋体" w:cs="宋体"/>
                <w:b/>
                <w:color w:val="auto"/>
                <w:szCs w:val="21"/>
                <w:highlight w:val="none"/>
                <w:lang w:eastAsia="zh-CN"/>
              </w:rPr>
              <w:t>）</w:t>
            </w:r>
            <w:r>
              <w:rPr>
                <w:rFonts w:hint="eastAsia" w:ascii="宋体" w:hAnsi="宋体" w:eastAsia="宋体" w:cs="宋体"/>
                <w:b/>
                <w:color w:val="auto"/>
                <w:szCs w:val="21"/>
                <w:highlight w:val="none"/>
              </w:rPr>
              <w:t>重要</w:t>
            </w:r>
            <w:r>
              <w:rPr>
                <w:rFonts w:hint="eastAsia" w:ascii="宋体" w:hAnsi="宋体" w:eastAsia="宋体" w:cs="宋体"/>
                <w:b/>
                <w:color w:val="auto"/>
                <w:szCs w:val="21"/>
                <w:highlight w:val="none"/>
                <w:lang w:val="en-US" w:eastAsia="zh-CN"/>
              </w:rPr>
              <w:t>技术</w:t>
            </w:r>
            <w:r>
              <w:rPr>
                <w:rFonts w:hint="eastAsia" w:ascii="宋体" w:hAnsi="宋体" w:eastAsia="宋体" w:cs="宋体"/>
                <w:b/>
                <w:color w:val="auto"/>
                <w:szCs w:val="21"/>
                <w:highlight w:val="none"/>
              </w:rPr>
              <w:t>参数评审评分（满分</w:t>
            </w:r>
            <w:r>
              <w:rPr>
                <w:rFonts w:hint="eastAsia" w:ascii="宋体" w:hAnsi="宋体" w:cs="宋体"/>
                <w:b/>
                <w:color w:val="auto"/>
                <w:szCs w:val="21"/>
                <w:highlight w:val="none"/>
                <w:lang w:val="en-US" w:eastAsia="zh-CN"/>
              </w:rPr>
              <w:t>10</w:t>
            </w:r>
            <w:r>
              <w:rPr>
                <w:rFonts w:hint="eastAsia" w:ascii="宋体" w:hAnsi="宋体" w:eastAsia="宋体" w:cs="宋体"/>
                <w:b/>
                <w:color w:val="auto"/>
                <w:szCs w:val="21"/>
                <w:highlight w:val="none"/>
              </w:rPr>
              <w:t>分）</w:t>
            </w:r>
          </w:p>
          <w:p w14:paraId="76317133">
            <w:pPr>
              <w:spacing w:line="440" w:lineRule="exact"/>
              <w:ind w:firstLine="0" w:firstLineChars="0"/>
              <w:rPr>
                <w:rFonts w:hint="eastAsia" w:ascii="宋体" w:hAnsi="宋体" w:eastAsia="宋体" w:cs="宋体"/>
                <w:b w:val="0"/>
                <w:bCs w:val="0"/>
                <w:color w:val="auto"/>
                <w:szCs w:val="21"/>
                <w:highlight w:val="none"/>
                <w:lang w:eastAsia="zh-CN"/>
              </w:rPr>
            </w:pPr>
            <w:r>
              <w:rPr>
                <w:rFonts w:hint="eastAsia" w:ascii="宋体" w:hAnsi="宋体" w:eastAsia="宋体" w:cs="宋体"/>
                <w:b w:val="0"/>
                <w:bCs w:val="0"/>
                <w:color w:val="auto"/>
                <w:szCs w:val="21"/>
                <w:highlight w:val="none"/>
              </w:rPr>
              <w:t>根据投标人对第五章《</w:t>
            </w:r>
            <w:r>
              <w:rPr>
                <w:rFonts w:hint="eastAsia" w:ascii="宋体" w:hAnsi="宋体" w:eastAsia="宋体" w:cs="宋体"/>
                <w:b w:val="0"/>
                <w:bCs w:val="0"/>
                <w:color w:val="auto"/>
                <w:szCs w:val="21"/>
                <w:highlight w:val="none"/>
                <w:lang w:val="en-US" w:eastAsia="zh-CN"/>
              </w:rPr>
              <w:t>招标内容及要求</w:t>
            </w:r>
            <w:r>
              <w:rPr>
                <w:rFonts w:hint="eastAsia" w:ascii="宋体" w:hAnsi="宋体" w:eastAsia="宋体" w:cs="宋体"/>
                <w:b w:val="0"/>
                <w:bCs w:val="0"/>
                <w:color w:val="auto"/>
                <w:szCs w:val="21"/>
                <w:highlight w:val="none"/>
              </w:rPr>
              <w:t>》</w:t>
            </w:r>
            <w:r>
              <w:rPr>
                <w:rFonts w:hint="eastAsia" w:ascii="宋体" w:hAnsi="宋体" w:cs="宋体"/>
                <w:b w:val="0"/>
                <w:bCs w:val="0"/>
                <w:color w:val="auto"/>
                <w:szCs w:val="21"/>
                <w:highlight w:val="none"/>
                <w:lang w:val="en-US" w:eastAsia="zh-CN"/>
              </w:rPr>
              <w:t>技术</w:t>
            </w:r>
            <w:r>
              <w:rPr>
                <w:rFonts w:hint="eastAsia" w:ascii="宋体" w:hAnsi="宋体" w:eastAsia="宋体" w:cs="宋体"/>
                <w:b w:val="0"/>
                <w:bCs w:val="0"/>
                <w:color w:val="auto"/>
                <w:szCs w:val="21"/>
                <w:highlight w:val="none"/>
              </w:rPr>
              <w:t>参数</w:t>
            </w:r>
            <w:r>
              <w:rPr>
                <w:rFonts w:hint="eastAsia" w:ascii="宋体" w:hAnsi="宋体" w:cs="宋体"/>
                <w:b w:val="0"/>
                <w:bCs w:val="0"/>
                <w:color w:val="auto"/>
                <w:szCs w:val="21"/>
                <w:highlight w:val="none"/>
                <w:lang w:val="en-US" w:eastAsia="zh-CN"/>
              </w:rPr>
              <w:t>及要求</w:t>
            </w:r>
            <w:r>
              <w:rPr>
                <w:rFonts w:hint="eastAsia" w:ascii="宋体" w:hAnsi="宋体" w:eastAsia="宋体" w:cs="宋体"/>
                <w:b w:val="0"/>
                <w:bCs w:val="0"/>
                <w:color w:val="auto"/>
                <w:szCs w:val="21"/>
                <w:highlight w:val="none"/>
              </w:rPr>
              <w:t>的响应情况进行评审，标注“</w:t>
            </w:r>
            <w:r>
              <w:rPr>
                <w:rFonts w:hint="default" w:ascii="Times New Roman" w:hAnsi="Times New Roman" w:cs="Times New Roman"/>
                <w:color w:val="auto"/>
                <w:highlight w:val="none"/>
                <w:lang w:val="en-US" w:eastAsia="zh-CN"/>
              </w:rPr>
              <w:t>▲</w:t>
            </w:r>
            <w:r>
              <w:rPr>
                <w:rFonts w:hint="eastAsia" w:ascii="宋体" w:hAnsi="宋体" w:eastAsia="宋体" w:cs="宋体"/>
                <w:b w:val="0"/>
                <w:bCs w:val="0"/>
                <w:color w:val="auto"/>
                <w:szCs w:val="21"/>
                <w:highlight w:val="none"/>
              </w:rPr>
              <w:t>”参数为重要</w:t>
            </w:r>
            <w:r>
              <w:rPr>
                <w:rFonts w:hint="eastAsia" w:ascii="宋体" w:hAnsi="宋体" w:eastAsia="宋体" w:cs="宋体"/>
                <w:b w:val="0"/>
                <w:bCs w:val="0"/>
                <w:color w:val="auto"/>
                <w:szCs w:val="21"/>
                <w:highlight w:val="none"/>
                <w:lang w:val="en-US" w:eastAsia="zh-CN"/>
              </w:rPr>
              <w:t>技术</w:t>
            </w:r>
            <w:r>
              <w:rPr>
                <w:rFonts w:hint="eastAsia" w:ascii="宋体" w:hAnsi="宋体" w:eastAsia="宋体" w:cs="宋体"/>
                <w:b w:val="0"/>
                <w:bCs w:val="0"/>
                <w:color w:val="auto"/>
                <w:szCs w:val="21"/>
                <w:highlight w:val="none"/>
              </w:rPr>
              <w:t>参数，若投标人未对</w:t>
            </w:r>
            <w:r>
              <w:rPr>
                <w:rFonts w:hint="eastAsia" w:ascii="宋体" w:hAnsi="宋体" w:cs="宋体"/>
                <w:b w:val="0"/>
                <w:bCs w:val="0"/>
                <w:color w:val="auto"/>
                <w:szCs w:val="21"/>
                <w:highlight w:val="none"/>
                <w:lang w:val="en-US" w:eastAsia="zh-CN"/>
              </w:rPr>
              <w:t>重要</w:t>
            </w:r>
            <w:r>
              <w:rPr>
                <w:rFonts w:hint="eastAsia" w:ascii="宋体" w:hAnsi="宋体" w:eastAsia="宋体" w:cs="宋体"/>
                <w:b w:val="0"/>
                <w:bCs w:val="0"/>
                <w:color w:val="auto"/>
                <w:szCs w:val="21"/>
                <w:highlight w:val="none"/>
              </w:rPr>
              <w:t>技术</w:t>
            </w:r>
            <w:r>
              <w:rPr>
                <w:rFonts w:hint="eastAsia" w:ascii="宋体" w:hAnsi="宋体" w:eastAsia="宋体" w:cs="宋体"/>
                <w:b w:val="0"/>
                <w:bCs w:val="0"/>
                <w:color w:val="auto"/>
                <w:szCs w:val="21"/>
                <w:highlight w:val="none"/>
                <w:lang w:val="en-US" w:eastAsia="zh-CN"/>
              </w:rPr>
              <w:t>参数</w:t>
            </w:r>
            <w:r>
              <w:rPr>
                <w:rFonts w:hint="eastAsia" w:ascii="宋体" w:hAnsi="宋体" w:eastAsia="宋体" w:cs="宋体"/>
                <w:b w:val="0"/>
                <w:bCs w:val="0"/>
                <w:color w:val="auto"/>
                <w:szCs w:val="21"/>
                <w:highlight w:val="none"/>
              </w:rPr>
              <w:t>内容作出响应或响应为负偏离的</w:t>
            </w: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每</w:t>
            </w:r>
            <w:r>
              <w:rPr>
                <w:rFonts w:hint="eastAsia" w:ascii="宋体" w:hAnsi="宋体" w:eastAsia="宋体" w:cs="宋体"/>
                <w:b w:val="0"/>
                <w:bCs w:val="0"/>
                <w:color w:val="auto"/>
                <w:szCs w:val="21"/>
                <w:highlight w:val="none"/>
              </w:rPr>
              <w:t>一条扣</w:t>
            </w:r>
            <w:r>
              <w:rPr>
                <w:rFonts w:hint="eastAsia" w:ascii="宋体" w:hAnsi="宋体" w:cs="宋体"/>
                <w:b w:val="0"/>
                <w:bCs w:val="0"/>
                <w:color w:val="auto"/>
                <w:szCs w:val="21"/>
                <w:highlight w:val="none"/>
                <w:u w:val="single"/>
                <w:lang w:val="en-US" w:eastAsia="zh-CN"/>
              </w:rPr>
              <w:t>1</w:t>
            </w:r>
            <w:r>
              <w:rPr>
                <w:rFonts w:hint="eastAsia" w:ascii="宋体" w:hAnsi="宋体" w:eastAsia="宋体" w:cs="宋体"/>
                <w:b w:val="0"/>
                <w:bCs w:val="0"/>
                <w:color w:val="auto"/>
                <w:szCs w:val="21"/>
                <w:highlight w:val="none"/>
              </w:rPr>
              <w:t>分</w:t>
            </w:r>
            <w:r>
              <w:rPr>
                <w:rFonts w:hint="eastAsia" w:ascii="宋体" w:hAnsi="宋体" w:eastAsia="宋体" w:cs="宋体"/>
                <w:b w:val="0"/>
                <w:bCs w:val="0"/>
                <w:color w:val="auto"/>
                <w:szCs w:val="21"/>
                <w:highlight w:val="none"/>
                <w:lang w:eastAsia="zh-CN"/>
              </w:rPr>
              <w:t>。</w:t>
            </w:r>
          </w:p>
          <w:p w14:paraId="197886C0">
            <w:pPr>
              <w:ind w:firstLine="0" w:firstLineChars="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lang w:val="en-US" w:eastAsia="zh-CN"/>
              </w:rPr>
              <w:t>2</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rPr>
              <w:t>一般</w:t>
            </w:r>
            <w:r>
              <w:rPr>
                <w:rFonts w:hint="eastAsia" w:ascii="宋体" w:hAnsi="宋体" w:eastAsia="宋体" w:cs="宋体"/>
                <w:b/>
                <w:bCs/>
                <w:color w:val="auto"/>
                <w:szCs w:val="21"/>
                <w:highlight w:val="none"/>
                <w:lang w:val="en-US" w:eastAsia="zh-CN"/>
              </w:rPr>
              <w:t>技术</w:t>
            </w:r>
            <w:r>
              <w:rPr>
                <w:rFonts w:hint="eastAsia" w:ascii="宋体" w:hAnsi="宋体" w:eastAsia="宋体" w:cs="宋体"/>
                <w:b/>
                <w:bCs/>
                <w:color w:val="auto"/>
                <w:szCs w:val="21"/>
                <w:highlight w:val="none"/>
              </w:rPr>
              <w:t>参数评审评分（满分</w:t>
            </w:r>
            <w:r>
              <w:rPr>
                <w:rFonts w:hint="eastAsia" w:ascii="宋体" w:hAnsi="宋体" w:cs="宋体"/>
                <w:b/>
                <w:bCs/>
                <w:color w:val="auto"/>
                <w:szCs w:val="21"/>
                <w:highlight w:val="none"/>
                <w:lang w:val="en-US" w:eastAsia="zh-CN"/>
              </w:rPr>
              <w:t>8</w:t>
            </w:r>
            <w:r>
              <w:rPr>
                <w:rFonts w:hint="eastAsia" w:ascii="宋体" w:hAnsi="宋体" w:eastAsia="宋体" w:cs="宋体"/>
                <w:b/>
                <w:bCs/>
                <w:color w:val="auto"/>
                <w:szCs w:val="21"/>
                <w:highlight w:val="none"/>
              </w:rPr>
              <w:t>分）</w:t>
            </w:r>
          </w:p>
          <w:p w14:paraId="0F53C527">
            <w:pPr>
              <w:adjustRightInd w:val="0"/>
              <w:snapToGrid w:val="0"/>
              <w:spacing w:line="440" w:lineRule="exact"/>
              <w:ind w:firstLine="0" w:firstLineChars="0"/>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rPr>
              <w:t>根据投标人对第五章《</w:t>
            </w:r>
            <w:r>
              <w:rPr>
                <w:rFonts w:hint="eastAsia" w:ascii="宋体" w:hAnsi="宋体" w:eastAsia="宋体" w:cs="宋体"/>
                <w:b w:val="0"/>
                <w:bCs w:val="0"/>
                <w:color w:val="auto"/>
                <w:szCs w:val="21"/>
                <w:highlight w:val="none"/>
                <w:lang w:val="en-US" w:eastAsia="zh-CN"/>
              </w:rPr>
              <w:t>招标内容及要求</w:t>
            </w:r>
            <w:r>
              <w:rPr>
                <w:rFonts w:hint="eastAsia" w:ascii="宋体" w:hAnsi="宋体" w:eastAsia="宋体" w:cs="宋体"/>
                <w:b w:val="0"/>
                <w:bCs w:val="0"/>
                <w:color w:val="auto"/>
                <w:szCs w:val="21"/>
                <w:highlight w:val="none"/>
              </w:rPr>
              <w:t>》</w:t>
            </w:r>
            <w:r>
              <w:rPr>
                <w:rFonts w:hint="eastAsia" w:ascii="宋体" w:hAnsi="宋体" w:cs="宋体"/>
                <w:b w:val="0"/>
                <w:bCs w:val="0"/>
                <w:color w:val="auto"/>
                <w:szCs w:val="21"/>
                <w:highlight w:val="none"/>
                <w:lang w:val="en-US" w:eastAsia="zh-CN"/>
              </w:rPr>
              <w:t>技术</w:t>
            </w:r>
            <w:r>
              <w:rPr>
                <w:rFonts w:hint="eastAsia" w:ascii="宋体" w:hAnsi="宋体" w:eastAsia="宋体" w:cs="宋体"/>
                <w:b w:val="0"/>
                <w:bCs w:val="0"/>
                <w:color w:val="auto"/>
                <w:szCs w:val="21"/>
                <w:highlight w:val="none"/>
              </w:rPr>
              <w:t>参数</w:t>
            </w:r>
            <w:r>
              <w:rPr>
                <w:rFonts w:hint="eastAsia" w:ascii="宋体" w:hAnsi="宋体" w:cs="宋体"/>
                <w:b w:val="0"/>
                <w:bCs w:val="0"/>
                <w:color w:val="auto"/>
                <w:szCs w:val="21"/>
                <w:highlight w:val="none"/>
                <w:lang w:val="en-US" w:eastAsia="zh-CN"/>
              </w:rPr>
              <w:t>及要求</w:t>
            </w:r>
            <w:r>
              <w:rPr>
                <w:rFonts w:hint="eastAsia" w:ascii="宋体" w:hAnsi="宋体" w:eastAsia="宋体" w:cs="宋体"/>
                <w:b w:val="0"/>
                <w:bCs w:val="0"/>
                <w:color w:val="auto"/>
                <w:szCs w:val="21"/>
                <w:highlight w:val="none"/>
              </w:rPr>
              <w:t>的响应情况进行评审</w:t>
            </w:r>
            <w:r>
              <w:rPr>
                <w:rFonts w:hint="eastAsia" w:ascii="宋体" w:hAnsi="宋体" w:eastAsia="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未</w:t>
            </w:r>
            <w:r>
              <w:rPr>
                <w:rFonts w:hint="eastAsia" w:ascii="宋体" w:hAnsi="宋体" w:eastAsia="宋体" w:cs="宋体"/>
                <w:b w:val="0"/>
                <w:bCs w:val="0"/>
                <w:color w:val="auto"/>
                <w:szCs w:val="21"/>
                <w:highlight w:val="none"/>
              </w:rPr>
              <w:t>标注“</w:t>
            </w:r>
            <w:r>
              <w:rPr>
                <w:rFonts w:hint="default" w:ascii="Times New Roman" w:hAnsi="Times New Roman" w:cs="Times New Roman"/>
                <w:color w:val="auto"/>
                <w:highlight w:val="none"/>
                <w:lang w:val="en-US" w:eastAsia="zh-CN"/>
              </w:rPr>
              <w:t>▲</w:t>
            </w:r>
            <w:r>
              <w:rPr>
                <w:rFonts w:hint="eastAsia" w:ascii="宋体" w:hAnsi="宋体" w:eastAsia="宋体" w:cs="宋体"/>
                <w:b w:val="0"/>
                <w:bCs w:val="0"/>
                <w:color w:val="auto"/>
                <w:szCs w:val="21"/>
                <w:highlight w:val="none"/>
              </w:rPr>
              <w:t>”号的为一般技术</w:t>
            </w:r>
            <w:r>
              <w:rPr>
                <w:rFonts w:hint="eastAsia" w:ascii="宋体" w:hAnsi="宋体" w:eastAsia="宋体" w:cs="宋体"/>
                <w:b w:val="0"/>
                <w:bCs w:val="0"/>
                <w:color w:val="auto"/>
                <w:szCs w:val="21"/>
                <w:highlight w:val="none"/>
                <w:lang w:val="en-US" w:eastAsia="zh-CN"/>
              </w:rPr>
              <w:t>参数</w:t>
            </w:r>
            <w:r>
              <w:rPr>
                <w:rFonts w:hint="eastAsia" w:ascii="宋体" w:hAnsi="宋体" w:eastAsia="宋体" w:cs="宋体"/>
                <w:b w:val="0"/>
                <w:bCs w:val="0"/>
                <w:color w:val="auto"/>
                <w:szCs w:val="21"/>
                <w:highlight w:val="none"/>
              </w:rPr>
              <w:t>，若投标人未对一般技术</w:t>
            </w:r>
            <w:r>
              <w:rPr>
                <w:rFonts w:hint="eastAsia" w:ascii="宋体" w:hAnsi="宋体" w:eastAsia="宋体" w:cs="宋体"/>
                <w:b w:val="0"/>
                <w:bCs w:val="0"/>
                <w:color w:val="auto"/>
                <w:szCs w:val="21"/>
                <w:highlight w:val="none"/>
                <w:lang w:val="en-US" w:eastAsia="zh-CN"/>
              </w:rPr>
              <w:t>参数</w:t>
            </w:r>
            <w:r>
              <w:rPr>
                <w:rFonts w:hint="eastAsia" w:ascii="宋体" w:hAnsi="宋体" w:eastAsia="宋体" w:cs="宋体"/>
                <w:b w:val="0"/>
                <w:bCs w:val="0"/>
                <w:color w:val="auto"/>
                <w:szCs w:val="21"/>
                <w:highlight w:val="none"/>
              </w:rPr>
              <w:t>内容作出响应或响应为负偏离的，每出现一条扣</w:t>
            </w:r>
            <w:r>
              <w:rPr>
                <w:rFonts w:hint="eastAsia" w:ascii="宋体" w:hAnsi="宋体" w:eastAsia="宋体" w:cs="宋体"/>
                <w:b w:val="0"/>
                <w:bCs w:val="0"/>
                <w:color w:val="auto"/>
                <w:szCs w:val="21"/>
                <w:highlight w:val="none"/>
                <w:u w:val="single"/>
                <w:lang w:val="en-US" w:eastAsia="zh-CN"/>
              </w:rPr>
              <w:t>0.</w:t>
            </w:r>
            <w:r>
              <w:rPr>
                <w:rFonts w:hint="eastAsia" w:ascii="宋体" w:hAnsi="宋体" w:cs="宋体"/>
                <w:b w:val="0"/>
                <w:bCs w:val="0"/>
                <w:color w:val="auto"/>
                <w:szCs w:val="21"/>
                <w:highlight w:val="none"/>
                <w:u w:val="single"/>
                <w:lang w:val="en-US" w:eastAsia="zh-CN"/>
              </w:rPr>
              <w:t>5</w:t>
            </w:r>
            <w:r>
              <w:rPr>
                <w:rFonts w:hint="eastAsia" w:ascii="宋体" w:hAnsi="宋体" w:eastAsia="宋体" w:cs="宋体"/>
                <w:b w:val="0"/>
                <w:bCs w:val="0"/>
                <w:color w:val="auto"/>
                <w:szCs w:val="21"/>
                <w:highlight w:val="none"/>
              </w:rPr>
              <w:t>分</w:t>
            </w:r>
            <w:r>
              <w:rPr>
                <w:rFonts w:hint="eastAsia" w:ascii="宋体" w:hAnsi="宋体" w:eastAsia="宋体" w:cs="宋体"/>
                <w:b w:val="0"/>
                <w:bCs w:val="0"/>
                <w:color w:val="auto"/>
                <w:szCs w:val="21"/>
                <w:highlight w:val="none"/>
                <w:lang w:eastAsia="zh-CN"/>
              </w:rPr>
              <w:t>。</w:t>
            </w:r>
          </w:p>
          <w:p w14:paraId="13AFF343">
            <w:pPr>
              <w:pStyle w:val="10"/>
              <w:ind w:left="0" w:leftChars="0" w:firstLine="0" w:firstLineChars="0"/>
              <w:rPr>
                <w:rFonts w:hint="eastAsia" w:ascii="宋体" w:hAnsi="宋体" w:eastAsia="宋体" w:cs="宋体"/>
                <w:color w:val="auto"/>
                <w:highlight w:val="none"/>
                <w:lang w:val="en-US"/>
              </w:rPr>
            </w:pPr>
            <w:r>
              <w:rPr>
                <w:rFonts w:hint="eastAsia" w:ascii="宋体" w:hAnsi="宋体" w:eastAsia="宋体" w:cs="宋体"/>
                <w:b/>
                <w:bCs/>
                <w:color w:val="auto"/>
                <w:szCs w:val="21"/>
                <w:highlight w:val="none"/>
                <w:lang w:val="en-US" w:eastAsia="zh-CN"/>
              </w:rPr>
              <w:t>备注：</w:t>
            </w:r>
            <w:r>
              <w:rPr>
                <w:rFonts w:hint="eastAsia" w:ascii="宋体" w:hAnsi="宋体" w:eastAsia="宋体" w:cs="宋体"/>
                <w:b/>
                <w:bCs w:val="0"/>
                <w:color w:val="auto"/>
                <w:szCs w:val="21"/>
                <w:highlight w:val="none"/>
                <w:lang w:val="en-US" w:eastAsia="zh-CN"/>
              </w:rPr>
              <w:t>①投标人拷贝招标文件技术参数而无技术参数证明材料的或投标技术参数证明材料与投标技术参数响应偏离表不对应的，在正常打分的基础上扣减5分。②专家根据第五章招标内容及要求中的技术参数评审投标人的技术参数响应情况。</w:t>
            </w:r>
          </w:p>
        </w:tc>
      </w:tr>
      <w:tr w14:paraId="01BD584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300" w:hRule="atLeast"/>
          <w:jc w:val="center"/>
        </w:trPr>
        <w:tc>
          <w:tcPr>
            <w:tcW w:w="513" w:type="dxa"/>
            <w:vMerge w:val="continue"/>
            <w:vAlign w:val="center"/>
          </w:tcPr>
          <w:p w14:paraId="0F535655">
            <w:pPr>
              <w:rPr>
                <w:rFonts w:hint="eastAsia" w:ascii="宋体" w:hAnsi="宋体" w:eastAsia="宋体" w:cs="宋体"/>
                <w:color w:val="auto"/>
                <w:highlight w:val="none"/>
              </w:rPr>
            </w:pPr>
          </w:p>
        </w:tc>
        <w:tc>
          <w:tcPr>
            <w:tcW w:w="952" w:type="dxa"/>
            <w:vMerge w:val="continue"/>
            <w:vAlign w:val="center"/>
          </w:tcPr>
          <w:p w14:paraId="1EC64DF9">
            <w:pPr>
              <w:rPr>
                <w:rFonts w:hint="eastAsia" w:ascii="宋体" w:hAnsi="宋体" w:eastAsia="宋体" w:cs="宋体"/>
                <w:color w:val="auto"/>
                <w:highlight w:val="none"/>
              </w:rPr>
            </w:pPr>
          </w:p>
        </w:tc>
        <w:tc>
          <w:tcPr>
            <w:tcW w:w="1550" w:type="dxa"/>
            <w:vMerge w:val="continue"/>
            <w:vAlign w:val="center"/>
          </w:tcPr>
          <w:p w14:paraId="73CAD119">
            <w:pPr>
              <w:rPr>
                <w:rFonts w:hint="eastAsia" w:ascii="宋体" w:hAnsi="宋体" w:eastAsia="宋体" w:cs="宋体"/>
                <w:color w:val="auto"/>
                <w:highlight w:val="none"/>
              </w:rPr>
            </w:pPr>
          </w:p>
        </w:tc>
        <w:tc>
          <w:tcPr>
            <w:tcW w:w="1360" w:type="dxa"/>
            <w:shd w:val="clear" w:color="auto" w:fill="auto"/>
            <w:vAlign w:val="center"/>
          </w:tcPr>
          <w:p w14:paraId="288F0B03">
            <w:pPr>
              <w:pStyle w:val="87"/>
              <w:spacing w:line="340" w:lineRule="exac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kern w:val="2"/>
                <w:sz w:val="21"/>
                <w:szCs w:val="21"/>
                <w:highlight w:val="none"/>
              </w:rPr>
              <w:t>项目实施方案（满分</w:t>
            </w:r>
            <w:r>
              <w:rPr>
                <w:rFonts w:hint="eastAsia" w:cs="宋体"/>
                <w:color w:val="auto"/>
                <w:kern w:val="2"/>
                <w:sz w:val="21"/>
                <w:szCs w:val="21"/>
                <w:highlight w:val="none"/>
                <w:lang w:val="en-US" w:eastAsia="zh-CN"/>
              </w:rPr>
              <w:t>25</w:t>
            </w:r>
            <w:r>
              <w:rPr>
                <w:rFonts w:hint="eastAsia" w:ascii="宋体" w:hAnsi="宋体" w:eastAsia="宋体" w:cs="宋体"/>
                <w:color w:val="auto"/>
                <w:kern w:val="2"/>
                <w:sz w:val="21"/>
                <w:szCs w:val="21"/>
                <w:highlight w:val="none"/>
              </w:rPr>
              <w:t>分）</w:t>
            </w:r>
          </w:p>
        </w:tc>
        <w:tc>
          <w:tcPr>
            <w:tcW w:w="5707" w:type="dxa"/>
            <w:shd w:val="clear" w:color="auto" w:fill="auto"/>
            <w:vAlign w:val="center"/>
          </w:tcPr>
          <w:p w14:paraId="45E270E4">
            <w:pPr>
              <w:pStyle w:val="87"/>
              <w:rPr>
                <w:rFonts w:hint="eastAsia" w:ascii="宋体" w:hAnsi="宋体" w:eastAsia="宋体" w:cs="宋体"/>
                <w:b/>
                <w:bCs/>
                <w:color w:val="auto"/>
                <w:kern w:val="2"/>
                <w:sz w:val="21"/>
                <w:szCs w:val="21"/>
                <w:highlight w:val="none"/>
                <w:lang w:val="en-US" w:eastAsia="zh-CN"/>
              </w:rPr>
            </w:pPr>
            <w:r>
              <w:rPr>
                <w:rFonts w:hint="eastAsia" w:ascii="宋体" w:hAnsi="宋体" w:eastAsia="宋体" w:cs="宋体"/>
                <w:b/>
                <w:bCs/>
                <w:color w:val="auto"/>
                <w:kern w:val="2"/>
                <w:sz w:val="21"/>
                <w:szCs w:val="22"/>
                <w:highlight w:val="none"/>
                <w:lang w:val="en-US" w:eastAsia="zh-CN" w:bidi="ar-SA"/>
              </w:rPr>
              <w:t>依据本项目采购需求和特点，分项评审：</w:t>
            </w:r>
            <w:r>
              <w:rPr>
                <w:rFonts w:hint="eastAsia" w:ascii="宋体" w:hAnsi="宋体" w:eastAsia="宋体" w:cs="宋体"/>
                <w:b/>
                <w:bCs/>
                <w:color w:val="auto"/>
                <w:kern w:val="2"/>
                <w:sz w:val="21"/>
                <w:szCs w:val="21"/>
                <w:highlight w:val="none"/>
                <w:lang w:val="en-US" w:eastAsia="zh-CN"/>
              </w:rPr>
              <w:t>①</w:t>
            </w:r>
            <w:r>
              <w:rPr>
                <w:rFonts w:hint="eastAsia" w:ascii="宋体" w:hAnsi="宋体" w:eastAsia="宋体" w:cs="宋体"/>
                <w:b/>
                <w:bCs/>
                <w:color w:val="auto"/>
                <w:kern w:val="2"/>
                <w:sz w:val="21"/>
                <w:szCs w:val="21"/>
                <w:highlight w:val="none"/>
              </w:rPr>
              <w:t>货物组织运输方案；</w:t>
            </w:r>
            <w:r>
              <w:rPr>
                <w:rFonts w:hint="eastAsia" w:ascii="宋体" w:hAnsi="宋体" w:eastAsia="宋体" w:cs="宋体"/>
                <w:b/>
                <w:bCs/>
                <w:color w:val="auto"/>
                <w:kern w:val="2"/>
                <w:sz w:val="21"/>
                <w:szCs w:val="21"/>
                <w:highlight w:val="none"/>
              </w:rPr>
              <w:fldChar w:fldCharType="begin"/>
            </w:r>
            <w:r>
              <w:rPr>
                <w:rFonts w:hint="eastAsia" w:ascii="宋体" w:hAnsi="宋体" w:eastAsia="宋体" w:cs="宋体"/>
                <w:b/>
                <w:bCs/>
                <w:color w:val="auto"/>
                <w:kern w:val="2"/>
                <w:sz w:val="21"/>
                <w:szCs w:val="21"/>
                <w:highlight w:val="none"/>
              </w:rPr>
              <w:instrText xml:space="preserve"> = 2 \* GB3 </w:instrText>
            </w:r>
            <w:r>
              <w:rPr>
                <w:rFonts w:hint="eastAsia" w:ascii="宋体" w:hAnsi="宋体" w:eastAsia="宋体" w:cs="宋体"/>
                <w:b/>
                <w:bCs/>
                <w:color w:val="auto"/>
                <w:kern w:val="2"/>
                <w:sz w:val="21"/>
                <w:szCs w:val="21"/>
                <w:highlight w:val="none"/>
              </w:rPr>
              <w:fldChar w:fldCharType="separate"/>
            </w:r>
            <w:r>
              <w:rPr>
                <w:rFonts w:hint="eastAsia" w:ascii="宋体" w:hAnsi="宋体" w:eastAsia="宋体" w:cs="宋体"/>
                <w:b/>
                <w:bCs/>
                <w:color w:val="auto"/>
                <w:kern w:val="2"/>
                <w:sz w:val="21"/>
                <w:szCs w:val="21"/>
                <w:highlight w:val="none"/>
              </w:rPr>
              <w:t>②</w:t>
            </w:r>
            <w:r>
              <w:rPr>
                <w:rFonts w:hint="eastAsia" w:ascii="宋体" w:hAnsi="宋体" w:eastAsia="宋体" w:cs="宋体"/>
                <w:b/>
                <w:bCs/>
                <w:color w:val="auto"/>
                <w:kern w:val="2"/>
                <w:sz w:val="21"/>
                <w:szCs w:val="21"/>
                <w:highlight w:val="none"/>
              </w:rPr>
              <w:fldChar w:fldCharType="end"/>
            </w:r>
            <w:r>
              <w:rPr>
                <w:rFonts w:hint="eastAsia" w:ascii="宋体" w:hAnsi="宋体" w:eastAsia="宋体" w:cs="宋体"/>
                <w:b/>
                <w:bCs/>
                <w:color w:val="auto"/>
                <w:kern w:val="2"/>
                <w:sz w:val="21"/>
                <w:szCs w:val="21"/>
                <w:highlight w:val="none"/>
              </w:rPr>
              <w:t>人员配置与职责；</w:t>
            </w:r>
            <w:r>
              <w:rPr>
                <w:rFonts w:hint="eastAsia" w:ascii="宋体" w:hAnsi="宋体" w:eastAsia="宋体" w:cs="宋体"/>
                <w:b/>
                <w:bCs/>
                <w:color w:val="auto"/>
                <w:kern w:val="2"/>
                <w:sz w:val="21"/>
                <w:szCs w:val="21"/>
                <w:highlight w:val="none"/>
              </w:rPr>
              <w:fldChar w:fldCharType="begin"/>
            </w:r>
            <w:r>
              <w:rPr>
                <w:rFonts w:hint="eastAsia" w:ascii="宋体" w:hAnsi="宋体" w:eastAsia="宋体" w:cs="宋体"/>
                <w:b/>
                <w:bCs/>
                <w:color w:val="auto"/>
                <w:kern w:val="2"/>
                <w:sz w:val="21"/>
                <w:szCs w:val="21"/>
                <w:highlight w:val="none"/>
              </w:rPr>
              <w:instrText xml:space="preserve"> = 3 \* GB3 </w:instrText>
            </w:r>
            <w:r>
              <w:rPr>
                <w:rFonts w:hint="eastAsia" w:ascii="宋体" w:hAnsi="宋体" w:eastAsia="宋体" w:cs="宋体"/>
                <w:b/>
                <w:bCs/>
                <w:color w:val="auto"/>
                <w:kern w:val="2"/>
                <w:sz w:val="21"/>
                <w:szCs w:val="21"/>
                <w:highlight w:val="none"/>
              </w:rPr>
              <w:fldChar w:fldCharType="separate"/>
            </w:r>
            <w:r>
              <w:rPr>
                <w:rFonts w:hint="eastAsia" w:ascii="宋体" w:hAnsi="宋体" w:eastAsia="宋体" w:cs="宋体"/>
                <w:b/>
                <w:bCs/>
                <w:color w:val="auto"/>
                <w:kern w:val="2"/>
                <w:sz w:val="21"/>
                <w:szCs w:val="21"/>
                <w:highlight w:val="none"/>
              </w:rPr>
              <w:t>③</w:t>
            </w:r>
            <w:r>
              <w:rPr>
                <w:rFonts w:hint="eastAsia" w:ascii="宋体" w:hAnsi="宋体" w:eastAsia="宋体" w:cs="宋体"/>
                <w:b/>
                <w:bCs/>
                <w:color w:val="auto"/>
                <w:kern w:val="2"/>
                <w:sz w:val="21"/>
                <w:szCs w:val="21"/>
                <w:highlight w:val="none"/>
              </w:rPr>
              <w:fldChar w:fldCharType="end"/>
            </w:r>
            <w:r>
              <w:rPr>
                <w:rFonts w:hint="eastAsia" w:ascii="宋体" w:hAnsi="宋体" w:eastAsia="宋体" w:cs="宋体"/>
                <w:b/>
                <w:bCs/>
                <w:color w:val="auto"/>
                <w:kern w:val="2"/>
                <w:sz w:val="21"/>
                <w:szCs w:val="21"/>
                <w:highlight w:val="none"/>
              </w:rPr>
              <w:t>进度计划</w:t>
            </w:r>
            <w:r>
              <w:rPr>
                <w:rFonts w:hint="eastAsia" w:ascii="宋体" w:hAnsi="宋体" w:eastAsia="宋体" w:cs="宋体"/>
                <w:b/>
                <w:bCs/>
                <w:color w:val="auto"/>
                <w:kern w:val="2"/>
                <w:sz w:val="21"/>
                <w:szCs w:val="21"/>
                <w:highlight w:val="none"/>
                <w:lang w:val="en-US" w:eastAsia="zh-CN"/>
              </w:rPr>
              <w:t>保障措施</w:t>
            </w:r>
            <w:r>
              <w:rPr>
                <w:rFonts w:hint="eastAsia" w:ascii="宋体" w:hAnsi="宋体" w:eastAsia="宋体" w:cs="宋体"/>
                <w:b/>
                <w:bCs/>
                <w:color w:val="auto"/>
                <w:kern w:val="2"/>
                <w:sz w:val="21"/>
                <w:szCs w:val="21"/>
                <w:highlight w:val="none"/>
              </w:rPr>
              <w:t>；</w:t>
            </w:r>
            <w:r>
              <w:rPr>
                <w:rFonts w:hint="eastAsia" w:ascii="宋体" w:hAnsi="宋体" w:eastAsia="宋体" w:cs="宋体"/>
                <w:b/>
                <w:bCs/>
                <w:color w:val="auto"/>
                <w:kern w:val="2"/>
                <w:sz w:val="21"/>
                <w:szCs w:val="21"/>
                <w:highlight w:val="none"/>
              </w:rPr>
              <w:fldChar w:fldCharType="begin"/>
            </w:r>
            <w:r>
              <w:rPr>
                <w:rFonts w:hint="eastAsia" w:ascii="宋体" w:hAnsi="宋体" w:eastAsia="宋体" w:cs="宋体"/>
                <w:b/>
                <w:bCs/>
                <w:color w:val="auto"/>
                <w:kern w:val="2"/>
                <w:sz w:val="21"/>
                <w:szCs w:val="21"/>
                <w:highlight w:val="none"/>
              </w:rPr>
              <w:instrText xml:space="preserve"> = 4 \* GB3 </w:instrText>
            </w:r>
            <w:r>
              <w:rPr>
                <w:rFonts w:hint="eastAsia" w:ascii="宋体" w:hAnsi="宋体" w:eastAsia="宋体" w:cs="宋体"/>
                <w:b/>
                <w:bCs/>
                <w:color w:val="auto"/>
                <w:kern w:val="2"/>
                <w:sz w:val="21"/>
                <w:szCs w:val="21"/>
                <w:highlight w:val="none"/>
              </w:rPr>
              <w:fldChar w:fldCharType="separate"/>
            </w:r>
            <w:r>
              <w:rPr>
                <w:rFonts w:hint="eastAsia" w:ascii="宋体" w:hAnsi="宋体" w:eastAsia="宋体" w:cs="宋体"/>
                <w:b/>
                <w:bCs/>
                <w:color w:val="auto"/>
                <w:kern w:val="2"/>
                <w:sz w:val="21"/>
                <w:szCs w:val="21"/>
                <w:highlight w:val="none"/>
              </w:rPr>
              <w:t>④</w:t>
            </w:r>
            <w:r>
              <w:rPr>
                <w:rFonts w:hint="eastAsia" w:ascii="宋体" w:hAnsi="宋体" w:eastAsia="宋体" w:cs="宋体"/>
                <w:b/>
                <w:bCs/>
                <w:color w:val="auto"/>
                <w:kern w:val="2"/>
                <w:sz w:val="21"/>
                <w:szCs w:val="21"/>
                <w:highlight w:val="none"/>
              </w:rPr>
              <w:fldChar w:fldCharType="end"/>
            </w:r>
            <w:r>
              <w:rPr>
                <w:rFonts w:hint="eastAsia" w:ascii="宋体" w:hAnsi="宋体" w:eastAsia="宋体" w:cs="宋体"/>
                <w:b/>
                <w:bCs/>
                <w:color w:val="auto"/>
                <w:kern w:val="2"/>
                <w:sz w:val="21"/>
                <w:szCs w:val="21"/>
                <w:highlight w:val="none"/>
              </w:rPr>
              <w:t>安装调试</w:t>
            </w:r>
            <w:r>
              <w:rPr>
                <w:rFonts w:hint="eastAsia" w:ascii="宋体" w:hAnsi="宋体" w:eastAsia="宋体" w:cs="宋体"/>
                <w:b/>
                <w:bCs/>
                <w:color w:val="auto"/>
                <w:kern w:val="2"/>
                <w:sz w:val="21"/>
                <w:szCs w:val="21"/>
                <w:highlight w:val="none"/>
                <w:lang w:val="en-US" w:eastAsia="zh-CN"/>
              </w:rPr>
              <w:t>计划及保障</w:t>
            </w:r>
            <w:r>
              <w:rPr>
                <w:rFonts w:hint="eastAsia" w:ascii="宋体" w:hAnsi="宋体" w:eastAsia="宋体" w:cs="宋体"/>
                <w:b/>
                <w:bCs/>
                <w:color w:val="auto"/>
                <w:kern w:val="2"/>
                <w:sz w:val="21"/>
                <w:szCs w:val="21"/>
                <w:highlight w:val="none"/>
              </w:rPr>
              <w:t>措施；</w:t>
            </w:r>
            <w:r>
              <w:rPr>
                <w:rFonts w:hint="eastAsia" w:ascii="宋体" w:hAnsi="宋体" w:eastAsia="宋体" w:cs="宋体"/>
                <w:b/>
                <w:bCs/>
                <w:color w:val="auto"/>
                <w:kern w:val="2"/>
                <w:sz w:val="21"/>
                <w:szCs w:val="21"/>
                <w:highlight w:val="none"/>
                <w:lang w:val="en-US" w:eastAsia="zh-CN"/>
              </w:rPr>
              <w:t>⑤项目</w:t>
            </w:r>
            <w:r>
              <w:rPr>
                <w:rFonts w:hint="eastAsia" w:ascii="宋体" w:hAnsi="宋体" w:eastAsia="宋体" w:cs="宋体"/>
                <w:b/>
                <w:bCs/>
                <w:color w:val="auto"/>
                <w:kern w:val="2"/>
                <w:sz w:val="21"/>
                <w:szCs w:val="21"/>
                <w:highlight w:val="none"/>
              </w:rPr>
              <w:t>验收措施</w:t>
            </w:r>
            <w:r>
              <w:rPr>
                <w:rFonts w:hint="eastAsia" w:ascii="宋体" w:hAnsi="宋体" w:eastAsia="宋体" w:cs="宋体"/>
                <w:b/>
                <w:bCs/>
                <w:color w:val="auto"/>
                <w:kern w:val="2"/>
                <w:sz w:val="21"/>
                <w:szCs w:val="21"/>
                <w:highlight w:val="none"/>
                <w:lang w:eastAsia="zh-CN"/>
              </w:rPr>
              <w:t>。</w:t>
            </w:r>
          </w:p>
          <w:p w14:paraId="202A66E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bCs/>
                <w:color w:val="auto"/>
                <w:sz w:val="21"/>
                <w:szCs w:val="21"/>
                <w:highlight w:val="none"/>
              </w:rPr>
            </w:pPr>
            <w:r>
              <w:rPr>
                <w:rFonts w:hint="eastAsia" w:ascii="宋体" w:hAnsi="宋体" w:eastAsia="宋体" w:cs="宋体"/>
                <w:color w:val="auto"/>
                <w:kern w:val="2"/>
                <w:sz w:val="21"/>
                <w:szCs w:val="21"/>
                <w:highlight w:val="none"/>
              </w:rPr>
              <w:t>第一个档次（</w:t>
            </w:r>
            <w:r>
              <w:rPr>
                <w:rFonts w:hint="eastAsia" w:ascii="宋体" w:hAnsi="宋体" w:cs="宋体"/>
                <w:color w:val="auto"/>
                <w:kern w:val="2"/>
                <w:sz w:val="21"/>
                <w:szCs w:val="21"/>
                <w:highlight w:val="none"/>
                <w:lang w:val="en-US" w:eastAsia="zh-CN"/>
              </w:rPr>
              <w:t>5</w:t>
            </w:r>
            <w:r>
              <w:rPr>
                <w:rFonts w:hint="eastAsia" w:ascii="宋体" w:hAnsi="宋体" w:eastAsia="宋体" w:cs="宋体"/>
                <w:color w:val="auto"/>
                <w:kern w:val="2"/>
                <w:sz w:val="21"/>
                <w:szCs w:val="21"/>
                <w:highlight w:val="none"/>
              </w:rPr>
              <w:t>分）：</w:t>
            </w:r>
            <w:r>
              <w:rPr>
                <w:rFonts w:hint="eastAsia"/>
                <w:sz w:val="21"/>
                <w:szCs w:val="21"/>
                <w:highlight w:val="none"/>
              </w:rPr>
              <w:t>该项方案内容详实完整、要素齐全，紧密结合本项目实际需求制定，针对性</w:t>
            </w:r>
            <w:r>
              <w:rPr>
                <w:rFonts w:hint="eastAsia"/>
                <w:sz w:val="21"/>
                <w:szCs w:val="21"/>
                <w:highlight w:val="none"/>
                <w:lang w:val="en-US" w:eastAsia="zh-CN"/>
              </w:rPr>
              <w:t>较强</w:t>
            </w:r>
            <w:r>
              <w:rPr>
                <w:rFonts w:hint="eastAsia"/>
                <w:sz w:val="21"/>
                <w:szCs w:val="21"/>
                <w:highlight w:val="none"/>
              </w:rPr>
              <w:t>，流程清晰、措施具体可行，可直接指导项目实施，具备</w:t>
            </w:r>
            <w:r>
              <w:rPr>
                <w:rFonts w:hint="eastAsia"/>
                <w:sz w:val="21"/>
                <w:szCs w:val="21"/>
                <w:highlight w:val="none"/>
                <w:lang w:val="en-US" w:eastAsia="zh-CN"/>
              </w:rPr>
              <w:t>较强</w:t>
            </w:r>
            <w:r>
              <w:rPr>
                <w:rFonts w:hint="eastAsia"/>
                <w:sz w:val="21"/>
                <w:szCs w:val="21"/>
                <w:highlight w:val="none"/>
              </w:rPr>
              <w:t>的可操作性</w:t>
            </w:r>
            <w:r>
              <w:rPr>
                <w:rFonts w:hint="eastAsia" w:ascii="宋体" w:hAnsi="宋体" w:eastAsia="宋体" w:cs="宋体"/>
                <w:bCs/>
                <w:color w:val="auto"/>
                <w:sz w:val="21"/>
                <w:szCs w:val="21"/>
                <w:highlight w:val="none"/>
              </w:rPr>
              <w:t>。</w:t>
            </w:r>
          </w:p>
          <w:p w14:paraId="4EF1F99E">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rPr>
              <w:t>第二个档次（</w:t>
            </w:r>
            <w:r>
              <w:rPr>
                <w:rFonts w:hint="eastAsia" w:ascii="宋体" w:hAnsi="宋体" w:eastAsia="宋体" w:cs="宋体"/>
                <w:color w:val="auto"/>
                <w:kern w:val="2"/>
                <w:sz w:val="21"/>
                <w:szCs w:val="21"/>
                <w:highlight w:val="none"/>
                <w:lang w:val="en-US" w:eastAsia="zh-CN"/>
              </w:rPr>
              <w:t>3</w:t>
            </w:r>
            <w:r>
              <w:rPr>
                <w:rFonts w:hint="eastAsia" w:ascii="宋体" w:hAnsi="宋体" w:eastAsia="宋体" w:cs="宋体"/>
                <w:color w:val="auto"/>
                <w:kern w:val="2"/>
                <w:sz w:val="21"/>
                <w:szCs w:val="21"/>
                <w:highlight w:val="none"/>
              </w:rPr>
              <w:t>分）：该项方案内容完整，能够满足项目实施基本需求，结合项目特点制定，具备一定针对性，方案合理可行</w:t>
            </w:r>
            <w:r>
              <w:rPr>
                <w:rFonts w:hint="eastAsia" w:ascii="宋体" w:hAnsi="宋体" w:eastAsia="宋体" w:cs="宋体"/>
                <w:bCs/>
                <w:color w:val="auto"/>
                <w:sz w:val="21"/>
                <w:szCs w:val="21"/>
                <w:highlight w:val="none"/>
              </w:rPr>
              <w:t>。</w:t>
            </w:r>
          </w:p>
          <w:p w14:paraId="05ECFE2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bCs/>
                <w:color w:val="auto"/>
                <w:sz w:val="21"/>
                <w:szCs w:val="21"/>
                <w:highlight w:val="none"/>
              </w:rPr>
            </w:pPr>
            <w:r>
              <w:rPr>
                <w:rFonts w:hint="eastAsia" w:ascii="宋体" w:hAnsi="宋体" w:eastAsia="宋体" w:cs="宋体"/>
                <w:b w:val="0"/>
                <w:bCs/>
                <w:color w:val="auto"/>
                <w:kern w:val="2"/>
                <w:sz w:val="21"/>
                <w:szCs w:val="21"/>
                <w:highlight w:val="none"/>
              </w:rPr>
              <w:t>第三个档次（</w:t>
            </w:r>
            <w:r>
              <w:rPr>
                <w:rFonts w:hint="eastAsia" w:ascii="宋体" w:hAnsi="宋体" w:eastAsia="宋体" w:cs="宋体"/>
                <w:b w:val="0"/>
                <w:bCs/>
                <w:color w:val="auto"/>
                <w:kern w:val="2"/>
                <w:sz w:val="21"/>
                <w:szCs w:val="21"/>
                <w:highlight w:val="none"/>
                <w:lang w:val="en-US" w:eastAsia="zh-CN"/>
              </w:rPr>
              <w:t>1</w:t>
            </w:r>
            <w:r>
              <w:rPr>
                <w:rFonts w:hint="eastAsia" w:ascii="宋体" w:hAnsi="宋体" w:eastAsia="宋体" w:cs="宋体"/>
                <w:b w:val="0"/>
                <w:bCs/>
                <w:color w:val="auto"/>
                <w:kern w:val="2"/>
                <w:sz w:val="21"/>
                <w:szCs w:val="21"/>
                <w:highlight w:val="none"/>
              </w:rPr>
              <w:t>分）：</w:t>
            </w:r>
            <w:r>
              <w:rPr>
                <w:rFonts w:hint="eastAsia"/>
                <w:sz w:val="21"/>
                <w:szCs w:val="21"/>
                <w:highlight w:val="none"/>
              </w:rPr>
              <w:t>该项方案内容基本满足项目实施需求，为通用性内容，未结合本项目实际情况，缺乏针对性</w:t>
            </w:r>
            <w:r>
              <w:rPr>
                <w:rFonts w:hint="eastAsia"/>
                <w:sz w:val="21"/>
                <w:szCs w:val="21"/>
                <w:highlight w:val="none"/>
                <w:lang w:eastAsia="zh-CN"/>
              </w:rPr>
              <w:t>。</w:t>
            </w:r>
          </w:p>
          <w:p w14:paraId="4D0CBDFB">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第四个档次（</w:t>
            </w:r>
            <w:r>
              <w:rPr>
                <w:rFonts w:hint="eastAsia" w:ascii="宋体" w:hAnsi="宋体" w:eastAsia="宋体" w:cs="宋体"/>
                <w:color w:val="auto"/>
                <w:kern w:val="2"/>
                <w:sz w:val="21"/>
                <w:szCs w:val="21"/>
                <w:highlight w:val="none"/>
                <w:lang w:val="en-US" w:eastAsia="zh-CN"/>
              </w:rPr>
              <w:t>0</w:t>
            </w:r>
            <w:r>
              <w:rPr>
                <w:rFonts w:hint="eastAsia" w:ascii="宋体" w:hAnsi="宋体" w:eastAsia="宋体" w:cs="宋体"/>
                <w:color w:val="auto"/>
                <w:kern w:val="2"/>
                <w:sz w:val="21"/>
                <w:szCs w:val="21"/>
                <w:highlight w:val="none"/>
              </w:rPr>
              <w:t>分）：</w:t>
            </w:r>
            <w:r>
              <w:rPr>
                <w:rFonts w:hint="eastAsia"/>
                <w:sz w:val="21"/>
                <w:szCs w:val="21"/>
                <w:highlight w:val="none"/>
              </w:rPr>
              <w:t>该项方案内容简略粗糙、不够详细，或存在表述不清、逻辑矛盾、明显不合理内容，难以支撑项目实施。</w:t>
            </w:r>
          </w:p>
          <w:p w14:paraId="25AD93DA">
            <w:pPr>
              <w:pStyle w:val="13"/>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b/>
                <w:bCs w:val="0"/>
                <w:color w:val="auto"/>
                <w:sz w:val="21"/>
                <w:szCs w:val="21"/>
                <w:highlight w:val="none"/>
                <w:lang w:val="en-US" w:eastAsia="zh-CN"/>
              </w:rPr>
              <w:t>备</w:t>
            </w:r>
            <w:r>
              <w:rPr>
                <w:rFonts w:hint="eastAsia" w:ascii="宋体" w:hAnsi="宋体" w:eastAsia="宋体" w:cs="宋体"/>
                <w:b/>
                <w:bCs w:val="0"/>
                <w:color w:val="auto"/>
                <w:sz w:val="21"/>
                <w:szCs w:val="21"/>
                <w:highlight w:val="none"/>
              </w:rPr>
              <w:t>注：</w:t>
            </w:r>
            <w:r>
              <w:rPr>
                <w:rFonts w:hint="eastAsia" w:ascii="宋体" w:hAnsi="宋体" w:eastAsia="宋体" w:cs="宋体"/>
                <w:b/>
                <w:bCs w:val="0"/>
                <w:color w:val="auto"/>
                <w:sz w:val="21"/>
                <w:szCs w:val="21"/>
                <w:highlight w:val="none"/>
                <w:lang w:val="en-US" w:eastAsia="zh-CN"/>
              </w:rPr>
              <w:t>分</w:t>
            </w:r>
            <w:r>
              <w:rPr>
                <w:rFonts w:hint="eastAsia" w:ascii="宋体" w:hAnsi="宋体" w:eastAsia="宋体" w:cs="宋体"/>
                <w:b/>
                <w:bCs w:val="0"/>
                <w:color w:val="auto"/>
                <w:sz w:val="21"/>
                <w:szCs w:val="21"/>
                <w:highlight w:val="none"/>
              </w:rPr>
              <w:t>项内容累计计分，满分</w:t>
            </w:r>
            <w:r>
              <w:rPr>
                <w:rFonts w:hint="eastAsia" w:ascii="宋体" w:hAnsi="宋体" w:eastAsia="宋体" w:cs="宋体"/>
                <w:b/>
                <w:bCs w:val="0"/>
                <w:color w:val="auto"/>
                <w:sz w:val="21"/>
                <w:szCs w:val="21"/>
                <w:highlight w:val="none"/>
                <w:lang w:val="en-US" w:eastAsia="zh-CN"/>
              </w:rPr>
              <w:t>2</w:t>
            </w:r>
            <w:r>
              <w:rPr>
                <w:rFonts w:hint="eastAsia" w:ascii="宋体" w:hAnsi="宋体" w:cs="宋体"/>
                <w:b/>
                <w:bCs w:val="0"/>
                <w:color w:val="auto"/>
                <w:sz w:val="21"/>
                <w:szCs w:val="21"/>
                <w:highlight w:val="none"/>
                <w:lang w:val="en-US" w:eastAsia="zh-CN"/>
              </w:rPr>
              <w:t>5</w:t>
            </w:r>
            <w:r>
              <w:rPr>
                <w:rFonts w:hint="eastAsia" w:ascii="宋体" w:hAnsi="宋体" w:eastAsia="宋体" w:cs="宋体"/>
                <w:b/>
                <w:bCs w:val="0"/>
                <w:color w:val="auto"/>
                <w:sz w:val="21"/>
                <w:szCs w:val="21"/>
                <w:highlight w:val="none"/>
              </w:rPr>
              <w:t>分。</w:t>
            </w:r>
          </w:p>
        </w:tc>
      </w:tr>
      <w:tr w14:paraId="512EF93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300" w:hRule="atLeast"/>
          <w:jc w:val="center"/>
        </w:trPr>
        <w:tc>
          <w:tcPr>
            <w:tcW w:w="513" w:type="dxa"/>
            <w:vMerge w:val="continue"/>
            <w:vAlign w:val="center"/>
          </w:tcPr>
          <w:p w14:paraId="158F933E">
            <w:pPr>
              <w:rPr>
                <w:rFonts w:hint="eastAsia" w:ascii="宋体" w:hAnsi="宋体" w:eastAsia="宋体" w:cs="宋体"/>
                <w:color w:val="auto"/>
                <w:highlight w:val="none"/>
              </w:rPr>
            </w:pPr>
          </w:p>
        </w:tc>
        <w:tc>
          <w:tcPr>
            <w:tcW w:w="952" w:type="dxa"/>
            <w:vMerge w:val="continue"/>
            <w:vAlign w:val="center"/>
          </w:tcPr>
          <w:p w14:paraId="07AC7999">
            <w:pPr>
              <w:rPr>
                <w:rFonts w:hint="eastAsia" w:ascii="宋体" w:hAnsi="宋体" w:eastAsia="宋体" w:cs="宋体"/>
                <w:color w:val="auto"/>
                <w:highlight w:val="none"/>
              </w:rPr>
            </w:pPr>
          </w:p>
        </w:tc>
        <w:tc>
          <w:tcPr>
            <w:tcW w:w="1550" w:type="dxa"/>
            <w:vMerge w:val="continue"/>
            <w:vAlign w:val="center"/>
          </w:tcPr>
          <w:p w14:paraId="4EDCDBD4">
            <w:pPr>
              <w:rPr>
                <w:rFonts w:hint="eastAsia" w:ascii="宋体" w:hAnsi="宋体" w:eastAsia="宋体" w:cs="宋体"/>
                <w:color w:val="auto"/>
                <w:highlight w:val="none"/>
              </w:rPr>
            </w:pPr>
          </w:p>
        </w:tc>
        <w:tc>
          <w:tcPr>
            <w:tcW w:w="1360" w:type="dxa"/>
            <w:shd w:val="clear" w:color="auto" w:fill="auto"/>
            <w:vAlign w:val="center"/>
          </w:tcPr>
          <w:p w14:paraId="41E741DB">
            <w:pPr>
              <w:pStyle w:val="87"/>
              <w:spacing w:line="34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质量承诺及保障措施（满分</w:t>
            </w:r>
            <w:r>
              <w:rPr>
                <w:rFonts w:hint="eastAsia" w:cs="宋体"/>
                <w:color w:val="auto"/>
                <w:sz w:val="21"/>
                <w:szCs w:val="21"/>
                <w:highlight w:val="none"/>
                <w:lang w:val="en-US" w:eastAsia="zh-CN"/>
              </w:rPr>
              <w:t>12</w:t>
            </w:r>
            <w:r>
              <w:rPr>
                <w:rFonts w:hint="eastAsia" w:ascii="宋体" w:hAnsi="宋体" w:eastAsia="宋体" w:cs="宋体"/>
                <w:color w:val="auto"/>
                <w:sz w:val="21"/>
                <w:szCs w:val="21"/>
                <w:highlight w:val="none"/>
              </w:rPr>
              <w:t>分）</w:t>
            </w:r>
          </w:p>
        </w:tc>
        <w:tc>
          <w:tcPr>
            <w:tcW w:w="5707" w:type="dxa"/>
            <w:shd w:val="clear" w:color="auto" w:fill="auto"/>
            <w:vAlign w:val="center"/>
          </w:tcPr>
          <w:p w14:paraId="3A44512B">
            <w:pPr>
              <w:pStyle w:val="87"/>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2"/>
                <w:highlight w:val="none"/>
                <w:lang w:val="en-US" w:eastAsia="zh-CN" w:bidi="ar-SA"/>
              </w:rPr>
              <w:t>依据本项目采购需求和特点，分项评审：</w:t>
            </w:r>
            <w:r>
              <w:rPr>
                <w:rFonts w:hint="eastAsia" w:ascii="宋体" w:hAnsi="宋体" w:eastAsia="宋体" w:cs="宋体"/>
                <w:b/>
                <w:bCs/>
                <w:color w:val="auto"/>
                <w:sz w:val="21"/>
                <w:szCs w:val="21"/>
                <w:highlight w:val="none"/>
              </w:rPr>
              <w:t>①质量承诺</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②质量保障措施；③质量违约处罚措施</w:t>
            </w:r>
            <w:r>
              <w:rPr>
                <w:rFonts w:hint="eastAsia" w:ascii="宋体" w:hAnsi="宋体" w:eastAsia="宋体" w:cs="宋体"/>
                <w:b/>
                <w:bCs/>
                <w:color w:val="auto"/>
                <w:kern w:val="2"/>
                <w:sz w:val="21"/>
                <w:szCs w:val="21"/>
                <w:highlight w:val="none"/>
                <w:lang w:eastAsia="zh-CN"/>
              </w:rPr>
              <w:t>。</w:t>
            </w:r>
          </w:p>
          <w:p w14:paraId="4AFBBD37">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bCs/>
                <w:color w:val="auto"/>
                <w:sz w:val="21"/>
                <w:szCs w:val="21"/>
                <w:highlight w:val="none"/>
              </w:rPr>
            </w:pPr>
            <w:r>
              <w:rPr>
                <w:rFonts w:hint="eastAsia" w:ascii="宋体" w:hAnsi="宋体" w:eastAsia="宋体" w:cs="宋体"/>
                <w:b w:val="0"/>
                <w:bCs/>
                <w:color w:val="auto"/>
                <w:sz w:val="21"/>
                <w:szCs w:val="21"/>
                <w:highlight w:val="none"/>
              </w:rPr>
              <w:t>第一档次（</w:t>
            </w:r>
            <w:r>
              <w:rPr>
                <w:rFonts w:hint="eastAsia" w:ascii="宋体" w:hAnsi="宋体" w:cs="宋体"/>
                <w:b w:val="0"/>
                <w:bCs/>
                <w:color w:val="auto"/>
                <w:sz w:val="21"/>
                <w:szCs w:val="21"/>
                <w:highlight w:val="none"/>
                <w:lang w:val="en-US" w:eastAsia="zh-CN"/>
              </w:rPr>
              <w:t>4</w:t>
            </w:r>
            <w:r>
              <w:rPr>
                <w:rFonts w:hint="eastAsia" w:ascii="宋体" w:hAnsi="宋体" w:eastAsia="宋体" w:cs="宋体"/>
                <w:b w:val="0"/>
                <w:bCs/>
                <w:color w:val="auto"/>
                <w:sz w:val="21"/>
                <w:szCs w:val="21"/>
                <w:highlight w:val="none"/>
              </w:rPr>
              <w:t>分）：</w:t>
            </w:r>
            <w:r>
              <w:rPr>
                <w:rFonts w:hint="eastAsia" w:ascii="宋体" w:hAnsi="宋体" w:eastAsia="宋体" w:cs="宋体"/>
                <w:bCs/>
                <w:color w:val="auto"/>
                <w:sz w:val="21"/>
                <w:szCs w:val="21"/>
                <w:highlight w:val="none"/>
              </w:rPr>
              <w:t>每一项内容</w:t>
            </w:r>
            <w:r>
              <w:rPr>
                <w:rFonts w:hint="eastAsia" w:ascii="宋体" w:hAnsi="宋体" w:eastAsia="宋体" w:cs="宋体"/>
                <w:bCs/>
                <w:color w:val="auto"/>
                <w:sz w:val="21"/>
                <w:szCs w:val="21"/>
                <w:highlight w:val="none"/>
                <w:lang w:val="en-US" w:eastAsia="zh-CN"/>
              </w:rPr>
              <w:t>阐述</w:t>
            </w:r>
            <w:r>
              <w:rPr>
                <w:rFonts w:hint="eastAsia" w:ascii="宋体" w:hAnsi="宋体" w:eastAsia="宋体" w:cs="宋体"/>
                <w:bCs/>
                <w:color w:val="auto"/>
                <w:sz w:val="21"/>
                <w:szCs w:val="21"/>
                <w:highlight w:val="none"/>
              </w:rPr>
              <w:t>完整全面、详细具体，科学规范，</w:t>
            </w:r>
            <w:r>
              <w:rPr>
                <w:rFonts w:hint="eastAsia" w:ascii="宋体" w:hAnsi="宋体" w:cs="宋体"/>
                <w:bCs/>
                <w:color w:val="auto"/>
                <w:sz w:val="21"/>
                <w:szCs w:val="21"/>
                <w:highlight w:val="none"/>
                <w:lang w:val="en-US" w:eastAsia="zh-CN"/>
              </w:rPr>
              <w:t>切合本项目土壤样品库建设实际，</w:t>
            </w:r>
            <w:r>
              <w:rPr>
                <w:rFonts w:hint="eastAsia" w:ascii="宋体" w:hAnsi="宋体" w:eastAsia="宋体" w:cs="宋体"/>
                <w:bCs/>
                <w:color w:val="auto"/>
                <w:sz w:val="21"/>
                <w:szCs w:val="21"/>
                <w:highlight w:val="none"/>
              </w:rPr>
              <w:t>具有可实施性及</w:t>
            </w:r>
            <w:r>
              <w:rPr>
                <w:rFonts w:hint="eastAsia" w:ascii="宋体" w:hAnsi="宋体" w:eastAsia="宋体" w:cs="宋体"/>
                <w:bCs/>
                <w:color w:val="auto"/>
                <w:sz w:val="21"/>
                <w:szCs w:val="21"/>
                <w:highlight w:val="none"/>
                <w:lang w:eastAsia="zh-CN"/>
              </w:rPr>
              <w:t>针对性</w:t>
            </w:r>
            <w:r>
              <w:rPr>
                <w:rFonts w:hint="eastAsia" w:ascii="宋体" w:hAnsi="宋体" w:eastAsia="宋体" w:cs="宋体"/>
                <w:bCs/>
                <w:color w:val="auto"/>
                <w:sz w:val="21"/>
                <w:szCs w:val="21"/>
                <w:highlight w:val="none"/>
              </w:rPr>
              <w:t>。</w:t>
            </w:r>
          </w:p>
          <w:p w14:paraId="431C8049">
            <w:pPr>
              <w:pStyle w:val="13"/>
              <w:rPr>
                <w:rFonts w:hint="eastAsia" w:ascii="宋体" w:hAnsi="宋体" w:eastAsia="宋体" w:cs="宋体"/>
                <w:bCs/>
                <w:color w:val="auto"/>
                <w:sz w:val="21"/>
                <w:szCs w:val="21"/>
                <w:highlight w:val="none"/>
              </w:rPr>
            </w:pPr>
            <w:r>
              <w:rPr>
                <w:rFonts w:hint="eastAsia" w:ascii="宋体" w:hAnsi="宋体" w:eastAsia="宋体" w:cs="宋体"/>
                <w:b w:val="0"/>
                <w:bCs/>
                <w:color w:val="auto"/>
                <w:sz w:val="21"/>
                <w:szCs w:val="21"/>
                <w:highlight w:val="none"/>
              </w:rPr>
              <w:t>第二档次（</w:t>
            </w:r>
            <w:r>
              <w:rPr>
                <w:rFonts w:hint="eastAsia" w:ascii="宋体" w:hAnsi="宋体" w:eastAsia="宋体" w:cs="宋体"/>
                <w:b w:val="0"/>
                <w:bCs/>
                <w:color w:val="auto"/>
                <w:sz w:val="21"/>
                <w:szCs w:val="21"/>
                <w:highlight w:val="none"/>
                <w:lang w:val="en-US" w:eastAsia="zh-CN"/>
              </w:rPr>
              <w:t>2</w:t>
            </w:r>
            <w:r>
              <w:rPr>
                <w:rFonts w:hint="eastAsia" w:ascii="宋体" w:hAnsi="宋体" w:eastAsia="宋体" w:cs="宋体"/>
                <w:b w:val="0"/>
                <w:bCs/>
                <w:color w:val="auto"/>
                <w:sz w:val="21"/>
                <w:szCs w:val="21"/>
                <w:highlight w:val="none"/>
              </w:rPr>
              <w:t>分）：</w:t>
            </w:r>
            <w:r>
              <w:rPr>
                <w:rFonts w:hint="eastAsia" w:ascii="宋体" w:hAnsi="宋体" w:eastAsia="宋体" w:cs="宋体"/>
                <w:bCs/>
                <w:color w:val="auto"/>
                <w:sz w:val="21"/>
                <w:szCs w:val="21"/>
                <w:highlight w:val="none"/>
              </w:rPr>
              <w:t>每一项内容</w:t>
            </w:r>
            <w:r>
              <w:rPr>
                <w:rFonts w:hint="eastAsia" w:ascii="宋体" w:hAnsi="宋体" w:eastAsia="宋体" w:cs="宋体"/>
                <w:bCs/>
                <w:color w:val="auto"/>
                <w:sz w:val="21"/>
                <w:szCs w:val="21"/>
                <w:highlight w:val="none"/>
                <w:lang w:val="en-US" w:eastAsia="zh-CN"/>
              </w:rPr>
              <w:t>阐述</w:t>
            </w:r>
            <w:r>
              <w:rPr>
                <w:rFonts w:hint="eastAsia" w:ascii="宋体" w:hAnsi="宋体" w:eastAsia="宋体" w:cs="宋体"/>
                <w:bCs/>
                <w:color w:val="auto"/>
                <w:sz w:val="21"/>
                <w:szCs w:val="21"/>
                <w:highlight w:val="none"/>
              </w:rPr>
              <w:t>相对简略，</w:t>
            </w:r>
            <w:r>
              <w:rPr>
                <w:rFonts w:hint="eastAsia" w:ascii="宋体" w:hAnsi="宋体" w:eastAsia="宋体" w:cs="宋体"/>
                <w:bCs/>
                <w:color w:val="auto"/>
                <w:sz w:val="21"/>
                <w:szCs w:val="21"/>
                <w:highlight w:val="none"/>
                <w:lang w:val="en-US" w:eastAsia="zh-CN"/>
              </w:rPr>
              <w:t>无不合理内容</w:t>
            </w:r>
            <w:r>
              <w:rPr>
                <w:rFonts w:hint="eastAsia" w:ascii="宋体" w:hAnsi="宋体" w:eastAsia="宋体" w:cs="宋体"/>
                <w:bCs/>
                <w:color w:val="auto"/>
                <w:sz w:val="21"/>
                <w:szCs w:val="21"/>
                <w:highlight w:val="none"/>
              </w:rPr>
              <w:t>，</w:t>
            </w:r>
            <w:r>
              <w:rPr>
                <w:rFonts w:hint="eastAsia" w:ascii="宋体" w:hAnsi="宋体" w:cs="宋体"/>
                <w:bCs/>
                <w:color w:val="auto"/>
                <w:sz w:val="21"/>
                <w:szCs w:val="21"/>
                <w:highlight w:val="none"/>
                <w:lang w:val="en-US" w:eastAsia="zh-CN"/>
              </w:rPr>
              <w:t>基本符合本项目土壤样品库建设实际，</w:t>
            </w:r>
            <w:r>
              <w:rPr>
                <w:rFonts w:hint="eastAsia" w:ascii="宋体" w:hAnsi="宋体" w:eastAsia="宋体" w:cs="宋体"/>
                <w:bCs/>
                <w:color w:val="auto"/>
                <w:sz w:val="21"/>
                <w:szCs w:val="21"/>
                <w:highlight w:val="none"/>
              </w:rPr>
              <w:t>具有通用普适性的。</w:t>
            </w:r>
          </w:p>
          <w:p w14:paraId="30E26C8F">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bCs/>
                <w:color w:val="auto"/>
                <w:sz w:val="21"/>
                <w:szCs w:val="21"/>
                <w:highlight w:val="none"/>
              </w:rPr>
            </w:pPr>
            <w:r>
              <w:rPr>
                <w:rFonts w:hint="eastAsia" w:ascii="宋体" w:hAnsi="宋体" w:eastAsia="宋体" w:cs="宋体"/>
                <w:b w:val="0"/>
                <w:bCs/>
                <w:color w:val="auto"/>
                <w:sz w:val="21"/>
                <w:szCs w:val="21"/>
                <w:highlight w:val="none"/>
              </w:rPr>
              <w:t>第</w:t>
            </w:r>
            <w:r>
              <w:rPr>
                <w:rFonts w:hint="eastAsia" w:ascii="宋体" w:hAnsi="宋体" w:eastAsia="宋体" w:cs="宋体"/>
                <w:b w:val="0"/>
                <w:bCs/>
                <w:color w:val="auto"/>
                <w:sz w:val="21"/>
                <w:szCs w:val="21"/>
                <w:highlight w:val="none"/>
                <w:lang w:val="en-US" w:eastAsia="zh-CN"/>
              </w:rPr>
              <w:t>三</w:t>
            </w:r>
            <w:r>
              <w:rPr>
                <w:rFonts w:hint="eastAsia" w:ascii="宋体" w:hAnsi="宋体" w:eastAsia="宋体" w:cs="宋体"/>
                <w:b w:val="0"/>
                <w:bCs/>
                <w:color w:val="auto"/>
                <w:sz w:val="21"/>
                <w:szCs w:val="21"/>
                <w:highlight w:val="none"/>
              </w:rPr>
              <w:t>档次（</w:t>
            </w:r>
            <w:r>
              <w:rPr>
                <w:rFonts w:hint="eastAsia" w:ascii="宋体" w:hAnsi="宋体" w:eastAsia="宋体" w:cs="宋体"/>
                <w:b w:val="0"/>
                <w:bCs/>
                <w:color w:val="auto"/>
                <w:sz w:val="21"/>
                <w:szCs w:val="21"/>
                <w:highlight w:val="none"/>
                <w:lang w:val="en-US" w:eastAsia="zh-CN"/>
              </w:rPr>
              <w:t>1</w:t>
            </w:r>
            <w:r>
              <w:rPr>
                <w:rFonts w:hint="eastAsia" w:ascii="宋体" w:hAnsi="宋体" w:eastAsia="宋体" w:cs="宋体"/>
                <w:b w:val="0"/>
                <w:bCs/>
                <w:color w:val="auto"/>
                <w:sz w:val="21"/>
                <w:szCs w:val="21"/>
                <w:highlight w:val="none"/>
              </w:rPr>
              <w:t>分）：</w:t>
            </w:r>
            <w:r>
              <w:rPr>
                <w:rFonts w:hint="eastAsia" w:ascii="宋体" w:hAnsi="宋体" w:eastAsia="宋体" w:cs="宋体"/>
                <w:bCs/>
                <w:color w:val="auto"/>
                <w:sz w:val="21"/>
                <w:szCs w:val="21"/>
                <w:highlight w:val="none"/>
              </w:rPr>
              <w:t>每一项内容</w:t>
            </w:r>
            <w:r>
              <w:rPr>
                <w:rFonts w:hint="eastAsia" w:ascii="宋体" w:hAnsi="宋体" w:eastAsia="宋体" w:cs="宋体"/>
                <w:bCs/>
                <w:color w:val="auto"/>
                <w:sz w:val="21"/>
                <w:szCs w:val="21"/>
                <w:highlight w:val="none"/>
                <w:lang w:val="en-US" w:eastAsia="zh-CN"/>
              </w:rPr>
              <w:t>阐述</w:t>
            </w:r>
            <w:r>
              <w:rPr>
                <w:rFonts w:hint="eastAsia" w:ascii="宋体" w:hAnsi="宋体" w:eastAsia="宋体" w:cs="宋体"/>
                <w:bCs/>
                <w:color w:val="auto"/>
                <w:sz w:val="21"/>
                <w:szCs w:val="21"/>
                <w:highlight w:val="none"/>
              </w:rPr>
              <w:t>不全或</w:t>
            </w:r>
            <w:r>
              <w:rPr>
                <w:rFonts w:hint="eastAsia" w:ascii="宋体" w:hAnsi="宋体" w:eastAsia="宋体" w:cs="宋体"/>
                <w:bCs/>
                <w:color w:val="auto"/>
                <w:sz w:val="21"/>
                <w:szCs w:val="21"/>
                <w:highlight w:val="none"/>
                <w:lang w:val="en-US" w:eastAsia="zh-CN"/>
              </w:rPr>
              <w:t>存在不合理内容</w:t>
            </w:r>
            <w:r>
              <w:rPr>
                <w:rFonts w:hint="eastAsia" w:ascii="宋体" w:hAnsi="宋体" w:cs="宋体"/>
                <w:bCs/>
                <w:color w:val="auto"/>
                <w:sz w:val="21"/>
                <w:szCs w:val="21"/>
                <w:highlight w:val="none"/>
                <w:lang w:val="en-US" w:eastAsia="zh-CN"/>
              </w:rPr>
              <w:t>，不符合本项目土壤样品库建设实际需求的</w:t>
            </w:r>
            <w:r>
              <w:rPr>
                <w:rFonts w:hint="eastAsia" w:ascii="宋体" w:hAnsi="宋体" w:eastAsia="宋体" w:cs="宋体"/>
                <w:bCs/>
                <w:color w:val="auto"/>
                <w:sz w:val="21"/>
                <w:szCs w:val="21"/>
                <w:highlight w:val="none"/>
              </w:rPr>
              <w:t>。</w:t>
            </w:r>
          </w:p>
          <w:p w14:paraId="49565C0C">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第</w:t>
            </w:r>
            <w:r>
              <w:rPr>
                <w:rFonts w:hint="eastAsia" w:ascii="宋体" w:hAnsi="宋体" w:eastAsia="宋体" w:cs="宋体"/>
                <w:b w:val="0"/>
                <w:bCs/>
                <w:color w:val="auto"/>
                <w:sz w:val="21"/>
                <w:szCs w:val="21"/>
                <w:highlight w:val="none"/>
                <w:lang w:val="en-US" w:eastAsia="zh-CN"/>
              </w:rPr>
              <w:t>四</w:t>
            </w:r>
            <w:r>
              <w:rPr>
                <w:rFonts w:hint="eastAsia" w:ascii="宋体" w:hAnsi="宋体" w:eastAsia="宋体" w:cs="宋体"/>
                <w:b w:val="0"/>
                <w:bCs/>
                <w:color w:val="auto"/>
                <w:sz w:val="21"/>
                <w:szCs w:val="21"/>
                <w:highlight w:val="none"/>
              </w:rPr>
              <w:t>档次（0分）：</w:t>
            </w:r>
            <w:r>
              <w:rPr>
                <w:rFonts w:hint="eastAsia" w:ascii="宋体" w:hAnsi="宋体" w:eastAsia="宋体" w:cs="宋体"/>
                <w:bCs/>
                <w:color w:val="auto"/>
                <w:sz w:val="21"/>
                <w:szCs w:val="21"/>
                <w:highlight w:val="none"/>
              </w:rPr>
              <w:t>每一项内容缺失</w:t>
            </w:r>
            <w:r>
              <w:rPr>
                <w:rFonts w:hint="eastAsia" w:ascii="宋体" w:hAnsi="宋体" w:eastAsia="宋体" w:cs="宋体"/>
                <w:bCs/>
                <w:color w:val="auto"/>
                <w:sz w:val="21"/>
                <w:szCs w:val="21"/>
                <w:highlight w:val="none"/>
                <w:lang w:val="en-US" w:eastAsia="zh-CN"/>
              </w:rPr>
              <w:t>或者阐述错误，不具可实施性的</w:t>
            </w:r>
            <w:r>
              <w:rPr>
                <w:rFonts w:hint="eastAsia" w:ascii="宋体" w:hAnsi="宋体" w:eastAsia="宋体" w:cs="宋体"/>
                <w:bCs/>
                <w:color w:val="auto"/>
                <w:sz w:val="21"/>
                <w:szCs w:val="21"/>
                <w:highlight w:val="none"/>
              </w:rPr>
              <w:t>。</w:t>
            </w:r>
          </w:p>
          <w:p w14:paraId="4B2E9112">
            <w:pPr>
              <w:pStyle w:val="13"/>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rPr>
              <w:t>备</w:t>
            </w:r>
            <w:r>
              <w:rPr>
                <w:rFonts w:hint="eastAsia" w:ascii="宋体" w:hAnsi="宋体" w:eastAsia="宋体" w:cs="宋体"/>
                <w:b/>
                <w:bCs w:val="0"/>
                <w:color w:val="auto"/>
                <w:sz w:val="21"/>
                <w:szCs w:val="21"/>
                <w:highlight w:val="none"/>
              </w:rPr>
              <w:t>注：</w:t>
            </w:r>
            <w:r>
              <w:rPr>
                <w:rFonts w:hint="eastAsia" w:ascii="宋体" w:hAnsi="宋体" w:eastAsia="宋体" w:cs="宋体"/>
                <w:b/>
                <w:bCs w:val="0"/>
                <w:color w:val="auto"/>
                <w:sz w:val="21"/>
                <w:szCs w:val="21"/>
                <w:highlight w:val="none"/>
                <w:lang w:val="en-US" w:eastAsia="zh-CN"/>
              </w:rPr>
              <w:t>分</w:t>
            </w:r>
            <w:r>
              <w:rPr>
                <w:rFonts w:hint="eastAsia" w:ascii="宋体" w:hAnsi="宋体" w:eastAsia="宋体" w:cs="宋体"/>
                <w:b/>
                <w:bCs w:val="0"/>
                <w:color w:val="auto"/>
                <w:sz w:val="21"/>
                <w:szCs w:val="21"/>
                <w:highlight w:val="none"/>
              </w:rPr>
              <w:t>项内容累计计分，满分</w:t>
            </w:r>
            <w:r>
              <w:rPr>
                <w:rFonts w:hint="eastAsia" w:ascii="宋体" w:hAnsi="宋体" w:cs="宋体"/>
                <w:b/>
                <w:bCs w:val="0"/>
                <w:color w:val="auto"/>
                <w:sz w:val="21"/>
                <w:szCs w:val="21"/>
                <w:highlight w:val="none"/>
                <w:lang w:val="en-US" w:eastAsia="zh-CN"/>
              </w:rPr>
              <w:t>12</w:t>
            </w:r>
            <w:r>
              <w:rPr>
                <w:rFonts w:hint="eastAsia" w:ascii="宋体" w:hAnsi="宋体" w:eastAsia="宋体" w:cs="宋体"/>
                <w:b/>
                <w:bCs w:val="0"/>
                <w:color w:val="auto"/>
                <w:sz w:val="21"/>
                <w:szCs w:val="21"/>
                <w:highlight w:val="none"/>
              </w:rPr>
              <w:t>分。</w:t>
            </w:r>
          </w:p>
        </w:tc>
      </w:tr>
      <w:tr w14:paraId="652A27D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965" w:hRule="atLeast"/>
          <w:jc w:val="center"/>
        </w:trPr>
        <w:tc>
          <w:tcPr>
            <w:tcW w:w="513" w:type="dxa"/>
            <w:vMerge w:val="continue"/>
            <w:vAlign w:val="center"/>
          </w:tcPr>
          <w:p w14:paraId="3B5A3DAE">
            <w:pPr>
              <w:rPr>
                <w:rFonts w:hint="eastAsia" w:ascii="宋体" w:hAnsi="宋体" w:eastAsia="宋体" w:cs="宋体"/>
                <w:color w:val="auto"/>
                <w:highlight w:val="none"/>
              </w:rPr>
            </w:pPr>
          </w:p>
        </w:tc>
        <w:tc>
          <w:tcPr>
            <w:tcW w:w="952" w:type="dxa"/>
            <w:vMerge w:val="continue"/>
            <w:vAlign w:val="center"/>
          </w:tcPr>
          <w:p w14:paraId="274ECB6B">
            <w:pPr>
              <w:rPr>
                <w:rFonts w:hint="eastAsia" w:ascii="宋体" w:hAnsi="宋体" w:eastAsia="宋体" w:cs="宋体"/>
                <w:color w:val="auto"/>
                <w:highlight w:val="none"/>
              </w:rPr>
            </w:pPr>
          </w:p>
        </w:tc>
        <w:tc>
          <w:tcPr>
            <w:tcW w:w="1550" w:type="dxa"/>
            <w:vMerge w:val="continue"/>
            <w:vAlign w:val="center"/>
          </w:tcPr>
          <w:p w14:paraId="01F3D31E">
            <w:pPr>
              <w:pStyle w:val="87"/>
              <w:spacing w:line="340" w:lineRule="exact"/>
              <w:rPr>
                <w:rFonts w:hint="eastAsia" w:ascii="宋体" w:hAnsi="宋体" w:eastAsia="宋体" w:cs="宋体"/>
                <w:color w:val="auto"/>
                <w:kern w:val="2"/>
                <w:sz w:val="21"/>
                <w:szCs w:val="21"/>
                <w:highlight w:val="none"/>
              </w:rPr>
            </w:pPr>
          </w:p>
        </w:tc>
        <w:tc>
          <w:tcPr>
            <w:tcW w:w="1360" w:type="dxa"/>
            <w:shd w:val="clear" w:color="auto" w:fill="auto"/>
            <w:vAlign w:val="center"/>
          </w:tcPr>
          <w:p w14:paraId="5C0C43F7">
            <w:pPr>
              <w:pStyle w:val="87"/>
              <w:spacing w:line="340" w:lineRule="exac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kern w:val="2"/>
                <w:sz w:val="21"/>
                <w:szCs w:val="21"/>
                <w:highlight w:val="none"/>
              </w:rPr>
              <w:t>售后服务方案（满分</w:t>
            </w:r>
            <w:r>
              <w:rPr>
                <w:rFonts w:hint="eastAsia" w:cs="宋体"/>
                <w:color w:val="auto"/>
                <w:kern w:val="2"/>
                <w:sz w:val="21"/>
                <w:szCs w:val="21"/>
                <w:highlight w:val="none"/>
                <w:lang w:val="en-US" w:eastAsia="zh-CN"/>
              </w:rPr>
              <w:t>10</w:t>
            </w:r>
            <w:r>
              <w:rPr>
                <w:rFonts w:hint="eastAsia" w:ascii="宋体" w:hAnsi="宋体" w:eastAsia="宋体" w:cs="宋体"/>
                <w:color w:val="auto"/>
                <w:kern w:val="2"/>
                <w:sz w:val="21"/>
                <w:szCs w:val="21"/>
                <w:highlight w:val="none"/>
              </w:rPr>
              <w:t>分）</w:t>
            </w:r>
          </w:p>
        </w:tc>
        <w:tc>
          <w:tcPr>
            <w:tcW w:w="5707" w:type="dxa"/>
            <w:tcBorders>
              <w:bottom w:val="single" w:color="auto" w:sz="4" w:space="0"/>
            </w:tcBorders>
            <w:shd w:val="clear" w:color="auto" w:fill="auto"/>
            <w:vAlign w:val="center"/>
          </w:tcPr>
          <w:p w14:paraId="5A77F415">
            <w:pPr>
              <w:pStyle w:val="87"/>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2"/>
                <w:highlight w:val="none"/>
                <w:lang w:val="en-US" w:eastAsia="zh-CN" w:bidi="ar-SA"/>
              </w:rPr>
              <w:t>依据本项目采购需求和特点，分项评审：</w:t>
            </w:r>
            <w:r>
              <w:rPr>
                <w:rFonts w:hint="eastAsia" w:ascii="宋体" w:hAnsi="宋体" w:eastAsia="宋体" w:cs="宋体"/>
                <w:b/>
                <w:bCs/>
                <w:color w:val="auto"/>
                <w:sz w:val="21"/>
                <w:szCs w:val="21"/>
                <w:highlight w:val="none"/>
              </w:rPr>
              <w:t>①售后服务体系</w:t>
            </w:r>
            <w:r>
              <w:rPr>
                <w:rFonts w:hint="eastAsia" w:ascii="宋体" w:hAnsi="宋体" w:eastAsia="宋体" w:cs="宋体"/>
                <w:b/>
                <w:bCs/>
                <w:color w:val="auto"/>
                <w:sz w:val="21"/>
                <w:szCs w:val="21"/>
                <w:highlight w:val="none"/>
                <w:lang w:val="en-US" w:eastAsia="zh-CN"/>
              </w:rPr>
              <w:t>及资源投入；</w:t>
            </w:r>
            <w:r>
              <w:rPr>
                <w:rFonts w:hint="eastAsia" w:ascii="宋体" w:hAnsi="宋体" w:eastAsia="宋体" w:cs="宋体"/>
                <w:b/>
                <w:bCs/>
                <w:color w:val="auto"/>
                <w:sz w:val="21"/>
                <w:szCs w:val="21"/>
                <w:highlight w:val="none"/>
              </w:rPr>
              <w:t>②</w:t>
            </w:r>
            <w:r>
              <w:rPr>
                <w:rFonts w:hint="eastAsia" w:ascii="宋体" w:hAnsi="宋体" w:eastAsia="宋体" w:cs="宋体"/>
                <w:b/>
                <w:bCs/>
                <w:color w:val="auto"/>
                <w:sz w:val="21"/>
                <w:szCs w:val="21"/>
                <w:highlight w:val="none"/>
                <w:lang w:val="en-US" w:eastAsia="zh-CN"/>
              </w:rPr>
              <w:t>售后服务保障措施；③售后服务响应承诺；④售后服务违约承诺。</w:t>
            </w:r>
          </w:p>
          <w:p w14:paraId="3E7E7BDB">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bCs/>
                <w:color w:val="auto"/>
                <w:sz w:val="21"/>
                <w:szCs w:val="21"/>
                <w:highlight w:val="none"/>
              </w:rPr>
            </w:pPr>
            <w:r>
              <w:rPr>
                <w:rFonts w:hint="eastAsia" w:ascii="宋体" w:hAnsi="宋体" w:eastAsia="宋体" w:cs="宋体"/>
                <w:b w:val="0"/>
                <w:bCs/>
                <w:color w:val="auto"/>
                <w:sz w:val="21"/>
                <w:szCs w:val="21"/>
                <w:highlight w:val="none"/>
              </w:rPr>
              <w:t>第一档次（</w:t>
            </w:r>
            <w:r>
              <w:rPr>
                <w:rFonts w:hint="eastAsia" w:ascii="宋体" w:hAnsi="宋体" w:cs="宋体"/>
                <w:b w:val="0"/>
                <w:bCs/>
                <w:color w:val="auto"/>
                <w:sz w:val="21"/>
                <w:szCs w:val="21"/>
                <w:highlight w:val="none"/>
                <w:lang w:val="en-US" w:eastAsia="zh-CN"/>
              </w:rPr>
              <w:t>2.5</w:t>
            </w:r>
            <w:r>
              <w:rPr>
                <w:rFonts w:hint="eastAsia" w:ascii="宋体" w:hAnsi="宋体" w:eastAsia="宋体" w:cs="宋体"/>
                <w:b w:val="0"/>
                <w:bCs/>
                <w:color w:val="auto"/>
                <w:sz w:val="21"/>
                <w:szCs w:val="21"/>
                <w:highlight w:val="none"/>
              </w:rPr>
              <w:t>分）：</w:t>
            </w:r>
            <w:r>
              <w:rPr>
                <w:rFonts w:hint="eastAsia" w:ascii="宋体" w:hAnsi="宋体" w:eastAsia="宋体" w:cs="宋体"/>
                <w:bCs/>
                <w:color w:val="auto"/>
                <w:sz w:val="21"/>
                <w:szCs w:val="21"/>
                <w:highlight w:val="none"/>
              </w:rPr>
              <w:t>每一项内容</w:t>
            </w:r>
            <w:r>
              <w:rPr>
                <w:rFonts w:hint="eastAsia" w:ascii="宋体" w:hAnsi="宋体" w:eastAsia="宋体" w:cs="宋体"/>
                <w:bCs/>
                <w:color w:val="auto"/>
                <w:sz w:val="21"/>
                <w:szCs w:val="21"/>
                <w:highlight w:val="none"/>
                <w:lang w:val="en-US" w:eastAsia="zh-CN"/>
              </w:rPr>
              <w:t>阐述</w:t>
            </w:r>
            <w:r>
              <w:rPr>
                <w:rFonts w:hint="eastAsia" w:ascii="宋体" w:hAnsi="宋体" w:eastAsia="宋体" w:cs="宋体"/>
                <w:bCs/>
                <w:color w:val="auto"/>
                <w:sz w:val="21"/>
                <w:szCs w:val="21"/>
                <w:highlight w:val="none"/>
              </w:rPr>
              <w:t>完整全面、详细具体，科学规范，</w:t>
            </w:r>
            <w:r>
              <w:rPr>
                <w:rFonts w:hint="eastAsia" w:ascii="宋体" w:hAnsi="宋体" w:cs="宋体"/>
                <w:bCs/>
                <w:color w:val="auto"/>
                <w:sz w:val="21"/>
                <w:szCs w:val="21"/>
                <w:highlight w:val="none"/>
                <w:lang w:val="en-US" w:eastAsia="zh-CN"/>
              </w:rPr>
              <w:t>切合本项目土壤样品库建设实际需要，</w:t>
            </w:r>
            <w:r>
              <w:rPr>
                <w:rFonts w:hint="eastAsia" w:ascii="宋体" w:hAnsi="宋体" w:eastAsia="宋体" w:cs="宋体"/>
                <w:bCs/>
                <w:color w:val="auto"/>
                <w:sz w:val="21"/>
                <w:szCs w:val="21"/>
                <w:highlight w:val="none"/>
              </w:rPr>
              <w:t>具有可实施性及</w:t>
            </w:r>
            <w:r>
              <w:rPr>
                <w:rFonts w:hint="eastAsia" w:ascii="宋体" w:hAnsi="宋体" w:eastAsia="宋体" w:cs="宋体"/>
                <w:bCs/>
                <w:color w:val="auto"/>
                <w:sz w:val="21"/>
                <w:szCs w:val="21"/>
                <w:highlight w:val="none"/>
                <w:lang w:eastAsia="zh-CN"/>
              </w:rPr>
              <w:t>针对性</w:t>
            </w:r>
            <w:r>
              <w:rPr>
                <w:rFonts w:hint="eastAsia" w:ascii="宋体" w:hAnsi="宋体" w:eastAsia="宋体" w:cs="宋体"/>
                <w:bCs/>
                <w:color w:val="auto"/>
                <w:sz w:val="21"/>
                <w:szCs w:val="21"/>
                <w:highlight w:val="none"/>
              </w:rPr>
              <w:t>。</w:t>
            </w:r>
          </w:p>
          <w:p w14:paraId="5D5F2363">
            <w:pPr>
              <w:pStyle w:val="13"/>
              <w:rPr>
                <w:rFonts w:hint="eastAsia" w:ascii="宋体" w:hAnsi="宋体" w:eastAsia="宋体" w:cs="宋体"/>
                <w:bCs/>
                <w:color w:val="auto"/>
                <w:sz w:val="21"/>
                <w:szCs w:val="21"/>
                <w:highlight w:val="none"/>
              </w:rPr>
            </w:pPr>
            <w:r>
              <w:rPr>
                <w:rFonts w:hint="eastAsia" w:ascii="宋体" w:hAnsi="宋体" w:eastAsia="宋体" w:cs="宋体"/>
                <w:b w:val="0"/>
                <w:bCs/>
                <w:color w:val="auto"/>
                <w:sz w:val="21"/>
                <w:szCs w:val="21"/>
                <w:highlight w:val="none"/>
              </w:rPr>
              <w:t>第二档次（</w:t>
            </w:r>
            <w:r>
              <w:rPr>
                <w:rFonts w:hint="eastAsia" w:ascii="宋体" w:hAnsi="宋体" w:eastAsia="宋体" w:cs="宋体"/>
                <w:b w:val="0"/>
                <w:bCs/>
                <w:color w:val="auto"/>
                <w:sz w:val="21"/>
                <w:szCs w:val="21"/>
                <w:highlight w:val="none"/>
                <w:lang w:val="en-US" w:eastAsia="zh-CN"/>
              </w:rPr>
              <w:t>1</w:t>
            </w:r>
            <w:r>
              <w:rPr>
                <w:rFonts w:hint="eastAsia" w:ascii="宋体" w:hAnsi="宋体" w:eastAsia="宋体" w:cs="宋体"/>
                <w:b w:val="0"/>
                <w:bCs/>
                <w:color w:val="auto"/>
                <w:sz w:val="21"/>
                <w:szCs w:val="21"/>
                <w:highlight w:val="none"/>
              </w:rPr>
              <w:t>分）：</w:t>
            </w:r>
            <w:r>
              <w:rPr>
                <w:rFonts w:hint="eastAsia" w:ascii="宋体" w:hAnsi="宋体" w:eastAsia="宋体" w:cs="宋体"/>
                <w:bCs/>
                <w:color w:val="auto"/>
                <w:sz w:val="21"/>
                <w:szCs w:val="21"/>
                <w:highlight w:val="none"/>
              </w:rPr>
              <w:t>每一项内容</w:t>
            </w:r>
            <w:r>
              <w:rPr>
                <w:rFonts w:hint="eastAsia" w:ascii="宋体" w:hAnsi="宋体" w:eastAsia="宋体" w:cs="宋体"/>
                <w:bCs/>
                <w:color w:val="auto"/>
                <w:sz w:val="21"/>
                <w:szCs w:val="21"/>
                <w:highlight w:val="none"/>
                <w:lang w:val="en-US" w:eastAsia="zh-CN"/>
              </w:rPr>
              <w:t>阐述</w:t>
            </w:r>
            <w:r>
              <w:rPr>
                <w:rFonts w:hint="eastAsia" w:ascii="宋体" w:hAnsi="宋体" w:eastAsia="宋体" w:cs="宋体"/>
                <w:bCs/>
                <w:color w:val="auto"/>
                <w:sz w:val="21"/>
                <w:szCs w:val="21"/>
                <w:highlight w:val="none"/>
              </w:rPr>
              <w:t>相对简略，</w:t>
            </w:r>
            <w:r>
              <w:rPr>
                <w:rFonts w:hint="eastAsia" w:ascii="宋体" w:hAnsi="宋体" w:eastAsia="宋体" w:cs="宋体"/>
                <w:bCs/>
                <w:color w:val="auto"/>
                <w:sz w:val="21"/>
                <w:szCs w:val="21"/>
                <w:highlight w:val="none"/>
                <w:lang w:val="en-US" w:eastAsia="zh-CN"/>
              </w:rPr>
              <w:t>无不合理内容</w:t>
            </w:r>
            <w:r>
              <w:rPr>
                <w:rFonts w:hint="eastAsia" w:ascii="宋体" w:hAnsi="宋体" w:eastAsia="宋体" w:cs="宋体"/>
                <w:bCs/>
                <w:color w:val="auto"/>
                <w:sz w:val="21"/>
                <w:szCs w:val="21"/>
                <w:highlight w:val="none"/>
              </w:rPr>
              <w:t>，</w:t>
            </w:r>
            <w:r>
              <w:rPr>
                <w:rFonts w:hint="eastAsia" w:ascii="宋体" w:hAnsi="宋体" w:cs="宋体"/>
                <w:bCs/>
                <w:color w:val="auto"/>
                <w:sz w:val="21"/>
                <w:szCs w:val="21"/>
                <w:highlight w:val="none"/>
                <w:lang w:val="en-US" w:eastAsia="zh-CN"/>
              </w:rPr>
              <w:t>基本符合本项目土壤样品库建设实际，</w:t>
            </w:r>
            <w:r>
              <w:rPr>
                <w:rFonts w:hint="eastAsia" w:ascii="宋体" w:hAnsi="宋体" w:eastAsia="宋体" w:cs="宋体"/>
                <w:bCs/>
                <w:color w:val="auto"/>
                <w:sz w:val="21"/>
                <w:szCs w:val="21"/>
                <w:highlight w:val="none"/>
              </w:rPr>
              <w:t>具有通用普适性的。</w:t>
            </w:r>
          </w:p>
          <w:p w14:paraId="338392A8">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bCs/>
                <w:color w:val="auto"/>
                <w:sz w:val="21"/>
                <w:szCs w:val="21"/>
                <w:highlight w:val="none"/>
              </w:rPr>
            </w:pPr>
            <w:r>
              <w:rPr>
                <w:rFonts w:hint="eastAsia" w:ascii="宋体" w:hAnsi="宋体" w:eastAsia="宋体" w:cs="宋体"/>
                <w:b w:val="0"/>
                <w:bCs/>
                <w:color w:val="auto"/>
                <w:sz w:val="21"/>
                <w:szCs w:val="21"/>
                <w:highlight w:val="none"/>
              </w:rPr>
              <w:t>第</w:t>
            </w:r>
            <w:r>
              <w:rPr>
                <w:rFonts w:hint="eastAsia" w:ascii="宋体" w:hAnsi="宋体" w:eastAsia="宋体" w:cs="宋体"/>
                <w:b w:val="0"/>
                <w:bCs/>
                <w:color w:val="auto"/>
                <w:sz w:val="21"/>
                <w:szCs w:val="21"/>
                <w:highlight w:val="none"/>
                <w:lang w:val="en-US" w:eastAsia="zh-CN"/>
              </w:rPr>
              <w:t>三</w:t>
            </w:r>
            <w:r>
              <w:rPr>
                <w:rFonts w:hint="eastAsia" w:ascii="宋体" w:hAnsi="宋体" w:eastAsia="宋体" w:cs="宋体"/>
                <w:b w:val="0"/>
                <w:bCs/>
                <w:color w:val="auto"/>
                <w:sz w:val="21"/>
                <w:szCs w:val="21"/>
                <w:highlight w:val="none"/>
              </w:rPr>
              <w:t>档次（</w:t>
            </w:r>
            <w:r>
              <w:rPr>
                <w:rFonts w:hint="eastAsia" w:ascii="宋体" w:hAnsi="宋体" w:eastAsia="宋体" w:cs="宋体"/>
                <w:b w:val="0"/>
                <w:bCs/>
                <w:color w:val="auto"/>
                <w:sz w:val="21"/>
                <w:szCs w:val="21"/>
                <w:highlight w:val="none"/>
                <w:lang w:val="en-US" w:eastAsia="zh-CN"/>
              </w:rPr>
              <w:t>0.5</w:t>
            </w:r>
            <w:r>
              <w:rPr>
                <w:rFonts w:hint="eastAsia" w:ascii="宋体" w:hAnsi="宋体" w:eastAsia="宋体" w:cs="宋体"/>
                <w:b w:val="0"/>
                <w:bCs/>
                <w:color w:val="auto"/>
                <w:sz w:val="21"/>
                <w:szCs w:val="21"/>
                <w:highlight w:val="none"/>
              </w:rPr>
              <w:t>分）：</w:t>
            </w:r>
            <w:r>
              <w:rPr>
                <w:rFonts w:hint="eastAsia" w:ascii="宋体" w:hAnsi="宋体" w:eastAsia="宋体" w:cs="宋体"/>
                <w:bCs/>
                <w:color w:val="auto"/>
                <w:sz w:val="21"/>
                <w:szCs w:val="21"/>
                <w:highlight w:val="none"/>
              </w:rPr>
              <w:t>每一项内容</w:t>
            </w:r>
            <w:r>
              <w:rPr>
                <w:rFonts w:hint="eastAsia" w:ascii="宋体" w:hAnsi="宋体" w:eastAsia="宋体" w:cs="宋体"/>
                <w:bCs/>
                <w:color w:val="auto"/>
                <w:sz w:val="21"/>
                <w:szCs w:val="21"/>
                <w:highlight w:val="none"/>
                <w:lang w:val="en-US" w:eastAsia="zh-CN"/>
              </w:rPr>
              <w:t>阐述</w:t>
            </w:r>
            <w:r>
              <w:rPr>
                <w:rFonts w:hint="eastAsia" w:ascii="宋体" w:hAnsi="宋体" w:eastAsia="宋体" w:cs="宋体"/>
                <w:bCs/>
                <w:color w:val="auto"/>
                <w:sz w:val="21"/>
                <w:szCs w:val="21"/>
                <w:highlight w:val="none"/>
              </w:rPr>
              <w:t>不全或</w:t>
            </w:r>
            <w:r>
              <w:rPr>
                <w:rFonts w:hint="eastAsia" w:ascii="宋体" w:hAnsi="宋体" w:eastAsia="宋体" w:cs="宋体"/>
                <w:bCs/>
                <w:color w:val="auto"/>
                <w:sz w:val="21"/>
                <w:szCs w:val="21"/>
                <w:highlight w:val="none"/>
                <w:lang w:val="en-US" w:eastAsia="zh-CN"/>
              </w:rPr>
              <w:t>存在不合理内容</w:t>
            </w:r>
            <w:r>
              <w:rPr>
                <w:rFonts w:hint="eastAsia" w:ascii="宋体" w:hAnsi="宋体" w:cs="宋体"/>
                <w:bCs/>
                <w:color w:val="auto"/>
                <w:sz w:val="21"/>
                <w:szCs w:val="21"/>
                <w:highlight w:val="none"/>
                <w:lang w:val="en-US" w:eastAsia="zh-CN"/>
              </w:rPr>
              <w:t>，不符合本项目土壤样品库建设实际需求</w:t>
            </w:r>
            <w:r>
              <w:rPr>
                <w:rFonts w:hint="eastAsia" w:ascii="宋体" w:hAnsi="宋体" w:eastAsia="宋体" w:cs="宋体"/>
                <w:bCs/>
                <w:color w:val="auto"/>
                <w:sz w:val="21"/>
                <w:szCs w:val="21"/>
                <w:highlight w:val="none"/>
                <w:lang w:val="en-US" w:eastAsia="zh-CN"/>
              </w:rPr>
              <w:t>的</w:t>
            </w:r>
            <w:r>
              <w:rPr>
                <w:rFonts w:hint="eastAsia" w:ascii="宋体" w:hAnsi="宋体" w:eastAsia="宋体" w:cs="宋体"/>
                <w:bCs/>
                <w:color w:val="auto"/>
                <w:sz w:val="21"/>
                <w:szCs w:val="21"/>
                <w:highlight w:val="none"/>
              </w:rPr>
              <w:t>。</w:t>
            </w:r>
          </w:p>
          <w:p w14:paraId="5AA3800B">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第</w:t>
            </w:r>
            <w:r>
              <w:rPr>
                <w:rFonts w:hint="eastAsia" w:ascii="宋体" w:hAnsi="宋体" w:eastAsia="宋体" w:cs="宋体"/>
                <w:b w:val="0"/>
                <w:bCs/>
                <w:color w:val="auto"/>
                <w:sz w:val="21"/>
                <w:szCs w:val="21"/>
                <w:highlight w:val="none"/>
                <w:lang w:val="en-US" w:eastAsia="zh-CN"/>
              </w:rPr>
              <w:t>四</w:t>
            </w:r>
            <w:r>
              <w:rPr>
                <w:rFonts w:hint="eastAsia" w:ascii="宋体" w:hAnsi="宋体" w:eastAsia="宋体" w:cs="宋体"/>
                <w:b w:val="0"/>
                <w:bCs/>
                <w:color w:val="auto"/>
                <w:sz w:val="21"/>
                <w:szCs w:val="21"/>
                <w:highlight w:val="none"/>
              </w:rPr>
              <w:t>档次（0分）：</w:t>
            </w:r>
            <w:r>
              <w:rPr>
                <w:rFonts w:hint="eastAsia" w:ascii="宋体" w:hAnsi="宋体" w:eastAsia="宋体" w:cs="宋体"/>
                <w:bCs/>
                <w:color w:val="auto"/>
                <w:sz w:val="21"/>
                <w:szCs w:val="21"/>
                <w:highlight w:val="none"/>
              </w:rPr>
              <w:t>每一项内容缺失</w:t>
            </w:r>
            <w:r>
              <w:rPr>
                <w:rFonts w:hint="eastAsia" w:ascii="宋体" w:hAnsi="宋体" w:eastAsia="宋体" w:cs="宋体"/>
                <w:bCs/>
                <w:color w:val="auto"/>
                <w:sz w:val="21"/>
                <w:szCs w:val="21"/>
                <w:highlight w:val="none"/>
                <w:lang w:val="en-US" w:eastAsia="zh-CN"/>
              </w:rPr>
              <w:t>或者阐述错误，不具可实施性的</w:t>
            </w:r>
            <w:r>
              <w:rPr>
                <w:rFonts w:hint="eastAsia" w:ascii="宋体" w:hAnsi="宋体" w:eastAsia="宋体" w:cs="宋体"/>
                <w:bCs/>
                <w:color w:val="auto"/>
                <w:sz w:val="21"/>
                <w:szCs w:val="21"/>
                <w:highlight w:val="none"/>
              </w:rPr>
              <w:t>。</w:t>
            </w:r>
          </w:p>
          <w:p w14:paraId="6973A2D9">
            <w:pPr>
              <w:pStyle w:val="87"/>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rPr>
              <w:t>备</w:t>
            </w:r>
            <w:r>
              <w:rPr>
                <w:rFonts w:hint="eastAsia" w:ascii="宋体" w:hAnsi="宋体" w:eastAsia="宋体" w:cs="宋体"/>
                <w:b/>
                <w:bCs w:val="0"/>
                <w:color w:val="auto"/>
                <w:sz w:val="21"/>
                <w:szCs w:val="21"/>
                <w:highlight w:val="none"/>
              </w:rPr>
              <w:t>注：</w:t>
            </w:r>
            <w:r>
              <w:rPr>
                <w:rFonts w:hint="eastAsia" w:ascii="宋体" w:hAnsi="宋体" w:eastAsia="宋体" w:cs="宋体"/>
                <w:b/>
                <w:bCs w:val="0"/>
                <w:color w:val="auto"/>
                <w:sz w:val="21"/>
                <w:szCs w:val="21"/>
                <w:highlight w:val="none"/>
                <w:lang w:val="en-US" w:eastAsia="zh-CN"/>
              </w:rPr>
              <w:t>分</w:t>
            </w:r>
            <w:r>
              <w:rPr>
                <w:rFonts w:hint="eastAsia" w:ascii="宋体" w:hAnsi="宋体" w:eastAsia="宋体" w:cs="宋体"/>
                <w:b/>
                <w:bCs w:val="0"/>
                <w:color w:val="auto"/>
                <w:sz w:val="21"/>
                <w:szCs w:val="21"/>
                <w:highlight w:val="none"/>
              </w:rPr>
              <w:t>项内容累计计分，满分</w:t>
            </w:r>
            <w:r>
              <w:rPr>
                <w:rFonts w:hint="eastAsia" w:cs="宋体"/>
                <w:b/>
                <w:bCs w:val="0"/>
                <w:color w:val="auto"/>
                <w:sz w:val="21"/>
                <w:szCs w:val="21"/>
                <w:highlight w:val="none"/>
                <w:lang w:val="en-US" w:eastAsia="zh-CN"/>
              </w:rPr>
              <w:t>10</w:t>
            </w:r>
            <w:r>
              <w:rPr>
                <w:rFonts w:hint="eastAsia" w:ascii="宋体" w:hAnsi="宋体" w:eastAsia="宋体" w:cs="宋体"/>
                <w:b/>
                <w:bCs w:val="0"/>
                <w:color w:val="auto"/>
                <w:sz w:val="21"/>
                <w:szCs w:val="21"/>
                <w:highlight w:val="none"/>
              </w:rPr>
              <w:t>分。</w:t>
            </w:r>
          </w:p>
        </w:tc>
      </w:tr>
      <w:tr w14:paraId="3BB273F9">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90" w:hRule="atLeast"/>
          <w:jc w:val="center"/>
        </w:trPr>
        <w:tc>
          <w:tcPr>
            <w:tcW w:w="513" w:type="dxa"/>
            <w:vMerge w:val="continue"/>
            <w:vAlign w:val="center"/>
          </w:tcPr>
          <w:p w14:paraId="361CE3CE">
            <w:pPr>
              <w:rPr>
                <w:rFonts w:hint="eastAsia" w:ascii="宋体" w:hAnsi="宋体" w:eastAsia="宋体" w:cs="宋体"/>
                <w:color w:val="auto"/>
                <w:highlight w:val="none"/>
              </w:rPr>
            </w:pPr>
          </w:p>
        </w:tc>
        <w:tc>
          <w:tcPr>
            <w:tcW w:w="952" w:type="dxa"/>
            <w:vMerge w:val="continue"/>
            <w:vAlign w:val="center"/>
          </w:tcPr>
          <w:p w14:paraId="5875E436">
            <w:pPr>
              <w:rPr>
                <w:rFonts w:hint="eastAsia" w:ascii="宋体" w:hAnsi="宋体" w:eastAsia="宋体" w:cs="宋体"/>
                <w:color w:val="auto"/>
                <w:highlight w:val="none"/>
              </w:rPr>
            </w:pPr>
          </w:p>
        </w:tc>
        <w:tc>
          <w:tcPr>
            <w:tcW w:w="1550" w:type="dxa"/>
            <w:vMerge w:val="restart"/>
            <w:vAlign w:val="center"/>
          </w:tcPr>
          <w:p w14:paraId="4FC25438">
            <w:pPr>
              <w:pStyle w:val="87"/>
              <w:spacing w:line="340" w:lineRule="exact"/>
              <w:rPr>
                <w:rFonts w:hint="eastAsia" w:ascii="宋体" w:hAnsi="宋体" w:eastAsia="宋体" w:cs="宋体"/>
                <w:color w:val="auto"/>
                <w:kern w:val="2"/>
                <w:sz w:val="21"/>
                <w:szCs w:val="21"/>
                <w:highlight w:val="none"/>
              </w:rPr>
            </w:pPr>
          </w:p>
          <w:p w14:paraId="0769A842">
            <w:pPr>
              <w:widowControl/>
              <w:jc w:val="center"/>
              <w:rPr>
                <w:rFonts w:hint="eastAsia" w:ascii="宋体" w:hAnsi="宋体" w:eastAsia="宋体" w:cs="宋体"/>
                <w:color w:val="auto"/>
                <w:szCs w:val="21"/>
                <w:highlight w:val="none"/>
              </w:rPr>
            </w:pPr>
          </w:p>
          <w:p w14:paraId="19C83651">
            <w:pPr>
              <w:widowControl/>
              <w:jc w:val="center"/>
              <w:rPr>
                <w:rFonts w:hint="eastAsia" w:ascii="宋体" w:hAnsi="宋体" w:eastAsia="宋体" w:cs="宋体"/>
                <w:color w:val="auto"/>
                <w:szCs w:val="21"/>
                <w:highlight w:val="none"/>
              </w:rPr>
            </w:pPr>
          </w:p>
          <w:p w14:paraId="7B4D9F06">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F3-商务部分（满分</w:t>
            </w:r>
            <w:r>
              <w:rPr>
                <w:rFonts w:hint="eastAsia" w:ascii="宋体" w:hAnsi="宋体" w:cs="宋体"/>
                <w:color w:val="auto"/>
                <w:szCs w:val="21"/>
                <w:highlight w:val="none"/>
                <w:lang w:val="en-US" w:eastAsia="zh-CN"/>
              </w:rPr>
              <w:t>5</w:t>
            </w:r>
            <w:r>
              <w:rPr>
                <w:rFonts w:hint="eastAsia" w:ascii="宋体" w:hAnsi="宋体" w:eastAsia="宋体" w:cs="宋体"/>
                <w:color w:val="auto"/>
                <w:szCs w:val="21"/>
                <w:highlight w:val="none"/>
              </w:rPr>
              <w:t>分）</w:t>
            </w:r>
          </w:p>
          <w:p w14:paraId="2B8EDAD6">
            <w:pPr>
              <w:pStyle w:val="10"/>
              <w:ind w:left="5250" w:firstLine="734"/>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（满分20分）</w:t>
            </w:r>
          </w:p>
        </w:tc>
        <w:tc>
          <w:tcPr>
            <w:tcW w:w="1360" w:type="dxa"/>
            <w:shd w:val="clear" w:color="auto" w:fill="auto"/>
            <w:vAlign w:val="center"/>
          </w:tcPr>
          <w:p w14:paraId="1CC0A414">
            <w:pPr>
              <w:pStyle w:val="32"/>
              <w:spacing w:after="0"/>
              <w:ind w:left="0" w:leftChars="0"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pacing w:val="6"/>
                <w:sz w:val="21"/>
                <w:szCs w:val="21"/>
                <w:highlight w:val="none"/>
              </w:rPr>
              <w:t>投标人业绩（满分</w:t>
            </w:r>
            <w:r>
              <w:rPr>
                <w:rFonts w:hint="eastAsia" w:ascii="宋体" w:hAnsi="宋体" w:cs="宋体"/>
                <w:color w:val="auto"/>
                <w:spacing w:val="6"/>
                <w:sz w:val="21"/>
                <w:szCs w:val="21"/>
                <w:highlight w:val="none"/>
                <w:lang w:val="en-US" w:eastAsia="zh-CN"/>
              </w:rPr>
              <w:t>4</w:t>
            </w:r>
            <w:r>
              <w:rPr>
                <w:rFonts w:hint="eastAsia" w:ascii="宋体" w:hAnsi="宋体" w:eastAsia="宋体" w:cs="宋体"/>
                <w:color w:val="auto"/>
                <w:spacing w:val="6"/>
                <w:sz w:val="21"/>
                <w:szCs w:val="21"/>
                <w:highlight w:val="none"/>
              </w:rPr>
              <w:t>分）</w:t>
            </w:r>
          </w:p>
        </w:tc>
        <w:tc>
          <w:tcPr>
            <w:tcW w:w="5707" w:type="dxa"/>
            <w:shd w:val="clear" w:color="auto" w:fill="auto"/>
            <w:vAlign w:val="center"/>
          </w:tcPr>
          <w:p w14:paraId="63D98109">
            <w:pPr>
              <w:pStyle w:val="32"/>
              <w:spacing w:after="0"/>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投标人每提供一份近年类似项目业绩证明材料的得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分，满分</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p w14:paraId="49504E2B">
            <w:pPr>
              <w:pStyle w:val="32"/>
              <w:spacing w:after="0"/>
              <w:ind w:left="0" w:leftChars="0" w:firstLine="0" w:firstLine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备注：</w:t>
            </w:r>
          </w:p>
          <w:p w14:paraId="6954055E">
            <w:pPr>
              <w:pStyle w:val="32"/>
              <w:spacing w:after="0"/>
              <w:ind w:left="0" w:leftChars="0" w:firstLine="0" w:firstLineChars="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①近年指202</w:t>
            </w:r>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color w:val="auto"/>
                <w:sz w:val="21"/>
                <w:szCs w:val="21"/>
                <w:highlight w:val="none"/>
              </w:rPr>
              <w:t>年1月1日至投标截止时间前（以中标通知书时间或合同签订时间为准）</w:t>
            </w:r>
            <w:r>
              <w:rPr>
                <w:rFonts w:hint="eastAsia" w:ascii="宋体" w:hAnsi="宋体" w:eastAsia="宋体" w:cs="宋体"/>
                <w:b/>
                <w:bCs/>
                <w:color w:val="auto"/>
                <w:sz w:val="21"/>
                <w:szCs w:val="21"/>
                <w:highlight w:val="none"/>
                <w:lang w:eastAsia="zh-CN"/>
              </w:rPr>
              <w:t>。</w:t>
            </w:r>
          </w:p>
          <w:p w14:paraId="1D2EED94">
            <w:pPr>
              <w:pStyle w:val="32"/>
              <w:spacing w:after="0"/>
              <w:ind w:left="0" w:leftChars="0" w:firstLine="0" w:firstLineChars="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②类似业绩指</w:t>
            </w:r>
            <w:r>
              <w:rPr>
                <w:rFonts w:hint="eastAsia" w:ascii="宋体" w:hAnsi="宋体" w:cs="宋体"/>
                <w:b/>
                <w:bCs/>
                <w:color w:val="auto"/>
                <w:sz w:val="21"/>
                <w:szCs w:val="21"/>
                <w:highlight w:val="none"/>
                <w:lang w:val="en-US" w:eastAsia="zh-CN"/>
              </w:rPr>
              <w:t>台柜架类相关的</w:t>
            </w:r>
            <w:r>
              <w:rPr>
                <w:rFonts w:hint="eastAsia" w:ascii="宋体" w:hAnsi="宋体" w:eastAsia="宋体" w:cs="宋体"/>
                <w:b/>
                <w:bCs/>
                <w:color w:val="auto"/>
                <w:sz w:val="21"/>
                <w:szCs w:val="21"/>
                <w:highlight w:val="none"/>
                <w:lang w:val="en-US" w:eastAsia="zh-CN"/>
              </w:rPr>
              <w:t>供</w:t>
            </w:r>
            <w:r>
              <w:rPr>
                <w:rFonts w:hint="eastAsia" w:ascii="宋体" w:hAnsi="宋体" w:eastAsia="宋体" w:cs="宋体"/>
                <w:b/>
                <w:bCs/>
                <w:color w:val="auto"/>
                <w:sz w:val="21"/>
                <w:szCs w:val="21"/>
                <w:highlight w:val="none"/>
              </w:rPr>
              <w:t>货业绩，金额不限</w:t>
            </w:r>
            <w:r>
              <w:rPr>
                <w:rFonts w:hint="eastAsia" w:ascii="宋体" w:hAnsi="宋体" w:cs="宋体"/>
                <w:b/>
                <w:bCs/>
                <w:color w:val="auto"/>
                <w:sz w:val="21"/>
                <w:szCs w:val="21"/>
                <w:highlight w:val="none"/>
                <w:lang w:eastAsia="zh-CN"/>
              </w:rPr>
              <w:t>。</w:t>
            </w:r>
          </w:p>
          <w:p w14:paraId="71129665">
            <w:pPr>
              <w:pStyle w:val="32"/>
              <w:spacing w:after="0"/>
              <w:ind w:left="0" w:leftChars="0" w:firstLine="0" w:firstLineChars="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③业绩证明材料为中标通知书或合同</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合同首页、关键信息页、标的及金额所在页及合同签字盖章页</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原件扫描件</w:t>
            </w:r>
            <w:r>
              <w:rPr>
                <w:rFonts w:hint="eastAsia" w:ascii="宋体" w:hAnsi="宋体" w:eastAsia="宋体" w:cs="宋体"/>
                <w:b/>
                <w:bCs/>
                <w:color w:val="auto"/>
                <w:sz w:val="21"/>
                <w:szCs w:val="21"/>
                <w:highlight w:val="none"/>
                <w:lang w:eastAsia="zh-CN"/>
              </w:rPr>
              <w:t>。</w:t>
            </w:r>
          </w:p>
          <w:p w14:paraId="307CA1BA">
            <w:pPr>
              <w:pStyle w:val="32"/>
              <w:spacing w:after="0"/>
              <w:ind w:left="0" w:leftChars="0" w:firstLine="0" w:firstLineChars="0"/>
              <w:rPr>
                <w:rFonts w:hint="eastAsia" w:ascii="宋体" w:hAnsi="宋体" w:eastAsia="宋体" w:cs="宋体"/>
                <w:b/>
                <w:color w:val="auto"/>
                <w:kern w:val="2"/>
                <w:sz w:val="21"/>
                <w:szCs w:val="21"/>
                <w:highlight w:val="none"/>
                <w:lang w:val="en-US" w:eastAsia="zh-CN" w:bidi="ar-SA"/>
              </w:rPr>
            </w:pPr>
            <w:r>
              <w:rPr>
                <w:rFonts w:hint="eastAsia" w:ascii="宋体" w:hAnsi="宋体" w:eastAsia="宋体" w:cs="宋体"/>
                <w:b/>
                <w:bCs/>
                <w:color w:val="auto"/>
                <w:sz w:val="21"/>
                <w:szCs w:val="21"/>
                <w:highlight w:val="none"/>
              </w:rPr>
              <w:t>④无证明材料或证明材料不齐全、无法体现业绩内容的，不得分。</w:t>
            </w:r>
          </w:p>
        </w:tc>
      </w:tr>
      <w:tr w14:paraId="474AF16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524" w:hRule="atLeast"/>
          <w:jc w:val="center"/>
        </w:trPr>
        <w:tc>
          <w:tcPr>
            <w:tcW w:w="513" w:type="dxa"/>
            <w:vMerge w:val="continue"/>
            <w:vAlign w:val="center"/>
          </w:tcPr>
          <w:p w14:paraId="7A75115C">
            <w:pPr>
              <w:rPr>
                <w:rFonts w:hint="eastAsia" w:ascii="宋体" w:hAnsi="宋体" w:eastAsia="宋体" w:cs="宋体"/>
                <w:color w:val="auto"/>
                <w:highlight w:val="none"/>
              </w:rPr>
            </w:pPr>
          </w:p>
        </w:tc>
        <w:tc>
          <w:tcPr>
            <w:tcW w:w="952" w:type="dxa"/>
            <w:vMerge w:val="continue"/>
            <w:vAlign w:val="center"/>
          </w:tcPr>
          <w:p w14:paraId="280697AD">
            <w:pPr>
              <w:rPr>
                <w:rFonts w:hint="eastAsia" w:ascii="宋体" w:hAnsi="宋体" w:eastAsia="宋体" w:cs="宋体"/>
                <w:color w:val="auto"/>
                <w:highlight w:val="none"/>
              </w:rPr>
            </w:pPr>
          </w:p>
        </w:tc>
        <w:tc>
          <w:tcPr>
            <w:tcW w:w="1550" w:type="dxa"/>
            <w:vMerge w:val="continue"/>
            <w:vAlign w:val="center"/>
          </w:tcPr>
          <w:p w14:paraId="04A3A142">
            <w:pPr>
              <w:pStyle w:val="10"/>
              <w:ind w:left="5250" w:firstLine="734"/>
              <w:jc w:val="center"/>
              <w:rPr>
                <w:rFonts w:hint="eastAsia" w:ascii="宋体" w:hAnsi="宋体" w:eastAsia="宋体" w:cs="宋体"/>
                <w:color w:val="auto"/>
                <w:szCs w:val="21"/>
                <w:highlight w:val="none"/>
              </w:rPr>
            </w:pPr>
          </w:p>
        </w:tc>
        <w:tc>
          <w:tcPr>
            <w:tcW w:w="1360" w:type="dxa"/>
            <w:shd w:val="clear" w:color="auto" w:fill="auto"/>
            <w:vAlign w:val="center"/>
          </w:tcPr>
          <w:p w14:paraId="0619AF63">
            <w:pPr>
              <w:widowControl/>
              <w:jc w:val="center"/>
              <w:rPr>
                <w:rFonts w:hint="eastAsia" w:ascii="宋体" w:hAnsi="宋体" w:eastAsia="宋体" w:cs="宋体"/>
                <w:color w:val="auto"/>
                <w:spacing w:val="6"/>
                <w:kern w:val="2"/>
                <w:sz w:val="21"/>
                <w:szCs w:val="21"/>
                <w:highlight w:val="none"/>
                <w:lang w:val="en-US" w:eastAsia="zh-CN" w:bidi="ar-SA"/>
              </w:rPr>
            </w:pPr>
            <w:r>
              <w:rPr>
                <w:rFonts w:hint="eastAsia" w:ascii="宋体" w:hAnsi="宋体" w:eastAsia="宋体" w:cs="宋体"/>
                <w:color w:val="auto"/>
                <w:spacing w:val="6"/>
                <w:sz w:val="21"/>
                <w:szCs w:val="21"/>
                <w:highlight w:val="none"/>
                <w:lang w:val="en-US" w:eastAsia="zh-CN"/>
              </w:rPr>
              <w:t>节</w:t>
            </w:r>
            <w:r>
              <w:rPr>
                <w:rFonts w:hint="eastAsia" w:ascii="宋体" w:hAnsi="宋体" w:eastAsia="宋体" w:cs="宋体"/>
                <w:color w:val="auto"/>
                <w:spacing w:val="6"/>
                <w:sz w:val="21"/>
                <w:szCs w:val="21"/>
                <w:highlight w:val="none"/>
              </w:rPr>
              <w:t>能产品（满分</w:t>
            </w:r>
            <w:r>
              <w:rPr>
                <w:rFonts w:hint="eastAsia" w:ascii="宋体" w:hAnsi="宋体" w:eastAsia="宋体" w:cs="宋体"/>
                <w:color w:val="auto"/>
                <w:spacing w:val="6"/>
                <w:sz w:val="21"/>
                <w:szCs w:val="21"/>
                <w:highlight w:val="none"/>
                <w:lang w:val="en-US" w:eastAsia="zh-CN"/>
              </w:rPr>
              <w:t>0.5</w:t>
            </w:r>
            <w:r>
              <w:rPr>
                <w:rFonts w:hint="eastAsia" w:ascii="宋体" w:hAnsi="宋体" w:eastAsia="宋体" w:cs="宋体"/>
                <w:color w:val="auto"/>
                <w:spacing w:val="6"/>
                <w:sz w:val="21"/>
                <w:szCs w:val="21"/>
                <w:highlight w:val="none"/>
              </w:rPr>
              <w:t>分）</w:t>
            </w:r>
          </w:p>
        </w:tc>
        <w:tc>
          <w:tcPr>
            <w:tcW w:w="5707" w:type="dxa"/>
            <w:shd w:val="clear" w:color="auto" w:fill="auto"/>
            <w:vAlign w:val="center"/>
          </w:tcPr>
          <w:p w14:paraId="5B991A07">
            <w:pPr>
              <w:pStyle w:val="87"/>
              <w:rPr>
                <w:rFonts w:hint="eastAsia" w:ascii="宋体" w:hAnsi="宋体" w:eastAsia="宋体" w:cs="宋体"/>
                <w:b w:val="0"/>
                <w:bCs w:val="0"/>
                <w:color w:val="auto"/>
                <w:kern w:val="2"/>
                <w:sz w:val="21"/>
                <w:szCs w:val="21"/>
                <w:highlight w:val="none"/>
                <w:lang w:val="zh-TW" w:eastAsia="zh-TW"/>
              </w:rPr>
            </w:pPr>
            <w:r>
              <w:rPr>
                <w:rFonts w:hint="eastAsia" w:ascii="宋体" w:hAnsi="宋体" w:eastAsia="宋体" w:cs="宋体"/>
                <w:b w:val="0"/>
                <w:bCs w:val="0"/>
                <w:color w:val="auto"/>
                <w:kern w:val="2"/>
                <w:sz w:val="21"/>
                <w:szCs w:val="21"/>
                <w:highlight w:val="none"/>
              </w:rPr>
              <w:t>投标</w:t>
            </w:r>
            <w:r>
              <w:rPr>
                <w:rFonts w:hint="eastAsia" w:ascii="宋体" w:hAnsi="宋体" w:eastAsia="宋体" w:cs="宋体"/>
                <w:b w:val="0"/>
                <w:bCs w:val="0"/>
                <w:color w:val="auto"/>
                <w:kern w:val="2"/>
                <w:sz w:val="21"/>
                <w:szCs w:val="21"/>
                <w:highlight w:val="none"/>
                <w:lang w:val="zh-TW" w:eastAsia="zh-TW"/>
              </w:rPr>
              <w:t>产品中</w:t>
            </w:r>
            <w:r>
              <w:rPr>
                <w:rFonts w:hint="eastAsia" w:ascii="宋体" w:hAnsi="宋体" w:eastAsia="宋体" w:cs="宋体"/>
                <w:b w:val="0"/>
                <w:bCs w:val="0"/>
                <w:color w:val="auto"/>
                <w:kern w:val="2"/>
                <w:sz w:val="21"/>
                <w:szCs w:val="21"/>
                <w:highlight w:val="none"/>
              </w:rPr>
              <w:t>具有</w:t>
            </w:r>
            <w:r>
              <w:rPr>
                <w:rFonts w:hint="eastAsia" w:ascii="宋体" w:hAnsi="宋体" w:eastAsia="宋体" w:cs="宋体"/>
                <w:b w:val="0"/>
                <w:bCs w:val="0"/>
                <w:color w:val="auto"/>
                <w:kern w:val="2"/>
                <w:sz w:val="21"/>
                <w:szCs w:val="21"/>
                <w:highlight w:val="none"/>
                <w:lang w:val="zh-TW" w:eastAsia="zh-TW"/>
              </w:rPr>
              <w:t>节能产品的</w:t>
            </w:r>
            <w:r>
              <w:rPr>
                <w:rFonts w:hint="eastAsia" w:ascii="宋体" w:hAnsi="宋体" w:eastAsia="宋体" w:cs="宋体"/>
                <w:b w:val="0"/>
                <w:bCs w:val="0"/>
                <w:color w:val="auto"/>
                <w:kern w:val="2"/>
                <w:sz w:val="21"/>
                <w:szCs w:val="21"/>
                <w:highlight w:val="none"/>
              </w:rPr>
              <w:t>得</w:t>
            </w:r>
            <w:r>
              <w:rPr>
                <w:rFonts w:hint="eastAsia" w:ascii="宋体" w:hAnsi="宋体" w:eastAsia="宋体" w:cs="宋体"/>
                <w:b w:val="0"/>
                <w:bCs w:val="0"/>
                <w:color w:val="auto"/>
                <w:kern w:val="2"/>
                <w:sz w:val="21"/>
                <w:szCs w:val="21"/>
                <w:highlight w:val="none"/>
                <w:lang w:val="en-US" w:eastAsia="zh-CN"/>
              </w:rPr>
              <w:t>0.5</w:t>
            </w:r>
            <w:r>
              <w:rPr>
                <w:rFonts w:hint="eastAsia" w:ascii="宋体" w:hAnsi="宋体" w:eastAsia="宋体" w:cs="宋体"/>
                <w:b w:val="0"/>
                <w:bCs w:val="0"/>
                <w:color w:val="auto"/>
                <w:kern w:val="2"/>
                <w:sz w:val="21"/>
                <w:szCs w:val="21"/>
                <w:highlight w:val="none"/>
                <w:lang w:val="zh-TW" w:eastAsia="zh-TW"/>
              </w:rPr>
              <w:t>分</w:t>
            </w:r>
            <w:r>
              <w:rPr>
                <w:rFonts w:hint="eastAsia" w:ascii="宋体" w:hAnsi="宋体" w:eastAsia="宋体" w:cs="宋体"/>
                <w:b w:val="0"/>
                <w:bCs w:val="0"/>
                <w:color w:val="auto"/>
                <w:kern w:val="2"/>
                <w:sz w:val="21"/>
                <w:szCs w:val="21"/>
                <w:highlight w:val="none"/>
                <w:lang w:val="zh-TW" w:eastAsia="zh-CN"/>
              </w:rPr>
              <w:t>，</w:t>
            </w:r>
            <w:r>
              <w:rPr>
                <w:rFonts w:hint="eastAsia" w:ascii="宋体" w:hAnsi="宋体" w:eastAsia="宋体" w:cs="宋体"/>
                <w:b w:val="0"/>
                <w:bCs w:val="0"/>
                <w:color w:val="auto"/>
                <w:kern w:val="2"/>
                <w:sz w:val="21"/>
                <w:szCs w:val="21"/>
                <w:highlight w:val="none"/>
                <w:lang w:val="en-US" w:eastAsia="zh-CN"/>
              </w:rPr>
              <w:t>未提供的</w:t>
            </w:r>
            <w:r>
              <w:rPr>
                <w:rFonts w:hint="eastAsia" w:ascii="宋体" w:hAnsi="宋体" w:eastAsia="宋体" w:cs="宋体"/>
                <w:b w:val="0"/>
                <w:bCs w:val="0"/>
                <w:color w:val="auto"/>
                <w:kern w:val="2"/>
                <w:sz w:val="21"/>
                <w:szCs w:val="21"/>
                <w:highlight w:val="none"/>
                <w:lang w:val="zh-TW" w:eastAsia="zh-TW"/>
              </w:rPr>
              <w:t>不得分。</w:t>
            </w:r>
          </w:p>
          <w:p w14:paraId="3AC0DE27">
            <w:pPr>
              <w:pStyle w:val="87"/>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rPr>
              <w:t>备</w:t>
            </w:r>
            <w:r>
              <w:rPr>
                <w:rFonts w:hint="eastAsia" w:ascii="宋体" w:hAnsi="宋体" w:eastAsia="宋体" w:cs="宋体"/>
                <w:b/>
                <w:bCs/>
                <w:color w:val="auto"/>
                <w:kern w:val="2"/>
                <w:sz w:val="21"/>
                <w:szCs w:val="21"/>
                <w:highlight w:val="none"/>
                <w:lang w:val="zh-TW" w:eastAsia="zh-TW"/>
              </w:rPr>
              <w:t>注：</w:t>
            </w:r>
            <w:r>
              <w:rPr>
                <w:rFonts w:hint="eastAsia" w:ascii="宋体" w:hAnsi="宋体" w:eastAsia="宋体" w:cs="宋体"/>
                <w:b/>
                <w:bCs/>
                <w:color w:val="auto"/>
                <w:kern w:val="2"/>
                <w:sz w:val="21"/>
                <w:szCs w:val="21"/>
                <w:highlight w:val="none"/>
              </w:rPr>
              <w:t>投标产品属于优先采购范围内的节能产品的，提供国家确定的认证机构出具的、处于有效期之内的节能产品认证证书（扫描件加盖电子签章）。</w:t>
            </w:r>
          </w:p>
        </w:tc>
      </w:tr>
      <w:tr w14:paraId="58DA2807">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677" w:hRule="atLeast"/>
          <w:jc w:val="center"/>
        </w:trPr>
        <w:tc>
          <w:tcPr>
            <w:tcW w:w="513" w:type="dxa"/>
            <w:vMerge w:val="continue"/>
            <w:vAlign w:val="center"/>
          </w:tcPr>
          <w:p w14:paraId="3CCB088F">
            <w:pPr>
              <w:rPr>
                <w:rFonts w:hint="eastAsia" w:ascii="宋体" w:hAnsi="宋体" w:eastAsia="宋体" w:cs="宋体"/>
                <w:color w:val="auto"/>
                <w:highlight w:val="none"/>
              </w:rPr>
            </w:pPr>
          </w:p>
        </w:tc>
        <w:tc>
          <w:tcPr>
            <w:tcW w:w="952" w:type="dxa"/>
            <w:vMerge w:val="continue"/>
            <w:vAlign w:val="center"/>
          </w:tcPr>
          <w:p w14:paraId="3A423884">
            <w:pPr>
              <w:rPr>
                <w:rFonts w:hint="eastAsia" w:ascii="宋体" w:hAnsi="宋体" w:eastAsia="宋体" w:cs="宋体"/>
                <w:color w:val="auto"/>
                <w:highlight w:val="none"/>
              </w:rPr>
            </w:pPr>
          </w:p>
        </w:tc>
        <w:tc>
          <w:tcPr>
            <w:tcW w:w="1550" w:type="dxa"/>
            <w:vMerge w:val="continue"/>
            <w:vAlign w:val="center"/>
          </w:tcPr>
          <w:p w14:paraId="7CFA55A9">
            <w:pPr>
              <w:pStyle w:val="10"/>
              <w:ind w:left="5250" w:firstLine="734"/>
              <w:jc w:val="center"/>
              <w:rPr>
                <w:rFonts w:hint="eastAsia" w:ascii="宋体" w:hAnsi="宋体" w:eastAsia="宋体" w:cs="宋体"/>
                <w:color w:val="auto"/>
                <w:szCs w:val="21"/>
                <w:highlight w:val="none"/>
              </w:rPr>
            </w:pPr>
          </w:p>
        </w:tc>
        <w:tc>
          <w:tcPr>
            <w:tcW w:w="1360" w:type="dxa"/>
            <w:shd w:val="clear" w:color="auto" w:fill="auto"/>
            <w:vAlign w:val="center"/>
          </w:tcPr>
          <w:p w14:paraId="6034EC03">
            <w:pPr>
              <w:widowControl/>
              <w:jc w:val="center"/>
              <w:rPr>
                <w:rFonts w:hint="eastAsia" w:ascii="宋体" w:hAnsi="宋体" w:eastAsia="宋体" w:cs="宋体"/>
                <w:color w:val="auto"/>
                <w:spacing w:val="6"/>
                <w:kern w:val="2"/>
                <w:sz w:val="21"/>
                <w:szCs w:val="21"/>
                <w:highlight w:val="none"/>
                <w:lang w:val="en-US" w:eastAsia="zh-CN" w:bidi="ar-SA"/>
              </w:rPr>
            </w:pPr>
            <w:r>
              <w:rPr>
                <w:rFonts w:hint="eastAsia" w:ascii="宋体" w:hAnsi="宋体" w:eastAsia="宋体" w:cs="宋体"/>
                <w:color w:val="auto"/>
                <w:spacing w:val="6"/>
                <w:sz w:val="21"/>
                <w:szCs w:val="21"/>
                <w:highlight w:val="none"/>
              </w:rPr>
              <w:t>环境标志产品（满分</w:t>
            </w:r>
            <w:r>
              <w:rPr>
                <w:rFonts w:hint="eastAsia" w:ascii="宋体" w:hAnsi="宋体" w:eastAsia="宋体" w:cs="宋体"/>
                <w:color w:val="auto"/>
                <w:spacing w:val="6"/>
                <w:sz w:val="21"/>
                <w:szCs w:val="21"/>
                <w:highlight w:val="none"/>
                <w:lang w:val="en-US" w:eastAsia="zh-CN"/>
              </w:rPr>
              <w:t>0.5</w:t>
            </w:r>
            <w:r>
              <w:rPr>
                <w:rFonts w:hint="eastAsia" w:ascii="宋体" w:hAnsi="宋体" w:eastAsia="宋体" w:cs="宋体"/>
                <w:color w:val="auto"/>
                <w:spacing w:val="6"/>
                <w:sz w:val="21"/>
                <w:szCs w:val="21"/>
                <w:highlight w:val="none"/>
              </w:rPr>
              <w:t>分）</w:t>
            </w:r>
          </w:p>
        </w:tc>
        <w:tc>
          <w:tcPr>
            <w:tcW w:w="5707" w:type="dxa"/>
            <w:shd w:val="clear" w:color="auto" w:fill="auto"/>
            <w:vAlign w:val="center"/>
          </w:tcPr>
          <w:p w14:paraId="3BB407F4">
            <w:pPr>
              <w:pStyle w:val="87"/>
              <w:rPr>
                <w:rFonts w:hint="eastAsia" w:ascii="宋体" w:hAnsi="宋体" w:eastAsia="宋体" w:cs="宋体"/>
                <w:b w:val="0"/>
                <w:bCs w:val="0"/>
                <w:color w:val="auto"/>
                <w:kern w:val="2"/>
                <w:sz w:val="21"/>
                <w:szCs w:val="21"/>
                <w:highlight w:val="none"/>
                <w:lang w:val="zh-TW" w:eastAsia="zh-TW"/>
              </w:rPr>
            </w:pPr>
            <w:r>
              <w:rPr>
                <w:rFonts w:hint="eastAsia" w:ascii="宋体" w:hAnsi="宋体" w:eastAsia="宋体" w:cs="宋体"/>
                <w:b w:val="0"/>
                <w:bCs w:val="0"/>
                <w:color w:val="auto"/>
                <w:kern w:val="2"/>
                <w:sz w:val="21"/>
                <w:szCs w:val="21"/>
                <w:highlight w:val="none"/>
              </w:rPr>
              <w:t>投标</w:t>
            </w:r>
            <w:r>
              <w:rPr>
                <w:rFonts w:hint="eastAsia" w:ascii="宋体" w:hAnsi="宋体" w:eastAsia="宋体" w:cs="宋体"/>
                <w:b w:val="0"/>
                <w:bCs w:val="0"/>
                <w:color w:val="auto"/>
                <w:kern w:val="2"/>
                <w:sz w:val="21"/>
                <w:szCs w:val="21"/>
                <w:highlight w:val="none"/>
                <w:lang w:val="zh-TW" w:eastAsia="zh-TW"/>
              </w:rPr>
              <w:t>产品中</w:t>
            </w:r>
            <w:r>
              <w:rPr>
                <w:rFonts w:hint="eastAsia" w:ascii="宋体" w:hAnsi="宋体" w:eastAsia="宋体" w:cs="宋体"/>
                <w:b w:val="0"/>
                <w:bCs w:val="0"/>
                <w:color w:val="auto"/>
                <w:kern w:val="2"/>
                <w:sz w:val="21"/>
                <w:szCs w:val="21"/>
                <w:highlight w:val="none"/>
              </w:rPr>
              <w:t>具有</w:t>
            </w:r>
            <w:r>
              <w:rPr>
                <w:rFonts w:hint="eastAsia" w:ascii="宋体" w:hAnsi="宋体" w:eastAsia="宋体" w:cs="宋体"/>
                <w:b w:val="0"/>
                <w:bCs w:val="0"/>
                <w:color w:val="auto"/>
                <w:kern w:val="2"/>
                <w:sz w:val="21"/>
                <w:szCs w:val="21"/>
                <w:highlight w:val="none"/>
                <w:lang w:val="zh-TW" w:eastAsia="zh-TW"/>
              </w:rPr>
              <w:t>环境标志产品的</w:t>
            </w:r>
            <w:r>
              <w:rPr>
                <w:rFonts w:hint="eastAsia" w:ascii="宋体" w:hAnsi="宋体" w:eastAsia="宋体" w:cs="宋体"/>
                <w:b w:val="0"/>
                <w:bCs w:val="0"/>
                <w:color w:val="auto"/>
                <w:kern w:val="2"/>
                <w:sz w:val="21"/>
                <w:szCs w:val="21"/>
                <w:highlight w:val="none"/>
              </w:rPr>
              <w:t>得</w:t>
            </w:r>
            <w:r>
              <w:rPr>
                <w:rFonts w:hint="eastAsia" w:ascii="宋体" w:hAnsi="宋体" w:eastAsia="宋体" w:cs="宋体"/>
                <w:b w:val="0"/>
                <w:bCs w:val="0"/>
                <w:color w:val="auto"/>
                <w:kern w:val="2"/>
                <w:sz w:val="21"/>
                <w:szCs w:val="21"/>
                <w:highlight w:val="none"/>
                <w:lang w:val="en-US" w:eastAsia="zh-CN"/>
              </w:rPr>
              <w:t>0.5</w:t>
            </w:r>
            <w:r>
              <w:rPr>
                <w:rFonts w:hint="eastAsia" w:ascii="宋体" w:hAnsi="宋体" w:eastAsia="宋体" w:cs="宋体"/>
                <w:b w:val="0"/>
                <w:bCs w:val="0"/>
                <w:color w:val="auto"/>
                <w:kern w:val="2"/>
                <w:sz w:val="21"/>
                <w:szCs w:val="21"/>
                <w:highlight w:val="none"/>
                <w:lang w:val="zh-TW" w:eastAsia="zh-TW"/>
              </w:rPr>
              <w:t>分</w:t>
            </w:r>
            <w:r>
              <w:rPr>
                <w:rFonts w:hint="eastAsia" w:ascii="宋体" w:hAnsi="宋体" w:eastAsia="宋体" w:cs="宋体"/>
                <w:b w:val="0"/>
                <w:bCs w:val="0"/>
                <w:color w:val="auto"/>
                <w:kern w:val="2"/>
                <w:sz w:val="21"/>
                <w:szCs w:val="21"/>
                <w:highlight w:val="none"/>
                <w:lang w:val="zh-TW" w:eastAsia="zh-CN"/>
              </w:rPr>
              <w:t>，</w:t>
            </w:r>
            <w:r>
              <w:rPr>
                <w:rFonts w:hint="eastAsia" w:ascii="宋体" w:hAnsi="宋体" w:eastAsia="宋体" w:cs="宋体"/>
                <w:b w:val="0"/>
                <w:bCs w:val="0"/>
                <w:color w:val="auto"/>
                <w:kern w:val="2"/>
                <w:sz w:val="21"/>
                <w:szCs w:val="21"/>
                <w:highlight w:val="none"/>
                <w:lang w:val="en-US" w:eastAsia="zh-CN"/>
              </w:rPr>
              <w:t>未提供的</w:t>
            </w:r>
            <w:r>
              <w:rPr>
                <w:rFonts w:hint="eastAsia" w:ascii="宋体" w:hAnsi="宋体" w:eastAsia="宋体" w:cs="宋体"/>
                <w:b w:val="0"/>
                <w:bCs w:val="0"/>
                <w:color w:val="auto"/>
                <w:kern w:val="2"/>
                <w:sz w:val="21"/>
                <w:szCs w:val="21"/>
                <w:highlight w:val="none"/>
                <w:lang w:val="zh-TW" w:eastAsia="zh-TW"/>
              </w:rPr>
              <w:t>不得分。</w:t>
            </w:r>
          </w:p>
          <w:p w14:paraId="0BEC8466">
            <w:pPr>
              <w:pStyle w:val="87"/>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rPr>
              <w:t>备</w:t>
            </w:r>
            <w:r>
              <w:rPr>
                <w:rFonts w:hint="eastAsia" w:ascii="宋体" w:hAnsi="宋体" w:eastAsia="宋体" w:cs="宋体"/>
                <w:b/>
                <w:bCs/>
                <w:color w:val="auto"/>
                <w:kern w:val="2"/>
                <w:sz w:val="21"/>
                <w:szCs w:val="21"/>
                <w:highlight w:val="none"/>
                <w:lang w:val="zh-TW" w:eastAsia="zh-TW"/>
              </w:rPr>
              <w:t>注：</w:t>
            </w:r>
            <w:r>
              <w:rPr>
                <w:rFonts w:hint="eastAsia" w:ascii="宋体" w:hAnsi="宋体" w:eastAsia="宋体" w:cs="宋体"/>
                <w:b/>
                <w:bCs/>
                <w:color w:val="auto"/>
                <w:kern w:val="2"/>
                <w:sz w:val="21"/>
                <w:szCs w:val="21"/>
                <w:highlight w:val="none"/>
              </w:rPr>
              <w:t>投标产品属于优先采购范围内的环境标志产品的，提供国家确定的认证机构出具的、处于有效期之内的环境标志产品认证证书（扫描件加盖电子签章）。</w:t>
            </w:r>
          </w:p>
        </w:tc>
      </w:tr>
    </w:tbl>
    <w:p w14:paraId="6948BDC5">
      <w:pPr>
        <w:widowControl/>
        <w:ind w:firstLine="736"/>
        <w:jc w:val="left"/>
        <w:rPr>
          <w:rFonts w:hint="eastAsia" w:ascii="宋体" w:hAnsi="宋体" w:eastAsia="宋体" w:cs="宋体"/>
          <w:b/>
          <w:color w:val="auto"/>
          <w:highlight w:val="none"/>
        </w:rPr>
      </w:pPr>
      <w:r>
        <w:rPr>
          <w:rFonts w:hint="eastAsia" w:ascii="宋体" w:hAnsi="宋体" w:eastAsia="宋体" w:cs="宋体"/>
          <w:b/>
          <w:color w:val="auto"/>
          <w:highlight w:val="none"/>
        </w:rPr>
        <w:br w:type="page"/>
      </w:r>
    </w:p>
    <w:p w14:paraId="3A54C2A2">
      <w:pPr>
        <w:pStyle w:val="4"/>
        <w:keepNext w:val="0"/>
        <w:keepLines w:val="0"/>
        <w:pageBreakBefore w:val="0"/>
        <w:widowControl w:val="0"/>
        <w:numPr>
          <w:ilvl w:val="0"/>
          <w:numId w:val="0"/>
        </w:numPr>
        <w:tabs>
          <w:tab w:val="clear" w:pos="420"/>
        </w:tabs>
        <w:kinsoku/>
        <w:wordWrap/>
        <w:overflowPunct/>
        <w:topLinePunct w:val="0"/>
        <w:autoSpaceDE/>
        <w:autoSpaceDN/>
        <w:bidi w:val="0"/>
        <w:adjustRightInd w:val="0"/>
        <w:snapToGrid/>
        <w:ind w:left="0" w:leftChars="0" w:firstLine="480" w:firstLineChars="200"/>
        <w:textAlignment w:val="baseline"/>
        <w:rPr>
          <w:rFonts w:hint="eastAsia" w:ascii="宋体" w:hAnsi="宋体" w:eastAsia="宋体" w:cs="宋体"/>
          <w:color w:val="auto"/>
          <w:sz w:val="24"/>
          <w:szCs w:val="24"/>
          <w:highlight w:val="none"/>
          <w:lang w:val="en-US" w:eastAsia="zh-CN"/>
        </w:rPr>
      </w:pPr>
      <w:bookmarkStart w:id="249" w:name="_Toc530405542"/>
      <w:bookmarkStart w:id="250" w:name="_Toc525998733"/>
      <w:bookmarkStart w:id="251" w:name="_Toc27779"/>
      <w:bookmarkStart w:id="252" w:name="_Toc8878"/>
      <w:r>
        <w:rPr>
          <w:rFonts w:hint="eastAsia" w:ascii="宋体" w:hAnsi="宋体" w:eastAsia="宋体" w:cs="宋体"/>
          <w:color w:val="auto"/>
          <w:sz w:val="24"/>
          <w:szCs w:val="24"/>
          <w:highlight w:val="none"/>
          <w:lang w:val="en-US" w:eastAsia="zh-CN"/>
        </w:rPr>
        <w:t>1.评标方法</w:t>
      </w:r>
      <w:bookmarkEnd w:id="249"/>
      <w:bookmarkEnd w:id="250"/>
      <w:bookmarkEnd w:id="251"/>
      <w:bookmarkEnd w:id="252"/>
    </w:p>
    <w:p w14:paraId="640CE954">
      <w:pPr>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评标采用综合评分法。评标委员会对满足招标文件实质性要求的投标文件，按照本章第2.2款规定的评分标准进行打分，并按得分由高到低顺序推荐中标候选人。若评标总得分相同，则按投标报价由低到高顺序排列；若评标总得分相同且投标报价相同时，按第二项评审因素得分高低顺序排列，以此类推。</w:t>
      </w:r>
    </w:p>
    <w:p w14:paraId="146FD169">
      <w:pPr>
        <w:pStyle w:val="4"/>
        <w:keepNext w:val="0"/>
        <w:keepLines w:val="0"/>
        <w:pageBreakBefore w:val="0"/>
        <w:widowControl w:val="0"/>
        <w:numPr>
          <w:ilvl w:val="0"/>
          <w:numId w:val="0"/>
        </w:numPr>
        <w:tabs>
          <w:tab w:val="clear" w:pos="420"/>
        </w:tabs>
        <w:kinsoku/>
        <w:wordWrap/>
        <w:overflowPunct/>
        <w:topLinePunct w:val="0"/>
        <w:autoSpaceDE/>
        <w:autoSpaceDN/>
        <w:bidi w:val="0"/>
        <w:adjustRightInd w:val="0"/>
        <w:snapToGrid/>
        <w:ind w:left="0" w:leftChars="0" w:firstLine="480" w:firstLineChars="200"/>
        <w:textAlignment w:val="baseline"/>
        <w:rPr>
          <w:rFonts w:hint="eastAsia" w:ascii="宋体" w:hAnsi="宋体" w:eastAsia="宋体" w:cs="宋体"/>
          <w:color w:val="auto"/>
          <w:sz w:val="24"/>
          <w:szCs w:val="24"/>
          <w:highlight w:val="none"/>
          <w:lang w:val="en-US" w:eastAsia="zh-CN"/>
        </w:rPr>
      </w:pPr>
      <w:bookmarkStart w:id="253" w:name="_Toc16770"/>
      <w:bookmarkStart w:id="254" w:name="_Toc530405543"/>
      <w:bookmarkStart w:id="255" w:name="_Toc31939"/>
      <w:bookmarkStart w:id="256" w:name="_Toc525998734"/>
      <w:r>
        <w:rPr>
          <w:rFonts w:hint="eastAsia" w:ascii="宋体" w:hAnsi="宋体" w:eastAsia="宋体" w:cs="宋体"/>
          <w:color w:val="auto"/>
          <w:sz w:val="24"/>
          <w:szCs w:val="24"/>
          <w:highlight w:val="none"/>
          <w:lang w:val="en-US" w:eastAsia="zh-CN"/>
        </w:rPr>
        <w:t>2.评审标准</w:t>
      </w:r>
      <w:bookmarkEnd w:id="253"/>
      <w:bookmarkEnd w:id="254"/>
      <w:bookmarkEnd w:id="255"/>
      <w:bookmarkEnd w:id="256"/>
    </w:p>
    <w:p w14:paraId="4829367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bCs/>
          <w:color w:val="auto"/>
          <w:sz w:val="24"/>
          <w:szCs w:val="24"/>
          <w:highlight w:val="none"/>
        </w:rPr>
      </w:pPr>
      <w:bookmarkStart w:id="257" w:name="_Toc525998735"/>
      <w:bookmarkStart w:id="258" w:name="_Toc530405544"/>
      <w:r>
        <w:rPr>
          <w:rFonts w:hint="eastAsia" w:ascii="宋体" w:hAnsi="宋体" w:eastAsia="宋体" w:cs="宋体"/>
          <w:b/>
          <w:bCs/>
          <w:color w:val="auto"/>
          <w:sz w:val="24"/>
          <w:szCs w:val="24"/>
          <w:highlight w:val="none"/>
        </w:rPr>
        <w:t>2.1初步评审标准</w:t>
      </w:r>
      <w:bookmarkEnd w:id="257"/>
      <w:bookmarkEnd w:id="258"/>
    </w:p>
    <w:p w14:paraId="52417FCF">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 资格评审标准：依据法律法规和招标文件的规定，对投标文件中的资格证明等进行审查，以确定投标人是否具备投标资格；见评标办法前附表。</w:t>
      </w:r>
    </w:p>
    <w:p w14:paraId="729907CB">
      <w:pPr>
        <w:pStyle w:val="21"/>
        <w:tabs>
          <w:tab w:val="left" w:pos="2472"/>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（1）开标结束后，采购人或者采购代理机构将依法对投标人的资格进行审查，合格投标人不足3家的，不得评标。</w:t>
      </w:r>
    </w:p>
    <w:p w14:paraId="5847FAD6">
      <w:pPr>
        <w:pStyle w:val="21"/>
        <w:tabs>
          <w:tab w:val="left" w:pos="2472"/>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（2）采购人或者采购代理机构按照招标文件第一章《招标公告》</w:t>
      </w:r>
      <w:r>
        <w:rPr>
          <w:rFonts w:hint="eastAsia" w:ascii="宋体" w:hAnsi="宋体" w:eastAsia="宋体" w:cs="宋体"/>
          <w:color w:val="auto"/>
          <w:sz w:val="24"/>
          <w:szCs w:val="24"/>
          <w:highlight w:val="none"/>
          <w:lang w:val="en-US" w:eastAsia="zh-CN"/>
        </w:rPr>
        <w:t>中“</w:t>
      </w:r>
      <w:r>
        <w:rPr>
          <w:rFonts w:hint="eastAsia" w:ascii="宋体" w:hAnsi="宋体" w:eastAsia="宋体" w:cs="宋体"/>
          <w:color w:val="auto"/>
          <w:sz w:val="24"/>
          <w:szCs w:val="24"/>
          <w:highlight w:val="none"/>
        </w:rPr>
        <w:t>二、</w:t>
      </w:r>
      <w:r>
        <w:rPr>
          <w:rFonts w:hint="eastAsia" w:ascii="宋体" w:hAnsi="宋体" w:eastAsia="宋体" w:cs="宋体"/>
          <w:color w:val="auto"/>
          <w:sz w:val="24"/>
          <w:szCs w:val="24"/>
          <w:highlight w:val="none"/>
          <w:lang w:val="en-US" w:eastAsia="zh-CN"/>
        </w:rPr>
        <w:t>申请人的</w:t>
      </w:r>
      <w:r>
        <w:rPr>
          <w:rFonts w:hint="eastAsia" w:ascii="宋体" w:hAnsi="宋体" w:eastAsia="宋体" w:cs="宋体"/>
          <w:color w:val="auto"/>
          <w:sz w:val="24"/>
          <w:szCs w:val="24"/>
          <w:highlight w:val="none"/>
        </w:rPr>
        <w:t>资格要求</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和第二章《投标人须知前附表》</w:t>
      </w:r>
      <w:r>
        <w:rPr>
          <w:rFonts w:hint="eastAsia" w:ascii="宋体" w:hAnsi="宋体" w:eastAsia="宋体" w:cs="宋体"/>
          <w:color w:val="auto"/>
          <w:sz w:val="24"/>
          <w:szCs w:val="24"/>
          <w:highlight w:val="none"/>
          <w:lang w:val="en-US" w:eastAsia="zh-CN"/>
        </w:rPr>
        <w:t>中</w:t>
      </w:r>
      <w:r>
        <w:rPr>
          <w:rFonts w:hint="eastAsia" w:ascii="宋体" w:hAnsi="宋体" w:eastAsia="宋体" w:cs="宋体"/>
          <w:color w:val="auto"/>
          <w:sz w:val="24"/>
          <w:szCs w:val="24"/>
          <w:highlight w:val="none"/>
        </w:rPr>
        <w:t>“5.投标人资格要求”的规定对投标文件中的资格审查部分进行审查。</w:t>
      </w:r>
    </w:p>
    <w:p w14:paraId="09AEC85D">
      <w:pPr>
        <w:pStyle w:val="21"/>
        <w:tabs>
          <w:tab w:val="left" w:pos="2472"/>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（3）如投标人</w:t>
      </w:r>
      <w:r>
        <w:rPr>
          <w:rFonts w:hint="eastAsia" w:ascii="宋体" w:hAnsi="宋体" w:eastAsia="宋体" w:cs="宋体"/>
          <w:color w:val="auto"/>
          <w:sz w:val="24"/>
          <w:szCs w:val="24"/>
          <w:highlight w:val="none"/>
          <w:lang w:eastAsia="zh-CN"/>
        </w:rPr>
        <w:t>未</w:t>
      </w:r>
      <w:r>
        <w:rPr>
          <w:rFonts w:hint="eastAsia" w:ascii="宋体" w:hAnsi="宋体" w:eastAsia="宋体" w:cs="宋体"/>
          <w:color w:val="auto"/>
          <w:sz w:val="24"/>
          <w:szCs w:val="24"/>
          <w:highlight w:val="none"/>
        </w:rPr>
        <w:t>满足投标人资格要求提供虚假材料，一经查实，视为未实质性响应招标文件，投标人投标文件将按无效处理。</w:t>
      </w:r>
    </w:p>
    <w:p w14:paraId="3BE7BCDB">
      <w:pPr>
        <w:pStyle w:val="21"/>
        <w:tabs>
          <w:tab w:val="left" w:pos="2472"/>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（4）采购人或者采购代理机构在资格审查过程中发现投标人有一项不符合上述规定的，该投标文件按无效投标处理。</w:t>
      </w:r>
    </w:p>
    <w:p w14:paraId="3617BB01">
      <w:pPr>
        <w:pStyle w:val="21"/>
        <w:tabs>
          <w:tab w:val="left" w:pos="2472"/>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 符合性评审标准：依据招标文件的规定，从投标文件的有效性、完整性和对招标文件的响应程度进行审查，以确定是否对招标文件的实质性要求作出响应；见评标办法前附表。</w:t>
      </w:r>
    </w:p>
    <w:p w14:paraId="19972544">
      <w:pPr>
        <w:pStyle w:val="21"/>
        <w:tabs>
          <w:tab w:val="left" w:pos="2472"/>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2.1.3其他</w:t>
      </w:r>
    </w:p>
    <w:p w14:paraId="51823043">
      <w:pPr>
        <w:pStyle w:val="88"/>
        <w:spacing w:line="360" w:lineRule="auto"/>
        <w:ind w:left="1"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利害关系投标人处理。单位负责人为同一人或者存在直接控股、管理关系的不同投标人不得参加同一合同项下的采购活动。采购项目实行资格预审的，单位负责人为同一人或者存在直接控股、管理关系的不同投标人可以参加资格预审，但只能由投标人确定其中一家符合条件的投标人参加后续的采购活动，否则，其投标文件作为无效处理。</w:t>
      </w:r>
    </w:p>
    <w:p w14:paraId="20CE94B4">
      <w:pPr>
        <w:pStyle w:val="88"/>
        <w:spacing w:line="360" w:lineRule="auto"/>
        <w:ind w:left="1"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（2）利害关系授权代表处理。两家以上的投标人不得在同一合同项下的采购项目中，委托同一个自然人、同一家庭的人员、同一单位的人员作为其授权代表，否则，其投标文件作为无效处理。</w:t>
      </w:r>
    </w:p>
    <w:p w14:paraId="634DD1BE">
      <w:pPr>
        <w:pStyle w:val="88"/>
        <w:spacing w:line="360" w:lineRule="auto"/>
        <w:ind w:left="1"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（3）前期参与投标人处理。为采购项目提供整体设计、规范编制或者项目管理、监理、检测等服务的投标人，不得再参加该采购项目的其他采购活动。投标人为</w:t>
      </w:r>
      <w:r>
        <w:rPr>
          <w:rFonts w:hint="eastAsia" w:ascii="宋体" w:hAnsi="宋体" w:eastAsia="宋体" w:cs="宋体"/>
          <w:color w:val="auto"/>
          <w:kern w:val="2"/>
          <w:sz w:val="24"/>
          <w:szCs w:val="24"/>
          <w:highlight w:val="none"/>
          <w:lang w:eastAsia="zh-CN"/>
        </w:rPr>
        <w:t>采购人</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eastAsia="zh-CN"/>
        </w:rPr>
        <w:t>采购代理</w:t>
      </w:r>
      <w:r>
        <w:rPr>
          <w:rFonts w:hint="eastAsia" w:ascii="宋体" w:hAnsi="宋体" w:eastAsia="宋体" w:cs="宋体"/>
          <w:color w:val="auto"/>
          <w:kern w:val="2"/>
          <w:sz w:val="24"/>
          <w:szCs w:val="24"/>
          <w:highlight w:val="none"/>
        </w:rPr>
        <w:t>机构在确定采购需求、编制采购文件过程中提供咨询论证，其提供的咨询论证意见成为采购文件中规定的投标人资格条件、技术服务商务要求、评标因素和标准、采购合同等实质性内容条款的，视同为采购项目提供规范编制。</w:t>
      </w:r>
    </w:p>
    <w:p w14:paraId="747209F1">
      <w:pPr>
        <w:pStyle w:val="88"/>
        <w:spacing w:line="360" w:lineRule="auto"/>
        <w:ind w:left="1"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（4）投标人实际控制人或者中高级管理人员，同时是</w:t>
      </w:r>
      <w:r>
        <w:rPr>
          <w:rFonts w:hint="eastAsia" w:ascii="宋体" w:hAnsi="宋体" w:eastAsia="宋体" w:cs="宋体"/>
          <w:color w:val="auto"/>
          <w:kern w:val="2"/>
          <w:sz w:val="24"/>
          <w:szCs w:val="24"/>
          <w:highlight w:val="none"/>
          <w:lang w:eastAsia="zh-CN"/>
        </w:rPr>
        <w:t>采购代理</w:t>
      </w:r>
      <w:r>
        <w:rPr>
          <w:rFonts w:hint="eastAsia" w:ascii="宋体" w:hAnsi="宋体" w:eastAsia="宋体" w:cs="宋体"/>
          <w:color w:val="auto"/>
          <w:kern w:val="2"/>
          <w:sz w:val="24"/>
          <w:szCs w:val="24"/>
          <w:highlight w:val="none"/>
        </w:rPr>
        <w:t>机构工作人员，不得参与本项目采购活动。</w:t>
      </w:r>
    </w:p>
    <w:p w14:paraId="67B811DD">
      <w:pPr>
        <w:pStyle w:val="88"/>
        <w:spacing w:line="360" w:lineRule="auto"/>
        <w:ind w:left="1"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（5）同一母公司的两家以上的子公司只能组成联合体参加本项目同一合同项下的采购活动，不得以不同投标人身份同时参加本项目同一合同项下的采购活动。</w:t>
      </w:r>
    </w:p>
    <w:p w14:paraId="4C7E3A21">
      <w:pPr>
        <w:pStyle w:val="88"/>
        <w:spacing w:line="360" w:lineRule="auto"/>
        <w:ind w:left="1"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（6）投标人与</w:t>
      </w:r>
      <w:r>
        <w:rPr>
          <w:rFonts w:hint="eastAsia" w:ascii="宋体" w:hAnsi="宋体" w:eastAsia="宋体" w:cs="宋体"/>
          <w:color w:val="auto"/>
          <w:kern w:val="2"/>
          <w:sz w:val="24"/>
          <w:szCs w:val="24"/>
          <w:highlight w:val="none"/>
          <w:lang w:eastAsia="zh-CN"/>
        </w:rPr>
        <w:t>采购代理</w:t>
      </w:r>
      <w:r>
        <w:rPr>
          <w:rFonts w:hint="eastAsia" w:ascii="宋体" w:hAnsi="宋体" w:eastAsia="宋体" w:cs="宋体"/>
          <w:color w:val="auto"/>
          <w:kern w:val="2"/>
          <w:sz w:val="24"/>
          <w:szCs w:val="24"/>
          <w:highlight w:val="none"/>
        </w:rPr>
        <w:t>机构存在关联关系，或者是</w:t>
      </w:r>
      <w:r>
        <w:rPr>
          <w:rFonts w:hint="eastAsia" w:ascii="宋体" w:hAnsi="宋体" w:eastAsia="宋体" w:cs="宋体"/>
          <w:color w:val="auto"/>
          <w:kern w:val="2"/>
          <w:sz w:val="24"/>
          <w:szCs w:val="24"/>
          <w:highlight w:val="none"/>
          <w:lang w:eastAsia="zh-CN"/>
        </w:rPr>
        <w:t>采购代理</w:t>
      </w:r>
      <w:r>
        <w:rPr>
          <w:rFonts w:hint="eastAsia" w:ascii="宋体" w:hAnsi="宋体" w:eastAsia="宋体" w:cs="宋体"/>
          <w:color w:val="auto"/>
          <w:kern w:val="2"/>
          <w:sz w:val="24"/>
          <w:szCs w:val="24"/>
          <w:highlight w:val="none"/>
        </w:rPr>
        <w:t>机构的母公司或子公司，不得参加本项目采购活动。</w:t>
      </w:r>
    </w:p>
    <w:p w14:paraId="6B7920F4">
      <w:pPr>
        <w:pStyle w:val="88"/>
        <w:spacing w:line="360" w:lineRule="auto"/>
        <w:ind w:left="1"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（7）回避。采购活动中，</w:t>
      </w:r>
      <w:r>
        <w:rPr>
          <w:rFonts w:hint="eastAsia" w:ascii="宋体" w:hAnsi="宋体" w:eastAsia="宋体" w:cs="宋体"/>
          <w:color w:val="auto"/>
          <w:kern w:val="2"/>
          <w:sz w:val="24"/>
          <w:szCs w:val="24"/>
          <w:highlight w:val="none"/>
          <w:lang w:eastAsia="zh-CN"/>
        </w:rPr>
        <w:t>采购人</w:t>
      </w:r>
      <w:r>
        <w:rPr>
          <w:rFonts w:hint="eastAsia" w:ascii="宋体" w:hAnsi="宋体" w:eastAsia="宋体" w:cs="宋体"/>
          <w:color w:val="auto"/>
          <w:kern w:val="2"/>
          <w:sz w:val="24"/>
          <w:szCs w:val="24"/>
          <w:highlight w:val="none"/>
        </w:rPr>
        <w:t>员及相关人员与投标人有下列利害关系之一的，应当回避：</w:t>
      </w:r>
    </w:p>
    <w:p w14:paraId="2966EDAE">
      <w:pPr>
        <w:pStyle w:val="88"/>
        <w:spacing w:line="360" w:lineRule="auto"/>
        <w:ind w:left="1" w:firstLine="480" w:firstLineChars="200"/>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①参加采购活动前3年内与投标人存在劳动关系</w:t>
      </w:r>
      <w:r>
        <w:rPr>
          <w:rFonts w:hint="eastAsia" w:ascii="宋体" w:hAnsi="宋体" w:eastAsia="宋体" w:cs="宋体"/>
          <w:color w:val="auto"/>
          <w:kern w:val="2"/>
          <w:sz w:val="24"/>
          <w:szCs w:val="24"/>
          <w:highlight w:val="none"/>
          <w:lang w:eastAsia="zh-CN"/>
        </w:rPr>
        <w:t>。</w:t>
      </w:r>
    </w:p>
    <w:p w14:paraId="1F203BBD">
      <w:pPr>
        <w:pStyle w:val="88"/>
        <w:spacing w:line="360" w:lineRule="auto"/>
        <w:ind w:left="1" w:firstLine="480" w:firstLineChars="200"/>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②参加采购活动前3年内担任投标人的董事、监事</w:t>
      </w:r>
      <w:r>
        <w:rPr>
          <w:rFonts w:hint="eastAsia" w:ascii="宋体" w:hAnsi="宋体" w:eastAsia="宋体" w:cs="宋体"/>
          <w:color w:val="auto"/>
          <w:kern w:val="2"/>
          <w:sz w:val="24"/>
          <w:szCs w:val="24"/>
          <w:highlight w:val="none"/>
          <w:lang w:eastAsia="zh-CN"/>
        </w:rPr>
        <w:t>。</w:t>
      </w:r>
    </w:p>
    <w:p w14:paraId="2A78F10E">
      <w:pPr>
        <w:pStyle w:val="88"/>
        <w:spacing w:line="360" w:lineRule="auto"/>
        <w:ind w:left="1" w:firstLine="480" w:firstLineChars="200"/>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③参加采购活动前3年内是投标人的控股股东或者实际控制人</w:t>
      </w:r>
      <w:r>
        <w:rPr>
          <w:rFonts w:hint="eastAsia" w:ascii="宋体" w:hAnsi="宋体" w:eastAsia="宋体" w:cs="宋体"/>
          <w:color w:val="auto"/>
          <w:kern w:val="2"/>
          <w:sz w:val="24"/>
          <w:szCs w:val="24"/>
          <w:highlight w:val="none"/>
          <w:lang w:eastAsia="zh-CN"/>
        </w:rPr>
        <w:t>。</w:t>
      </w:r>
    </w:p>
    <w:p w14:paraId="2E1D0BDA">
      <w:pPr>
        <w:pStyle w:val="88"/>
        <w:spacing w:line="360" w:lineRule="auto"/>
        <w:ind w:left="1" w:firstLine="480" w:firstLineChars="200"/>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④与投标人的法定代表人（单位负责人）或者负责人有夫妻、直系血亲、三代以内旁系血亲或者近姻亲关系</w:t>
      </w:r>
      <w:r>
        <w:rPr>
          <w:rFonts w:hint="eastAsia" w:ascii="宋体" w:hAnsi="宋体" w:eastAsia="宋体" w:cs="宋体"/>
          <w:color w:val="auto"/>
          <w:kern w:val="2"/>
          <w:sz w:val="24"/>
          <w:szCs w:val="24"/>
          <w:highlight w:val="none"/>
          <w:lang w:eastAsia="zh-CN"/>
        </w:rPr>
        <w:t>。</w:t>
      </w:r>
    </w:p>
    <w:p w14:paraId="55922253">
      <w:pPr>
        <w:pStyle w:val="88"/>
        <w:spacing w:line="360" w:lineRule="auto"/>
        <w:ind w:left="1"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⑤与投标人有其他可能影响采购活动公平、公正进行的关系。</w:t>
      </w:r>
    </w:p>
    <w:p w14:paraId="7C3C33EC">
      <w:pPr>
        <w:pStyle w:val="88"/>
        <w:spacing w:line="360" w:lineRule="auto"/>
        <w:ind w:left="1"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本项目采购活动中需要依法回避的</w:t>
      </w:r>
      <w:r>
        <w:rPr>
          <w:rFonts w:hint="eastAsia" w:ascii="宋体" w:hAnsi="宋体" w:eastAsia="宋体" w:cs="宋体"/>
          <w:color w:val="auto"/>
          <w:kern w:val="2"/>
          <w:sz w:val="24"/>
          <w:szCs w:val="24"/>
          <w:highlight w:val="none"/>
          <w:lang w:eastAsia="zh-CN"/>
        </w:rPr>
        <w:t>采购人</w:t>
      </w:r>
      <w:r>
        <w:rPr>
          <w:rFonts w:hint="eastAsia" w:ascii="宋体" w:hAnsi="宋体" w:eastAsia="宋体" w:cs="宋体"/>
          <w:color w:val="auto"/>
          <w:kern w:val="2"/>
          <w:sz w:val="24"/>
          <w:szCs w:val="24"/>
          <w:highlight w:val="none"/>
        </w:rPr>
        <w:t>员是指</w:t>
      </w:r>
      <w:r>
        <w:rPr>
          <w:rFonts w:hint="eastAsia" w:ascii="宋体" w:hAnsi="宋体" w:eastAsia="宋体" w:cs="宋体"/>
          <w:color w:val="auto"/>
          <w:kern w:val="2"/>
          <w:sz w:val="24"/>
          <w:szCs w:val="24"/>
          <w:highlight w:val="none"/>
          <w:lang w:eastAsia="zh-CN"/>
        </w:rPr>
        <w:t>采购人</w:t>
      </w:r>
      <w:r>
        <w:rPr>
          <w:rFonts w:hint="eastAsia" w:ascii="宋体" w:hAnsi="宋体" w:eastAsia="宋体" w:cs="宋体"/>
          <w:color w:val="auto"/>
          <w:kern w:val="2"/>
          <w:sz w:val="24"/>
          <w:szCs w:val="24"/>
          <w:highlight w:val="none"/>
        </w:rPr>
        <w:t>内部负责采购项目的具体经办工作人员和直接分管采购项目的负责人，以及</w:t>
      </w:r>
      <w:r>
        <w:rPr>
          <w:rFonts w:hint="eastAsia" w:ascii="宋体" w:hAnsi="宋体" w:eastAsia="宋体" w:cs="宋体"/>
          <w:color w:val="auto"/>
          <w:kern w:val="2"/>
          <w:sz w:val="24"/>
          <w:szCs w:val="24"/>
          <w:highlight w:val="none"/>
          <w:lang w:eastAsia="zh-CN"/>
        </w:rPr>
        <w:t>采购代理</w:t>
      </w:r>
      <w:r>
        <w:rPr>
          <w:rFonts w:hint="eastAsia" w:ascii="宋体" w:hAnsi="宋体" w:eastAsia="宋体" w:cs="宋体"/>
          <w:color w:val="auto"/>
          <w:kern w:val="2"/>
          <w:sz w:val="24"/>
          <w:szCs w:val="24"/>
          <w:highlight w:val="none"/>
        </w:rPr>
        <w:t>机构负责采购项目的具体经办工作人员和直接分管采购活动的负责人。本项目采购活动中需要依法回避的相关人员是指评标委员会成员。</w:t>
      </w:r>
    </w:p>
    <w:p w14:paraId="57C77DC4">
      <w:pPr>
        <w:pStyle w:val="88"/>
        <w:spacing w:line="360" w:lineRule="auto"/>
        <w:ind w:left="1"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投标人认为</w:t>
      </w:r>
      <w:r>
        <w:rPr>
          <w:rFonts w:hint="eastAsia" w:ascii="宋体" w:hAnsi="宋体" w:eastAsia="宋体" w:cs="宋体"/>
          <w:color w:val="auto"/>
          <w:kern w:val="2"/>
          <w:sz w:val="24"/>
          <w:szCs w:val="24"/>
          <w:highlight w:val="none"/>
          <w:lang w:eastAsia="zh-CN"/>
        </w:rPr>
        <w:t>采购人</w:t>
      </w:r>
      <w:r>
        <w:rPr>
          <w:rFonts w:hint="eastAsia" w:ascii="宋体" w:hAnsi="宋体" w:eastAsia="宋体" w:cs="宋体"/>
          <w:color w:val="auto"/>
          <w:kern w:val="2"/>
          <w:sz w:val="24"/>
          <w:szCs w:val="24"/>
          <w:highlight w:val="none"/>
        </w:rPr>
        <w:t>员及相关人员与其他投标人有利害关系的，可以向</w:t>
      </w:r>
      <w:r>
        <w:rPr>
          <w:rFonts w:hint="eastAsia" w:ascii="宋体" w:hAnsi="宋体" w:eastAsia="宋体" w:cs="宋体"/>
          <w:color w:val="auto"/>
          <w:kern w:val="2"/>
          <w:sz w:val="24"/>
          <w:szCs w:val="24"/>
          <w:highlight w:val="none"/>
          <w:lang w:eastAsia="zh-CN"/>
        </w:rPr>
        <w:t>采购代理</w:t>
      </w:r>
      <w:r>
        <w:rPr>
          <w:rFonts w:hint="eastAsia" w:ascii="宋体" w:hAnsi="宋体" w:eastAsia="宋体" w:cs="宋体"/>
          <w:color w:val="auto"/>
          <w:kern w:val="2"/>
          <w:sz w:val="24"/>
          <w:szCs w:val="24"/>
          <w:highlight w:val="none"/>
        </w:rPr>
        <w:t>机构书面提出回避申请，并说明理由。</w:t>
      </w:r>
      <w:r>
        <w:rPr>
          <w:rFonts w:hint="eastAsia" w:ascii="宋体" w:hAnsi="宋体" w:eastAsia="宋体" w:cs="宋体"/>
          <w:color w:val="auto"/>
          <w:kern w:val="2"/>
          <w:sz w:val="24"/>
          <w:szCs w:val="24"/>
          <w:highlight w:val="none"/>
          <w:lang w:eastAsia="zh-CN"/>
        </w:rPr>
        <w:t>采购代理</w:t>
      </w:r>
      <w:r>
        <w:rPr>
          <w:rFonts w:hint="eastAsia" w:ascii="宋体" w:hAnsi="宋体" w:eastAsia="宋体" w:cs="宋体"/>
          <w:color w:val="auto"/>
          <w:kern w:val="2"/>
          <w:sz w:val="24"/>
          <w:szCs w:val="24"/>
          <w:highlight w:val="none"/>
        </w:rPr>
        <w:t>机构将及时询问被申请回避人员，有利害关系的被申请回避人员应当回避。</w:t>
      </w:r>
    </w:p>
    <w:p w14:paraId="1C15CCA5">
      <w:pPr>
        <w:pStyle w:val="88"/>
        <w:spacing w:line="360" w:lineRule="auto"/>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8）根据《财政部关于在政府采购活动中查询及使用信用记录的通知》（财库〔2016〕125号）的要求，采购代理机构将通过“信用中国”网站（www.creditchina.gov.cn）、“中国政府采购网”网站（www.ccgp.gov.cn）等渠道查询投标人的信用记录（</w:t>
      </w:r>
      <w:r>
        <w:rPr>
          <w:rFonts w:hint="eastAsia" w:ascii="宋体" w:hAnsi="宋体" w:eastAsia="宋体" w:cs="宋体"/>
          <w:color w:val="auto"/>
          <w:kern w:val="2"/>
          <w:sz w:val="24"/>
          <w:szCs w:val="24"/>
          <w:highlight w:val="none"/>
          <w:lang w:eastAsia="zh-CN"/>
        </w:rPr>
        <w:t>查询时间为开标时间当天</w:t>
      </w:r>
      <w:r>
        <w:rPr>
          <w:rFonts w:hint="eastAsia" w:ascii="宋体" w:hAnsi="宋体" w:eastAsia="宋体" w:cs="宋体"/>
          <w:color w:val="auto"/>
          <w:kern w:val="2"/>
          <w:sz w:val="24"/>
          <w:szCs w:val="24"/>
          <w:highlight w:val="none"/>
        </w:rPr>
        <w:t>，查询结果以采购代理机构查询结果为准，并将查询记录和证据留存），拒绝列入失信被执行人、重大税收违法失信主体、</w:t>
      </w:r>
      <w:r>
        <w:rPr>
          <w:rFonts w:hint="eastAsia" w:ascii="宋体" w:hAnsi="宋体" w:eastAsia="宋体" w:cs="宋体"/>
          <w:color w:val="auto"/>
          <w:kern w:val="2"/>
          <w:sz w:val="24"/>
          <w:szCs w:val="24"/>
          <w:highlight w:val="none"/>
          <w:lang w:eastAsia="zh-CN"/>
        </w:rPr>
        <w:t>政府采购活动严重违法失信行为记录名单</w:t>
      </w:r>
      <w:r>
        <w:rPr>
          <w:rFonts w:hint="eastAsia" w:ascii="宋体" w:hAnsi="宋体" w:eastAsia="宋体" w:cs="宋体"/>
          <w:color w:val="auto"/>
          <w:kern w:val="2"/>
          <w:sz w:val="24"/>
          <w:szCs w:val="24"/>
          <w:highlight w:val="none"/>
        </w:rPr>
        <w:t>中的投标人参加本项目的投标活动。</w:t>
      </w:r>
    </w:p>
    <w:p w14:paraId="03C9BF06">
      <w:pPr>
        <w:pStyle w:val="88"/>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（9）投标文件未满足招标文件实质性要求的为重大偏差，不予修正和澄清，其投标文件按无效标书处理。未满足招标文件非实质性要求的为细微偏差，可修正和澄清。</w:t>
      </w:r>
    </w:p>
    <w:p w14:paraId="118480C1">
      <w:pPr>
        <w:pStyle w:val="88"/>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10）提供相同品牌产品处理。提供相同品牌产品且通过资格审查、有效性、完整性和响应程度审查的不同投标人参加同一合同项下投标的，按一家投标人计算，评审后得分最高的同品牌投标人获得中标人推荐资格；评审得分相同的，由</w:t>
      </w:r>
      <w:r>
        <w:rPr>
          <w:rFonts w:hint="eastAsia" w:ascii="宋体" w:hAnsi="宋体" w:eastAsia="宋体" w:cs="宋体"/>
          <w:color w:val="auto"/>
          <w:kern w:val="2"/>
          <w:sz w:val="24"/>
          <w:szCs w:val="24"/>
          <w:highlight w:val="none"/>
          <w:lang w:eastAsia="zh-CN"/>
        </w:rPr>
        <w:t>采购人</w:t>
      </w:r>
      <w:r>
        <w:rPr>
          <w:rFonts w:hint="eastAsia" w:ascii="宋体" w:hAnsi="宋体" w:eastAsia="宋体" w:cs="宋体"/>
          <w:color w:val="auto"/>
          <w:kern w:val="2"/>
          <w:sz w:val="24"/>
          <w:szCs w:val="24"/>
          <w:highlight w:val="none"/>
        </w:rPr>
        <w:t>或者</w:t>
      </w:r>
      <w:r>
        <w:rPr>
          <w:rFonts w:hint="eastAsia" w:ascii="宋体" w:hAnsi="宋体" w:eastAsia="宋体" w:cs="宋体"/>
          <w:color w:val="auto"/>
          <w:kern w:val="2"/>
          <w:sz w:val="24"/>
          <w:szCs w:val="24"/>
          <w:highlight w:val="none"/>
          <w:lang w:eastAsia="zh-CN"/>
        </w:rPr>
        <w:t>采购人</w:t>
      </w:r>
      <w:r>
        <w:rPr>
          <w:rFonts w:hint="eastAsia" w:ascii="宋体" w:hAnsi="宋体" w:eastAsia="宋体" w:cs="宋体"/>
          <w:color w:val="auto"/>
          <w:kern w:val="2"/>
          <w:sz w:val="24"/>
          <w:szCs w:val="24"/>
          <w:highlight w:val="none"/>
        </w:rPr>
        <w:t>委托评标委员会按照招标文件规定的方式确定一个投标人获得中标人推荐资格，招标文件未规定的采取随机抽取方式确定，其他同品牌投标人不作为中标候选人。</w:t>
      </w:r>
    </w:p>
    <w:p w14:paraId="349A956B">
      <w:pPr>
        <w:pStyle w:val="88"/>
        <w:spacing w:line="360" w:lineRule="auto"/>
        <w:ind w:firstLine="480" w:firstLineChars="200"/>
        <w:rPr>
          <w:rFonts w:hint="eastAsia" w:ascii="宋体" w:hAnsi="宋体" w:eastAsia="宋体" w:cs="宋体"/>
          <w:b/>
          <w:bCs/>
          <w:color w:val="auto"/>
          <w:kern w:val="2"/>
          <w:sz w:val="24"/>
          <w:szCs w:val="24"/>
          <w:highlight w:val="none"/>
          <w:lang w:val="en-US" w:eastAsia="zh-CN"/>
        </w:rPr>
      </w:pPr>
      <w:r>
        <w:rPr>
          <w:rFonts w:hint="eastAsia" w:ascii="宋体" w:hAnsi="宋体" w:eastAsia="宋体" w:cs="宋体"/>
          <w:b/>
          <w:bCs/>
          <w:color w:val="auto"/>
          <w:kern w:val="2"/>
          <w:sz w:val="24"/>
          <w:szCs w:val="24"/>
          <w:highlight w:val="none"/>
        </w:rPr>
        <w:t>本次采购项目核心产品为</w:t>
      </w:r>
      <w:r>
        <w:rPr>
          <w:rFonts w:hint="eastAsia" w:ascii="宋体" w:hAnsi="宋体" w:eastAsia="宋体" w:cs="宋体"/>
          <w:b/>
          <w:bCs/>
          <w:color w:val="auto"/>
          <w:kern w:val="2"/>
          <w:sz w:val="24"/>
          <w:szCs w:val="24"/>
          <w:highlight w:val="none"/>
          <w:lang w:eastAsia="zh-CN"/>
        </w:rPr>
        <w:t>：剖面样品科普展示柜</w:t>
      </w:r>
      <w:r>
        <w:rPr>
          <w:rFonts w:hint="eastAsia" w:hAnsi="宋体" w:cs="宋体"/>
          <w:b/>
          <w:bCs/>
          <w:color w:val="auto"/>
          <w:kern w:val="2"/>
          <w:sz w:val="24"/>
          <w:szCs w:val="24"/>
          <w:highlight w:val="none"/>
          <w:lang w:eastAsia="zh-CN"/>
        </w:rPr>
        <w:t>。</w:t>
      </w:r>
    </w:p>
    <w:p w14:paraId="63B7B8ED">
      <w:pPr>
        <w:pStyle w:val="88"/>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非单一产品采购项目中，多家投标人提供的所有核心产品品牌相同的，视为提供相同品牌产品。</w:t>
      </w:r>
    </w:p>
    <w:p w14:paraId="7D0144A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bCs/>
          <w:color w:val="auto"/>
          <w:sz w:val="24"/>
          <w:szCs w:val="24"/>
          <w:highlight w:val="none"/>
        </w:rPr>
      </w:pPr>
      <w:bookmarkStart w:id="259" w:name="_Toc530405545"/>
      <w:bookmarkStart w:id="260" w:name="_Toc525998736"/>
      <w:r>
        <w:rPr>
          <w:rFonts w:hint="eastAsia" w:ascii="宋体" w:hAnsi="宋体" w:eastAsia="宋体" w:cs="宋体"/>
          <w:b/>
          <w:bCs/>
          <w:color w:val="auto"/>
          <w:sz w:val="24"/>
          <w:szCs w:val="24"/>
          <w:highlight w:val="none"/>
        </w:rPr>
        <w:t>2.2分值构成与评分标准</w:t>
      </w:r>
      <w:bookmarkEnd w:id="259"/>
      <w:bookmarkEnd w:id="260"/>
    </w:p>
    <w:p w14:paraId="465DCDCC">
      <w:pPr>
        <w:pStyle w:val="21"/>
        <w:tabs>
          <w:tab w:val="left" w:pos="2472"/>
        </w:tabs>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2.2.1 分值构成：见评标办法前附表</w:t>
      </w:r>
      <w:r>
        <w:rPr>
          <w:rFonts w:hint="eastAsia" w:ascii="宋体" w:hAnsi="宋体" w:eastAsia="宋体" w:cs="宋体"/>
          <w:color w:val="auto"/>
          <w:sz w:val="24"/>
          <w:szCs w:val="24"/>
          <w:highlight w:val="none"/>
          <w:lang w:eastAsia="zh-CN"/>
        </w:rPr>
        <w:t>。</w:t>
      </w:r>
    </w:p>
    <w:p w14:paraId="737B55FB">
      <w:pPr>
        <w:pStyle w:val="21"/>
        <w:tabs>
          <w:tab w:val="left" w:pos="2472"/>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 投标报价评标基准价计算方法：见评标办法前附表。</w:t>
      </w:r>
    </w:p>
    <w:p w14:paraId="75A0E6BD">
      <w:pPr>
        <w:pStyle w:val="21"/>
        <w:tabs>
          <w:tab w:val="left" w:pos="2472"/>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 评分标准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按招标文件中规定的评标方法和标准，对资格评审和符合性评审合格的投标文件进行商务和技术评估，综合比较与评价，详见评标办法前附表。</w:t>
      </w:r>
    </w:p>
    <w:p w14:paraId="1F03A6DE">
      <w:pPr>
        <w:pStyle w:val="4"/>
        <w:keepNext w:val="0"/>
        <w:keepLines w:val="0"/>
        <w:pageBreakBefore w:val="0"/>
        <w:widowControl w:val="0"/>
        <w:numPr>
          <w:ilvl w:val="0"/>
          <w:numId w:val="0"/>
        </w:numPr>
        <w:tabs>
          <w:tab w:val="clear" w:pos="420"/>
        </w:tabs>
        <w:kinsoku/>
        <w:wordWrap/>
        <w:overflowPunct/>
        <w:topLinePunct w:val="0"/>
        <w:autoSpaceDE/>
        <w:autoSpaceDN/>
        <w:bidi w:val="0"/>
        <w:adjustRightInd w:val="0"/>
        <w:snapToGrid/>
        <w:ind w:left="0" w:leftChars="0" w:firstLine="480" w:firstLineChars="200"/>
        <w:textAlignment w:val="baseline"/>
        <w:rPr>
          <w:rFonts w:hint="eastAsia" w:ascii="宋体" w:hAnsi="宋体" w:eastAsia="宋体" w:cs="宋体"/>
          <w:color w:val="auto"/>
          <w:sz w:val="24"/>
          <w:szCs w:val="24"/>
          <w:highlight w:val="none"/>
          <w:lang w:val="en-US" w:eastAsia="zh-CN"/>
        </w:rPr>
      </w:pPr>
      <w:bookmarkStart w:id="261" w:name="_Toc1387"/>
      <w:bookmarkStart w:id="262" w:name="_Toc525998737"/>
      <w:bookmarkStart w:id="263" w:name="_Toc530405546"/>
      <w:bookmarkStart w:id="264" w:name="_Toc24562"/>
      <w:r>
        <w:rPr>
          <w:rFonts w:hint="eastAsia" w:ascii="宋体" w:hAnsi="宋体" w:eastAsia="宋体" w:cs="宋体"/>
          <w:color w:val="auto"/>
          <w:sz w:val="24"/>
          <w:szCs w:val="24"/>
          <w:highlight w:val="none"/>
          <w:lang w:val="en-US" w:eastAsia="zh-CN"/>
        </w:rPr>
        <w:t>3.评标程序</w:t>
      </w:r>
      <w:bookmarkEnd w:id="261"/>
      <w:bookmarkEnd w:id="262"/>
      <w:bookmarkEnd w:id="263"/>
      <w:bookmarkEnd w:id="264"/>
    </w:p>
    <w:p w14:paraId="43797F5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bCs/>
          <w:color w:val="auto"/>
          <w:sz w:val="24"/>
          <w:szCs w:val="24"/>
          <w:highlight w:val="none"/>
        </w:rPr>
      </w:pPr>
      <w:bookmarkStart w:id="265" w:name="_Toc530405547"/>
      <w:bookmarkStart w:id="266" w:name="_Toc525998738"/>
      <w:r>
        <w:rPr>
          <w:rFonts w:hint="eastAsia" w:ascii="宋体" w:hAnsi="宋体" w:eastAsia="宋体" w:cs="宋体"/>
          <w:b/>
          <w:bCs/>
          <w:color w:val="auto"/>
          <w:sz w:val="24"/>
          <w:szCs w:val="24"/>
          <w:highlight w:val="none"/>
        </w:rPr>
        <w:t>3.1 初步评审</w:t>
      </w:r>
      <w:bookmarkEnd w:id="265"/>
      <w:bookmarkEnd w:id="266"/>
    </w:p>
    <w:p w14:paraId="47158483">
      <w:pPr>
        <w:pStyle w:val="21"/>
        <w:tabs>
          <w:tab w:val="left" w:pos="2472"/>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 评标委员会依据本章第2.1.1项、第2.1.2项规定的标准对投标文件进行初步评审。有一项不符合评审标准的，作废标处理。</w:t>
      </w:r>
    </w:p>
    <w:p w14:paraId="3A84E262">
      <w:pPr>
        <w:pStyle w:val="21"/>
        <w:tabs>
          <w:tab w:val="left" w:pos="2472"/>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 投标人有以下情形之一的，其投标作废标处理：</w:t>
      </w:r>
    </w:p>
    <w:p w14:paraId="3C52E5C3">
      <w:pPr>
        <w:pStyle w:val="21"/>
        <w:tabs>
          <w:tab w:val="left" w:pos="2472"/>
        </w:tabs>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（1）串通投标或弄虚作假或有其他违法行为的</w:t>
      </w:r>
      <w:r>
        <w:rPr>
          <w:rFonts w:hint="eastAsia" w:ascii="宋体" w:hAnsi="宋体" w:eastAsia="宋体" w:cs="宋体"/>
          <w:color w:val="auto"/>
          <w:sz w:val="24"/>
          <w:szCs w:val="24"/>
          <w:highlight w:val="none"/>
          <w:lang w:eastAsia="zh-CN"/>
        </w:rPr>
        <w:t>。</w:t>
      </w:r>
    </w:p>
    <w:p w14:paraId="4F8C460D">
      <w:pPr>
        <w:pStyle w:val="21"/>
        <w:tabs>
          <w:tab w:val="left" w:pos="2472"/>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（2）不按评标委员会要求澄清、说明或补正的。</w:t>
      </w:r>
    </w:p>
    <w:p w14:paraId="42B24BCE">
      <w:pPr>
        <w:pStyle w:val="21"/>
        <w:tabs>
          <w:tab w:val="left" w:pos="2472"/>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3.1.3 投标文件如果出现计算或表达上的错误，修正错误的原则如下：</w:t>
      </w:r>
    </w:p>
    <w:p w14:paraId="710E38FE">
      <w:pPr>
        <w:pStyle w:val="21"/>
        <w:tabs>
          <w:tab w:val="left" w:pos="2472"/>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（1）开标时，投标文件中开标一览表、投标函内容、投标报价表中明细表内容不一致的，以开标一览表为准。</w:t>
      </w:r>
    </w:p>
    <w:p w14:paraId="1E3AA513">
      <w:pPr>
        <w:pStyle w:val="21"/>
        <w:tabs>
          <w:tab w:val="left" w:pos="2472"/>
        </w:tabs>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（2）投标文件的大写金额和小写金额不一致的，以大写金额为准</w:t>
      </w:r>
      <w:r>
        <w:rPr>
          <w:rFonts w:hint="eastAsia" w:ascii="宋体" w:hAnsi="宋体" w:eastAsia="宋体" w:cs="宋体"/>
          <w:color w:val="auto"/>
          <w:sz w:val="24"/>
          <w:szCs w:val="24"/>
          <w:highlight w:val="none"/>
          <w:lang w:eastAsia="zh-CN"/>
        </w:rPr>
        <w:t>。</w:t>
      </w:r>
    </w:p>
    <w:p w14:paraId="6D61793A">
      <w:pPr>
        <w:pStyle w:val="21"/>
        <w:tabs>
          <w:tab w:val="left" w:pos="2472"/>
        </w:tabs>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（3）总价金额与按单价汇总金额不一致的，以单价金额计算结果为准</w:t>
      </w:r>
      <w:r>
        <w:rPr>
          <w:rFonts w:hint="eastAsia" w:ascii="宋体" w:hAnsi="宋体" w:eastAsia="宋体" w:cs="宋体"/>
          <w:color w:val="auto"/>
          <w:sz w:val="24"/>
          <w:szCs w:val="24"/>
          <w:highlight w:val="none"/>
          <w:lang w:eastAsia="zh-CN"/>
        </w:rPr>
        <w:t>。</w:t>
      </w:r>
    </w:p>
    <w:p w14:paraId="30224311">
      <w:pPr>
        <w:pStyle w:val="21"/>
        <w:tabs>
          <w:tab w:val="left" w:pos="2472"/>
        </w:tabs>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（4）单价金额小数点有明显错位的，应以总价为准，并修改单价</w:t>
      </w:r>
      <w:r>
        <w:rPr>
          <w:rFonts w:hint="eastAsia" w:ascii="宋体" w:hAnsi="宋体" w:eastAsia="宋体" w:cs="宋体"/>
          <w:color w:val="auto"/>
          <w:sz w:val="24"/>
          <w:szCs w:val="24"/>
          <w:highlight w:val="none"/>
          <w:lang w:eastAsia="zh-CN"/>
        </w:rPr>
        <w:t>。</w:t>
      </w:r>
    </w:p>
    <w:p w14:paraId="14FA82D1">
      <w:pPr>
        <w:pStyle w:val="21"/>
        <w:tabs>
          <w:tab w:val="left" w:pos="2472"/>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（5）对不同文字文本投标文件的解释发生异议的，以中文文本为准。</w:t>
      </w:r>
    </w:p>
    <w:p w14:paraId="66D5ECD1">
      <w:pPr>
        <w:pStyle w:val="21"/>
        <w:tabs>
          <w:tab w:val="left" w:pos="2472"/>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（6）按上述修正错误的原则及方法调整或修正投标文件的投标报价</w:t>
      </w:r>
      <w:r>
        <w:rPr>
          <w:rFonts w:hint="eastAsia" w:ascii="宋体" w:hAnsi="宋体" w:eastAsia="宋体" w:cs="宋体"/>
          <w:color w:val="auto"/>
          <w:sz w:val="24"/>
          <w:szCs w:val="24"/>
          <w:highlight w:val="none"/>
          <w:lang w:eastAsia="zh-CN"/>
        </w:rPr>
        <w:t>，经</w:t>
      </w:r>
      <w:r>
        <w:rPr>
          <w:rFonts w:hint="eastAsia" w:ascii="宋体" w:hAnsi="宋体" w:eastAsia="宋体" w:cs="宋体"/>
          <w:color w:val="auto"/>
          <w:sz w:val="24"/>
          <w:szCs w:val="24"/>
          <w:highlight w:val="none"/>
        </w:rPr>
        <w:t>投标人同意后，调整后的投标报价对投标人起约束作用。如果投标人不接受修正后的报价，则其投标将被拒绝并且其投标保证金也将被没收。</w:t>
      </w:r>
    </w:p>
    <w:p w14:paraId="196083E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bCs/>
          <w:color w:val="auto"/>
          <w:sz w:val="24"/>
          <w:szCs w:val="24"/>
          <w:highlight w:val="none"/>
        </w:rPr>
      </w:pPr>
      <w:bookmarkStart w:id="267" w:name="_Toc525998739"/>
      <w:bookmarkStart w:id="268" w:name="_Toc530405548"/>
      <w:r>
        <w:rPr>
          <w:rFonts w:hint="eastAsia" w:ascii="宋体" w:hAnsi="宋体" w:eastAsia="宋体" w:cs="宋体"/>
          <w:b/>
          <w:bCs/>
          <w:color w:val="auto"/>
          <w:sz w:val="24"/>
          <w:szCs w:val="24"/>
          <w:highlight w:val="none"/>
        </w:rPr>
        <w:t>3.2 详细评审</w:t>
      </w:r>
      <w:bookmarkEnd w:id="267"/>
      <w:bookmarkEnd w:id="268"/>
    </w:p>
    <w:p w14:paraId="61FEE888">
      <w:pPr>
        <w:pStyle w:val="21"/>
        <w:tabs>
          <w:tab w:val="left" w:pos="2472"/>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 评标委员会按本章第2.2款规定的量化因素和分值进行打分，并计算出投标人的评标总得分。</w:t>
      </w:r>
    </w:p>
    <w:p w14:paraId="57532CE3">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3.2.2 除报价得分以外的部分由评标委员会成员独立评分，计算各投标人得分的算术平均值计入各投标人总分。评分分值计算保留小数点后两位，小数点后第三位“四舍五入”。</w:t>
      </w:r>
    </w:p>
    <w:p w14:paraId="04090E81">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 评标委员会发现投标人的报价明显不合理或低于成本，有可能影响服务质量和不能诚信履约的，应当要求该投标人在规定时间内作出书面说明并提供相应的证明材料。投标人不能合理说明或者不能提供相应证明材料的，由评标委员会认定该投标人以低于成本报价竞标，其投标作废标处理。</w:t>
      </w:r>
    </w:p>
    <w:p w14:paraId="7FCB252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bCs/>
          <w:color w:val="auto"/>
          <w:sz w:val="24"/>
          <w:szCs w:val="24"/>
          <w:highlight w:val="none"/>
        </w:rPr>
      </w:pPr>
      <w:bookmarkStart w:id="269" w:name="_Toc530405549"/>
      <w:bookmarkStart w:id="270" w:name="_Toc525998740"/>
      <w:r>
        <w:rPr>
          <w:rFonts w:hint="eastAsia" w:ascii="宋体" w:hAnsi="宋体" w:eastAsia="宋体" w:cs="宋体"/>
          <w:b/>
          <w:bCs/>
          <w:color w:val="auto"/>
          <w:sz w:val="24"/>
          <w:szCs w:val="24"/>
          <w:highlight w:val="none"/>
        </w:rPr>
        <w:t>3.3 投标文件的澄清和补正统计分数原则</w:t>
      </w:r>
      <w:bookmarkEnd w:id="269"/>
      <w:bookmarkEnd w:id="270"/>
      <w:r>
        <w:rPr>
          <w:rFonts w:hint="eastAsia" w:ascii="宋体" w:hAnsi="宋体" w:eastAsia="宋体" w:cs="宋体"/>
          <w:b/>
          <w:bCs/>
          <w:color w:val="auto"/>
          <w:sz w:val="24"/>
          <w:szCs w:val="24"/>
          <w:highlight w:val="none"/>
        </w:rPr>
        <w:t xml:space="preserve"> </w:t>
      </w:r>
    </w:p>
    <w:p w14:paraId="18DC11D4">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 在评标过程中，评标委员会可以书面形式（应当由评标委员会专家签字）要求投标人对所递交的投标文件中含义不明确、同类问题表述不一致或者有明显文字和计算错误的内容，进行书面澄清或说明，或者对细微偏差进行补正。评标委员会不接受投标人主动提出的澄清、说明或补正。</w:t>
      </w:r>
    </w:p>
    <w:p w14:paraId="034052D6">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3.3.2 投标人的澄清、说明和补正应当采用书面形式，由法定代表人或其授权的代表签字，并不得改变投标文件的实质性内容（算术性错误修正的除外）。投标人的书面澄清、说明和补正属于投标文件的组成部分。</w:t>
      </w:r>
    </w:p>
    <w:p w14:paraId="10E797C8">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 评标委员会对投标人提交的澄清、说明或补正有疑问的，可以要求投标人进一步澄清、说明或补正，直至满足评标委员会的要求。</w:t>
      </w:r>
    </w:p>
    <w:p w14:paraId="33548E5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bCs/>
          <w:color w:val="auto"/>
          <w:sz w:val="24"/>
          <w:szCs w:val="24"/>
          <w:highlight w:val="none"/>
        </w:rPr>
      </w:pPr>
      <w:bookmarkStart w:id="271" w:name="_Toc530405550"/>
      <w:bookmarkStart w:id="272" w:name="_Toc525998741"/>
      <w:r>
        <w:rPr>
          <w:rFonts w:hint="eastAsia" w:ascii="宋体" w:hAnsi="宋体" w:eastAsia="宋体" w:cs="宋体"/>
          <w:b/>
          <w:bCs/>
          <w:color w:val="auto"/>
          <w:sz w:val="24"/>
          <w:szCs w:val="24"/>
          <w:highlight w:val="none"/>
        </w:rPr>
        <w:t>3.4 评标结果</w:t>
      </w:r>
      <w:bookmarkEnd w:id="271"/>
      <w:bookmarkEnd w:id="272"/>
    </w:p>
    <w:p w14:paraId="3C0C0B6D">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3.4.1 评标委员会按得分由高到低顺序推荐中标候选人，并提出书面评标报告。</w:t>
      </w:r>
    </w:p>
    <w:p w14:paraId="3BC05065">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3.4.2 </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根据评标委员会提出的书面评标报告和推荐的中标候选人名单，确定中标人。</w:t>
      </w:r>
    </w:p>
    <w:p w14:paraId="1217B2C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3.5评审工作纪律</w:t>
      </w:r>
    </w:p>
    <w:p w14:paraId="740C4FF4">
      <w:pPr>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3.5.1对评审内容和评审办法要严格保密，不得向投标</w:t>
      </w:r>
      <w:r>
        <w:rPr>
          <w:rFonts w:hint="eastAsia" w:ascii="宋体" w:hAnsi="宋体" w:eastAsia="宋体" w:cs="宋体"/>
          <w:color w:val="auto"/>
          <w:sz w:val="24"/>
          <w:szCs w:val="24"/>
          <w:highlight w:val="none"/>
          <w:lang w:eastAsia="zh-CN"/>
        </w:rPr>
        <w:t>人</w:t>
      </w:r>
      <w:r>
        <w:rPr>
          <w:rFonts w:hint="eastAsia" w:ascii="宋体" w:hAnsi="宋体" w:eastAsia="宋体" w:cs="宋体"/>
          <w:color w:val="auto"/>
          <w:sz w:val="24"/>
          <w:szCs w:val="24"/>
          <w:highlight w:val="none"/>
        </w:rPr>
        <w:t>或与该过程无关的其他人员泄露</w:t>
      </w:r>
      <w:r>
        <w:rPr>
          <w:rFonts w:hint="eastAsia" w:ascii="宋体" w:hAnsi="宋体" w:eastAsia="宋体" w:cs="宋体"/>
          <w:color w:val="auto"/>
          <w:sz w:val="24"/>
          <w:szCs w:val="24"/>
          <w:highlight w:val="none"/>
          <w:lang w:eastAsia="zh-CN"/>
        </w:rPr>
        <w:t>。</w:t>
      </w:r>
    </w:p>
    <w:p w14:paraId="4DD24714">
      <w:pPr>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3.5.2评审期间的一切资料，包括评审意见、评审记录和评审结论，一律不得向外</w:t>
      </w:r>
      <w:r>
        <w:rPr>
          <w:rFonts w:hint="eastAsia" w:ascii="宋体" w:hAnsi="宋体" w:eastAsia="宋体" w:cs="宋体"/>
          <w:color w:val="auto"/>
          <w:sz w:val="24"/>
          <w:szCs w:val="24"/>
          <w:highlight w:val="none"/>
          <w:lang w:eastAsia="zh-CN"/>
        </w:rPr>
        <w:t>传递</w:t>
      </w:r>
      <w:r>
        <w:rPr>
          <w:rFonts w:hint="eastAsia" w:ascii="宋体" w:hAnsi="宋体" w:eastAsia="宋体" w:cs="宋体"/>
          <w:color w:val="auto"/>
          <w:sz w:val="24"/>
          <w:szCs w:val="24"/>
          <w:highlight w:val="none"/>
        </w:rPr>
        <w:t>和泄露</w:t>
      </w:r>
      <w:r>
        <w:rPr>
          <w:rFonts w:hint="eastAsia" w:ascii="宋体" w:hAnsi="宋体" w:eastAsia="宋体" w:cs="宋体"/>
          <w:color w:val="auto"/>
          <w:sz w:val="24"/>
          <w:szCs w:val="24"/>
          <w:highlight w:val="none"/>
          <w:lang w:eastAsia="zh-CN"/>
        </w:rPr>
        <w:t>。</w:t>
      </w:r>
    </w:p>
    <w:p w14:paraId="6CDC7BF3">
      <w:pPr>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3.5.3任何属于投标人文件审查、澄清、评价和比较的资料，不得向投标人或与该过程无关的其他人员泄露</w:t>
      </w:r>
      <w:r>
        <w:rPr>
          <w:rFonts w:hint="eastAsia" w:ascii="宋体" w:hAnsi="宋体" w:eastAsia="宋体" w:cs="宋体"/>
          <w:color w:val="auto"/>
          <w:sz w:val="24"/>
          <w:szCs w:val="24"/>
          <w:highlight w:val="none"/>
          <w:lang w:eastAsia="zh-CN"/>
        </w:rPr>
        <w:t>。</w:t>
      </w:r>
    </w:p>
    <w:p w14:paraId="58FD10CF">
      <w:pPr>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3.5.4所有资料（包括招标</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采购文件、投标</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响应文件、评审表格及各种文字记录）在评审结束后均应分别整理、存档备查，任何人不得复制和保留</w:t>
      </w:r>
      <w:r>
        <w:rPr>
          <w:rFonts w:hint="eastAsia" w:ascii="宋体" w:hAnsi="宋体" w:eastAsia="宋体" w:cs="宋体"/>
          <w:color w:val="auto"/>
          <w:sz w:val="24"/>
          <w:szCs w:val="24"/>
          <w:highlight w:val="none"/>
          <w:lang w:eastAsia="zh-CN"/>
        </w:rPr>
        <w:t>。</w:t>
      </w:r>
    </w:p>
    <w:p w14:paraId="2F4E6719">
      <w:pPr>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3.5.5评审结束后，与会人员不得向外界透露评审人员的评审意见，如因此造成的后果由责任者承担</w:t>
      </w:r>
      <w:r>
        <w:rPr>
          <w:rFonts w:hint="eastAsia" w:ascii="宋体" w:hAnsi="宋体" w:eastAsia="宋体" w:cs="宋体"/>
          <w:color w:val="auto"/>
          <w:sz w:val="24"/>
          <w:szCs w:val="24"/>
          <w:highlight w:val="none"/>
          <w:lang w:eastAsia="zh-CN"/>
        </w:rPr>
        <w:t>。</w:t>
      </w:r>
    </w:p>
    <w:p w14:paraId="0C5A299F">
      <w:pPr>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3.5.6评审期间，评审人员不得外出，确需外出时应事先请假</w:t>
      </w:r>
      <w:r>
        <w:rPr>
          <w:rFonts w:hint="eastAsia" w:ascii="宋体" w:hAnsi="宋体" w:eastAsia="宋体" w:cs="宋体"/>
          <w:color w:val="auto"/>
          <w:sz w:val="24"/>
          <w:szCs w:val="24"/>
          <w:highlight w:val="none"/>
          <w:lang w:eastAsia="zh-CN"/>
        </w:rPr>
        <w:t>。</w:t>
      </w:r>
    </w:p>
    <w:p w14:paraId="697D1310">
      <w:pPr>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3.5.7评审期间，所有与会人员均不得私自以任何方式和投标人进行联系，需询问、澄清的问题由</w:t>
      </w:r>
      <w:r>
        <w:rPr>
          <w:rFonts w:hint="eastAsia" w:ascii="宋体" w:hAnsi="宋体" w:eastAsia="宋体" w:cs="宋体"/>
          <w:color w:val="auto"/>
          <w:sz w:val="24"/>
          <w:szCs w:val="24"/>
          <w:highlight w:val="none"/>
          <w:lang w:eastAsia="zh-CN"/>
        </w:rPr>
        <w:t>评标委员会</w:t>
      </w:r>
      <w:r>
        <w:rPr>
          <w:rFonts w:hint="eastAsia" w:ascii="宋体" w:hAnsi="宋体" w:eastAsia="宋体" w:cs="宋体"/>
          <w:color w:val="auto"/>
          <w:sz w:val="24"/>
          <w:szCs w:val="24"/>
          <w:highlight w:val="none"/>
        </w:rPr>
        <w:t>统一组织办理</w:t>
      </w:r>
      <w:r>
        <w:rPr>
          <w:rFonts w:hint="eastAsia" w:ascii="宋体" w:hAnsi="宋体" w:eastAsia="宋体" w:cs="宋体"/>
          <w:color w:val="auto"/>
          <w:sz w:val="24"/>
          <w:szCs w:val="24"/>
          <w:highlight w:val="none"/>
          <w:lang w:eastAsia="zh-CN"/>
        </w:rPr>
        <w:t>。</w:t>
      </w:r>
    </w:p>
    <w:p w14:paraId="526A40C9">
      <w:pPr>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3.5.8评审期间，未经允许</w:t>
      </w:r>
      <w:r>
        <w:rPr>
          <w:rFonts w:hint="eastAsia" w:ascii="宋体" w:hAnsi="宋体" w:eastAsia="宋体" w:cs="宋体"/>
          <w:color w:val="auto"/>
          <w:sz w:val="24"/>
          <w:szCs w:val="24"/>
          <w:highlight w:val="none"/>
          <w:lang w:eastAsia="zh-CN"/>
        </w:rPr>
        <w:t>评标委员会</w:t>
      </w:r>
      <w:r>
        <w:rPr>
          <w:rFonts w:hint="eastAsia" w:ascii="宋体" w:hAnsi="宋体" w:eastAsia="宋体" w:cs="宋体"/>
          <w:color w:val="auto"/>
          <w:sz w:val="24"/>
          <w:szCs w:val="24"/>
          <w:highlight w:val="none"/>
        </w:rPr>
        <w:t>以外的任何单位或部门不得参加评审和采访评审工作</w:t>
      </w:r>
      <w:r>
        <w:rPr>
          <w:rFonts w:hint="eastAsia" w:ascii="宋体" w:hAnsi="宋体" w:eastAsia="宋体" w:cs="宋体"/>
          <w:color w:val="auto"/>
          <w:sz w:val="24"/>
          <w:szCs w:val="24"/>
          <w:highlight w:val="none"/>
          <w:lang w:eastAsia="zh-CN"/>
        </w:rPr>
        <w:t>。</w:t>
      </w:r>
    </w:p>
    <w:p w14:paraId="57A5A5FD">
      <w:pPr>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3.5.9在评审工作开始前，将手机等通讯工具或相关电子设备交由</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或</w:t>
      </w:r>
      <w:r>
        <w:rPr>
          <w:rFonts w:hint="eastAsia" w:ascii="宋体" w:hAnsi="宋体" w:eastAsia="宋体" w:cs="宋体"/>
          <w:color w:val="auto"/>
          <w:sz w:val="24"/>
          <w:szCs w:val="24"/>
          <w:highlight w:val="none"/>
          <w:lang w:eastAsia="zh-CN"/>
        </w:rPr>
        <w:t>采购代理</w:t>
      </w:r>
      <w:r>
        <w:rPr>
          <w:rFonts w:hint="eastAsia" w:ascii="宋体" w:hAnsi="宋体" w:eastAsia="宋体" w:cs="宋体"/>
          <w:color w:val="auto"/>
          <w:sz w:val="24"/>
          <w:szCs w:val="24"/>
          <w:highlight w:val="none"/>
        </w:rPr>
        <w:t>机构统一保管</w:t>
      </w:r>
      <w:r>
        <w:rPr>
          <w:rFonts w:hint="eastAsia" w:ascii="宋体" w:hAnsi="宋体" w:eastAsia="宋体" w:cs="宋体"/>
          <w:color w:val="auto"/>
          <w:sz w:val="24"/>
          <w:szCs w:val="24"/>
          <w:highlight w:val="none"/>
          <w:lang w:eastAsia="zh-CN"/>
        </w:rPr>
        <w:t>。</w:t>
      </w:r>
    </w:p>
    <w:p w14:paraId="27FC1107">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3.5.10</w:t>
      </w:r>
      <w:r>
        <w:rPr>
          <w:rFonts w:hint="eastAsia" w:ascii="宋体" w:hAnsi="宋体" w:eastAsia="宋体" w:cs="宋体"/>
          <w:color w:val="auto"/>
          <w:sz w:val="24"/>
          <w:szCs w:val="24"/>
          <w:highlight w:val="none"/>
          <w:lang w:eastAsia="zh-CN"/>
        </w:rPr>
        <w:t>评标委员会</w:t>
      </w:r>
      <w:r>
        <w:rPr>
          <w:rFonts w:hint="eastAsia" w:ascii="宋体" w:hAnsi="宋体" w:eastAsia="宋体" w:cs="宋体"/>
          <w:color w:val="auto"/>
          <w:sz w:val="24"/>
          <w:szCs w:val="24"/>
          <w:highlight w:val="none"/>
        </w:rPr>
        <w:t>成员和评审工作有关人员不得干预或者影响正常评审工作，不得明示或者暗示其倾向性、引导性意见，不得修改或细化采购文件确定的评审程序、评审方法、评审因素和评审标准，不得接受投标人主动提出的澄清和解释，不得征询</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代表的倾向性意见，不得协商评分，不得记录、复制或带走任何评审资料。评审结果汇总完成后，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采购代理</w:t>
      </w:r>
      <w:r>
        <w:rPr>
          <w:rFonts w:hint="eastAsia" w:ascii="宋体" w:hAnsi="宋体" w:eastAsia="宋体" w:cs="宋体"/>
          <w:color w:val="auto"/>
          <w:sz w:val="24"/>
          <w:szCs w:val="24"/>
          <w:highlight w:val="none"/>
        </w:rPr>
        <w:t>机构和</w:t>
      </w:r>
      <w:r>
        <w:rPr>
          <w:rFonts w:hint="eastAsia" w:ascii="宋体" w:hAnsi="宋体" w:eastAsia="宋体" w:cs="宋体"/>
          <w:color w:val="auto"/>
          <w:sz w:val="24"/>
          <w:szCs w:val="24"/>
          <w:highlight w:val="none"/>
          <w:lang w:eastAsia="zh-CN"/>
        </w:rPr>
        <w:t>评标委员会</w:t>
      </w:r>
      <w:r>
        <w:rPr>
          <w:rFonts w:hint="eastAsia" w:ascii="宋体" w:hAnsi="宋体" w:eastAsia="宋体" w:cs="宋体"/>
          <w:color w:val="auto"/>
          <w:sz w:val="24"/>
          <w:szCs w:val="24"/>
          <w:highlight w:val="none"/>
        </w:rPr>
        <w:t>均不得修改评审结果或者要求重新评审，但资格性检查认定错误、分值汇总计算错误、分项评分超出评分标准范围、客观分评分不一致、经</w:t>
      </w:r>
      <w:r>
        <w:rPr>
          <w:rFonts w:hint="eastAsia" w:ascii="宋体" w:hAnsi="宋体" w:eastAsia="宋体" w:cs="宋体"/>
          <w:color w:val="auto"/>
          <w:sz w:val="24"/>
          <w:szCs w:val="24"/>
          <w:highlight w:val="none"/>
          <w:lang w:eastAsia="zh-CN"/>
        </w:rPr>
        <w:t>评标委员会</w:t>
      </w:r>
      <w:r>
        <w:rPr>
          <w:rFonts w:hint="eastAsia" w:ascii="宋体" w:hAnsi="宋体" w:eastAsia="宋体" w:cs="宋体"/>
          <w:color w:val="auto"/>
          <w:sz w:val="24"/>
          <w:szCs w:val="24"/>
          <w:highlight w:val="none"/>
        </w:rPr>
        <w:t>一致认定评分畸高、畸低的情形除外。出现上述除外情形的，</w:t>
      </w:r>
      <w:r>
        <w:rPr>
          <w:rFonts w:hint="eastAsia" w:ascii="宋体" w:hAnsi="宋体" w:eastAsia="宋体" w:cs="宋体"/>
          <w:color w:val="auto"/>
          <w:sz w:val="24"/>
          <w:szCs w:val="24"/>
          <w:highlight w:val="none"/>
          <w:lang w:eastAsia="zh-CN"/>
        </w:rPr>
        <w:t>评标委员会</w:t>
      </w:r>
      <w:r>
        <w:rPr>
          <w:rFonts w:hint="eastAsia" w:ascii="宋体" w:hAnsi="宋体" w:eastAsia="宋体" w:cs="宋体"/>
          <w:color w:val="auto"/>
          <w:sz w:val="24"/>
          <w:szCs w:val="24"/>
          <w:highlight w:val="none"/>
        </w:rPr>
        <w:t>应当现场修改评审结果，并在评审报告中明确记载。</w:t>
      </w:r>
    </w:p>
    <w:p w14:paraId="771DCCD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bCs/>
          <w:color w:val="auto"/>
          <w:sz w:val="24"/>
          <w:szCs w:val="24"/>
          <w:highlight w:val="none"/>
        </w:rPr>
      </w:pPr>
      <w:bookmarkStart w:id="273" w:name="_Toc525998742"/>
      <w:bookmarkStart w:id="274" w:name="_Toc530405551"/>
      <w:r>
        <w:rPr>
          <w:rFonts w:hint="eastAsia" w:ascii="宋体" w:hAnsi="宋体" w:eastAsia="宋体" w:cs="宋体"/>
          <w:b/>
          <w:bCs/>
          <w:color w:val="auto"/>
          <w:sz w:val="24"/>
          <w:szCs w:val="24"/>
          <w:highlight w:val="none"/>
        </w:rPr>
        <w:t>3.6 特殊情况</w:t>
      </w:r>
      <w:bookmarkEnd w:id="273"/>
      <w:bookmarkEnd w:id="274"/>
    </w:p>
    <w:p w14:paraId="740B613A">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评标过程中若遇特殊情况由评标委员会成员讨论决定。</w:t>
      </w:r>
    </w:p>
    <w:sectPr>
      <w:headerReference r:id="rId13" w:type="default"/>
      <w:footerReference r:id="rId14" w:type="default"/>
      <w:pgSz w:w="11906" w:h="16838"/>
      <w:pgMar w:top="1418" w:right="1134" w:bottom="1134" w:left="1418" w:header="935" w:footer="720" w:gutter="0"/>
      <w:pgBorders>
        <w:top w:val="none" w:sz="0" w:space="0"/>
        <w:left w:val="none" w:sz="0" w:space="0"/>
        <w:bottom w:val="none" w:sz="0" w:space="0"/>
        <w:right w:val="none" w:sz="0" w:space="0"/>
      </w:pgBorders>
      <w:cols w:space="720" w:num="1"/>
      <w:docGrid w:type="linesAndChars" w:linePitch="33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DejaVu Sans">
    <w:altName w:val="Segoe Print"/>
    <w:panose1 w:val="00000000000000000000"/>
    <w:charset w:val="00"/>
    <w:family w:val="auto"/>
    <w:pitch w:val="default"/>
    <w:sig w:usb0="00000000" w:usb1="00000000" w:usb2="0A246029" w:usb3="0400200C" w:csb0="600001FF" w:csb1="DFFF0000"/>
  </w:font>
  <w:font w:name="Segoe Print">
    <w:panose1 w:val="02000600000000000000"/>
    <w:charset w:val="00"/>
    <w:family w:val="auto"/>
    <w:pitch w:val="default"/>
    <w:sig w:usb0="0000028F" w:usb1="00000000" w:usb2="00000000" w:usb3="00000000" w:csb0="2000009F" w:csb1="47010000"/>
  </w:font>
  <w:font w:name="方正黑体_GBK">
    <w:altName w:val="Arial Unicode MS"/>
    <w:panose1 w:val="02010600010101010101"/>
    <w:charset w:val="86"/>
    <w:family w:val="script"/>
    <w:pitch w:val="default"/>
    <w:sig w:usb0="00000000" w:usb1="00000000" w:usb2="00000000" w:usb3="00000000" w:csb0="00040000" w:csb1="00000000"/>
  </w:font>
  <w:font w:name="Arial Unicode MS">
    <w:panose1 w:val="020B0604020202020204"/>
    <w:charset w:val="86"/>
    <w:family w:val="swiss"/>
    <w:pitch w:val="default"/>
    <w:sig w:usb0="FFFFFFFF" w:usb1="E9FFFFFF" w:usb2="0000003F" w:usb3="00000000" w:csb0="603F01FF" w:csb1="FFFF0000"/>
  </w:font>
  <w:font w:name="仿宋_GB2312">
    <w:altName w:val="仿宋"/>
    <w:panose1 w:val="00000000000000000000"/>
    <w:charset w:val="86"/>
    <w:family w:val="modern"/>
    <w:pitch w:val="default"/>
    <w:sig w:usb0="00000000" w:usb1="00000000" w:usb2="00000010" w:usb3="00000000" w:csb0="00040000" w:csb1="00000000"/>
  </w:font>
  <w:font w:name="方正仿宋_GBK">
    <w:altName w:val="Arial Unicode MS"/>
    <w:panose1 w:val="02000000000000000000"/>
    <w:charset w:val="86"/>
    <w:family w:val="script"/>
    <w:pitch w:val="default"/>
    <w:sig w:usb0="00000000" w:usb1="00000000" w:usb2="00082016" w:usb3="00000000" w:csb0="00040001" w:csb1="00000000"/>
  </w:font>
  <w:font w:name="方正小标宋简体">
    <w:altName w:val="Arial Unicode MS"/>
    <w:panose1 w:val="02000000000000000000"/>
    <w:charset w:val="86"/>
    <w:family w:val="script"/>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07594F">
    <w:pPr>
      <w:pStyle w:val="24"/>
      <w:tabs>
        <w:tab w:val="center" w:pos="4497"/>
        <w:tab w:val="clear" w:pos="4153"/>
        <w:tab w:val="clear" w:pos="8306"/>
      </w:tabs>
      <w:ind w:right="360"/>
      <w:jc w:val="center"/>
    </w:pPr>
    <w:r>
      <mc:AlternateContent>
        <mc:Choice Requires="wps">
          <w:drawing>
            <wp:anchor distT="0" distB="0" distL="0" distR="0" simplePos="0" relativeHeight="251661312" behindDoc="0" locked="0" layoutInCell="1" allowOverlap="1">
              <wp:simplePos x="0" y="0"/>
              <wp:positionH relativeFrom="margin">
                <wp:align>center</wp:align>
              </wp:positionH>
              <wp:positionV relativeFrom="paragraph">
                <wp:posOffset>0</wp:posOffset>
              </wp:positionV>
              <wp:extent cx="57785" cy="147955"/>
              <wp:effectExtent l="0" t="0" r="0" b="0"/>
              <wp:wrapSquare wrapText="bothSides"/>
              <wp:docPr id="3" name="文本框 3"/>
              <wp:cNvGraphicFramePr/>
              <a:graphic xmlns:a="http://schemas.openxmlformats.org/drawingml/2006/main">
                <a:graphicData uri="http://schemas.microsoft.com/office/word/2010/wordprocessingShape">
                  <wps:wsp>
                    <wps:cNvSpPr txBox="1"/>
                    <wps:spPr>
                      <a:xfrm>
                        <a:off x="0" y="0"/>
                        <a:ext cx="57785" cy="147955"/>
                      </a:xfrm>
                      <a:prstGeom prst="rect">
                        <a:avLst/>
                      </a:prstGeom>
                      <a:noFill/>
                      <a:ln>
                        <a:noFill/>
                      </a:ln>
                    </wps:spPr>
                    <wps:txbx>
                      <w:txbxContent>
                        <w:p w14:paraId="4C87A594">
                          <w:pPr>
                            <w:pStyle w:val="24"/>
                            <w:rPr>
                              <w:rStyle w:val="37"/>
                            </w:rPr>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1.65pt;width:4.55pt;mso-position-horizontal:center;mso-position-horizontal-relative:margin;mso-wrap-distance-bottom:0pt;mso-wrap-distance-left:0pt;mso-wrap-distance-right:0pt;mso-wrap-distance-top:0pt;mso-wrap-style:none;z-index:251661312;mso-width-relative:page;mso-height-relative:page;" filled="f" stroked="f" coordsize="21600,21600" o:gfxdata="UEsDBAoAAAAAAIdO4kAAAAAAAAAAAAAAAAAEAAAAZHJzL1BLAwQUAAAACACHTuJA58scAtEAAAAC&#10;AQAADwAAAGRycy9kb3ducmV2LnhtbE2PwU7DMBBE70j8g7VIvVEnrQQlZNNDpV56a0FI3Nx4G0fY&#10;68h20+TvMVzgstJoRjNv6+3krBgpxN4zQrksQBC3XvfcIby/7R83IGJSrJX1TAgzRdg293e1qrS/&#10;8ZHGU+pELuFYKQST0lBJGVtDTsWlH4izd/HBqZRl6KQO6pbLnZWroniSTvWcF4waaGeo/TpdHcLz&#10;9OFpiLSjz8vYBtPPG3uYERcPZfEKItGU/sLwg5/RoclMZ39lHYVFyI+k35u9lxLEGWG1XoNsavkf&#10;vfkGUEsDBBQAAAAIAIdO4kDMET72zgEAAJYDAAAOAAAAZHJzL2Uyb0RvYy54bWytU0tu2zAQ3RfI&#10;HQjua9lJXSeC5aCBkaJA0QZIcgCaIi0C/IFDW/IF2ht01U33PZfPkSElOW26yaIbajQcvXnvzWh5&#10;3RlN9iKAcrais8mUEmG5q5XdVvTx4fbtJSUQma2ZdlZU9CCAXq/O3ixbX4pz1zhdi0AQxELZ+oo2&#10;MfqyKIA3wjCYOC8sXkoXDIv4GrZFHViL6EYX59Pp+6J1ofbBcQGA2XV/SQfE8BpAJ6XiYu34zggb&#10;e9QgNIsoCRrlga4yWykFj1+lBBGJrigqjfnEJhhv0lmslqzcBuYbxQcK7DUUXmgyTFlseoJas8jI&#10;Lqh/oIziwYGTccKdKXoh2RFUMZu+8Oa+YV5kLWg1+JPp8P9g+Zf9XSCqrugFJZYZHPjxx/fjz9/H&#10;X9/IRbKn9VBi1b3HutjduA6XZswDJpPqTgaTnqiH4D2aeziZK7pIOCbni8XlnBKON7N3i6v5PIEU&#10;z9/6APGjcIakoKIBR5cdZfvPEPvSsSS1su5WaZ3Hp+1fCcRMmSIR7wmmKHabblCzcfUBxbQ49Ypa&#10;XHJK9CeLpqYFGYMwBpsx2Pmgtg1Sm2Ve4D/sIpLI3FKHHnZojOPK6obVSvvw53uuev6dVk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nyxwC0QAAAAIBAAAPAAAAAAAAAAEAIAAAACIAAABkcnMvZG93&#10;bnJldi54bWxQSwECFAAUAAAACACHTuJAzBE+9s4BAACWAwAADgAAAAAAAAABACAAAAAgAQAAZHJz&#10;L2Uyb0RvYy54bWxQSwUGAAAAAAYABgBZAQAAYAUAAAAA&#10;">
              <v:fill on="f" focussize="0,0"/>
              <v:stroke on="f"/>
              <v:imagedata o:title=""/>
              <o:lock v:ext="edit" aspectratio="f"/>
              <v:textbox inset="0mm,0mm,0mm,0mm" style="mso-fit-shape-to-text:t;">
                <w:txbxContent>
                  <w:p w14:paraId="4C87A594">
                    <w:pPr>
                      <w:pStyle w:val="24"/>
                      <w:rPr>
                        <w:rStyle w:val="37"/>
                      </w:rPr>
                    </w:pPr>
                  </w:p>
                </w:txbxContent>
              </v:textbox>
              <w10:wrap type="square"/>
            </v:shape>
          </w:pict>
        </mc:Fallback>
      </mc:AlternateContent>
    </w:r>
    <w:r>
      <w:rPr>
        <w:rFonts w:hint="eastAsia"/>
      </w:rPr>
      <w:t>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6CD325">
    <w:pPr>
      <w:pStyle w:val="24"/>
      <w:framePr w:wrap="around" w:vAnchor="text" w:hAnchor="margin" w:xAlign="right" w:y="1"/>
      <w:rPr>
        <w:rStyle w:val="37"/>
      </w:rPr>
    </w:pPr>
    <w:r>
      <w:fldChar w:fldCharType="begin"/>
    </w:r>
    <w:r>
      <w:rPr>
        <w:rStyle w:val="37"/>
      </w:rPr>
      <w:instrText xml:space="preserve">PAGE  </w:instrText>
    </w:r>
    <w:r>
      <w:fldChar w:fldCharType="separate"/>
    </w:r>
    <w:r>
      <w:rPr>
        <w:rStyle w:val="37"/>
      </w:rPr>
      <w:t>5</w:t>
    </w:r>
    <w:r>
      <w:fldChar w:fldCharType="end"/>
    </w:r>
  </w:p>
  <w:p w14:paraId="23DA2676">
    <w:pPr>
      <w:pStyle w:val="24"/>
      <w:ind w:right="360"/>
      <w:rPr>
        <w:sz w:val="21"/>
      </w:rPr>
    </w:pPr>
    <w: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57150" cy="147955"/>
              <wp:effectExtent l="0" t="0" r="0" b="0"/>
              <wp:wrapSquare wrapText="bothSides"/>
              <wp:docPr id="1" name="文本框 1"/>
              <wp:cNvGraphicFramePr/>
              <a:graphic xmlns:a="http://schemas.openxmlformats.org/drawingml/2006/main">
                <a:graphicData uri="http://schemas.microsoft.com/office/word/2010/wordprocessingShape">
                  <wps:wsp>
                    <wps:cNvSpPr txBox="1"/>
                    <wps:spPr>
                      <a:xfrm>
                        <a:off x="0" y="0"/>
                        <a:ext cx="57150" cy="147955"/>
                      </a:xfrm>
                      <a:prstGeom prst="rect">
                        <a:avLst/>
                      </a:prstGeom>
                      <a:noFill/>
                      <a:ln>
                        <a:noFill/>
                      </a:ln>
                    </wps:spPr>
                    <wps:txbx>
                      <w:txbxContent>
                        <w:p w14:paraId="4289BDAE">
                          <w:pPr>
                            <w:pStyle w:val="24"/>
                            <w:rPr>
                              <w:rStyle w:val="37"/>
                            </w:rPr>
                          </w:pPr>
                          <w:r>
                            <w:fldChar w:fldCharType="begin"/>
                          </w:r>
                          <w:r>
                            <w:rPr>
                              <w:rStyle w:val="37"/>
                            </w:rPr>
                            <w:instrText xml:space="preserve">PAGE  </w:instrText>
                          </w:r>
                          <w:r>
                            <w:fldChar w:fldCharType="separate"/>
                          </w:r>
                          <w:r>
                            <w:rPr>
                              <w:rStyle w:val="37"/>
                            </w:rPr>
                            <w:t>5</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1.65pt;width:4.5pt;mso-position-horizontal:center;mso-position-horizontal-relative:margin;mso-wrap-distance-bottom:0pt;mso-wrap-distance-left:0pt;mso-wrap-distance-right:0pt;mso-wrap-distance-top:0pt;mso-wrap-style:none;z-index:251660288;mso-width-relative:page;mso-height-relative:page;" filled="f" stroked="f" coordsize="21600,21600" o:gfxdata="UEsDBAoAAAAAAIdO4kAAAAAAAAAAAAAAAAAEAAAAZHJzL1BLAwQUAAAACACHTuJAptCQbNAAAAAC&#10;AQAADwAAAGRycy9kb3ducmV2LnhtbE2PwWrDMBBE74X8g9hAbo2cBNrUtZxDoJfekpZCb4q1sUyl&#10;lZEUx/77bHppLwPDLDNvq93onRgwpi6QgtWyAIHUBNNRq+Dz4+1xCyJlTUa7QKhgwgS7evZQ6dKE&#10;Kx1wOOZWcAmlUiuwOfellKmx6HVahh6Js3OIXme2sZUm6iuXeyfXRfEkve6IF6zucW+x+TlevILn&#10;8Stgn3CP3+ehibabtu59UmoxXxWvIDKO+e8Y7viMDjUzncKFTBJOAT+Sf5WzFzYnBevNBmRdyf/o&#10;9Q1QSwMEFAAAAAgAh07iQMls+CbNAQAAlgMAAA4AAABkcnMvZTJvRG9jLnhtbK1TzY7TMBC+I+07&#10;WL5v3ay2LERNV6BqV0gIkBYewHXsxpL/5HGb9AXgDThx4c5z9TkYO2kXlsseuDiTmck33/d5srwd&#10;rCF7GUF719BqNqdEOuFb7bYN/fL57vIVJZC4a7nxTjb0IIHeri5eLPtQyyvfedPKSBDEQd2HhnYp&#10;hZoxEJ20HGY+SIdF5aPlCV/jlrWR94huDbuaz1+y3sc2RC8kAGbXY5FOiPE5gF4pLeTai52VLo2o&#10;URqeUBJ0OgBdFbZKSZE+KgUyEdNQVJrKiUMw3uSTrZa83kYeOi0mCvw5FJ5oslw7HHqGWvPEyS7q&#10;f6CsFtGDV2kmvGWjkOIIqqjmT7x56HiQRQtaDeFsOvw/WPFh/ykS3eImUOK4xQs/fv92/PHr+PMr&#10;qbI9fYAaux4C9qXhrR9y65QHTGbVg4o2P1EPwTqaezibK4dEBCYXN9UCCwIr1fXN68Uig7DHb0OE&#10;dC+9JTloaMSrK47y/XtIY+upJY9y/k4bg3leG/dXAjFzhmXiI8EcpWEzTKw3vj2gmB5vvaEOl5wS&#10;886hqXlBTkE8BZtTsAtRbzukVhVeEN7sEpIo3PKEEXYajNdV1E2rlffhz/fS9fg7rX4D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ptCQbNAAAAACAQAADwAAAAAAAAABACAAAAAiAAAAZHJzL2Rvd25y&#10;ZXYueG1sUEsBAhQAFAAAAAgAh07iQMls+CbNAQAAlgMAAA4AAAAAAAAAAQAgAAAAHwEAAGRycy9l&#10;Mm9Eb2MueG1sUEsFBgAAAAAGAAYAWQEAAF4FAAAAAA==&#10;">
              <v:fill on="f" focussize="0,0"/>
              <v:stroke on="f"/>
              <v:imagedata o:title=""/>
              <o:lock v:ext="edit" aspectratio="f"/>
              <v:textbox inset="0mm,0mm,0mm,0mm" style="mso-fit-shape-to-text:t;">
                <w:txbxContent>
                  <w:p w14:paraId="4289BDAE">
                    <w:pPr>
                      <w:pStyle w:val="24"/>
                      <w:rPr>
                        <w:rStyle w:val="37"/>
                      </w:rPr>
                    </w:pPr>
                    <w:r>
                      <w:fldChar w:fldCharType="begin"/>
                    </w:r>
                    <w:r>
                      <w:rPr>
                        <w:rStyle w:val="37"/>
                      </w:rPr>
                      <w:instrText xml:space="preserve">PAGE  </w:instrText>
                    </w:r>
                    <w:r>
                      <w:fldChar w:fldCharType="separate"/>
                    </w:r>
                    <w:r>
                      <w:rPr>
                        <w:rStyle w:val="37"/>
                      </w:rPr>
                      <w:t>5</w:t>
                    </w:r>
                    <w:r>
                      <w:fldChar w:fldCharType="end"/>
                    </w:r>
                  </w:p>
                </w:txbxContent>
              </v:textbox>
              <w10:wrap type="square"/>
            </v:shape>
          </w:pict>
        </mc:Fallback>
      </mc:AlternateContent>
    </w: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33350" cy="172720"/>
              <wp:effectExtent l="0" t="0" r="0" b="0"/>
              <wp:wrapSquare wrapText="bothSides"/>
              <wp:docPr id="2" name="文本框 2"/>
              <wp:cNvGraphicFramePr/>
              <a:graphic xmlns:a="http://schemas.openxmlformats.org/drawingml/2006/main">
                <a:graphicData uri="http://schemas.microsoft.com/office/word/2010/wordprocessingShape">
                  <wps:wsp>
                    <wps:cNvSpPr txBox="1"/>
                    <wps:spPr>
                      <a:xfrm>
                        <a:off x="0" y="0"/>
                        <a:ext cx="133350" cy="172720"/>
                      </a:xfrm>
                      <a:prstGeom prst="rect">
                        <a:avLst/>
                      </a:prstGeom>
                      <a:noFill/>
                      <a:ln>
                        <a:noFill/>
                      </a:ln>
                    </wps:spPr>
                    <wps:txbx>
                      <w:txbxContent>
                        <w:p w14:paraId="60A1137F">
                          <w:pPr>
                            <w:pStyle w:val="24"/>
                            <w:rPr>
                              <w:rStyle w:val="37"/>
                              <w:sz w:val="21"/>
                            </w:rPr>
                          </w:pPr>
                          <w:r>
                            <w:rPr>
                              <w:sz w:val="21"/>
                            </w:rPr>
                            <w:fldChar w:fldCharType="begin"/>
                          </w:r>
                          <w:r>
                            <w:rPr>
                              <w:rStyle w:val="37"/>
                              <w:sz w:val="21"/>
                            </w:rPr>
                            <w:instrText xml:space="preserve">PAGE  </w:instrText>
                          </w:r>
                          <w:r>
                            <w:rPr>
                              <w:sz w:val="21"/>
                            </w:rPr>
                            <w:fldChar w:fldCharType="separate"/>
                          </w:r>
                          <w:r>
                            <w:rPr>
                              <w:rStyle w:val="37"/>
                              <w:sz w:val="21"/>
                            </w:rPr>
                            <w:t>5</w:t>
                          </w:r>
                          <w:r>
                            <w:rPr>
                              <w:sz w:val="21"/>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3.6pt;width:10.5pt;mso-position-horizontal:center;mso-position-horizontal-relative:margin;mso-wrap-distance-bottom:0pt;mso-wrap-distance-left:0pt;mso-wrap-distance-right:0pt;mso-wrap-distance-top:0pt;mso-wrap-style:none;z-index:251659264;mso-width-relative:page;mso-height-relative:page;" filled="f" stroked="f" coordsize="21600,21600" o:gfxdata="UEsDBAoAAAAAAIdO4kAAAAAAAAAAAAAAAAAEAAAAZHJzL1BLAwQUAAAACACHTuJAsqsuUc8AAAAD&#10;AQAADwAAAGRycy9kb3ducmV2LnhtbE2PMU/DMBCFdyT+g3VI3aiTDG0V4nSoxMJGi5DY3PgaR9jn&#10;yHbT5N9zZYHlTk/v9O57zX72TkwY0xBIQbkuQCB1wQzUK/g4vT7vQKSsyWgXCBUsmGDfPj40ujbh&#10;Ru84HXMvOIRSrRXYnMdaytRZ9Dqtw4jE3iVErzPL2EsT9Y3DvZNVUWyk1wPxB6tHPFjsvo9Xr2A7&#10;fwYcEx7w6zJ10Q7Lzr0tSq2eyuIFRMY5/x3DHZ/RoWWmc7iSScIp4CL5d7JXlazOvLcVyLaR/9nb&#10;H1BLAwQUAAAACACHTuJAj3SWoM4BAACXAwAADgAAAGRycy9lMm9Eb2MueG1srVNLbtswEN0X6B0I&#10;7mvaMtoUguWghZGiQNEUSHoAmqIsAvyBQ1vyBdobdJVN9jmXz9EhJTlNssmiG3k0M3rz3pvx6rI3&#10;mhxkAOVsRRezOSXSClcru6voz9urdx8pgchtzbWzsqJHCfRy/fbNqvOlLFzrdC0DQRALZecr2sbo&#10;S8ZAtNJwmDkvLRYbFwyP+Bp2rA68Q3SjWTGff2CdC7UPTkgAzG6GIh0Rw2sAXdMoITdO7I20cUAN&#10;UvOIkqBVHug6s20aKeJ104CMRFcUlcb8xCEYb9OTrVe83AXuWyVGCvw1FJ5pMlxZHHqG2vDIyT6o&#10;F1BGieDANXEmnGGDkOwIqljMn3lz03Ivsxa0GvzZdPh/sOL74Ucgqq5oQYnlBhd++vP7dPdwuv9F&#10;imRP56HErhuPfbH/7Ho8mikPmEyq+yaY9It6CNbR3OPZXNlHItJHy+XyPVYElhYXxUWRzWePH/sA&#10;8Yt0hqSgogF3ly3lh28QkQi2Ti1plnVXSuu8P22fJLAxZVhiPjBMUey3/Shn6+ojqulw7RW1eOWU&#10;6K8WXU0XMgVhCrZTsPdB7Vqktsi8wH/aRySRuaUJA+w4GPeVKY+3lQ7i3/fc9fh/Wv8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sqsuUc8AAAADAQAADwAAAAAAAAABACAAAAAiAAAAZHJzL2Rvd25y&#10;ZXYueG1sUEsBAhQAFAAAAAgAh07iQI90lqDOAQAAlwMAAA4AAAAAAAAAAQAgAAAAHgEAAGRycy9l&#10;Mm9Eb2MueG1sUEsFBgAAAAAGAAYAWQEAAF4FAAAAAA==&#10;">
              <v:fill on="f" focussize="0,0"/>
              <v:stroke on="f"/>
              <v:imagedata o:title=""/>
              <o:lock v:ext="edit" aspectratio="f"/>
              <v:textbox inset="0mm,0mm,0mm,0mm" style="mso-fit-shape-to-text:t;">
                <w:txbxContent>
                  <w:p w14:paraId="60A1137F">
                    <w:pPr>
                      <w:pStyle w:val="24"/>
                      <w:rPr>
                        <w:rStyle w:val="37"/>
                        <w:sz w:val="21"/>
                      </w:rPr>
                    </w:pPr>
                    <w:r>
                      <w:rPr>
                        <w:sz w:val="21"/>
                      </w:rPr>
                      <w:fldChar w:fldCharType="begin"/>
                    </w:r>
                    <w:r>
                      <w:rPr>
                        <w:rStyle w:val="37"/>
                        <w:sz w:val="21"/>
                      </w:rPr>
                      <w:instrText xml:space="preserve">PAGE  </w:instrText>
                    </w:r>
                    <w:r>
                      <w:rPr>
                        <w:sz w:val="21"/>
                      </w:rPr>
                      <w:fldChar w:fldCharType="separate"/>
                    </w:r>
                    <w:r>
                      <w:rPr>
                        <w:rStyle w:val="37"/>
                        <w:sz w:val="21"/>
                      </w:rPr>
                      <w:t>5</w:t>
                    </w:r>
                    <w:r>
                      <w:rPr>
                        <w:sz w:val="21"/>
                      </w:rPr>
                      <w:fldChar w:fldCharType="end"/>
                    </w:r>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ED60E8">
    <w:pPr>
      <w:pStyle w:val="2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79302922"/>
    </w:sdtPr>
    <w:sdtContent>
      <w:p w14:paraId="090C93FF">
        <w:pPr>
          <w:pStyle w:val="24"/>
          <w:jc w:val="center"/>
        </w:pPr>
        <w:r>
          <w:fldChar w:fldCharType="begin"/>
        </w:r>
        <w:r>
          <w:instrText xml:space="preserve">PAGE   \* MERGEFORMAT</w:instrText>
        </w:r>
        <w:r>
          <w:fldChar w:fldCharType="separate"/>
        </w:r>
        <w:r>
          <w:rPr>
            <w:lang w:val="zh-CN"/>
          </w:rPr>
          <w:t>45</w:t>
        </w:r>
        <w: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F78D7D">
    <w:pPr>
      <w:pStyle w:val="24"/>
      <w:framePr w:wrap="around" w:vAnchor="text" w:hAnchor="margin" w:xAlign="center" w:y="1"/>
      <w:rPr>
        <w:rStyle w:val="37"/>
      </w:rPr>
    </w:pPr>
    <w:r>
      <w:fldChar w:fldCharType="begin"/>
    </w:r>
    <w:r>
      <w:rPr>
        <w:rStyle w:val="37"/>
      </w:rPr>
      <w:instrText xml:space="preserve">PAGE  </w:instrText>
    </w:r>
    <w:r>
      <w:fldChar w:fldCharType="separate"/>
    </w:r>
    <w:r>
      <w:rPr>
        <w:rStyle w:val="37"/>
      </w:rPr>
      <w:t>1</w:t>
    </w:r>
    <w:r>
      <w:fldChar w:fldCharType="end"/>
    </w:r>
  </w:p>
  <w:p w14:paraId="6995C734">
    <w:pPr>
      <w:pStyle w:val="24"/>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8EE9D7">
    <w:pPr>
      <w:pStyle w:val="24"/>
      <w:framePr w:wrap="around" w:vAnchor="text" w:hAnchor="margin" w:xAlign="center" w:y="1"/>
      <w:rPr>
        <w:rStyle w:val="37"/>
      </w:rPr>
    </w:pPr>
    <w:r>
      <w:fldChar w:fldCharType="begin"/>
    </w:r>
    <w:r>
      <w:rPr>
        <w:rStyle w:val="37"/>
      </w:rPr>
      <w:instrText xml:space="preserve">PAGE  </w:instrText>
    </w:r>
    <w:r>
      <w:fldChar w:fldCharType="separate"/>
    </w:r>
    <w:r>
      <w:rPr>
        <w:rStyle w:val="37"/>
      </w:rPr>
      <w:t>1</w:t>
    </w:r>
    <w:r>
      <w:fldChar w:fldCharType="end"/>
    </w:r>
  </w:p>
  <w:p w14:paraId="5C5C677A">
    <w:pPr>
      <w:pStyle w:val="24"/>
    </w:pPr>
  </w:p>
  <w:p w14:paraId="32DC5922"/>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37373342"/>
    </w:sdtPr>
    <w:sdtContent>
      <w:p w14:paraId="619DF008">
        <w:pPr>
          <w:pStyle w:val="24"/>
          <w:jc w:val="center"/>
        </w:pPr>
        <w:r>
          <w:fldChar w:fldCharType="begin"/>
        </w:r>
        <w:r>
          <w:instrText xml:space="preserve">PAGE   \* MERGEFORMAT</w:instrText>
        </w:r>
        <w:r>
          <w:fldChar w:fldCharType="separate"/>
        </w:r>
        <w:r>
          <w:rPr>
            <w:lang w:val="zh-CN"/>
          </w:rPr>
          <w:t>59</w:t>
        </w:r>
        <w:r>
          <w:fldChar w:fldCharType="end"/>
        </w:r>
      </w:p>
    </w:sdtContent>
  </w:sdt>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53830927"/>
    </w:sdtPr>
    <w:sdtContent>
      <w:p w14:paraId="5A05CD98">
        <w:pPr>
          <w:pStyle w:val="24"/>
          <w:ind w:firstLine="472"/>
          <w:jc w:val="center"/>
        </w:pPr>
        <w:r>
          <w:fldChar w:fldCharType="begin"/>
        </w:r>
        <w:r>
          <w:instrText xml:space="preserve">PAGE   \* MERGEFORMAT</w:instrText>
        </w:r>
        <w:r>
          <w:fldChar w:fldCharType="separate"/>
        </w:r>
        <w:r>
          <w:rPr>
            <w:lang w:val="zh-CN"/>
          </w:rPr>
          <w:t>75</w:t>
        </w:r>
        <w:r>
          <w:fldChar w:fldCharType="end"/>
        </w:r>
      </w:p>
    </w:sdtContent>
  </w:sdt>
  <w:p w14:paraId="609A9FAE"/>
  <w:p w14:paraId="5ADC86F4"/>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C9389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2338E6"/>
  <w:p w14:paraId="42839913"/>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AC0B11"/>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4FDBF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BE4294"/>
    <w:multiLevelType w:val="singleLevel"/>
    <w:tmpl w:val="8ABE4294"/>
    <w:lvl w:ilvl="0" w:tentative="0">
      <w:start w:val="1"/>
      <w:numFmt w:val="decimal"/>
      <w:suff w:val="nothing"/>
      <w:lvlText w:val="（%1）"/>
      <w:lvlJc w:val="left"/>
    </w:lvl>
  </w:abstractNum>
  <w:abstractNum w:abstractNumId="1">
    <w:nsid w:val="0315620E"/>
    <w:multiLevelType w:val="multilevel"/>
    <w:tmpl w:val="0315620E"/>
    <w:lvl w:ilvl="0" w:tentative="0">
      <w:start w:val="1"/>
      <w:numFmt w:val="decimal"/>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lvlText w:val="%1.%2.%3"/>
      <w:lvlJc w:val="left"/>
      <w:pPr>
        <w:tabs>
          <w:tab w:val="left" w:pos="1588"/>
        </w:tabs>
        <w:ind w:left="1588" w:hanging="737"/>
      </w:pPr>
      <w:rPr>
        <w:rFonts w:hint="default" w:ascii="Times New Roman" w:hAnsi="Times New Roman"/>
        <w:b/>
        <w:i w:val="0"/>
        <w:sz w:val="24"/>
      </w:rPr>
    </w:lvl>
    <w:lvl w:ilvl="3" w:tentative="0">
      <w:start w:val="1"/>
      <w:numFmt w:val="decimal"/>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2">
    <w:nsid w:val="2E4A1282"/>
    <w:multiLevelType w:val="singleLevel"/>
    <w:tmpl w:val="2E4A1282"/>
    <w:lvl w:ilvl="0" w:tentative="0">
      <w:start w:val="1"/>
      <w:numFmt w:val="chineseCounting"/>
      <w:suff w:val="nothing"/>
      <w:lvlText w:val="%1、"/>
      <w:lvlJc w:val="left"/>
      <w:rPr>
        <w:rFonts w:hint="eastAsia"/>
      </w:rPr>
    </w:lvl>
  </w:abstractNum>
  <w:abstractNum w:abstractNumId="3">
    <w:nsid w:val="5D23C65D"/>
    <w:multiLevelType w:val="singleLevel"/>
    <w:tmpl w:val="5D23C65D"/>
    <w:lvl w:ilvl="0" w:tentative="0">
      <w:start w:val="2"/>
      <w:numFmt w:val="chineseCounting"/>
      <w:suff w:val="nothing"/>
      <w:lvlText w:val="第%1部分、"/>
      <w:lvlJc w:val="left"/>
      <w:rPr>
        <w:rFonts w:hint="eastAsia"/>
      </w:rPr>
    </w:lvl>
  </w:abstractNum>
  <w:abstractNum w:abstractNumId="4">
    <w:nsid w:val="60085042"/>
    <w:multiLevelType w:val="multilevel"/>
    <w:tmpl w:val="60085042"/>
    <w:lvl w:ilvl="0" w:tentative="0">
      <w:start w:val="1"/>
      <w:numFmt w:val="decimal"/>
      <w:pStyle w:val="4"/>
      <w:lvlText w:val="%1."/>
      <w:lvlJc w:val="left"/>
      <w:pPr>
        <w:tabs>
          <w:tab w:val="left" w:pos="420"/>
        </w:tabs>
        <w:ind w:left="420" w:hanging="420"/>
      </w:pPr>
      <w:rPr>
        <w:rFonts w:hint="eastAsia"/>
      </w:rPr>
    </w:lvl>
    <w:lvl w:ilvl="1" w:tentative="0">
      <w:start w:val="1"/>
      <w:numFmt w:val="decimal"/>
      <w:lvlText w:val="%2."/>
      <w:lvlJc w:val="left"/>
      <w:pPr>
        <w:tabs>
          <w:tab w:val="left" w:pos="780"/>
        </w:tabs>
        <w:ind w:left="780" w:hanging="36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6E1C690E"/>
    <w:multiLevelType w:val="multilevel"/>
    <w:tmpl w:val="6E1C690E"/>
    <w:lvl w:ilvl="0" w:tentative="0">
      <w:start w:val="1"/>
      <w:numFmt w:val="chineseCountingThousand"/>
      <w:lvlText w:val="%1、"/>
      <w:lvlJc w:val="left"/>
      <w:pPr>
        <w:ind w:left="0" w:firstLine="0"/>
      </w:pPr>
      <w:rPr>
        <w:rFonts w:hint="eastAsia" w:ascii="黑体" w:hAnsi="黑体" w:eastAsia="黑体" w:cs="宋体"/>
        <w:b w:val="0"/>
        <w:i w:val="0"/>
        <w:sz w:val="32"/>
        <w:szCs w:val="44"/>
      </w:rPr>
    </w:lvl>
    <w:lvl w:ilvl="1" w:tentative="0">
      <w:start w:val="1"/>
      <w:numFmt w:val="decimal"/>
      <w:isLgl/>
      <w:lvlText w:val="%2"/>
      <w:lvlJc w:val="left"/>
      <w:pPr>
        <w:ind w:left="0" w:firstLine="0"/>
      </w:pPr>
      <w:rPr>
        <w:rFonts w:hint="eastAsia" w:eastAsia="仿宋"/>
        <w:b w:val="0"/>
        <w:i w:val="0"/>
        <w:sz w:val="30"/>
      </w:rPr>
    </w:lvl>
    <w:lvl w:ilvl="2" w:tentative="0">
      <w:start w:val="1"/>
      <w:numFmt w:val="decimal"/>
      <w:isLgl/>
      <w:lvlText w:val="%2.%3"/>
      <w:lvlJc w:val="left"/>
      <w:pPr>
        <w:ind w:left="0" w:firstLine="0"/>
      </w:pPr>
      <w:rPr>
        <w:rFonts w:hint="eastAsia" w:eastAsia="仿宋"/>
        <w:sz w:val="28"/>
      </w:rPr>
    </w:lvl>
    <w:lvl w:ilvl="3" w:tentative="0">
      <w:start w:val="1"/>
      <w:numFmt w:val="decimal"/>
      <w:isLgl/>
      <w:lvlText w:val="%2.%3.%4"/>
      <w:lvlJc w:val="left"/>
      <w:pPr>
        <w:ind w:left="0" w:firstLine="0"/>
      </w:pPr>
      <w:rPr>
        <w:rFonts w:hint="eastAsia" w:eastAsia="仿宋"/>
        <w:b w:val="0"/>
        <w:i w:val="0"/>
        <w:iCs w:val="0"/>
        <w:caps w:val="0"/>
        <w:smallCaps w:val="0"/>
        <w:strike w:val="0"/>
        <w:dstrike w:val="0"/>
        <w:vanish w:val="0"/>
        <w:color w:val="000000"/>
        <w:spacing w:val="0"/>
        <w:position w:val="0"/>
        <w:sz w:val="28"/>
        <w:u w:val="none"/>
        <w:vertAlign w:val="baseline"/>
        <w:lang w:bidi="zh-CN"/>
        <w14:shadow w14:blurRad="0" w14:dist="0" w14:dir="0" w14:sx="0" w14:sy="0" w14:kx="0" w14:ky="0" w14:algn="none">
          <w14:srgbClr w14:val="000000"/>
        </w14:shadow>
      </w:rPr>
    </w:lvl>
    <w:lvl w:ilvl="4" w:tentative="0">
      <w:start w:val="1"/>
      <w:numFmt w:val="decimal"/>
      <w:pStyle w:val="6"/>
      <w:isLgl/>
      <w:lvlText w:val="%2.%3.%4.%5"/>
      <w:lvlJc w:val="left"/>
      <w:pPr>
        <w:ind w:left="0" w:firstLine="0"/>
      </w:pPr>
      <w:rPr>
        <w:rFonts w:hint="eastAsia" w:eastAsia="仿宋"/>
        <w:b w:val="0"/>
        <w:i w:val="0"/>
        <w:sz w:val="28"/>
        <w:szCs w:val="28"/>
      </w:rPr>
    </w:lvl>
    <w:lvl w:ilvl="5" w:tentative="0">
      <w:start w:val="1"/>
      <w:numFmt w:val="decimal"/>
      <w:pStyle w:val="7"/>
      <w:isLgl/>
      <w:lvlText w:val="%2.%3.%4.%5.%6"/>
      <w:lvlJc w:val="left"/>
      <w:pPr>
        <w:ind w:left="0" w:firstLine="0"/>
      </w:pPr>
      <w:rPr>
        <w:rFonts w:hint="eastAsia" w:eastAsia="仿宋"/>
        <w:b w:val="0"/>
        <w:i w:val="0"/>
        <w:sz w:val="28"/>
      </w:rPr>
    </w:lvl>
    <w:lvl w:ilvl="6" w:tentative="0">
      <w:start w:val="1"/>
      <w:numFmt w:val="decimal"/>
      <w:pStyle w:val="8"/>
      <w:isLgl/>
      <w:lvlText w:val="%2.%3.%4.%5.%6.%7"/>
      <w:lvlJc w:val="left"/>
      <w:pPr>
        <w:ind w:left="0" w:firstLine="0"/>
      </w:pPr>
      <w:rPr>
        <w:rFonts w:hint="eastAsia" w:eastAsia="仿宋"/>
        <w:b w:val="0"/>
        <w:i w:val="0"/>
        <w:sz w:val="28"/>
      </w:rPr>
    </w:lvl>
    <w:lvl w:ilvl="7" w:tentative="0">
      <w:start w:val="1"/>
      <w:numFmt w:val="decimal"/>
      <w:pStyle w:val="9"/>
      <w:isLgl/>
      <w:lvlText w:val="%2.%3.%4.%5.%6.%7.%8"/>
      <w:lvlJc w:val="left"/>
      <w:pPr>
        <w:ind w:left="0" w:firstLine="0"/>
      </w:pPr>
      <w:rPr>
        <w:rFonts w:hint="eastAsia" w:eastAsia="仿宋"/>
        <w:b w:val="0"/>
        <w:i w:val="0"/>
        <w:sz w:val="28"/>
      </w:rPr>
    </w:lvl>
    <w:lvl w:ilvl="8" w:tentative="0">
      <w:start w:val="1"/>
      <w:numFmt w:val="decimal"/>
      <w:isLgl/>
      <w:lvlText w:val="%1.%2.%3.%4.%5.%6.%7.%8.%9"/>
      <w:lvlJc w:val="left"/>
      <w:pPr>
        <w:ind w:left="0" w:firstLine="0"/>
      </w:pPr>
      <w:rPr>
        <w:rFonts w:hint="eastAsia"/>
      </w:rPr>
    </w:lvl>
  </w:abstractNum>
  <w:num w:numId="1">
    <w:abstractNumId w:val="1"/>
  </w:num>
  <w:num w:numId="2">
    <w:abstractNumId w:val="4"/>
  </w:num>
  <w:num w:numId="3">
    <w:abstractNumId w:val="5"/>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331"/>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NhZDJlMjQxYjBhNmU3MzI4Y2U1MTUzOWY5Zjk5NTMifQ=="/>
  </w:docVars>
  <w:rsids>
    <w:rsidRoot w:val="005518A9"/>
    <w:rsid w:val="00002798"/>
    <w:rsid w:val="00004B5F"/>
    <w:rsid w:val="000068C0"/>
    <w:rsid w:val="00011C88"/>
    <w:rsid w:val="00012838"/>
    <w:rsid w:val="00017E9A"/>
    <w:rsid w:val="00020F38"/>
    <w:rsid w:val="000319B7"/>
    <w:rsid w:val="00037892"/>
    <w:rsid w:val="000411C4"/>
    <w:rsid w:val="00041414"/>
    <w:rsid w:val="000450C2"/>
    <w:rsid w:val="00046113"/>
    <w:rsid w:val="00056901"/>
    <w:rsid w:val="0006405C"/>
    <w:rsid w:val="000647F7"/>
    <w:rsid w:val="00066945"/>
    <w:rsid w:val="00073F5F"/>
    <w:rsid w:val="0007582A"/>
    <w:rsid w:val="00077B0D"/>
    <w:rsid w:val="00081D44"/>
    <w:rsid w:val="000822CA"/>
    <w:rsid w:val="00082EEA"/>
    <w:rsid w:val="00084985"/>
    <w:rsid w:val="000868F5"/>
    <w:rsid w:val="00091811"/>
    <w:rsid w:val="00092553"/>
    <w:rsid w:val="00094A58"/>
    <w:rsid w:val="00096CED"/>
    <w:rsid w:val="000A22EF"/>
    <w:rsid w:val="000A79BA"/>
    <w:rsid w:val="000B5F80"/>
    <w:rsid w:val="000B6C51"/>
    <w:rsid w:val="000C2316"/>
    <w:rsid w:val="000C5153"/>
    <w:rsid w:val="000D3BC9"/>
    <w:rsid w:val="000D4917"/>
    <w:rsid w:val="000E2E28"/>
    <w:rsid w:val="000E2F7B"/>
    <w:rsid w:val="000E3098"/>
    <w:rsid w:val="000E5923"/>
    <w:rsid w:val="000E5D71"/>
    <w:rsid w:val="000F5B52"/>
    <w:rsid w:val="000F6143"/>
    <w:rsid w:val="00102D40"/>
    <w:rsid w:val="00103685"/>
    <w:rsid w:val="0010442B"/>
    <w:rsid w:val="001066B8"/>
    <w:rsid w:val="0010690F"/>
    <w:rsid w:val="00115015"/>
    <w:rsid w:val="0012205B"/>
    <w:rsid w:val="00122707"/>
    <w:rsid w:val="00123DA0"/>
    <w:rsid w:val="0013066C"/>
    <w:rsid w:val="001353A4"/>
    <w:rsid w:val="00136287"/>
    <w:rsid w:val="00140665"/>
    <w:rsid w:val="00141989"/>
    <w:rsid w:val="00141FC2"/>
    <w:rsid w:val="001455C9"/>
    <w:rsid w:val="0014723B"/>
    <w:rsid w:val="001535E0"/>
    <w:rsid w:val="00161E10"/>
    <w:rsid w:val="00165F84"/>
    <w:rsid w:val="001672D6"/>
    <w:rsid w:val="00176330"/>
    <w:rsid w:val="00177A46"/>
    <w:rsid w:val="001876C8"/>
    <w:rsid w:val="00195A2C"/>
    <w:rsid w:val="00195CBD"/>
    <w:rsid w:val="001A3736"/>
    <w:rsid w:val="001A3C46"/>
    <w:rsid w:val="001A7B38"/>
    <w:rsid w:val="001B0A68"/>
    <w:rsid w:val="001B2702"/>
    <w:rsid w:val="001B3186"/>
    <w:rsid w:val="001C11D1"/>
    <w:rsid w:val="001C3C78"/>
    <w:rsid w:val="001C3F73"/>
    <w:rsid w:val="001C479E"/>
    <w:rsid w:val="001C5CC7"/>
    <w:rsid w:val="001D78AB"/>
    <w:rsid w:val="001E07E9"/>
    <w:rsid w:val="001E3016"/>
    <w:rsid w:val="001E3924"/>
    <w:rsid w:val="001E581F"/>
    <w:rsid w:val="001E6D60"/>
    <w:rsid w:val="001F0081"/>
    <w:rsid w:val="001F494C"/>
    <w:rsid w:val="001F527B"/>
    <w:rsid w:val="001F54AC"/>
    <w:rsid w:val="001F64D1"/>
    <w:rsid w:val="001F7122"/>
    <w:rsid w:val="001F71AE"/>
    <w:rsid w:val="00202050"/>
    <w:rsid w:val="002027F3"/>
    <w:rsid w:val="00203894"/>
    <w:rsid w:val="00204A6B"/>
    <w:rsid w:val="002059AE"/>
    <w:rsid w:val="0021484B"/>
    <w:rsid w:val="002174B1"/>
    <w:rsid w:val="0022383E"/>
    <w:rsid w:val="0022430D"/>
    <w:rsid w:val="002257E4"/>
    <w:rsid w:val="002260A7"/>
    <w:rsid w:val="00227938"/>
    <w:rsid w:val="00231A5E"/>
    <w:rsid w:val="0023468E"/>
    <w:rsid w:val="00236784"/>
    <w:rsid w:val="002367D3"/>
    <w:rsid w:val="00240FAB"/>
    <w:rsid w:val="0024235A"/>
    <w:rsid w:val="00243503"/>
    <w:rsid w:val="00243D20"/>
    <w:rsid w:val="00245DB9"/>
    <w:rsid w:val="002521A3"/>
    <w:rsid w:val="0025245F"/>
    <w:rsid w:val="00256045"/>
    <w:rsid w:val="0026007B"/>
    <w:rsid w:val="0026100D"/>
    <w:rsid w:val="00271746"/>
    <w:rsid w:val="00272A05"/>
    <w:rsid w:val="00274ABD"/>
    <w:rsid w:val="0028229F"/>
    <w:rsid w:val="00291492"/>
    <w:rsid w:val="00294E30"/>
    <w:rsid w:val="00295893"/>
    <w:rsid w:val="002959B4"/>
    <w:rsid w:val="00296707"/>
    <w:rsid w:val="002A064E"/>
    <w:rsid w:val="002A3AB3"/>
    <w:rsid w:val="002A77B9"/>
    <w:rsid w:val="002B08BD"/>
    <w:rsid w:val="002B247F"/>
    <w:rsid w:val="002B767C"/>
    <w:rsid w:val="002C2669"/>
    <w:rsid w:val="002C5413"/>
    <w:rsid w:val="002C5455"/>
    <w:rsid w:val="002C70D2"/>
    <w:rsid w:val="002D5AD0"/>
    <w:rsid w:val="002D72C5"/>
    <w:rsid w:val="002E097B"/>
    <w:rsid w:val="002E1485"/>
    <w:rsid w:val="002E1D30"/>
    <w:rsid w:val="002E2A07"/>
    <w:rsid w:val="002E2C4A"/>
    <w:rsid w:val="002E31D7"/>
    <w:rsid w:val="002E4385"/>
    <w:rsid w:val="002F409D"/>
    <w:rsid w:val="00311BE0"/>
    <w:rsid w:val="00312880"/>
    <w:rsid w:val="003144D4"/>
    <w:rsid w:val="00321F3A"/>
    <w:rsid w:val="00322896"/>
    <w:rsid w:val="00325EE3"/>
    <w:rsid w:val="00326404"/>
    <w:rsid w:val="0033068B"/>
    <w:rsid w:val="00341C4B"/>
    <w:rsid w:val="0034238B"/>
    <w:rsid w:val="00344044"/>
    <w:rsid w:val="003534F8"/>
    <w:rsid w:val="003537F5"/>
    <w:rsid w:val="00363187"/>
    <w:rsid w:val="00373109"/>
    <w:rsid w:val="00375763"/>
    <w:rsid w:val="003776AD"/>
    <w:rsid w:val="00380C66"/>
    <w:rsid w:val="00380F30"/>
    <w:rsid w:val="00380F63"/>
    <w:rsid w:val="00381AC1"/>
    <w:rsid w:val="003867C5"/>
    <w:rsid w:val="0039107B"/>
    <w:rsid w:val="003921F8"/>
    <w:rsid w:val="00395EF7"/>
    <w:rsid w:val="003A0DDF"/>
    <w:rsid w:val="003A279C"/>
    <w:rsid w:val="003A40B3"/>
    <w:rsid w:val="003A4264"/>
    <w:rsid w:val="003B09F5"/>
    <w:rsid w:val="003B1FDD"/>
    <w:rsid w:val="003B38A6"/>
    <w:rsid w:val="003B50A4"/>
    <w:rsid w:val="003B774B"/>
    <w:rsid w:val="003C070C"/>
    <w:rsid w:val="003C250C"/>
    <w:rsid w:val="003C468C"/>
    <w:rsid w:val="003D075A"/>
    <w:rsid w:val="003D0F0D"/>
    <w:rsid w:val="003D3DA1"/>
    <w:rsid w:val="003D51C9"/>
    <w:rsid w:val="003D5570"/>
    <w:rsid w:val="003E0521"/>
    <w:rsid w:val="003E06B9"/>
    <w:rsid w:val="003E1B55"/>
    <w:rsid w:val="003E2FFC"/>
    <w:rsid w:val="003E3271"/>
    <w:rsid w:val="003F2002"/>
    <w:rsid w:val="003F78BD"/>
    <w:rsid w:val="004056E7"/>
    <w:rsid w:val="00410418"/>
    <w:rsid w:val="00411EDD"/>
    <w:rsid w:val="00412F30"/>
    <w:rsid w:val="00420F73"/>
    <w:rsid w:val="004237FF"/>
    <w:rsid w:val="00440B7D"/>
    <w:rsid w:val="00446A44"/>
    <w:rsid w:val="00447332"/>
    <w:rsid w:val="00451F06"/>
    <w:rsid w:val="00452546"/>
    <w:rsid w:val="004533D4"/>
    <w:rsid w:val="00467EA3"/>
    <w:rsid w:val="00471C73"/>
    <w:rsid w:val="0047490D"/>
    <w:rsid w:val="00477C42"/>
    <w:rsid w:val="00482310"/>
    <w:rsid w:val="00482997"/>
    <w:rsid w:val="004834FD"/>
    <w:rsid w:val="00491587"/>
    <w:rsid w:val="00494F19"/>
    <w:rsid w:val="004A1693"/>
    <w:rsid w:val="004A2CA9"/>
    <w:rsid w:val="004A447F"/>
    <w:rsid w:val="004B3BA4"/>
    <w:rsid w:val="004B3E87"/>
    <w:rsid w:val="004B53E4"/>
    <w:rsid w:val="004C0AB2"/>
    <w:rsid w:val="004C2AE8"/>
    <w:rsid w:val="004D33CA"/>
    <w:rsid w:val="004D7511"/>
    <w:rsid w:val="004E166F"/>
    <w:rsid w:val="004E3958"/>
    <w:rsid w:val="004E5F0A"/>
    <w:rsid w:val="004F0333"/>
    <w:rsid w:val="004F2500"/>
    <w:rsid w:val="004F38C9"/>
    <w:rsid w:val="005037D8"/>
    <w:rsid w:val="0050554C"/>
    <w:rsid w:val="00511AEE"/>
    <w:rsid w:val="00515020"/>
    <w:rsid w:val="00515B39"/>
    <w:rsid w:val="005219F5"/>
    <w:rsid w:val="00521D2C"/>
    <w:rsid w:val="00521EF3"/>
    <w:rsid w:val="00526EFE"/>
    <w:rsid w:val="00527EA5"/>
    <w:rsid w:val="005306C1"/>
    <w:rsid w:val="005331D1"/>
    <w:rsid w:val="00535BAE"/>
    <w:rsid w:val="00537484"/>
    <w:rsid w:val="00537FA1"/>
    <w:rsid w:val="0054332B"/>
    <w:rsid w:val="00544BB8"/>
    <w:rsid w:val="005518A9"/>
    <w:rsid w:val="005538A3"/>
    <w:rsid w:val="00556484"/>
    <w:rsid w:val="00563413"/>
    <w:rsid w:val="0057026B"/>
    <w:rsid w:val="0057066B"/>
    <w:rsid w:val="00572E6F"/>
    <w:rsid w:val="00573A6F"/>
    <w:rsid w:val="00575672"/>
    <w:rsid w:val="00576041"/>
    <w:rsid w:val="005851D1"/>
    <w:rsid w:val="005864BD"/>
    <w:rsid w:val="005905E8"/>
    <w:rsid w:val="00590823"/>
    <w:rsid w:val="00591A0D"/>
    <w:rsid w:val="005920E0"/>
    <w:rsid w:val="005927AB"/>
    <w:rsid w:val="00595430"/>
    <w:rsid w:val="00595D15"/>
    <w:rsid w:val="005A1EC7"/>
    <w:rsid w:val="005A2977"/>
    <w:rsid w:val="005A2B19"/>
    <w:rsid w:val="005A3E99"/>
    <w:rsid w:val="005A4158"/>
    <w:rsid w:val="005A6BF6"/>
    <w:rsid w:val="005C0D63"/>
    <w:rsid w:val="005C1ED0"/>
    <w:rsid w:val="005C7BBC"/>
    <w:rsid w:val="005D1A64"/>
    <w:rsid w:val="005D3F5C"/>
    <w:rsid w:val="005D5FC1"/>
    <w:rsid w:val="005E0C78"/>
    <w:rsid w:val="005E1A50"/>
    <w:rsid w:val="005F56C6"/>
    <w:rsid w:val="005F7732"/>
    <w:rsid w:val="0060045E"/>
    <w:rsid w:val="0060054C"/>
    <w:rsid w:val="006005BE"/>
    <w:rsid w:val="00602F1A"/>
    <w:rsid w:val="00603642"/>
    <w:rsid w:val="0060576C"/>
    <w:rsid w:val="0060609B"/>
    <w:rsid w:val="00606E3A"/>
    <w:rsid w:val="00610FAE"/>
    <w:rsid w:val="00620108"/>
    <w:rsid w:val="00620C4C"/>
    <w:rsid w:val="00621333"/>
    <w:rsid w:val="00623916"/>
    <w:rsid w:val="00623FAB"/>
    <w:rsid w:val="00625E33"/>
    <w:rsid w:val="00630AA3"/>
    <w:rsid w:val="006324F9"/>
    <w:rsid w:val="00633324"/>
    <w:rsid w:val="00634764"/>
    <w:rsid w:val="00636D9E"/>
    <w:rsid w:val="00640E11"/>
    <w:rsid w:val="00645991"/>
    <w:rsid w:val="00645BEC"/>
    <w:rsid w:val="00646D32"/>
    <w:rsid w:val="00654ACE"/>
    <w:rsid w:val="00657C32"/>
    <w:rsid w:val="006638E7"/>
    <w:rsid w:val="006675D6"/>
    <w:rsid w:val="00671652"/>
    <w:rsid w:val="00675F29"/>
    <w:rsid w:val="0068399F"/>
    <w:rsid w:val="0069317F"/>
    <w:rsid w:val="00694814"/>
    <w:rsid w:val="006A1C81"/>
    <w:rsid w:val="006A3821"/>
    <w:rsid w:val="006A3951"/>
    <w:rsid w:val="006A4D81"/>
    <w:rsid w:val="006A5358"/>
    <w:rsid w:val="006A60B4"/>
    <w:rsid w:val="006B2655"/>
    <w:rsid w:val="006B2FD4"/>
    <w:rsid w:val="006B364A"/>
    <w:rsid w:val="006C0D5C"/>
    <w:rsid w:val="006C1CDA"/>
    <w:rsid w:val="006C1F1F"/>
    <w:rsid w:val="006C2D6D"/>
    <w:rsid w:val="006D1116"/>
    <w:rsid w:val="006D11D3"/>
    <w:rsid w:val="006D26F0"/>
    <w:rsid w:val="006D2A98"/>
    <w:rsid w:val="006E346C"/>
    <w:rsid w:val="006E536C"/>
    <w:rsid w:val="006E5F7E"/>
    <w:rsid w:val="006F0520"/>
    <w:rsid w:val="006F6FC6"/>
    <w:rsid w:val="006F71D8"/>
    <w:rsid w:val="007006D7"/>
    <w:rsid w:val="007018A6"/>
    <w:rsid w:val="007022DD"/>
    <w:rsid w:val="00704715"/>
    <w:rsid w:val="00704BE6"/>
    <w:rsid w:val="007122B9"/>
    <w:rsid w:val="00713C3E"/>
    <w:rsid w:val="00716054"/>
    <w:rsid w:val="00717B2E"/>
    <w:rsid w:val="00724CFE"/>
    <w:rsid w:val="007259C1"/>
    <w:rsid w:val="00726B25"/>
    <w:rsid w:val="007325B4"/>
    <w:rsid w:val="00733DED"/>
    <w:rsid w:val="00746556"/>
    <w:rsid w:val="007465DE"/>
    <w:rsid w:val="00750767"/>
    <w:rsid w:val="007528E7"/>
    <w:rsid w:val="00754BA5"/>
    <w:rsid w:val="00756D6A"/>
    <w:rsid w:val="0077793D"/>
    <w:rsid w:val="007815E7"/>
    <w:rsid w:val="00783CA4"/>
    <w:rsid w:val="00784E6E"/>
    <w:rsid w:val="0078637B"/>
    <w:rsid w:val="00787581"/>
    <w:rsid w:val="007877A5"/>
    <w:rsid w:val="0079489C"/>
    <w:rsid w:val="00796B2C"/>
    <w:rsid w:val="007A0716"/>
    <w:rsid w:val="007A3F6E"/>
    <w:rsid w:val="007A6B80"/>
    <w:rsid w:val="007B7BD6"/>
    <w:rsid w:val="007C284E"/>
    <w:rsid w:val="007C6423"/>
    <w:rsid w:val="007C7474"/>
    <w:rsid w:val="007C7A18"/>
    <w:rsid w:val="007D0633"/>
    <w:rsid w:val="007D2C4D"/>
    <w:rsid w:val="007D343D"/>
    <w:rsid w:val="007D3A5C"/>
    <w:rsid w:val="007D3EE6"/>
    <w:rsid w:val="007D47C2"/>
    <w:rsid w:val="007D68E6"/>
    <w:rsid w:val="007D7F4C"/>
    <w:rsid w:val="007F0048"/>
    <w:rsid w:val="007F2B9C"/>
    <w:rsid w:val="008005E6"/>
    <w:rsid w:val="0080094F"/>
    <w:rsid w:val="00803D97"/>
    <w:rsid w:val="00803DB6"/>
    <w:rsid w:val="00805BEC"/>
    <w:rsid w:val="008075D7"/>
    <w:rsid w:val="00810934"/>
    <w:rsid w:val="00810B20"/>
    <w:rsid w:val="00812C50"/>
    <w:rsid w:val="008161A2"/>
    <w:rsid w:val="0082306C"/>
    <w:rsid w:val="008278E0"/>
    <w:rsid w:val="008302B3"/>
    <w:rsid w:val="008322BB"/>
    <w:rsid w:val="008371BA"/>
    <w:rsid w:val="00837C49"/>
    <w:rsid w:val="008424A5"/>
    <w:rsid w:val="00844822"/>
    <w:rsid w:val="00847693"/>
    <w:rsid w:val="008526A9"/>
    <w:rsid w:val="00854999"/>
    <w:rsid w:val="00860EDC"/>
    <w:rsid w:val="00863D92"/>
    <w:rsid w:val="008654BE"/>
    <w:rsid w:val="008665AF"/>
    <w:rsid w:val="00874EF2"/>
    <w:rsid w:val="00885339"/>
    <w:rsid w:val="00891D48"/>
    <w:rsid w:val="00895931"/>
    <w:rsid w:val="008974DF"/>
    <w:rsid w:val="008A621F"/>
    <w:rsid w:val="008B09F0"/>
    <w:rsid w:val="008B2CDA"/>
    <w:rsid w:val="008B5131"/>
    <w:rsid w:val="008C0FF0"/>
    <w:rsid w:val="008C1A50"/>
    <w:rsid w:val="008D06A3"/>
    <w:rsid w:val="008D1B40"/>
    <w:rsid w:val="008D5528"/>
    <w:rsid w:val="008E1640"/>
    <w:rsid w:val="008E5B48"/>
    <w:rsid w:val="008F2D75"/>
    <w:rsid w:val="008F4C8E"/>
    <w:rsid w:val="008F59F1"/>
    <w:rsid w:val="008F6B47"/>
    <w:rsid w:val="008F7854"/>
    <w:rsid w:val="008F79B6"/>
    <w:rsid w:val="009028FC"/>
    <w:rsid w:val="00906777"/>
    <w:rsid w:val="00907E2B"/>
    <w:rsid w:val="00911DBC"/>
    <w:rsid w:val="009152B6"/>
    <w:rsid w:val="00915FB0"/>
    <w:rsid w:val="00917A41"/>
    <w:rsid w:val="0092082D"/>
    <w:rsid w:val="00934174"/>
    <w:rsid w:val="00936D67"/>
    <w:rsid w:val="00940AA8"/>
    <w:rsid w:val="00947586"/>
    <w:rsid w:val="00947CA5"/>
    <w:rsid w:val="00951AC2"/>
    <w:rsid w:val="009546B7"/>
    <w:rsid w:val="00956229"/>
    <w:rsid w:val="009616AD"/>
    <w:rsid w:val="00961913"/>
    <w:rsid w:val="009675DC"/>
    <w:rsid w:val="00972EB2"/>
    <w:rsid w:val="00973F9F"/>
    <w:rsid w:val="00983B9A"/>
    <w:rsid w:val="00986D31"/>
    <w:rsid w:val="009877EE"/>
    <w:rsid w:val="009879BE"/>
    <w:rsid w:val="009919A5"/>
    <w:rsid w:val="009921AC"/>
    <w:rsid w:val="00992655"/>
    <w:rsid w:val="00993CBA"/>
    <w:rsid w:val="00995BCA"/>
    <w:rsid w:val="009A243E"/>
    <w:rsid w:val="009A36A2"/>
    <w:rsid w:val="009A4BC5"/>
    <w:rsid w:val="009A55A0"/>
    <w:rsid w:val="009A7278"/>
    <w:rsid w:val="009B0B23"/>
    <w:rsid w:val="009B65F6"/>
    <w:rsid w:val="009B79A1"/>
    <w:rsid w:val="009C389A"/>
    <w:rsid w:val="009C3EF2"/>
    <w:rsid w:val="009C4024"/>
    <w:rsid w:val="009D015B"/>
    <w:rsid w:val="009D275C"/>
    <w:rsid w:val="009D3211"/>
    <w:rsid w:val="009D49AC"/>
    <w:rsid w:val="009D5FB0"/>
    <w:rsid w:val="009D77FD"/>
    <w:rsid w:val="009D7D3F"/>
    <w:rsid w:val="009E1DBD"/>
    <w:rsid w:val="009E70E6"/>
    <w:rsid w:val="009F1F07"/>
    <w:rsid w:val="009F2675"/>
    <w:rsid w:val="009F2B40"/>
    <w:rsid w:val="009F7172"/>
    <w:rsid w:val="00A00BA6"/>
    <w:rsid w:val="00A0173E"/>
    <w:rsid w:val="00A018CA"/>
    <w:rsid w:val="00A027E0"/>
    <w:rsid w:val="00A029BC"/>
    <w:rsid w:val="00A039B1"/>
    <w:rsid w:val="00A117AC"/>
    <w:rsid w:val="00A174E0"/>
    <w:rsid w:val="00A24B1D"/>
    <w:rsid w:val="00A31A01"/>
    <w:rsid w:val="00A323C6"/>
    <w:rsid w:val="00A447F8"/>
    <w:rsid w:val="00A4729D"/>
    <w:rsid w:val="00A53554"/>
    <w:rsid w:val="00A60BCD"/>
    <w:rsid w:val="00A63815"/>
    <w:rsid w:val="00A64DE5"/>
    <w:rsid w:val="00A70006"/>
    <w:rsid w:val="00A75C3D"/>
    <w:rsid w:val="00A76AE0"/>
    <w:rsid w:val="00A80ABC"/>
    <w:rsid w:val="00A83404"/>
    <w:rsid w:val="00A84D1E"/>
    <w:rsid w:val="00A90F95"/>
    <w:rsid w:val="00A92F61"/>
    <w:rsid w:val="00A97A01"/>
    <w:rsid w:val="00AA2A9F"/>
    <w:rsid w:val="00AA7B51"/>
    <w:rsid w:val="00AB1913"/>
    <w:rsid w:val="00AB35C0"/>
    <w:rsid w:val="00AB4EB4"/>
    <w:rsid w:val="00AB5513"/>
    <w:rsid w:val="00AC16E1"/>
    <w:rsid w:val="00AC2AF2"/>
    <w:rsid w:val="00AC6C65"/>
    <w:rsid w:val="00AC7149"/>
    <w:rsid w:val="00AC7529"/>
    <w:rsid w:val="00AD20F1"/>
    <w:rsid w:val="00AD4242"/>
    <w:rsid w:val="00AD4405"/>
    <w:rsid w:val="00AD456C"/>
    <w:rsid w:val="00AD5D02"/>
    <w:rsid w:val="00AD75FE"/>
    <w:rsid w:val="00AD7E49"/>
    <w:rsid w:val="00AE07FF"/>
    <w:rsid w:val="00AE0FCF"/>
    <w:rsid w:val="00AE1DE6"/>
    <w:rsid w:val="00AE67B8"/>
    <w:rsid w:val="00AE7F7A"/>
    <w:rsid w:val="00AF2EF6"/>
    <w:rsid w:val="00AF663D"/>
    <w:rsid w:val="00AF7160"/>
    <w:rsid w:val="00B00A70"/>
    <w:rsid w:val="00B0413E"/>
    <w:rsid w:val="00B046BB"/>
    <w:rsid w:val="00B04DE9"/>
    <w:rsid w:val="00B1458D"/>
    <w:rsid w:val="00B16FCC"/>
    <w:rsid w:val="00B17B81"/>
    <w:rsid w:val="00B17CBD"/>
    <w:rsid w:val="00B24603"/>
    <w:rsid w:val="00B27F0E"/>
    <w:rsid w:val="00B35154"/>
    <w:rsid w:val="00B36BDB"/>
    <w:rsid w:val="00B55938"/>
    <w:rsid w:val="00B56680"/>
    <w:rsid w:val="00B71B7B"/>
    <w:rsid w:val="00B73136"/>
    <w:rsid w:val="00B73145"/>
    <w:rsid w:val="00B80994"/>
    <w:rsid w:val="00B82281"/>
    <w:rsid w:val="00B84AE7"/>
    <w:rsid w:val="00B84D7E"/>
    <w:rsid w:val="00B92D3E"/>
    <w:rsid w:val="00B93586"/>
    <w:rsid w:val="00B935F8"/>
    <w:rsid w:val="00B9443B"/>
    <w:rsid w:val="00B9754A"/>
    <w:rsid w:val="00BA5493"/>
    <w:rsid w:val="00BA734D"/>
    <w:rsid w:val="00BB156D"/>
    <w:rsid w:val="00BB2A83"/>
    <w:rsid w:val="00BB3B51"/>
    <w:rsid w:val="00BB6DF2"/>
    <w:rsid w:val="00BC0F26"/>
    <w:rsid w:val="00BC20AA"/>
    <w:rsid w:val="00BC32DD"/>
    <w:rsid w:val="00BC6298"/>
    <w:rsid w:val="00BD1591"/>
    <w:rsid w:val="00BD446A"/>
    <w:rsid w:val="00BD5081"/>
    <w:rsid w:val="00BD51F0"/>
    <w:rsid w:val="00BD57E4"/>
    <w:rsid w:val="00BE29DD"/>
    <w:rsid w:val="00BE7D6F"/>
    <w:rsid w:val="00BF62C5"/>
    <w:rsid w:val="00C018AF"/>
    <w:rsid w:val="00C040B0"/>
    <w:rsid w:val="00C04C7D"/>
    <w:rsid w:val="00C04D95"/>
    <w:rsid w:val="00C05D0C"/>
    <w:rsid w:val="00C06440"/>
    <w:rsid w:val="00C1115E"/>
    <w:rsid w:val="00C1538E"/>
    <w:rsid w:val="00C17574"/>
    <w:rsid w:val="00C20179"/>
    <w:rsid w:val="00C20495"/>
    <w:rsid w:val="00C210B9"/>
    <w:rsid w:val="00C21458"/>
    <w:rsid w:val="00C255C8"/>
    <w:rsid w:val="00C27844"/>
    <w:rsid w:val="00C326E2"/>
    <w:rsid w:val="00C328EF"/>
    <w:rsid w:val="00C33CFF"/>
    <w:rsid w:val="00C341AD"/>
    <w:rsid w:val="00C3588A"/>
    <w:rsid w:val="00C36A2B"/>
    <w:rsid w:val="00C409CC"/>
    <w:rsid w:val="00C4245E"/>
    <w:rsid w:val="00C4249D"/>
    <w:rsid w:val="00C515D8"/>
    <w:rsid w:val="00C56F38"/>
    <w:rsid w:val="00C63F21"/>
    <w:rsid w:val="00C643FA"/>
    <w:rsid w:val="00C64B79"/>
    <w:rsid w:val="00C71C9A"/>
    <w:rsid w:val="00C75352"/>
    <w:rsid w:val="00C7556B"/>
    <w:rsid w:val="00C75B25"/>
    <w:rsid w:val="00C77307"/>
    <w:rsid w:val="00C82F88"/>
    <w:rsid w:val="00C838F7"/>
    <w:rsid w:val="00C90524"/>
    <w:rsid w:val="00C937BE"/>
    <w:rsid w:val="00C95E9B"/>
    <w:rsid w:val="00CA14F1"/>
    <w:rsid w:val="00CA4640"/>
    <w:rsid w:val="00CA5A18"/>
    <w:rsid w:val="00CA794D"/>
    <w:rsid w:val="00CB3C62"/>
    <w:rsid w:val="00CB40BB"/>
    <w:rsid w:val="00CB57D5"/>
    <w:rsid w:val="00CB62E5"/>
    <w:rsid w:val="00CC256D"/>
    <w:rsid w:val="00CD1208"/>
    <w:rsid w:val="00CE2D3A"/>
    <w:rsid w:val="00CE3574"/>
    <w:rsid w:val="00CE6E08"/>
    <w:rsid w:val="00CE7DC3"/>
    <w:rsid w:val="00CF04A0"/>
    <w:rsid w:val="00CF18F6"/>
    <w:rsid w:val="00CF3752"/>
    <w:rsid w:val="00D0106F"/>
    <w:rsid w:val="00D038BB"/>
    <w:rsid w:val="00D0528C"/>
    <w:rsid w:val="00D05F47"/>
    <w:rsid w:val="00D06FA8"/>
    <w:rsid w:val="00D07BA6"/>
    <w:rsid w:val="00D11E78"/>
    <w:rsid w:val="00D200FF"/>
    <w:rsid w:val="00D25FEF"/>
    <w:rsid w:val="00D31A25"/>
    <w:rsid w:val="00D33E02"/>
    <w:rsid w:val="00D35B52"/>
    <w:rsid w:val="00D43022"/>
    <w:rsid w:val="00D56A9E"/>
    <w:rsid w:val="00D610DF"/>
    <w:rsid w:val="00D62CAA"/>
    <w:rsid w:val="00D661BE"/>
    <w:rsid w:val="00D70915"/>
    <w:rsid w:val="00D70B34"/>
    <w:rsid w:val="00D7254D"/>
    <w:rsid w:val="00D746FF"/>
    <w:rsid w:val="00D76517"/>
    <w:rsid w:val="00D82116"/>
    <w:rsid w:val="00D83B81"/>
    <w:rsid w:val="00D861F3"/>
    <w:rsid w:val="00D87211"/>
    <w:rsid w:val="00D87C41"/>
    <w:rsid w:val="00D90F30"/>
    <w:rsid w:val="00D9700E"/>
    <w:rsid w:val="00DA0EA7"/>
    <w:rsid w:val="00DA2FC3"/>
    <w:rsid w:val="00DA7174"/>
    <w:rsid w:val="00DA7400"/>
    <w:rsid w:val="00DB4FEF"/>
    <w:rsid w:val="00DB7017"/>
    <w:rsid w:val="00DC0A1D"/>
    <w:rsid w:val="00DC0A84"/>
    <w:rsid w:val="00DC0FDA"/>
    <w:rsid w:val="00DC21C3"/>
    <w:rsid w:val="00DC24DA"/>
    <w:rsid w:val="00DC4118"/>
    <w:rsid w:val="00DC696A"/>
    <w:rsid w:val="00DC6976"/>
    <w:rsid w:val="00DC7C1D"/>
    <w:rsid w:val="00DD164F"/>
    <w:rsid w:val="00DD3276"/>
    <w:rsid w:val="00DD40C1"/>
    <w:rsid w:val="00DD580F"/>
    <w:rsid w:val="00DE1311"/>
    <w:rsid w:val="00DE2FD0"/>
    <w:rsid w:val="00DE7EEE"/>
    <w:rsid w:val="00DF3933"/>
    <w:rsid w:val="00DF7118"/>
    <w:rsid w:val="00E011CC"/>
    <w:rsid w:val="00E01A9D"/>
    <w:rsid w:val="00E01D2C"/>
    <w:rsid w:val="00E13843"/>
    <w:rsid w:val="00E13BAD"/>
    <w:rsid w:val="00E201A9"/>
    <w:rsid w:val="00E20BDF"/>
    <w:rsid w:val="00E25855"/>
    <w:rsid w:val="00E33B65"/>
    <w:rsid w:val="00E42A31"/>
    <w:rsid w:val="00E4601A"/>
    <w:rsid w:val="00E461D1"/>
    <w:rsid w:val="00E53743"/>
    <w:rsid w:val="00E6126D"/>
    <w:rsid w:val="00E620BC"/>
    <w:rsid w:val="00E63E22"/>
    <w:rsid w:val="00E64795"/>
    <w:rsid w:val="00E7181E"/>
    <w:rsid w:val="00E73658"/>
    <w:rsid w:val="00E75650"/>
    <w:rsid w:val="00E8219F"/>
    <w:rsid w:val="00E83E80"/>
    <w:rsid w:val="00E840ED"/>
    <w:rsid w:val="00E9090A"/>
    <w:rsid w:val="00E94849"/>
    <w:rsid w:val="00E94B05"/>
    <w:rsid w:val="00EA5980"/>
    <w:rsid w:val="00EA70FC"/>
    <w:rsid w:val="00EC52D3"/>
    <w:rsid w:val="00EC555F"/>
    <w:rsid w:val="00EC565F"/>
    <w:rsid w:val="00ED2712"/>
    <w:rsid w:val="00ED4B25"/>
    <w:rsid w:val="00EE3F13"/>
    <w:rsid w:val="00EF7FF3"/>
    <w:rsid w:val="00F00903"/>
    <w:rsid w:val="00F02B7C"/>
    <w:rsid w:val="00F06787"/>
    <w:rsid w:val="00F071E2"/>
    <w:rsid w:val="00F111B4"/>
    <w:rsid w:val="00F21872"/>
    <w:rsid w:val="00F21B28"/>
    <w:rsid w:val="00F24972"/>
    <w:rsid w:val="00F3186B"/>
    <w:rsid w:val="00F3546E"/>
    <w:rsid w:val="00F464EC"/>
    <w:rsid w:val="00F475D5"/>
    <w:rsid w:val="00F547E6"/>
    <w:rsid w:val="00F5513A"/>
    <w:rsid w:val="00F5729D"/>
    <w:rsid w:val="00F6541C"/>
    <w:rsid w:val="00F804E6"/>
    <w:rsid w:val="00F87388"/>
    <w:rsid w:val="00F90A96"/>
    <w:rsid w:val="00F9290C"/>
    <w:rsid w:val="00F93ED6"/>
    <w:rsid w:val="00F940D3"/>
    <w:rsid w:val="00F952EA"/>
    <w:rsid w:val="00F96EB8"/>
    <w:rsid w:val="00F97237"/>
    <w:rsid w:val="00F9797C"/>
    <w:rsid w:val="00FA6BA3"/>
    <w:rsid w:val="00FB1D27"/>
    <w:rsid w:val="00FB55C3"/>
    <w:rsid w:val="00FB7D31"/>
    <w:rsid w:val="00FC14C4"/>
    <w:rsid w:val="00FC26FE"/>
    <w:rsid w:val="00FD07C7"/>
    <w:rsid w:val="00FD6120"/>
    <w:rsid w:val="00FE02CA"/>
    <w:rsid w:val="00FE07D0"/>
    <w:rsid w:val="00FE4A30"/>
    <w:rsid w:val="00FF38CB"/>
    <w:rsid w:val="00FF68C4"/>
    <w:rsid w:val="0126160D"/>
    <w:rsid w:val="012670EA"/>
    <w:rsid w:val="012832B8"/>
    <w:rsid w:val="013069D7"/>
    <w:rsid w:val="01317F69"/>
    <w:rsid w:val="013446F4"/>
    <w:rsid w:val="014313AE"/>
    <w:rsid w:val="015408C4"/>
    <w:rsid w:val="01610B3B"/>
    <w:rsid w:val="016452B2"/>
    <w:rsid w:val="016814B1"/>
    <w:rsid w:val="016B3DD5"/>
    <w:rsid w:val="017052C2"/>
    <w:rsid w:val="017135F1"/>
    <w:rsid w:val="01746AF4"/>
    <w:rsid w:val="01822573"/>
    <w:rsid w:val="01826A17"/>
    <w:rsid w:val="018A58CB"/>
    <w:rsid w:val="018F6A3E"/>
    <w:rsid w:val="01904D86"/>
    <w:rsid w:val="019404F8"/>
    <w:rsid w:val="0194077A"/>
    <w:rsid w:val="019D000F"/>
    <w:rsid w:val="019E4ED3"/>
    <w:rsid w:val="01AA53CD"/>
    <w:rsid w:val="01AB6ADB"/>
    <w:rsid w:val="01BC135D"/>
    <w:rsid w:val="01C32C71"/>
    <w:rsid w:val="01C42B8B"/>
    <w:rsid w:val="01C73ACA"/>
    <w:rsid w:val="01D37272"/>
    <w:rsid w:val="01DB7ED5"/>
    <w:rsid w:val="01ED3EF0"/>
    <w:rsid w:val="01F13B36"/>
    <w:rsid w:val="01F64D0F"/>
    <w:rsid w:val="01FF52EE"/>
    <w:rsid w:val="01FF7A19"/>
    <w:rsid w:val="02001E74"/>
    <w:rsid w:val="020049D1"/>
    <w:rsid w:val="020E364B"/>
    <w:rsid w:val="020E3E06"/>
    <w:rsid w:val="02113575"/>
    <w:rsid w:val="02154165"/>
    <w:rsid w:val="02184CEB"/>
    <w:rsid w:val="02235A2E"/>
    <w:rsid w:val="022E51A4"/>
    <w:rsid w:val="023437E1"/>
    <w:rsid w:val="025F1977"/>
    <w:rsid w:val="02641C78"/>
    <w:rsid w:val="02691984"/>
    <w:rsid w:val="0269209B"/>
    <w:rsid w:val="026E6DDD"/>
    <w:rsid w:val="02786E8A"/>
    <w:rsid w:val="027A5940"/>
    <w:rsid w:val="028474EF"/>
    <w:rsid w:val="028F5590"/>
    <w:rsid w:val="02975B92"/>
    <w:rsid w:val="029E162E"/>
    <w:rsid w:val="02A4476B"/>
    <w:rsid w:val="02BC7D06"/>
    <w:rsid w:val="02CE3403"/>
    <w:rsid w:val="02D337EB"/>
    <w:rsid w:val="02D446A4"/>
    <w:rsid w:val="02DD6033"/>
    <w:rsid w:val="02DE0E3A"/>
    <w:rsid w:val="02F82CD6"/>
    <w:rsid w:val="02FE031F"/>
    <w:rsid w:val="03011BBD"/>
    <w:rsid w:val="03043B39"/>
    <w:rsid w:val="0317649A"/>
    <w:rsid w:val="03190CB5"/>
    <w:rsid w:val="03196F07"/>
    <w:rsid w:val="031C4785"/>
    <w:rsid w:val="03250C7E"/>
    <w:rsid w:val="03323B24"/>
    <w:rsid w:val="033B5897"/>
    <w:rsid w:val="033E1B9D"/>
    <w:rsid w:val="034117AD"/>
    <w:rsid w:val="0348194C"/>
    <w:rsid w:val="034E577F"/>
    <w:rsid w:val="035246AA"/>
    <w:rsid w:val="0362415B"/>
    <w:rsid w:val="03675EC4"/>
    <w:rsid w:val="03684183"/>
    <w:rsid w:val="036D1F86"/>
    <w:rsid w:val="037B196F"/>
    <w:rsid w:val="037D56E7"/>
    <w:rsid w:val="03885E3A"/>
    <w:rsid w:val="038E4617"/>
    <w:rsid w:val="039B5B6E"/>
    <w:rsid w:val="039C2B14"/>
    <w:rsid w:val="03A7568E"/>
    <w:rsid w:val="03AA5DB1"/>
    <w:rsid w:val="03B409DD"/>
    <w:rsid w:val="03B92498"/>
    <w:rsid w:val="03BB6210"/>
    <w:rsid w:val="03C86460"/>
    <w:rsid w:val="03CA1C18"/>
    <w:rsid w:val="03E2021C"/>
    <w:rsid w:val="03E84CF0"/>
    <w:rsid w:val="03E870E6"/>
    <w:rsid w:val="03EE33CD"/>
    <w:rsid w:val="03F1578E"/>
    <w:rsid w:val="03F96952"/>
    <w:rsid w:val="04117BA0"/>
    <w:rsid w:val="041B0A5C"/>
    <w:rsid w:val="042913CB"/>
    <w:rsid w:val="04351B1E"/>
    <w:rsid w:val="04483B5B"/>
    <w:rsid w:val="044E20D7"/>
    <w:rsid w:val="04504BAA"/>
    <w:rsid w:val="04567CE7"/>
    <w:rsid w:val="04596DF2"/>
    <w:rsid w:val="045D1075"/>
    <w:rsid w:val="04641412"/>
    <w:rsid w:val="046F0E1D"/>
    <w:rsid w:val="04702B56"/>
    <w:rsid w:val="047D5273"/>
    <w:rsid w:val="04891E6A"/>
    <w:rsid w:val="0490144A"/>
    <w:rsid w:val="0491083B"/>
    <w:rsid w:val="0492353C"/>
    <w:rsid w:val="049A7BD3"/>
    <w:rsid w:val="04AC5B58"/>
    <w:rsid w:val="04BA6AFF"/>
    <w:rsid w:val="04BD7D66"/>
    <w:rsid w:val="04BF379F"/>
    <w:rsid w:val="04C84E35"/>
    <w:rsid w:val="04E06AFA"/>
    <w:rsid w:val="04E15802"/>
    <w:rsid w:val="04E25EC3"/>
    <w:rsid w:val="04E43544"/>
    <w:rsid w:val="04E6106A"/>
    <w:rsid w:val="04E82F1A"/>
    <w:rsid w:val="04EB0364"/>
    <w:rsid w:val="04F320B8"/>
    <w:rsid w:val="04F449E4"/>
    <w:rsid w:val="050628C9"/>
    <w:rsid w:val="05080D95"/>
    <w:rsid w:val="05293157"/>
    <w:rsid w:val="05300538"/>
    <w:rsid w:val="05333677"/>
    <w:rsid w:val="05434666"/>
    <w:rsid w:val="05524952"/>
    <w:rsid w:val="055A5ACD"/>
    <w:rsid w:val="05620087"/>
    <w:rsid w:val="05670F53"/>
    <w:rsid w:val="058368B9"/>
    <w:rsid w:val="05856E1F"/>
    <w:rsid w:val="058A70EA"/>
    <w:rsid w:val="058D598A"/>
    <w:rsid w:val="05A76A4C"/>
    <w:rsid w:val="05BC001D"/>
    <w:rsid w:val="05C50AD2"/>
    <w:rsid w:val="05D23852"/>
    <w:rsid w:val="05D435B9"/>
    <w:rsid w:val="05ED1D5C"/>
    <w:rsid w:val="05F11221"/>
    <w:rsid w:val="05FE4192"/>
    <w:rsid w:val="06021ED4"/>
    <w:rsid w:val="06061473"/>
    <w:rsid w:val="060A0D89"/>
    <w:rsid w:val="060C6088"/>
    <w:rsid w:val="060F45F1"/>
    <w:rsid w:val="06154647"/>
    <w:rsid w:val="061D0ABC"/>
    <w:rsid w:val="061D0E3B"/>
    <w:rsid w:val="061D286A"/>
    <w:rsid w:val="062E2CC9"/>
    <w:rsid w:val="063B3638"/>
    <w:rsid w:val="063B7194"/>
    <w:rsid w:val="064202F5"/>
    <w:rsid w:val="06451DC1"/>
    <w:rsid w:val="065A158C"/>
    <w:rsid w:val="065A6526"/>
    <w:rsid w:val="065C5002"/>
    <w:rsid w:val="06640E4B"/>
    <w:rsid w:val="066606B5"/>
    <w:rsid w:val="066940D3"/>
    <w:rsid w:val="066E57BB"/>
    <w:rsid w:val="06714112"/>
    <w:rsid w:val="0671705A"/>
    <w:rsid w:val="067508F8"/>
    <w:rsid w:val="06840B3B"/>
    <w:rsid w:val="069114AA"/>
    <w:rsid w:val="06915006"/>
    <w:rsid w:val="0696261C"/>
    <w:rsid w:val="069C40D7"/>
    <w:rsid w:val="069F3BC7"/>
    <w:rsid w:val="06A71CD2"/>
    <w:rsid w:val="06A739CD"/>
    <w:rsid w:val="06AE7966"/>
    <w:rsid w:val="06B34F7C"/>
    <w:rsid w:val="06C401CD"/>
    <w:rsid w:val="06C62F02"/>
    <w:rsid w:val="06D17BA0"/>
    <w:rsid w:val="06E94E42"/>
    <w:rsid w:val="06F021D3"/>
    <w:rsid w:val="06F061D0"/>
    <w:rsid w:val="06F16A2F"/>
    <w:rsid w:val="06F81E90"/>
    <w:rsid w:val="06FE6B3F"/>
    <w:rsid w:val="070B6B66"/>
    <w:rsid w:val="071340E5"/>
    <w:rsid w:val="07142111"/>
    <w:rsid w:val="071714BF"/>
    <w:rsid w:val="071A149F"/>
    <w:rsid w:val="07273BEE"/>
    <w:rsid w:val="0749353D"/>
    <w:rsid w:val="074B1659"/>
    <w:rsid w:val="075260F8"/>
    <w:rsid w:val="07667FF2"/>
    <w:rsid w:val="07715013"/>
    <w:rsid w:val="077422B9"/>
    <w:rsid w:val="07812C00"/>
    <w:rsid w:val="078A2F3D"/>
    <w:rsid w:val="07994DE3"/>
    <w:rsid w:val="079B10BB"/>
    <w:rsid w:val="079E66B3"/>
    <w:rsid w:val="07A33756"/>
    <w:rsid w:val="07A35568"/>
    <w:rsid w:val="07A80859"/>
    <w:rsid w:val="07AD40C1"/>
    <w:rsid w:val="07C733D5"/>
    <w:rsid w:val="07C75183"/>
    <w:rsid w:val="07CC1CD6"/>
    <w:rsid w:val="07CD206E"/>
    <w:rsid w:val="07CF4038"/>
    <w:rsid w:val="07D30633"/>
    <w:rsid w:val="07D3079C"/>
    <w:rsid w:val="07D636F0"/>
    <w:rsid w:val="07E07FF3"/>
    <w:rsid w:val="07E43B00"/>
    <w:rsid w:val="07F817E1"/>
    <w:rsid w:val="07F92E63"/>
    <w:rsid w:val="08002443"/>
    <w:rsid w:val="0805235B"/>
    <w:rsid w:val="080A32C2"/>
    <w:rsid w:val="080C703A"/>
    <w:rsid w:val="08147733"/>
    <w:rsid w:val="081C23EE"/>
    <w:rsid w:val="08234384"/>
    <w:rsid w:val="08393045"/>
    <w:rsid w:val="083F09B5"/>
    <w:rsid w:val="08493DEA"/>
    <w:rsid w:val="084C38DA"/>
    <w:rsid w:val="084D5CD3"/>
    <w:rsid w:val="08716E9D"/>
    <w:rsid w:val="087A0447"/>
    <w:rsid w:val="08805332"/>
    <w:rsid w:val="08874912"/>
    <w:rsid w:val="088A4403"/>
    <w:rsid w:val="08B125BC"/>
    <w:rsid w:val="08B40721"/>
    <w:rsid w:val="08BB636A"/>
    <w:rsid w:val="08D631A4"/>
    <w:rsid w:val="08DE2A88"/>
    <w:rsid w:val="08F85810"/>
    <w:rsid w:val="09093579"/>
    <w:rsid w:val="090B5066"/>
    <w:rsid w:val="090B72F2"/>
    <w:rsid w:val="090D12BC"/>
    <w:rsid w:val="09153CCC"/>
    <w:rsid w:val="09307304"/>
    <w:rsid w:val="09377994"/>
    <w:rsid w:val="094822F4"/>
    <w:rsid w:val="0953783B"/>
    <w:rsid w:val="09594501"/>
    <w:rsid w:val="097251C2"/>
    <w:rsid w:val="09930A31"/>
    <w:rsid w:val="09986940"/>
    <w:rsid w:val="099F0C6A"/>
    <w:rsid w:val="09A17C56"/>
    <w:rsid w:val="09A339CE"/>
    <w:rsid w:val="09A514F4"/>
    <w:rsid w:val="09C851E3"/>
    <w:rsid w:val="09C92B54"/>
    <w:rsid w:val="09D47BA6"/>
    <w:rsid w:val="09D7553E"/>
    <w:rsid w:val="09DB4F16"/>
    <w:rsid w:val="09DE7E5F"/>
    <w:rsid w:val="09E51014"/>
    <w:rsid w:val="09E576CD"/>
    <w:rsid w:val="09F7314F"/>
    <w:rsid w:val="0A0152A5"/>
    <w:rsid w:val="0A062645"/>
    <w:rsid w:val="0A08200A"/>
    <w:rsid w:val="0A0D21C8"/>
    <w:rsid w:val="0A2D5AFE"/>
    <w:rsid w:val="0A300FF7"/>
    <w:rsid w:val="0A32253E"/>
    <w:rsid w:val="0A331CD3"/>
    <w:rsid w:val="0A363C5F"/>
    <w:rsid w:val="0A366037"/>
    <w:rsid w:val="0A375EC4"/>
    <w:rsid w:val="0A3F30FE"/>
    <w:rsid w:val="0A404350"/>
    <w:rsid w:val="0A4A3E4A"/>
    <w:rsid w:val="0A4C1970"/>
    <w:rsid w:val="0A4C69F3"/>
    <w:rsid w:val="0A4F320E"/>
    <w:rsid w:val="0A540824"/>
    <w:rsid w:val="0A5627EE"/>
    <w:rsid w:val="0A59189E"/>
    <w:rsid w:val="0A5B6057"/>
    <w:rsid w:val="0A5F5B47"/>
    <w:rsid w:val="0A682129"/>
    <w:rsid w:val="0A73514E"/>
    <w:rsid w:val="0A7D1B01"/>
    <w:rsid w:val="0A8455AD"/>
    <w:rsid w:val="0A943317"/>
    <w:rsid w:val="0A9434AF"/>
    <w:rsid w:val="0A954462"/>
    <w:rsid w:val="0A9B3D6C"/>
    <w:rsid w:val="0A9B46A5"/>
    <w:rsid w:val="0A9F23E7"/>
    <w:rsid w:val="0AA02337"/>
    <w:rsid w:val="0AA74DF8"/>
    <w:rsid w:val="0AAC240E"/>
    <w:rsid w:val="0AAC2EC8"/>
    <w:rsid w:val="0AB614DF"/>
    <w:rsid w:val="0ABA2D7D"/>
    <w:rsid w:val="0ABD286D"/>
    <w:rsid w:val="0ADB0F46"/>
    <w:rsid w:val="0AE07925"/>
    <w:rsid w:val="0AE82236"/>
    <w:rsid w:val="0AFF2E86"/>
    <w:rsid w:val="0B011A92"/>
    <w:rsid w:val="0B131714"/>
    <w:rsid w:val="0B14103B"/>
    <w:rsid w:val="0B1F4F18"/>
    <w:rsid w:val="0B220922"/>
    <w:rsid w:val="0B250AB1"/>
    <w:rsid w:val="0B2529AE"/>
    <w:rsid w:val="0B2B5450"/>
    <w:rsid w:val="0B40157D"/>
    <w:rsid w:val="0B5331D2"/>
    <w:rsid w:val="0B603655"/>
    <w:rsid w:val="0B704644"/>
    <w:rsid w:val="0B725406"/>
    <w:rsid w:val="0B745622"/>
    <w:rsid w:val="0B8415DD"/>
    <w:rsid w:val="0B8654C7"/>
    <w:rsid w:val="0B8C1D17"/>
    <w:rsid w:val="0B9B77C4"/>
    <w:rsid w:val="0B9C2483"/>
    <w:rsid w:val="0B9E3D33"/>
    <w:rsid w:val="0BA6276D"/>
    <w:rsid w:val="0BAB4DBC"/>
    <w:rsid w:val="0BAB6B6A"/>
    <w:rsid w:val="0BAE6640"/>
    <w:rsid w:val="0BBA0474"/>
    <w:rsid w:val="0BC97B63"/>
    <w:rsid w:val="0BDE0CED"/>
    <w:rsid w:val="0BF027CF"/>
    <w:rsid w:val="0C00164A"/>
    <w:rsid w:val="0C065210"/>
    <w:rsid w:val="0C085D6A"/>
    <w:rsid w:val="0C09291D"/>
    <w:rsid w:val="0C0C6370"/>
    <w:rsid w:val="0C1110C3"/>
    <w:rsid w:val="0C123C69"/>
    <w:rsid w:val="0C1623FF"/>
    <w:rsid w:val="0C1C35C4"/>
    <w:rsid w:val="0C200DB1"/>
    <w:rsid w:val="0C3E353A"/>
    <w:rsid w:val="0C4E342F"/>
    <w:rsid w:val="0C6A2581"/>
    <w:rsid w:val="0C6A5F0E"/>
    <w:rsid w:val="0C782EF0"/>
    <w:rsid w:val="0C796535"/>
    <w:rsid w:val="0C7A3F96"/>
    <w:rsid w:val="0C803B53"/>
    <w:rsid w:val="0C851251"/>
    <w:rsid w:val="0C8E44C1"/>
    <w:rsid w:val="0C917B0E"/>
    <w:rsid w:val="0C9256FE"/>
    <w:rsid w:val="0C9A2BB7"/>
    <w:rsid w:val="0C9F2153"/>
    <w:rsid w:val="0CA21D1B"/>
    <w:rsid w:val="0CAD438F"/>
    <w:rsid w:val="0CAF61E6"/>
    <w:rsid w:val="0CBC3C5C"/>
    <w:rsid w:val="0CBE5160"/>
    <w:rsid w:val="0CC4146D"/>
    <w:rsid w:val="0CC937A8"/>
    <w:rsid w:val="0CCD48BE"/>
    <w:rsid w:val="0CE149E6"/>
    <w:rsid w:val="0CE210A9"/>
    <w:rsid w:val="0CE52E0B"/>
    <w:rsid w:val="0CF12CA2"/>
    <w:rsid w:val="0CF52A40"/>
    <w:rsid w:val="0CF74AF8"/>
    <w:rsid w:val="0CFC317C"/>
    <w:rsid w:val="0CFF5D13"/>
    <w:rsid w:val="0D074274"/>
    <w:rsid w:val="0D1878DF"/>
    <w:rsid w:val="0D1F511A"/>
    <w:rsid w:val="0D2A073E"/>
    <w:rsid w:val="0D3037CB"/>
    <w:rsid w:val="0D31309F"/>
    <w:rsid w:val="0D3161A1"/>
    <w:rsid w:val="0D3E6AD9"/>
    <w:rsid w:val="0D4728C2"/>
    <w:rsid w:val="0D4E3C51"/>
    <w:rsid w:val="0D561DE6"/>
    <w:rsid w:val="0D5648B3"/>
    <w:rsid w:val="0D611BD6"/>
    <w:rsid w:val="0D686865"/>
    <w:rsid w:val="0D6C2329"/>
    <w:rsid w:val="0D7938A7"/>
    <w:rsid w:val="0D817B82"/>
    <w:rsid w:val="0D823E5A"/>
    <w:rsid w:val="0D844D06"/>
    <w:rsid w:val="0D896A37"/>
    <w:rsid w:val="0D8D29CB"/>
    <w:rsid w:val="0D912EF2"/>
    <w:rsid w:val="0D913B3D"/>
    <w:rsid w:val="0D972117"/>
    <w:rsid w:val="0DA27AF9"/>
    <w:rsid w:val="0DA815B3"/>
    <w:rsid w:val="0DA959C8"/>
    <w:rsid w:val="0DC47148"/>
    <w:rsid w:val="0DCD726B"/>
    <w:rsid w:val="0DDE162F"/>
    <w:rsid w:val="0DDF0D4D"/>
    <w:rsid w:val="0DE46840"/>
    <w:rsid w:val="0DE63E89"/>
    <w:rsid w:val="0DE8179F"/>
    <w:rsid w:val="0DEA1441"/>
    <w:rsid w:val="0DFA67E4"/>
    <w:rsid w:val="0DFC18FF"/>
    <w:rsid w:val="0DFF4F4B"/>
    <w:rsid w:val="0E2B6B85"/>
    <w:rsid w:val="0E333648"/>
    <w:rsid w:val="0E3F7CFE"/>
    <w:rsid w:val="0E4312DC"/>
    <w:rsid w:val="0E452579"/>
    <w:rsid w:val="0E462181"/>
    <w:rsid w:val="0E4D2AE1"/>
    <w:rsid w:val="0E4D5CB6"/>
    <w:rsid w:val="0E527771"/>
    <w:rsid w:val="0E5C5A3F"/>
    <w:rsid w:val="0E645331"/>
    <w:rsid w:val="0E794CFD"/>
    <w:rsid w:val="0E7A1980"/>
    <w:rsid w:val="0E7B0A75"/>
    <w:rsid w:val="0E7D0D45"/>
    <w:rsid w:val="0E8004E8"/>
    <w:rsid w:val="0E80692A"/>
    <w:rsid w:val="0E8964A1"/>
    <w:rsid w:val="0E9D6C3E"/>
    <w:rsid w:val="0EA66439"/>
    <w:rsid w:val="0EA779B9"/>
    <w:rsid w:val="0EAC6E81"/>
    <w:rsid w:val="0EB905A1"/>
    <w:rsid w:val="0EC3241C"/>
    <w:rsid w:val="0ED308B1"/>
    <w:rsid w:val="0ED603D7"/>
    <w:rsid w:val="0EDD4568"/>
    <w:rsid w:val="0EE51271"/>
    <w:rsid w:val="0F056591"/>
    <w:rsid w:val="0F263D0E"/>
    <w:rsid w:val="0F304B10"/>
    <w:rsid w:val="0F3A3F41"/>
    <w:rsid w:val="0F3D1448"/>
    <w:rsid w:val="0F3D5D2B"/>
    <w:rsid w:val="0F3F5F47"/>
    <w:rsid w:val="0F4672D5"/>
    <w:rsid w:val="0F476BAA"/>
    <w:rsid w:val="0F4B48EC"/>
    <w:rsid w:val="0F517A28"/>
    <w:rsid w:val="0F560FA0"/>
    <w:rsid w:val="0F5F3EF3"/>
    <w:rsid w:val="0F632412"/>
    <w:rsid w:val="0F67724C"/>
    <w:rsid w:val="0F6C6610"/>
    <w:rsid w:val="0F735BF1"/>
    <w:rsid w:val="0F781D8C"/>
    <w:rsid w:val="0F806638"/>
    <w:rsid w:val="0F853473"/>
    <w:rsid w:val="0F8B2F3A"/>
    <w:rsid w:val="0FA77450"/>
    <w:rsid w:val="0FA91612"/>
    <w:rsid w:val="0FAF605E"/>
    <w:rsid w:val="0FB0474F"/>
    <w:rsid w:val="0FB10A42"/>
    <w:rsid w:val="0FB35FED"/>
    <w:rsid w:val="0FB75117"/>
    <w:rsid w:val="0FC046F5"/>
    <w:rsid w:val="0FD82A0E"/>
    <w:rsid w:val="0FDA3DE2"/>
    <w:rsid w:val="0FDD312A"/>
    <w:rsid w:val="0FE12B5A"/>
    <w:rsid w:val="0FF26B15"/>
    <w:rsid w:val="10036F74"/>
    <w:rsid w:val="10070AEF"/>
    <w:rsid w:val="100B7BD7"/>
    <w:rsid w:val="10156F27"/>
    <w:rsid w:val="1018371F"/>
    <w:rsid w:val="101C3B92"/>
    <w:rsid w:val="102E161F"/>
    <w:rsid w:val="10375178"/>
    <w:rsid w:val="103757C1"/>
    <w:rsid w:val="10397FDF"/>
    <w:rsid w:val="103A0D5A"/>
    <w:rsid w:val="103C6BCB"/>
    <w:rsid w:val="10437371"/>
    <w:rsid w:val="10490802"/>
    <w:rsid w:val="104F21BA"/>
    <w:rsid w:val="10523A58"/>
    <w:rsid w:val="105552F6"/>
    <w:rsid w:val="105662AA"/>
    <w:rsid w:val="105918E0"/>
    <w:rsid w:val="105A2661"/>
    <w:rsid w:val="105F64B6"/>
    <w:rsid w:val="106674AD"/>
    <w:rsid w:val="107E65FB"/>
    <w:rsid w:val="1099179B"/>
    <w:rsid w:val="109E7AB4"/>
    <w:rsid w:val="10A77AD5"/>
    <w:rsid w:val="10B4201D"/>
    <w:rsid w:val="10B75E3C"/>
    <w:rsid w:val="10C04E65"/>
    <w:rsid w:val="10C761F4"/>
    <w:rsid w:val="10DD5A17"/>
    <w:rsid w:val="10E30C50"/>
    <w:rsid w:val="10E5667A"/>
    <w:rsid w:val="10FA3CB4"/>
    <w:rsid w:val="10FB40F0"/>
    <w:rsid w:val="10FC0367"/>
    <w:rsid w:val="1109680C"/>
    <w:rsid w:val="110D797F"/>
    <w:rsid w:val="110E5BD1"/>
    <w:rsid w:val="1111746F"/>
    <w:rsid w:val="11162CD7"/>
    <w:rsid w:val="111E52AA"/>
    <w:rsid w:val="112A4C76"/>
    <w:rsid w:val="11383E86"/>
    <w:rsid w:val="113B0990"/>
    <w:rsid w:val="11586EE7"/>
    <w:rsid w:val="115964CE"/>
    <w:rsid w:val="115B2212"/>
    <w:rsid w:val="11666131"/>
    <w:rsid w:val="11667325"/>
    <w:rsid w:val="118E286E"/>
    <w:rsid w:val="11A27059"/>
    <w:rsid w:val="11A71B81"/>
    <w:rsid w:val="11B42EEF"/>
    <w:rsid w:val="11BB73DB"/>
    <w:rsid w:val="11CF7E86"/>
    <w:rsid w:val="11DA5AB3"/>
    <w:rsid w:val="11DF756D"/>
    <w:rsid w:val="11EB4770"/>
    <w:rsid w:val="11F823DD"/>
    <w:rsid w:val="12040D82"/>
    <w:rsid w:val="120943FB"/>
    <w:rsid w:val="12170A79"/>
    <w:rsid w:val="121B188D"/>
    <w:rsid w:val="121BDD0B"/>
    <w:rsid w:val="122049AD"/>
    <w:rsid w:val="122B27B2"/>
    <w:rsid w:val="122D652B"/>
    <w:rsid w:val="122E5DFF"/>
    <w:rsid w:val="123C01CE"/>
    <w:rsid w:val="12435D4E"/>
    <w:rsid w:val="12484A18"/>
    <w:rsid w:val="124A7C89"/>
    <w:rsid w:val="12802435"/>
    <w:rsid w:val="128D40E6"/>
    <w:rsid w:val="12937695"/>
    <w:rsid w:val="12A10CC7"/>
    <w:rsid w:val="12C64289"/>
    <w:rsid w:val="12C81DAF"/>
    <w:rsid w:val="12D77FB3"/>
    <w:rsid w:val="12E070F9"/>
    <w:rsid w:val="12E806A4"/>
    <w:rsid w:val="12E852DF"/>
    <w:rsid w:val="12EA66DC"/>
    <w:rsid w:val="12F6524A"/>
    <w:rsid w:val="12FE0C9D"/>
    <w:rsid w:val="13017126"/>
    <w:rsid w:val="13086525"/>
    <w:rsid w:val="13150595"/>
    <w:rsid w:val="132456E5"/>
    <w:rsid w:val="132A4818"/>
    <w:rsid w:val="132F270C"/>
    <w:rsid w:val="13362245"/>
    <w:rsid w:val="13382C11"/>
    <w:rsid w:val="133B6A25"/>
    <w:rsid w:val="13511AEE"/>
    <w:rsid w:val="1368598B"/>
    <w:rsid w:val="1379754E"/>
    <w:rsid w:val="137C0E2A"/>
    <w:rsid w:val="13884297"/>
    <w:rsid w:val="138B0FFA"/>
    <w:rsid w:val="138D7D05"/>
    <w:rsid w:val="13B862C8"/>
    <w:rsid w:val="13BB36C2"/>
    <w:rsid w:val="13C65E9E"/>
    <w:rsid w:val="13CA0C25"/>
    <w:rsid w:val="13D00878"/>
    <w:rsid w:val="13D03611"/>
    <w:rsid w:val="13D1077B"/>
    <w:rsid w:val="13D110A9"/>
    <w:rsid w:val="13DC1FB6"/>
    <w:rsid w:val="13DD18EF"/>
    <w:rsid w:val="13EC10EF"/>
    <w:rsid w:val="13F37300"/>
    <w:rsid w:val="14115C0D"/>
    <w:rsid w:val="141F1EA3"/>
    <w:rsid w:val="142474B9"/>
    <w:rsid w:val="1425211E"/>
    <w:rsid w:val="142B0848"/>
    <w:rsid w:val="143860A5"/>
    <w:rsid w:val="14465A2E"/>
    <w:rsid w:val="14627FE2"/>
    <w:rsid w:val="146A5814"/>
    <w:rsid w:val="147A357D"/>
    <w:rsid w:val="147C72F5"/>
    <w:rsid w:val="148740DF"/>
    <w:rsid w:val="14885C9A"/>
    <w:rsid w:val="148D6FE1"/>
    <w:rsid w:val="14903A31"/>
    <w:rsid w:val="1494463F"/>
    <w:rsid w:val="14A405FA"/>
    <w:rsid w:val="14A66120"/>
    <w:rsid w:val="14AA20B4"/>
    <w:rsid w:val="14AB47B0"/>
    <w:rsid w:val="14B03CDB"/>
    <w:rsid w:val="14BE1DEA"/>
    <w:rsid w:val="14CD5DA3"/>
    <w:rsid w:val="14F0383F"/>
    <w:rsid w:val="14F55BD2"/>
    <w:rsid w:val="14F97C98"/>
    <w:rsid w:val="15046D91"/>
    <w:rsid w:val="15063063"/>
    <w:rsid w:val="150A4901"/>
    <w:rsid w:val="1517701E"/>
    <w:rsid w:val="15177423"/>
    <w:rsid w:val="15192681"/>
    <w:rsid w:val="15241BA7"/>
    <w:rsid w:val="15262717"/>
    <w:rsid w:val="15273705"/>
    <w:rsid w:val="152C2AC9"/>
    <w:rsid w:val="15325C06"/>
    <w:rsid w:val="153656F6"/>
    <w:rsid w:val="153951E6"/>
    <w:rsid w:val="154C6CC8"/>
    <w:rsid w:val="154E24EE"/>
    <w:rsid w:val="155E530C"/>
    <w:rsid w:val="15695ACC"/>
    <w:rsid w:val="1578002F"/>
    <w:rsid w:val="157D50D3"/>
    <w:rsid w:val="158C1F5E"/>
    <w:rsid w:val="159D7523"/>
    <w:rsid w:val="159F14ED"/>
    <w:rsid w:val="15AC2CAC"/>
    <w:rsid w:val="15AC6A0C"/>
    <w:rsid w:val="15AC7AE7"/>
    <w:rsid w:val="15AF2B93"/>
    <w:rsid w:val="15AF5550"/>
    <w:rsid w:val="15C50828"/>
    <w:rsid w:val="15CA5987"/>
    <w:rsid w:val="15D60C87"/>
    <w:rsid w:val="15DF5D8E"/>
    <w:rsid w:val="15E103B2"/>
    <w:rsid w:val="15E16DE2"/>
    <w:rsid w:val="15E96CAD"/>
    <w:rsid w:val="15EA5FFB"/>
    <w:rsid w:val="15F01B6D"/>
    <w:rsid w:val="15F630D7"/>
    <w:rsid w:val="15F76AF0"/>
    <w:rsid w:val="1612313B"/>
    <w:rsid w:val="16162106"/>
    <w:rsid w:val="16175528"/>
    <w:rsid w:val="162177DE"/>
    <w:rsid w:val="16223ECC"/>
    <w:rsid w:val="162D27B7"/>
    <w:rsid w:val="16404052"/>
    <w:rsid w:val="164B309C"/>
    <w:rsid w:val="1666200B"/>
    <w:rsid w:val="166718DF"/>
    <w:rsid w:val="16677B31"/>
    <w:rsid w:val="167504A0"/>
    <w:rsid w:val="16783F76"/>
    <w:rsid w:val="167A1613"/>
    <w:rsid w:val="167D7355"/>
    <w:rsid w:val="168D3A3C"/>
    <w:rsid w:val="168D7598"/>
    <w:rsid w:val="169A47C4"/>
    <w:rsid w:val="16A14DF1"/>
    <w:rsid w:val="16A86180"/>
    <w:rsid w:val="16B965DF"/>
    <w:rsid w:val="16C44F84"/>
    <w:rsid w:val="16C61148"/>
    <w:rsid w:val="16D056D6"/>
    <w:rsid w:val="16D43419"/>
    <w:rsid w:val="16D51233"/>
    <w:rsid w:val="16E11692"/>
    <w:rsid w:val="16E13640"/>
    <w:rsid w:val="16E41182"/>
    <w:rsid w:val="16FC68BB"/>
    <w:rsid w:val="170359FF"/>
    <w:rsid w:val="170449C8"/>
    <w:rsid w:val="17045380"/>
    <w:rsid w:val="17101F77"/>
    <w:rsid w:val="17127A9D"/>
    <w:rsid w:val="172915F5"/>
    <w:rsid w:val="173144DC"/>
    <w:rsid w:val="17365E81"/>
    <w:rsid w:val="173F382C"/>
    <w:rsid w:val="1752549D"/>
    <w:rsid w:val="176A1687"/>
    <w:rsid w:val="176B20D9"/>
    <w:rsid w:val="176B6DF4"/>
    <w:rsid w:val="177B0B01"/>
    <w:rsid w:val="177E4F72"/>
    <w:rsid w:val="17896C26"/>
    <w:rsid w:val="17A27073"/>
    <w:rsid w:val="17A54DB5"/>
    <w:rsid w:val="17A74689"/>
    <w:rsid w:val="17C909D1"/>
    <w:rsid w:val="17CA481C"/>
    <w:rsid w:val="17CC7129"/>
    <w:rsid w:val="17D75700"/>
    <w:rsid w:val="17E01460"/>
    <w:rsid w:val="17EF6030"/>
    <w:rsid w:val="17F12F10"/>
    <w:rsid w:val="17FC0976"/>
    <w:rsid w:val="18016734"/>
    <w:rsid w:val="180715CC"/>
    <w:rsid w:val="180C0000"/>
    <w:rsid w:val="18133ACD"/>
    <w:rsid w:val="18273A1C"/>
    <w:rsid w:val="182757CA"/>
    <w:rsid w:val="182A0E16"/>
    <w:rsid w:val="182B52BA"/>
    <w:rsid w:val="1833336E"/>
    <w:rsid w:val="18342832"/>
    <w:rsid w:val="18364EFF"/>
    <w:rsid w:val="186802BC"/>
    <w:rsid w:val="18680724"/>
    <w:rsid w:val="1872755E"/>
    <w:rsid w:val="187C6E5E"/>
    <w:rsid w:val="187E2A36"/>
    <w:rsid w:val="18826862"/>
    <w:rsid w:val="18857FAE"/>
    <w:rsid w:val="189920E7"/>
    <w:rsid w:val="189D783A"/>
    <w:rsid w:val="189E7194"/>
    <w:rsid w:val="189F21F1"/>
    <w:rsid w:val="18B552A6"/>
    <w:rsid w:val="18B656A4"/>
    <w:rsid w:val="18BA03EC"/>
    <w:rsid w:val="18BC53B4"/>
    <w:rsid w:val="18BD5CAB"/>
    <w:rsid w:val="18C0427B"/>
    <w:rsid w:val="18C0643E"/>
    <w:rsid w:val="18C8601E"/>
    <w:rsid w:val="18EA13E0"/>
    <w:rsid w:val="18F356AC"/>
    <w:rsid w:val="19010DAE"/>
    <w:rsid w:val="191120AF"/>
    <w:rsid w:val="191B1BF1"/>
    <w:rsid w:val="19213B4A"/>
    <w:rsid w:val="192340EE"/>
    <w:rsid w:val="19283F59"/>
    <w:rsid w:val="192F4936"/>
    <w:rsid w:val="19375EE1"/>
    <w:rsid w:val="19392FBA"/>
    <w:rsid w:val="19393337"/>
    <w:rsid w:val="193C40A2"/>
    <w:rsid w:val="19410E12"/>
    <w:rsid w:val="194516A5"/>
    <w:rsid w:val="19455522"/>
    <w:rsid w:val="195048A6"/>
    <w:rsid w:val="19586550"/>
    <w:rsid w:val="19597C05"/>
    <w:rsid w:val="19663311"/>
    <w:rsid w:val="196C5B8A"/>
    <w:rsid w:val="196D36B1"/>
    <w:rsid w:val="19813870"/>
    <w:rsid w:val="198509FA"/>
    <w:rsid w:val="198A4742"/>
    <w:rsid w:val="198E11ED"/>
    <w:rsid w:val="199064B5"/>
    <w:rsid w:val="19940418"/>
    <w:rsid w:val="199918DB"/>
    <w:rsid w:val="19A207FF"/>
    <w:rsid w:val="19AA220F"/>
    <w:rsid w:val="19AF1F1B"/>
    <w:rsid w:val="19B412DF"/>
    <w:rsid w:val="19C01A32"/>
    <w:rsid w:val="19C07C84"/>
    <w:rsid w:val="19CB4051"/>
    <w:rsid w:val="19CE58AE"/>
    <w:rsid w:val="19E2098A"/>
    <w:rsid w:val="19EB6441"/>
    <w:rsid w:val="19F3005A"/>
    <w:rsid w:val="19F65454"/>
    <w:rsid w:val="1A037501"/>
    <w:rsid w:val="1A09162B"/>
    <w:rsid w:val="1A1C538A"/>
    <w:rsid w:val="1A2B5B6A"/>
    <w:rsid w:val="1A383CBF"/>
    <w:rsid w:val="1A4C59BC"/>
    <w:rsid w:val="1A4D5E44"/>
    <w:rsid w:val="1A4D7C20"/>
    <w:rsid w:val="1A524D25"/>
    <w:rsid w:val="1A5F749D"/>
    <w:rsid w:val="1A654388"/>
    <w:rsid w:val="1A756CC1"/>
    <w:rsid w:val="1A78230D"/>
    <w:rsid w:val="1A786B5F"/>
    <w:rsid w:val="1A807414"/>
    <w:rsid w:val="1A8B0DDA"/>
    <w:rsid w:val="1AA94BBC"/>
    <w:rsid w:val="1AAE0D2B"/>
    <w:rsid w:val="1AC92B69"/>
    <w:rsid w:val="1ACB068F"/>
    <w:rsid w:val="1ACC3A4D"/>
    <w:rsid w:val="1ADD39CF"/>
    <w:rsid w:val="1AE300CE"/>
    <w:rsid w:val="1AF24BC0"/>
    <w:rsid w:val="1AFE48C4"/>
    <w:rsid w:val="1B0E2C71"/>
    <w:rsid w:val="1B0F5567"/>
    <w:rsid w:val="1B124E9A"/>
    <w:rsid w:val="1B165FA2"/>
    <w:rsid w:val="1B166785"/>
    <w:rsid w:val="1B211995"/>
    <w:rsid w:val="1B214753"/>
    <w:rsid w:val="1B2A0AD0"/>
    <w:rsid w:val="1B3A75C2"/>
    <w:rsid w:val="1B3C2315"/>
    <w:rsid w:val="1B4641B9"/>
    <w:rsid w:val="1B4A1EFB"/>
    <w:rsid w:val="1B4C7F71"/>
    <w:rsid w:val="1B5545BD"/>
    <w:rsid w:val="1B6603B7"/>
    <w:rsid w:val="1B66485B"/>
    <w:rsid w:val="1B6C6203"/>
    <w:rsid w:val="1B6F0B84"/>
    <w:rsid w:val="1B707F28"/>
    <w:rsid w:val="1B746F78"/>
    <w:rsid w:val="1B830F69"/>
    <w:rsid w:val="1B852378"/>
    <w:rsid w:val="1B8526EC"/>
    <w:rsid w:val="1B9118D8"/>
    <w:rsid w:val="1B9A336C"/>
    <w:rsid w:val="1B9E43BC"/>
    <w:rsid w:val="1BA62EAA"/>
    <w:rsid w:val="1BAC199A"/>
    <w:rsid w:val="1BBE2F3B"/>
    <w:rsid w:val="1BC251E8"/>
    <w:rsid w:val="1BD73447"/>
    <w:rsid w:val="1BD9327F"/>
    <w:rsid w:val="1BDB2B53"/>
    <w:rsid w:val="1BE22336"/>
    <w:rsid w:val="1BED49AB"/>
    <w:rsid w:val="1BF57AF7"/>
    <w:rsid w:val="1BF65BDF"/>
    <w:rsid w:val="1BFA1929"/>
    <w:rsid w:val="1C1A1360"/>
    <w:rsid w:val="1C21480E"/>
    <w:rsid w:val="1C2838BF"/>
    <w:rsid w:val="1C3E30E2"/>
    <w:rsid w:val="1C4C39E7"/>
    <w:rsid w:val="1C5D7FD4"/>
    <w:rsid w:val="1C60673F"/>
    <w:rsid w:val="1C6A4DB7"/>
    <w:rsid w:val="1CA0571E"/>
    <w:rsid w:val="1CBA6C0D"/>
    <w:rsid w:val="1CC50941"/>
    <w:rsid w:val="1CC80A08"/>
    <w:rsid w:val="1CCB706C"/>
    <w:rsid w:val="1CD65A0E"/>
    <w:rsid w:val="1CD87093"/>
    <w:rsid w:val="1CE05910"/>
    <w:rsid w:val="1CE7376C"/>
    <w:rsid w:val="1CEA5702"/>
    <w:rsid w:val="1CEF50A1"/>
    <w:rsid w:val="1CF0718B"/>
    <w:rsid w:val="1CF3101A"/>
    <w:rsid w:val="1CFA525B"/>
    <w:rsid w:val="1D04257E"/>
    <w:rsid w:val="1D083E1C"/>
    <w:rsid w:val="1D0C4E50"/>
    <w:rsid w:val="1D1A58FD"/>
    <w:rsid w:val="1D1E2032"/>
    <w:rsid w:val="1D1E3640"/>
    <w:rsid w:val="1D352737"/>
    <w:rsid w:val="1D385002"/>
    <w:rsid w:val="1D4718B3"/>
    <w:rsid w:val="1D536E09"/>
    <w:rsid w:val="1D537924"/>
    <w:rsid w:val="1D550E64"/>
    <w:rsid w:val="1D594D2B"/>
    <w:rsid w:val="1D5C7CC4"/>
    <w:rsid w:val="1D666D95"/>
    <w:rsid w:val="1D720A8B"/>
    <w:rsid w:val="1D721295"/>
    <w:rsid w:val="1D7BCAFD"/>
    <w:rsid w:val="1D7C64BF"/>
    <w:rsid w:val="1D8027D0"/>
    <w:rsid w:val="1D81597C"/>
    <w:rsid w:val="1D8A4831"/>
    <w:rsid w:val="1D8B2357"/>
    <w:rsid w:val="1D8F1A5E"/>
    <w:rsid w:val="1D9727DB"/>
    <w:rsid w:val="1DA25451"/>
    <w:rsid w:val="1DA255BD"/>
    <w:rsid w:val="1DAA11A8"/>
    <w:rsid w:val="1DB24B38"/>
    <w:rsid w:val="1DB61742"/>
    <w:rsid w:val="1DB9452C"/>
    <w:rsid w:val="1DCA6B67"/>
    <w:rsid w:val="1DD0420E"/>
    <w:rsid w:val="1DEB4D8B"/>
    <w:rsid w:val="1E1D56A5"/>
    <w:rsid w:val="1E2D1660"/>
    <w:rsid w:val="1E3C6E79"/>
    <w:rsid w:val="1E42335E"/>
    <w:rsid w:val="1E4D16C6"/>
    <w:rsid w:val="1E5B7F7C"/>
    <w:rsid w:val="1E672BF1"/>
    <w:rsid w:val="1E6A26E0"/>
    <w:rsid w:val="1E71153B"/>
    <w:rsid w:val="1E9516DF"/>
    <w:rsid w:val="1E9A6CF6"/>
    <w:rsid w:val="1EA731C1"/>
    <w:rsid w:val="1EAE09F3"/>
    <w:rsid w:val="1EB321F6"/>
    <w:rsid w:val="1EB853CE"/>
    <w:rsid w:val="1ECB5101"/>
    <w:rsid w:val="1ECD06E4"/>
    <w:rsid w:val="1ED16490"/>
    <w:rsid w:val="1ED8781E"/>
    <w:rsid w:val="1ED87C40"/>
    <w:rsid w:val="1EE00481"/>
    <w:rsid w:val="1EE0071E"/>
    <w:rsid w:val="1EE066D3"/>
    <w:rsid w:val="1EEA3E98"/>
    <w:rsid w:val="1EF02DBA"/>
    <w:rsid w:val="1EFA24F8"/>
    <w:rsid w:val="1EFAB17A"/>
    <w:rsid w:val="1F032864"/>
    <w:rsid w:val="1F073C5F"/>
    <w:rsid w:val="1F0D6EC1"/>
    <w:rsid w:val="1F130856"/>
    <w:rsid w:val="1F1318B5"/>
    <w:rsid w:val="1F1D7927"/>
    <w:rsid w:val="1F23705C"/>
    <w:rsid w:val="1F2F3E68"/>
    <w:rsid w:val="1F3053EF"/>
    <w:rsid w:val="1F334115"/>
    <w:rsid w:val="1F49081A"/>
    <w:rsid w:val="1F490988"/>
    <w:rsid w:val="1F603D1B"/>
    <w:rsid w:val="1F62533A"/>
    <w:rsid w:val="1F641C7C"/>
    <w:rsid w:val="1F653677"/>
    <w:rsid w:val="1F6F0B2B"/>
    <w:rsid w:val="1F7E666F"/>
    <w:rsid w:val="1F7F60C4"/>
    <w:rsid w:val="1F947BE9"/>
    <w:rsid w:val="1FB060A5"/>
    <w:rsid w:val="1FBA3A1C"/>
    <w:rsid w:val="1FC35DD8"/>
    <w:rsid w:val="1FC738D0"/>
    <w:rsid w:val="1FD46237"/>
    <w:rsid w:val="1FD53D5E"/>
    <w:rsid w:val="1FD61FB0"/>
    <w:rsid w:val="1FD91AA0"/>
    <w:rsid w:val="1FF23C3E"/>
    <w:rsid w:val="1FF7A9FF"/>
    <w:rsid w:val="1FFE5062"/>
    <w:rsid w:val="20054643"/>
    <w:rsid w:val="20117A56"/>
    <w:rsid w:val="20275872"/>
    <w:rsid w:val="203C6EB2"/>
    <w:rsid w:val="20484530"/>
    <w:rsid w:val="205630F0"/>
    <w:rsid w:val="20592BE1"/>
    <w:rsid w:val="20634C42"/>
    <w:rsid w:val="206808D7"/>
    <w:rsid w:val="207D13AB"/>
    <w:rsid w:val="20827A42"/>
    <w:rsid w:val="20981EA4"/>
    <w:rsid w:val="209854B7"/>
    <w:rsid w:val="20AA6F98"/>
    <w:rsid w:val="20AF2801"/>
    <w:rsid w:val="20AF3BB4"/>
    <w:rsid w:val="20B02799"/>
    <w:rsid w:val="20B3409F"/>
    <w:rsid w:val="20BB73F7"/>
    <w:rsid w:val="20BE2CEC"/>
    <w:rsid w:val="20C444FE"/>
    <w:rsid w:val="20D40CAC"/>
    <w:rsid w:val="20E424AA"/>
    <w:rsid w:val="20EB1A8B"/>
    <w:rsid w:val="20EF0E4F"/>
    <w:rsid w:val="20F070A1"/>
    <w:rsid w:val="20F621DE"/>
    <w:rsid w:val="20FA166B"/>
    <w:rsid w:val="20FE5ACA"/>
    <w:rsid w:val="212B741A"/>
    <w:rsid w:val="212E0A02"/>
    <w:rsid w:val="213F4B2E"/>
    <w:rsid w:val="21415B4F"/>
    <w:rsid w:val="214169A6"/>
    <w:rsid w:val="214C62A1"/>
    <w:rsid w:val="21503430"/>
    <w:rsid w:val="215869F4"/>
    <w:rsid w:val="215E2E47"/>
    <w:rsid w:val="216F370E"/>
    <w:rsid w:val="217000FA"/>
    <w:rsid w:val="2172228E"/>
    <w:rsid w:val="217355DC"/>
    <w:rsid w:val="21871088"/>
    <w:rsid w:val="21894C90"/>
    <w:rsid w:val="21902632"/>
    <w:rsid w:val="219859DA"/>
    <w:rsid w:val="21A34873"/>
    <w:rsid w:val="21A954A2"/>
    <w:rsid w:val="21BF4CC5"/>
    <w:rsid w:val="21C30312"/>
    <w:rsid w:val="21ED538F"/>
    <w:rsid w:val="21F7620D"/>
    <w:rsid w:val="221072CF"/>
    <w:rsid w:val="22140B6D"/>
    <w:rsid w:val="221943D6"/>
    <w:rsid w:val="221B32F3"/>
    <w:rsid w:val="22250FCC"/>
    <w:rsid w:val="222C075C"/>
    <w:rsid w:val="22317971"/>
    <w:rsid w:val="223236E9"/>
    <w:rsid w:val="2234120F"/>
    <w:rsid w:val="223741BE"/>
    <w:rsid w:val="223905D4"/>
    <w:rsid w:val="223E208E"/>
    <w:rsid w:val="22482F0D"/>
    <w:rsid w:val="2248687E"/>
    <w:rsid w:val="224A5F40"/>
    <w:rsid w:val="22535AF3"/>
    <w:rsid w:val="22583716"/>
    <w:rsid w:val="225B2C40"/>
    <w:rsid w:val="22631793"/>
    <w:rsid w:val="226338A3"/>
    <w:rsid w:val="22787569"/>
    <w:rsid w:val="227B0BEC"/>
    <w:rsid w:val="227D5FFA"/>
    <w:rsid w:val="227F298A"/>
    <w:rsid w:val="22816B44"/>
    <w:rsid w:val="228A7081"/>
    <w:rsid w:val="229536BA"/>
    <w:rsid w:val="22B85A6A"/>
    <w:rsid w:val="22B9510D"/>
    <w:rsid w:val="22BC2B77"/>
    <w:rsid w:val="22BE570A"/>
    <w:rsid w:val="22C42BB6"/>
    <w:rsid w:val="22D93B65"/>
    <w:rsid w:val="22F56BF1"/>
    <w:rsid w:val="23022896"/>
    <w:rsid w:val="2304785B"/>
    <w:rsid w:val="2309269C"/>
    <w:rsid w:val="23104742"/>
    <w:rsid w:val="231463EF"/>
    <w:rsid w:val="2319012B"/>
    <w:rsid w:val="231D6147"/>
    <w:rsid w:val="23205AE3"/>
    <w:rsid w:val="232272BA"/>
    <w:rsid w:val="23265CC9"/>
    <w:rsid w:val="23294AEC"/>
    <w:rsid w:val="2329689A"/>
    <w:rsid w:val="23362910"/>
    <w:rsid w:val="23480E6E"/>
    <w:rsid w:val="234C2589"/>
    <w:rsid w:val="23555653"/>
    <w:rsid w:val="23566375"/>
    <w:rsid w:val="23641680"/>
    <w:rsid w:val="2366364A"/>
    <w:rsid w:val="236E337B"/>
    <w:rsid w:val="2378512C"/>
    <w:rsid w:val="23790014"/>
    <w:rsid w:val="237A5348"/>
    <w:rsid w:val="237E2C29"/>
    <w:rsid w:val="23804351"/>
    <w:rsid w:val="23902475"/>
    <w:rsid w:val="239F6B5C"/>
    <w:rsid w:val="23A0544D"/>
    <w:rsid w:val="23C929C4"/>
    <w:rsid w:val="23D031BA"/>
    <w:rsid w:val="23D71DF9"/>
    <w:rsid w:val="23D84DAF"/>
    <w:rsid w:val="23D96816"/>
    <w:rsid w:val="23DA5DE6"/>
    <w:rsid w:val="23DE179B"/>
    <w:rsid w:val="23E80C03"/>
    <w:rsid w:val="23EA66A1"/>
    <w:rsid w:val="23EE53EE"/>
    <w:rsid w:val="24083D05"/>
    <w:rsid w:val="2412732E"/>
    <w:rsid w:val="24191BAC"/>
    <w:rsid w:val="24227B6D"/>
    <w:rsid w:val="242568D4"/>
    <w:rsid w:val="243A7557"/>
    <w:rsid w:val="24410C88"/>
    <w:rsid w:val="24572F93"/>
    <w:rsid w:val="24586FF7"/>
    <w:rsid w:val="245C2C9F"/>
    <w:rsid w:val="24763D61"/>
    <w:rsid w:val="248144B4"/>
    <w:rsid w:val="248C70E1"/>
    <w:rsid w:val="2495578A"/>
    <w:rsid w:val="249B37C8"/>
    <w:rsid w:val="24A51F50"/>
    <w:rsid w:val="24AA0E08"/>
    <w:rsid w:val="24AD7057"/>
    <w:rsid w:val="24B40D84"/>
    <w:rsid w:val="24B43DD5"/>
    <w:rsid w:val="24BA08C7"/>
    <w:rsid w:val="24BB79C6"/>
    <w:rsid w:val="24C41801"/>
    <w:rsid w:val="24CF6FCD"/>
    <w:rsid w:val="24D10F97"/>
    <w:rsid w:val="24D47306"/>
    <w:rsid w:val="24D8085D"/>
    <w:rsid w:val="24DC6CAE"/>
    <w:rsid w:val="24E0567E"/>
    <w:rsid w:val="2502554B"/>
    <w:rsid w:val="251033B9"/>
    <w:rsid w:val="2519649B"/>
    <w:rsid w:val="2533355B"/>
    <w:rsid w:val="255045B2"/>
    <w:rsid w:val="2551032A"/>
    <w:rsid w:val="25643BBA"/>
    <w:rsid w:val="25731640"/>
    <w:rsid w:val="25757B75"/>
    <w:rsid w:val="257608E2"/>
    <w:rsid w:val="25761B3F"/>
    <w:rsid w:val="25911D97"/>
    <w:rsid w:val="25973F8F"/>
    <w:rsid w:val="25987D07"/>
    <w:rsid w:val="259A3A7F"/>
    <w:rsid w:val="25A34325"/>
    <w:rsid w:val="25AF1BE4"/>
    <w:rsid w:val="25B86958"/>
    <w:rsid w:val="25C042C4"/>
    <w:rsid w:val="25CC380E"/>
    <w:rsid w:val="25DF1492"/>
    <w:rsid w:val="25DF2A30"/>
    <w:rsid w:val="25F12D87"/>
    <w:rsid w:val="25F211C5"/>
    <w:rsid w:val="25F525F0"/>
    <w:rsid w:val="25F80519"/>
    <w:rsid w:val="25FA3BB4"/>
    <w:rsid w:val="25FD0B43"/>
    <w:rsid w:val="26045D20"/>
    <w:rsid w:val="26061115"/>
    <w:rsid w:val="260B61B0"/>
    <w:rsid w:val="260E2656"/>
    <w:rsid w:val="261455E0"/>
    <w:rsid w:val="26151358"/>
    <w:rsid w:val="261F3F85"/>
    <w:rsid w:val="2625777C"/>
    <w:rsid w:val="262D66A1"/>
    <w:rsid w:val="262F2952"/>
    <w:rsid w:val="263415B4"/>
    <w:rsid w:val="264439EB"/>
    <w:rsid w:val="26457AB8"/>
    <w:rsid w:val="26504C1F"/>
    <w:rsid w:val="265C69B1"/>
    <w:rsid w:val="265E685B"/>
    <w:rsid w:val="266228BF"/>
    <w:rsid w:val="2668592C"/>
    <w:rsid w:val="266F2816"/>
    <w:rsid w:val="267505DE"/>
    <w:rsid w:val="2679670D"/>
    <w:rsid w:val="268362C1"/>
    <w:rsid w:val="26851551"/>
    <w:rsid w:val="269B7AAF"/>
    <w:rsid w:val="26A85D28"/>
    <w:rsid w:val="26B207E3"/>
    <w:rsid w:val="26BB7131"/>
    <w:rsid w:val="26C1503C"/>
    <w:rsid w:val="26CA3EF0"/>
    <w:rsid w:val="26D40ABC"/>
    <w:rsid w:val="26D50772"/>
    <w:rsid w:val="26E56F7C"/>
    <w:rsid w:val="26E85B92"/>
    <w:rsid w:val="270A1F96"/>
    <w:rsid w:val="271007EF"/>
    <w:rsid w:val="272037A0"/>
    <w:rsid w:val="2720392C"/>
    <w:rsid w:val="273121C1"/>
    <w:rsid w:val="27315D1D"/>
    <w:rsid w:val="273210E1"/>
    <w:rsid w:val="27480621"/>
    <w:rsid w:val="274F43F6"/>
    <w:rsid w:val="2750502D"/>
    <w:rsid w:val="27584790"/>
    <w:rsid w:val="2759134E"/>
    <w:rsid w:val="275C3636"/>
    <w:rsid w:val="275F6D2E"/>
    <w:rsid w:val="276509B1"/>
    <w:rsid w:val="27661C4E"/>
    <w:rsid w:val="277420AE"/>
    <w:rsid w:val="27873B8F"/>
    <w:rsid w:val="27880952"/>
    <w:rsid w:val="278C564A"/>
    <w:rsid w:val="27906EE8"/>
    <w:rsid w:val="27B0FCB0"/>
    <w:rsid w:val="27B64475"/>
    <w:rsid w:val="27C04855"/>
    <w:rsid w:val="27C13545"/>
    <w:rsid w:val="27C2106B"/>
    <w:rsid w:val="27CE3A86"/>
    <w:rsid w:val="27D17500"/>
    <w:rsid w:val="27DD5EA5"/>
    <w:rsid w:val="27E47234"/>
    <w:rsid w:val="27FA0805"/>
    <w:rsid w:val="280B4A43"/>
    <w:rsid w:val="282B4E63"/>
    <w:rsid w:val="282C4737"/>
    <w:rsid w:val="282C6A55"/>
    <w:rsid w:val="28355CE1"/>
    <w:rsid w:val="283830DC"/>
    <w:rsid w:val="28386183"/>
    <w:rsid w:val="283B1947"/>
    <w:rsid w:val="283E5914"/>
    <w:rsid w:val="284C4266"/>
    <w:rsid w:val="285B4B4B"/>
    <w:rsid w:val="28706D19"/>
    <w:rsid w:val="28754330"/>
    <w:rsid w:val="28754CAA"/>
    <w:rsid w:val="28871251"/>
    <w:rsid w:val="2887224F"/>
    <w:rsid w:val="288B3B53"/>
    <w:rsid w:val="288E2F16"/>
    <w:rsid w:val="2897781E"/>
    <w:rsid w:val="28991DCC"/>
    <w:rsid w:val="28A30E9D"/>
    <w:rsid w:val="28A644E9"/>
    <w:rsid w:val="28A739AB"/>
    <w:rsid w:val="28A803C5"/>
    <w:rsid w:val="28A8200F"/>
    <w:rsid w:val="28CA467C"/>
    <w:rsid w:val="28D177B8"/>
    <w:rsid w:val="28D17C7E"/>
    <w:rsid w:val="28D64DCE"/>
    <w:rsid w:val="28DB2144"/>
    <w:rsid w:val="28E3573D"/>
    <w:rsid w:val="28E84B02"/>
    <w:rsid w:val="28EF553B"/>
    <w:rsid w:val="28EF558A"/>
    <w:rsid w:val="290D27BA"/>
    <w:rsid w:val="291833B1"/>
    <w:rsid w:val="291D0C4F"/>
    <w:rsid w:val="29272A74"/>
    <w:rsid w:val="292D4147"/>
    <w:rsid w:val="293B3E77"/>
    <w:rsid w:val="29464CEE"/>
    <w:rsid w:val="294778BF"/>
    <w:rsid w:val="296A541B"/>
    <w:rsid w:val="298914EC"/>
    <w:rsid w:val="298A7967"/>
    <w:rsid w:val="299550A1"/>
    <w:rsid w:val="29984901"/>
    <w:rsid w:val="29A1688F"/>
    <w:rsid w:val="29A44ECD"/>
    <w:rsid w:val="29A84037"/>
    <w:rsid w:val="29B7701F"/>
    <w:rsid w:val="29BC0E69"/>
    <w:rsid w:val="29C44C23"/>
    <w:rsid w:val="29D55086"/>
    <w:rsid w:val="29DA08EE"/>
    <w:rsid w:val="29EE79BF"/>
    <w:rsid w:val="29FB71A3"/>
    <w:rsid w:val="29FE7C75"/>
    <w:rsid w:val="2A0004E5"/>
    <w:rsid w:val="2A021BF3"/>
    <w:rsid w:val="2A1C2CB5"/>
    <w:rsid w:val="2A202079"/>
    <w:rsid w:val="2A21310B"/>
    <w:rsid w:val="2A2B114A"/>
    <w:rsid w:val="2A44045E"/>
    <w:rsid w:val="2A570191"/>
    <w:rsid w:val="2A5C73A3"/>
    <w:rsid w:val="2A662182"/>
    <w:rsid w:val="2A685EFA"/>
    <w:rsid w:val="2A6B7798"/>
    <w:rsid w:val="2A6D735D"/>
    <w:rsid w:val="2A6E719A"/>
    <w:rsid w:val="2A7725E1"/>
    <w:rsid w:val="2A7A79DB"/>
    <w:rsid w:val="2A7C7BF7"/>
    <w:rsid w:val="2A7D01E8"/>
    <w:rsid w:val="2A8E16D9"/>
    <w:rsid w:val="2A905451"/>
    <w:rsid w:val="2A9E37A8"/>
    <w:rsid w:val="2A9F1EB1"/>
    <w:rsid w:val="2AA551F0"/>
    <w:rsid w:val="2AAC6D47"/>
    <w:rsid w:val="2ABD4243"/>
    <w:rsid w:val="2AC00223"/>
    <w:rsid w:val="2AC91D4E"/>
    <w:rsid w:val="2AD42519"/>
    <w:rsid w:val="2ADB2B70"/>
    <w:rsid w:val="2ADF3CE2"/>
    <w:rsid w:val="2AE17A5A"/>
    <w:rsid w:val="2AF45B8C"/>
    <w:rsid w:val="2B050994"/>
    <w:rsid w:val="2B0D4CF3"/>
    <w:rsid w:val="2B133D3F"/>
    <w:rsid w:val="2B1C6CE5"/>
    <w:rsid w:val="2B2A7653"/>
    <w:rsid w:val="2B2F4278"/>
    <w:rsid w:val="2B321BF1"/>
    <w:rsid w:val="2B381D70"/>
    <w:rsid w:val="2B3D1DC1"/>
    <w:rsid w:val="2B406E77"/>
    <w:rsid w:val="2B4C03FA"/>
    <w:rsid w:val="2B51698E"/>
    <w:rsid w:val="2B54022C"/>
    <w:rsid w:val="2B6B08B1"/>
    <w:rsid w:val="2B6D57B0"/>
    <w:rsid w:val="2B9845BD"/>
    <w:rsid w:val="2BA16CBE"/>
    <w:rsid w:val="2BC65895"/>
    <w:rsid w:val="2BCC070B"/>
    <w:rsid w:val="2BD06100"/>
    <w:rsid w:val="2BD21BDD"/>
    <w:rsid w:val="2BE47802"/>
    <w:rsid w:val="2BE91A41"/>
    <w:rsid w:val="2BEE68D3"/>
    <w:rsid w:val="2BF832AE"/>
    <w:rsid w:val="2BFC5A43"/>
    <w:rsid w:val="2BFC6CEE"/>
    <w:rsid w:val="2C02412C"/>
    <w:rsid w:val="2C046E7B"/>
    <w:rsid w:val="2C1016F4"/>
    <w:rsid w:val="2C101890"/>
    <w:rsid w:val="2C131E96"/>
    <w:rsid w:val="2C1F6DCC"/>
    <w:rsid w:val="2C251BC9"/>
    <w:rsid w:val="2C287547"/>
    <w:rsid w:val="2C2A71DF"/>
    <w:rsid w:val="2C387AF5"/>
    <w:rsid w:val="2C397B74"/>
    <w:rsid w:val="2C3B112F"/>
    <w:rsid w:val="2C425D39"/>
    <w:rsid w:val="2C42768D"/>
    <w:rsid w:val="2C4E44DF"/>
    <w:rsid w:val="2C673F8F"/>
    <w:rsid w:val="2C6E3E3C"/>
    <w:rsid w:val="2C7072E8"/>
    <w:rsid w:val="2C7E7C57"/>
    <w:rsid w:val="2C8903AA"/>
    <w:rsid w:val="2C976E32"/>
    <w:rsid w:val="2C9B134F"/>
    <w:rsid w:val="2CA75A5E"/>
    <w:rsid w:val="2CAA53B1"/>
    <w:rsid w:val="2CAD4098"/>
    <w:rsid w:val="2CAE1547"/>
    <w:rsid w:val="2CAE653F"/>
    <w:rsid w:val="2CBDD046"/>
    <w:rsid w:val="2CBF3829"/>
    <w:rsid w:val="2CC31B0E"/>
    <w:rsid w:val="2CD657D9"/>
    <w:rsid w:val="2CDC2BCF"/>
    <w:rsid w:val="2CF20571"/>
    <w:rsid w:val="2CF41CC7"/>
    <w:rsid w:val="2CF577ED"/>
    <w:rsid w:val="2CFE662C"/>
    <w:rsid w:val="2D055F0E"/>
    <w:rsid w:val="2D0E7B69"/>
    <w:rsid w:val="2D145C51"/>
    <w:rsid w:val="2D145EC5"/>
    <w:rsid w:val="2D1E05C1"/>
    <w:rsid w:val="2D2B1461"/>
    <w:rsid w:val="2D3447B9"/>
    <w:rsid w:val="2D4838C1"/>
    <w:rsid w:val="2D4A18E7"/>
    <w:rsid w:val="2D4F5577"/>
    <w:rsid w:val="2D5533FD"/>
    <w:rsid w:val="2D5938BF"/>
    <w:rsid w:val="2D631CEF"/>
    <w:rsid w:val="2D675B2F"/>
    <w:rsid w:val="2D7C4FB3"/>
    <w:rsid w:val="2D8452AB"/>
    <w:rsid w:val="2DAF08E4"/>
    <w:rsid w:val="2DBD47EE"/>
    <w:rsid w:val="2DBE22D5"/>
    <w:rsid w:val="2DC21DC5"/>
    <w:rsid w:val="2DCD2E1D"/>
    <w:rsid w:val="2DDF0324"/>
    <w:rsid w:val="2DDF2977"/>
    <w:rsid w:val="2DE25133"/>
    <w:rsid w:val="2DE36974"/>
    <w:rsid w:val="2DE46B18"/>
    <w:rsid w:val="2DEC6E42"/>
    <w:rsid w:val="2DF67CC1"/>
    <w:rsid w:val="2DFF1CCD"/>
    <w:rsid w:val="2DFF6930"/>
    <w:rsid w:val="2E0F48DF"/>
    <w:rsid w:val="2E112405"/>
    <w:rsid w:val="2E126813"/>
    <w:rsid w:val="2E183793"/>
    <w:rsid w:val="2E187C37"/>
    <w:rsid w:val="2E1B14D5"/>
    <w:rsid w:val="2E1E4B22"/>
    <w:rsid w:val="2E202597"/>
    <w:rsid w:val="2E3B52CA"/>
    <w:rsid w:val="2E3D36A3"/>
    <w:rsid w:val="2E3F6F72"/>
    <w:rsid w:val="2E4541BA"/>
    <w:rsid w:val="2E526350"/>
    <w:rsid w:val="2E5549E7"/>
    <w:rsid w:val="2E6946F8"/>
    <w:rsid w:val="2E8A50D7"/>
    <w:rsid w:val="2E92471E"/>
    <w:rsid w:val="2E933A8E"/>
    <w:rsid w:val="2E943223"/>
    <w:rsid w:val="2EA03B36"/>
    <w:rsid w:val="2EA909BF"/>
    <w:rsid w:val="2EAB4607"/>
    <w:rsid w:val="2EAC6B31"/>
    <w:rsid w:val="2EB11B64"/>
    <w:rsid w:val="2EB436CF"/>
    <w:rsid w:val="2EB536D8"/>
    <w:rsid w:val="2EB53854"/>
    <w:rsid w:val="2EC45B20"/>
    <w:rsid w:val="2EC70009"/>
    <w:rsid w:val="2EC97183"/>
    <w:rsid w:val="2EE40E7F"/>
    <w:rsid w:val="2EE43FBD"/>
    <w:rsid w:val="2EEFD5FB"/>
    <w:rsid w:val="2EF266DA"/>
    <w:rsid w:val="2EFE0BDB"/>
    <w:rsid w:val="2EFE2D5F"/>
    <w:rsid w:val="2F0D0D20"/>
    <w:rsid w:val="2F0F2DE8"/>
    <w:rsid w:val="2F191EB9"/>
    <w:rsid w:val="2F243559"/>
    <w:rsid w:val="2F286DD9"/>
    <w:rsid w:val="2F407445"/>
    <w:rsid w:val="2F5C7FF7"/>
    <w:rsid w:val="2F657F1C"/>
    <w:rsid w:val="2F6D7037"/>
    <w:rsid w:val="2F6D7B0F"/>
    <w:rsid w:val="2F7377FA"/>
    <w:rsid w:val="2F777EB0"/>
    <w:rsid w:val="2F880DEC"/>
    <w:rsid w:val="2FA15A0A"/>
    <w:rsid w:val="2FA200FA"/>
    <w:rsid w:val="2FA534CF"/>
    <w:rsid w:val="2FA675E1"/>
    <w:rsid w:val="2FAE6191"/>
    <w:rsid w:val="2FAE669D"/>
    <w:rsid w:val="2FCC0A00"/>
    <w:rsid w:val="2FCD13DA"/>
    <w:rsid w:val="2FD933F6"/>
    <w:rsid w:val="2FDA11F4"/>
    <w:rsid w:val="2FE36023"/>
    <w:rsid w:val="2FE4992F"/>
    <w:rsid w:val="2FE53B49"/>
    <w:rsid w:val="2FEA5603"/>
    <w:rsid w:val="2FF3355E"/>
    <w:rsid w:val="2FFB511A"/>
    <w:rsid w:val="30082D65"/>
    <w:rsid w:val="300F0BC6"/>
    <w:rsid w:val="30202DD3"/>
    <w:rsid w:val="302723B3"/>
    <w:rsid w:val="30274161"/>
    <w:rsid w:val="302A1EA4"/>
    <w:rsid w:val="302F3016"/>
    <w:rsid w:val="30332B06"/>
    <w:rsid w:val="303B19BB"/>
    <w:rsid w:val="30403678"/>
    <w:rsid w:val="30410063"/>
    <w:rsid w:val="305D0067"/>
    <w:rsid w:val="305F38FB"/>
    <w:rsid w:val="30612CD6"/>
    <w:rsid w:val="30654C8A"/>
    <w:rsid w:val="306A22A0"/>
    <w:rsid w:val="306E7FE2"/>
    <w:rsid w:val="30703D5A"/>
    <w:rsid w:val="30712D26"/>
    <w:rsid w:val="30731155"/>
    <w:rsid w:val="30841DBC"/>
    <w:rsid w:val="30847806"/>
    <w:rsid w:val="308702B7"/>
    <w:rsid w:val="309248E9"/>
    <w:rsid w:val="30965AF3"/>
    <w:rsid w:val="309B06AC"/>
    <w:rsid w:val="30B4002F"/>
    <w:rsid w:val="30B55C11"/>
    <w:rsid w:val="30B579BF"/>
    <w:rsid w:val="30BD45A0"/>
    <w:rsid w:val="30C35F0F"/>
    <w:rsid w:val="30C470C8"/>
    <w:rsid w:val="30D42238"/>
    <w:rsid w:val="30FD3669"/>
    <w:rsid w:val="30FE0789"/>
    <w:rsid w:val="30FE1081"/>
    <w:rsid w:val="31046251"/>
    <w:rsid w:val="31181CFC"/>
    <w:rsid w:val="31193F40"/>
    <w:rsid w:val="31216E03"/>
    <w:rsid w:val="31302749"/>
    <w:rsid w:val="313308E4"/>
    <w:rsid w:val="313B2B8A"/>
    <w:rsid w:val="313B4368"/>
    <w:rsid w:val="31501496"/>
    <w:rsid w:val="315216B2"/>
    <w:rsid w:val="31521EFD"/>
    <w:rsid w:val="31545EF3"/>
    <w:rsid w:val="316539BA"/>
    <w:rsid w:val="31815AF3"/>
    <w:rsid w:val="318C4BC4"/>
    <w:rsid w:val="319D4C6E"/>
    <w:rsid w:val="319E48F7"/>
    <w:rsid w:val="31A31F0E"/>
    <w:rsid w:val="31A33CBC"/>
    <w:rsid w:val="31BB4D36"/>
    <w:rsid w:val="31C0486E"/>
    <w:rsid w:val="31C14142"/>
    <w:rsid w:val="31E632F8"/>
    <w:rsid w:val="31E64E80"/>
    <w:rsid w:val="31EA3699"/>
    <w:rsid w:val="32146CB7"/>
    <w:rsid w:val="321B2C8F"/>
    <w:rsid w:val="322C53A4"/>
    <w:rsid w:val="32330746"/>
    <w:rsid w:val="323668DE"/>
    <w:rsid w:val="323B3EF4"/>
    <w:rsid w:val="324365ED"/>
    <w:rsid w:val="32470AEB"/>
    <w:rsid w:val="32546D64"/>
    <w:rsid w:val="3255145A"/>
    <w:rsid w:val="3255781A"/>
    <w:rsid w:val="32584AA6"/>
    <w:rsid w:val="325D20BC"/>
    <w:rsid w:val="32691D4C"/>
    <w:rsid w:val="326D5B5C"/>
    <w:rsid w:val="326F1422"/>
    <w:rsid w:val="32706292"/>
    <w:rsid w:val="32935F4F"/>
    <w:rsid w:val="329655CE"/>
    <w:rsid w:val="32971DE5"/>
    <w:rsid w:val="32A42869"/>
    <w:rsid w:val="32A510F7"/>
    <w:rsid w:val="32AE53E0"/>
    <w:rsid w:val="32AE7A2B"/>
    <w:rsid w:val="32BD0DAD"/>
    <w:rsid w:val="32C4038E"/>
    <w:rsid w:val="32C72A32"/>
    <w:rsid w:val="32D83E39"/>
    <w:rsid w:val="32DA7C97"/>
    <w:rsid w:val="32EC3440"/>
    <w:rsid w:val="32EE540A"/>
    <w:rsid w:val="32EE71B8"/>
    <w:rsid w:val="32F10BFB"/>
    <w:rsid w:val="32FB35BF"/>
    <w:rsid w:val="33087F73"/>
    <w:rsid w:val="330A3CD4"/>
    <w:rsid w:val="33222D72"/>
    <w:rsid w:val="33331E0D"/>
    <w:rsid w:val="333472C1"/>
    <w:rsid w:val="333C43C8"/>
    <w:rsid w:val="3345794C"/>
    <w:rsid w:val="334B58FC"/>
    <w:rsid w:val="334D461D"/>
    <w:rsid w:val="33543860"/>
    <w:rsid w:val="335A3229"/>
    <w:rsid w:val="33674646"/>
    <w:rsid w:val="336762D8"/>
    <w:rsid w:val="33727E29"/>
    <w:rsid w:val="337B149A"/>
    <w:rsid w:val="337F3335"/>
    <w:rsid w:val="338D077F"/>
    <w:rsid w:val="339112A3"/>
    <w:rsid w:val="33997124"/>
    <w:rsid w:val="33A87AFE"/>
    <w:rsid w:val="33AB50A9"/>
    <w:rsid w:val="33AD497E"/>
    <w:rsid w:val="33B74B1D"/>
    <w:rsid w:val="33BA0366"/>
    <w:rsid w:val="33D03144"/>
    <w:rsid w:val="33D068BE"/>
    <w:rsid w:val="33E038DC"/>
    <w:rsid w:val="33E41473"/>
    <w:rsid w:val="33E5680D"/>
    <w:rsid w:val="33E74E06"/>
    <w:rsid w:val="33EC7B9C"/>
    <w:rsid w:val="33F94067"/>
    <w:rsid w:val="33FA125E"/>
    <w:rsid w:val="34052A0C"/>
    <w:rsid w:val="34143421"/>
    <w:rsid w:val="34150A37"/>
    <w:rsid w:val="34183C0D"/>
    <w:rsid w:val="342033A2"/>
    <w:rsid w:val="3425315A"/>
    <w:rsid w:val="342B461E"/>
    <w:rsid w:val="34321BC6"/>
    <w:rsid w:val="343706EB"/>
    <w:rsid w:val="34441786"/>
    <w:rsid w:val="34473024"/>
    <w:rsid w:val="34482E3D"/>
    <w:rsid w:val="34543FE8"/>
    <w:rsid w:val="345C5309"/>
    <w:rsid w:val="345D45F6"/>
    <w:rsid w:val="346317C9"/>
    <w:rsid w:val="346534AA"/>
    <w:rsid w:val="346638E0"/>
    <w:rsid w:val="34713BFD"/>
    <w:rsid w:val="347545A1"/>
    <w:rsid w:val="34756B0A"/>
    <w:rsid w:val="348070E2"/>
    <w:rsid w:val="34851A94"/>
    <w:rsid w:val="348C4F88"/>
    <w:rsid w:val="349124F1"/>
    <w:rsid w:val="349B3370"/>
    <w:rsid w:val="34A806BE"/>
    <w:rsid w:val="34B22884"/>
    <w:rsid w:val="34BE776A"/>
    <w:rsid w:val="34C06933"/>
    <w:rsid w:val="34DB376C"/>
    <w:rsid w:val="34DB6618"/>
    <w:rsid w:val="34EC7CB0"/>
    <w:rsid w:val="34EF1477"/>
    <w:rsid w:val="350031D3"/>
    <w:rsid w:val="35020CF9"/>
    <w:rsid w:val="35103416"/>
    <w:rsid w:val="351F4567"/>
    <w:rsid w:val="352E6770"/>
    <w:rsid w:val="35305866"/>
    <w:rsid w:val="35360646"/>
    <w:rsid w:val="353978DB"/>
    <w:rsid w:val="354177E1"/>
    <w:rsid w:val="354229F0"/>
    <w:rsid w:val="354457B6"/>
    <w:rsid w:val="354B26A0"/>
    <w:rsid w:val="355359F9"/>
    <w:rsid w:val="3558467A"/>
    <w:rsid w:val="3559782E"/>
    <w:rsid w:val="355A6289"/>
    <w:rsid w:val="356419B4"/>
    <w:rsid w:val="356C00F9"/>
    <w:rsid w:val="356D54A0"/>
    <w:rsid w:val="35725E7F"/>
    <w:rsid w:val="357716E7"/>
    <w:rsid w:val="35831632"/>
    <w:rsid w:val="3586782A"/>
    <w:rsid w:val="35882501"/>
    <w:rsid w:val="358838F4"/>
    <w:rsid w:val="35926521"/>
    <w:rsid w:val="359451FD"/>
    <w:rsid w:val="359F479A"/>
    <w:rsid w:val="35A3428A"/>
    <w:rsid w:val="35B66451"/>
    <w:rsid w:val="35BC4C20"/>
    <w:rsid w:val="35BE10C4"/>
    <w:rsid w:val="35C31E09"/>
    <w:rsid w:val="35D204D1"/>
    <w:rsid w:val="35D9344C"/>
    <w:rsid w:val="35D95EFE"/>
    <w:rsid w:val="35E46651"/>
    <w:rsid w:val="35EA0DF7"/>
    <w:rsid w:val="35F42D38"/>
    <w:rsid w:val="36080591"/>
    <w:rsid w:val="360A427E"/>
    <w:rsid w:val="36105698"/>
    <w:rsid w:val="36145114"/>
    <w:rsid w:val="36154A5C"/>
    <w:rsid w:val="361C403D"/>
    <w:rsid w:val="36213401"/>
    <w:rsid w:val="36296F45"/>
    <w:rsid w:val="36506C7C"/>
    <w:rsid w:val="365612FD"/>
    <w:rsid w:val="36574ADD"/>
    <w:rsid w:val="366C4FC4"/>
    <w:rsid w:val="367762A4"/>
    <w:rsid w:val="36794FEB"/>
    <w:rsid w:val="36804BA6"/>
    <w:rsid w:val="36806F5E"/>
    <w:rsid w:val="368147C7"/>
    <w:rsid w:val="368927DB"/>
    <w:rsid w:val="368D63CB"/>
    <w:rsid w:val="36914668"/>
    <w:rsid w:val="36945576"/>
    <w:rsid w:val="369709D0"/>
    <w:rsid w:val="3699568D"/>
    <w:rsid w:val="36A06A1C"/>
    <w:rsid w:val="36A238D0"/>
    <w:rsid w:val="36A44F0F"/>
    <w:rsid w:val="36AA5AEC"/>
    <w:rsid w:val="36AD144A"/>
    <w:rsid w:val="36AD5A70"/>
    <w:rsid w:val="36B10C29"/>
    <w:rsid w:val="36BA5D2F"/>
    <w:rsid w:val="36BB3856"/>
    <w:rsid w:val="36C3270A"/>
    <w:rsid w:val="36CB4432"/>
    <w:rsid w:val="36CB72F3"/>
    <w:rsid w:val="36D861B6"/>
    <w:rsid w:val="36DD37CC"/>
    <w:rsid w:val="36E0506A"/>
    <w:rsid w:val="36FD2E35"/>
    <w:rsid w:val="370E1BD7"/>
    <w:rsid w:val="370E7927"/>
    <w:rsid w:val="370F76FD"/>
    <w:rsid w:val="370F790F"/>
    <w:rsid w:val="37195A2E"/>
    <w:rsid w:val="371A11D2"/>
    <w:rsid w:val="371C2CB7"/>
    <w:rsid w:val="371D1E1A"/>
    <w:rsid w:val="37217B5C"/>
    <w:rsid w:val="37297D19"/>
    <w:rsid w:val="372C4753"/>
    <w:rsid w:val="372F6A2E"/>
    <w:rsid w:val="37311C27"/>
    <w:rsid w:val="373B547C"/>
    <w:rsid w:val="373B6744"/>
    <w:rsid w:val="37424565"/>
    <w:rsid w:val="3744782D"/>
    <w:rsid w:val="375E1067"/>
    <w:rsid w:val="377350FF"/>
    <w:rsid w:val="377759CE"/>
    <w:rsid w:val="37785C00"/>
    <w:rsid w:val="377D1BE3"/>
    <w:rsid w:val="379A434D"/>
    <w:rsid w:val="379A72F5"/>
    <w:rsid w:val="379C0A32"/>
    <w:rsid w:val="37A34A15"/>
    <w:rsid w:val="37A442EA"/>
    <w:rsid w:val="37AF33BA"/>
    <w:rsid w:val="37B3452D"/>
    <w:rsid w:val="37B60043"/>
    <w:rsid w:val="37BA7508"/>
    <w:rsid w:val="37BE184F"/>
    <w:rsid w:val="37C14E60"/>
    <w:rsid w:val="37D20E57"/>
    <w:rsid w:val="37DE5DD2"/>
    <w:rsid w:val="37E25A58"/>
    <w:rsid w:val="37F6C505"/>
    <w:rsid w:val="3801173C"/>
    <w:rsid w:val="38073DC6"/>
    <w:rsid w:val="38190C70"/>
    <w:rsid w:val="381C47C8"/>
    <w:rsid w:val="381E41CC"/>
    <w:rsid w:val="381E7EEB"/>
    <w:rsid w:val="3837515E"/>
    <w:rsid w:val="383C30BF"/>
    <w:rsid w:val="3841654D"/>
    <w:rsid w:val="38486DD2"/>
    <w:rsid w:val="38561A88"/>
    <w:rsid w:val="38593326"/>
    <w:rsid w:val="3862187C"/>
    <w:rsid w:val="38697929"/>
    <w:rsid w:val="386B29B3"/>
    <w:rsid w:val="388F6D48"/>
    <w:rsid w:val="38925F00"/>
    <w:rsid w:val="3894435E"/>
    <w:rsid w:val="389E210A"/>
    <w:rsid w:val="38A345A1"/>
    <w:rsid w:val="38A43EDE"/>
    <w:rsid w:val="38A74091"/>
    <w:rsid w:val="38AF2F46"/>
    <w:rsid w:val="38B91C49"/>
    <w:rsid w:val="38C05827"/>
    <w:rsid w:val="38CF3B09"/>
    <w:rsid w:val="38D6139C"/>
    <w:rsid w:val="38DB333D"/>
    <w:rsid w:val="38F17A02"/>
    <w:rsid w:val="38F4113F"/>
    <w:rsid w:val="38FD0428"/>
    <w:rsid w:val="390019F4"/>
    <w:rsid w:val="3902275E"/>
    <w:rsid w:val="390F1C37"/>
    <w:rsid w:val="391159AF"/>
    <w:rsid w:val="39150EB6"/>
    <w:rsid w:val="391B05DB"/>
    <w:rsid w:val="391E45EB"/>
    <w:rsid w:val="39354213"/>
    <w:rsid w:val="39410733"/>
    <w:rsid w:val="39423DBA"/>
    <w:rsid w:val="394352BA"/>
    <w:rsid w:val="39476B11"/>
    <w:rsid w:val="39513FFD"/>
    <w:rsid w:val="39581830"/>
    <w:rsid w:val="395B752C"/>
    <w:rsid w:val="39681748"/>
    <w:rsid w:val="397445EF"/>
    <w:rsid w:val="39847402"/>
    <w:rsid w:val="398937F5"/>
    <w:rsid w:val="398E773F"/>
    <w:rsid w:val="399028B0"/>
    <w:rsid w:val="39950F55"/>
    <w:rsid w:val="3995213C"/>
    <w:rsid w:val="399C07BF"/>
    <w:rsid w:val="39A405D1"/>
    <w:rsid w:val="39B0341A"/>
    <w:rsid w:val="39C6644A"/>
    <w:rsid w:val="39C90037"/>
    <w:rsid w:val="39DA3FF3"/>
    <w:rsid w:val="39E817C8"/>
    <w:rsid w:val="39EB26A4"/>
    <w:rsid w:val="39EC3D26"/>
    <w:rsid w:val="39EC6F0C"/>
    <w:rsid w:val="39F55B72"/>
    <w:rsid w:val="39FC75CF"/>
    <w:rsid w:val="3A0472C2"/>
    <w:rsid w:val="3A0B4AF4"/>
    <w:rsid w:val="3A1219DE"/>
    <w:rsid w:val="3A133DDA"/>
    <w:rsid w:val="3A255BB6"/>
    <w:rsid w:val="3A275743"/>
    <w:rsid w:val="3A2E1875"/>
    <w:rsid w:val="3A30455A"/>
    <w:rsid w:val="3A555AC7"/>
    <w:rsid w:val="3A667F7C"/>
    <w:rsid w:val="3A777A93"/>
    <w:rsid w:val="3A8013C4"/>
    <w:rsid w:val="3A887EF3"/>
    <w:rsid w:val="3A8D5509"/>
    <w:rsid w:val="3A966BAD"/>
    <w:rsid w:val="3A97759C"/>
    <w:rsid w:val="3A9E5BF1"/>
    <w:rsid w:val="3AA42DFE"/>
    <w:rsid w:val="3AA615F1"/>
    <w:rsid w:val="3AAC208A"/>
    <w:rsid w:val="3AAD301B"/>
    <w:rsid w:val="3AB40CE8"/>
    <w:rsid w:val="3AB83A06"/>
    <w:rsid w:val="3AC52989"/>
    <w:rsid w:val="3AC536C4"/>
    <w:rsid w:val="3ADE35F9"/>
    <w:rsid w:val="3AE0388B"/>
    <w:rsid w:val="3AE72E6B"/>
    <w:rsid w:val="3AE76371"/>
    <w:rsid w:val="3AEC66D3"/>
    <w:rsid w:val="3AED7D56"/>
    <w:rsid w:val="3B194C97"/>
    <w:rsid w:val="3B2927FD"/>
    <w:rsid w:val="3B2C00ED"/>
    <w:rsid w:val="3B2E0A9A"/>
    <w:rsid w:val="3B312338"/>
    <w:rsid w:val="3B3622CB"/>
    <w:rsid w:val="3B38632C"/>
    <w:rsid w:val="3B39113B"/>
    <w:rsid w:val="3B3B6D13"/>
    <w:rsid w:val="3B3E6803"/>
    <w:rsid w:val="3B3F0E0A"/>
    <w:rsid w:val="3B464818"/>
    <w:rsid w:val="3B487DD2"/>
    <w:rsid w:val="3B556D1E"/>
    <w:rsid w:val="3B590718"/>
    <w:rsid w:val="3B6C15C2"/>
    <w:rsid w:val="3B766ECA"/>
    <w:rsid w:val="3B7F4E52"/>
    <w:rsid w:val="3B9A612F"/>
    <w:rsid w:val="3B9F48F2"/>
    <w:rsid w:val="3BA448B8"/>
    <w:rsid w:val="3BAC5E63"/>
    <w:rsid w:val="3BDA5B59"/>
    <w:rsid w:val="3BDB5D7E"/>
    <w:rsid w:val="3BE006DD"/>
    <w:rsid w:val="3BEE0229"/>
    <w:rsid w:val="3BF12EFF"/>
    <w:rsid w:val="3BF36061"/>
    <w:rsid w:val="3BF5780A"/>
    <w:rsid w:val="3BFC2946"/>
    <w:rsid w:val="3C180B48"/>
    <w:rsid w:val="3C1852A6"/>
    <w:rsid w:val="3C185482"/>
    <w:rsid w:val="3C2105FF"/>
    <w:rsid w:val="3C231901"/>
    <w:rsid w:val="3C2E089C"/>
    <w:rsid w:val="3C330DCD"/>
    <w:rsid w:val="3C3519B4"/>
    <w:rsid w:val="3C3A4558"/>
    <w:rsid w:val="3C3C71E7"/>
    <w:rsid w:val="3C4334E1"/>
    <w:rsid w:val="3C485B8B"/>
    <w:rsid w:val="3C50388C"/>
    <w:rsid w:val="3C683B38"/>
    <w:rsid w:val="3C6C6AB4"/>
    <w:rsid w:val="3C6D55F2"/>
    <w:rsid w:val="3C7F0ADC"/>
    <w:rsid w:val="3C8B1153"/>
    <w:rsid w:val="3CA415DC"/>
    <w:rsid w:val="3CAA75B3"/>
    <w:rsid w:val="3CB7686D"/>
    <w:rsid w:val="3CBF4BC3"/>
    <w:rsid w:val="3CC31CC0"/>
    <w:rsid w:val="3CCD7C2C"/>
    <w:rsid w:val="3CD1792F"/>
    <w:rsid w:val="3CE27DA1"/>
    <w:rsid w:val="3CE5162C"/>
    <w:rsid w:val="3CFE090C"/>
    <w:rsid w:val="3D023F8C"/>
    <w:rsid w:val="3D085996"/>
    <w:rsid w:val="3D0D11C2"/>
    <w:rsid w:val="3D111A30"/>
    <w:rsid w:val="3D291D7F"/>
    <w:rsid w:val="3D323CC5"/>
    <w:rsid w:val="3D350A60"/>
    <w:rsid w:val="3D475E43"/>
    <w:rsid w:val="3D624A2B"/>
    <w:rsid w:val="3D7A7FC6"/>
    <w:rsid w:val="3D7B8E33"/>
    <w:rsid w:val="3D7FC7A7"/>
    <w:rsid w:val="3D8A5D30"/>
    <w:rsid w:val="3D8B21D4"/>
    <w:rsid w:val="3D906C27"/>
    <w:rsid w:val="3D98044D"/>
    <w:rsid w:val="3DA23079"/>
    <w:rsid w:val="3DA908AC"/>
    <w:rsid w:val="3DB2551E"/>
    <w:rsid w:val="3DB64018"/>
    <w:rsid w:val="3DBF59D9"/>
    <w:rsid w:val="3DC01751"/>
    <w:rsid w:val="3DC1402E"/>
    <w:rsid w:val="3DD664F3"/>
    <w:rsid w:val="3DD86A9B"/>
    <w:rsid w:val="3DDB1939"/>
    <w:rsid w:val="3DE11DF4"/>
    <w:rsid w:val="3DE146D9"/>
    <w:rsid w:val="3E1809D7"/>
    <w:rsid w:val="3E325219"/>
    <w:rsid w:val="3E3A02BF"/>
    <w:rsid w:val="3E3F2FBE"/>
    <w:rsid w:val="3E4509F4"/>
    <w:rsid w:val="3E545920"/>
    <w:rsid w:val="3E54779F"/>
    <w:rsid w:val="3E6A2A01"/>
    <w:rsid w:val="3E79027E"/>
    <w:rsid w:val="3E950AA3"/>
    <w:rsid w:val="3E990920"/>
    <w:rsid w:val="3EA22B66"/>
    <w:rsid w:val="3EA758EA"/>
    <w:rsid w:val="3EC11C25"/>
    <w:rsid w:val="3EC23F85"/>
    <w:rsid w:val="3EC76E84"/>
    <w:rsid w:val="3EC80563"/>
    <w:rsid w:val="3ECA55DC"/>
    <w:rsid w:val="3ED1159C"/>
    <w:rsid w:val="3ED656D0"/>
    <w:rsid w:val="3ED96F6F"/>
    <w:rsid w:val="3EDB5211"/>
    <w:rsid w:val="3EEA49B5"/>
    <w:rsid w:val="3EFB0629"/>
    <w:rsid w:val="3EFF65D1"/>
    <w:rsid w:val="3EFFE064"/>
    <w:rsid w:val="3F033FEC"/>
    <w:rsid w:val="3F043BAC"/>
    <w:rsid w:val="3F073ADC"/>
    <w:rsid w:val="3F163D1F"/>
    <w:rsid w:val="3F282818"/>
    <w:rsid w:val="3F2F4154"/>
    <w:rsid w:val="3F2F4DE1"/>
    <w:rsid w:val="3F3146B5"/>
    <w:rsid w:val="3F317B24"/>
    <w:rsid w:val="3F3348D1"/>
    <w:rsid w:val="3F400F27"/>
    <w:rsid w:val="3F4516BE"/>
    <w:rsid w:val="3F593C0C"/>
    <w:rsid w:val="3F636838"/>
    <w:rsid w:val="3F6768F8"/>
    <w:rsid w:val="3F696545"/>
    <w:rsid w:val="3F7B6278"/>
    <w:rsid w:val="3F7F273B"/>
    <w:rsid w:val="3F8159E9"/>
    <w:rsid w:val="3F845538"/>
    <w:rsid w:val="3F865F7B"/>
    <w:rsid w:val="3F9609BC"/>
    <w:rsid w:val="3FB22D14"/>
    <w:rsid w:val="3FB47094"/>
    <w:rsid w:val="3FBB6674"/>
    <w:rsid w:val="3FBF43B6"/>
    <w:rsid w:val="3FD57736"/>
    <w:rsid w:val="3FE060DB"/>
    <w:rsid w:val="3FE963F4"/>
    <w:rsid w:val="3FEB7635"/>
    <w:rsid w:val="3FEC7FA4"/>
    <w:rsid w:val="3FED3D9D"/>
    <w:rsid w:val="3FF37BBC"/>
    <w:rsid w:val="3FFE14D4"/>
    <w:rsid w:val="400420D2"/>
    <w:rsid w:val="400726A3"/>
    <w:rsid w:val="400B13AA"/>
    <w:rsid w:val="400B75FC"/>
    <w:rsid w:val="400C20F1"/>
    <w:rsid w:val="401A339B"/>
    <w:rsid w:val="401A783F"/>
    <w:rsid w:val="4024246B"/>
    <w:rsid w:val="402E1DE0"/>
    <w:rsid w:val="403652D6"/>
    <w:rsid w:val="403840DD"/>
    <w:rsid w:val="403F549D"/>
    <w:rsid w:val="403F72A5"/>
    <w:rsid w:val="4043683C"/>
    <w:rsid w:val="404A3798"/>
    <w:rsid w:val="40504B71"/>
    <w:rsid w:val="40534DE2"/>
    <w:rsid w:val="40545A56"/>
    <w:rsid w:val="40580367"/>
    <w:rsid w:val="4065572F"/>
    <w:rsid w:val="406712EA"/>
    <w:rsid w:val="40703903"/>
    <w:rsid w:val="407D0E36"/>
    <w:rsid w:val="40820A80"/>
    <w:rsid w:val="40861EE8"/>
    <w:rsid w:val="408803E4"/>
    <w:rsid w:val="408829FA"/>
    <w:rsid w:val="408B151C"/>
    <w:rsid w:val="408F2C98"/>
    <w:rsid w:val="409F1AF2"/>
    <w:rsid w:val="40A84E4B"/>
    <w:rsid w:val="40A864A5"/>
    <w:rsid w:val="40B25CC9"/>
    <w:rsid w:val="40B3559D"/>
    <w:rsid w:val="40BA6D9E"/>
    <w:rsid w:val="40F77B80"/>
    <w:rsid w:val="4123053A"/>
    <w:rsid w:val="41232FB4"/>
    <w:rsid w:val="41262CC9"/>
    <w:rsid w:val="41281AE7"/>
    <w:rsid w:val="412C6752"/>
    <w:rsid w:val="413D1A37"/>
    <w:rsid w:val="41472C3B"/>
    <w:rsid w:val="41590C73"/>
    <w:rsid w:val="415B010F"/>
    <w:rsid w:val="415D0062"/>
    <w:rsid w:val="41727207"/>
    <w:rsid w:val="417A7DBD"/>
    <w:rsid w:val="417B6B36"/>
    <w:rsid w:val="41874A60"/>
    <w:rsid w:val="41916378"/>
    <w:rsid w:val="4194717D"/>
    <w:rsid w:val="41962EF5"/>
    <w:rsid w:val="41986C6D"/>
    <w:rsid w:val="41A05B22"/>
    <w:rsid w:val="41A970CC"/>
    <w:rsid w:val="41B15F81"/>
    <w:rsid w:val="41B16C01"/>
    <w:rsid w:val="41C71300"/>
    <w:rsid w:val="41C946BB"/>
    <w:rsid w:val="41CF221C"/>
    <w:rsid w:val="41D40529"/>
    <w:rsid w:val="41D659E7"/>
    <w:rsid w:val="41DA0001"/>
    <w:rsid w:val="41EE2342"/>
    <w:rsid w:val="41F145CF"/>
    <w:rsid w:val="41F66AB4"/>
    <w:rsid w:val="41F8513D"/>
    <w:rsid w:val="42094AAD"/>
    <w:rsid w:val="420E1F51"/>
    <w:rsid w:val="42101488"/>
    <w:rsid w:val="42204EB5"/>
    <w:rsid w:val="42460F98"/>
    <w:rsid w:val="424B6350"/>
    <w:rsid w:val="425012F6"/>
    <w:rsid w:val="4258464E"/>
    <w:rsid w:val="425D23F3"/>
    <w:rsid w:val="42636FFD"/>
    <w:rsid w:val="42660F50"/>
    <w:rsid w:val="42663439"/>
    <w:rsid w:val="426C1EA8"/>
    <w:rsid w:val="426D1943"/>
    <w:rsid w:val="42747E99"/>
    <w:rsid w:val="427A6530"/>
    <w:rsid w:val="4280129F"/>
    <w:rsid w:val="42843DDC"/>
    <w:rsid w:val="428575F7"/>
    <w:rsid w:val="428E62C2"/>
    <w:rsid w:val="42920343"/>
    <w:rsid w:val="429435EE"/>
    <w:rsid w:val="429546AA"/>
    <w:rsid w:val="429F227D"/>
    <w:rsid w:val="42B6222B"/>
    <w:rsid w:val="42B747E8"/>
    <w:rsid w:val="42B775C7"/>
    <w:rsid w:val="42BF022A"/>
    <w:rsid w:val="42C10446"/>
    <w:rsid w:val="42C20EB0"/>
    <w:rsid w:val="42D75573"/>
    <w:rsid w:val="42DA32B5"/>
    <w:rsid w:val="42E9656E"/>
    <w:rsid w:val="42ED3AA3"/>
    <w:rsid w:val="42EF7DFD"/>
    <w:rsid w:val="42F06635"/>
    <w:rsid w:val="42F84106"/>
    <w:rsid w:val="42FA74B4"/>
    <w:rsid w:val="43034C16"/>
    <w:rsid w:val="430D368B"/>
    <w:rsid w:val="43165982"/>
    <w:rsid w:val="43175059"/>
    <w:rsid w:val="43192030"/>
    <w:rsid w:val="432232ED"/>
    <w:rsid w:val="43282273"/>
    <w:rsid w:val="432F1853"/>
    <w:rsid w:val="43444883"/>
    <w:rsid w:val="43456981"/>
    <w:rsid w:val="435D021F"/>
    <w:rsid w:val="4376244C"/>
    <w:rsid w:val="438020AF"/>
    <w:rsid w:val="438D0328"/>
    <w:rsid w:val="439B2A45"/>
    <w:rsid w:val="43A21421"/>
    <w:rsid w:val="43AD2778"/>
    <w:rsid w:val="43AF26A1"/>
    <w:rsid w:val="43AF71D5"/>
    <w:rsid w:val="43B62A0B"/>
    <w:rsid w:val="43BD12DC"/>
    <w:rsid w:val="43BD26D0"/>
    <w:rsid w:val="43C04259"/>
    <w:rsid w:val="43C53F65"/>
    <w:rsid w:val="43CC2BFE"/>
    <w:rsid w:val="43DB5537"/>
    <w:rsid w:val="43DE6DD5"/>
    <w:rsid w:val="43EC504E"/>
    <w:rsid w:val="43F87FCF"/>
    <w:rsid w:val="43FD36FF"/>
    <w:rsid w:val="44044A8E"/>
    <w:rsid w:val="44054362"/>
    <w:rsid w:val="4406669F"/>
    <w:rsid w:val="440875AB"/>
    <w:rsid w:val="440E6B12"/>
    <w:rsid w:val="442347E8"/>
    <w:rsid w:val="442365C7"/>
    <w:rsid w:val="44241459"/>
    <w:rsid w:val="44246EDE"/>
    <w:rsid w:val="442C0756"/>
    <w:rsid w:val="44387F8A"/>
    <w:rsid w:val="44472EDA"/>
    <w:rsid w:val="444B1202"/>
    <w:rsid w:val="44513AB0"/>
    <w:rsid w:val="445B51E7"/>
    <w:rsid w:val="447137A5"/>
    <w:rsid w:val="44790D1E"/>
    <w:rsid w:val="447A08AC"/>
    <w:rsid w:val="447E374E"/>
    <w:rsid w:val="447F2366"/>
    <w:rsid w:val="44857D6C"/>
    <w:rsid w:val="44896D41"/>
    <w:rsid w:val="448D4A83"/>
    <w:rsid w:val="448E6105"/>
    <w:rsid w:val="449A2CFC"/>
    <w:rsid w:val="44B32010"/>
    <w:rsid w:val="44B45D9F"/>
    <w:rsid w:val="44B64DBE"/>
    <w:rsid w:val="44B6565C"/>
    <w:rsid w:val="44CB0122"/>
    <w:rsid w:val="44CE2F62"/>
    <w:rsid w:val="44CE6E4A"/>
    <w:rsid w:val="44D9745B"/>
    <w:rsid w:val="44E04B88"/>
    <w:rsid w:val="44F372BD"/>
    <w:rsid w:val="44F71EFD"/>
    <w:rsid w:val="44F92119"/>
    <w:rsid w:val="450311E5"/>
    <w:rsid w:val="45042EA6"/>
    <w:rsid w:val="45280308"/>
    <w:rsid w:val="452D3B70"/>
    <w:rsid w:val="45310096"/>
    <w:rsid w:val="454113CA"/>
    <w:rsid w:val="454809AA"/>
    <w:rsid w:val="454F7F8B"/>
    <w:rsid w:val="4557299B"/>
    <w:rsid w:val="455E344B"/>
    <w:rsid w:val="45633A36"/>
    <w:rsid w:val="456E3CBF"/>
    <w:rsid w:val="45723C79"/>
    <w:rsid w:val="457479F1"/>
    <w:rsid w:val="457C0654"/>
    <w:rsid w:val="458A1EA0"/>
    <w:rsid w:val="45905269"/>
    <w:rsid w:val="45C049E4"/>
    <w:rsid w:val="45D87F80"/>
    <w:rsid w:val="45E22164"/>
    <w:rsid w:val="45E52077"/>
    <w:rsid w:val="45EA1A61"/>
    <w:rsid w:val="45F80D1D"/>
    <w:rsid w:val="460102A4"/>
    <w:rsid w:val="46012DC4"/>
    <w:rsid w:val="461E02FB"/>
    <w:rsid w:val="46223350"/>
    <w:rsid w:val="4626747A"/>
    <w:rsid w:val="462D51B9"/>
    <w:rsid w:val="462F60CE"/>
    <w:rsid w:val="463351B6"/>
    <w:rsid w:val="4639764E"/>
    <w:rsid w:val="464E1FF0"/>
    <w:rsid w:val="46514DDA"/>
    <w:rsid w:val="466054CC"/>
    <w:rsid w:val="466435C2"/>
    <w:rsid w:val="46842935"/>
    <w:rsid w:val="4698770F"/>
    <w:rsid w:val="469D6BC0"/>
    <w:rsid w:val="469F7755"/>
    <w:rsid w:val="46B81B60"/>
    <w:rsid w:val="46BD7176"/>
    <w:rsid w:val="46D5001A"/>
    <w:rsid w:val="46F5391A"/>
    <w:rsid w:val="46F54B62"/>
    <w:rsid w:val="46FD7572"/>
    <w:rsid w:val="47046B53"/>
    <w:rsid w:val="470B1912"/>
    <w:rsid w:val="471C1062"/>
    <w:rsid w:val="47253FDA"/>
    <w:rsid w:val="472D0EE5"/>
    <w:rsid w:val="473A4323"/>
    <w:rsid w:val="473C62ED"/>
    <w:rsid w:val="473E2065"/>
    <w:rsid w:val="473F2011"/>
    <w:rsid w:val="474451A1"/>
    <w:rsid w:val="47447692"/>
    <w:rsid w:val="47462CC7"/>
    <w:rsid w:val="4752390A"/>
    <w:rsid w:val="47525598"/>
    <w:rsid w:val="47555055"/>
    <w:rsid w:val="47631ACB"/>
    <w:rsid w:val="4772770F"/>
    <w:rsid w:val="47771C9E"/>
    <w:rsid w:val="477F0A9E"/>
    <w:rsid w:val="478D6B48"/>
    <w:rsid w:val="479522D1"/>
    <w:rsid w:val="47984766"/>
    <w:rsid w:val="47A504B5"/>
    <w:rsid w:val="47A81BD4"/>
    <w:rsid w:val="47AD0F98"/>
    <w:rsid w:val="47B265C4"/>
    <w:rsid w:val="47BA5463"/>
    <w:rsid w:val="47BE4A4F"/>
    <w:rsid w:val="47C562E2"/>
    <w:rsid w:val="47CD163B"/>
    <w:rsid w:val="47DC13C2"/>
    <w:rsid w:val="47DD7AD0"/>
    <w:rsid w:val="47E26E94"/>
    <w:rsid w:val="47E66258"/>
    <w:rsid w:val="47E86474"/>
    <w:rsid w:val="47E9061D"/>
    <w:rsid w:val="47E94480"/>
    <w:rsid w:val="47EF1F72"/>
    <w:rsid w:val="47FA25CC"/>
    <w:rsid w:val="48013092"/>
    <w:rsid w:val="48052B82"/>
    <w:rsid w:val="48055E32"/>
    <w:rsid w:val="480D6AD1"/>
    <w:rsid w:val="48106BCA"/>
    <w:rsid w:val="48164D90"/>
    <w:rsid w:val="481711A1"/>
    <w:rsid w:val="48346666"/>
    <w:rsid w:val="48390DC3"/>
    <w:rsid w:val="483F7A92"/>
    <w:rsid w:val="48451320"/>
    <w:rsid w:val="484C07B1"/>
    <w:rsid w:val="48537D33"/>
    <w:rsid w:val="48563CF1"/>
    <w:rsid w:val="486462C0"/>
    <w:rsid w:val="487A0934"/>
    <w:rsid w:val="488D58E9"/>
    <w:rsid w:val="489020D3"/>
    <w:rsid w:val="489D335A"/>
    <w:rsid w:val="489F2FD7"/>
    <w:rsid w:val="48AA1851"/>
    <w:rsid w:val="48B12A32"/>
    <w:rsid w:val="48B2033C"/>
    <w:rsid w:val="48B56357"/>
    <w:rsid w:val="48B665AF"/>
    <w:rsid w:val="48BA34D8"/>
    <w:rsid w:val="48BB1493"/>
    <w:rsid w:val="48BC2937"/>
    <w:rsid w:val="48BD6383"/>
    <w:rsid w:val="48C446B9"/>
    <w:rsid w:val="48D45403"/>
    <w:rsid w:val="48F25723"/>
    <w:rsid w:val="48FC7B5E"/>
    <w:rsid w:val="490E1F0B"/>
    <w:rsid w:val="491237A9"/>
    <w:rsid w:val="491276B1"/>
    <w:rsid w:val="491446BA"/>
    <w:rsid w:val="491B4D4A"/>
    <w:rsid w:val="491B62B8"/>
    <w:rsid w:val="49296D45"/>
    <w:rsid w:val="492B486B"/>
    <w:rsid w:val="49346E87"/>
    <w:rsid w:val="49474F7F"/>
    <w:rsid w:val="494D1980"/>
    <w:rsid w:val="496F0025"/>
    <w:rsid w:val="49764DDF"/>
    <w:rsid w:val="49867CF3"/>
    <w:rsid w:val="498817B3"/>
    <w:rsid w:val="49926698"/>
    <w:rsid w:val="49A931C2"/>
    <w:rsid w:val="49AB4468"/>
    <w:rsid w:val="49AB7375"/>
    <w:rsid w:val="49B63718"/>
    <w:rsid w:val="49BF3E9A"/>
    <w:rsid w:val="49C511F2"/>
    <w:rsid w:val="49CD147E"/>
    <w:rsid w:val="49D36616"/>
    <w:rsid w:val="49E03C68"/>
    <w:rsid w:val="49E62540"/>
    <w:rsid w:val="49EA7473"/>
    <w:rsid w:val="49F79798"/>
    <w:rsid w:val="49F8205B"/>
    <w:rsid w:val="4A037596"/>
    <w:rsid w:val="4A1452FF"/>
    <w:rsid w:val="4A1672C9"/>
    <w:rsid w:val="4A177416"/>
    <w:rsid w:val="4A192915"/>
    <w:rsid w:val="4A1B0109"/>
    <w:rsid w:val="4A1C41B3"/>
    <w:rsid w:val="4A233794"/>
    <w:rsid w:val="4A2A34A6"/>
    <w:rsid w:val="4A325785"/>
    <w:rsid w:val="4A443111"/>
    <w:rsid w:val="4A463EF1"/>
    <w:rsid w:val="4A51531E"/>
    <w:rsid w:val="4A541B9F"/>
    <w:rsid w:val="4A5A21DD"/>
    <w:rsid w:val="4A677C86"/>
    <w:rsid w:val="4A761B16"/>
    <w:rsid w:val="4A7B010A"/>
    <w:rsid w:val="4A7E6C1C"/>
    <w:rsid w:val="4A896EA6"/>
    <w:rsid w:val="4A8C758B"/>
    <w:rsid w:val="4A9B332A"/>
    <w:rsid w:val="4AA3160E"/>
    <w:rsid w:val="4AA62FA2"/>
    <w:rsid w:val="4ABF5D42"/>
    <w:rsid w:val="4AC231F9"/>
    <w:rsid w:val="4AD52CE0"/>
    <w:rsid w:val="4AD70271"/>
    <w:rsid w:val="4AE9678B"/>
    <w:rsid w:val="4AEB35C7"/>
    <w:rsid w:val="4AEC49F7"/>
    <w:rsid w:val="4AF173EE"/>
    <w:rsid w:val="4AFC15E2"/>
    <w:rsid w:val="4B2D0745"/>
    <w:rsid w:val="4B3043BA"/>
    <w:rsid w:val="4B3C67D0"/>
    <w:rsid w:val="4B3D2633"/>
    <w:rsid w:val="4B441C14"/>
    <w:rsid w:val="4B457FAC"/>
    <w:rsid w:val="4B4F633B"/>
    <w:rsid w:val="4B6E0A3F"/>
    <w:rsid w:val="4B726781"/>
    <w:rsid w:val="4B7D56B6"/>
    <w:rsid w:val="4B8B7843"/>
    <w:rsid w:val="4B9033F9"/>
    <w:rsid w:val="4B904E59"/>
    <w:rsid w:val="4B985147"/>
    <w:rsid w:val="4B9E2029"/>
    <w:rsid w:val="4BA70393"/>
    <w:rsid w:val="4BB46603"/>
    <w:rsid w:val="4BC6087B"/>
    <w:rsid w:val="4BC76E45"/>
    <w:rsid w:val="4BE920CC"/>
    <w:rsid w:val="4BEA7576"/>
    <w:rsid w:val="4BEC2CBC"/>
    <w:rsid w:val="4BFF2B58"/>
    <w:rsid w:val="4C0101AF"/>
    <w:rsid w:val="4C020004"/>
    <w:rsid w:val="4C0A4C0B"/>
    <w:rsid w:val="4C0D22EF"/>
    <w:rsid w:val="4C1A57FA"/>
    <w:rsid w:val="4C213D03"/>
    <w:rsid w:val="4C324F11"/>
    <w:rsid w:val="4C3337D0"/>
    <w:rsid w:val="4C35155C"/>
    <w:rsid w:val="4C417F01"/>
    <w:rsid w:val="4C473F13"/>
    <w:rsid w:val="4C48508A"/>
    <w:rsid w:val="4C55703E"/>
    <w:rsid w:val="4C5639AD"/>
    <w:rsid w:val="4C5E6D05"/>
    <w:rsid w:val="4C642BED"/>
    <w:rsid w:val="4C6D6020"/>
    <w:rsid w:val="4C704ACB"/>
    <w:rsid w:val="4C716172"/>
    <w:rsid w:val="4C716A38"/>
    <w:rsid w:val="4C872AB0"/>
    <w:rsid w:val="4C8C0F81"/>
    <w:rsid w:val="4C96024D"/>
    <w:rsid w:val="4CC55E4A"/>
    <w:rsid w:val="4CC630F0"/>
    <w:rsid w:val="4CD41425"/>
    <w:rsid w:val="4CD63FF2"/>
    <w:rsid w:val="4CDA6CA2"/>
    <w:rsid w:val="4CDF1BF4"/>
    <w:rsid w:val="4CEF1113"/>
    <w:rsid w:val="4D0715B0"/>
    <w:rsid w:val="4D073D3E"/>
    <w:rsid w:val="4D0A6956"/>
    <w:rsid w:val="4D0B243D"/>
    <w:rsid w:val="4D152D63"/>
    <w:rsid w:val="4D186EB4"/>
    <w:rsid w:val="4D1D5FF5"/>
    <w:rsid w:val="4D32534A"/>
    <w:rsid w:val="4D4139F4"/>
    <w:rsid w:val="4D4D6AF7"/>
    <w:rsid w:val="4D5A74CD"/>
    <w:rsid w:val="4D5B0EA9"/>
    <w:rsid w:val="4D5F0F87"/>
    <w:rsid w:val="4D5F5911"/>
    <w:rsid w:val="4D5F70B9"/>
    <w:rsid w:val="4D650246"/>
    <w:rsid w:val="4D697710"/>
    <w:rsid w:val="4D6A5D1E"/>
    <w:rsid w:val="4D6D26F1"/>
    <w:rsid w:val="4D7A36CB"/>
    <w:rsid w:val="4D7B7443"/>
    <w:rsid w:val="4D7E371C"/>
    <w:rsid w:val="4D820D2C"/>
    <w:rsid w:val="4D84279B"/>
    <w:rsid w:val="4D8E7176"/>
    <w:rsid w:val="4D92309B"/>
    <w:rsid w:val="4D9724CF"/>
    <w:rsid w:val="4D97427D"/>
    <w:rsid w:val="4DA92202"/>
    <w:rsid w:val="4DBA7F6B"/>
    <w:rsid w:val="4DCD7D36"/>
    <w:rsid w:val="4DD252B5"/>
    <w:rsid w:val="4DD51249"/>
    <w:rsid w:val="4DDE60C6"/>
    <w:rsid w:val="4DEB281B"/>
    <w:rsid w:val="4DFC79FB"/>
    <w:rsid w:val="4DFF1948"/>
    <w:rsid w:val="4E094A4F"/>
    <w:rsid w:val="4E127DA7"/>
    <w:rsid w:val="4E1C4782"/>
    <w:rsid w:val="4E1F24C4"/>
    <w:rsid w:val="4E2A2792"/>
    <w:rsid w:val="4E2C6A15"/>
    <w:rsid w:val="4E2D0C6E"/>
    <w:rsid w:val="4E2D2E33"/>
    <w:rsid w:val="4E2D342F"/>
    <w:rsid w:val="4E3B22A8"/>
    <w:rsid w:val="4E3C4E24"/>
    <w:rsid w:val="4E51210A"/>
    <w:rsid w:val="4E5C0A36"/>
    <w:rsid w:val="4E6C1FEA"/>
    <w:rsid w:val="4E6C395B"/>
    <w:rsid w:val="4E723AB7"/>
    <w:rsid w:val="4E7716C8"/>
    <w:rsid w:val="4E775315"/>
    <w:rsid w:val="4E7B76FB"/>
    <w:rsid w:val="4E9B71A2"/>
    <w:rsid w:val="4E9F05D8"/>
    <w:rsid w:val="4EA23897"/>
    <w:rsid w:val="4EB24A14"/>
    <w:rsid w:val="4EB46EE3"/>
    <w:rsid w:val="4EB47AF7"/>
    <w:rsid w:val="4EB55604"/>
    <w:rsid w:val="4ECA5924"/>
    <w:rsid w:val="4EDB63EB"/>
    <w:rsid w:val="4EDD2163"/>
    <w:rsid w:val="4EE8138B"/>
    <w:rsid w:val="4EF120B3"/>
    <w:rsid w:val="4EF13E61"/>
    <w:rsid w:val="4EF376A5"/>
    <w:rsid w:val="4F0C2A48"/>
    <w:rsid w:val="4F0E4A13"/>
    <w:rsid w:val="4F177185"/>
    <w:rsid w:val="4F1869D4"/>
    <w:rsid w:val="4F204746"/>
    <w:rsid w:val="4F2A516F"/>
    <w:rsid w:val="4F3124AF"/>
    <w:rsid w:val="4F31425D"/>
    <w:rsid w:val="4F493C9D"/>
    <w:rsid w:val="4F4949CF"/>
    <w:rsid w:val="4F494BAD"/>
    <w:rsid w:val="4F4E41FB"/>
    <w:rsid w:val="4F583EE0"/>
    <w:rsid w:val="4F624D5E"/>
    <w:rsid w:val="4F6904FD"/>
    <w:rsid w:val="4F6E3F54"/>
    <w:rsid w:val="4F9C031A"/>
    <w:rsid w:val="4FAD422B"/>
    <w:rsid w:val="4FB05A0F"/>
    <w:rsid w:val="4FB15981"/>
    <w:rsid w:val="4FB3121A"/>
    <w:rsid w:val="4FB875C8"/>
    <w:rsid w:val="4FC520EA"/>
    <w:rsid w:val="4FD80B7D"/>
    <w:rsid w:val="4FF97471"/>
    <w:rsid w:val="4FFA4F97"/>
    <w:rsid w:val="50026CC9"/>
    <w:rsid w:val="501A4B95"/>
    <w:rsid w:val="501A5E16"/>
    <w:rsid w:val="501C076E"/>
    <w:rsid w:val="501F0559"/>
    <w:rsid w:val="50290FD7"/>
    <w:rsid w:val="502B33A2"/>
    <w:rsid w:val="502D689C"/>
    <w:rsid w:val="50373AF5"/>
    <w:rsid w:val="503E4E84"/>
    <w:rsid w:val="50453EB9"/>
    <w:rsid w:val="50591CBD"/>
    <w:rsid w:val="505B4777"/>
    <w:rsid w:val="505C355C"/>
    <w:rsid w:val="50680152"/>
    <w:rsid w:val="506A211C"/>
    <w:rsid w:val="506B7F7B"/>
    <w:rsid w:val="50715259"/>
    <w:rsid w:val="50724B2D"/>
    <w:rsid w:val="507C775A"/>
    <w:rsid w:val="507E7976"/>
    <w:rsid w:val="50854860"/>
    <w:rsid w:val="50890FCE"/>
    <w:rsid w:val="508D7BB9"/>
    <w:rsid w:val="50913377"/>
    <w:rsid w:val="509251CF"/>
    <w:rsid w:val="50963798"/>
    <w:rsid w:val="509727E6"/>
    <w:rsid w:val="50A932A5"/>
    <w:rsid w:val="50BB7A74"/>
    <w:rsid w:val="50C64E79"/>
    <w:rsid w:val="50CA2BBB"/>
    <w:rsid w:val="50D33427"/>
    <w:rsid w:val="50E557B7"/>
    <w:rsid w:val="50F01ECE"/>
    <w:rsid w:val="50F43794"/>
    <w:rsid w:val="510559A1"/>
    <w:rsid w:val="511E2CD1"/>
    <w:rsid w:val="512344D4"/>
    <w:rsid w:val="51295B34"/>
    <w:rsid w:val="513444D8"/>
    <w:rsid w:val="513A1AEF"/>
    <w:rsid w:val="5153495F"/>
    <w:rsid w:val="51564B35"/>
    <w:rsid w:val="51652C4A"/>
    <w:rsid w:val="516A3A56"/>
    <w:rsid w:val="516E1798"/>
    <w:rsid w:val="51AB6549"/>
    <w:rsid w:val="51AF240B"/>
    <w:rsid w:val="51C15D6C"/>
    <w:rsid w:val="51C62035"/>
    <w:rsid w:val="51C650B7"/>
    <w:rsid w:val="51D84E64"/>
    <w:rsid w:val="51E2683F"/>
    <w:rsid w:val="51F960E4"/>
    <w:rsid w:val="51FA127E"/>
    <w:rsid w:val="51FED7AB"/>
    <w:rsid w:val="52075749"/>
    <w:rsid w:val="520B5239"/>
    <w:rsid w:val="521A1920"/>
    <w:rsid w:val="52224331"/>
    <w:rsid w:val="522F1477"/>
    <w:rsid w:val="523227C6"/>
    <w:rsid w:val="5244074B"/>
    <w:rsid w:val="525C3CE7"/>
    <w:rsid w:val="527C1C93"/>
    <w:rsid w:val="527D70DF"/>
    <w:rsid w:val="52817153"/>
    <w:rsid w:val="52846D9A"/>
    <w:rsid w:val="52860D64"/>
    <w:rsid w:val="529214B7"/>
    <w:rsid w:val="52AB2578"/>
    <w:rsid w:val="52B00B89"/>
    <w:rsid w:val="52B256B5"/>
    <w:rsid w:val="52B44881"/>
    <w:rsid w:val="52CB49C9"/>
    <w:rsid w:val="52CC3F22"/>
    <w:rsid w:val="52CF44B9"/>
    <w:rsid w:val="52D10231"/>
    <w:rsid w:val="52D253E8"/>
    <w:rsid w:val="52D95337"/>
    <w:rsid w:val="52E30126"/>
    <w:rsid w:val="52E31E5C"/>
    <w:rsid w:val="52F474CB"/>
    <w:rsid w:val="52F74AE0"/>
    <w:rsid w:val="52F77989"/>
    <w:rsid w:val="52F9212F"/>
    <w:rsid w:val="52F952B1"/>
    <w:rsid w:val="53073C53"/>
    <w:rsid w:val="530F0D59"/>
    <w:rsid w:val="530F4D20"/>
    <w:rsid w:val="532742F5"/>
    <w:rsid w:val="53285977"/>
    <w:rsid w:val="532A5BF4"/>
    <w:rsid w:val="5334431C"/>
    <w:rsid w:val="534702D4"/>
    <w:rsid w:val="53476745"/>
    <w:rsid w:val="534F73A8"/>
    <w:rsid w:val="53511372"/>
    <w:rsid w:val="5355559A"/>
    <w:rsid w:val="535E75EB"/>
    <w:rsid w:val="537515AD"/>
    <w:rsid w:val="537A2677"/>
    <w:rsid w:val="537B4B6C"/>
    <w:rsid w:val="537B63EF"/>
    <w:rsid w:val="537F39A3"/>
    <w:rsid w:val="537F5EDF"/>
    <w:rsid w:val="5386726D"/>
    <w:rsid w:val="539D0113"/>
    <w:rsid w:val="539E6B93"/>
    <w:rsid w:val="53A92F5C"/>
    <w:rsid w:val="53B8319F"/>
    <w:rsid w:val="53CC09F8"/>
    <w:rsid w:val="53D22848"/>
    <w:rsid w:val="53D820DF"/>
    <w:rsid w:val="53D901B4"/>
    <w:rsid w:val="53DA4EC3"/>
    <w:rsid w:val="53E144A4"/>
    <w:rsid w:val="53E4044E"/>
    <w:rsid w:val="53F35F85"/>
    <w:rsid w:val="5411465D"/>
    <w:rsid w:val="54137F65"/>
    <w:rsid w:val="5422686A"/>
    <w:rsid w:val="5426635A"/>
    <w:rsid w:val="54280337"/>
    <w:rsid w:val="542E16B3"/>
    <w:rsid w:val="543A43CC"/>
    <w:rsid w:val="54420CBA"/>
    <w:rsid w:val="54444A33"/>
    <w:rsid w:val="544904D7"/>
    <w:rsid w:val="5450093F"/>
    <w:rsid w:val="54554E92"/>
    <w:rsid w:val="54586C98"/>
    <w:rsid w:val="545B74F3"/>
    <w:rsid w:val="545C4D54"/>
    <w:rsid w:val="546276C0"/>
    <w:rsid w:val="54681ED8"/>
    <w:rsid w:val="546B6463"/>
    <w:rsid w:val="546C21D2"/>
    <w:rsid w:val="546D50F9"/>
    <w:rsid w:val="5472094E"/>
    <w:rsid w:val="547464BB"/>
    <w:rsid w:val="547E7F44"/>
    <w:rsid w:val="54876616"/>
    <w:rsid w:val="548B1211"/>
    <w:rsid w:val="54A11FA8"/>
    <w:rsid w:val="54A379AB"/>
    <w:rsid w:val="54B4761F"/>
    <w:rsid w:val="54B51BE7"/>
    <w:rsid w:val="54C94F38"/>
    <w:rsid w:val="54E3249D"/>
    <w:rsid w:val="54E611A9"/>
    <w:rsid w:val="54FB1AB5"/>
    <w:rsid w:val="55012924"/>
    <w:rsid w:val="55023300"/>
    <w:rsid w:val="55024449"/>
    <w:rsid w:val="550D4F02"/>
    <w:rsid w:val="55197C6D"/>
    <w:rsid w:val="551B5793"/>
    <w:rsid w:val="55205667"/>
    <w:rsid w:val="55252BF3"/>
    <w:rsid w:val="55284354"/>
    <w:rsid w:val="55432F5A"/>
    <w:rsid w:val="554F1EDC"/>
    <w:rsid w:val="55546EF7"/>
    <w:rsid w:val="555D2250"/>
    <w:rsid w:val="555E538C"/>
    <w:rsid w:val="556233C2"/>
    <w:rsid w:val="556C6C12"/>
    <w:rsid w:val="558275C0"/>
    <w:rsid w:val="5587780D"/>
    <w:rsid w:val="55915A56"/>
    <w:rsid w:val="5595676E"/>
    <w:rsid w:val="559A40E3"/>
    <w:rsid w:val="559D75BB"/>
    <w:rsid w:val="55A11E46"/>
    <w:rsid w:val="55A560C9"/>
    <w:rsid w:val="55BE07DE"/>
    <w:rsid w:val="55CE0A58"/>
    <w:rsid w:val="55E0260E"/>
    <w:rsid w:val="55FA39F7"/>
    <w:rsid w:val="55FB7234"/>
    <w:rsid w:val="561602FF"/>
    <w:rsid w:val="56172F89"/>
    <w:rsid w:val="56186810"/>
    <w:rsid w:val="561D19DF"/>
    <w:rsid w:val="5621502B"/>
    <w:rsid w:val="562640D5"/>
    <w:rsid w:val="56273D63"/>
    <w:rsid w:val="562C577E"/>
    <w:rsid w:val="562E7748"/>
    <w:rsid w:val="563111E4"/>
    <w:rsid w:val="56374257"/>
    <w:rsid w:val="56467626"/>
    <w:rsid w:val="564A39F3"/>
    <w:rsid w:val="564F14CD"/>
    <w:rsid w:val="56502273"/>
    <w:rsid w:val="565A053D"/>
    <w:rsid w:val="567333AD"/>
    <w:rsid w:val="56786C15"/>
    <w:rsid w:val="568573B9"/>
    <w:rsid w:val="5689439D"/>
    <w:rsid w:val="568B4B9B"/>
    <w:rsid w:val="568E01E7"/>
    <w:rsid w:val="569D4B34"/>
    <w:rsid w:val="569F2107"/>
    <w:rsid w:val="56A04F44"/>
    <w:rsid w:val="56A1616C"/>
    <w:rsid w:val="56A17F1A"/>
    <w:rsid w:val="56AD12F0"/>
    <w:rsid w:val="56B84917"/>
    <w:rsid w:val="56BE74D5"/>
    <w:rsid w:val="56D14B3F"/>
    <w:rsid w:val="56D54068"/>
    <w:rsid w:val="56DE1CF7"/>
    <w:rsid w:val="56E12A0D"/>
    <w:rsid w:val="56E67B2E"/>
    <w:rsid w:val="56E878F7"/>
    <w:rsid w:val="56EC71A5"/>
    <w:rsid w:val="56F269C8"/>
    <w:rsid w:val="56FB5DFE"/>
    <w:rsid w:val="5706687C"/>
    <w:rsid w:val="570F30D6"/>
    <w:rsid w:val="5710296C"/>
    <w:rsid w:val="57121CF9"/>
    <w:rsid w:val="57171229"/>
    <w:rsid w:val="571C7B48"/>
    <w:rsid w:val="57213618"/>
    <w:rsid w:val="57272B15"/>
    <w:rsid w:val="573329EF"/>
    <w:rsid w:val="573460F9"/>
    <w:rsid w:val="573516D7"/>
    <w:rsid w:val="573945F7"/>
    <w:rsid w:val="575D2D0E"/>
    <w:rsid w:val="5773063E"/>
    <w:rsid w:val="57853398"/>
    <w:rsid w:val="57866E87"/>
    <w:rsid w:val="578810DA"/>
    <w:rsid w:val="57882FEA"/>
    <w:rsid w:val="578E4942"/>
    <w:rsid w:val="57923F19"/>
    <w:rsid w:val="57A35F14"/>
    <w:rsid w:val="57A86F73"/>
    <w:rsid w:val="57AA1051"/>
    <w:rsid w:val="57AC20C3"/>
    <w:rsid w:val="57AF2B0B"/>
    <w:rsid w:val="57B071DC"/>
    <w:rsid w:val="57BD3B8D"/>
    <w:rsid w:val="57CD6464"/>
    <w:rsid w:val="57D71FAD"/>
    <w:rsid w:val="57DA53F5"/>
    <w:rsid w:val="57DC700A"/>
    <w:rsid w:val="57E02CC4"/>
    <w:rsid w:val="57E91B79"/>
    <w:rsid w:val="57FD5624"/>
    <w:rsid w:val="57FF139C"/>
    <w:rsid w:val="580746F5"/>
    <w:rsid w:val="580F4E67"/>
    <w:rsid w:val="581F1A3E"/>
    <w:rsid w:val="58333B00"/>
    <w:rsid w:val="583845FD"/>
    <w:rsid w:val="58466FCB"/>
    <w:rsid w:val="584D3D28"/>
    <w:rsid w:val="584E5E80"/>
    <w:rsid w:val="58501B12"/>
    <w:rsid w:val="58501BF8"/>
    <w:rsid w:val="5852474B"/>
    <w:rsid w:val="585B70A2"/>
    <w:rsid w:val="585C47A7"/>
    <w:rsid w:val="58636A07"/>
    <w:rsid w:val="5866141B"/>
    <w:rsid w:val="58690F0C"/>
    <w:rsid w:val="586E6522"/>
    <w:rsid w:val="5875165E"/>
    <w:rsid w:val="588F4504"/>
    <w:rsid w:val="58931AE5"/>
    <w:rsid w:val="58935F89"/>
    <w:rsid w:val="589870FB"/>
    <w:rsid w:val="58A124C5"/>
    <w:rsid w:val="58A1799A"/>
    <w:rsid w:val="58A50CE3"/>
    <w:rsid w:val="58A61818"/>
    <w:rsid w:val="58A934E5"/>
    <w:rsid w:val="58C249B8"/>
    <w:rsid w:val="58C319FE"/>
    <w:rsid w:val="58C35579"/>
    <w:rsid w:val="58E0114E"/>
    <w:rsid w:val="58ED4416"/>
    <w:rsid w:val="58F20F01"/>
    <w:rsid w:val="58FC58DC"/>
    <w:rsid w:val="58FE78A6"/>
    <w:rsid w:val="58FF717A"/>
    <w:rsid w:val="590066E2"/>
    <w:rsid w:val="59180056"/>
    <w:rsid w:val="59213594"/>
    <w:rsid w:val="59262DF0"/>
    <w:rsid w:val="59284923"/>
    <w:rsid w:val="592875B7"/>
    <w:rsid w:val="592F5CB1"/>
    <w:rsid w:val="593B6705"/>
    <w:rsid w:val="594E0E62"/>
    <w:rsid w:val="5952374E"/>
    <w:rsid w:val="5958305D"/>
    <w:rsid w:val="59657925"/>
    <w:rsid w:val="59682F71"/>
    <w:rsid w:val="5969633E"/>
    <w:rsid w:val="59710803"/>
    <w:rsid w:val="59725B9E"/>
    <w:rsid w:val="597B0EF6"/>
    <w:rsid w:val="597E09E7"/>
    <w:rsid w:val="597E1991"/>
    <w:rsid w:val="598F535C"/>
    <w:rsid w:val="59971C18"/>
    <w:rsid w:val="5999312B"/>
    <w:rsid w:val="599E0635"/>
    <w:rsid w:val="599F73C0"/>
    <w:rsid w:val="59B63922"/>
    <w:rsid w:val="59BD150F"/>
    <w:rsid w:val="59C3464B"/>
    <w:rsid w:val="59CC65A5"/>
    <w:rsid w:val="59D86349"/>
    <w:rsid w:val="59D939CB"/>
    <w:rsid w:val="59D97F54"/>
    <w:rsid w:val="59E00D5A"/>
    <w:rsid w:val="59E62EFD"/>
    <w:rsid w:val="59F01958"/>
    <w:rsid w:val="59F139BC"/>
    <w:rsid w:val="59F60573"/>
    <w:rsid w:val="59F807F2"/>
    <w:rsid w:val="59F91837"/>
    <w:rsid w:val="59FD60DA"/>
    <w:rsid w:val="5A074538"/>
    <w:rsid w:val="5A0A5DD6"/>
    <w:rsid w:val="5A13112F"/>
    <w:rsid w:val="5A181C21"/>
    <w:rsid w:val="5A195980"/>
    <w:rsid w:val="5A1F5D26"/>
    <w:rsid w:val="5A3A2B60"/>
    <w:rsid w:val="5A3F6F16"/>
    <w:rsid w:val="5A4F0EF0"/>
    <w:rsid w:val="5A5B4884"/>
    <w:rsid w:val="5A5D684E"/>
    <w:rsid w:val="5A750C53"/>
    <w:rsid w:val="5A7704CB"/>
    <w:rsid w:val="5A7D47FA"/>
    <w:rsid w:val="5A8D6E0C"/>
    <w:rsid w:val="5A980B76"/>
    <w:rsid w:val="5A9E1033"/>
    <w:rsid w:val="5AA250DE"/>
    <w:rsid w:val="5AB97AD3"/>
    <w:rsid w:val="5ABF5408"/>
    <w:rsid w:val="5AC206B0"/>
    <w:rsid w:val="5AD67E7D"/>
    <w:rsid w:val="5ADA1C4D"/>
    <w:rsid w:val="5AE26499"/>
    <w:rsid w:val="5AE605F2"/>
    <w:rsid w:val="5AF039BF"/>
    <w:rsid w:val="5AF9563A"/>
    <w:rsid w:val="5B072679"/>
    <w:rsid w:val="5B0A1350"/>
    <w:rsid w:val="5B0B0058"/>
    <w:rsid w:val="5B0E18F6"/>
    <w:rsid w:val="5B1213E7"/>
    <w:rsid w:val="5B136F0D"/>
    <w:rsid w:val="5B166905"/>
    <w:rsid w:val="5B174C4F"/>
    <w:rsid w:val="5B184523"/>
    <w:rsid w:val="5B1E3003"/>
    <w:rsid w:val="5B245E69"/>
    <w:rsid w:val="5B2555BE"/>
    <w:rsid w:val="5B266C40"/>
    <w:rsid w:val="5B296730"/>
    <w:rsid w:val="5B2D4472"/>
    <w:rsid w:val="5B484E08"/>
    <w:rsid w:val="5B4E5BA4"/>
    <w:rsid w:val="5B595267"/>
    <w:rsid w:val="5B690C52"/>
    <w:rsid w:val="5B693109"/>
    <w:rsid w:val="5B6C3892"/>
    <w:rsid w:val="5B6D2E51"/>
    <w:rsid w:val="5B751328"/>
    <w:rsid w:val="5B772776"/>
    <w:rsid w:val="5B7D4181"/>
    <w:rsid w:val="5B811D24"/>
    <w:rsid w:val="5B863B83"/>
    <w:rsid w:val="5B9A713D"/>
    <w:rsid w:val="5B9E71EA"/>
    <w:rsid w:val="5BA02E96"/>
    <w:rsid w:val="5BA760CF"/>
    <w:rsid w:val="5BAC35E9"/>
    <w:rsid w:val="5BB73D3C"/>
    <w:rsid w:val="5BBF62CE"/>
    <w:rsid w:val="5BC621D1"/>
    <w:rsid w:val="5BD462C2"/>
    <w:rsid w:val="5BE43B83"/>
    <w:rsid w:val="5C005982"/>
    <w:rsid w:val="5C00658B"/>
    <w:rsid w:val="5C010D1F"/>
    <w:rsid w:val="5C052CF9"/>
    <w:rsid w:val="5C074786"/>
    <w:rsid w:val="5C0C22DA"/>
    <w:rsid w:val="5C2A2760"/>
    <w:rsid w:val="5C3842C4"/>
    <w:rsid w:val="5C3E5DFE"/>
    <w:rsid w:val="5C487C2A"/>
    <w:rsid w:val="5C4E74AD"/>
    <w:rsid w:val="5C5439EC"/>
    <w:rsid w:val="5C5F49DD"/>
    <w:rsid w:val="5C693288"/>
    <w:rsid w:val="5C6C2D78"/>
    <w:rsid w:val="5C6D36D2"/>
    <w:rsid w:val="5C6D5491"/>
    <w:rsid w:val="5C7316A5"/>
    <w:rsid w:val="5C761E49"/>
    <w:rsid w:val="5C7D31D8"/>
    <w:rsid w:val="5C7D4904"/>
    <w:rsid w:val="5C8512CA"/>
    <w:rsid w:val="5C981DBF"/>
    <w:rsid w:val="5C9936CF"/>
    <w:rsid w:val="5CA23B5F"/>
    <w:rsid w:val="5CA90607"/>
    <w:rsid w:val="5CAA1613"/>
    <w:rsid w:val="5CB309A7"/>
    <w:rsid w:val="5CBC03EF"/>
    <w:rsid w:val="5CC6692D"/>
    <w:rsid w:val="5CD56B70"/>
    <w:rsid w:val="5CD77EE4"/>
    <w:rsid w:val="5CD858CA"/>
    <w:rsid w:val="5CDB388F"/>
    <w:rsid w:val="5CF1327E"/>
    <w:rsid w:val="5CF455D9"/>
    <w:rsid w:val="5CFF3BED"/>
    <w:rsid w:val="5D170F36"/>
    <w:rsid w:val="5D296A20"/>
    <w:rsid w:val="5D32709E"/>
    <w:rsid w:val="5D3362D5"/>
    <w:rsid w:val="5D420B99"/>
    <w:rsid w:val="5D4C069A"/>
    <w:rsid w:val="5D4E450D"/>
    <w:rsid w:val="5D5977A1"/>
    <w:rsid w:val="5D665A1A"/>
    <w:rsid w:val="5D6B35DA"/>
    <w:rsid w:val="5D6C4425"/>
    <w:rsid w:val="5D6FF579"/>
    <w:rsid w:val="5D720862"/>
    <w:rsid w:val="5D75463C"/>
    <w:rsid w:val="5D7C523D"/>
    <w:rsid w:val="5D7F2AAE"/>
    <w:rsid w:val="5D861C18"/>
    <w:rsid w:val="5D927755"/>
    <w:rsid w:val="5DA6050C"/>
    <w:rsid w:val="5DAB5B22"/>
    <w:rsid w:val="5DBB51C1"/>
    <w:rsid w:val="5DBE10E1"/>
    <w:rsid w:val="5DCA244C"/>
    <w:rsid w:val="5DCA4203"/>
    <w:rsid w:val="5DCE2892"/>
    <w:rsid w:val="5DE0709E"/>
    <w:rsid w:val="5DEA21A7"/>
    <w:rsid w:val="5DF772A8"/>
    <w:rsid w:val="5E115985"/>
    <w:rsid w:val="5E1E13C3"/>
    <w:rsid w:val="5E2C0A11"/>
    <w:rsid w:val="5E2E0348"/>
    <w:rsid w:val="5E343D6A"/>
    <w:rsid w:val="5E366E47"/>
    <w:rsid w:val="5E37325F"/>
    <w:rsid w:val="5E4044BD"/>
    <w:rsid w:val="5E4D1C42"/>
    <w:rsid w:val="5E5E1C13"/>
    <w:rsid w:val="5E5E5C71"/>
    <w:rsid w:val="5E616A32"/>
    <w:rsid w:val="5E695530"/>
    <w:rsid w:val="5E715389"/>
    <w:rsid w:val="5E7D257A"/>
    <w:rsid w:val="5E840FB5"/>
    <w:rsid w:val="5E8B7C7A"/>
    <w:rsid w:val="5EAA582E"/>
    <w:rsid w:val="5EAD6043"/>
    <w:rsid w:val="5EB56C59"/>
    <w:rsid w:val="5EC37CAF"/>
    <w:rsid w:val="5EDA66BF"/>
    <w:rsid w:val="5EE02DCE"/>
    <w:rsid w:val="5EE300F9"/>
    <w:rsid w:val="5EEA61D6"/>
    <w:rsid w:val="5EF57055"/>
    <w:rsid w:val="5EFA7CCD"/>
    <w:rsid w:val="5EFB33AB"/>
    <w:rsid w:val="5F137C44"/>
    <w:rsid w:val="5F1C2834"/>
    <w:rsid w:val="5F225970"/>
    <w:rsid w:val="5F294E05"/>
    <w:rsid w:val="5F41229A"/>
    <w:rsid w:val="5F4F0E5B"/>
    <w:rsid w:val="5F525F6D"/>
    <w:rsid w:val="5F5737A7"/>
    <w:rsid w:val="5F630463"/>
    <w:rsid w:val="5F6661A5"/>
    <w:rsid w:val="5F6B30AD"/>
    <w:rsid w:val="5F6D3AE8"/>
    <w:rsid w:val="5F7C7776"/>
    <w:rsid w:val="5F871C04"/>
    <w:rsid w:val="5F876FD6"/>
    <w:rsid w:val="5F8E3006"/>
    <w:rsid w:val="5F903222"/>
    <w:rsid w:val="5F963751"/>
    <w:rsid w:val="5FA11C3D"/>
    <w:rsid w:val="5FAF889E"/>
    <w:rsid w:val="5FB019CD"/>
    <w:rsid w:val="5FB521ED"/>
    <w:rsid w:val="5FBA3DFB"/>
    <w:rsid w:val="5FBA7ED5"/>
    <w:rsid w:val="5FBE0534"/>
    <w:rsid w:val="5FC01AAC"/>
    <w:rsid w:val="5FCD6066"/>
    <w:rsid w:val="5FDC73C0"/>
    <w:rsid w:val="5FE17541"/>
    <w:rsid w:val="5FEF7F48"/>
    <w:rsid w:val="5FF612D7"/>
    <w:rsid w:val="5FFC655A"/>
    <w:rsid w:val="6002309A"/>
    <w:rsid w:val="600F3F91"/>
    <w:rsid w:val="601C4AB5"/>
    <w:rsid w:val="601E5FE9"/>
    <w:rsid w:val="60297E04"/>
    <w:rsid w:val="602A3675"/>
    <w:rsid w:val="60394FDD"/>
    <w:rsid w:val="60455DBA"/>
    <w:rsid w:val="60464CAF"/>
    <w:rsid w:val="604C0EF7"/>
    <w:rsid w:val="604C539B"/>
    <w:rsid w:val="605129B1"/>
    <w:rsid w:val="6051475F"/>
    <w:rsid w:val="605B03DA"/>
    <w:rsid w:val="605B738C"/>
    <w:rsid w:val="605D3104"/>
    <w:rsid w:val="60606C05"/>
    <w:rsid w:val="606C77EB"/>
    <w:rsid w:val="6073749D"/>
    <w:rsid w:val="6082700E"/>
    <w:rsid w:val="6085265B"/>
    <w:rsid w:val="60997EB4"/>
    <w:rsid w:val="60A52CFD"/>
    <w:rsid w:val="60AC7BE7"/>
    <w:rsid w:val="60AE40F7"/>
    <w:rsid w:val="60AF7A3E"/>
    <w:rsid w:val="60B4624B"/>
    <w:rsid w:val="60BB202B"/>
    <w:rsid w:val="60C44DAC"/>
    <w:rsid w:val="60C761F3"/>
    <w:rsid w:val="60CF38D6"/>
    <w:rsid w:val="60D158A0"/>
    <w:rsid w:val="60E12C1B"/>
    <w:rsid w:val="60E915B9"/>
    <w:rsid w:val="60EE0200"/>
    <w:rsid w:val="60F72C1C"/>
    <w:rsid w:val="610C0686"/>
    <w:rsid w:val="610C4B2A"/>
    <w:rsid w:val="61291238"/>
    <w:rsid w:val="612D1C1D"/>
    <w:rsid w:val="61312A93"/>
    <w:rsid w:val="61314591"/>
    <w:rsid w:val="61442E27"/>
    <w:rsid w:val="61453B98"/>
    <w:rsid w:val="614620E8"/>
    <w:rsid w:val="614D6959"/>
    <w:rsid w:val="6151303D"/>
    <w:rsid w:val="615734A1"/>
    <w:rsid w:val="615B6E1E"/>
    <w:rsid w:val="6162299C"/>
    <w:rsid w:val="617304B8"/>
    <w:rsid w:val="61732455"/>
    <w:rsid w:val="61736957"/>
    <w:rsid w:val="617C5632"/>
    <w:rsid w:val="617E7C88"/>
    <w:rsid w:val="6182240A"/>
    <w:rsid w:val="61883B50"/>
    <w:rsid w:val="618C17C7"/>
    <w:rsid w:val="618D2BAE"/>
    <w:rsid w:val="619D4263"/>
    <w:rsid w:val="61A01218"/>
    <w:rsid w:val="61A16C6A"/>
    <w:rsid w:val="61A42FB4"/>
    <w:rsid w:val="61A72C10"/>
    <w:rsid w:val="61AB7E9F"/>
    <w:rsid w:val="61AD3C17"/>
    <w:rsid w:val="61AE19EB"/>
    <w:rsid w:val="61B605B4"/>
    <w:rsid w:val="61BA4586"/>
    <w:rsid w:val="61BC20AC"/>
    <w:rsid w:val="61C176C2"/>
    <w:rsid w:val="61D1262A"/>
    <w:rsid w:val="61DA69D6"/>
    <w:rsid w:val="61E433B1"/>
    <w:rsid w:val="61E81904"/>
    <w:rsid w:val="61F10C8E"/>
    <w:rsid w:val="620A72BB"/>
    <w:rsid w:val="621041A6"/>
    <w:rsid w:val="621B08FE"/>
    <w:rsid w:val="621B3277"/>
    <w:rsid w:val="621F506D"/>
    <w:rsid w:val="62233A0F"/>
    <w:rsid w:val="622A347C"/>
    <w:rsid w:val="623E5AC8"/>
    <w:rsid w:val="62560FBE"/>
    <w:rsid w:val="62703CE2"/>
    <w:rsid w:val="627564F3"/>
    <w:rsid w:val="627D5BEB"/>
    <w:rsid w:val="62952A6F"/>
    <w:rsid w:val="629E6969"/>
    <w:rsid w:val="629F1526"/>
    <w:rsid w:val="62A31879"/>
    <w:rsid w:val="62A82D9D"/>
    <w:rsid w:val="62B762FB"/>
    <w:rsid w:val="62D666CD"/>
    <w:rsid w:val="62E775FD"/>
    <w:rsid w:val="62FB30A8"/>
    <w:rsid w:val="630010F7"/>
    <w:rsid w:val="630369FA"/>
    <w:rsid w:val="630C7063"/>
    <w:rsid w:val="631D4DCC"/>
    <w:rsid w:val="63210FAF"/>
    <w:rsid w:val="63212B0F"/>
    <w:rsid w:val="632443AD"/>
    <w:rsid w:val="633376A7"/>
    <w:rsid w:val="63416268"/>
    <w:rsid w:val="63473BF7"/>
    <w:rsid w:val="6349177A"/>
    <w:rsid w:val="63665CD8"/>
    <w:rsid w:val="6369067D"/>
    <w:rsid w:val="63696264"/>
    <w:rsid w:val="636B1FDC"/>
    <w:rsid w:val="63711F3D"/>
    <w:rsid w:val="637529A6"/>
    <w:rsid w:val="637F0F07"/>
    <w:rsid w:val="63804284"/>
    <w:rsid w:val="638210D3"/>
    <w:rsid w:val="638438AF"/>
    <w:rsid w:val="6390672E"/>
    <w:rsid w:val="63996C58"/>
    <w:rsid w:val="639A01CB"/>
    <w:rsid w:val="63AD50E6"/>
    <w:rsid w:val="63AD6150"/>
    <w:rsid w:val="63BFD95A"/>
    <w:rsid w:val="63C27722"/>
    <w:rsid w:val="63C8793F"/>
    <w:rsid w:val="63C926D6"/>
    <w:rsid w:val="63D27965"/>
    <w:rsid w:val="640302F6"/>
    <w:rsid w:val="6417181C"/>
    <w:rsid w:val="6418524E"/>
    <w:rsid w:val="641937E6"/>
    <w:rsid w:val="6420634D"/>
    <w:rsid w:val="642178D1"/>
    <w:rsid w:val="64287B33"/>
    <w:rsid w:val="642B52C7"/>
    <w:rsid w:val="64316B61"/>
    <w:rsid w:val="645A3472"/>
    <w:rsid w:val="6477675E"/>
    <w:rsid w:val="648275DD"/>
    <w:rsid w:val="64856B07"/>
    <w:rsid w:val="649B069F"/>
    <w:rsid w:val="64A5151D"/>
    <w:rsid w:val="64B928D3"/>
    <w:rsid w:val="64B96D77"/>
    <w:rsid w:val="64CB630B"/>
    <w:rsid w:val="64CE4169"/>
    <w:rsid w:val="64D771FD"/>
    <w:rsid w:val="64D84635"/>
    <w:rsid w:val="64DA53CA"/>
    <w:rsid w:val="64DD4813"/>
    <w:rsid w:val="64DE19BE"/>
    <w:rsid w:val="64E175D3"/>
    <w:rsid w:val="64E47D41"/>
    <w:rsid w:val="64EA0093"/>
    <w:rsid w:val="64EC4A56"/>
    <w:rsid w:val="64EE6A20"/>
    <w:rsid w:val="64F25DE5"/>
    <w:rsid w:val="64F77270"/>
    <w:rsid w:val="64F8164D"/>
    <w:rsid w:val="64FD41BE"/>
    <w:rsid w:val="650C334B"/>
    <w:rsid w:val="650F4BE9"/>
    <w:rsid w:val="65140837"/>
    <w:rsid w:val="65223BC8"/>
    <w:rsid w:val="6523000F"/>
    <w:rsid w:val="652561BA"/>
    <w:rsid w:val="65257F68"/>
    <w:rsid w:val="65271FE6"/>
    <w:rsid w:val="652C579B"/>
    <w:rsid w:val="653528B7"/>
    <w:rsid w:val="65363F24"/>
    <w:rsid w:val="65371FF2"/>
    <w:rsid w:val="653D52B2"/>
    <w:rsid w:val="65405401"/>
    <w:rsid w:val="65530F79"/>
    <w:rsid w:val="655817D4"/>
    <w:rsid w:val="655870EF"/>
    <w:rsid w:val="655D5954"/>
    <w:rsid w:val="65622F6B"/>
    <w:rsid w:val="656F7435"/>
    <w:rsid w:val="65735DBD"/>
    <w:rsid w:val="65752C9E"/>
    <w:rsid w:val="65904135"/>
    <w:rsid w:val="65953340"/>
    <w:rsid w:val="65B03CD6"/>
    <w:rsid w:val="65B86A3A"/>
    <w:rsid w:val="65BC0DFC"/>
    <w:rsid w:val="65C84C95"/>
    <w:rsid w:val="65D332BC"/>
    <w:rsid w:val="65D81703"/>
    <w:rsid w:val="65DC2D1D"/>
    <w:rsid w:val="65E05BD0"/>
    <w:rsid w:val="65F07AC3"/>
    <w:rsid w:val="65F35697"/>
    <w:rsid w:val="65F53B86"/>
    <w:rsid w:val="65F91B21"/>
    <w:rsid w:val="65FA69A9"/>
    <w:rsid w:val="6603474E"/>
    <w:rsid w:val="6605529F"/>
    <w:rsid w:val="660C5ECE"/>
    <w:rsid w:val="660D31AD"/>
    <w:rsid w:val="661C136B"/>
    <w:rsid w:val="661D7ADA"/>
    <w:rsid w:val="662E109F"/>
    <w:rsid w:val="662F5543"/>
    <w:rsid w:val="663721A5"/>
    <w:rsid w:val="66430FEE"/>
    <w:rsid w:val="664561D7"/>
    <w:rsid w:val="66486604"/>
    <w:rsid w:val="664D7777"/>
    <w:rsid w:val="665B5E69"/>
    <w:rsid w:val="665C66CA"/>
    <w:rsid w:val="666A4347"/>
    <w:rsid w:val="666E4483"/>
    <w:rsid w:val="667016B7"/>
    <w:rsid w:val="66763171"/>
    <w:rsid w:val="6692787F"/>
    <w:rsid w:val="669E4476"/>
    <w:rsid w:val="66A250FC"/>
    <w:rsid w:val="66A856D4"/>
    <w:rsid w:val="66B141AA"/>
    <w:rsid w:val="66BDCAD7"/>
    <w:rsid w:val="66CF63DE"/>
    <w:rsid w:val="66E75E1D"/>
    <w:rsid w:val="66ED0F5A"/>
    <w:rsid w:val="66F145A6"/>
    <w:rsid w:val="66F72914"/>
    <w:rsid w:val="66FF662A"/>
    <w:rsid w:val="67000C8D"/>
    <w:rsid w:val="67034B12"/>
    <w:rsid w:val="67060E3D"/>
    <w:rsid w:val="67087B42"/>
    <w:rsid w:val="670E0B4F"/>
    <w:rsid w:val="67190F27"/>
    <w:rsid w:val="671C2E5E"/>
    <w:rsid w:val="67220C03"/>
    <w:rsid w:val="67225437"/>
    <w:rsid w:val="6723417C"/>
    <w:rsid w:val="67246C2F"/>
    <w:rsid w:val="6727446C"/>
    <w:rsid w:val="67326068"/>
    <w:rsid w:val="6739419F"/>
    <w:rsid w:val="674F3DC0"/>
    <w:rsid w:val="6764746E"/>
    <w:rsid w:val="67696832"/>
    <w:rsid w:val="676D18F0"/>
    <w:rsid w:val="676E5BF7"/>
    <w:rsid w:val="676F7BC1"/>
    <w:rsid w:val="67784CC7"/>
    <w:rsid w:val="677956DE"/>
    <w:rsid w:val="677A2CE6"/>
    <w:rsid w:val="678418BE"/>
    <w:rsid w:val="6784541A"/>
    <w:rsid w:val="6787618F"/>
    <w:rsid w:val="67884D6E"/>
    <w:rsid w:val="678C4F6F"/>
    <w:rsid w:val="679423C8"/>
    <w:rsid w:val="67A52C7D"/>
    <w:rsid w:val="67A73503"/>
    <w:rsid w:val="67AB6E4B"/>
    <w:rsid w:val="67AE693B"/>
    <w:rsid w:val="67C02B03"/>
    <w:rsid w:val="67C65A33"/>
    <w:rsid w:val="67CB3049"/>
    <w:rsid w:val="67F00D02"/>
    <w:rsid w:val="67FB5354"/>
    <w:rsid w:val="681542C4"/>
    <w:rsid w:val="68170F8E"/>
    <w:rsid w:val="681D3FA7"/>
    <w:rsid w:val="68232E85"/>
    <w:rsid w:val="682F1DA4"/>
    <w:rsid w:val="68315782"/>
    <w:rsid w:val="683A01CF"/>
    <w:rsid w:val="68460C96"/>
    <w:rsid w:val="684B2E1D"/>
    <w:rsid w:val="685D0938"/>
    <w:rsid w:val="685E25BF"/>
    <w:rsid w:val="68664B20"/>
    <w:rsid w:val="686E6466"/>
    <w:rsid w:val="68752646"/>
    <w:rsid w:val="68772386"/>
    <w:rsid w:val="68792AA5"/>
    <w:rsid w:val="687B5BF8"/>
    <w:rsid w:val="6888718C"/>
    <w:rsid w:val="688A4CB2"/>
    <w:rsid w:val="689F2FB7"/>
    <w:rsid w:val="68A11FFC"/>
    <w:rsid w:val="68AF4719"/>
    <w:rsid w:val="68C1444C"/>
    <w:rsid w:val="68CB0E27"/>
    <w:rsid w:val="68CC04DF"/>
    <w:rsid w:val="68CD589D"/>
    <w:rsid w:val="68D8107B"/>
    <w:rsid w:val="68DF1251"/>
    <w:rsid w:val="68E24AEE"/>
    <w:rsid w:val="68EF2D67"/>
    <w:rsid w:val="68EF4B15"/>
    <w:rsid w:val="68F1207D"/>
    <w:rsid w:val="6912528B"/>
    <w:rsid w:val="69197DE4"/>
    <w:rsid w:val="691D5B26"/>
    <w:rsid w:val="69201173"/>
    <w:rsid w:val="693666D1"/>
    <w:rsid w:val="693712A3"/>
    <w:rsid w:val="6953099C"/>
    <w:rsid w:val="695612B7"/>
    <w:rsid w:val="696702E2"/>
    <w:rsid w:val="69676DA1"/>
    <w:rsid w:val="69692B1A"/>
    <w:rsid w:val="69736FFD"/>
    <w:rsid w:val="6979545E"/>
    <w:rsid w:val="698C4A5A"/>
    <w:rsid w:val="698F00A6"/>
    <w:rsid w:val="6994390F"/>
    <w:rsid w:val="69A237A6"/>
    <w:rsid w:val="69A2427D"/>
    <w:rsid w:val="69A43B52"/>
    <w:rsid w:val="69AB76CE"/>
    <w:rsid w:val="69AF4AE9"/>
    <w:rsid w:val="69B83AA1"/>
    <w:rsid w:val="69C10BA1"/>
    <w:rsid w:val="69C312F4"/>
    <w:rsid w:val="69C3307B"/>
    <w:rsid w:val="69CA3513"/>
    <w:rsid w:val="69CC0553"/>
    <w:rsid w:val="69D361E5"/>
    <w:rsid w:val="69D81A4D"/>
    <w:rsid w:val="69DA3A17"/>
    <w:rsid w:val="69E1549B"/>
    <w:rsid w:val="69E5416A"/>
    <w:rsid w:val="69F10D61"/>
    <w:rsid w:val="69F629B7"/>
    <w:rsid w:val="69F745C9"/>
    <w:rsid w:val="6A011D90"/>
    <w:rsid w:val="6A1E62C2"/>
    <w:rsid w:val="6A1F767C"/>
    <w:rsid w:val="6A2B2113"/>
    <w:rsid w:val="6A2E5B11"/>
    <w:rsid w:val="6A361A16"/>
    <w:rsid w:val="6A372C18"/>
    <w:rsid w:val="6A514364"/>
    <w:rsid w:val="6A556BAD"/>
    <w:rsid w:val="6A5D01A4"/>
    <w:rsid w:val="6A631CA5"/>
    <w:rsid w:val="6A6432E1"/>
    <w:rsid w:val="6A6B0779"/>
    <w:rsid w:val="6A6B0B13"/>
    <w:rsid w:val="6A7C3E38"/>
    <w:rsid w:val="6A88688D"/>
    <w:rsid w:val="6A9736B6"/>
    <w:rsid w:val="6A9A311D"/>
    <w:rsid w:val="6A9F1F43"/>
    <w:rsid w:val="6AA964C8"/>
    <w:rsid w:val="6AB06526"/>
    <w:rsid w:val="6AB15963"/>
    <w:rsid w:val="6AB23061"/>
    <w:rsid w:val="6AB57FE0"/>
    <w:rsid w:val="6ABD1D7E"/>
    <w:rsid w:val="6AC14FB2"/>
    <w:rsid w:val="6ACF2BCB"/>
    <w:rsid w:val="6AD541DF"/>
    <w:rsid w:val="6AD761A9"/>
    <w:rsid w:val="6AD77F57"/>
    <w:rsid w:val="6ADE1B8D"/>
    <w:rsid w:val="6AE14931"/>
    <w:rsid w:val="6AED7BD9"/>
    <w:rsid w:val="6AEF4953"/>
    <w:rsid w:val="6AF40B09"/>
    <w:rsid w:val="6AFC79BD"/>
    <w:rsid w:val="6AFF300A"/>
    <w:rsid w:val="6B106FC5"/>
    <w:rsid w:val="6B126460"/>
    <w:rsid w:val="6B167EA2"/>
    <w:rsid w:val="6B1E16E2"/>
    <w:rsid w:val="6B22492A"/>
    <w:rsid w:val="6B256600"/>
    <w:rsid w:val="6B2807B2"/>
    <w:rsid w:val="6B427B4C"/>
    <w:rsid w:val="6B4355EC"/>
    <w:rsid w:val="6B436CED"/>
    <w:rsid w:val="6B4750DC"/>
    <w:rsid w:val="6B480E55"/>
    <w:rsid w:val="6B48292F"/>
    <w:rsid w:val="6B5121B4"/>
    <w:rsid w:val="6B525830"/>
    <w:rsid w:val="6B615D5C"/>
    <w:rsid w:val="6B625A72"/>
    <w:rsid w:val="6B746569"/>
    <w:rsid w:val="6B7852CF"/>
    <w:rsid w:val="6B7869BE"/>
    <w:rsid w:val="6B80414A"/>
    <w:rsid w:val="6B8E4AB9"/>
    <w:rsid w:val="6B952D51"/>
    <w:rsid w:val="6B99345E"/>
    <w:rsid w:val="6B9D2F4E"/>
    <w:rsid w:val="6B9D6AAA"/>
    <w:rsid w:val="6BAF6547"/>
    <w:rsid w:val="6BB32772"/>
    <w:rsid w:val="6BB87D88"/>
    <w:rsid w:val="6BBB1626"/>
    <w:rsid w:val="6BBE51DA"/>
    <w:rsid w:val="6BC73B27"/>
    <w:rsid w:val="6BD34BC2"/>
    <w:rsid w:val="6BD821D8"/>
    <w:rsid w:val="6BDD77EF"/>
    <w:rsid w:val="6BE97F42"/>
    <w:rsid w:val="6BF54284"/>
    <w:rsid w:val="6BF60F96"/>
    <w:rsid w:val="6BF6265F"/>
    <w:rsid w:val="6BF636C8"/>
    <w:rsid w:val="6C050BE9"/>
    <w:rsid w:val="6C0703C8"/>
    <w:rsid w:val="6C087F0D"/>
    <w:rsid w:val="6C1241F6"/>
    <w:rsid w:val="6C2179D9"/>
    <w:rsid w:val="6C270A6A"/>
    <w:rsid w:val="6C303DC2"/>
    <w:rsid w:val="6C3A59DC"/>
    <w:rsid w:val="6C47110C"/>
    <w:rsid w:val="6C486A4C"/>
    <w:rsid w:val="6C496C91"/>
    <w:rsid w:val="6C4C04D0"/>
    <w:rsid w:val="6C5555D7"/>
    <w:rsid w:val="6C580C23"/>
    <w:rsid w:val="6C645C08"/>
    <w:rsid w:val="6C6C4CDC"/>
    <w:rsid w:val="6C6F0E84"/>
    <w:rsid w:val="6C6F33D9"/>
    <w:rsid w:val="6C7D068A"/>
    <w:rsid w:val="6C8934D3"/>
    <w:rsid w:val="6CA670D8"/>
    <w:rsid w:val="6CB467A2"/>
    <w:rsid w:val="6CB83ED7"/>
    <w:rsid w:val="6CC03207"/>
    <w:rsid w:val="6CC1587C"/>
    <w:rsid w:val="6CC74289"/>
    <w:rsid w:val="6CC9703F"/>
    <w:rsid w:val="6CCB3AEB"/>
    <w:rsid w:val="6CCB4222"/>
    <w:rsid w:val="6CD24E7A"/>
    <w:rsid w:val="6CD52274"/>
    <w:rsid w:val="6CD75FEC"/>
    <w:rsid w:val="6CDE381E"/>
    <w:rsid w:val="6CDF3526"/>
    <w:rsid w:val="6CE32BE3"/>
    <w:rsid w:val="6CEE3F6E"/>
    <w:rsid w:val="6CFA4C8B"/>
    <w:rsid w:val="6D04639C"/>
    <w:rsid w:val="6D0A67BB"/>
    <w:rsid w:val="6D1014FE"/>
    <w:rsid w:val="6D143F5C"/>
    <w:rsid w:val="6D1A7F7D"/>
    <w:rsid w:val="6D317DF2"/>
    <w:rsid w:val="6D3C7BB3"/>
    <w:rsid w:val="6D4065BB"/>
    <w:rsid w:val="6D4A5951"/>
    <w:rsid w:val="6D4D2752"/>
    <w:rsid w:val="6D4D4500"/>
    <w:rsid w:val="6D5835D1"/>
    <w:rsid w:val="6D5B17B0"/>
    <w:rsid w:val="6D5B6C1D"/>
    <w:rsid w:val="6D604233"/>
    <w:rsid w:val="6D68758C"/>
    <w:rsid w:val="6D837F22"/>
    <w:rsid w:val="6D8C553B"/>
    <w:rsid w:val="6DAB7F9D"/>
    <w:rsid w:val="6DAC4F6A"/>
    <w:rsid w:val="6DB8616B"/>
    <w:rsid w:val="6DB96214"/>
    <w:rsid w:val="6DC24E74"/>
    <w:rsid w:val="6DC30DB8"/>
    <w:rsid w:val="6DC522E8"/>
    <w:rsid w:val="6DE763AB"/>
    <w:rsid w:val="6E0F34F4"/>
    <w:rsid w:val="6E276AFF"/>
    <w:rsid w:val="6E2A65EF"/>
    <w:rsid w:val="6E300655"/>
    <w:rsid w:val="6E3B256F"/>
    <w:rsid w:val="6E4138A2"/>
    <w:rsid w:val="6E414065"/>
    <w:rsid w:val="6E597A7A"/>
    <w:rsid w:val="6E645FA5"/>
    <w:rsid w:val="6E662DB5"/>
    <w:rsid w:val="6E69536A"/>
    <w:rsid w:val="6E7C32EF"/>
    <w:rsid w:val="6E8472F1"/>
    <w:rsid w:val="6E8747A1"/>
    <w:rsid w:val="6E8E6815"/>
    <w:rsid w:val="6E913395"/>
    <w:rsid w:val="6E970E18"/>
    <w:rsid w:val="6E980790"/>
    <w:rsid w:val="6EA240FF"/>
    <w:rsid w:val="6EA77E54"/>
    <w:rsid w:val="6EAE0FCF"/>
    <w:rsid w:val="6EB16425"/>
    <w:rsid w:val="6EBFBB2B"/>
    <w:rsid w:val="6EC00BE2"/>
    <w:rsid w:val="6ECD3B4B"/>
    <w:rsid w:val="6EDF73DA"/>
    <w:rsid w:val="6EF2535F"/>
    <w:rsid w:val="6EF40B50"/>
    <w:rsid w:val="6F010943"/>
    <w:rsid w:val="6F0446A3"/>
    <w:rsid w:val="6F06705D"/>
    <w:rsid w:val="6F0772A4"/>
    <w:rsid w:val="6F1F75AF"/>
    <w:rsid w:val="6F347726"/>
    <w:rsid w:val="6F392F8E"/>
    <w:rsid w:val="6F3A48CD"/>
    <w:rsid w:val="6F413BF1"/>
    <w:rsid w:val="6F473CCA"/>
    <w:rsid w:val="6F502086"/>
    <w:rsid w:val="6F5558EE"/>
    <w:rsid w:val="6F6354D2"/>
    <w:rsid w:val="6F651DDB"/>
    <w:rsid w:val="6F667AFB"/>
    <w:rsid w:val="6F743FC6"/>
    <w:rsid w:val="6F7D52B5"/>
    <w:rsid w:val="6F86232C"/>
    <w:rsid w:val="6F9743DC"/>
    <w:rsid w:val="6F991C7F"/>
    <w:rsid w:val="6F9F2C7C"/>
    <w:rsid w:val="6FA2726C"/>
    <w:rsid w:val="6FAD74D8"/>
    <w:rsid w:val="6FBB27F8"/>
    <w:rsid w:val="6FBE2549"/>
    <w:rsid w:val="6FD11419"/>
    <w:rsid w:val="6FE14D9A"/>
    <w:rsid w:val="6FE41B4C"/>
    <w:rsid w:val="6FF2313D"/>
    <w:rsid w:val="6FF76E37"/>
    <w:rsid w:val="6FFE340A"/>
    <w:rsid w:val="6FFE5F86"/>
    <w:rsid w:val="6FFF438D"/>
    <w:rsid w:val="70027824"/>
    <w:rsid w:val="70032767"/>
    <w:rsid w:val="70056E22"/>
    <w:rsid w:val="700F3CEF"/>
    <w:rsid w:val="70161521"/>
    <w:rsid w:val="70241EE0"/>
    <w:rsid w:val="70273BAE"/>
    <w:rsid w:val="70381498"/>
    <w:rsid w:val="70433998"/>
    <w:rsid w:val="704B6BFB"/>
    <w:rsid w:val="70526B41"/>
    <w:rsid w:val="705A19A9"/>
    <w:rsid w:val="707A0C11"/>
    <w:rsid w:val="70894A2F"/>
    <w:rsid w:val="708C17E3"/>
    <w:rsid w:val="70916980"/>
    <w:rsid w:val="70975D92"/>
    <w:rsid w:val="70A16FB7"/>
    <w:rsid w:val="70A86CAA"/>
    <w:rsid w:val="70AD3C34"/>
    <w:rsid w:val="70AE7A64"/>
    <w:rsid w:val="70B30221"/>
    <w:rsid w:val="70C5552E"/>
    <w:rsid w:val="70CD6084"/>
    <w:rsid w:val="70CD7F27"/>
    <w:rsid w:val="70CE5958"/>
    <w:rsid w:val="70E21403"/>
    <w:rsid w:val="70F829D5"/>
    <w:rsid w:val="710B095A"/>
    <w:rsid w:val="712A64D4"/>
    <w:rsid w:val="71327C95"/>
    <w:rsid w:val="713F0604"/>
    <w:rsid w:val="714523F4"/>
    <w:rsid w:val="714D22B9"/>
    <w:rsid w:val="716167CC"/>
    <w:rsid w:val="718B3849"/>
    <w:rsid w:val="71996AC6"/>
    <w:rsid w:val="719B201B"/>
    <w:rsid w:val="71A93442"/>
    <w:rsid w:val="71B20DD6"/>
    <w:rsid w:val="71B21F4E"/>
    <w:rsid w:val="71BF76AF"/>
    <w:rsid w:val="71D15352"/>
    <w:rsid w:val="71EF1426"/>
    <w:rsid w:val="71FF451E"/>
    <w:rsid w:val="72005FE5"/>
    <w:rsid w:val="72046799"/>
    <w:rsid w:val="720F6228"/>
    <w:rsid w:val="72113330"/>
    <w:rsid w:val="72113D47"/>
    <w:rsid w:val="72155D12"/>
    <w:rsid w:val="72161143"/>
    <w:rsid w:val="721C461A"/>
    <w:rsid w:val="722C0B88"/>
    <w:rsid w:val="723B0DCB"/>
    <w:rsid w:val="724845BB"/>
    <w:rsid w:val="725F0F5E"/>
    <w:rsid w:val="72632215"/>
    <w:rsid w:val="727B1B10"/>
    <w:rsid w:val="72897D89"/>
    <w:rsid w:val="728E539F"/>
    <w:rsid w:val="72987FCC"/>
    <w:rsid w:val="729D3834"/>
    <w:rsid w:val="72A74C70"/>
    <w:rsid w:val="72B312A9"/>
    <w:rsid w:val="72BE32A6"/>
    <w:rsid w:val="72C45265"/>
    <w:rsid w:val="72CA465D"/>
    <w:rsid w:val="72D45F73"/>
    <w:rsid w:val="72DB435C"/>
    <w:rsid w:val="72E256EB"/>
    <w:rsid w:val="72E27AD5"/>
    <w:rsid w:val="72E7BC4D"/>
    <w:rsid w:val="72F62F44"/>
    <w:rsid w:val="72F70E0B"/>
    <w:rsid w:val="72FE1673"/>
    <w:rsid w:val="73013DC3"/>
    <w:rsid w:val="730974BC"/>
    <w:rsid w:val="73162027"/>
    <w:rsid w:val="731A30D6"/>
    <w:rsid w:val="731C6E4F"/>
    <w:rsid w:val="731E07BD"/>
    <w:rsid w:val="73216213"/>
    <w:rsid w:val="73373CC1"/>
    <w:rsid w:val="73497518"/>
    <w:rsid w:val="734B0FCB"/>
    <w:rsid w:val="734D525A"/>
    <w:rsid w:val="734E2D80"/>
    <w:rsid w:val="73517695"/>
    <w:rsid w:val="735905C5"/>
    <w:rsid w:val="7359395E"/>
    <w:rsid w:val="736A45A1"/>
    <w:rsid w:val="7372081D"/>
    <w:rsid w:val="738E1F21"/>
    <w:rsid w:val="73920EBF"/>
    <w:rsid w:val="73927111"/>
    <w:rsid w:val="739D662C"/>
    <w:rsid w:val="739E5AB6"/>
    <w:rsid w:val="73A0182E"/>
    <w:rsid w:val="73A6496A"/>
    <w:rsid w:val="73A66718"/>
    <w:rsid w:val="73B52DFF"/>
    <w:rsid w:val="73B9644B"/>
    <w:rsid w:val="73BA34EB"/>
    <w:rsid w:val="73BC0AD8"/>
    <w:rsid w:val="73CA3C17"/>
    <w:rsid w:val="73CC333F"/>
    <w:rsid w:val="73D634A1"/>
    <w:rsid w:val="73D6524F"/>
    <w:rsid w:val="73D67E93"/>
    <w:rsid w:val="73E23A8B"/>
    <w:rsid w:val="73E6120B"/>
    <w:rsid w:val="73F43927"/>
    <w:rsid w:val="73F9563A"/>
    <w:rsid w:val="73FD8CFB"/>
    <w:rsid w:val="74070402"/>
    <w:rsid w:val="741557A6"/>
    <w:rsid w:val="741713C4"/>
    <w:rsid w:val="7419513C"/>
    <w:rsid w:val="74252DC8"/>
    <w:rsid w:val="742D0BE7"/>
    <w:rsid w:val="74327E3A"/>
    <w:rsid w:val="744068E6"/>
    <w:rsid w:val="74551B38"/>
    <w:rsid w:val="745A113A"/>
    <w:rsid w:val="745C5FFC"/>
    <w:rsid w:val="745D14CD"/>
    <w:rsid w:val="74602D6B"/>
    <w:rsid w:val="746A5998"/>
    <w:rsid w:val="7472661B"/>
    <w:rsid w:val="74795F19"/>
    <w:rsid w:val="747A24DF"/>
    <w:rsid w:val="74844CAB"/>
    <w:rsid w:val="74872D28"/>
    <w:rsid w:val="7487479C"/>
    <w:rsid w:val="748D0583"/>
    <w:rsid w:val="749762A0"/>
    <w:rsid w:val="749F55EB"/>
    <w:rsid w:val="74A10FED"/>
    <w:rsid w:val="74AE1E6E"/>
    <w:rsid w:val="74B04419"/>
    <w:rsid w:val="74B16727"/>
    <w:rsid w:val="74BE1B2E"/>
    <w:rsid w:val="74C4154C"/>
    <w:rsid w:val="74CC21AE"/>
    <w:rsid w:val="74DA25A0"/>
    <w:rsid w:val="74E94074"/>
    <w:rsid w:val="74EB4304"/>
    <w:rsid w:val="74EF90E4"/>
    <w:rsid w:val="74F04C0C"/>
    <w:rsid w:val="74F14015"/>
    <w:rsid w:val="74F51705"/>
    <w:rsid w:val="74F76FC4"/>
    <w:rsid w:val="74F7C30B"/>
    <w:rsid w:val="74FA4F6E"/>
    <w:rsid w:val="74FD680C"/>
    <w:rsid w:val="751029E3"/>
    <w:rsid w:val="752511B1"/>
    <w:rsid w:val="75256477"/>
    <w:rsid w:val="75295853"/>
    <w:rsid w:val="752E4C17"/>
    <w:rsid w:val="75325D62"/>
    <w:rsid w:val="753816C8"/>
    <w:rsid w:val="754C34B1"/>
    <w:rsid w:val="754D635F"/>
    <w:rsid w:val="75556648"/>
    <w:rsid w:val="755978FF"/>
    <w:rsid w:val="75640639"/>
    <w:rsid w:val="757DE146"/>
    <w:rsid w:val="75805743"/>
    <w:rsid w:val="75874327"/>
    <w:rsid w:val="75A1188D"/>
    <w:rsid w:val="75A14537"/>
    <w:rsid w:val="75AA383A"/>
    <w:rsid w:val="75AA50F6"/>
    <w:rsid w:val="75AD2350"/>
    <w:rsid w:val="75AF3FAA"/>
    <w:rsid w:val="75B22168"/>
    <w:rsid w:val="75B9544D"/>
    <w:rsid w:val="75BF3AC1"/>
    <w:rsid w:val="75C31803"/>
    <w:rsid w:val="75C537CD"/>
    <w:rsid w:val="75CF01A8"/>
    <w:rsid w:val="75CFCA93"/>
    <w:rsid w:val="75ED5D32"/>
    <w:rsid w:val="75F95225"/>
    <w:rsid w:val="76056183"/>
    <w:rsid w:val="760836BA"/>
    <w:rsid w:val="760C2315"/>
    <w:rsid w:val="76101CE0"/>
    <w:rsid w:val="76171B4F"/>
    <w:rsid w:val="762027B2"/>
    <w:rsid w:val="76215C31"/>
    <w:rsid w:val="76216673"/>
    <w:rsid w:val="762D3121"/>
    <w:rsid w:val="762F0AE4"/>
    <w:rsid w:val="763B75EC"/>
    <w:rsid w:val="76426BCC"/>
    <w:rsid w:val="764327B9"/>
    <w:rsid w:val="76515061"/>
    <w:rsid w:val="765D6201"/>
    <w:rsid w:val="768052EC"/>
    <w:rsid w:val="76872831"/>
    <w:rsid w:val="7687368A"/>
    <w:rsid w:val="768F2E96"/>
    <w:rsid w:val="76984A3E"/>
    <w:rsid w:val="769B04D6"/>
    <w:rsid w:val="76A13267"/>
    <w:rsid w:val="76AD7DBE"/>
    <w:rsid w:val="76B6740F"/>
    <w:rsid w:val="76B928AB"/>
    <w:rsid w:val="76C176A8"/>
    <w:rsid w:val="76C360DC"/>
    <w:rsid w:val="76C45833"/>
    <w:rsid w:val="76D87530"/>
    <w:rsid w:val="76DD1014"/>
    <w:rsid w:val="76E25CB9"/>
    <w:rsid w:val="76E936E3"/>
    <w:rsid w:val="76F679B7"/>
    <w:rsid w:val="76F72810"/>
    <w:rsid w:val="76FA1255"/>
    <w:rsid w:val="7700179D"/>
    <w:rsid w:val="770C530A"/>
    <w:rsid w:val="770E6AAE"/>
    <w:rsid w:val="770F2826"/>
    <w:rsid w:val="771947DC"/>
    <w:rsid w:val="772207AC"/>
    <w:rsid w:val="77277B70"/>
    <w:rsid w:val="773029DE"/>
    <w:rsid w:val="77345980"/>
    <w:rsid w:val="77365532"/>
    <w:rsid w:val="77381D7D"/>
    <w:rsid w:val="773D7394"/>
    <w:rsid w:val="774D493F"/>
    <w:rsid w:val="775C1112"/>
    <w:rsid w:val="775E5C88"/>
    <w:rsid w:val="7762038A"/>
    <w:rsid w:val="777059BB"/>
    <w:rsid w:val="7770E3EC"/>
    <w:rsid w:val="777823FC"/>
    <w:rsid w:val="7782124A"/>
    <w:rsid w:val="77835465"/>
    <w:rsid w:val="77A80CB1"/>
    <w:rsid w:val="77AED459"/>
    <w:rsid w:val="77CD482C"/>
    <w:rsid w:val="77CF7D69"/>
    <w:rsid w:val="77D41D63"/>
    <w:rsid w:val="77D5581E"/>
    <w:rsid w:val="77D98135"/>
    <w:rsid w:val="77DE2925"/>
    <w:rsid w:val="77E617D9"/>
    <w:rsid w:val="77F17A31"/>
    <w:rsid w:val="77F24A45"/>
    <w:rsid w:val="77FA5285"/>
    <w:rsid w:val="77FE4D75"/>
    <w:rsid w:val="77FE5ED3"/>
    <w:rsid w:val="78054B64"/>
    <w:rsid w:val="780620EB"/>
    <w:rsid w:val="780B56E4"/>
    <w:rsid w:val="780D4FB8"/>
    <w:rsid w:val="780F5737"/>
    <w:rsid w:val="781D7479"/>
    <w:rsid w:val="782D78A1"/>
    <w:rsid w:val="78323336"/>
    <w:rsid w:val="78397B5B"/>
    <w:rsid w:val="783C50DD"/>
    <w:rsid w:val="78411105"/>
    <w:rsid w:val="7848461E"/>
    <w:rsid w:val="784D2F1F"/>
    <w:rsid w:val="78540E39"/>
    <w:rsid w:val="785C1A9B"/>
    <w:rsid w:val="78631CC8"/>
    <w:rsid w:val="7884723A"/>
    <w:rsid w:val="78853C8C"/>
    <w:rsid w:val="78961451"/>
    <w:rsid w:val="78A31478"/>
    <w:rsid w:val="78B638A1"/>
    <w:rsid w:val="78BC7F70"/>
    <w:rsid w:val="78BE62B2"/>
    <w:rsid w:val="78C34AD4"/>
    <w:rsid w:val="78CC4378"/>
    <w:rsid w:val="78CF4963"/>
    <w:rsid w:val="78DB5571"/>
    <w:rsid w:val="78EA70A7"/>
    <w:rsid w:val="78F03826"/>
    <w:rsid w:val="78F521E7"/>
    <w:rsid w:val="79053EE1"/>
    <w:rsid w:val="79132AA2"/>
    <w:rsid w:val="7921008F"/>
    <w:rsid w:val="7925615D"/>
    <w:rsid w:val="792651BE"/>
    <w:rsid w:val="79281134"/>
    <w:rsid w:val="79346328"/>
    <w:rsid w:val="793622EC"/>
    <w:rsid w:val="793F3897"/>
    <w:rsid w:val="794E3ADA"/>
    <w:rsid w:val="79515378"/>
    <w:rsid w:val="7954784E"/>
    <w:rsid w:val="795A5511"/>
    <w:rsid w:val="795D285E"/>
    <w:rsid w:val="7964218F"/>
    <w:rsid w:val="796D14E2"/>
    <w:rsid w:val="79711576"/>
    <w:rsid w:val="797332CC"/>
    <w:rsid w:val="798C63B0"/>
    <w:rsid w:val="798D4602"/>
    <w:rsid w:val="798E3ED6"/>
    <w:rsid w:val="79957FC1"/>
    <w:rsid w:val="79A8143C"/>
    <w:rsid w:val="79AA6037"/>
    <w:rsid w:val="79AE1580"/>
    <w:rsid w:val="79C14961"/>
    <w:rsid w:val="79C478F8"/>
    <w:rsid w:val="79CD0EA3"/>
    <w:rsid w:val="79CF55C1"/>
    <w:rsid w:val="79D55FA9"/>
    <w:rsid w:val="79DC7338"/>
    <w:rsid w:val="79E44D9A"/>
    <w:rsid w:val="79E955B1"/>
    <w:rsid w:val="79F521A7"/>
    <w:rsid w:val="79FB4982"/>
    <w:rsid w:val="79FFC74C"/>
    <w:rsid w:val="7A08012D"/>
    <w:rsid w:val="7A19698A"/>
    <w:rsid w:val="7A205476"/>
    <w:rsid w:val="7A236D15"/>
    <w:rsid w:val="7A2572F7"/>
    <w:rsid w:val="7A2A08A7"/>
    <w:rsid w:val="7A3773A7"/>
    <w:rsid w:val="7A3E0998"/>
    <w:rsid w:val="7A490C32"/>
    <w:rsid w:val="7A4F23FB"/>
    <w:rsid w:val="7A57324B"/>
    <w:rsid w:val="7A5C2227"/>
    <w:rsid w:val="7A5F5873"/>
    <w:rsid w:val="7A601D17"/>
    <w:rsid w:val="7A7632E8"/>
    <w:rsid w:val="7A777060"/>
    <w:rsid w:val="7A860780"/>
    <w:rsid w:val="7A877E2C"/>
    <w:rsid w:val="7A8C1CC6"/>
    <w:rsid w:val="7A97500D"/>
    <w:rsid w:val="7A9814B1"/>
    <w:rsid w:val="7A9A4854"/>
    <w:rsid w:val="7AA00365"/>
    <w:rsid w:val="7AAD4830"/>
    <w:rsid w:val="7AC64AA5"/>
    <w:rsid w:val="7AC65055"/>
    <w:rsid w:val="7AD1051F"/>
    <w:rsid w:val="7AD16771"/>
    <w:rsid w:val="7AD27CCF"/>
    <w:rsid w:val="7AE25E5C"/>
    <w:rsid w:val="7AEDDEFE"/>
    <w:rsid w:val="7AFB559C"/>
    <w:rsid w:val="7AFB5D7B"/>
    <w:rsid w:val="7B0661B0"/>
    <w:rsid w:val="7B0D33A1"/>
    <w:rsid w:val="7B272834"/>
    <w:rsid w:val="7B2C7E4B"/>
    <w:rsid w:val="7B2F54B5"/>
    <w:rsid w:val="7B334D35"/>
    <w:rsid w:val="7B3B3CDE"/>
    <w:rsid w:val="7B3E36DA"/>
    <w:rsid w:val="7B424F78"/>
    <w:rsid w:val="7B513A73"/>
    <w:rsid w:val="7B577519"/>
    <w:rsid w:val="7B762E74"/>
    <w:rsid w:val="7B8C2698"/>
    <w:rsid w:val="7BB046A3"/>
    <w:rsid w:val="7BB7552F"/>
    <w:rsid w:val="7BBF481B"/>
    <w:rsid w:val="7BC02DE0"/>
    <w:rsid w:val="7BD15208"/>
    <w:rsid w:val="7BD77DB7"/>
    <w:rsid w:val="7BDF291E"/>
    <w:rsid w:val="7BDFA810"/>
    <w:rsid w:val="7BEC2D44"/>
    <w:rsid w:val="7BF32717"/>
    <w:rsid w:val="7BF9AD0F"/>
    <w:rsid w:val="7BFEF8D6"/>
    <w:rsid w:val="7C0223A1"/>
    <w:rsid w:val="7C091F3A"/>
    <w:rsid w:val="7C112820"/>
    <w:rsid w:val="7C120DEF"/>
    <w:rsid w:val="7C127041"/>
    <w:rsid w:val="7C1903CF"/>
    <w:rsid w:val="7C190FDC"/>
    <w:rsid w:val="7C211630"/>
    <w:rsid w:val="7C250535"/>
    <w:rsid w:val="7C264EB4"/>
    <w:rsid w:val="7C283DBB"/>
    <w:rsid w:val="7C4C370C"/>
    <w:rsid w:val="7C584880"/>
    <w:rsid w:val="7C6333F8"/>
    <w:rsid w:val="7C6B49A3"/>
    <w:rsid w:val="7C725D31"/>
    <w:rsid w:val="7C865339"/>
    <w:rsid w:val="7C8810B1"/>
    <w:rsid w:val="7C9158BF"/>
    <w:rsid w:val="7C920181"/>
    <w:rsid w:val="7C933407"/>
    <w:rsid w:val="7C9949AA"/>
    <w:rsid w:val="7C9E2682"/>
    <w:rsid w:val="7CA3E458"/>
    <w:rsid w:val="7CA97FA9"/>
    <w:rsid w:val="7CAE7B82"/>
    <w:rsid w:val="7CB63FFE"/>
    <w:rsid w:val="7CBE2D25"/>
    <w:rsid w:val="7CC145C3"/>
    <w:rsid w:val="7CC94538"/>
    <w:rsid w:val="7CD57AFA"/>
    <w:rsid w:val="7CE77F2E"/>
    <w:rsid w:val="7CF05022"/>
    <w:rsid w:val="7CF95B0B"/>
    <w:rsid w:val="7D1110A6"/>
    <w:rsid w:val="7D292894"/>
    <w:rsid w:val="7D3A1533"/>
    <w:rsid w:val="7D3EB3A4"/>
    <w:rsid w:val="7D40373A"/>
    <w:rsid w:val="7D407BDD"/>
    <w:rsid w:val="7D5B766A"/>
    <w:rsid w:val="7D62779B"/>
    <w:rsid w:val="7D643769"/>
    <w:rsid w:val="7D656FEB"/>
    <w:rsid w:val="7D6C2781"/>
    <w:rsid w:val="7D7D04EA"/>
    <w:rsid w:val="7D825F31"/>
    <w:rsid w:val="7D887961"/>
    <w:rsid w:val="7D8C2E23"/>
    <w:rsid w:val="7D8F372A"/>
    <w:rsid w:val="7D910439"/>
    <w:rsid w:val="7D940E62"/>
    <w:rsid w:val="7D9831D6"/>
    <w:rsid w:val="7DA63EE4"/>
    <w:rsid w:val="7DAD3841"/>
    <w:rsid w:val="7DB02CCB"/>
    <w:rsid w:val="7DCCA3E6"/>
    <w:rsid w:val="7DCF7E3D"/>
    <w:rsid w:val="7DDA1DE0"/>
    <w:rsid w:val="7DDA3B8E"/>
    <w:rsid w:val="7DF3A18F"/>
    <w:rsid w:val="7DF54524"/>
    <w:rsid w:val="7DF62358"/>
    <w:rsid w:val="7DFF2D22"/>
    <w:rsid w:val="7E0D0F68"/>
    <w:rsid w:val="7E0E3838"/>
    <w:rsid w:val="7E130E4E"/>
    <w:rsid w:val="7E152284"/>
    <w:rsid w:val="7E3253AB"/>
    <w:rsid w:val="7E3B26DF"/>
    <w:rsid w:val="7E4D3181"/>
    <w:rsid w:val="7E4E1E86"/>
    <w:rsid w:val="7E5133C1"/>
    <w:rsid w:val="7E53007F"/>
    <w:rsid w:val="7E643E29"/>
    <w:rsid w:val="7E7A0C20"/>
    <w:rsid w:val="7E7C3540"/>
    <w:rsid w:val="7E8458A8"/>
    <w:rsid w:val="7E9C7095"/>
    <w:rsid w:val="7EA633B5"/>
    <w:rsid w:val="7EA810CD"/>
    <w:rsid w:val="7EAD12A3"/>
    <w:rsid w:val="7EB01012"/>
    <w:rsid w:val="7EB348DB"/>
    <w:rsid w:val="7EB937A4"/>
    <w:rsid w:val="7EBB71AD"/>
    <w:rsid w:val="7EBD0143"/>
    <w:rsid w:val="7EBD5979"/>
    <w:rsid w:val="7EC00FD6"/>
    <w:rsid w:val="7EC565EC"/>
    <w:rsid w:val="7EC7623E"/>
    <w:rsid w:val="7ED64E67"/>
    <w:rsid w:val="7ED700CE"/>
    <w:rsid w:val="7ED9163C"/>
    <w:rsid w:val="7EE1078F"/>
    <w:rsid w:val="7EE36A72"/>
    <w:rsid w:val="7EE469C3"/>
    <w:rsid w:val="7EF23159"/>
    <w:rsid w:val="7EF24F07"/>
    <w:rsid w:val="7EF96296"/>
    <w:rsid w:val="7EFB2853"/>
    <w:rsid w:val="7EFE565A"/>
    <w:rsid w:val="7F0F7867"/>
    <w:rsid w:val="7F160BF6"/>
    <w:rsid w:val="7F1C4477"/>
    <w:rsid w:val="7F225D2F"/>
    <w:rsid w:val="7F264BB1"/>
    <w:rsid w:val="7F2873F9"/>
    <w:rsid w:val="7F390D88"/>
    <w:rsid w:val="7F3B1BF5"/>
    <w:rsid w:val="7F4219EB"/>
    <w:rsid w:val="7F450482"/>
    <w:rsid w:val="7F4B7FF1"/>
    <w:rsid w:val="7F4C4618"/>
    <w:rsid w:val="7F4D4C15"/>
    <w:rsid w:val="7F547970"/>
    <w:rsid w:val="7F567244"/>
    <w:rsid w:val="7F585B3A"/>
    <w:rsid w:val="7F59411C"/>
    <w:rsid w:val="7F5B81B9"/>
    <w:rsid w:val="7F5F5212"/>
    <w:rsid w:val="7F6D27E0"/>
    <w:rsid w:val="7F765219"/>
    <w:rsid w:val="7F772081"/>
    <w:rsid w:val="7F77A9CB"/>
    <w:rsid w:val="7F7D58EC"/>
    <w:rsid w:val="7F7F17A7"/>
    <w:rsid w:val="7F8244DD"/>
    <w:rsid w:val="7F8248B5"/>
    <w:rsid w:val="7F840255"/>
    <w:rsid w:val="7F857B2A"/>
    <w:rsid w:val="7F8D63D3"/>
    <w:rsid w:val="7F945FBF"/>
    <w:rsid w:val="7F9B734D"/>
    <w:rsid w:val="7F9E0C69"/>
    <w:rsid w:val="7FA02BB5"/>
    <w:rsid w:val="7FAC3558"/>
    <w:rsid w:val="7FB0125F"/>
    <w:rsid w:val="7FB4586D"/>
    <w:rsid w:val="7FB70B10"/>
    <w:rsid w:val="7FB7E65E"/>
    <w:rsid w:val="7FB9C685"/>
    <w:rsid w:val="7FBA77AB"/>
    <w:rsid w:val="7FBA7CAC"/>
    <w:rsid w:val="7FBB79EF"/>
    <w:rsid w:val="7FC411AE"/>
    <w:rsid w:val="7FC62727"/>
    <w:rsid w:val="7FEFAB1D"/>
    <w:rsid w:val="7FF11F9E"/>
    <w:rsid w:val="7FF787E9"/>
    <w:rsid w:val="7FF7B054"/>
    <w:rsid w:val="7FFD0BF5"/>
    <w:rsid w:val="93B33162"/>
    <w:rsid w:val="97EF0CC0"/>
    <w:rsid w:val="99371971"/>
    <w:rsid w:val="9BEAE364"/>
    <w:rsid w:val="9D4B5CFF"/>
    <w:rsid w:val="9F7FBD3E"/>
    <w:rsid w:val="AADF2954"/>
    <w:rsid w:val="ACAFC98E"/>
    <w:rsid w:val="AEFD17CC"/>
    <w:rsid w:val="AFFE5F8E"/>
    <w:rsid w:val="B1DBD1B9"/>
    <w:rsid w:val="B39F1D7C"/>
    <w:rsid w:val="B77772B8"/>
    <w:rsid w:val="B7B97D93"/>
    <w:rsid w:val="BA7B23C6"/>
    <w:rsid w:val="BBBE17F9"/>
    <w:rsid w:val="BBF6FE45"/>
    <w:rsid w:val="BCFE0A35"/>
    <w:rsid w:val="BE659FB7"/>
    <w:rsid w:val="BEFFE9F5"/>
    <w:rsid w:val="BEFFFD13"/>
    <w:rsid w:val="BF67987F"/>
    <w:rsid w:val="BF6F0FB8"/>
    <w:rsid w:val="BFB77E85"/>
    <w:rsid w:val="BFBDEF01"/>
    <w:rsid w:val="BFD6EBA9"/>
    <w:rsid w:val="BFF60460"/>
    <w:rsid w:val="BFFCE3A2"/>
    <w:rsid w:val="BFFF3D2D"/>
    <w:rsid w:val="C2AFC752"/>
    <w:rsid w:val="CB77A11A"/>
    <w:rsid w:val="CEDB1697"/>
    <w:rsid w:val="CFFF7263"/>
    <w:rsid w:val="D6771576"/>
    <w:rsid w:val="D73959BA"/>
    <w:rsid w:val="DBE7566F"/>
    <w:rsid w:val="DBFFDA62"/>
    <w:rsid w:val="DC3F4DD4"/>
    <w:rsid w:val="DF7F9582"/>
    <w:rsid w:val="DFDD4910"/>
    <w:rsid w:val="DFEFD79F"/>
    <w:rsid w:val="DFF692BC"/>
    <w:rsid w:val="DFF7E9E8"/>
    <w:rsid w:val="DFFFBE3A"/>
    <w:rsid w:val="E6EF164C"/>
    <w:rsid w:val="E7E5DDE6"/>
    <w:rsid w:val="E9F71EFB"/>
    <w:rsid w:val="EB8F383B"/>
    <w:rsid w:val="EB8F7AA3"/>
    <w:rsid w:val="EBDF83E8"/>
    <w:rsid w:val="EDCF5B91"/>
    <w:rsid w:val="EDEF52A3"/>
    <w:rsid w:val="EDF49235"/>
    <w:rsid w:val="EE0F1F0D"/>
    <w:rsid w:val="EE7D09D0"/>
    <w:rsid w:val="EE8F85B2"/>
    <w:rsid w:val="EFB22D46"/>
    <w:rsid w:val="EFBB1849"/>
    <w:rsid w:val="EFE9F27F"/>
    <w:rsid w:val="EFFF8798"/>
    <w:rsid w:val="F13B9FEA"/>
    <w:rsid w:val="F1DF5FC1"/>
    <w:rsid w:val="F1E626DF"/>
    <w:rsid w:val="F38D895D"/>
    <w:rsid w:val="F3EF6E3B"/>
    <w:rsid w:val="F57D9A14"/>
    <w:rsid w:val="F776E4EC"/>
    <w:rsid w:val="F78F8C93"/>
    <w:rsid w:val="F7AFF6DF"/>
    <w:rsid w:val="F7CF6B76"/>
    <w:rsid w:val="F7DEB7C7"/>
    <w:rsid w:val="F7F9985A"/>
    <w:rsid w:val="F85FD0F3"/>
    <w:rsid w:val="F9FECB10"/>
    <w:rsid w:val="FA3292F8"/>
    <w:rsid w:val="FA3FDB9C"/>
    <w:rsid w:val="FA5DA317"/>
    <w:rsid w:val="FB3BD7B7"/>
    <w:rsid w:val="FB6E079A"/>
    <w:rsid w:val="FB7BC790"/>
    <w:rsid w:val="FB7E255A"/>
    <w:rsid w:val="FBBABDBF"/>
    <w:rsid w:val="FBBCFD56"/>
    <w:rsid w:val="FBCB1DBD"/>
    <w:rsid w:val="FBCB4370"/>
    <w:rsid w:val="FBEF17F3"/>
    <w:rsid w:val="FC5D8927"/>
    <w:rsid w:val="FCEFBF7A"/>
    <w:rsid w:val="FD1982AB"/>
    <w:rsid w:val="FD332F4A"/>
    <w:rsid w:val="FDBF83C5"/>
    <w:rsid w:val="FDFA0512"/>
    <w:rsid w:val="FDFF1B14"/>
    <w:rsid w:val="FE734873"/>
    <w:rsid w:val="FE7F1987"/>
    <w:rsid w:val="FE7FDF5C"/>
    <w:rsid w:val="FEB685D9"/>
    <w:rsid w:val="FF27102C"/>
    <w:rsid w:val="FF5F2BAD"/>
    <w:rsid w:val="FF6A6022"/>
    <w:rsid w:val="FF6E9CDB"/>
    <w:rsid w:val="FF7F14BA"/>
    <w:rsid w:val="FF87DF3F"/>
    <w:rsid w:val="FF8FA14A"/>
    <w:rsid w:val="FFBE69C9"/>
    <w:rsid w:val="FFD7AE0C"/>
    <w:rsid w:val="FFDE4CCB"/>
    <w:rsid w:val="FFE61495"/>
    <w:rsid w:val="FFE7E137"/>
    <w:rsid w:val="FFED9F61"/>
    <w:rsid w:val="FFFEBA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iPriority="0" w:semiHidden="0" w:name="heading 4"/>
    <w:lsdException w:qFormat="1" w:uiPriority="9" w:semiHidden="0" w:name="heading 5"/>
    <w:lsdException w:qFormat="1" w:uiPriority="9" w:semiHidden="0" w:name="heading 6"/>
    <w:lsdException w:qFormat="1" w:uiPriority="0" w:semiHidden="0" w:name="heading 7"/>
    <w:lsdException w:qFormat="1" w:uiPriority="9" w:semiHidden="0" w:name="heading 8"/>
    <w:lsdException w:qFormat="1" w:uiPriority="9"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uiPriority="39" w:name="toc 4"/>
    <w:lsdException w:qFormat="1" w:unhideWhenUsed="0" w:uiPriority="0" w:semiHidden="0"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qFormat="1"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0" w:semiHidden="0" w:name="caption"/>
    <w:lsdException w:uiPriority="99" w:name="table of figures"/>
    <w:lsdException w:uiPriority="99" w:name="envelope address"/>
    <w:lsdException w:uiPriority="99" w:name="envelope return"/>
    <w:lsdException w:uiPriority="99" w:name="footnote reference"/>
    <w:lsdException w:qFormat="1"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qFormat="1" w:unhideWhenUsed="0" w:uiPriority="0" w:semiHidden="0"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iPriority="0"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4"/>
    <w:autoRedefine/>
    <w:qFormat/>
    <w:uiPriority w:val="9"/>
    <w:pPr>
      <w:keepNext/>
      <w:keepLines/>
      <w:tabs>
        <w:tab w:val="left" w:pos="360"/>
      </w:tabs>
      <w:adjustRightInd w:val="0"/>
      <w:spacing w:line="360" w:lineRule="auto"/>
      <w:jc w:val="center"/>
      <w:textAlignment w:val="baseline"/>
      <w:outlineLvl w:val="0"/>
    </w:pPr>
    <w:rPr>
      <w:rFonts w:eastAsia="黑体"/>
      <w:b/>
      <w:kern w:val="44"/>
      <w:sz w:val="28"/>
      <w:szCs w:val="20"/>
    </w:rPr>
  </w:style>
  <w:style w:type="paragraph" w:styleId="3">
    <w:name w:val="heading 2"/>
    <w:basedOn w:val="1"/>
    <w:next w:val="1"/>
    <w:link w:val="45"/>
    <w:autoRedefine/>
    <w:qFormat/>
    <w:uiPriority w:val="0"/>
    <w:pPr>
      <w:keepNext/>
      <w:numPr>
        <w:ilvl w:val="1"/>
        <w:numId w:val="1"/>
      </w:numPr>
      <w:tabs>
        <w:tab w:val="left" w:pos="360"/>
      </w:tabs>
      <w:adjustRightInd w:val="0"/>
      <w:spacing w:before="120" w:line="360" w:lineRule="auto"/>
      <w:textAlignment w:val="baseline"/>
      <w:outlineLvl w:val="1"/>
    </w:pPr>
    <w:rPr>
      <w:rFonts w:eastAsia="黑体"/>
      <w:b/>
      <w:kern w:val="0"/>
      <w:sz w:val="28"/>
      <w:szCs w:val="20"/>
    </w:rPr>
  </w:style>
  <w:style w:type="paragraph" w:styleId="4">
    <w:name w:val="heading 3"/>
    <w:basedOn w:val="1"/>
    <w:next w:val="1"/>
    <w:link w:val="46"/>
    <w:autoRedefine/>
    <w:qFormat/>
    <w:uiPriority w:val="9"/>
    <w:pPr>
      <w:numPr>
        <w:ilvl w:val="0"/>
        <w:numId w:val="2"/>
      </w:numPr>
      <w:tabs>
        <w:tab w:val="left" w:pos="360"/>
        <w:tab w:val="left" w:pos="900"/>
        <w:tab w:val="left" w:pos="1588"/>
      </w:tabs>
      <w:adjustRightInd w:val="0"/>
      <w:spacing w:line="400" w:lineRule="exact"/>
      <w:ind w:firstLine="6"/>
      <w:textAlignment w:val="baseline"/>
      <w:outlineLvl w:val="2"/>
    </w:pPr>
    <w:rPr>
      <w:rFonts w:eastAsia="黑体"/>
      <w:b/>
      <w:kern w:val="0"/>
      <w:sz w:val="28"/>
      <w:szCs w:val="20"/>
    </w:rPr>
  </w:style>
  <w:style w:type="paragraph" w:styleId="5">
    <w:name w:val="heading 4"/>
    <w:basedOn w:val="1"/>
    <w:next w:val="1"/>
    <w:link w:val="47"/>
    <w:autoRedefine/>
    <w:unhideWhenUsed/>
    <w:qFormat/>
    <w:uiPriority w:val="0"/>
    <w:pPr>
      <w:keepNext/>
      <w:keepLines/>
      <w:spacing w:line="360" w:lineRule="auto"/>
      <w:outlineLvl w:val="3"/>
    </w:pPr>
    <w:rPr>
      <w:rFonts w:asciiTheme="minorEastAsia" w:hAnsiTheme="minorEastAsia" w:eastAsiaTheme="minorEastAsia" w:cstheme="majorBidi"/>
      <w:b/>
      <w:bCs/>
      <w:color w:val="000000" w:themeColor="text1"/>
      <w:sz w:val="24"/>
      <w14:textFill>
        <w14:solidFill>
          <w14:schemeClr w14:val="tx1"/>
        </w14:solidFill>
      </w14:textFill>
    </w:rPr>
  </w:style>
  <w:style w:type="paragraph" w:styleId="6">
    <w:name w:val="heading 5"/>
    <w:basedOn w:val="1"/>
    <w:next w:val="1"/>
    <w:link w:val="48"/>
    <w:autoRedefine/>
    <w:unhideWhenUsed/>
    <w:qFormat/>
    <w:uiPriority w:val="9"/>
    <w:pPr>
      <w:keepNext/>
      <w:keepLines/>
      <w:numPr>
        <w:ilvl w:val="4"/>
        <w:numId w:val="3"/>
      </w:numPr>
      <w:spacing w:before="163" w:beforeLines="50" w:after="163" w:afterLines="50"/>
      <w:outlineLvl w:val="4"/>
    </w:pPr>
    <w:rPr>
      <w:rFonts w:ascii="仿宋" w:hAnsi="仿宋"/>
      <w:bCs/>
      <w:szCs w:val="28"/>
    </w:rPr>
  </w:style>
  <w:style w:type="paragraph" w:styleId="7">
    <w:name w:val="heading 6"/>
    <w:basedOn w:val="1"/>
    <w:next w:val="1"/>
    <w:link w:val="49"/>
    <w:autoRedefine/>
    <w:unhideWhenUsed/>
    <w:qFormat/>
    <w:uiPriority w:val="9"/>
    <w:pPr>
      <w:keepNext/>
      <w:keepLines/>
      <w:numPr>
        <w:ilvl w:val="5"/>
        <w:numId w:val="3"/>
      </w:numPr>
      <w:spacing w:before="163" w:beforeLines="50" w:after="163" w:afterLines="50"/>
      <w:outlineLvl w:val="5"/>
    </w:pPr>
    <w:rPr>
      <w:rFonts w:asciiTheme="majorHAnsi" w:hAnsiTheme="majorHAnsi" w:cstheme="majorBidi"/>
      <w:bCs/>
    </w:rPr>
  </w:style>
  <w:style w:type="paragraph" w:styleId="8">
    <w:name w:val="heading 7"/>
    <w:basedOn w:val="1"/>
    <w:next w:val="1"/>
    <w:link w:val="50"/>
    <w:autoRedefine/>
    <w:unhideWhenUsed/>
    <w:qFormat/>
    <w:uiPriority w:val="0"/>
    <w:pPr>
      <w:keepNext/>
      <w:keepLines/>
      <w:numPr>
        <w:ilvl w:val="6"/>
        <w:numId w:val="3"/>
      </w:numPr>
      <w:spacing w:before="100" w:beforeAutospacing="1" w:after="100" w:afterAutospacing="1" w:line="360" w:lineRule="auto"/>
      <w:outlineLvl w:val="6"/>
    </w:pPr>
    <w:rPr>
      <w:rFonts w:asciiTheme="majorEastAsia" w:hAnsiTheme="majorEastAsia"/>
      <w:bCs/>
    </w:rPr>
  </w:style>
  <w:style w:type="paragraph" w:styleId="9">
    <w:name w:val="heading 8"/>
    <w:basedOn w:val="1"/>
    <w:next w:val="1"/>
    <w:link w:val="51"/>
    <w:autoRedefine/>
    <w:unhideWhenUsed/>
    <w:qFormat/>
    <w:uiPriority w:val="9"/>
    <w:pPr>
      <w:keepNext/>
      <w:keepLines/>
      <w:numPr>
        <w:ilvl w:val="7"/>
        <w:numId w:val="3"/>
      </w:numPr>
      <w:outlineLvl w:val="7"/>
    </w:pPr>
    <w:rPr>
      <w:rFonts w:asciiTheme="majorEastAsia" w:hAnsiTheme="majorEastAsia" w:cstheme="majorBidi"/>
      <w:b/>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10">
    <w:name w:val="Normal Indent"/>
    <w:basedOn w:val="1"/>
    <w:next w:val="1"/>
    <w:link w:val="134"/>
    <w:autoRedefine/>
    <w:qFormat/>
    <w:uiPriority w:val="99"/>
    <w:pPr>
      <w:ind w:firstLine="420"/>
    </w:pPr>
    <w:rPr>
      <w:szCs w:val="20"/>
    </w:rPr>
  </w:style>
  <w:style w:type="paragraph" w:styleId="11">
    <w:name w:val="caption"/>
    <w:basedOn w:val="1"/>
    <w:next w:val="1"/>
    <w:autoRedefine/>
    <w:unhideWhenUsed/>
    <w:qFormat/>
    <w:uiPriority w:val="0"/>
    <w:pPr>
      <w:jc w:val="center"/>
    </w:pPr>
    <w:rPr>
      <w:rFonts w:ascii="DejaVu Sans" w:hAnsi="DejaVu Sans" w:eastAsia="方正黑体_GBK"/>
      <w:sz w:val="20"/>
    </w:rPr>
  </w:style>
  <w:style w:type="paragraph" w:styleId="12">
    <w:name w:val="Document Map"/>
    <w:basedOn w:val="1"/>
    <w:link w:val="92"/>
    <w:autoRedefine/>
    <w:unhideWhenUsed/>
    <w:qFormat/>
    <w:uiPriority w:val="99"/>
    <w:rPr>
      <w:rFonts w:ascii="宋体" w:hAnsi="Calibri" w:cs="黑体"/>
      <w:sz w:val="18"/>
      <w:szCs w:val="18"/>
    </w:rPr>
  </w:style>
  <w:style w:type="paragraph" w:styleId="13">
    <w:name w:val="annotation text"/>
    <w:basedOn w:val="1"/>
    <w:link w:val="54"/>
    <w:autoRedefine/>
    <w:unhideWhenUsed/>
    <w:qFormat/>
    <w:uiPriority w:val="0"/>
    <w:pPr>
      <w:jc w:val="left"/>
    </w:pPr>
  </w:style>
  <w:style w:type="paragraph" w:styleId="14">
    <w:name w:val="Body Text 3"/>
    <w:basedOn w:val="1"/>
    <w:link w:val="56"/>
    <w:autoRedefine/>
    <w:qFormat/>
    <w:uiPriority w:val="0"/>
    <w:rPr>
      <w:sz w:val="24"/>
    </w:rPr>
  </w:style>
  <w:style w:type="paragraph" w:styleId="15">
    <w:name w:val="Body Text"/>
    <w:basedOn w:val="1"/>
    <w:link w:val="57"/>
    <w:autoRedefine/>
    <w:qFormat/>
    <w:uiPriority w:val="0"/>
    <w:pPr>
      <w:adjustRightInd w:val="0"/>
      <w:spacing w:line="440" w:lineRule="exact"/>
    </w:pPr>
    <w:rPr>
      <w:rFonts w:ascii="宋体" w:hAnsi="宋体"/>
      <w:bCs/>
      <w:color w:val="000000"/>
      <w:sz w:val="24"/>
    </w:rPr>
  </w:style>
  <w:style w:type="paragraph" w:styleId="16">
    <w:name w:val="Body Text Indent"/>
    <w:basedOn w:val="1"/>
    <w:next w:val="17"/>
    <w:link w:val="52"/>
    <w:autoRedefine/>
    <w:unhideWhenUsed/>
    <w:qFormat/>
    <w:uiPriority w:val="99"/>
    <w:pPr>
      <w:spacing w:after="120"/>
      <w:ind w:left="420" w:leftChars="200"/>
    </w:pPr>
  </w:style>
  <w:style w:type="paragraph" w:styleId="17">
    <w:name w:val="annotation subject"/>
    <w:basedOn w:val="13"/>
    <w:next w:val="1"/>
    <w:link w:val="55"/>
    <w:autoRedefine/>
    <w:semiHidden/>
    <w:unhideWhenUsed/>
    <w:qFormat/>
    <w:uiPriority w:val="0"/>
    <w:rPr>
      <w:b/>
      <w:bCs/>
    </w:rPr>
  </w:style>
  <w:style w:type="paragraph" w:styleId="18">
    <w:name w:val="index 4"/>
    <w:basedOn w:val="1"/>
    <w:next w:val="1"/>
    <w:autoRedefine/>
    <w:qFormat/>
    <w:uiPriority w:val="0"/>
    <w:pPr>
      <w:ind w:left="600" w:leftChars="600"/>
    </w:pPr>
  </w:style>
  <w:style w:type="paragraph" w:styleId="19">
    <w:name w:val="toc 5"/>
    <w:basedOn w:val="1"/>
    <w:next w:val="1"/>
    <w:autoRedefine/>
    <w:qFormat/>
    <w:uiPriority w:val="0"/>
    <w:pPr>
      <w:ind w:left="1680"/>
    </w:pPr>
    <w:rPr>
      <w:rFonts w:ascii="Calibri" w:hAnsi="Calibri" w:cs="黑体"/>
    </w:rPr>
  </w:style>
  <w:style w:type="paragraph" w:styleId="20">
    <w:name w:val="toc 3"/>
    <w:basedOn w:val="1"/>
    <w:next w:val="1"/>
    <w:autoRedefine/>
    <w:qFormat/>
    <w:uiPriority w:val="39"/>
    <w:pPr>
      <w:tabs>
        <w:tab w:val="left" w:pos="945"/>
        <w:tab w:val="right" w:leader="dot" w:pos="9344"/>
      </w:tabs>
      <w:spacing w:line="320" w:lineRule="exact"/>
      <w:ind w:left="540" w:leftChars="257"/>
      <w:jc w:val="left"/>
    </w:pPr>
    <w:rPr>
      <w:iCs/>
      <w:szCs w:val="20"/>
    </w:rPr>
  </w:style>
  <w:style w:type="paragraph" w:styleId="21">
    <w:name w:val="Plain Text"/>
    <w:basedOn w:val="1"/>
    <w:next w:val="1"/>
    <w:link w:val="58"/>
    <w:autoRedefine/>
    <w:qFormat/>
    <w:uiPriority w:val="0"/>
    <w:rPr>
      <w:rFonts w:ascii="宋体"/>
      <w:szCs w:val="20"/>
    </w:rPr>
  </w:style>
  <w:style w:type="paragraph" w:styleId="22">
    <w:name w:val="Body Text Indent 2"/>
    <w:basedOn w:val="1"/>
    <w:link w:val="59"/>
    <w:autoRedefine/>
    <w:qFormat/>
    <w:uiPriority w:val="0"/>
    <w:pPr>
      <w:spacing w:after="120" w:line="480" w:lineRule="auto"/>
      <w:ind w:left="200" w:leftChars="200"/>
    </w:pPr>
  </w:style>
  <w:style w:type="paragraph" w:styleId="23">
    <w:name w:val="Balloon Text"/>
    <w:basedOn w:val="1"/>
    <w:link w:val="60"/>
    <w:autoRedefine/>
    <w:qFormat/>
    <w:uiPriority w:val="0"/>
    <w:rPr>
      <w:sz w:val="18"/>
      <w:szCs w:val="18"/>
    </w:rPr>
  </w:style>
  <w:style w:type="paragraph" w:styleId="24">
    <w:name w:val="footer"/>
    <w:basedOn w:val="1"/>
    <w:link w:val="61"/>
    <w:autoRedefine/>
    <w:qFormat/>
    <w:uiPriority w:val="99"/>
    <w:pPr>
      <w:tabs>
        <w:tab w:val="center" w:pos="4153"/>
        <w:tab w:val="right" w:pos="8306"/>
      </w:tabs>
      <w:snapToGrid w:val="0"/>
      <w:jc w:val="left"/>
    </w:pPr>
    <w:rPr>
      <w:rFonts w:ascii="宋体"/>
      <w:sz w:val="18"/>
      <w:szCs w:val="20"/>
    </w:rPr>
  </w:style>
  <w:style w:type="paragraph" w:styleId="25">
    <w:name w:val="header"/>
    <w:basedOn w:val="1"/>
    <w:next w:val="24"/>
    <w:link w:val="62"/>
    <w:autoRedefine/>
    <w:qFormat/>
    <w:uiPriority w:val="0"/>
    <w:pPr>
      <w:pBdr>
        <w:bottom w:val="single" w:color="auto" w:sz="6" w:space="1"/>
      </w:pBdr>
      <w:tabs>
        <w:tab w:val="center" w:pos="4153"/>
        <w:tab w:val="right" w:pos="8306"/>
      </w:tabs>
      <w:snapToGrid w:val="0"/>
      <w:jc w:val="center"/>
    </w:pPr>
    <w:rPr>
      <w:sz w:val="18"/>
      <w:szCs w:val="18"/>
    </w:rPr>
  </w:style>
  <w:style w:type="paragraph" w:styleId="26">
    <w:name w:val="toc 1"/>
    <w:basedOn w:val="1"/>
    <w:next w:val="1"/>
    <w:autoRedefine/>
    <w:qFormat/>
    <w:uiPriority w:val="39"/>
    <w:pPr>
      <w:tabs>
        <w:tab w:val="right" w:leader="dot" w:pos="9344"/>
      </w:tabs>
      <w:adjustRightInd w:val="0"/>
      <w:spacing w:before="120" w:after="120"/>
      <w:ind w:firstLine="120" w:firstLineChars="50"/>
      <w:jc w:val="left"/>
      <w:outlineLvl w:val="0"/>
    </w:pPr>
    <w:rPr>
      <w:bCs/>
      <w:caps/>
      <w:szCs w:val="20"/>
    </w:rPr>
  </w:style>
  <w:style w:type="paragraph" w:styleId="27">
    <w:name w:val="toc 2"/>
    <w:basedOn w:val="1"/>
    <w:next w:val="1"/>
    <w:autoRedefine/>
    <w:qFormat/>
    <w:uiPriority w:val="39"/>
    <w:pPr>
      <w:tabs>
        <w:tab w:val="right" w:leader="dot" w:pos="9344"/>
      </w:tabs>
      <w:spacing w:line="280" w:lineRule="exact"/>
      <w:ind w:left="420" w:leftChars="200"/>
      <w:jc w:val="left"/>
    </w:pPr>
    <w:rPr>
      <w:smallCaps/>
      <w:szCs w:val="20"/>
    </w:rPr>
  </w:style>
  <w:style w:type="paragraph" w:styleId="28">
    <w:name w:val="HTML Preformatted"/>
    <w:basedOn w:val="1"/>
    <w:link w:val="93"/>
    <w:autoRedefine/>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rPr>
  </w:style>
  <w:style w:type="paragraph" w:styleId="29">
    <w:name w:val="Normal (Web)"/>
    <w:basedOn w:val="1"/>
    <w:autoRedefine/>
    <w:unhideWhenUsed/>
    <w:qFormat/>
    <w:uiPriority w:val="99"/>
    <w:pPr>
      <w:jc w:val="left"/>
    </w:pPr>
    <w:rPr>
      <w:kern w:val="0"/>
      <w:sz w:val="24"/>
    </w:rPr>
  </w:style>
  <w:style w:type="paragraph" w:styleId="30">
    <w:name w:val="Title"/>
    <w:basedOn w:val="1"/>
    <w:next w:val="1"/>
    <w:qFormat/>
    <w:uiPriority w:val="0"/>
    <w:pPr>
      <w:spacing w:before="240" w:after="60" w:line="420" w:lineRule="atLeast"/>
      <w:jc w:val="center"/>
      <w:textAlignment w:val="baseline"/>
      <w:outlineLvl w:val="0"/>
    </w:pPr>
    <w:rPr>
      <w:rFonts w:ascii="Arial" w:hAnsi="Arial"/>
      <w:b/>
      <w:kern w:val="0"/>
      <w:sz w:val="32"/>
    </w:rPr>
  </w:style>
  <w:style w:type="paragraph" w:styleId="31">
    <w:name w:val="Body Text First Indent"/>
    <w:basedOn w:val="15"/>
    <w:link w:val="94"/>
    <w:autoRedefine/>
    <w:qFormat/>
    <w:uiPriority w:val="0"/>
    <w:pPr>
      <w:autoSpaceDE w:val="0"/>
      <w:autoSpaceDN w:val="0"/>
      <w:adjustRightInd/>
      <w:spacing w:line="240" w:lineRule="auto"/>
      <w:ind w:left="120" w:firstLine="420" w:firstLineChars="100"/>
      <w:jc w:val="left"/>
    </w:pPr>
    <w:rPr>
      <w:rFonts w:ascii="Calibri" w:hAnsi="仿宋_GB2312" w:cs="仿宋_GB2312"/>
      <w:bCs w:val="0"/>
      <w:color w:val="auto"/>
      <w:kern w:val="0"/>
      <w:sz w:val="21"/>
      <w:szCs w:val="32"/>
      <w:lang w:val="zh-CN"/>
    </w:rPr>
  </w:style>
  <w:style w:type="paragraph" w:styleId="32">
    <w:name w:val="Body Text First Indent 2"/>
    <w:basedOn w:val="16"/>
    <w:link w:val="53"/>
    <w:autoRedefine/>
    <w:unhideWhenUsed/>
    <w:qFormat/>
    <w:uiPriority w:val="99"/>
    <w:pPr>
      <w:ind w:firstLine="420" w:firstLineChars="200"/>
    </w:pPr>
  </w:style>
  <w:style w:type="table" w:styleId="34">
    <w:name w:val="Table Grid"/>
    <w:basedOn w:val="33"/>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6">
    <w:name w:val="Strong"/>
    <w:basedOn w:val="35"/>
    <w:qFormat/>
    <w:uiPriority w:val="22"/>
    <w:rPr>
      <w:b/>
    </w:rPr>
  </w:style>
  <w:style w:type="character" w:styleId="37">
    <w:name w:val="page number"/>
    <w:basedOn w:val="35"/>
    <w:autoRedefine/>
    <w:qFormat/>
    <w:uiPriority w:val="0"/>
  </w:style>
  <w:style w:type="character" w:styleId="38">
    <w:name w:val="FollowedHyperlink"/>
    <w:basedOn w:val="35"/>
    <w:autoRedefine/>
    <w:unhideWhenUsed/>
    <w:qFormat/>
    <w:uiPriority w:val="0"/>
    <w:rPr>
      <w:color w:val="555555"/>
      <w:u w:val="none"/>
    </w:rPr>
  </w:style>
  <w:style w:type="character" w:styleId="39">
    <w:name w:val="Emphasis"/>
    <w:basedOn w:val="35"/>
    <w:qFormat/>
    <w:uiPriority w:val="20"/>
    <w:rPr>
      <w:i/>
    </w:rPr>
  </w:style>
  <w:style w:type="character" w:styleId="40">
    <w:name w:val="Hyperlink"/>
    <w:autoRedefine/>
    <w:qFormat/>
    <w:uiPriority w:val="99"/>
    <w:rPr>
      <w:color w:val="0000FF"/>
      <w:u w:val="single"/>
    </w:rPr>
  </w:style>
  <w:style w:type="character" w:styleId="41">
    <w:name w:val="annotation reference"/>
    <w:basedOn w:val="35"/>
    <w:autoRedefine/>
    <w:semiHidden/>
    <w:unhideWhenUsed/>
    <w:qFormat/>
    <w:uiPriority w:val="0"/>
    <w:rPr>
      <w:sz w:val="21"/>
      <w:szCs w:val="21"/>
    </w:rPr>
  </w:style>
  <w:style w:type="paragraph" w:customStyle="1" w:styleId="42">
    <w:name w:val="正文文本 21"/>
    <w:basedOn w:val="1"/>
    <w:qFormat/>
    <w:uiPriority w:val="0"/>
    <w:pPr>
      <w:spacing w:line="500" w:lineRule="exact"/>
    </w:pPr>
    <w:rPr>
      <w:color w:val="000000"/>
      <w:sz w:val="30"/>
      <w:szCs w:val="24"/>
    </w:rPr>
  </w:style>
  <w:style w:type="paragraph" w:customStyle="1" w:styleId="43">
    <w:name w:val="_正文"/>
    <w:basedOn w:val="1"/>
    <w:link w:val="78"/>
    <w:autoRedefine/>
    <w:qFormat/>
    <w:uiPriority w:val="0"/>
    <w:pPr>
      <w:spacing w:line="360" w:lineRule="auto"/>
      <w:ind w:firstLine="560"/>
    </w:pPr>
    <w:rPr>
      <w:rFonts w:asciiTheme="minorEastAsia" w:hAnsiTheme="minorEastAsia"/>
      <w:color w:val="000000"/>
      <w:szCs w:val="28"/>
      <w:lang w:val="zh-CN"/>
    </w:rPr>
  </w:style>
  <w:style w:type="character" w:customStyle="1" w:styleId="44">
    <w:name w:val="标题 1 Char"/>
    <w:basedOn w:val="35"/>
    <w:link w:val="2"/>
    <w:autoRedefine/>
    <w:qFormat/>
    <w:uiPriority w:val="9"/>
    <w:rPr>
      <w:rFonts w:eastAsia="黑体"/>
      <w:b/>
      <w:kern w:val="44"/>
      <w:sz w:val="28"/>
    </w:rPr>
  </w:style>
  <w:style w:type="character" w:customStyle="1" w:styleId="45">
    <w:name w:val="标题 2 Char"/>
    <w:basedOn w:val="35"/>
    <w:link w:val="3"/>
    <w:autoRedefine/>
    <w:qFormat/>
    <w:uiPriority w:val="0"/>
    <w:rPr>
      <w:rFonts w:eastAsia="黑体"/>
      <w:b/>
      <w:sz w:val="28"/>
    </w:rPr>
  </w:style>
  <w:style w:type="character" w:customStyle="1" w:styleId="46">
    <w:name w:val="标题 3 Char"/>
    <w:basedOn w:val="35"/>
    <w:link w:val="4"/>
    <w:autoRedefine/>
    <w:qFormat/>
    <w:uiPriority w:val="9"/>
    <w:rPr>
      <w:rFonts w:eastAsia="黑体"/>
      <w:b/>
      <w:sz w:val="28"/>
    </w:rPr>
  </w:style>
  <w:style w:type="character" w:customStyle="1" w:styleId="47">
    <w:name w:val="标题 4 Char"/>
    <w:basedOn w:val="35"/>
    <w:link w:val="5"/>
    <w:autoRedefine/>
    <w:qFormat/>
    <w:uiPriority w:val="0"/>
    <w:rPr>
      <w:rFonts w:asciiTheme="minorEastAsia" w:hAnsiTheme="minorEastAsia" w:cstheme="majorBidi"/>
      <w:b/>
      <w:bCs/>
      <w:color w:val="000000" w:themeColor="text1"/>
      <w:sz w:val="24"/>
      <w:szCs w:val="24"/>
      <w14:textFill>
        <w14:solidFill>
          <w14:schemeClr w14:val="tx1"/>
        </w14:solidFill>
      </w14:textFill>
    </w:rPr>
  </w:style>
  <w:style w:type="character" w:customStyle="1" w:styleId="48">
    <w:name w:val="标题 5 Char"/>
    <w:basedOn w:val="35"/>
    <w:link w:val="6"/>
    <w:autoRedefine/>
    <w:qFormat/>
    <w:uiPriority w:val="9"/>
    <w:rPr>
      <w:rFonts w:ascii="仿宋" w:hAnsi="仿宋" w:eastAsia="宋体" w:cs="Times New Roman"/>
      <w:bCs/>
      <w:szCs w:val="28"/>
    </w:rPr>
  </w:style>
  <w:style w:type="character" w:customStyle="1" w:styleId="49">
    <w:name w:val="标题 6 Char"/>
    <w:basedOn w:val="35"/>
    <w:link w:val="7"/>
    <w:autoRedefine/>
    <w:qFormat/>
    <w:uiPriority w:val="9"/>
    <w:rPr>
      <w:rFonts w:eastAsia="宋体" w:asciiTheme="majorHAnsi" w:hAnsiTheme="majorHAnsi" w:cstheme="majorBidi"/>
      <w:bCs/>
      <w:szCs w:val="24"/>
    </w:rPr>
  </w:style>
  <w:style w:type="character" w:customStyle="1" w:styleId="50">
    <w:name w:val="标题 7 Char"/>
    <w:basedOn w:val="35"/>
    <w:link w:val="8"/>
    <w:autoRedefine/>
    <w:qFormat/>
    <w:uiPriority w:val="0"/>
    <w:rPr>
      <w:rFonts w:eastAsia="宋体" w:cs="Times New Roman" w:asciiTheme="majorEastAsia" w:hAnsiTheme="majorEastAsia"/>
      <w:bCs/>
      <w:szCs w:val="24"/>
    </w:rPr>
  </w:style>
  <w:style w:type="character" w:customStyle="1" w:styleId="51">
    <w:name w:val="标题 8 Char"/>
    <w:basedOn w:val="35"/>
    <w:link w:val="9"/>
    <w:autoRedefine/>
    <w:qFormat/>
    <w:uiPriority w:val="9"/>
    <w:rPr>
      <w:rFonts w:eastAsia="宋体" w:asciiTheme="majorEastAsia" w:hAnsiTheme="majorEastAsia" w:cstheme="majorBidi"/>
      <w:b/>
      <w:szCs w:val="24"/>
    </w:rPr>
  </w:style>
  <w:style w:type="character" w:customStyle="1" w:styleId="52">
    <w:name w:val="正文文本缩进 Char"/>
    <w:basedOn w:val="35"/>
    <w:link w:val="16"/>
    <w:autoRedefine/>
    <w:qFormat/>
    <w:uiPriority w:val="0"/>
    <w:rPr>
      <w:rFonts w:ascii="Times New Roman" w:hAnsi="Times New Roman" w:eastAsia="宋体" w:cs="Times New Roman"/>
      <w:szCs w:val="24"/>
    </w:rPr>
  </w:style>
  <w:style w:type="character" w:customStyle="1" w:styleId="53">
    <w:name w:val="正文首行缩进 2 Char"/>
    <w:basedOn w:val="52"/>
    <w:link w:val="32"/>
    <w:autoRedefine/>
    <w:qFormat/>
    <w:uiPriority w:val="99"/>
    <w:rPr>
      <w:rFonts w:ascii="Times New Roman" w:hAnsi="Times New Roman" w:eastAsia="宋体" w:cs="Times New Roman"/>
      <w:szCs w:val="24"/>
    </w:rPr>
  </w:style>
  <w:style w:type="character" w:customStyle="1" w:styleId="54">
    <w:name w:val="批注文字 Char"/>
    <w:basedOn w:val="35"/>
    <w:link w:val="13"/>
    <w:autoRedefine/>
    <w:qFormat/>
    <w:uiPriority w:val="0"/>
    <w:rPr>
      <w:rFonts w:ascii="Times New Roman" w:hAnsi="Times New Roman" w:eastAsia="宋体" w:cs="Times New Roman"/>
      <w:szCs w:val="24"/>
    </w:rPr>
  </w:style>
  <w:style w:type="character" w:customStyle="1" w:styleId="55">
    <w:name w:val="批注主题 Char"/>
    <w:basedOn w:val="54"/>
    <w:link w:val="17"/>
    <w:autoRedefine/>
    <w:semiHidden/>
    <w:qFormat/>
    <w:uiPriority w:val="0"/>
    <w:rPr>
      <w:rFonts w:ascii="Times New Roman" w:hAnsi="Times New Roman" w:eastAsia="宋体" w:cs="Times New Roman"/>
      <w:b/>
      <w:bCs/>
      <w:szCs w:val="24"/>
    </w:rPr>
  </w:style>
  <w:style w:type="character" w:customStyle="1" w:styleId="56">
    <w:name w:val="正文文本 3 Char"/>
    <w:basedOn w:val="35"/>
    <w:link w:val="14"/>
    <w:autoRedefine/>
    <w:qFormat/>
    <w:uiPriority w:val="0"/>
    <w:rPr>
      <w:rFonts w:ascii="Times New Roman" w:hAnsi="Times New Roman" w:eastAsia="宋体" w:cs="Times New Roman"/>
      <w:sz w:val="24"/>
      <w:szCs w:val="24"/>
    </w:rPr>
  </w:style>
  <w:style w:type="character" w:customStyle="1" w:styleId="57">
    <w:name w:val="正文文本 Char"/>
    <w:basedOn w:val="35"/>
    <w:link w:val="15"/>
    <w:autoRedefine/>
    <w:qFormat/>
    <w:uiPriority w:val="0"/>
    <w:rPr>
      <w:rFonts w:ascii="宋体" w:hAnsi="宋体" w:eastAsia="宋体" w:cs="Times New Roman"/>
      <w:bCs/>
      <w:color w:val="000000"/>
      <w:sz w:val="24"/>
      <w:szCs w:val="24"/>
    </w:rPr>
  </w:style>
  <w:style w:type="character" w:customStyle="1" w:styleId="58">
    <w:name w:val="纯文本 Char"/>
    <w:basedOn w:val="35"/>
    <w:link w:val="21"/>
    <w:autoRedefine/>
    <w:qFormat/>
    <w:uiPriority w:val="0"/>
    <w:rPr>
      <w:rFonts w:ascii="宋体" w:hAnsi="Times New Roman" w:eastAsia="宋体" w:cs="Times New Roman"/>
      <w:szCs w:val="20"/>
    </w:rPr>
  </w:style>
  <w:style w:type="character" w:customStyle="1" w:styleId="59">
    <w:name w:val="正文文本缩进 2 Char"/>
    <w:basedOn w:val="35"/>
    <w:link w:val="22"/>
    <w:autoRedefine/>
    <w:qFormat/>
    <w:uiPriority w:val="0"/>
    <w:rPr>
      <w:rFonts w:ascii="Times New Roman" w:hAnsi="Times New Roman" w:eastAsia="宋体" w:cs="Times New Roman"/>
      <w:szCs w:val="24"/>
    </w:rPr>
  </w:style>
  <w:style w:type="character" w:customStyle="1" w:styleId="60">
    <w:name w:val="批注框文本 Char"/>
    <w:basedOn w:val="35"/>
    <w:link w:val="23"/>
    <w:autoRedefine/>
    <w:qFormat/>
    <w:uiPriority w:val="0"/>
    <w:rPr>
      <w:rFonts w:ascii="Times New Roman" w:hAnsi="Times New Roman" w:eastAsia="宋体" w:cs="Times New Roman"/>
      <w:sz w:val="18"/>
      <w:szCs w:val="18"/>
    </w:rPr>
  </w:style>
  <w:style w:type="character" w:customStyle="1" w:styleId="61">
    <w:name w:val="页脚 Char"/>
    <w:basedOn w:val="35"/>
    <w:link w:val="24"/>
    <w:autoRedefine/>
    <w:qFormat/>
    <w:uiPriority w:val="99"/>
    <w:rPr>
      <w:rFonts w:ascii="宋体" w:hAnsi="Times New Roman" w:eastAsia="宋体" w:cs="Times New Roman"/>
      <w:sz w:val="18"/>
      <w:szCs w:val="20"/>
    </w:rPr>
  </w:style>
  <w:style w:type="character" w:customStyle="1" w:styleId="62">
    <w:name w:val="页眉 Char"/>
    <w:basedOn w:val="35"/>
    <w:link w:val="25"/>
    <w:autoRedefine/>
    <w:qFormat/>
    <w:uiPriority w:val="0"/>
    <w:rPr>
      <w:rFonts w:ascii="Times New Roman" w:hAnsi="Times New Roman" w:eastAsia="宋体" w:cs="Times New Roman"/>
      <w:sz w:val="18"/>
      <w:szCs w:val="18"/>
    </w:rPr>
  </w:style>
  <w:style w:type="paragraph" w:customStyle="1" w:styleId="63">
    <w:name w:val="Default"/>
    <w:autoRedefine/>
    <w:qFormat/>
    <w:uiPriority w:val="0"/>
    <w:pPr>
      <w:widowControl w:val="0"/>
      <w:autoSpaceDE w:val="0"/>
      <w:autoSpaceDN w:val="0"/>
      <w:adjustRightInd w:val="0"/>
    </w:pPr>
    <w:rPr>
      <w:rFonts w:ascii="仿宋" w:eastAsia="仿宋" w:cs="仿宋" w:hAnsiTheme="minorHAnsi"/>
      <w:color w:val="000000"/>
      <w:sz w:val="24"/>
      <w:szCs w:val="24"/>
      <w:lang w:val="en-US" w:eastAsia="zh-CN" w:bidi="ar-SA"/>
    </w:rPr>
  </w:style>
  <w:style w:type="character" w:customStyle="1" w:styleId="64">
    <w:name w:val="apple-style-span"/>
    <w:autoRedefine/>
    <w:qFormat/>
    <w:uiPriority w:val="0"/>
  </w:style>
  <w:style w:type="character" w:customStyle="1" w:styleId="65">
    <w:name w:val="font51"/>
    <w:basedOn w:val="35"/>
    <w:autoRedefine/>
    <w:qFormat/>
    <w:uiPriority w:val="0"/>
    <w:rPr>
      <w:rFonts w:hint="eastAsia" w:ascii="仿宋" w:hAnsi="仿宋" w:eastAsia="仿宋" w:cs="仿宋"/>
      <w:color w:val="000000"/>
      <w:sz w:val="20"/>
      <w:szCs w:val="20"/>
      <w:u w:val="none"/>
    </w:rPr>
  </w:style>
  <w:style w:type="character" w:customStyle="1" w:styleId="66">
    <w:name w:val="font61"/>
    <w:basedOn w:val="35"/>
    <w:autoRedefine/>
    <w:qFormat/>
    <w:uiPriority w:val="0"/>
    <w:rPr>
      <w:rFonts w:hint="eastAsia" w:ascii="宋体" w:hAnsi="宋体" w:eastAsia="宋体" w:cs="宋体"/>
      <w:color w:val="000000"/>
      <w:sz w:val="20"/>
      <w:szCs w:val="20"/>
      <w:u w:val="none"/>
    </w:rPr>
  </w:style>
  <w:style w:type="character" w:customStyle="1" w:styleId="67">
    <w:name w:val="font71"/>
    <w:basedOn w:val="35"/>
    <w:autoRedefine/>
    <w:qFormat/>
    <w:uiPriority w:val="0"/>
    <w:rPr>
      <w:rFonts w:hint="eastAsia" w:ascii="仿宋" w:hAnsi="仿宋" w:eastAsia="仿宋" w:cs="仿宋"/>
      <w:b/>
      <w:color w:val="000000"/>
      <w:sz w:val="20"/>
      <w:szCs w:val="20"/>
      <w:u w:val="none"/>
    </w:rPr>
  </w:style>
  <w:style w:type="paragraph" w:customStyle="1" w:styleId="68">
    <w:name w:val="列出段落1"/>
    <w:basedOn w:val="1"/>
    <w:autoRedefine/>
    <w:qFormat/>
    <w:uiPriority w:val="34"/>
    <w:pPr>
      <w:ind w:left="720"/>
      <w:contextualSpacing/>
    </w:pPr>
  </w:style>
  <w:style w:type="paragraph" w:customStyle="1" w:styleId="69">
    <w:name w:val="List Paragraph1"/>
    <w:basedOn w:val="1"/>
    <w:autoRedefine/>
    <w:qFormat/>
    <w:uiPriority w:val="0"/>
    <w:pPr>
      <w:spacing w:line="360" w:lineRule="auto"/>
      <w:ind w:firstLine="420" w:firstLineChars="200"/>
    </w:pPr>
    <w:rPr>
      <w:sz w:val="24"/>
    </w:rPr>
  </w:style>
  <w:style w:type="paragraph" w:customStyle="1" w:styleId="70">
    <w:name w:val="图"/>
    <w:basedOn w:val="1"/>
    <w:autoRedefine/>
    <w:qFormat/>
    <w:uiPriority w:val="0"/>
    <w:pPr>
      <w:spacing w:line="360" w:lineRule="auto"/>
      <w:jc w:val="center"/>
    </w:pPr>
    <w:rPr>
      <w:sz w:val="24"/>
    </w:rPr>
  </w:style>
  <w:style w:type="table" w:customStyle="1" w:styleId="71">
    <w:name w:val="Table Normal_0"/>
    <w:autoRedefine/>
    <w:qFormat/>
    <w:uiPriority w:val="0"/>
    <w:tblPr>
      <w:tblCellMar>
        <w:top w:w="0" w:type="dxa"/>
        <w:left w:w="0" w:type="dxa"/>
        <w:bottom w:w="0" w:type="dxa"/>
        <w:right w:w="0" w:type="dxa"/>
      </w:tblCellMar>
    </w:tblPr>
  </w:style>
  <w:style w:type="paragraph" w:customStyle="1" w:styleId="72">
    <w:name w:val="列出段落11"/>
    <w:basedOn w:val="1"/>
    <w:autoRedefine/>
    <w:qFormat/>
    <w:uiPriority w:val="0"/>
    <w:rPr>
      <w:sz w:val="24"/>
    </w:rPr>
  </w:style>
  <w:style w:type="paragraph" w:customStyle="1" w:styleId="73">
    <w:name w:val="正文 New New New New"/>
    <w:autoRedefine/>
    <w:qFormat/>
    <w:uiPriority w:val="0"/>
    <w:pPr>
      <w:widowControl w:val="0"/>
      <w:jc w:val="both"/>
    </w:pPr>
    <w:rPr>
      <w:rFonts w:ascii="Times New Roman" w:hAnsi="Times New Roman" w:eastAsia="Arial Unicode MS" w:cs="Arial Unicode MS"/>
      <w:color w:val="000000"/>
      <w:u w:color="000000"/>
      <w:lang w:val="en-US" w:eastAsia="zh-CN" w:bidi="ar-SA"/>
    </w:rPr>
  </w:style>
  <w:style w:type="paragraph" w:customStyle="1" w:styleId="74">
    <w:name w:val="列出段落2"/>
    <w:autoRedefine/>
    <w:qFormat/>
    <w:uiPriority w:val="0"/>
    <w:pPr>
      <w:widowControl w:val="0"/>
      <w:ind w:firstLine="420"/>
      <w:jc w:val="both"/>
    </w:pPr>
    <w:rPr>
      <w:rFonts w:ascii="Calibri" w:hAnsi="Calibri" w:eastAsia="Calibri" w:cs="Calibri"/>
      <w:color w:val="000000"/>
      <w:kern w:val="2"/>
      <w:sz w:val="24"/>
      <w:szCs w:val="24"/>
      <w:u w:color="000000"/>
      <w:lang w:val="en-US" w:eastAsia="zh-CN" w:bidi="ar-SA"/>
    </w:rPr>
  </w:style>
  <w:style w:type="paragraph" w:customStyle="1" w:styleId="75">
    <w:name w:val="列出段落3"/>
    <w:basedOn w:val="1"/>
    <w:autoRedefine/>
    <w:qFormat/>
    <w:uiPriority w:val="34"/>
    <w:pPr>
      <w:ind w:left="720"/>
      <w:contextualSpacing/>
    </w:pPr>
  </w:style>
  <w:style w:type="paragraph" w:customStyle="1" w:styleId="76">
    <w:name w:val="Header or footer|2"/>
    <w:basedOn w:val="1"/>
    <w:autoRedefine/>
    <w:qFormat/>
    <w:uiPriority w:val="0"/>
    <w:rPr>
      <w:sz w:val="20"/>
      <w:szCs w:val="20"/>
    </w:rPr>
  </w:style>
  <w:style w:type="paragraph" w:customStyle="1" w:styleId="77">
    <w:name w:val="Header or footer|1"/>
    <w:basedOn w:val="1"/>
    <w:autoRedefine/>
    <w:qFormat/>
    <w:uiPriority w:val="0"/>
    <w:rPr>
      <w:lang w:val="zh-TW" w:eastAsia="zh-TW" w:bidi="zh-TW"/>
    </w:rPr>
  </w:style>
  <w:style w:type="character" w:customStyle="1" w:styleId="78">
    <w:name w:val="_正文 Char"/>
    <w:link w:val="43"/>
    <w:autoRedefine/>
    <w:qFormat/>
    <w:uiPriority w:val="0"/>
    <w:rPr>
      <w:rFonts w:eastAsia="宋体" w:cs="Times New Roman" w:asciiTheme="minorEastAsia" w:hAnsiTheme="minorEastAsia"/>
      <w:color w:val="000000"/>
      <w:szCs w:val="28"/>
      <w:lang w:val="zh-CN"/>
    </w:rPr>
  </w:style>
  <w:style w:type="paragraph" w:customStyle="1" w:styleId="79">
    <w:name w:val="_Style 10"/>
    <w:basedOn w:val="1"/>
    <w:next w:val="75"/>
    <w:autoRedefine/>
    <w:qFormat/>
    <w:uiPriority w:val="34"/>
    <w:pPr>
      <w:spacing w:before="50" w:beforeLines="50" w:line="360" w:lineRule="auto"/>
      <w:ind w:firstLine="420" w:firstLineChars="200"/>
    </w:pPr>
    <w:rPr>
      <w:sz w:val="24"/>
    </w:rPr>
  </w:style>
  <w:style w:type="paragraph" w:customStyle="1" w:styleId="80">
    <w:name w:val="修订1"/>
    <w:autoRedefine/>
    <w:hidden/>
    <w:semiHidden/>
    <w:qFormat/>
    <w:uiPriority w:val="99"/>
    <w:rPr>
      <w:rFonts w:ascii="Times New Roman" w:hAnsi="Times New Roman" w:eastAsia="宋体" w:cs="Times New Roman"/>
      <w:kern w:val="2"/>
      <w:sz w:val="21"/>
      <w:szCs w:val="24"/>
      <w:lang w:val="en-US" w:eastAsia="zh-CN" w:bidi="ar-SA"/>
    </w:rPr>
  </w:style>
  <w:style w:type="paragraph" w:customStyle="1" w:styleId="81">
    <w:name w:val="p2"/>
    <w:basedOn w:val="1"/>
    <w:autoRedefine/>
    <w:qFormat/>
    <w:uiPriority w:val="0"/>
    <w:pPr>
      <w:widowControl/>
      <w:spacing w:line="480" w:lineRule="auto"/>
      <w:ind w:firstLine="420"/>
      <w:jc w:val="left"/>
    </w:pPr>
    <w:rPr>
      <w:rFonts w:ascii="宋体" w:hAnsi="宋体" w:cs="宋体"/>
      <w:kern w:val="0"/>
      <w:szCs w:val="21"/>
    </w:rPr>
  </w:style>
  <w:style w:type="character" w:customStyle="1" w:styleId="82">
    <w:name w:val="font01"/>
    <w:basedOn w:val="35"/>
    <w:autoRedefine/>
    <w:qFormat/>
    <w:uiPriority w:val="0"/>
    <w:rPr>
      <w:rFonts w:hint="default" w:ascii="Times New Roman" w:hAnsi="Times New Roman" w:cs="Times New Roman"/>
      <w:color w:val="000000"/>
      <w:sz w:val="20"/>
      <w:szCs w:val="20"/>
      <w:u w:val="none"/>
    </w:rPr>
  </w:style>
  <w:style w:type="character" w:customStyle="1" w:styleId="83">
    <w:name w:val="font31"/>
    <w:basedOn w:val="35"/>
    <w:autoRedefine/>
    <w:qFormat/>
    <w:uiPriority w:val="0"/>
    <w:rPr>
      <w:rFonts w:hint="eastAsia" w:ascii="宋体" w:hAnsi="宋体" w:eastAsia="宋体" w:cs="宋体"/>
      <w:color w:val="000000"/>
      <w:sz w:val="20"/>
      <w:szCs w:val="20"/>
      <w:u w:val="none"/>
    </w:rPr>
  </w:style>
  <w:style w:type="paragraph" w:customStyle="1" w:styleId="84">
    <w:name w:val="表格"/>
    <w:basedOn w:val="68"/>
    <w:autoRedefine/>
    <w:qFormat/>
    <w:uiPriority w:val="0"/>
    <w:pPr>
      <w:jc w:val="center"/>
    </w:pPr>
    <w:rPr>
      <w:rFonts w:ascii="Calibri" w:hAnsi="Calibri"/>
      <w:kern w:val="0"/>
      <w:sz w:val="18"/>
      <w:szCs w:val="20"/>
    </w:rPr>
  </w:style>
  <w:style w:type="paragraph" w:customStyle="1" w:styleId="85">
    <w:name w:val="正文格式"/>
    <w:basedOn w:val="1"/>
    <w:autoRedefine/>
    <w:qFormat/>
    <w:uiPriority w:val="0"/>
    <w:pPr>
      <w:spacing w:beforeLines="50" w:afterLines="50"/>
      <w:ind w:firstLine="480" w:firstLineChars="200"/>
    </w:pPr>
    <w:rPr>
      <w:rFonts w:ascii="宋体" w:hAnsi="宋体"/>
      <w:kern w:val="0"/>
      <w:sz w:val="24"/>
      <w:lang w:val="en-GB"/>
    </w:rPr>
  </w:style>
  <w:style w:type="paragraph" w:customStyle="1" w:styleId="86">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87">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88">
    <w:name w:val="正文3"/>
    <w:autoRedefine/>
    <w:qFormat/>
    <w:uiPriority w:val="0"/>
    <w:pPr>
      <w:widowControl w:val="0"/>
      <w:adjustRightInd w:val="0"/>
      <w:spacing w:line="312" w:lineRule="atLeast"/>
      <w:jc w:val="both"/>
      <w:textAlignment w:val="baseline"/>
    </w:pPr>
    <w:rPr>
      <w:rFonts w:ascii="宋体" w:hAnsi="Calibri" w:eastAsia="宋体" w:cs="宋体"/>
      <w:sz w:val="34"/>
      <w:szCs w:val="34"/>
      <w:lang w:val="en-US" w:eastAsia="zh-CN" w:bidi="ar-SA"/>
    </w:rPr>
  </w:style>
  <w:style w:type="paragraph" w:styleId="89">
    <w:name w:val="List Paragraph"/>
    <w:basedOn w:val="1"/>
    <w:autoRedefine/>
    <w:unhideWhenUsed/>
    <w:qFormat/>
    <w:uiPriority w:val="34"/>
    <w:pPr>
      <w:spacing w:before="10" w:beforeLines="10" w:line="500" w:lineRule="exact"/>
      <w:ind w:firstLine="420" w:firstLineChars="200"/>
    </w:pPr>
    <w:rPr>
      <w:sz w:val="28"/>
      <w:szCs w:val="22"/>
    </w:rPr>
  </w:style>
  <w:style w:type="character" w:customStyle="1" w:styleId="90">
    <w:name w:val="font101"/>
    <w:basedOn w:val="35"/>
    <w:autoRedefine/>
    <w:qFormat/>
    <w:uiPriority w:val="0"/>
    <w:rPr>
      <w:rFonts w:hint="default" w:ascii="Times New Roman" w:hAnsi="Times New Roman" w:cs="Times New Roman"/>
      <w:color w:val="000000"/>
      <w:sz w:val="16"/>
      <w:szCs w:val="16"/>
      <w:u w:val="none"/>
    </w:rPr>
  </w:style>
  <w:style w:type="paragraph" w:customStyle="1" w:styleId="91">
    <w:name w:val="正文（绿盟科技）"/>
    <w:autoRedefine/>
    <w:qFormat/>
    <w:uiPriority w:val="0"/>
    <w:pPr>
      <w:spacing w:line="300" w:lineRule="auto"/>
    </w:pPr>
    <w:rPr>
      <w:rFonts w:ascii="Arial" w:hAnsi="Arial" w:eastAsia="宋体" w:cs="黑体"/>
      <w:sz w:val="21"/>
      <w:szCs w:val="21"/>
      <w:lang w:val="en-US" w:eastAsia="zh-CN" w:bidi="ar-SA"/>
    </w:rPr>
  </w:style>
  <w:style w:type="character" w:customStyle="1" w:styleId="92">
    <w:name w:val="文档结构图 Char"/>
    <w:basedOn w:val="35"/>
    <w:link w:val="12"/>
    <w:autoRedefine/>
    <w:qFormat/>
    <w:uiPriority w:val="99"/>
    <w:rPr>
      <w:rFonts w:ascii="宋体" w:hAnsi="Calibri" w:cs="黑体"/>
      <w:kern w:val="2"/>
      <w:sz w:val="18"/>
      <w:szCs w:val="18"/>
    </w:rPr>
  </w:style>
  <w:style w:type="character" w:customStyle="1" w:styleId="93">
    <w:name w:val="HTML 预设格式 Char"/>
    <w:basedOn w:val="35"/>
    <w:link w:val="28"/>
    <w:autoRedefine/>
    <w:qFormat/>
    <w:uiPriority w:val="0"/>
    <w:rPr>
      <w:rFonts w:ascii="宋体" w:hAnsi="宋体"/>
      <w:sz w:val="24"/>
      <w:szCs w:val="24"/>
    </w:rPr>
  </w:style>
  <w:style w:type="character" w:customStyle="1" w:styleId="94">
    <w:name w:val="正文首行缩进 Char"/>
    <w:basedOn w:val="57"/>
    <w:link w:val="31"/>
    <w:autoRedefine/>
    <w:qFormat/>
    <w:uiPriority w:val="0"/>
    <w:rPr>
      <w:rFonts w:ascii="Calibri" w:hAnsi="仿宋_GB2312" w:eastAsia="宋体" w:cs="仿宋_GB2312"/>
      <w:bCs w:val="0"/>
      <w:color w:val="000000"/>
      <w:sz w:val="21"/>
      <w:szCs w:val="32"/>
      <w:lang w:val="zh-CN"/>
    </w:rPr>
  </w:style>
  <w:style w:type="character" w:customStyle="1" w:styleId="95">
    <w:name w:val="font11"/>
    <w:basedOn w:val="35"/>
    <w:autoRedefine/>
    <w:qFormat/>
    <w:uiPriority w:val="0"/>
    <w:rPr>
      <w:rFonts w:ascii="方正仿宋_GBK" w:hAnsi="方正仿宋_GBK" w:eastAsia="方正仿宋_GBK" w:cs="方正仿宋_GBK"/>
      <w:b/>
      <w:color w:val="000000"/>
      <w:sz w:val="20"/>
      <w:szCs w:val="20"/>
      <w:u w:val="none"/>
    </w:rPr>
  </w:style>
  <w:style w:type="character" w:customStyle="1" w:styleId="96">
    <w:name w:val="font21"/>
    <w:basedOn w:val="35"/>
    <w:autoRedefine/>
    <w:qFormat/>
    <w:uiPriority w:val="0"/>
    <w:rPr>
      <w:rFonts w:hint="eastAsia" w:ascii="仿宋" w:hAnsi="仿宋" w:eastAsia="仿宋" w:cs="仿宋"/>
      <w:color w:val="000000"/>
      <w:sz w:val="24"/>
      <w:szCs w:val="24"/>
      <w:u w:val="none"/>
    </w:rPr>
  </w:style>
  <w:style w:type="character" w:customStyle="1" w:styleId="97">
    <w:name w:val="font41"/>
    <w:basedOn w:val="35"/>
    <w:autoRedefine/>
    <w:qFormat/>
    <w:uiPriority w:val="0"/>
    <w:rPr>
      <w:rFonts w:hint="default" w:ascii="Arial" w:hAnsi="Arial" w:cs="Arial"/>
      <w:b/>
      <w:color w:val="000000"/>
      <w:sz w:val="16"/>
      <w:szCs w:val="16"/>
      <w:u w:val="none"/>
    </w:rPr>
  </w:style>
  <w:style w:type="character" w:customStyle="1" w:styleId="98">
    <w:name w:val="NormalCharacter"/>
    <w:autoRedefine/>
    <w:semiHidden/>
    <w:qFormat/>
    <w:uiPriority w:val="0"/>
    <w:rPr>
      <w:rFonts w:ascii="Calibri" w:hAnsi="Calibri" w:eastAsia="宋体" w:cs="黑体"/>
      <w:kern w:val="2"/>
      <w:sz w:val="21"/>
      <w:szCs w:val="24"/>
      <w:lang w:val="en-US" w:eastAsia="zh-CN" w:bidi="ar-SA"/>
    </w:rPr>
  </w:style>
  <w:style w:type="paragraph" w:customStyle="1" w:styleId="99">
    <w:name w:val="无间隔1"/>
    <w:basedOn w:val="31"/>
    <w:next w:val="1"/>
    <w:autoRedefine/>
    <w:qFormat/>
    <w:uiPriority w:val="0"/>
    <w:rPr>
      <w:rFonts w:hAnsi="Calibri" w:cs="Times New Roman"/>
      <w:sz w:val="24"/>
      <w:szCs w:val="24"/>
    </w:rPr>
  </w:style>
  <w:style w:type="paragraph" w:customStyle="1" w:styleId="100">
    <w:name w:val="正文 New New New New New New New New New New New New New New New New New New New New New New New New New New New New"/>
    <w:autoRedefine/>
    <w:qFormat/>
    <w:uiPriority w:val="0"/>
    <w:pPr>
      <w:widowControl w:val="0"/>
      <w:jc w:val="both"/>
    </w:pPr>
    <w:rPr>
      <w:rFonts w:ascii="方正小标宋简体" w:hAnsi="Times New Roman" w:eastAsia="方正小标宋简体" w:cs="Times New Roman"/>
      <w:bCs/>
      <w:kern w:val="2"/>
      <w:sz w:val="30"/>
      <w:szCs w:val="21"/>
      <w:lang w:val="en-US" w:eastAsia="zh-CN" w:bidi="ar-SA"/>
    </w:rPr>
  </w:style>
  <w:style w:type="paragraph" w:customStyle="1" w:styleId="101">
    <w:name w:val="正文 New New New New New New New New New New New New New New New New New New New New New New New New New New New New New New New New New New New New New New New New New New New New New New"/>
    <w:next w:val="102"/>
    <w:autoRedefine/>
    <w:qFormat/>
    <w:uiPriority w:val="0"/>
    <w:pPr>
      <w:widowControl w:val="0"/>
      <w:jc w:val="both"/>
    </w:pPr>
    <w:rPr>
      <w:rFonts w:ascii="Times New Roman" w:hAnsi="Times New Roman" w:eastAsia="宋体" w:cs="方正仿宋_GBK"/>
      <w:sz w:val="32"/>
      <w:szCs w:val="32"/>
      <w:lang w:val="en-US" w:eastAsia="zh-CN" w:bidi="ar-SA"/>
    </w:rPr>
  </w:style>
  <w:style w:type="paragraph" w:customStyle="1" w:styleId="102">
    <w:name w:val="标题 2 New New New New"/>
    <w:basedOn w:val="101"/>
    <w:next w:val="101"/>
    <w:autoRedefine/>
    <w:qFormat/>
    <w:uiPriority w:val="0"/>
    <w:pPr>
      <w:keepNext/>
      <w:keepLines/>
      <w:spacing w:line="412" w:lineRule="auto"/>
      <w:outlineLvl w:val="1"/>
    </w:pPr>
    <w:rPr>
      <w:rFonts w:ascii="Arial" w:hAnsi="Arial" w:eastAsia="方正黑体_GBK" w:cs="Arial"/>
      <w:bCs/>
    </w:rPr>
  </w:style>
  <w:style w:type="paragraph" w:customStyle="1" w:styleId="103">
    <w:name w:val="正文 New New New New New New New New New New New New New New New New New New New New New New New New New New New New New New New New New New New New New New New New New New New New New New New New New New New New New New New New New"/>
    <w:next w:val="102"/>
    <w:autoRedefine/>
    <w:qFormat/>
    <w:uiPriority w:val="0"/>
    <w:pPr>
      <w:widowControl w:val="0"/>
      <w:jc w:val="both"/>
    </w:pPr>
    <w:rPr>
      <w:rFonts w:ascii="Times New Roman" w:hAnsi="Times New Roman" w:eastAsia="宋体" w:cs="方正仿宋_GBK"/>
      <w:sz w:val="32"/>
      <w:szCs w:val="32"/>
      <w:lang w:val="en-US" w:eastAsia="zh-CN" w:bidi="ar-SA"/>
    </w:rPr>
  </w:style>
  <w:style w:type="paragraph" w:customStyle="1" w:styleId="104">
    <w:name w:val="p0"/>
    <w:basedOn w:val="105"/>
    <w:autoRedefine/>
    <w:qFormat/>
    <w:uiPriority w:val="0"/>
    <w:pPr>
      <w:widowControl/>
    </w:pPr>
    <w:rPr>
      <w:rFonts w:hint="eastAsia"/>
      <w:szCs w:val="20"/>
    </w:rPr>
  </w:style>
  <w:style w:type="paragraph" w:customStyle="1" w:styleId="105">
    <w:name w:val="正文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6">
    <w:name w:val="正文 New New New New New New New New New New New New New New New New New New New New"/>
    <w:autoRedefine/>
    <w:qFormat/>
    <w:uiPriority w:val="0"/>
    <w:pPr>
      <w:widowControl w:val="0"/>
      <w:jc w:val="both"/>
    </w:pPr>
    <w:rPr>
      <w:rFonts w:ascii="方正小标宋简体" w:hAnsi="Times New Roman" w:eastAsia="方正小标宋简体" w:cs="Times New Roman"/>
      <w:bCs/>
      <w:kern w:val="2"/>
      <w:sz w:val="30"/>
      <w:szCs w:val="21"/>
      <w:lang w:val="en-US" w:eastAsia="zh-CN" w:bidi="ar-SA"/>
    </w:rPr>
  </w:style>
  <w:style w:type="paragraph" w:customStyle="1" w:styleId="107">
    <w:name w:val="无间隔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8">
    <w:name w:val="正文 New New New New New New New New New New New New New New New New New New New New New New New New New New New New New New New New New New New New New New New New New New New New New New New New New New New New New New New New New New New New New New Ne"/>
    <w:next w:val="109"/>
    <w:autoRedefine/>
    <w:qFormat/>
    <w:uiPriority w:val="0"/>
    <w:pPr>
      <w:widowControl w:val="0"/>
      <w:jc w:val="both"/>
    </w:pPr>
    <w:rPr>
      <w:rFonts w:ascii="Times New Roman" w:hAnsi="Times New Roman" w:eastAsia="宋体" w:cs="方正仿宋_GBK"/>
      <w:sz w:val="32"/>
      <w:szCs w:val="32"/>
      <w:lang w:val="en-US" w:eastAsia="zh-CN" w:bidi="ar-SA"/>
    </w:rPr>
  </w:style>
  <w:style w:type="paragraph" w:customStyle="1" w:styleId="109">
    <w:name w:val="标题 2 New"/>
    <w:basedOn w:val="110"/>
    <w:next w:val="110"/>
    <w:autoRedefine/>
    <w:qFormat/>
    <w:uiPriority w:val="0"/>
    <w:pPr>
      <w:keepNext/>
      <w:keepLines/>
      <w:spacing w:line="412" w:lineRule="auto"/>
      <w:outlineLvl w:val="1"/>
    </w:pPr>
    <w:rPr>
      <w:rFonts w:ascii="Arial" w:hAnsi="Arial" w:eastAsia="方正黑体_GBK" w:cs="Arial"/>
      <w:bCs/>
    </w:rPr>
  </w:style>
  <w:style w:type="paragraph" w:customStyle="1" w:styleId="110">
    <w:name w:val="正文 New New New New New New New New New New New New New New New New New"/>
    <w:next w:val="109"/>
    <w:autoRedefine/>
    <w:qFormat/>
    <w:uiPriority w:val="0"/>
    <w:pPr>
      <w:widowControl w:val="0"/>
      <w:jc w:val="both"/>
    </w:pPr>
    <w:rPr>
      <w:rFonts w:ascii="Times New Roman" w:hAnsi="Times New Roman" w:eastAsia="宋体" w:cs="方正仿宋_GBK"/>
      <w:sz w:val="32"/>
      <w:szCs w:val="32"/>
      <w:lang w:val="en-US" w:eastAsia="zh-CN" w:bidi="ar-SA"/>
    </w:rPr>
  </w:style>
  <w:style w:type="paragraph" w:customStyle="1" w:styleId="111">
    <w:name w:val="正文 New New New New New New New New New New New New New New New New New New New New New New New New"/>
    <w:autoRedefine/>
    <w:qFormat/>
    <w:uiPriority w:val="0"/>
    <w:pPr>
      <w:widowControl w:val="0"/>
      <w:jc w:val="both"/>
    </w:pPr>
    <w:rPr>
      <w:rFonts w:ascii="方正小标宋简体" w:hAnsi="Times New Roman" w:eastAsia="方正小标宋简体" w:cs="Times New Roman"/>
      <w:bCs/>
      <w:kern w:val="2"/>
      <w:sz w:val="30"/>
      <w:szCs w:val="21"/>
      <w:lang w:val="en-US" w:eastAsia="zh-CN" w:bidi="ar-SA"/>
    </w:rPr>
  </w:style>
  <w:style w:type="paragraph" w:customStyle="1" w:styleId="112">
    <w:name w:val="Body text|1"/>
    <w:basedOn w:val="1"/>
    <w:autoRedefine/>
    <w:qFormat/>
    <w:uiPriority w:val="0"/>
    <w:pPr>
      <w:spacing w:line="425" w:lineRule="auto"/>
      <w:ind w:firstLine="400"/>
    </w:pPr>
    <w:rPr>
      <w:rFonts w:ascii="宋体" w:hAnsi="宋体" w:cs="宋体"/>
      <w:sz w:val="30"/>
      <w:szCs w:val="30"/>
      <w:lang w:val="zh-TW" w:eastAsia="zh-TW" w:bidi="zh-TW"/>
    </w:rPr>
  </w:style>
  <w:style w:type="paragraph" w:customStyle="1" w:styleId="113">
    <w:name w:val="正文 New New New New New New New New New New New New New New New New New New New New New New New New New New New New New New New New New New New New New New New New New New New New New New New New New New New New New New New New New New New"/>
    <w:autoRedefine/>
    <w:qFormat/>
    <w:uiPriority w:val="0"/>
    <w:pPr>
      <w:widowControl w:val="0"/>
      <w:jc w:val="both"/>
    </w:pPr>
    <w:rPr>
      <w:rFonts w:ascii="Times New Roman" w:hAnsi="Times New Roman" w:eastAsia="宋体" w:cs="黑体"/>
      <w:kern w:val="2"/>
      <w:sz w:val="21"/>
      <w:szCs w:val="22"/>
      <w:lang w:val="en-US" w:eastAsia="zh-CN" w:bidi="ar-SA"/>
    </w:rPr>
  </w:style>
  <w:style w:type="paragraph" w:customStyle="1" w:styleId="114">
    <w:name w:val="正文 New New New New New New New New New New New New New New New New New New New New New New New New New New New"/>
    <w:autoRedefine/>
    <w:qFormat/>
    <w:uiPriority w:val="0"/>
    <w:pPr>
      <w:widowControl w:val="0"/>
      <w:jc w:val="both"/>
    </w:pPr>
    <w:rPr>
      <w:rFonts w:ascii="方正小标宋简体" w:hAnsi="Times New Roman" w:eastAsia="方正小标宋简体" w:cs="Times New Roman"/>
      <w:bCs/>
      <w:kern w:val="2"/>
      <w:sz w:val="30"/>
      <w:szCs w:val="21"/>
      <w:lang w:val="en-US" w:eastAsia="zh-CN" w:bidi="ar-SA"/>
    </w:rPr>
  </w:style>
  <w:style w:type="paragraph" w:customStyle="1" w:styleId="115">
    <w:name w:val="正文 New New New New New New"/>
    <w:next w:val="116"/>
    <w:autoRedefine/>
    <w:qFormat/>
    <w:uiPriority w:val="0"/>
    <w:pPr>
      <w:widowControl w:val="0"/>
      <w:jc w:val="both"/>
    </w:pPr>
    <w:rPr>
      <w:rFonts w:ascii="方正小标宋简体" w:hAnsi="Times New Roman" w:eastAsia="方正小标宋简体" w:cs="Times New Roman"/>
      <w:bCs/>
      <w:kern w:val="2"/>
      <w:sz w:val="30"/>
      <w:szCs w:val="21"/>
      <w:lang w:val="en-US" w:eastAsia="zh-CN" w:bidi="ar-SA"/>
    </w:rPr>
  </w:style>
  <w:style w:type="paragraph" w:customStyle="1" w:styleId="116">
    <w:name w:val="标题 2 New New New"/>
    <w:basedOn w:val="117"/>
    <w:next w:val="115"/>
    <w:autoRedefine/>
    <w:qFormat/>
    <w:uiPriority w:val="0"/>
    <w:pPr>
      <w:keepNext/>
      <w:keepLines/>
      <w:spacing w:line="412" w:lineRule="auto"/>
      <w:outlineLvl w:val="1"/>
    </w:pPr>
    <w:rPr>
      <w:rFonts w:ascii="Arial" w:hAnsi="Arial" w:eastAsia="方正黑体_GBK" w:cs="Arial"/>
      <w:bCs/>
    </w:rPr>
  </w:style>
  <w:style w:type="paragraph" w:customStyle="1" w:styleId="117">
    <w:name w:val="正文 New New New New New New New New New New New New New New New New New New New New New New New New New New New New New New New New New New New New New New New New New New New New"/>
    <w:next w:val="116"/>
    <w:autoRedefine/>
    <w:qFormat/>
    <w:uiPriority w:val="0"/>
    <w:pPr>
      <w:widowControl w:val="0"/>
      <w:jc w:val="both"/>
    </w:pPr>
    <w:rPr>
      <w:rFonts w:ascii="Times New Roman" w:hAnsi="Times New Roman" w:eastAsia="宋体" w:cs="方正仿宋_GBK"/>
      <w:sz w:val="32"/>
      <w:szCs w:val="32"/>
      <w:lang w:val="en-US" w:eastAsia="zh-CN" w:bidi="ar-SA"/>
    </w:rPr>
  </w:style>
  <w:style w:type="paragraph" w:customStyle="1" w:styleId="118">
    <w:name w:val="正文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19">
    <w:name w:val="正文 New New New New New New New New New New New New New New New New New New New New New New New New New New New New New New New New New New New New New New New New New New New New New New New New New New New New New New New New"/>
    <w:autoRedefine/>
    <w:qFormat/>
    <w:uiPriority w:val="0"/>
    <w:pPr>
      <w:widowControl w:val="0"/>
      <w:jc w:val="both"/>
    </w:pPr>
    <w:rPr>
      <w:rFonts w:ascii="Times New Roman" w:hAnsi="Times New Roman" w:eastAsia="宋体" w:cs="黑体"/>
      <w:kern w:val="2"/>
      <w:sz w:val="21"/>
      <w:szCs w:val="22"/>
      <w:lang w:val="en-US" w:eastAsia="zh-CN" w:bidi="ar-SA"/>
    </w:rPr>
  </w:style>
  <w:style w:type="paragraph" w:customStyle="1" w:styleId="120">
    <w:name w:val="正文 New New New New New New New New New New New New New New New New New New New New New New New New New New New New New New New New New New New New New New New"/>
    <w:autoRedefine/>
    <w:qFormat/>
    <w:uiPriority w:val="0"/>
    <w:pPr>
      <w:widowControl w:val="0"/>
      <w:jc w:val="both"/>
    </w:pPr>
    <w:rPr>
      <w:rFonts w:ascii="方正小标宋简体" w:hAnsi="Times New Roman" w:eastAsia="方正小标宋简体" w:cs="Times New Roman"/>
      <w:bCs/>
      <w:kern w:val="2"/>
      <w:sz w:val="30"/>
      <w:szCs w:val="21"/>
      <w:lang w:val="en-US" w:eastAsia="zh-CN" w:bidi="ar-SA"/>
    </w:rPr>
  </w:style>
  <w:style w:type="paragraph" w:customStyle="1" w:styleId="121">
    <w:name w:val="UserStyle_17"/>
    <w:autoRedefine/>
    <w:qFormat/>
    <w:uiPriority w:val="0"/>
    <w:pPr>
      <w:jc w:val="both"/>
      <w:textAlignment w:val="baseline"/>
    </w:pPr>
    <w:rPr>
      <w:rFonts w:ascii="方正小标宋简体" w:hAnsi="Calibri" w:eastAsia="方正小标宋简体" w:cs="Times New Roman"/>
      <w:kern w:val="2"/>
      <w:sz w:val="30"/>
      <w:szCs w:val="21"/>
      <w:lang w:val="en-US" w:eastAsia="zh-CN" w:bidi="ar-SA"/>
    </w:rPr>
  </w:style>
  <w:style w:type="paragraph" w:customStyle="1" w:styleId="122">
    <w:name w:val="p20"/>
    <w:basedOn w:val="1"/>
    <w:autoRedefine/>
    <w:qFormat/>
    <w:uiPriority w:val="0"/>
    <w:pPr>
      <w:widowControl/>
      <w:ind w:firstLine="412"/>
    </w:pPr>
    <w:rPr>
      <w:rFonts w:ascii="仿宋_GB2312" w:hAnsi="宋体" w:eastAsia="仿宋_GB2312" w:cs="宋体"/>
      <w:kern w:val="0"/>
      <w:sz w:val="32"/>
      <w:szCs w:val="32"/>
    </w:rPr>
  </w:style>
  <w:style w:type="paragraph" w:customStyle="1" w:styleId="123">
    <w:name w:val="Normal Indent1"/>
    <w:basedOn w:val="1"/>
    <w:autoRedefine/>
    <w:qFormat/>
    <w:uiPriority w:val="99"/>
    <w:pPr>
      <w:ind w:firstLine="420" w:firstLineChars="200"/>
    </w:pPr>
    <w:rPr>
      <w:rFonts w:ascii="Calibri" w:hAnsi="Calibri" w:cs="黑体"/>
    </w:rPr>
  </w:style>
  <w:style w:type="paragraph" w:customStyle="1" w:styleId="124">
    <w:name w:val="正文 New New New New New New New New New"/>
    <w:autoRedefine/>
    <w:qFormat/>
    <w:uiPriority w:val="0"/>
    <w:pPr>
      <w:widowControl w:val="0"/>
      <w:jc w:val="both"/>
    </w:pPr>
    <w:rPr>
      <w:rFonts w:ascii="方正小标宋简体" w:hAnsi="Times New Roman" w:eastAsia="方正小标宋简体" w:cs="Times New Roman"/>
      <w:bCs/>
      <w:kern w:val="2"/>
      <w:sz w:val="30"/>
      <w:szCs w:val="21"/>
      <w:lang w:val="en-US" w:eastAsia="zh-CN" w:bidi="ar-SA"/>
    </w:rPr>
  </w:style>
  <w:style w:type="paragraph" w:customStyle="1" w:styleId="125">
    <w:name w:val="UserStyle_14"/>
    <w:autoRedefine/>
    <w:qFormat/>
    <w:uiPriority w:val="0"/>
    <w:pPr>
      <w:jc w:val="both"/>
      <w:textAlignment w:val="baseline"/>
    </w:pPr>
    <w:rPr>
      <w:rFonts w:ascii="方正小标宋简体" w:hAnsi="Calibri" w:eastAsia="方正小标宋简体" w:cs="Times New Roman"/>
      <w:kern w:val="2"/>
      <w:sz w:val="30"/>
      <w:szCs w:val="21"/>
      <w:lang w:val="en-US" w:eastAsia="zh-CN" w:bidi="ar-SA"/>
    </w:rPr>
  </w:style>
  <w:style w:type="character" w:customStyle="1" w:styleId="126">
    <w:name w:val="文档结构图 Char1"/>
    <w:autoRedefine/>
    <w:semiHidden/>
    <w:qFormat/>
    <w:uiPriority w:val="99"/>
    <w:rPr>
      <w:rFonts w:ascii="宋体"/>
      <w:sz w:val="18"/>
      <w:szCs w:val="18"/>
    </w:rPr>
  </w:style>
  <w:style w:type="paragraph" w:customStyle="1" w:styleId="127">
    <w:name w:val="无间隔3"/>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28">
    <w:name w:val="x_pt3"/>
    <w:basedOn w:val="35"/>
    <w:autoRedefine/>
    <w:qFormat/>
    <w:uiPriority w:val="0"/>
    <w:rPr>
      <w:rFonts w:ascii="微软雅黑" w:hAnsi="微软雅黑" w:eastAsia="微软雅黑" w:cs="微软雅黑"/>
      <w:color w:val="333333"/>
      <w:sz w:val="21"/>
      <w:szCs w:val="21"/>
    </w:rPr>
  </w:style>
  <w:style w:type="paragraph" w:customStyle="1" w:styleId="129">
    <w:name w:val="BodyText"/>
    <w:basedOn w:val="1"/>
    <w:autoRedefine/>
    <w:qFormat/>
    <w:uiPriority w:val="0"/>
    <w:pPr>
      <w:jc w:val="center"/>
    </w:pPr>
    <w:rPr>
      <w:rFonts w:ascii="Calibri" w:hAnsi="Calibri" w:cs="黑体"/>
      <w:sz w:val="48"/>
    </w:rPr>
  </w:style>
  <w:style w:type="paragraph" w:customStyle="1" w:styleId="130">
    <w:name w:val="无间隔4"/>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31">
    <w:name w:val="font81"/>
    <w:autoRedefine/>
    <w:qFormat/>
    <w:uiPriority w:val="0"/>
    <w:rPr>
      <w:rFonts w:ascii="Arial" w:hAnsi="Arial" w:cs="Arial"/>
      <w:color w:val="333333"/>
      <w:sz w:val="20"/>
      <w:szCs w:val="20"/>
      <w:u w:val="none"/>
    </w:rPr>
  </w:style>
  <w:style w:type="paragraph" w:customStyle="1" w:styleId="132">
    <w:name w:val="Style1"/>
    <w:basedOn w:val="1"/>
    <w:autoRedefine/>
    <w:qFormat/>
    <w:uiPriority w:val="0"/>
    <w:pPr>
      <w:tabs>
        <w:tab w:val="left" w:pos="-720"/>
      </w:tabs>
      <w:spacing w:after="120"/>
    </w:pPr>
    <w:rPr>
      <w:spacing w:val="-3"/>
      <w:sz w:val="24"/>
      <w:szCs w:val="20"/>
      <w:lang w:val="en-AU" w:eastAsia="en-US"/>
    </w:rPr>
  </w:style>
  <w:style w:type="paragraph" w:customStyle="1" w:styleId="133">
    <w:name w:val="表格5"/>
    <w:basedOn w:val="1"/>
    <w:autoRedefine/>
    <w:qFormat/>
    <w:uiPriority w:val="0"/>
    <w:pPr>
      <w:adjustRightInd w:val="0"/>
      <w:snapToGrid w:val="0"/>
      <w:jc w:val="center"/>
    </w:pPr>
    <w:rPr>
      <w:rFonts w:hint="eastAsia"/>
    </w:rPr>
  </w:style>
  <w:style w:type="character" w:customStyle="1" w:styleId="134">
    <w:name w:val="正文缩进 Char"/>
    <w:link w:val="10"/>
    <w:autoRedefine/>
    <w:qFormat/>
    <w:uiPriority w:val="99"/>
    <w:rPr>
      <w:kern w:val="2"/>
      <w:sz w:val="21"/>
    </w:rPr>
  </w:style>
  <w:style w:type="paragraph" w:customStyle="1" w:styleId="135">
    <w:name w:val="Table Text"/>
    <w:basedOn w:val="1"/>
    <w:semiHidden/>
    <w:qFormat/>
    <w:uiPriority w:val="0"/>
    <w:rPr>
      <w:rFonts w:ascii="宋体" w:hAnsi="宋体" w:eastAsia="宋体" w:cs="宋体"/>
      <w:sz w:val="22"/>
      <w:szCs w:val="22"/>
      <w:lang w:val="en-US" w:eastAsia="en-US" w:bidi="ar-SA"/>
    </w:rPr>
  </w:style>
  <w:style w:type="character" w:customStyle="1" w:styleId="136">
    <w:name w:val="grame"/>
    <w:qFormat/>
    <w:uiPriority w:val="0"/>
  </w:style>
  <w:style w:type="paragraph" w:customStyle="1" w:styleId="137">
    <w:name w:val="样式  + 首行缩进:  2 字符"/>
    <w:basedOn w:val="1"/>
    <w:next w:val="1"/>
    <w:qFormat/>
    <w:uiPriority w:val="0"/>
    <w:pPr>
      <w:adjustRightInd w:val="0"/>
      <w:snapToGrid w:val="0"/>
      <w:ind w:firstLine="524"/>
    </w:pPr>
    <w:rPr>
      <w:rFonts w:ascii="宋体" w:hAnsi="宋体"/>
      <w:snapToGrid w:val="0"/>
      <w:spacing w:val="11"/>
      <w:kern w:val="0"/>
    </w:rPr>
  </w:style>
  <w:style w:type="paragraph" w:customStyle="1" w:styleId="138">
    <w:name w:val="样式 宋体 左 行距: 1.5 倍行距"/>
    <w:basedOn w:val="1"/>
    <w:qFormat/>
    <w:uiPriority w:val="0"/>
    <w:pPr>
      <w:spacing w:line="360" w:lineRule="auto"/>
      <w:jc w:val="left"/>
    </w:pPr>
    <w:rPr>
      <w:rFonts w:ascii="宋体" w:hAnsi="宋体" w:cs="宋体"/>
      <w:szCs w:val="20"/>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header" Target="header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3.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07628c1f-d776-491f-9fc7-a9f165cd002a</errorID>
      <errorWord>：/。</errorWord>
      <group>L1_Punc</group>
      <groupName>标点问题</groupName>
      <ability>L2_Punc_CN</ability>
      <abilityName/>
      <candidateList>
        <item>：</item>
      </candidateList>
      <explain/>
      <paraID> 6F692C4</paraID>
      <start>4</start>
      <end>7</end>
      <status>ignored</status>
      <modifiedWord/>
      <trackRevisions>false</trackRevisions>
    </reviewItem>
    <reviewItem>
      <errorID>612f879a-0667-4704-9040-c2eca7a591df</errorID>
      <errorWord>（</errorWord>
      <group>L1_Punc</group>
      <groupName>标点问题</groupName>
      <ability>L2_Punc_CN</ability>
      <abilityName/>
      <candidateList/>
      <explain>此处标点可能未正确匹配，请检查句子中是否存在标点冗余、缺失或使用错误的情况。</explain>
      <paraID>14BEADD6</paraID>
      <start>37</start>
      <end>38</end>
      <status>ignored</status>
      <modifiedWord/>
      <trackRevisions>false</trackRevisions>
    </reviewItem>
    <reviewItem>
      <errorID>5c107f41-5f49-4042-b228-c93ebee283c0</errorID>
      <errorWord>共</errorWord>
      <group>L1_Word</group>
      <groupName>字词问题</groupName>
      <ability>L2_Typo</ability>
      <abilityName>字词错误</abilityName>
      <candidateList>
        <item>共有</item>
      </candidateList>
      <explain/>
      <paraID>50702CFC</paraID>
      <start>3</start>
      <end>5</end>
      <status>modified</status>
      <modifiedWord>共有</modifiedWord>
      <trackRevisions>false</trackRevisions>
    </reviewItem>
    <reviewItem>
      <errorID>3a85ee12-5e25-4eb6-82ca-fbb54a053ebb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675C8948</paraID>
      <start>10</start>
      <end>11</end>
      <status>ignored</status>
      <modifiedWord/>
      <trackRevisions>false</trackRevisions>
    </reviewItem>
    <reviewItem>
      <errorID>6d33dcf0-ff4a-4882-83e0-87cefc515559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171DF8D3</paraID>
      <start>31</start>
      <end>32</end>
      <status>ignored</status>
      <modifiedWord/>
      <trackRevisions>false</trackRevisions>
    </reviewItem>
    <reviewItem>
      <errorID>fd1fade8-668b-49da-a833-e61d6bf1068b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4182BD82</paraID>
      <start>58</start>
      <end>59</end>
      <status>ignored</status>
      <modifiedWord/>
      <trackRevisions>false</trackRevisions>
    </reviewItem>
    <reviewItem>
      <errorID>3553ec19-7379-4f2a-8085-2cd088d23e61</errorID>
      <errorWord>详实</errorWord>
      <group>L1_Word</group>
      <groupName>字词问题</groupName>
      <ability>L2_Typo</ability>
      <abilityName>字词错误</abilityName>
      <candidateList>
        <item>翔实</item>
      </candidateList>
      <explain/>
      <paraID>202A66ED</paraID>
      <start>16</start>
      <end>18</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F4753EA-37A4-4E4E-B585-9719D0E4E65E}">
  <ds:schemaRefs/>
</ds:datastoreItem>
</file>

<file path=customXml/itemProps3.xml><?xml version="1.0" encoding="utf-8"?>
<ds:datastoreItem xmlns:ds="http://schemas.openxmlformats.org/officeDocument/2006/customXml" ds:itemID="{8dae36e2-2209-48e4-9de8-7703ab2d2de4}">
  <ds:schemaRefs/>
</ds:datastoreItem>
</file>

<file path=docProps/app.xml><?xml version="1.0" encoding="utf-8"?>
<Properties xmlns="http://schemas.openxmlformats.org/officeDocument/2006/extended-properties" xmlns:vt="http://schemas.openxmlformats.org/officeDocument/2006/docPropsVTypes">
  <Template>Normal</Template>
  <Pages>93</Pages>
  <Words>13873</Words>
  <Characters>15281</Characters>
  <Lines>372</Lines>
  <Paragraphs>104</Paragraphs>
  <TotalTime>29</TotalTime>
  <ScaleCrop>false</ScaleCrop>
  <LinksUpToDate>false</LinksUpToDate>
  <CharactersWithSpaces>15425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2022-05-31T23:35:00Z</dcterms:created>
  <dc:creator>WM</dc:creator>
  <cp:lastModifiedBy>佚名</cp:lastModifiedBy>
  <cp:lastPrinted>2026-03-28T07:53:00Z</cp:lastPrinted>
  <dcterms:modified xsi:type="dcterms:W3CDTF">2026-05-22T08:13:52Z</dcterms:modified>
  <cp:revision>663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2CB0389C21614DCA9C345360794A7EA8_13</vt:lpwstr>
  </property>
  <property fmtid="{D5CDD505-2E9C-101B-9397-08002B2CF9AE}" pid="4" name="KSOTemplateDocerSaveRecord">
    <vt:lpwstr>eyJoZGlkIjoiZDA3ZDQwMmNiOWFlYzZjYTcwOWJiZGQ0YTA5ODBmZGUiLCJ1c2VySWQiOiI1ODQ3MzgwMTIifQ==</vt:lpwstr>
  </property>
</Properties>
</file>