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53D7FF">
      <w:pPr>
        <w:pStyle w:val="9"/>
        <w:keepNext/>
        <w:keepLines/>
        <w:pageBreakBefore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outlineLvl w:val="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采购需求</w:t>
      </w:r>
    </w:p>
    <w:p w14:paraId="5A592E29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b/>
          <w:bCs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sz w:val="22"/>
          <w:szCs w:val="22"/>
        </w:rPr>
        <w:t>项目概述</w:t>
      </w:r>
    </w:p>
    <w:p w14:paraId="409FC1F0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预防困境儿童发生意外事故和重大疾病，进一步推动未成年人关爱保护工作深入开展，现拟为全</w:t>
      </w:r>
      <w:r>
        <w:rPr>
          <w:rFonts w:hint="eastAsia" w:ascii="宋体" w:hAnsi="宋体" w:cs="宋体"/>
          <w:sz w:val="22"/>
          <w:szCs w:val="22"/>
          <w:lang w:val="en-US" w:eastAsia="zh-CN"/>
        </w:rPr>
        <w:t>县</w:t>
      </w:r>
      <w:r>
        <w:rPr>
          <w:rFonts w:hint="eastAsia" w:ascii="宋体" w:hAnsi="宋体" w:eastAsia="宋体" w:cs="宋体"/>
          <w:sz w:val="22"/>
          <w:szCs w:val="22"/>
        </w:rPr>
        <w:t>困境儿童购买意外伤害保险和重大疾病保险，更好地为困境儿童的安全保驾护航。</w:t>
      </w:r>
    </w:p>
    <w:p w14:paraId="6FAB8F4F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200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二、项目名称：睢宁县困境儿童、留守儿童意外伤害团体保险；</w:t>
      </w:r>
    </w:p>
    <w:p w14:paraId="0AC7DADE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200" w:firstLine="442" w:firstLineChars="200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项目编号：</w:t>
      </w:r>
      <w:r>
        <w:rPr>
          <w:rFonts w:hint="eastAsia" w:ascii="宋体" w:hAnsi="宋体" w:cs="宋体"/>
          <w:b/>
          <w:bCs/>
          <w:sz w:val="22"/>
          <w:szCs w:val="22"/>
          <w:lang w:val="en-US" w:eastAsia="zh-CN"/>
        </w:rPr>
        <w:t>JSRX-ZC-20250319-001</w:t>
      </w: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；</w:t>
      </w:r>
    </w:p>
    <w:p w14:paraId="58E29036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200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 xml:space="preserve">    招标人：睢宁县民政局</w:t>
      </w:r>
      <w:r>
        <w:rPr>
          <w:rFonts w:hint="eastAsia" w:ascii="宋体" w:hAnsi="宋体" w:cs="宋体"/>
          <w:b/>
          <w:bCs/>
          <w:sz w:val="22"/>
          <w:szCs w:val="22"/>
          <w:lang w:val="en-US" w:eastAsia="zh-CN"/>
        </w:rPr>
        <w:t>；</w:t>
      </w:r>
    </w:p>
    <w:p w14:paraId="63189E53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200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三、预算金额：预计费用约32万元，最终保费以保险公司出具的保单为准。</w:t>
      </w:r>
    </w:p>
    <w:p w14:paraId="3AA2ABA8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200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四、保险费：100元/人/年。</w:t>
      </w:r>
    </w:p>
    <w:p w14:paraId="2A07C7BE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200"/>
        <w:textAlignment w:val="auto"/>
        <w:rPr>
          <w:rFonts w:hint="eastAsia" w:ascii="宋体" w:hAnsi="宋体" w:eastAsia="宋体" w:cs="宋体"/>
          <w:b/>
          <w:bCs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sz w:val="22"/>
          <w:szCs w:val="22"/>
        </w:rPr>
        <w:t>、保障内容</w:t>
      </w:r>
    </w:p>
    <w:p w14:paraId="431DF61A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b/>
          <w:bCs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2"/>
          <w:szCs w:val="22"/>
        </w:rPr>
        <w:t>1.保障对象</w:t>
      </w:r>
      <w:bookmarkStart w:id="0" w:name="_GoBack"/>
      <w:bookmarkEnd w:id="0"/>
    </w:p>
    <w:p w14:paraId="1BE442A2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为</w:t>
      </w:r>
      <w:r>
        <w:rPr>
          <w:rFonts w:hint="eastAsia" w:ascii="宋体" w:hAnsi="宋体" w:eastAsia="宋体" w:cs="宋体"/>
          <w:sz w:val="22"/>
          <w:szCs w:val="22"/>
          <w:lang w:eastAsia="zh-CN"/>
        </w:rPr>
        <w:t>睢宁县困境、留守儿童群体投保，保险保费为每人每年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100元，参保人员数量约3200人，具体人数按实际参保人数为准。</w:t>
      </w:r>
    </w:p>
    <w:p w14:paraId="1BF4EDFA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b/>
          <w:bCs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2"/>
          <w:szCs w:val="22"/>
        </w:rPr>
        <w:t>2.保险内容</w:t>
      </w:r>
    </w:p>
    <w:p w14:paraId="4BC9B02D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困境儿童意外伤害保险和重大疾病保险</w:t>
      </w:r>
    </w:p>
    <w:p w14:paraId="7E346F6A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（1）困境儿童因意外伤害导致身故、新的残疾或等级加重以及产生的医疗费、住院津贴，承保公司按照保险合同约定的保险金额承担保险责任。</w:t>
      </w:r>
    </w:p>
    <w:p w14:paraId="67B8B1E7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（2）在承保期间内初次确诊身患符合30种重大疾病</w:t>
      </w:r>
      <w:r>
        <w:rPr>
          <w:rFonts w:hint="eastAsia" w:ascii="宋体" w:hAnsi="宋体" w:cs="宋体"/>
          <w:sz w:val="22"/>
          <w:szCs w:val="22"/>
          <w:lang w:eastAsia="zh-CN"/>
        </w:rPr>
        <w:t>、</w:t>
      </w:r>
      <w:r>
        <w:rPr>
          <w:rFonts w:hint="eastAsia" w:ascii="宋体" w:hAnsi="宋体" w:eastAsia="宋体" w:cs="宋体"/>
          <w:sz w:val="22"/>
          <w:szCs w:val="22"/>
        </w:rPr>
        <w:t>3种轻度疾病，承保公司按照保险合同约定的保险金额承担保险责任。</w:t>
      </w:r>
    </w:p>
    <w:p w14:paraId="5AB19E30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2"/>
          <w:szCs w:val="22"/>
        </w:rPr>
        <w:t>30种重大疾病包括：</w:t>
      </w:r>
      <w:r>
        <w:rPr>
          <w:rFonts w:hint="eastAsia" w:ascii="宋体" w:hAnsi="宋体" w:eastAsia="宋体" w:cs="宋体"/>
          <w:sz w:val="22"/>
          <w:szCs w:val="22"/>
        </w:rPr>
        <w:t>1、恶性肿瘤——重度2、较重急性心肌梗死3、严重脑中风后遗症4、重大器官移植术或造血干细胞移植术5、冠状动脉搭桥术（或称冠状动脉旁路移植术）6、严重慢性肾衰竭7、多个肢体缺失8、急性重症肝炎或亚急性重症肝炎9、严重非恶性颅内肿瘤10、严重慢性肝衰竭11、严重脑炎后遗症或严重脑膜炎后遗症12、深度昏迷13、双耳失聪14、双目失明15、瘫痪16、心脏瓣膜手术17、严重阿尔茨海默病18、严重脑损伤19、严重原发性帕金森病20、严重Ⅲ度烧伤21、严重特发性肺动脉高压22、严重运动神经元病23、语言能力丧失24、重型再生障碍性贫血25、主动脉手术26、严重慢性呼吸衰竭27、严重克罗恩病28、严重溃疡性结肠炎29、严重原发性心肌病30、严重多发性硬化症。</w:t>
      </w:r>
    </w:p>
    <w:p w14:paraId="03EAB2DA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2"/>
          <w:szCs w:val="22"/>
        </w:rPr>
        <w:t>3种轻度疾病包括：</w:t>
      </w:r>
      <w:r>
        <w:rPr>
          <w:rFonts w:hint="eastAsia" w:ascii="宋体" w:hAnsi="宋体" w:eastAsia="宋体" w:cs="宋体"/>
          <w:sz w:val="22"/>
          <w:szCs w:val="22"/>
        </w:rPr>
        <w:t>1、恶性肿瘤——轻度2、较轻急性心肌梗死3、轻度脑中风后遗症。</w:t>
      </w:r>
    </w:p>
    <w:p w14:paraId="261BB28D"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保险额度</w:t>
      </w:r>
    </w:p>
    <w:tbl>
      <w:tblPr>
        <w:tblStyle w:val="7"/>
        <w:tblW w:w="8816" w:type="dxa"/>
        <w:tblInd w:w="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6"/>
        <w:gridCol w:w="1500"/>
        <w:gridCol w:w="1580"/>
        <w:gridCol w:w="4520"/>
      </w:tblGrid>
      <w:tr w14:paraId="53491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</w:trPr>
        <w:tc>
          <w:tcPr>
            <w:tcW w:w="2716" w:type="dxa"/>
            <w:gridSpan w:val="2"/>
            <w:noWrap w:val="0"/>
            <w:vAlign w:val="center"/>
          </w:tcPr>
          <w:p w14:paraId="6F0CA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保障内容</w:t>
            </w:r>
          </w:p>
        </w:tc>
        <w:tc>
          <w:tcPr>
            <w:tcW w:w="1580" w:type="dxa"/>
            <w:noWrap w:val="0"/>
            <w:vAlign w:val="center"/>
          </w:tcPr>
          <w:p w14:paraId="71A29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保险金额</w:t>
            </w:r>
          </w:p>
        </w:tc>
        <w:tc>
          <w:tcPr>
            <w:tcW w:w="4520" w:type="dxa"/>
            <w:noWrap w:val="0"/>
            <w:vAlign w:val="center"/>
          </w:tcPr>
          <w:p w14:paraId="5E517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给付标准</w:t>
            </w:r>
          </w:p>
        </w:tc>
      </w:tr>
      <w:tr w14:paraId="1C930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</w:trPr>
        <w:tc>
          <w:tcPr>
            <w:tcW w:w="1216" w:type="dxa"/>
            <w:vMerge w:val="restart"/>
            <w:noWrap w:val="0"/>
            <w:vAlign w:val="center"/>
          </w:tcPr>
          <w:p w14:paraId="7B353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意外伤害</w:t>
            </w:r>
          </w:p>
        </w:tc>
        <w:tc>
          <w:tcPr>
            <w:tcW w:w="1500" w:type="dxa"/>
            <w:noWrap w:val="0"/>
            <w:vAlign w:val="center"/>
          </w:tcPr>
          <w:p w14:paraId="0AB8C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意外身故</w:t>
            </w:r>
          </w:p>
        </w:tc>
        <w:tc>
          <w:tcPr>
            <w:tcW w:w="1580" w:type="dxa"/>
            <w:noWrap w:val="0"/>
            <w:vAlign w:val="center"/>
          </w:tcPr>
          <w:p w14:paraId="15B86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10万</w:t>
            </w:r>
          </w:p>
        </w:tc>
        <w:tc>
          <w:tcPr>
            <w:tcW w:w="4520" w:type="dxa"/>
            <w:noWrap w:val="0"/>
            <w:vAlign w:val="center"/>
          </w:tcPr>
          <w:p w14:paraId="60164C0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 w14:paraId="4B089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</w:trPr>
        <w:tc>
          <w:tcPr>
            <w:tcW w:w="1216" w:type="dxa"/>
            <w:vMerge w:val="continue"/>
            <w:noWrap w:val="0"/>
            <w:vAlign w:val="center"/>
          </w:tcPr>
          <w:p w14:paraId="028946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66E3D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意外伤残</w:t>
            </w:r>
          </w:p>
        </w:tc>
        <w:tc>
          <w:tcPr>
            <w:tcW w:w="1580" w:type="dxa"/>
            <w:noWrap w:val="0"/>
            <w:vAlign w:val="center"/>
          </w:tcPr>
          <w:p w14:paraId="0F6FE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10万</w:t>
            </w:r>
          </w:p>
        </w:tc>
        <w:tc>
          <w:tcPr>
            <w:tcW w:w="4520" w:type="dxa"/>
            <w:noWrap w:val="0"/>
            <w:vAlign w:val="center"/>
          </w:tcPr>
          <w:p w14:paraId="79AB5B0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根据《人身保险伤残程度与保险金给付》表》给付伤残金，最高给付10万元。</w:t>
            </w:r>
          </w:p>
        </w:tc>
      </w:tr>
      <w:tr w14:paraId="30642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</w:trPr>
        <w:tc>
          <w:tcPr>
            <w:tcW w:w="1216" w:type="dxa"/>
            <w:vMerge w:val="restart"/>
            <w:noWrap w:val="0"/>
            <w:vAlign w:val="center"/>
          </w:tcPr>
          <w:p w14:paraId="250DA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重大疾病</w:t>
            </w:r>
          </w:p>
        </w:tc>
        <w:tc>
          <w:tcPr>
            <w:tcW w:w="1500" w:type="dxa"/>
            <w:noWrap w:val="0"/>
            <w:vAlign w:val="center"/>
          </w:tcPr>
          <w:p w14:paraId="31D66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重大疾病</w:t>
            </w:r>
          </w:p>
        </w:tc>
        <w:tc>
          <w:tcPr>
            <w:tcW w:w="1580" w:type="dxa"/>
            <w:noWrap w:val="0"/>
            <w:vAlign w:val="center"/>
          </w:tcPr>
          <w:p w14:paraId="6736E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2万</w:t>
            </w:r>
          </w:p>
        </w:tc>
        <w:tc>
          <w:tcPr>
            <w:tcW w:w="4520" w:type="dxa"/>
            <w:vMerge w:val="restart"/>
            <w:noWrap w:val="0"/>
            <w:vAlign w:val="center"/>
          </w:tcPr>
          <w:p w14:paraId="7D2D4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等待期90天，首次确诊罹患30种重大疾病定</w:t>
            </w:r>
            <w:r>
              <w:rPr>
                <w:rStyle w:val="12"/>
                <w:rFonts w:hint="eastAsia" w:ascii="宋体" w:hAnsi="宋体" w:eastAsia="宋体" w:cs="宋体"/>
                <w:color w:val="2623AD"/>
                <w:sz w:val="21"/>
                <w:szCs w:val="21"/>
                <w:lang w:val="en-US" w:eastAsia="zh-CN" w:bidi="ar"/>
              </w:rPr>
              <w:t>额给付2万元，3种轻度疾病定额给付5000元。</w:t>
            </w:r>
          </w:p>
        </w:tc>
      </w:tr>
      <w:tr w14:paraId="6EB30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exact"/>
        </w:trPr>
        <w:tc>
          <w:tcPr>
            <w:tcW w:w="1216" w:type="dxa"/>
            <w:vMerge w:val="continue"/>
            <w:noWrap w:val="0"/>
            <w:vAlign w:val="center"/>
          </w:tcPr>
          <w:p w14:paraId="22776F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DD2D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轻度疾病</w:t>
            </w:r>
          </w:p>
        </w:tc>
        <w:tc>
          <w:tcPr>
            <w:tcW w:w="1580" w:type="dxa"/>
            <w:noWrap w:val="0"/>
            <w:vAlign w:val="center"/>
          </w:tcPr>
          <w:p w14:paraId="13C18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5千</w:t>
            </w:r>
          </w:p>
        </w:tc>
        <w:tc>
          <w:tcPr>
            <w:tcW w:w="4520" w:type="dxa"/>
            <w:vMerge w:val="continue"/>
            <w:noWrap w:val="0"/>
            <w:vAlign w:val="center"/>
          </w:tcPr>
          <w:p w14:paraId="5D4993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</w:tr>
      <w:tr w14:paraId="532FC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</w:trPr>
        <w:tc>
          <w:tcPr>
            <w:tcW w:w="1216" w:type="dxa"/>
            <w:vMerge w:val="restart"/>
            <w:noWrap w:val="0"/>
            <w:vAlign w:val="center"/>
          </w:tcPr>
          <w:p w14:paraId="6CCB9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意外医疗</w:t>
            </w:r>
          </w:p>
        </w:tc>
        <w:tc>
          <w:tcPr>
            <w:tcW w:w="1500" w:type="dxa"/>
            <w:noWrap w:val="0"/>
            <w:vAlign w:val="center"/>
          </w:tcPr>
          <w:p w14:paraId="7C3EC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意外住院医疗</w:t>
            </w:r>
          </w:p>
        </w:tc>
        <w:tc>
          <w:tcPr>
            <w:tcW w:w="1580" w:type="dxa"/>
            <w:noWrap w:val="0"/>
            <w:vAlign w:val="center"/>
          </w:tcPr>
          <w:p w14:paraId="51EB7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5万</w:t>
            </w:r>
          </w:p>
        </w:tc>
        <w:tc>
          <w:tcPr>
            <w:tcW w:w="4520" w:type="dxa"/>
            <w:noWrap w:val="0"/>
            <w:vAlign w:val="center"/>
          </w:tcPr>
          <w:p w14:paraId="5DE70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使用医保，免赔额100元，赔付比例90%，未使用医保，免赔200元，赔付比例80%。</w:t>
            </w:r>
          </w:p>
        </w:tc>
      </w:tr>
      <w:tr w14:paraId="4161B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</w:trPr>
        <w:tc>
          <w:tcPr>
            <w:tcW w:w="1216" w:type="dxa"/>
            <w:vMerge w:val="continue"/>
            <w:noWrap w:val="0"/>
            <w:vAlign w:val="center"/>
          </w:tcPr>
          <w:p w14:paraId="1A88E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7A4EE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门/急诊</w:t>
            </w:r>
          </w:p>
        </w:tc>
        <w:tc>
          <w:tcPr>
            <w:tcW w:w="1580" w:type="dxa"/>
            <w:noWrap w:val="0"/>
            <w:vAlign w:val="center"/>
          </w:tcPr>
          <w:p w14:paraId="5E001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500元</w:t>
            </w:r>
          </w:p>
        </w:tc>
        <w:tc>
          <w:tcPr>
            <w:tcW w:w="4520" w:type="dxa"/>
            <w:noWrap w:val="0"/>
            <w:vAlign w:val="center"/>
          </w:tcPr>
          <w:p w14:paraId="4AE67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限狂犬疫苗</w:t>
            </w:r>
          </w:p>
        </w:tc>
      </w:tr>
      <w:tr w14:paraId="671E7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exact"/>
        </w:trPr>
        <w:tc>
          <w:tcPr>
            <w:tcW w:w="1216" w:type="dxa"/>
            <w:vMerge w:val="restart"/>
            <w:noWrap w:val="0"/>
            <w:vAlign w:val="center"/>
          </w:tcPr>
          <w:p w14:paraId="08F6F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zh" w:eastAsia="zh-CN" w:bidi="ar"/>
              </w:rPr>
              <w:t>住院津贴</w:t>
            </w:r>
          </w:p>
        </w:tc>
        <w:tc>
          <w:tcPr>
            <w:tcW w:w="1500" w:type="dxa"/>
            <w:noWrap w:val="0"/>
            <w:vAlign w:val="center"/>
          </w:tcPr>
          <w:p w14:paraId="2EE28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zh" w:eastAsia="zh-CN" w:bidi="ar"/>
              </w:rPr>
              <w:t>意外伤害住院医疗定额补贴</w:t>
            </w:r>
          </w:p>
        </w:tc>
        <w:tc>
          <w:tcPr>
            <w:tcW w:w="6100" w:type="dxa"/>
            <w:gridSpan w:val="2"/>
            <w:vMerge w:val="restart"/>
            <w:noWrap w:val="0"/>
            <w:vAlign w:val="center"/>
          </w:tcPr>
          <w:p w14:paraId="1EAA3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元/天</w:t>
            </w:r>
            <w:r>
              <w:rPr>
                <w:rFonts w:hint="eastAsia" w:ascii="宋体" w:hAnsi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  <w:t>无免赔天数，每次最高赔付60天。</w:t>
            </w:r>
          </w:p>
        </w:tc>
      </w:tr>
      <w:tr w14:paraId="61E9B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exact"/>
        </w:trPr>
        <w:tc>
          <w:tcPr>
            <w:tcW w:w="1216" w:type="dxa"/>
            <w:vMerge w:val="continue"/>
            <w:noWrap w:val="0"/>
            <w:vAlign w:val="center"/>
          </w:tcPr>
          <w:p w14:paraId="5F377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zh" w:eastAsia="zh-CN" w:bidi="ar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FA2E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zh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zh" w:eastAsia="zh-CN" w:bidi="ar"/>
              </w:rPr>
              <w:t>重大疾病住院医疗定额补贴</w:t>
            </w:r>
          </w:p>
        </w:tc>
        <w:tc>
          <w:tcPr>
            <w:tcW w:w="6100" w:type="dxa"/>
            <w:gridSpan w:val="2"/>
            <w:vMerge w:val="continue"/>
            <w:noWrap w:val="0"/>
            <w:vAlign w:val="center"/>
          </w:tcPr>
          <w:p w14:paraId="7DE07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623AD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3557D423">
      <w:pPr>
        <w:pStyle w:val="11"/>
        <w:numPr>
          <w:ilvl w:val="0"/>
          <w:numId w:val="0"/>
        </w:numPr>
        <w:rPr>
          <w:rFonts w:hint="eastAsia"/>
          <w:lang w:val="en-US" w:eastAsia="zh-CN"/>
        </w:rPr>
      </w:pPr>
    </w:p>
    <w:p w14:paraId="155515A7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b/>
          <w:bCs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sz w:val="22"/>
          <w:szCs w:val="22"/>
        </w:rPr>
        <w:t>、服务时间</w:t>
      </w:r>
    </w:p>
    <w:p w14:paraId="2C0837FC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sz w:val="22"/>
          <w:szCs w:val="22"/>
        </w:rPr>
        <w:t>服务时间：一年</w:t>
      </w:r>
      <w:r>
        <w:rPr>
          <w:rFonts w:hint="eastAsia" w:ascii="宋体" w:hAnsi="宋体" w:eastAsia="宋体" w:cs="宋体"/>
          <w:sz w:val="22"/>
          <w:szCs w:val="22"/>
          <w:lang w:eastAsia="zh-CN"/>
        </w:rPr>
        <w:t>。</w:t>
      </w:r>
    </w:p>
    <w:p w14:paraId="411A26A3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b/>
          <w:bCs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七</w:t>
      </w:r>
      <w:r>
        <w:rPr>
          <w:rFonts w:hint="eastAsia" w:ascii="宋体" w:hAnsi="宋体" w:eastAsia="宋体" w:cs="宋体"/>
          <w:b/>
          <w:bCs/>
          <w:sz w:val="22"/>
          <w:szCs w:val="22"/>
        </w:rPr>
        <w:t>、项目要求</w:t>
      </w:r>
    </w:p>
    <w:p w14:paraId="6684DBC5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1.项目实施要求</w:t>
      </w:r>
    </w:p>
    <w:p w14:paraId="2D10DB77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（1）制定数据安全管理及定期通报制度；</w:t>
      </w:r>
    </w:p>
    <w:p w14:paraId="6B173747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（2）建立困难儿童案件处理绿色通道；</w:t>
      </w:r>
    </w:p>
    <w:p w14:paraId="04F05B8D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（3）建立困难儿童档案管理制度；</w:t>
      </w:r>
    </w:p>
    <w:p w14:paraId="61C7ECB3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（4）协助甲方就相关保险政策进行宣传、开展调研，提出意见建议。</w:t>
      </w:r>
    </w:p>
    <w:p w14:paraId="045E0C8C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2.政策宣传要求</w:t>
      </w:r>
    </w:p>
    <w:p w14:paraId="03B1971D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（1）采用多种方式进行宣传，保证每位困境儿童自身保障知晓度，短信息确保逐一通知到人，建立服务专线；</w:t>
      </w:r>
    </w:p>
    <w:p w14:paraId="45F2E461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（2）特定节日进行困境儿童慰问。</w:t>
      </w:r>
    </w:p>
    <w:p w14:paraId="7B3B756C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3.实名制核实管理要求</w:t>
      </w:r>
    </w:p>
    <w:p w14:paraId="10004197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（1）困境儿童平安健康险项目需实名认证；</w:t>
      </w:r>
    </w:p>
    <w:p w14:paraId="0ACBC578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（2）核实监护人资格，每年2次以上的巡查调研核查。</w:t>
      </w:r>
    </w:p>
    <w:p w14:paraId="33473729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4.鉴定评估工作要求</w:t>
      </w:r>
    </w:p>
    <w:p w14:paraId="4E2E96DE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根据每季度理赔报表，进行抽查评估，对部分理赔有异议的案件提交专家和第三方机构进行审查。</w:t>
      </w:r>
    </w:p>
    <w:p w14:paraId="685356E7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5.经办工作要求</w:t>
      </w:r>
    </w:p>
    <w:p w14:paraId="576A278E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做好经办管理工作、信访接待，以及评定、待遇等方面争议申诉。</w:t>
      </w:r>
    </w:p>
    <w:p w14:paraId="08287E0B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6.费用的审核和结算工作</w:t>
      </w:r>
    </w:p>
    <w:p w14:paraId="45A56564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投标供应商按照规定设立专门账户，实行专户专管，独立核算。</w:t>
      </w:r>
    </w:p>
    <w:p w14:paraId="338BF350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7.数据管理要求</w:t>
      </w:r>
    </w:p>
    <w:p w14:paraId="2B47C692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具有支持移动信息查询，季度提供参保人员理赔服务数据。</w:t>
      </w:r>
    </w:p>
    <w:p w14:paraId="7FCEFEEE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72"/>
        <w:textAlignment w:val="auto"/>
        <w:rPr>
          <w:rFonts w:hint="eastAsia" w:ascii="宋体" w:hAnsi="宋体" w:eastAsia="宋体" w:cs="宋体"/>
          <w:b/>
          <w:sz w:val="22"/>
          <w:szCs w:val="22"/>
        </w:rPr>
      </w:pPr>
      <w:r>
        <w:rPr>
          <w:rFonts w:hint="eastAsia" w:ascii="宋体" w:hAnsi="宋体" w:eastAsia="宋体" w:cs="宋体"/>
          <w:b/>
          <w:sz w:val="22"/>
          <w:szCs w:val="22"/>
        </w:rPr>
        <w:t>本项目要求为不允许偏离的实质性要求和条件，如有偏离，在符合性审查时按照投标无效处理。</w:t>
      </w:r>
    </w:p>
    <w:p w14:paraId="30530B21"/>
    <w:sectPr>
      <w:pgSz w:w="11906" w:h="16838"/>
      <w:pgMar w:top="1304" w:right="1304" w:bottom="1304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EDD7E6"/>
    <w:multiLevelType w:val="singleLevel"/>
    <w:tmpl w:val="31EDD7E6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FE5E32"/>
    <w:rsid w:val="52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6"/>
    <w:unhideWhenUsed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paragraph" w:styleId="3">
    <w:name w:val="Body Text Indent"/>
    <w:basedOn w:val="4"/>
    <w:next w:val="5"/>
    <w:qFormat/>
    <w:uiPriority w:val="99"/>
    <w:pPr>
      <w:spacing w:after="120" w:line="360" w:lineRule="auto"/>
      <w:ind w:left="420" w:firstLine="200"/>
    </w:pPr>
    <w:rPr>
      <w:rFonts w:ascii="Verdana" w:hAnsi="Verdana"/>
      <w:sz w:val="24"/>
      <w:szCs w:val="28"/>
    </w:rPr>
  </w:style>
  <w:style w:type="paragraph" w:styleId="4">
    <w:name w:val="Body Text"/>
    <w:basedOn w:val="1"/>
    <w:next w:val="1"/>
    <w:qFormat/>
    <w:uiPriority w:val="0"/>
    <w:pPr>
      <w:spacing w:after="120" w:line="360" w:lineRule="auto"/>
      <w:ind w:firstLine="200"/>
    </w:pPr>
    <w:rPr>
      <w:rFonts w:ascii="Arial" w:hAnsi="Arial"/>
      <w:sz w:val="24"/>
    </w:rPr>
  </w:style>
  <w:style w:type="paragraph" w:styleId="5">
    <w:name w:val="envelope return"/>
    <w:basedOn w:val="1"/>
    <w:qFormat/>
    <w:uiPriority w:val="0"/>
    <w:rPr>
      <w:rFonts w:ascii="Arial" w:hAnsi="Arial"/>
    </w:rPr>
  </w:style>
  <w:style w:type="paragraph" w:styleId="6">
    <w:name w:val="Block Text"/>
    <w:basedOn w:val="1"/>
    <w:next w:val="1"/>
    <w:qFormat/>
    <w:uiPriority w:val="0"/>
    <w:pPr>
      <w:ind w:left="256" w:right="6" w:firstLine="624"/>
    </w:pPr>
    <w:rPr>
      <w:rFonts w:eastAsia="仿宋_GB2312"/>
      <w:sz w:val="28"/>
    </w:rPr>
  </w:style>
  <w:style w:type="paragraph" w:customStyle="1" w:styleId="9">
    <w:name w:val="标题 11"/>
    <w:basedOn w:val="10"/>
    <w:next w:val="10"/>
    <w:qFormat/>
    <w:uiPriority w:val="0"/>
    <w:pPr>
      <w:keepNext/>
      <w:keepLines/>
      <w:spacing w:line="578" w:lineRule="auto"/>
      <w:jc w:val="center"/>
      <w:outlineLvl w:val="0"/>
    </w:pPr>
    <w:rPr>
      <w:rFonts w:eastAsia="新宋体"/>
      <w:b/>
      <w:bCs/>
      <w:sz w:val="30"/>
      <w:szCs w:val="44"/>
    </w:rPr>
  </w:style>
  <w:style w:type="paragraph" w:customStyle="1" w:styleId="10">
    <w:name w:val="正文1111"/>
    <w:next w:val="11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4"/>
      <w:lang w:val="en-US" w:eastAsia="zh-CN" w:bidi="ar-SA"/>
    </w:rPr>
  </w:style>
  <w:style w:type="paragraph" w:customStyle="1" w:styleId="11">
    <w:name w:val="目录 112"/>
    <w:basedOn w:val="10"/>
    <w:next w:val="10"/>
    <w:qFormat/>
    <w:uiPriority w:val="0"/>
  </w:style>
  <w:style w:type="character" w:customStyle="1" w:styleId="12">
    <w:name w:val="font2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2025-02-27T06:34:00Z</dcterms:created>
  <dc:creator>紫藤178</dc:creator>
  <cp:lastModifiedBy>紫藤178</cp:lastModifiedBy>
  <dcterms:modified xsi:type="dcterms:W3CDTF">2025-02-27T06:34:49Z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FFBA7B9E1C3E463787DD7C3891600C05_11</vt:lpwstr>
  </property>
  <property fmtid="{D5CDD505-2E9C-101B-9397-08002B2CF9AE}" pid="4" name="KSOTemplateDocerSaveRecord">
    <vt:lpwstr>eyJoZGlkIjoiNjhkOTBmNmM4NTk2YjJjY2U0YzNkNTYzYzQwODBkZDUiLCJ1c2VySWQiOiIyMjM4Mjk3NDUifQ==</vt:lpwstr>
  </property>
</Properties>
</file>